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pStyle w:val="2"/>
        <w:rPr>
          <w:color w:val="auto"/>
        </w:rPr>
      </w:pPr>
    </w:p>
    <w:p>
      <w:pPr>
        <w:pStyle w:val="2"/>
        <w:rPr>
          <w:color w:val="auto"/>
        </w:rPr>
      </w:pPr>
    </w:p>
    <w:p>
      <w:pPr>
        <w:pStyle w:val="16"/>
        <w:tabs>
          <w:tab w:val="center" w:pos="4950"/>
          <w:tab w:val="right" w:pos="9781"/>
        </w:tabs>
        <w:ind w:firstLine="2419" w:firstLineChars="288"/>
        <w:jc w:val="left"/>
        <w:rPr>
          <w:rFonts w:asciiTheme="majorEastAsia" w:hAnsiTheme="majorEastAsia" w:eastAsiaTheme="majorEastAsia"/>
          <w:b/>
          <w:bCs/>
          <w:color w:val="auto"/>
          <w:sz w:val="84"/>
          <w:szCs w:val="84"/>
        </w:rPr>
      </w:pPr>
      <w:r>
        <w:rPr>
          <w:rFonts w:hint="eastAsia" w:asciiTheme="majorEastAsia" w:hAnsiTheme="majorEastAsia" w:eastAsiaTheme="majorEastAsia"/>
          <w:color w:val="auto"/>
          <w:sz w:val="84"/>
          <w:szCs w:val="84"/>
        </w:rPr>
        <w:t>公开招标文件</w:t>
      </w:r>
    </w:p>
    <w:p>
      <w:pPr>
        <w:jc w:val="center"/>
        <w:rPr>
          <w:rFonts w:asciiTheme="majorEastAsia" w:hAnsiTheme="majorEastAsia" w:eastAsiaTheme="majorEastAsia"/>
          <w:b/>
          <w:bCs/>
          <w:color w:val="auto"/>
          <w:sz w:val="32"/>
          <w:szCs w:val="32"/>
        </w:rPr>
      </w:pPr>
    </w:p>
    <w:p>
      <w:pPr>
        <w:pStyle w:val="40"/>
        <w:ind w:firstLine="0" w:firstLineChars="0"/>
        <w:rPr>
          <w:rFonts w:asciiTheme="majorEastAsia" w:hAnsiTheme="majorEastAsia" w:eastAsiaTheme="majorEastAsia"/>
          <w:b/>
          <w:bCs/>
          <w:color w:val="auto"/>
          <w:sz w:val="32"/>
          <w:szCs w:val="32"/>
        </w:rPr>
      </w:pPr>
    </w:p>
    <w:p>
      <w:pPr>
        <w:ind w:left="1388" w:leftChars="631"/>
        <w:rPr>
          <w:rFonts w:asciiTheme="majorEastAsia" w:hAnsiTheme="majorEastAsia" w:eastAsiaTheme="majorEastAsia"/>
          <w:b/>
          <w:bCs/>
          <w:color w:val="auto"/>
          <w:sz w:val="32"/>
          <w:szCs w:val="32"/>
        </w:rPr>
      </w:pPr>
    </w:p>
    <w:p>
      <w:pPr>
        <w:ind w:left="1388" w:leftChars="631"/>
        <w:rPr>
          <w:rFonts w:hint="eastAsia" w:asciiTheme="majorEastAsia" w:hAnsiTheme="majorEastAsia" w:eastAsiaTheme="majorEastAsia"/>
          <w:b/>
          <w:bCs/>
          <w:color w:val="auto"/>
          <w:sz w:val="36"/>
          <w:szCs w:val="36"/>
          <w:lang w:eastAsia="zh-CN"/>
        </w:rPr>
      </w:pPr>
      <w:r>
        <w:rPr>
          <w:rFonts w:hint="eastAsia" w:asciiTheme="majorEastAsia" w:hAnsiTheme="majorEastAsia" w:eastAsiaTheme="majorEastAsia"/>
          <w:b/>
          <w:bCs/>
          <w:color w:val="auto"/>
          <w:sz w:val="36"/>
          <w:szCs w:val="36"/>
        </w:rPr>
        <w:t>项目名称：</w:t>
      </w:r>
      <w:r>
        <w:rPr>
          <w:rFonts w:hint="eastAsia" w:asciiTheme="majorEastAsia" w:hAnsiTheme="majorEastAsia" w:eastAsiaTheme="majorEastAsia"/>
          <w:b/>
          <w:bCs/>
          <w:color w:val="auto"/>
          <w:sz w:val="36"/>
          <w:szCs w:val="36"/>
          <w:lang w:eastAsia="zh-CN"/>
        </w:rPr>
        <w:t>金保工程网络安全协同防御体系二期建设</w:t>
      </w:r>
    </w:p>
    <w:p>
      <w:pPr>
        <w:ind w:left="1388" w:leftChars="631"/>
        <w:rPr>
          <w:rFonts w:hint="eastAsia" w:asciiTheme="majorEastAsia" w:hAnsiTheme="majorEastAsia" w:eastAsiaTheme="majorEastAsia"/>
          <w:b/>
          <w:bCs/>
          <w:color w:val="auto"/>
          <w:sz w:val="36"/>
          <w:szCs w:val="36"/>
          <w:lang w:eastAsia="zh-CN"/>
        </w:rPr>
      </w:pPr>
      <w:r>
        <w:rPr>
          <w:rFonts w:hint="eastAsia" w:asciiTheme="majorEastAsia" w:hAnsiTheme="majorEastAsia" w:eastAsiaTheme="majorEastAsia"/>
          <w:b/>
          <w:bCs/>
          <w:color w:val="auto"/>
          <w:sz w:val="36"/>
          <w:szCs w:val="36"/>
        </w:rPr>
        <w:t>项目编号：</w:t>
      </w:r>
      <w:r>
        <w:rPr>
          <w:rFonts w:hint="eastAsia" w:asciiTheme="majorEastAsia" w:hAnsiTheme="majorEastAsia" w:eastAsiaTheme="majorEastAsia"/>
          <w:b/>
          <w:bCs/>
          <w:color w:val="auto"/>
          <w:sz w:val="36"/>
          <w:szCs w:val="36"/>
          <w:lang w:eastAsia="zh-CN"/>
        </w:rPr>
        <w:t>NNZC2020-G3-990092-GXYZ</w:t>
      </w:r>
    </w:p>
    <w:p>
      <w:pPr>
        <w:ind w:left="1388" w:leftChars="631"/>
        <w:rPr>
          <w:rFonts w:hint="eastAsia" w:asciiTheme="majorEastAsia" w:hAnsiTheme="majorEastAsia" w:eastAsiaTheme="majorEastAsia"/>
          <w:b/>
          <w:bCs/>
          <w:color w:val="auto"/>
          <w:sz w:val="36"/>
          <w:szCs w:val="36"/>
          <w:lang w:eastAsia="zh-CN"/>
        </w:rPr>
      </w:pPr>
      <w:r>
        <w:rPr>
          <w:rFonts w:hint="eastAsia" w:asciiTheme="majorEastAsia" w:hAnsiTheme="majorEastAsia" w:eastAsiaTheme="majorEastAsia"/>
          <w:b/>
          <w:bCs/>
          <w:color w:val="auto"/>
          <w:sz w:val="36"/>
          <w:szCs w:val="36"/>
        </w:rPr>
        <w:t>审批编号：</w:t>
      </w:r>
      <w:r>
        <w:rPr>
          <w:rFonts w:hint="eastAsia" w:asciiTheme="majorEastAsia" w:hAnsiTheme="majorEastAsia" w:eastAsiaTheme="majorEastAsia"/>
          <w:b/>
          <w:bCs/>
          <w:color w:val="auto"/>
          <w:sz w:val="36"/>
          <w:szCs w:val="36"/>
          <w:lang w:eastAsia="zh-CN"/>
        </w:rPr>
        <w:t>[2020]NCCSH307015</w:t>
      </w:r>
      <w:r>
        <w:rPr>
          <w:rFonts w:hint="eastAsia" w:asciiTheme="majorEastAsia" w:hAnsiTheme="majorEastAsia" w:eastAsiaTheme="majorEastAsia"/>
          <w:b/>
          <w:bCs/>
          <w:color w:val="auto"/>
          <w:sz w:val="36"/>
          <w:szCs w:val="36"/>
          <w:lang w:val="en-US" w:eastAsia="zh-CN"/>
        </w:rPr>
        <w:t>/</w:t>
      </w:r>
      <w:r>
        <w:rPr>
          <w:rFonts w:hint="eastAsia" w:asciiTheme="majorEastAsia" w:hAnsiTheme="majorEastAsia" w:eastAsiaTheme="majorEastAsia"/>
          <w:b/>
          <w:bCs/>
          <w:color w:val="auto"/>
          <w:sz w:val="36"/>
          <w:szCs w:val="36"/>
          <w:lang w:eastAsia="zh-CN"/>
        </w:rPr>
        <w:t>2511</w:t>
      </w:r>
    </w:p>
    <w:p>
      <w:pPr>
        <w:rPr>
          <w:rFonts w:hint="eastAsia" w:asciiTheme="majorEastAsia" w:hAnsiTheme="majorEastAsia" w:eastAsiaTheme="majorEastAsia"/>
          <w:b/>
          <w:bCs/>
          <w:color w:val="auto"/>
          <w:sz w:val="36"/>
          <w:szCs w:val="36"/>
          <w:lang w:eastAsia="zh-CN"/>
        </w:rPr>
      </w:pPr>
    </w:p>
    <w:p>
      <w:pPr>
        <w:keepNext w:val="0"/>
        <w:keepLines w:val="0"/>
        <w:widowControl/>
        <w:suppressLineNumbers w:val="0"/>
        <w:jc w:val="center"/>
        <w:rPr>
          <w:rFonts w:hint="default" w:asciiTheme="majorEastAsia" w:hAnsiTheme="majorEastAsia" w:eastAsiaTheme="majorEastAsia"/>
          <w:b/>
          <w:bCs/>
          <w:color w:val="auto"/>
          <w:sz w:val="36"/>
          <w:szCs w:val="36"/>
          <w:lang w:val="en-US" w:eastAsia="zh-CN"/>
        </w:rPr>
      </w:pPr>
      <w:r>
        <w:rPr>
          <w:rFonts w:ascii="宋体" w:hAnsi="宋体" w:eastAsia="宋体" w:cs="宋体"/>
          <w:kern w:val="0"/>
          <w:sz w:val="24"/>
          <w:szCs w:val="24"/>
          <w:lang w:val="en-US" w:eastAsia="zh-CN" w:bidi="ar"/>
        </w:rPr>
        <w:drawing>
          <wp:inline distT="0" distB="0" distL="114300" distR="114300">
            <wp:extent cx="4539615" cy="4067175"/>
            <wp:effectExtent l="0" t="0" r="1333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15"/>
                    <a:stretch>
                      <a:fillRect/>
                    </a:stretch>
                  </pic:blipFill>
                  <pic:spPr>
                    <a:xfrm>
                      <a:off x="0" y="0"/>
                      <a:ext cx="4539615" cy="4067175"/>
                    </a:xfrm>
                    <a:prstGeom prst="rect">
                      <a:avLst/>
                    </a:prstGeom>
                    <a:noFill/>
                    <a:ln w="9525">
                      <a:noFill/>
                    </a:ln>
                  </pic:spPr>
                </pic:pic>
              </a:graphicData>
            </a:graphic>
          </wp:inline>
        </w:drawing>
      </w:r>
    </w:p>
    <w:p>
      <w:pPr>
        <w:ind w:left="1388" w:leftChars="631"/>
        <w:rPr>
          <w:rFonts w:hint="eastAsia" w:asciiTheme="majorEastAsia" w:hAnsiTheme="majorEastAsia" w:eastAsiaTheme="majorEastAsia"/>
          <w:b/>
          <w:bCs/>
          <w:color w:val="auto"/>
          <w:sz w:val="36"/>
          <w:szCs w:val="36"/>
        </w:rPr>
        <w:sectPr>
          <w:headerReference r:id="rId4" w:type="first"/>
          <w:headerReference r:id="rId3" w:type="default"/>
          <w:footerReference r:id="rId5" w:type="default"/>
          <w:pgSz w:w="11906" w:h="16838"/>
          <w:pgMar w:top="1440" w:right="1080" w:bottom="1440" w:left="1080" w:header="851" w:footer="907" w:gutter="0"/>
          <w:pgNumType w:start="1"/>
          <w:cols w:space="720" w:num="1"/>
          <w:titlePg/>
          <w:docGrid w:type="lines" w:linePitch="312" w:charSpace="0"/>
        </w:sectPr>
      </w:pPr>
    </w:p>
    <w:p>
      <w:pPr>
        <w:spacing w:line="440" w:lineRule="exact"/>
        <w:ind w:firstLine="643" w:firstLineChars="200"/>
        <w:jc w:val="center"/>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关于投标文件邮寄形式的通知</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 xml:space="preserve"> 为做好新型冠状病毒肺炎疫情防控工作，根据南宁市财政局《关于做好疫情防控期间政府采购工作有关事项的通知》（南财采〔2020〕12号）要求，现对本项目相关事项通知如下：</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（一）本项目投标截止（开标）时间为：</w:t>
      </w:r>
      <w:r>
        <w:rPr>
          <w:rFonts w:hint="eastAsia" w:asciiTheme="majorEastAsia" w:hAnsiTheme="majorEastAsia" w:eastAsiaTheme="majorEastAsia"/>
          <w:b/>
          <w:bCs/>
          <w:color w:val="auto"/>
          <w:sz w:val="24"/>
          <w:szCs w:val="24"/>
        </w:rPr>
        <w:t>2020年</w:t>
      </w:r>
      <w:r>
        <w:rPr>
          <w:rFonts w:hint="eastAsia" w:asciiTheme="majorEastAsia" w:hAnsiTheme="majorEastAsia" w:eastAsiaTheme="majorEastAsia"/>
          <w:b/>
          <w:bCs/>
          <w:color w:val="auto"/>
          <w:sz w:val="24"/>
          <w:szCs w:val="24"/>
          <w:lang w:val="en-US" w:eastAsia="zh-CN"/>
        </w:rPr>
        <w:t>10</w:t>
      </w:r>
      <w:r>
        <w:rPr>
          <w:rFonts w:hint="eastAsia" w:asciiTheme="majorEastAsia" w:hAnsiTheme="majorEastAsia" w:eastAsiaTheme="majorEastAsia"/>
          <w:b/>
          <w:bCs/>
          <w:color w:val="auto"/>
          <w:sz w:val="24"/>
          <w:szCs w:val="24"/>
        </w:rPr>
        <w:t>月</w:t>
      </w:r>
      <w:r>
        <w:rPr>
          <w:rFonts w:hint="eastAsia" w:asciiTheme="majorEastAsia" w:hAnsiTheme="majorEastAsia" w:eastAsiaTheme="majorEastAsia"/>
          <w:b/>
          <w:bCs/>
          <w:color w:val="auto"/>
          <w:sz w:val="24"/>
          <w:szCs w:val="24"/>
          <w:lang w:val="en-US" w:eastAsia="zh-CN"/>
        </w:rPr>
        <w:t>14</w:t>
      </w:r>
      <w:r>
        <w:rPr>
          <w:rFonts w:hint="eastAsia" w:asciiTheme="majorEastAsia" w:hAnsiTheme="majorEastAsia" w:eastAsiaTheme="majorEastAsia"/>
          <w:b/>
          <w:bCs/>
          <w:color w:val="auto"/>
          <w:sz w:val="24"/>
          <w:szCs w:val="24"/>
        </w:rPr>
        <w:t>日</w:t>
      </w:r>
      <w:r>
        <w:rPr>
          <w:rFonts w:hint="eastAsia" w:asciiTheme="majorEastAsia" w:hAnsiTheme="majorEastAsia" w:eastAsiaTheme="majorEastAsia"/>
          <w:b/>
          <w:bCs/>
          <w:color w:val="auto"/>
          <w:sz w:val="24"/>
          <w:szCs w:val="24"/>
          <w:lang w:val="en-US" w:eastAsia="zh-CN"/>
        </w:rPr>
        <w:t>09</w:t>
      </w:r>
      <w:r>
        <w:rPr>
          <w:rFonts w:hint="eastAsia" w:asciiTheme="majorEastAsia" w:hAnsiTheme="majorEastAsia" w:eastAsiaTheme="majorEastAsia"/>
          <w:b/>
          <w:bCs/>
          <w:color w:val="auto"/>
          <w:sz w:val="24"/>
          <w:szCs w:val="24"/>
        </w:rPr>
        <w:t>时</w:t>
      </w:r>
      <w:r>
        <w:rPr>
          <w:rFonts w:hint="eastAsia" w:asciiTheme="majorEastAsia" w:hAnsiTheme="majorEastAsia" w:eastAsiaTheme="majorEastAsia"/>
          <w:b/>
          <w:bCs/>
          <w:color w:val="auto"/>
          <w:sz w:val="24"/>
          <w:szCs w:val="24"/>
          <w:lang w:val="en-US" w:eastAsia="zh-CN"/>
        </w:rPr>
        <w:t>30</w:t>
      </w:r>
      <w:r>
        <w:rPr>
          <w:rFonts w:hint="eastAsia" w:asciiTheme="majorEastAsia" w:hAnsiTheme="majorEastAsia" w:eastAsiaTheme="majorEastAsia"/>
          <w:b/>
          <w:bCs/>
          <w:color w:val="auto"/>
          <w:sz w:val="24"/>
          <w:szCs w:val="24"/>
        </w:rPr>
        <w:t>分。</w:t>
      </w:r>
    </w:p>
    <w:p>
      <w:pPr>
        <w:spacing w:line="44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（二）本项目的投标文件通过邮寄快递的方式送达。</w:t>
      </w:r>
    </w:p>
    <w:p>
      <w:pPr>
        <w:spacing w:line="440" w:lineRule="exact"/>
        <w:ind w:firstLine="723" w:firstLineChars="3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接收邮寄快递包裹的时间为工作日上午9：00～12：00，下午15：00～18:00，投标人应对自己的投标文件的快递包封和密封性负责，如送达的快递包裹出现破损导致投标文件密封性包封破损的，后果由投标人自行承担。</w:t>
      </w:r>
    </w:p>
    <w:p>
      <w:pPr>
        <w:spacing w:line="440" w:lineRule="exact"/>
        <w:ind w:firstLine="720" w:firstLineChars="3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w:t>
      </w:r>
      <w:r>
        <w:rPr>
          <w:rFonts w:hint="eastAsia" w:asciiTheme="majorEastAsia" w:hAnsiTheme="majorEastAsia" w:eastAsiaTheme="majorEastAsia"/>
          <w:b/>
          <w:bCs/>
          <w:color w:val="auto"/>
          <w:sz w:val="24"/>
          <w:szCs w:val="24"/>
        </w:rPr>
        <w:t>投标文件必须在投标截止时间前一小时（即</w:t>
      </w:r>
      <w:r>
        <w:rPr>
          <w:rFonts w:hint="eastAsia" w:asciiTheme="majorEastAsia" w:hAnsiTheme="majorEastAsia" w:eastAsiaTheme="majorEastAsia"/>
          <w:b/>
          <w:bCs/>
          <w:color w:val="auto"/>
          <w:sz w:val="24"/>
          <w:szCs w:val="24"/>
          <w:lang w:val="en-US" w:eastAsia="zh-CN"/>
        </w:rPr>
        <w:t>08</w:t>
      </w:r>
      <w:r>
        <w:rPr>
          <w:rFonts w:hint="eastAsia" w:asciiTheme="majorEastAsia" w:hAnsiTheme="majorEastAsia" w:eastAsiaTheme="majorEastAsia"/>
          <w:b/>
          <w:bCs/>
          <w:color w:val="auto"/>
          <w:sz w:val="24"/>
          <w:szCs w:val="24"/>
        </w:rPr>
        <w:t>时</w:t>
      </w:r>
      <w:r>
        <w:rPr>
          <w:rFonts w:hint="eastAsia" w:asciiTheme="majorEastAsia" w:hAnsiTheme="majorEastAsia" w:eastAsiaTheme="majorEastAsia"/>
          <w:b/>
          <w:bCs/>
          <w:color w:val="auto"/>
          <w:sz w:val="24"/>
          <w:szCs w:val="24"/>
          <w:lang w:val="en-US" w:eastAsia="zh-CN"/>
        </w:rPr>
        <w:t>30</w:t>
      </w:r>
      <w:r>
        <w:rPr>
          <w:rFonts w:hint="eastAsia" w:asciiTheme="majorEastAsia" w:hAnsiTheme="majorEastAsia" w:eastAsiaTheme="majorEastAsia"/>
          <w:b/>
          <w:bCs/>
          <w:color w:val="auto"/>
          <w:sz w:val="24"/>
          <w:szCs w:val="24"/>
        </w:rPr>
        <w:t>分）送达。</w:t>
      </w:r>
      <w:r>
        <w:rPr>
          <w:rFonts w:hint="eastAsia" w:asciiTheme="majorEastAsia" w:hAnsiTheme="majorEastAsia" w:eastAsiaTheme="majorEastAsia"/>
          <w:color w:val="auto"/>
          <w:sz w:val="24"/>
          <w:szCs w:val="24"/>
        </w:rPr>
        <w:t>采购代理机构工作人员签收邮寄包裹的时间即为投标人投标文件的送达时间，逾期送达的投标文件无效，后果由投标人自行承担。</w:t>
      </w:r>
    </w:p>
    <w:p>
      <w:pPr>
        <w:spacing w:line="440" w:lineRule="exact"/>
        <w:ind w:firstLine="720" w:firstLineChars="3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3、</w:t>
      </w:r>
      <w:r>
        <w:rPr>
          <w:rFonts w:asciiTheme="majorEastAsia" w:hAnsiTheme="majorEastAsia" w:eastAsiaTheme="majorEastAsia"/>
          <w:color w:val="auto"/>
          <w:sz w:val="24"/>
          <w:szCs w:val="24"/>
        </w:rPr>
        <w:t>投标人应充分预留投标文件邮寄、送达所需要的时间。为确保疫情防控期间邮寄包裹能及时送达，</w:t>
      </w:r>
      <w:r>
        <w:rPr>
          <w:rFonts w:asciiTheme="majorEastAsia" w:hAnsiTheme="majorEastAsia" w:eastAsiaTheme="majorEastAsia"/>
          <w:b/>
          <w:color w:val="auto"/>
          <w:sz w:val="24"/>
          <w:szCs w:val="24"/>
        </w:rPr>
        <w:t>应选择邮寄运送时间有保障的快递公司寄送投标文件。</w:t>
      </w:r>
    </w:p>
    <w:p>
      <w:pPr>
        <w:spacing w:line="440" w:lineRule="exact"/>
        <w:ind w:firstLine="720" w:firstLineChars="3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w:t>
      </w:r>
      <w:r>
        <w:rPr>
          <w:rFonts w:asciiTheme="majorEastAsia" w:hAnsiTheme="majorEastAsia" w:eastAsiaTheme="majorEastAsia"/>
          <w:color w:val="auto"/>
          <w:sz w:val="24"/>
          <w:szCs w:val="24"/>
        </w:rPr>
        <w:t>投标人在按照</w:t>
      </w:r>
      <w:r>
        <w:rPr>
          <w:rFonts w:asciiTheme="majorEastAsia" w:hAnsiTheme="majorEastAsia" w:eastAsiaTheme="majorEastAsia"/>
          <w:b/>
          <w:color w:val="auto"/>
          <w:sz w:val="24"/>
          <w:szCs w:val="24"/>
        </w:rPr>
        <w:t>招标文件的要求</w:t>
      </w:r>
      <w:r>
        <w:rPr>
          <w:rFonts w:asciiTheme="majorEastAsia" w:hAnsiTheme="majorEastAsia" w:eastAsiaTheme="majorEastAsia"/>
          <w:color w:val="auto"/>
          <w:sz w:val="24"/>
          <w:szCs w:val="24"/>
        </w:rPr>
        <w:t>装订、密封好投标文件后，应使用不透明、防水的邮寄袋（或箱）再次包裹已密封好的投标文件，并在邮寄袋（或箱）上粘牢注明项目名称、项目编号、</w:t>
      </w:r>
      <w:r>
        <w:rPr>
          <w:rFonts w:hint="eastAsia" w:asciiTheme="majorEastAsia" w:hAnsiTheme="majorEastAsia" w:eastAsiaTheme="majorEastAsia"/>
          <w:color w:val="auto"/>
          <w:sz w:val="24"/>
          <w:szCs w:val="24"/>
        </w:rPr>
        <w:t>项目开标日期、</w:t>
      </w:r>
      <w:r>
        <w:rPr>
          <w:rFonts w:asciiTheme="majorEastAsia" w:hAnsiTheme="majorEastAsia" w:eastAsiaTheme="majorEastAsia"/>
          <w:color w:val="auto"/>
          <w:sz w:val="24"/>
          <w:szCs w:val="24"/>
        </w:rPr>
        <w:t>有效的电子邮箱等内容的纸质表格</w:t>
      </w:r>
      <w:r>
        <w:rPr>
          <w:rFonts w:asciiTheme="majorEastAsia" w:hAnsiTheme="majorEastAsia" w:eastAsiaTheme="majorEastAsia"/>
          <w:b/>
          <w:color w:val="auto"/>
          <w:sz w:val="24"/>
          <w:szCs w:val="24"/>
        </w:rPr>
        <w:t>（表格格式详见附件）</w:t>
      </w:r>
      <w:r>
        <w:rPr>
          <w:rFonts w:asciiTheme="majorEastAsia" w:hAnsiTheme="majorEastAsia" w:eastAsiaTheme="majorEastAsia"/>
          <w:color w:val="auto"/>
          <w:sz w:val="24"/>
          <w:szCs w:val="24"/>
        </w:rPr>
        <w:t>。</w:t>
      </w:r>
    </w:p>
    <w:p>
      <w:pPr>
        <w:spacing w:line="440" w:lineRule="exact"/>
        <w:ind w:firstLine="723" w:firstLineChars="3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5、</w:t>
      </w:r>
      <w:r>
        <w:rPr>
          <w:rFonts w:asciiTheme="majorEastAsia" w:hAnsiTheme="majorEastAsia" w:eastAsiaTheme="majorEastAsia"/>
          <w:b/>
          <w:color w:val="auto"/>
          <w:sz w:val="24"/>
          <w:szCs w:val="24"/>
        </w:rPr>
        <w:t>采购代理机构在收到投标文件的邮寄包裹后，第一时间按照投标人在邮寄包裹上所预留的电子邮箱告知</w:t>
      </w:r>
      <w:r>
        <w:rPr>
          <w:rFonts w:hint="eastAsia" w:asciiTheme="majorEastAsia" w:hAnsiTheme="majorEastAsia" w:eastAsiaTheme="majorEastAsia"/>
          <w:b/>
          <w:color w:val="auto"/>
          <w:sz w:val="24"/>
          <w:szCs w:val="24"/>
        </w:rPr>
        <w:t>投标</w:t>
      </w:r>
      <w:r>
        <w:rPr>
          <w:rFonts w:asciiTheme="majorEastAsia" w:hAnsiTheme="majorEastAsia" w:eastAsiaTheme="majorEastAsia"/>
          <w:b/>
          <w:color w:val="auto"/>
          <w:sz w:val="24"/>
          <w:szCs w:val="24"/>
        </w:rPr>
        <w:t>文件收件情况，请投标人务必确保所预留的电子邮箱的有效性，并注意查收邮件。</w:t>
      </w:r>
    </w:p>
    <w:p>
      <w:pPr>
        <w:spacing w:line="440" w:lineRule="exact"/>
        <w:ind w:firstLine="720" w:firstLineChars="300"/>
        <w:rPr>
          <w:rFonts w:asciiTheme="majorEastAsia" w:hAnsiTheme="majorEastAsia" w:eastAsiaTheme="majorEastAsia"/>
          <w:color w:val="auto"/>
          <w:sz w:val="24"/>
        </w:rPr>
      </w:pPr>
      <w:r>
        <w:rPr>
          <w:rFonts w:hint="eastAsia" w:asciiTheme="majorEastAsia" w:hAnsiTheme="majorEastAsia" w:eastAsiaTheme="majorEastAsia"/>
          <w:color w:val="auto"/>
          <w:sz w:val="24"/>
          <w:szCs w:val="24"/>
        </w:rPr>
        <w:t>6、</w:t>
      </w:r>
      <w:r>
        <w:rPr>
          <w:rFonts w:asciiTheme="majorEastAsia" w:hAnsiTheme="majorEastAsia" w:eastAsiaTheme="majorEastAsia"/>
          <w:color w:val="auto"/>
          <w:sz w:val="24"/>
          <w:szCs w:val="24"/>
        </w:rPr>
        <w:t>投标文件邮寄地址：</w:t>
      </w:r>
      <w:r>
        <w:rPr>
          <w:rFonts w:hint="eastAsia" w:asciiTheme="majorEastAsia" w:hAnsiTheme="majorEastAsia" w:eastAsiaTheme="majorEastAsia"/>
          <w:color w:val="auto"/>
          <w:sz w:val="24"/>
        </w:rPr>
        <w:t>广西邕政采购代理有限公司（南宁市青秀区思贤路45号创投中心16A层）。</w:t>
      </w:r>
    </w:p>
    <w:p>
      <w:pPr>
        <w:spacing w:line="440" w:lineRule="exact"/>
        <w:ind w:firstLine="720" w:firstLineChars="3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收件人：</w:t>
      </w:r>
      <w:r>
        <w:rPr>
          <w:rFonts w:hint="eastAsia" w:asciiTheme="majorEastAsia" w:hAnsiTheme="majorEastAsia" w:eastAsiaTheme="majorEastAsia"/>
          <w:color w:val="auto"/>
          <w:sz w:val="24"/>
        </w:rPr>
        <w:t>黎工</w:t>
      </w:r>
    </w:p>
    <w:p>
      <w:pPr>
        <w:spacing w:line="440" w:lineRule="exact"/>
        <w:ind w:firstLine="720" w:firstLineChars="3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联系电话：0771-</w:t>
      </w:r>
      <w:r>
        <w:rPr>
          <w:rFonts w:hint="eastAsia" w:asciiTheme="majorEastAsia" w:hAnsiTheme="majorEastAsia" w:eastAsiaTheme="majorEastAsia"/>
          <w:color w:val="auto"/>
          <w:sz w:val="24"/>
          <w:szCs w:val="24"/>
        </w:rPr>
        <w:t>2442850</w:t>
      </w:r>
    </w:p>
    <w:p>
      <w:pPr>
        <w:spacing w:line="440" w:lineRule="exact"/>
        <w:ind w:firstLine="480" w:firstLineChars="200"/>
        <w:rPr>
          <w:rFonts w:asciiTheme="majorEastAsia" w:hAnsiTheme="majorEastAsia" w:eastAsiaTheme="majorEastAsia"/>
          <w:color w:val="auto"/>
          <w:sz w:val="24"/>
          <w:szCs w:val="24"/>
        </w:rPr>
        <w:sectPr>
          <w:footerReference r:id="rId7" w:type="first"/>
          <w:footerReference r:id="rId6" w:type="default"/>
          <w:pgSz w:w="11906" w:h="16838"/>
          <w:pgMar w:top="1440" w:right="1080" w:bottom="1440" w:left="1080" w:header="851" w:footer="907" w:gutter="0"/>
          <w:pgNumType w:start="1"/>
          <w:cols w:space="720" w:num="1"/>
          <w:docGrid w:type="lines" w:linePitch="312" w:charSpace="0"/>
        </w:sectPr>
      </w:pPr>
      <w:r>
        <w:rPr>
          <w:rFonts w:hint="eastAsia" w:asciiTheme="majorEastAsia" w:hAnsiTheme="majorEastAsia" w:eastAsiaTheme="majorEastAsia"/>
          <w:color w:val="auto"/>
          <w:sz w:val="24"/>
          <w:szCs w:val="24"/>
        </w:rPr>
        <w:t>（三）</w:t>
      </w:r>
      <w:r>
        <w:rPr>
          <w:rFonts w:hint="eastAsia" w:asciiTheme="majorEastAsia" w:hAnsiTheme="majorEastAsia" w:eastAsiaTheme="majorEastAsia"/>
          <w:b/>
          <w:color w:val="auto"/>
          <w:sz w:val="24"/>
          <w:szCs w:val="24"/>
        </w:rPr>
        <w:t>投标人不参加现场开标活动。</w:t>
      </w:r>
      <w:r>
        <w:rPr>
          <w:rFonts w:hint="eastAsia" w:asciiTheme="majorEastAsia" w:hAnsiTheme="majorEastAsia" w:eastAsiaTheme="majorEastAsia"/>
          <w:color w:val="auto"/>
          <w:sz w:val="24"/>
          <w:szCs w:val="24"/>
        </w:rPr>
        <w:t>取消招标文件“第四章投标人须知”中16.开标”</w:t>
      </w:r>
    </w:p>
    <w:p>
      <w:pPr>
        <w:spacing w:line="440" w:lineRule="exact"/>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的所有内容。</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（四）投标文件拆封及密封性检查。</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截标后，采购代理机构工作人员在公共资源交易中心工作人员和采购人的见证下拆开投标文件包封，采购人对投标文件密封性和投标文件正副本数量进行签字确认。</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（五）关于投标人的报价。</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由采购代理机构在投标文件商务技术符合性审查结束后，根据投标人的投标报价情况填写开标记录表，交由评标委员会对投标人的报价、服务时限等内容进行签字确认。</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（六）关于投标文件澄清的有关要求</w:t>
      </w:r>
    </w:p>
    <w:p>
      <w:pPr>
        <w:spacing w:line="44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1、为便于采购代理机构或评标委员会在项目评标期间与投标人取得联系，做好评标过程中投标人对投标文件的澄清、说明或者补正等工作，投标人务必做到：“第五章 投标文件格式”中“投标函（格式）”落款处的“电话”务必填写法定代表人或委托代理人的电话联系方式。</w:t>
      </w:r>
    </w:p>
    <w:p>
      <w:pPr>
        <w:spacing w:line="440" w:lineRule="exact"/>
        <w:ind w:firstLine="480" w:firstLineChars="200"/>
        <w:rPr>
          <w:rFonts w:asciiTheme="majorEastAsia" w:hAnsiTheme="majorEastAsia" w:eastAsiaTheme="majorEastAsia"/>
          <w:b/>
          <w:color w:val="auto"/>
          <w:sz w:val="24"/>
          <w:szCs w:val="24"/>
        </w:rPr>
      </w:pPr>
      <w:r>
        <w:rPr>
          <w:rFonts w:hint="eastAsia" w:asciiTheme="majorEastAsia" w:hAnsiTheme="majorEastAsia" w:eastAsiaTheme="majorEastAsia"/>
          <w:color w:val="auto"/>
          <w:sz w:val="24"/>
          <w:szCs w:val="24"/>
        </w:rPr>
        <w:t>2、</w:t>
      </w:r>
      <w:r>
        <w:rPr>
          <w:rFonts w:hint="eastAsia" w:asciiTheme="majorEastAsia" w:hAnsiTheme="majorEastAsia" w:eastAsiaTheme="majorEastAsia"/>
          <w:b/>
          <w:color w:val="auto"/>
          <w:sz w:val="24"/>
          <w:szCs w:val="24"/>
        </w:rPr>
        <w:t>开标当天投标人务必保持电话畅通。</w:t>
      </w:r>
      <w:r>
        <w:rPr>
          <w:rFonts w:hint="eastAsia" w:asciiTheme="majorEastAsia" w:hAnsiTheme="majorEastAsia" w:eastAsiaTheme="majorEastAsia"/>
          <w:color w:val="auto"/>
          <w:sz w:val="24"/>
          <w:szCs w:val="24"/>
        </w:rPr>
        <w:t>如果评标过程中需要投标人对投标文件作出澄清、说明或者补正的，评标委员会会通知投标人在规定的时间内通过电子邮件、传真等方式提交。</w:t>
      </w:r>
      <w:r>
        <w:rPr>
          <w:rFonts w:hint="eastAsia" w:asciiTheme="majorEastAsia" w:hAnsiTheme="majorEastAsia" w:eastAsiaTheme="majorEastAsia"/>
          <w:b/>
          <w:color w:val="auto"/>
          <w:sz w:val="24"/>
          <w:szCs w:val="24"/>
        </w:rPr>
        <w:t>投标人所提交的澄清、说明或者补正等材料必须加盖投标人的公章确认。</w:t>
      </w:r>
    </w:p>
    <w:p>
      <w:pPr>
        <w:spacing w:line="440" w:lineRule="exact"/>
        <w:ind w:firstLine="482" w:firstLineChars="200"/>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40" w:lineRule="exact"/>
        <w:ind w:firstLine="480" w:firstLineChars="2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（七）请按通知内容执行，招标文件其余内容不变。</w:t>
      </w:r>
    </w:p>
    <w:p>
      <w:pPr>
        <w:pStyle w:val="85"/>
        <w:spacing w:line="601" w:lineRule="atLeast"/>
        <w:ind w:firstLine="482"/>
        <w:rPr>
          <w:rFonts w:asciiTheme="majorEastAsia" w:hAnsiTheme="majorEastAsia" w:eastAsiaTheme="majorEastAsia"/>
          <w:color w:val="auto"/>
        </w:rPr>
      </w:pPr>
      <w:r>
        <w:rPr>
          <w:rFonts w:asciiTheme="majorEastAsia" w:hAnsiTheme="majorEastAsia" w:eastAsiaTheme="majorEastAsia"/>
          <w:color w:val="auto"/>
        </w:rPr>
        <w:t>特此通知。</w:t>
      </w:r>
    </w:p>
    <w:p>
      <w:pPr>
        <w:spacing w:line="440" w:lineRule="exact"/>
        <w:ind w:firstLine="4440" w:firstLineChars="1850"/>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w:t>
      </w:r>
    </w:p>
    <w:p>
      <w:pPr>
        <w:spacing w:line="440" w:lineRule="exact"/>
        <w:ind w:firstLine="4440" w:firstLineChars="1850"/>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采购代理机构：广西邕政采购代理有限公司 </w:t>
      </w:r>
    </w:p>
    <w:p>
      <w:pPr>
        <w:spacing w:line="440" w:lineRule="exact"/>
        <w:ind w:firstLine="5760" w:firstLineChars="2400"/>
        <w:rPr>
          <w:rFonts w:asciiTheme="majorEastAsia" w:hAnsiTheme="majorEastAsia" w:eastAsiaTheme="majorEastAsia"/>
          <w:color w:val="auto"/>
          <w:sz w:val="24"/>
        </w:rPr>
      </w:pPr>
      <w:r>
        <w:rPr>
          <w:rFonts w:hint="eastAsia" w:asciiTheme="majorEastAsia" w:hAnsiTheme="majorEastAsia" w:eastAsiaTheme="majorEastAsia"/>
          <w:color w:val="auto"/>
          <w:sz w:val="24"/>
        </w:rPr>
        <w:t>日期：2020年</w:t>
      </w:r>
      <w:r>
        <w:rPr>
          <w:rFonts w:hint="eastAsia" w:asciiTheme="majorEastAsia" w:hAnsiTheme="majorEastAsia" w:eastAsiaTheme="majorEastAsia"/>
          <w:color w:val="auto"/>
          <w:sz w:val="24"/>
          <w:lang w:val="en-US" w:eastAsia="zh-CN"/>
        </w:rPr>
        <w:t>9</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22</w:t>
      </w:r>
      <w:r>
        <w:rPr>
          <w:rFonts w:hint="eastAsia" w:asciiTheme="majorEastAsia" w:hAnsiTheme="majorEastAsia" w:eastAsiaTheme="majorEastAsia"/>
          <w:color w:val="auto"/>
          <w:sz w:val="24"/>
        </w:rPr>
        <w:t>日</w:t>
      </w:r>
    </w:p>
    <w:p>
      <w:pPr>
        <w:spacing w:line="276" w:lineRule="auto"/>
        <w:rPr>
          <w:rFonts w:asciiTheme="majorEastAsia" w:hAnsiTheme="majorEastAsia" w:eastAsiaTheme="majorEastAsia"/>
          <w:color w:val="auto"/>
          <w:sz w:val="27"/>
          <w:szCs w:val="27"/>
        </w:rPr>
        <w:sectPr>
          <w:footerReference r:id="rId8" w:type="default"/>
          <w:pgSz w:w="11906" w:h="16838"/>
          <w:pgMar w:top="1440" w:right="1080" w:bottom="1440" w:left="1080" w:header="851" w:footer="907" w:gutter="0"/>
          <w:pgNumType w:start="1"/>
          <w:cols w:space="720" w:num="1"/>
          <w:docGrid w:type="lines" w:linePitch="312" w:charSpace="0"/>
        </w:sectPr>
      </w:pPr>
    </w:p>
    <w:p>
      <w:pPr>
        <w:spacing w:line="276" w:lineRule="auto"/>
        <w:rPr>
          <w:rFonts w:asciiTheme="majorEastAsia" w:hAnsiTheme="majorEastAsia" w:eastAsiaTheme="majorEastAsia"/>
          <w:color w:val="auto"/>
          <w:sz w:val="24"/>
          <w:szCs w:val="24"/>
        </w:rPr>
      </w:pPr>
      <w:r>
        <w:rPr>
          <w:rFonts w:asciiTheme="majorEastAsia" w:hAnsiTheme="majorEastAsia" w:eastAsiaTheme="majorEastAsia"/>
          <w:color w:val="auto"/>
          <w:sz w:val="27"/>
          <w:szCs w:val="27"/>
        </w:rPr>
        <w:t>附件：</w:t>
      </w:r>
    </w:p>
    <w:p>
      <w:pPr>
        <w:pStyle w:val="85"/>
        <w:jc w:val="center"/>
        <w:rPr>
          <w:rFonts w:asciiTheme="majorEastAsia" w:hAnsiTheme="majorEastAsia" w:eastAsiaTheme="majorEastAsia"/>
          <w:color w:val="auto"/>
          <w:sz w:val="18"/>
          <w:szCs w:val="18"/>
        </w:rPr>
      </w:pPr>
      <w:r>
        <w:rPr>
          <w:rFonts w:asciiTheme="majorEastAsia" w:hAnsiTheme="majorEastAsia" w:eastAsiaTheme="majorEastAsia"/>
          <w:b/>
          <w:bCs/>
          <w:color w:val="auto"/>
          <w:sz w:val="36"/>
          <w:szCs w:val="36"/>
        </w:rPr>
        <w:t>邮件外包粘贴表格（格式）</w:t>
      </w:r>
    </w:p>
    <w:p>
      <w:pPr>
        <w:pStyle w:val="85"/>
        <w:rPr>
          <w:rFonts w:asciiTheme="majorEastAsia" w:hAnsiTheme="majorEastAsia" w:eastAsiaTheme="majorEastAsia"/>
          <w:color w:val="auto"/>
          <w:sz w:val="18"/>
          <w:szCs w:val="18"/>
        </w:rPr>
      </w:pPr>
    </w:p>
    <w:p>
      <w:pPr>
        <w:pStyle w:val="85"/>
        <w:spacing w:line="360" w:lineRule="auto"/>
        <w:rPr>
          <w:rFonts w:asciiTheme="majorEastAsia" w:hAnsiTheme="majorEastAsia" w:eastAsiaTheme="majorEastAsia"/>
          <w:color w:val="auto"/>
          <w:sz w:val="18"/>
          <w:szCs w:val="18"/>
        </w:rPr>
      </w:pPr>
      <w:r>
        <w:rPr>
          <w:rFonts w:asciiTheme="majorEastAsia" w:hAnsiTheme="majorEastAsia" w:eastAsiaTheme="majorEastAsia"/>
          <w:b/>
          <w:bCs/>
          <w:color w:val="auto"/>
          <w:sz w:val="27"/>
          <w:szCs w:val="27"/>
        </w:rPr>
        <w:t>项目名称：</w:t>
      </w:r>
    </w:p>
    <w:p>
      <w:pPr>
        <w:pStyle w:val="85"/>
        <w:spacing w:line="360" w:lineRule="auto"/>
        <w:rPr>
          <w:rFonts w:asciiTheme="majorEastAsia" w:hAnsiTheme="majorEastAsia" w:eastAsiaTheme="majorEastAsia"/>
          <w:color w:val="auto"/>
          <w:sz w:val="18"/>
          <w:szCs w:val="18"/>
        </w:rPr>
      </w:pPr>
    </w:p>
    <w:p>
      <w:pPr>
        <w:pStyle w:val="85"/>
        <w:spacing w:line="360" w:lineRule="auto"/>
        <w:rPr>
          <w:rFonts w:asciiTheme="majorEastAsia" w:hAnsiTheme="majorEastAsia" w:eastAsiaTheme="majorEastAsia"/>
          <w:color w:val="auto"/>
          <w:sz w:val="18"/>
          <w:szCs w:val="18"/>
        </w:rPr>
      </w:pPr>
      <w:r>
        <w:rPr>
          <w:rFonts w:asciiTheme="majorEastAsia" w:hAnsiTheme="majorEastAsia" w:eastAsiaTheme="majorEastAsia"/>
          <w:b/>
          <w:bCs/>
          <w:color w:val="auto"/>
          <w:sz w:val="27"/>
          <w:szCs w:val="27"/>
        </w:rPr>
        <w:t>项目编号：</w:t>
      </w:r>
    </w:p>
    <w:p>
      <w:pPr>
        <w:pStyle w:val="85"/>
        <w:spacing w:line="360" w:lineRule="auto"/>
        <w:rPr>
          <w:rFonts w:asciiTheme="majorEastAsia" w:hAnsiTheme="majorEastAsia" w:eastAsiaTheme="majorEastAsia"/>
          <w:color w:val="auto"/>
          <w:sz w:val="18"/>
          <w:szCs w:val="18"/>
        </w:rPr>
      </w:pPr>
    </w:p>
    <w:p>
      <w:pPr>
        <w:pStyle w:val="85"/>
        <w:spacing w:line="360" w:lineRule="auto"/>
        <w:rPr>
          <w:rFonts w:asciiTheme="majorEastAsia" w:hAnsiTheme="majorEastAsia" w:eastAsiaTheme="majorEastAsia"/>
          <w:b/>
          <w:bCs/>
          <w:color w:val="auto"/>
          <w:sz w:val="27"/>
          <w:szCs w:val="27"/>
        </w:rPr>
      </w:pPr>
      <w:r>
        <w:rPr>
          <w:rFonts w:asciiTheme="majorEastAsia" w:hAnsiTheme="majorEastAsia" w:eastAsiaTheme="majorEastAsia"/>
          <w:b/>
          <w:bCs/>
          <w:color w:val="auto"/>
          <w:sz w:val="27"/>
          <w:szCs w:val="27"/>
        </w:rPr>
        <w:t>项目开标日期：</w:t>
      </w:r>
    </w:p>
    <w:p>
      <w:pPr>
        <w:pStyle w:val="85"/>
        <w:spacing w:line="360" w:lineRule="auto"/>
        <w:rPr>
          <w:rFonts w:asciiTheme="majorEastAsia" w:hAnsiTheme="majorEastAsia" w:eastAsiaTheme="majorEastAsia"/>
          <w:b/>
          <w:bCs/>
          <w:color w:val="auto"/>
          <w:sz w:val="27"/>
          <w:szCs w:val="27"/>
        </w:rPr>
      </w:pPr>
    </w:p>
    <w:p>
      <w:pPr>
        <w:pStyle w:val="85"/>
        <w:spacing w:line="360" w:lineRule="auto"/>
        <w:rPr>
          <w:rFonts w:asciiTheme="majorEastAsia" w:hAnsiTheme="majorEastAsia" w:eastAsiaTheme="majorEastAsia"/>
          <w:b/>
          <w:bCs/>
          <w:color w:val="auto"/>
          <w:sz w:val="27"/>
          <w:szCs w:val="27"/>
        </w:rPr>
      </w:pPr>
      <w:r>
        <w:rPr>
          <w:rFonts w:asciiTheme="majorEastAsia" w:hAnsiTheme="majorEastAsia" w:eastAsiaTheme="majorEastAsia"/>
          <w:b/>
          <w:bCs/>
          <w:color w:val="auto"/>
          <w:sz w:val="27"/>
          <w:szCs w:val="27"/>
        </w:rPr>
        <w:t>联系</w:t>
      </w:r>
      <w:r>
        <w:rPr>
          <w:rFonts w:hint="eastAsia" w:asciiTheme="majorEastAsia" w:hAnsiTheme="majorEastAsia" w:eastAsiaTheme="majorEastAsia"/>
          <w:b/>
          <w:bCs/>
          <w:color w:val="auto"/>
          <w:sz w:val="27"/>
          <w:szCs w:val="27"/>
        </w:rPr>
        <w:t>方式</w:t>
      </w:r>
      <w:r>
        <w:rPr>
          <w:rFonts w:asciiTheme="majorEastAsia" w:hAnsiTheme="majorEastAsia" w:eastAsiaTheme="majorEastAsia"/>
          <w:b/>
          <w:bCs/>
          <w:color w:val="auto"/>
          <w:sz w:val="27"/>
          <w:szCs w:val="27"/>
        </w:rPr>
        <w:t>：</w:t>
      </w:r>
    </w:p>
    <w:p>
      <w:pPr>
        <w:pStyle w:val="85"/>
        <w:spacing w:line="360" w:lineRule="auto"/>
        <w:rPr>
          <w:rFonts w:asciiTheme="majorEastAsia" w:hAnsiTheme="majorEastAsia" w:eastAsiaTheme="majorEastAsia"/>
          <w:b/>
          <w:bCs/>
          <w:color w:val="auto"/>
          <w:sz w:val="27"/>
          <w:szCs w:val="27"/>
        </w:rPr>
      </w:pPr>
    </w:p>
    <w:p>
      <w:pPr>
        <w:pStyle w:val="85"/>
        <w:spacing w:line="360" w:lineRule="auto"/>
        <w:rPr>
          <w:rFonts w:asciiTheme="majorEastAsia" w:hAnsiTheme="majorEastAsia" w:eastAsiaTheme="majorEastAsia"/>
          <w:color w:val="auto"/>
          <w:sz w:val="18"/>
          <w:szCs w:val="18"/>
        </w:rPr>
      </w:pPr>
      <w:r>
        <w:rPr>
          <w:rFonts w:asciiTheme="majorEastAsia" w:hAnsiTheme="majorEastAsia" w:eastAsiaTheme="majorEastAsia"/>
          <w:b/>
          <w:bCs/>
          <w:color w:val="auto"/>
          <w:sz w:val="27"/>
          <w:szCs w:val="27"/>
        </w:rPr>
        <w:t>联系电子邮箱：</w:t>
      </w:r>
    </w:p>
    <w:p>
      <w:pPr>
        <w:pStyle w:val="16"/>
        <w:jc w:val="center"/>
        <w:rPr>
          <w:rFonts w:cs="宋体" w:asciiTheme="majorEastAsia" w:hAnsiTheme="majorEastAsia" w:eastAsiaTheme="majorEastAsia"/>
          <w:b/>
          <w:color w:val="auto"/>
          <w:sz w:val="48"/>
          <w:szCs w:val="48"/>
        </w:rPr>
        <w:sectPr>
          <w:footerReference r:id="rId10" w:type="first"/>
          <w:footerReference r:id="rId9" w:type="default"/>
          <w:pgSz w:w="11906" w:h="16838"/>
          <w:pgMar w:top="1440" w:right="1080" w:bottom="1440" w:left="1080" w:header="851" w:footer="907" w:gutter="0"/>
          <w:cols w:space="720" w:num="1"/>
          <w:titlePg/>
          <w:docGrid w:type="lines" w:linePitch="312" w:charSpace="0"/>
        </w:sectPr>
      </w:pPr>
    </w:p>
    <w:p>
      <w:pPr>
        <w:pStyle w:val="16"/>
        <w:jc w:val="center"/>
        <w:rPr>
          <w:rFonts w:cs="宋体" w:asciiTheme="majorEastAsia" w:hAnsiTheme="majorEastAsia" w:eastAsiaTheme="majorEastAsia"/>
          <w:b/>
          <w:color w:val="auto"/>
          <w:sz w:val="48"/>
          <w:szCs w:val="48"/>
        </w:rPr>
      </w:pPr>
      <w:r>
        <w:rPr>
          <w:rFonts w:cs="宋体" w:asciiTheme="majorEastAsia" w:hAnsiTheme="majorEastAsia" w:eastAsiaTheme="majorEastAsia"/>
          <w:b/>
          <w:color w:val="auto"/>
          <w:sz w:val="48"/>
          <w:szCs w:val="48"/>
        </w:rPr>
        <w:t>目     录</w:t>
      </w:r>
      <w:permStart w:id="0" w:edGrp="everyone"/>
      <w:permEnd w:id="0"/>
    </w:p>
    <w:p>
      <w:pPr>
        <w:pStyle w:val="16"/>
        <w:tabs>
          <w:tab w:val="left" w:pos="4011"/>
        </w:tabs>
        <w:rPr>
          <w:rFonts w:cs="宋体" w:asciiTheme="majorEastAsia" w:hAnsiTheme="majorEastAsia" w:eastAsiaTheme="majorEastAsia"/>
          <w:b/>
          <w:color w:val="auto"/>
          <w:sz w:val="48"/>
          <w:szCs w:val="48"/>
        </w:rPr>
      </w:pPr>
      <w:r>
        <w:rPr>
          <w:rFonts w:hint="eastAsia" w:cs="宋体" w:asciiTheme="majorEastAsia" w:hAnsiTheme="majorEastAsia" w:eastAsiaTheme="majorEastAsia"/>
          <w:b/>
          <w:color w:val="auto"/>
          <w:sz w:val="48"/>
          <w:szCs w:val="48"/>
        </w:rPr>
        <w:tab/>
      </w:r>
    </w:p>
    <w:p>
      <w:pPr>
        <w:pStyle w:val="20"/>
        <w:tabs>
          <w:tab w:val="right" w:leader="dot" w:pos="9746"/>
        </w:tabs>
        <w:rPr>
          <w:b/>
          <w:bCs/>
          <w:color w:val="auto"/>
          <w:sz w:val="28"/>
          <w:szCs w:val="28"/>
        </w:rPr>
      </w:pPr>
      <w:permStart w:id="1" w:edGrp="everyone"/>
      <w:permEnd w:id="1"/>
      <w:r>
        <w:rPr>
          <w:rFonts w:hint="eastAsia" w:cs="宋体" w:asciiTheme="majorEastAsia" w:hAnsiTheme="majorEastAsia" w:eastAsiaTheme="majorEastAsia"/>
          <w:b/>
          <w:bCs/>
          <w:color w:val="auto"/>
          <w:sz w:val="28"/>
          <w:szCs w:val="28"/>
        </w:rPr>
        <w:fldChar w:fldCharType="begin"/>
      </w:r>
      <w:r>
        <w:rPr>
          <w:rFonts w:hint="eastAsia" w:cs="宋体" w:asciiTheme="majorEastAsia" w:hAnsiTheme="majorEastAsia" w:eastAsiaTheme="majorEastAsia"/>
          <w:b/>
          <w:bCs/>
          <w:color w:val="auto"/>
          <w:sz w:val="28"/>
          <w:szCs w:val="28"/>
        </w:rPr>
        <w:instrText xml:space="preserve"> TOC \o "1-3" \h \z \u </w:instrText>
      </w:r>
      <w:r>
        <w:rPr>
          <w:rFonts w:hint="eastAsia" w:cs="宋体" w:asciiTheme="majorEastAsia" w:hAnsiTheme="majorEastAsia" w:eastAsiaTheme="majorEastAsia"/>
          <w:b/>
          <w:bCs/>
          <w:color w:val="auto"/>
          <w:sz w:val="28"/>
          <w:szCs w:val="28"/>
        </w:rPr>
        <w:fldChar w:fldCharType="separate"/>
      </w:r>
      <w:permStart w:id="2" w:edGrp="everyone"/>
      <w:r>
        <w:rPr>
          <w:color w:val="auto"/>
        </w:rPr>
        <w:fldChar w:fldCharType="begin"/>
      </w:r>
      <w:r>
        <w:rPr>
          <w:color w:val="auto"/>
        </w:rPr>
        <w:instrText xml:space="preserve"> HYPERLINK \l "_Toc8764" </w:instrText>
      </w:r>
      <w:r>
        <w:rPr>
          <w:color w:val="auto"/>
        </w:rPr>
        <w:fldChar w:fldCharType="separate"/>
      </w:r>
      <w:r>
        <w:rPr>
          <w:rFonts w:hint="eastAsia" w:cs="宋体" w:asciiTheme="majorEastAsia" w:hAnsiTheme="majorEastAsia" w:eastAsiaTheme="majorEastAsia"/>
          <w:b/>
          <w:bCs/>
          <w:color w:val="auto"/>
          <w:sz w:val="28"/>
          <w:szCs w:val="28"/>
        </w:rPr>
        <w:t>第一章 公告</w:t>
      </w:r>
      <w:r>
        <w:rPr>
          <w:b/>
          <w:bCs/>
          <w:color w:val="auto"/>
          <w:sz w:val="28"/>
          <w:szCs w:val="28"/>
        </w:rPr>
        <w:tab/>
      </w:r>
      <w:r>
        <w:rPr>
          <w:rFonts w:hint="eastAsia"/>
          <w:b/>
          <w:bCs/>
          <w:color w:val="auto"/>
          <w:sz w:val="28"/>
          <w:szCs w:val="28"/>
        </w:rPr>
        <w:t>1</w:t>
      </w:r>
      <w:r>
        <w:rPr>
          <w:rFonts w:hint="eastAsia"/>
          <w:b/>
          <w:bCs/>
          <w:color w:val="auto"/>
          <w:sz w:val="28"/>
          <w:szCs w:val="28"/>
        </w:rPr>
        <w:fldChar w:fldCharType="end"/>
      </w:r>
      <w:permEnd w:id="2"/>
    </w:p>
    <w:p>
      <w:pPr>
        <w:pStyle w:val="20"/>
        <w:tabs>
          <w:tab w:val="right" w:leader="dot" w:pos="9746"/>
        </w:tabs>
        <w:rPr>
          <w:b/>
          <w:bCs/>
          <w:color w:val="auto"/>
          <w:sz w:val="28"/>
          <w:szCs w:val="28"/>
        </w:rPr>
      </w:pPr>
      <w:r>
        <w:rPr>
          <w:color w:val="auto"/>
        </w:rPr>
        <w:fldChar w:fldCharType="begin"/>
      </w:r>
      <w:r>
        <w:rPr>
          <w:color w:val="auto"/>
        </w:rPr>
        <w:instrText xml:space="preserve"> HYPERLINK \l "_Toc14169" </w:instrText>
      </w:r>
      <w:r>
        <w:rPr>
          <w:color w:val="auto"/>
        </w:rPr>
        <w:fldChar w:fldCharType="separate"/>
      </w:r>
      <w:r>
        <w:rPr>
          <w:rFonts w:hint="eastAsia" w:cs="宋体" w:asciiTheme="majorEastAsia" w:hAnsiTheme="majorEastAsia" w:eastAsiaTheme="majorEastAsia"/>
          <w:b/>
          <w:bCs/>
          <w:color w:val="auto"/>
          <w:sz w:val="28"/>
          <w:szCs w:val="28"/>
        </w:rPr>
        <w:t>第二章  服务需求一览表</w:t>
      </w:r>
      <w:r>
        <w:rPr>
          <w:b/>
          <w:bCs/>
          <w:color w:val="auto"/>
          <w:sz w:val="28"/>
          <w:szCs w:val="28"/>
        </w:rPr>
        <w:tab/>
      </w:r>
      <w:r>
        <w:rPr>
          <w:b/>
          <w:bCs/>
          <w:color w:val="auto"/>
          <w:sz w:val="28"/>
          <w:szCs w:val="28"/>
        </w:rPr>
        <w:fldChar w:fldCharType="begin"/>
      </w:r>
      <w:r>
        <w:rPr>
          <w:b/>
          <w:bCs/>
          <w:color w:val="auto"/>
          <w:sz w:val="28"/>
          <w:szCs w:val="28"/>
        </w:rPr>
        <w:instrText xml:space="preserve"> PAGEREF _Toc14169 </w:instrText>
      </w:r>
      <w:r>
        <w:rPr>
          <w:b/>
          <w:bCs/>
          <w:color w:val="auto"/>
          <w:sz w:val="28"/>
          <w:szCs w:val="28"/>
        </w:rPr>
        <w:fldChar w:fldCharType="separate"/>
      </w:r>
      <w:r>
        <w:rPr>
          <w:b/>
          <w:bCs/>
          <w:color w:val="auto"/>
          <w:sz w:val="28"/>
          <w:szCs w:val="28"/>
        </w:rPr>
        <w:t>5</w:t>
      </w:r>
      <w:r>
        <w:rPr>
          <w:b/>
          <w:bCs/>
          <w:color w:val="auto"/>
          <w:sz w:val="28"/>
          <w:szCs w:val="28"/>
        </w:rPr>
        <w:fldChar w:fldCharType="end"/>
      </w:r>
      <w:r>
        <w:rPr>
          <w:b/>
          <w:bCs/>
          <w:color w:val="auto"/>
          <w:sz w:val="28"/>
          <w:szCs w:val="28"/>
        </w:rPr>
        <w:fldChar w:fldCharType="end"/>
      </w:r>
    </w:p>
    <w:p>
      <w:pPr>
        <w:pStyle w:val="20"/>
        <w:tabs>
          <w:tab w:val="right" w:leader="dot" w:pos="9746"/>
        </w:tabs>
        <w:rPr>
          <w:b/>
          <w:bCs/>
          <w:color w:val="auto"/>
          <w:sz w:val="28"/>
          <w:szCs w:val="28"/>
        </w:rPr>
      </w:pPr>
      <w:r>
        <w:rPr>
          <w:color w:val="auto"/>
        </w:rPr>
        <w:fldChar w:fldCharType="begin"/>
      </w:r>
      <w:r>
        <w:rPr>
          <w:color w:val="auto"/>
        </w:rPr>
        <w:instrText xml:space="preserve"> HYPERLINK \l "_Toc15441" </w:instrText>
      </w:r>
      <w:r>
        <w:rPr>
          <w:color w:val="auto"/>
        </w:rPr>
        <w:fldChar w:fldCharType="separate"/>
      </w:r>
      <w:r>
        <w:rPr>
          <w:rFonts w:hint="eastAsia" w:cs="宋体" w:asciiTheme="majorEastAsia" w:hAnsiTheme="majorEastAsia" w:eastAsiaTheme="majorEastAsia"/>
          <w:b/>
          <w:bCs/>
          <w:color w:val="auto"/>
          <w:sz w:val="28"/>
          <w:szCs w:val="28"/>
        </w:rPr>
        <w:t>第三章  评审方法</w:t>
      </w:r>
      <w:r>
        <w:rPr>
          <w:b/>
          <w:bCs/>
          <w:color w:val="auto"/>
          <w:sz w:val="28"/>
          <w:szCs w:val="28"/>
        </w:rPr>
        <w:tab/>
      </w:r>
      <w:r>
        <w:rPr>
          <w:b/>
          <w:bCs/>
          <w:color w:val="auto"/>
          <w:sz w:val="28"/>
          <w:szCs w:val="28"/>
        </w:rPr>
        <w:fldChar w:fldCharType="begin"/>
      </w:r>
      <w:r>
        <w:rPr>
          <w:b/>
          <w:bCs/>
          <w:color w:val="auto"/>
          <w:sz w:val="28"/>
          <w:szCs w:val="28"/>
        </w:rPr>
        <w:instrText xml:space="preserve"> PAGEREF _Toc15441 </w:instrText>
      </w:r>
      <w:r>
        <w:rPr>
          <w:b/>
          <w:bCs/>
          <w:color w:val="auto"/>
          <w:sz w:val="28"/>
          <w:szCs w:val="28"/>
        </w:rPr>
        <w:fldChar w:fldCharType="separate"/>
      </w:r>
      <w:r>
        <w:rPr>
          <w:b/>
          <w:bCs/>
          <w:color w:val="auto"/>
          <w:sz w:val="28"/>
          <w:szCs w:val="28"/>
        </w:rPr>
        <w:t>10</w:t>
      </w:r>
      <w:r>
        <w:rPr>
          <w:b/>
          <w:bCs/>
          <w:color w:val="auto"/>
          <w:sz w:val="28"/>
          <w:szCs w:val="28"/>
        </w:rPr>
        <w:fldChar w:fldCharType="end"/>
      </w:r>
      <w:r>
        <w:rPr>
          <w:b/>
          <w:bCs/>
          <w:color w:val="auto"/>
          <w:sz w:val="28"/>
          <w:szCs w:val="28"/>
        </w:rPr>
        <w:fldChar w:fldCharType="end"/>
      </w:r>
    </w:p>
    <w:p>
      <w:pPr>
        <w:pStyle w:val="20"/>
        <w:tabs>
          <w:tab w:val="right" w:leader="dot" w:pos="9746"/>
        </w:tabs>
        <w:rPr>
          <w:b/>
          <w:bCs/>
          <w:color w:val="auto"/>
          <w:sz w:val="28"/>
          <w:szCs w:val="28"/>
        </w:rPr>
      </w:pPr>
      <w:r>
        <w:rPr>
          <w:color w:val="auto"/>
        </w:rPr>
        <w:fldChar w:fldCharType="begin"/>
      </w:r>
      <w:r>
        <w:rPr>
          <w:color w:val="auto"/>
        </w:rPr>
        <w:instrText xml:space="preserve"> HYPERLINK \l "_Toc21677" </w:instrText>
      </w:r>
      <w:r>
        <w:rPr>
          <w:color w:val="auto"/>
        </w:rPr>
        <w:fldChar w:fldCharType="separate"/>
      </w:r>
      <w:r>
        <w:rPr>
          <w:rFonts w:cs="宋体" w:asciiTheme="majorEastAsia" w:hAnsiTheme="majorEastAsia" w:eastAsiaTheme="majorEastAsia"/>
          <w:b/>
          <w:bCs/>
          <w:color w:val="auto"/>
          <w:sz w:val="28"/>
          <w:szCs w:val="28"/>
        </w:rPr>
        <w:t>第四章  投标人须知</w:t>
      </w:r>
      <w:r>
        <w:rPr>
          <w:b/>
          <w:bCs/>
          <w:color w:val="auto"/>
          <w:sz w:val="28"/>
          <w:szCs w:val="28"/>
        </w:rPr>
        <w:tab/>
      </w:r>
      <w:r>
        <w:rPr>
          <w:b/>
          <w:bCs/>
          <w:color w:val="auto"/>
          <w:sz w:val="28"/>
          <w:szCs w:val="28"/>
        </w:rPr>
        <w:fldChar w:fldCharType="begin"/>
      </w:r>
      <w:r>
        <w:rPr>
          <w:b/>
          <w:bCs/>
          <w:color w:val="auto"/>
          <w:sz w:val="28"/>
          <w:szCs w:val="28"/>
        </w:rPr>
        <w:instrText xml:space="preserve"> PAGEREF _Toc21677 </w:instrText>
      </w:r>
      <w:r>
        <w:rPr>
          <w:b/>
          <w:bCs/>
          <w:color w:val="auto"/>
          <w:sz w:val="28"/>
          <w:szCs w:val="28"/>
        </w:rPr>
        <w:fldChar w:fldCharType="separate"/>
      </w:r>
      <w:r>
        <w:rPr>
          <w:b/>
          <w:bCs/>
          <w:color w:val="auto"/>
          <w:sz w:val="28"/>
          <w:szCs w:val="28"/>
        </w:rPr>
        <w:t>14</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"_Toc31042" </w:instrText>
      </w:r>
      <w:r>
        <w:rPr>
          <w:color w:val="auto"/>
        </w:rPr>
        <w:fldChar w:fldCharType="separate"/>
      </w:r>
      <w:r>
        <w:rPr>
          <w:rFonts w:cs="宋体" w:asciiTheme="majorEastAsia" w:hAnsiTheme="majorEastAsia" w:eastAsiaTheme="majorEastAsia"/>
          <w:b/>
          <w:bCs/>
          <w:color w:val="auto"/>
          <w:sz w:val="28"/>
          <w:szCs w:val="28"/>
        </w:rPr>
        <w:t>一    总则</w:t>
      </w:r>
      <w:r>
        <w:rPr>
          <w:b/>
          <w:bCs/>
          <w:color w:val="auto"/>
          <w:sz w:val="28"/>
          <w:szCs w:val="28"/>
        </w:rPr>
        <w:tab/>
      </w:r>
      <w:r>
        <w:rPr>
          <w:b/>
          <w:bCs/>
          <w:color w:val="auto"/>
          <w:sz w:val="28"/>
          <w:szCs w:val="28"/>
        </w:rPr>
        <w:fldChar w:fldCharType="begin"/>
      </w:r>
      <w:r>
        <w:rPr>
          <w:b/>
          <w:bCs/>
          <w:color w:val="auto"/>
          <w:sz w:val="28"/>
          <w:szCs w:val="28"/>
        </w:rPr>
        <w:instrText xml:space="preserve"> PAGEREF _Toc31042 </w:instrText>
      </w:r>
      <w:r>
        <w:rPr>
          <w:b/>
          <w:bCs/>
          <w:color w:val="auto"/>
          <w:sz w:val="28"/>
          <w:szCs w:val="28"/>
        </w:rPr>
        <w:fldChar w:fldCharType="separate"/>
      </w:r>
      <w:r>
        <w:rPr>
          <w:b/>
          <w:bCs/>
          <w:color w:val="auto"/>
          <w:sz w:val="28"/>
          <w:szCs w:val="28"/>
        </w:rPr>
        <w:t>17</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"_Toc22582" </w:instrText>
      </w:r>
      <w:r>
        <w:rPr>
          <w:color w:val="auto"/>
        </w:rPr>
        <w:fldChar w:fldCharType="separate"/>
      </w:r>
      <w:r>
        <w:rPr>
          <w:rFonts w:cs="宋体" w:asciiTheme="majorEastAsia" w:hAnsiTheme="majorEastAsia" w:eastAsiaTheme="majorEastAsia"/>
          <w:b/>
          <w:bCs/>
          <w:color w:val="auto"/>
          <w:sz w:val="28"/>
          <w:szCs w:val="28"/>
        </w:rPr>
        <w:t>二    公开招标文件</w:t>
      </w:r>
      <w:r>
        <w:rPr>
          <w:b/>
          <w:bCs/>
          <w:color w:val="auto"/>
          <w:sz w:val="28"/>
          <w:szCs w:val="28"/>
        </w:rPr>
        <w:tab/>
      </w:r>
      <w:r>
        <w:rPr>
          <w:b/>
          <w:bCs/>
          <w:color w:val="auto"/>
          <w:sz w:val="28"/>
          <w:szCs w:val="28"/>
        </w:rPr>
        <w:fldChar w:fldCharType="begin"/>
      </w:r>
      <w:r>
        <w:rPr>
          <w:b/>
          <w:bCs/>
          <w:color w:val="auto"/>
          <w:sz w:val="28"/>
          <w:szCs w:val="28"/>
        </w:rPr>
        <w:instrText xml:space="preserve"> PAGEREF _Toc22582 </w:instrText>
      </w:r>
      <w:r>
        <w:rPr>
          <w:b/>
          <w:bCs/>
          <w:color w:val="auto"/>
          <w:sz w:val="28"/>
          <w:szCs w:val="28"/>
        </w:rPr>
        <w:fldChar w:fldCharType="separate"/>
      </w:r>
      <w:r>
        <w:rPr>
          <w:b/>
          <w:bCs/>
          <w:color w:val="auto"/>
          <w:sz w:val="28"/>
          <w:szCs w:val="28"/>
        </w:rPr>
        <w:t>20</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"_Toc21555" </w:instrText>
      </w:r>
      <w:r>
        <w:rPr>
          <w:color w:val="auto"/>
        </w:rPr>
        <w:fldChar w:fldCharType="separate"/>
      </w:r>
      <w:r>
        <w:rPr>
          <w:rFonts w:cs="宋体" w:asciiTheme="majorEastAsia" w:hAnsiTheme="majorEastAsia" w:eastAsiaTheme="majorEastAsia"/>
          <w:b/>
          <w:bCs/>
          <w:color w:val="auto"/>
          <w:sz w:val="28"/>
          <w:szCs w:val="28"/>
        </w:rPr>
        <w:t>三    投标文件</w:t>
      </w:r>
      <w:r>
        <w:rPr>
          <w:b/>
          <w:bCs/>
          <w:color w:val="auto"/>
          <w:sz w:val="28"/>
          <w:szCs w:val="28"/>
        </w:rPr>
        <w:tab/>
      </w:r>
      <w:r>
        <w:rPr>
          <w:b/>
          <w:bCs/>
          <w:color w:val="auto"/>
          <w:sz w:val="28"/>
          <w:szCs w:val="28"/>
        </w:rPr>
        <w:fldChar w:fldCharType="begin"/>
      </w:r>
      <w:r>
        <w:rPr>
          <w:b/>
          <w:bCs/>
          <w:color w:val="auto"/>
          <w:sz w:val="28"/>
          <w:szCs w:val="28"/>
        </w:rPr>
        <w:instrText xml:space="preserve"> PAGEREF _Toc21555 </w:instrText>
      </w:r>
      <w:r>
        <w:rPr>
          <w:b/>
          <w:bCs/>
          <w:color w:val="auto"/>
          <w:sz w:val="28"/>
          <w:szCs w:val="28"/>
        </w:rPr>
        <w:fldChar w:fldCharType="separate"/>
      </w:r>
      <w:r>
        <w:rPr>
          <w:b/>
          <w:bCs/>
          <w:color w:val="auto"/>
          <w:sz w:val="28"/>
          <w:szCs w:val="28"/>
        </w:rPr>
        <w:t>21</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"_Toc22758" </w:instrText>
      </w:r>
      <w:r>
        <w:rPr>
          <w:color w:val="auto"/>
        </w:rPr>
        <w:fldChar w:fldCharType="separate"/>
      </w:r>
      <w:r>
        <w:rPr>
          <w:rFonts w:cs="宋体" w:asciiTheme="majorEastAsia" w:hAnsiTheme="majorEastAsia" w:eastAsiaTheme="majorEastAsia"/>
          <w:b/>
          <w:bCs/>
          <w:color w:val="auto"/>
          <w:sz w:val="28"/>
          <w:szCs w:val="28"/>
        </w:rPr>
        <w:t>四    投标</w:t>
      </w:r>
      <w:r>
        <w:rPr>
          <w:b/>
          <w:bCs/>
          <w:color w:val="auto"/>
          <w:sz w:val="28"/>
          <w:szCs w:val="28"/>
        </w:rPr>
        <w:tab/>
      </w:r>
      <w:r>
        <w:rPr>
          <w:b/>
          <w:bCs/>
          <w:color w:val="auto"/>
          <w:sz w:val="28"/>
          <w:szCs w:val="28"/>
        </w:rPr>
        <w:fldChar w:fldCharType="begin"/>
      </w:r>
      <w:r>
        <w:rPr>
          <w:b/>
          <w:bCs/>
          <w:color w:val="auto"/>
          <w:sz w:val="28"/>
          <w:szCs w:val="28"/>
        </w:rPr>
        <w:instrText xml:space="preserve"> PAGEREF _Toc22758 </w:instrText>
      </w:r>
      <w:r>
        <w:rPr>
          <w:b/>
          <w:bCs/>
          <w:color w:val="auto"/>
          <w:sz w:val="28"/>
          <w:szCs w:val="28"/>
        </w:rPr>
        <w:fldChar w:fldCharType="separate"/>
      </w:r>
      <w:r>
        <w:rPr>
          <w:b/>
          <w:bCs/>
          <w:color w:val="auto"/>
          <w:sz w:val="28"/>
          <w:szCs w:val="28"/>
        </w:rPr>
        <w:t>25</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"_Toc22331" </w:instrText>
      </w:r>
      <w:r>
        <w:rPr>
          <w:color w:val="auto"/>
        </w:rPr>
        <w:fldChar w:fldCharType="separate"/>
      </w:r>
      <w:r>
        <w:rPr>
          <w:rFonts w:cs="宋体" w:asciiTheme="majorEastAsia" w:hAnsiTheme="majorEastAsia" w:eastAsiaTheme="majorEastAsia"/>
          <w:b/>
          <w:bCs/>
          <w:color w:val="auto"/>
          <w:sz w:val="28"/>
          <w:szCs w:val="28"/>
        </w:rPr>
        <w:t>五  开标、资格审查与评标</w:t>
      </w:r>
      <w:r>
        <w:rPr>
          <w:b/>
          <w:bCs/>
          <w:color w:val="auto"/>
          <w:sz w:val="28"/>
          <w:szCs w:val="28"/>
        </w:rPr>
        <w:tab/>
      </w:r>
      <w:r>
        <w:rPr>
          <w:b/>
          <w:bCs/>
          <w:color w:val="auto"/>
          <w:sz w:val="28"/>
          <w:szCs w:val="28"/>
        </w:rPr>
        <w:fldChar w:fldCharType="begin"/>
      </w:r>
      <w:r>
        <w:rPr>
          <w:b/>
          <w:bCs/>
          <w:color w:val="auto"/>
          <w:sz w:val="28"/>
          <w:szCs w:val="28"/>
        </w:rPr>
        <w:instrText xml:space="preserve"> PAGEREF _Toc22331 </w:instrText>
      </w:r>
      <w:r>
        <w:rPr>
          <w:b/>
          <w:bCs/>
          <w:color w:val="auto"/>
          <w:sz w:val="28"/>
          <w:szCs w:val="28"/>
        </w:rPr>
        <w:fldChar w:fldCharType="separate"/>
      </w:r>
      <w:r>
        <w:rPr>
          <w:b/>
          <w:bCs/>
          <w:color w:val="auto"/>
          <w:sz w:val="28"/>
          <w:szCs w:val="28"/>
        </w:rPr>
        <w:t>26</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"_Toc5023" </w:instrText>
      </w:r>
      <w:r>
        <w:rPr>
          <w:color w:val="auto"/>
        </w:rPr>
        <w:fldChar w:fldCharType="separate"/>
      </w:r>
      <w:r>
        <w:rPr>
          <w:rFonts w:cs="宋体" w:asciiTheme="majorEastAsia" w:hAnsiTheme="majorEastAsia" w:eastAsiaTheme="majorEastAsia"/>
          <w:b/>
          <w:bCs/>
          <w:color w:val="auto"/>
          <w:sz w:val="28"/>
          <w:szCs w:val="28"/>
        </w:rPr>
        <w:t>六    合同授予</w:t>
      </w:r>
      <w:r>
        <w:rPr>
          <w:b/>
          <w:bCs/>
          <w:color w:val="auto"/>
          <w:sz w:val="28"/>
          <w:szCs w:val="28"/>
        </w:rPr>
        <w:tab/>
      </w:r>
      <w:r>
        <w:rPr>
          <w:b/>
          <w:bCs/>
          <w:color w:val="auto"/>
          <w:sz w:val="28"/>
          <w:szCs w:val="28"/>
        </w:rPr>
        <w:fldChar w:fldCharType="begin"/>
      </w:r>
      <w:r>
        <w:rPr>
          <w:b/>
          <w:bCs/>
          <w:color w:val="auto"/>
          <w:sz w:val="28"/>
          <w:szCs w:val="28"/>
        </w:rPr>
        <w:instrText xml:space="preserve"> PAGEREF _Toc5023 </w:instrText>
      </w:r>
      <w:r>
        <w:rPr>
          <w:b/>
          <w:bCs/>
          <w:color w:val="auto"/>
          <w:sz w:val="28"/>
          <w:szCs w:val="28"/>
        </w:rPr>
        <w:fldChar w:fldCharType="separate"/>
      </w:r>
      <w:r>
        <w:rPr>
          <w:b/>
          <w:bCs/>
          <w:color w:val="auto"/>
          <w:sz w:val="28"/>
          <w:szCs w:val="28"/>
        </w:rPr>
        <w:t>30</w:t>
      </w:r>
      <w:r>
        <w:rPr>
          <w:b/>
          <w:bCs/>
          <w:color w:val="auto"/>
          <w:sz w:val="28"/>
          <w:szCs w:val="28"/>
        </w:rPr>
        <w:fldChar w:fldCharType="end"/>
      </w:r>
      <w:r>
        <w:rPr>
          <w:b/>
          <w:bCs/>
          <w:color w:val="auto"/>
          <w:sz w:val="28"/>
          <w:szCs w:val="28"/>
        </w:rPr>
        <w:fldChar w:fldCharType="end"/>
      </w:r>
    </w:p>
    <w:p>
      <w:pPr>
        <w:pStyle w:val="21"/>
        <w:tabs>
          <w:tab w:val="right" w:leader="dot" w:pos="9746"/>
        </w:tabs>
        <w:ind w:left="440"/>
        <w:rPr>
          <w:b/>
          <w:bCs/>
          <w:color w:val="auto"/>
          <w:sz w:val="28"/>
          <w:szCs w:val="28"/>
        </w:rPr>
      </w:pPr>
      <w:r>
        <w:rPr>
          <w:color w:val="auto"/>
        </w:rPr>
        <w:fldChar w:fldCharType="begin"/>
      </w:r>
      <w:r>
        <w:rPr>
          <w:color w:val="auto"/>
        </w:rPr>
        <w:instrText xml:space="preserve"> HYPERLINK \l "_Toc25150" </w:instrText>
      </w:r>
      <w:r>
        <w:rPr>
          <w:color w:val="auto"/>
        </w:rPr>
        <w:fldChar w:fldCharType="separate"/>
      </w:r>
      <w:r>
        <w:rPr>
          <w:rFonts w:cs="宋体" w:asciiTheme="majorEastAsia" w:hAnsiTheme="majorEastAsia" w:eastAsiaTheme="majorEastAsia"/>
          <w:b/>
          <w:bCs/>
          <w:color w:val="auto"/>
          <w:sz w:val="28"/>
          <w:szCs w:val="28"/>
        </w:rPr>
        <w:t>七    其他事项</w:t>
      </w:r>
      <w:r>
        <w:rPr>
          <w:b/>
          <w:bCs/>
          <w:color w:val="auto"/>
          <w:sz w:val="28"/>
          <w:szCs w:val="28"/>
        </w:rPr>
        <w:tab/>
      </w:r>
      <w:r>
        <w:rPr>
          <w:b/>
          <w:bCs/>
          <w:color w:val="auto"/>
          <w:sz w:val="28"/>
          <w:szCs w:val="28"/>
        </w:rPr>
        <w:fldChar w:fldCharType="begin"/>
      </w:r>
      <w:r>
        <w:rPr>
          <w:b/>
          <w:bCs/>
          <w:color w:val="auto"/>
          <w:sz w:val="28"/>
          <w:szCs w:val="28"/>
        </w:rPr>
        <w:instrText xml:space="preserve"> PAGEREF _Toc25150 </w:instrText>
      </w:r>
      <w:r>
        <w:rPr>
          <w:b/>
          <w:bCs/>
          <w:color w:val="auto"/>
          <w:sz w:val="28"/>
          <w:szCs w:val="28"/>
        </w:rPr>
        <w:fldChar w:fldCharType="separate"/>
      </w:r>
      <w:r>
        <w:rPr>
          <w:b/>
          <w:bCs/>
          <w:color w:val="auto"/>
          <w:sz w:val="28"/>
          <w:szCs w:val="28"/>
        </w:rPr>
        <w:t>31</w:t>
      </w:r>
      <w:r>
        <w:rPr>
          <w:b/>
          <w:bCs/>
          <w:color w:val="auto"/>
          <w:sz w:val="28"/>
          <w:szCs w:val="28"/>
        </w:rPr>
        <w:fldChar w:fldCharType="end"/>
      </w:r>
      <w:r>
        <w:rPr>
          <w:b/>
          <w:bCs/>
          <w:color w:val="auto"/>
          <w:sz w:val="28"/>
          <w:szCs w:val="28"/>
        </w:rPr>
        <w:fldChar w:fldCharType="end"/>
      </w:r>
    </w:p>
    <w:p>
      <w:pPr>
        <w:pStyle w:val="20"/>
        <w:tabs>
          <w:tab w:val="right" w:leader="dot" w:pos="9746"/>
        </w:tabs>
        <w:rPr>
          <w:b/>
          <w:bCs/>
          <w:color w:val="auto"/>
          <w:sz w:val="28"/>
          <w:szCs w:val="28"/>
        </w:rPr>
      </w:pPr>
      <w:r>
        <w:rPr>
          <w:color w:val="auto"/>
        </w:rPr>
        <w:fldChar w:fldCharType="begin"/>
      </w:r>
      <w:r>
        <w:rPr>
          <w:color w:val="auto"/>
        </w:rPr>
        <w:instrText xml:space="preserve"> HYPERLINK \l "_Toc11569" </w:instrText>
      </w:r>
      <w:r>
        <w:rPr>
          <w:color w:val="auto"/>
        </w:rPr>
        <w:fldChar w:fldCharType="separate"/>
      </w:r>
      <w:r>
        <w:rPr>
          <w:rFonts w:cs="宋体" w:asciiTheme="majorEastAsia" w:hAnsiTheme="majorEastAsia" w:eastAsiaTheme="majorEastAsia"/>
          <w:b/>
          <w:bCs/>
          <w:color w:val="auto"/>
          <w:sz w:val="28"/>
          <w:szCs w:val="28"/>
        </w:rPr>
        <w:t>第五章  投标文件格式</w:t>
      </w:r>
      <w:r>
        <w:rPr>
          <w:b/>
          <w:bCs/>
          <w:color w:val="auto"/>
          <w:sz w:val="28"/>
          <w:szCs w:val="28"/>
        </w:rPr>
        <w:tab/>
      </w:r>
      <w:r>
        <w:rPr>
          <w:b/>
          <w:bCs/>
          <w:color w:val="auto"/>
          <w:sz w:val="28"/>
          <w:szCs w:val="28"/>
        </w:rPr>
        <w:fldChar w:fldCharType="begin"/>
      </w:r>
      <w:r>
        <w:rPr>
          <w:b/>
          <w:bCs/>
          <w:color w:val="auto"/>
          <w:sz w:val="28"/>
          <w:szCs w:val="28"/>
        </w:rPr>
        <w:instrText xml:space="preserve"> PAGEREF _Toc11569 </w:instrText>
      </w:r>
      <w:r>
        <w:rPr>
          <w:b/>
          <w:bCs/>
          <w:color w:val="auto"/>
          <w:sz w:val="28"/>
          <w:szCs w:val="28"/>
        </w:rPr>
        <w:fldChar w:fldCharType="separate"/>
      </w:r>
      <w:r>
        <w:rPr>
          <w:b/>
          <w:bCs/>
          <w:color w:val="auto"/>
          <w:sz w:val="28"/>
          <w:szCs w:val="28"/>
        </w:rPr>
        <w:t>33</w:t>
      </w:r>
      <w:r>
        <w:rPr>
          <w:b/>
          <w:bCs/>
          <w:color w:val="auto"/>
          <w:sz w:val="28"/>
          <w:szCs w:val="28"/>
        </w:rPr>
        <w:fldChar w:fldCharType="end"/>
      </w:r>
      <w:r>
        <w:rPr>
          <w:b/>
          <w:bCs/>
          <w:color w:val="auto"/>
          <w:sz w:val="28"/>
          <w:szCs w:val="28"/>
        </w:rPr>
        <w:fldChar w:fldCharType="end"/>
      </w:r>
    </w:p>
    <w:p>
      <w:pPr>
        <w:pStyle w:val="20"/>
        <w:tabs>
          <w:tab w:val="right" w:leader="dot" w:pos="9746"/>
        </w:tabs>
        <w:rPr>
          <w:color w:val="auto"/>
          <w:sz w:val="28"/>
          <w:szCs w:val="28"/>
        </w:rPr>
      </w:pPr>
      <w:r>
        <w:rPr>
          <w:color w:val="auto"/>
        </w:rPr>
        <w:fldChar w:fldCharType="begin"/>
      </w:r>
      <w:r>
        <w:rPr>
          <w:color w:val="auto"/>
        </w:rPr>
        <w:instrText xml:space="preserve"> HYPERLINK \l "_Toc8537" </w:instrText>
      </w:r>
      <w:r>
        <w:rPr>
          <w:color w:val="auto"/>
        </w:rPr>
        <w:fldChar w:fldCharType="separate"/>
      </w:r>
      <w:r>
        <w:rPr>
          <w:rFonts w:cs="宋体" w:asciiTheme="majorEastAsia" w:hAnsiTheme="majorEastAsia" w:eastAsiaTheme="majorEastAsia"/>
          <w:b/>
          <w:bCs/>
          <w:color w:val="auto"/>
          <w:sz w:val="28"/>
          <w:szCs w:val="28"/>
        </w:rPr>
        <w:t>第六章  合同条款及格式</w:t>
      </w:r>
      <w:r>
        <w:rPr>
          <w:b/>
          <w:bCs/>
          <w:color w:val="auto"/>
          <w:sz w:val="28"/>
          <w:szCs w:val="28"/>
        </w:rPr>
        <w:tab/>
      </w:r>
      <w:r>
        <w:rPr>
          <w:b/>
          <w:bCs/>
          <w:color w:val="auto"/>
          <w:sz w:val="28"/>
          <w:szCs w:val="28"/>
        </w:rPr>
        <w:fldChar w:fldCharType="begin"/>
      </w:r>
      <w:r>
        <w:rPr>
          <w:b/>
          <w:bCs/>
          <w:color w:val="auto"/>
          <w:sz w:val="28"/>
          <w:szCs w:val="28"/>
        </w:rPr>
        <w:instrText xml:space="preserve"> PAGEREF _Toc8537 </w:instrText>
      </w:r>
      <w:r>
        <w:rPr>
          <w:b/>
          <w:bCs/>
          <w:color w:val="auto"/>
          <w:sz w:val="28"/>
          <w:szCs w:val="28"/>
        </w:rPr>
        <w:fldChar w:fldCharType="separate"/>
      </w:r>
      <w:r>
        <w:rPr>
          <w:b/>
          <w:bCs/>
          <w:color w:val="auto"/>
          <w:sz w:val="28"/>
          <w:szCs w:val="28"/>
        </w:rPr>
        <w:t>46</w:t>
      </w:r>
      <w:r>
        <w:rPr>
          <w:b/>
          <w:bCs/>
          <w:color w:val="auto"/>
          <w:sz w:val="28"/>
          <w:szCs w:val="28"/>
        </w:rPr>
        <w:fldChar w:fldCharType="end"/>
      </w:r>
      <w:r>
        <w:rPr>
          <w:b/>
          <w:bCs/>
          <w:color w:val="auto"/>
          <w:sz w:val="28"/>
          <w:szCs w:val="28"/>
        </w:rPr>
        <w:fldChar w:fldCharType="end"/>
      </w:r>
    </w:p>
    <w:p>
      <w:pPr>
        <w:pStyle w:val="64"/>
        <w:tabs>
          <w:tab w:val="right" w:leader="dot" w:pos="9660"/>
        </w:tabs>
        <w:spacing w:before="0" w:after="0" w:line="600" w:lineRule="exact"/>
        <w:rPr>
          <w:rFonts w:cs="宋体" w:asciiTheme="majorEastAsia" w:hAnsiTheme="majorEastAsia" w:eastAsiaTheme="majorEastAsia"/>
          <w:b w:val="0"/>
          <w:bCs w:val="0"/>
          <w:caps w:val="0"/>
          <w:color w:val="auto"/>
          <w:sz w:val="28"/>
          <w:szCs w:val="28"/>
        </w:rPr>
      </w:pPr>
      <w:r>
        <w:rPr>
          <w:rFonts w:hint="eastAsia" w:cs="宋体" w:asciiTheme="majorEastAsia" w:hAnsiTheme="majorEastAsia" w:eastAsiaTheme="majorEastAsia"/>
          <w:color w:val="auto"/>
          <w:sz w:val="28"/>
          <w:szCs w:val="28"/>
        </w:rPr>
        <w:fldChar w:fldCharType="end"/>
      </w:r>
      <w:bookmarkStart w:id="0" w:name="_Toc213206171"/>
      <w:bookmarkStart w:id="1" w:name="_Toc139966433"/>
      <w:bookmarkStart w:id="2" w:name="_Toc139967217"/>
      <w:bookmarkStart w:id="3" w:name="_Toc213325920"/>
      <w:bookmarkStart w:id="4" w:name="_Toc139967210"/>
      <w:bookmarkStart w:id="5" w:name="_Toc139966426"/>
    </w:p>
    <w:p>
      <w:pPr>
        <w:pStyle w:val="16"/>
        <w:jc w:val="center"/>
        <w:rPr>
          <w:rFonts w:cs="宋体" w:asciiTheme="majorEastAsia" w:hAnsiTheme="majorEastAsia" w:eastAsiaTheme="majorEastAsia"/>
          <w:b/>
          <w:bCs/>
          <w:caps/>
          <w:color w:val="auto"/>
          <w:sz w:val="28"/>
          <w:szCs w:val="28"/>
        </w:rPr>
      </w:pPr>
    </w:p>
    <w:p>
      <w:pPr>
        <w:pStyle w:val="65"/>
        <w:widowControl w:val="0"/>
        <w:numPr>
          <w:ilvl w:val="255"/>
          <w:numId w:val="0"/>
        </w:numPr>
        <w:spacing w:after="156" w:line="500" w:lineRule="exact"/>
        <w:outlineLvl w:val="0"/>
        <w:rPr>
          <w:rFonts w:cs="宋体" w:asciiTheme="majorEastAsia" w:hAnsiTheme="majorEastAsia" w:eastAsiaTheme="majorEastAsia"/>
          <w:b/>
          <w:bCs/>
          <w:caps/>
          <w:color w:val="auto"/>
          <w:sz w:val="28"/>
          <w:szCs w:val="28"/>
        </w:rPr>
        <w:sectPr>
          <w:footerReference r:id="rId12" w:type="first"/>
          <w:footerReference r:id="rId11" w:type="default"/>
          <w:pgSz w:w="11906" w:h="16838"/>
          <w:pgMar w:top="1440" w:right="1080" w:bottom="1440" w:left="1080" w:header="851" w:footer="907" w:gutter="0"/>
          <w:pgNumType w:start="1"/>
          <w:cols w:space="720" w:num="1"/>
          <w:titlePg/>
          <w:docGrid w:type="lines" w:linePitch="312" w:charSpace="0"/>
        </w:sectPr>
      </w:pPr>
    </w:p>
    <w:p>
      <w:pPr>
        <w:pStyle w:val="65"/>
        <w:widowControl w:val="0"/>
        <w:numPr>
          <w:ilvl w:val="255"/>
          <w:numId w:val="0"/>
        </w:numPr>
        <w:spacing w:after="156" w:line="500" w:lineRule="exact"/>
        <w:jc w:val="center"/>
        <w:outlineLvl w:val="0"/>
        <w:rPr>
          <w:rFonts w:cs="宋体" w:asciiTheme="majorEastAsia" w:hAnsiTheme="majorEastAsia" w:eastAsiaTheme="majorEastAsia"/>
          <w:b/>
          <w:color w:val="auto"/>
          <w:sz w:val="36"/>
        </w:rPr>
      </w:pPr>
      <w:bookmarkStart w:id="6" w:name="_Toc8764"/>
      <w:r>
        <w:rPr>
          <w:rFonts w:hint="eastAsia" w:cs="宋体" w:asciiTheme="majorEastAsia" w:hAnsiTheme="majorEastAsia" w:eastAsiaTheme="majorEastAsia"/>
          <w:b/>
          <w:color w:val="auto"/>
          <w:sz w:val="36"/>
        </w:rPr>
        <w:t>第一章</w:t>
      </w:r>
      <w:bookmarkStart w:id="7" w:name="_Toc452363802"/>
      <w:r>
        <w:rPr>
          <w:rFonts w:hint="eastAsia" w:cs="宋体" w:asciiTheme="majorEastAsia" w:hAnsiTheme="majorEastAsia" w:eastAsiaTheme="majorEastAsia"/>
          <w:b/>
          <w:color w:val="auto"/>
          <w:sz w:val="36"/>
        </w:rPr>
        <w:t xml:space="preserve"> 公告</w:t>
      </w:r>
      <w:bookmarkEnd w:id="0"/>
      <w:bookmarkEnd w:id="1"/>
      <w:bookmarkEnd w:id="2"/>
      <w:bookmarkEnd w:id="3"/>
      <w:bookmarkEnd w:id="6"/>
      <w:bookmarkEnd w:id="7"/>
    </w:p>
    <w:p>
      <w:pPr>
        <w:pStyle w:val="65"/>
        <w:widowControl w:val="0"/>
        <w:spacing w:after="156" w:line="500" w:lineRule="exact"/>
        <w:ind w:firstLine="0" w:firstLineChars="0"/>
        <w:jc w:val="center"/>
        <w:rPr>
          <w:rFonts w:cs="宋体" w:asciiTheme="majorEastAsia" w:hAnsiTheme="majorEastAsia" w:eastAsiaTheme="majorEastAsia"/>
          <w:b/>
          <w:color w:val="auto"/>
          <w:sz w:val="36"/>
        </w:rPr>
      </w:pPr>
      <w:r>
        <w:rPr>
          <w:rFonts w:hint="eastAsia" w:cs="宋体" w:asciiTheme="majorEastAsia" w:hAnsiTheme="majorEastAsia" w:eastAsiaTheme="majorEastAsia"/>
          <w:b/>
          <w:color w:val="auto"/>
          <w:sz w:val="36"/>
        </w:rPr>
        <w:t>公开招标公告</w:t>
      </w:r>
    </w:p>
    <w:tbl>
      <w:tblPr>
        <w:tblStyle w:val="2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22"/>
              <w:spacing w:before="75" w:beforeAutospacing="0" w:after="75" w:afterAutospacing="0" w:line="400" w:lineRule="exact"/>
              <w:rPr>
                <w:rFonts w:asciiTheme="majorEastAsia" w:hAnsiTheme="majorEastAsia" w:eastAsiaTheme="majorEastAsia"/>
                <w:color w:val="auto"/>
              </w:rPr>
            </w:pPr>
            <w:bookmarkStart w:id="8" w:name="_Toc450053769"/>
            <w:bookmarkStart w:id="9" w:name="_Toc139966431"/>
            <w:bookmarkStart w:id="10" w:name="_Toc139967215"/>
            <w:bookmarkStart w:id="11" w:name="_Toc213206172"/>
            <w:bookmarkStart w:id="12" w:name="_Toc213325921"/>
            <w:r>
              <w:rPr>
                <w:rFonts w:hint="eastAsia" w:asciiTheme="majorEastAsia" w:hAnsiTheme="majorEastAsia" w:eastAsiaTheme="majorEastAsia"/>
                <w:color w:val="auto"/>
              </w:rPr>
              <w:t>项目概况:</w:t>
            </w:r>
          </w:p>
          <w:p>
            <w:pPr>
              <w:pStyle w:val="22"/>
              <w:wordWrap w:val="0"/>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u w:val="single"/>
                <w:lang w:eastAsia="zh-CN"/>
              </w:rPr>
              <w:t>金保工程网络安全协同防御体系二期建设</w:t>
            </w:r>
            <w:r>
              <w:rPr>
                <w:rFonts w:hint="eastAsia" w:asciiTheme="majorEastAsia" w:hAnsiTheme="majorEastAsia" w:eastAsiaTheme="majorEastAsia"/>
                <w:color w:val="auto"/>
                <w:u w:val="single"/>
              </w:rPr>
              <w:t>（项目编号：</w:t>
            </w:r>
            <w:r>
              <w:rPr>
                <w:rFonts w:hint="eastAsia" w:asciiTheme="majorEastAsia" w:hAnsiTheme="majorEastAsia" w:eastAsiaTheme="majorEastAsia"/>
                <w:color w:val="auto"/>
                <w:u w:val="single"/>
                <w:lang w:eastAsia="zh-CN"/>
              </w:rPr>
              <w:t>NNZC2020-G3-990092-GXYZ</w:t>
            </w:r>
            <w:r>
              <w:rPr>
                <w:rFonts w:hint="eastAsia" w:asciiTheme="majorEastAsia" w:hAnsiTheme="majorEastAsia" w:eastAsiaTheme="majorEastAsia"/>
                <w:color w:val="auto"/>
                <w:u w:val="single"/>
              </w:rPr>
              <w:t>）</w:t>
            </w:r>
            <w:r>
              <w:rPr>
                <w:rFonts w:hint="eastAsia" w:asciiTheme="majorEastAsia" w:hAnsiTheme="majorEastAsia" w:eastAsiaTheme="majorEastAsia"/>
                <w:color w:val="auto"/>
              </w:rPr>
              <w:t>采购项目的潜在投标人应在</w:t>
            </w:r>
            <w:r>
              <w:rPr>
                <w:rFonts w:hint="eastAsia" w:asciiTheme="majorEastAsia" w:hAnsiTheme="majorEastAsia" w:eastAsiaTheme="majorEastAsia"/>
                <w:color w:val="auto"/>
                <w:u w:val="single"/>
              </w:rPr>
              <w:t>南宁市公共资源交易平台(https://www.nnggzy.org.cn/gxnnhy)</w:t>
            </w:r>
            <w:r>
              <w:rPr>
                <w:rFonts w:hint="eastAsia" w:asciiTheme="majorEastAsia" w:hAnsiTheme="majorEastAsia" w:eastAsiaTheme="majorEastAsia"/>
                <w:color w:val="auto"/>
              </w:rPr>
              <w:t>的信息公告处自行下载获取本项目招标文件，并于</w:t>
            </w:r>
            <w:r>
              <w:rPr>
                <w:rFonts w:hint="eastAsia" w:asciiTheme="majorEastAsia" w:hAnsiTheme="majorEastAsia" w:eastAsiaTheme="majorEastAsia"/>
                <w:color w:val="auto"/>
                <w:u w:val="single"/>
              </w:rPr>
              <w:t>2020年</w:t>
            </w:r>
            <w:r>
              <w:rPr>
                <w:rFonts w:hint="eastAsia" w:asciiTheme="majorEastAsia" w:hAnsiTheme="majorEastAsia" w:eastAsiaTheme="majorEastAsia"/>
                <w:color w:val="auto"/>
                <w:u w:val="single"/>
                <w:lang w:val="en-US" w:eastAsia="zh-CN"/>
              </w:rPr>
              <w:t>10</w:t>
            </w:r>
            <w:r>
              <w:rPr>
                <w:rFonts w:hint="eastAsia" w:asciiTheme="majorEastAsia" w:hAnsiTheme="majorEastAsia" w:eastAsiaTheme="majorEastAsia"/>
                <w:color w:val="auto"/>
                <w:u w:val="single"/>
              </w:rPr>
              <w:t>月</w:t>
            </w:r>
            <w:r>
              <w:rPr>
                <w:rFonts w:hint="eastAsia" w:asciiTheme="majorEastAsia" w:hAnsiTheme="majorEastAsia" w:eastAsiaTheme="majorEastAsia"/>
                <w:color w:val="auto"/>
                <w:u w:val="single"/>
                <w:lang w:val="en-US" w:eastAsia="zh-CN"/>
              </w:rPr>
              <w:t>14</w:t>
            </w:r>
            <w:r>
              <w:rPr>
                <w:rFonts w:hint="eastAsia" w:asciiTheme="majorEastAsia" w:hAnsiTheme="majorEastAsia" w:eastAsiaTheme="majorEastAsia"/>
                <w:color w:val="auto"/>
                <w:u w:val="single"/>
              </w:rPr>
              <w:t>日</w:t>
            </w:r>
            <w:r>
              <w:rPr>
                <w:rFonts w:hint="eastAsia" w:asciiTheme="majorEastAsia" w:hAnsiTheme="majorEastAsia" w:eastAsiaTheme="majorEastAsia"/>
                <w:color w:val="auto"/>
                <w:u w:val="single"/>
                <w:lang w:val="en-US" w:eastAsia="zh-CN"/>
              </w:rPr>
              <w:t>09</w:t>
            </w:r>
            <w:r>
              <w:rPr>
                <w:rFonts w:hint="eastAsia" w:asciiTheme="majorEastAsia" w:hAnsiTheme="majorEastAsia" w:eastAsiaTheme="majorEastAsia"/>
                <w:color w:val="auto"/>
                <w:u w:val="single"/>
              </w:rPr>
              <w:t>点</w:t>
            </w:r>
            <w:r>
              <w:rPr>
                <w:rFonts w:hint="eastAsia" w:asciiTheme="majorEastAsia" w:hAnsiTheme="majorEastAsia" w:eastAsiaTheme="majorEastAsia"/>
                <w:color w:val="auto"/>
                <w:u w:val="single"/>
                <w:lang w:val="en-US" w:eastAsia="zh-CN"/>
              </w:rPr>
              <w:t>30</w:t>
            </w:r>
            <w:r>
              <w:rPr>
                <w:rFonts w:hint="eastAsia" w:asciiTheme="majorEastAsia" w:hAnsiTheme="majorEastAsia" w:eastAsiaTheme="majorEastAsia"/>
                <w:color w:val="auto"/>
                <w:u w:val="single"/>
              </w:rPr>
              <w:t>分（</w:t>
            </w:r>
            <w:r>
              <w:rPr>
                <w:rFonts w:hint="eastAsia" w:asciiTheme="majorEastAsia" w:hAnsiTheme="majorEastAsia" w:eastAsiaTheme="majorEastAsia"/>
                <w:color w:val="auto"/>
              </w:rPr>
              <w:t>北京时间）前递交投标文件。</w:t>
            </w:r>
          </w:p>
        </w:tc>
      </w:tr>
    </w:tbl>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一、项目基本情况：</w:t>
      </w:r>
      <w:permStart w:id="3" w:edGrp="everyone"/>
      <w:permEnd w:id="3"/>
    </w:p>
    <w:p>
      <w:pPr>
        <w:pStyle w:val="22"/>
        <w:spacing w:before="75" w:beforeAutospacing="0" w:after="75" w:afterAutospacing="0" w:line="400" w:lineRule="exact"/>
        <w:ind w:firstLine="240" w:firstLineChars="100"/>
        <w:rPr>
          <w:rFonts w:hint="eastAsia" w:asciiTheme="majorEastAsia" w:hAnsiTheme="majorEastAsia" w:eastAsiaTheme="majorEastAsia"/>
          <w:color w:val="auto"/>
          <w:lang w:eastAsia="zh-CN"/>
        </w:rPr>
      </w:pPr>
      <w:r>
        <w:rPr>
          <w:rFonts w:hint="eastAsia" w:asciiTheme="majorEastAsia" w:hAnsiTheme="majorEastAsia" w:eastAsiaTheme="majorEastAsia"/>
          <w:color w:val="auto"/>
        </w:rPr>
        <w:t>项目编号：</w:t>
      </w:r>
      <w:r>
        <w:rPr>
          <w:rFonts w:hint="eastAsia" w:asciiTheme="majorEastAsia" w:hAnsiTheme="majorEastAsia" w:eastAsiaTheme="majorEastAsia"/>
          <w:color w:val="auto"/>
          <w:lang w:eastAsia="zh-CN"/>
        </w:rPr>
        <w:t>NNZC2020-G3-990092-GXYZ</w:t>
      </w:r>
    </w:p>
    <w:p>
      <w:pPr>
        <w:pStyle w:val="22"/>
        <w:spacing w:before="75" w:beforeAutospacing="0" w:after="75" w:afterAutospacing="0" w:line="400" w:lineRule="exact"/>
        <w:ind w:firstLine="240" w:firstLineChars="100"/>
        <w:rPr>
          <w:rFonts w:hint="eastAsia" w:asciiTheme="majorEastAsia" w:hAnsiTheme="majorEastAsia" w:eastAsiaTheme="majorEastAsia"/>
          <w:color w:val="auto"/>
          <w:lang w:eastAsia="zh-CN"/>
        </w:rPr>
      </w:pPr>
      <w:r>
        <w:rPr>
          <w:rFonts w:hint="eastAsia" w:asciiTheme="majorEastAsia" w:hAnsiTheme="majorEastAsia" w:eastAsiaTheme="majorEastAsia"/>
          <w:color w:val="auto"/>
        </w:rPr>
        <w:t>项目名称：</w:t>
      </w:r>
      <w:r>
        <w:rPr>
          <w:rFonts w:hint="eastAsia" w:asciiTheme="majorEastAsia" w:hAnsiTheme="majorEastAsia" w:eastAsiaTheme="majorEastAsia"/>
          <w:color w:val="auto"/>
          <w:lang w:eastAsia="zh-CN"/>
        </w:rPr>
        <w:t>金保工程网络安全协同防御体系二期建设</w:t>
      </w:r>
    </w:p>
    <w:p>
      <w:pPr>
        <w:pStyle w:val="22"/>
        <w:spacing w:before="75" w:beforeAutospacing="0" w:after="75" w:afterAutospacing="0" w:line="400" w:lineRule="exact"/>
        <w:ind w:firstLine="240" w:firstLineChars="100"/>
        <w:rPr>
          <w:rFonts w:hint="eastAsia" w:eastAsiaTheme="majorEastAsia"/>
          <w:color w:val="auto"/>
          <w:lang w:eastAsia="zh-CN"/>
        </w:rPr>
      </w:pPr>
      <w:r>
        <w:rPr>
          <w:rFonts w:hint="eastAsia" w:asciiTheme="majorEastAsia" w:hAnsiTheme="majorEastAsia" w:eastAsiaTheme="majorEastAsia"/>
          <w:color w:val="auto"/>
        </w:rPr>
        <w:t>审批编号：</w:t>
      </w:r>
      <w:r>
        <w:rPr>
          <w:rFonts w:hint="eastAsia" w:eastAsiaTheme="majorEastAsia"/>
          <w:color w:val="auto"/>
          <w:lang w:eastAsia="zh-CN"/>
        </w:rPr>
        <w:t xml:space="preserve"> [2020]NCCSH307015</w:t>
      </w:r>
      <w:r>
        <w:rPr>
          <w:rFonts w:hint="eastAsia" w:eastAsiaTheme="majorEastAsia"/>
          <w:color w:val="auto"/>
          <w:lang w:val="en-US" w:eastAsia="zh-CN"/>
        </w:rPr>
        <w:t>/</w:t>
      </w:r>
      <w:r>
        <w:rPr>
          <w:rFonts w:hint="eastAsia" w:eastAsiaTheme="majorEastAsia"/>
          <w:color w:val="auto"/>
          <w:lang w:eastAsia="zh-CN"/>
        </w:rPr>
        <w:t>2511</w:t>
      </w:r>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预算金额：人民币</w:t>
      </w:r>
      <w:r>
        <w:rPr>
          <w:rFonts w:hint="eastAsia" w:asciiTheme="majorEastAsia" w:hAnsiTheme="majorEastAsia" w:eastAsiaTheme="majorEastAsia"/>
          <w:color w:val="auto"/>
          <w:lang w:eastAsia="zh-CN"/>
        </w:rPr>
        <w:t>叁拾万</w:t>
      </w:r>
      <w:r>
        <w:rPr>
          <w:rFonts w:hint="eastAsia" w:asciiTheme="majorEastAsia" w:hAnsiTheme="majorEastAsia" w:eastAsiaTheme="majorEastAsia"/>
          <w:color w:val="auto"/>
        </w:rPr>
        <w:t>元整(￥</w:t>
      </w:r>
      <w:r>
        <w:rPr>
          <w:rFonts w:hint="eastAsia" w:asciiTheme="majorEastAsia" w:hAnsiTheme="majorEastAsia" w:eastAsiaTheme="majorEastAsia"/>
          <w:color w:val="auto"/>
          <w:lang w:val="en-US" w:eastAsia="zh-CN"/>
        </w:rPr>
        <w:t>3000</w:t>
      </w:r>
      <w:r>
        <w:rPr>
          <w:rFonts w:hint="eastAsia" w:asciiTheme="majorEastAsia" w:hAnsiTheme="majorEastAsia" w:eastAsiaTheme="majorEastAsia"/>
          <w:color w:val="auto"/>
        </w:rPr>
        <w:t>00.00元)</w:t>
      </w:r>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最高限价为：人民币</w:t>
      </w:r>
      <w:r>
        <w:rPr>
          <w:rFonts w:hint="eastAsia" w:asciiTheme="majorEastAsia" w:hAnsiTheme="majorEastAsia" w:eastAsiaTheme="majorEastAsia"/>
          <w:color w:val="auto"/>
          <w:lang w:eastAsia="zh-CN"/>
        </w:rPr>
        <w:t>叁拾万</w:t>
      </w:r>
      <w:r>
        <w:rPr>
          <w:rFonts w:hint="eastAsia" w:asciiTheme="majorEastAsia" w:hAnsiTheme="majorEastAsia" w:eastAsiaTheme="majorEastAsia"/>
          <w:color w:val="auto"/>
        </w:rPr>
        <w:t>元整(￥</w:t>
      </w:r>
      <w:r>
        <w:rPr>
          <w:rFonts w:hint="eastAsia" w:asciiTheme="majorEastAsia" w:hAnsiTheme="majorEastAsia" w:eastAsiaTheme="majorEastAsia"/>
          <w:color w:val="auto"/>
          <w:lang w:val="en-US" w:eastAsia="zh-CN"/>
        </w:rPr>
        <w:t>3000</w:t>
      </w:r>
      <w:r>
        <w:rPr>
          <w:rFonts w:hint="eastAsia" w:asciiTheme="majorEastAsia" w:hAnsiTheme="majorEastAsia" w:eastAsiaTheme="majorEastAsia"/>
          <w:color w:val="auto"/>
        </w:rPr>
        <w:t>00.00元)</w:t>
      </w:r>
    </w:p>
    <w:p>
      <w:pPr>
        <w:pStyle w:val="22"/>
        <w:spacing w:before="75" w:beforeAutospacing="0" w:after="75" w:afterAutospacing="0" w:line="400" w:lineRule="exact"/>
        <w:ind w:firstLine="240" w:firstLineChars="100"/>
        <w:rPr>
          <w:rFonts w:asciiTheme="majorEastAsia" w:hAnsiTheme="majorEastAsia" w:eastAsiaTheme="majorEastAsia"/>
          <w:color w:val="auto"/>
        </w:rPr>
      </w:pPr>
      <w:r>
        <w:rPr>
          <w:rFonts w:hint="eastAsia" w:asciiTheme="majorEastAsia" w:hAnsiTheme="majorEastAsia" w:eastAsiaTheme="majorEastAsia"/>
          <w:color w:val="auto"/>
        </w:rPr>
        <w:t>采购需求：</w:t>
      </w:r>
    </w:p>
    <w:tbl>
      <w:tblPr>
        <w:tblStyle w:val="25"/>
        <w:tblW w:w="10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854"/>
        <w:gridCol w:w="1350"/>
        <w:gridCol w:w="6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572" w:type="dxa"/>
            <w:tcMar>
              <w:left w:w="0" w:type="dxa"/>
              <w:bottom w:w="0" w:type="dxa"/>
              <w:right w:w="0" w:type="dxa"/>
            </w:tcMar>
            <w:vAlign w:val="center"/>
          </w:tcPr>
          <w:p>
            <w:pPr>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项号</w:t>
            </w:r>
          </w:p>
        </w:tc>
        <w:tc>
          <w:tcPr>
            <w:tcW w:w="1854" w:type="dxa"/>
            <w:vAlign w:val="center"/>
          </w:tcPr>
          <w:p>
            <w:pPr>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服务名称</w:t>
            </w:r>
          </w:p>
        </w:tc>
        <w:tc>
          <w:tcPr>
            <w:tcW w:w="1350" w:type="dxa"/>
            <w:vAlign w:val="center"/>
          </w:tcPr>
          <w:p>
            <w:pPr>
              <w:wordWrap w:val="0"/>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数量</w:t>
            </w:r>
          </w:p>
        </w:tc>
        <w:tc>
          <w:tcPr>
            <w:tcW w:w="6428" w:type="dxa"/>
            <w:tcBorders>
              <w:right w:val="single" w:color="auto" w:sz="4" w:space="0"/>
            </w:tcBorders>
            <w:vAlign w:val="center"/>
          </w:tcPr>
          <w:p>
            <w:pPr>
              <w:wordWrap w:val="0"/>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服务内容及要求（详见服务需求一览表）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572" w:type="dxa"/>
            <w:vAlign w:val="center"/>
          </w:tcPr>
          <w:p>
            <w:pPr>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color w:val="auto"/>
                <w:sz w:val="24"/>
                <w:szCs w:val="24"/>
              </w:rPr>
              <w:t>1</w:t>
            </w:r>
          </w:p>
        </w:tc>
        <w:tc>
          <w:tcPr>
            <w:tcW w:w="1854" w:type="dxa"/>
            <w:vAlign w:val="center"/>
          </w:tcPr>
          <w:p>
            <w:pPr>
              <w:spacing w:line="400" w:lineRule="exact"/>
              <w:rPr>
                <w:rFonts w:hint="eastAsia" w:asciiTheme="majorEastAsia" w:hAnsiTheme="majorEastAsia" w:eastAsiaTheme="majorEastAsia"/>
                <w:bCs/>
                <w:color w:val="auto"/>
                <w:sz w:val="24"/>
                <w:szCs w:val="24"/>
                <w:lang w:eastAsia="zh-CN"/>
              </w:rPr>
            </w:pPr>
            <w:r>
              <w:rPr>
                <w:rFonts w:hint="eastAsia" w:asciiTheme="majorEastAsia" w:hAnsiTheme="majorEastAsia" w:eastAsiaTheme="majorEastAsia"/>
                <w:color w:val="auto"/>
                <w:sz w:val="24"/>
                <w:szCs w:val="24"/>
                <w:lang w:eastAsia="zh-CN"/>
              </w:rPr>
              <w:t>金保工程网络安全协同防御体系二期建设</w:t>
            </w:r>
          </w:p>
        </w:tc>
        <w:tc>
          <w:tcPr>
            <w:tcW w:w="1350" w:type="dxa"/>
            <w:vAlign w:val="center"/>
          </w:tcPr>
          <w:p>
            <w:pPr>
              <w:spacing w:line="400" w:lineRule="exact"/>
              <w:jc w:val="center"/>
              <w:rPr>
                <w:rFonts w:asciiTheme="majorEastAsia" w:hAnsiTheme="majorEastAsia" w:eastAsiaTheme="majorEastAsia"/>
                <w:bCs/>
                <w:color w:val="auto"/>
                <w:sz w:val="24"/>
                <w:szCs w:val="24"/>
              </w:rPr>
            </w:pPr>
            <w:r>
              <w:rPr>
                <w:rFonts w:hint="eastAsia" w:asciiTheme="majorEastAsia" w:hAnsiTheme="majorEastAsia" w:eastAsiaTheme="majorEastAsia"/>
                <w:bCs/>
                <w:color w:val="auto"/>
                <w:sz w:val="24"/>
                <w:szCs w:val="24"/>
              </w:rPr>
              <w:t>1项</w:t>
            </w:r>
          </w:p>
        </w:tc>
        <w:tc>
          <w:tcPr>
            <w:tcW w:w="6428" w:type="dxa"/>
            <w:tcBorders>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★一、资产梳理服务：</w:t>
            </w:r>
          </w:p>
          <w:p>
            <w:pPr>
              <w:keepNext w:val="0"/>
              <w:keepLines w:val="0"/>
              <w:pageBreakBefore w:val="0"/>
              <w:widowControl/>
              <w:numPr>
                <w:ilvl w:val="0"/>
                <w:numId w:val="3"/>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要求中标</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通过主动探测、流量被动分析的方式协助采购人摸清单位信息系统资产底数，建立资产档案库，掌握采购人资产分布情况。资产梳理内容包括但不限于：网络设备资产、安全设备资产、服务器资产、应用资产、接入线路资产等。</w:t>
            </w:r>
          </w:p>
          <w:p>
            <w:pPr>
              <w:spacing w:line="400" w:lineRule="exact"/>
              <w:rPr>
                <w:rFonts w:hint="default" w:asciiTheme="majorEastAsia" w:hAnsiTheme="majorEastAsia" w:eastAsiaTheme="majorEastAsia"/>
                <w:bCs/>
                <w:color w:val="auto"/>
                <w:sz w:val="24"/>
                <w:szCs w:val="24"/>
                <w:lang w:val="en-US" w:eastAsia="zh-CN"/>
              </w:rPr>
            </w:pPr>
            <w:r>
              <w:rPr>
                <w:rFonts w:hint="eastAsia" w:asciiTheme="majorEastAsia" w:hAnsiTheme="majorEastAsia" w:eastAsiaTheme="majorEastAsia"/>
                <w:bCs/>
                <w:color w:val="auto"/>
                <w:sz w:val="24"/>
                <w:szCs w:val="24"/>
                <w:lang w:val="en-US" w:eastAsia="zh-CN"/>
              </w:rPr>
              <w:t>......</w:t>
            </w:r>
          </w:p>
        </w:tc>
      </w:tr>
    </w:tbl>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如需进一步了解详细内容，详见公开招标文件。</w:t>
      </w:r>
    </w:p>
    <w:p>
      <w:pPr>
        <w:pStyle w:val="22"/>
        <w:spacing w:before="75" w:beforeAutospacing="0" w:after="75" w:afterAutospacing="0" w:line="400" w:lineRule="exact"/>
        <w:rPr>
          <w:rStyle w:val="28"/>
          <w:rFonts w:asciiTheme="majorEastAsia" w:hAnsiTheme="majorEastAsia" w:eastAsiaTheme="majorEastAsia"/>
          <w:b w:val="0"/>
          <w:bCs/>
          <w:color w:val="auto"/>
        </w:rPr>
      </w:pPr>
      <w:r>
        <w:rPr>
          <w:rStyle w:val="28"/>
          <w:rFonts w:hint="eastAsia" w:asciiTheme="majorEastAsia" w:hAnsiTheme="majorEastAsia" w:eastAsiaTheme="majorEastAsia"/>
          <w:b w:val="0"/>
          <w:bCs/>
          <w:color w:val="auto"/>
        </w:rPr>
        <w:t>合同履行期限：</w:t>
      </w:r>
      <w:r>
        <w:rPr>
          <w:rFonts w:hint="eastAsia" w:asciiTheme="majorEastAsia" w:hAnsiTheme="majorEastAsia" w:eastAsiaTheme="majorEastAsia"/>
          <w:color w:val="auto"/>
        </w:rPr>
        <w:t>详见公开招标文件。</w:t>
      </w:r>
    </w:p>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二、申请人的资格要求：</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1、符合《中华人民共和国政府采购法》第二十二条规定；</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color w:val="auto"/>
        </w:rPr>
        <w:t>3、本项目的特定资格要求：无</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4、具有国内法人资格，注册经营范围满足所采购内容的供应商；</w:t>
      </w:r>
    </w:p>
    <w:p>
      <w:pPr>
        <w:pStyle w:val="22"/>
        <w:wordWrap w:val="0"/>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6、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7、本项目不接受联合体投标。</w:t>
      </w:r>
    </w:p>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三、获取招标文件：</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时间：2020年</w:t>
      </w:r>
      <w:r>
        <w:rPr>
          <w:rFonts w:hint="eastAsia" w:asciiTheme="majorEastAsia" w:hAnsiTheme="majorEastAsia" w:eastAsiaTheme="majorEastAsia"/>
          <w:color w:val="auto"/>
          <w:lang w:val="en-US" w:eastAsia="zh-CN"/>
        </w:rPr>
        <w:t>9</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23</w:t>
      </w:r>
      <w:r>
        <w:rPr>
          <w:rFonts w:hint="eastAsia" w:asciiTheme="majorEastAsia" w:hAnsiTheme="majorEastAsia" w:eastAsiaTheme="majorEastAsia"/>
          <w:color w:val="auto"/>
        </w:rPr>
        <w:t>日至2020年</w:t>
      </w:r>
      <w:r>
        <w:rPr>
          <w:rFonts w:hint="eastAsia" w:asciiTheme="majorEastAsia" w:hAnsiTheme="majorEastAsia" w:eastAsiaTheme="majorEastAsia"/>
          <w:color w:val="auto"/>
          <w:lang w:val="en-US" w:eastAsia="zh-CN"/>
        </w:rPr>
        <w:t>9</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29</w:t>
      </w:r>
      <w:r>
        <w:rPr>
          <w:rFonts w:hint="eastAsia" w:asciiTheme="majorEastAsia" w:hAnsiTheme="majorEastAsia" w:eastAsiaTheme="majorEastAsia"/>
          <w:color w:val="auto"/>
        </w:rPr>
        <w:t>日</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地址：南宁市公共资源交易平台(https://www.nnggzy.org.cn/gxnnhy)的信息公告处。</w:t>
      </w:r>
    </w:p>
    <w:p>
      <w:pPr>
        <w:pStyle w:val="22"/>
        <w:wordWrap w:val="0"/>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方式：本项目不发放纸质文件，投标人自行在南宁市公共资源交易平台(https://www.nnggzy.org.cn/gxnnhy)的信息公告处下载采购文件。</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售价：0元。</w:t>
      </w:r>
    </w:p>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四、提交投标文件截止时间、开标时间和地点：</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时间：2020年</w:t>
      </w:r>
      <w:r>
        <w:rPr>
          <w:rFonts w:hint="eastAsia" w:asciiTheme="majorEastAsia" w:hAnsiTheme="majorEastAsia" w:eastAsiaTheme="majorEastAsia"/>
          <w:color w:val="auto"/>
          <w:lang w:val="en-US" w:eastAsia="zh-CN"/>
        </w:rPr>
        <w:t>10</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14</w:t>
      </w:r>
      <w:r>
        <w:rPr>
          <w:rFonts w:hint="eastAsia" w:asciiTheme="majorEastAsia" w:hAnsiTheme="majorEastAsia" w:eastAsiaTheme="majorEastAsia"/>
          <w:color w:val="auto"/>
        </w:rPr>
        <w:t>日</w:t>
      </w:r>
      <w:r>
        <w:rPr>
          <w:rFonts w:hint="eastAsia" w:asciiTheme="majorEastAsia" w:hAnsiTheme="majorEastAsia" w:eastAsiaTheme="majorEastAsia"/>
          <w:color w:val="auto"/>
          <w:lang w:val="en-US" w:eastAsia="zh-CN"/>
        </w:rPr>
        <w:t>09</w:t>
      </w:r>
      <w:r>
        <w:rPr>
          <w:rFonts w:hint="eastAsia" w:asciiTheme="majorEastAsia" w:hAnsiTheme="majorEastAsia" w:eastAsiaTheme="majorEastAsia"/>
          <w:color w:val="auto"/>
        </w:rPr>
        <w:t>时</w:t>
      </w:r>
      <w:r>
        <w:rPr>
          <w:rFonts w:hint="eastAsia" w:asciiTheme="majorEastAsia" w:hAnsiTheme="majorEastAsia" w:eastAsiaTheme="majorEastAsia"/>
          <w:color w:val="auto"/>
          <w:lang w:val="en-US" w:eastAsia="zh-CN"/>
        </w:rPr>
        <w:t>30</w:t>
      </w:r>
      <w:r>
        <w:rPr>
          <w:rFonts w:hint="eastAsia" w:asciiTheme="majorEastAsia" w:hAnsiTheme="majorEastAsia" w:eastAsiaTheme="majorEastAsia"/>
          <w:color w:val="auto"/>
        </w:rPr>
        <w:t>分（北京时间）</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地点：南宁市良庆区玉洞大道33号（青少年活动中心旁）市民中心9楼南宁市公共资源交易中心（具体详见9楼电子显示屏场地安排）。</w:t>
      </w:r>
      <w:r>
        <w:rPr>
          <w:rFonts w:hint="eastAsia" w:asciiTheme="majorEastAsia" w:hAnsiTheme="majorEastAsia" w:eastAsiaTheme="majorEastAsia"/>
          <w:b/>
          <w:bCs/>
          <w:color w:val="auto"/>
        </w:rPr>
        <w:t>为做好疫情防控工作，本项目的投标文件通过邮寄快递的方式送达，具体要求详见关于投标文件邮寄形式的通知。</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开标时间：2020年</w:t>
      </w:r>
      <w:r>
        <w:rPr>
          <w:rFonts w:hint="eastAsia" w:asciiTheme="majorEastAsia" w:hAnsiTheme="majorEastAsia" w:eastAsiaTheme="majorEastAsia"/>
          <w:color w:val="auto"/>
          <w:lang w:val="en-US" w:eastAsia="zh-CN"/>
        </w:rPr>
        <w:t>10</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14</w:t>
      </w:r>
      <w:r>
        <w:rPr>
          <w:rFonts w:hint="eastAsia" w:asciiTheme="majorEastAsia" w:hAnsiTheme="majorEastAsia" w:eastAsiaTheme="majorEastAsia"/>
          <w:color w:val="auto"/>
        </w:rPr>
        <w:t>日</w:t>
      </w:r>
      <w:r>
        <w:rPr>
          <w:rFonts w:hint="eastAsia" w:asciiTheme="majorEastAsia" w:hAnsiTheme="majorEastAsia" w:eastAsiaTheme="majorEastAsia"/>
          <w:color w:val="auto"/>
          <w:lang w:val="en-US" w:eastAsia="zh-CN"/>
        </w:rPr>
        <w:t>09</w:t>
      </w:r>
      <w:r>
        <w:rPr>
          <w:rFonts w:hint="eastAsia" w:asciiTheme="majorEastAsia" w:hAnsiTheme="majorEastAsia" w:eastAsiaTheme="majorEastAsia"/>
          <w:color w:val="auto"/>
        </w:rPr>
        <w:t>时</w:t>
      </w:r>
      <w:r>
        <w:rPr>
          <w:rFonts w:hint="eastAsia" w:asciiTheme="majorEastAsia" w:hAnsiTheme="majorEastAsia" w:eastAsiaTheme="majorEastAsia"/>
          <w:color w:val="auto"/>
          <w:lang w:val="en-US" w:eastAsia="zh-CN"/>
        </w:rPr>
        <w:t>30</w:t>
      </w:r>
      <w:r>
        <w:rPr>
          <w:rFonts w:hint="eastAsia" w:asciiTheme="majorEastAsia" w:hAnsiTheme="majorEastAsia" w:eastAsiaTheme="majorEastAsia"/>
          <w:color w:val="auto"/>
        </w:rPr>
        <w:t>分（北京时间） </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开标地点：南宁市良庆区玉洞大道33号（市青少年活动中心旁）南宁市市民中心9楼南宁市公共资源交易中心（具体详见9楼电子显示屏场地安排） </w:t>
      </w:r>
    </w:p>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五、公告期限：</w:t>
      </w:r>
    </w:p>
    <w:p>
      <w:pPr>
        <w:pStyle w:val="22"/>
        <w:spacing w:before="75" w:beforeAutospacing="0" w:after="75" w:afterAutospacing="0" w:line="400" w:lineRule="exact"/>
        <w:ind w:firstLine="420"/>
        <w:rPr>
          <w:rFonts w:asciiTheme="majorEastAsia" w:hAnsiTheme="majorEastAsia" w:eastAsiaTheme="majorEastAsia"/>
          <w:color w:val="auto"/>
        </w:rPr>
      </w:pPr>
      <w:r>
        <w:rPr>
          <w:rFonts w:hint="eastAsia" w:asciiTheme="majorEastAsia" w:hAnsiTheme="majorEastAsia" w:eastAsiaTheme="majorEastAsia"/>
          <w:color w:val="auto"/>
        </w:rPr>
        <w:t>自本公告发布之日起5个工作日（ 2020年</w:t>
      </w:r>
      <w:r>
        <w:rPr>
          <w:rFonts w:hint="eastAsia" w:asciiTheme="majorEastAsia" w:hAnsiTheme="majorEastAsia" w:eastAsiaTheme="majorEastAsia"/>
          <w:color w:val="auto"/>
          <w:lang w:val="en-US" w:eastAsia="zh-CN"/>
        </w:rPr>
        <w:t>9</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23</w:t>
      </w:r>
      <w:r>
        <w:rPr>
          <w:rFonts w:hint="eastAsia" w:asciiTheme="majorEastAsia" w:hAnsiTheme="majorEastAsia" w:eastAsiaTheme="majorEastAsia"/>
          <w:color w:val="auto"/>
        </w:rPr>
        <w:t>日至2020年</w:t>
      </w:r>
      <w:r>
        <w:rPr>
          <w:rFonts w:hint="eastAsia" w:asciiTheme="majorEastAsia" w:hAnsiTheme="majorEastAsia" w:eastAsiaTheme="majorEastAsia"/>
          <w:color w:val="auto"/>
          <w:lang w:val="en-US" w:eastAsia="zh-CN"/>
        </w:rPr>
        <w:t>9</w:t>
      </w:r>
      <w:r>
        <w:rPr>
          <w:rFonts w:hint="eastAsia" w:asciiTheme="majorEastAsia" w:hAnsiTheme="majorEastAsia" w:eastAsiaTheme="majorEastAsia"/>
          <w:color w:val="auto"/>
        </w:rPr>
        <w:t>月</w:t>
      </w:r>
      <w:r>
        <w:rPr>
          <w:rFonts w:hint="eastAsia" w:asciiTheme="majorEastAsia" w:hAnsiTheme="majorEastAsia" w:eastAsiaTheme="majorEastAsia"/>
          <w:color w:val="auto"/>
          <w:lang w:val="en-US" w:eastAsia="zh-CN"/>
        </w:rPr>
        <w:t>29</w:t>
      </w:r>
      <w:r>
        <w:rPr>
          <w:rFonts w:hint="eastAsia" w:asciiTheme="majorEastAsia" w:hAnsiTheme="majorEastAsia" w:eastAsiaTheme="majorEastAsia"/>
          <w:color w:val="auto"/>
        </w:rPr>
        <w:t>日结束）。</w:t>
      </w:r>
    </w:p>
    <w:p>
      <w:pPr>
        <w:pStyle w:val="22"/>
        <w:numPr>
          <w:ilvl w:val="0"/>
          <w:numId w:val="4"/>
        </w:numPr>
        <w:spacing w:before="75" w:beforeAutospacing="0" w:after="75" w:afterAutospacing="0" w:line="400" w:lineRule="exact"/>
        <w:rPr>
          <w:rStyle w:val="28"/>
          <w:rFonts w:asciiTheme="majorEastAsia" w:hAnsiTheme="majorEastAsia" w:eastAsiaTheme="majorEastAsia"/>
          <w:color w:val="auto"/>
        </w:rPr>
      </w:pPr>
      <w:r>
        <w:rPr>
          <w:rStyle w:val="28"/>
          <w:rFonts w:hint="eastAsia" w:asciiTheme="majorEastAsia" w:hAnsiTheme="majorEastAsia" w:eastAsiaTheme="majorEastAsia"/>
          <w:color w:val="auto"/>
        </w:rPr>
        <w:t>其他补充事项：</w:t>
      </w:r>
    </w:p>
    <w:p>
      <w:pPr>
        <w:pStyle w:val="22"/>
        <w:spacing w:before="75" w:beforeAutospacing="0" w:after="75" w:afterAutospacing="0" w:line="400" w:lineRule="exact"/>
        <w:ind w:firstLine="720" w:firstLineChars="300"/>
        <w:rPr>
          <w:rFonts w:asciiTheme="majorEastAsia" w:hAnsiTheme="majorEastAsia" w:eastAsiaTheme="majorEastAsia"/>
          <w:color w:val="auto"/>
        </w:rPr>
      </w:pPr>
      <w:r>
        <w:rPr>
          <w:rFonts w:hint="eastAsia" w:asciiTheme="majorEastAsia" w:hAnsiTheme="majorEastAsia" w:eastAsiaTheme="majorEastAsia"/>
          <w:color w:val="auto"/>
        </w:rPr>
        <w:t>网上查询地址：</w:t>
      </w:r>
      <w:r>
        <w:rPr>
          <w:color w:val="auto"/>
        </w:rPr>
        <w:fldChar w:fldCharType="begin"/>
      </w:r>
      <w:r>
        <w:rPr>
          <w:color w:val="auto"/>
        </w:rPr>
        <w:instrText xml:space="preserve"> HYPERLINK </w:instrText>
      </w:r>
      <w:r>
        <w:rPr>
          <w:color w:val="auto"/>
        </w:rPr>
        <w:fldChar w:fldCharType="separate"/>
      </w:r>
      <w:r>
        <w:rPr>
          <w:rFonts w:hint="eastAsia" w:asciiTheme="majorEastAsia" w:hAnsiTheme="majorEastAsia" w:eastAsiaTheme="majorEastAsia"/>
          <w:color w:val="auto"/>
        </w:rPr>
        <w:t>www.ccgp.gov.cn（中国政府采购网）， http://zfcg.gxzf.gov.cn/（广西壮族自治区政府采购网），www.nnggzy.org.cn （南宁市公共资源交易中心网）</w:t>
      </w:r>
      <w:r>
        <w:rPr>
          <w:rFonts w:hint="eastAsia" w:asciiTheme="majorEastAsia" w:hAnsiTheme="majorEastAsia" w:eastAsiaTheme="majorEastAsia"/>
          <w:color w:val="auto"/>
        </w:rPr>
        <w:fldChar w:fldCharType="end"/>
      </w:r>
    </w:p>
    <w:p>
      <w:pPr>
        <w:pStyle w:val="22"/>
        <w:spacing w:before="75" w:beforeAutospacing="0" w:after="75" w:afterAutospacing="0" w:line="400" w:lineRule="exact"/>
        <w:rPr>
          <w:rFonts w:asciiTheme="majorEastAsia" w:hAnsiTheme="majorEastAsia" w:eastAsiaTheme="majorEastAsia"/>
          <w:color w:val="auto"/>
        </w:rPr>
      </w:pPr>
      <w:r>
        <w:rPr>
          <w:rStyle w:val="28"/>
          <w:rFonts w:hint="eastAsia" w:asciiTheme="majorEastAsia" w:hAnsiTheme="majorEastAsia" w:eastAsiaTheme="majorEastAsia"/>
          <w:color w:val="auto"/>
        </w:rPr>
        <w:t>七、对本次招标提出询问，请按以下方式联系。</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1.采购人信息：</w:t>
      </w:r>
      <w:permStart w:id="4" w:edGrp="everyone"/>
      <w:permEnd w:id="4"/>
    </w:p>
    <w:p>
      <w:pPr>
        <w:pStyle w:val="22"/>
        <w:spacing w:before="75" w:beforeAutospacing="0" w:after="75" w:afterAutospacing="0" w:line="400" w:lineRule="exact"/>
        <w:ind w:right="840" w:firstLine="420"/>
        <w:rPr>
          <w:rFonts w:hint="eastAsia" w:asciiTheme="majorEastAsia" w:hAnsiTheme="majorEastAsia" w:eastAsiaTheme="majorEastAsia"/>
          <w:color w:val="auto"/>
          <w:lang w:eastAsia="zh-CN"/>
        </w:rPr>
      </w:pPr>
      <w:r>
        <w:rPr>
          <w:rFonts w:hint="eastAsia" w:asciiTheme="majorEastAsia" w:hAnsiTheme="majorEastAsia" w:eastAsiaTheme="majorEastAsia"/>
          <w:color w:val="auto"/>
        </w:rPr>
        <w:t>名称：</w:t>
      </w:r>
      <w:r>
        <w:rPr>
          <w:rFonts w:hint="eastAsia" w:asciiTheme="majorEastAsia" w:hAnsiTheme="majorEastAsia" w:eastAsiaTheme="majorEastAsia"/>
          <w:color w:val="auto"/>
          <w:lang w:eastAsia="zh-CN"/>
        </w:rPr>
        <w:t>南宁市社会保障卡管理办公室</w:t>
      </w:r>
    </w:p>
    <w:p>
      <w:pPr>
        <w:pStyle w:val="22"/>
        <w:spacing w:before="75" w:beforeAutospacing="0" w:after="75" w:afterAutospacing="0" w:line="400" w:lineRule="exact"/>
        <w:ind w:right="840" w:firstLine="420"/>
        <w:rPr>
          <w:rFonts w:hint="eastAsia" w:asciiTheme="majorEastAsia" w:hAnsiTheme="majorEastAsia" w:eastAsiaTheme="majorEastAsia"/>
          <w:color w:val="auto"/>
          <w:lang w:eastAsia="zh-CN"/>
        </w:rPr>
      </w:pPr>
      <w:r>
        <w:rPr>
          <w:rFonts w:hint="eastAsia" w:asciiTheme="majorEastAsia" w:hAnsiTheme="majorEastAsia" w:eastAsiaTheme="majorEastAsia"/>
          <w:color w:val="auto"/>
        </w:rPr>
        <w:t>地址：</w:t>
      </w:r>
      <w:r>
        <w:rPr>
          <w:rFonts w:hint="eastAsia" w:asciiTheme="majorEastAsia" w:hAnsiTheme="majorEastAsia" w:eastAsiaTheme="majorEastAsia"/>
          <w:color w:val="auto"/>
          <w:lang w:eastAsia="zh-CN"/>
        </w:rPr>
        <w:t>南宁市桂春路南二里4号</w:t>
      </w:r>
    </w:p>
    <w:p>
      <w:pPr>
        <w:pStyle w:val="22"/>
        <w:spacing w:before="75" w:beforeAutospacing="0" w:after="75" w:afterAutospacing="0" w:line="400" w:lineRule="exact"/>
        <w:ind w:right="840" w:firstLine="420"/>
        <w:rPr>
          <w:rFonts w:hint="eastAsia" w:asciiTheme="majorEastAsia" w:hAnsiTheme="majorEastAsia" w:eastAsiaTheme="majorEastAsia"/>
          <w:color w:val="auto"/>
          <w:lang w:eastAsia="zh-CN"/>
        </w:rPr>
      </w:pPr>
      <w:r>
        <w:rPr>
          <w:rFonts w:hint="eastAsia" w:asciiTheme="majorEastAsia" w:hAnsiTheme="majorEastAsia" w:eastAsiaTheme="majorEastAsia"/>
          <w:color w:val="auto"/>
        </w:rPr>
        <w:t>联系人及电话：</w:t>
      </w:r>
      <w:r>
        <w:rPr>
          <w:rFonts w:hint="eastAsia" w:asciiTheme="majorEastAsia" w:hAnsiTheme="majorEastAsia" w:eastAsiaTheme="majorEastAsia"/>
          <w:color w:val="auto"/>
          <w:lang w:eastAsia="zh-CN"/>
        </w:rPr>
        <w:t>潘卓</w:t>
      </w:r>
      <w:r>
        <w:rPr>
          <w:rFonts w:hint="eastAsia" w:asciiTheme="majorEastAsia" w:hAnsiTheme="majorEastAsia" w:eastAsiaTheme="majorEastAsia"/>
          <w:color w:val="auto"/>
        </w:rPr>
        <w:t>；</w:t>
      </w:r>
      <w:r>
        <w:rPr>
          <w:rFonts w:hint="eastAsia" w:asciiTheme="majorEastAsia" w:hAnsiTheme="majorEastAsia" w:eastAsiaTheme="majorEastAsia"/>
          <w:color w:val="auto"/>
          <w:lang w:eastAsia="zh-CN"/>
        </w:rPr>
        <w:t>0771-5537081</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2.采购代理机构信息：</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名称：广西邕政采购代理有限公司</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联系地址：南宁市青秀区思贤路45号创投中心16A层</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 xml:space="preserve">项目联系人及联系电话：罗工、黎工  0771-2442850 </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3.项目联系方式</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项目联系人：罗工、黎工</w:t>
      </w:r>
    </w:p>
    <w:p>
      <w:pPr>
        <w:pStyle w:val="22"/>
        <w:spacing w:before="75" w:beforeAutospacing="0" w:after="75" w:afterAutospacing="0" w:line="400" w:lineRule="exact"/>
        <w:ind w:right="840" w:firstLine="420"/>
        <w:rPr>
          <w:rFonts w:asciiTheme="majorEastAsia" w:hAnsiTheme="majorEastAsia" w:eastAsiaTheme="majorEastAsia"/>
          <w:color w:val="auto"/>
        </w:rPr>
      </w:pPr>
      <w:r>
        <w:rPr>
          <w:rFonts w:hint="eastAsia" w:asciiTheme="majorEastAsia" w:hAnsiTheme="majorEastAsia" w:eastAsiaTheme="majorEastAsia"/>
          <w:color w:val="auto"/>
        </w:rPr>
        <w:t>电话：0771-2442850</w:t>
      </w:r>
    </w:p>
    <w:p>
      <w:pPr>
        <w:pStyle w:val="16"/>
        <w:spacing w:line="400" w:lineRule="exact"/>
        <w:jc w:val="cente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 xml:space="preserve"> </w:t>
      </w:r>
    </w:p>
    <w:p>
      <w:pPr>
        <w:pStyle w:val="16"/>
        <w:spacing w:line="400" w:lineRule="exact"/>
        <w:jc w:val="center"/>
        <w:rPr>
          <w:rFonts w:cs="宋体" w:asciiTheme="majorEastAsia" w:hAnsiTheme="majorEastAsia" w:eastAsiaTheme="majorEastAsia"/>
          <w:color w:val="auto"/>
          <w:sz w:val="24"/>
          <w:szCs w:val="24"/>
        </w:rPr>
      </w:pPr>
    </w:p>
    <w:p>
      <w:pPr>
        <w:spacing w:line="400" w:lineRule="exact"/>
        <w:ind w:firstLine="2880" w:firstLineChars="1200"/>
        <w:jc w:val="both"/>
        <w:rPr>
          <w:rFonts w:asciiTheme="majorEastAsia" w:hAnsiTheme="majorEastAsia" w:eastAsiaTheme="majorEastAsia"/>
          <w:b/>
          <w:color w:val="auto"/>
          <w:sz w:val="36"/>
          <w:szCs w:val="20"/>
        </w:rPr>
      </w:pPr>
      <w:r>
        <w:rPr>
          <w:rFonts w:hint="eastAsia" w:asciiTheme="majorEastAsia" w:hAnsiTheme="majorEastAsia" w:eastAsiaTheme="majorEastAsia"/>
          <w:color w:val="auto"/>
          <w:sz w:val="24"/>
          <w:szCs w:val="24"/>
        </w:rPr>
        <w:t xml:space="preserve">                              发布日期：2020年</w:t>
      </w:r>
      <w:r>
        <w:rPr>
          <w:rFonts w:hint="eastAsia" w:asciiTheme="majorEastAsia" w:hAnsiTheme="majorEastAsia" w:eastAsiaTheme="majorEastAsia"/>
          <w:color w:val="auto"/>
          <w:sz w:val="24"/>
          <w:szCs w:val="24"/>
          <w:lang w:val="en-US" w:eastAsia="zh-CN"/>
        </w:rPr>
        <w:t>9</w:t>
      </w:r>
      <w:r>
        <w:rPr>
          <w:rFonts w:hint="eastAsia" w:asciiTheme="majorEastAsia" w:hAnsiTheme="majorEastAsia" w:eastAsiaTheme="majorEastAsia"/>
          <w:color w:val="auto"/>
          <w:sz w:val="24"/>
          <w:szCs w:val="24"/>
        </w:rPr>
        <w:t>月</w:t>
      </w:r>
      <w:r>
        <w:rPr>
          <w:rFonts w:hint="eastAsia" w:asciiTheme="majorEastAsia" w:hAnsiTheme="majorEastAsia" w:eastAsiaTheme="majorEastAsia"/>
          <w:color w:val="auto"/>
          <w:sz w:val="24"/>
          <w:szCs w:val="24"/>
          <w:lang w:val="en-US" w:eastAsia="zh-CN"/>
        </w:rPr>
        <w:t>22</w:t>
      </w:r>
      <w:r>
        <w:rPr>
          <w:rFonts w:hint="eastAsia" w:asciiTheme="majorEastAsia" w:hAnsiTheme="majorEastAsia" w:eastAsiaTheme="majorEastAsia"/>
          <w:color w:val="auto"/>
          <w:sz w:val="24"/>
          <w:szCs w:val="24"/>
        </w:rPr>
        <w:t>日</w:t>
      </w:r>
      <w:r>
        <w:rPr>
          <w:rFonts w:asciiTheme="majorEastAsia" w:hAnsiTheme="majorEastAsia" w:eastAsiaTheme="majorEastAsia"/>
          <w:b/>
          <w:color w:val="auto"/>
          <w:sz w:val="36"/>
        </w:rPr>
        <w:br w:type="page"/>
      </w:r>
      <w:bookmarkEnd w:id="8"/>
    </w:p>
    <w:p>
      <w:pPr>
        <w:pStyle w:val="65"/>
        <w:widowControl w:val="0"/>
        <w:numPr>
          <w:ilvl w:val="255"/>
          <w:numId w:val="0"/>
        </w:numPr>
        <w:spacing w:after="156" w:line="500" w:lineRule="exact"/>
        <w:jc w:val="center"/>
        <w:outlineLvl w:val="0"/>
        <w:rPr>
          <w:rFonts w:cs="宋体" w:asciiTheme="majorEastAsia" w:hAnsiTheme="majorEastAsia" w:eastAsiaTheme="majorEastAsia"/>
          <w:b/>
          <w:color w:val="auto"/>
          <w:sz w:val="36"/>
        </w:rPr>
      </w:pPr>
      <w:bookmarkStart w:id="13" w:name="_Toc14169"/>
      <w:r>
        <w:rPr>
          <w:rFonts w:hint="eastAsia" w:cs="宋体" w:asciiTheme="majorEastAsia" w:hAnsiTheme="majorEastAsia" w:eastAsiaTheme="majorEastAsia"/>
          <w:b/>
          <w:color w:val="auto"/>
          <w:sz w:val="36"/>
        </w:rPr>
        <w:t>第二章  服务需求一览表</w:t>
      </w:r>
      <w:bookmarkEnd w:id="13"/>
    </w:p>
    <w:p>
      <w:pPr>
        <w:spacing w:line="340" w:lineRule="exact"/>
        <w:rPr>
          <w:rFonts w:asciiTheme="majorEastAsia" w:hAnsiTheme="majorEastAsia" w:eastAsiaTheme="majorEastAsia"/>
          <w:b/>
          <w:color w:val="auto"/>
          <w:sz w:val="24"/>
        </w:rPr>
      </w:pPr>
      <w:r>
        <w:rPr>
          <w:rFonts w:hint="eastAsia" w:asciiTheme="majorEastAsia" w:hAnsiTheme="majorEastAsia" w:eastAsiaTheme="majorEastAsia"/>
          <w:b/>
          <w:color w:val="auto"/>
          <w:sz w:val="24"/>
        </w:rPr>
        <w:t>说明：</w:t>
      </w:r>
    </w:p>
    <w:p>
      <w:pPr>
        <w:ind w:left="6" w:firstLine="412" w:firstLineChars="172"/>
        <w:rPr>
          <w:rFonts w:asciiTheme="majorEastAsia" w:hAnsiTheme="majorEastAsia" w:eastAsiaTheme="majorEastAsia"/>
          <w:b/>
          <w:bCs/>
          <w:color w:val="auto"/>
          <w:sz w:val="24"/>
        </w:rPr>
      </w:pPr>
      <w:r>
        <w:rPr>
          <w:rFonts w:hint="eastAsia" w:asciiTheme="majorEastAsia" w:hAnsiTheme="majorEastAsia" w:eastAsiaTheme="majorEastAsia"/>
          <w:color w:val="auto"/>
          <w:sz w:val="24"/>
        </w:rPr>
        <w:t>1、</w:t>
      </w:r>
      <w:r>
        <w:rPr>
          <w:rFonts w:hint="eastAsia" w:asciiTheme="majorEastAsia" w:hAnsiTheme="majorEastAsia" w:eastAsiaTheme="majorEastAsia"/>
          <w:b/>
          <w:bCs/>
          <w:color w:val="auto"/>
          <w:sz w:val="24"/>
        </w:rPr>
        <w:t>本服务需求一览表中标注★号的部分为实质性要求和条件。</w:t>
      </w:r>
    </w:p>
    <w:p>
      <w:pPr>
        <w:ind w:left="6" w:firstLine="412" w:firstLineChars="172"/>
        <w:rPr>
          <w:rFonts w:asciiTheme="majorEastAsia" w:hAnsiTheme="majorEastAsia" w:eastAsiaTheme="majorEastAsia"/>
          <w:color w:val="auto"/>
          <w:sz w:val="24"/>
        </w:rPr>
      </w:pPr>
      <w:r>
        <w:rPr>
          <w:rFonts w:hint="eastAsia" w:asciiTheme="majorEastAsia" w:hAnsiTheme="majorEastAsia" w:eastAsiaTheme="majorEastAsia"/>
          <w:color w:val="auto"/>
          <w:sz w:val="24"/>
        </w:rPr>
        <w:t>2、本服务需求一览表中内容如与第六章“合同条款及格式”相关条款不一致的，以本表为准。</w:t>
      </w:r>
    </w:p>
    <w:p>
      <w:pPr>
        <w:pStyle w:val="16"/>
        <w:ind w:left="240" w:leftChars="109" w:firstLine="217" w:firstLineChars="90"/>
        <w:rPr>
          <w:rFonts w:cs="宋体" w:asciiTheme="majorEastAsia" w:hAnsiTheme="majorEastAsia" w:eastAsiaTheme="majorEastAsia"/>
          <w:b/>
          <w:color w:val="auto"/>
          <w:sz w:val="24"/>
        </w:rPr>
      </w:pPr>
      <w:r>
        <w:rPr>
          <w:rFonts w:cs="宋体" w:asciiTheme="majorEastAsia" w:hAnsiTheme="majorEastAsia" w:eastAsiaTheme="majorEastAsia"/>
          <w:b/>
          <w:color w:val="auto"/>
          <w:sz w:val="24"/>
        </w:rPr>
        <w:t>3、本次服务采购最高限价为：</w:t>
      </w:r>
      <w:r>
        <w:rPr>
          <w:rFonts w:hint="eastAsia" w:cs="宋体" w:asciiTheme="majorEastAsia" w:hAnsiTheme="majorEastAsia" w:eastAsiaTheme="majorEastAsia"/>
          <w:b/>
          <w:color w:val="auto"/>
          <w:sz w:val="24"/>
        </w:rPr>
        <w:t>人民币</w:t>
      </w:r>
      <w:r>
        <w:rPr>
          <w:rFonts w:hint="eastAsia" w:cs="宋体" w:asciiTheme="majorEastAsia" w:hAnsiTheme="majorEastAsia" w:eastAsiaTheme="majorEastAsia"/>
          <w:b/>
          <w:color w:val="auto"/>
          <w:sz w:val="24"/>
          <w:lang w:eastAsia="zh-CN"/>
        </w:rPr>
        <w:t>叁拾万</w:t>
      </w:r>
      <w:r>
        <w:rPr>
          <w:rFonts w:hint="eastAsia" w:cs="宋体" w:asciiTheme="majorEastAsia" w:hAnsiTheme="majorEastAsia" w:eastAsiaTheme="majorEastAsia"/>
          <w:b/>
          <w:color w:val="auto"/>
          <w:sz w:val="24"/>
        </w:rPr>
        <w:t>元整(￥</w:t>
      </w:r>
      <w:r>
        <w:rPr>
          <w:rFonts w:hint="eastAsia" w:cs="宋体" w:asciiTheme="majorEastAsia" w:hAnsiTheme="majorEastAsia" w:eastAsiaTheme="majorEastAsia"/>
          <w:b/>
          <w:color w:val="auto"/>
          <w:sz w:val="24"/>
          <w:lang w:val="en-US" w:eastAsia="zh-CN"/>
        </w:rPr>
        <w:t>3000</w:t>
      </w:r>
      <w:r>
        <w:rPr>
          <w:rFonts w:hint="eastAsia" w:cs="宋体" w:asciiTheme="majorEastAsia" w:hAnsiTheme="majorEastAsia" w:eastAsiaTheme="majorEastAsia"/>
          <w:b/>
          <w:color w:val="auto"/>
          <w:sz w:val="24"/>
        </w:rPr>
        <w:t>00.00元)</w:t>
      </w:r>
      <w:bookmarkEnd w:id="9"/>
      <w:bookmarkEnd w:id="10"/>
      <w:bookmarkEnd w:id="11"/>
      <w:bookmarkEnd w:id="12"/>
    </w:p>
    <w:tbl>
      <w:tblPr>
        <w:tblStyle w:val="25"/>
        <w:tblpPr w:leftFromText="180" w:rightFromText="180" w:vertAnchor="text" w:horzAnchor="page" w:tblpX="623" w:tblpY="324"/>
        <w:tblOverlap w:val="never"/>
        <w:tblW w:w="10517" w:type="dxa"/>
        <w:tblInd w:w="0" w:type="dxa"/>
        <w:tblLayout w:type="fixed"/>
        <w:tblCellMar>
          <w:top w:w="0" w:type="dxa"/>
          <w:left w:w="0" w:type="dxa"/>
          <w:bottom w:w="0" w:type="dxa"/>
          <w:right w:w="0" w:type="dxa"/>
        </w:tblCellMar>
      </w:tblPr>
      <w:tblGrid>
        <w:gridCol w:w="500"/>
        <w:gridCol w:w="1563"/>
        <w:gridCol w:w="875"/>
        <w:gridCol w:w="7579"/>
      </w:tblGrid>
      <w:tr>
        <w:tblPrEx>
          <w:tblCellMar>
            <w:top w:w="0" w:type="dxa"/>
            <w:left w:w="0" w:type="dxa"/>
            <w:bottom w:w="0" w:type="dxa"/>
            <w:right w:w="0" w:type="dxa"/>
          </w:tblCellMar>
        </w:tblPrEx>
        <w:trPr>
          <w:trHeight w:val="826"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color w:val="auto"/>
                <w:sz w:val="24"/>
                <w:szCs w:val="24"/>
              </w:rPr>
            </w:pPr>
            <w:bookmarkStart w:id="14" w:name="_Toc213206174"/>
            <w:bookmarkStart w:id="15" w:name="_Toc213325923"/>
            <w:r>
              <w:rPr>
                <w:rFonts w:hint="eastAsia" w:ascii="宋体" w:hAnsi="宋体" w:eastAsia="宋体" w:cs="宋体"/>
                <w:b/>
                <w:color w:val="auto"/>
                <w:sz w:val="24"/>
                <w:szCs w:val="24"/>
              </w:rPr>
              <w:t>序号</w:t>
            </w:r>
          </w:p>
        </w:tc>
        <w:tc>
          <w:tcPr>
            <w:tcW w:w="15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服务名称</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数量</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服务内容及要求</w:t>
            </w:r>
          </w:p>
        </w:tc>
      </w:tr>
      <w:tr>
        <w:tblPrEx>
          <w:tblCellMar>
            <w:top w:w="0" w:type="dxa"/>
            <w:left w:w="0" w:type="dxa"/>
            <w:bottom w:w="0" w:type="dxa"/>
            <w:right w:w="0" w:type="dxa"/>
          </w:tblCellMar>
        </w:tblPrEx>
        <w:trPr>
          <w:trHeight w:val="577"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snapToGrid w:val="0"/>
              <w:spacing w:line="480" w:lineRule="exact"/>
              <w:jc w:val="center"/>
              <w:textAlignment w:val="auto"/>
              <w:rPr>
                <w:rFonts w:hint="eastAsia" w:ascii="宋体" w:hAnsi="宋体" w:eastAsia="宋体" w:cs="宋体"/>
                <w:color w:val="auto"/>
                <w:sz w:val="24"/>
                <w:szCs w:val="24"/>
                <w:lang w:eastAsia="zh-CN"/>
              </w:rPr>
            </w:pPr>
            <w:r>
              <w:rPr>
                <w:rFonts w:hint="eastAsia" w:asciiTheme="majorEastAsia" w:hAnsiTheme="majorEastAsia" w:eastAsiaTheme="majorEastAsia"/>
                <w:color w:val="auto"/>
                <w:sz w:val="24"/>
                <w:szCs w:val="24"/>
                <w:lang w:eastAsia="zh-CN"/>
              </w:rPr>
              <w:t>金保工程网络安全协同防御体系二期建设</w:t>
            </w:r>
          </w:p>
        </w:tc>
        <w:tc>
          <w:tcPr>
            <w:tcW w:w="8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suppressAutoHyphens/>
              <w:kinsoku/>
              <w:wordWrap/>
              <w:overflowPunct/>
              <w:topLinePunct w:val="0"/>
              <w:autoSpaceDE/>
              <w:autoSpaceDN w:val="0"/>
              <w:bidi w:val="0"/>
              <w:snapToGrid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3"/>
                <w:sz w:val="24"/>
                <w:szCs w:val="24"/>
                <w:lang w:bidi="hi-IN"/>
              </w:rPr>
              <w:t>1项</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★一、资产梳理服务：</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要求中标</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通过主动探测、流量被动分析的方式协助采购人摸清单位信息系统资产底数，建立资产档案库，掌握采购人资产分布情况。资产梳理内容包括但不限于：网络设备资产、安全设备资产、服务器资产、应用资产、接入线路资产等。</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2.提供一次资产梳理服务。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 服务交付物：《信息系统资产表》</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★二、网络架构梳理和策略优化服务：</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1.要求中标</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sz w:val="24"/>
                <w:szCs w:val="24"/>
              </w:rPr>
              <w:t>梳理并分析采购人单位的网络架构及安全防护设备的防护策略，以等级保护的标准和技术框架为指导，全面地对现有网络架构安全性进行评估；并提出策略优化的合理化建议。</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2.提供一次网络架构梳理和策略优化服务。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3.服务交付物：《网络拓扑图》、《信息系统安全策略表》</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★三、渗透测试服务：</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中标</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sz w:val="24"/>
                <w:szCs w:val="24"/>
              </w:rPr>
              <w:t xml:space="preserve">渗透测试工程师模拟黑客攻击，对采购人信息系统进行渗透攻击尝试并验证相关漏洞，最终出具渗透测试服务报告，并指导采购人相关维护人员进行有针对性的安全加固。渗透服务应至少包含：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对所要测试的服务器进行全端口扫描，了解其开放的服务，对服务进行分析发现潜在的安全漏洞，对整体网络进行分析发现网络设计上存在的安全漏洞，对系统所暴露的可用信息进行分析。分析、辨别网络结构查找入侵点。</w:t>
            </w:r>
            <w:r>
              <w:rPr>
                <w:rFonts w:hint="eastAsia" w:ascii="宋体" w:hAnsi="宋体" w:eastAsia="宋体" w:cs="宋体"/>
                <w:b w:val="0"/>
                <w:bCs/>
                <w:color w:val="auto"/>
                <w:kern w:val="0"/>
                <w:sz w:val="24"/>
                <w:szCs w:val="24"/>
                <w:lang w:bidi="ar"/>
              </w:rPr>
              <w:t xml:space="preserve">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2.分析扫描结果，对一些敏感信息进行整合，对网络拓扑情况进行分析，对所开放的服务进行排查，发现服务存在的安全漏洞，分析网络结构对可利用主机进行渗透，进一步提升权限，以达到控制网络目的。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3.针对 web 服务器，分析网络结构设计是否合理,是否可以利用跳板对 web 服务器进行攻击；分析服务的版本，端口扫描、信息收集对所要测试的服务器进行全端口扫描了解其开放的服务，对服务进行分析发现潜在的安全漏洞，对整体网络进行分析发现网络设计上存在的安全漏洞，对系统所暴漏的可用信息进行分析。分析、辨别网络结构查找入侵点。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4.针对采购人信息系统提供一次渗透测试服务。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 服务交付物：《漏洞举证报告》、《漏洞清单》</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★四、僵木蠕检测服务：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1.借助专业的流量分析检测工具，对采购人所在的信息系统网络进行流量分析，发现网络中存在的僵木蠕风险。</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支持解析HTTP、FTP、SMTP、POP3、SMB、IMAP、DNS、Mysql、MSSQL、Oracle、HTTPS、SMTPS、POP3S、IMAPS等协议报文（HTTPS、SMTPS、POP3S、IMAPS加密协议解析需要导入服务器私钥证书），并提供审计协议类型的端口号配置，可根据需要变更端口号</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3.对2-7层的原始流量深度解析，包括包括全流量审计、风险日志、会话应用识别、会话应用流量统计、传输层流量统计、应用层流量统计等。</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支持检测WEB攻击、恶意文件攻击、远程控制、WEB后门访问、发件人欺骗、邮件头欺骗、邮件钓鱼、邮件恶意链接、DGA域名请求、SMB远程溢出攻击、WEB行为分析、非法数据传输、弱口令、隐蔽信道通信、暴力破解、挖矿、远控工具利用、密码明文形式传播、扫描行为等风险。</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5.支持对内网主机进行主机威胁分析，详细展示具体的威胁等级、威胁次数、攻击开始时间、攻击结束时间、威胁性指数统计等</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6.可按攻击链阶段（弱点探测、渗透入侵、获取权限、命令与控制、数据盗取）详细展示主机相关事件数量。</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7.提供一年两次僵木蠕检测服务，服务期间中标人提供专业流量分析设备进行威胁分析并输出威胁分析报告。</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 服务交付物：《僵木蠕清单》、《威胁分析报告》</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★五、风险评估服务：</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 中标</w:t>
            </w:r>
            <w:r>
              <w:rPr>
                <w:rFonts w:hint="eastAsia" w:ascii="宋体" w:hAnsi="宋体" w:eastAsia="宋体" w:cs="宋体"/>
                <w:color w:val="auto"/>
                <w:sz w:val="24"/>
                <w:szCs w:val="24"/>
                <w:highlight w:val="none"/>
                <w:lang w:eastAsia="zh-CN"/>
              </w:rPr>
              <w:t>供应商</w:t>
            </w:r>
            <w:r>
              <w:rPr>
                <w:rFonts w:hint="eastAsia" w:ascii="宋体" w:hAnsi="宋体" w:eastAsia="宋体" w:cs="宋体"/>
                <w:b w:val="0"/>
                <w:bCs/>
                <w:color w:val="auto"/>
                <w:sz w:val="24"/>
                <w:szCs w:val="24"/>
              </w:rPr>
              <w:t>通过资产梳理、网络架构梳理和策略优化、渗透测试和僵木蠕检测等工作。对整体网络进行分析发现网络设计上存在的安全漏洞，对系统所暴漏的可用信息进行分析，分析、辨别系统架构结构查找入侵点。整体评估采购人信息系统的安全风险状况。最终出具风险评估报告。</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2.针对采购人信息系统提供一次风险评估服务。</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3.服务交付物：《风险评估报告》</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★六、信息系统安全规划服务：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以国家信息安全等级保护相关文件为指导，结合采购人信息管理系统安全现状及未来发展趋势，建立一套完善的安全防护体系。通过体系化、标准化的信息安全风险评估，积极采取各种安全管理和安全技术防护措施，落实信息安全等级保护相关要求，提高信构企业信用信息管理系统安全防护能力。</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2.服务交付物：《信息管理系统安全规划建议书》</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七、应急响应服务：</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当信息安全事件发生时，及时响应采购人要求，解决问题，将安全事件的影响及损失降到最低。</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发生安全事件时，应提供响应的应急处置产品缓解攻击态势。</w:t>
            </w:r>
          </w:p>
          <w:p>
            <w:pPr>
              <w:keepNext w:val="0"/>
              <w:keepLines w:val="0"/>
              <w:pageBreakBefore w:val="0"/>
              <w:widowControl/>
              <w:numPr>
                <w:ilvl w:val="0"/>
                <w:numId w:val="5"/>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每年至少提供4次应急响应服务。</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八、重大活动保障：</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在重要时期，提供安全保障服务；服务内容包括但不限于安全值守、应急响应、应急处置。</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提供不少于2次（5*8小时）重大活动保障服务。</w:t>
            </w:r>
          </w:p>
          <w:p>
            <w:pPr>
              <w:keepNext w:val="0"/>
              <w:keepLines w:val="0"/>
              <w:pageBreakBefore w:val="0"/>
              <w:widowControl/>
              <w:numPr>
                <w:ilvl w:val="0"/>
                <w:numId w:val="6"/>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安全事件处置：对各类安全威胁、突发故障和安全事件协调相关资源进行及时有效处理</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九、安全通告服务：</w:t>
            </w:r>
          </w:p>
          <w:p>
            <w:pPr>
              <w:keepNext w:val="0"/>
              <w:keepLines w:val="0"/>
              <w:pageBreakBefore w:val="0"/>
              <w:widowControl/>
              <w:numPr>
                <w:ilvl w:val="0"/>
                <w:numId w:val="7"/>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定期提供最新的安全资讯。包括新闻，流行病毒提示，新病毒列表，系统漏洞提示，安全防护技巧等。</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b/>
                <w:bCs w:val="0"/>
                <w:color w:val="auto"/>
                <w:sz w:val="24"/>
                <w:szCs w:val="24"/>
                <w:lang w:val="en-US" w:eastAsia="zh-CN" w:bidi="ar-SA"/>
              </w:rPr>
            </w:pPr>
            <w:r>
              <w:rPr>
                <w:rFonts w:hint="eastAsia" w:ascii="宋体" w:hAnsi="宋体" w:eastAsia="宋体" w:cs="宋体"/>
                <w:b w:val="0"/>
                <w:bCs/>
                <w:color w:val="auto"/>
                <w:sz w:val="24"/>
                <w:szCs w:val="24"/>
              </w:rPr>
              <w:t>至少提供一年期每周一次的安全通告服务</w:t>
            </w:r>
          </w:p>
        </w:tc>
      </w:tr>
      <w:tr>
        <w:tblPrEx>
          <w:tblCellMar>
            <w:top w:w="0" w:type="dxa"/>
            <w:left w:w="0" w:type="dxa"/>
            <w:bottom w:w="0" w:type="dxa"/>
            <w:right w:w="0" w:type="dxa"/>
          </w:tblCellMar>
        </w:tblPrEx>
        <w:trPr>
          <w:trHeight w:val="577" w:hRule="atLeast"/>
        </w:trPr>
        <w:tc>
          <w:tcPr>
            <w:tcW w:w="2938"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分项最高限价合计（元）</w:t>
            </w:r>
          </w:p>
        </w:tc>
        <w:tc>
          <w:tcPr>
            <w:tcW w:w="7579"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keepNext w:val="0"/>
              <w:keepLines w:val="0"/>
              <w:pageBreakBefore w:val="0"/>
              <w:kinsoku/>
              <w:wordWrap/>
              <w:overflowPunct/>
              <w:topLinePunct w:val="0"/>
              <w:autoSpaceDE/>
              <w:bidi w:val="0"/>
              <w:snapToGrid w:val="0"/>
              <w:spacing w:after="0" w:line="480" w:lineRule="exact"/>
              <w:ind w:firstLine="240" w:firstLineChars="100"/>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3000</w:t>
            </w:r>
            <w:r>
              <w:rPr>
                <w:rFonts w:hint="eastAsia" w:ascii="宋体" w:hAnsi="宋体" w:eastAsia="宋体" w:cs="宋体"/>
                <w:color w:val="auto"/>
                <w:sz w:val="24"/>
                <w:szCs w:val="24"/>
              </w:rPr>
              <w:t>00.00元</w:t>
            </w:r>
          </w:p>
        </w:tc>
      </w:tr>
      <w:tr>
        <w:tblPrEx>
          <w:tblCellMar>
            <w:top w:w="0" w:type="dxa"/>
            <w:left w:w="0" w:type="dxa"/>
            <w:bottom w:w="0" w:type="dxa"/>
            <w:right w:w="0" w:type="dxa"/>
          </w:tblCellMar>
        </w:tblPrEx>
        <w:trPr>
          <w:trHeight w:val="1527" w:hRule="atLeast"/>
        </w:trPr>
        <w:tc>
          <w:tcPr>
            <w:tcW w:w="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商</w:t>
            </w:r>
          </w:p>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务</w:t>
            </w:r>
          </w:p>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条</w:t>
            </w:r>
          </w:p>
          <w:p>
            <w:pPr>
              <w:keepNext w:val="0"/>
              <w:keepLines w:val="0"/>
              <w:pageBreakBefore w:val="0"/>
              <w:kinsoku/>
              <w:wordWrap/>
              <w:overflowPunct/>
              <w:topLinePunct w:val="0"/>
              <w:autoSpaceDE/>
              <w:bidi w:val="0"/>
              <w:snapToGrid w:val="0"/>
              <w:spacing w:after="0" w:line="480" w:lineRule="exact"/>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款</w:t>
            </w:r>
          </w:p>
        </w:tc>
        <w:tc>
          <w:tcPr>
            <w:tcW w:w="100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一、合同签订期：自</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通知书发出之日起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7</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w:t>
            </w:r>
            <w:r>
              <w:rPr>
                <w:rFonts w:hint="eastAsia" w:ascii="宋体" w:hAnsi="宋体" w:eastAsia="宋体" w:cs="宋体"/>
                <w:color w:val="auto"/>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u w:val="single"/>
              </w:rPr>
            </w:pPr>
            <w:r>
              <w:rPr>
                <w:rFonts w:hint="eastAsia" w:ascii="宋体" w:hAnsi="宋体" w:eastAsia="宋体" w:cs="宋体"/>
                <w:b/>
                <w:color w:val="auto"/>
                <w:sz w:val="24"/>
                <w:szCs w:val="24"/>
              </w:rPr>
              <w:t>★</w:t>
            </w:r>
            <w:r>
              <w:rPr>
                <w:rFonts w:hint="eastAsia" w:ascii="宋体" w:hAnsi="宋体" w:eastAsia="宋体" w:cs="宋体"/>
                <w:color w:val="auto"/>
                <w:sz w:val="24"/>
                <w:szCs w:val="24"/>
              </w:rPr>
              <w:t>二、</w:t>
            </w:r>
            <w:r>
              <w:rPr>
                <w:rFonts w:hint="eastAsia" w:ascii="宋体" w:hAnsi="宋体" w:eastAsia="宋体" w:cs="宋体"/>
                <w:bCs/>
                <w:color w:val="auto"/>
                <w:sz w:val="24"/>
                <w:szCs w:val="24"/>
              </w:rPr>
              <w:t>提交服务成果时间：</w:t>
            </w:r>
            <w:r>
              <w:rPr>
                <w:rFonts w:hint="eastAsia" w:ascii="宋体" w:hAnsi="宋体" w:eastAsia="宋体" w:cs="宋体"/>
                <w:bCs/>
                <w:color w:val="auto"/>
                <w:sz w:val="24"/>
                <w:szCs w:val="24"/>
                <w:u w:val="none"/>
              </w:rPr>
              <w:t>签订合同之日起2个月内完成</w:t>
            </w:r>
            <w:r>
              <w:rPr>
                <w:rFonts w:hint="eastAsia" w:ascii="宋体" w:hAnsi="宋体" w:eastAsia="宋体" w:cs="宋体"/>
                <w:bCs/>
                <w:color w:val="auto"/>
                <w:sz w:val="24"/>
                <w:szCs w:val="24"/>
                <w:u w:val="none"/>
                <w:lang w:eastAsia="zh-CN"/>
              </w:rPr>
              <w:t>。</w:t>
            </w:r>
            <w:r>
              <w:rPr>
                <w:rFonts w:hint="eastAsia" w:ascii="宋体" w:hAnsi="宋体" w:eastAsia="宋体" w:cs="宋体"/>
                <w:bCs/>
                <w:color w:val="auto"/>
                <w:sz w:val="24"/>
                <w:szCs w:val="24"/>
                <w:u w:val="single"/>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bCs/>
                <w:color w:val="auto"/>
                <w:sz w:val="24"/>
                <w:szCs w:val="24"/>
                <w:u w:val="single"/>
                <w:lang w:eastAsia="zh-CN"/>
              </w:rPr>
            </w:pPr>
            <w:r>
              <w:rPr>
                <w:rFonts w:hint="eastAsia" w:ascii="宋体" w:hAnsi="宋体" w:eastAsia="宋体" w:cs="宋体"/>
                <w:color w:val="auto"/>
                <w:sz w:val="24"/>
                <w:szCs w:val="24"/>
              </w:rPr>
              <w:t>三、</w:t>
            </w:r>
            <w:r>
              <w:rPr>
                <w:rFonts w:hint="eastAsia" w:ascii="宋体" w:hAnsi="宋体" w:eastAsia="宋体" w:cs="宋体"/>
                <w:bCs/>
                <w:color w:val="auto"/>
                <w:sz w:val="24"/>
                <w:szCs w:val="24"/>
              </w:rPr>
              <w:t>提交服务成果地点：</w:t>
            </w:r>
            <w:r>
              <w:rPr>
                <w:rFonts w:hint="eastAsia" w:ascii="宋体" w:hAnsi="宋体" w:eastAsia="宋体" w:cs="宋体"/>
                <w:bCs/>
                <w:color w:val="auto"/>
                <w:sz w:val="24"/>
                <w:szCs w:val="24"/>
                <w:u w:val="none"/>
              </w:rPr>
              <w:t>采购人指定地点</w:t>
            </w:r>
            <w:r>
              <w:rPr>
                <w:rFonts w:hint="eastAsia" w:ascii="宋体" w:hAnsi="宋体" w:eastAsia="宋体" w:cs="宋体"/>
                <w:bCs/>
                <w:color w:val="auto"/>
                <w:sz w:val="24"/>
                <w:szCs w:val="24"/>
                <w:u w:val="none"/>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四、售后服务要求：</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1、质量保证期</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年（自服务验收合格之日起计）</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2、免费送货上门、免费安装调试至设备到最佳状态、免费培训操作人员。</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3、渗透测试等安全服务不能影响采购人业务正常运行，在扫描等容易影响业务正常运行的操作时，应该选择业务低峰期进行。</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除承担运输、安装、调试、验收与培训等义务外，还将为采购人提供技术支持，包括保修期外的修理及技术指导、配件供应等。</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五、其他要求：</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color w:val="auto"/>
                <w:sz w:val="24"/>
                <w:szCs w:val="24"/>
              </w:rPr>
              <w:t>1、报价必须含以下部分，包括：</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（1）服务的价格；</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投</w:t>
            </w:r>
            <w:r>
              <w:rPr>
                <w:rFonts w:hint="eastAsia" w:ascii="宋体" w:hAnsi="宋体" w:eastAsia="宋体" w:cs="宋体"/>
                <w:color w:val="auto"/>
                <w:sz w:val="24"/>
                <w:szCs w:val="24"/>
              </w:rPr>
              <w:t>标报价为总额报价，即一次性报出本项目所需的所有费用，含派出工作人员的交通费、住宿费、伙食补助费及其他与评测服务有关的费用。本项目至验收结束，采购人不另支付任何费用。</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（2）必要的保险费用和各项税金；</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（3）履行合同所可能产生的其他费用，如技术支持、售后服务等；</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（4）验收费用；</w:t>
            </w:r>
          </w:p>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2、付款方式：本项目无预付款，中标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所提交的服务经采购人书面验收合格后，一次性支付合同款。</w:t>
            </w:r>
          </w:p>
        </w:tc>
      </w:tr>
    </w:tbl>
    <w:p>
      <w:pPr>
        <w:pStyle w:val="2"/>
        <w:rPr>
          <w:rFonts w:asciiTheme="majorEastAsia" w:hAnsiTheme="majorEastAsia" w:eastAsiaTheme="majorEastAsia"/>
          <w:b/>
          <w:bCs/>
          <w:color w:val="auto"/>
          <w:sz w:val="28"/>
          <w:szCs w:val="28"/>
        </w:rPr>
        <w:sectPr>
          <w:footerReference r:id="rId13" w:type="default"/>
          <w:pgSz w:w="11906" w:h="16838"/>
          <w:pgMar w:top="1440" w:right="1080" w:bottom="1440" w:left="1080" w:header="851" w:footer="907" w:gutter="0"/>
          <w:cols w:space="720" w:num="1"/>
          <w:docGrid w:type="lines" w:linePitch="312" w:charSpace="0"/>
        </w:sectPr>
      </w:pPr>
    </w:p>
    <w:p>
      <w:pPr>
        <w:pStyle w:val="16"/>
        <w:jc w:val="center"/>
        <w:outlineLvl w:val="0"/>
        <w:rPr>
          <w:rFonts w:cs="宋体" w:asciiTheme="majorEastAsia" w:hAnsiTheme="majorEastAsia" w:eastAsiaTheme="majorEastAsia"/>
          <w:b/>
          <w:color w:val="auto"/>
          <w:sz w:val="36"/>
        </w:rPr>
      </w:pPr>
      <w:bookmarkStart w:id="16" w:name="_Toc508092927"/>
      <w:r>
        <w:rPr>
          <w:rFonts w:hint="eastAsia" w:cs="宋体" w:asciiTheme="majorEastAsia" w:hAnsiTheme="majorEastAsia" w:eastAsiaTheme="majorEastAsia"/>
          <w:b/>
          <w:color w:val="auto"/>
          <w:sz w:val="36"/>
        </w:rPr>
        <w:t xml:space="preserve"> </w:t>
      </w:r>
      <w:bookmarkStart w:id="17" w:name="_Toc15441"/>
      <w:r>
        <w:rPr>
          <w:rFonts w:hint="eastAsia" w:cs="宋体" w:asciiTheme="majorEastAsia" w:hAnsiTheme="majorEastAsia" w:eastAsiaTheme="majorEastAsia"/>
          <w:b/>
          <w:color w:val="auto"/>
          <w:sz w:val="36"/>
        </w:rPr>
        <w:t>第三章  评审方法</w:t>
      </w:r>
      <w:bookmarkEnd w:id="16"/>
      <w:bookmarkEnd w:id="17"/>
    </w:p>
    <w:p>
      <w:pPr>
        <w:spacing w:line="360" w:lineRule="auto"/>
        <w:ind w:firstLine="602" w:firstLineChars="200"/>
        <w:jc w:val="center"/>
        <w:rPr>
          <w:rFonts w:asciiTheme="majorEastAsia" w:hAnsiTheme="majorEastAsia" w:eastAsiaTheme="majorEastAsia"/>
          <w:b/>
          <w:color w:val="auto"/>
          <w:sz w:val="30"/>
          <w:szCs w:val="30"/>
        </w:rPr>
      </w:pPr>
      <w:bookmarkStart w:id="18" w:name="_Toc508092928"/>
      <w:r>
        <w:rPr>
          <w:rFonts w:hint="eastAsia" w:asciiTheme="majorEastAsia" w:hAnsiTheme="majorEastAsia" w:eastAsiaTheme="majorEastAsia"/>
          <w:b/>
          <w:color w:val="auto"/>
          <w:sz w:val="30"/>
          <w:szCs w:val="30"/>
        </w:rPr>
        <w:t>综合评分法</w:t>
      </w:r>
    </w:p>
    <w:p>
      <w:pPr>
        <w:pStyle w:val="16"/>
        <w:keepNext w:val="0"/>
        <w:keepLines w:val="0"/>
        <w:pageBreakBefore w:val="0"/>
        <w:kinsoku/>
        <w:wordWrap/>
        <w:overflowPunct/>
        <w:topLinePunct w:val="0"/>
        <w:autoSpaceDE/>
        <w:autoSpaceDN/>
        <w:bidi w:val="0"/>
        <w:snapToGrid w:val="0"/>
        <w:spacing w:line="312" w:lineRule="auto"/>
        <w:ind w:firstLine="312" w:firstLineChars="130"/>
        <w:textAlignment w:val="auto"/>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rPr>
        <w:t>（一）评标委员会以招标文件为依据，对投标文件进行评审，对投标人的投标报价、技术性能及配置、财务状况，信誉分；业绩，售后服务；政策功能等七方面内容按百分制打分，其中价格分</w:t>
      </w:r>
      <w:r>
        <w:rPr>
          <w:rFonts w:hint="default" w:asciiTheme="majorEastAsia" w:hAnsiTheme="majorEastAsia" w:eastAsiaTheme="majorEastAsia"/>
          <w:color w:val="auto"/>
          <w:sz w:val="24"/>
          <w:szCs w:val="24"/>
        </w:rPr>
        <w:t>30</w:t>
      </w:r>
      <w:r>
        <w:rPr>
          <w:rFonts w:hint="eastAsia" w:asciiTheme="majorEastAsia" w:hAnsiTheme="majorEastAsia" w:eastAsiaTheme="majorEastAsia"/>
          <w:color w:val="auto"/>
          <w:sz w:val="24"/>
          <w:szCs w:val="24"/>
        </w:rPr>
        <w:t>分，技术分</w:t>
      </w:r>
      <w:r>
        <w:rPr>
          <w:rFonts w:hint="default" w:asciiTheme="majorEastAsia" w:hAnsiTheme="majorEastAsia" w:eastAsiaTheme="majorEastAsia"/>
          <w:color w:val="auto"/>
          <w:sz w:val="24"/>
          <w:szCs w:val="24"/>
        </w:rPr>
        <w:t>50</w:t>
      </w:r>
      <w:r>
        <w:rPr>
          <w:rFonts w:hint="eastAsia" w:asciiTheme="majorEastAsia" w:hAnsiTheme="majorEastAsia" w:eastAsiaTheme="majorEastAsia"/>
          <w:color w:val="auto"/>
          <w:sz w:val="24"/>
          <w:szCs w:val="24"/>
        </w:rPr>
        <w:t>分，信誉业绩分</w:t>
      </w:r>
      <w:r>
        <w:rPr>
          <w:rFonts w:hint="eastAsia" w:asciiTheme="majorEastAsia" w:hAnsiTheme="majorEastAsia" w:eastAsiaTheme="majorEastAsia"/>
          <w:color w:val="auto"/>
          <w:sz w:val="24"/>
          <w:szCs w:val="24"/>
          <w:lang w:val="en-US" w:eastAsia="zh-CN"/>
        </w:rPr>
        <w:t>20</w:t>
      </w:r>
      <w:permStart w:id="5" w:edGrp="everyone"/>
      <w:permEnd w:id="5"/>
      <w:r>
        <w:rPr>
          <w:rFonts w:hint="eastAsia" w:asciiTheme="majorEastAsia" w:hAnsiTheme="majorEastAsia" w:eastAsiaTheme="majorEastAsia"/>
          <w:color w:val="auto"/>
          <w:sz w:val="24"/>
          <w:szCs w:val="24"/>
        </w:rPr>
        <w:t>分</w:t>
      </w:r>
      <w:r>
        <w:rPr>
          <w:rFonts w:hint="eastAsia" w:asciiTheme="majorEastAsia" w:hAnsiTheme="majorEastAsia" w:eastAsiaTheme="majorEastAsia"/>
          <w:color w:val="auto"/>
          <w:sz w:val="24"/>
          <w:szCs w:val="24"/>
          <w:highlight w:val="none"/>
        </w:rPr>
        <w:t>。</w:t>
      </w:r>
      <w:permStart w:id="6" w:edGrp="everyone"/>
      <w:permEnd w:id="6"/>
    </w:p>
    <w:p>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（二）评分细则：（按四舍五入取至小数点后两位）</w:t>
      </w:r>
    </w:p>
    <w:p>
      <w:pPr>
        <w:keepNext w:val="0"/>
        <w:keepLines w:val="0"/>
        <w:pageBreakBefore w:val="0"/>
        <w:kinsoku/>
        <w:wordWrap/>
        <w:overflowPunct/>
        <w:topLinePunct w:val="0"/>
        <w:autoSpaceDE/>
        <w:autoSpaceDN/>
        <w:bidi w:val="0"/>
        <w:snapToGrid w:val="0"/>
        <w:spacing w:line="312" w:lineRule="auto"/>
        <w:ind w:firstLine="482" w:firstLineChars="200"/>
        <w:textAlignment w:val="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1、价格分……………………………………………………………………………</w:t>
      </w:r>
      <w:r>
        <w:rPr>
          <w:rFonts w:hint="default" w:asciiTheme="majorEastAsia" w:hAnsiTheme="majorEastAsia" w:eastAsiaTheme="majorEastAsia"/>
          <w:b/>
          <w:color w:val="auto"/>
          <w:sz w:val="24"/>
          <w:szCs w:val="24"/>
        </w:rPr>
        <w:t>30</w:t>
      </w:r>
      <w:r>
        <w:rPr>
          <w:rFonts w:hint="eastAsia" w:asciiTheme="majorEastAsia" w:hAnsiTheme="majorEastAsia" w:eastAsiaTheme="majorEastAsia"/>
          <w:b/>
          <w:color w:val="auto"/>
          <w:sz w:val="24"/>
          <w:szCs w:val="24"/>
        </w:rPr>
        <w:t>分</w:t>
      </w:r>
    </w:p>
    <w:p>
      <w:pPr>
        <w:pStyle w:val="16"/>
        <w:keepNext w:val="0"/>
        <w:keepLines w:val="0"/>
        <w:pageBreakBefore w:val="0"/>
        <w:kinsoku/>
        <w:wordWrap/>
        <w:overflowPunct/>
        <w:topLinePunct w:val="0"/>
        <w:autoSpaceDE/>
        <w:autoSpaceDN/>
        <w:bidi w:val="0"/>
        <w:snapToGrid w:val="0"/>
        <w:spacing w:line="312" w:lineRule="auto"/>
        <w:ind w:firstLine="480" w:firstLineChars="200"/>
        <w:textAlignment w:val="auto"/>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（1）对于非专门面向中小企业的项目，对小型和微型企业产品的价格给予</w:t>
      </w:r>
      <w:r>
        <w:rPr>
          <w:rFonts w:hint="eastAsia" w:cs="宋体" w:asciiTheme="majorEastAsia" w:hAnsiTheme="majorEastAsia" w:eastAsiaTheme="majorEastAsia"/>
          <w:color w:val="auto"/>
          <w:sz w:val="24"/>
          <w:szCs w:val="24"/>
          <w:shd w:val="pct10" w:color="auto" w:fill="FFFFFF"/>
          <w:lang w:val="en-US" w:eastAsia="zh-CN"/>
        </w:rPr>
        <w:t>10</w:t>
      </w:r>
      <w:r>
        <w:rPr>
          <w:rFonts w:hint="eastAsia" w:cs="宋体" w:asciiTheme="majorEastAsia" w:hAnsiTheme="majorEastAsia" w:eastAsiaTheme="majorEastAsia"/>
          <w:color w:val="auto"/>
          <w:sz w:val="24"/>
          <w:szCs w:val="24"/>
          <w:shd w:val="pct10" w:color="auto" w:fill="FFFFFF"/>
        </w:rPr>
        <w:t>%</w:t>
      </w:r>
      <w:r>
        <w:rPr>
          <w:rFonts w:hint="eastAsia" w:cs="宋体" w:asciiTheme="majorEastAsia" w:hAnsiTheme="majorEastAsia" w:eastAsiaTheme="majorEastAsia"/>
          <w:color w:val="auto"/>
          <w:sz w:val="24"/>
          <w:szCs w:val="24"/>
        </w:rPr>
        <w:t>的价格扣除，扣除后的价格为评标价，即评标价＝投标报价×（1-</w:t>
      </w:r>
      <w:r>
        <w:rPr>
          <w:rFonts w:hint="eastAsia" w:cs="宋体" w:asciiTheme="majorEastAsia" w:hAnsiTheme="majorEastAsia" w:eastAsiaTheme="majorEastAsia"/>
          <w:color w:val="auto"/>
          <w:sz w:val="24"/>
          <w:szCs w:val="24"/>
          <w:shd w:val="pct10" w:color="auto" w:fill="FFFFFF"/>
          <w:lang w:val="en-US" w:eastAsia="zh-CN"/>
        </w:rPr>
        <w:t>10</w:t>
      </w:r>
      <w:r>
        <w:rPr>
          <w:rFonts w:hint="eastAsia" w:cs="宋体" w:asciiTheme="majorEastAsia" w:hAnsiTheme="majorEastAsia" w:eastAsiaTheme="majorEastAsia"/>
          <w:color w:val="auto"/>
          <w:sz w:val="24"/>
          <w:szCs w:val="24"/>
          <w:shd w:val="pct10" w:color="auto" w:fill="FFFFFF"/>
        </w:rPr>
        <w:t>%</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Cs/>
          <w:color w:val="auto"/>
          <w:sz w:val="24"/>
          <w:szCs w:val="24"/>
        </w:rPr>
        <w:t>（以投标人按第五章“投标文件格式”要求提供的《报价表》和《</w:t>
      </w:r>
      <w:r>
        <w:rPr>
          <w:rFonts w:hint="eastAsia" w:cs="宋体" w:asciiTheme="majorEastAsia" w:hAnsiTheme="majorEastAsia" w:eastAsiaTheme="majorEastAsia"/>
          <w:color w:val="auto"/>
          <w:sz w:val="24"/>
          <w:szCs w:val="24"/>
        </w:rPr>
        <w:t>中小企业声明函</w:t>
      </w:r>
      <w:r>
        <w:rPr>
          <w:rFonts w:hint="eastAsia" w:cs="宋体" w:asciiTheme="majorEastAsia" w:hAnsiTheme="majorEastAsia" w:eastAsiaTheme="majorEastAsia"/>
          <w:bCs/>
          <w:color w:val="auto"/>
          <w:sz w:val="24"/>
          <w:szCs w:val="24"/>
        </w:rPr>
        <w:t>》为评分依据）</w:t>
      </w:r>
    </w:p>
    <w:p>
      <w:pPr>
        <w:pStyle w:val="16"/>
        <w:keepNext w:val="0"/>
        <w:keepLines w:val="0"/>
        <w:pageBreakBefore w:val="0"/>
        <w:kinsoku/>
        <w:wordWrap/>
        <w:overflowPunct/>
        <w:topLinePunct w:val="0"/>
        <w:autoSpaceDE/>
        <w:autoSpaceDN/>
        <w:bidi w:val="0"/>
        <w:snapToGrid w:val="0"/>
        <w:spacing w:line="312" w:lineRule="auto"/>
        <w:ind w:firstLine="480" w:firstLineChars="200"/>
        <w:textAlignment w:val="auto"/>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（2）对大中型企业和其他自然人、法人或者其他组织与小型、微型企业组成联合体，且联合体协议中约定小型、微型企业的协议合同金额占到联合体协议合同总金额30%以上的，给予</w:t>
      </w:r>
      <w:r>
        <w:rPr>
          <w:rFonts w:hint="eastAsia" w:cs="宋体" w:asciiTheme="majorEastAsia" w:hAnsiTheme="majorEastAsia" w:eastAsiaTheme="majorEastAsia"/>
          <w:color w:val="auto"/>
          <w:sz w:val="24"/>
          <w:szCs w:val="24"/>
          <w:shd w:val="pct10" w:color="auto" w:fill="FFFFFF"/>
        </w:rPr>
        <w:t>2%</w:t>
      </w:r>
      <w:r>
        <w:rPr>
          <w:rFonts w:hint="eastAsia" w:cs="宋体" w:asciiTheme="majorEastAsia" w:hAnsiTheme="majorEastAsia" w:eastAsiaTheme="majorEastAsia"/>
          <w:color w:val="auto"/>
          <w:sz w:val="24"/>
          <w:szCs w:val="24"/>
        </w:rPr>
        <w:t>的价格扣除，扣除后的价格为评标价，即评标价＝投标报价×（1-</w:t>
      </w:r>
      <w:r>
        <w:rPr>
          <w:rFonts w:hint="eastAsia" w:cs="宋体" w:asciiTheme="majorEastAsia" w:hAnsiTheme="majorEastAsia" w:eastAsiaTheme="majorEastAsia"/>
          <w:color w:val="auto"/>
          <w:sz w:val="24"/>
          <w:szCs w:val="24"/>
          <w:shd w:val="pct10" w:color="auto" w:fill="FFFFFF"/>
        </w:rPr>
        <w:t>2%</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Cs/>
          <w:color w:val="auto"/>
          <w:sz w:val="24"/>
          <w:szCs w:val="24"/>
        </w:rPr>
        <w:t>（以投标人按第五章“投标文件格式”要求提供的《报价表》、《中小企业声明函》和《联合体协议书》为评分依据）</w:t>
      </w:r>
    </w:p>
    <w:p>
      <w:pPr>
        <w:pStyle w:val="16"/>
        <w:keepNext w:val="0"/>
        <w:keepLines w:val="0"/>
        <w:pageBreakBefore w:val="0"/>
        <w:kinsoku/>
        <w:wordWrap/>
        <w:overflowPunct/>
        <w:topLinePunct w:val="0"/>
        <w:autoSpaceDE/>
        <w:autoSpaceDN/>
        <w:bidi w:val="0"/>
        <w:snapToGrid w:val="0"/>
        <w:spacing w:line="312" w:lineRule="auto"/>
        <w:ind w:firstLine="480" w:firstLineChars="200"/>
        <w:textAlignment w:val="auto"/>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（3）投标产品提供企业按《关于政府采购支持监狱企业发展有关问题的通知》(财库[2014]68号)认定为监狱企业的，在政府采购活动中，监狱企业视</w:t>
      </w:r>
      <w:bookmarkStart w:id="55" w:name="_GoBack"/>
      <w:bookmarkEnd w:id="55"/>
      <w:r>
        <w:rPr>
          <w:rFonts w:hint="eastAsia" w:cs="宋体" w:asciiTheme="majorEastAsia" w:hAnsiTheme="majorEastAsia" w:eastAsiaTheme="majorEastAsia"/>
          <w:color w:val="auto"/>
          <w:sz w:val="24"/>
          <w:szCs w:val="24"/>
        </w:rPr>
        <w:t>同小型、微型企业。（以投标人按第五章“投标文件格式”要求提供的《报价表》和由省级以上监狱管理局、戒毒管理局(含新疆生产建设兵团)出具的属于监狱企业的证明文件为评分依据。</w:t>
      </w:r>
    </w:p>
    <w:p>
      <w:pPr>
        <w:pStyle w:val="16"/>
        <w:keepNext w:val="0"/>
        <w:keepLines w:val="0"/>
        <w:pageBreakBefore w:val="0"/>
        <w:kinsoku/>
        <w:wordWrap/>
        <w:overflowPunct/>
        <w:topLinePunct w:val="0"/>
        <w:autoSpaceDE/>
        <w:autoSpaceDN/>
        <w:bidi w:val="0"/>
        <w:snapToGrid w:val="0"/>
        <w:spacing w:line="312" w:lineRule="auto"/>
        <w:ind w:firstLine="480" w:firstLineChars="200"/>
        <w:textAlignment w:val="auto"/>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4）投标产品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声明函应随中标结果同时公告，接受社会监督。（以投标人按第五章“投标文件格式”要求提供的《报价表》和《残疾人福利性单位声明函》为评分依据）。</w:t>
      </w:r>
    </w:p>
    <w:p>
      <w:pPr>
        <w:pStyle w:val="16"/>
        <w:keepNext w:val="0"/>
        <w:keepLines w:val="0"/>
        <w:pageBreakBefore w:val="0"/>
        <w:kinsoku/>
        <w:wordWrap/>
        <w:overflowPunct/>
        <w:topLinePunct w:val="0"/>
        <w:autoSpaceDE/>
        <w:autoSpaceDN/>
        <w:bidi w:val="0"/>
        <w:snapToGrid w:val="0"/>
        <w:spacing w:line="312" w:lineRule="auto"/>
        <w:ind w:firstLine="480" w:firstLineChars="200"/>
        <w:textAlignment w:val="auto"/>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（5）除上述情况外，评标价＝投标报价；</w:t>
      </w:r>
    </w:p>
    <w:p>
      <w:pPr>
        <w:keepNext w:val="0"/>
        <w:keepLines w:val="0"/>
        <w:pageBreakBefore w:val="0"/>
        <w:kinsoku/>
        <w:wordWrap/>
        <w:overflowPunct/>
        <w:topLinePunct w:val="0"/>
        <w:autoSpaceDE/>
        <w:autoSpaceDN/>
        <w:bidi w:val="0"/>
        <w:snapToGrid w:val="0"/>
        <w:spacing w:line="312" w:lineRule="auto"/>
        <w:ind w:firstLine="480" w:firstLineChars="200"/>
        <w:textAlignment w:val="auto"/>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（6）价格分计算公式：</w:t>
      </w:r>
    </w:p>
    <w:p>
      <w:pPr>
        <w:pStyle w:val="15"/>
        <w:keepNext w:val="0"/>
        <w:keepLines w:val="0"/>
        <w:pageBreakBefore w:val="0"/>
        <w:kinsoku/>
        <w:wordWrap/>
        <w:overflowPunct/>
        <w:topLinePunct w:val="0"/>
        <w:autoSpaceDE/>
        <w:autoSpaceDN/>
        <w:bidi w:val="0"/>
        <w:snapToGrid w:val="0"/>
        <w:spacing w:line="312" w:lineRule="auto"/>
        <w:ind w:firstLine="3944" w:firstLineChars="1700"/>
        <w:textAlignment w:val="auto"/>
        <w:rPr>
          <w:rFonts w:hint="default"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投标人最低评标价金额</w:t>
      </w:r>
    </w:p>
    <w:p>
      <w:pPr>
        <w:pStyle w:val="15"/>
        <w:keepNext w:val="0"/>
        <w:keepLines w:val="0"/>
        <w:pageBreakBefore w:val="0"/>
        <w:kinsoku/>
        <w:wordWrap/>
        <w:overflowPunct/>
        <w:topLinePunct w:val="0"/>
        <w:autoSpaceDE/>
        <w:autoSpaceDN/>
        <w:bidi w:val="0"/>
        <w:snapToGrid w:val="0"/>
        <w:spacing w:line="312" w:lineRule="auto"/>
        <w:ind w:firstLine="1160" w:firstLineChars="500"/>
        <w:textAlignment w:val="auto"/>
        <w:rPr>
          <w:rFonts w:hint="default" w:cs="宋体" w:asciiTheme="majorEastAsia" w:hAnsiTheme="majorEastAsia" w:eastAsiaTheme="majorEastAsia"/>
          <w:color w:val="auto"/>
          <w:sz w:val="24"/>
          <w:szCs w:val="24"/>
        </w:rPr>
      </w:pPr>
      <w:r>
        <w:rPr>
          <w:rFonts w:hint="default" w:cs="宋体" w:asciiTheme="majorEastAsia" w:hAnsiTheme="majorEastAsia" w:eastAsiaTheme="majorEastAsia"/>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2375535</wp:posOffset>
                </wp:positionH>
                <wp:positionV relativeFrom="paragraph">
                  <wp:posOffset>106680</wp:posOffset>
                </wp:positionV>
                <wp:extent cx="16706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706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7.05pt;margin-top:8.4pt;height:0pt;width:131.55pt;z-index:251660288;mso-width-relative:page;mso-height-relative:page;" filled="f" stroked="t" coordsize="21600,21600" o:gfxdata="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6CaMy1gAAAAkBAAAPAAAAAAAAAAEAIAAAACIAAABkcnMvZG93bnJldi54bWxQSwECFAAUAAAA&#10;CACHTuJA3cP5r/ABAADmAwAADgAAAAAAAAABACAAAAAlAQAAZHJzL2Uyb0RvYy54bWxQSwUGAAAA&#10;AAYABgBZAQAAhwUAAAAA&#10;">
                <v:fill on="f" focussize="0,0"/>
                <v:stroke color="#000000" joinstyle="round"/>
                <v:imagedata o:title=""/>
                <o:lock v:ext="edit" aspectratio="f"/>
              </v:line>
            </w:pict>
          </mc:Fallback>
        </mc:AlternateContent>
      </w:r>
      <w:r>
        <w:rPr>
          <w:rFonts w:cs="宋体" w:asciiTheme="majorEastAsia" w:hAnsiTheme="majorEastAsia" w:eastAsiaTheme="majorEastAsia"/>
          <w:color w:val="auto"/>
          <w:sz w:val="24"/>
          <w:szCs w:val="24"/>
        </w:rPr>
        <w:t>某投标人价格分 ＝                               ×　30分</w:t>
      </w:r>
    </w:p>
    <w:p>
      <w:pPr>
        <w:pStyle w:val="15"/>
        <w:keepNext w:val="0"/>
        <w:keepLines w:val="0"/>
        <w:pageBreakBefore w:val="0"/>
        <w:kinsoku/>
        <w:wordWrap/>
        <w:overflowPunct/>
        <w:topLinePunct w:val="0"/>
        <w:autoSpaceDE/>
        <w:autoSpaceDN/>
        <w:bidi w:val="0"/>
        <w:snapToGrid w:val="0"/>
        <w:spacing w:line="312" w:lineRule="auto"/>
        <w:ind w:firstLine="464" w:firstLineChars="200"/>
        <w:textAlignment w:val="auto"/>
        <w:rPr>
          <w:rFonts w:hint="default" w:cs="宋体" w:asciiTheme="majorEastAsia" w:hAnsiTheme="majorEastAsia" w:eastAsiaTheme="majorEastAsia"/>
          <w:color w:val="auto"/>
          <w:kern w:val="0"/>
          <w:sz w:val="24"/>
          <w:szCs w:val="24"/>
        </w:rPr>
      </w:pPr>
      <w:r>
        <w:rPr>
          <w:rFonts w:cs="宋体" w:asciiTheme="majorEastAsia" w:hAnsiTheme="majorEastAsia" w:eastAsiaTheme="majorEastAsia"/>
          <w:color w:val="auto"/>
          <w:sz w:val="24"/>
          <w:szCs w:val="24"/>
        </w:rPr>
        <w:t xml:space="preserve">                   　          某投标人评标价金额</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2、技术分………………………………………………………………………………………</w:t>
      </w:r>
      <w:r>
        <w:rPr>
          <w:rFonts w:hint="default" w:ascii="宋体" w:hAnsi="宋体" w:eastAsia="宋体" w:cs="宋体"/>
          <w:b/>
          <w:color w:val="auto"/>
          <w:sz w:val="24"/>
          <w:szCs w:val="24"/>
        </w:rPr>
        <w:t>50</w:t>
      </w:r>
      <w:r>
        <w:rPr>
          <w:rFonts w:hint="eastAsia" w:ascii="宋体" w:hAnsi="宋体" w:eastAsia="宋体" w:cs="宋体"/>
          <w:b/>
          <w:color w:val="auto"/>
          <w:sz w:val="24"/>
          <w:szCs w:val="24"/>
        </w:rPr>
        <w:t xml:space="preserve">分  </w:t>
      </w:r>
    </w:p>
    <w:p>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（1）技术方案分（满分1</w:t>
      </w:r>
      <w:r>
        <w:rPr>
          <w:rFonts w:hint="default" w:ascii="宋体" w:hAnsi="宋体" w:eastAsia="宋体" w:cs="宋体"/>
          <w:color w:val="auto"/>
          <w:sz w:val="24"/>
          <w:szCs w:val="24"/>
        </w:rPr>
        <w:t>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不满足一档或不提供方案不得分</w:t>
      </w:r>
      <w:r>
        <w:rPr>
          <w:rFonts w:hint="eastAsia" w:ascii="宋体" w:hAnsi="宋体" w:eastAsia="宋体" w:cs="宋体"/>
          <w:color w:val="auto"/>
          <w:sz w:val="24"/>
          <w:szCs w:val="24"/>
        </w:rPr>
        <w:t>）</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档</w:t>
      </w:r>
      <w:r>
        <w:rPr>
          <w:rFonts w:hint="eastAsia" w:ascii="宋体" w:hAnsi="宋体" w:eastAsia="宋体" w:cs="宋体"/>
          <w:color w:val="auto"/>
          <w:sz w:val="24"/>
          <w:szCs w:val="24"/>
          <w:lang w:eastAsia="zh-CN"/>
        </w:rPr>
        <w:t>（</w:t>
      </w:r>
      <w:r>
        <w:rPr>
          <w:rFonts w:hint="default"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：对项目技术环境及情况基本了解，建设思路及需求分析基本符合要求，技术方案简单，基本满足项目需求</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档</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eastAsia="zh-CN"/>
        </w:rPr>
        <w:t>9</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：技术方案较详细、可行，满足项目需求，对项目环境及情况把握准确，服务思路清晰，需求分析合理，总体层次及模式相对清晰，对系统体系结构、功能方面有较详细描述，技术方案良好；</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：技术方案详细、先进，，对服务关键技术点描述清晰、到位，对项目需求了解透彻，充分了解单位信息化现有状况及各应用系统，服务内容设计全面完善，总体模型及层次清晰，技术方案优。</w:t>
      </w:r>
    </w:p>
    <w:p>
      <w:pPr>
        <w:numPr>
          <w:ilvl w:val="0"/>
          <w:numId w:val="8"/>
        </w:num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安全服务工具分（满分</w:t>
      </w:r>
      <w:r>
        <w:rPr>
          <w:rFonts w:hint="default" w:ascii="宋体" w:hAnsi="宋体" w:eastAsia="宋体" w:cs="宋体"/>
          <w:color w:val="auto"/>
          <w:sz w:val="24"/>
          <w:szCs w:val="24"/>
        </w:rPr>
        <w:t>20</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19" w:name="_Hlk44943951"/>
      <w:r>
        <w:rPr>
          <w:rFonts w:hint="eastAsia" w:ascii="宋体" w:hAnsi="宋体" w:eastAsia="宋体" w:cs="宋体"/>
          <w:color w:val="auto"/>
          <w:sz w:val="24"/>
          <w:szCs w:val="24"/>
          <w:highlight w:val="none"/>
        </w:rPr>
        <w:t>本项目使用安全厂家原厂工具，</w:t>
      </w:r>
      <w:bookmarkEnd w:id="19"/>
      <w:r>
        <w:rPr>
          <w:rFonts w:hint="eastAsia" w:ascii="宋体" w:hAnsi="宋体" w:eastAsia="宋体" w:cs="宋体"/>
          <w:color w:val="auto"/>
          <w:sz w:val="24"/>
          <w:szCs w:val="24"/>
          <w:highlight w:val="none"/>
        </w:rPr>
        <w:t>其中网络安全扫描系统、web应用安全扫描系统、数据安全扫描系统、APT检测分析设备均为同一品牌，且均有销售许可证和原厂证明文件（合同或原厂授权使用证明文件）,提供销售许可证复印件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原厂证明文件复印件的得</w:t>
      </w:r>
      <w:r>
        <w:rPr>
          <w:rFonts w:hint="default" w:ascii="宋体" w:hAnsi="宋体" w:eastAsia="宋体" w:cs="宋体"/>
          <w:color w:val="auto"/>
          <w:sz w:val="24"/>
          <w:szCs w:val="24"/>
          <w:highlight w:val="none"/>
        </w:rPr>
        <w:t>5</w:t>
      </w:r>
      <w:r>
        <w:rPr>
          <w:rFonts w:hint="eastAsia" w:ascii="宋体" w:hAnsi="宋体" w:eastAsia="宋体" w:cs="宋体"/>
          <w:color w:val="auto"/>
          <w:sz w:val="24"/>
          <w:szCs w:val="24"/>
          <w:highlight w:val="none"/>
        </w:rPr>
        <w:t>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2）本项目使用安全厂家原厂工具，厂家是参与《GA/T 1107-2013信息安全技术web应用安全扫描产品安全技术要求》和《GAT 1139-2014 信息安全技术 数据库扫描产品安全技术要求》起草单位，提供证明文件，每项得5分，共10分；</w:t>
      </w:r>
    </w:p>
    <w:p>
      <w:pPr>
        <w:spacing w:line="360" w:lineRule="auto"/>
        <w:ind w:firstLine="480" w:firstLineChars="200"/>
        <w:rPr>
          <w:rFonts w:hint="eastAsia" w:ascii="宋体" w:hAnsi="宋体" w:eastAsia="宋体" w:cs="宋体"/>
          <w:color w:val="auto"/>
          <w:sz w:val="24"/>
          <w:szCs w:val="24"/>
          <w:highlight w:val="none"/>
          <w:lang w:val="en-US" w:eastAsia="zh-Hans"/>
        </w:rPr>
      </w:pPr>
      <w:r>
        <w:rPr>
          <w:rFonts w:hint="default"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val="en-US" w:eastAsia="zh-Hans"/>
        </w:rPr>
        <w:t>本项目使用安全厂家原厂工具</w:t>
      </w:r>
      <w:r>
        <w:rPr>
          <w:rFonts w:hint="default"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为保障服务商对等级保护相关安全要求的深度理解</w:t>
      </w:r>
      <w:r>
        <w:rPr>
          <w:rFonts w:hint="default"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原厂家应是等级保护工具箱的研发厂家</w:t>
      </w:r>
      <w:r>
        <w:rPr>
          <w:rFonts w:hint="default"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提供相关证明得</w:t>
      </w:r>
      <w:r>
        <w:rPr>
          <w:rFonts w:hint="default"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val="en-US" w:eastAsia="zh-Hans"/>
        </w:rPr>
        <w:t>分</w:t>
      </w:r>
      <w:r>
        <w:rPr>
          <w:rFonts w:hint="default" w:ascii="宋体" w:hAnsi="宋体" w:eastAsia="宋体" w:cs="宋体"/>
          <w:color w:val="auto"/>
          <w:sz w:val="24"/>
          <w:szCs w:val="24"/>
          <w:highlight w:val="none"/>
          <w:lang w:eastAsia="zh-Hans"/>
        </w:rPr>
        <w:t>。</w:t>
      </w:r>
    </w:p>
    <w:p>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（3）项目组成员（满分</w:t>
      </w:r>
      <w:r>
        <w:rPr>
          <w:rFonts w:hint="default" w:ascii="宋体" w:hAnsi="宋体" w:eastAsia="宋体" w:cs="宋体"/>
          <w:color w:val="auto"/>
          <w:sz w:val="24"/>
          <w:szCs w:val="24"/>
        </w:rPr>
        <w:t>15</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1）本项目需提供原厂安全服务人员，原厂为本项目配备专业的安全服务项目经理，且项目经理具有人社颁发的信息系统项目管理师、具有中国电子信息行业联合会颁发的高级项目经理证书、具有CISP 证书、具有硕士学历（计算机、项目管理、软件工程、网络、信息安全等相关专业）的，提供证书复印件和社保证明文件，同时满足的得</w:t>
      </w:r>
      <w:r>
        <w:rPr>
          <w:rFonts w:hint="default" w:ascii="宋体" w:hAnsi="宋体" w:eastAsia="宋体" w:cs="宋体"/>
          <w:color w:val="auto"/>
          <w:sz w:val="24"/>
          <w:szCs w:val="24"/>
        </w:rPr>
        <w:t>10</w:t>
      </w:r>
      <w:r>
        <w:rPr>
          <w:rFonts w:hint="eastAsia" w:ascii="宋体" w:hAnsi="宋体" w:eastAsia="宋体" w:cs="宋体"/>
          <w:color w:val="auto"/>
          <w:sz w:val="24"/>
          <w:szCs w:val="24"/>
        </w:rPr>
        <w:t>分，满足</w:t>
      </w:r>
      <w:r>
        <w:rPr>
          <w:rFonts w:hint="default" w:ascii="宋体" w:hAnsi="宋体" w:eastAsia="宋体" w:cs="宋体"/>
          <w:color w:val="auto"/>
          <w:sz w:val="24"/>
          <w:szCs w:val="24"/>
        </w:rPr>
        <w:t>3</w:t>
      </w:r>
      <w:r>
        <w:rPr>
          <w:rFonts w:hint="eastAsia" w:ascii="宋体" w:hAnsi="宋体" w:eastAsia="宋体" w:cs="宋体"/>
          <w:color w:val="auto"/>
          <w:sz w:val="24"/>
          <w:szCs w:val="24"/>
        </w:rPr>
        <w:t>项的得</w:t>
      </w:r>
      <w:r>
        <w:rPr>
          <w:rFonts w:hint="default" w:ascii="宋体" w:hAnsi="宋体" w:eastAsia="宋体" w:cs="宋体"/>
          <w:color w:val="auto"/>
          <w:sz w:val="24"/>
          <w:szCs w:val="24"/>
        </w:rPr>
        <w:t>7</w:t>
      </w:r>
      <w:r>
        <w:rPr>
          <w:rFonts w:hint="eastAsia" w:ascii="宋体" w:hAnsi="宋体" w:eastAsia="宋体" w:cs="宋体"/>
          <w:color w:val="auto"/>
          <w:sz w:val="24"/>
          <w:szCs w:val="24"/>
        </w:rPr>
        <w:t>分，满足</w:t>
      </w:r>
      <w:r>
        <w:rPr>
          <w:rFonts w:hint="default" w:ascii="宋体" w:hAnsi="宋体" w:eastAsia="宋体" w:cs="宋体"/>
          <w:color w:val="auto"/>
          <w:sz w:val="24"/>
          <w:szCs w:val="24"/>
        </w:rPr>
        <w:t>2</w:t>
      </w:r>
      <w:r>
        <w:rPr>
          <w:rFonts w:hint="eastAsia" w:ascii="宋体" w:hAnsi="宋体" w:eastAsia="宋体" w:cs="宋体"/>
          <w:color w:val="auto"/>
          <w:sz w:val="24"/>
          <w:szCs w:val="24"/>
        </w:rPr>
        <w:t>项的得</w:t>
      </w:r>
      <w:r>
        <w:rPr>
          <w:rFonts w:hint="default" w:ascii="宋体" w:hAnsi="宋体" w:eastAsia="宋体" w:cs="宋体"/>
          <w:color w:val="auto"/>
          <w:sz w:val="24"/>
          <w:szCs w:val="24"/>
        </w:rPr>
        <w:t>3</w:t>
      </w:r>
      <w:r>
        <w:rPr>
          <w:rFonts w:hint="eastAsia" w:ascii="宋体" w:hAnsi="宋体" w:eastAsia="宋体" w:cs="宋体"/>
          <w:color w:val="auto"/>
          <w:sz w:val="24"/>
          <w:szCs w:val="24"/>
        </w:rPr>
        <w:t>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2）本项目需提供原厂安全服务人员，原厂分析服务人员具有CISP-BDSA（大数据安全分析师）</w:t>
      </w:r>
      <w:r>
        <w:rPr>
          <w:rFonts w:hint="eastAsia" w:ascii="宋体" w:hAnsi="宋体" w:eastAsia="宋体" w:cs="宋体"/>
          <w:color w:val="auto"/>
          <w:sz w:val="24"/>
          <w:szCs w:val="24"/>
          <w:lang w:val="en-US" w:eastAsia="zh-Hans"/>
        </w:rPr>
        <w:t>或</w:t>
      </w:r>
      <w:r>
        <w:rPr>
          <w:rFonts w:hint="default" w:ascii="宋体" w:hAnsi="宋体" w:eastAsia="宋体" w:cs="宋体"/>
          <w:color w:val="auto"/>
          <w:sz w:val="24"/>
          <w:szCs w:val="24"/>
        </w:rPr>
        <w:t>CISP-CSE（云安全工程师）</w:t>
      </w:r>
      <w:r>
        <w:rPr>
          <w:rFonts w:hint="eastAsia" w:ascii="宋体" w:hAnsi="宋体" w:eastAsia="宋体" w:cs="宋体"/>
          <w:color w:val="auto"/>
          <w:sz w:val="24"/>
          <w:szCs w:val="24"/>
        </w:rPr>
        <w:t>资质证书，提供证书复印件和社保证明文件，每提供1名得1分，满分</w:t>
      </w:r>
      <w:r>
        <w:rPr>
          <w:rFonts w:hint="default" w:ascii="宋体" w:hAnsi="宋体" w:eastAsia="宋体" w:cs="宋体"/>
          <w:color w:val="auto"/>
          <w:sz w:val="24"/>
          <w:szCs w:val="24"/>
        </w:rPr>
        <w:t>5</w:t>
      </w:r>
      <w:r>
        <w:rPr>
          <w:rFonts w:hint="eastAsia" w:ascii="宋体" w:hAnsi="宋体" w:eastAsia="宋体" w:cs="宋体"/>
          <w:color w:val="auto"/>
          <w:sz w:val="24"/>
          <w:szCs w:val="24"/>
        </w:rPr>
        <w:t>分；</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3、信誉业绩分…………………………………………………………………………………</w:t>
      </w:r>
      <w:r>
        <w:rPr>
          <w:rFonts w:hint="eastAsia" w:ascii="宋体" w:hAnsi="宋体" w:eastAsia="宋体" w:cs="宋体"/>
          <w:b/>
          <w:color w:val="auto"/>
          <w:sz w:val="24"/>
          <w:szCs w:val="24"/>
          <w:lang w:val="en-US" w:eastAsia="zh-CN"/>
        </w:rPr>
        <w:t>20</w:t>
      </w:r>
      <w:r>
        <w:rPr>
          <w:rFonts w:hint="eastAsia" w:ascii="宋体" w:hAnsi="宋体" w:eastAsia="宋体" w:cs="宋体"/>
          <w:b/>
          <w:color w:val="auto"/>
          <w:sz w:val="24"/>
          <w:szCs w:val="24"/>
        </w:rPr>
        <w:t>分</w:t>
      </w:r>
    </w:p>
    <w:p>
      <w:pPr>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（1）本项目使用安全厂家原厂工具，厂家具有中国信息安全测评中心颁发的《国家信息安全测评信息安全服务资质（安全工程类三级）》证书的得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（2）本项目使用安全厂家原厂工具，厂家具有中国网络安全审查技术与认证中心颁发的《一级信息安全应急处理服务资质》和《一级信息安全风险评估服务资质》证书的得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Hans"/>
        </w:rPr>
        <w:t>本项目使用安全厂家原厂工具</w:t>
      </w:r>
      <w:r>
        <w:rPr>
          <w:rFonts w:hint="default" w:ascii="宋体" w:hAnsi="宋体" w:eastAsia="宋体" w:cs="宋体"/>
          <w:color w:val="auto"/>
          <w:sz w:val="24"/>
          <w:szCs w:val="24"/>
          <w:lang w:eastAsia="zh-Hans"/>
        </w:rPr>
        <w:t>，</w:t>
      </w:r>
      <w:r>
        <w:rPr>
          <w:rFonts w:hint="eastAsia" w:ascii="宋体" w:hAnsi="宋体" w:eastAsia="宋体" w:cs="宋体"/>
          <w:color w:val="auto"/>
          <w:sz w:val="24"/>
          <w:szCs w:val="24"/>
          <w:lang w:val="en-US" w:eastAsia="zh-Hans"/>
        </w:rPr>
        <w:t>原厂家具有中国网络安全审查与技术认证中心颁发的安全运维服务资质得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Hans"/>
        </w:rPr>
        <w:t>分</w:t>
      </w:r>
      <w:r>
        <w:rPr>
          <w:rFonts w:hint="default" w:ascii="宋体" w:hAnsi="宋体" w:eastAsia="宋体" w:cs="宋体"/>
          <w:color w:val="auto"/>
          <w:sz w:val="24"/>
          <w:szCs w:val="24"/>
          <w:lang w:eastAsia="zh-Hans"/>
        </w:rPr>
        <w:t>。</w:t>
      </w:r>
    </w:p>
    <w:p>
      <w:pPr>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（4）本项目使用安全厂家原厂工具，厂家具有国家互联网应急中心（CNCERT）颁发的《网络安全应急服务支撑单位证书（国家级）》的得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spacing w:line="360" w:lineRule="auto"/>
        <w:ind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（5）本项目使用安全厂家原厂工具，厂家具有信息安全服务项目经验， </w:t>
      </w:r>
      <w:r>
        <w:rPr>
          <w:rFonts w:hint="eastAsia" w:ascii="宋体" w:hAnsi="宋体" w:eastAsia="宋体" w:cs="宋体"/>
          <w:color w:val="auto"/>
          <w:sz w:val="24"/>
          <w:szCs w:val="24"/>
          <w:lang w:val="en-US" w:eastAsia="zh-CN"/>
        </w:rPr>
        <w:t>提供</w:t>
      </w:r>
      <w:r>
        <w:rPr>
          <w:rFonts w:hint="eastAsia" w:ascii="宋体" w:hAnsi="宋体" w:eastAsia="宋体" w:cs="宋体"/>
          <w:color w:val="auto"/>
          <w:sz w:val="24"/>
          <w:szCs w:val="24"/>
        </w:rPr>
        <w:t>2017年以来国内信息安全服务类</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包括</w:t>
      </w:r>
      <w:r>
        <w:rPr>
          <w:rFonts w:hint="eastAsia" w:ascii="宋体" w:hAnsi="宋体" w:eastAsia="宋体" w:cs="宋体"/>
          <w:color w:val="auto"/>
          <w:sz w:val="24"/>
          <w:szCs w:val="24"/>
        </w:rPr>
        <w:t>项目合同复印件（含签约时间、项目名称、项目总额、双方签章页），每1个项目得1分，满分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widowControl w:val="0"/>
        <w:adjustRightInd/>
        <w:snapToGrid/>
        <w:spacing w:after="0" w:line="520" w:lineRule="exact"/>
        <w:ind w:firstLine="480" w:firstLineChars="200"/>
        <w:jc w:val="both"/>
        <w:rPr>
          <w:rFonts w:ascii="宋体" w:hAnsi="宋体" w:eastAsia="宋体" w:cs="Times New Roman"/>
          <w:color w:val="auto"/>
          <w:kern w:val="2"/>
          <w:sz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Times New Roman"/>
          <w:color w:val="auto"/>
          <w:kern w:val="2"/>
          <w:sz w:val="24"/>
        </w:rPr>
        <w:t>诚信分，投标人在截标日前1年内在政府采购活动中存在违约违规情形的（以财政部门出具的书面材料为评分依据），每次扣除3分，最高扣分6分扣完为止。</w:t>
      </w:r>
    </w:p>
    <w:p>
      <w:pPr>
        <w:widowControl w:val="0"/>
        <w:adjustRightInd/>
        <w:snapToGrid/>
        <w:spacing w:after="0" w:line="520" w:lineRule="exact"/>
        <w:ind w:firstLine="480" w:firstLineChars="200"/>
        <w:jc w:val="both"/>
        <w:rPr>
          <w:rFonts w:ascii="宋体" w:hAnsi="宋体" w:eastAsia="宋体" w:cs="Times New Roman"/>
          <w:color w:val="auto"/>
          <w:kern w:val="2"/>
          <w:sz w:val="24"/>
        </w:rPr>
      </w:pPr>
      <w:r>
        <w:rPr>
          <w:rFonts w:hint="eastAsia" w:ascii="宋体" w:hAnsi="宋体" w:eastAsia="宋体" w:cs="Times New Roman"/>
          <w:color w:val="auto"/>
          <w:kern w:val="2"/>
          <w:sz w:val="24"/>
        </w:rPr>
        <w:t>（三）</w:t>
      </w:r>
      <w:r>
        <w:rPr>
          <w:rFonts w:hint="eastAsia" w:ascii="宋体" w:hAnsi="宋体" w:eastAsia="宋体" w:cs="宋体"/>
          <w:b/>
          <w:color w:val="auto"/>
          <w:sz w:val="24"/>
          <w:szCs w:val="24"/>
          <w:lang w:val="zh-CN" w:eastAsia="zh-CN"/>
        </w:rPr>
        <w:t>总得分=1+2+3。</w:t>
      </w:r>
    </w:p>
    <w:p>
      <w:pPr>
        <w:spacing w:line="46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（四）中标标准：</w:t>
      </w:r>
    </w:p>
    <w:p>
      <w:pPr>
        <w:spacing w:line="460" w:lineRule="exact"/>
        <w:ind w:firstLine="480" w:firstLineChars="200"/>
        <w:rPr>
          <w:rFonts w:hint="eastAsia" w:asciiTheme="majorEastAsia" w:hAnsiTheme="majorEastAsia" w:eastAsiaTheme="majorEastAsia"/>
          <w:b w:val="0"/>
          <w:bCs w:val="0"/>
          <w:color w:val="auto"/>
          <w:sz w:val="24"/>
        </w:rPr>
      </w:pPr>
      <w:r>
        <w:rPr>
          <w:rFonts w:hint="eastAsia" w:asciiTheme="majorEastAsia" w:hAnsiTheme="majorEastAsia" w:eastAsiaTheme="majorEastAsia"/>
          <w:b w:val="0"/>
          <w:bCs w:val="0"/>
          <w:color w:val="auto"/>
          <w:sz w:val="24"/>
        </w:rPr>
        <w:t>（1）评标委员会将按总得分由高到低排列中标候选供应商顺序（总得分相同时，依次按投标报价低优先、服务方案分高优先、质量保证期长优先、处理问题到达时间短优先的顺序排列）并推荐中标候选供应商。采购人应当确定评审委员会推荐排名第一的中标候选人为中标人。</w:t>
      </w:r>
    </w:p>
    <w:p>
      <w:pPr>
        <w:spacing w:line="460" w:lineRule="exact"/>
        <w:ind w:firstLine="480" w:firstLineChars="200"/>
        <w:rPr>
          <w:rFonts w:hint="eastAsia" w:asciiTheme="majorEastAsia" w:hAnsiTheme="majorEastAsia" w:eastAsiaTheme="majorEastAsia"/>
          <w:b w:val="0"/>
          <w:bCs w:val="0"/>
          <w:color w:val="auto"/>
          <w:sz w:val="24"/>
        </w:rPr>
      </w:pPr>
      <w:r>
        <w:rPr>
          <w:rFonts w:hint="eastAsia" w:asciiTheme="majorEastAsia" w:hAnsiTheme="majorEastAsia" w:eastAsiaTheme="majorEastAsia"/>
          <w:b w:val="0"/>
          <w:bCs w:val="0"/>
          <w:color w:val="auto"/>
          <w:sz w:val="24"/>
        </w:rPr>
        <w:t>（2）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其余以此类推。</w:t>
      </w:r>
    </w:p>
    <w:p>
      <w:pPr>
        <w:spacing w:line="460" w:lineRule="exact"/>
        <w:ind w:firstLine="480" w:firstLineChars="200"/>
        <w:rPr>
          <w:rFonts w:hint="eastAsia" w:asciiTheme="majorEastAsia" w:hAnsiTheme="majorEastAsia" w:eastAsiaTheme="majorEastAsia"/>
          <w:b w:val="0"/>
          <w:bCs w:val="0"/>
          <w:color w:val="auto"/>
          <w:sz w:val="24"/>
        </w:rPr>
      </w:pPr>
      <w:r>
        <w:rPr>
          <w:rFonts w:hint="eastAsia" w:asciiTheme="majorEastAsia" w:hAnsiTheme="majorEastAsia" w:eastAsiaTheme="majorEastAsia"/>
          <w:b w:val="0"/>
          <w:bCs w:val="0"/>
          <w:color w:val="auto"/>
          <w:sz w:val="24"/>
        </w:rPr>
        <w:t>（3）评委委员会认为投标人的报价明显低于其他通过符合性审查投标人的报价，有可能影响产品质量或者不能诚信履约的，应当要求其在评标现场合理的时间内提供书面说明，必要时提交相关证明材料；投标人不能证明其报价合理的，评标委员会应当将其作无效投标处理。</w:t>
      </w:r>
    </w:p>
    <w:p>
      <w:pPr>
        <w:pStyle w:val="16"/>
        <w:jc w:val="center"/>
        <w:outlineLvl w:val="0"/>
        <w:rPr>
          <w:rFonts w:cs="宋体" w:asciiTheme="majorEastAsia" w:hAnsiTheme="majorEastAsia" w:eastAsiaTheme="majorEastAsia"/>
          <w:b/>
          <w:color w:val="auto"/>
          <w:sz w:val="36"/>
        </w:rPr>
      </w:pPr>
      <w:r>
        <w:rPr>
          <w:rFonts w:asciiTheme="majorEastAsia" w:hAnsiTheme="majorEastAsia" w:eastAsiaTheme="majorEastAsia"/>
          <w:b/>
          <w:color w:val="auto"/>
          <w:sz w:val="36"/>
        </w:rPr>
        <w:br w:type="page"/>
      </w:r>
      <w:bookmarkStart w:id="20" w:name="_Toc21677"/>
      <w:r>
        <w:rPr>
          <w:rFonts w:cs="宋体" w:asciiTheme="majorEastAsia" w:hAnsiTheme="majorEastAsia" w:eastAsiaTheme="majorEastAsia"/>
          <w:b/>
          <w:color w:val="auto"/>
          <w:sz w:val="36"/>
        </w:rPr>
        <w:t>第四章  投标人须知</w:t>
      </w:r>
      <w:bookmarkEnd w:id="4"/>
      <w:bookmarkEnd w:id="5"/>
      <w:bookmarkEnd w:id="14"/>
      <w:bookmarkEnd w:id="15"/>
      <w:bookmarkEnd w:id="18"/>
      <w:bookmarkEnd w:id="20"/>
    </w:p>
    <w:p>
      <w:pPr>
        <w:pStyle w:val="16"/>
        <w:spacing w:line="720" w:lineRule="auto"/>
        <w:jc w:val="center"/>
        <w:rPr>
          <w:rFonts w:cs="宋体" w:asciiTheme="majorEastAsia" w:hAnsiTheme="majorEastAsia" w:eastAsiaTheme="majorEastAsia"/>
          <w:b/>
          <w:color w:val="auto"/>
          <w:sz w:val="30"/>
          <w:szCs w:val="30"/>
        </w:rPr>
      </w:pPr>
      <w:r>
        <w:rPr>
          <w:rFonts w:cs="宋体" w:asciiTheme="majorEastAsia" w:hAnsiTheme="majorEastAsia" w:eastAsiaTheme="majorEastAsia"/>
          <w:b/>
          <w:color w:val="auto"/>
          <w:sz w:val="30"/>
          <w:szCs w:val="30"/>
        </w:rPr>
        <w:t>投标人须知前附表</w:t>
      </w:r>
    </w:p>
    <w:p>
      <w:pPr>
        <w:pStyle w:val="16"/>
        <w:spacing w:line="460" w:lineRule="exact"/>
        <w:ind w:firstLine="42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本表是关于本次采购项目的具体资料，是对后列条款的具体补充和修改。所有与本次采购有关的事宜，以本表规定的为准。</w:t>
      </w:r>
    </w:p>
    <w:tbl>
      <w:tblPr>
        <w:tblStyle w:val="25"/>
        <w:tblW w:w="981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601"/>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条款号</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条款名称</w:t>
            </w:r>
          </w:p>
        </w:tc>
        <w:tc>
          <w:tcPr>
            <w:tcW w:w="6150" w:type="dxa"/>
            <w:tcBorders>
              <w:top w:val="single" w:color="auto" w:sz="4" w:space="0"/>
              <w:left w:val="single" w:color="auto" w:sz="4" w:space="0"/>
              <w:bottom w:val="single" w:color="auto" w:sz="4" w:space="0"/>
              <w:right w:val="single" w:color="auto" w:sz="4" w:space="0"/>
            </w:tcBorders>
          </w:tcPr>
          <w:p>
            <w:pPr>
              <w:pStyle w:val="16"/>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采购人</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cs="宋体" w:asciiTheme="majorEastAsia" w:hAnsiTheme="majorEastAsia" w:eastAsiaTheme="majorEastAsia"/>
                <w:color w:val="auto"/>
                <w:sz w:val="24"/>
                <w:szCs w:val="24"/>
                <w:lang w:eastAsia="zh-CN"/>
              </w:rPr>
            </w:pPr>
            <w:r>
              <w:rPr>
                <w:rFonts w:hint="eastAsia" w:cs="宋体" w:asciiTheme="majorEastAsia" w:hAnsiTheme="majorEastAsia" w:eastAsiaTheme="majorEastAsia"/>
                <w:color w:val="auto"/>
                <w:sz w:val="24"/>
                <w:szCs w:val="24"/>
              </w:rPr>
              <w:t xml:space="preserve">名称： </w:t>
            </w:r>
            <w:r>
              <w:rPr>
                <w:rFonts w:hint="eastAsia" w:cs="宋体" w:asciiTheme="majorEastAsia" w:hAnsiTheme="majorEastAsia" w:eastAsiaTheme="majorEastAsia"/>
                <w:color w:val="auto"/>
                <w:sz w:val="24"/>
                <w:szCs w:val="24"/>
                <w:lang w:eastAsia="zh-CN"/>
              </w:rPr>
              <w:t>南宁市社会保障卡管理办公室</w:t>
            </w:r>
          </w:p>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地址：</w:t>
            </w:r>
            <w:r>
              <w:rPr>
                <w:rFonts w:hint="eastAsia" w:cs="宋体" w:asciiTheme="majorEastAsia" w:hAnsiTheme="majorEastAsia" w:eastAsiaTheme="majorEastAsia"/>
                <w:color w:val="auto"/>
                <w:sz w:val="24"/>
                <w:szCs w:val="24"/>
                <w:lang w:eastAsia="zh-CN"/>
              </w:rPr>
              <w:t>南宁市桂春路南二里4号</w:t>
            </w:r>
            <w:r>
              <w:rPr>
                <w:rFonts w:hint="eastAsia" w:cs="宋体" w:asciiTheme="majorEastAsia" w:hAnsiTheme="majorEastAsia" w:eastAsiaTheme="majorEastAsia"/>
                <w:color w:val="auto"/>
                <w:sz w:val="24"/>
                <w:szCs w:val="24"/>
              </w:rPr>
              <w:t xml:space="preserve"> </w:t>
            </w:r>
          </w:p>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联系人：</w:t>
            </w:r>
            <w:r>
              <w:rPr>
                <w:rFonts w:hint="eastAsia" w:cs="宋体" w:asciiTheme="majorEastAsia" w:hAnsiTheme="majorEastAsia" w:eastAsiaTheme="majorEastAsia"/>
                <w:color w:val="auto"/>
                <w:sz w:val="24"/>
                <w:szCs w:val="24"/>
                <w:lang w:eastAsia="zh-CN"/>
              </w:rPr>
              <w:t>潘卓</w:t>
            </w:r>
            <w:r>
              <w:rPr>
                <w:rFonts w:hint="eastAsia" w:cs="宋体" w:asciiTheme="majorEastAsia" w:hAnsiTheme="majorEastAsia" w:eastAsiaTheme="majorEastAsia"/>
                <w:color w:val="auto"/>
                <w:sz w:val="24"/>
                <w:szCs w:val="24"/>
              </w:rPr>
              <w:t xml:space="preserve">  </w:t>
            </w:r>
          </w:p>
          <w:p>
            <w:pPr>
              <w:pStyle w:val="16"/>
              <w:spacing w:line="400" w:lineRule="exact"/>
              <w:rPr>
                <w:rFonts w:hint="eastAsia" w:cs="宋体" w:asciiTheme="majorEastAsia" w:hAnsiTheme="majorEastAsia" w:eastAsiaTheme="majorEastAsia"/>
                <w:color w:val="auto"/>
                <w:sz w:val="24"/>
                <w:szCs w:val="24"/>
                <w:lang w:eastAsia="zh-CN"/>
              </w:rPr>
            </w:pPr>
            <w:r>
              <w:rPr>
                <w:rFonts w:cs="宋体" w:asciiTheme="majorEastAsia" w:hAnsiTheme="majorEastAsia" w:eastAsiaTheme="majorEastAsia"/>
                <w:color w:val="auto"/>
                <w:sz w:val="24"/>
                <w:szCs w:val="24"/>
              </w:rPr>
              <w:t xml:space="preserve">电话： </w:t>
            </w:r>
            <w:r>
              <w:rPr>
                <w:rFonts w:hint="eastAsia" w:cs="宋体" w:asciiTheme="majorEastAsia" w:hAnsiTheme="majorEastAsia" w:eastAsiaTheme="majorEastAsia"/>
                <w:color w:val="auto"/>
                <w:sz w:val="24"/>
                <w:szCs w:val="24"/>
                <w:lang w:eastAsia="zh-CN"/>
              </w:rPr>
              <w:t>0771-5537081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1"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采购代理机构</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名称：广西邕政采购代理有限公司</w:t>
            </w:r>
          </w:p>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地址：南宁市青秀区思贤路45号创投中心16A层</w:t>
            </w:r>
          </w:p>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项目联系人：</w:t>
            </w:r>
            <w:r>
              <w:rPr>
                <w:rFonts w:hint="eastAsia" w:cs="宋体" w:asciiTheme="majorEastAsia" w:hAnsiTheme="majorEastAsia" w:eastAsiaTheme="majorEastAsia"/>
                <w:color w:val="auto"/>
                <w:sz w:val="24"/>
                <w:szCs w:val="24"/>
              </w:rPr>
              <w:t>罗工、黎工</w:t>
            </w:r>
          </w:p>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联系电话：0771-2442850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项目名称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cs="宋体" w:asciiTheme="majorEastAsia" w:hAnsiTheme="majorEastAsia" w:eastAsiaTheme="majorEastAsia"/>
                <w:color w:val="auto"/>
                <w:sz w:val="24"/>
                <w:szCs w:val="24"/>
                <w:lang w:eastAsia="zh-CN"/>
              </w:rPr>
            </w:pPr>
            <w:r>
              <w:rPr>
                <w:rFonts w:hint="eastAsia" w:cs="宋体" w:asciiTheme="majorEastAsia" w:hAnsiTheme="majorEastAsia" w:eastAsiaTheme="majorEastAsia"/>
                <w:color w:val="auto"/>
                <w:sz w:val="24"/>
                <w:szCs w:val="24"/>
                <w:lang w:eastAsia="zh-CN"/>
              </w:rPr>
              <w:t>金保工程网络安全协同防御体系二期建设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1.4</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项目编号</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hint="eastAsia" w:cs="宋体" w:asciiTheme="majorEastAsia" w:hAnsiTheme="majorEastAsia" w:eastAsiaTheme="majorEastAsia"/>
                <w:color w:val="auto"/>
                <w:sz w:val="24"/>
                <w:szCs w:val="24"/>
                <w:lang w:eastAsia="zh-CN"/>
              </w:rPr>
            </w:pPr>
            <w:r>
              <w:rPr>
                <w:rFonts w:hint="eastAsia" w:cs="宋体" w:asciiTheme="majorEastAsia" w:hAnsiTheme="majorEastAsia" w:eastAsiaTheme="majorEastAsia"/>
                <w:color w:val="auto"/>
                <w:sz w:val="24"/>
                <w:szCs w:val="24"/>
                <w:lang w:eastAsia="zh-CN"/>
              </w:rPr>
              <w:t>NNZC2020-G3-990092-GXYZ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采购预算</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人民币</w:t>
            </w:r>
            <w:r>
              <w:rPr>
                <w:rFonts w:hint="eastAsia" w:cs="宋体" w:asciiTheme="majorEastAsia" w:hAnsiTheme="majorEastAsia" w:eastAsiaTheme="majorEastAsia"/>
                <w:color w:val="auto"/>
                <w:sz w:val="24"/>
                <w:szCs w:val="24"/>
                <w:lang w:eastAsia="zh-CN"/>
              </w:rPr>
              <w:t>叁拾万</w:t>
            </w:r>
            <w:r>
              <w:rPr>
                <w:rFonts w:cs="宋体" w:asciiTheme="majorEastAsia" w:hAnsiTheme="majorEastAsia" w:eastAsiaTheme="majorEastAsia"/>
                <w:color w:val="auto"/>
                <w:sz w:val="24"/>
                <w:szCs w:val="24"/>
              </w:rPr>
              <w:t>元整 (￥</w:t>
            </w:r>
            <w:r>
              <w:rPr>
                <w:rFonts w:hint="eastAsia" w:cs="宋体" w:asciiTheme="majorEastAsia" w:hAnsiTheme="majorEastAsia" w:eastAsiaTheme="majorEastAsia"/>
                <w:color w:val="auto"/>
                <w:sz w:val="24"/>
                <w:szCs w:val="24"/>
                <w:lang w:val="en-US" w:eastAsia="zh-CN"/>
              </w:rPr>
              <w:t>3000</w:t>
            </w:r>
            <w:r>
              <w:rPr>
                <w:rFonts w:hint="eastAsia" w:cs="宋体" w:asciiTheme="majorEastAsia" w:hAnsiTheme="majorEastAsia" w:eastAsiaTheme="majorEastAsia"/>
                <w:color w:val="auto"/>
                <w:sz w:val="24"/>
                <w:szCs w:val="24"/>
              </w:rPr>
              <w:t>00.00</w:t>
            </w:r>
            <w:r>
              <w:rPr>
                <w:rFonts w:cs="宋体" w:asciiTheme="majorEastAsia" w:hAnsiTheme="majorEastAsia" w:eastAsiaTheme="majorEastAsia"/>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获取招标文件的方式</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1、本项目不发放纸质文件，投标人自行在南宁市公共资源交易平台(https://www.nnggzy.org.cn/gxnnzbw/)的信息公告处下载采购文件。</w:t>
            </w:r>
          </w:p>
          <w:p>
            <w:pPr>
              <w:pStyle w:val="16"/>
              <w:spacing w:line="400" w:lineRule="exac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2、采购文件每套售价0元。</w:t>
            </w:r>
          </w:p>
          <w:p>
            <w:pPr>
              <w:pStyle w:val="16"/>
              <w:spacing w:line="400" w:lineRule="exact"/>
              <w:rPr>
                <w:rFonts w:cs="宋体" w:asciiTheme="majorEastAsia" w:hAnsiTheme="majorEastAsia" w:eastAsiaTheme="majorEastAsia"/>
                <w:color w:val="auto"/>
                <w:sz w:val="24"/>
              </w:rPr>
            </w:pPr>
            <w:r>
              <w:rPr>
                <w:rFonts w:hint="eastAsia" w:cs="宋体" w:asciiTheme="majorEastAsia" w:hAnsiTheme="majorEastAsia" w:eastAsiaTheme="majorEastAsia"/>
                <w:color w:val="auto"/>
                <w:sz w:val="24"/>
                <w:szCs w:val="24"/>
              </w:rPr>
              <w:t>3、本项目公开招标公告期限为公告发布之日起5个工作日（2020年</w:t>
            </w:r>
            <w:r>
              <w:rPr>
                <w:rFonts w:hint="eastAsia" w:cs="宋体" w:asciiTheme="majorEastAsia" w:hAnsiTheme="majorEastAsia" w:eastAsiaTheme="majorEastAsia"/>
                <w:color w:val="auto"/>
                <w:sz w:val="24"/>
                <w:szCs w:val="24"/>
                <w:lang w:val="en-US" w:eastAsia="zh-CN"/>
              </w:rPr>
              <w:t>9</w:t>
            </w:r>
            <w:r>
              <w:rPr>
                <w:rFonts w:hint="eastAsia" w:cs="宋体" w:asciiTheme="majorEastAsia" w:hAnsiTheme="majorEastAsia" w:eastAsiaTheme="majorEastAsia"/>
                <w:color w:val="auto"/>
                <w:sz w:val="24"/>
                <w:szCs w:val="24"/>
              </w:rPr>
              <w:t>月</w:t>
            </w:r>
            <w:r>
              <w:rPr>
                <w:rFonts w:hint="eastAsia" w:cs="宋体" w:asciiTheme="majorEastAsia" w:hAnsiTheme="majorEastAsia" w:eastAsiaTheme="majorEastAsia"/>
                <w:color w:val="auto"/>
                <w:sz w:val="24"/>
                <w:szCs w:val="24"/>
                <w:lang w:val="en-US" w:eastAsia="zh-CN"/>
              </w:rPr>
              <w:t>23</w:t>
            </w:r>
            <w:r>
              <w:rPr>
                <w:rFonts w:hint="eastAsia" w:cs="宋体" w:asciiTheme="majorEastAsia" w:hAnsiTheme="majorEastAsia" w:eastAsiaTheme="majorEastAsia"/>
                <w:color w:val="auto"/>
                <w:sz w:val="24"/>
                <w:szCs w:val="24"/>
              </w:rPr>
              <w:t>日至2020年</w:t>
            </w:r>
            <w:r>
              <w:rPr>
                <w:rFonts w:hint="eastAsia" w:cs="宋体" w:asciiTheme="majorEastAsia" w:hAnsiTheme="majorEastAsia" w:eastAsiaTheme="majorEastAsia"/>
                <w:color w:val="auto"/>
                <w:sz w:val="24"/>
                <w:szCs w:val="24"/>
                <w:lang w:val="en-US" w:eastAsia="zh-CN"/>
              </w:rPr>
              <w:t>9</w:t>
            </w:r>
            <w:r>
              <w:rPr>
                <w:rFonts w:hint="eastAsia" w:cs="宋体" w:asciiTheme="majorEastAsia" w:hAnsiTheme="majorEastAsia" w:eastAsiaTheme="majorEastAsia"/>
                <w:color w:val="auto"/>
                <w:sz w:val="24"/>
                <w:szCs w:val="24"/>
              </w:rPr>
              <w:t>月</w:t>
            </w:r>
            <w:r>
              <w:rPr>
                <w:rFonts w:hint="eastAsia" w:cs="宋体" w:asciiTheme="majorEastAsia" w:hAnsiTheme="majorEastAsia" w:eastAsiaTheme="majorEastAsia"/>
                <w:color w:val="auto"/>
                <w:sz w:val="24"/>
                <w:szCs w:val="24"/>
                <w:lang w:val="en-US" w:eastAsia="zh-CN"/>
              </w:rPr>
              <w:t>29</w:t>
            </w:r>
            <w:r>
              <w:rPr>
                <w:rFonts w:hint="eastAsia" w:cs="宋体" w:asciiTheme="majorEastAsia" w:hAnsiTheme="majorEastAsia" w:eastAsiaTheme="majorEastAsia"/>
                <w:color w:val="auto"/>
                <w:sz w:val="24"/>
                <w:szCs w:val="24"/>
              </w:rPr>
              <w:t>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预留采购份额</w:t>
            </w:r>
          </w:p>
        </w:tc>
        <w:tc>
          <w:tcPr>
            <w:tcW w:w="615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投标人应具备的特定条件</w:t>
            </w:r>
          </w:p>
        </w:tc>
        <w:tc>
          <w:tcPr>
            <w:tcW w:w="6150" w:type="dxa"/>
            <w:tcBorders>
              <w:top w:val="single" w:color="auto" w:sz="4" w:space="0"/>
              <w:left w:val="single" w:color="auto" w:sz="4" w:space="0"/>
              <w:bottom w:val="single" w:color="auto" w:sz="4" w:space="0"/>
              <w:right w:val="single" w:color="auto" w:sz="4" w:space="0"/>
            </w:tcBorders>
            <w:vAlign w:val="center"/>
          </w:tcPr>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1、符合《中华人民共和国政府采购法》第二十二条规定；</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2、本项目需落实的政府采购政策：本项目适用政府采购促进中小企业、监狱企业发展、促进残疾人就业、节能环保等有关政策，具体详见招标文件；</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3、具有国内法人资格，注册经营范围满足所采购内容的供应商；</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2"/>
              <w:spacing w:before="75" w:beforeAutospacing="0" w:after="75" w:afterAutospacing="0" w:line="400" w:lineRule="exact"/>
              <w:rPr>
                <w:rFonts w:asciiTheme="majorEastAsia" w:hAnsiTheme="majorEastAsia" w:eastAsiaTheme="majorEastAsia"/>
                <w:color w:val="auto"/>
              </w:rPr>
            </w:pPr>
            <w:r>
              <w:rPr>
                <w:rFonts w:hint="eastAsia" w:asciiTheme="majorEastAsia" w:hAnsiTheme="majorEastAsia" w:eastAsiaTheme="majorEastAsia"/>
                <w:color w:val="auto"/>
              </w:rPr>
              <w:t>5、单位负责人为同一人或者存在直接控股、管理关系的不同的供应商，不得参加同一合同项下的政府采购活动。除单一来源采购项目外，为该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是否接受联合体投标</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lang w:eastAsia="en-US"/>
              </w:rPr>
              <w:t>不接受联合体</w:t>
            </w:r>
            <w:r>
              <w:rPr>
                <w:rFonts w:cs="宋体" w:asciiTheme="majorEastAsia" w:hAnsiTheme="majorEastAsia" w:eastAsiaTheme="majorEastAsia"/>
                <w:color w:val="auto"/>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restart"/>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招标文件质疑提交的截止时间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公告期限届满之日起7个工作日内</w:t>
            </w:r>
            <w:r>
              <w:rPr>
                <w:rFonts w:hint="eastAsia" w:cs="宋体" w:asciiTheme="majorEastAsia" w:hAnsiTheme="majorEastAsia" w:eastAsiaTheme="maj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ajorEastAsia" w:hAnsiTheme="majorEastAsia" w:eastAsiaTheme="majorEastAsia"/>
                <w:color w:val="auto"/>
                <w:sz w:val="24"/>
              </w:rPr>
            </w:pP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质疑提交地点、电话</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1、对</w:t>
            </w:r>
            <w:r>
              <w:rPr>
                <w:rFonts w:hint="eastAsia" w:cs="宋体" w:asciiTheme="majorEastAsia" w:hAnsiTheme="majorEastAsia" w:eastAsiaTheme="majorEastAsia"/>
                <w:bCs/>
                <w:color w:val="auto"/>
                <w:sz w:val="24"/>
              </w:rPr>
              <w:t>资格</w:t>
            </w:r>
            <w:r>
              <w:rPr>
                <w:rFonts w:cs="宋体" w:asciiTheme="majorEastAsia" w:hAnsiTheme="majorEastAsia" w:eastAsiaTheme="majorEastAsia"/>
                <w:bCs/>
                <w:color w:val="auto"/>
                <w:sz w:val="24"/>
              </w:rPr>
              <w:t>审查的质疑，由采购人负责受理和答复。（地址：</w:t>
            </w:r>
            <w:r>
              <w:rPr>
                <w:rFonts w:hint="eastAsia" w:cs="宋体" w:asciiTheme="majorEastAsia" w:hAnsiTheme="majorEastAsia" w:eastAsiaTheme="majorEastAsia"/>
                <w:bCs/>
                <w:color w:val="auto"/>
                <w:sz w:val="24"/>
                <w:lang w:eastAsia="zh-CN"/>
              </w:rPr>
              <w:t>南宁市桂春路南二里4号</w:t>
            </w:r>
            <w:r>
              <w:rPr>
                <w:rFonts w:cs="宋体" w:asciiTheme="majorEastAsia" w:hAnsiTheme="majorEastAsia" w:eastAsiaTheme="majorEastAsia"/>
                <w:bCs/>
                <w:color w:val="auto"/>
                <w:sz w:val="24"/>
              </w:rPr>
              <w:t>； 质疑咨询电话：</w:t>
            </w:r>
            <w:r>
              <w:rPr>
                <w:rFonts w:hint="eastAsia" w:cs="宋体" w:asciiTheme="majorEastAsia" w:hAnsiTheme="majorEastAsia" w:eastAsiaTheme="majorEastAsia"/>
                <w:color w:val="auto"/>
                <w:sz w:val="24"/>
                <w:lang w:eastAsia="zh-CN"/>
              </w:rPr>
              <w:t>0771-5537081</w:t>
            </w:r>
            <w:r>
              <w:rPr>
                <w:rFonts w:cs="宋体" w:asciiTheme="majorEastAsia" w:hAnsiTheme="majorEastAsia" w:eastAsiaTheme="majorEastAsia"/>
                <w:bCs/>
                <w:color w:val="auto"/>
                <w:sz w:val="24"/>
              </w:rPr>
              <w:t>）</w:t>
            </w:r>
          </w:p>
          <w:p>
            <w:pPr>
              <w:pStyle w:val="16"/>
              <w:spacing w:line="400" w:lineRule="exact"/>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2、对资格审查以外的质疑，由广西邕政采购代理有限公司负责受理和答复。（地址：</w:t>
            </w:r>
            <w:r>
              <w:rPr>
                <w:rFonts w:cs="宋体" w:asciiTheme="majorEastAsia" w:hAnsiTheme="majorEastAsia" w:eastAsiaTheme="majorEastAsia"/>
                <w:color w:val="auto"/>
                <w:sz w:val="24"/>
                <w:szCs w:val="24"/>
              </w:rPr>
              <w:t>南宁市青秀区思贤路45号创投中心16A层</w:t>
            </w:r>
            <w:r>
              <w:rPr>
                <w:rFonts w:cs="宋体" w:asciiTheme="majorEastAsia" w:hAnsiTheme="majorEastAsia" w:eastAsiaTheme="majorEastAsia"/>
                <w:bCs/>
                <w:color w:val="auto"/>
                <w:sz w:val="24"/>
              </w:rPr>
              <w:t>； 质疑咨询电话：</w:t>
            </w:r>
            <w:r>
              <w:rPr>
                <w:rFonts w:cs="宋体" w:asciiTheme="majorEastAsia" w:hAnsiTheme="majorEastAsia" w:eastAsiaTheme="majorEastAsia"/>
                <w:color w:val="auto"/>
                <w:sz w:val="24"/>
                <w:szCs w:val="24"/>
              </w:rPr>
              <w:t>0771-2442850</w:t>
            </w:r>
            <w:r>
              <w:rPr>
                <w:rFonts w:cs="宋体" w:asciiTheme="majorEastAsia" w:hAnsiTheme="majorEastAsia" w:eastAsiaTheme="majorEastAsia"/>
                <w:bCs/>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投标人要求澄清的截止时间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招标文件发布之日起7个工作日内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8.8</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投标文件份数</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报价文件：正本1份，副本4份</w:t>
            </w:r>
          </w:p>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资格文件：正本1份，副本4份</w:t>
            </w:r>
          </w:p>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技术文件：正本1份，副本4份</w:t>
            </w:r>
          </w:p>
          <w:p>
            <w:pPr>
              <w:pStyle w:val="16"/>
              <w:spacing w:line="400" w:lineRule="exact"/>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商务文件：正本1份，副本4份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11.4</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采购代理服务费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60" w:lineRule="exact"/>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本项目招标代理服务费参照国家发展改革委关于进一步放开建设项目专业服务价格的通知发改价格〔2015〕299号标准计取。</w:t>
            </w:r>
            <w:r>
              <w:rPr>
                <w:rFonts w:hAnsi="宋体" w:cs="宋体"/>
                <w:color w:val="auto"/>
                <w:sz w:val="24"/>
                <w:szCs w:val="24"/>
              </w:rPr>
              <w:t>由中标供应商在领取中标通知书前一次性向招标代理机构支付</w:t>
            </w:r>
            <w:r>
              <w:rPr>
                <w:rFonts w:asciiTheme="minorEastAsia" w:hAnsiTheme="minorEastAsia" w:eastAsiaTheme="minorEastAsia"/>
                <w:color w:val="auto"/>
                <w:sz w:val="24"/>
                <w:szCs w:val="24"/>
              </w:rPr>
              <w:t>收取代理服务费：</w:t>
            </w:r>
            <w:r>
              <w:rPr>
                <w:rFonts w:hint="eastAsia" w:asciiTheme="minorEastAsia" w:hAnsiTheme="minorEastAsia" w:eastAsiaTheme="minorEastAsia"/>
                <w:color w:val="auto"/>
                <w:sz w:val="24"/>
                <w:szCs w:val="24"/>
                <w:lang w:val="en-US" w:eastAsia="zh-CN"/>
              </w:rPr>
              <w:t>6</w:t>
            </w:r>
            <w:r>
              <w:rPr>
                <w:rFonts w:hint="eastAsia" w:asciiTheme="minorEastAsia" w:hAnsiTheme="minorEastAsia" w:eastAsiaTheme="minorEastAsia"/>
                <w:color w:val="auto"/>
                <w:sz w:val="24"/>
                <w:szCs w:val="24"/>
              </w:rPr>
              <w:t>000</w:t>
            </w:r>
            <w:r>
              <w:rPr>
                <w:rFonts w:asciiTheme="minorEastAsia" w:hAnsiTheme="minorEastAsia" w:eastAsiaTheme="minorEastAsia"/>
                <w:color w:val="auto"/>
                <w:sz w:val="24"/>
                <w:szCs w:val="24"/>
              </w:rPr>
              <w:t>.00元。</w:t>
            </w:r>
          </w:p>
          <w:p>
            <w:pPr>
              <w:pStyle w:val="16"/>
              <w:spacing w:line="460" w:lineRule="exact"/>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 xml:space="preserve">开户名称：广西邕政采购代理有限公司 </w:t>
            </w:r>
          </w:p>
          <w:p>
            <w:pPr>
              <w:pStyle w:val="16"/>
              <w:spacing w:line="460" w:lineRule="exact"/>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开户银行：</w:t>
            </w:r>
            <w:r>
              <w:rPr>
                <w:rFonts w:hint="eastAsia" w:hAnsi="宋体" w:cs="宋体"/>
                <w:color w:val="auto"/>
                <w:sz w:val="24"/>
                <w:szCs w:val="24"/>
              </w:rPr>
              <w:t>交通银行南宁东葛西支行</w:t>
            </w:r>
          </w:p>
          <w:p>
            <w:pPr>
              <w:pStyle w:val="16"/>
              <w:snapToGrid w:val="0"/>
              <w:spacing w:line="400" w:lineRule="exact"/>
              <w:jc w:val="left"/>
              <w:rPr>
                <w:rFonts w:cs="宋体" w:asciiTheme="majorEastAsia" w:hAnsiTheme="majorEastAsia" w:eastAsiaTheme="majorEastAsia"/>
                <w:color w:val="auto"/>
                <w:sz w:val="24"/>
                <w:szCs w:val="24"/>
              </w:rPr>
            </w:pPr>
            <w:r>
              <w:rPr>
                <w:rFonts w:hint="eastAsia" w:cs="宋体" w:asciiTheme="minorEastAsia" w:hAnsiTheme="minorEastAsia" w:eastAsiaTheme="minorEastAsia"/>
                <w:color w:val="auto"/>
                <w:sz w:val="24"/>
                <w:szCs w:val="24"/>
              </w:rPr>
              <w:t>银行账号：</w:t>
            </w:r>
            <w:r>
              <w:rPr>
                <w:rFonts w:hAnsi="宋体" w:cs="宋体"/>
                <w:color w:val="auto"/>
                <w:sz w:val="24"/>
                <w:szCs w:val="24"/>
              </w:rPr>
              <w:t>4510 6070 1018 1602 32818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投标有效期</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自投标截止时间起60天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投标保证金</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rPr>
            </w:pPr>
            <w:r>
              <w:rPr>
                <w:rFonts w:cs="宋体" w:asciiTheme="majorEastAsia" w:hAnsiTheme="majorEastAsia" w:eastAsiaTheme="majorEastAsia"/>
                <w:color w:val="auto"/>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投标截止时间</w:t>
            </w:r>
          </w:p>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（开标时间）</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u w:val="single"/>
              </w:rPr>
              <w:t>2020</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lang w:val="en-US" w:eastAsia="zh-CN"/>
              </w:rPr>
              <w:t>10</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lang w:val="en-US" w:eastAsia="zh-CN"/>
              </w:rPr>
              <w:t>14</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日</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lang w:val="en-US" w:eastAsia="zh-CN"/>
              </w:rPr>
              <w:t>09</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时</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lang w:val="en-US" w:eastAsia="zh-CN"/>
              </w:rPr>
              <w:t>30</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15.2</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递交投标文件地点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南宁市良庆区玉洞大道33号（青少年活动中心旁）市民中心9楼南宁市公共资源交易中心（具体详见9楼电子显示屏场地安排）</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color w:val="auto"/>
                <w:sz w:val="24"/>
              </w:rPr>
              <w:t>为做好疫情防控工作，本项目的投标文件通过邮寄快递的方式送达，具体要求详见招标文件。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开标地点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与递交投标文件地点相同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17.3</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评标方法</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23.1</w:t>
            </w:r>
          </w:p>
        </w:tc>
        <w:tc>
          <w:tcPr>
            <w:tcW w:w="2601"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jc w:val="center"/>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中标通知书的发放</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64" w:type="dxa"/>
            <w:tcBorders>
              <w:top w:val="single" w:color="auto" w:sz="4" w:space="0"/>
              <w:left w:val="single" w:color="auto" w:sz="4" w:space="0"/>
              <w:bottom w:val="single" w:color="auto" w:sz="4" w:space="0"/>
              <w:right w:val="single" w:color="auto" w:sz="4" w:space="0"/>
            </w:tcBorders>
            <w:vAlign w:val="center"/>
          </w:tcPr>
          <w:p>
            <w:pPr>
              <w:pStyle w:val="16"/>
              <w:adjustRightInd w:val="0"/>
              <w:spacing w:line="400" w:lineRule="exact"/>
              <w:jc w:val="center"/>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30</w:t>
            </w:r>
          </w:p>
        </w:tc>
        <w:tc>
          <w:tcPr>
            <w:tcW w:w="26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Theme="majorEastAsia" w:hAnsiTheme="majorEastAsia" w:eastAsiaTheme="majorEastAsia"/>
                <w:b/>
                <w:color w:val="auto"/>
                <w:sz w:val="24"/>
              </w:rPr>
            </w:pPr>
            <w:r>
              <w:rPr>
                <w:rFonts w:hint="eastAsia" w:asciiTheme="majorEastAsia" w:hAnsiTheme="majorEastAsia" w:eastAsiaTheme="majorEastAsia"/>
                <w:b/>
                <w:color w:val="auto"/>
                <w:sz w:val="24"/>
              </w:rPr>
              <w:t>需要补充的其他内容</w:t>
            </w:r>
          </w:p>
        </w:tc>
        <w:tc>
          <w:tcPr>
            <w:tcW w:w="6150" w:type="dxa"/>
            <w:tcBorders>
              <w:top w:val="single" w:color="auto" w:sz="4" w:space="0"/>
              <w:left w:val="single" w:color="auto" w:sz="4" w:space="0"/>
              <w:bottom w:val="single" w:color="auto" w:sz="4" w:space="0"/>
              <w:right w:val="single" w:color="auto" w:sz="4" w:space="0"/>
            </w:tcBorders>
            <w:vAlign w:val="center"/>
          </w:tcPr>
          <w:p>
            <w:pPr>
              <w:pStyle w:val="16"/>
              <w:spacing w:line="400" w:lineRule="exact"/>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注：为帮助中小微企业解决资金周转或融资困难问题，南宁市政府采购试行政府采购信用融资制度，为中小企业参与政府采购活动提供金融服务。中标供应商可凭政府采购合同申请政府采购信用融资，具体办理要求与办理方式，详见南宁市公共资源交易中心网‘政府采购信用融资’专栏。</w:t>
            </w:r>
          </w:p>
        </w:tc>
      </w:tr>
    </w:tbl>
    <w:p>
      <w:pPr>
        <w:jc w:val="both"/>
        <w:rPr>
          <w:rFonts w:asciiTheme="majorEastAsia" w:hAnsiTheme="majorEastAsia" w:eastAsiaTheme="majorEastAsia"/>
          <w:b/>
          <w:color w:val="auto"/>
          <w:kern w:val="2"/>
          <w:sz w:val="30"/>
          <w:szCs w:val="30"/>
        </w:rPr>
      </w:pPr>
      <w:bookmarkStart w:id="21" w:name="_Toc213326416"/>
      <w:bookmarkStart w:id="22" w:name="_Toc448343856"/>
      <w:bookmarkStart w:id="23" w:name="_Toc508092929"/>
      <w:r>
        <w:rPr>
          <w:rFonts w:asciiTheme="majorEastAsia" w:hAnsiTheme="majorEastAsia" w:eastAsiaTheme="majorEastAsia"/>
          <w:b/>
          <w:color w:val="auto"/>
          <w:sz w:val="30"/>
          <w:szCs w:val="30"/>
        </w:rPr>
        <w:br w:type="page"/>
      </w:r>
      <w:bookmarkEnd w:id="21"/>
      <w:bookmarkEnd w:id="22"/>
      <w:bookmarkEnd w:id="23"/>
    </w:p>
    <w:p>
      <w:pPr>
        <w:pStyle w:val="16"/>
        <w:spacing w:line="360" w:lineRule="auto"/>
        <w:jc w:val="center"/>
        <w:outlineLvl w:val="1"/>
        <w:rPr>
          <w:rFonts w:cs="宋体" w:asciiTheme="majorEastAsia" w:hAnsiTheme="majorEastAsia" w:eastAsiaTheme="majorEastAsia"/>
          <w:b/>
          <w:color w:val="auto"/>
          <w:sz w:val="30"/>
          <w:szCs w:val="30"/>
        </w:rPr>
      </w:pPr>
      <w:bookmarkStart w:id="24" w:name="_Toc31042"/>
      <w:r>
        <w:rPr>
          <w:rFonts w:cs="宋体" w:asciiTheme="majorEastAsia" w:hAnsiTheme="majorEastAsia" w:eastAsiaTheme="majorEastAsia"/>
          <w:b/>
          <w:color w:val="auto"/>
          <w:sz w:val="30"/>
          <w:szCs w:val="30"/>
        </w:rPr>
        <w:t>一    总则</w:t>
      </w:r>
      <w:bookmarkEnd w:id="24"/>
    </w:p>
    <w:p>
      <w:pPr>
        <w:pStyle w:val="16"/>
        <w:spacing w:line="360" w:lineRule="auto"/>
        <w:ind w:left="1"/>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  项目概况</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1.1  采购人：</w:t>
      </w:r>
      <w:r>
        <w:rPr>
          <w:rFonts w:cs="宋体" w:asciiTheme="majorEastAsia" w:hAnsiTheme="majorEastAsia" w:eastAsiaTheme="majorEastAsia"/>
          <w:bCs/>
          <w:color w:val="auto"/>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1.2  采购代理机构：</w:t>
      </w:r>
      <w:r>
        <w:rPr>
          <w:rFonts w:cs="宋体" w:asciiTheme="majorEastAsia" w:hAnsiTheme="majorEastAsia" w:eastAsiaTheme="majorEastAsia"/>
          <w:bCs/>
          <w:color w:val="auto"/>
          <w:sz w:val="24"/>
          <w:szCs w:val="24"/>
        </w:rPr>
        <w:t>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1.3  项目名称：见投标人须知前附表。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1.4  项目编号：见投标人须知前附表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1.5  采购预算：见投标人须知前附表。</w:t>
      </w:r>
    </w:p>
    <w:p>
      <w:pPr>
        <w:pStyle w:val="16"/>
        <w:spacing w:line="360" w:lineRule="auto"/>
        <w:ind w:firstLine="480" w:firstLineChars="200"/>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1.6  资金来源：财政性资金。</w:t>
      </w:r>
    </w:p>
    <w:p>
      <w:pPr>
        <w:pStyle w:val="16"/>
        <w:spacing w:line="360" w:lineRule="auto"/>
        <w:ind w:left="2" w:firstLine="480" w:firstLineChars="2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  获取招标文件的方式：见投标人须知前附表。</w:t>
      </w:r>
    </w:p>
    <w:p>
      <w:pPr>
        <w:pStyle w:val="16"/>
        <w:spacing w:line="360" w:lineRule="auto"/>
        <w:ind w:left="2" w:firstLine="480" w:firstLineChars="2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  预留采购份额：见投标人须知前附表。</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  政府采购信息发布媒体：</w:t>
      </w:r>
    </w:p>
    <w:p>
      <w:pPr>
        <w:pStyle w:val="16"/>
        <w:spacing w:line="360" w:lineRule="auto"/>
        <w:ind w:left="2" w:firstLine="480" w:firstLineChars="2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2.1  与本项目相关的政府采购业务信息（包括公开招标公告、中标公告及其更正事项等）将在以下媒体上发布：中国政府采购网、广西壮族自治区政府采购网、南宁市公共资源交易中心网发布。</w:t>
      </w: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2.2  本项目公开招标公告期限为公告发布之日起5个工作日。</w:t>
      </w:r>
    </w:p>
    <w:p>
      <w:pPr>
        <w:pStyle w:val="16"/>
        <w:spacing w:line="360" w:lineRule="auto"/>
        <w:ind w:left="1"/>
        <w:jc w:val="left"/>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3.  投标人资格要求：</w:t>
      </w:r>
    </w:p>
    <w:p>
      <w:pPr>
        <w:pStyle w:val="16"/>
        <w:spacing w:line="360" w:lineRule="auto"/>
        <w:ind w:firstLine="480" w:firstLineChars="200"/>
        <w:rPr>
          <w:rFonts w:cs="宋体" w:asciiTheme="majorEastAsia" w:hAnsiTheme="majorEastAsia" w:eastAsiaTheme="majorEastAsia"/>
          <w:bCs/>
          <w:color w:val="auto"/>
        </w:rPr>
      </w:pPr>
      <w:r>
        <w:rPr>
          <w:rFonts w:cs="宋体" w:asciiTheme="majorEastAsia" w:hAnsiTheme="majorEastAsia" w:eastAsiaTheme="majorEastAsia"/>
          <w:bCs/>
          <w:color w:val="auto"/>
          <w:sz w:val="24"/>
          <w:szCs w:val="24"/>
        </w:rPr>
        <w:t>3.1  投标人未被列入失信被执行人、重大税收违法案件当事人名单、政府采购严重违法失信行为记录名单，且应符合《中华人民共和国政府采购法》第二十二条规定的下列投标人资格条件：</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（1）具有独立承担民事责任的能力；</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（2）具有良好的商业信誉和健全的财务会计制度；</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（3）具有履行合同所必需的设备和专业技术能力；</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（4）有依法缴纳税收和社会保障资金的良好记录；</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（5）参加政府采购活动前三年内，在经营活动中没有重大违法记录；</w:t>
      </w:r>
    </w:p>
    <w:p>
      <w:pPr>
        <w:pStyle w:val="16"/>
        <w:spacing w:line="360" w:lineRule="auto"/>
        <w:ind w:firstLine="42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（6）法律、行政法规规定的其他条件。</w:t>
      </w:r>
    </w:p>
    <w:p>
      <w:pPr>
        <w:pStyle w:val="16"/>
        <w:spacing w:line="360" w:lineRule="auto"/>
        <w:ind w:firstLine="360" w:firstLineChars="15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3.2  针对本项目，投标人应具备的特定条件：见投标人须知前附表。</w:t>
      </w:r>
    </w:p>
    <w:p>
      <w:pPr>
        <w:pStyle w:val="16"/>
        <w:spacing w:line="360" w:lineRule="auto"/>
        <w:ind w:left="2" w:firstLine="36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3.3  投标人须知前附表规定接受联合体投标的，两个以上供应商可以组成一个投标联合体，以一个投标人的身份共同参加投标。以联合体形式参加投标的，联合体各方均应当符合本章第3.1项的要求，至少应当有一方符合本章第3.2项的要求；联合体各方应签订共同投标协议，明确联合体各方承担的工作和相应的责任，并将共同投标协议连同投标文件一并提交采购代理机构；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联合体投标人的名称应统一按“××××公司与××××公司的联合体”的规则填写；联合体各方均应在《联合体协议》的签章处签章（包括单位公章和法人签字或盖章），其他投标材料签章处可由联合体牵头方签章。</w:t>
      </w:r>
    </w:p>
    <w:p>
      <w:pPr>
        <w:pStyle w:val="16"/>
        <w:spacing w:line="360" w:lineRule="auto"/>
        <w:ind w:left="2" w:firstLine="36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3.4  投标人不得直接或间接地与为本次采购的项目内容进行设计、编制规范和其他文件的咨询公司、采购代理机构或其附属机构有任何关联。 </w:t>
      </w:r>
    </w:p>
    <w:p>
      <w:pPr>
        <w:pStyle w:val="16"/>
        <w:spacing w:line="360" w:lineRule="auto"/>
        <w:ind w:left="242" w:hanging="242" w:hangingChars="101"/>
        <w:jc w:val="left"/>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4.质疑</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4.1  磋商供应商认为招标文件、采购过程或中标结果使自己的合法权益受到损害的，应当在知道或者应知其权益受到损害之日起七个工作日内，以书面形式向采购人、采购代理机构提出质疑。</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4.2提出质疑的磋商供应商应当是参与所质疑项目采购活动的供应商，质疑函应按</w:t>
      </w:r>
      <w:r>
        <w:rPr>
          <w:color w:val="auto"/>
        </w:rPr>
        <w:fldChar w:fldCharType="begin"/>
      </w:r>
      <w:r>
        <w:rPr>
          <w:color w:val="auto"/>
        </w:rPr>
        <w:instrText xml:space="preserve"> HYPERLINK "https://www.baidu.com/link?url=FnEKpEfecgHI29OKpvrr0ThhhsjQDNw-iC11hZexO2s8DSLZMvZjUN1CP-ntt8geS3G5mNVZ0i2D2OwgmglOo6vjFDXXMR3ZdYuFwaHcBwa&amp;wd=&amp;eqid=f309d5cf0000e588000000065a976ec3" \t "_blank" </w:instrText>
      </w:r>
      <w:r>
        <w:rPr>
          <w:color w:val="auto"/>
        </w:rPr>
        <w:fldChar w:fldCharType="separate"/>
      </w:r>
      <w:r>
        <w:rPr>
          <w:rFonts w:ascii="宋体" w:hAnsi="宋体" w:eastAsia="宋体"/>
          <w:bCs/>
          <w:color w:val="auto"/>
          <w:kern w:val="2"/>
          <w:sz w:val="24"/>
          <w:szCs w:val="24"/>
        </w:rPr>
        <w:t>财政部发布《政府采购供应商质疑函范本》</w:t>
      </w:r>
      <w:r>
        <w:rPr>
          <w:rFonts w:ascii="宋体" w:hAnsi="宋体" w:eastAsia="宋体"/>
          <w:bCs/>
          <w:color w:val="auto"/>
          <w:kern w:val="2"/>
          <w:sz w:val="24"/>
          <w:szCs w:val="24"/>
        </w:rPr>
        <w:fldChar w:fldCharType="end"/>
      </w:r>
      <w:r>
        <w:rPr>
          <w:rFonts w:ascii="宋体" w:hAnsi="宋体" w:eastAsia="宋体"/>
          <w:bCs/>
          <w:color w:val="auto"/>
          <w:kern w:val="2"/>
          <w:sz w:val="24"/>
          <w:szCs w:val="24"/>
        </w:rPr>
        <w:t>编制，质疑函内容或格式不符合其规定的，投标人应按该范本要求进行修改后重新提交。其必须在法定质疑期内一次性提出针对同一采购程序环节的质疑。供应商对同一采购程序环节重复提出质疑的，采购代理机构将不予受理。且其质疑行为和质疑函内容应当符合《政府采购质疑和投诉办法》（中华人民共和国财政部令第94号）规定，</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4.3供应商质疑实行实名制，其质疑应当有具体的质疑事项及事实根据，质疑应当坚持依法依规、诚实信用原则，不得进行虚假、恶意质疑。</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4.4供应商提交质疑应当提交质疑函和必要的证明材料，质疑函应当包括下列内容：</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（1）供应商的姓名或者名称、地址、邮编、联系人及联系电话；</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（2）质疑项目的名称、编号；</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（3）具体、明确的质疑事项和质疑事项相关的请求；</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（4）事实依据；</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（5）必要的法律依据；</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（6）提起质疑的日期；</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质疑书应当署名。供应商为自然人的，应当由本人签字；质疑供应商为法人或者其他组织的，应当由法定代表人、主要负责人签字或其授权代表签字或盖章并加盖公章。</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4.5 质疑供应商可以委托代理人办理质疑事务。委托代理人办理质疑事务时，除提交质疑书外，还应当提交质疑供应商的授权委托书，授权委托书应当载明委托代理的具体权限和事项；提交委托代理人身份证明复印件（原件备查）。</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4.6  质疑供应商提起质疑应当符合下列条件：</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（1）质疑供应商是参与所质疑政府采购活动的供应商，以联合体形式参加政府采购活动的，其质疑应当由组成联合体的所有供应商共同提出；</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（2）质疑函内容符合本章第4.4项的规定；</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（3）在质疑有效期限内提起质疑；</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（4）属于所质疑的采购人或采购人委托的采购代理机构组织的采购活动；</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 xml:space="preserve">（5）同一质疑事项未经采购人或采购人委托的采购代理机构质疑处理； </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（6）供应商对同一采购程序环节的质疑应当在质疑有效期内一次性提出；</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（7）供应商提交质疑应当提交必要的证明材料，证明材料应以合法手段取得；</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（8）财政部门规定的其他条件。</w:t>
      </w:r>
    </w:p>
    <w:p>
      <w:pPr>
        <w:widowControl w:val="0"/>
        <w:adjustRightInd/>
        <w:snapToGrid/>
        <w:spacing w:after="0" w:line="440" w:lineRule="exact"/>
        <w:ind w:firstLine="480" w:firstLineChars="200"/>
        <w:jc w:val="both"/>
        <w:rPr>
          <w:rFonts w:ascii="宋体" w:hAnsi="宋体" w:eastAsia="宋体"/>
          <w:bCs/>
          <w:color w:val="auto"/>
          <w:kern w:val="2"/>
          <w:sz w:val="24"/>
          <w:szCs w:val="24"/>
        </w:rPr>
      </w:pPr>
      <w:r>
        <w:rPr>
          <w:rFonts w:ascii="宋体" w:hAnsi="宋体" w:eastAsia="宋体"/>
          <w:bCs/>
          <w:color w:val="auto"/>
          <w:kern w:val="2"/>
          <w:sz w:val="24"/>
          <w:szCs w:val="24"/>
        </w:rPr>
        <w:t>4.7  采购人或采购人委托的采购代理机构自受理质疑之日起七个工作日内，对质疑事项作出答复，并以书面形式通知质疑供应商及其他有关供应商。</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  投诉</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5.1  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15个工作日内向南宁市政府采购监督管理部门提起投诉。</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5.2  投诉人投诉时，应当提交投诉书，并按照被投诉采购人、采购代理机构和与投诉事项有关的供应商数量提供投诉书的副本。投诉书应当包括下列主要内容（如材料中有外文资料应同时附上对应的中文译本）：</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（1）投诉人和被投诉人的名称、地址、电话等； </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（2）具体的投诉事项及事实依据；</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（3）质疑和质疑答复情况及相关证明材料； </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（4）提起投诉的日期。</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投诉书应当署名。投诉人为自然人的，应当由本人签字；投诉人为法人或者其他组织的，应当由法定代表人或者主要负责人签字盖章并加盖公章。</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5.3  投诉人可以委托代理人办理投诉事务。代理人办理投诉事务时，除提交投诉书外，还应当提交投诉人的授权委托书，授权委托书应当载明委托代理的具体权限和事项。</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5.4  投诉人提起投诉应当符合下列条件：</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（1）投诉人是参与所投诉政府采购活动的供应商；</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（2）提起投诉前已依法进行质疑；</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（3）投诉书内容符合本章第5.2项的规定；</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（4）在投诉有效期限内提起投诉；</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（5）属于南宁市政府采购监督管理部门管辖；</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（6）同一投诉事项未经南宁市政府采购监督管理部门投诉处理；</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（7）国务院财政部门规定的其他条件。</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5.5  南宁市政府采购监督管理部门自受理投诉之日起30个工作日内，对投诉事项作出处理决定，并以书面形式通知投诉人、被投诉人及其他与投诉处理结果有利害关系的政府采购当事人。</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5.6  南宁市政府采购监督管理部门在处理投诉事项期间，可以视具体情况暂停采购活动。</w:t>
      </w:r>
    </w:p>
    <w:p>
      <w:pPr>
        <w:pStyle w:val="16"/>
        <w:spacing w:line="360" w:lineRule="auto"/>
        <w:jc w:val="center"/>
        <w:outlineLvl w:val="1"/>
        <w:rPr>
          <w:rFonts w:cs="宋体" w:asciiTheme="majorEastAsia" w:hAnsiTheme="majorEastAsia" w:eastAsiaTheme="majorEastAsia"/>
          <w:b/>
          <w:color w:val="auto"/>
          <w:sz w:val="30"/>
          <w:szCs w:val="30"/>
        </w:rPr>
      </w:pPr>
      <w:bookmarkStart w:id="25" w:name="_Toc508092930"/>
      <w:bookmarkStart w:id="26" w:name="_Toc22582"/>
      <w:bookmarkStart w:id="27" w:name="_Toc213326417"/>
      <w:bookmarkStart w:id="28" w:name="_Toc448343857"/>
      <w:r>
        <w:rPr>
          <w:rFonts w:cs="宋体" w:asciiTheme="majorEastAsia" w:hAnsiTheme="majorEastAsia" w:eastAsiaTheme="majorEastAsia"/>
          <w:b/>
          <w:color w:val="auto"/>
          <w:sz w:val="30"/>
          <w:szCs w:val="30"/>
        </w:rPr>
        <w:t>二    公开招标文件</w:t>
      </w:r>
      <w:bookmarkEnd w:id="25"/>
      <w:bookmarkEnd w:id="26"/>
      <w:bookmarkEnd w:id="27"/>
      <w:bookmarkEnd w:id="28"/>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6.  公开招标文件的组成</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6.1  本</w:t>
      </w:r>
      <w:r>
        <w:rPr>
          <w:rFonts w:cs="宋体" w:asciiTheme="majorEastAsia" w:hAnsiTheme="majorEastAsia" w:eastAsiaTheme="majorEastAsia"/>
          <w:bCs/>
          <w:color w:val="auto"/>
          <w:sz w:val="24"/>
          <w:szCs w:val="24"/>
        </w:rPr>
        <w:t>公开招标</w:t>
      </w:r>
      <w:r>
        <w:rPr>
          <w:rFonts w:cs="宋体" w:asciiTheme="majorEastAsia" w:hAnsiTheme="majorEastAsia" w:eastAsiaTheme="majorEastAsia"/>
          <w:color w:val="auto"/>
          <w:sz w:val="24"/>
          <w:szCs w:val="24"/>
        </w:rPr>
        <w:t>文件包括六个章节，各章的内容如下：</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第一章  公告</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第二章  服务需求一览表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第三章  评标方法</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第四章  投标人须知</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第五章  投标文件格式</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第六章  合同条款及格式</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6.2  根据本章第7.1项的规定对公开招标文件所做的澄清、修改，构成招标文件的组成部分。当公开招标文件与招标文件的澄清和修改就同一内容的表述不一致时，以最后发出的书面文件为准。</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7.  招标文件的澄清和修改</w:t>
      </w:r>
    </w:p>
    <w:p>
      <w:pPr>
        <w:spacing w:after="165" w:line="360" w:lineRule="auto"/>
        <w:ind w:left="2" w:firstLine="480"/>
        <w:rPr>
          <w:rFonts w:asciiTheme="majorEastAsia" w:hAnsiTheme="majorEastAsia" w:eastAsiaTheme="majorEastAsia"/>
          <w:color w:val="auto"/>
          <w:sz w:val="24"/>
        </w:rPr>
      </w:pPr>
      <w:r>
        <w:rPr>
          <w:rFonts w:hint="eastAsia" w:asciiTheme="majorEastAsia" w:hAnsiTheme="majorEastAsia" w:eastAsiaTheme="majorEastAsia"/>
          <w:color w:val="auto"/>
          <w:sz w:val="24"/>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spacing w:line="360" w:lineRule="auto"/>
        <w:ind w:left="2" w:firstLine="360"/>
        <w:rPr>
          <w:rFonts w:asciiTheme="majorEastAsia" w:hAnsiTheme="majorEastAsia" w:eastAsiaTheme="majorEastAsia"/>
          <w:color w:val="auto"/>
          <w:sz w:val="24"/>
        </w:rPr>
      </w:pPr>
      <w:r>
        <w:rPr>
          <w:rFonts w:hint="eastAsia" w:asciiTheme="majorEastAsia" w:hAnsiTheme="majorEastAsia" w:eastAsiaTheme="majorEastAsia"/>
          <w:color w:val="auto"/>
          <w:sz w:val="24"/>
        </w:rPr>
        <w:t>7.2  采购人或采购代理机构必须在投标截止时间十五日前，以书面形式答复投标人要求澄清的问题，并将不包含问题来源的澄清通知所有招标文件收受人，除书面澄清以外的其他澄清方式及澄清内容均无效；同时，采购代理机构在本章第2.1项规定的政府采购信息发布媒体上发布更正公告。如果澄清发出的时间距投标截止时间不足十五日，则相应延长投标截止时间。</w:t>
      </w:r>
    </w:p>
    <w:p>
      <w:pPr>
        <w:pStyle w:val="16"/>
        <w:spacing w:line="360" w:lineRule="auto"/>
        <w:ind w:left="2" w:leftChars="1" w:firstLine="482" w:firstLineChars="2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7.3 采购人或采购代理机构对已发出的招标文件进行必要澄清或修改的，应在投标截止时间十五日前，在本章第2.1项规定的政府采购信息发布媒体上发布更正公告。如果修改招标文件的时间距投标截止时间不足十五日，则相应延长投标截止时间。请各投标</w:t>
      </w:r>
      <w:r>
        <w:rPr>
          <w:rFonts w:hint="eastAsia" w:cs="宋体" w:asciiTheme="majorEastAsia" w:hAnsiTheme="majorEastAsia" w:eastAsiaTheme="majorEastAsia"/>
          <w:b/>
          <w:color w:val="auto"/>
          <w:sz w:val="24"/>
          <w:szCs w:val="24"/>
        </w:rPr>
        <w:t>人</w:t>
      </w:r>
      <w:r>
        <w:rPr>
          <w:rFonts w:cs="宋体" w:asciiTheme="majorEastAsia" w:hAnsiTheme="majorEastAsia" w:eastAsiaTheme="majorEastAsia"/>
          <w:b/>
          <w:color w:val="auto"/>
          <w:sz w:val="24"/>
          <w:szCs w:val="24"/>
        </w:rPr>
        <w:t>随时关注网站动态，代理机构将不再另行电话通知。</w:t>
      </w:r>
    </w:p>
    <w:p>
      <w:pPr>
        <w:pStyle w:val="16"/>
        <w:spacing w:line="360" w:lineRule="auto"/>
        <w:ind w:left="2" w:leftChars="1" w:firstLine="482" w:firstLineChars="200"/>
        <w:rPr>
          <w:rFonts w:cs="宋体" w:asciiTheme="majorEastAsia" w:hAnsiTheme="majorEastAsia" w:eastAsiaTheme="majorEastAsia"/>
          <w:b/>
          <w:bCs/>
          <w:color w:val="auto"/>
        </w:rPr>
      </w:pPr>
      <w:r>
        <w:rPr>
          <w:rFonts w:cs="宋体" w:asciiTheme="majorEastAsia" w:hAnsiTheme="majorEastAsia" w:eastAsiaTheme="majorEastAsia"/>
          <w:b/>
          <w:color w:val="auto"/>
          <w:sz w:val="24"/>
          <w:szCs w:val="24"/>
        </w:rPr>
        <w:t>7.4  采购人和采购代理机构可以视采购具体情况，延长投标截止时间和开标时间，但至少应当在投标截止时间三日前，在本章第2.1项规定的政府采购信息发布媒体上发布变更公告。请各投标</w:t>
      </w:r>
      <w:r>
        <w:rPr>
          <w:rFonts w:hint="eastAsia" w:cs="宋体" w:asciiTheme="majorEastAsia" w:hAnsiTheme="majorEastAsia" w:eastAsiaTheme="majorEastAsia"/>
          <w:b/>
          <w:color w:val="auto"/>
          <w:sz w:val="24"/>
          <w:szCs w:val="24"/>
        </w:rPr>
        <w:t>人</w:t>
      </w:r>
      <w:r>
        <w:rPr>
          <w:rFonts w:cs="宋体" w:asciiTheme="majorEastAsia" w:hAnsiTheme="majorEastAsia" w:eastAsiaTheme="majorEastAsia"/>
          <w:b/>
          <w:color w:val="auto"/>
          <w:sz w:val="24"/>
          <w:szCs w:val="24"/>
        </w:rPr>
        <w:t>随时关注网站动态，代理机构将不再另行电话通知。</w:t>
      </w:r>
    </w:p>
    <w:p>
      <w:pPr>
        <w:pStyle w:val="16"/>
        <w:spacing w:line="360" w:lineRule="auto"/>
        <w:jc w:val="center"/>
        <w:rPr>
          <w:rFonts w:cs="宋体" w:asciiTheme="majorEastAsia" w:hAnsiTheme="majorEastAsia" w:eastAsiaTheme="majorEastAsia"/>
          <w:b/>
          <w:color w:val="auto"/>
          <w:sz w:val="30"/>
          <w:szCs w:val="30"/>
        </w:rPr>
      </w:pPr>
      <w:bookmarkStart w:id="29" w:name="_Toc213326418"/>
      <w:bookmarkStart w:id="30" w:name="_Toc448343858"/>
    </w:p>
    <w:p>
      <w:pPr>
        <w:pStyle w:val="16"/>
        <w:spacing w:line="360" w:lineRule="auto"/>
        <w:jc w:val="center"/>
        <w:outlineLvl w:val="1"/>
        <w:rPr>
          <w:rFonts w:cs="宋体" w:asciiTheme="majorEastAsia" w:hAnsiTheme="majorEastAsia" w:eastAsiaTheme="majorEastAsia"/>
          <w:b/>
          <w:color w:val="auto"/>
          <w:sz w:val="30"/>
          <w:szCs w:val="30"/>
        </w:rPr>
      </w:pPr>
      <w:bookmarkStart w:id="31" w:name="_Toc508092931"/>
      <w:bookmarkStart w:id="32" w:name="_Toc21555"/>
      <w:r>
        <w:rPr>
          <w:rFonts w:cs="宋体" w:asciiTheme="majorEastAsia" w:hAnsiTheme="majorEastAsia" w:eastAsiaTheme="majorEastAsia"/>
          <w:b/>
          <w:color w:val="auto"/>
          <w:sz w:val="30"/>
          <w:szCs w:val="30"/>
        </w:rPr>
        <w:t>三    投标文件</w:t>
      </w:r>
      <w:bookmarkEnd w:id="29"/>
      <w:bookmarkEnd w:id="30"/>
      <w:bookmarkEnd w:id="31"/>
      <w:bookmarkEnd w:id="32"/>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8.  投标文件的编制</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8.1  投标人应仔细阅读招标文件，在充分了解招标的内容、服务内容及要求和商务条款以及实质性要求和条件后，编写投标文件。</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8.2  对招标文件的实质性要求和条件作出响应是指投标人必须对招标文件中标注为实质性要求和条件的服务内容及要求、商务条款及其它内容</w:t>
      </w:r>
      <w:r>
        <w:rPr>
          <w:rFonts w:cs="宋体" w:asciiTheme="majorEastAsia" w:hAnsiTheme="majorEastAsia" w:eastAsiaTheme="majorEastAsia"/>
          <w:b/>
          <w:color w:val="auto"/>
          <w:sz w:val="24"/>
          <w:szCs w:val="24"/>
        </w:rPr>
        <w:t>作出满足或者优于原要求和条件的承诺</w:t>
      </w:r>
      <w:r>
        <w:rPr>
          <w:rFonts w:cs="宋体" w:asciiTheme="majorEastAsia" w:hAnsiTheme="majorEastAsia" w:eastAsiaTheme="majorEastAsia"/>
          <w:color w:val="auto"/>
          <w:sz w:val="24"/>
          <w:szCs w:val="24"/>
        </w:rPr>
        <w:t>。</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8.3  招标文件中标注★号的内容为实质性要求和条件。未标注★号的内容在评标时不得作为判定投标无效的依据。</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8.4  投标文件应用不褪色的材料书写或打印，保证其清楚、工整，相关材料的复印件应清晰可辨认。投标文件字迹潦草、表达不清、模糊无法辨认而导致非唯一理解是投标人的风险，很可能导致该投标无效。</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8.5  第五章“投标文件格式”中规定了投标文件格式的，应按相应格式要求编写。</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8.6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16"/>
        <w:spacing w:line="360" w:lineRule="auto"/>
        <w:ind w:left="2" w:leftChars="1"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8.7  投标文件应编制目录，且页码清晰准确。</w:t>
      </w:r>
    </w:p>
    <w:p>
      <w:pPr>
        <w:pStyle w:val="16"/>
        <w:spacing w:line="360" w:lineRule="auto"/>
        <w:ind w:left="2" w:leftChars="1" w:firstLine="482"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8.8 投标文件的正本和副本应分别装订成册，封面上应清楚地标记“正本”或“副本”字样，并标明项目名称、项目编号、投标人名称等内容。副本可以采用正本的复印件，当副本和正本不一致时，以正本为准。投标人应准备报价文件正本、资格文件、技术文件和商务文件正本各一份，副本份数见投标人须知前附表。</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9.  投标语言文字及计量单位</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9.1  投标人的投标文件以及投标人与采购人、采购代理机构就有关投标的所有往来函电统一使用中文（特别规定除外）。</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9.2  对不同文字文本投标文件的解释发生异议的，以中文文本为准。</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9.3  投标文件使用的计量单位除招标文件中有特殊规定外，一律使用中华人民共和国法定计量单位。</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10.  投标文件的组成</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 投标人需编制的投标文件包括报价文件、资格文件、技术文件和商务文件四部分，投标人应按下列说明编写和提交。应递交的有关文件如未特别注明为原件的，可提交复印件。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10.1.1  报价文件，包括：</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（1）投标函：按第五章“投标文件格式”提供的“投标函（格式）”的要求填写；</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w:t>
      </w:r>
      <w:r>
        <w:rPr>
          <w:rFonts w:hint="eastAsia" w:cs="宋体" w:asciiTheme="majorEastAsia" w:hAnsiTheme="majorEastAsia" w:eastAsiaTheme="majorEastAsia"/>
          <w:color w:val="auto"/>
          <w:sz w:val="24"/>
          <w:szCs w:val="24"/>
        </w:rPr>
        <w:t>投标</w:t>
      </w:r>
      <w:r>
        <w:rPr>
          <w:rFonts w:cs="宋体" w:asciiTheme="majorEastAsia" w:hAnsiTheme="majorEastAsia" w:eastAsiaTheme="majorEastAsia"/>
          <w:color w:val="auto"/>
          <w:sz w:val="24"/>
          <w:szCs w:val="24"/>
        </w:rPr>
        <w:t>报价表：按第五章“投标文件格式”提供的“</w:t>
      </w:r>
      <w:r>
        <w:rPr>
          <w:rFonts w:hint="eastAsia" w:cs="宋体" w:asciiTheme="majorEastAsia" w:hAnsiTheme="majorEastAsia" w:eastAsiaTheme="majorEastAsia"/>
          <w:color w:val="auto"/>
          <w:sz w:val="24"/>
          <w:szCs w:val="24"/>
        </w:rPr>
        <w:t>投标</w:t>
      </w:r>
      <w:r>
        <w:rPr>
          <w:rFonts w:cs="宋体" w:asciiTheme="majorEastAsia" w:hAnsiTheme="majorEastAsia" w:eastAsiaTheme="majorEastAsia"/>
          <w:color w:val="auto"/>
          <w:sz w:val="24"/>
          <w:szCs w:val="24"/>
        </w:rPr>
        <w:t>报价表（格式）”的要求填写;</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（3）中小企业声明函：按第五章“投标文件格式”提供的“中小企业声明函（格式）”的要求填写；</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（4）监狱企业证明：提供由省级以上监狱管理局、戒毒管理局（含新疆生产建设兵团）出具的属于监狱企业的证明文件。</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（5）残疾人福利性单位声明函：按第五章“投标文件格式”提供的“残疾人福利性单位声明函（格式）”的要求填写。</w:t>
      </w:r>
    </w:p>
    <w:p>
      <w:pPr>
        <w:pStyle w:val="16"/>
        <w:spacing w:line="360" w:lineRule="auto"/>
        <w:ind w:firstLine="42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其中，报价文件组成要求的第（1）～（2）项必须提交；第（3）～（5）项如有请提交。</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10.1.2 资格文件组成要求，包括：</w:t>
      </w:r>
    </w:p>
    <w:p>
      <w:pPr>
        <w:spacing w:line="360" w:lineRule="auto"/>
        <w:ind w:firstLine="480" w:firstLineChars="200"/>
        <w:rPr>
          <w:rFonts w:asciiTheme="majorEastAsia" w:hAnsiTheme="majorEastAsia" w:eastAsiaTheme="majorEastAsia"/>
          <w:b/>
          <w:color w:val="auto"/>
          <w:sz w:val="24"/>
        </w:rPr>
      </w:pPr>
      <w:r>
        <w:rPr>
          <w:rFonts w:hint="eastAsia" w:asciiTheme="majorEastAsia" w:hAnsiTheme="majorEastAsia" w:eastAsiaTheme="majorEastAsia"/>
          <w:color w:val="auto"/>
          <w:sz w:val="24"/>
        </w:rPr>
        <w:t>（1）资格声明函。按第五章“投标文件格式”提供的“资格声明函（格式）”的要求填写。对列入失信被执行人、重大税收违法案件当事人名单、政府采购严重违法失信行为记录名单的投标人，将被拒绝参与本项目政府采购活动。</w:t>
      </w:r>
      <w:r>
        <w:rPr>
          <w:rFonts w:hint="eastAsia" w:asciiTheme="majorEastAsia" w:hAnsiTheme="majorEastAsia" w:eastAsiaTheme="majorEastAsia"/>
          <w:b/>
          <w:color w:val="auto"/>
          <w:sz w:val="24"/>
        </w:rPr>
        <w:t>（注：采购人或采购代理机构在对投标人资格审查时进行信用查询，查询结果与投标文件不一致时，以采购人或采购代理机构查询结果为准。）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根据本章第3.2项规定的投标人应具备的特定条件提供，包括营业执照副本内页或事业单位法人证复印件（投标人如为企业的，要求证件有效并清晰反映企业法人和经营范围）和投标人资格的其他证明文件复印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（3）法定代表人身份证明复印件：如使用第二代身份证应提交正、反面复印件，如法定代表人非中国国籍应提交护照复印件，要求证件有效并与营业执照或事业单位法人证中的法定代表人相符；</w:t>
      </w:r>
    </w:p>
    <w:p>
      <w:pPr>
        <w:widowControl w:val="0"/>
        <w:adjustRightInd/>
        <w:snapToGrid/>
        <w:spacing w:after="0" w:line="360" w:lineRule="auto"/>
        <w:ind w:firstLine="480" w:firstLineChars="200"/>
        <w:jc w:val="both"/>
        <w:rPr>
          <w:rFonts w:asciiTheme="majorEastAsia" w:hAnsiTheme="majorEastAsia" w:eastAsiaTheme="majorEastAsia"/>
          <w:color w:val="auto"/>
          <w:kern w:val="2"/>
          <w:sz w:val="24"/>
          <w:szCs w:val="24"/>
        </w:rPr>
      </w:pPr>
      <w:r>
        <w:rPr>
          <w:rFonts w:hint="eastAsia" w:asciiTheme="majorEastAsia" w:hAnsiTheme="majorEastAsia" w:eastAsiaTheme="majorEastAsia"/>
          <w:color w:val="auto"/>
          <w:kern w:val="2"/>
          <w:sz w:val="24"/>
          <w:szCs w:val="24"/>
        </w:rPr>
        <w:t>（4）投标人直接控股、管理关系信息表，按第</w:t>
      </w:r>
      <w:r>
        <w:rPr>
          <w:rFonts w:asciiTheme="majorEastAsia" w:hAnsiTheme="majorEastAsia" w:eastAsiaTheme="majorEastAsia"/>
          <w:color w:val="auto"/>
          <w:kern w:val="2"/>
          <w:sz w:val="24"/>
          <w:szCs w:val="24"/>
        </w:rPr>
        <w:t>五</w:t>
      </w:r>
      <w:r>
        <w:rPr>
          <w:rFonts w:hint="eastAsia" w:asciiTheme="majorEastAsia" w:hAnsiTheme="majorEastAsia" w:eastAsiaTheme="majorEastAsia"/>
          <w:color w:val="auto"/>
          <w:kern w:val="2"/>
          <w:sz w:val="24"/>
          <w:szCs w:val="24"/>
        </w:rPr>
        <w:t>章“投标文件格式”提供的“投标人直接控股、管理关系信息表（格式）”的要求填写；</w:t>
      </w:r>
    </w:p>
    <w:p>
      <w:pPr>
        <w:pStyle w:val="16"/>
        <w:spacing w:line="360" w:lineRule="auto"/>
        <w:ind w:firstLine="482"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其中，资格文件组成要求的第（1）～（</w:t>
      </w:r>
      <w:r>
        <w:rPr>
          <w:rFonts w:hint="eastAsia" w:cs="宋体" w:asciiTheme="majorEastAsia" w:hAnsiTheme="majorEastAsia" w:eastAsiaTheme="majorEastAsia"/>
          <w:b/>
          <w:bCs/>
          <w:color w:val="auto"/>
          <w:sz w:val="24"/>
          <w:szCs w:val="24"/>
        </w:rPr>
        <w:t>4</w:t>
      </w:r>
      <w:r>
        <w:rPr>
          <w:rFonts w:cs="宋体" w:asciiTheme="majorEastAsia" w:hAnsiTheme="majorEastAsia" w:eastAsiaTheme="majorEastAsia"/>
          <w:b/>
          <w:bCs/>
          <w:color w:val="auto"/>
          <w:sz w:val="24"/>
          <w:szCs w:val="24"/>
        </w:rPr>
        <w:t>）项必须提交。</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10.1.3 技术文件组成要求，包括：</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（1）投标服务技术资料表：按第五章“投标文件格式”提供的“投标服务技术资料表（格式）”的要求填写；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（2）其它：针对本项目所投标服务的主要技术指标、参数及性能的详细说明，相关的图纸、图片，产品有效检测和鉴定证明复印件，等等。</w:t>
      </w:r>
    </w:p>
    <w:p>
      <w:pPr>
        <w:pStyle w:val="16"/>
        <w:spacing w:line="360" w:lineRule="auto"/>
        <w:ind w:firstLine="482"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其中，技术文件组成要求的第（1）项必须提交；第（2）项如有请提交。</w:t>
      </w:r>
    </w:p>
    <w:p>
      <w:pPr>
        <w:spacing w:line="360" w:lineRule="auto"/>
        <w:ind w:firstLine="240" w:firstLineChars="100"/>
        <w:rPr>
          <w:rFonts w:asciiTheme="majorEastAsia" w:hAnsiTheme="majorEastAsia" w:eastAsiaTheme="majorEastAsia"/>
          <w:color w:val="auto"/>
          <w:sz w:val="24"/>
        </w:rPr>
      </w:pPr>
      <w:r>
        <w:rPr>
          <w:rFonts w:hint="eastAsia" w:asciiTheme="majorEastAsia" w:hAnsiTheme="majorEastAsia" w:eastAsiaTheme="majorEastAsia"/>
          <w:color w:val="auto"/>
          <w:sz w:val="24"/>
        </w:rPr>
        <w:t>10.1.4 商务文件组成要求，包括：</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（1）售后服务承诺书：按第五章“投标文件格式”提供的“售后服务承诺书（格式）” 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（2）商务条款偏离表：按第五章“投标文件格式”提供的“商务条款偏离表（格式）” 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投标文件递交截止之日前半年内投标人连续三个月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税务部门出具的《依法纳税或依法免税证明》（复印件，格式自拟，原件备查），《依法纳税或依法免税证明》原件一年内保持有效 ；</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文件递交截止之日前半年内投标人连续三个月依法缴纳社会保障资金的凭证复印件（如社保部门开具的证明、收款收据等，或银行缴款凭证、回单等，如为非社保部门开具的凭证或回单的，应清晰反映：缴款单位名称、社保单位名称、保险名称、缴款金额等内容）。无缴费记录的，应提供投标人所在地社保部门出具的《依法缴纳或依法免缴社保费证明》（复印件，格式自拟，原件备查）；</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（5）法定代表人授权委托书：按第五章“投标文件格式”提供的“法定代表人授权委托书（格式）”的要求填写；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（6）委托代理人身份证明复印件：如使用第二代身份证应提交正、反面复印件，如委托代理人非中国国籍应提交护照复印件，要求证件有效并与法定代表人授权委托书中的委托代理人相符；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（7）财务会计报表复印件：投标人近三年的经会计师事务所或审计机构审计的财务会计报表，包括资产负债表、现金流量表、利润表、财务情况说明书和审计报告；</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其它：投标人通过国家或国际认证资格证书复印件、银行出具的投标人资信证明或信用等级证明复印件、投标人近三年同类服务的实际业绩证明（附中标通知书复印件或合同复印件）、投标人近三年的质量获奖荣誉证书复印件、投标人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b/>
          <w:color w:val="auto"/>
          <w:sz w:val="24"/>
          <w:szCs w:val="24"/>
        </w:rPr>
        <w:t>商务文件中的第（1）～（4）项必须提交；第（5）、（6）项在委托代理时必须提交；第（7）、（8）项如有请提交。</w:t>
      </w:r>
    </w:p>
    <w:p>
      <w:pPr>
        <w:spacing w:line="360" w:lineRule="auto"/>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10.2 投标人应编制目录，按上述顺序将报价文件、资格文件、商务文件、技术文件</w:t>
      </w:r>
      <w:r>
        <w:rPr>
          <w:rFonts w:hint="eastAsia" w:asciiTheme="majorEastAsia" w:hAnsiTheme="majorEastAsia" w:eastAsiaTheme="majorEastAsia"/>
          <w:b/>
          <w:bCs/>
          <w:color w:val="auto"/>
          <w:sz w:val="24"/>
        </w:rPr>
        <w:t>分别装订成册。特别注意投标报价不得出现在资格文件、技术文件和商务文件中。</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11.  投标报价</w:t>
      </w:r>
    </w:p>
    <w:p>
      <w:pPr>
        <w:pStyle w:val="16"/>
        <w:spacing w:line="360" w:lineRule="auto"/>
        <w:ind w:firstLine="482" w:firstLineChars="2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11.1  投标人应以人民币并按分项报价。</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11.2  投标人可就第二章“服务需求一览表”中的</w:t>
      </w:r>
      <w:r>
        <w:rPr>
          <w:rFonts w:cs="宋体" w:asciiTheme="majorEastAsia" w:hAnsiTheme="majorEastAsia" w:eastAsiaTheme="majorEastAsia"/>
          <w:b/>
          <w:color w:val="auto"/>
          <w:sz w:val="24"/>
          <w:szCs w:val="24"/>
        </w:rPr>
        <w:t>某一个分标内容报出完整且唯一报价，也可就某几个或所有分标内容分别报出完整且唯一报价，附带有条件的报价将不予接受。</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11.3  投标报价为在采购人指定地点提交服务成果所需的全部费用，其组成部分详见第二章“服务需求一览表”。采购人不再向中标供应商支付其投标报价之外的任何费用。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11.4  本项目的采购代理服务费按物价部门核准的收费标准执行，见投标人须知前附表。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11.5  不论投标结果如何，投标人均应自行承担与编制和递交投标文件有关的全部费用。</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12.  投标有效期</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12.1  在投标人须知前附表规定的投标有效期内，投标人不得要求撤销或修改其投标文件。</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12.2  在特殊情况下，采购人或采购代理机构可与投标人协商延长投标有效期，这种要求与答复均应使用书面形式。投标人同意延长的，应相应延长其投标有效期，但不得要求或被允许修改或撤销其投标文件；投标人拒绝延长的，其投标在超过原有效期后失效。</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13.  投标保证金</w:t>
      </w:r>
    </w:p>
    <w:p>
      <w:pPr>
        <w:pStyle w:val="16"/>
        <w:spacing w:line="360" w:lineRule="auto"/>
        <w:ind w:firstLine="480" w:firstLineChars="200"/>
        <w:rPr>
          <w:rFonts w:cs="宋体" w:asciiTheme="majorEastAsia" w:hAnsiTheme="majorEastAsia" w:eastAsiaTheme="majorEastAsia"/>
          <w:bCs/>
          <w:color w:val="auto"/>
          <w:sz w:val="24"/>
          <w:szCs w:val="24"/>
        </w:rPr>
      </w:pPr>
      <w:bookmarkStart w:id="33" w:name="_Toc213326419"/>
      <w:bookmarkStart w:id="34" w:name="_Toc508092932"/>
      <w:bookmarkStart w:id="35" w:name="_Toc448343859"/>
      <w:r>
        <w:rPr>
          <w:rFonts w:cs="宋体" w:asciiTheme="majorEastAsia" w:hAnsiTheme="majorEastAsia" w:eastAsiaTheme="majorEastAsia"/>
          <w:bCs/>
          <w:color w:val="auto"/>
          <w:sz w:val="24"/>
          <w:szCs w:val="24"/>
        </w:rPr>
        <w:t>本项目不收取投标保证金。</w:t>
      </w:r>
    </w:p>
    <w:p>
      <w:pPr>
        <w:pStyle w:val="16"/>
        <w:spacing w:line="360" w:lineRule="auto"/>
        <w:jc w:val="center"/>
        <w:outlineLvl w:val="1"/>
        <w:rPr>
          <w:rFonts w:cs="宋体" w:asciiTheme="majorEastAsia" w:hAnsiTheme="majorEastAsia" w:eastAsiaTheme="majorEastAsia"/>
          <w:b/>
          <w:color w:val="auto"/>
          <w:sz w:val="30"/>
          <w:szCs w:val="30"/>
        </w:rPr>
      </w:pPr>
      <w:bookmarkStart w:id="36" w:name="_Toc22758"/>
      <w:r>
        <w:rPr>
          <w:rFonts w:cs="宋体" w:asciiTheme="majorEastAsia" w:hAnsiTheme="majorEastAsia" w:eastAsiaTheme="majorEastAsia"/>
          <w:b/>
          <w:color w:val="auto"/>
          <w:sz w:val="30"/>
          <w:szCs w:val="30"/>
        </w:rPr>
        <w:t>四    投标</w:t>
      </w:r>
      <w:bookmarkEnd w:id="33"/>
      <w:bookmarkEnd w:id="34"/>
      <w:bookmarkEnd w:id="35"/>
      <w:bookmarkEnd w:id="36"/>
    </w:p>
    <w:p>
      <w:pPr>
        <w:pStyle w:val="16"/>
        <w:spacing w:line="360" w:lineRule="auto"/>
        <w:ind w:firstLine="240" w:firstLineChars="10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14.  投标文件的密封</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14.1  投标人应将所有投标文件密封在一个外层包封中，在外层包封上标明“投标文件”。</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14.2 外层包封应写明项目名称、项目编号、采购人单位名称、投标人名称，并注明开标时间以前不得开封。</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14.3 如果外包封没有按照上述规定密封，招标代理单位将不承担投标文件错放或提前开封的责任。由此造成的提前开封的投标文件将予以拒绝，并退还给投标人。</w:t>
      </w:r>
    </w:p>
    <w:p>
      <w:pPr>
        <w:pStyle w:val="16"/>
        <w:spacing w:line="360" w:lineRule="auto"/>
        <w:ind w:firstLine="241" w:firstLineChars="100"/>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14.4 外层包封封口处应加盖密封章或单位公章，若封口处没有加盖密封章或公章或破损严重，招标代理单位将其拒收。</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15.  投标文件的递交</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15.1  投标人投标截止时间：见投标人须知前附表。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15.2  投标人递交投标文件地点：见投标人须知前附表。</w:t>
      </w:r>
    </w:p>
    <w:p>
      <w:pPr>
        <w:pStyle w:val="16"/>
        <w:spacing w:line="360" w:lineRule="auto"/>
        <w:jc w:val="center"/>
        <w:rPr>
          <w:rFonts w:cs="宋体" w:asciiTheme="majorEastAsia" w:hAnsiTheme="majorEastAsia" w:eastAsiaTheme="majorEastAsia"/>
          <w:color w:val="auto"/>
          <w:sz w:val="24"/>
          <w:szCs w:val="24"/>
        </w:rPr>
      </w:pPr>
      <w:bookmarkStart w:id="37" w:name="_Toc508092933"/>
    </w:p>
    <w:p>
      <w:pPr>
        <w:pStyle w:val="16"/>
        <w:spacing w:line="360" w:lineRule="auto"/>
        <w:jc w:val="center"/>
        <w:outlineLvl w:val="1"/>
        <w:rPr>
          <w:rFonts w:cs="宋体" w:asciiTheme="majorEastAsia" w:hAnsiTheme="majorEastAsia" w:eastAsiaTheme="majorEastAsia"/>
          <w:b/>
          <w:color w:val="auto"/>
          <w:sz w:val="30"/>
          <w:szCs w:val="30"/>
        </w:rPr>
      </w:pPr>
      <w:bookmarkStart w:id="38" w:name="_Toc22331"/>
      <w:r>
        <w:rPr>
          <w:rFonts w:cs="宋体" w:asciiTheme="majorEastAsia" w:hAnsiTheme="majorEastAsia" w:eastAsiaTheme="majorEastAsia"/>
          <w:b/>
          <w:color w:val="auto"/>
          <w:sz w:val="30"/>
          <w:szCs w:val="30"/>
        </w:rPr>
        <w:t>五  开标、资格审查与评标</w:t>
      </w:r>
      <w:bookmarkEnd w:id="37"/>
      <w:bookmarkEnd w:id="38"/>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16.  开标</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16.1  采购代理机构将在本章第15.1项规定的投标截止时间（即开标时间）和投标人须知前附表规定的地点公开开标，</w:t>
      </w:r>
      <w:r>
        <w:rPr>
          <w:rFonts w:cs="宋体" w:asciiTheme="majorEastAsia" w:hAnsiTheme="majorEastAsia" w:eastAsiaTheme="majorEastAsia"/>
          <w:color w:val="auto"/>
          <w:sz w:val="24"/>
        </w:rPr>
        <w:t>投标人的法定代表人或委托代理人开标必须持证件（法定代表人凭营业执照复印件、身份证原件及复印件）或（委托代理人凭法人授权委托书原件、营业执照复印件、身份证原件及复印件）应准时参加并签到。</w:t>
      </w:r>
      <w:r>
        <w:rPr>
          <w:rFonts w:cs="宋体" w:asciiTheme="majorEastAsia" w:hAnsiTheme="majorEastAsia" w:eastAsiaTheme="majorEastAsia"/>
          <w:color w:val="auto"/>
          <w:sz w:val="24"/>
          <w:szCs w:val="24"/>
        </w:rPr>
        <w:t>投标人的法定代表人或其委托代理人应准时参加并签到。如未按时签到，由此产生的后果由投标人自行负责。</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16.1.1 截标后由采购人或采购代理机构对投标人进行信用查询。</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查询渠道：“信用中国”网站（www.creditchina.gov.cn）、中国政府采购网（www.ccgp.gov.cn） </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查询截止时点：投标截止时间   </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查询记录和证据留存方式：在查询网站中直接打印查询记录，打印材料作为评审资料保存。</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信用信息使用规则：对在“信用中国”网站（www.creditchina.gov.cn） 、中国政府采购网（www.ccgp.gov.cn）被列入失信被执行人、重大税收违法案件当事人名单、政府采购严重违法失信行为记录名单，将拒绝其参与政府采购活动。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16.2  开标程序：</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（1）开标会由采购代理机构主持，主持人宣布开标会议开始；</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（2）公布在投标截止时间前递交投标文件的投标人名称，并点名确认投标人是否派人到场；</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（3）宣布开标人、唱标人、记录人、监标人（由第三方监督单位担任）等有关人员姓名；</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（4）投标人代表按本章第14.1项的规定交叉检查投标文件的密封情况，并签字确认；</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按各投标人递交投标文件时间的先后顺序当众拆封投标文件，由唱标人宣读投标人名称、分标名称、投标文件正副本数量、投标报价、提交服务成果时间等以及采购代理机构认为有必要宣读的其他内容，记录人负责做开标记录；</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（6）相关人员在开标记录上签字确认；</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（7）宣布评标期间的有关事项；</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（8）开标结束。</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16.3资格审查</w:t>
      </w:r>
    </w:p>
    <w:p>
      <w:pPr>
        <w:pStyle w:val="16"/>
        <w:spacing w:line="360" w:lineRule="auto"/>
        <w:ind w:firstLine="36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采购人依据法律法规和招标文件的规定，对投标文件中的资格文件进行审查，以确定投标供应商是否具备投标资格。合格投标人不足3家的，不得评标。</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17.  评标</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17.1  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17.2  评标原则：评标活动遵循公平、公正、科学和择优的原则。</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17.3  评标方法：评标委员会按照投标人须知前附表和第三章“评标方法”规定的方法、评审因素和标准对投标文件进行评审。在评标中，不得改变第三章“评标办法”规定的方法、评审因素和标准；第三章“评标办法”没有规定的方法、评审因素和标准，不作为评标依据。</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17.4  </w:t>
      </w:r>
      <w:r>
        <w:rPr>
          <w:rFonts w:cs="宋体" w:asciiTheme="majorEastAsia" w:hAnsiTheme="majorEastAsia" w:eastAsiaTheme="majorEastAsia"/>
          <w:bCs/>
          <w:color w:val="auto"/>
          <w:sz w:val="24"/>
          <w:szCs w:val="24"/>
        </w:rPr>
        <w:t>评标程序：</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bCs/>
          <w:color w:val="auto"/>
          <w:sz w:val="24"/>
          <w:szCs w:val="24"/>
        </w:rPr>
        <w:t>17.4.1  采购代理机构项目负责人宣读评标现场纪律要求，集中管理通讯工具，询问在场人员是否申请回避；</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bCs/>
          <w:color w:val="auto"/>
          <w:sz w:val="24"/>
          <w:szCs w:val="24"/>
        </w:rPr>
        <w:t>17.4.2  采购代理机构项目负责人介绍项目概况及评标委员会组成情况（但不得发表影响评审的倾向性、歧视性言论），推选评标组长（原则上采购人不得担任评标组长）；</w:t>
      </w:r>
    </w:p>
    <w:p>
      <w:pPr>
        <w:spacing w:line="360" w:lineRule="auto"/>
        <w:ind w:firstLine="414"/>
        <w:rPr>
          <w:rFonts w:asciiTheme="majorEastAsia" w:hAnsiTheme="majorEastAsia" w:eastAsiaTheme="majorEastAsia"/>
          <w:color w:val="auto"/>
          <w:sz w:val="24"/>
        </w:rPr>
      </w:pPr>
      <w:r>
        <w:rPr>
          <w:rFonts w:hint="eastAsia" w:asciiTheme="majorEastAsia" w:hAnsiTheme="majorEastAsia" w:eastAsiaTheme="majorEastAsia"/>
          <w:color w:val="auto"/>
          <w:sz w:val="24"/>
        </w:rPr>
        <w:t>17.4.3.1投标文件初审。符合性检查：依据招标文件的规定，从投标文件的有效性、完整性和对招标文件的响应程度进行审查，以确定是否对招标文件的实质性要求和条件作出响应。</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(1)有下列情形之一的视为投标人相互串通投标，投标文件将被视为无效。</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①不同投标人的投标文件由同一单位或者个人编制；</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②不同投标人委托同一单位或者个人办理投标事宜;</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③不同的投标人的投标文件载明的项目管理员为同一个人;</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④不同投标人的投标文件异常一致或投标报价呈规律性差异;</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⑤不同投标人的投标文件相互混装;</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（2）关联供应商不得参加同一合同项下政府采购活动，否则投标文件将被视为无效</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①单位负责人为同一人或者存在直接控股、管理关系的不同的供应商，不得参加同一合同项下的政府采购活动;</w:t>
      </w:r>
    </w:p>
    <w:p>
      <w:pPr>
        <w:spacing w:line="360" w:lineRule="auto"/>
        <w:ind w:firstLine="306"/>
        <w:rPr>
          <w:rFonts w:asciiTheme="majorEastAsia" w:hAnsiTheme="majorEastAsia" w:eastAsiaTheme="majorEastAsia"/>
          <w:color w:val="auto"/>
          <w:sz w:val="24"/>
        </w:rPr>
      </w:pPr>
      <w:r>
        <w:rPr>
          <w:rFonts w:hint="eastAsia" w:asciiTheme="majorEastAsia" w:hAnsiTheme="majorEastAsia" w:eastAsiaTheme="majorEastAsia"/>
          <w:color w:val="auto"/>
          <w:sz w:val="24"/>
        </w:rPr>
        <w:t>②生产厂商授权给供应商后自己不得参加同一合同项下的政府采购活动；生产厂商对同一品牌的货物，仅能委托一个代理商参加投标。</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16"/>
        <w:spacing w:line="360" w:lineRule="auto"/>
        <w:ind w:firstLine="720" w:firstLineChars="3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17.4.3.3比较与评价。按招标文件中规定的评标方法和标准，对资格性检查和符合性检查合格的投标文件进行商务和技术评估，综合比较与评价。在对商务、技术及其他内容的比较和评价结束前，评标委员会不能接触、比较和评价投标报价。</w:t>
      </w:r>
    </w:p>
    <w:p>
      <w:pPr>
        <w:pStyle w:val="16"/>
        <w:spacing w:line="360" w:lineRule="auto"/>
        <w:ind w:firstLine="600" w:firstLineChars="25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17.4.3.4报价评审。评标委员会对投标人的报价文件进行评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17.4.3.5编写评标报告，并确定中标供应商名单。</w:t>
      </w:r>
    </w:p>
    <w:p>
      <w:pPr>
        <w:pStyle w:val="16"/>
        <w:spacing w:line="360" w:lineRule="auto"/>
        <w:ind w:firstLine="720" w:firstLineChars="3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17.4.4  采购代理机构对评标过程和评分、评标结论进行核对和复核，如有错漏，请当事评委进行校正，按校正后的结果确定中标供应商。</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17.5  在确定中标供应商前，采购人或采购代理机构不得与投标供应商就投标价格、投标方案等实质性内容进行谈判。</w:t>
      </w:r>
    </w:p>
    <w:p>
      <w:pPr>
        <w:pStyle w:val="16"/>
        <w:spacing w:line="360" w:lineRule="auto"/>
        <w:ind w:firstLine="480" w:firstLineChars="200"/>
        <w:rPr>
          <w:rFonts w:cs="宋体" w:asciiTheme="majorEastAsia" w:hAnsiTheme="majorEastAsia" w:eastAsiaTheme="majorEastAsia"/>
          <w:bCs/>
          <w:color w:val="auto"/>
          <w:sz w:val="24"/>
          <w:szCs w:val="24"/>
        </w:rPr>
      </w:pPr>
      <w:r>
        <w:rPr>
          <w:rFonts w:cs="宋体" w:asciiTheme="majorEastAsia" w:hAnsiTheme="majorEastAsia" w:eastAsiaTheme="majorEastAsia"/>
          <w:color w:val="auto"/>
          <w:sz w:val="24"/>
          <w:szCs w:val="24"/>
        </w:rPr>
        <w:t>17.6  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18.  投标文件的修正</w:t>
      </w:r>
    </w:p>
    <w:p>
      <w:pPr>
        <w:pStyle w:val="16"/>
        <w:spacing w:line="360" w:lineRule="auto"/>
        <w:ind w:firstLine="410" w:firstLineChars="171"/>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18.1  如果出现计算或表达上的错误，修正的原则如下：</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（1）投标文件中开标一览表（报价表）内容与投标文件中相应内容不一致的，以开标一览表（报价表）为准；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（2）大写金额和小写金额不一致的，以大写金额为准；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（3）单价金额小数点或者百分比有明显错位的，以开标一览表的总价为准，并修改单价；</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（4）总价金额与按单价汇总金额不一致的，以单价金额计算结果为准。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18.2同时出现两种以上不一致的，按照本条款规定的顺序修正。修正后的报价按照本章17.4.3.2的规定经投标人确认后产生约束力，投标人不确认的，其投标无效。</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19.  拒绝接收</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19.1 投标人未在本章第15.1项规定的时间之前将投标文件送达至本章第15.2项指定地点的，采购代理机构应当拒绝接收该投标人的投标文件。</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20.  无效投标</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★20.1  属下列情形之一的，投标人的投标无效：</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（1）投标人或投标文件不符合本章第3项规定的；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（2）投标文件未按本章第8.8项的规定标识或未按规定的正、副本数量递交的； </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（3）投标文件未按本章第10.1项的规定编写和提交的（包括缺少应提交的文件或格式不符合第五章“投标文件格式”的要求）；</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（4）投标文件不符合本章第10.2项规定的；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（5）投标人报价不符合本章第11项规定或超过采购预算的或超过分项最高限价的或评标委员会认定低于成本报价的；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（6）投标文件不符合本章第14.1项规定的；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（7）投标人出现本章第17.4.3.1项所述的投标文件将被视为无效的情形的；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（8）投标人出现本章第18.2项所述情形的；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（9）投标文件未对招标文件提出的要求和条件作出实质性响应的；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（10）投标文件附有采购需求以外的条件使评标委员会认为不能接受的；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（11）投标人在投标过程中提供虚假材料的；</w:t>
      </w:r>
    </w:p>
    <w:p>
      <w:pPr>
        <w:pStyle w:val="16"/>
        <w:spacing w:line="360" w:lineRule="auto"/>
        <w:ind w:firstLine="7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（12）投标文件含有违反国家法律、法规的内容。</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21.  废标</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21.1  在招标过程中，出现下列情形之一的，予以废标：</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（1）符合专业条件的供应商或者对招标文件作实质响应的供应商不足三家的；</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（2）投标人的报价均超过了采购预算，采购人不能支付的；</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（3）因重大变故，采购任务取消的。</w:t>
      </w:r>
    </w:p>
    <w:p>
      <w:pPr>
        <w:pStyle w:val="16"/>
        <w:spacing w:line="360" w:lineRule="auto"/>
        <w:ind w:firstLine="480" w:firstLineChars="200"/>
        <w:jc w:val="left"/>
        <w:rPr>
          <w:rFonts w:cs="宋体" w:asciiTheme="majorEastAsia" w:hAnsiTheme="majorEastAsia" w:eastAsiaTheme="majorEastAsia"/>
          <w:b/>
          <w:bCs/>
          <w:color w:val="auto"/>
        </w:rPr>
      </w:pPr>
      <w:r>
        <w:rPr>
          <w:rFonts w:cs="宋体" w:asciiTheme="majorEastAsia" w:hAnsiTheme="majorEastAsia" w:eastAsiaTheme="majorEastAsia"/>
          <w:color w:val="auto"/>
          <w:sz w:val="24"/>
          <w:szCs w:val="24"/>
        </w:rPr>
        <w:t>21.2  废标后，采购代理机构将在本章第2.1项规定的政府采购信息发布媒体上公告废标理由，不再另行通知。</w:t>
      </w:r>
    </w:p>
    <w:p>
      <w:pPr>
        <w:pStyle w:val="16"/>
        <w:spacing w:line="360" w:lineRule="auto"/>
        <w:jc w:val="center"/>
        <w:outlineLvl w:val="1"/>
        <w:rPr>
          <w:rFonts w:cs="宋体" w:asciiTheme="majorEastAsia" w:hAnsiTheme="majorEastAsia" w:eastAsiaTheme="majorEastAsia"/>
          <w:b/>
          <w:color w:val="auto"/>
          <w:sz w:val="30"/>
          <w:szCs w:val="30"/>
        </w:rPr>
      </w:pPr>
      <w:bookmarkStart w:id="39" w:name="_Toc508092934"/>
      <w:bookmarkStart w:id="40" w:name="_Toc213326421"/>
      <w:bookmarkStart w:id="41" w:name="_Toc5023"/>
      <w:bookmarkStart w:id="42" w:name="_Toc448343861"/>
      <w:r>
        <w:rPr>
          <w:rFonts w:cs="宋体" w:asciiTheme="majorEastAsia" w:hAnsiTheme="majorEastAsia" w:eastAsiaTheme="majorEastAsia"/>
          <w:b/>
          <w:color w:val="auto"/>
          <w:sz w:val="30"/>
          <w:szCs w:val="30"/>
        </w:rPr>
        <w:t>六    合同授予</w:t>
      </w:r>
      <w:bookmarkEnd w:id="39"/>
      <w:bookmarkEnd w:id="40"/>
      <w:bookmarkEnd w:id="41"/>
      <w:bookmarkEnd w:id="42"/>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22.  中标供应商的确定</w:t>
      </w:r>
    </w:p>
    <w:p>
      <w:pPr>
        <w:spacing w:line="360" w:lineRule="auto"/>
        <w:ind w:firstLine="480" w:firstLineChars="200"/>
        <w:rPr>
          <w:rFonts w:asciiTheme="majorEastAsia" w:hAnsiTheme="majorEastAsia" w:eastAsiaTheme="majorEastAsia"/>
          <w:color w:val="auto"/>
        </w:rPr>
      </w:pPr>
      <w:r>
        <w:rPr>
          <w:rFonts w:hint="eastAsia" w:asciiTheme="majorEastAsia" w:hAnsiTheme="majorEastAsia" w:eastAsiaTheme="majorEastAsia"/>
          <w:color w:val="auto"/>
          <w:sz w:val="24"/>
        </w:rPr>
        <w:t>22.1  评标委员会按第三章“评标方法”的规定排列中标候选供应商顺序，并依照次序确定中标供应商。</w:t>
      </w:r>
    </w:p>
    <w:p>
      <w:pPr>
        <w:spacing w:line="360" w:lineRule="auto"/>
        <w:rPr>
          <w:rFonts w:asciiTheme="majorEastAsia" w:hAnsiTheme="majorEastAsia" w:eastAsiaTheme="majorEastAsia"/>
          <w:color w:val="auto"/>
          <w:sz w:val="24"/>
        </w:rPr>
      </w:pPr>
      <w:r>
        <w:rPr>
          <w:rFonts w:hint="eastAsia" w:asciiTheme="majorEastAsia" w:hAnsiTheme="majorEastAsia" w:eastAsiaTheme="majorEastAsia"/>
          <w:color w:val="auto"/>
          <w:sz w:val="24"/>
        </w:rPr>
        <w:t>23.  中标公告及中标通知书</w:t>
      </w:r>
    </w:p>
    <w:p>
      <w:pPr>
        <w:pStyle w:val="16"/>
        <w:spacing w:line="360" w:lineRule="auto"/>
        <w:ind w:firstLine="480" w:firstLineChars="200"/>
        <w:rPr>
          <w:rFonts w:cs="宋体" w:asciiTheme="majorEastAsia" w:hAnsiTheme="majorEastAsia" w:eastAsiaTheme="majorEastAsia"/>
          <w:color w:val="auto"/>
          <w:sz w:val="24"/>
        </w:rPr>
      </w:pPr>
      <w:r>
        <w:rPr>
          <w:rFonts w:cs="宋体" w:asciiTheme="majorEastAsia" w:hAnsiTheme="majorEastAsia" w:eastAsiaTheme="majorEastAsia"/>
          <w:color w:val="auto"/>
          <w:sz w:val="24"/>
        </w:rPr>
        <w:t>23.1  采购代理机构应当自中标供应商确认之日起2个工作日内，在本章第2.1项规定的政府采购信息发布媒体上公示中标结果，中标公告期限为1个工作日，在公告中标结果的同时，采购代理机构应当向中标供应商发出中标通知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23.2  中标通知书对采购人和中标供应商具有同等法律效力。中标通知书发出后，采购人改变中标结果，或者中标供应商放弃中标，应当承担相应的法律责任。</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24.  投标文件的退回</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24.1  采购人及采购代理机构无义务向未中标供应商解释其未中标原因和退回投标文件。</w:t>
      </w:r>
    </w:p>
    <w:p>
      <w:pPr>
        <w:pStyle w:val="16"/>
        <w:tabs>
          <w:tab w:val="left" w:pos="630"/>
        </w:tabs>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25.  签订合同</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25.1  采购人和中标供应商应当在第二章“服务需求一览表”中商务条款要求载明的合同签订期内，根据招标文件、中标供应商的投标文件及有关澄清承诺书的要求按第六章“合同条款及格式”订立书面合同。联合体投标的，联合体各方应当共同与采购人签订采购合同，就采购合同约定的事项对采购人承担连带责任。</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25.2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25.3 如采购人无正当理由拒签合同的，采购人给中标供应商造成损失的，中标供应商可追究采购人承担相应的法律责任。</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25.4  采购人在签订合同之前有权要求中标供应商提供本项目必需的相关资料原件进行核查，中标供应商不得拒绝。如中标供应商拒绝提供，则自行承担由此产生的后果。</w:t>
      </w:r>
    </w:p>
    <w:p>
      <w:pPr>
        <w:pStyle w:val="16"/>
        <w:spacing w:line="360" w:lineRule="auto"/>
        <w:ind w:firstLine="36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25.5  中标供应商因不可抗力或者自身原因不能履行政府采购合同的，如仍在投标有效期内，采购代理机构和采购人应及时报南宁市政府采购监督管理部门，经同意后，可以与排位在中标供应商之后第一位的中标候选供应商签订政府采购合同，以此类推。</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25.6　采购人或中标供应商不得单方面向合同另一方提出任何招标文件没有约定的条件或不合理的要求，作为签订合同的条件，也不得协商另行订立背离招标文件和合同实质性内容的协议。</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25.7　采购人需追加与合同标的相同的货物或者服务的，在不改变原合同条款且已报财政部门批准落实资金的前提下，可从原中标供应商处添购， 所签订的补充添置合同的采购资金总额不超过原采购合同金额的10%。</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25.8　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25.9　采购人或中标供应商在合同履行过程中存在违反政府采购合同行为的，权益受损当事人应当将有关违约的情况以及拟采取的措施，及时书面报告采购代理机构。</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26.  履约保证金及质量保证金</w:t>
      </w:r>
    </w:p>
    <w:p>
      <w:pPr>
        <w:pStyle w:val="16"/>
        <w:spacing w:line="360" w:lineRule="auto"/>
        <w:ind w:firstLine="420"/>
        <w:rPr>
          <w:rFonts w:cs="宋体" w:asciiTheme="majorEastAsia" w:hAnsiTheme="majorEastAsia" w:eastAsiaTheme="majorEastAsia"/>
          <w:color w:val="auto"/>
        </w:rPr>
      </w:pPr>
      <w:r>
        <w:rPr>
          <w:rFonts w:cs="宋体" w:asciiTheme="majorEastAsia" w:hAnsiTheme="majorEastAsia" w:eastAsiaTheme="majorEastAsia"/>
          <w:color w:val="auto"/>
          <w:sz w:val="24"/>
          <w:szCs w:val="24"/>
        </w:rPr>
        <w:t>本项目不收取履约保证金及质量保证金。</w:t>
      </w:r>
    </w:p>
    <w:p>
      <w:pPr>
        <w:pStyle w:val="16"/>
        <w:spacing w:line="360" w:lineRule="auto"/>
        <w:jc w:val="center"/>
        <w:outlineLvl w:val="1"/>
        <w:rPr>
          <w:rFonts w:cs="宋体" w:asciiTheme="majorEastAsia" w:hAnsiTheme="majorEastAsia" w:eastAsiaTheme="majorEastAsia"/>
          <w:b/>
          <w:color w:val="auto"/>
          <w:sz w:val="30"/>
          <w:szCs w:val="30"/>
        </w:rPr>
      </w:pPr>
      <w:bookmarkStart w:id="43" w:name="_Toc213326422"/>
      <w:bookmarkStart w:id="44" w:name="_Toc25150"/>
      <w:bookmarkStart w:id="45" w:name="_Toc448343862"/>
      <w:bookmarkStart w:id="46" w:name="_Toc508092935"/>
      <w:r>
        <w:rPr>
          <w:rFonts w:cs="宋体" w:asciiTheme="majorEastAsia" w:hAnsiTheme="majorEastAsia" w:eastAsiaTheme="majorEastAsia"/>
          <w:b/>
          <w:color w:val="auto"/>
          <w:sz w:val="30"/>
          <w:szCs w:val="30"/>
        </w:rPr>
        <w:t>七    其他事项</w:t>
      </w:r>
      <w:bookmarkEnd w:id="43"/>
      <w:bookmarkEnd w:id="44"/>
      <w:bookmarkEnd w:id="45"/>
      <w:bookmarkEnd w:id="46"/>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27.  解释权</w:t>
      </w:r>
    </w:p>
    <w:p>
      <w:pPr>
        <w:spacing w:line="360" w:lineRule="auto"/>
        <w:ind w:firstLine="360"/>
        <w:rPr>
          <w:rFonts w:asciiTheme="majorEastAsia" w:hAnsiTheme="majorEastAsia" w:eastAsiaTheme="majorEastAsia"/>
          <w:color w:val="auto"/>
          <w:sz w:val="24"/>
        </w:rPr>
      </w:pPr>
      <w:r>
        <w:rPr>
          <w:rFonts w:hint="eastAsia" w:asciiTheme="majorEastAsia" w:hAnsiTheme="majorEastAsia" w:eastAsiaTheme="majorEastAsia"/>
          <w:color w:val="auto"/>
          <w:sz w:val="24"/>
        </w:rPr>
        <w:t>27.1  本招标文件根据《中华人民共和国政府采购法》、《政府采购货物和服务招标投标管理办法》及相关法律法规编制，解释权属采购代理机构。</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28.   其他</w:t>
      </w:r>
    </w:p>
    <w:p>
      <w:pPr>
        <w:pStyle w:val="16"/>
        <w:spacing w:line="360" w:lineRule="auto"/>
        <w:ind w:firstLine="720" w:firstLineChars="30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只要投标人参与投标并递交投标文件即视为已经理解并毫无保留地同意了本招标文件的所有条文。</w:t>
      </w:r>
    </w:p>
    <w:p>
      <w:pPr>
        <w:pStyle w:val="16"/>
        <w:spacing w:line="360" w:lineRule="auto"/>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29.   投标文件的退回</w:t>
      </w:r>
    </w:p>
    <w:p>
      <w:pPr>
        <w:pStyle w:val="16"/>
        <w:spacing w:line="360" w:lineRule="auto"/>
        <w:ind w:firstLine="600" w:firstLineChars="250"/>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所有投标文件均不予退回</w:t>
      </w:r>
    </w:p>
    <w:p>
      <w:pPr>
        <w:widowControl w:val="0"/>
        <w:numPr>
          <w:ilvl w:val="0"/>
          <w:numId w:val="9"/>
        </w:numPr>
        <w:adjustRightInd/>
        <w:snapToGrid/>
        <w:spacing w:after="0" w:line="360" w:lineRule="auto"/>
        <w:rPr>
          <w:rFonts w:asciiTheme="majorEastAsia" w:hAnsiTheme="majorEastAsia" w:eastAsiaTheme="majorEastAsia"/>
          <w:color w:val="auto"/>
          <w:sz w:val="24"/>
        </w:rPr>
      </w:pPr>
      <w:r>
        <w:rPr>
          <w:rFonts w:hint="eastAsia" w:asciiTheme="majorEastAsia" w:hAnsiTheme="majorEastAsia" w:eastAsiaTheme="majorEastAsia"/>
          <w:color w:val="auto"/>
          <w:sz w:val="24"/>
        </w:rPr>
        <w:t xml:space="preserve"> 需要补充的其他内容</w:t>
      </w:r>
    </w:p>
    <w:p>
      <w:pPr>
        <w:pStyle w:val="16"/>
        <w:spacing w:line="360" w:lineRule="auto"/>
        <w:rPr>
          <w:rFonts w:cs="宋体" w:asciiTheme="majorEastAsia" w:hAnsiTheme="majorEastAsia" w:eastAsiaTheme="majorEastAsia"/>
          <w:bCs/>
          <w:color w:val="auto"/>
          <w:sz w:val="24"/>
          <w:szCs w:val="24"/>
        </w:rPr>
      </w:pPr>
      <w:r>
        <w:rPr>
          <w:rFonts w:hint="eastAsia" w:cs="宋体" w:asciiTheme="majorEastAsia" w:hAnsiTheme="majorEastAsia" w:eastAsiaTheme="majorEastAsia"/>
          <w:bCs/>
          <w:color w:val="auto"/>
          <w:sz w:val="24"/>
          <w:szCs w:val="24"/>
        </w:rPr>
        <w:t xml:space="preserve">    30.1  需要补充的其他内容：见投标人须知前附表。</w:t>
      </w:r>
    </w:p>
    <w:p>
      <w:pPr>
        <w:spacing w:line="360" w:lineRule="auto"/>
        <w:rPr>
          <w:rFonts w:asciiTheme="majorEastAsia" w:hAnsiTheme="majorEastAsia" w:eastAsiaTheme="majorEastAsia"/>
          <w:b/>
          <w:color w:val="auto"/>
          <w:sz w:val="36"/>
          <w:szCs w:val="20"/>
        </w:rPr>
      </w:pPr>
      <w:bookmarkStart w:id="47" w:name="_Toc213326423"/>
      <w:bookmarkStart w:id="48" w:name="_Toc508092936"/>
      <w:r>
        <w:rPr>
          <w:rFonts w:asciiTheme="majorEastAsia" w:hAnsiTheme="majorEastAsia" w:eastAsiaTheme="majorEastAsia"/>
          <w:b/>
          <w:color w:val="auto"/>
          <w:sz w:val="36"/>
        </w:rPr>
        <w:br w:type="page"/>
      </w:r>
    </w:p>
    <w:p>
      <w:pPr>
        <w:pStyle w:val="16"/>
        <w:jc w:val="center"/>
        <w:outlineLvl w:val="0"/>
        <w:rPr>
          <w:rFonts w:cs="宋体" w:asciiTheme="majorEastAsia" w:hAnsiTheme="majorEastAsia" w:eastAsiaTheme="majorEastAsia"/>
          <w:color w:val="auto"/>
        </w:rPr>
      </w:pPr>
      <w:bookmarkStart w:id="49" w:name="_Toc11569"/>
      <w:permStart w:id="7" w:edGrp="everyone"/>
      <w:permEnd w:id="7"/>
      <w:r>
        <w:rPr>
          <w:rFonts w:cs="宋体" w:asciiTheme="majorEastAsia" w:hAnsiTheme="majorEastAsia" w:eastAsiaTheme="majorEastAsia"/>
          <w:b/>
          <w:color w:val="auto"/>
          <w:sz w:val="36"/>
        </w:rPr>
        <w:t>第五章  投标文件格式</w:t>
      </w:r>
      <w:bookmarkEnd w:id="47"/>
      <w:bookmarkEnd w:id="48"/>
      <w:bookmarkEnd w:id="49"/>
    </w:p>
    <w:p>
      <w:pPr>
        <w:pStyle w:val="16"/>
        <w:jc w:val="left"/>
        <w:rPr>
          <w:rFonts w:cs="宋体" w:asciiTheme="majorEastAsia" w:hAnsiTheme="majorEastAsia" w:eastAsiaTheme="majorEastAsia"/>
          <w:b/>
          <w:color w:val="auto"/>
        </w:rPr>
      </w:pPr>
      <w:bookmarkStart w:id="50" w:name="_Toc31888"/>
      <w:bookmarkStart w:id="51" w:name="_Toc508092937"/>
      <w:bookmarkStart w:id="52" w:name="_Toc2682"/>
      <w:r>
        <w:rPr>
          <w:rFonts w:cs="宋体" w:asciiTheme="majorEastAsia" w:hAnsiTheme="majorEastAsia" w:eastAsiaTheme="majorEastAsia"/>
          <w:b/>
          <w:color w:val="auto"/>
        </w:rPr>
        <w:t>格式1：</w:t>
      </w:r>
      <w:bookmarkEnd w:id="50"/>
      <w:bookmarkEnd w:id="51"/>
      <w:bookmarkEnd w:id="52"/>
      <w:r>
        <w:rPr>
          <w:rFonts w:cs="宋体" w:asciiTheme="majorEastAsia" w:hAnsiTheme="majorEastAsia" w:eastAsiaTheme="majorEastAsia"/>
          <w:b/>
          <w:color w:val="auto"/>
        </w:rPr>
        <w:t xml:space="preserve">                           </w:t>
      </w:r>
    </w:p>
    <w:p>
      <w:pPr>
        <w:pStyle w:val="16"/>
        <w:spacing w:line="500" w:lineRule="exact"/>
        <w:jc w:val="center"/>
        <w:rPr>
          <w:rFonts w:cs="宋体" w:asciiTheme="majorEastAsia" w:hAnsiTheme="majorEastAsia" w:eastAsiaTheme="majorEastAsia"/>
          <w:b/>
          <w:bCs/>
          <w:color w:val="auto"/>
          <w:sz w:val="30"/>
          <w:szCs w:val="30"/>
        </w:rPr>
      </w:pPr>
      <w:r>
        <w:rPr>
          <w:rFonts w:cs="宋体" w:asciiTheme="majorEastAsia" w:hAnsiTheme="majorEastAsia" w:eastAsiaTheme="majorEastAsia"/>
          <w:b/>
          <w:bCs/>
          <w:color w:val="auto"/>
          <w:sz w:val="30"/>
          <w:szCs w:val="30"/>
        </w:rPr>
        <w:t>投标函（格式）</w:t>
      </w:r>
    </w:p>
    <w:p>
      <w:pPr>
        <w:pStyle w:val="16"/>
        <w:spacing w:line="440" w:lineRule="exact"/>
        <w:ind w:firstLine="435"/>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致：（采购代理机构名称）</w:t>
      </w:r>
    </w:p>
    <w:p>
      <w:pPr>
        <w:pStyle w:val="16"/>
        <w:spacing w:line="440" w:lineRule="exact"/>
        <w:ind w:firstLine="435"/>
        <w:rPr>
          <w:rFonts w:cs="宋体" w:asciiTheme="majorEastAsia" w:hAnsiTheme="majorEastAsia" w:eastAsiaTheme="majorEastAsia"/>
          <w:color w:val="auto"/>
          <w:sz w:val="24"/>
          <w:szCs w:val="24"/>
        </w:rPr>
      </w:pP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我方已仔细阅读了贵方组织的</w:t>
      </w:r>
      <w:r>
        <w:rPr>
          <w:rFonts w:cs="宋体" w:asciiTheme="majorEastAsia" w:hAnsiTheme="majorEastAsia" w:eastAsiaTheme="majorEastAsia"/>
          <w:color w:val="auto"/>
          <w:sz w:val="24"/>
          <w:szCs w:val="24"/>
          <w:u w:val="single"/>
        </w:rPr>
        <w:t xml:space="preserve">        （项目名称）       </w:t>
      </w:r>
      <w:r>
        <w:rPr>
          <w:rFonts w:cs="宋体" w:asciiTheme="majorEastAsia" w:hAnsiTheme="majorEastAsia" w:eastAsiaTheme="majorEastAsia"/>
          <w:color w:val="auto"/>
          <w:sz w:val="24"/>
          <w:szCs w:val="24"/>
        </w:rPr>
        <w:t>项目（项目编号：</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）的招标文件的全部内容，现正式递交下述文件参加贵方组织的本次政府采购活动： </w:t>
      </w:r>
    </w:p>
    <w:p>
      <w:pPr>
        <w:pStyle w:val="16"/>
        <w:numPr>
          <w:ilvl w:val="0"/>
          <w:numId w:val="10"/>
        </w:numPr>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报价文件正本一份，副本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份（包含按投标人须知第10.1.1项要求提交的全部文件）；</w:t>
      </w:r>
    </w:p>
    <w:p>
      <w:pPr>
        <w:pStyle w:val="16"/>
        <w:numPr>
          <w:ilvl w:val="0"/>
          <w:numId w:val="10"/>
        </w:numPr>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资格文件正本一份，副本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份（包含按投标人须知第10.1.2项要求提交的全部文件）；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二、技术文件正本一份，副本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份（包含按投标人须知第10.1.3项要求提交的全部文件）；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三、商务文件正本一份，副本</w:t>
      </w:r>
      <w:r>
        <w:rPr>
          <w:rFonts w:cs="宋体" w:asciiTheme="majorEastAsia" w:hAnsiTheme="majorEastAsia" w:eastAsiaTheme="majorEastAsia"/>
          <w:color w:val="auto"/>
          <w:sz w:val="24"/>
          <w:szCs w:val="24"/>
          <w:u w:val="single"/>
        </w:rPr>
        <w:t xml:space="preserve"> 四 </w:t>
      </w:r>
      <w:r>
        <w:rPr>
          <w:rFonts w:cs="宋体" w:asciiTheme="majorEastAsia" w:hAnsiTheme="majorEastAsia" w:eastAsiaTheme="majorEastAsia"/>
          <w:color w:val="auto"/>
          <w:sz w:val="24"/>
          <w:szCs w:val="24"/>
        </w:rPr>
        <w:t>份（包含按投标人须知第10.1.4项要求提交的全部文件）。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据此函，签字人兹宣布：</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1、我方愿意以（大写）人民币</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元)的投标总报价，</w:t>
      </w:r>
      <w:r>
        <w:rPr>
          <w:rFonts w:cs="宋体" w:asciiTheme="majorEastAsia" w:hAnsiTheme="majorEastAsia" w:eastAsiaTheme="majorEastAsia"/>
          <w:color w:val="auto"/>
          <w:sz w:val="24"/>
        </w:rPr>
        <w:t>提交服务</w:t>
      </w:r>
      <w:r>
        <w:rPr>
          <w:rFonts w:hint="eastAsia" w:cs="宋体" w:asciiTheme="majorEastAsia" w:hAnsiTheme="majorEastAsia" w:eastAsiaTheme="majorEastAsia"/>
          <w:color w:val="auto"/>
          <w:sz w:val="24"/>
        </w:rPr>
        <w:t>成果时间</w:t>
      </w:r>
      <w:r>
        <w:rPr>
          <w:rFonts w:cs="宋体" w:asciiTheme="majorEastAsia" w:hAnsiTheme="majorEastAsia" w:eastAsiaTheme="majorEastAsia"/>
          <w:color w:val="auto"/>
          <w:sz w:val="24"/>
          <w:szCs w:val="24"/>
        </w:rPr>
        <w:t>：</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，提供本项目招标文件第二章“服务需求一览表”中的采购内容。</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2、我方同意自本项目招标文件“投标人须知”第15.1项规定的投标截止时间（开标时间）起遵循本投标函，并承诺在“投标人须知”第12.1项规定的投标有效期内不修改、撤销投标文件。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3、我方在此声明，所递交的投标文件及有关资料内容完整、真实和准确。</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4、我方承诺未被列入失信被执行人、重大税收违法案件当事人名单、政府采购严重违法失信行为记录名单，并已经具备《中华人民共和国政府采购法》中规定的参加政府采购活动的供应商应当具备的条件：</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具有独立承担民事责任的能力；</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具有良好的商业信誉和健全的财务会计制度；</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具有履行合同所必需的设备和专业技术能力；</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有依法缴纳税收和社会保障资金的良好记录；</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参加政府采购活动前三年内，在经营活动中没有重大违法记录；</w:t>
      </w:r>
    </w:p>
    <w:p>
      <w:pPr>
        <w:pStyle w:val="16"/>
        <w:numPr>
          <w:ilvl w:val="0"/>
          <w:numId w:val="11"/>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法律、行政法规规定的其他条件。</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5、如本项目采购内容涉及须符合国家强制规定的，我方承诺我方本次投标（包括资格条件和所投产品）均符合国家有关强制规定。</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如我方中标，我方承诺在收到中标通知书后，在中标通知书规定的期限内，根据招标文件、我方的投标文件及有关澄清承诺书的要求按第六章“合同条款及格式”与采购人订立书面合同，并按照合同约定承担完成合同的责任和义务。</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7、我方已详细审核招标文件，我方知道必须放弃提出含糊不清或误解问题的权利。</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8、我方同意应贵方要求提供与本投标有关的任何数据或资料。若贵方需要，我方愿意提供我方作出的一切承诺的证明材料。</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9、我方完全理解贵方不一定接受投标报价最低的投标人为中标供应商的行为。</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12"/>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提供虚假材料谋取中标、中标的；</w:t>
      </w:r>
    </w:p>
    <w:p>
      <w:pPr>
        <w:pStyle w:val="16"/>
        <w:numPr>
          <w:ilvl w:val="0"/>
          <w:numId w:val="12"/>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采取不正当手段诋毁、排挤其他供应商的；</w:t>
      </w:r>
    </w:p>
    <w:p>
      <w:pPr>
        <w:pStyle w:val="16"/>
        <w:numPr>
          <w:ilvl w:val="0"/>
          <w:numId w:val="12"/>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与采购人、其他供应商或者采购代理机构恶意串通的；</w:t>
      </w:r>
    </w:p>
    <w:p>
      <w:pPr>
        <w:pStyle w:val="16"/>
        <w:numPr>
          <w:ilvl w:val="0"/>
          <w:numId w:val="12"/>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向采购人、采购代理机构行贿或者提供其他不正当利益的；</w:t>
      </w:r>
    </w:p>
    <w:p>
      <w:pPr>
        <w:pStyle w:val="16"/>
        <w:numPr>
          <w:ilvl w:val="0"/>
          <w:numId w:val="12"/>
        </w:numPr>
        <w:spacing w:line="440" w:lineRule="exac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在招标采购过程中与采购人进行协商谈判的；</w:t>
      </w: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  拒绝有关部门监督检查或提供虚假情况的。</w:t>
      </w:r>
    </w:p>
    <w:p>
      <w:pPr>
        <w:pStyle w:val="16"/>
        <w:spacing w:line="440" w:lineRule="exact"/>
        <w:ind w:firstLine="482"/>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11、我方及由本人担任法定代表人的其他机构最近三年内被处罚的违法行为有：</w:t>
      </w:r>
      <w:r>
        <w:rPr>
          <w:rFonts w:cs="宋体" w:asciiTheme="majorEastAsia" w:hAnsiTheme="majorEastAsia" w:eastAsiaTheme="majorEastAsia"/>
          <w:color w:val="auto"/>
          <w:sz w:val="24"/>
          <w:szCs w:val="24"/>
          <w:u w:val="single"/>
        </w:rPr>
        <w:t>_________________________________________________________________________</w:t>
      </w:r>
      <w:r>
        <w:rPr>
          <w:rFonts w:cs="宋体" w:asciiTheme="majorEastAsia" w:hAnsiTheme="majorEastAsia" w:eastAsiaTheme="majorEastAsia"/>
          <w:color w:val="auto"/>
          <w:sz w:val="24"/>
          <w:szCs w:val="24"/>
        </w:rPr>
        <w:t>。</w:t>
      </w:r>
    </w:p>
    <w:p>
      <w:pPr>
        <w:pStyle w:val="16"/>
        <w:spacing w:line="440" w:lineRule="exact"/>
        <w:ind w:left="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12、以上事项如有虚假或隐瞒，我方愿意承担一切后果，并不再寻求任何旨在减轻或免除法律责任的辩解。</w:t>
      </w:r>
    </w:p>
    <w:p>
      <w:pPr>
        <w:pStyle w:val="16"/>
        <w:spacing w:line="440" w:lineRule="exact"/>
        <w:ind w:left="420"/>
        <w:rPr>
          <w:rFonts w:cs="宋体" w:asciiTheme="majorEastAsia" w:hAnsiTheme="majorEastAsia" w:eastAsiaTheme="majorEastAsia"/>
          <w:color w:val="auto"/>
          <w:sz w:val="24"/>
          <w:szCs w:val="24"/>
        </w:rPr>
      </w:pPr>
    </w:p>
    <w:p>
      <w:pPr>
        <w:pStyle w:val="16"/>
        <w:spacing w:line="360" w:lineRule="auto"/>
        <w:ind w:firstLine="360" w:firstLineChars="15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投标人：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（盖单位公章）</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法定代表人或其委托代理人：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（签字或盖章）</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地址：</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电话：</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传真：</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________</w:t>
      </w:r>
      <w:r>
        <w:rPr>
          <w:rFonts w:cs="宋体" w:asciiTheme="majorEastAsia" w:hAnsiTheme="majorEastAsia" w:eastAsiaTheme="majorEastAsia"/>
          <w:color w:val="auto"/>
          <w:sz w:val="24"/>
          <w:szCs w:val="24"/>
          <w:u w:val="single"/>
        </w:rPr>
        <w:t>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邮政编码：</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开户名称：</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开户银行：</w:t>
      </w:r>
      <w:r>
        <w:rPr>
          <w:rFonts w:hint="eastAsia" w:cs="宋体" w:asciiTheme="majorEastAsia" w:hAnsiTheme="majorEastAsia" w:eastAsiaTheme="majorEastAsia"/>
          <w:color w:val="auto"/>
          <w:sz w:val="24"/>
          <w:szCs w:val="24"/>
        </w:rPr>
        <w:t>_________________________________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银行账号：</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w:t>
      </w:r>
      <w:r>
        <w:rPr>
          <w:rFonts w:cs="宋体" w:asciiTheme="majorEastAsia" w:hAnsiTheme="majorEastAsia" w:eastAsiaTheme="majorEastAsia"/>
          <w:color w:val="auto"/>
          <w:sz w:val="24"/>
          <w:szCs w:val="24"/>
          <w:u w:val="single"/>
        </w:rPr>
        <w:t xml:space="preserve">                           </w:t>
      </w:r>
    </w:p>
    <w:p>
      <w:pPr>
        <w:pStyle w:val="16"/>
        <w:spacing w:line="360" w:lineRule="auto"/>
        <w:ind w:firstLine="465"/>
        <w:rPr>
          <w:rFonts w:cs="宋体" w:asciiTheme="majorEastAsia" w:hAnsiTheme="majorEastAsia" w:eastAsiaTheme="majorEastAsia"/>
          <w:bCs/>
          <w:color w:val="auto"/>
          <w:sz w:val="24"/>
        </w:rPr>
      </w:pPr>
      <w:r>
        <w:rPr>
          <w:rFonts w:cs="宋体" w:asciiTheme="majorEastAsia" w:hAnsiTheme="majorEastAsia" w:eastAsiaTheme="majorEastAsia"/>
          <w:bCs/>
          <w:color w:val="auto"/>
          <w:sz w:val="24"/>
        </w:rPr>
        <w:t>年</w:t>
      </w:r>
      <w:r>
        <w:rPr>
          <w:rFonts w:cs="宋体" w:asciiTheme="majorEastAsia" w:hAnsiTheme="majorEastAsia" w:eastAsiaTheme="majorEastAsia"/>
          <w:bCs/>
          <w:color w:val="auto"/>
          <w:sz w:val="24"/>
          <w:u w:val="single"/>
        </w:rPr>
        <w:t xml:space="preserve">    </w:t>
      </w:r>
      <w:r>
        <w:rPr>
          <w:rFonts w:cs="宋体" w:asciiTheme="majorEastAsia" w:hAnsiTheme="majorEastAsia" w:eastAsiaTheme="majorEastAsia"/>
          <w:bCs/>
          <w:color w:val="auto"/>
          <w:sz w:val="24"/>
        </w:rPr>
        <w:t>月</w:t>
      </w:r>
      <w:r>
        <w:rPr>
          <w:rFonts w:cs="宋体" w:asciiTheme="majorEastAsia" w:hAnsiTheme="majorEastAsia" w:eastAsiaTheme="majorEastAsia"/>
          <w:bCs/>
          <w:color w:val="auto"/>
          <w:sz w:val="24"/>
          <w:u w:val="single"/>
        </w:rPr>
        <w:t xml:space="preserve">    </w:t>
      </w:r>
      <w:r>
        <w:rPr>
          <w:rFonts w:cs="宋体" w:asciiTheme="majorEastAsia" w:hAnsiTheme="majorEastAsia" w:eastAsiaTheme="majorEastAsia"/>
          <w:bCs/>
          <w:color w:val="auto"/>
          <w:sz w:val="24"/>
        </w:rPr>
        <w:t>日</w:t>
      </w: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ind w:firstLine="465"/>
        <w:rPr>
          <w:rFonts w:cs="宋体" w:asciiTheme="majorEastAsia" w:hAnsiTheme="majorEastAsia" w:eastAsiaTheme="majorEastAsia"/>
          <w:bCs/>
          <w:color w:val="auto"/>
          <w:sz w:val="24"/>
        </w:rPr>
      </w:pPr>
    </w:p>
    <w:p>
      <w:pPr>
        <w:pStyle w:val="16"/>
        <w:spacing w:line="360" w:lineRule="auto"/>
        <w:rPr>
          <w:rFonts w:cs="宋体" w:asciiTheme="majorEastAsia" w:hAnsiTheme="majorEastAsia" w:eastAsiaTheme="majorEastAsia"/>
          <w:b/>
          <w:color w:val="auto"/>
        </w:rPr>
        <w:sectPr>
          <w:pgSz w:w="11906" w:h="16838"/>
          <w:pgMar w:top="1440" w:right="1080" w:bottom="1440" w:left="1080" w:header="851" w:footer="907" w:gutter="0"/>
          <w:cols w:space="720" w:num="1"/>
          <w:docGrid w:type="lines" w:linePitch="312" w:charSpace="0"/>
        </w:sectPr>
      </w:pPr>
    </w:p>
    <w:p>
      <w:pPr>
        <w:pStyle w:val="16"/>
        <w:spacing w:line="360" w:lineRule="auto"/>
        <w:rPr>
          <w:rFonts w:cs="宋体" w:asciiTheme="majorEastAsia" w:hAnsiTheme="majorEastAsia" w:eastAsiaTheme="majorEastAsia"/>
          <w:color w:val="auto"/>
          <w:u w:val="single"/>
        </w:rPr>
      </w:pPr>
      <w:r>
        <w:rPr>
          <w:rFonts w:cs="宋体" w:asciiTheme="majorEastAsia" w:hAnsiTheme="majorEastAsia" w:eastAsiaTheme="majorEastAsia"/>
          <w:b/>
          <w:color w:val="auto"/>
        </w:rPr>
        <w:t>格式2：</w:t>
      </w:r>
    </w:p>
    <w:p>
      <w:pPr>
        <w:pStyle w:val="16"/>
        <w:jc w:val="center"/>
        <w:rPr>
          <w:rFonts w:cs="宋体" w:asciiTheme="majorEastAsia" w:hAnsiTheme="majorEastAsia" w:eastAsiaTheme="majorEastAsia"/>
          <w:b/>
          <w:color w:val="auto"/>
          <w:sz w:val="32"/>
        </w:rPr>
      </w:pPr>
      <w:r>
        <w:rPr>
          <w:rFonts w:cs="宋体" w:asciiTheme="majorEastAsia" w:hAnsiTheme="majorEastAsia" w:eastAsiaTheme="majorEastAsia"/>
          <w:b/>
          <w:color w:val="auto"/>
          <w:sz w:val="32"/>
        </w:rPr>
        <w:t>投标报价表（格式）</w:t>
      </w:r>
    </w:p>
    <w:p>
      <w:pPr>
        <w:pStyle w:val="16"/>
        <w:jc w:val="center"/>
        <w:rPr>
          <w:rFonts w:cs="宋体" w:asciiTheme="majorEastAsia" w:hAnsiTheme="majorEastAsia" w:eastAsiaTheme="majorEastAsia"/>
          <w:b/>
          <w:color w:val="auto"/>
          <w:sz w:val="32"/>
        </w:rPr>
      </w:pPr>
    </w:p>
    <w:tbl>
      <w:tblPr>
        <w:tblStyle w:val="25"/>
        <w:tblpPr w:leftFromText="180" w:rightFromText="180" w:vertAnchor="text" w:horzAnchor="page" w:tblpX="1431" w:tblpY="302"/>
        <w:tblOverlap w:val="never"/>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80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序号</w:t>
            </w:r>
          </w:p>
        </w:tc>
        <w:tc>
          <w:tcPr>
            <w:tcW w:w="1260"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服务名称</w:t>
            </w:r>
          </w:p>
        </w:tc>
        <w:tc>
          <w:tcPr>
            <w:tcW w:w="2064"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服务内容</w:t>
            </w:r>
          </w:p>
        </w:tc>
        <w:tc>
          <w:tcPr>
            <w:tcW w:w="108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数量  ①</w:t>
            </w:r>
          </w:p>
        </w:tc>
        <w:tc>
          <w:tcPr>
            <w:tcW w:w="1260"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单价</w:t>
            </w:r>
            <w:r>
              <w:rPr>
                <w:rFonts w:asciiTheme="majorEastAsia" w:hAnsiTheme="majorEastAsia" w:eastAsiaTheme="majorEastAsia"/>
                <w:color w:val="auto"/>
                <w:sz w:val="24"/>
              </w:rPr>
              <w:t>(</w:t>
            </w:r>
            <w:r>
              <w:rPr>
                <w:rFonts w:hint="eastAsia" w:asciiTheme="majorEastAsia" w:hAnsiTheme="majorEastAsia" w:eastAsiaTheme="majorEastAsia"/>
                <w:color w:val="auto"/>
                <w:sz w:val="24"/>
              </w:rPr>
              <w:t>元</w:t>
            </w:r>
            <w:r>
              <w:rPr>
                <w:rFonts w:asciiTheme="majorEastAsia" w:hAnsiTheme="majorEastAsia" w:eastAsiaTheme="majorEastAsia"/>
                <w:color w:val="auto"/>
                <w:sz w:val="24"/>
              </w:rPr>
              <w:t>)</w:t>
            </w:r>
          </w:p>
          <w:p>
            <w:pPr>
              <w:ind w:firstLine="360" w:firstLineChars="150"/>
              <w:rPr>
                <w:rFonts w:asciiTheme="majorEastAsia" w:hAnsiTheme="majorEastAsia" w:eastAsiaTheme="majorEastAsia"/>
                <w:color w:val="auto"/>
                <w:sz w:val="24"/>
              </w:rPr>
            </w:pPr>
            <w:r>
              <w:rPr>
                <w:rFonts w:hint="eastAsia" w:asciiTheme="majorEastAsia" w:hAnsiTheme="majorEastAsia" w:eastAsiaTheme="majorEastAsia"/>
                <w:color w:val="auto"/>
                <w:sz w:val="24"/>
              </w:rPr>
              <w:t>②</w:t>
            </w:r>
          </w:p>
        </w:tc>
        <w:tc>
          <w:tcPr>
            <w:tcW w:w="1805"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单项合价（元）</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③＝①×②</w:t>
            </w:r>
          </w:p>
        </w:tc>
        <w:tc>
          <w:tcPr>
            <w:tcW w:w="957"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1</w:t>
            </w:r>
          </w:p>
        </w:tc>
        <w:tc>
          <w:tcPr>
            <w:tcW w:w="1260" w:type="dxa"/>
            <w:vAlign w:val="center"/>
          </w:tcPr>
          <w:p>
            <w:pPr>
              <w:rPr>
                <w:rFonts w:asciiTheme="majorEastAsia" w:hAnsiTheme="majorEastAsia" w:eastAsiaTheme="majorEastAsia"/>
                <w:color w:val="auto"/>
                <w:sz w:val="24"/>
              </w:rPr>
            </w:pPr>
          </w:p>
        </w:tc>
        <w:tc>
          <w:tcPr>
            <w:tcW w:w="2064" w:type="dxa"/>
            <w:vAlign w:val="center"/>
          </w:tcPr>
          <w:p>
            <w:pPr>
              <w:rPr>
                <w:rFonts w:asciiTheme="majorEastAsia" w:hAnsiTheme="majorEastAsia" w:eastAsiaTheme="majorEastAsia"/>
                <w:color w:val="auto"/>
                <w:sz w:val="24"/>
              </w:rPr>
            </w:pPr>
          </w:p>
        </w:tc>
        <w:tc>
          <w:tcPr>
            <w:tcW w:w="1080" w:type="dxa"/>
            <w:vAlign w:val="center"/>
          </w:tcPr>
          <w:p>
            <w:pPr>
              <w:rPr>
                <w:rFonts w:asciiTheme="majorEastAsia" w:hAnsiTheme="majorEastAsia" w:eastAsiaTheme="majorEastAsia"/>
                <w:color w:val="auto"/>
                <w:sz w:val="24"/>
              </w:rPr>
            </w:pPr>
          </w:p>
        </w:tc>
        <w:tc>
          <w:tcPr>
            <w:tcW w:w="1260" w:type="dxa"/>
            <w:vAlign w:val="center"/>
          </w:tcPr>
          <w:p>
            <w:pPr>
              <w:rPr>
                <w:rFonts w:asciiTheme="majorEastAsia" w:hAnsiTheme="majorEastAsia" w:eastAsiaTheme="majorEastAsia"/>
                <w:color w:val="auto"/>
                <w:sz w:val="24"/>
              </w:rPr>
            </w:pPr>
          </w:p>
        </w:tc>
        <w:tc>
          <w:tcPr>
            <w:tcW w:w="1805" w:type="dxa"/>
            <w:vAlign w:val="center"/>
          </w:tcPr>
          <w:p>
            <w:pPr>
              <w:rPr>
                <w:rFonts w:asciiTheme="majorEastAsia" w:hAnsiTheme="majorEastAsia" w:eastAsiaTheme="majorEastAsia"/>
                <w:color w:val="auto"/>
                <w:sz w:val="24"/>
              </w:rPr>
            </w:pPr>
          </w:p>
        </w:tc>
        <w:tc>
          <w:tcPr>
            <w:tcW w:w="957"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2</w:t>
            </w:r>
          </w:p>
        </w:tc>
        <w:tc>
          <w:tcPr>
            <w:tcW w:w="1260" w:type="dxa"/>
            <w:vAlign w:val="center"/>
          </w:tcPr>
          <w:p>
            <w:pPr>
              <w:rPr>
                <w:rFonts w:asciiTheme="majorEastAsia" w:hAnsiTheme="majorEastAsia" w:eastAsiaTheme="majorEastAsia"/>
                <w:color w:val="auto"/>
                <w:sz w:val="24"/>
              </w:rPr>
            </w:pPr>
          </w:p>
        </w:tc>
        <w:tc>
          <w:tcPr>
            <w:tcW w:w="2064" w:type="dxa"/>
            <w:vAlign w:val="center"/>
          </w:tcPr>
          <w:p>
            <w:pPr>
              <w:rPr>
                <w:rFonts w:asciiTheme="majorEastAsia" w:hAnsiTheme="majorEastAsia" w:eastAsiaTheme="majorEastAsia"/>
                <w:color w:val="auto"/>
                <w:sz w:val="24"/>
              </w:rPr>
            </w:pPr>
          </w:p>
        </w:tc>
        <w:tc>
          <w:tcPr>
            <w:tcW w:w="1080" w:type="dxa"/>
            <w:vAlign w:val="center"/>
          </w:tcPr>
          <w:p>
            <w:pPr>
              <w:rPr>
                <w:rFonts w:asciiTheme="majorEastAsia" w:hAnsiTheme="majorEastAsia" w:eastAsiaTheme="majorEastAsia"/>
                <w:color w:val="auto"/>
                <w:sz w:val="24"/>
              </w:rPr>
            </w:pPr>
          </w:p>
        </w:tc>
        <w:tc>
          <w:tcPr>
            <w:tcW w:w="1260" w:type="dxa"/>
            <w:vAlign w:val="center"/>
          </w:tcPr>
          <w:p>
            <w:pPr>
              <w:rPr>
                <w:rFonts w:asciiTheme="majorEastAsia" w:hAnsiTheme="majorEastAsia" w:eastAsiaTheme="majorEastAsia"/>
                <w:color w:val="auto"/>
                <w:sz w:val="24"/>
              </w:rPr>
            </w:pPr>
          </w:p>
        </w:tc>
        <w:tc>
          <w:tcPr>
            <w:tcW w:w="1805" w:type="dxa"/>
            <w:vAlign w:val="center"/>
          </w:tcPr>
          <w:p>
            <w:pPr>
              <w:rPr>
                <w:rFonts w:asciiTheme="majorEastAsia" w:hAnsiTheme="majorEastAsia" w:eastAsiaTheme="majorEastAsia"/>
                <w:color w:val="auto"/>
                <w:sz w:val="24"/>
              </w:rPr>
            </w:pPr>
          </w:p>
        </w:tc>
        <w:tc>
          <w:tcPr>
            <w:tcW w:w="957"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w:t>
            </w:r>
          </w:p>
        </w:tc>
        <w:tc>
          <w:tcPr>
            <w:tcW w:w="1260" w:type="dxa"/>
            <w:vAlign w:val="center"/>
          </w:tcPr>
          <w:p>
            <w:pPr>
              <w:rPr>
                <w:rFonts w:asciiTheme="majorEastAsia" w:hAnsiTheme="majorEastAsia" w:eastAsiaTheme="majorEastAsia"/>
                <w:color w:val="auto"/>
                <w:sz w:val="24"/>
              </w:rPr>
            </w:pPr>
          </w:p>
        </w:tc>
        <w:tc>
          <w:tcPr>
            <w:tcW w:w="2064" w:type="dxa"/>
            <w:vAlign w:val="center"/>
          </w:tcPr>
          <w:p>
            <w:pPr>
              <w:rPr>
                <w:rFonts w:asciiTheme="majorEastAsia" w:hAnsiTheme="majorEastAsia" w:eastAsiaTheme="majorEastAsia"/>
                <w:color w:val="auto"/>
                <w:sz w:val="24"/>
              </w:rPr>
            </w:pPr>
          </w:p>
        </w:tc>
        <w:tc>
          <w:tcPr>
            <w:tcW w:w="1080" w:type="dxa"/>
            <w:vAlign w:val="center"/>
          </w:tcPr>
          <w:p>
            <w:pPr>
              <w:rPr>
                <w:rFonts w:asciiTheme="majorEastAsia" w:hAnsiTheme="majorEastAsia" w:eastAsiaTheme="majorEastAsia"/>
                <w:color w:val="auto"/>
                <w:sz w:val="24"/>
              </w:rPr>
            </w:pPr>
          </w:p>
        </w:tc>
        <w:tc>
          <w:tcPr>
            <w:tcW w:w="1260" w:type="dxa"/>
            <w:vAlign w:val="center"/>
          </w:tcPr>
          <w:p>
            <w:pPr>
              <w:rPr>
                <w:rFonts w:asciiTheme="majorEastAsia" w:hAnsiTheme="majorEastAsia" w:eastAsiaTheme="majorEastAsia"/>
                <w:color w:val="auto"/>
                <w:sz w:val="24"/>
              </w:rPr>
            </w:pPr>
          </w:p>
        </w:tc>
        <w:tc>
          <w:tcPr>
            <w:tcW w:w="1805" w:type="dxa"/>
            <w:vAlign w:val="center"/>
          </w:tcPr>
          <w:p>
            <w:pPr>
              <w:rPr>
                <w:rFonts w:asciiTheme="majorEastAsia" w:hAnsiTheme="majorEastAsia" w:eastAsiaTheme="majorEastAsia"/>
                <w:color w:val="auto"/>
                <w:sz w:val="24"/>
              </w:rPr>
            </w:pPr>
          </w:p>
        </w:tc>
        <w:tc>
          <w:tcPr>
            <w:tcW w:w="957"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报价合计（包含税费等所有费用）：（大写）人民币</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元）</w:t>
            </w:r>
            <w:r>
              <w:rPr>
                <w:rFonts w:asciiTheme="majorEastAsia" w:hAnsiTheme="majorEastAsia" w:eastAsiaTheme="majorEastAsia"/>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u w:val="single"/>
              </w:rPr>
              <w:t>　　</w:t>
            </w:r>
            <w:r>
              <w:rPr>
                <w:rFonts w:hint="eastAsia" w:asciiTheme="majorEastAsia" w:hAnsiTheme="majorEastAsia" w:eastAsiaTheme="majorEastAsia"/>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45" w:type="dxa"/>
            <w:gridSpan w:val="7"/>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法定代表人或其委托代理人（签字或盖章）：</w:t>
            </w:r>
          </w:p>
        </w:tc>
      </w:tr>
    </w:tbl>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注：表格内容均需按要求填写并盖章，不得留空，</w:t>
      </w:r>
      <w:r>
        <w:rPr>
          <w:rFonts w:hint="eastAsia" w:asciiTheme="majorEastAsia" w:hAnsiTheme="majorEastAsia" w:eastAsiaTheme="majorEastAsia"/>
          <w:bCs/>
          <w:color w:val="auto"/>
          <w:sz w:val="24"/>
        </w:rPr>
        <w:t>否则按投标无效处理</w:t>
      </w:r>
      <w:r>
        <w:rPr>
          <w:rFonts w:hint="eastAsia" w:asciiTheme="majorEastAsia" w:hAnsiTheme="majorEastAsia" w:eastAsiaTheme="majorEastAsia"/>
          <w:color w:val="auto"/>
          <w:sz w:val="24"/>
        </w:rPr>
        <w:t>。</w:t>
      </w: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spacing w:line="400" w:lineRule="exact"/>
        <w:rPr>
          <w:rFonts w:asciiTheme="majorEastAsia" w:hAnsiTheme="majorEastAsia" w:eastAsiaTheme="majorEastAsia"/>
          <w:b/>
          <w:bCs/>
          <w:color w:val="auto"/>
          <w:sz w:val="24"/>
        </w:rPr>
      </w:pPr>
      <w:r>
        <w:rPr>
          <w:rFonts w:hint="eastAsia" w:asciiTheme="majorEastAsia" w:hAnsiTheme="majorEastAsia" w:eastAsiaTheme="majorEastAsia"/>
          <w:color w:val="auto"/>
        </w:rPr>
        <w:br w:type="page"/>
      </w:r>
      <w:r>
        <w:rPr>
          <w:rFonts w:hint="eastAsia" w:asciiTheme="majorEastAsia" w:hAnsiTheme="majorEastAsia" w:eastAsiaTheme="majorEastAsia"/>
          <w:b/>
          <w:color w:val="auto"/>
        </w:rPr>
        <w:t>格式3：</w:t>
      </w:r>
    </w:p>
    <w:p>
      <w:pPr>
        <w:pStyle w:val="16"/>
        <w:jc w:val="center"/>
        <w:rPr>
          <w:rFonts w:asciiTheme="majorEastAsia" w:hAnsiTheme="majorEastAsia" w:eastAsiaTheme="majorEastAsia"/>
          <w:b/>
          <w:color w:val="auto"/>
          <w:sz w:val="30"/>
          <w:szCs w:val="30"/>
        </w:rPr>
      </w:pPr>
      <w:r>
        <w:rPr>
          <w:rFonts w:asciiTheme="majorEastAsia" w:hAnsiTheme="majorEastAsia" w:eastAsiaTheme="majorEastAsia"/>
          <w:b/>
          <w:color w:val="auto"/>
          <w:sz w:val="30"/>
          <w:szCs w:val="30"/>
        </w:rPr>
        <w:t>中小企业声明函（格式）</w:t>
      </w:r>
    </w:p>
    <w:p>
      <w:pPr>
        <w:pStyle w:val="15"/>
        <w:spacing w:line="240" w:lineRule="auto"/>
        <w:ind w:firstLine="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说明：</w:t>
      </w:r>
    </w:p>
    <w:p>
      <w:pPr>
        <w:pStyle w:val="15"/>
        <w:spacing w:line="240" w:lineRule="auto"/>
        <w:ind w:firstLine="464"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1、本声明函主要供参加政府采购活动的中小企业填写，非中小企业无需填写。</w:t>
      </w:r>
    </w:p>
    <w:p>
      <w:pPr>
        <w:pStyle w:val="15"/>
        <w:spacing w:line="240" w:lineRule="auto"/>
        <w:ind w:firstLine="464"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2、小型、微型企业提供中型企业制造的货物的，视同为中型企业。</w:t>
      </w:r>
    </w:p>
    <w:p>
      <w:pPr>
        <w:pStyle w:val="15"/>
        <w:spacing w:line="240" w:lineRule="auto"/>
        <w:ind w:firstLine="464" w:firstLineChars="200"/>
        <w:rPr>
          <w:rFonts w:hint="default" w:asciiTheme="majorEastAsia" w:hAnsiTheme="majorEastAsia" w:eastAsiaTheme="majorEastAsia"/>
          <w:color w:val="auto"/>
          <w:sz w:val="24"/>
          <w:szCs w:val="24"/>
        </w:rPr>
      </w:pPr>
      <w:r>
        <w:rPr>
          <w:rFonts w:asciiTheme="majorEastAsia" w:hAnsiTheme="majorEastAsia" w:eastAsiaTheme="majorEastAsia"/>
          <w:color w:val="auto"/>
          <w:sz w:val="24"/>
          <w:szCs w:val="24"/>
        </w:rPr>
        <w:t>3、投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pPr>
        <w:pStyle w:val="15"/>
        <w:spacing w:line="360" w:lineRule="auto"/>
        <w:ind w:firstLine="464" w:firstLineChars="200"/>
        <w:rPr>
          <w:rFonts w:hint="default" w:asciiTheme="majorEastAsia" w:hAnsiTheme="majorEastAsia" w:eastAsiaTheme="majorEastAsia"/>
          <w:color w:val="auto"/>
          <w:sz w:val="24"/>
          <w:szCs w:val="24"/>
        </w:rPr>
      </w:pP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本公司郑重声明，根据《政府采购促进中小企业发展暂行办法》（财库〔2011〕181号）的规定，本公司为______（请填写：中型、小型、微型）企业。即，本公司同时满足以下条件：</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本公司对上述声明的真实性负责。如有虚假，将依法承担相应责任。</w:t>
      </w:r>
    </w:p>
    <w:p>
      <w:pPr>
        <w:pStyle w:val="16"/>
        <w:spacing w:line="360" w:lineRule="auto"/>
        <w:ind w:firstLine="480" w:firstLineChars="200"/>
        <w:rPr>
          <w:rFonts w:asciiTheme="majorEastAsia" w:hAnsiTheme="majorEastAsia" w:eastAsiaTheme="majorEastAsia"/>
          <w:color w:val="auto"/>
          <w:sz w:val="24"/>
          <w:szCs w:val="24"/>
        </w:rPr>
      </w:pPr>
    </w:p>
    <w:p>
      <w:pPr>
        <w:pStyle w:val="16"/>
        <w:spacing w:line="360" w:lineRule="auto"/>
        <w:ind w:firstLine="480" w:firstLineChars="200"/>
        <w:rPr>
          <w:rFonts w:asciiTheme="majorEastAsia" w:hAnsiTheme="majorEastAsia" w:eastAsiaTheme="majorEastAsia"/>
          <w:color w:val="auto"/>
          <w:sz w:val="24"/>
          <w:szCs w:val="24"/>
        </w:rPr>
      </w:pPr>
    </w:p>
    <w:p>
      <w:pPr>
        <w:pStyle w:val="16"/>
        <w:spacing w:line="360" w:lineRule="auto"/>
        <w:ind w:firstLine="480" w:firstLineChars="200"/>
        <w:rPr>
          <w:rFonts w:asciiTheme="majorEastAsia" w:hAnsiTheme="majorEastAsia" w:eastAsiaTheme="majorEastAsia"/>
          <w:color w:val="auto"/>
          <w:sz w:val="24"/>
          <w:szCs w:val="24"/>
        </w:rPr>
      </w:pPr>
    </w:p>
    <w:p>
      <w:pPr>
        <w:pStyle w:val="16"/>
        <w:spacing w:line="600" w:lineRule="exact"/>
        <w:rPr>
          <w:rFonts w:asciiTheme="majorEastAsia" w:hAnsiTheme="majorEastAsia" w:eastAsiaTheme="majorEastAsia"/>
          <w:color w:val="auto"/>
          <w:sz w:val="24"/>
          <w:szCs w:val="24"/>
          <w:u w:val="single"/>
        </w:rPr>
      </w:pPr>
      <w:r>
        <w:rPr>
          <w:rFonts w:asciiTheme="majorEastAsia" w:hAnsiTheme="majorEastAsia" w:eastAsiaTheme="majorEastAsia"/>
          <w:color w:val="auto"/>
          <w:sz w:val="24"/>
          <w:szCs w:val="24"/>
        </w:rPr>
        <w:t>投标人（盖单位公章）：</w:t>
      </w:r>
      <w:r>
        <w:rPr>
          <w:rFonts w:asciiTheme="majorEastAsia" w:hAnsiTheme="majorEastAsia" w:eastAsiaTheme="majorEastAsia"/>
          <w:color w:val="auto"/>
          <w:sz w:val="24"/>
          <w:szCs w:val="24"/>
          <w:u w:val="single"/>
        </w:rPr>
        <w:t xml:space="preserve">                                    </w:t>
      </w:r>
    </w:p>
    <w:p>
      <w:pPr>
        <w:pStyle w:val="16"/>
        <w:spacing w:line="600" w:lineRule="exact"/>
        <w:rPr>
          <w:rFonts w:asciiTheme="majorEastAsia" w:hAnsiTheme="majorEastAsia" w:eastAsiaTheme="majorEastAsia"/>
          <w:color w:val="auto"/>
          <w:sz w:val="24"/>
          <w:szCs w:val="24"/>
          <w:u w:val="single"/>
        </w:rPr>
      </w:pPr>
    </w:p>
    <w:p>
      <w:pPr>
        <w:pStyle w:val="16"/>
        <w:spacing w:line="500" w:lineRule="exact"/>
        <w:rPr>
          <w:rFonts w:asciiTheme="majorEastAsia" w:hAnsiTheme="majorEastAsia" w:eastAsiaTheme="majorEastAsia"/>
          <w:color w:val="auto"/>
          <w:sz w:val="24"/>
          <w:szCs w:val="24"/>
          <w:u w:val="single"/>
        </w:rPr>
      </w:pPr>
      <w:r>
        <w:rPr>
          <w:rFonts w:asciiTheme="majorEastAsia" w:hAnsiTheme="majorEastAsia" w:eastAsiaTheme="majorEastAsia"/>
          <w:color w:val="auto"/>
          <w:sz w:val="24"/>
          <w:szCs w:val="24"/>
        </w:rPr>
        <w:t>法定代表人或其委托代理人（签字或盖章）：</w:t>
      </w:r>
      <w:r>
        <w:rPr>
          <w:rFonts w:asciiTheme="majorEastAsia" w:hAnsiTheme="majorEastAsia" w:eastAsiaTheme="majorEastAsia"/>
          <w:color w:val="auto"/>
          <w:sz w:val="24"/>
          <w:szCs w:val="24"/>
          <w:u w:val="single"/>
        </w:rPr>
        <w:t xml:space="preserve">                  </w:t>
      </w:r>
    </w:p>
    <w:p>
      <w:pPr>
        <w:pStyle w:val="16"/>
        <w:spacing w:line="360" w:lineRule="auto"/>
        <w:rPr>
          <w:rFonts w:asciiTheme="majorEastAsia" w:hAnsiTheme="majorEastAsia" w:eastAsiaTheme="majorEastAsia"/>
          <w:color w:val="auto"/>
          <w:szCs w:val="21"/>
        </w:rPr>
      </w:pPr>
      <w:r>
        <w:rPr>
          <w:rFonts w:asciiTheme="majorEastAsia" w:hAnsiTheme="majorEastAsia" w:eastAsiaTheme="majorEastAsia"/>
          <w:color w:val="auto"/>
          <w:szCs w:val="21"/>
        </w:rPr>
        <w:t xml:space="preserve"> </w:t>
      </w:r>
    </w:p>
    <w:p>
      <w:pPr>
        <w:spacing w:line="588" w:lineRule="exact"/>
        <w:rPr>
          <w:rFonts w:asciiTheme="majorEastAsia" w:hAnsiTheme="majorEastAsia" w:eastAsiaTheme="majorEastAsia"/>
          <w:color w:val="auto"/>
          <w:sz w:val="24"/>
        </w:rPr>
      </w:pPr>
      <w:r>
        <w:rPr>
          <w:rFonts w:hint="eastAsia" w:asciiTheme="majorEastAsia" w:hAnsiTheme="majorEastAsia" w:eastAsiaTheme="majorEastAsia"/>
          <w:b/>
          <w:bCs/>
          <w:color w:val="auto"/>
          <w:sz w:val="24"/>
        </w:rPr>
        <w:br w:type="page"/>
      </w:r>
      <w:r>
        <w:rPr>
          <w:rFonts w:hint="eastAsia" w:asciiTheme="majorEastAsia" w:hAnsiTheme="majorEastAsia" w:eastAsiaTheme="majorEastAsia"/>
          <w:b/>
          <w:color w:val="auto"/>
          <w:szCs w:val="20"/>
        </w:rPr>
        <w:t>格式4：</w:t>
      </w:r>
    </w:p>
    <w:p>
      <w:pPr>
        <w:spacing w:line="588" w:lineRule="exact"/>
        <w:jc w:val="center"/>
        <w:rPr>
          <w:rFonts w:asciiTheme="majorEastAsia" w:hAnsiTheme="majorEastAsia" w:eastAsiaTheme="majorEastAsia"/>
          <w:b/>
          <w:color w:val="auto"/>
          <w:spacing w:val="6"/>
          <w:sz w:val="32"/>
          <w:szCs w:val="32"/>
        </w:rPr>
      </w:pPr>
      <w:r>
        <w:rPr>
          <w:rFonts w:hint="eastAsia" w:asciiTheme="majorEastAsia" w:hAnsiTheme="majorEastAsia" w:eastAsiaTheme="majorEastAsia"/>
          <w:b/>
          <w:color w:val="auto"/>
          <w:spacing w:val="6"/>
          <w:sz w:val="32"/>
          <w:szCs w:val="32"/>
        </w:rPr>
        <w:t>残疾人福利性单位声明函</w:t>
      </w:r>
    </w:p>
    <w:p>
      <w:pPr>
        <w:spacing w:line="588" w:lineRule="exact"/>
        <w:rPr>
          <w:rFonts w:asciiTheme="majorEastAsia" w:hAnsiTheme="majorEastAsia" w:eastAsiaTheme="majorEastAsia"/>
          <w:b/>
          <w:color w:val="auto"/>
          <w:spacing w:val="6"/>
          <w:sz w:val="30"/>
          <w:szCs w:val="30"/>
        </w:rPr>
      </w:pP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本单位郑重声明，根据《财政部 民政部 中国残疾人联合会关于促进残疾人就业政府采购政策的通知》（财库〔2017〕 141号）的规定，本单位为符合条件的残疾人福利性单位，且本单位参加____________单位的____________项目采购活动提供本单位制造的货物（由本单位承担工程/提供服务），或者提供其他残疾人福利性单位制造的货物（不包括使用非残疾人福利性单位注册商标的货物）。</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本单位对上述声明的真实性负责。如有虚假，将依法承担相应责任。</w:t>
      </w:r>
    </w:p>
    <w:p>
      <w:pPr>
        <w:pStyle w:val="16"/>
        <w:spacing w:line="360" w:lineRule="auto"/>
        <w:ind w:firstLine="480" w:firstLineChars="200"/>
        <w:rPr>
          <w:rFonts w:cs="宋体" w:asciiTheme="majorEastAsia" w:hAnsiTheme="majorEastAsia" w:eastAsiaTheme="majorEastAsia"/>
          <w:color w:val="auto"/>
          <w:sz w:val="24"/>
          <w:szCs w:val="24"/>
        </w:rPr>
      </w:pPr>
    </w:p>
    <w:p>
      <w:pPr>
        <w:pStyle w:val="16"/>
        <w:spacing w:line="360" w:lineRule="auto"/>
        <w:ind w:firstLine="480" w:firstLineChars="200"/>
        <w:rPr>
          <w:rFonts w:cs="宋体" w:asciiTheme="majorEastAsia" w:hAnsiTheme="majorEastAsia" w:eastAsiaTheme="majorEastAsia"/>
          <w:color w:val="auto"/>
          <w:sz w:val="24"/>
          <w:szCs w:val="24"/>
        </w:rPr>
      </w:pP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单位名称（盖章）：</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                                       日  期：</w:t>
      </w:r>
    </w:p>
    <w:p>
      <w:pPr>
        <w:pStyle w:val="16"/>
        <w:ind w:firstLine="480" w:firstLineChars="200"/>
        <w:rPr>
          <w:rFonts w:cs="宋体" w:asciiTheme="majorEastAsia" w:hAnsiTheme="majorEastAsia" w:eastAsiaTheme="majorEastAsia"/>
          <w:color w:val="auto"/>
          <w:sz w:val="24"/>
          <w:szCs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p>
    <w:p>
      <w:pPr>
        <w:spacing w:line="400" w:lineRule="exac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br w:type="page"/>
      </w:r>
      <w:r>
        <w:rPr>
          <w:rFonts w:hint="eastAsia" w:asciiTheme="majorEastAsia" w:hAnsiTheme="majorEastAsia" w:eastAsiaTheme="majorEastAsia"/>
          <w:b/>
          <w:color w:val="auto"/>
          <w:szCs w:val="20"/>
        </w:rPr>
        <w:t>格式5：</w:t>
      </w:r>
    </w:p>
    <w:p>
      <w:pPr>
        <w:pStyle w:val="16"/>
        <w:spacing w:line="500" w:lineRule="exact"/>
        <w:jc w:val="center"/>
        <w:rPr>
          <w:rFonts w:asciiTheme="majorEastAsia" w:hAnsiTheme="majorEastAsia" w:eastAsiaTheme="majorEastAsia"/>
          <w:b/>
          <w:bCs/>
          <w:color w:val="auto"/>
          <w:sz w:val="30"/>
          <w:szCs w:val="30"/>
        </w:rPr>
      </w:pPr>
      <w:r>
        <w:rPr>
          <w:rFonts w:asciiTheme="majorEastAsia" w:hAnsiTheme="majorEastAsia" w:eastAsiaTheme="majorEastAsia"/>
          <w:b/>
          <w:bCs/>
          <w:color w:val="auto"/>
          <w:sz w:val="30"/>
          <w:szCs w:val="30"/>
        </w:rPr>
        <w:t>资格声明函（格式）</w:t>
      </w:r>
    </w:p>
    <w:p>
      <w:pPr>
        <w:spacing w:line="380" w:lineRule="exact"/>
        <w:rPr>
          <w:rFonts w:asciiTheme="majorEastAsia" w:hAnsiTheme="majorEastAsia" w:eastAsiaTheme="majorEastAsia"/>
          <w:color w:val="auto"/>
          <w:sz w:val="24"/>
        </w:rPr>
      </w:pPr>
    </w:p>
    <w:p>
      <w:pPr>
        <w:spacing w:line="380" w:lineRule="exact"/>
        <w:rPr>
          <w:rFonts w:asciiTheme="majorEastAsia" w:hAnsiTheme="majorEastAsia" w:eastAsiaTheme="majorEastAsia"/>
          <w:color w:val="auto"/>
          <w:sz w:val="24"/>
        </w:rPr>
      </w:pPr>
    </w:p>
    <w:p>
      <w:pPr>
        <w:spacing w:line="38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致：</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u w:val="single"/>
        </w:rPr>
        <w:t xml:space="preserve">         </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（采购代理机构名称）</w:t>
      </w:r>
    </w:p>
    <w:p>
      <w:pPr>
        <w:spacing w:line="38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我方愿意参加贵方组织的</w:t>
      </w:r>
      <w:r>
        <w:rPr>
          <w:rFonts w:asciiTheme="majorEastAsia" w:hAnsiTheme="majorEastAsia" w:eastAsiaTheme="majorEastAsia"/>
          <w:color w:val="auto"/>
          <w:sz w:val="24"/>
          <w:u w:val="single"/>
        </w:rPr>
        <w:t> (</w:t>
      </w:r>
      <w:r>
        <w:rPr>
          <w:rFonts w:hint="eastAsia" w:asciiTheme="majorEastAsia" w:hAnsiTheme="majorEastAsia" w:eastAsiaTheme="majorEastAsia"/>
          <w:color w:val="auto"/>
          <w:sz w:val="24"/>
          <w:u w:val="single"/>
        </w:rPr>
        <w:t>项目名称</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u w:val="single"/>
        </w:rPr>
        <w:t xml:space="preserve">                  </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rPr>
        <w:t>（项目编号：</w:t>
      </w:r>
      <w:r>
        <w:rPr>
          <w:rFonts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u w:val="single"/>
        </w:rPr>
        <w:t xml:space="preserve">             </w:t>
      </w:r>
      <w:r>
        <w:rPr>
          <w:rFonts w:asciiTheme="majorEastAsia" w:hAnsiTheme="majorEastAsia" w:eastAsiaTheme="majorEastAsia"/>
          <w:color w:val="auto"/>
          <w:sz w:val="24"/>
          <w:u w:val="single"/>
        </w:rPr>
        <w:t xml:space="preserve">      </w:t>
      </w:r>
      <w:r>
        <w:rPr>
          <w:rFonts w:asciiTheme="majorEastAsia" w:hAnsiTheme="majorEastAsia" w:eastAsiaTheme="majorEastAsia"/>
          <w:color w:val="auto"/>
          <w:sz w:val="24"/>
        </w:rPr>
        <w:t xml:space="preserve"> </w:t>
      </w:r>
      <w:r>
        <w:rPr>
          <w:rFonts w:hint="eastAsia" w:asciiTheme="majorEastAsia" w:hAnsiTheme="majorEastAsia" w:eastAsiaTheme="majorEastAsia"/>
          <w:color w:val="auto"/>
          <w:sz w:val="24"/>
        </w:rPr>
        <w:t>）项目的投标，为便于贵方公正、择优地确定中标供应商及其投标服务成果和服务，我方就本次投标有关事项郑重声明如下：</w:t>
      </w:r>
    </w:p>
    <w:p>
      <w:pPr>
        <w:spacing w:line="380" w:lineRule="exact"/>
        <w:ind w:firstLine="482"/>
        <w:rPr>
          <w:rFonts w:asciiTheme="majorEastAsia" w:hAnsiTheme="majorEastAsia" w:eastAsiaTheme="majorEastAsia"/>
          <w:color w:val="auto"/>
          <w:sz w:val="24"/>
        </w:rPr>
      </w:pPr>
      <w:r>
        <w:rPr>
          <w:rFonts w:asciiTheme="majorEastAsia" w:hAnsiTheme="majorEastAsia" w:eastAsiaTheme="majorEastAsia"/>
          <w:color w:val="auto"/>
          <w:sz w:val="24"/>
        </w:rPr>
        <w:t>1</w:t>
      </w:r>
      <w:r>
        <w:rPr>
          <w:rFonts w:hint="eastAsia" w:asciiTheme="majorEastAsia" w:hAnsiTheme="majorEastAsia" w:eastAsiaTheme="majorEastAsia"/>
          <w:color w:val="auto"/>
          <w:sz w:val="24"/>
        </w:rPr>
        <w:t>、我方承诺已经具备《中华人民共和国政府采购法》中规定的参加政府采购活动的供应商应当具备的条件：</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1</w:t>
      </w:r>
      <w:r>
        <w:rPr>
          <w:rFonts w:hint="eastAsia" w:asciiTheme="majorEastAsia" w:hAnsiTheme="majorEastAsia" w:eastAsiaTheme="majorEastAsia"/>
          <w:color w:val="auto"/>
          <w:sz w:val="24"/>
        </w:rPr>
        <w:t>）具有独立承担民事责任的能力；</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2</w:t>
      </w:r>
      <w:r>
        <w:rPr>
          <w:rFonts w:hint="eastAsia" w:asciiTheme="majorEastAsia" w:hAnsiTheme="majorEastAsia" w:eastAsiaTheme="majorEastAsia"/>
          <w:color w:val="auto"/>
          <w:sz w:val="24"/>
        </w:rPr>
        <w:t>）具有良好的商业信誉和健全的财务会计制度；</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3</w:t>
      </w:r>
      <w:r>
        <w:rPr>
          <w:rFonts w:hint="eastAsia" w:asciiTheme="majorEastAsia" w:hAnsiTheme="majorEastAsia" w:eastAsiaTheme="majorEastAsia"/>
          <w:color w:val="auto"/>
          <w:sz w:val="24"/>
        </w:rPr>
        <w:t>）具有履行合同所必需的设备和专业技术能力；</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4</w:t>
      </w:r>
      <w:r>
        <w:rPr>
          <w:rFonts w:hint="eastAsia" w:asciiTheme="majorEastAsia" w:hAnsiTheme="majorEastAsia" w:eastAsiaTheme="majorEastAsia"/>
          <w:color w:val="auto"/>
          <w:sz w:val="24"/>
        </w:rPr>
        <w:t>）有依法缴纳税收和社会保障资金的良好记录；</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5</w:t>
      </w:r>
      <w:r>
        <w:rPr>
          <w:rFonts w:hint="eastAsia" w:asciiTheme="majorEastAsia" w:hAnsiTheme="majorEastAsia" w:eastAsiaTheme="majorEastAsia"/>
          <w:color w:val="auto"/>
          <w:sz w:val="24"/>
        </w:rPr>
        <w:t>）参加政府采购活动前三年内，在经营活动中没有重大违法记录；</w:t>
      </w:r>
    </w:p>
    <w:p>
      <w:pPr>
        <w:spacing w:line="380" w:lineRule="exact"/>
        <w:ind w:left="420"/>
        <w:rPr>
          <w:rFonts w:asciiTheme="majorEastAsia" w:hAnsiTheme="majorEastAsia" w:eastAsiaTheme="majorEastAsia"/>
          <w:color w:val="auto"/>
          <w:sz w:val="24"/>
        </w:rPr>
      </w:pPr>
      <w:r>
        <w:rPr>
          <w:rFonts w:hint="eastAsia" w:asciiTheme="majorEastAsia" w:hAnsiTheme="majorEastAsia" w:eastAsiaTheme="majorEastAsia"/>
          <w:color w:val="auto"/>
          <w:sz w:val="24"/>
        </w:rPr>
        <w:t>（</w:t>
      </w:r>
      <w:r>
        <w:rPr>
          <w:rFonts w:asciiTheme="majorEastAsia" w:hAnsiTheme="majorEastAsia" w:eastAsiaTheme="majorEastAsia"/>
          <w:color w:val="auto"/>
          <w:sz w:val="24"/>
        </w:rPr>
        <w:t>6</w:t>
      </w:r>
      <w:r>
        <w:rPr>
          <w:rFonts w:hint="eastAsia" w:asciiTheme="majorEastAsia" w:hAnsiTheme="majorEastAsia" w:eastAsiaTheme="majorEastAsia"/>
          <w:color w:val="auto"/>
          <w:sz w:val="24"/>
        </w:rPr>
        <w:t>）法律、行政法规规定的其他条件。</w:t>
      </w:r>
    </w:p>
    <w:p>
      <w:pPr>
        <w:spacing w:line="380" w:lineRule="exact"/>
        <w:ind w:firstLine="482"/>
        <w:rPr>
          <w:rFonts w:asciiTheme="majorEastAsia" w:hAnsiTheme="majorEastAsia" w:eastAsiaTheme="majorEastAsia"/>
          <w:color w:val="auto"/>
          <w:sz w:val="24"/>
        </w:rPr>
      </w:pPr>
      <w:r>
        <w:rPr>
          <w:rFonts w:hint="eastAsia" w:asciiTheme="majorEastAsia" w:hAnsiTheme="majorEastAsia" w:eastAsiaTheme="majorEastAsia"/>
          <w:color w:val="auto"/>
          <w:sz w:val="24"/>
        </w:rPr>
        <w:t>2、经查询，在“信用中国”和“中国政府采购网”网站我方未被列入失信被执行人、重大税收违法案件当事人名单、政府采购严重违法失信行为记录名单。</w:t>
      </w:r>
    </w:p>
    <w:p>
      <w:pPr>
        <w:spacing w:line="380" w:lineRule="exact"/>
        <w:ind w:firstLine="480" w:firstLineChars="200"/>
        <w:rPr>
          <w:rFonts w:asciiTheme="majorEastAsia" w:hAnsiTheme="majorEastAsia" w:eastAsiaTheme="majorEastAsia"/>
          <w:color w:val="auto"/>
          <w:sz w:val="24"/>
        </w:rPr>
      </w:pPr>
      <w:r>
        <w:rPr>
          <w:rFonts w:hint="eastAsia" w:asciiTheme="majorEastAsia" w:hAnsiTheme="majorEastAsia" w:eastAsiaTheme="majorEastAsia"/>
          <w:color w:val="auto"/>
          <w:sz w:val="24"/>
        </w:rPr>
        <w:t>以上事项如有虚假或隐瞒，我方愿意承担一切后果，并不再寻求任何旨在减轻或免除法律责任的辩解。</w:t>
      </w:r>
    </w:p>
    <w:p>
      <w:pPr>
        <w:spacing w:line="380" w:lineRule="exact"/>
        <w:ind w:firstLine="5880" w:firstLineChars="2450"/>
        <w:rPr>
          <w:rFonts w:asciiTheme="majorEastAsia" w:hAnsiTheme="majorEastAsia" w:eastAsiaTheme="majorEastAsia"/>
          <w:bCs/>
          <w:color w:val="auto"/>
          <w:sz w:val="24"/>
        </w:rPr>
      </w:pPr>
    </w:p>
    <w:p>
      <w:pPr>
        <w:spacing w:line="380" w:lineRule="exact"/>
        <w:ind w:firstLine="5880" w:firstLineChars="2450"/>
        <w:rPr>
          <w:rFonts w:asciiTheme="majorEastAsia" w:hAnsiTheme="majorEastAsia" w:eastAsiaTheme="majorEastAsia"/>
          <w:color w:val="auto"/>
          <w:sz w:val="24"/>
        </w:rPr>
      </w:pPr>
      <w:r>
        <w:rPr>
          <w:rFonts w:hint="eastAsia" w:asciiTheme="majorEastAsia" w:hAnsiTheme="majorEastAsia" w:eastAsiaTheme="majorEastAsia"/>
          <w:bCs/>
          <w:color w:val="auto"/>
          <w:sz w:val="24"/>
        </w:rPr>
        <w:t>法定代表人或委托代理人签字：</w:t>
      </w:r>
    </w:p>
    <w:p>
      <w:pPr>
        <w:spacing w:line="380" w:lineRule="exact"/>
        <w:ind w:firstLine="5880" w:firstLineChars="2450"/>
        <w:rPr>
          <w:rFonts w:asciiTheme="majorEastAsia" w:hAnsiTheme="majorEastAsia" w:eastAsiaTheme="majorEastAsia"/>
          <w:color w:val="auto"/>
          <w:sz w:val="24"/>
        </w:rPr>
      </w:pPr>
      <w:r>
        <w:rPr>
          <w:rFonts w:hint="eastAsia" w:asciiTheme="majorEastAsia" w:hAnsiTheme="majorEastAsia" w:eastAsiaTheme="majorEastAsia"/>
          <w:bCs/>
          <w:color w:val="auto"/>
          <w:sz w:val="24"/>
        </w:rPr>
        <w:t>投标人（盖章）：</w:t>
      </w:r>
    </w:p>
    <w:p>
      <w:pPr>
        <w:spacing w:line="380" w:lineRule="exact"/>
        <w:ind w:firstLine="5880" w:firstLineChars="2450"/>
        <w:rPr>
          <w:rFonts w:asciiTheme="majorEastAsia" w:hAnsiTheme="majorEastAsia" w:eastAsiaTheme="majorEastAsia"/>
          <w:color w:val="auto"/>
          <w:sz w:val="24"/>
        </w:rPr>
      </w:pPr>
      <w:r>
        <w:rPr>
          <w:rFonts w:hint="eastAsia" w:asciiTheme="majorEastAsia" w:hAnsiTheme="majorEastAsia" w:eastAsiaTheme="majorEastAsia"/>
          <w:bCs/>
          <w:color w:val="auto"/>
          <w:sz w:val="24"/>
        </w:rPr>
        <w:t>年</w:t>
      </w:r>
      <w:r>
        <w:rPr>
          <w:rFonts w:asciiTheme="majorEastAsia" w:hAnsiTheme="majorEastAsia" w:eastAsiaTheme="majorEastAsia"/>
          <w:bCs/>
          <w:color w:val="auto"/>
          <w:sz w:val="24"/>
        </w:rPr>
        <w:t xml:space="preserve"> </w:t>
      </w:r>
      <w:r>
        <w:rPr>
          <w:rFonts w:hint="eastAsia" w:asciiTheme="majorEastAsia" w:hAnsiTheme="majorEastAsia" w:eastAsiaTheme="majorEastAsia"/>
          <w:bCs/>
          <w:color w:val="auto"/>
          <w:sz w:val="24"/>
        </w:rPr>
        <w:t>月</w:t>
      </w:r>
      <w:r>
        <w:rPr>
          <w:rFonts w:asciiTheme="majorEastAsia" w:hAnsiTheme="majorEastAsia" w:eastAsiaTheme="majorEastAsia"/>
          <w:bCs/>
          <w:color w:val="auto"/>
          <w:sz w:val="24"/>
        </w:rPr>
        <w:t xml:space="preserve"> </w:t>
      </w:r>
      <w:r>
        <w:rPr>
          <w:rFonts w:hint="eastAsia" w:asciiTheme="majorEastAsia" w:hAnsiTheme="majorEastAsia" w:eastAsiaTheme="majorEastAsia"/>
          <w:bCs/>
          <w:color w:val="auto"/>
          <w:sz w:val="24"/>
        </w:rPr>
        <w:t>日</w:t>
      </w:r>
    </w:p>
    <w:p>
      <w:pPr>
        <w:rPr>
          <w:rFonts w:asciiTheme="majorEastAsia" w:hAnsiTheme="majorEastAsia" w:eastAsiaTheme="majorEastAsia"/>
          <w:b/>
          <w:color w:val="auto"/>
          <w:szCs w:val="20"/>
        </w:rPr>
      </w:pPr>
      <w:r>
        <w:rPr>
          <w:rFonts w:asciiTheme="majorEastAsia" w:hAnsiTheme="majorEastAsia" w:eastAsiaTheme="majorEastAsia"/>
          <w:b/>
          <w:color w:val="auto"/>
        </w:rPr>
        <w:br w:type="page"/>
      </w:r>
    </w:p>
    <w:p>
      <w:pPr>
        <w:pStyle w:val="16"/>
        <w:rPr>
          <w:rFonts w:cs="宋体" w:asciiTheme="majorEastAsia" w:hAnsiTheme="majorEastAsia" w:eastAsiaTheme="majorEastAsia"/>
          <w:color w:val="auto"/>
          <w:sz w:val="24"/>
          <w:szCs w:val="24"/>
        </w:rPr>
      </w:pPr>
      <w:r>
        <w:rPr>
          <w:rFonts w:cs="宋体" w:asciiTheme="majorEastAsia" w:hAnsiTheme="majorEastAsia" w:eastAsiaTheme="majorEastAsia"/>
          <w:b/>
          <w:color w:val="auto"/>
        </w:rPr>
        <w:t>格式6：</w:t>
      </w:r>
    </w:p>
    <w:p>
      <w:pPr>
        <w:pStyle w:val="16"/>
        <w:spacing w:line="500" w:lineRule="exact"/>
        <w:jc w:val="center"/>
        <w:rPr>
          <w:rFonts w:asciiTheme="majorEastAsia" w:hAnsiTheme="majorEastAsia" w:eastAsiaTheme="majorEastAsia"/>
          <w:b/>
          <w:bCs/>
          <w:color w:val="auto"/>
          <w:sz w:val="30"/>
          <w:szCs w:val="30"/>
        </w:rPr>
      </w:pPr>
      <w:r>
        <w:rPr>
          <w:rFonts w:asciiTheme="majorEastAsia" w:hAnsiTheme="majorEastAsia" w:eastAsiaTheme="majorEastAsia"/>
          <w:b/>
          <w:bCs/>
          <w:color w:val="auto"/>
          <w:sz w:val="30"/>
          <w:szCs w:val="30"/>
        </w:rPr>
        <w:t>投标服务技术资料表（格式）</w:t>
      </w:r>
    </w:p>
    <w:p>
      <w:pPr>
        <w:pStyle w:val="16"/>
        <w:spacing w:line="440" w:lineRule="exact"/>
        <w:ind w:firstLine="480" w:firstLineChars="200"/>
        <w:rPr>
          <w:rFonts w:asciiTheme="majorEastAsia" w:hAnsiTheme="majorEastAsia" w:eastAsiaTheme="majorEastAsia"/>
          <w:color w:val="auto"/>
          <w:sz w:val="24"/>
          <w:szCs w:val="24"/>
        </w:rPr>
      </w:pPr>
    </w:p>
    <w:p>
      <w:pPr>
        <w:pStyle w:val="16"/>
        <w:spacing w:line="440" w:lineRule="exact"/>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请根据所投服务的实际技术参数，逐条对应本项目招标文件第二章“服务需求一览表”中的服务内容及要求详细填写相应的具体内容。“偏离说明”一栏应当选择“正偏离”、“负偏离”或“无偏离”进行填写。</w:t>
      </w:r>
    </w:p>
    <w:p>
      <w:pPr>
        <w:pStyle w:val="16"/>
        <w:rPr>
          <w:rFonts w:asciiTheme="majorEastAsia" w:hAnsiTheme="majorEastAsia" w:eastAsiaTheme="majorEastAsia"/>
          <w:color w:val="auto"/>
          <w:sz w:val="24"/>
          <w:szCs w:val="24"/>
          <w:u w:val="thick"/>
        </w:rPr>
      </w:pPr>
    </w:p>
    <w:tbl>
      <w:tblPr>
        <w:tblStyle w:val="25"/>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0"/>
        <w:gridCol w:w="2310"/>
        <w:gridCol w:w="1516"/>
        <w:gridCol w:w="3297"/>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2" w:type="dxa"/>
            <w:vMerge w:val="restart"/>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项号</w:t>
            </w:r>
          </w:p>
        </w:tc>
        <w:tc>
          <w:tcPr>
            <w:tcW w:w="3570" w:type="dxa"/>
            <w:gridSpan w:val="2"/>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招标文件需求</w:t>
            </w:r>
          </w:p>
        </w:tc>
        <w:tc>
          <w:tcPr>
            <w:tcW w:w="4813" w:type="dxa"/>
            <w:gridSpan w:val="2"/>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投标文件承诺</w:t>
            </w:r>
          </w:p>
        </w:tc>
        <w:tc>
          <w:tcPr>
            <w:tcW w:w="1539" w:type="dxa"/>
            <w:vMerge w:val="restart"/>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862" w:type="dxa"/>
            <w:vMerge w:val="continue"/>
            <w:vAlign w:val="center"/>
          </w:tcPr>
          <w:p>
            <w:pPr>
              <w:rPr>
                <w:rFonts w:asciiTheme="majorEastAsia" w:hAnsiTheme="majorEastAsia" w:eastAsiaTheme="majorEastAsia"/>
                <w:color w:val="auto"/>
                <w:sz w:val="24"/>
              </w:rPr>
            </w:pPr>
          </w:p>
        </w:tc>
        <w:tc>
          <w:tcPr>
            <w:tcW w:w="126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服务名称</w:t>
            </w:r>
          </w:p>
        </w:tc>
        <w:tc>
          <w:tcPr>
            <w:tcW w:w="231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服务内容及要求</w:t>
            </w:r>
          </w:p>
        </w:tc>
        <w:tc>
          <w:tcPr>
            <w:tcW w:w="1516"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服务名称</w:t>
            </w:r>
          </w:p>
        </w:tc>
        <w:tc>
          <w:tcPr>
            <w:tcW w:w="3297"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所提供服务的内容</w:t>
            </w:r>
          </w:p>
        </w:tc>
        <w:tc>
          <w:tcPr>
            <w:tcW w:w="1539" w:type="dxa"/>
            <w:vMerge w:val="continue"/>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862"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1</w:t>
            </w:r>
          </w:p>
        </w:tc>
        <w:tc>
          <w:tcPr>
            <w:tcW w:w="126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310"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16"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3297"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39"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2</w:t>
            </w:r>
          </w:p>
        </w:tc>
        <w:tc>
          <w:tcPr>
            <w:tcW w:w="1260"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310"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16" w:type="dxa"/>
            <w:vAlign w:val="center"/>
          </w:tcPr>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3297"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1539" w:type="dxa"/>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vAlign w:val="center"/>
          </w:tcPr>
          <w:p>
            <w:pPr>
              <w:jc w:val="center"/>
              <w:rPr>
                <w:rFonts w:asciiTheme="majorEastAsia" w:hAnsiTheme="majorEastAsia" w:eastAsiaTheme="majorEastAsia"/>
                <w:color w:val="auto"/>
                <w:sz w:val="24"/>
              </w:rPr>
            </w:pPr>
            <w:r>
              <w:rPr>
                <w:rFonts w:asciiTheme="majorEastAsia" w:hAnsiTheme="majorEastAsia" w:eastAsiaTheme="majorEastAsia"/>
                <w:color w:val="auto"/>
                <w:sz w:val="24"/>
              </w:rPr>
              <w:t>...</w:t>
            </w:r>
          </w:p>
        </w:tc>
        <w:tc>
          <w:tcPr>
            <w:tcW w:w="1260" w:type="dxa"/>
            <w:vAlign w:val="center"/>
          </w:tcPr>
          <w:p>
            <w:pPr>
              <w:rPr>
                <w:rFonts w:asciiTheme="majorEastAsia" w:hAnsiTheme="majorEastAsia" w:eastAsiaTheme="majorEastAsia"/>
                <w:color w:val="auto"/>
                <w:sz w:val="24"/>
              </w:rPr>
            </w:pPr>
          </w:p>
        </w:tc>
        <w:tc>
          <w:tcPr>
            <w:tcW w:w="2310" w:type="dxa"/>
            <w:vAlign w:val="center"/>
          </w:tcPr>
          <w:p>
            <w:pPr>
              <w:rPr>
                <w:rFonts w:asciiTheme="majorEastAsia" w:hAnsiTheme="majorEastAsia" w:eastAsiaTheme="majorEastAsia"/>
                <w:color w:val="auto"/>
                <w:sz w:val="24"/>
              </w:rPr>
            </w:pPr>
          </w:p>
        </w:tc>
        <w:tc>
          <w:tcPr>
            <w:tcW w:w="1516" w:type="dxa"/>
            <w:vAlign w:val="center"/>
          </w:tcPr>
          <w:p>
            <w:pPr>
              <w:rPr>
                <w:rFonts w:asciiTheme="majorEastAsia" w:hAnsiTheme="majorEastAsia" w:eastAsiaTheme="majorEastAsia"/>
                <w:color w:val="auto"/>
                <w:sz w:val="24"/>
              </w:rPr>
            </w:pPr>
          </w:p>
        </w:tc>
        <w:tc>
          <w:tcPr>
            <w:tcW w:w="3297" w:type="dxa"/>
            <w:vAlign w:val="center"/>
          </w:tcPr>
          <w:p>
            <w:pPr>
              <w:rPr>
                <w:rFonts w:asciiTheme="majorEastAsia" w:hAnsiTheme="majorEastAsia" w:eastAsiaTheme="majorEastAsia"/>
                <w:color w:val="auto"/>
                <w:sz w:val="24"/>
              </w:rPr>
            </w:pPr>
          </w:p>
        </w:tc>
        <w:tc>
          <w:tcPr>
            <w:tcW w:w="1539" w:type="dxa"/>
            <w:vAlign w:val="center"/>
          </w:tcPr>
          <w:p>
            <w:pPr>
              <w:rPr>
                <w:rFonts w:asciiTheme="majorEastAsia" w:hAnsiTheme="majorEastAsia" w:eastAsiaTheme="maj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784" w:type="dxa"/>
            <w:gridSpan w:val="6"/>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u w:val="single"/>
              </w:rPr>
              <w:t>　　</w:t>
            </w:r>
            <w:r>
              <w:rPr>
                <w:rFonts w:hint="eastAsia" w:asciiTheme="majorEastAsia" w:hAnsiTheme="majorEastAsia" w:eastAsiaTheme="majorEastAsia"/>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784" w:type="dxa"/>
            <w:gridSpan w:val="6"/>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84" w:type="dxa"/>
            <w:gridSpan w:val="6"/>
            <w:vAlign w:val="center"/>
          </w:tcPr>
          <w:p>
            <w:pPr>
              <w:rPr>
                <w:rFonts w:asciiTheme="majorEastAsia" w:hAnsiTheme="majorEastAsia" w:eastAsiaTheme="majorEastAsia"/>
                <w:color w:val="auto"/>
                <w:sz w:val="24"/>
              </w:rPr>
            </w:pPr>
            <w:r>
              <w:rPr>
                <w:rFonts w:hint="eastAsia" w:asciiTheme="majorEastAsia" w:hAnsiTheme="majorEastAsia" w:eastAsiaTheme="majorEastAsia"/>
                <w:color w:val="auto"/>
                <w:sz w:val="24"/>
              </w:rPr>
              <w:t>法定代表人或其委托代理人（签字或盖章）：</w:t>
            </w:r>
          </w:p>
        </w:tc>
      </w:tr>
    </w:tbl>
    <w:p>
      <w:pPr>
        <w:pStyle w:val="16"/>
        <w:spacing w:line="500" w:lineRule="exact"/>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注：</w:t>
      </w:r>
      <w:r>
        <w:rPr>
          <w:rFonts w:cs="宋体" w:asciiTheme="majorEastAsia" w:hAnsiTheme="majorEastAsia" w:eastAsiaTheme="majorEastAsia"/>
          <w:color w:val="auto"/>
          <w:sz w:val="24"/>
          <w:szCs w:val="24"/>
        </w:rPr>
        <w:t>⑴</w:t>
      </w:r>
      <w:r>
        <w:rPr>
          <w:rFonts w:asciiTheme="majorEastAsia" w:hAnsiTheme="majorEastAsia" w:eastAsiaTheme="majorEastAsia"/>
          <w:color w:val="auto"/>
          <w:sz w:val="24"/>
          <w:szCs w:val="24"/>
        </w:rPr>
        <w:t>表格内容均需按要求填写并盖章，不得留空，</w:t>
      </w:r>
      <w:r>
        <w:rPr>
          <w:rFonts w:asciiTheme="majorEastAsia" w:hAnsiTheme="majorEastAsia" w:eastAsiaTheme="majorEastAsia"/>
          <w:bCs/>
          <w:color w:val="auto"/>
          <w:sz w:val="24"/>
          <w:szCs w:val="24"/>
        </w:rPr>
        <w:t>否则按投标无效处理</w:t>
      </w:r>
      <w:r>
        <w:rPr>
          <w:rFonts w:asciiTheme="majorEastAsia" w:hAnsiTheme="majorEastAsia" w:eastAsiaTheme="majorEastAsia"/>
          <w:color w:val="auto"/>
          <w:sz w:val="24"/>
          <w:szCs w:val="24"/>
        </w:rPr>
        <w:t>。</w:t>
      </w:r>
    </w:p>
    <w:p>
      <w:pPr>
        <w:pStyle w:val="16"/>
        <w:spacing w:line="500" w:lineRule="exact"/>
        <w:ind w:left="742" w:leftChars="228" w:hanging="240" w:hangingChars="100"/>
        <w:rPr>
          <w:rFonts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⑵</w:t>
      </w:r>
      <w:r>
        <w:rPr>
          <w:rFonts w:asciiTheme="majorEastAsia" w:hAnsiTheme="majorEastAsia" w:eastAsiaTheme="majorEastAsia"/>
          <w:bCs/>
          <w:color w:val="auto"/>
          <w:sz w:val="24"/>
          <w:szCs w:val="24"/>
        </w:rPr>
        <w:t>当投标文件的服务内容低于招标文件要求时，投标人应当如实写明“负偏离”，否则视为虚假应标。</w:t>
      </w:r>
    </w:p>
    <w:p>
      <w:pPr>
        <w:pStyle w:val="16"/>
        <w:rPr>
          <w:rFonts w:asciiTheme="majorEastAsia" w:hAnsiTheme="majorEastAsia" w:eastAsiaTheme="majorEastAsia"/>
          <w:color w:val="auto"/>
        </w:rPr>
      </w:pPr>
    </w:p>
    <w:p>
      <w:pPr>
        <w:pStyle w:val="16"/>
        <w:rPr>
          <w:rFonts w:asciiTheme="majorEastAsia" w:hAnsiTheme="majorEastAsia" w:eastAsiaTheme="majorEastAsia"/>
          <w:color w:val="auto"/>
        </w:rPr>
      </w:pPr>
    </w:p>
    <w:p>
      <w:pPr>
        <w:pStyle w:val="16"/>
        <w:rPr>
          <w:rFonts w:cs="宋体" w:asciiTheme="majorEastAsia" w:hAnsiTheme="majorEastAsia" w:eastAsiaTheme="majorEastAsia"/>
          <w:color w:val="auto"/>
        </w:rPr>
      </w:pPr>
      <w:r>
        <w:rPr>
          <w:rFonts w:cs="宋体" w:asciiTheme="majorEastAsia" w:hAnsiTheme="majorEastAsia" w:eastAsiaTheme="majorEastAsia"/>
          <w:color w:val="auto"/>
        </w:rPr>
        <w:br w:type="page"/>
      </w:r>
      <w:r>
        <w:rPr>
          <w:rFonts w:cs="宋体" w:asciiTheme="majorEastAsia" w:hAnsiTheme="majorEastAsia" w:eastAsiaTheme="majorEastAsia"/>
          <w:b/>
          <w:color w:val="auto"/>
        </w:rPr>
        <w:t>格式7：</w:t>
      </w:r>
    </w:p>
    <w:p>
      <w:pPr>
        <w:pStyle w:val="16"/>
        <w:spacing w:line="600" w:lineRule="exact"/>
        <w:ind w:firstLine="151" w:firstLineChars="50"/>
        <w:jc w:val="center"/>
        <w:rPr>
          <w:rFonts w:cs="宋体" w:asciiTheme="majorEastAsia" w:hAnsiTheme="majorEastAsia" w:eastAsiaTheme="majorEastAsia"/>
          <w:color w:val="auto"/>
        </w:rPr>
      </w:pPr>
      <w:r>
        <w:rPr>
          <w:rFonts w:cs="宋体" w:asciiTheme="majorEastAsia" w:hAnsiTheme="majorEastAsia" w:eastAsiaTheme="majorEastAsia"/>
          <w:b/>
          <w:bCs/>
          <w:color w:val="auto"/>
          <w:sz w:val="30"/>
          <w:szCs w:val="30"/>
        </w:rPr>
        <w:t>售后服务承诺书（格式）</w:t>
      </w:r>
    </w:p>
    <w:p>
      <w:pPr>
        <w:pStyle w:val="16"/>
        <w:spacing w:line="440" w:lineRule="exact"/>
        <w:ind w:firstLine="415" w:firstLineChars="198"/>
        <w:rPr>
          <w:rFonts w:cs="宋体" w:asciiTheme="majorEastAsia" w:hAnsiTheme="majorEastAsia" w:eastAsiaTheme="majorEastAsia"/>
          <w:color w:val="auto"/>
        </w:rPr>
      </w:pPr>
    </w:p>
    <w:p>
      <w:pPr>
        <w:pStyle w:val="16"/>
        <w:spacing w:line="440" w:lineRule="exact"/>
        <w:ind w:firstLine="475" w:firstLineChars="198"/>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由投标人按本项目招标文件第二章“服务需求一览表”中商务条款部分的售后服务要求自行填写。</w:t>
      </w:r>
    </w:p>
    <w:p>
      <w:pPr>
        <w:pStyle w:val="16"/>
        <w:spacing w:line="440" w:lineRule="exact"/>
        <w:ind w:firstLine="480" w:firstLineChars="200"/>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rPr>
          <w:rFonts w:cs="宋体" w:asciiTheme="majorEastAsia" w:hAnsiTheme="majorEastAsia" w:eastAsiaTheme="majorEastAsia"/>
          <w:color w:val="auto"/>
          <w:sz w:val="24"/>
          <w:szCs w:val="24"/>
        </w:rPr>
      </w:pPr>
    </w:p>
    <w:p>
      <w:pPr>
        <w:pStyle w:val="16"/>
        <w:spacing w:line="600" w:lineRule="exact"/>
        <w:ind w:firstLine="480" w:firstLineChars="200"/>
        <w:rPr>
          <w:rFonts w:cs="宋体" w:asciiTheme="majorEastAsia" w:hAnsiTheme="majorEastAsia" w:eastAsiaTheme="majorEastAsia"/>
          <w:color w:val="auto"/>
          <w:sz w:val="24"/>
          <w:szCs w:val="24"/>
        </w:rPr>
      </w:pPr>
    </w:p>
    <w:p>
      <w:pPr>
        <w:pStyle w:val="16"/>
        <w:spacing w:line="600" w:lineRule="exac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投标人（盖单位公章）：</w:t>
      </w:r>
      <w:r>
        <w:rPr>
          <w:rFonts w:cs="宋体" w:asciiTheme="majorEastAsia" w:hAnsiTheme="majorEastAsia" w:eastAsiaTheme="majorEastAsia"/>
          <w:color w:val="auto"/>
          <w:sz w:val="24"/>
          <w:szCs w:val="24"/>
          <w:u w:val="single"/>
        </w:rPr>
        <w:t xml:space="preserve">                                    </w:t>
      </w: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法定代表人或其委托代理人（签字或盖章）：</w:t>
      </w:r>
      <w:r>
        <w:rPr>
          <w:rFonts w:cs="宋体" w:asciiTheme="majorEastAsia" w:hAnsiTheme="majorEastAsia" w:eastAsiaTheme="majorEastAsia"/>
          <w:color w:val="auto"/>
          <w:sz w:val="24"/>
          <w:szCs w:val="24"/>
          <w:u w:val="single"/>
        </w:rPr>
        <w:t xml:space="preserve">                  </w:t>
      </w: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pStyle w:val="16"/>
        <w:spacing w:line="600" w:lineRule="exact"/>
        <w:rPr>
          <w:rFonts w:cs="宋体" w:asciiTheme="majorEastAsia" w:hAnsiTheme="majorEastAsia" w:eastAsiaTheme="majorEastAsia"/>
          <w:color w:val="auto"/>
          <w:sz w:val="24"/>
          <w:szCs w:val="24"/>
          <w:u w:val="single"/>
        </w:rPr>
      </w:pPr>
    </w:p>
    <w:p>
      <w:pPr>
        <w:adjustRightInd/>
        <w:snapToGrid/>
        <w:spacing w:line="220" w:lineRule="atLeast"/>
        <w:rPr>
          <w:rFonts w:asciiTheme="majorEastAsia" w:hAnsiTheme="majorEastAsia" w:eastAsiaTheme="majorEastAsia"/>
          <w:b/>
          <w:color w:val="auto"/>
          <w:kern w:val="2"/>
          <w:sz w:val="21"/>
          <w:szCs w:val="20"/>
        </w:rPr>
      </w:pPr>
      <w:r>
        <w:rPr>
          <w:rFonts w:asciiTheme="majorEastAsia" w:hAnsiTheme="majorEastAsia" w:eastAsiaTheme="majorEastAsia"/>
          <w:b/>
          <w:color w:val="auto"/>
        </w:rPr>
        <w:br w:type="page"/>
      </w:r>
    </w:p>
    <w:p>
      <w:pPr>
        <w:pStyle w:val="16"/>
        <w:spacing w:line="600" w:lineRule="exact"/>
        <w:rPr>
          <w:rFonts w:cs="宋体" w:asciiTheme="majorEastAsia" w:hAnsiTheme="majorEastAsia" w:eastAsiaTheme="majorEastAsia"/>
          <w:color w:val="auto"/>
          <w:u w:val="single"/>
        </w:rPr>
      </w:pPr>
      <w:r>
        <w:rPr>
          <w:rFonts w:cs="宋体" w:asciiTheme="majorEastAsia" w:hAnsiTheme="majorEastAsia" w:eastAsiaTheme="majorEastAsia"/>
          <w:b/>
          <w:color w:val="auto"/>
        </w:rPr>
        <w:t>格式8：</w:t>
      </w:r>
    </w:p>
    <w:p>
      <w:pPr>
        <w:pStyle w:val="16"/>
        <w:spacing w:line="500" w:lineRule="exact"/>
        <w:jc w:val="center"/>
        <w:rPr>
          <w:rFonts w:asciiTheme="majorEastAsia" w:hAnsiTheme="majorEastAsia" w:eastAsiaTheme="majorEastAsia"/>
          <w:color w:val="auto"/>
        </w:rPr>
      </w:pPr>
      <w:r>
        <w:rPr>
          <w:rFonts w:asciiTheme="majorEastAsia" w:hAnsiTheme="majorEastAsia" w:eastAsiaTheme="majorEastAsia"/>
          <w:b/>
          <w:bCs/>
          <w:color w:val="auto"/>
          <w:sz w:val="30"/>
          <w:szCs w:val="30"/>
        </w:rPr>
        <w:t>商务条款偏离表（格式）</w:t>
      </w:r>
    </w:p>
    <w:p>
      <w:pPr>
        <w:pStyle w:val="16"/>
        <w:spacing w:line="440" w:lineRule="exact"/>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请逐条对应本项目招标文件第二章“服务需求一览表”中“商务条款”的要求，详细填写相应的具体内容。“偏离说明”一栏应当选择“正偏离”、“负偏离”或“无偏离”进行填写。</w:t>
      </w:r>
    </w:p>
    <w:tbl>
      <w:tblPr>
        <w:tblStyle w:val="25"/>
        <w:tblpPr w:leftFromText="180" w:rightFromText="180" w:vertAnchor="text" w:horzAnchor="margin" w:tblpXSpec="center" w:tblpY="9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2862"/>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项号</w:t>
            </w:r>
          </w:p>
        </w:tc>
        <w:tc>
          <w:tcPr>
            <w:tcW w:w="3402"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招标文件的商务需求</w:t>
            </w:r>
          </w:p>
        </w:tc>
        <w:tc>
          <w:tcPr>
            <w:tcW w:w="2862"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投标文件承诺的商务条款</w:t>
            </w:r>
          </w:p>
        </w:tc>
        <w:tc>
          <w:tcPr>
            <w:tcW w:w="2241" w:type="dxa"/>
            <w:vAlign w:val="center"/>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817" w:type="dxa"/>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一</w:t>
            </w:r>
          </w:p>
        </w:tc>
        <w:tc>
          <w:tcPr>
            <w:tcW w:w="340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86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241" w:type="dxa"/>
          </w:tcPr>
          <w:p>
            <w:pPr>
              <w:spacing w:line="3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7" w:type="dxa"/>
          </w:tcPr>
          <w:p>
            <w:pPr>
              <w:spacing w:line="340" w:lineRule="exact"/>
              <w:jc w:val="center"/>
              <w:rPr>
                <w:rFonts w:asciiTheme="majorEastAsia" w:hAnsiTheme="majorEastAsia" w:eastAsiaTheme="majorEastAsia"/>
                <w:color w:val="auto"/>
                <w:sz w:val="24"/>
              </w:rPr>
            </w:pPr>
            <w:r>
              <w:rPr>
                <w:rFonts w:hint="eastAsia" w:asciiTheme="majorEastAsia" w:hAnsiTheme="majorEastAsia" w:eastAsiaTheme="majorEastAsia"/>
                <w:color w:val="auto"/>
                <w:sz w:val="24"/>
              </w:rPr>
              <w:t>二</w:t>
            </w:r>
          </w:p>
        </w:tc>
        <w:tc>
          <w:tcPr>
            <w:tcW w:w="340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86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w:t>
            </w:r>
          </w:p>
        </w:tc>
        <w:tc>
          <w:tcPr>
            <w:tcW w:w="2241" w:type="dxa"/>
          </w:tcPr>
          <w:p>
            <w:pPr>
              <w:spacing w:line="3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tcPr>
          <w:p>
            <w:pPr>
              <w:spacing w:line="340" w:lineRule="exact"/>
              <w:jc w:val="center"/>
              <w:rPr>
                <w:rFonts w:asciiTheme="majorEastAsia" w:hAnsiTheme="majorEastAsia" w:eastAsiaTheme="majorEastAsia"/>
                <w:color w:val="auto"/>
                <w:sz w:val="24"/>
              </w:rPr>
            </w:pPr>
            <w:r>
              <w:rPr>
                <w:rFonts w:asciiTheme="majorEastAsia" w:hAnsiTheme="majorEastAsia" w:eastAsiaTheme="majorEastAsia"/>
                <w:color w:val="auto"/>
                <w:sz w:val="24"/>
              </w:rPr>
              <w:t>...</w:t>
            </w:r>
          </w:p>
        </w:tc>
        <w:tc>
          <w:tcPr>
            <w:tcW w:w="340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tc>
        <w:tc>
          <w:tcPr>
            <w:tcW w:w="2862" w:type="dxa"/>
          </w:tcPr>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1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2  </w:t>
            </w:r>
            <w:r>
              <w:rPr>
                <w:rFonts w:hint="eastAsia" w:asciiTheme="majorEastAsia" w:hAnsiTheme="majorEastAsia" w:eastAsiaTheme="majorEastAsia"/>
                <w:color w:val="auto"/>
                <w:sz w:val="24"/>
              </w:rPr>
              <w:t>……</w:t>
            </w:r>
          </w:p>
          <w:p>
            <w:pPr>
              <w:spacing w:line="340" w:lineRule="exact"/>
              <w:rPr>
                <w:rFonts w:asciiTheme="majorEastAsia" w:hAnsiTheme="majorEastAsia" w:eastAsiaTheme="majorEastAsia"/>
                <w:color w:val="auto"/>
                <w:sz w:val="24"/>
              </w:rPr>
            </w:pPr>
            <w:r>
              <w:rPr>
                <w:rFonts w:asciiTheme="majorEastAsia" w:hAnsiTheme="majorEastAsia" w:eastAsiaTheme="majorEastAsia"/>
                <w:color w:val="auto"/>
                <w:sz w:val="24"/>
              </w:rPr>
              <w:t xml:space="preserve">3  </w:t>
            </w:r>
            <w:r>
              <w:rPr>
                <w:rFonts w:hint="eastAsia" w:asciiTheme="majorEastAsia" w:hAnsiTheme="majorEastAsia" w:eastAsiaTheme="majorEastAsia"/>
                <w:color w:val="auto"/>
                <w:sz w:val="24"/>
              </w:rPr>
              <w:t>……</w:t>
            </w:r>
          </w:p>
        </w:tc>
        <w:tc>
          <w:tcPr>
            <w:tcW w:w="2241" w:type="dxa"/>
          </w:tcPr>
          <w:p>
            <w:pPr>
              <w:spacing w:line="3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322" w:type="dxa"/>
            <w:gridSpan w:val="4"/>
          </w:tcPr>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u w:val="single"/>
              </w:rPr>
              <w:t>　　</w:t>
            </w:r>
            <w:r>
              <w:rPr>
                <w:rFonts w:hint="eastAsia" w:asciiTheme="majorEastAsia" w:hAnsiTheme="majorEastAsia" w:eastAsiaTheme="majorEastAsia"/>
                <w:color w:val="auto"/>
                <w:sz w:val="24"/>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322" w:type="dxa"/>
            <w:gridSpan w:val="4"/>
          </w:tcPr>
          <w:p>
            <w:pPr>
              <w:spacing w:line="34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22" w:type="dxa"/>
            <w:gridSpan w:val="4"/>
          </w:tcPr>
          <w:p>
            <w:pPr>
              <w:spacing w:line="36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法定代表人或其委托代理人（签字或盖章）：</w:t>
            </w:r>
          </w:p>
        </w:tc>
      </w:tr>
    </w:tbl>
    <w:p>
      <w:pPr>
        <w:spacing w:line="4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注：⑴表格内容均需按要求填写并盖章，不得留空，否则按投标无效处理。</w:t>
      </w:r>
    </w:p>
    <w:p>
      <w:pPr>
        <w:spacing w:line="400" w:lineRule="exact"/>
        <w:rPr>
          <w:rFonts w:asciiTheme="majorEastAsia" w:hAnsiTheme="majorEastAsia" w:eastAsiaTheme="majorEastAsia"/>
          <w:color w:val="auto"/>
          <w:sz w:val="24"/>
        </w:rPr>
      </w:pPr>
      <w:r>
        <w:rPr>
          <w:rFonts w:hint="eastAsia" w:asciiTheme="majorEastAsia" w:hAnsiTheme="majorEastAsia" w:eastAsiaTheme="majorEastAsia"/>
          <w:color w:val="auto"/>
          <w:sz w:val="24"/>
        </w:rPr>
        <w:t>⑵如果招标文件需求为小于或大于某个数值标准时，投标文件承诺不得直接复制招标文件需求，投标文件承诺内容应当写明投标货物具体参数或商务响应承诺的具体数值，否则按投标无效处理。</w:t>
      </w:r>
    </w:p>
    <w:p>
      <w:pPr>
        <w:pStyle w:val="16"/>
        <w:spacing w:line="400" w:lineRule="exact"/>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⑶当投标文件的商务内容低于招标文件要求时，投标人应当如实写明“负偏离”，否则视为虚假应标。</w:t>
      </w:r>
    </w:p>
    <w:p>
      <w:pPr>
        <w:pStyle w:val="16"/>
        <w:spacing w:line="400" w:lineRule="exact"/>
        <w:rPr>
          <w:rFonts w:cs="宋体" w:asciiTheme="majorEastAsia" w:hAnsiTheme="majorEastAsia" w:eastAsiaTheme="majorEastAsia"/>
          <w:color w:val="auto"/>
        </w:rPr>
      </w:pPr>
      <w:r>
        <w:rPr>
          <w:rFonts w:cs="宋体" w:asciiTheme="majorEastAsia" w:hAnsiTheme="majorEastAsia" w:eastAsiaTheme="majorEastAsia"/>
          <w:b/>
          <w:color w:val="auto"/>
        </w:rPr>
        <w:br w:type="page"/>
      </w:r>
      <w:r>
        <w:rPr>
          <w:rFonts w:cs="宋体" w:asciiTheme="majorEastAsia" w:hAnsiTheme="majorEastAsia" w:eastAsiaTheme="majorEastAsia"/>
          <w:b/>
          <w:color w:val="auto"/>
        </w:rPr>
        <w:t>格式9：</w:t>
      </w:r>
    </w:p>
    <w:p>
      <w:pPr>
        <w:pStyle w:val="16"/>
        <w:spacing w:line="500" w:lineRule="exact"/>
        <w:jc w:val="center"/>
        <w:rPr>
          <w:rFonts w:cs="宋体" w:asciiTheme="majorEastAsia" w:hAnsiTheme="majorEastAsia" w:eastAsiaTheme="majorEastAsia"/>
          <w:b/>
          <w:bCs/>
          <w:color w:val="auto"/>
          <w:sz w:val="30"/>
          <w:szCs w:val="30"/>
        </w:rPr>
      </w:pPr>
      <w:r>
        <w:rPr>
          <w:rFonts w:cs="宋体" w:asciiTheme="majorEastAsia" w:hAnsiTheme="majorEastAsia" w:eastAsiaTheme="majorEastAsia"/>
          <w:b/>
          <w:bCs/>
          <w:color w:val="auto"/>
          <w:sz w:val="30"/>
          <w:szCs w:val="30"/>
        </w:rPr>
        <w:t>法定代表人授权委托书（格式）</w:t>
      </w:r>
    </w:p>
    <w:p>
      <w:pPr>
        <w:pStyle w:val="16"/>
        <w:spacing w:line="440" w:lineRule="exact"/>
        <w:ind w:firstLine="420" w:firstLineChars="200"/>
        <w:rPr>
          <w:rFonts w:cs="宋体" w:asciiTheme="majorEastAsia" w:hAnsiTheme="majorEastAsia" w:eastAsiaTheme="majorEastAsia"/>
          <w:color w:val="auto"/>
          <w:u w:val="single"/>
        </w:rPr>
      </w:pP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致：</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（采购代理机构名称）</w:t>
      </w:r>
    </w:p>
    <w:p>
      <w:pPr>
        <w:pStyle w:val="16"/>
        <w:spacing w:line="440" w:lineRule="exact"/>
        <w:ind w:firstLine="480" w:firstLineChars="200"/>
        <w:rPr>
          <w:rFonts w:cs="宋体" w:asciiTheme="majorEastAsia" w:hAnsiTheme="majorEastAsia" w:eastAsiaTheme="majorEastAsia"/>
          <w:color w:val="auto"/>
          <w:sz w:val="24"/>
          <w:szCs w:val="24"/>
        </w:rPr>
      </w:pP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（姓名）系</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（投标人名称）的法定代表人，现授权我单位在职正式员工</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（姓名和职务）为我方代理人。代理人根据授权，以我方名义签署、澄清、说明、补正、递交、撤回、修改贵方组织的</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项目（项目编号：</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）的投标文件、签订合同和处理一切有关事宜，其法律后果由我方承担。</w:t>
      </w:r>
    </w:p>
    <w:p>
      <w:pPr>
        <w:pStyle w:val="16"/>
        <w:spacing w:line="440" w:lineRule="exact"/>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本授权书于</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日签字生效，委托期限：</w:t>
      </w:r>
      <w:r>
        <w:rPr>
          <w:rFonts w:cs="宋体" w:asciiTheme="majorEastAsia" w:hAnsiTheme="majorEastAsia" w:eastAsiaTheme="majorEastAsia"/>
          <w:color w:val="auto"/>
          <w:spacing w:val="10"/>
          <w:sz w:val="24"/>
          <w:szCs w:val="24"/>
          <w:u w:val="single"/>
        </w:rPr>
        <w:t xml:space="preserve">    </w:t>
      </w:r>
      <w:r>
        <w:rPr>
          <w:rFonts w:hint="eastAsia"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pacing w:val="10"/>
          <w:sz w:val="24"/>
          <w:szCs w:val="24"/>
          <w:u w:val="single"/>
        </w:rPr>
        <w:t xml:space="preserve"> </w:t>
      </w:r>
      <w:r>
        <w:rPr>
          <w:rFonts w:cs="宋体" w:asciiTheme="majorEastAsia" w:hAnsiTheme="majorEastAsia" w:eastAsiaTheme="majorEastAsia"/>
          <w:color w:val="auto"/>
          <w:sz w:val="24"/>
          <w:szCs w:val="24"/>
        </w:rPr>
        <w:t>。</w:t>
      </w:r>
    </w:p>
    <w:p>
      <w:pPr>
        <w:pStyle w:val="16"/>
        <w:spacing w:line="360" w:lineRule="auto"/>
        <w:ind w:firstLine="420"/>
        <w:rPr>
          <w:rFonts w:cs="宋体" w:asciiTheme="majorEastAsia" w:hAnsiTheme="majorEastAsia" w:eastAsiaTheme="majorEastAsia"/>
          <w:color w:val="auto"/>
          <w:sz w:val="24"/>
          <w:szCs w:val="24"/>
        </w:rPr>
      </w:pPr>
    </w:p>
    <w:p>
      <w:pPr>
        <w:pStyle w:val="16"/>
        <w:spacing w:line="360" w:lineRule="auto"/>
        <w:ind w:firstLine="42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代理人无转委托权。</w:t>
      </w:r>
    </w:p>
    <w:p>
      <w:pPr>
        <w:pStyle w:val="16"/>
        <w:spacing w:line="360" w:lineRule="auto"/>
        <w:ind w:firstLine="420"/>
        <w:rPr>
          <w:rFonts w:cs="宋体" w:asciiTheme="majorEastAsia" w:hAnsiTheme="majorEastAsia" w:eastAsiaTheme="majorEastAsia"/>
          <w:color w:val="auto"/>
          <w:sz w:val="24"/>
          <w:szCs w:val="24"/>
        </w:rPr>
      </w:pP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投标人（盖单位公章）：</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社会统一信用代码:</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法定代表人（签字或盖章）：</w:t>
      </w:r>
      <w:r>
        <w:rPr>
          <w:rFonts w:hint="eastAsia" w:cs="宋体" w:asciiTheme="majorEastAsia" w:hAnsiTheme="majorEastAsia" w:eastAsiaTheme="majorEastAsia"/>
          <w:color w:val="auto"/>
          <w:sz w:val="24"/>
          <w:szCs w:val="24"/>
        </w:rPr>
        <w:t>___________________________________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 xml:space="preserve"> </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法定代表人身份证号码：</w:t>
      </w:r>
      <w:r>
        <w:rPr>
          <w:rFonts w:hint="eastAsia" w:cs="宋体" w:asciiTheme="majorEastAsia" w:hAnsiTheme="majorEastAsia" w:eastAsiaTheme="majorEastAsia"/>
          <w:color w:val="auto"/>
          <w:sz w:val="24"/>
          <w:szCs w:val="24"/>
        </w:rPr>
        <w:t>__________________________________</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rPr>
        <w:t>____</w:t>
      </w:r>
      <w:r>
        <w:rPr>
          <w:rFonts w:cs="宋体" w:asciiTheme="majorEastAsia" w:hAnsiTheme="majorEastAsia" w:eastAsiaTheme="majorEastAsia"/>
          <w:color w:val="auto"/>
          <w:sz w:val="24"/>
          <w:szCs w:val="24"/>
          <w:u w:val="single"/>
        </w:rPr>
        <w:t xml:space="preserve">                </w:t>
      </w:r>
    </w:p>
    <w:p>
      <w:pPr>
        <w:pStyle w:val="16"/>
        <w:spacing w:line="360" w:lineRule="auto"/>
        <w:ind w:firstLine="360" w:firstLineChars="15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委托代理人（签字或盖章）：</w:t>
      </w:r>
      <w:r>
        <w:rPr>
          <w:rFonts w:hint="eastAsia" w:cs="宋体" w:asciiTheme="majorEastAsia" w:hAnsiTheme="majorEastAsia" w:eastAsiaTheme="majorEastAsia"/>
          <w:color w:val="auto"/>
          <w:sz w:val="24"/>
          <w:szCs w:val="24"/>
        </w:rPr>
        <w:t>___________________________________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u w:val="single"/>
        </w:rPr>
        <w:sectPr>
          <w:pgSz w:w="11906" w:h="16838"/>
          <w:pgMar w:top="1440" w:right="1080" w:bottom="1440" w:left="1080" w:header="851" w:footer="907" w:gutter="0"/>
          <w:cols w:space="720" w:num="1"/>
          <w:docGrid w:type="lines" w:linePitch="312" w:charSpace="0"/>
        </w:sectPr>
      </w:pPr>
      <w:r>
        <w:rPr>
          <w:rFonts w:cs="宋体" w:asciiTheme="majorEastAsia" w:hAnsiTheme="majorEastAsia" w:eastAsiaTheme="majorEastAsia"/>
          <w:color w:val="auto"/>
          <w:sz w:val="24"/>
          <w:szCs w:val="24"/>
        </w:rPr>
        <w:t>委托代理人身份证号码：</w:t>
      </w:r>
      <w:r>
        <w:rPr>
          <w:rFonts w:hint="eastAsia" w:cs="宋体" w:asciiTheme="majorEastAsia" w:hAnsiTheme="majorEastAsia" w:eastAsiaTheme="majorEastAsia"/>
          <w:color w:val="auto"/>
          <w:sz w:val="24"/>
          <w:szCs w:val="24"/>
        </w:rPr>
        <w:t>______________________________________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ind w:firstLine="420"/>
        <w:rPr>
          <w:rFonts w:cs="宋体" w:asciiTheme="majorEastAsia" w:hAnsiTheme="majorEastAsia" w:eastAsiaTheme="majorEastAsia"/>
          <w:color w:val="auto"/>
          <w:sz w:val="24"/>
          <w:szCs w:val="24"/>
        </w:rPr>
      </w:pPr>
      <w:r>
        <w:rPr>
          <w:rFonts w:hint="eastAsia" w:cs="宋体" w:asciiTheme="majorEastAsia" w:hAnsiTheme="majorEastAsia" w:eastAsiaTheme="majorEastAsia"/>
          <w:b/>
          <w:bCs/>
          <w:color w:val="auto"/>
        </w:rPr>
        <w:t>格式</w:t>
      </w:r>
      <w:r>
        <w:rPr>
          <w:rFonts w:cs="宋体" w:asciiTheme="majorEastAsia" w:hAnsiTheme="majorEastAsia" w:eastAsiaTheme="majorEastAsia"/>
          <w:b/>
          <w:bCs/>
          <w:color w:val="auto"/>
        </w:rPr>
        <w:t>1</w:t>
      </w:r>
      <w:r>
        <w:rPr>
          <w:rFonts w:hint="eastAsia" w:cs="宋体" w:asciiTheme="majorEastAsia" w:hAnsiTheme="majorEastAsia" w:eastAsiaTheme="majorEastAsia"/>
          <w:b/>
          <w:bCs/>
          <w:color w:val="auto"/>
        </w:rPr>
        <w:t>0：</w:t>
      </w:r>
      <w:r>
        <w:rPr>
          <w:rFonts w:cs="宋体" w:asciiTheme="majorEastAsia" w:hAnsiTheme="majorEastAsia" w:eastAsiaTheme="majorEastAsia"/>
          <w:color w:val="auto"/>
          <w:sz w:val="24"/>
          <w:szCs w:val="24"/>
        </w:rPr>
        <w:t xml:space="preserve">                                </w:t>
      </w:r>
    </w:p>
    <w:p>
      <w:pPr>
        <w:pStyle w:val="16"/>
        <w:spacing w:line="500" w:lineRule="exact"/>
        <w:jc w:val="center"/>
        <w:rPr>
          <w:rFonts w:cs="宋体" w:asciiTheme="majorEastAsia" w:hAnsiTheme="majorEastAsia" w:eastAsiaTheme="majorEastAsia"/>
          <w:b/>
          <w:bCs/>
          <w:color w:val="auto"/>
          <w:sz w:val="30"/>
          <w:szCs w:val="30"/>
        </w:rPr>
      </w:pPr>
      <w:r>
        <w:rPr>
          <w:rFonts w:hint="eastAsia" w:cs="宋体" w:asciiTheme="majorEastAsia" w:hAnsiTheme="majorEastAsia" w:eastAsiaTheme="majorEastAsia"/>
          <w:b/>
          <w:bCs/>
          <w:color w:val="auto"/>
          <w:sz w:val="30"/>
          <w:szCs w:val="30"/>
        </w:rPr>
        <w:t>投标人直接控股、管理关系信息表（格式）</w:t>
      </w:r>
    </w:p>
    <w:p>
      <w:pPr>
        <w:spacing w:before="50" w:afterLines="50"/>
        <w:jc w:val="center"/>
        <w:rPr>
          <w:rFonts w:asciiTheme="majorEastAsia" w:hAnsiTheme="majorEastAsia" w:eastAsiaTheme="majorEastAsia"/>
          <w:b/>
          <w:color w:val="auto"/>
          <w:sz w:val="28"/>
          <w:szCs w:val="28"/>
        </w:rPr>
      </w:pPr>
    </w:p>
    <w:p>
      <w:pPr>
        <w:spacing w:before="50" w:afterLines="50"/>
        <w:jc w:val="center"/>
        <w:rPr>
          <w:rFonts w:asciiTheme="majorEastAsia" w:hAnsiTheme="majorEastAsia" w:eastAsiaTheme="majorEastAsia"/>
          <w:b/>
          <w:color w:val="auto"/>
          <w:sz w:val="28"/>
          <w:szCs w:val="28"/>
        </w:rPr>
      </w:pPr>
      <w:r>
        <w:rPr>
          <w:rFonts w:hint="eastAsia" w:asciiTheme="majorEastAsia" w:hAnsiTheme="majorEastAsia" w:eastAsiaTheme="majorEastAsia"/>
          <w:b/>
          <w:color w:val="auto"/>
          <w:sz w:val="28"/>
          <w:szCs w:val="28"/>
        </w:rPr>
        <w:t>投标人直接控股股东信息表</w:t>
      </w:r>
    </w:p>
    <w:tbl>
      <w:tblPr>
        <w:tblStyle w:val="25"/>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8"/>
        <w:gridCol w:w="2269"/>
        <w:gridCol w:w="1239"/>
        <w:gridCol w:w="372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Header/>
        </w:trPr>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序号</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直接控股股东名称</w:t>
            </w: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出资比例</w:t>
            </w: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身份证号码或统一社会信用代码</w:t>
            </w: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w:t>
            </w:r>
          </w:p>
        </w:tc>
        <w:tc>
          <w:tcPr>
            <w:tcW w:w="226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239"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722"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1418" w:type="dxa"/>
            <w:tcBorders>
              <w:tl2br w:val="nil"/>
              <w:tr2bl w:val="nil"/>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bl>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注：</w:t>
      </w:r>
    </w:p>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2.本表所指的控股关系仅限于直接控股关系，不包括间接的控股关系。公司实际控制人与公司之间的关系不属于本表所指的直接控股关系。</w:t>
      </w: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pStyle w:val="16"/>
        <w:spacing w:line="600" w:lineRule="exact"/>
        <w:rPr>
          <w:rFonts w:cs="宋体" w:asciiTheme="majorEastAsia" w:hAnsiTheme="majorEastAsia" w:eastAsiaTheme="majorEastAsia"/>
          <w:color w:val="auto"/>
          <w:sz w:val="24"/>
          <w:szCs w:val="24"/>
          <w:u w:val="single"/>
        </w:rPr>
      </w:pPr>
      <w:r>
        <w:rPr>
          <w:rFonts w:hint="eastAsia" w:cs="宋体" w:asciiTheme="majorEastAsia" w:hAnsiTheme="majorEastAsia" w:eastAsiaTheme="majorEastAsia"/>
          <w:color w:val="auto"/>
          <w:sz w:val="24"/>
          <w:szCs w:val="24"/>
        </w:rPr>
        <w:t>投标人（盖单位公章）：</w:t>
      </w:r>
      <w:r>
        <w:rPr>
          <w:rFonts w:hint="eastAsia" w:cs="宋体" w:asciiTheme="majorEastAsia" w:hAnsiTheme="majorEastAsia" w:eastAsiaTheme="majorEastAsia"/>
          <w:color w:val="auto"/>
          <w:sz w:val="24"/>
          <w:szCs w:val="24"/>
          <w:u w:val="single"/>
        </w:rPr>
        <w:t xml:space="preserve">                                    </w:t>
      </w:r>
    </w:p>
    <w:p>
      <w:pPr>
        <w:pStyle w:val="16"/>
        <w:spacing w:line="600" w:lineRule="exact"/>
        <w:rPr>
          <w:rFonts w:cs="宋体" w:asciiTheme="majorEastAsia" w:hAnsiTheme="majorEastAsia" w:eastAsiaTheme="majorEastAsia"/>
          <w:color w:val="auto"/>
          <w:sz w:val="24"/>
          <w:szCs w:val="24"/>
        </w:rPr>
      </w:pPr>
    </w:p>
    <w:p>
      <w:pPr>
        <w:pStyle w:val="16"/>
        <w:spacing w:line="600" w:lineRule="exact"/>
        <w:rPr>
          <w:rFonts w:cs="宋体" w:asciiTheme="majorEastAsia" w:hAnsiTheme="majorEastAsia" w:eastAsiaTheme="majorEastAsia"/>
          <w:color w:val="auto"/>
          <w:sz w:val="24"/>
          <w:szCs w:val="24"/>
          <w:u w:val="single"/>
        </w:rPr>
      </w:pPr>
      <w:r>
        <w:rPr>
          <w:rFonts w:hint="eastAsia" w:cs="宋体" w:asciiTheme="majorEastAsia" w:hAnsiTheme="majorEastAsia" w:eastAsiaTheme="majorEastAsia"/>
          <w:color w:val="auto"/>
          <w:sz w:val="24"/>
          <w:szCs w:val="24"/>
        </w:rPr>
        <w:t>法定代表人或其委托代理人（签字或盖章）：</w:t>
      </w:r>
      <w:r>
        <w:rPr>
          <w:rFonts w:hint="eastAsia" w:cs="宋体" w:asciiTheme="majorEastAsia" w:hAnsiTheme="majorEastAsia" w:eastAsiaTheme="majorEastAsia"/>
          <w:color w:val="auto"/>
          <w:sz w:val="24"/>
          <w:szCs w:val="24"/>
          <w:u w:val="single"/>
        </w:rPr>
        <w:t xml:space="preserve">                  </w:t>
      </w:r>
    </w:p>
    <w:p>
      <w:pPr>
        <w:spacing w:beforeLines="50" w:after="50"/>
        <w:ind w:right="480" w:firstLine="5520" w:firstLineChars="2300"/>
        <w:rPr>
          <w:rFonts w:asciiTheme="majorEastAsia" w:hAnsiTheme="majorEastAsia" w:eastAsiaTheme="majorEastAsia"/>
          <w:color w:val="auto"/>
          <w:sz w:val="24"/>
          <w:szCs w:val="24"/>
        </w:rPr>
      </w:pPr>
    </w:p>
    <w:p>
      <w:pPr>
        <w:spacing w:beforeLines="50" w:after="50"/>
        <w:ind w:right="480" w:firstLine="240" w:firstLineChars="1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年    月    日</w:t>
      </w:r>
    </w:p>
    <w:p>
      <w:pPr>
        <w:jc w:val="center"/>
        <w:rPr>
          <w:rFonts w:asciiTheme="majorEastAsia" w:hAnsiTheme="majorEastAsia" w:eastAsiaTheme="majorEastAsia"/>
          <w:color w:val="auto"/>
          <w:sz w:val="24"/>
          <w:szCs w:val="24"/>
        </w:rPr>
      </w:pPr>
      <w:r>
        <w:rPr>
          <w:rFonts w:hint="eastAsia" w:asciiTheme="majorEastAsia" w:hAnsiTheme="majorEastAsia" w:eastAsiaTheme="majorEastAsia"/>
          <w:b/>
          <w:color w:val="auto"/>
          <w:sz w:val="24"/>
          <w:szCs w:val="24"/>
        </w:rPr>
        <w:br w:type="page"/>
      </w:r>
      <w:r>
        <w:rPr>
          <w:rFonts w:hint="eastAsia" w:asciiTheme="majorEastAsia" w:hAnsiTheme="majorEastAsia" w:eastAsiaTheme="majorEastAsia"/>
          <w:b/>
          <w:color w:val="auto"/>
          <w:sz w:val="28"/>
          <w:szCs w:val="28"/>
        </w:rPr>
        <w:t>投标人直接管理关系信息表</w:t>
      </w:r>
    </w:p>
    <w:tbl>
      <w:tblPr>
        <w:tblStyle w:val="25"/>
        <w:tblW w:w="9652" w:type="dxa"/>
        <w:tblInd w:w="0" w:type="dxa"/>
        <w:shd w:val="clear" w:color="auto" w:fill="FFFFFF"/>
        <w:tblLayout w:type="fixed"/>
        <w:tblCellMar>
          <w:top w:w="0" w:type="dxa"/>
          <w:left w:w="0" w:type="dxa"/>
          <w:bottom w:w="0" w:type="dxa"/>
          <w:right w:w="0" w:type="dxa"/>
        </w:tblCellMar>
      </w:tblPr>
      <w:tblGrid>
        <w:gridCol w:w="1005"/>
        <w:gridCol w:w="2659"/>
        <w:gridCol w:w="3924"/>
        <w:gridCol w:w="2064"/>
      </w:tblGrid>
      <w:tr>
        <w:tblPrEx>
          <w:shd w:val="clear" w:color="auto" w:fill="FFFFFF"/>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w:t>
            </w:r>
          </w:p>
        </w:tc>
        <w:tc>
          <w:tcPr>
            <w:tcW w:w="2659"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392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c>
          <w:tcPr>
            <w:tcW w:w="2064" w:type="dxa"/>
            <w:tcBorders>
              <w:top w:val="single" w:color="auto" w:sz="4" w:space="0"/>
              <w:left w:val="single" w:color="auto" w:sz="4" w:space="0"/>
              <w:bottom w:val="single" w:color="auto" w:sz="4" w:space="0"/>
              <w:right w:val="single" w:color="auto" w:sz="4" w:space="0"/>
            </w:tcBorders>
            <w:shd w:val="clear" w:color="auto" w:fill="FFFFFF"/>
            <w:tcMar>
              <w:top w:w="120" w:type="dxa"/>
              <w:left w:w="120" w:type="dxa"/>
              <w:bottom w:w="120" w:type="dxa"/>
              <w:right w:w="120" w:type="dxa"/>
            </w:tcMar>
            <w:vAlign w:val="center"/>
          </w:tcPr>
          <w:p>
            <w:pPr>
              <w:wordWrap w:val="0"/>
              <w:spacing w:line="200" w:lineRule="atLeast"/>
              <w:jc w:val="center"/>
              <w:rPr>
                <w:rFonts w:asciiTheme="majorEastAsia" w:hAnsiTheme="majorEastAsia" w:eastAsiaTheme="majorEastAsia"/>
                <w:color w:val="auto"/>
                <w:sz w:val="24"/>
                <w:szCs w:val="24"/>
              </w:rPr>
            </w:pPr>
          </w:p>
        </w:tc>
      </w:tr>
    </w:tbl>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注：</w:t>
      </w:r>
    </w:p>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1.管理关系：是指不具有出资持股关系的其他单位之间存在的管理与被管理关系，如一些上下级关系的事业单位和团体组织。</w:t>
      </w:r>
    </w:p>
    <w:p>
      <w:pPr>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2.本表所指的管理关系仅限于直接管理关系，不包括间接的管理关系。</w:t>
      </w: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rPr>
          <w:rFonts w:asciiTheme="majorEastAsia" w:hAnsiTheme="majorEastAsia" w:eastAsiaTheme="majorEastAsia"/>
          <w:color w:val="auto"/>
          <w:sz w:val="24"/>
          <w:szCs w:val="24"/>
        </w:rPr>
      </w:pPr>
    </w:p>
    <w:p>
      <w:pPr>
        <w:pStyle w:val="16"/>
        <w:spacing w:line="600" w:lineRule="exact"/>
        <w:rPr>
          <w:rFonts w:cs="宋体" w:asciiTheme="majorEastAsia" w:hAnsiTheme="majorEastAsia" w:eastAsiaTheme="majorEastAsia"/>
          <w:color w:val="auto"/>
          <w:sz w:val="24"/>
          <w:szCs w:val="24"/>
          <w:u w:val="single"/>
        </w:rPr>
      </w:pPr>
      <w:r>
        <w:rPr>
          <w:rFonts w:hint="eastAsia" w:cs="宋体" w:asciiTheme="majorEastAsia" w:hAnsiTheme="majorEastAsia" w:eastAsiaTheme="majorEastAsia"/>
          <w:color w:val="auto"/>
          <w:sz w:val="24"/>
          <w:szCs w:val="24"/>
        </w:rPr>
        <w:t>投标人（盖单位公章）：</w:t>
      </w:r>
      <w:r>
        <w:rPr>
          <w:rFonts w:hint="eastAsia" w:cs="宋体" w:asciiTheme="majorEastAsia" w:hAnsiTheme="majorEastAsia" w:eastAsiaTheme="majorEastAsia"/>
          <w:color w:val="auto"/>
          <w:sz w:val="24"/>
          <w:szCs w:val="24"/>
          <w:u w:val="single"/>
        </w:rPr>
        <w:t xml:space="preserve">                                    </w:t>
      </w:r>
    </w:p>
    <w:p>
      <w:pPr>
        <w:pStyle w:val="16"/>
        <w:spacing w:line="600" w:lineRule="exact"/>
        <w:rPr>
          <w:rFonts w:cs="宋体" w:asciiTheme="majorEastAsia" w:hAnsiTheme="majorEastAsia" w:eastAsiaTheme="majorEastAsia"/>
          <w:color w:val="auto"/>
          <w:sz w:val="24"/>
          <w:szCs w:val="24"/>
        </w:rPr>
      </w:pPr>
    </w:p>
    <w:p>
      <w:pPr>
        <w:pStyle w:val="16"/>
        <w:spacing w:line="600" w:lineRule="exact"/>
        <w:rPr>
          <w:rFonts w:cs="宋体" w:asciiTheme="majorEastAsia" w:hAnsiTheme="majorEastAsia" w:eastAsiaTheme="majorEastAsia"/>
          <w:color w:val="auto"/>
          <w:sz w:val="24"/>
          <w:szCs w:val="24"/>
          <w:u w:val="single"/>
        </w:rPr>
      </w:pPr>
      <w:r>
        <w:rPr>
          <w:rFonts w:hint="eastAsia" w:cs="宋体" w:asciiTheme="majorEastAsia" w:hAnsiTheme="majorEastAsia" w:eastAsiaTheme="majorEastAsia"/>
          <w:color w:val="auto"/>
          <w:sz w:val="24"/>
          <w:szCs w:val="24"/>
        </w:rPr>
        <w:t>法定代表人或其委托代理人（签字或盖章）：</w:t>
      </w:r>
      <w:r>
        <w:rPr>
          <w:rFonts w:hint="eastAsia" w:cs="宋体" w:asciiTheme="majorEastAsia" w:hAnsiTheme="majorEastAsia" w:eastAsiaTheme="majorEastAsia"/>
          <w:color w:val="auto"/>
          <w:sz w:val="24"/>
          <w:szCs w:val="24"/>
          <w:u w:val="single"/>
        </w:rPr>
        <w:t xml:space="preserve">                  </w:t>
      </w:r>
    </w:p>
    <w:p>
      <w:pPr>
        <w:spacing w:beforeLines="50" w:after="50"/>
        <w:ind w:right="480" w:firstLine="5520" w:firstLineChars="2300"/>
        <w:rPr>
          <w:rFonts w:asciiTheme="majorEastAsia" w:hAnsiTheme="majorEastAsia" w:eastAsiaTheme="majorEastAsia"/>
          <w:color w:val="auto"/>
          <w:sz w:val="24"/>
          <w:szCs w:val="24"/>
        </w:rPr>
      </w:pPr>
    </w:p>
    <w:p>
      <w:pPr>
        <w:spacing w:beforeLines="50" w:after="50"/>
        <w:ind w:right="480" w:firstLine="240" w:firstLineChars="100"/>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年    月    日</w:t>
      </w:r>
    </w:p>
    <w:p>
      <w:pPr>
        <w:pStyle w:val="16"/>
        <w:spacing w:line="360" w:lineRule="auto"/>
        <w:ind w:firstLine="420"/>
        <w:jc w:val="center"/>
        <w:rPr>
          <w:rFonts w:cs="宋体" w:asciiTheme="majorEastAsia" w:hAnsiTheme="majorEastAsia" w:eastAsiaTheme="majorEastAsia"/>
          <w:color w:val="auto"/>
          <w:sz w:val="24"/>
          <w:szCs w:val="24"/>
        </w:rPr>
      </w:pPr>
    </w:p>
    <w:p>
      <w:pPr>
        <w:pStyle w:val="16"/>
        <w:spacing w:line="360" w:lineRule="auto"/>
        <w:outlineLvl w:val="0"/>
        <w:rPr>
          <w:rFonts w:cs="宋体" w:asciiTheme="majorEastAsia" w:hAnsiTheme="majorEastAsia" w:eastAsiaTheme="majorEastAsia"/>
          <w:b/>
          <w:color w:val="auto"/>
          <w:sz w:val="36"/>
          <w:szCs w:val="36"/>
        </w:rPr>
      </w:pPr>
      <w:bookmarkStart w:id="53" w:name="_Toc213326424"/>
      <w:r>
        <w:rPr>
          <w:rFonts w:cs="宋体" w:asciiTheme="majorEastAsia" w:hAnsiTheme="majorEastAsia" w:eastAsiaTheme="majorEastAsia"/>
          <w:b/>
          <w:color w:val="auto"/>
          <w:sz w:val="36"/>
          <w:szCs w:val="36"/>
        </w:rPr>
        <w:br w:type="page"/>
      </w:r>
    </w:p>
    <w:p>
      <w:pPr>
        <w:pStyle w:val="16"/>
        <w:spacing w:line="360" w:lineRule="auto"/>
        <w:jc w:val="center"/>
        <w:outlineLvl w:val="0"/>
        <w:rPr>
          <w:rFonts w:cs="宋体" w:asciiTheme="majorEastAsia" w:hAnsiTheme="majorEastAsia" w:eastAsiaTheme="majorEastAsia"/>
          <w:color w:val="auto"/>
          <w:sz w:val="44"/>
        </w:rPr>
      </w:pPr>
      <w:bookmarkStart w:id="54" w:name="_Toc8537"/>
      <w:r>
        <w:rPr>
          <w:rFonts w:cs="宋体" w:asciiTheme="majorEastAsia" w:hAnsiTheme="majorEastAsia" w:eastAsiaTheme="majorEastAsia"/>
          <w:b/>
          <w:color w:val="auto"/>
          <w:sz w:val="36"/>
          <w:szCs w:val="36"/>
        </w:rPr>
        <w:t>第六章  合同条款及格式</w:t>
      </w:r>
      <w:bookmarkEnd w:id="53"/>
      <w:bookmarkEnd w:id="54"/>
    </w:p>
    <w:p>
      <w:pPr>
        <w:spacing w:line="360" w:lineRule="auto"/>
        <w:ind w:firstLine="880" w:firstLineChars="200"/>
        <w:rPr>
          <w:rFonts w:asciiTheme="majorEastAsia" w:hAnsiTheme="majorEastAsia" w:eastAsiaTheme="majorEastAsia"/>
          <w:color w:val="auto"/>
          <w:sz w:val="44"/>
        </w:rPr>
      </w:pPr>
    </w:p>
    <w:p>
      <w:pPr>
        <w:spacing w:line="360" w:lineRule="auto"/>
        <w:jc w:val="center"/>
        <w:rPr>
          <w:rFonts w:asciiTheme="majorEastAsia" w:hAnsiTheme="majorEastAsia" w:eastAsiaTheme="majorEastAsia"/>
          <w:b/>
          <w:bCs/>
          <w:color w:val="auto"/>
          <w:sz w:val="52"/>
        </w:rPr>
      </w:pPr>
      <w:r>
        <w:rPr>
          <w:rFonts w:hint="eastAsia" w:asciiTheme="majorEastAsia" w:hAnsiTheme="majorEastAsia" w:eastAsiaTheme="majorEastAsia"/>
          <w:b/>
          <w:bCs/>
          <w:color w:val="auto"/>
          <w:sz w:val="52"/>
        </w:rPr>
        <w:t>南 宁 市 政 府 采 购</w:t>
      </w:r>
    </w:p>
    <w:p>
      <w:pPr>
        <w:spacing w:line="360" w:lineRule="auto"/>
        <w:ind w:firstLine="440" w:firstLineChars="200"/>
        <w:rPr>
          <w:rFonts w:asciiTheme="majorEastAsia" w:hAnsiTheme="majorEastAsia" w:eastAsiaTheme="majorEastAsia"/>
          <w:color w:val="auto"/>
        </w:rPr>
      </w:pPr>
    </w:p>
    <w:p>
      <w:pPr>
        <w:spacing w:line="360" w:lineRule="auto"/>
        <w:ind w:firstLine="440" w:firstLineChars="200"/>
        <w:rPr>
          <w:rFonts w:asciiTheme="majorEastAsia" w:hAnsiTheme="majorEastAsia" w:eastAsiaTheme="majorEastAsia"/>
          <w:color w:val="auto"/>
        </w:rPr>
      </w:pPr>
      <w:r>
        <w:rPr>
          <w:rFonts w:hint="eastAsia" w:asciiTheme="majorEastAsia" w:hAnsiTheme="majorEastAsia" w:eastAsiaTheme="majorEastAsia"/>
          <w:color w:val="auto"/>
        </w:rPr>
        <w:t xml:space="preserve">                                              </w:t>
      </w:r>
    </w:p>
    <w:p>
      <w:pPr>
        <w:pStyle w:val="16"/>
        <w:spacing w:line="360" w:lineRule="auto"/>
        <w:ind w:hanging="13"/>
        <w:jc w:val="center"/>
        <w:rPr>
          <w:rFonts w:cs="宋体" w:asciiTheme="majorEastAsia" w:hAnsiTheme="majorEastAsia" w:eastAsiaTheme="majorEastAsia"/>
          <w:b/>
          <w:bCs/>
          <w:color w:val="auto"/>
          <w:sz w:val="32"/>
          <w:szCs w:val="32"/>
        </w:rPr>
      </w:pPr>
      <w:r>
        <w:rPr>
          <w:rFonts w:hint="eastAsia" w:cs="宋体" w:asciiTheme="majorEastAsia" w:hAnsiTheme="majorEastAsia" w:eastAsiaTheme="majorEastAsia"/>
          <w:b/>
          <w:bCs/>
          <w:color w:val="auto"/>
          <w:sz w:val="32"/>
          <w:szCs w:val="32"/>
          <w:u w:val="single"/>
        </w:rPr>
        <w:t xml:space="preserve"> </w:t>
      </w:r>
      <w:r>
        <w:rPr>
          <w:rFonts w:hint="eastAsia" w:cs="宋体" w:asciiTheme="majorEastAsia" w:hAnsiTheme="majorEastAsia" w:eastAsiaTheme="majorEastAsia"/>
          <w:b/>
          <w:bCs/>
          <w:color w:val="auto"/>
          <w:sz w:val="32"/>
          <w:szCs w:val="32"/>
          <w:u w:val="single"/>
          <w:lang w:eastAsia="zh-CN"/>
        </w:rPr>
        <w:t>金保工程网络安全协同防御体系二期建设</w:t>
      </w:r>
      <w:r>
        <w:rPr>
          <w:rFonts w:hint="eastAsia" w:cs="宋体" w:asciiTheme="majorEastAsia" w:hAnsiTheme="majorEastAsia" w:eastAsiaTheme="majorEastAsia"/>
          <w:b/>
          <w:bCs/>
          <w:color w:val="auto"/>
          <w:sz w:val="32"/>
          <w:szCs w:val="32"/>
          <w:u w:val="single"/>
        </w:rPr>
        <w:t xml:space="preserve"> </w:t>
      </w:r>
      <w:r>
        <w:rPr>
          <w:rFonts w:cs="宋体" w:asciiTheme="majorEastAsia" w:hAnsiTheme="majorEastAsia" w:eastAsiaTheme="majorEastAsia"/>
          <w:b/>
          <w:bCs/>
          <w:color w:val="auto"/>
          <w:sz w:val="32"/>
          <w:szCs w:val="32"/>
        </w:rPr>
        <w:t>合 同</w:t>
      </w:r>
    </w:p>
    <w:p>
      <w:pPr>
        <w:spacing w:line="360" w:lineRule="auto"/>
        <w:rPr>
          <w:rFonts w:asciiTheme="majorEastAsia" w:hAnsiTheme="majorEastAsia" w:eastAsiaTheme="majorEastAsia"/>
          <w:b/>
          <w:bCs/>
          <w:color w:val="auto"/>
          <w:sz w:val="44"/>
        </w:rPr>
      </w:pPr>
    </w:p>
    <w:p>
      <w:pPr>
        <w:spacing w:line="360" w:lineRule="auto"/>
        <w:ind w:firstLine="2870" w:firstLineChars="794"/>
        <w:rPr>
          <w:rFonts w:asciiTheme="majorEastAsia" w:hAnsiTheme="majorEastAsia" w:eastAsiaTheme="majorEastAsia"/>
          <w:b/>
          <w:bCs/>
          <w:color w:val="auto"/>
          <w:sz w:val="36"/>
          <w:szCs w:val="36"/>
        </w:rPr>
      </w:pPr>
    </w:p>
    <w:p>
      <w:pPr>
        <w:ind w:firstLine="1995" w:firstLineChars="552"/>
        <w:rPr>
          <w:rFonts w:hint="eastAsia" w:asciiTheme="majorEastAsia" w:hAnsiTheme="majorEastAsia" w:eastAsiaTheme="majorEastAsia"/>
          <w:b/>
          <w:color w:val="auto"/>
          <w:sz w:val="36"/>
          <w:szCs w:val="36"/>
          <w:lang w:eastAsia="zh-CN"/>
        </w:rPr>
      </w:pPr>
      <w:r>
        <w:rPr>
          <w:rFonts w:hint="eastAsia" w:asciiTheme="majorEastAsia" w:hAnsiTheme="majorEastAsia" w:eastAsiaTheme="majorEastAsia"/>
          <w:b/>
          <w:color w:val="auto"/>
          <w:sz w:val="36"/>
          <w:szCs w:val="36"/>
        </w:rPr>
        <w:t>项目编号：</w:t>
      </w:r>
      <w:r>
        <w:rPr>
          <w:rFonts w:hint="eastAsia" w:asciiTheme="majorEastAsia" w:hAnsiTheme="majorEastAsia" w:eastAsiaTheme="majorEastAsia"/>
          <w:b/>
          <w:color w:val="auto"/>
          <w:sz w:val="36"/>
          <w:szCs w:val="36"/>
          <w:lang w:eastAsia="zh-CN"/>
        </w:rPr>
        <w:t>NNZC2020-G3-990092-GXYZ</w:t>
      </w:r>
    </w:p>
    <w:p>
      <w:pPr>
        <w:ind w:firstLine="1995" w:firstLineChars="552"/>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审批编号：</w:t>
      </w:r>
      <w:r>
        <w:rPr>
          <w:rFonts w:hint="eastAsia" w:asciiTheme="majorEastAsia" w:hAnsiTheme="majorEastAsia" w:eastAsiaTheme="majorEastAsia"/>
          <w:b/>
          <w:color w:val="auto"/>
          <w:sz w:val="36"/>
          <w:szCs w:val="36"/>
          <w:lang w:eastAsia="zh-CN"/>
        </w:rPr>
        <w:t xml:space="preserve"> [2020]NCCSH307015/2511</w:t>
      </w:r>
      <w:r>
        <w:rPr>
          <w:rFonts w:hint="eastAsia" w:asciiTheme="majorEastAsia" w:hAnsiTheme="majorEastAsia" w:eastAsiaTheme="majorEastAsia"/>
          <w:b/>
          <w:color w:val="auto"/>
          <w:sz w:val="36"/>
          <w:szCs w:val="36"/>
        </w:rPr>
        <w:t xml:space="preserve"> </w:t>
      </w:r>
    </w:p>
    <w:p>
      <w:pPr>
        <w:spacing w:line="360" w:lineRule="auto"/>
        <w:ind w:firstLine="1988" w:firstLineChars="550"/>
        <w:rPr>
          <w:rFonts w:asciiTheme="majorEastAsia" w:hAnsiTheme="majorEastAsia" w:eastAsiaTheme="majorEastAsia"/>
          <w:b/>
          <w:color w:val="auto"/>
          <w:sz w:val="36"/>
          <w:szCs w:val="36"/>
        </w:rPr>
      </w:pPr>
    </w:p>
    <w:p>
      <w:pPr>
        <w:spacing w:line="360" w:lineRule="auto"/>
        <w:ind w:firstLine="1988" w:firstLineChars="550"/>
        <w:rPr>
          <w:rFonts w:asciiTheme="majorEastAsia" w:hAnsiTheme="majorEastAsia" w:eastAsiaTheme="majorEastAsia"/>
          <w:b/>
          <w:color w:val="auto"/>
          <w:sz w:val="36"/>
          <w:szCs w:val="36"/>
        </w:rPr>
      </w:pPr>
    </w:p>
    <w:p>
      <w:pPr>
        <w:spacing w:line="360" w:lineRule="auto"/>
        <w:ind w:firstLine="1988" w:firstLineChars="550"/>
        <w:rPr>
          <w:rFonts w:asciiTheme="majorEastAsia" w:hAnsiTheme="majorEastAsia" w:eastAsiaTheme="majorEastAsia"/>
          <w:b/>
          <w:color w:val="auto"/>
          <w:sz w:val="36"/>
          <w:szCs w:val="36"/>
        </w:rPr>
      </w:pPr>
    </w:p>
    <w:p>
      <w:pPr>
        <w:spacing w:line="360" w:lineRule="auto"/>
        <w:ind w:firstLine="1988" w:firstLineChars="550"/>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t>采购人：</w:t>
      </w:r>
      <w:r>
        <w:rPr>
          <w:rFonts w:hint="eastAsia" w:asciiTheme="majorEastAsia" w:hAnsiTheme="majorEastAsia" w:eastAsiaTheme="majorEastAsia"/>
          <w:b/>
          <w:color w:val="auto"/>
          <w:sz w:val="36"/>
          <w:szCs w:val="36"/>
          <w:u w:val="single"/>
        </w:rPr>
        <w:t xml:space="preserve"> </w:t>
      </w:r>
      <w:r>
        <w:rPr>
          <w:rFonts w:hint="eastAsia" w:asciiTheme="majorEastAsia" w:hAnsiTheme="majorEastAsia" w:eastAsiaTheme="majorEastAsia"/>
          <w:b/>
          <w:color w:val="auto"/>
          <w:sz w:val="36"/>
          <w:szCs w:val="36"/>
          <w:u w:val="single"/>
          <w:lang w:eastAsia="zh-CN"/>
        </w:rPr>
        <w:t>南宁市社会保障卡管理办公室</w:t>
      </w:r>
      <w:r>
        <w:rPr>
          <w:rFonts w:hint="eastAsia" w:asciiTheme="majorEastAsia" w:hAnsiTheme="majorEastAsia" w:eastAsiaTheme="majorEastAsia"/>
          <w:b/>
          <w:color w:val="auto"/>
          <w:sz w:val="36"/>
          <w:szCs w:val="36"/>
          <w:u w:val="single"/>
        </w:rPr>
        <w:t xml:space="preserve">        </w:t>
      </w:r>
    </w:p>
    <w:p>
      <w:pPr>
        <w:tabs>
          <w:tab w:val="left" w:pos="7380"/>
        </w:tabs>
        <w:spacing w:line="360" w:lineRule="auto"/>
        <w:ind w:firstLine="1988" w:firstLineChars="550"/>
        <w:rPr>
          <w:rFonts w:asciiTheme="majorEastAsia" w:hAnsiTheme="majorEastAsia" w:eastAsiaTheme="majorEastAsia"/>
          <w:b/>
          <w:bCs/>
          <w:color w:val="auto"/>
          <w:sz w:val="44"/>
        </w:rPr>
      </w:pPr>
      <w:r>
        <w:rPr>
          <w:rFonts w:hint="eastAsia" w:asciiTheme="majorEastAsia" w:hAnsiTheme="majorEastAsia" w:eastAsiaTheme="majorEastAsia"/>
          <w:b/>
          <w:color w:val="auto"/>
          <w:sz w:val="36"/>
          <w:szCs w:val="36"/>
        </w:rPr>
        <w:t>中标供应商：</w:t>
      </w:r>
      <w:r>
        <w:rPr>
          <w:rFonts w:hint="eastAsia" w:asciiTheme="majorEastAsia" w:hAnsiTheme="majorEastAsia" w:eastAsiaTheme="majorEastAsia"/>
          <w:b/>
          <w:color w:val="auto"/>
          <w:sz w:val="24"/>
          <w:szCs w:val="24"/>
          <w:u w:val="single"/>
        </w:rPr>
        <w:t>________ _________________   _  __</w:t>
      </w:r>
      <w:r>
        <w:rPr>
          <w:rFonts w:hint="eastAsia" w:asciiTheme="majorEastAsia" w:hAnsiTheme="majorEastAsia" w:eastAsiaTheme="majorEastAsia"/>
          <w:b/>
          <w:color w:val="auto"/>
          <w:sz w:val="36"/>
          <w:szCs w:val="36"/>
          <w:u w:val="single"/>
        </w:rPr>
        <w:t xml:space="preserve">     </w:t>
      </w:r>
    </w:p>
    <w:p>
      <w:pPr>
        <w:tabs>
          <w:tab w:val="left" w:pos="7380"/>
        </w:tabs>
        <w:spacing w:line="360" w:lineRule="auto"/>
        <w:jc w:val="center"/>
        <w:rPr>
          <w:rFonts w:asciiTheme="majorEastAsia" w:hAnsiTheme="majorEastAsia" w:eastAsiaTheme="majorEastAsia"/>
          <w:b/>
          <w:bCs/>
          <w:color w:val="auto"/>
          <w:sz w:val="44"/>
        </w:rPr>
      </w:pPr>
      <w:r>
        <w:rPr>
          <w:rFonts w:hint="eastAsia" w:asciiTheme="majorEastAsia" w:hAnsiTheme="majorEastAsia" w:eastAsiaTheme="majorEastAsia"/>
          <w:b/>
          <w:bCs/>
          <w:color w:val="auto"/>
          <w:sz w:val="44"/>
        </w:rPr>
        <w:br w:type="page"/>
      </w:r>
      <w:r>
        <w:rPr>
          <w:rFonts w:hint="eastAsia" w:asciiTheme="majorEastAsia" w:hAnsiTheme="majorEastAsia" w:eastAsiaTheme="majorEastAsia"/>
          <w:b/>
          <w:color w:val="auto"/>
          <w:sz w:val="36"/>
          <w:szCs w:val="36"/>
        </w:rPr>
        <w:t>目  录</w:t>
      </w:r>
    </w:p>
    <w:p>
      <w:pPr>
        <w:tabs>
          <w:tab w:val="left" w:pos="1170"/>
        </w:tabs>
        <w:spacing w:line="360" w:lineRule="auto"/>
        <w:ind w:left="376" w:leftChars="171" w:firstLine="198" w:firstLineChars="71"/>
        <w:rPr>
          <w:rFonts w:asciiTheme="majorEastAsia" w:hAnsiTheme="majorEastAsia" w:eastAsiaTheme="majorEastAsia"/>
          <w:color w:val="auto"/>
          <w:sz w:val="28"/>
        </w:rPr>
      </w:pPr>
      <w:r>
        <w:rPr>
          <w:rFonts w:hint="eastAsia" w:asciiTheme="majorEastAsia" w:hAnsiTheme="majorEastAsia" w:eastAsiaTheme="majorEastAsia"/>
          <w:color w:val="auto"/>
          <w:sz w:val="28"/>
        </w:rPr>
        <w:tab/>
      </w:r>
    </w:p>
    <w:p>
      <w:pPr>
        <w:spacing w:line="360" w:lineRule="auto"/>
        <w:rPr>
          <w:rFonts w:asciiTheme="majorEastAsia" w:hAnsiTheme="majorEastAsia" w:eastAsiaTheme="majorEastAsia"/>
          <w:b/>
          <w:color w:val="auto"/>
          <w:sz w:val="30"/>
          <w:szCs w:val="30"/>
        </w:rPr>
      </w:pPr>
      <w:r>
        <w:rPr>
          <w:rFonts w:hint="eastAsia" w:asciiTheme="majorEastAsia" w:hAnsiTheme="majorEastAsia" w:eastAsiaTheme="majorEastAsia"/>
          <w:b/>
          <w:color w:val="auto"/>
          <w:sz w:val="30"/>
          <w:szCs w:val="30"/>
        </w:rPr>
        <w:t>一、南宁市政府采购合同书</w:t>
      </w:r>
    </w:p>
    <w:p>
      <w:pPr>
        <w:spacing w:line="360" w:lineRule="auto"/>
        <w:rPr>
          <w:rFonts w:asciiTheme="majorEastAsia" w:hAnsiTheme="majorEastAsia" w:eastAsiaTheme="majorEastAsia"/>
          <w:b/>
          <w:color w:val="auto"/>
          <w:sz w:val="30"/>
          <w:szCs w:val="30"/>
        </w:rPr>
      </w:pPr>
      <w:r>
        <w:rPr>
          <w:rFonts w:hint="eastAsia" w:asciiTheme="majorEastAsia" w:hAnsiTheme="majorEastAsia" w:eastAsiaTheme="majorEastAsia"/>
          <w:b/>
          <w:color w:val="auto"/>
          <w:sz w:val="30"/>
          <w:szCs w:val="30"/>
        </w:rPr>
        <w:t>二、合同附件</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1、中标通知书</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2、招标文件服务需求一览表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3、招标文件的更改通知（如有）</w:t>
      </w:r>
    </w:p>
    <w:p>
      <w:pPr>
        <w:pStyle w:val="16"/>
        <w:spacing w:line="360" w:lineRule="auto"/>
        <w:ind w:firstLine="560" w:firstLineChars="200"/>
        <w:rPr>
          <w:rFonts w:cs="宋体" w:asciiTheme="majorEastAsia" w:hAnsiTheme="majorEastAsia" w:eastAsiaTheme="majorEastAsia"/>
          <w:color w:val="auto"/>
          <w:sz w:val="28"/>
          <w:szCs w:val="28"/>
        </w:rPr>
      </w:pPr>
      <w:r>
        <w:rPr>
          <w:rFonts w:hint="eastAsia" w:cs="宋体" w:asciiTheme="majorEastAsia" w:hAnsiTheme="majorEastAsia" w:eastAsiaTheme="majorEastAsia"/>
          <w:color w:val="auto"/>
          <w:sz w:val="28"/>
          <w:szCs w:val="28"/>
        </w:rPr>
        <w:t>4、投标函</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5、投标报价表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6、投标服务技术资料表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7、商务条款偏离表</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8、中标供应商澄清函（如有请提供）</w:t>
      </w:r>
    </w:p>
    <w:p>
      <w:pPr>
        <w:pStyle w:val="16"/>
        <w:spacing w:line="360" w:lineRule="auto"/>
        <w:ind w:firstLine="560" w:firstLineChars="200"/>
        <w:rPr>
          <w:rFonts w:cs="宋体" w:asciiTheme="majorEastAsia" w:hAnsiTheme="majorEastAsia" w:eastAsiaTheme="majorEastAsia"/>
          <w:color w:val="auto"/>
          <w:sz w:val="28"/>
          <w:szCs w:val="28"/>
        </w:rPr>
      </w:pPr>
      <w:r>
        <w:rPr>
          <w:rFonts w:cs="宋体" w:asciiTheme="majorEastAsia" w:hAnsiTheme="majorEastAsia" w:eastAsiaTheme="majorEastAsia"/>
          <w:color w:val="auto"/>
          <w:sz w:val="28"/>
          <w:szCs w:val="28"/>
        </w:rPr>
        <w:t>9、其他与本合同相关的资料（如有请提供）</w:t>
      </w:r>
    </w:p>
    <w:p>
      <w:pPr>
        <w:rPr>
          <w:rFonts w:asciiTheme="majorEastAsia" w:hAnsiTheme="majorEastAsia" w:eastAsiaTheme="majorEastAsia"/>
          <w:b/>
          <w:color w:val="auto"/>
          <w:sz w:val="30"/>
          <w:szCs w:val="30"/>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28"/>
        </w:rPr>
      </w:pPr>
    </w:p>
    <w:p>
      <w:pPr>
        <w:spacing w:line="360" w:lineRule="auto"/>
        <w:jc w:val="center"/>
        <w:rPr>
          <w:rFonts w:asciiTheme="majorEastAsia" w:hAnsiTheme="majorEastAsia" w:eastAsiaTheme="majorEastAsia"/>
          <w:b/>
          <w:bCs/>
          <w:color w:val="auto"/>
          <w:sz w:val="30"/>
          <w:szCs w:val="30"/>
        </w:rPr>
      </w:pPr>
      <w:r>
        <w:rPr>
          <w:rFonts w:hint="eastAsia" w:asciiTheme="majorEastAsia" w:hAnsiTheme="majorEastAsia" w:eastAsiaTheme="majorEastAsia"/>
          <w:b/>
          <w:color w:val="auto"/>
          <w:sz w:val="30"/>
          <w:szCs w:val="30"/>
        </w:rPr>
        <w:t>南宁市政府采购合同书</w:t>
      </w:r>
    </w:p>
    <w:p>
      <w:pPr>
        <w:pStyle w:val="16"/>
        <w:spacing w:line="360" w:lineRule="auto"/>
        <w:ind w:left="1200" w:hanging="1200" w:hangingChars="500"/>
        <w:rPr>
          <w:rFonts w:cs="宋体" w:asciiTheme="majorEastAsia" w:hAnsiTheme="majorEastAsia" w:eastAsiaTheme="majorEastAsia"/>
          <w:b/>
          <w:color w:val="auto"/>
          <w:sz w:val="44"/>
          <w:szCs w:val="44"/>
          <w:u w:val="single"/>
        </w:rPr>
      </w:pPr>
      <w:r>
        <w:rPr>
          <w:rFonts w:cs="宋体" w:asciiTheme="majorEastAsia" w:hAnsiTheme="majorEastAsia" w:eastAsiaTheme="majorEastAsia"/>
          <w:color w:val="auto"/>
          <w:sz w:val="24"/>
          <w:szCs w:val="24"/>
        </w:rPr>
        <w:t>项目名称：</w:t>
      </w:r>
      <w:r>
        <w:rPr>
          <w:rFonts w:hint="eastAsia" w:cs="宋体" w:asciiTheme="majorEastAsia" w:hAnsiTheme="majorEastAsia" w:eastAsiaTheme="majorEastAsia"/>
          <w:color w:val="auto"/>
          <w:sz w:val="24"/>
          <w:szCs w:val="24"/>
          <w:u w:val="single"/>
          <w:lang w:eastAsia="zh-CN"/>
        </w:rPr>
        <w:t>金保工程网络安全协同防御体系二期建设</w:t>
      </w:r>
      <w:r>
        <w:rPr>
          <w:rFonts w:cs="宋体" w:asciiTheme="majorEastAsia" w:hAnsiTheme="majorEastAsia" w:eastAsiaTheme="majorEastAsia"/>
          <w:color w:val="auto"/>
          <w:sz w:val="24"/>
          <w:szCs w:val="24"/>
          <w:u w:val="single"/>
        </w:rPr>
        <w:t xml:space="preserve">  </w:t>
      </w:r>
    </w:p>
    <w:p>
      <w:pPr>
        <w:pStyle w:val="16"/>
        <w:spacing w:line="360" w:lineRule="auto"/>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项目编号：</w:t>
      </w:r>
      <w:r>
        <w:rPr>
          <w:rFonts w:hint="eastAsia" w:cs="宋体" w:asciiTheme="majorEastAsia" w:hAnsiTheme="majorEastAsia" w:eastAsiaTheme="majorEastAsia"/>
          <w:color w:val="auto"/>
          <w:sz w:val="24"/>
          <w:szCs w:val="24"/>
          <w:u w:val="single"/>
          <w:lang w:eastAsia="zh-CN"/>
        </w:rPr>
        <w:t>NNZC2020-G3-990092-GXYZ</w:t>
      </w:r>
      <w:r>
        <w:rPr>
          <w:rFonts w:cs="宋体" w:asciiTheme="majorEastAsia" w:hAnsiTheme="majorEastAsia" w:eastAsiaTheme="majorEastAsia"/>
          <w:color w:val="auto"/>
          <w:sz w:val="24"/>
          <w:szCs w:val="24"/>
          <w:u w:val="single"/>
        </w:rPr>
        <w:t xml:space="preserve">  </w:t>
      </w:r>
    </w:p>
    <w:p>
      <w:pPr>
        <w:pStyle w:val="16"/>
        <w:spacing w:line="360" w:lineRule="auto"/>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分标：</w:t>
      </w:r>
      <w:r>
        <w:rPr>
          <w:rFonts w:cs="宋体" w:asciiTheme="majorEastAsia" w:hAnsiTheme="majorEastAsia" w:eastAsiaTheme="majorEastAsia"/>
          <w:color w:val="auto"/>
          <w:sz w:val="24"/>
          <w:szCs w:val="24"/>
          <w:u w:val="single"/>
        </w:rPr>
        <w:t xml:space="preserve"> / </w:t>
      </w:r>
    </w:p>
    <w:p>
      <w:pPr>
        <w:pStyle w:val="16"/>
        <w:spacing w:line="360" w:lineRule="auto"/>
        <w:rPr>
          <w:rFonts w:cs="宋体" w:asciiTheme="majorEastAsia" w:hAnsiTheme="majorEastAsia" w:eastAsiaTheme="majorEastAsia"/>
          <w:color w:val="auto"/>
          <w:sz w:val="24"/>
          <w:szCs w:val="24"/>
        </w:rPr>
      </w:pPr>
    </w:p>
    <w:p>
      <w:pPr>
        <w:spacing w:line="360" w:lineRule="auto"/>
        <w:rPr>
          <w:rFonts w:asciiTheme="majorEastAsia" w:hAnsiTheme="majorEastAsia" w:eastAsiaTheme="majorEastAsia"/>
          <w:color w:val="auto"/>
          <w:sz w:val="24"/>
          <w:u w:val="single"/>
        </w:rPr>
      </w:pPr>
      <w:r>
        <w:rPr>
          <w:rFonts w:hint="eastAsia" w:asciiTheme="majorEastAsia" w:hAnsiTheme="majorEastAsia" w:eastAsiaTheme="majorEastAsia"/>
          <w:color w:val="auto"/>
          <w:sz w:val="24"/>
        </w:rPr>
        <w:t>甲方（买方）：</w:t>
      </w:r>
      <w:r>
        <w:rPr>
          <w:rFonts w:hint="eastAsia" w:asciiTheme="majorEastAsia" w:hAnsiTheme="majorEastAsia" w:eastAsiaTheme="majorEastAsia"/>
          <w:color w:val="auto"/>
          <w:sz w:val="24"/>
          <w:u w:val="single"/>
        </w:rPr>
        <w:t xml:space="preserve"> </w:t>
      </w:r>
      <w:r>
        <w:rPr>
          <w:rFonts w:hint="eastAsia" w:asciiTheme="majorEastAsia" w:hAnsiTheme="majorEastAsia" w:eastAsiaTheme="majorEastAsia"/>
          <w:color w:val="auto"/>
          <w:sz w:val="24"/>
          <w:u w:val="single"/>
          <w:lang w:eastAsia="zh-CN"/>
        </w:rPr>
        <w:t>南宁市社会保障卡管理办公室</w:t>
      </w:r>
      <w:r>
        <w:rPr>
          <w:rFonts w:hint="eastAsia" w:asciiTheme="majorEastAsia" w:hAnsiTheme="majorEastAsia" w:eastAsiaTheme="majorEastAsia"/>
          <w:color w:val="auto"/>
          <w:sz w:val="24"/>
          <w:u w:val="single"/>
        </w:rPr>
        <w:t xml:space="preserve">        </w:t>
      </w:r>
    </w:p>
    <w:p>
      <w:pPr>
        <w:pStyle w:val="16"/>
        <w:spacing w:line="360" w:lineRule="auto"/>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乙方（卖方）：</w:t>
      </w:r>
      <w:r>
        <w:rPr>
          <w:rFonts w:hint="eastAsia" w:cs="宋体" w:asciiTheme="majorEastAsia" w:hAnsiTheme="majorEastAsia" w:eastAsiaTheme="majorEastAsia"/>
          <w:color w:val="auto"/>
          <w:kern w:val="0"/>
          <w:sz w:val="24"/>
          <w:szCs w:val="22"/>
          <w:u w:val="single"/>
        </w:rPr>
        <w:t xml:space="preserve">___________________________ </w:t>
      </w:r>
      <w:r>
        <w:rPr>
          <w:rFonts w:cs="宋体" w:asciiTheme="majorEastAsia" w:hAnsiTheme="majorEastAsia" w:eastAsiaTheme="majorEastAsia"/>
          <w:b/>
          <w:bCs/>
          <w:color w:val="auto"/>
          <w:sz w:val="24"/>
          <w:szCs w:val="24"/>
          <w:u w:val="single"/>
        </w:rPr>
        <w:t xml:space="preserve"> </w:t>
      </w:r>
      <w:r>
        <w:rPr>
          <w:rFonts w:cs="宋体" w:asciiTheme="majorEastAsia" w:hAnsiTheme="majorEastAsia" w:eastAsiaTheme="majorEastAsia"/>
          <w:color w:val="auto"/>
          <w:sz w:val="24"/>
          <w:szCs w:val="24"/>
          <w:u w:val="single"/>
        </w:rPr>
        <w:t xml:space="preserve">  </w:t>
      </w:r>
    </w:p>
    <w:p>
      <w:pPr>
        <w:pStyle w:val="16"/>
        <w:spacing w:line="360" w:lineRule="auto"/>
        <w:rPr>
          <w:rFonts w:cs="宋体" w:asciiTheme="majorEastAsia" w:hAnsiTheme="majorEastAsia" w:eastAsiaTheme="majorEastAsia"/>
          <w:b/>
          <w:color w:val="auto"/>
          <w:sz w:val="24"/>
          <w:szCs w:val="24"/>
        </w:rPr>
      </w:pPr>
      <w:r>
        <w:rPr>
          <w:rFonts w:cs="宋体" w:asciiTheme="majorEastAsia" w:hAnsiTheme="majorEastAsia" w:eastAsiaTheme="majorEastAsia"/>
          <w:b/>
          <w:color w:val="auto"/>
          <w:sz w:val="24"/>
          <w:szCs w:val="24"/>
        </w:rPr>
        <w:t xml:space="preserve">    </w:t>
      </w:r>
    </w:p>
    <w:p>
      <w:pPr>
        <w:pStyle w:val="16"/>
        <w:spacing w:line="360" w:lineRule="auto"/>
        <w:ind w:firstLine="480" w:firstLineChars="20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根据</w:t>
      </w:r>
      <w:r>
        <w:rPr>
          <w:rFonts w:cs="宋体" w:asciiTheme="majorEastAsia" w:hAnsiTheme="majorEastAsia" w:eastAsiaTheme="majorEastAsia"/>
          <w:color w:val="auto"/>
          <w:sz w:val="24"/>
          <w:szCs w:val="24"/>
          <w:u w:val="single"/>
        </w:rPr>
        <w:t>2020</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日南宁市政府采购项目的采购结果，甲方接受乙方对本项目的投标，甲、乙双方同意签署本合同（以下简称合同）。</w:t>
      </w:r>
    </w:p>
    <w:p>
      <w:pPr>
        <w:pStyle w:val="16"/>
        <w:spacing w:line="360" w:lineRule="auto"/>
        <w:rPr>
          <w:rFonts w:cs="宋体" w:asciiTheme="majorEastAsia" w:hAnsiTheme="majorEastAsia" w:eastAsiaTheme="majorEastAsia"/>
          <w:b/>
          <w:color w:val="auto"/>
          <w:sz w:val="24"/>
          <w:szCs w:val="24"/>
        </w:rPr>
      </w:pP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  采购内容</w:t>
      </w:r>
    </w:p>
    <w:p>
      <w:pPr>
        <w:pStyle w:val="16"/>
        <w:tabs>
          <w:tab w:val="left" w:pos="5220"/>
        </w:tabs>
        <w:spacing w:line="360" w:lineRule="auto"/>
        <w:ind w:firstLine="480" w:firstLineChars="200"/>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1.1 服务名称：</w:t>
      </w:r>
      <w:r>
        <w:rPr>
          <w:rFonts w:cs="宋体" w:asciiTheme="majorEastAsia" w:hAnsiTheme="majorEastAsia" w:eastAsiaTheme="majorEastAsia"/>
          <w:color w:val="auto"/>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 数量：</w:t>
      </w:r>
      <w:r>
        <w:rPr>
          <w:rFonts w:cs="宋体" w:asciiTheme="majorEastAsia" w:hAnsiTheme="majorEastAsia" w:eastAsiaTheme="majorEastAsia"/>
          <w:color w:val="auto"/>
          <w:sz w:val="24"/>
          <w:szCs w:val="24"/>
          <w:u w:val="single"/>
        </w:rPr>
        <w:t>详见合同附件中投标报价表</w:t>
      </w:r>
    </w:p>
    <w:p>
      <w:pPr>
        <w:pStyle w:val="16"/>
        <w:tabs>
          <w:tab w:val="left" w:pos="522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 服务内容：</w:t>
      </w:r>
      <w:r>
        <w:rPr>
          <w:rFonts w:cs="宋体" w:asciiTheme="majorEastAsia" w:hAnsiTheme="majorEastAsia" w:eastAsiaTheme="majorEastAsia"/>
          <w:color w:val="auto"/>
          <w:sz w:val="24"/>
          <w:szCs w:val="24"/>
          <w:u w:val="single"/>
        </w:rPr>
        <w:t>详见合同附件中投标服务技术资料表</w:t>
      </w:r>
    </w:p>
    <w:p>
      <w:pPr>
        <w:pStyle w:val="16"/>
        <w:tabs>
          <w:tab w:val="left" w:pos="5145"/>
        </w:tabs>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2.  合同金额</w:t>
      </w:r>
    </w:p>
    <w:p>
      <w:pPr>
        <w:pStyle w:val="16"/>
        <w:spacing w:line="360" w:lineRule="auto"/>
        <w:ind w:firstLine="470" w:firstLineChars="196"/>
        <w:rPr>
          <w:rFonts w:cs="宋体" w:asciiTheme="majorEastAsia" w:hAnsiTheme="majorEastAsia" w:eastAsiaTheme="majorEastAsia"/>
          <w:b/>
          <w:bCs/>
          <w:color w:val="auto"/>
          <w:sz w:val="24"/>
          <w:szCs w:val="24"/>
        </w:rPr>
      </w:pPr>
      <w:r>
        <w:rPr>
          <w:rFonts w:cs="宋体" w:asciiTheme="majorEastAsia" w:hAnsiTheme="majorEastAsia" w:eastAsiaTheme="majorEastAsia"/>
          <w:color w:val="auto"/>
          <w:sz w:val="24"/>
          <w:szCs w:val="24"/>
        </w:rPr>
        <w:t>2.1 本合同金额为（大写）人民币</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元）。（详见投标报价表）</w:t>
      </w:r>
    </w:p>
    <w:p>
      <w:pPr>
        <w:pStyle w:val="16"/>
        <w:tabs>
          <w:tab w:val="left" w:pos="5940"/>
        </w:tabs>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3.  提交服务成果时间和地点</w:t>
      </w:r>
    </w:p>
    <w:p>
      <w:pPr>
        <w:pStyle w:val="16"/>
        <w:tabs>
          <w:tab w:val="left" w:pos="5250"/>
          <w:tab w:val="left" w:pos="5940"/>
        </w:tabs>
        <w:spacing w:line="360" w:lineRule="auto"/>
        <w:ind w:firstLine="470" w:firstLineChars="196"/>
        <w:rPr>
          <w:rFonts w:cs="宋体" w:asciiTheme="majorEastAsia" w:hAnsiTheme="majorEastAsia" w:eastAsiaTheme="majorEastAsia"/>
          <w:b/>
          <w:bCs/>
          <w:color w:val="auto"/>
          <w:sz w:val="24"/>
          <w:szCs w:val="24"/>
          <w:u w:val="single"/>
        </w:rPr>
      </w:pPr>
      <w:r>
        <w:rPr>
          <w:rFonts w:cs="宋体" w:asciiTheme="majorEastAsia" w:hAnsiTheme="majorEastAsia" w:eastAsiaTheme="majorEastAsia"/>
          <w:bCs/>
          <w:color w:val="auto"/>
          <w:sz w:val="24"/>
          <w:szCs w:val="24"/>
        </w:rPr>
        <w:t>3.1 提交服务成果时间：</w:t>
      </w:r>
      <w:r>
        <w:rPr>
          <w:rFonts w:cs="宋体" w:asciiTheme="majorEastAsia" w:hAnsiTheme="majorEastAsia" w:eastAsiaTheme="majorEastAsia"/>
          <w:bCs/>
          <w:color w:val="auto"/>
          <w:sz w:val="24"/>
          <w:szCs w:val="24"/>
          <w:u w:val="single"/>
        </w:rPr>
        <w:t xml:space="preserve">                               </w:t>
      </w:r>
      <w:r>
        <w:rPr>
          <w:rFonts w:cs="宋体" w:asciiTheme="majorEastAsia" w:hAnsiTheme="majorEastAsia" w:eastAsiaTheme="majorEastAsia"/>
          <w:bCs/>
          <w:color w:val="auto"/>
          <w:sz w:val="24"/>
          <w:szCs w:val="24"/>
        </w:rPr>
        <w:t>。</w:t>
      </w:r>
    </w:p>
    <w:p>
      <w:pPr>
        <w:pStyle w:val="16"/>
        <w:tabs>
          <w:tab w:val="left" w:pos="5250"/>
          <w:tab w:val="left" w:pos="5940"/>
        </w:tabs>
        <w:spacing w:line="360" w:lineRule="auto"/>
        <w:ind w:firstLine="470" w:firstLineChars="196"/>
        <w:rPr>
          <w:rFonts w:cs="宋体" w:asciiTheme="majorEastAsia" w:hAnsiTheme="majorEastAsia" w:eastAsiaTheme="majorEastAsia"/>
          <w:bCs/>
          <w:color w:val="auto"/>
          <w:sz w:val="24"/>
          <w:szCs w:val="24"/>
        </w:rPr>
      </w:pPr>
      <w:r>
        <w:rPr>
          <w:rFonts w:cs="宋体" w:asciiTheme="majorEastAsia" w:hAnsiTheme="majorEastAsia" w:eastAsiaTheme="majorEastAsia"/>
          <w:bCs/>
          <w:color w:val="auto"/>
          <w:sz w:val="24"/>
          <w:szCs w:val="24"/>
        </w:rPr>
        <w:t xml:space="preserve">3.2 </w:t>
      </w:r>
      <w:r>
        <w:rPr>
          <w:rFonts w:cs="宋体" w:asciiTheme="majorEastAsia" w:hAnsiTheme="majorEastAsia" w:eastAsiaTheme="majorEastAsia"/>
          <w:color w:val="auto"/>
          <w:sz w:val="24"/>
        </w:rPr>
        <w:t>提交服务成果地点（工作地点）</w:t>
      </w:r>
      <w:r>
        <w:rPr>
          <w:rFonts w:cs="宋体" w:asciiTheme="majorEastAsia" w:hAnsiTheme="majorEastAsia" w:eastAsiaTheme="majorEastAsia"/>
          <w:bCs/>
          <w:color w:val="auto"/>
          <w:sz w:val="24"/>
          <w:szCs w:val="24"/>
        </w:rPr>
        <w:t>：</w:t>
      </w:r>
      <w:r>
        <w:rPr>
          <w:rFonts w:cs="宋体" w:asciiTheme="majorEastAsia" w:hAnsiTheme="majorEastAsia" w:eastAsiaTheme="majorEastAsia"/>
          <w:bCs/>
          <w:color w:val="auto"/>
          <w:sz w:val="24"/>
          <w:szCs w:val="24"/>
          <w:u w:val="single"/>
        </w:rPr>
        <w:t xml:space="preserve">                   </w:t>
      </w:r>
      <w:r>
        <w:rPr>
          <w:rFonts w:cs="宋体" w:asciiTheme="majorEastAsia" w:hAnsiTheme="majorEastAsia" w:eastAsiaTheme="majorEastAsia"/>
          <w:bCs/>
          <w:color w:val="auto"/>
          <w:sz w:val="24"/>
          <w:szCs w:val="24"/>
        </w:rPr>
        <w:t>。</w:t>
      </w:r>
    </w:p>
    <w:p>
      <w:pPr>
        <w:pStyle w:val="16"/>
        <w:tabs>
          <w:tab w:val="left" w:pos="5940"/>
        </w:tabs>
        <w:spacing w:line="360" w:lineRule="auto"/>
        <w:ind w:firstLine="480" w:firstLineChars="200"/>
        <w:rPr>
          <w:rFonts w:cs="宋体" w:asciiTheme="majorEastAsia" w:hAnsiTheme="majorEastAsia" w:eastAsiaTheme="majorEastAsia"/>
          <w:b/>
          <w:bCs/>
          <w:color w:val="auto"/>
          <w:sz w:val="24"/>
          <w:szCs w:val="24"/>
        </w:rPr>
      </w:pPr>
      <w:r>
        <w:rPr>
          <w:rFonts w:cs="宋体" w:asciiTheme="majorEastAsia" w:hAnsiTheme="majorEastAsia" w:eastAsiaTheme="majorEastAsia"/>
          <w:bCs/>
          <w:color w:val="auto"/>
          <w:sz w:val="24"/>
          <w:szCs w:val="24"/>
        </w:rPr>
        <w:t xml:space="preserve">3.3 </w:t>
      </w:r>
      <w:r>
        <w:rPr>
          <w:rFonts w:cs="宋体" w:asciiTheme="majorEastAsia" w:hAnsiTheme="majorEastAsia" w:eastAsiaTheme="majorEastAsia"/>
          <w:color w:val="auto"/>
          <w:sz w:val="24"/>
          <w:szCs w:val="24"/>
        </w:rPr>
        <w:t>乙方必须按投标文件承诺的服务响应条款向甲方提供服务。</w:t>
      </w:r>
    </w:p>
    <w:p>
      <w:pPr>
        <w:pStyle w:val="16"/>
        <w:spacing w:line="360" w:lineRule="auto"/>
        <w:ind w:left="410" w:hanging="410" w:hangingChars="170"/>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4.  履约保证金</w:t>
      </w:r>
    </w:p>
    <w:p>
      <w:pPr>
        <w:pStyle w:val="16"/>
        <w:spacing w:line="360" w:lineRule="auto"/>
        <w:ind w:left="330" w:leftChars="15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本项目不收取履约保证金</w:t>
      </w:r>
    </w:p>
    <w:p>
      <w:pPr>
        <w:pStyle w:val="16"/>
        <w:spacing w:line="360" w:lineRule="auto"/>
        <w:ind w:left="412" w:hanging="412" w:hangingChars="171"/>
        <w:rPr>
          <w:rFonts w:cs="宋体" w:asciiTheme="majorEastAsia" w:hAnsiTheme="majorEastAsia" w:eastAsiaTheme="majorEastAsia"/>
          <w:b/>
          <w:color w:val="auto"/>
          <w:sz w:val="24"/>
          <w:szCs w:val="24"/>
        </w:rPr>
      </w:pPr>
      <w:r>
        <w:rPr>
          <w:rFonts w:cs="宋体" w:asciiTheme="majorEastAsia" w:hAnsiTheme="majorEastAsia" w:eastAsiaTheme="majorEastAsia"/>
          <w:b/>
          <w:bCs/>
          <w:color w:val="auto"/>
          <w:sz w:val="24"/>
          <w:szCs w:val="24"/>
        </w:rPr>
        <w:t>5.  产权</w:t>
      </w:r>
    </w:p>
    <w:p>
      <w:pPr>
        <w:pStyle w:val="16"/>
        <w:spacing w:line="360" w:lineRule="auto"/>
        <w:ind w:firstLine="480" w:firstLineChars="20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5.1 乙方应保证所提供的服务或其任何一部分均不会侵犯任何第三方的专利权、商标权或著作权</w:t>
      </w:r>
      <w:r>
        <w:rPr>
          <w:rFonts w:cs="宋体" w:asciiTheme="majorEastAsia" w:hAnsiTheme="majorEastAsia" w:eastAsiaTheme="majorEastAsia"/>
          <w:bCs/>
          <w:color w:val="auto"/>
          <w:sz w:val="24"/>
          <w:szCs w:val="24"/>
        </w:rPr>
        <w:t>。</w:t>
      </w:r>
    </w:p>
    <w:p>
      <w:pPr>
        <w:pStyle w:val="16"/>
        <w:spacing w:line="360" w:lineRule="auto"/>
        <w:ind w:firstLine="480" w:firstLineChars="200"/>
        <w:rPr>
          <w:rFonts w:cs="宋体" w:asciiTheme="majorEastAsia" w:hAnsiTheme="majorEastAsia" w:eastAsiaTheme="majorEastAsia"/>
          <w:b/>
          <w:color w:val="auto"/>
          <w:sz w:val="24"/>
          <w:szCs w:val="24"/>
        </w:rPr>
      </w:pPr>
      <w:r>
        <w:rPr>
          <w:rFonts w:cs="宋体" w:asciiTheme="majorEastAsia" w:hAnsiTheme="majorEastAsia" w:eastAsiaTheme="majorEastAsia"/>
          <w:color w:val="auto"/>
          <w:sz w:val="24"/>
          <w:szCs w:val="24"/>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16"/>
        <w:spacing w:line="360" w:lineRule="auto"/>
        <w:rPr>
          <w:rFonts w:cs="宋体" w:asciiTheme="majorEastAsia" w:hAnsiTheme="majorEastAsia" w:eastAsiaTheme="majorEastAsia"/>
          <w:b/>
          <w:color w:val="auto"/>
          <w:sz w:val="24"/>
          <w:szCs w:val="24"/>
        </w:rPr>
      </w:pPr>
      <w:r>
        <w:rPr>
          <w:rFonts w:cs="宋体" w:asciiTheme="majorEastAsia" w:hAnsiTheme="majorEastAsia" w:eastAsiaTheme="majorEastAsia"/>
          <w:b/>
          <w:bCs/>
          <w:color w:val="auto"/>
          <w:sz w:val="24"/>
          <w:szCs w:val="24"/>
        </w:rPr>
        <w:t>6.  技术资料</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6.1 甲方应向乙方提供提交服务成果所必需的有关数据、资料等。</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7.  验收</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7.1 乙方应对提交的服务成果作出全面检查和整理，并列出清单，作为甲方验收和使用的技术条件依据，清单应随提交的服务成果交给甲方。</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7.2 乙方在指定地点提交服务成果后，甲方应在五个工作日内依据招标文件、乙方的投标文件等组织验收，验收完毕后作出书面验收报告。验收时乙方必须在现场。</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7.3 对复杂的服务，甲方可请国家认可的专业机构参与验收，并由其出具验收报告，相关费用由甲方承担。</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8.  合同款支付</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480" w:firstLineChars="200"/>
        <w:textAlignment w:val="auto"/>
        <w:rPr>
          <w:rFonts w:hint="eastAsia" w:asciiTheme="majorEastAsia" w:hAnsiTheme="majorEastAsia" w:eastAsiaTheme="majorEastAsia"/>
          <w:bCs/>
          <w:color w:val="auto"/>
          <w:sz w:val="24"/>
          <w:u w:val="single"/>
        </w:rPr>
      </w:pPr>
      <w:r>
        <w:rPr>
          <w:rFonts w:hint="eastAsia" w:asciiTheme="majorEastAsia" w:hAnsiTheme="majorEastAsia" w:eastAsiaTheme="majorEastAsia"/>
          <w:bCs/>
          <w:color w:val="auto"/>
          <w:sz w:val="24"/>
        </w:rPr>
        <w:t>8.1 付款方</w:t>
      </w:r>
      <w:r>
        <w:rPr>
          <w:rFonts w:hint="eastAsia" w:asciiTheme="majorEastAsia" w:hAnsiTheme="majorEastAsia" w:eastAsiaTheme="majorEastAsia"/>
          <w:color w:val="auto"/>
          <w:sz w:val="24"/>
        </w:rPr>
        <w:t>式：</w:t>
      </w:r>
      <w:r>
        <w:rPr>
          <w:rFonts w:hint="eastAsia" w:ascii="宋体" w:hAnsi="宋体" w:eastAsia="宋体" w:cs="宋体"/>
          <w:color w:val="auto"/>
          <w:sz w:val="24"/>
          <w:szCs w:val="24"/>
          <w:highlight w:val="none"/>
          <w:u w:val="single"/>
        </w:rPr>
        <w:t>本项目无预付款，中标</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所提交的服务经采购人书面验收合格后，一次性支付合同款。</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8.2 支付合同款时，由甲方按照合同约定向南宁市财政局提交《南宁市政府采购履约验收证明和资金支付申请表》等完整且合格的支付申请材料；南宁市财政局按财政国库直接支付程序将款项直接支付给供应商。</w:t>
      </w:r>
    </w:p>
    <w:p>
      <w:pPr>
        <w:pStyle w:val="16"/>
        <w:tabs>
          <w:tab w:val="left" w:pos="5145"/>
          <w:tab w:val="left" w:pos="5355"/>
          <w:tab w:val="left" w:pos="6195"/>
        </w:tabs>
        <w:spacing w:line="360" w:lineRule="auto"/>
        <w:ind w:firstLine="480" w:firstLineChars="200"/>
        <w:rPr>
          <w:rFonts w:cs="宋体" w:asciiTheme="majorEastAsia" w:hAnsiTheme="majorEastAsia" w:eastAsiaTheme="majorEastAsia"/>
          <w:bCs/>
          <w:color w:val="auto"/>
          <w:sz w:val="24"/>
          <w:szCs w:val="24"/>
          <w:u w:val="single"/>
        </w:rPr>
      </w:pPr>
      <w:r>
        <w:rPr>
          <w:rFonts w:cs="宋体" w:asciiTheme="majorEastAsia" w:hAnsiTheme="majorEastAsia" w:eastAsiaTheme="majorEastAsia"/>
          <w:color w:val="auto"/>
          <w:sz w:val="24"/>
          <w:szCs w:val="24"/>
        </w:rPr>
        <w:t>8.3 政府采购监督管理部门在处理投诉事项期间，可以视具体情况书面通知采购人暂停采购活动</w:t>
      </w:r>
      <w:r>
        <w:rPr>
          <w:rFonts w:cs="宋体" w:asciiTheme="majorEastAsia" w:hAnsiTheme="majorEastAsia" w:eastAsiaTheme="majorEastAsia"/>
          <w:bCs/>
          <w:color w:val="auto"/>
          <w:sz w:val="24"/>
          <w:szCs w:val="24"/>
        </w:rPr>
        <w:t>，并延期支付合同款。</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9.  售后服务要求</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9.1 乙方提供服务的质量保证期为：</w:t>
      </w:r>
      <w:r>
        <w:rPr>
          <w:rFonts w:asciiTheme="majorEastAsia" w:hAnsiTheme="majorEastAsia" w:eastAsiaTheme="majorEastAsia"/>
          <w:color w:val="auto"/>
          <w:sz w:val="24"/>
          <w:szCs w:val="24"/>
          <w:u w:val="single"/>
        </w:rPr>
        <w:t xml:space="preserve">　　　　　　   </w:t>
      </w:r>
      <w:r>
        <w:rPr>
          <w:rFonts w:asciiTheme="majorEastAsia" w:hAnsiTheme="majorEastAsia" w:eastAsiaTheme="majorEastAsia"/>
          <w:color w:val="auto"/>
          <w:sz w:val="24"/>
          <w:szCs w:val="24"/>
        </w:rPr>
        <w:t>（自提交服务验收合格之日起计）</w:t>
      </w:r>
    </w:p>
    <w:p>
      <w:pPr>
        <w:pStyle w:val="16"/>
        <w:spacing w:line="360" w:lineRule="auto"/>
        <w:ind w:firstLine="480" w:firstLineChars="200"/>
        <w:rPr>
          <w:rFonts w:asciiTheme="majorEastAsia" w:hAnsiTheme="majorEastAsia" w:eastAsiaTheme="majorEastAsia"/>
          <w:color w:val="auto"/>
          <w:sz w:val="24"/>
          <w:szCs w:val="24"/>
        </w:rPr>
      </w:pPr>
      <w:r>
        <w:rPr>
          <w:rFonts w:asciiTheme="majorEastAsia" w:hAnsiTheme="majorEastAsia" w:eastAsiaTheme="majorEastAsia"/>
          <w:color w:val="auto"/>
          <w:sz w:val="24"/>
          <w:szCs w:val="24"/>
        </w:rPr>
        <w:t>9.2 在本合同第9.1项约定的质量保证期内，乙方应对服务出现的问题负责处理解决并承担一切费用。</w:t>
      </w:r>
    </w:p>
    <w:p>
      <w:pPr>
        <w:pStyle w:val="16"/>
        <w:tabs>
          <w:tab w:val="left" w:pos="5250"/>
        </w:tabs>
        <w:spacing w:line="360" w:lineRule="auto"/>
        <w:ind w:firstLine="480" w:firstLineChars="200"/>
        <w:rPr>
          <w:rFonts w:cs="宋体" w:asciiTheme="majorEastAsia" w:hAnsiTheme="majorEastAsia" w:eastAsiaTheme="majorEastAsia"/>
          <w:color w:val="auto"/>
          <w:sz w:val="24"/>
          <w:szCs w:val="24"/>
          <w:u w:val="single"/>
        </w:rPr>
      </w:pPr>
      <w:r>
        <w:rPr>
          <w:rFonts w:asciiTheme="majorEastAsia" w:hAnsiTheme="majorEastAsia" w:eastAsiaTheme="majorEastAsia"/>
          <w:color w:val="auto"/>
          <w:sz w:val="24"/>
          <w:szCs w:val="24"/>
        </w:rPr>
        <w:t>9.3 其他售后服务要求：</w:t>
      </w:r>
      <w:r>
        <w:rPr>
          <w:rFonts w:asciiTheme="majorEastAsia" w:hAnsiTheme="majorEastAsia" w:eastAsiaTheme="majorEastAsia"/>
          <w:color w:val="auto"/>
          <w:sz w:val="24"/>
          <w:szCs w:val="24"/>
          <w:u w:val="single"/>
        </w:rPr>
        <w:t>按投标文件商务条款偏离表内容执行。</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10.  违约责任</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10.1 甲方无正当理由拒收服务的，甲方向乙方偿付拒收服务费总值的百分之五违约金。</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10.2 甲方无故逾期验收或办理合同款支付手续的，甲方应按逾期付款总额每日万分之五向乙方支付违约金。</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10.3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11.  不可抗力事件处理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11.1 在合同有效期内，任何一方因不可抗力事件导致不能履行合同，则合同履行期可延长，其延长期与不可抗力影响期相同。</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11.2 不可抗力事件发生后，应立即通知对方，并寄送有关权威机构出具的证明。</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11.3 不可抗力事件延续120天以上，双方应通过友好协商，确定是否继续履行合同。</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12.  诉讼</w:t>
      </w:r>
    </w:p>
    <w:p>
      <w:pPr>
        <w:pStyle w:val="16"/>
        <w:tabs>
          <w:tab w:val="left" w:pos="0"/>
        </w:tabs>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12.1 双方在执行合同中所发生的一切争议，应通过协商解决。如协商不成，可向合同签订地法院起诉，合同签订地在此约定为广西南宁市。</w:t>
      </w:r>
    </w:p>
    <w:p>
      <w:pPr>
        <w:pStyle w:val="16"/>
        <w:spacing w:line="360" w:lineRule="auto"/>
        <w:rPr>
          <w:rFonts w:cs="宋体" w:asciiTheme="majorEastAsia" w:hAnsiTheme="majorEastAsia" w:eastAsiaTheme="majorEastAsia"/>
          <w:b/>
          <w:bCs/>
          <w:color w:val="auto"/>
          <w:sz w:val="24"/>
          <w:szCs w:val="24"/>
        </w:rPr>
      </w:pPr>
      <w:r>
        <w:rPr>
          <w:rFonts w:cs="宋体" w:asciiTheme="majorEastAsia" w:hAnsiTheme="majorEastAsia" w:eastAsiaTheme="majorEastAsia"/>
          <w:b/>
          <w:bCs/>
          <w:color w:val="auto"/>
          <w:sz w:val="24"/>
          <w:szCs w:val="24"/>
        </w:rPr>
        <w:t>13.  合同生效及其它</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13.1 合同经双方法定代表人或授权委托代理人签字并加盖单位公章后生效。</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13.2 合同执行中涉及采购资金和采购内容修改或补充的，须经市财政部门审批，并签书面补充协议报南宁市政府采购监督管理部门备案，方可作为主合同不可分割的一部分。</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13.3 下述合同附件为本合同不可分割的部分并与本合同具有同等效力：</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（1）中标通知书；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（2）招标文件服务需求一览表；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（3）招标文件的澄清和修改；</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（4）投标函、投标报价表；</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（5）投标服务技术资料表、商务条款偏离表、售后服务承诺书；</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（6）中标供应商澄清函。</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13.4 本合同未尽事宜，遵照《中华人民共和国合同法》有关条文执行。</w:t>
      </w:r>
    </w:p>
    <w:p>
      <w:pPr>
        <w:pStyle w:val="16"/>
        <w:spacing w:line="360" w:lineRule="auto"/>
        <w:ind w:firstLine="480" w:firstLineChars="2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13.5 </w:t>
      </w:r>
      <w:r>
        <w:rPr>
          <w:rFonts w:cs="宋体" w:asciiTheme="majorEastAsia" w:hAnsiTheme="majorEastAsia" w:eastAsiaTheme="majorEastAsia"/>
          <w:b/>
          <w:color w:val="auto"/>
          <w:sz w:val="24"/>
        </w:rPr>
        <w:t>本合同正本一式贰份</w:t>
      </w:r>
      <w:r>
        <w:rPr>
          <w:rFonts w:cs="宋体" w:asciiTheme="majorEastAsia" w:hAnsiTheme="majorEastAsia" w:eastAsiaTheme="majorEastAsia"/>
          <w:color w:val="auto"/>
          <w:sz w:val="24"/>
        </w:rPr>
        <w:t>，具有同等法律效力，甲乙双方各执</w:t>
      </w:r>
      <w:r>
        <w:rPr>
          <w:rFonts w:cs="宋体" w:asciiTheme="majorEastAsia" w:hAnsiTheme="majorEastAsia" w:eastAsiaTheme="majorEastAsia"/>
          <w:b/>
          <w:color w:val="auto"/>
          <w:sz w:val="24"/>
        </w:rPr>
        <w:t>壹份</w:t>
      </w:r>
      <w:r>
        <w:rPr>
          <w:rFonts w:cs="宋体" w:asciiTheme="majorEastAsia" w:hAnsiTheme="majorEastAsia" w:eastAsiaTheme="majorEastAsia"/>
          <w:color w:val="auto"/>
          <w:sz w:val="24"/>
        </w:rPr>
        <w:t>；</w:t>
      </w:r>
      <w:r>
        <w:rPr>
          <w:rFonts w:cs="宋体" w:asciiTheme="majorEastAsia" w:hAnsiTheme="majorEastAsia" w:eastAsiaTheme="majorEastAsia"/>
          <w:b/>
          <w:color w:val="auto"/>
          <w:sz w:val="24"/>
        </w:rPr>
        <w:t>副本肆份</w:t>
      </w:r>
      <w:r>
        <w:rPr>
          <w:rFonts w:cs="宋体" w:asciiTheme="majorEastAsia" w:hAnsiTheme="majorEastAsia" w:eastAsiaTheme="majorEastAsia"/>
          <w:color w:val="auto"/>
          <w:sz w:val="24"/>
        </w:rPr>
        <w:t>，甲乙双方各执</w:t>
      </w:r>
      <w:r>
        <w:rPr>
          <w:rFonts w:cs="宋体" w:asciiTheme="majorEastAsia" w:hAnsiTheme="majorEastAsia" w:eastAsiaTheme="majorEastAsia"/>
          <w:b/>
          <w:color w:val="auto"/>
          <w:sz w:val="24"/>
        </w:rPr>
        <w:t>壹份</w:t>
      </w:r>
      <w:r>
        <w:rPr>
          <w:rFonts w:cs="宋体" w:asciiTheme="majorEastAsia" w:hAnsiTheme="majorEastAsia" w:eastAsiaTheme="majorEastAsia"/>
          <w:color w:val="auto"/>
          <w:sz w:val="24"/>
        </w:rPr>
        <w:t>，采购代理</w:t>
      </w:r>
      <w:r>
        <w:rPr>
          <w:rFonts w:cs="宋体" w:asciiTheme="majorEastAsia" w:hAnsiTheme="majorEastAsia" w:eastAsiaTheme="majorEastAsia"/>
          <w:b/>
          <w:color w:val="auto"/>
          <w:sz w:val="24"/>
        </w:rPr>
        <w:t>贰份</w:t>
      </w:r>
      <w:r>
        <w:rPr>
          <w:rFonts w:cs="宋体" w:asciiTheme="majorEastAsia" w:hAnsiTheme="majorEastAsia" w:eastAsiaTheme="majorEastAsia"/>
          <w:color w:val="auto"/>
          <w:sz w:val="24"/>
        </w:rPr>
        <w:t>。自合同签订之日起</w:t>
      </w:r>
      <w:r>
        <w:rPr>
          <w:rFonts w:cs="宋体" w:asciiTheme="majorEastAsia" w:hAnsiTheme="majorEastAsia" w:eastAsiaTheme="majorEastAsia"/>
          <w:b/>
          <w:color w:val="auto"/>
          <w:sz w:val="24"/>
        </w:rPr>
        <w:t>2个工作日内</w:t>
      </w:r>
      <w:r>
        <w:rPr>
          <w:rFonts w:cs="宋体" w:asciiTheme="majorEastAsia" w:hAnsiTheme="majorEastAsia" w:eastAsiaTheme="majorEastAsia"/>
          <w:color w:val="auto"/>
          <w:sz w:val="24"/>
        </w:rPr>
        <w:t>由中标供应商将合同送至采购代理机构处。采购代理机构将政府采购合同在省级以上人民政府财政部门指定的媒体上公告，同时采购代理机构将政府采购合同的电子档案及相关资料上传至“南宁市财政局政府采购监督管理系统”备案。</w:t>
      </w:r>
    </w:p>
    <w:p>
      <w:pPr>
        <w:pStyle w:val="16"/>
        <w:spacing w:line="360" w:lineRule="auto"/>
        <w:ind w:firstLine="480" w:firstLineChars="200"/>
        <w:rPr>
          <w:rFonts w:cs="宋体" w:asciiTheme="majorEastAsia" w:hAnsiTheme="majorEastAsia" w:eastAsiaTheme="majorEastAsia"/>
          <w:color w:val="auto"/>
          <w:sz w:val="24"/>
          <w:szCs w:val="24"/>
        </w:rPr>
      </w:pPr>
    </w:p>
    <w:p>
      <w:pPr>
        <w:pStyle w:val="16"/>
        <w:spacing w:line="360" w:lineRule="auto"/>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甲方：</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乙方：</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地址：</w:t>
      </w:r>
      <w:r>
        <w:rPr>
          <w:rFonts w:cs="宋体" w:asciiTheme="majorEastAsia" w:hAnsiTheme="majorEastAsia" w:eastAsiaTheme="majorEastAsia"/>
          <w:color w:val="auto"/>
          <w:sz w:val="24"/>
          <w:szCs w:val="24"/>
          <w:u w:val="single"/>
        </w:rPr>
        <w:t xml:space="preserve">                               </w:t>
      </w:r>
      <w:r>
        <w:rPr>
          <w:rFonts w:hint="eastAsia"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地址：</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法定代表人：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法定代表人：</w:t>
      </w:r>
      <w:r>
        <w:rPr>
          <w:rFonts w:hint="eastAsia" w:cs="宋体" w:asciiTheme="majorEastAsia" w:hAnsiTheme="majorEastAsia" w:eastAsiaTheme="majorEastAsia"/>
          <w:color w:val="auto"/>
          <w:sz w:val="24"/>
          <w:szCs w:val="24"/>
        </w:rPr>
        <w:t>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委托代理人：</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委托代理人：</w:t>
      </w:r>
      <w:r>
        <w:rPr>
          <w:rFonts w:hint="eastAsia" w:cs="宋体" w:asciiTheme="majorEastAsia" w:hAnsiTheme="majorEastAsia" w:eastAsiaTheme="majorEastAsia"/>
          <w:color w:val="auto"/>
          <w:sz w:val="24"/>
          <w:szCs w:val="24"/>
        </w:rPr>
        <w:t>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电话：</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电话：</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传真：</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传真：</w:t>
      </w:r>
      <w:r>
        <w:rPr>
          <w:rFonts w:hint="eastAsia" w:cs="宋体" w:asciiTheme="majorEastAsia" w:hAnsiTheme="majorEastAsia" w:eastAsiaTheme="majorEastAsia"/>
          <w:color w:val="auto"/>
          <w:sz w:val="24"/>
          <w:szCs w:val="24"/>
        </w:rPr>
        <w:t>_______________________________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邮政编码：</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 xml:space="preserve">    邮政编码：</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u w:val="single"/>
        </w:rPr>
      </w:pPr>
      <w:r>
        <w:rPr>
          <w:rFonts w:cs="宋体" w:asciiTheme="majorEastAsia" w:hAnsiTheme="majorEastAsia" w:eastAsiaTheme="majorEastAsia"/>
          <w:color w:val="auto"/>
          <w:sz w:val="24"/>
          <w:szCs w:val="24"/>
        </w:rPr>
        <w:t xml:space="preserve">                                          统一社会代码：</w:t>
      </w:r>
      <w:r>
        <w:rPr>
          <w:rFonts w:hint="eastAsia" w:cs="宋体" w:asciiTheme="majorEastAsia" w:hAnsiTheme="majorEastAsia" w:eastAsiaTheme="majorEastAsia"/>
          <w:color w:val="auto"/>
          <w:sz w:val="24"/>
          <w:szCs w:val="24"/>
        </w:rPr>
        <w:t>_______________________</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u w:val="single"/>
        </w:rPr>
        <w:t xml:space="preserve"> </w:t>
      </w:r>
    </w:p>
    <w:p>
      <w:pPr>
        <w:pStyle w:val="16"/>
        <w:spacing w:line="360" w:lineRule="auto"/>
        <w:ind w:firstLine="5040" w:firstLineChars="2100"/>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开户银行：</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 xml:space="preserve">                                          开户名称：</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jc w:val="left"/>
        <w:rPr>
          <w:rFonts w:cs="宋体" w:asciiTheme="majorEastAsia" w:hAnsiTheme="majorEastAsia" w:eastAsiaTheme="majorEastAsia"/>
          <w:color w:val="auto"/>
          <w:sz w:val="24"/>
          <w:szCs w:val="24"/>
          <w:u w:val="single"/>
        </w:rPr>
      </w:pPr>
      <w:r>
        <w:rPr>
          <w:rFonts w:cs="宋体" w:asciiTheme="majorEastAsia" w:hAnsiTheme="majorEastAsia" w:eastAsiaTheme="majorEastAsia"/>
          <w:color w:val="auto"/>
          <w:sz w:val="24"/>
          <w:szCs w:val="24"/>
        </w:rPr>
        <w:t xml:space="preserve">                                          银行账号：</w:t>
      </w:r>
      <w:r>
        <w:rPr>
          <w:rFonts w:hint="eastAsia" w:cs="宋体" w:asciiTheme="majorEastAsia" w:hAnsiTheme="majorEastAsia" w:eastAsiaTheme="majorEastAsia"/>
          <w:color w:val="auto"/>
          <w:sz w:val="24"/>
          <w:szCs w:val="24"/>
        </w:rPr>
        <w:t>___________________________</w:t>
      </w:r>
      <w:r>
        <w:rPr>
          <w:rFonts w:cs="宋体" w:asciiTheme="majorEastAsia" w:hAnsiTheme="majorEastAsia" w:eastAsiaTheme="majorEastAsia"/>
          <w:color w:val="auto"/>
          <w:sz w:val="24"/>
          <w:szCs w:val="24"/>
          <w:u w:val="single"/>
        </w:rPr>
        <w:t xml:space="preserve">   </w:t>
      </w:r>
    </w:p>
    <w:p>
      <w:pPr>
        <w:pStyle w:val="16"/>
        <w:spacing w:line="360" w:lineRule="auto"/>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 xml:space="preserve">合同签订地点：广西南宁市 </w:t>
      </w:r>
    </w:p>
    <w:p>
      <w:pPr>
        <w:pStyle w:val="16"/>
        <w:spacing w:line="360" w:lineRule="auto"/>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合同签订日期：</w:t>
      </w:r>
      <w:r>
        <w:rPr>
          <w:rFonts w:cs="宋体" w:asciiTheme="majorEastAsia" w:hAnsiTheme="majorEastAsia" w:eastAsiaTheme="majorEastAsia"/>
          <w:color w:val="auto"/>
          <w:sz w:val="24"/>
          <w:szCs w:val="24"/>
          <w:u w:val="single"/>
        </w:rPr>
        <w:t>2020</w:t>
      </w:r>
      <w:r>
        <w:rPr>
          <w:rFonts w:cs="宋体" w:asciiTheme="majorEastAsia" w:hAnsiTheme="majorEastAsia" w:eastAsiaTheme="majorEastAsia"/>
          <w:color w:val="auto"/>
          <w:sz w:val="24"/>
          <w:szCs w:val="24"/>
        </w:rPr>
        <w:t>年</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月</w:t>
      </w:r>
      <w:r>
        <w:rPr>
          <w:rFonts w:cs="宋体" w:asciiTheme="majorEastAsia" w:hAnsiTheme="majorEastAsia" w:eastAsiaTheme="majorEastAsia"/>
          <w:color w:val="auto"/>
          <w:sz w:val="24"/>
          <w:szCs w:val="24"/>
          <w:u w:val="single"/>
        </w:rPr>
        <w:t xml:space="preserve">    </w:t>
      </w:r>
      <w:r>
        <w:rPr>
          <w:rFonts w:cs="宋体" w:asciiTheme="majorEastAsia" w:hAnsiTheme="majorEastAsia" w:eastAsiaTheme="majorEastAsia"/>
          <w:color w:val="auto"/>
          <w:sz w:val="24"/>
          <w:szCs w:val="24"/>
        </w:rPr>
        <w:t>日</w:t>
      </w:r>
    </w:p>
    <w:p>
      <w:pPr>
        <w:pStyle w:val="16"/>
        <w:spacing w:line="360" w:lineRule="auto"/>
        <w:rPr>
          <w:rFonts w:cs="宋体" w:asciiTheme="majorEastAsia" w:hAnsiTheme="majorEastAsia" w:eastAsiaTheme="majorEastAsia"/>
          <w:color w:val="auto"/>
        </w:rPr>
      </w:pPr>
    </w:p>
    <w:p>
      <w:pPr>
        <w:spacing w:line="220" w:lineRule="atLeast"/>
        <w:rPr>
          <w:rFonts w:asciiTheme="majorEastAsia" w:hAnsiTheme="majorEastAsia" w:eastAsiaTheme="majorEastAsia"/>
          <w:color w:val="auto"/>
        </w:rPr>
      </w:pPr>
    </w:p>
    <w:sectPr>
      <w:pgSz w:w="11906" w:h="16838"/>
      <w:pgMar w:top="1440" w:right="1080" w:bottom="1440" w:left="1080"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XKJ7PxgEAAJsDAAAOAAAAAAAAAAEAIAAAAB4BAABkcnMvZTJvRG9jLnht&#10;bFBLBQYAAAAABgAGAFkBAABW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8"/>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873"/>
        <w:tab w:val="clear" w:pos="4153"/>
      </w:tabs>
    </w:pPr>
    <w: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86iicYBAACc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SvOnLD04pefPy6//lx+f2fL&#10;pE/vsaKye0+FcXgHA9XOcaRgoj20waYvEWKUJ3XPV3XVEJlMl9ar9bqklKTc7BB+8XDdB4zvFViW&#10;jJoHer6sqjh9xDiWziWpm4M7bUx+QuP+CRDmGFF5B6bbick4cbLisB8mentozsSupz2ouaO158x8&#10;cCRzWpnZCLOxn4zUEf3tMdIYebqEOkIRq+TQo2V+04KlrXjs56qHn2r7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TzqKJxgEAAJwDAAAOAAAAAAAAAAEAIAAAAB4BAABkcnMvZTJvRG9jLnht&#10;bFBLBQYAAAAABgAGAFkBAABWBQ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Arial"/>
        <w:bCs/>
        <w:sz w:val="16"/>
        <w:szCs w:val="16"/>
        <w:u w:val="single"/>
        <w:lang w:eastAsia="zh-CN"/>
      </w:rPr>
    </w:pPr>
    <w:r>
      <w:rPr>
        <w:rFonts w:hint="eastAsia" w:ascii="宋体" w:hAnsi="宋体" w:eastAsia="宋体" w:cs="Arial"/>
        <w:bCs/>
        <w:sz w:val="16"/>
        <w:szCs w:val="16"/>
        <w:u w:val="single"/>
      </w:rPr>
      <w:t>项目名称：</w:t>
    </w:r>
    <w:r>
      <w:rPr>
        <w:rFonts w:hint="eastAsia" w:ascii="宋体" w:hAnsi="宋体" w:eastAsia="宋体" w:cs="Arial"/>
        <w:bCs/>
        <w:sz w:val="16"/>
        <w:szCs w:val="16"/>
        <w:u w:val="single"/>
        <w:lang w:eastAsia="zh-CN"/>
      </w:rPr>
      <w:t>金保工程网络安全协同防御体系二期建设</w:t>
    </w:r>
    <w:r>
      <w:rPr>
        <w:rFonts w:hint="eastAsia" w:ascii="宋体" w:hAnsi="宋体" w:eastAsia="宋体" w:cs="Arial"/>
        <w:bCs/>
        <w:sz w:val="16"/>
        <w:szCs w:val="16"/>
        <w:u w:val="single"/>
      </w:rPr>
      <w:t xml:space="preserve">                                         项目编号：</w:t>
    </w:r>
    <w:r>
      <w:rPr>
        <w:rFonts w:hint="eastAsia" w:ascii="宋体" w:hAnsi="宋体" w:eastAsia="宋体" w:cs="Arial"/>
        <w:bCs/>
        <w:sz w:val="16"/>
        <w:szCs w:val="16"/>
        <w:u w:val="single"/>
        <w:lang w:eastAsia="zh-CN"/>
      </w:rPr>
      <w:t>NNZC2020-G3-990092-GXYZ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right"/>
      <w:rPr>
        <w:rFonts w:ascii="宋体" w:hAnsi="宋体" w:eastAsia="宋体"/>
        <w:color w:val="0D0D0D"/>
        <w:sz w:val="21"/>
        <w:szCs w:val="21"/>
      </w:rPr>
    </w:pPr>
    <w:r>
      <w:rPr>
        <w:rFonts w:hint="eastAsia" w:ascii="宋体" w:hAnsi="宋体" w:eastAsia="宋体"/>
        <w:color w:val="0D0D0D"/>
        <w:sz w:val="21"/>
        <w:szCs w:val="21"/>
      </w:rPr>
      <w:t>广西邕政采购代理有限公司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1F5903"/>
    <w:multiLevelType w:val="singleLevel"/>
    <w:tmpl w:val="F21F5903"/>
    <w:lvl w:ilvl="0" w:tentative="0">
      <w:start w:val="6"/>
      <w:numFmt w:val="chineseCounting"/>
      <w:suff w:val="nothing"/>
      <w:lvlText w:val="%1、"/>
      <w:lvlJc w:val="left"/>
      <w:rPr>
        <w:rFonts w:hint="eastAsia"/>
      </w:rPr>
    </w:lvl>
  </w:abstractNum>
  <w:abstractNum w:abstractNumId="1">
    <w:nsid w:val="00000002"/>
    <w:multiLevelType w:val="singleLevel"/>
    <w:tmpl w:val="00000002"/>
    <w:lvl w:ilvl="0" w:tentative="0">
      <w:start w:val="30"/>
      <w:numFmt w:val="decimal"/>
      <w:suff w:val="space"/>
      <w:lvlText w:val="%1."/>
      <w:lvlJc w:val="left"/>
    </w:lvl>
  </w:abstractNum>
  <w:abstractNum w:abstractNumId="2">
    <w:nsid w:val="00000004"/>
    <w:multiLevelType w:val="multilevel"/>
    <w:tmpl w:val="0000000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6"/>
    <w:multiLevelType w:val="multilevel"/>
    <w:tmpl w:val="00000006"/>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8"/>
    <w:multiLevelType w:val="singleLevel"/>
    <w:tmpl w:val="00000008"/>
    <w:lvl w:ilvl="0" w:tentative="0">
      <w:start w:val="1"/>
      <w:numFmt w:val="chineseCounting"/>
      <w:suff w:val="nothing"/>
      <w:lvlText w:val="%1、"/>
      <w:lvlJc w:val="left"/>
    </w:lvl>
  </w:abstractNum>
  <w:abstractNum w:abstractNumId="6">
    <w:nsid w:val="00000009"/>
    <w:multiLevelType w:val="multilevel"/>
    <w:tmpl w:val="00000009"/>
    <w:lvl w:ilvl="0" w:tentative="0">
      <w:start w:val="1"/>
      <w:numFmt w:val="chineseCountingThousand"/>
      <w:suff w:val="space"/>
      <w:lvlText w:val="第%1章"/>
      <w:lvlJc w:val="left"/>
      <w:pPr>
        <w:ind w:left="0"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ascii="仿宋_GB2312" w:eastAsia="仿宋_GB2312"/>
        <w:b/>
        <w:i w:val="0"/>
        <w:sz w:val="36"/>
      </w:rPr>
    </w:lvl>
    <w:lvl w:ilvl="2" w:tentative="0">
      <w:start w:val="1"/>
      <w:numFmt w:val="decimal"/>
      <w:isLgl/>
      <w:suff w:val="space"/>
      <w:lvlText w:val="%1.%2.%3"/>
      <w:lvlJc w:val="left"/>
      <w:pPr>
        <w:ind w:left="0" w:firstLine="0"/>
      </w:pPr>
      <w:rPr>
        <w:rFonts w:hint="eastAsia" w:ascii="仿宋_GB2312" w:eastAsia="仿宋_GB2312"/>
        <w:b/>
        <w:i w:val="0"/>
        <w:sz w:val="32"/>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pStyle w:val="7"/>
      <w:isLgl/>
      <w:suff w:val="space"/>
      <w:lvlText w:val="%1.%2.%3.%4.%5"/>
      <w:lvlJc w:val="left"/>
      <w:pPr>
        <w:ind w:left="587" w:firstLine="0"/>
      </w:pPr>
      <w:rPr>
        <w:rFonts w:hint="eastAsia" w:ascii="仿宋_GB2312" w:eastAsia="仿宋_GB2312"/>
        <w:b/>
        <w:i w:val="0"/>
        <w:sz w:val="28"/>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abstractNum w:abstractNumId="7">
    <w:nsid w:val="5EF89C2C"/>
    <w:multiLevelType w:val="singleLevel"/>
    <w:tmpl w:val="5EF89C2C"/>
    <w:lvl w:ilvl="0" w:tentative="0">
      <w:start w:val="1"/>
      <w:numFmt w:val="decimal"/>
      <w:suff w:val="nothing"/>
      <w:lvlText w:val="%1."/>
      <w:lvlJc w:val="left"/>
    </w:lvl>
  </w:abstractNum>
  <w:abstractNum w:abstractNumId="8">
    <w:nsid w:val="5EF89E52"/>
    <w:multiLevelType w:val="singleLevel"/>
    <w:tmpl w:val="5EF89E52"/>
    <w:lvl w:ilvl="0" w:tentative="0">
      <w:start w:val="1"/>
      <w:numFmt w:val="decimal"/>
      <w:suff w:val="nothing"/>
      <w:lvlText w:val="%1."/>
      <w:lvlJc w:val="left"/>
    </w:lvl>
  </w:abstractNum>
  <w:abstractNum w:abstractNumId="9">
    <w:nsid w:val="5EF89F1E"/>
    <w:multiLevelType w:val="singleLevel"/>
    <w:tmpl w:val="5EF89F1E"/>
    <w:lvl w:ilvl="0" w:tentative="0">
      <w:start w:val="1"/>
      <w:numFmt w:val="decimal"/>
      <w:suff w:val="nothing"/>
      <w:lvlText w:val="%1."/>
      <w:lvlJc w:val="left"/>
    </w:lvl>
  </w:abstractNum>
  <w:abstractNum w:abstractNumId="10">
    <w:nsid w:val="5EF8A43D"/>
    <w:multiLevelType w:val="singleLevel"/>
    <w:tmpl w:val="5EF8A43D"/>
    <w:lvl w:ilvl="0" w:tentative="0">
      <w:start w:val="1"/>
      <w:numFmt w:val="decimal"/>
      <w:suff w:val="nothing"/>
      <w:lvlText w:val="%1."/>
      <w:lvlJc w:val="left"/>
    </w:lvl>
  </w:abstractNum>
  <w:abstractNum w:abstractNumId="11">
    <w:nsid w:val="5F0185E3"/>
    <w:multiLevelType w:val="singleLevel"/>
    <w:tmpl w:val="5F0185E3"/>
    <w:lvl w:ilvl="0" w:tentative="0">
      <w:start w:val="2"/>
      <w:numFmt w:val="decimal"/>
      <w:suff w:val="nothing"/>
      <w:lvlText w:val="（%1）"/>
      <w:lvlJc w:val="left"/>
    </w:lvl>
  </w:abstractNum>
  <w:num w:numId="1">
    <w:abstractNumId w:val="6"/>
  </w:num>
  <w:num w:numId="2">
    <w:abstractNumId w:val="3"/>
  </w:num>
  <w:num w:numId="3">
    <w:abstractNumId w:val="7"/>
  </w:num>
  <w:num w:numId="4">
    <w:abstractNumId w:val="0"/>
  </w:num>
  <w:num w:numId="5">
    <w:abstractNumId w:val="8"/>
  </w:num>
  <w:num w:numId="6">
    <w:abstractNumId w:val="9"/>
  </w:num>
  <w:num w:numId="7">
    <w:abstractNumId w:val="10"/>
  </w:num>
  <w:num w:numId="8">
    <w:abstractNumId w:val="11"/>
  </w:num>
  <w:num w:numId="9">
    <w:abstractNumId w:val="1"/>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1" w:cryptProviderType="rsaFull" w:cryptAlgorithmClass="hash" w:cryptAlgorithmType="typeAny" w:cryptAlgorithmSid="4" w:cryptSpinCount="0" w:hash="YMKCyV/78Jdgl+NWeoJNtg9NxYs=" w:salt="XO4WDlEROQg+G6fMl+wqhg=="/>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A3"/>
    <w:rsid w:val="00003034"/>
    <w:rsid w:val="00015568"/>
    <w:rsid w:val="00017972"/>
    <w:rsid w:val="00023C54"/>
    <w:rsid w:val="000305F4"/>
    <w:rsid w:val="00034268"/>
    <w:rsid w:val="0004747C"/>
    <w:rsid w:val="0006176A"/>
    <w:rsid w:val="00065B0D"/>
    <w:rsid w:val="00082983"/>
    <w:rsid w:val="00083235"/>
    <w:rsid w:val="000926EC"/>
    <w:rsid w:val="000C1B7B"/>
    <w:rsid w:val="000D5C13"/>
    <w:rsid w:val="000F1675"/>
    <w:rsid w:val="0010056B"/>
    <w:rsid w:val="0010713B"/>
    <w:rsid w:val="00111C16"/>
    <w:rsid w:val="00112770"/>
    <w:rsid w:val="00151AC6"/>
    <w:rsid w:val="001547F8"/>
    <w:rsid w:val="00190ECD"/>
    <w:rsid w:val="001B64FB"/>
    <w:rsid w:val="001D2773"/>
    <w:rsid w:val="001F490B"/>
    <w:rsid w:val="001F5219"/>
    <w:rsid w:val="001F585B"/>
    <w:rsid w:val="00202BC6"/>
    <w:rsid w:val="00216FDC"/>
    <w:rsid w:val="00221B5F"/>
    <w:rsid w:val="002276C9"/>
    <w:rsid w:val="00227B74"/>
    <w:rsid w:val="00233EDC"/>
    <w:rsid w:val="00246131"/>
    <w:rsid w:val="002651CA"/>
    <w:rsid w:val="002A5471"/>
    <w:rsid w:val="002B5B86"/>
    <w:rsid w:val="002F4CFF"/>
    <w:rsid w:val="00300364"/>
    <w:rsid w:val="00300636"/>
    <w:rsid w:val="00302FDF"/>
    <w:rsid w:val="003419DA"/>
    <w:rsid w:val="00347A25"/>
    <w:rsid w:val="00364254"/>
    <w:rsid w:val="00374F76"/>
    <w:rsid w:val="00376FF8"/>
    <w:rsid w:val="00383BF6"/>
    <w:rsid w:val="00395231"/>
    <w:rsid w:val="003A13D8"/>
    <w:rsid w:val="003B44F4"/>
    <w:rsid w:val="003D1D31"/>
    <w:rsid w:val="003E1CAF"/>
    <w:rsid w:val="003F4127"/>
    <w:rsid w:val="00412DC4"/>
    <w:rsid w:val="004251C1"/>
    <w:rsid w:val="00433B42"/>
    <w:rsid w:val="00452E0B"/>
    <w:rsid w:val="00454E4D"/>
    <w:rsid w:val="004565D8"/>
    <w:rsid w:val="00473C4C"/>
    <w:rsid w:val="00493347"/>
    <w:rsid w:val="004B254C"/>
    <w:rsid w:val="004B2A14"/>
    <w:rsid w:val="004C09F9"/>
    <w:rsid w:val="004D1112"/>
    <w:rsid w:val="004E5A84"/>
    <w:rsid w:val="0050037B"/>
    <w:rsid w:val="00501A19"/>
    <w:rsid w:val="00506A92"/>
    <w:rsid w:val="005346E4"/>
    <w:rsid w:val="00545877"/>
    <w:rsid w:val="0055129C"/>
    <w:rsid w:val="00563541"/>
    <w:rsid w:val="0056734A"/>
    <w:rsid w:val="005673FD"/>
    <w:rsid w:val="00571D77"/>
    <w:rsid w:val="005957CE"/>
    <w:rsid w:val="00597EC4"/>
    <w:rsid w:val="005A058D"/>
    <w:rsid w:val="005B5B4B"/>
    <w:rsid w:val="005B71A9"/>
    <w:rsid w:val="005C1FC3"/>
    <w:rsid w:val="005D5DC6"/>
    <w:rsid w:val="005F3F20"/>
    <w:rsid w:val="00605674"/>
    <w:rsid w:val="00615FBE"/>
    <w:rsid w:val="00616C36"/>
    <w:rsid w:val="00622311"/>
    <w:rsid w:val="006239CD"/>
    <w:rsid w:val="00625A49"/>
    <w:rsid w:val="006330C3"/>
    <w:rsid w:val="00654542"/>
    <w:rsid w:val="0067783D"/>
    <w:rsid w:val="00680501"/>
    <w:rsid w:val="006C2138"/>
    <w:rsid w:val="006C3133"/>
    <w:rsid w:val="006C5257"/>
    <w:rsid w:val="006D23AE"/>
    <w:rsid w:val="006F0C27"/>
    <w:rsid w:val="00707FEF"/>
    <w:rsid w:val="00715535"/>
    <w:rsid w:val="00737FB9"/>
    <w:rsid w:val="00742487"/>
    <w:rsid w:val="007444A6"/>
    <w:rsid w:val="007568FE"/>
    <w:rsid w:val="00764893"/>
    <w:rsid w:val="00775685"/>
    <w:rsid w:val="007758A3"/>
    <w:rsid w:val="00777944"/>
    <w:rsid w:val="007905FD"/>
    <w:rsid w:val="00796612"/>
    <w:rsid w:val="007C0F23"/>
    <w:rsid w:val="007E003C"/>
    <w:rsid w:val="007E2352"/>
    <w:rsid w:val="007F04A2"/>
    <w:rsid w:val="00812477"/>
    <w:rsid w:val="00837E62"/>
    <w:rsid w:val="00857860"/>
    <w:rsid w:val="0086258F"/>
    <w:rsid w:val="008660BF"/>
    <w:rsid w:val="0087162E"/>
    <w:rsid w:val="008779EB"/>
    <w:rsid w:val="00887812"/>
    <w:rsid w:val="008A0BF0"/>
    <w:rsid w:val="008C36BD"/>
    <w:rsid w:val="00903788"/>
    <w:rsid w:val="00903A6D"/>
    <w:rsid w:val="0093196D"/>
    <w:rsid w:val="00942ECF"/>
    <w:rsid w:val="009439D4"/>
    <w:rsid w:val="009746D3"/>
    <w:rsid w:val="00976956"/>
    <w:rsid w:val="00976D92"/>
    <w:rsid w:val="00982DD0"/>
    <w:rsid w:val="009A3CBF"/>
    <w:rsid w:val="009B1E7C"/>
    <w:rsid w:val="009B383C"/>
    <w:rsid w:val="009B6149"/>
    <w:rsid w:val="009E370A"/>
    <w:rsid w:val="009E4BBD"/>
    <w:rsid w:val="00A6162B"/>
    <w:rsid w:val="00AB58CE"/>
    <w:rsid w:val="00AB7B8E"/>
    <w:rsid w:val="00AE415F"/>
    <w:rsid w:val="00AE6524"/>
    <w:rsid w:val="00B37CA3"/>
    <w:rsid w:val="00B62074"/>
    <w:rsid w:val="00B727D1"/>
    <w:rsid w:val="00B83345"/>
    <w:rsid w:val="00B85271"/>
    <w:rsid w:val="00BC3FD1"/>
    <w:rsid w:val="00BC5E29"/>
    <w:rsid w:val="00BD6816"/>
    <w:rsid w:val="00BD7239"/>
    <w:rsid w:val="00BE05C2"/>
    <w:rsid w:val="00BE2AFD"/>
    <w:rsid w:val="00C02938"/>
    <w:rsid w:val="00C05D3A"/>
    <w:rsid w:val="00C0756B"/>
    <w:rsid w:val="00C20C90"/>
    <w:rsid w:val="00C302A8"/>
    <w:rsid w:val="00C34ED3"/>
    <w:rsid w:val="00C376D0"/>
    <w:rsid w:val="00C44ACB"/>
    <w:rsid w:val="00C54FE9"/>
    <w:rsid w:val="00C71FF2"/>
    <w:rsid w:val="00C91065"/>
    <w:rsid w:val="00C92E82"/>
    <w:rsid w:val="00C970B7"/>
    <w:rsid w:val="00CC05CC"/>
    <w:rsid w:val="00CC6EF9"/>
    <w:rsid w:val="00CD6D90"/>
    <w:rsid w:val="00CF3ED0"/>
    <w:rsid w:val="00D048C9"/>
    <w:rsid w:val="00D13B68"/>
    <w:rsid w:val="00D34CC2"/>
    <w:rsid w:val="00D5016C"/>
    <w:rsid w:val="00D5170E"/>
    <w:rsid w:val="00D6484A"/>
    <w:rsid w:val="00D70D99"/>
    <w:rsid w:val="00D814B8"/>
    <w:rsid w:val="00DB7701"/>
    <w:rsid w:val="00DD1F5C"/>
    <w:rsid w:val="00DD4941"/>
    <w:rsid w:val="00DD663C"/>
    <w:rsid w:val="00E07A7D"/>
    <w:rsid w:val="00E15697"/>
    <w:rsid w:val="00E15EAC"/>
    <w:rsid w:val="00E316AD"/>
    <w:rsid w:val="00E32E92"/>
    <w:rsid w:val="00E453A3"/>
    <w:rsid w:val="00E53DFE"/>
    <w:rsid w:val="00E66485"/>
    <w:rsid w:val="00E8738A"/>
    <w:rsid w:val="00E92A9B"/>
    <w:rsid w:val="00EB5A34"/>
    <w:rsid w:val="00EE785C"/>
    <w:rsid w:val="00EF5AAA"/>
    <w:rsid w:val="00EF6BAD"/>
    <w:rsid w:val="00F077D7"/>
    <w:rsid w:val="00F17797"/>
    <w:rsid w:val="00F25B3C"/>
    <w:rsid w:val="00F25BC9"/>
    <w:rsid w:val="00F35CAB"/>
    <w:rsid w:val="00F64F3B"/>
    <w:rsid w:val="00F710B8"/>
    <w:rsid w:val="00F86955"/>
    <w:rsid w:val="00FD315B"/>
    <w:rsid w:val="00FF796F"/>
    <w:rsid w:val="01587987"/>
    <w:rsid w:val="025A3944"/>
    <w:rsid w:val="041736D7"/>
    <w:rsid w:val="045916FC"/>
    <w:rsid w:val="04EB4EDA"/>
    <w:rsid w:val="062478D5"/>
    <w:rsid w:val="06377208"/>
    <w:rsid w:val="06482F08"/>
    <w:rsid w:val="06ED58B1"/>
    <w:rsid w:val="07011036"/>
    <w:rsid w:val="075D1783"/>
    <w:rsid w:val="096568BD"/>
    <w:rsid w:val="0A4D4930"/>
    <w:rsid w:val="0AD92CA9"/>
    <w:rsid w:val="0CCF6D0A"/>
    <w:rsid w:val="0D353297"/>
    <w:rsid w:val="0D8B642B"/>
    <w:rsid w:val="0E3F48AA"/>
    <w:rsid w:val="0E417DB4"/>
    <w:rsid w:val="0EDF97EC"/>
    <w:rsid w:val="10D62347"/>
    <w:rsid w:val="111B63C0"/>
    <w:rsid w:val="111C6FA4"/>
    <w:rsid w:val="113B107D"/>
    <w:rsid w:val="124949E7"/>
    <w:rsid w:val="13923F05"/>
    <w:rsid w:val="15291556"/>
    <w:rsid w:val="155FB177"/>
    <w:rsid w:val="16090982"/>
    <w:rsid w:val="162B18D8"/>
    <w:rsid w:val="176158DD"/>
    <w:rsid w:val="17DE2634"/>
    <w:rsid w:val="18C4389D"/>
    <w:rsid w:val="19265C83"/>
    <w:rsid w:val="1A0F3C6F"/>
    <w:rsid w:val="1A5E4515"/>
    <w:rsid w:val="1A6757A2"/>
    <w:rsid w:val="1B8D4503"/>
    <w:rsid w:val="1CF13DA1"/>
    <w:rsid w:val="1E207CB6"/>
    <w:rsid w:val="1E311674"/>
    <w:rsid w:val="1E91258C"/>
    <w:rsid w:val="1EA35B22"/>
    <w:rsid w:val="1EC103F5"/>
    <w:rsid w:val="1F6F3537"/>
    <w:rsid w:val="1FD70F7F"/>
    <w:rsid w:val="211214A1"/>
    <w:rsid w:val="220C01CD"/>
    <w:rsid w:val="22721A95"/>
    <w:rsid w:val="22FA1807"/>
    <w:rsid w:val="23C81CA7"/>
    <w:rsid w:val="24770D63"/>
    <w:rsid w:val="24CE07E6"/>
    <w:rsid w:val="268B398D"/>
    <w:rsid w:val="272B5A71"/>
    <w:rsid w:val="28996540"/>
    <w:rsid w:val="28BD3EB9"/>
    <w:rsid w:val="2964195F"/>
    <w:rsid w:val="29D7082C"/>
    <w:rsid w:val="2B36276B"/>
    <w:rsid w:val="2B5345B9"/>
    <w:rsid w:val="2B792237"/>
    <w:rsid w:val="2BEE2A4D"/>
    <w:rsid w:val="2BF208CC"/>
    <w:rsid w:val="2C811DBD"/>
    <w:rsid w:val="2CE942D8"/>
    <w:rsid w:val="2CFD27FA"/>
    <w:rsid w:val="2D030F6C"/>
    <w:rsid w:val="2E083D88"/>
    <w:rsid w:val="2F707513"/>
    <w:rsid w:val="2FBD77F4"/>
    <w:rsid w:val="2FD45ED4"/>
    <w:rsid w:val="30B539A5"/>
    <w:rsid w:val="30B75957"/>
    <w:rsid w:val="31741AAA"/>
    <w:rsid w:val="33D075DE"/>
    <w:rsid w:val="347C19A8"/>
    <w:rsid w:val="35AE1B2D"/>
    <w:rsid w:val="35B45501"/>
    <w:rsid w:val="35FF8D5E"/>
    <w:rsid w:val="36925AE2"/>
    <w:rsid w:val="36D43530"/>
    <w:rsid w:val="37544066"/>
    <w:rsid w:val="3797169A"/>
    <w:rsid w:val="379A3444"/>
    <w:rsid w:val="37D77A82"/>
    <w:rsid w:val="3A0A5EBE"/>
    <w:rsid w:val="3A327F8A"/>
    <w:rsid w:val="3AD85E07"/>
    <w:rsid w:val="3B710ED6"/>
    <w:rsid w:val="3B9751CF"/>
    <w:rsid w:val="3BAD63D2"/>
    <w:rsid w:val="3C956D51"/>
    <w:rsid w:val="3CD9312B"/>
    <w:rsid w:val="3D6F51F7"/>
    <w:rsid w:val="3DF82247"/>
    <w:rsid w:val="3E520E77"/>
    <w:rsid w:val="3F46696A"/>
    <w:rsid w:val="3F4C2A96"/>
    <w:rsid w:val="3FCB69F5"/>
    <w:rsid w:val="3FE374C0"/>
    <w:rsid w:val="407D52F6"/>
    <w:rsid w:val="41B902D3"/>
    <w:rsid w:val="4231047C"/>
    <w:rsid w:val="426C7C9E"/>
    <w:rsid w:val="42845038"/>
    <w:rsid w:val="430635DF"/>
    <w:rsid w:val="44556220"/>
    <w:rsid w:val="4490013D"/>
    <w:rsid w:val="44CF27F7"/>
    <w:rsid w:val="44E342AF"/>
    <w:rsid w:val="472406D0"/>
    <w:rsid w:val="47E51F25"/>
    <w:rsid w:val="48481022"/>
    <w:rsid w:val="48C80863"/>
    <w:rsid w:val="498B6EE0"/>
    <w:rsid w:val="49EF6B39"/>
    <w:rsid w:val="4C445B13"/>
    <w:rsid w:val="4C5574AC"/>
    <w:rsid w:val="4DAE7EBA"/>
    <w:rsid w:val="4E36073D"/>
    <w:rsid w:val="4F661C87"/>
    <w:rsid w:val="4F6E0735"/>
    <w:rsid w:val="4FC5638F"/>
    <w:rsid w:val="50B53109"/>
    <w:rsid w:val="511B5075"/>
    <w:rsid w:val="517200B3"/>
    <w:rsid w:val="53806AE0"/>
    <w:rsid w:val="538D1BE4"/>
    <w:rsid w:val="53AD1816"/>
    <w:rsid w:val="54815E90"/>
    <w:rsid w:val="54FB3E22"/>
    <w:rsid w:val="5521596A"/>
    <w:rsid w:val="55B6FE83"/>
    <w:rsid w:val="55D66ED9"/>
    <w:rsid w:val="571E2B99"/>
    <w:rsid w:val="57605CA6"/>
    <w:rsid w:val="57FB662A"/>
    <w:rsid w:val="5823390A"/>
    <w:rsid w:val="58674C0A"/>
    <w:rsid w:val="59207465"/>
    <w:rsid w:val="59EA3846"/>
    <w:rsid w:val="5A3B30D2"/>
    <w:rsid w:val="5B0279B5"/>
    <w:rsid w:val="5B2A3A7D"/>
    <w:rsid w:val="5B5A5FD4"/>
    <w:rsid w:val="5BEB6C84"/>
    <w:rsid w:val="5C3E1BFB"/>
    <w:rsid w:val="5DE35F96"/>
    <w:rsid w:val="5E485341"/>
    <w:rsid w:val="5E493BA6"/>
    <w:rsid w:val="5EF352BC"/>
    <w:rsid w:val="5F914C93"/>
    <w:rsid w:val="5FFF5DC9"/>
    <w:rsid w:val="605B06D8"/>
    <w:rsid w:val="607D2C97"/>
    <w:rsid w:val="61F30C49"/>
    <w:rsid w:val="62AC6585"/>
    <w:rsid w:val="633458DD"/>
    <w:rsid w:val="635F47D8"/>
    <w:rsid w:val="6361346F"/>
    <w:rsid w:val="640E34DE"/>
    <w:rsid w:val="665B32AA"/>
    <w:rsid w:val="67847BA5"/>
    <w:rsid w:val="678954B9"/>
    <w:rsid w:val="67D4335E"/>
    <w:rsid w:val="69392693"/>
    <w:rsid w:val="695F8959"/>
    <w:rsid w:val="6A5A5B7C"/>
    <w:rsid w:val="6A74529E"/>
    <w:rsid w:val="6B691F55"/>
    <w:rsid w:val="6BFDF1B0"/>
    <w:rsid w:val="6CE21BF1"/>
    <w:rsid w:val="6D5C4A68"/>
    <w:rsid w:val="6E735CFE"/>
    <w:rsid w:val="6E9C2730"/>
    <w:rsid w:val="6F3832A2"/>
    <w:rsid w:val="721B5955"/>
    <w:rsid w:val="727F6A05"/>
    <w:rsid w:val="72A723A2"/>
    <w:rsid w:val="742B768F"/>
    <w:rsid w:val="747129D7"/>
    <w:rsid w:val="74B426FC"/>
    <w:rsid w:val="7516446B"/>
    <w:rsid w:val="755A0BC9"/>
    <w:rsid w:val="784F336A"/>
    <w:rsid w:val="78FF0D5C"/>
    <w:rsid w:val="797314CF"/>
    <w:rsid w:val="7A382C83"/>
    <w:rsid w:val="7C59757A"/>
    <w:rsid w:val="7D942051"/>
    <w:rsid w:val="7F3F6480"/>
    <w:rsid w:val="7FF10879"/>
    <w:rsid w:val="7FFB35C5"/>
    <w:rsid w:val="8BFACE3F"/>
    <w:rsid w:val="ABF75E24"/>
    <w:rsid w:val="AEFBDFBF"/>
    <w:rsid w:val="AFD78B98"/>
    <w:rsid w:val="AFFE7019"/>
    <w:rsid w:val="B8DF3158"/>
    <w:rsid w:val="C57F0759"/>
    <w:rsid w:val="CDFB6185"/>
    <w:rsid w:val="CFFB53E7"/>
    <w:rsid w:val="D1D32B54"/>
    <w:rsid w:val="DFF7CB99"/>
    <w:rsid w:val="DFFFEF2D"/>
    <w:rsid w:val="EF3FA371"/>
    <w:rsid w:val="F7B9A48F"/>
    <w:rsid w:val="F7FF99BE"/>
    <w:rsid w:val="FEEE6DB2"/>
    <w:rsid w:val="FF5D2A73"/>
    <w:rsid w:val="FFFB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qFormat/>
    <w:uiPriority w:val="9"/>
    <w:pPr>
      <w:spacing w:beforeAutospacing="1" w:after="0" w:afterAutospacing="1"/>
      <w:outlineLvl w:val="0"/>
    </w:pPr>
    <w:rPr>
      <w:rFonts w:hint="eastAsia" w:ascii="宋体" w:hAnsi="宋体" w:eastAsia="宋体" w:cs="Times New Roman"/>
      <w:b/>
      <w:kern w:val="44"/>
      <w:sz w:val="48"/>
      <w:szCs w:val="48"/>
    </w:rPr>
  </w:style>
  <w:style w:type="paragraph" w:styleId="4">
    <w:name w:val="heading 2"/>
    <w:basedOn w:val="1"/>
    <w:next w:val="1"/>
    <w:link w:val="41"/>
    <w:qFormat/>
    <w:uiPriority w:val="9"/>
    <w:pPr>
      <w:keepNext/>
      <w:keepLines/>
      <w:widowControl w:val="0"/>
      <w:adjustRightInd/>
      <w:snapToGrid/>
      <w:spacing w:before="260" w:after="260" w:line="377" w:lineRule="auto"/>
      <w:jc w:val="center"/>
      <w:outlineLvl w:val="1"/>
    </w:pPr>
    <w:rPr>
      <w:rFonts w:ascii="Cambria" w:hAnsi="Cambria" w:eastAsia="宋体" w:cs="Times New Roman"/>
      <w:b/>
      <w:bCs/>
      <w:sz w:val="28"/>
      <w:szCs w:val="32"/>
    </w:rPr>
  </w:style>
  <w:style w:type="paragraph" w:styleId="5">
    <w:name w:val="heading 3"/>
    <w:basedOn w:val="1"/>
    <w:next w:val="1"/>
    <w:link w:val="42"/>
    <w:qFormat/>
    <w:uiPriority w:val="0"/>
    <w:pPr>
      <w:widowControl w:val="0"/>
      <w:adjustRightInd/>
      <w:snapToGrid/>
      <w:spacing w:before="120" w:after="120" w:line="360" w:lineRule="auto"/>
      <w:jc w:val="both"/>
      <w:outlineLvl w:val="2"/>
    </w:pPr>
    <w:rPr>
      <w:rFonts w:ascii="宋体" w:hAnsi="宋体" w:eastAsia="宋体" w:cs="Times New Roman"/>
      <w:b/>
      <w:bCs/>
      <w:kern w:val="2"/>
      <w:sz w:val="28"/>
      <w:szCs w:val="32"/>
    </w:rPr>
  </w:style>
  <w:style w:type="paragraph" w:styleId="6">
    <w:name w:val="heading 4"/>
    <w:basedOn w:val="1"/>
    <w:next w:val="1"/>
    <w:link w:val="43"/>
    <w:qFormat/>
    <w:uiPriority w:val="0"/>
    <w:pPr>
      <w:widowControl w:val="0"/>
      <w:tabs>
        <w:tab w:val="left" w:pos="2155"/>
      </w:tabs>
      <w:snapToGrid/>
      <w:spacing w:before="120" w:after="0" w:line="360" w:lineRule="auto"/>
      <w:ind w:left="2155" w:hanging="1078"/>
      <w:jc w:val="both"/>
      <w:textAlignment w:val="baseline"/>
      <w:outlineLvl w:val="3"/>
    </w:pPr>
    <w:rPr>
      <w:rFonts w:ascii="Arial" w:hAnsi="Calibri" w:eastAsia="黑体" w:cs="Times New Roman"/>
      <w:sz w:val="28"/>
      <w:szCs w:val="20"/>
    </w:rPr>
  </w:style>
  <w:style w:type="paragraph" w:styleId="7">
    <w:name w:val="heading 5"/>
    <w:next w:val="1"/>
    <w:link w:val="44"/>
    <w:qFormat/>
    <w:uiPriority w:val="0"/>
    <w:pPr>
      <w:keepNext/>
      <w:keepLines/>
      <w:numPr>
        <w:ilvl w:val="4"/>
        <w:numId w:val="1"/>
      </w:numPr>
      <w:spacing w:before="120" w:after="120"/>
      <w:outlineLvl w:val="4"/>
    </w:pPr>
    <w:rPr>
      <w:rFonts w:ascii="仿宋_GB2312" w:hAnsi="Calibri" w:eastAsia="仿宋_GB2312" w:cs="Times New Roman"/>
      <w:b/>
      <w:bCs/>
      <w:kern w:val="2"/>
      <w:sz w:val="28"/>
      <w:szCs w:val="28"/>
      <w:lang w:val="en-US" w:eastAsia="zh-CN" w:bidi="ar-SA"/>
    </w:rPr>
  </w:style>
  <w:style w:type="paragraph" w:styleId="8">
    <w:name w:val="heading 6"/>
    <w:basedOn w:val="1"/>
    <w:next w:val="1"/>
    <w:link w:val="45"/>
    <w:qFormat/>
    <w:uiPriority w:val="0"/>
    <w:pPr>
      <w:keepNext/>
      <w:keepLines/>
      <w:widowControl w:val="0"/>
      <w:numPr>
        <w:ilvl w:val="5"/>
        <w:numId w:val="2"/>
      </w:numPr>
      <w:adjustRightInd/>
      <w:snapToGrid/>
      <w:spacing w:before="240" w:after="64" w:line="320" w:lineRule="auto"/>
      <w:jc w:val="both"/>
      <w:outlineLvl w:val="5"/>
    </w:pPr>
    <w:rPr>
      <w:rFonts w:ascii="Arial" w:hAnsi="Arial" w:eastAsia="黑体" w:cs="Times New Roman"/>
      <w:b/>
      <w:kern w:val="2"/>
      <w:sz w:val="24"/>
      <w:szCs w:val="24"/>
    </w:rPr>
  </w:style>
  <w:style w:type="paragraph" w:styleId="9">
    <w:name w:val="heading 9"/>
    <w:basedOn w:val="1"/>
    <w:next w:val="1"/>
    <w:link w:val="48"/>
    <w:qFormat/>
    <w:uiPriority w:val="0"/>
    <w:pPr>
      <w:keepNext/>
      <w:keepLines/>
      <w:widowControl w:val="0"/>
      <w:adjustRightInd/>
      <w:snapToGrid/>
      <w:spacing w:before="240" w:after="64" w:line="320" w:lineRule="auto"/>
      <w:jc w:val="both"/>
      <w:outlineLvl w:val="8"/>
    </w:pPr>
    <w:rPr>
      <w:rFonts w:ascii="Cambria" w:hAnsi="Cambria" w:eastAsia="宋体" w:cs="Times New Roman"/>
      <w:kern w:val="2"/>
      <w:sz w:val="21"/>
      <w:szCs w:val="21"/>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w:basedOn w:val="1"/>
    <w:link w:val="49"/>
    <w:qFormat/>
    <w:uiPriority w:val="0"/>
    <w:pPr>
      <w:widowControl w:val="0"/>
      <w:adjustRightInd/>
      <w:snapToGrid/>
      <w:spacing w:after="120"/>
      <w:jc w:val="both"/>
    </w:pPr>
    <w:rPr>
      <w:rFonts w:ascii="Calibri" w:hAnsi="Calibri" w:eastAsia="宋体" w:cs="Times New Roman"/>
      <w:kern w:val="2"/>
      <w:sz w:val="21"/>
      <w:szCs w:val="24"/>
    </w:rPr>
  </w:style>
  <w:style w:type="paragraph" w:styleId="10">
    <w:name w:val="index 8"/>
    <w:basedOn w:val="1"/>
    <w:next w:val="1"/>
    <w:qFormat/>
    <w:uiPriority w:val="0"/>
    <w:pPr>
      <w:ind w:left="2940"/>
    </w:pPr>
  </w:style>
  <w:style w:type="paragraph" w:styleId="11">
    <w:name w:val="Normal Indent"/>
    <w:basedOn w:val="1"/>
    <w:link w:val="83"/>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12">
    <w:name w:val="caption"/>
    <w:basedOn w:val="1"/>
    <w:next w:val="1"/>
    <w:qFormat/>
    <w:uiPriority w:val="35"/>
    <w:pPr>
      <w:widowControl w:val="0"/>
      <w:adjustRightInd/>
      <w:snapToGrid/>
      <w:spacing w:after="0"/>
      <w:jc w:val="both"/>
    </w:pPr>
    <w:rPr>
      <w:rFonts w:ascii="Arial" w:hAnsi="Arial" w:eastAsia="黑体" w:cs="Times New Roman"/>
      <w:kern w:val="2"/>
      <w:sz w:val="20"/>
    </w:rPr>
  </w:style>
  <w:style w:type="paragraph" w:styleId="13">
    <w:name w:val="Document Map"/>
    <w:basedOn w:val="1"/>
    <w:link w:val="50"/>
    <w:qFormat/>
    <w:uiPriority w:val="0"/>
    <w:pPr>
      <w:widowControl w:val="0"/>
      <w:adjustRightInd/>
      <w:snapToGrid/>
      <w:spacing w:after="0"/>
      <w:jc w:val="both"/>
    </w:pPr>
    <w:rPr>
      <w:rFonts w:ascii="宋体" w:hAnsi="Calibri" w:eastAsia="宋体" w:cs="Times New Roman"/>
      <w:kern w:val="2"/>
      <w:sz w:val="18"/>
      <w:szCs w:val="18"/>
    </w:rPr>
  </w:style>
  <w:style w:type="paragraph" w:styleId="14">
    <w:name w:val="annotation text"/>
    <w:basedOn w:val="1"/>
    <w:link w:val="51"/>
    <w:qFormat/>
    <w:uiPriority w:val="0"/>
    <w:pPr>
      <w:widowControl w:val="0"/>
      <w:adjustRightInd/>
      <w:snapToGrid/>
      <w:spacing w:after="0"/>
    </w:pPr>
    <w:rPr>
      <w:rFonts w:ascii="Calibri" w:hAnsi="Calibri" w:eastAsia="宋体" w:cs="Times New Roman"/>
      <w:kern w:val="2"/>
      <w:sz w:val="21"/>
      <w:szCs w:val="24"/>
    </w:rPr>
  </w:style>
  <w:style w:type="paragraph" w:styleId="15">
    <w:name w:val="Body Text Indent"/>
    <w:basedOn w:val="1"/>
    <w:link w:val="52"/>
    <w:qFormat/>
    <w:uiPriority w:val="99"/>
    <w:pPr>
      <w:widowControl w:val="0"/>
      <w:adjustRightInd/>
      <w:snapToGrid/>
      <w:spacing w:after="0" w:line="200" w:lineRule="exact"/>
      <w:ind w:firstLine="301"/>
      <w:jc w:val="both"/>
    </w:pPr>
    <w:rPr>
      <w:rFonts w:hint="eastAsia" w:ascii="宋体" w:hAnsi="Courier New" w:eastAsia="宋体" w:cs="Times New Roman"/>
      <w:spacing w:val="-4"/>
      <w:kern w:val="2"/>
      <w:sz w:val="18"/>
      <w:szCs w:val="20"/>
    </w:rPr>
  </w:style>
  <w:style w:type="paragraph" w:styleId="16">
    <w:name w:val="Plain Text"/>
    <w:basedOn w:val="1"/>
    <w:next w:val="10"/>
    <w:link w:val="54"/>
    <w:qFormat/>
    <w:uiPriority w:val="99"/>
    <w:pPr>
      <w:widowControl w:val="0"/>
      <w:adjustRightInd/>
      <w:snapToGrid/>
      <w:spacing w:after="0"/>
      <w:jc w:val="both"/>
    </w:pPr>
    <w:rPr>
      <w:rFonts w:ascii="宋体" w:hAnsi="Courier New" w:eastAsia="宋体" w:cs="Times New Roman"/>
      <w:kern w:val="2"/>
      <w:sz w:val="21"/>
      <w:szCs w:val="20"/>
    </w:rPr>
  </w:style>
  <w:style w:type="paragraph" w:styleId="17">
    <w:name w:val="Balloon Text"/>
    <w:basedOn w:val="1"/>
    <w:link w:val="55"/>
    <w:qFormat/>
    <w:uiPriority w:val="0"/>
    <w:pPr>
      <w:widowControl w:val="0"/>
      <w:adjustRightInd/>
      <w:snapToGrid/>
      <w:spacing w:after="0"/>
      <w:jc w:val="both"/>
    </w:pPr>
    <w:rPr>
      <w:rFonts w:ascii="Calibri" w:hAnsi="Calibri" w:eastAsia="宋体" w:cs="Times New Roman"/>
      <w:kern w:val="2"/>
      <w:sz w:val="18"/>
      <w:szCs w:val="18"/>
    </w:rPr>
  </w:style>
  <w:style w:type="paragraph" w:styleId="18">
    <w:name w:val="footer"/>
    <w:basedOn w:val="1"/>
    <w:link w:val="47"/>
    <w:qFormat/>
    <w:uiPriority w:val="0"/>
    <w:pPr>
      <w:tabs>
        <w:tab w:val="center" w:pos="4153"/>
        <w:tab w:val="right" w:pos="8306"/>
      </w:tabs>
    </w:pPr>
    <w:rPr>
      <w:sz w:val="18"/>
      <w:szCs w:val="18"/>
    </w:rPr>
  </w:style>
  <w:style w:type="paragraph" w:styleId="19">
    <w:name w:val="header"/>
    <w:basedOn w:val="1"/>
    <w:link w:val="46"/>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qFormat/>
    <w:uiPriority w:val="39"/>
    <w:pPr>
      <w:widowControl w:val="0"/>
      <w:adjustRightInd/>
      <w:snapToGrid/>
      <w:spacing w:after="0"/>
      <w:jc w:val="both"/>
    </w:pPr>
    <w:rPr>
      <w:rFonts w:ascii="Calibri" w:hAnsi="Calibri" w:eastAsia="宋体" w:cs="Times New Roman"/>
      <w:kern w:val="2"/>
      <w:sz w:val="21"/>
      <w:szCs w:val="24"/>
    </w:rPr>
  </w:style>
  <w:style w:type="paragraph" w:styleId="21">
    <w:name w:val="toc 2"/>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styleId="22">
    <w:name w:val="Normal (Web)"/>
    <w:basedOn w:val="1"/>
    <w:qFormat/>
    <w:uiPriority w:val="0"/>
    <w:pPr>
      <w:adjustRightInd/>
      <w:snapToGrid/>
      <w:spacing w:before="100" w:beforeAutospacing="1" w:after="100" w:afterAutospacing="1"/>
    </w:pPr>
    <w:rPr>
      <w:rFonts w:ascii="宋体" w:hAnsi="宋体" w:eastAsia="宋体"/>
      <w:sz w:val="24"/>
      <w:szCs w:val="24"/>
    </w:rPr>
  </w:style>
  <w:style w:type="paragraph" w:styleId="23">
    <w:name w:val="Title"/>
    <w:basedOn w:val="1"/>
    <w:next w:val="1"/>
    <w:link w:val="56"/>
    <w:qFormat/>
    <w:uiPriority w:val="0"/>
    <w:pPr>
      <w:widowControl w:val="0"/>
      <w:adjustRightInd/>
      <w:snapToGrid/>
      <w:spacing w:before="240" w:after="60"/>
      <w:jc w:val="center"/>
      <w:outlineLvl w:val="0"/>
    </w:pPr>
    <w:rPr>
      <w:rFonts w:ascii="Cambria" w:hAnsi="Cambria" w:eastAsia="宋体" w:cs="Times New Roman"/>
      <w:b/>
      <w:bCs/>
      <w:sz w:val="32"/>
      <w:szCs w:val="32"/>
    </w:rPr>
  </w:style>
  <w:style w:type="paragraph" w:styleId="24">
    <w:name w:val="annotation subject"/>
    <w:basedOn w:val="14"/>
    <w:next w:val="14"/>
    <w:link w:val="57"/>
    <w:qFormat/>
    <w:uiPriority w:val="0"/>
    <w:rPr>
      <w:b/>
      <w:bCs/>
    </w:rPr>
  </w:style>
  <w:style w:type="table" w:styleId="26">
    <w:name w:val="Table Grid"/>
    <w:basedOn w:val="25"/>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rPr>
  </w:style>
  <w:style w:type="character" w:styleId="29">
    <w:name w:val="page number"/>
    <w:basedOn w:val="27"/>
    <w:qFormat/>
    <w:uiPriority w:val="99"/>
  </w:style>
  <w:style w:type="character" w:styleId="30">
    <w:name w:val="FollowedHyperlink"/>
    <w:basedOn w:val="27"/>
    <w:qFormat/>
    <w:uiPriority w:val="0"/>
    <w:rPr>
      <w:color w:val="0000CC"/>
      <w:u w:val="none"/>
    </w:rPr>
  </w:style>
  <w:style w:type="character" w:styleId="31">
    <w:name w:val="Emphasis"/>
    <w:qFormat/>
    <w:uiPriority w:val="0"/>
  </w:style>
  <w:style w:type="character" w:styleId="32">
    <w:name w:val="HTML Definition"/>
    <w:qFormat/>
    <w:uiPriority w:val="0"/>
  </w:style>
  <w:style w:type="character" w:styleId="33">
    <w:name w:val="HTML Variable"/>
    <w:qFormat/>
    <w:uiPriority w:val="0"/>
  </w:style>
  <w:style w:type="character" w:styleId="34">
    <w:name w:val="Hyperlink"/>
    <w:qFormat/>
    <w:uiPriority w:val="99"/>
    <w:rPr>
      <w:color w:val="0000CC"/>
      <w:u w:val="none"/>
    </w:rPr>
  </w:style>
  <w:style w:type="character" w:styleId="35">
    <w:name w:val="HTML Code"/>
    <w:qFormat/>
    <w:uiPriority w:val="0"/>
    <w:rPr>
      <w:rFonts w:hint="default" w:ascii="monospace" w:hAnsi="monospace" w:eastAsia="monospace" w:cs="monospace"/>
      <w:sz w:val="21"/>
      <w:szCs w:val="21"/>
    </w:rPr>
  </w:style>
  <w:style w:type="character" w:styleId="36">
    <w:name w:val="annotation reference"/>
    <w:qFormat/>
    <w:uiPriority w:val="99"/>
    <w:rPr>
      <w:sz w:val="21"/>
      <w:szCs w:val="21"/>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1"/>
      <w:szCs w:val="21"/>
    </w:rPr>
  </w:style>
  <w:style w:type="character" w:styleId="39">
    <w:name w:val="HTML Sample"/>
    <w:qFormat/>
    <w:uiPriority w:val="0"/>
    <w:rPr>
      <w:rFonts w:ascii="monospace" w:hAnsi="monospace" w:eastAsia="monospace" w:cs="monospace"/>
      <w:sz w:val="21"/>
      <w:szCs w:val="21"/>
    </w:rPr>
  </w:style>
  <w:style w:type="paragraph" w:customStyle="1" w:styleId="40">
    <w:name w:val="样式 0正文 + 首行缩进:  2 字符1"/>
    <w:basedOn w:val="1"/>
    <w:qFormat/>
    <w:uiPriority w:val="99"/>
    <w:pPr>
      <w:spacing w:line="360" w:lineRule="auto"/>
      <w:ind w:firstLine="200" w:firstLineChars="200"/>
    </w:pPr>
    <w:rPr>
      <w:szCs w:val="20"/>
    </w:rPr>
  </w:style>
  <w:style w:type="character" w:customStyle="1" w:styleId="41">
    <w:name w:val="标题 2 Char"/>
    <w:basedOn w:val="27"/>
    <w:link w:val="4"/>
    <w:qFormat/>
    <w:uiPriority w:val="9"/>
    <w:rPr>
      <w:rFonts w:ascii="Cambria" w:hAnsi="Cambria" w:eastAsia="宋体" w:cs="Times New Roman"/>
      <w:b/>
      <w:bCs/>
      <w:sz w:val="28"/>
      <w:szCs w:val="32"/>
    </w:rPr>
  </w:style>
  <w:style w:type="character" w:customStyle="1" w:styleId="42">
    <w:name w:val="标题 3 Char"/>
    <w:basedOn w:val="27"/>
    <w:link w:val="5"/>
    <w:qFormat/>
    <w:uiPriority w:val="0"/>
    <w:rPr>
      <w:rFonts w:ascii="宋体" w:hAnsi="宋体" w:eastAsia="宋体" w:cs="Times New Roman"/>
      <w:b/>
      <w:bCs/>
      <w:kern w:val="2"/>
      <w:sz w:val="28"/>
      <w:szCs w:val="32"/>
    </w:rPr>
  </w:style>
  <w:style w:type="character" w:customStyle="1" w:styleId="43">
    <w:name w:val="标题 4 Char"/>
    <w:basedOn w:val="27"/>
    <w:link w:val="6"/>
    <w:qFormat/>
    <w:uiPriority w:val="0"/>
    <w:rPr>
      <w:rFonts w:ascii="Arial" w:hAnsi="Calibri" w:eastAsia="黑体" w:cs="Times New Roman"/>
      <w:sz w:val="28"/>
      <w:szCs w:val="20"/>
    </w:rPr>
  </w:style>
  <w:style w:type="character" w:customStyle="1" w:styleId="44">
    <w:name w:val="标题 5 Char"/>
    <w:basedOn w:val="27"/>
    <w:link w:val="7"/>
    <w:qFormat/>
    <w:uiPriority w:val="0"/>
    <w:rPr>
      <w:rFonts w:ascii="仿宋_GB2312" w:hAnsi="Calibri" w:eastAsia="仿宋_GB2312" w:cs="Times New Roman"/>
      <w:b/>
      <w:bCs/>
      <w:kern w:val="2"/>
      <w:sz w:val="28"/>
      <w:szCs w:val="28"/>
    </w:rPr>
  </w:style>
  <w:style w:type="character" w:customStyle="1" w:styleId="45">
    <w:name w:val="标题 6 Char"/>
    <w:basedOn w:val="27"/>
    <w:link w:val="8"/>
    <w:qFormat/>
    <w:uiPriority w:val="0"/>
    <w:rPr>
      <w:rFonts w:ascii="Arial" w:hAnsi="Arial" w:eastAsia="黑体" w:cs="Times New Roman"/>
      <w:b/>
      <w:kern w:val="2"/>
      <w:sz w:val="24"/>
      <w:szCs w:val="24"/>
    </w:rPr>
  </w:style>
  <w:style w:type="character" w:customStyle="1" w:styleId="46">
    <w:name w:val="页眉 Char"/>
    <w:basedOn w:val="27"/>
    <w:link w:val="19"/>
    <w:qFormat/>
    <w:uiPriority w:val="99"/>
    <w:rPr>
      <w:rFonts w:ascii="Tahoma" w:hAnsi="Tahoma"/>
      <w:sz w:val="18"/>
      <w:szCs w:val="18"/>
    </w:rPr>
  </w:style>
  <w:style w:type="character" w:customStyle="1" w:styleId="47">
    <w:name w:val="页脚 Char"/>
    <w:basedOn w:val="27"/>
    <w:link w:val="18"/>
    <w:qFormat/>
    <w:uiPriority w:val="99"/>
    <w:rPr>
      <w:rFonts w:ascii="Tahoma" w:hAnsi="Tahoma"/>
      <w:sz w:val="18"/>
      <w:szCs w:val="18"/>
    </w:rPr>
  </w:style>
  <w:style w:type="character" w:customStyle="1" w:styleId="48">
    <w:name w:val="标题 9 Char"/>
    <w:basedOn w:val="27"/>
    <w:link w:val="9"/>
    <w:qFormat/>
    <w:uiPriority w:val="0"/>
    <w:rPr>
      <w:rFonts w:ascii="Cambria" w:hAnsi="Cambria" w:eastAsia="宋体" w:cs="Times New Roman"/>
      <w:kern w:val="2"/>
      <w:sz w:val="21"/>
      <w:szCs w:val="21"/>
    </w:rPr>
  </w:style>
  <w:style w:type="character" w:customStyle="1" w:styleId="49">
    <w:name w:val="正文文本 Char"/>
    <w:basedOn w:val="27"/>
    <w:link w:val="2"/>
    <w:qFormat/>
    <w:uiPriority w:val="0"/>
    <w:rPr>
      <w:rFonts w:ascii="Calibri" w:hAnsi="Calibri" w:eastAsia="宋体" w:cs="Times New Roman"/>
      <w:kern w:val="2"/>
      <w:sz w:val="21"/>
      <w:szCs w:val="24"/>
    </w:rPr>
  </w:style>
  <w:style w:type="character" w:customStyle="1" w:styleId="50">
    <w:name w:val="文档结构图 Char"/>
    <w:basedOn w:val="27"/>
    <w:link w:val="13"/>
    <w:qFormat/>
    <w:uiPriority w:val="0"/>
    <w:rPr>
      <w:rFonts w:ascii="宋体" w:hAnsi="Calibri" w:eastAsia="宋体" w:cs="Times New Roman"/>
      <w:kern w:val="2"/>
      <w:sz w:val="18"/>
      <w:szCs w:val="18"/>
    </w:rPr>
  </w:style>
  <w:style w:type="character" w:customStyle="1" w:styleId="51">
    <w:name w:val="批注文字 Char"/>
    <w:basedOn w:val="27"/>
    <w:link w:val="14"/>
    <w:qFormat/>
    <w:uiPriority w:val="0"/>
    <w:rPr>
      <w:rFonts w:ascii="Calibri" w:hAnsi="Calibri" w:eastAsia="宋体" w:cs="Times New Roman"/>
      <w:kern w:val="2"/>
      <w:sz w:val="21"/>
      <w:szCs w:val="24"/>
    </w:rPr>
  </w:style>
  <w:style w:type="character" w:customStyle="1" w:styleId="52">
    <w:name w:val="正文文本缩进 Char"/>
    <w:basedOn w:val="27"/>
    <w:link w:val="15"/>
    <w:qFormat/>
    <w:uiPriority w:val="99"/>
    <w:rPr>
      <w:rFonts w:ascii="宋体" w:hAnsi="Courier New" w:eastAsia="宋体" w:cs="Times New Roman"/>
      <w:spacing w:val="-4"/>
      <w:kern w:val="2"/>
      <w:sz w:val="18"/>
      <w:szCs w:val="20"/>
    </w:rPr>
  </w:style>
  <w:style w:type="character" w:customStyle="1" w:styleId="53">
    <w:name w:val="纯文本 Char1"/>
    <w:qFormat/>
    <w:uiPriority w:val="99"/>
    <w:rPr>
      <w:rFonts w:ascii="宋体" w:hAnsi="Courier New" w:eastAsia="宋体" w:cs="Times New Roman"/>
      <w:kern w:val="2"/>
      <w:sz w:val="21"/>
      <w:szCs w:val="20"/>
    </w:rPr>
  </w:style>
  <w:style w:type="character" w:customStyle="1" w:styleId="54">
    <w:name w:val="纯文本 Char"/>
    <w:basedOn w:val="27"/>
    <w:link w:val="16"/>
    <w:qFormat/>
    <w:uiPriority w:val="0"/>
    <w:rPr>
      <w:rFonts w:ascii="宋体" w:hAnsi="Courier New" w:eastAsia="宋体" w:cs="Courier New"/>
      <w:sz w:val="21"/>
      <w:szCs w:val="21"/>
    </w:rPr>
  </w:style>
  <w:style w:type="character" w:customStyle="1" w:styleId="55">
    <w:name w:val="批注框文本 Char"/>
    <w:basedOn w:val="27"/>
    <w:link w:val="17"/>
    <w:qFormat/>
    <w:uiPriority w:val="0"/>
    <w:rPr>
      <w:rFonts w:ascii="Calibri" w:hAnsi="Calibri" w:eastAsia="宋体" w:cs="Times New Roman"/>
      <w:kern w:val="2"/>
      <w:sz w:val="18"/>
      <w:szCs w:val="18"/>
    </w:rPr>
  </w:style>
  <w:style w:type="character" w:customStyle="1" w:styleId="56">
    <w:name w:val="标题 Char"/>
    <w:basedOn w:val="27"/>
    <w:link w:val="23"/>
    <w:qFormat/>
    <w:uiPriority w:val="0"/>
    <w:rPr>
      <w:rFonts w:ascii="Cambria" w:hAnsi="Cambria" w:eastAsia="宋体" w:cs="Times New Roman"/>
      <w:b/>
      <w:bCs/>
      <w:sz w:val="32"/>
      <w:szCs w:val="32"/>
    </w:rPr>
  </w:style>
  <w:style w:type="character" w:customStyle="1" w:styleId="57">
    <w:name w:val="批注主题 Char"/>
    <w:basedOn w:val="51"/>
    <w:link w:val="24"/>
    <w:qFormat/>
    <w:uiPriority w:val="0"/>
    <w:rPr>
      <w:rFonts w:ascii="Calibri" w:hAnsi="Calibri" w:eastAsia="宋体" w:cs="Times New Roman"/>
      <w:b/>
      <w:bCs/>
      <w:kern w:val="2"/>
      <w:sz w:val="21"/>
      <w:szCs w:val="24"/>
    </w:rPr>
  </w:style>
  <w:style w:type="character" w:customStyle="1" w:styleId="58">
    <w:name w:val="已访问的超链接1"/>
    <w:qFormat/>
    <w:uiPriority w:val="0"/>
    <w:rPr>
      <w:color w:val="0000CC"/>
      <w:u w:val="none"/>
    </w:rPr>
  </w:style>
  <w:style w:type="character" w:customStyle="1" w:styleId="59">
    <w:name w:val="fontborder"/>
    <w:qFormat/>
    <w:uiPriority w:val="0"/>
    <w:rPr>
      <w:bdr w:val="single" w:color="000000" w:sz="6" w:space="0"/>
    </w:rPr>
  </w:style>
  <w:style w:type="character" w:customStyle="1" w:styleId="60">
    <w:name w:val="释义正文2"/>
    <w:qFormat/>
    <w:uiPriority w:val="0"/>
    <w:rPr>
      <w:sz w:val="24"/>
    </w:rPr>
  </w:style>
  <w:style w:type="character" w:customStyle="1" w:styleId="61">
    <w:name w:val="神路正文"/>
    <w:qFormat/>
    <w:uiPriority w:val="0"/>
    <w:rPr>
      <w:rFonts w:ascii="宋体" w:hAnsi="宋体" w:eastAsia="仿宋_GB2312"/>
      <w:color w:val="000000"/>
      <w:sz w:val="24"/>
    </w:rPr>
  </w:style>
  <w:style w:type="character" w:customStyle="1" w:styleId="62">
    <w:name w:val="fontstrikethrough"/>
    <w:qFormat/>
    <w:uiPriority w:val="0"/>
    <w:rPr>
      <w:strike/>
    </w:rPr>
  </w:style>
  <w:style w:type="paragraph" w:customStyle="1" w:styleId="63">
    <w:name w:val="目录 21"/>
    <w:basedOn w:val="1"/>
    <w:next w:val="1"/>
    <w:qFormat/>
    <w:uiPriority w:val="39"/>
    <w:pPr>
      <w:widowControl w:val="0"/>
      <w:adjustRightInd/>
      <w:snapToGrid/>
      <w:spacing w:after="0"/>
      <w:ind w:left="420" w:leftChars="200"/>
      <w:jc w:val="both"/>
    </w:pPr>
    <w:rPr>
      <w:rFonts w:ascii="Calibri" w:hAnsi="Calibri" w:eastAsia="宋体" w:cs="Times New Roman"/>
      <w:kern w:val="2"/>
      <w:sz w:val="21"/>
      <w:szCs w:val="24"/>
    </w:rPr>
  </w:style>
  <w:style w:type="paragraph" w:customStyle="1" w:styleId="64">
    <w:name w:val="目录 1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customStyle="1" w:styleId="65">
    <w:name w:val="正文段"/>
    <w:basedOn w:val="1"/>
    <w:qFormat/>
    <w:uiPriority w:val="0"/>
    <w:pPr>
      <w:adjustRightInd/>
      <w:spacing w:afterLines="50"/>
      <w:ind w:firstLine="200" w:firstLineChars="200"/>
      <w:jc w:val="both"/>
    </w:pPr>
    <w:rPr>
      <w:rFonts w:ascii="Calibri" w:hAnsi="Calibri" w:eastAsia="宋体" w:cs="Times New Roman"/>
      <w:sz w:val="24"/>
      <w:szCs w:val="20"/>
    </w:rPr>
  </w:style>
  <w:style w:type="paragraph" w:customStyle="1" w:styleId="66">
    <w:name w:val="修订1"/>
    <w:qFormat/>
    <w:uiPriority w:val="99"/>
    <w:rPr>
      <w:rFonts w:ascii="Calibri" w:hAnsi="Calibri" w:eastAsia="宋体" w:cs="Times New Roman"/>
      <w:kern w:val="2"/>
      <w:sz w:val="21"/>
      <w:szCs w:val="24"/>
      <w:lang w:val="en-US" w:eastAsia="zh-CN" w:bidi="ar-SA"/>
    </w:rPr>
  </w:style>
  <w:style w:type="paragraph" w:customStyle="1" w:styleId="67">
    <w:name w:val="纯文本11"/>
    <w:basedOn w:val="1"/>
    <w:qFormat/>
    <w:uiPriority w:val="0"/>
    <w:pPr>
      <w:widowControl w:val="0"/>
      <w:suppressAutoHyphens/>
      <w:adjustRightInd/>
      <w:snapToGrid/>
      <w:spacing w:after="0"/>
      <w:jc w:val="both"/>
    </w:pPr>
    <w:rPr>
      <w:rFonts w:ascii="宋体" w:hAnsi="宋体" w:eastAsia="宋体" w:cs="Calibri"/>
      <w:kern w:val="1"/>
      <w:sz w:val="20"/>
      <w:szCs w:val="21"/>
      <w:lang w:eastAsia="ar-SA"/>
    </w:rPr>
  </w:style>
  <w:style w:type="paragraph" w:customStyle="1" w:styleId="6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69">
    <w:name w:val="最终规范标题3"/>
    <w:basedOn w:val="1"/>
    <w:qFormat/>
    <w:uiPriority w:val="0"/>
    <w:pPr>
      <w:widowControl w:val="0"/>
      <w:adjustRightInd/>
      <w:snapToGrid/>
      <w:spacing w:after="0" w:line="300" w:lineRule="auto"/>
      <w:jc w:val="both"/>
      <w:outlineLvl w:val="2"/>
    </w:pPr>
    <w:rPr>
      <w:rFonts w:ascii="Calibri" w:hAnsi="Calibri" w:eastAsia="宋体" w:cs="Times New Roman"/>
      <w:kern w:val="2"/>
      <w:sz w:val="21"/>
      <w:szCs w:val="21"/>
    </w:rPr>
  </w:style>
  <w:style w:type="paragraph" w:customStyle="1" w:styleId="70">
    <w:name w:val="imap正文"/>
    <w:basedOn w:val="1"/>
    <w:qFormat/>
    <w:uiPriority w:val="0"/>
    <w:pPr>
      <w:widowControl w:val="0"/>
      <w:adjustRightInd/>
      <w:snapToGrid/>
      <w:spacing w:after="0" w:line="360" w:lineRule="auto"/>
      <w:ind w:firstLine="480" w:firstLineChars="200"/>
      <w:jc w:val="both"/>
    </w:pPr>
    <w:rPr>
      <w:rFonts w:ascii="Calibri" w:hAnsi="Calibri" w:eastAsia="宋体" w:cs="Times New Roman"/>
      <w:kern w:val="2"/>
      <w:sz w:val="24"/>
    </w:rPr>
  </w:style>
  <w:style w:type="paragraph" w:customStyle="1" w:styleId="71">
    <w:name w:val="list_item_address"/>
    <w:basedOn w:val="1"/>
    <w:qFormat/>
    <w:uiPriority w:val="0"/>
    <w:pPr>
      <w:adjustRightInd/>
      <w:snapToGrid/>
      <w:spacing w:before="100" w:beforeAutospacing="1" w:after="100" w:afterAutospacing="1"/>
    </w:pPr>
    <w:rPr>
      <w:rFonts w:ascii="宋体" w:hAnsi="宋体" w:eastAsia="宋体"/>
      <w:sz w:val="24"/>
      <w:szCs w:val="24"/>
    </w:rPr>
  </w:style>
  <w:style w:type="paragraph" w:customStyle="1" w:styleId="72">
    <w:name w:val="列表段落1"/>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73">
    <w:name w:val="文档正文"/>
    <w:basedOn w:val="1"/>
    <w:qFormat/>
    <w:uiPriority w:val="0"/>
    <w:pPr>
      <w:widowControl w:val="0"/>
      <w:snapToGrid/>
      <w:spacing w:after="120" w:line="360" w:lineRule="auto"/>
      <w:ind w:firstLine="480" w:firstLineChars="200"/>
      <w:jc w:val="both"/>
      <w:textAlignment w:val="baseline"/>
    </w:pPr>
    <w:rPr>
      <w:rFonts w:ascii="华文细黑" w:hAnsi="华文细黑" w:eastAsia="华文细黑" w:cs="Times New Roman"/>
      <w:color w:val="000000"/>
      <w:sz w:val="24"/>
      <w:szCs w:val="20"/>
    </w:rPr>
  </w:style>
  <w:style w:type="paragraph" w:customStyle="1" w:styleId="74">
    <w:name w:val="普通正文"/>
    <w:basedOn w:val="1"/>
    <w:qFormat/>
    <w:uiPriority w:val="0"/>
    <w:pPr>
      <w:widowControl w:val="0"/>
      <w:suppressAutoHyphens/>
      <w:adjustRightInd/>
      <w:snapToGrid/>
      <w:spacing w:before="120" w:after="120" w:line="360" w:lineRule="auto"/>
      <w:ind w:firstLine="480"/>
    </w:pPr>
    <w:rPr>
      <w:rFonts w:ascii="Arial" w:hAnsi="Arial" w:eastAsia="宋体" w:cs="Times New Roman"/>
      <w:kern w:val="2"/>
      <w:sz w:val="24"/>
      <w:szCs w:val="24"/>
      <w:lang w:eastAsia="ar-SA"/>
    </w:rPr>
  </w:style>
  <w:style w:type="paragraph" w:customStyle="1" w:styleId="75">
    <w:name w:val="样式 正文缩进 + 首行缩进:  2 字符"/>
    <w:basedOn w:val="11"/>
    <w:qFormat/>
    <w:uiPriority w:val="0"/>
    <w:pPr>
      <w:spacing w:line="360" w:lineRule="auto"/>
      <w:ind w:firstLine="200"/>
    </w:pPr>
    <w:rPr>
      <w:rFonts w:ascii="Times New Roman" w:hAnsi="Times New Roman"/>
      <w:sz w:val="24"/>
      <w:szCs w:val="20"/>
    </w:rPr>
  </w:style>
  <w:style w:type="paragraph" w:customStyle="1" w:styleId="76">
    <w:name w:val="列出段落2"/>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77">
    <w:name w:val="_正文段落"/>
    <w:basedOn w:val="1"/>
    <w:qFormat/>
    <w:uiPriority w:val="0"/>
    <w:pPr>
      <w:widowControl w:val="0"/>
      <w:adjustRightInd/>
      <w:snapToGrid/>
      <w:spacing w:after="0" w:line="360" w:lineRule="auto"/>
      <w:ind w:firstLine="200" w:firstLineChars="200"/>
      <w:jc w:val="both"/>
    </w:pPr>
    <w:rPr>
      <w:rFonts w:ascii="仿宋_GB2312" w:hAnsi="Times New Roman" w:eastAsia="仿宋_GB2312" w:cs="Times New Roman"/>
      <w:sz w:val="28"/>
      <w:szCs w:val="24"/>
    </w:rPr>
  </w:style>
  <w:style w:type="paragraph" w:customStyle="1" w:styleId="78">
    <w:name w:val="zhengwen2"/>
    <w:basedOn w:val="1"/>
    <w:qFormat/>
    <w:uiPriority w:val="0"/>
    <w:pPr>
      <w:widowControl w:val="0"/>
      <w:adjustRightInd/>
      <w:snapToGrid/>
      <w:spacing w:after="0" w:line="360" w:lineRule="auto"/>
      <w:ind w:firstLine="200" w:firstLineChars="200"/>
      <w:jc w:val="both"/>
    </w:pPr>
    <w:rPr>
      <w:rFonts w:ascii="宋体" w:hAnsi="等线" w:eastAsia="仿宋_GB2312" w:cs="Times New Roman"/>
      <w:kern w:val="2"/>
      <w:sz w:val="28"/>
    </w:rPr>
  </w:style>
  <w:style w:type="paragraph" w:customStyle="1" w:styleId="79">
    <w:name w:val="p16"/>
    <w:basedOn w:val="1"/>
    <w:qFormat/>
    <w:uiPriority w:val="0"/>
    <w:pPr>
      <w:adjustRightInd/>
      <w:snapToGrid/>
      <w:spacing w:after="0"/>
      <w:jc w:val="both"/>
    </w:pPr>
    <w:rPr>
      <w:rFonts w:ascii="宋体" w:hAnsi="宋体" w:eastAsia="宋体"/>
      <w:sz w:val="21"/>
      <w:szCs w:val="21"/>
    </w:rPr>
  </w:style>
  <w:style w:type="paragraph" w:customStyle="1" w:styleId="80">
    <w:name w:val="_Style 6"/>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81">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8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83">
    <w:name w:val="正文缩进 Char"/>
    <w:link w:val="11"/>
    <w:qFormat/>
    <w:uiPriority w:val="0"/>
    <w:rPr>
      <w:rFonts w:ascii="Calibri" w:hAnsi="Calibri" w:eastAsia="宋体" w:cs="Times New Roman"/>
      <w:kern w:val="2"/>
      <w:sz w:val="21"/>
      <w:szCs w:val="24"/>
    </w:rPr>
  </w:style>
  <w:style w:type="character" w:customStyle="1" w:styleId="84">
    <w:name w:val="c-icon14"/>
    <w:basedOn w:val="27"/>
    <w:qFormat/>
    <w:uiPriority w:val="0"/>
  </w:style>
  <w:style w:type="paragraph" w:customStyle="1" w:styleId="85">
    <w:name w:val="cjk"/>
    <w:basedOn w:val="1"/>
    <w:qFormat/>
    <w:uiPriority w:val="0"/>
    <w:pPr>
      <w:adjustRightInd/>
      <w:snapToGrid/>
      <w:spacing w:after="0" w:line="480" w:lineRule="auto"/>
    </w:pPr>
    <w:rPr>
      <w:rFonts w:ascii="宋体" w:hAnsi="宋体" w:eastAsia="宋体"/>
      <w:sz w:val="24"/>
      <w:szCs w:val="24"/>
    </w:rPr>
  </w:style>
  <w:style w:type="character" w:customStyle="1" w:styleId="86">
    <w:name w:val="layui-layer-tabnow"/>
    <w:basedOn w:val="27"/>
    <w:qFormat/>
    <w:uiPriority w:val="0"/>
    <w:rPr>
      <w:bdr w:val="single" w:color="CCCCCC" w:sz="6" w:space="0"/>
      <w:shd w:val="clear" w:color="auto" w:fill="FFFFFF"/>
    </w:rPr>
  </w:style>
  <w:style w:type="character" w:customStyle="1" w:styleId="87">
    <w:name w:val="first-child"/>
    <w:basedOn w:val="27"/>
    <w:qFormat/>
    <w:uiPriority w:val="0"/>
  </w:style>
  <w:style w:type="character" w:customStyle="1" w:styleId="88">
    <w:name w:val="time"/>
    <w:basedOn w:val="27"/>
    <w:qFormat/>
    <w:uiPriority w:val="0"/>
    <w:rPr>
      <w:color w:val="999999"/>
    </w:rPr>
  </w:style>
  <w:style w:type="character" w:customStyle="1" w:styleId="89">
    <w:name w:val="dot"/>
    <w:basedOn w:val="27"/>
    <w:qFormat/>
    <w:uiPriority w:val="0"/>
  </w:style>
  <w:style w:type="character" w:customStyle="1" w:styleId="90">
    <w:name w:val="time2"/>
    <w:basedOn w:val="27"/>
    <w:qFormat/>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5258</Words>
  <Characters>29975</Characters>
  <Lines>249</Lines>
  <Paragraphs>70</Paragraphs>
  <TotalTime>34</TotalTime>
  <ScaleCrop>false</ScaleCrop>
  <LinksUpToDate>false</LinksUpToDate>
  <CharactersWithSpaces>35163</CharactersWithSpaces>
  <Application>WPS Office_11.1.0.10069_F1E327BC-269C-435d-A152-05C5408002CA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2020-08-20T15:10:00Z</dcterms:created>
  <dc:creator>Administrator</dc:creator>
  <cp:lastModifiedBy>Administrator</cp:lastModifiedBy>
  <cp:lastPrinted>2020-09-21T14:02:00Z</cp:lastPrinted>
  <dcterms:modified xsi:type="dcterms:W3CDTF">2020-10-13T03:12:18Z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