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center" w:pos="4950"/>
          <w:tab w:val="right" w:pos="9781"/>
        </w:tabs>
        <w:jc w:val="both"/>
        <w:rPr>
          <w:rFonts w:hint="default" w:hAnsi="宋体" w:cs="宋体"/>
          <w:sz w:val="96"/>
          <w:szCs w:val="96"/>
        </w:rPr>
      </w:pPr>
    </w:p>
    <w:p>
      <w:pPr>
        <w:pStyle w:val="10"/>
        <w:tabs>
          <w:tab w:val="center" w:pos="4950"/>
          <w:tab w:val="right" w:pos="9781"/>
        </w:tabs>
        <w:jc w:val="center"/>
        <w:rPr>
          <w:rFonts w:hAnsi="宋体" w:cs="宋体"/>
          <w:sz w:val="96"/>
          <w:szCs w:val="96"/>
        </w:rPr>
      </w:pPr>
      <w:r>
        <w:rPr>
          <w:rFonts w:hAnsi="宋体" w:cs="宋体"/>
          <w:sz w:val="96"/>
          <w:szCs w:val="96"/>
        </w:rPr>
        <w:t>公开招标文件</w:t>
      </w:r>
    </w:p>
    <w:p>
      <w:pPr>
        <w:pStyle w:val="10"/>
        <w:rPr>
          <w:rFonts w:hint="default" w:hAnsi="宋体" w:cs="宋体"/>
        </w:rPr>
      </w:pPr>
    </w:p>
    <w:p>
      <w:pPr>
        <w:rPr>
          <w:rFonts w:ascii="宋体" w:hAnsi="宋体" w:cs="宋体"/>
          <w:b/>
          <w:bCs/>
          <w:sz w:val="36"/>
          <w:szCs w:val="36"/>
        </w:rPr>
      </w:pPr>
    </w:p>
    <w:p>
      <w:pPr>
        <w:ind w:left="3602" w:leftChars="855" w:hanging="1807" w:hangingChars="500"/>
        <w:rPr>
          <w:rFonts w:ascii="宋体" w:hAnsi="宋体" w:cs="宋体"/>
          <w:b/>
          <w:bCs/>
          <w:sz w:val="36"/>
        </w:rPr>
      </w:pPr>
      <w:r>
        <w:rPr>
          <w:rFonts w:hint="eastAsia" w:ascii="宋体" w:hAnsi="宋体" w:cs="宋体"/>
          <w:b/>
          <w:bCs/>
          <w:sz w:val="36"/>
        </w:rPr>
        <w:t>项目名称:南宁市就业创业和人力资源市场信息系统数据备份中心建设</w:t>
      </w:r>
    </w:p>
    <w:p>
      <w:pPr>
        <w:ind w:left="3602" w:leftChars="855" w:hanging="1807" w:hangingChars="500"/>
        <w:rPr>
          <w:rFonts w:hint="eastAsia" w:ascii="宋体" w:hAnsi="宋体" w:cs="宋体"/>
          <w:b/>
          <w:sz w:val="36"/>
          <w:szCs w:val="36"/>
        </w:rPr>
      </w:pPr>
      <w:r>
        <w:rPr>
          <w:rFonts w:hint="eastAsia" w:ascii="宋体" w:hAnsi="宋体" w:cs="宋体"/>
          <w:b/>
          <w:bCs/>
          <w:sz w:val="36"/>
        </w:rPr>
        <w:t>项</w:t>
      </w:r>
      <w:r>
        <w:rPr>
          <w:rFonts w:hint="eastAsia" w:ascii="宋体" w:hAnsi="宋体" w:cs="宋体"/>
          <w:b/>
          <w:sz w:val="36"/>
          <w:szCs w:val="36"/>
        </w:rPr>
        <w:t>目编号：NNZC2020-G1-990185-GXYZ</w:t>
      </w:r>
    </w:p>
    <w:p>
      <w:pPr>
        <w:ind w:left="3602" w:leftChars="855" w:hanging="1807" w:hangingChars="500"/>
        <w:rPr>
          <w:rFonts w:hint="eastAsia" w:ascii="宋体" w:hAnsi="宋体" w:cs="宋体"/>
          <w:b/>
          <w:sz w:val="36"/>
          <w:szCs w:val="36"/>
        </w:rPr>
      </w:pPr>
      <w:r>
        <w:rPr>
          <w:rFonts w:hint="eastAsia" w:ascii="宋体" w:hAnsi="宋体" w:cs="宋体"/>
          <w:b/>
          <w:sz w:val="36"/>
          <w:szCs w:val="36"/>
        </w:rPr>
        <w:t>审批编号：</w:t>
      </w:r>
      <w:r>
        <w:rPr>
          <w:rFonts w:hint="eastAsia" w:ascii="宋体" w:hAnsi="宋体" w:cs="宋体"/>
          <w:b/>
          <w:sz w:val="36"/>
          <w:szCs w:val="36"/>
        </w:rPr>
        <w:fldChar w:fldCharType="begin"/>
      </w:r>
      <w:r>
        <w:rPr>
          <w:rFonts w:hint="eastAsia" w:ascii="宋体" w:hAnsi="宋体" w:cs="宋体"/>
          <w:b/>
          <w:sz w:val="36"/>
          <w:szCs w:val="36"/>
        </w:rPr>
        <w:instrText xml:space="preserve"> HYPERLINK "https://pay.zcygov.cn/purchaseplan_front/" \l "/plan/list/detail?id=1000000000003425825&amp;encrypt=9876525f155030c3f211a8fee54e77cf" \t "https://www.zcygov.cn/bidding-entrust/" \l "/purchaseFileMake/_blank" </w:instrText>
      </w:r>
      <w:r>
        <w:rPr>
          <w:rFonts w:hint="eastAsia" w:ascii="宋体" w:hAnsi="宋体" w:cs="宋体"/>
          <w:b/>
          <w:sz w:val="36"/>
          <w:szCs w:val="36"/>
        </w:rPr>
        <w:fldChar w:fldCharType="separate"/>
      </w:r>
      <w:r>
        <w:rPr>
          <w:rFonts w:hint="eastAsia" w:ascii="宋体" w:hAnsi="宋体" w:cs="宋体"/>
          <w:b/>
          <w:sz w:val="36"/>
          <w:szCs w:val="36"/>
        </w:rPr>
        <w:t>[2020]NCCSH206-001</w:t>
      </w:r>
      <w:r>
        <w:rPr>
          <w:rFonts w:hint="eastAsia" w:ascii="宋体" w:hAnsi="宋体" w:cs="宋体"/>
          <w:b/>
          <w:sz w:val="36"/>
          <w:szCs w:val="36"/>
        </w:rPr>
        <w:fldChar w:fldCharType="end"/>
      </w:r>
    </w:p>
    <w:p>
      <w:pPr>
        <w:ind w:left="3602" w:leftChars="855" w:hanging="1807" w:hangingChars="500"/>
        <w:rPr>
          <w:rFonts w:ascii="宋体" w:hAnsi="宋体" w:cs="宋体"/>
          <w:b/>
          <w:bCs/>
          <w:sz w:val="36"/>
        </w:rPr>
      </w:pPr>
    </w:p>
    <w:p>
      <w:pPr>
        <w:jc w:val="center"/>
        <w:rPr>
          <w:rFonts w:ascii="宋体" w:hAnsi="宋体" w:cs="宋体"/>
          <w:b/>
          <w:bCs/>
          <w:sz w:val="36"/>
        </w:rPr>
      </w:pPr>
      <w:r>
        <w:rPr>
          <w:rFonts w:ascii="宋体" w:hAnsi="宋体" w:eastAsia="宋体" w:cs="宋体"/>
          <w:kern w:val="0"/>
          <w:sz w:val="24"/>
          <w:szCs w:val="24"/>
          <w:lang w:val="en-US" w:eastAsia="zh-CN" w:bidi="ar"/>
        </w:rPr>
        <w:drawing>
          <wp:inline distT="0" distB="0" distL="114300" distR="114300">
            <wp:extent cx="4672330" cy="4234815"/>
            <wp:effectExtent l="0" t="0" r="13970" b="1333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7"/>
                    <a:stretch>
                      <a:fillRect/>
                    </a:stretch>
                  </pic:blipFill>
                  <pic:spPr>
                    <a:xfrm>
                      <a:off x="0" y="0"/>
                      <a:ext cx="4672330" cy="4234815"/>
                    </a:xfrm>
                    <a:prstGeom prst="rect">
                      <a:avLst/>
                    </a:prstGeom>
                    <a:noFill/>
                    <a:ln w="9525">
                      <a:noFill/>
                    </a:ln>
                  </pic:spPr>
                </pic:pic>
              </a:graphicData>
            </a:graphic>
          </wp:inline>
        </w:drawing>
      </w:r>
    </w:p>
    <w:p>
      <w:pPr>
        <w:widowControl/>
        <w:jc w:val="both"/>
      </w:pPr>
    </w:p>
    <w:p>
      <w:pPr>
        <w:ind w:left="2845" w:leftChars="1355" w:firstLine="1988" w:firstLineChars="550"/>
        <w:rPr>
          <w:rFonts w:ascii="宋体" w:hAnsi="宋体" w:cs="宋体"/>
          <w:b/>
          <w:bCs/>
          <w:sz w:val="36"/>
        </w:rPr>
        <w:sectPr>
          <w:headerReference r:id="rId4" w:type="first"/>
          <w:footerReference r:id="rId6" w:type="first"/>
          <w:headerReference r:id="rId3" w:type="default"/>
          <w:footerReference r:id="rId5" w:type="even"/>
          <w:pgSz w:w="11906" w:h="16838"/>
          <w:pgMar w:top="1134" w:right="1133" w:bottom="1134" w:left="1007" w:header="720" w:footer="720" w:gutter="0"/>
          <w:pgNumType w:start="0"/>
          <w:cols w:space="720" w:num="1"/>
          <w:titlePg/>
          <w:docGrid w:type="lines" w:linePitch="331" w:charSpace="0"/>
        </w:sectPr>
      </w:pPr>
    </w:p>
    <w:p>
      <w:pPr>
        <w:spacing w:line="440" w:lineRule="exact"/>
        <w:ind w:firstLine="1600" w:firstLineChars="500"/>
        <w:rPr>
          <w:rFonts w:ascii="宋体" w:hAnsi="宋体" w:cs="宋体"/>
          <w:b/>
          <w:bCs/>
          <w:sz w:val="32"/>
          <w:szCs w:val="32"/>
        </w:rPr>
      </w:pPr>
    </w:p>
    <w:p>
      <w:pPr>
        <w:spacing w:line="440" w:lineRule="exact"/>
        <w:ind w:firstLine="2560" w:firstLineChars="800"/>
        <w:rPr>
          <w:rFonts w:ascii="宋体" w:hAnsi="宋体" w:cs="宋体"/>
          <w:b/>
          <w:bCs/>
          <w:sz w:val="32"/>
          <w:szCs w:val="32"/>
        </w:rPr>
      </w:pPr>
      <w:r>
        <w:rPr>
          <w:rFonts w:hint="eastAsia" w:ascii="宋体" w:hAnsi="宋体" w:cs="宋体"/>
          <w:b/>
          <w:bCs/>
          <w:sz w:val="32"/>
          <w:szCs w:val="32"/>
        </w:rPr>
        <w:t>关于投标文件邮寄形式的通知</w:t>
      </w:r>
    </w:p>
    <w:p>
      <w:pPr>
        <w:widowControl/>
        <w:adjustRightInd w:val="0"/>
        <w:snapToGrid w:val="0"/>
        <w:spacing w:after="200"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为做好新型冠状病毒肺炎疫情防控工作，根据南宁市财政局《关于做好疫情防控期间政府采购工作有关事项的通知》（南财采〔2020〕12号）要求，现对本项目相关事项通知如下：</w:t>
      </w:r>
    </w:p>
    <w:p>
      <w:pPr>
        <w:widowControl/>
        <w:adjustRightInd w:val="0"/>
        <w:snapToGrid w:val="0"/>
        <w:spacing w:after="200"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（一）本项目投标截止（开标）时间为：</w:t>
      </w:r>
      <w:r>
        <w:rPr>
          <w:rFonts w:hint="eastAsia" w:ascii="宋体" w:hAnsi="宋体" w:cs="宋体"/>
          <w:b/>
          <w:bCs/>
          <w:kern w:val="0"/>
          <w:sz w:val="24"/>
          <w:szCs w:val="24"/>
        </w:rPr>
        <w:t>2020年</w:t>
      </w:r>
      <w:r>
        <w:rPr>
          <w:rFonts w:hint="eastAsia" w:ascii="宋体" w:hAnsi="宋体" w:cs="宋体"/>
          <w:b/>
          <w:bCs/>
          <w:kern w:val="0"/>
          <w:sz w:val="24"/>
          <w:szCs w:val="24"/>
          <w:lang w:val="en-US" w:eastAsia="zh-CN"/>
        </w:rPr>
        <w:t>10</w:t>
      </w:r>
      <w:r>
        <w:rPr>
          <w:rFonts w:hint="eastAsia" w:ascii="宋体" w:hAnsi="宋体" w:cs="宋体"/>
          <w:b/>
          <w:bCs/>
          <w:kern w:val="0"/>
          <w:sz w:val="24"/>
          <w:szCs w:val="24"/>
        </w:rPr>
        <w:t>月</w:t>
      </w:r>
      <w:r>
        <w:rPr>
          <w:rFonts w:hint="eastAsia" w:ascii="宋体" w:hAnsi="宋体" w:cs="宋体"/>
          <w:b/>
          <w:bCs/>
          <w:kern w:val="0"/>
          <w:sz w:val="24"/>
          <w:szCs w:val="24"/>
          <w:lang w:val="en-US" w:eastAsia="zh-CN"/>
        </w:rPr>
        <w:t>23</w:t>
      </w:r>
      <w:r>
        <w:rPr>
          <w:rFonts w:hint="eastAsia" w:ascii="宋体" w:hAnsi="宋体" w:cs="宋体"/>
          <w:b/>
          <w:bCs/>
          <w:kern w:val="0"/>
          <w:sz w:val="24"/>
          <w:szCs w:val="24"/>
        </w:rPr>
        <w:t>日</w:t>
      </w:r>
      <w:r>
        <w:rPr>
          <w:rFonts w:hint="eastAsia" w:ascii="宋体" w:hAnsi="宋体" w:cs="宋体"/>
          <w:b/>
          <w:bCs/>
          <w:kern w:val="0"/>
          <w:sz w:val="24"/>
          <w:szCs w:val="24"/>
          <w:lang w:val="en-US" w:eastAsia="zh-CN"/>
        </w:rPr>
        <w:t>09</w:t>
      </w:r>
      <w:r>
        <w:rPr>
          <w:rFonts w:hint="eastAsia" w:ascii="宋体" w:hAnsi="宋体" w:cs="宋体"/>
          <w:b/>
          <w:bCs/>
          <w:kern w:val="0"/>
          <w:sz w:val="24"/>
          <w:szCs w:val="24"/>
        </w:rPr>
        <w:t>时</w:t>
      </w:r>
      <w:r>
        <w:rPr>
          <w:rFonts w:hint="eastAsia" w:ascii="宋体" w:hAnsi="宋体" w:cs="宋体"/>
          <w:b/>
          <w:bCs/>
          <w:kern w:val="0"/>
          <w:sz w:val="24"/>
          <w:szCs w:val="24"/>
          <w:lang w:val="en-US" w:eastAsia="zh-CN"/>
        </w:rPr>
        <w:t>30</w:t>
      </w:r>
      <w:r>
        <w:rPr>
          <w:rFonts w:hint="eastAsia" w:ascii="宋体" w:hAnsi="宋体" w:cs="宋体"/>
          <w:b/>
          <w:bCs/>
          <w:kern w:val="0"/>
          <w:sz w:val="24"/>
          <w:szCs w:val="24"/>
        </w:rPr>
        <w:t>分。</w:t>
      </w:r>
    </w:p>
    <w:p>
      <w:pPr>
        <w:widowControl/>
        <w:adjustRightInd w:val="0"/>
        <w:snapToGrid w:val="0"/>
        <w:spacing w:after="200" w:line="440" w:lineRule="exact"/>
        <w:ind w:firstLine="480" w:firstLineChars="200"/>
        <w:jc w:val="left"/>
        <w:rPr>
          <w:rFonts w:ascii="宋体" w:hAnsi="宋体" w:cs="宋体"/>
          <w:b/>
          <w:kern w:val="0"/>
          <w:sz w:val="24"/>
          <w:szCs w:val="24"/>
        </w:rPr>
      </w:pPr>
      <w:r>
        <w:rPr>
          <w:rFonts w:hint="eastAsia" w:ascii="宋体" w:hAnsi="宋体" w:cs="宋体"/>
          <w:b/>
          <w:kern w:val="0"/>
          <w:sz w:val="24"/>
          <w:szCs w:val="24"/>
        </w:rPr>
        <w:t>（二）本项目的投标文件通过邮寄快递的方式送达。</w:t>
      </w:r>
    </w:p>
    <w:p>
      <w:pPr>
        <w:widowControl/>
        <w:adjustRightInd w:val="0"/>
        <w:snapToGrid w:val="0"/>
        <w:spacing w:after="200" w:line="440" w:lineRule="exact"/>
        <w:ind w:firstLine="720" w:firstLineChars="300"/>
        <w:jc w:val="left"/>
        <w:rPr>
          <w:rFonts w:ascii="宋体" w:hAnsi="宋体" w:cs="宋体"/>
          <w:b/>
          <w:kern w:val="0"/>
          <w:sz w:val="24"/>
          <w:szCs w:val="24"/>
        </w:rPr>
      </w:pPr>
      <w:r>
        <w:rPr>
          <w:rFonts w:hint="eastAsia" w:ascii="宋体" w:hAnsi="宋体" w:cs="宋体"/>
          <w:b/>
          <w:kern w:val="0"/>
          <w:sz w:val="24"/>
          <w:szCs w:val="24"/>
        </w:rPr>
        <w:t>1、接收邮寄快递包裹的时间为工作日上午9：00～12：00，下午15：00～18:00，投标人应对自己的投标文件的快递包封和密封性负责，如送达的快递包裹出现破损导致投标文件密封性包封破损的，后果由投标人自行承担。</w:t>
      </w:r>
    </w:p>
    <w:p>
      <w:pPr>
        <w:widowControl/>
        <w:adjustRightInd w:val="0"/>
        <w:snapToGrid w:val="0"/>
        <w:spacing w:after="200" w:line="440" w:lineRule="exact"/>
        <w:ind w:firstLine="720" w:firstLineChars="300"/>
        <w:jc w:val="left"/>
        <w:rPr>
          <w:rFonts w:ascii="宋体" w:hAnsi="宋体" w:cs="宋体"/>
          <w:kern w:val="0"/>
          <w:sz w:val="24"/>
          <w:szCs w:val="24"/>
        </w:rPr>
      </w:pPr>
      <w:r>
        <w:rPr>
          <w:rFonts w:hint="eastAsia" w:ascii="宋体" w:hAnsi="宋体" w:cs="宋体"/>
          <w:kern w:val="0"/>
          <w:sz w:val="24"/>
          <w:szCs w:val="24"/>
        </w:rPr>
        <w:t>2、</w:t>
      </w:r>
      <w:r>
        <w:rPr>
          <w:rFonts w:hint="eastAsia" w:ascii="宋体" w:hAnsi="宋体" w:cs="宋体"/>
          <w:b/>
          <w:bCs/>
          <w:kern w:val="0"/>
          <w:sz w:val="24"/>
          <w:szCs w:val="24"/>
        </w:rPr>
        <w:t>投标文件必须在投标截止时间前一小时（即</w:t>
      </w:r>
      <w:r>
        <w:rPr>
          <w:rFonts w:hint="eastAsia" w:ascii="宋体" w:hAnsi="宋体" w:cs="宋体"/>
          <w:b/>
          <w:bCs/>
          <w:kern w:val="0"/>
          <w:sz w:val="24"/>
          <w:szCs w:val="24"/>
          <w:lang w:val="en-US" w:eastAsia="zh-CN"/>
        </w:rPr>
        <w:t>08</w:t>
      </w:r>
      <w:r>
        <w:rPr>
          <w:rFonts w:hint="eastAsia" w:ascii="宋体" w:hAnsi="宋体" w:cs="宋体"/>
          <w:b/>
          <w:bCs/>
          <w:kern w:val="0"/>
          <w:sz w:val="24"/>
          <w:szCs w:val="24"/>
        </w:rPr>
        <w:t>时</w:t>
      </w:r>
      <w:r>
        <w:rPr>
          <w:rFonts w:hint="eastAsia" w:ascii="宋体" w:hAnsi="宋体" w:cs="宋体"/>
          <w:b/>
          <w:bCs/>
          <w:kern w:val="0"/>
          <w:sz w:val="24"/>
          <w:szCs w:val="24"/>
          <w:lang w:val="en-US" w:eastAsia="zh-CN"/>
        </w:rPr>
        <w:t>30</w:t>
      </w:r>
      <w:r>
        <w:rPr>
          <w:rFonts w:hint="eastAsia" w:ascii="宋体" w:hAnsi="宋体" w:cs="宋体"/>
          <w:b/>
          <w:bCs/>
          <w:kern w:val="0"/>
          <w:sz w:val="24"/>
          <w:szCs w:val="24"/>
        </w:rPr>
        <w:t>分）送达。</w:t>
      </w:r>
      <w:r>
        <w:rPr>
          <w:rFonts w:hint="eastAsia" w:ascii="宋体" w:hAnsi="宋体" w:cs="宋体"/>
          <w:kern w:val="0"/>
          <w:sz w:val="24"/>
          <w:szCs w:val="24"/>
        </w:rPr>
        <w:t>采购代理机构工作人员签收邮寄包裹的时间即为投标人投标文件的送达时间，逾期送达的投标文件无效，后果由投标人自行承担。</w:t>
      </w:r>
    </w:p>
    <w:p>
      <w:pPr>
        <w:widowControl/>
        <w:adjustRightInd w:val="0"/>
        <w:snapToGrid w:val="0"/>
        <w:spacing w:after="200" w:line="440" w:lineRule="exact"/>
        <w:ind w:firstLine="720" w:firstLineChars="300"/>
        <w:jc w:val="left"/>
        <w:rPr>
          <w:rFonts w:ascii="宋体" w:hAnsi="宋体" w:cs="宋体"/>
          <w:b/>
          <w:kern w:val="0"/>
          <w:sz w:val="24"/>
          <w:szCs w:val="24"/>
        </w:rPr>
      </w:pPr>
      <w:r>
        <w:rPr>
          <w:rFonts w:hint="eastAsia" w:ascii="宋体" w:hAnsi="宋体" w:cs="宋体"/>
          <w:kern w:val="0"/>
          <w:sz w:val="24"/>
          <w:szCs w:val="24"/>
        </w:rPr>
        <w:t>3、</w:t>
      </w:r>
      <w:r>
        <w:rPr>
          <w:rFonts w:ascii="宋体" w:hAnsi="宋体" w:cs="宋体"/>
          <w:kern w:val="0"/>
          <w:sz w:val="24"/>
          <w:szCs w:val="24"/>
        </w:rPr>
        <w:t>投标人应充分预留投标文件邮寄、送达所需要的时间。为确保疫情防控期间邮寄包裹能及时送达，</w:t>
      </w:r>
      <w:r>
        <w:rPr>
          <w:rFonts w:ascii="宋体" w:hAnsi="宋体" w:cs="宋体"/>
          <w:b/>
          <w:kern w:val="0"/>
          <w:sz w:val="24"/>
          <w:szCs w:val="24"/>
        </w:rPr>
        <w:t>应选择邮寄运送时间有保障的快递公司寄送投标文件。</w:t>
      </w:r>
    </w:p>
    <w:p>
      <w:pPr>
        <w:widowControl/>
        <w:adjustRightInd w:val="0"/>
        <w:snapToGrid w:val="0"/>
        <w:spacing w:after="200" w:line="440" w:lineRule="exact"/>
        <w:ind w:firstLine="720" w:firstLineChars="300"/>
        <w:jc w:val="left"/>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投标人在按照</w:t>
      </w:r>
      <w:r>
        <w:rPr>
          <w:rFonts w:ascii="宋体" w:hAnsi="宋体" w:cs="宋体"/>
          <w:b/>
          <w:kern w:val="0"/>
          <w:sz w:val="24"/>
          <w:szCs w:val="24"/>
        </w:rPr>
        <w:t>招标文件的要求</w:t>
      </w:r>
      <w:r>
        <w:rPr>
          <w:rFonts w:ascii="宋体" w:hAnsi="宋体" w:cs="宋体"/>
          <w:kern w:val="0"/>
          <w:sz w:val="24"/>
          <w:szCs w:val="24"/>
        </w:rPr>
        <w:t>装订、密封好投标文件后，应使用不透明、防水的邮寄袋（或箱）再次包裹已密封好的投标文件，并在邮寄袋（或箱）上粘牢注明项目名称、项目编号、</w:t>
      </w:r>
      <w:r>
        <w:rPr>
          <w:rFonts w:hint="eastAsia" w:ascii="宋体" w:hAnsi="宋体" w:cs="宋体"/>
          <w:kern w:val="0"/>
          <w:sz w:val="24"/>
          <w:szCs w:val="24"/>
        </w:rPr>
        <w:t>项目开标日期、</w:t>
      </w:r>
      <w:r>
        <w:rPr>
          <w:rFonts w:ascii="宋体" w:hAnsi="宋体" w:cs="宋体"/>
          <w:kern w:val="0"/>
          <w:sz w:val="24"/>
          <w:szCs w:val="24"/>
        </w:rPr>
        <w:t>有效的电子邮箱等内容的纸质表格</w:t>
      </w:r>
      <w:r>
        <w:rPr>
          <w:rFonts w:ascii="宋体" w:hAnsi="宋体" w:cs="宋体"/>
          <w:b/>
          <w:kern w:val="0"/>
          <w:sz w:val="24"/>
          <w:szCs w:val="24"/>
        </w:rPr>
        <w:t>（表格格式详见附件）</w:t>
      </w:r>
      <w:r>
        <w:rPr>
          <w:rFonts w:ascii="宋体" w:hAnsi="宋体" w:cs="宋体"/>
          <w:kern w:val="0"/>
          <w:sz w:val="24"/>
          <w:szCs w:val="24"/>
        </w:rPr>
        <w:t>。</w:t>
      </w:r>
    </w:p>
    <w:p>
      <w:pPr>
        <w:widowControl/>
        <w:adjustRightInd w:val="0"/>
        <w:snapToGrid w:val="0"/>
        <w:spacing w:after="200" w:line="440" w:lineRule="exact"/>
        <w:ind w:firstLine="720" w:firstLineChars="300"/>
        <w:jc w:val="left"/>
        <w:rPr>
          <w:rFonts w:ascii="宋体" w:hAnsi="宋体" w:cs="宋体"/>
          <w:b/>
          <w:kern w:val="0"/>
          <w:sz w:val="24"/>
          <w:szCs w:val="24"/>
        </w:rPr>
      </w:pPr>
      <w:r>
        <w:rPr>
          <w:rFonts w:hint="eastAsia" w:ascii="宋体" w:hAnsi="宋体" w:cs="宋体"/>
          <w:b/>
          <w:kern w:val="0"/>
          <w:sz w:val="24"/>
          <w:szCs w:val="24"/>
        </w:rPr>
        <w:t>5、</w:t>
      </w:r>
      <w:r>
        <w:rPr>
          <w:rFonts w:ascii="宋体" w:hAnsi="宋体" w:cs="宋体"/>
          <w:b/>
          <w:kern w:val="0"/>
          <w:sz w:val="24"/>
          <w:szCs w:val="24"/>
        </w:rPr>
        <w:t>采购代理机构在收到投标文件的邮寄包裹后，第一时间按照投标人在邮寄包裹上所预留的电子邮箱告知</w:t>
      </w:r>
      <w:r>
        <w:rPr>
          <w:rFonts w:hint="eastAsia" w:ascii="宋体" w:hAnsi="宋体" w:cs="宋体"/>
          <w:b/>
          <w:kern w:val="0"/>
          <w:sz w:val="24"/>
          <w:szCs w:val="24"/>
        </w:rPr>
        <w:t>投标</w:t>
      </w:r>
      <w:r>
        <w:rPr>
          <w:rFonts w:ascii="宋体" w:hAnsi="宋体" w:cs="宋体"/>
          <w:b/>
          <w:kern w:val="0"/>
          <w:sz w:val="24"/>
          <w:szCs w:val="24"/>
        </w:rPr>
        <w:t>文件收件情况，请投标人务必确保所预留的电子邮箱的有效性，并注意查收邮件。</w:t>
      </w:r>
    </w:p>
    <w:p>
      <w:pPr>
        <w:widowControl/>
        <w:adjustRightInd w:val="0"/>
        <w:snapToGrid w:val="0"/>
        <w:spacing w:after="200" w:line="440" w:lineRule="exact"/>
        <w:ind w:firstLine="720" w:firstLineChars="300"/>
        <w:jc w:val="left"/>
        <w:rPr>
          <w:rFonts w:ascii="宋体" w:hAnsi="宋体" w:cs="宋体"/>
          <w:kern w:val="0"/>
          <w:sz w:val="24"/>
          <w:szCs w:val="22"/>
        </w:rPr>
      </w:pPr>
      <w:r>
        <w:rPr>
          <w:rFonts w:hint="eastAsia" w:ascii="宋体" w:hAnsi="宋体" w:cs="宋体"/>
          <w:kern w:val="0"/>
          <w:sz w:val="24"/>
          <w:szCs w:val="24"/>
        </w:rPr>
        <w:t>6、</w:t>
      </w:r>
      <w:r>
        <w:rPr>
          <w:rFonts w:ascii="宋体" w:hAnsi="宋体" w:cs="宋体"/>
          <w:kern w:val="0"/>
          <w:sz w:val="24"/>
          <w:szCs w:val="24"/>
        </w:rPr>
        <w:t>投标文件邮寄地址：</w:t>
      </w:r>
      <w:r>
        <w:rPr>
          <w:rFonts w:hint="eastAsia" w:ascii="宋体" w:hAnsi="宋体" w:cs="宋体"/>
          <w:kern w:val="0"/>
          <w:sz w:val="24"/>
          <w:szCs w:val="22"/>
        </w:rPr>
        <w:t>广西邕政采购代理有限公司（南宁市青秀区思贤路45号创投中心16A层）。</w:t>
      </w:r>
    </w:p>
    <w:p>
      <w:pPr>
        <w:widowControl/>
        <w:adjustRightInd w:val="0"/>
        <w:snapToGrid w:val="0"/>
        <w:spacing w:after="200" w:line="440" w:lineRule="exact"/>
        <w:ind w:firstLine="720" w:firstLineChars="300"/>
        <w:jc w:val="left"/>
        <w:rPr>
          <w:rFonts w:ascii="宋体" w:hAnsi="宋体" w:cs="宋体"/>
          <w:kern w:val="0"/>
          <w:sz w:val="24"/>
          <w:szCs w:val="24"/>
        </w:rPr>
      </w:pPr>
      <w:r>
        <w:rPr>
          <w:rFonts w:ascii="宋体" w:hAnsi="宋体" w:cs="宋体"/>
          <w:kern w:val="0"/>
          <w:sz w:val="24"/>
          <w:szCs w:val="24"/>
        </w:rPr>
        <w:t>收件人：</w:t>
      </w:r>
      <w:r>
        <w:rPr>
          <w:rFonts w:hint="eastAsia" w:ascii="宋体" w:hAnsi="宋体" w:cs="宋体"/>
          <w:kern w:val="0"/>
          <w:sz w:val="24"/>
          <w:szCs w:val="22"/>
        </w:rPr>
        <w:t>黎工</w:t>
      </w:r>
    </w:p>
    <w:p>
      <w:pPr>
        <w:widowControl/>
        <w:adjustRightInd w:val="0"/>
        <w:snapToGrid w:val="0"/>
        <w:spacing w:after="200" w:line="440" w:lineRule="exact"/>
        <w:ind w:firstLine="720" w:firstLineChars="300"/>
        <w:jc w:val="left"/>
        <w:rPr>
          <w:rFonts w:ascii="宋体" w:hAnsi="宋体" w:cs="宋体"/>
          <w:kern w:val="0"/>
          <w:sz w:val="24"/>
          <w:szCs w:val="24"/>
        </w:rPr>
      </w:pPr>
      <w:r>
        <w:rPr>
          <w:rFonts w:ascii="宋体" w:hAnsi="宋体" w:cs="宋体"/>
          <w:kern w:val="0"/>
          <w:sz w:val="24"/>
          <w:szCs w:val="24"/>
        </w:rPr>
        <w:t>联系电话：0771-</w:t>
      </w:r>
      <w:r>
        <w:rPr>
          <w:rFonts w:hint="eastAsia" w:ascii="宋体" w:hAnsi="宋体" w:cs="宋体"/>
          <w:kern w:val="0"/>
          <w:sz w:val="24"/>
          <w:szCs w:val="24"/>
        </w:rPr>
        <w:t>2442850</w:t>
      </w:r>
    </w:p>
    <w:p>
      <w:pPr>
        <w:widowControl/>
        <w:adjustRightInd w:val="0"/>
        <w:snapToGrid w:val="0"/>
        <w:spacing w:after="200" w:line="440" w:lineRule="exact"/>
        <w:ind w:firstLine="480" w:firstLineChars="200"/>
        <w:jc w:val="left"/>
        <w:rPr>
          <w:rFonts w:ascii="宋体" w:hAnsi="宋体" w:cs="宋体"/>
          <w:b/>
          <w:kern w:val="0"/>
          <w:sz w:val="24"/>
          <w:szCs w:val="24"/>
        </w:rPr>
      </w:pPr>
      <w:r>
        <w:rPr>
          <w:rFonts w:hint="eastAsia" w:ascii="宋体" w:hAnsi="宋体" w:cs="宋体"/>
          <w:kern w:val="0"/>
          <w:sz w:val="24"/>
          <w:szCs w:val="24"/>
        </w:rPr>
        <w:t>（三）</w:t>
      </w:r>
      <w:r>
        <w:rPr>
          <w:rFonts w:hint="eastAsia" w:ascii="宋体" w:hAnsi="宋体" w:cs="宋体"/>
          <w:b/>
          <w:kern w:val="0"/>
          <w:sz w:val="24"/>
          <w:szCs w:val="24"/>
        </w:rPr>
        <w:t>投标人不参加现场开标活动。</w:t>
      </w:r>
      <w:r>
        <w:rPr>
          <w:rFonts w:hint="eastAsia" w:ascii="宋体" w:hAnsi="宋体" w:cs="宋体"/>
          <w:kern w:val="0"/>
          <w:sz w:val="24"/>
          <w:szCs w:val="24"/>
        </w:rPr>
        <w:t>取消招标文件“第四章投标人须知”中16.开标”的所有内容。</w:t>
      </w:r>
    </w:p>
    <w:p>
      <w:pPr>
        <w:widowControl/>
        <w:adjustRightInd w:val="0"/>
        <w:snapToGrid w:val="0"/>
        <w:spacing w:after="200"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（四）投标文件拆封及密封性检查。</w:t>
      </w:r>
    </w:p>
    <w:p>
      <w:pPr>
        <w:widowControl/>
        <w:adjustRightInd w:val="0"/>
        <w:snapToGrid w:val="0"/>
        <w:spacing w:after="200" w:line="440" w:lineRule="exact"/>
        <w:ind w:firstLine="480" w:firstLineChars="200"/>
        <w:jc w:val="left"/>
        <w:rPr>
          <w:rFonts w:ascii="宋体" w:hAnsi="宋体" w:cs="宋体"/>
          <w:kern w:val="0"/>
          <w:sz w:val="24"/>
          <w:szCs w:val="24"/>
        </w:rPr>
        <w:sectPr>
          <w:headerReference r:id="rId7" w:type="default"/>
          <w:footerReference r:id="rId8" w:type="default"/>
          <w:pgSz w:w="11906" w:h="16838"/>
          <w:pgMar w:top="1134" w:right="1134" w:bottom="1134" w:left="1134" w:header="720" w:footer="720" w:gutter="0"/>
          <w:pgNumType w:start="1"/>
          <w:cols w:space="720" w:num="1"/>
          <w:docGrid w:type="linesAndChars" w:linePitch="331" w:charSpace="0"/>
        </w:sectPr>
      </w:pPr>
    </w:p>
    <w:p>
      <w:pPr>
        <w:widowControl/>
        <w:adjustRightInd w:val="0"/>
        <w:snapToGrid w:val="0"/>
        <w:spacing w:after="200"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截标后，采购代理机构工作人员在公共资源交易中心工作人员和采购人的见证下拆开投标文件包封，采购人对投标文件密封性和投标文件正副本数量进行签字确认。</w:t>
      </w:r>
    </w:p>
    <w:p>
      <w:pPr>
        <w:widowControl/>
        <w:adjustRightInd w:val="0"/>
        <w:snapToGrid w:val="0"/>
        <w:spacing w:after="200"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（五）关于投标人的报价。</w:t>
      </w:r>
    </w:p>
    <w:p>
      <w:pPr>
        <w:widowControl/>
        <w:adjustRightInd w:val="0"/>
        <w:snapToGrid w:val="0"/>
        <w:spacing w:after="200"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由采购代理机构在投标文件商务技术符合性审查结束后，根据投标人的投标报价情况填写开标记录表，交由评标委员会对投标人的报价、服务时限等内容进行签字确认。</w:t>
      </w:r>
    </w:p>
    <w:p>
      <w:pPr>
        <w:widowControl/>
        <w:adjustRightInd w:val="0"/>
        <w:snapToGrid w:val="0"/>
        <w:spacing w:after="200"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（六）关于投标文件澄清的有关要求</w:t>
      </w:r>
    </w:p>
    <w:p>
      <w:pPr>
        <w:widowControl/>
        <w:adjustRightInd w:val="0"/>
        <w:snapToGrid w:val="0"/>
        <w:spacing w:after="200" w:line="440" w:lineRule="exact"/>
        <w:ind w:firstLine="480" w:firstLineChars="200"/>
        <w:jc w:val="left"/>
        <w:rPr>
          <w:rFonts w:ascii="宋体" w:hAnsi="宋体" w:cs="宋体"/>
          <w:b/>
          <w:kern w:val="0"/>
          <w:sz w:val="24"/>
          <w:szCs w:val="24"/>
        </w:rPr>
      </w:pPr>
      <w:r>
        <w:rPr>
          <w:rFonts w:hint="eastAsia" w:ascii="宋体" w:hAnsi="宋体" w:cs="宋体"/>
          <w:b/>
          <w:kern w:val="0"/>
          <w:sz w:val="24"/>
          <w:szCs w:val="24"/>
        </w:rPr>
        <w:t>1、为便于采购代理机构或评标委员会在项目评标期间与投标人取得联系，做好评标过程中投标人对投标文件的澄清、说明或者补正等工作，投标人务必做到：“第五章 投标文件格式”中“投标函（格式）”落款处的“电话”务必填写法定代表人或委托代理人的电话联系方式。</w:t>
      </w:r>
    </w:p>
    <w:p>
      <w:pPr>
        <w:widowControl/>
        <w:adjustRightInd w:val="0"/>
        <w:snapToGrid w:val="0"/>
        <w:spacing w:after="200" w:line="440" w:lineRule="exact"/>
        <w:ind w:firstLine="480" w:firstLineChars="200"/>
        <w:jc w:val="left"/>
        <w:rPr>
          <w:rFonts w:ascii="宋体" w:hAnsi="宋体" w:cs="宋体"/>
          <w:b/>
          <w:kern w:val="0"/>
          <w:sz w:val="24"/>
          <w:szCs w:val="24"/>
        </w:rPr>
      </w:pPr>
      <w:r>
        <w:rPr>
          <w:rFonts w:hint="eastAsia" w:ascii="宋体" w:hAnsi="宋体" w:cs="宋体"/>
          <w:kern w:val="0"/>
          <w:sz w:val="24"/>
          <w:szCs w:val="24"/>
        </w:rPr>
        <w:t>2、</w:t>
      </w:r>
      <w:r>
        <w:rPr>
          <w:rFonts w:hint="eastAsia" w:ascii="宋体" w:hAnsi="宋体" w:cs="宋体"/>
          <w:b/>
          <w:kern w:val="0"/>
          <w:sz w:val="24"/>
          <w:szCs w:val="24"/>
        </w:rPr>
        <w:t>开标当天投标人务必保持电话畅通。</w:t>
      </w:r>
      <w:r>
        <w:rPr>
          <w:rFonts w:hint="eastAsia" w:ascii="宋体" w:hAnsi="宋体" w:cs="宋体"/>
          <w:kern w:val="0"/>
          <w:sz w:val="24"/>
          <w:szCs w:val="24"/>
        </w:rPr>
        <w:t>如果评标过程中需要投标人对投标文件作出澄清、说明或者补正的，评标委员会会通知投标人在规定的时间内通过电子邮件、传真等方式提交。</w:t>
      </w:r>
      <w:r>
        <w:rPr>
          <w:rFonts w:hint="eastAsia" w:ascii="宋体" w:hAnsi="宋体" w:cs="宋体"/>
          <w:b/>
          <w:kern w:val="0"/>
          <w:sz w:val="24"/>
          <w:szCs w:val="24"/>
        </w:rPr>
        <w:t>投标人所提交的澄清、说明或者补正等材料必须加盖投标人的公章确认。</w:t>
      </w:r>
    </w:p>
    <w:p>
      <w:pPr>
        <w:widowControl/>
        <w:adjustRightInd w:val="0"/>
        <w:snapToGrid w:val="0"/>
        <w:spacing w:after="200" w:line="440" w:lineRule="exact"/>
        <w:ind w:firstLine="480" w:firstLineChars="200"/>
        <w:jc w:val="left"/>
        <w:rPr>
          <w:rFonts w:ascii="宋体" w:hAnsi="宋体" w:cs="宋体"/>
          <w:b/>
          <w:kern w:val="0"/>
          <w:sz w:val="24"/>
          <w:szCs w:val="24"/>
        </w:rPr>
      </w:pPr>
      <w:r>
        <w:rPr>
          <w:rFonts w:hint="eastAsia" w:ascii="宋体" w:hAnsi="宋体" w:cs="宋体"/>
          <w:b/>
          <w:kern w:val="0"/>
          <w:sz w:val="24"/>
          <w:szCs w:val="24"/>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widowControl/>
        <w:adjustRightInd w:val="0"/>
        <w:snapToGrid w:val="0"/>
        <w:spacing w:after="200"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（七）请按通知内容执行，招标文件其余内容不变。</w:t>
      </w:r>
    </w:p>
    <w:p>
      <w:pPr>
        <w:widowControl/>
        <w:spacing w:line="601" w:lineRule="atLeast"/>
        <w:ind w:firstLine="482"/>
        <w:jc w:val="left"/>
        <w:rPr>
          <w:rFonts w:ascii="宋体" w:hAnsi="宋体" w:cs="宋体"/>
          <w:kern w:val="0"/>
          <w:sz w:val="24"/>
          <w:szCs w:val="24"/>
        </w:rPr>
      </w:pPr>
      <w:r>
        <w:rPr>
          <w:rFonts w:ascii="宋体" w:hAnsi="宋体" w:cs="宋体"/>
          <w:kern w:val="0"/>
          <w:sz w:val="24"/>
          <w:szCs w:val="24"/>
        </w:rPr>
        <w:t>特此通知。</w:t>
      </w:r>
    </w:p>
    <w:p>
      <w:pPr>
        <w:widowControl/>
        <w:adjustRightInd w:val="0"/>
        <w:snapToGrid w:val="0"/>
        <w:spacing w:after="200" w:line="440" w:lineRule="exact"/>
        <w:ind w:firstLine="4440" w:firstLineChars="1850"/>
        <w:jc w:val="left"/>
        <w:rPr>
          <w:rFonts w:ascii="宋体" w:hAnsi="宋体" w:cs="宋体"/>
          <w:kern w:val="0"/>
          <w:sz w:val="24"/>
          <w:szCs w:val="22"/>
        </w:rPr>
      </w:pPr>
      <w:r>
        <w:rPr>
          <w:rFonts w:hint="eastAsia" w:ascii="宋体" w:hAnsi="宋体" w:cs="宋体"/>
          <w:kern w:val="0"/>
          <w:sz w:val="24"/>
          <w:szCs w:val="22"/>
        </w:rPr>
        <w:t xml:space="preserve"> </w:t>
      </w:r>
    </w:p>
    <w:p>
      <w:pPr>
        <w:widowControl/>
        <w:adjustRightInd w:val="0"/>
        <w:snapToGrid w:val="0"/>
        <w:spacing w:after="200" w:line="440" w:lineRule="exact"/>
        <w:ind w:firstLine="4440" w:firstLineChars="1850"/>
        <w:jc w:val="left"/>
        <w:rPr>
          <w:rFonts w:ascii="宋体" w:hAnsi="宋体" w:cs="宋体"/>
          <w:kern w:val="0"/>
          <w:sz w:val="24"/>
          <w:szCs w:val="22"/>
        </w:rPr>
      </w:pPr>
      <w:r>
        <w:rPr>
          <w:rFonts w:hint="eastAsia" w:ascii="宋体" w:hAnsi="宋体" w:cs="宋体"/>
          <w:kern w:val="0"/>
          <w:sz w:val="24"/>
          <w:szCs w:val="22"/>
        </w:rPr>
        <w:t xml:space="preserve">采购代理机构：广西邕政采购代理有限公司 </w:t>
      </w:r>
    </w:p>
    <w:p>
      <w:pPr>
        <w:widowControl/>
        <w:adjustRightInd w:val="0"/>
        <w:snapToGrid w:val="0"/>
        <w:spacing w:after="200" w:line="440" w:lineRule="exact"/>
        <w:ind w:firstLine="5760" w:firstLineChars="2400"/>
        <w:jc w:val="left"/>
        <w:rPr>
          <w:rFonts w:ascii="宋体" w:hAnsi="宋体" w:cs="宋体"/>
          <w:kern w:val="0"/>
          <w:sz w:val="24"/>
          <w:szCs w:val="22"/>
        </w:rPr>
      </w:pPr>
      <w:r>
        <w:rPr>
          <w:rFonts w:hint="eastAsia" w:ascii="宋体" w:hAnsi="宋体" w:cs="宋体"/>
          <w:kern w:val="0"/>
          <w:sz w:val="24"/>
          <w:szCs w:val="22"/>
        </w:rPr>
        <w:t>日期：2020年</w:t>
      </w:r>
      <w:r>
        <w:rPr>
          <w:rFonts w:hint="eastAsia" w:ascii="宋体" w:hAnsi="宋体" w:cs="宋体"/>
          <w:kern w:val="0"/>
          <w:sz w:val="24"/>
          <w:szCs w:val="22"/>
          <w:lang w:val="en-US" w:eastAsia="zh-CN"/>
        </w:rPr>
        <w:t>9</w:t>
      </w:r>
      <w:r>
        <w:rPr>
          <w:rFonts w:hint="eastAsia" w:ascii="宋体" w:hAnsi="宋体" w:cs="宋体"/>
          <w:kern w:val="0"/>
          <w:sz w:val="24"/>
          <w:szCs w:val="22"/>
        </w:rPr>
        <w:t>月</w:t>
      </w:r>
      <w:r>
        <w:rPr>
          <w:rFonts w:hint="eastAsia" w:ascii="宋体" w:hAnsi="宋体" w:cs="宋体"/>
          <w:kern w:val="0"/>
          <w:sz w:val="24"/>
          <w:szCs w:val="22"/>
          <w:lang w:val="en-US" w:eastAsia="zh-CN"/>
        </w:rPr>
        <w:t>29</w:t>
      </w:r>
      <w:r>
        <w:rPr>
          <w:rFonts w:hint="eastAsia" w:ascii="宋体" w:hAnsi="宋体" w:cs="宋体"/>
          <w:kern w:val="0"/>
          <w:sz w:val="24"/>
          <w:szCs w:val="22"/>
        </w:rPr>
        <w:t>日</w:t>
      </w:r>
    </w:p>
    <w:p>
      <w:pPr>
        <w:spacing w:line="276" w:lineRule="auto"/>
        <w:rPr>
          <w:rFonts w:ascii="宋体" w:hAnsi="宋体" w:cs="宋体"/>
          <w:sz w:val="27"/>
          <w:szCs w:val="27"/>
        </w:rPr>
        <w:sectPr>
          <w:footerReference r:id="rId9" w:type="default"/>
          <w:pgSz w:w="11906" w:h="16838"/>
          <w:pgMar w:top="1134" w:right="1134" w:bottom="784" w:left="1134" w:header="720" w:footer="720" w:gutter="0"/>
          <w:pgNumType w:start="1"/>
          <w:cols w:space="720" w:num="1"/>
          <w:docGrid w:type="linesAndChars" w:linePitch="331" w:charSpace="0"/>
        </w:sectPr>
      </w:pPr>
    </w:p>
    <w:p>
      <w:pPr>
        <w:spacing w:line="276" w:lineRule="auto"/>
        <w:rPr>
          <w:rFonts w:ascii="宋体" w:hAnsi="宋体" w:cs="宋体"/>
          <w:sz w:val="24"/>
          <w:szCs w:val="24"/>
        </w:rPr>
      </w:pPr>
      <w:r>
        <w:rPr>
          <w:rFonts w:hint="eastAsia" w:ascii="宋体" w:hAnsi="宋体" w:cs="宋体"/>
          <w:sz w:val="27"/>
          <w:szCs w:val="27"/>
        </w:rPr>
        <w:t>附件：</w:t>
      </w:r>
    </w:p>
    <w:p>
      <w:pPr>
        <w:pStyle w:val="37"/>
        <w:jc w:val="center"/>
        <w:rPr>
          <w:sz w:val="18"/>
          <w:szCs w:val="18"/>
        </w:rPr>
      </w:pPr>
      <w:r>
        <w:rPr>
          <w:b/>
          <w:bCs/>
          <w:sz w:val="36"/>
          <w:szCs w:val="36"/>
        </w:rPr>
        <w:t>邮件外包粘贴表格（格式）</w:t>
      </w:r>
    </w:p>
    <w:p>
      <w:pPr>
        <w:pStyle w:val="37"/>
        <w:rPr>
          <w:sz w:val="18"/>
          <w:szCs w:val="18"/>
        </w:rPr>
      </w:pPr>
    </w:p>
    <w:p>
      <w:pPr>
        <w:pStyle w:val="37"/>
        <w:spacing w:line="360" w:lineRule="auto"/>
        <w:rPr>
          <w:sz w:val="18"/>
          <w:szCs w:val="18"/>
        </w:rPr>
      </w:pPr>
      <w:r>
        <w:rPr>
          <w:b/>
          <w:bCs/>
          <w:sz w:val="27"/>
          <w:szCs w:val="27"/>
        </w:rPr>
        <w:t>项目名称：</w:t>
      </w:r>
    </w:p>
    <w:p>
      <w:pPr>
        <w:pStyle w:val="37"/>
        <w:spacing w:line="360" w:lineRule="auto"/>
        <w:rPr>
          <w:sz w:val="18"/>
          <w:szCs w:val="18"/>
        </w:rPr>
      </w:pPr>
    </w:p>
    <w:p>
      <w:pPr>
        <w:pStyle w:val="37"/>
        <w:spacing w:line="360" w:lineRule="auto"/>
        <w:rPr>
          <w:sz w:val="18"/>
          <w:szCs w:val="18"/>
        </w:rPr>
      </w:pPr>
      <w:r>
        <w:rPr>
          <w:b/>
          <w:bCs/>
          <w:sz w:val="27"/>
          <w:szCs w:val="27"/>
        </w:rPr>
        <w:t>项目编号：</w:t>
      </w:r>
    </w:p>
    <w:p>
      <w:pPr>
        <w:pStyle w:val="37"/>
        <w:spacing w:line="360" w:lineRule="auto"/>
        <w:rPr>
          <w:sz w:val="18"/>
          <w:szCs w:val="18"/>
        </w:rPr>
      </w:pPr>
    </w:p>
    <w:p>
      <w:pPr>
        <w:pStyle w:val="37"/>
        <w:spacing w:line="360" w:lineRule="auto"/>
        <w:rPr>
          <w:b/>
          <w:bCs/>
          <w:sz w:val="27"/>
          <w:szCs w:val="27"/>
        </w:rPr>
      </w:pPr>
      <w:r>
        <w:rPr>
          <w:b/>
          <w:bCs/>
          <w:sz w:val="27"/>
          <w:szCs w:val="27"/>
        </w:rPr>
        <w:t>项目开标日期：</w:t>
      </w:r>
    </w:p>
    <w:p>
      <w:pPr>
        <w:pStyle w:val="37"/>
        <w:spacing w:line="360" w:lineRule="auto"/>
        <w:rPr>
          <w:b/>
          <w:bCs/>
          <w:sz w:val="27"/>
          <w:szCs w:val="27"/>
        </w:rPr>
      </w:pPr>
    </w:p>
    <w:p>
      <w:pPr>
        <w:pStyle w:val="37"/>
        <w:spacing w:line="360" w:lineRule="auto"/>
        <w:rPr>
          <w:b/>
          <w:bCs/>
          <w:sz w:val="27"/>
          <w:szCs w:val="27"/>
        </w:rPr>
      </w:pPr>
      <w:r>
        <w:rPr>
          <w:b/>
          <w:bCs/>
          <w:sz w:val="27"/>
          <w:szCs w:val="27"/>
        </w:rPr>
        <w:t>联系</w:t>
      </w:r>
      <w:r>
        <w:rPr>
          <w:rFonts w:hint="eastAsia"/>
          <w:b/>
          <w:bCs/>
          <w:sz w:val="27"/>
          <w:szCs w:val="27"/>
        </w:rPr>
        <w:t>方式</w:t>
      </w:r>
      <w:r>
        <w:rPr>
          <w:b/>
          <w:bCs/>
          <w:sz w:val="27"/>
          <w:szCs w:val="27"/>
        </w:rPr>
        <w:t>：</w:t>
      </w:r>
    </w:p>
    <w:p>
      <w:pPr>
        <w:pStyle w:val="37"/>
        <w:spacing w:line="360" w:lineRule="auto"/>
        <w:rPr>
          <w:b/>
          <w:bCs/>
          <w:sz w:val="27"/>
          <w:szCs w:val="27"/>
        </w:rPr>
      </w:pPr>
    </w:p>
    <w:p>
      <w:pPr>
        <w:pStyle w:val="37"/>
        <w:spacing w:line="360" w:lineRule="auto"/>
        <w:rPr>
          <w:sz w:val="18"/>
          <w:szCs w:val="18"/>
        </w:rPr>
      </w:pPr>
      <w:r>
        <w:rPr>
          <w:b/>
          <w:bCs/>
          <w:sz w:val="27"/>
          <w:szCs w:val="27"/>
        </w:rPr>
        <w:t>联系电子邮箱：</w:t>
      </w:r>
    </w:p>
    <w:p>
      <w:pPr>
        <w:rPr>
          <w:rFonts w:ascii="宋体" w:hAnsi="宋体" w:cs="宋体"/>
          <w:b/>
          <w:bCs/>
          <w:sz w:val="44"/>
          <w:szCs w:val="44"/>
        </w:rPr>
      </w:pPr>
    </w:p>
    <w:p>
      <w:pPr>
        <w:pStyle w:val="8"/>
        <w:rPr>
          <w:rFonts w:ascii="宋体" w:hAnsi="宋体" w:cs="宋体"/>
          <w:b/>
          <w:bCs/>
          <w:sz w:val="44"/>
          <w:szCs w:val="44"/>
        </w:rPr>
      </w:pPr>
    </w:p>
    <w:p>
      <w:pPr>
        <w:pStyle w:val="8"/>
        <w:rPr>
          <w:rFonts w:ascii="宋体" w:hAnsi="宋体" w:cs="宋体"/>
          <w:b/>
          <w:bCs/>
          <w:sz w:val="44"/>
          <w:szCs w:val="44"/>
        </w:rPr>
      </w:pPr>
    </w:p>
    <w:p>
      <w:pPr>
        <w:pStyle w:val="8"/>
        <w:rPr>
          <w:rFonts w:ascii="宋体" w:hAnsi="宋体" w:cs="宋体"/>
          <w:b/>
          <w:bCs/>
          <w:sz w:val="44"/>
          <w:szCs w:val="44"/>
        </w:rPr>
      </w:pPr>
    </w:p>
    <w:p>
      <w:pPr>
        <w:pStyle w:val="8"/>
        <w:rPr>
          <w:rFonts w:ascii="宋体" w:hAnsi="宋体" w:cs="宋体"/>
          <w:b/>
          <w:bCs/>
          <w:sz w:val="44"/>
          <w:szCs w:val="44"/>
        </w:rPr>
      </w:pPr>
    </w:p>
    <w:p>
      <w:pPr>
        <w:pStyle w:val="8"/>
        <w:rPr>
          <w:rFonts w:ascii="宋体" w:hAnsi="宋体" w:cs="宋体"/>
          <w:b/>
          <w:bCs/>
          <w:sz w:val="44"/>
          <w:szCs w:val="44"/>
        </w:rPr>
      </w:pPr>
    </w:p>
    <w:p>
      <w:pPr>
        <w:pStyle w:val="8"/>
        <w:rPr>
          <w:rFonts w:ascii="宋体" w:hAnsi="宋体" w:cs="宋体"/>
          <w:b/>
          <w:bCs/>
          <w:sz w:val="44"/>
          <w:szCs w:val="44"/>
        </w:rPr>
      </w:pPr>
    </w:p>
    <w:p>
      <w:pPr>
        <w:pStyle w:val="8"/>
        <w:rPr>
          <w:rFonts w:ascii="宋体" w:hAnsi="宋体" w:cs="宋体"/>
          <w:b/>
          <w:bCs/>
          <w:sz w:val="44"/>
          <w:szCs w:val="44"/>
        </w:rPr>
      </w:pPr>
    </w:p>
    <w:p>
      <w:pPr>
        <w:pStyle w:val="10"/>
        <w:jc w:val="center"/>
        <w:rPr>
          <w:rFonts w:hint="default" w:hAnsi="宋体" w:cs="宋体"/>
          <w:b/>
          <w:bCs/>
          <w:sz w:val="44"/>
          <w:szCs w:val="44"/>
        </w:rPr>
        <w:sectPr>
          <w:footerReference r:id="rId10" w:type="default"/>
          <w:pgSz w:w="11906" w:h="16838"/>
          <w:pgMar w:top="1134" w:right="1134" w:bottom="784" w:left="1134" w:header="720" w:footer="720" w:gutter="0"/>
          <w:pgNumType w:start="1"/>
          <w:cols w:space="720" w:num="1"/>
          <w:docGrid w:type="linesAndChars" w:linePitch="331" w:charSpace="0"/>
        </w:sectPr>
      </w:pPr>
    </w:p>
    <w:p>
      <w:pPr>
        <w:pStyle w:val="10"/>
        <w:jc w:val="center"/>
        <w:rPr>
          <w:rFonts w:hint="default" w:hAnsi="宋体" w:cs="宋体"/>
          <w:sz w:val="28"/>
          <w:szCs w:val="28"/>
        </w:rPr>
      </w:pPr>
      <w:r>
        <w:rPr>
          <w:rFonts w:hAnsi="宋体" w:cs="宋体"/>
          <w:b/>
          <w:bCs/>
          <w:sz w:val="44"/>
          <w:szCs w:val="44"/>
        </w:rPr>
        <w:t>目     录</w:t>
      </w:r>
    </w:p>
    <w:p>
      <w:pPr>
        <w:pStyle w:val="13"/>
        <w:tabs>
          <w:tab w:val="right" w:leader="dot" w:pos="9638"/>
        </w:tabs>
        <w:rPr>
          <w:sz w:val="28"/>
          <w:szCs w:val="28"/>
        </w:rPr>
      </w:pPr>
      <w:bookmarkStart w:id="0" w:name="_Toc139967217"/>
      <w:bookmarkStart w:id="1" w:name="_Toc139966433"/>
      <w:bookmarkStart w:id="2" w:name="_Toc213206171"/>
      <w:bookmarkStart w:id="3" w:name="_Toc139967210"/>
      <w:bookmarkStart w:id="4" w:name="_Toc139966426"/>
      <w:r>
        <w:rPr>
          <w:rFonts w:hint="eastAsia" w:ascii="宋体" w:hAnsi="宋体" w:cs="宋体"/>
          <w:sz w:val="28"/>
          <w:szCs w:val="28"/>
        </w:rPr>
        <w:fldChar w:fldCharType="begin"/>
      </w:r>
      <w:r>
        <w:rPr>
          <w:rStyle w:val="25"/>
          <w:rFonts w:hint="eastAsia" w:ascii="宋体" w:hAnsi="宋体" w:cs="宋体"/>
          <w:color w:val="auto"/>
          <w:sz w:val="28"/>
          <w:szCs w:val="28"/>
        </w:rPr>
        <w:instrText xml:space="preserve"> TOC \o "1-3" \h \z \u </w:instrText>
      </w:r>
      <w:r>
        <w:rPr>
          <w:rFonts w:hint="eastAsia" w:ascii="宋体" w:hAnsi="宋体" w:cs="宋体"/>
          <w:sz w:val="28"/>
          <w:szCs w:val="28"/>
        </w:rPr>
        <w:fldChar w:fldCharType="separate"/>
      </w:r>
      <w:r>
        <w:fldChar w:fldCharType="begin"/>
      </w:r>
      <w:r>
        <w:instrText xml:space="preserve"> HYPERLINK \l "_Toc30120" </w:instrText>
      </w:r>
      <w:r>
        <w:fldChar w:fldCharType="separate"/>
      </w:r>
      <w:r>
        <w:rPr>
          <w:rFonts w:hAnsi="宋体" w:cs="宋体"/>
          <w:sz w:val="28"/>
          <w:szCs w:val="28"/>
        </w:rPr>
        <w:t>第一章  公告</w:t>
      </w:r>
      <w:r>
        <w:rPr>
          <w:sz w:val="28"/>
          <w:szCs w:val="28"/>
        </w:rPr>
        <w:tab/>
      </w:r>
      <w:r>
        <w:rPr>
          <w:sz w:val="28"/>
          <w:szCs w:val="28"/>
        </w:rPr>
        <w:fldChar w:fldCharType="begin"/>
      </w:r>
      <w:r>
        <w:rPr>
          <w:sz w:val="28"/>
          <w:szCs w:val="28"/>
        </w:rPr>
        <w:instrText xml:space="preserve"> PAGEREF _Toc30120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3"/>
        <w:tabs>
          <w:tab w:val="right" w:leader="dot" w:pos="9638"/>
        </w:tabs>
        <w:rPr>
          <w:sz w:val="28"/>
          <w:szCs w:val="28"/>
        </w:rPr>
      </w:pPr>
      <w:r>
        <w:fldChar w:fldCharType="begin"/>
      </w:r>
      <w:r>
        <w:instrText xml:space="preserve"> HYPERLINK \l "_Toc14797" </w:instrText>
      </w:r>
      <w:r>
        <w:fldChar w:fldCharType="separate"/>
      </w:r>
      <w:r>
        <w:rPr>
          <w:rFonts w:hint="eastAsia" w:ascii="宋体" w:hAnsi="宋体" w:cs="宋体"/>
          <w:sz w:val="28"/>
          <w:szCs w:val="28"/>
        </w:rPr>
        <w:t>第二章 货物需求一览表</w:t>
      </w:r>
      <w:r>
        <w:rPr>
          <w:sz w:val="28"/>
          <w:szCs w:val="28"/>
        </w:rPr>
        <w:tab/>
      </w:r>
      <w:r>
        <w:rPr>
          <w:sz w:val="28"/>
          <w:szCs w:val="28"/>
        </w:rPr>
        <w:fldChar w:fldCharType="begin"/>
      </w:r>
      <w:r>
        <w:rPr>
          <w:sz w:val="28"/>
          <w:szCs w:val="28"/>
        </w:rPr>
        <w:instrText xml:space="preserve"> PAGEREF _Toc14797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3"/>
        <w:tabs>
          <w:tab w:val="right" w:leader="dot" w:pos="9638"/>
        </w:tabs>
        <w:rPr>
          <w:sz w:val="28"/>
          <w:szCs w:val="28"/>
        </w:rPr>
      </w:pPr>
      <w:r>
        <w:fldChar w:fldCharType="begin"/>
      </w:r>
      <w:r>
        <w:instrText xml:space="preserve"> HYPERLINK \l "_Toc17219" </w:instrText>
      </w:r>
      <w:r>
        <w:fldChar w:fldCharType="separate"/>
      </w:r>
      <w:r>
        <w:rPr>
          <w:rFonts w:hint="eastAsia" w:ascii="宋体" w:hAnsi="宋体" w:cs="宋体"/>
          <w:sz w:val="28"/>
          <w:szCs w:val="28"/>
        </w:rPr>
        <w:t>第三章 评标方法</w:t>
      </w:r>
      <w:r>
        <w:rPr>
          <w:sz w:val="28"/>
          <w:szCs w:val="28"/>
        </w:rPr>
        <w:tab/>
      </w:r>
      <w:r>
        <w:rPr>
          <w:sz w:val="28"/>
          <w:szCs w:val="28"/>
        </w:rPr>
        <w:fldChar w:fldCharType="begin"/>
      </w:r>
      <w:r>
        <w:rPr>
          <w:sz w:val="28"/>
          <w:szCs w:val="28"/>
        </w:rPr>
        <w:instrText xml:space="preserve"> PAGEREF _Toc17219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3"/>
        <w:tabs>
          <w:tab w:val="right" w:leader="dot" w:pos="9638"/>
        </w:tabs>
        <w:rPr>
          <w:sz w:val="28"/>
          <w:szCs w:val="28"/>
        </w:rPr>
      </w:pPr>
      <w:r>
        <w:fldChar w:fldCharType="begin"/>
      </w:r>
      <w:r>
        <w:instrText xml:space="preserve"> HYPERLINK \l "_Toc18335" </w:instrText>
      </w:r>
      <w:r>
        <w:fldChar w:fldCharType="separate"/>
      </w:r>
      <w:r>
        <w:rPr>
          <w:rFonts w:hint="eastAsia" w:ascii="宋体" w:hAnsi="宋体" w:cs="宋体"/>
          <w:sz w:val="28"/>
          <w:szCs w:val="28"/>
        </w:rPr>
        <w:t>第四章  投标人须知</w:t>
      </w:r>
      <w:r>
        <w:rPr>
          <w:sz w:val="28"/>
          <w:szCs w:val="28"/>
        </w:rPr>
        <w:tab/>
      </w:r>
      <w:r>
        <w:rPr>
          <w:sz w:val="28"/>
          <w:szCs w:val="28"/>
        </w:rPr>
        <w:fldChar w:fldCharType="begin"/>
      </w:r>
      <w:r>
        <w:rPr>
          <w:sz w:val="28"/>
          <w:szCs w:val="28"/>
        </w:rPr>
        <w:instrText xml:space="preserve"> PAGEREF _Toc18335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4"/>
        <w:tabs>
          <w:tab w:val="right" w:leader="dot" w:pos="9638"/>
        </w:tabs>
        <w:rPr>
          <w:sz w:val="28"/>
          <w:szCs w:val="28"/>
        </w:rPr>
      </w:pPr>
      <w:r>
        <w:fldChar w:fldCharType="begin"/>
      </w:r>
      <w:r>
        <w:instrText xml:space="preserve"> HYPERLINK \l "_Toc12546" </w:instrText>
      </w:r>
      <w:r>
        <w:fldChar w:fldCharType="separate"/>
      </w:r>
      <w:r>
        <w:rPr>
          <w:rFonts w:hAnsi="宋体" w:cs="宋体"/>
          <w:bCs/>
          <w:sz w:val="28"/>
          <w:szCs w:val="28"/>
        </w:rPr>
        <w:t>一    总  则</w:t>
      </w:r>
      <w:r>
        <w:rPr>
          <w:sz w:val="28"/>
          <w:szCs w:val="28"/>
        </w:rPr>
        <w:tab/>
      </w:r>
      <w:r>
        <w:rPr>
          <w:sz w:val="28"/>
          <w:szCs w:val="28"/>
        </w:rPr>
        <w:fldChar w:fldCharType="begin"/>
      </w:r>
      <w:r>
        <w:rPr>
          <w:sz w:val="28"/>
          <w:szCs w:val="28"/>
        </w:rPr>
        <w:instrText xml:space="preserve"> PAGEREF _Toc12546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14"/>
        <w:tabs>
          <w:tab w:val="right" w:leader="dot" w:pos="9638"/>
        </w:tabs>
        <w:rPr>
          <w:sz w:val="28"/>
          <w:szCs w:val="28"/>
        </w:rPr>
      </w:pPr>
      <w:r>
        <w:fldChar w:fldCharType="begin"/>
      </w:r>
      <w:r>
        <w:instrText xml:space="preserve"> HYPERLINK \l "_Toc18282" </w:instrText>
      </w:r>
      <w:r>
        <w:fldChar w:fldCharType="separate"/>
      </w:r>
      <w:r>
        <w:rPr>
          <w:rFonts w:hAnsi="宋体" w:cs="宋体"/>
          <w:bCs/>
          <w:sz w:val="28"/>
          <w:szCs w:val="28"/>
        </w:rPr>
        <w:t>二    公开招标文件</w:t>
      </w:r>
      <w:r>
        <w:rPr>
          <w:sz w:val="28"/>
          <w:szCs w:val="28"/>
        </w:rPr>
        <w:tab/>
      </w:r>
      <w:r>
        <w:rPr>
          <w:sz w:val="28"/>
          <w:szCs w:val="28"/>
        </w:rPr>
        <w:fldChar w:fldCharType="begin"/>
      </w:r>
      <w:r>
        <w:rPr>
          <w:sz w:val="28"/>
          <w:szCs w:val="28"/>
        </w:rPr>
        <w:instrText xml:space="preserve"> PAGEREF _Toc18282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14"/>
        <w:tabs>
          <w:tab w:val="right" w:leader="dot" w:pos="9638"/>
        </w:tabs>
        <w:rPr>
          <w:sz w:val="28"/>
          <w:szCs w:val="28"/>
        </w:rPr>
      </w:pPr>
      <w:r>
        <w:fldChar w:fldCharType="begin"/>
      </w:r>
      <w:r>
        <w:instrText xml:space="preserve"> HYPERLINK \l "_Toc10923" </w:instrText>
      </w:r>
      <w:r>
        <w:fldChar w:fldCharType="separate"/>
      </w:r>
      <w:r>
        <w:rPr>
          <w:rFonts w:hAnsi="宋体" w:cs="宋体"/>
          <w:bCs/>
          <w:sz w:val="28"/>
          <w:szCs w:val="28"/>
        </w:rPr>
        <w:t>三    投标文件</w:t>
      </w:r>
      <w:r>
        <w:rPr>
          <w:sz w:val="28"/>
          <w:szCs w:val="28"/>
        </w:rPr>
        <w:tab/>
      </w:r>
      <w:r>
        <w:rPr>
          <w:sz w:val="28"/>
          <w:szCs w:val="28"/>
        </w:rPr>
        <w:fldChar w:fldCharType="begin"/>
      </w:r>
      <w:r>
        <w:rPr>
          <w:sz w:val="28"/>
          <w:szCs w:val="28"/>
        </w:rPr>
        <w:instrText xml:space="preserve"> PAGEREF _Toc10923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14"/>
        <w:tabs>
          <w:tab w:val="right" w:leader="dot" w:pos="9638"/>
        </w:tabs>
        <w:rPr>
          <w:sz w:val="28"/>
          <w:szCs w:val="28"/>
        </w:rPr>
      </w:pPr>
      <w:r>
        <w:fldChar w:fldCharType="begin"/>
      </w:r>
      <w:r>
        <w:instrText xml:space="preserve"> HYPERLINK \l "_Toc29418" </w:instrText>
      </w:r>
      <w:r>
        <w:fldChar w:fldCharType="separate"/>
      </w:r>
      <w:r>
        <w:rPr>
          <w:rFonts w:hAnsi="宋体" w:cs="宋体"/>
          <w:bCs/>
          <w:sz w:val="28"/>
          <w:szCs w:val="28"/>
        </w:rPr>
        <w:t>四    投标</w:t>
      </w:r>
      <w:r>
        <w:rPr>
          <w:sz w:val="28"/>
          <w:szCs w:val="28"/>
        </w:rPr>
        <w:tab/>
      </w:r>
      <w:r>
        <w:rPr>
          <w:sz w:val="28"/>
          <w:szCs w:val="28"/>
        </w:rPr>
        <w:fldChar w:fldCharType="begin"/>
      </w:r>
      <w:r>
        <w:rPr>
          <w:sz w:val="28"/>
          <w:szCs w:val="28"/>
        </w:rPr>
        <w:instrText xml:space="preserve"> PAGEREF _Toc29418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14"/>
        <w:tabs>
          <w:tab w:val="right" w:leader="dot" w:pos="9638"/>
        </w:tabs>
        <w:rPr>
          <w:sz w:val="28"/>
          <w:szCs w:val="28"/>
        </w:rPr>
      </w:pPr>
      <w:r>
        <w:fldChar w:fldCharType="begin"/>
      </w:r>
      <w:r>
        <w:instrText xml:space="preserve"> HYPERLINK \l "_Toc21468" </w:instrText>
      </w:r>
      <w:r>
        <w:fldChar w:fldCharType="separate"/>
      </w:r>
      <w:r>
        <w:rPr>
          <w:rFonts w:hAnsi="宋体" w:cs="宋体"/>
          <w:bCs/>
          <w:sz w:val="28"/>
          <w:szCs w:val="28"/>
        </w:rPr>
        <w:t>五    开标、资格审查与评标</w:t>
      </w:r>
      <w:r>
        <w:rPr>
          <w:sz w:val="28"/>
          <w:szCs w:val="28"/>
        </w:rPr>
        <w:tab/>
      </w:r>
      <w:r>
        <w:rPr>
          <w:sz w:val="28"/>
          <w:szCs w:val="28"/>
        </w:rPr>
        <w:fldChar w:fldCharType="begin"/>
      </w:r>
      <w:r>
        <w:rPr>
          <w:sz w:val="28"/>
          <w:szCs w:val="28"/>
        </w:rPr>
        <w:instrText xml:space="preserve"> PAGEREF _Toc21468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14"/>
        <w:tabs>
          <w:tab w:val="right" w:leader="dot" w:pos="9638"/>
        </w:tabs>
        <w:rPr>
          <w:sz w:val="28"/>
          <w:szCs w:val="28"/>
        </w:rPr>
      </w:pPr>
      <w:r>
        <w:fldChar w:fldCharType="begin"/>
      </w:r>
      <w:r>
        <w:instrText xml:space="preserve"> HYPERLINK \l "_Toc5352" </w:instrText>
      </w:r>
      <w:r>
        <w:fldChar w:fldCharType="separate"/>
      </w:r>
      <w:r>
        <w:rPr>
          <w:rFonts w:hAnsi="宋体" w:cs="宋体"/>
          <w:bCs/>
          <w:sz w:val="28"/>
          <w:szCs w:val="28"/>
        </w:rPr>
        <w:t>六    合同授予</w:t>
      </w:r>
      <w:r>
        <w:rPr>
          <w:sz w:val="28"/>
          <w:szCs w:val="28"/>
        </w:rPr>
        <w:tab/>
      </w:r>
      <w:r>
        <w:rPr>
          <w:sz w:val="28"/>
          <w:szCs w:val="28"/>
        </w:rPr>
        <w:fldChar w:fldCharType="begin"/>
      </w:r>
      <w:r>
        <w:rPr>
          <w:sz w:val="28"/>
          <w:szCs w:val="28"/>
        </w:rPr>
        <w:instrText xml:space="preserve"> PAGEREF _Toc5352 </w:instrText>
      </w:r>
      <w:r>
        <w:rPr>
          <w:sz w:val="28"/>
          <w:szCs w:val="28"/>
        </w:rPr>
        <w:fldChar w:fldCharType="separate"/>
      </w:r>
      <w:r>
        <w:rPr>
          <w:sz w:val="28"/>
          <w:szCs w:val="28"/>
        </w:rPr>
        <w:t>48</w:t>
      </w:r>
      <w:r>
        <w:rPr>
          <w:sz w:val="28"/>
          <w:szCs w:val="28"/>
        </w:rPr>
        <w:fldChar w:fldCharType="end"/>
      </w:r>
      <w:r>
        <w:rPr>
          <w:sz w:val="28"/>
          <w:szCs w:val="28"/>
        </w:rPr>
        <w:fldChar w:fldCharType="end"/>
      </w:r>
    </w:p>
    <w:p>
      <w:pPr>
        <w:pStyle w:val="14"/>
        <w:tabs>
          <w:tab w:val="right" w:leader="dot" w:pos="9638"/>
        </w:tabs>
        <w:rPr>
          <w:sz w:val="28"/>
          <w:szCs w:val="28"/>
        </w:rPr>
      </w:pPr>
      <w:r>
        <w:fldChar w:fldCharType="begin"/>
      </w:r>
      <w:r>
        <w:instrText xml:space="preserve"> HYPERLINK \l "_Toc13133" </w:instrText>
      </w:r>
      <w:r>
        <w:fldChar w:fldCharType="separate"/>
      </w:r>
      <w:r>
        <w:rPr>
          <w:rFonts w:hAnsi="宋体" w:cs="宋体"/>
          <w:bCs/>
          <w:sz w:val="28"/>
          <w:szCs w:val="28"/>
        </w:rPr>
        <w:t>七   其他事项</w:t>
      </w:r>
      <w:r>
        <w:rPr>
          <w:sz w:val="28"/>
          <w:szCs w:val="28"/>
        </w:rPr>
        <w:tab/>
      </w:r>
      <w:r>
        <w:rPr>
          <w:sz w:val="28"/>
          <w:szCs w:val="28"/>
        </w:rPr>
        <w:fldChar w:fldCharType="begin"/>
      </w:r>
      <w:r>
        <w:rPr>
          <w:sz w:val="28"/>
          <w:szCs w:val="28"/>
        </w:rPr>
        <w:instrText xml:space="preserve"> PAGEREF _Toc13133 </w:instrText>
      </w:r>
      <w:r>
        <w:rPr>
          <w:sz w:val="28"/>
          <w:szCs w:val="28"/>
        </w:rPr>
        <w:fldChar w:fldCharType="separate"/>
      </w:r>
      <w:r>
        <w:rPr>
          <w:sz w:val="28"/>
          <w:szCs w:val="28"/>
        </w:rPr>
        <w:t>49</w:t>
      </w:r>
      <w:r>
        <w:rPr>
          <w:sz w:val="28"/>
          <w:szCs w:val="28"/>
        </w:rPr>
        <w:fldChar w:fldCharType="end"/>
      </w:r>
      <w:r>
        <w:rPr>
          <w:sz w:val="28"/>
          <w:szCs w:val="28"/>
        </w:rPr>
        <w:fldChar w:fldCharType="end"/>
      </w:r>
    </w:p>
    <w:p>
      <w:pPr>
        <w:pStyle w:val="13"/>
        <w:tabs>
          <w:tab w:val="right" w:leader="dot" w:pos="9638"/>
        </w:tabs>
        <w:rPr>
          <w:sz w:val="28"/>
          <w:szCs w:val="28"/>
        </w:rPr>
      </w:pPr>
      <w:r>
        <w:fldChar w:fldCharType="begin"/>
      </w:r>
      <w:r>
        <w:instrText xml:space="preserve"> HYPERLINK \l "_Toc19437" </w:instrText>
      </w:r>
      <w:r>
        <w:fldChar w:fldCharType="separate"/>
      </w:r>
      <w:r>
        <w:rPr>
          <w:rFonts w:hAnsi="宋体" w:cs="宋体"/>
          <w:sz w:val="28"/>
          <w:szCs w:val="28"/>
        </w:rPr>
        <w:t>第五章  投标文件格式</w:t>
      </w:r>
      <w:r>
        <w:rPr>
          <w:sz w:val="28"/>
          <w:szCs w:val="28"/>
        </w:rPr>
        <w:tab/>
      </w:r>
      <w:r>
        <w:rPr>
          <w:sz w:val="28"/>
          <w:szCs w:val="28"/>
        </w:rPr>
        <w:fldChar w:fldCharType="begin"/>
      </w:r>
      <w:r>
        <w:rPr>
          <w:sz w:val="28"/>
          <w:szCs w:val="28"/>
        </w:rPr>
        <w:instrText xml:space="preserve"> PAGEREF _Toc19437 </w:instrText>
      </w:r>
      <w:r>
        <w:rPr>
          <w:sz w:val="28"/>
          <w:szCs w:val="28"/>
        </w:rPr>
        <w:fldChar w:fldCharType="separate"/>
      </w:r>
      <w:r>
        <w:rPr>
          <w:sz w:val="28"/>
          <w:szCs w:val="28"/>
        </w:rPr>
        <w:t>50</w:t>
      </w:r>
      <w:r>
        <w:rPr>
          <w:sz w:val="28"/>
          <w:szCs w:val="28"/>
        </w:rPr>
        <w:fldChar w:fldCharType="end"/>
      </w:r>
      <w:r>
        <w:rPr>
          <w:sz w:val="28"/>
          <w:szCs w:val="28"/>
        </w:rPr>
        <w:fldChar w:fldCharType="end"/>
      </w:r>
    </w:p>
    <w:p>
      <w:pPr>
        <w:pStyle w:val="13"/>
        <w:tabs>
          <w:tab w:val="right" w:leader="dot" w:pos="9638"/>
        </w:tabs>
        <w:rPr>
          <w:sz w:val="28"/>
          <w:szCs w:val="28"/>
        </w:rPr>
      </w:pPr>
      <w:r>
        <w:fldChar w:fldCharType="begin"/>
      </w:r>
      <w:r>
        <w:instrText xml:space="preserve"> HYPERLINK \l "_Toc7509" </w:instrText>
      </w:r>
      <w:r>
        <w:fldChar w:fldCharType="separate"/>
      </w:r>
      <w:r>
        <w:rPr>
          <w:rFonts w:hint="eastAsia" w:ascii="宋体" w:hAnsi="宋体" w:cs="宋体"/>
          <w:sz w:val="28"/>
          <w:szCs w:val="28"/>
        </w:rPr>
        <w:t>第六章  合同条款及格式</w:t>
      </w:r>
      <w:r>
        <w:rPr>
          <w:sz w:val="28"/>
          <w:szCs w:val="28"/>
        </w:rPr>
        <w:tab/>
      </w:r>
      <w:r>
        <w:rPr>
          <w:sz w:val="28"/>
          <w:szCs w:val="28"/>
        </w:rPr>
        <w:fldChar w:fldCharType="begin"/>
      </w:r>
      <w:r>
        <w:rPr>
          <w:sz w:val="28"/>
          <w:szCs w:val="28"/>
        </w:rPr>
        <w:instrText xml:space="preserve"> PAGEREF _Toc7509 </w:instrText>
      </w:r>
      <w:r>
        <w:rPr>
          <w:sz w:val="28"/>
          <w:szCs w:val="28"/>
        </w:rPr>
        <w:fldChar w:fldCharType="separate"/>
      </w:r>
      <w:r>
        <w:rPr>
          <w:sz w:val="28"/>
          <w:szCs w:val="28"/>
        </w:rPr>
        <w:t>63</w:t>
      </w:r>
      <w:r>
        <w:rPr>
          <w:sz w:val="28"/>
          <w:szCs w:val="28"/>
        </w:rPr>
        <w:fldChar w:fldCharType="end"/>
      </w:r>
      <w:r>
        <w:rPr>
          <w:sz w:val="28"/>
          <w:szCs w:val="28"/>
        </w:rPr>
        <w:fldChar w:fldCharType="end"/>
      </w:r>
    </w:p>
    <w:p>
      <w:pPr>
        <w:pStyle w:val="13"/>
        <w:tabs>
          <w:tab w:val="right" w:leader="dot" w:pos="9346"/>
        </w:tabs>
        <w:spacing w:line="600" w:lineRule="exact"/>
        <w:rPr>
          <w:rStyle w:val="25"/>
          <w:rFonts w:ascii="宋体" w:hAnsi="宋体" w:cs="宋体"/>
          <w:color w:val="auto"/>
        </w:rPr>
      </w:pPr>
      <w:r>
        <w:rPr>
          <w:rFonts w:hint="eastAsia" w:ascii="宋体" w:hAnsi="宋体" w:cs="宋体"/>
          <w:sz w:val="28"/>
          <w:szCs w:val="28"/>
        </w:rPr>
        <w:fldChar w:fldCharType="end"/>
      </w:r>
      <w:bookmarkEnd w:id="0"/>
      <w:bookmarkEnd w:id="1"/>
      <w:bookmarkEnd w:id="2"/>
      <w:bookmarkStart w:id="5" w:name="_Toc139966431"/>
      <w:bookmarkStart w:id="6" w:name="_Toc213206172"/>
      <w:bookmarkStart w:id="7" w:name="_Toc213325921"/>
      <w:bookmarkStart w:id="8" w:name="_Toc139967215"/>
    </w:p>
    <w:p>
      <w:pPr>
        <w:pStyle w:val="10"/>
        <w:jc w:val="center"/>
        <w:outlineLvl w:val="0"/>
        <w:rPr>
          <w:rFonts w:hint="default" w:hAnsi="宋体" w:cs="宋体"/>
          <w:b/>
          <w:bCs/>
          <w:sz w:val="36"/>
          <w:szCs w:val="36"/>
        </w:rPr>
      </w:pPr>
    </w:p>
    <w:p>
      <w:pPr>
        <w:pStyle w:val="10"/>
        <w:outlineLvl w:val="0"/>
        <w:rPr>
          <w:rFonts w:hint="default" w:hAnsi="宋体" w:cs="宋体"/>
          <w:b/>
          <w:bCs/>
          <w:sz w:val="36"/>
          <w:szCs w:val="36"/>
        </w:rPr>
      </w:pPr>
    </w:p>
    <w:p>
      <w:pPr>
        <w:pStyle w:val="10"/>
        <w:spacing w:line="460" w:lineRule="exact"/>
        <w:jc w:val="center"/>
        <w:outlineLvl w:val="0"/>
        <w:rPr>
          <w:rFonts w:hint="default" w:hAnsi="宋体" w:cs="宋体"/>
          <w:b/>
          <w:bCs/>
          <w:sz w:val="36"/>
          <w:szCs w:val="36"/>
        </w:rPr>
        <w:sectPr>
          <w:footerReference r:id="rId11" w:type="default"/>
          <w:pgSz w:w="11906" w:h="16838"/>
          <w:pgMar w:top="1134" w:right="1134" w:bottom="784" w:left="1134" w:header="720" w:footer="720" w:gutter="0"/>
          <w:pgNumType w:start="1"/>
          <w:cols w:space="720" w:num="1"/>
          <w:docGrid w:type="linesAndChars" w:linePitch="331" w:charSpace="0"/>
        </w:sectPr>
      </w:pPr>
      <w:bookmarkStart w:id="9" w:name="_Toc20217"/>
      <w:bookmarkStart w:id="10" w:name="_Toc12846"/>
      <w:bookmarkStart w:id="11" w:name="_Toc30120"/>
    </w:p>
    <w:p>
      <w:pPr>
        <w:pStyle w:val="10"/>
        <w:spacing w:line="460" w:lineRule="exact"/>
        <w:jc w:val="center"/>
        <w:outlineLvl w:val="0"/>
        <w:rPr>
          <w:rFonts w:hint="default" w:hAnsi="宋体" w:cs="宋体"/>
          <w:b/>
          <w:bCs/>
          <w:sz w:val="36"/>
          <w:szCs w:val="36"/>
        </w:rPr>
      </w:pPr>
      <w:r>
        <w:rPr>
          <w:rFonts w:hAnsi="宋体" w:cs="宋体"/>
          <w:b/>
          <w:bCs/>
          <w:sz w:val="36"/>
          <w:szCs w:val="36"/>
        </w:rPr>
        <w:t>第一章  公告</w:t>
      </w:r>
      <w:bookmarkEnd w:id="9"/>
      <w:bookmarkEnd w:id="10"/>
      <w:bookmarkEnd w:id="11"/>
    </w:p>
    <w:p>
      <w:pPr>
        <w:pStyle w:val="41"/>
        <w:spacing w:after="165" w:line="500" w:lineRule="exact"/>
        <w:ind w:firstLine="0" w:firstLineChars="0"/>
        <w:jc w:val="center"/>
        <w:rPr>
          <w:rFonts w:cs="宋体" w:asciiTheme="majorEastAsia" w:hAnsiTheme="majorEastAsia" w:eastAsiaTheme="majorEastAsia"/>
          <w:b/>
          <w:sz w:val="36"/>
        </w:rPr>
      </w:pPr>
      <w:r>
        <w:rPr>
          <w:rFonts w:hint="eastAsia" w:cs="宋体" w:asciiTheme="majorEastAsia" w:hAnsiTheme="majorEastAsia" w:eastAsiaTheme="majorEastAsia"/>
          <w:b/>
          <w:sz w:val="36"/>
        </w:rPr>
        <w:t>公开招标公告</w:t>
      </w:r>
    </w:p>
    <w:tbl>
      <w:tblPr>
        <w:tblStyle w:val="18"/>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16"/>
              <w:spacing w:before="75" w:beforeAutospacing="0" w:after="75" w:afterAutospacing="0" w:line="360" w:lineRule="auto"/>
              <w:rPr>
                <w:rFonts w:asciiTheme="majorEastAsia" w:hAnsiTheme="majorEastAsia" w:eastAsiaTheme="majorEastAsia"/>
              </w:rPr>
            </w:pPr>
            <w:r>
              <w:rPr>
                <w:rFonts w:hint="eastAsia" w:asciiTheme="majorEastAsia" w:hAnsiTheme="majorEastAsia" w:eastAsiaTheme="majorEastAsia"/>
              </w:rPr>
              <w:t>项目概况:</w:t>
            </w:r>
          </w:p>
          <w:p>
            <w:pPr>
              <w:pStyle w:val="16"/>
              <w:wordWrap w:val="0"/>
              <w:spacing w:before="75" w:beforeAutospacing="0" w:after="75" w:afterAutospacing="0" w:line="360" w:lineRule="auto"/>
              <w:rPr>
                <w:rFonts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u w:val="single"/>
              </w:rPr>
              <w:t>南宁市就业创业和人力资源市场信息系统数据备份中心建设（项目编号：NNZC2020-G1-990185-GXYZ）</w:t>
            </w:r>
            <w:r>
              <w:rPr>
                <w:rFonts w:hint="eastAsia" w:asciiTheme="majorEastAsia" w:hAnsiTheme="majorEastAsia" w:eastAsiaTheme="majorEastAsia"/>
              </w:rPr>
              <w:t>采购项目的潜在投标人应在</w:t>
            </w:r>
            <w:r>
              <w:rPr>
                <w:rFonts w:hint="eastAsia" w:asciiTheme="majorEastAsia" w:hAnsiTheme="majorEastAsia" w:eastAsiaTheme="majorEastAsia"/>
                <w:u w:val="single"/>
              </w:rPr>
              <w:t>南宁市公共资源交易平台(https://www.nnggzy.org.cn/gxnnhy)</w:t>
            </w:r>
            <w:r>
              <w:rPr>
                <w:rFonts w:hint="eastAsia" w:asciiTheme="majorEastAsia" w:hAnsiTheme="majorEastAsia" w:eastAsiaTheme="majorEastAsia"/>
              </w:rPr>
              <w:t>的信息公告处自行下载获取本项目招标文件，并于</w:t>
            </w:r>
            <w:r>
              <w:rPr>
                <w:rFonts w:hint="eastAsia" w:asciiTheme="majorEastAsia" w:hAnsiTheme="majorEastAsia" w:eastAsiaTheme="majorEastAsia"/>
                <w:u w:val="single"/>
              </w:rPr>
              <w:t>2020年</w:t>
            </w:r>
            <w:r>
              <w:rPr>
                <w:rFonts w:hint="eastAsia" w:asciiTheme="majorEastAsia" w:hAnsiTheme="majorEastAsia" w:eastAsiaTheme="majorEastAsia"/>
                <w:u w:val="single"/>
                <w:lang w:val="en-US" w:eastAsia="zh-CN"/>
              </w:rPr>
              <w:t>10</w:t>
            </w:r>
            <w:r>
              <w:rPr>
                <w:rFonts w:hint="eastAsia" w:asciiTheme="majorEastAsia" w:hAnsiTheme="majorEastAsia" w:eastAsiaTheme="majorEastAsia"/>
                <w:u w:val="single"/>
              </w:rPr>
              <w:t>月</w:t>
            </w:r>
            <w:r>
              <w:rPr>
                <w:rFonts w:hint="eastAsia" w:asciiTheme="majorEastAsia" w:hAnsiTheme="majorEastAsia" w:eastAsiaTheme="majorEastAsia"/>
                <w:u w:val="single"/>
                <w:lang w:val="en-US" w:eastAsia="zh-CN"/>
              </w:rPr>
              <w:t>23</w:t>
            </w:r>
            <w:r>
              <w:rPr>
                <w:rFonts w:hint="eastAsia" w:asciiTheme="majorEastAsia" w:hAnsiTheme="majorEastAsia" w:eastAsiaTheme="majorEastAsia"/>
                <w:u w:val="single"/>
              </w:rPr>
              <w:t>日</w:t>
            </w:r>
            <w:r>
              <w:rPr>
                <w:rFonts w:hint="eastAsia" w:asciiTheme="majorEastAsia" w:hAnsiTheme="majorEastAsia" w:eastAsiaTheme="majorEastAsia"/>
                <w:u w:val="single"/>
                <w:lang w:val="en-US" w:eastAsia="zh-CN"/>
              </w:rPr>
              <w:t>09</w:t>
            </w:r>
            <w:r>
              <w:rPr>
                <w:rFonts w:hint="eastAsia" w:asciiTheme="majorEastAsia" w:hAnsiTheme="majorEastAsia" w:eastAsiaTheme="majorEastAsia"/>
                <w:u w:val="single"/>
              </w:rPr>
              <w:t>点</w:t>
            </w:r>
            <w:r>
              <w:rPr>
                <w:rFonts w:hint="eastAsia" w:asciiTheme="majorEastAsia" w:hAnsiTheme="majorEastAsia" w:eastAsiaTheme="majorEastAsia"/>
                <w:u w:val="single"/>
                <w:lang w:val="en-US" w:eastAsia="zh-CN"/>
              </w:rPr>
              <w:t>30</w:t>
            </w:r>
            <w:r>
              <w:rPr>
                <w:rFonts w:hint="eastAsia" w:asciiTheme="majorEastAsia" w:hAnsiTheme="majorEastAsia" w:eastAsiaTheme="majorEastAsia"/>
                <w:u w:val="single"/>
              </w:rPr>
              <w:t>分</w:t>
            </w:r>
            <w:r>
              <w:rPr>
                <w:rFonts w:hint="eastAsia" w:asciiTheme="majorEastAsia" w:hAnsiTheme="majorEastAsia" w:eastAsiaTheme="majorEastAsia"/>
              </w:rPr>
              <w:t>（北京时间）前递交投标文件。</w:t>
            </w:r>
          </w:p>
        </w:tc>
      </w:tr>
    </w:tbl>
    <w:p>
      <w:pPr>
        <w:pStyle w:val="16"/>
        <w:spacing w:before="75" w:beforeAutospacing="0" w:after="75" w:afterAutospacing="0" w:line="360" w:lineRule="auto"/>
        <w:rPr>
          <w:rFonts w:asciiTheme="majorEastAsia" w:hAnsiTheme="majorEastAsia" w:eastAsiaTheme="majorEastAsia"/>
        </w:rPr>
      </w:pPr>
      <w:r>
        <w:rPr>
          <w:rStyle w:val="21"/>
          <w:rFonts w:hint="eastAsia" w:asciiTheme="majorEastAsia" w:hAnsiTheme="majorEastAsia" w:eastAsiaTheme="majorEastAsia"/>
        </w:rPr>
        <w:t>一、项目基本情况：</w:t>
      </w:r>
    </w:p>
    <w:p>
      <w:pPr>
        <w:pStyle w:val="16"/>
        <w:spacing w:before="75" w:beforeAutospacing="0" w:after="75" w:afterAutospacing="0" w:line="360" w:lineRule="auto"/>
        <w:ind w:firstLine="240" w:firstLineChars="100"/>
        <w:rPr>
          <w:rFonts w:hint="eastAsia" w:asciiTheme="majorEastAsia" w:hAnsiTheme="majorEastAsia" w:eastAsiaTheme="majorEastAsia"/>
        </w:rPr>
      </w:pPr>
      <w:r>
        <w:rPr>
          <w:rFonts w:hint="eastAsia" w:asciiTheme="majorEastAsia" w:hAnsiTheme="majorEastAsia" w:eastAsiaTheme="majorEastAsia"/>
        </w:rPr>
        <w:t xml:space="preserve">项目编号：NNZC2020-G1-990185-GXYZ </w:t>
      </w:r>
    </w:p>
    <w:p>
      <w:pPr>
        <w:pStyle w:val="16"/>
        <w:spacing w:before="75" w:beforeAutospacing="0" w:after="75" w:afterAutospacing="0" w:line="360" w:lineRule="auto"/>
        <w:ind w:firstLine="240" w:firstLineChars="100"/>
        <w:rPr>
          <w:rFonts w:hint="eastAsia" w:asciiTheme="majorEastAsia" w:hAnsiTheme="majorEastAsia" w:eastAsiaTheme="majorEastAsia"/>
        </w:rPr>
      </w:pPr>
      <w:r>
        <w:rPr>
          <w:rFonts w:hint="eastAsia" w:asciiTheme="majorEastAsia" w:hAnsiTheme="majorEastAsia" w:eastAsiaTheme="majorEastAsia"/>
        </w:rPr>
        <w:t>项目名称：南宁市就业创业和人力资源市场信息系统数据备份中心建设</w:t>
      </w:r>
    </w:p>
    <w:p>
      <w:pPr>
        <w:pStyle w:val="16"/>
        <w:spacing w:before="75" w:beforeAutospacing="0" w:after="75" w:afterAutospacing="0" w:line="360" w:lineRule="auto"/>
        <w:ind w:firstLine="240" w:firstLineChars="100"/>
        <w:rPr>
          <w:rFonts w:hint="eastAsia" w:asciiTheme="majorEastAsia" w:hAnsiTheme="majorEastAsia" w:eastAsiaTheme="majorEastAsia"/>
        </w:rPr>
      </w:pPr>
      <w:r>
        <w:rPr>
          <w:rFonts w:hint="eastAsia" w:asciiTheme="majorEastAsia" w:hAnsiTheme="majorEastAsia" w:eastAsiaTheme="majorEastAsia"/>
        </w:rPr>
        <w:t>审批编号：</w:t>
      </w:r>
      <w:r>
        <w:rPr>
          <w:rFonts w:hint="eastAsia" w:asciiTheme="majorEastAsia" w:hAnsiTheme="majorEastAsia" w:eastAsiaTheme="majorEastAsia"/>
        </w:rPr>
        <w:fldChar w:fldCharType="begin"/>
      </w:r>
      <w:r>
        <w:rPr>
          <w:rFonts w:hint="eastAsia" w:asciiTheme="majorEastAsia" w:hAnsiTheme="majorEastAsia" w:eastAsiaTheme="majorEastAsia"/>
        </w:rPr>
        <w:instrText xml:space="preserve"> HYPERLINK "https://pay.zcygov.cn/purchaseplan_front/" \l "/plan/list/detail?id=1000000000003425825&amp;encrypt=9876525f155030c3f211a8fee54e77cf" \t "https://www.zcygov.cn/bidding-entrust/" \l "/purchaseFileMake/_blank" </w:instrText>
      </w:r>
      <w:r>
        <w:rPr>
          <w:rFonts w:hint="eastAsia" w:asciiTheme="majorEastAsia" w:hAnsiTheme="majorEastAsia" w:eastAsiaTheme="majorEastAsia"/>
        </w:rPr>
        <w:fldChar w:fldCharType="separate"/>
      </w:r>
      <w:r>
        <w:rPr>
          <w:rFonts w:hint="eastAsia" w:asciiTheme="majorEastAsia" w:hAnsiTheme="majorEastAsia" w:eastAsiaTheme="majorEastAsia"/>
        </w:rPr>
        <w:t>[2020]NCCSH206-001</w:t>
      </w:r>
      <w:r>
        <w:rPr>
          <w:rFonts w:hint="eastAsia" w:asciiTheme="majorEastAsia" w:hAnsiTheme="majorEastAsia" w:eastAsiaTheme="majorEastAsia"/>
        </w:rPr>
        <w:fldChar w:fldCharType="end"/>
      </w:r>
    </w:p>
    <w:p>
      <w:pPr>
        <w:pStyle w:val="16"/>
        <w:spacing w:before="75" w:beforeAutospacing="0" w:after="75" w:afterAutospacing="0" w:line="360" w:lineRule="auto"/>
        <w:ind w:firstLine="240" w:firstLineChars="100"/>
        <w:rPr>
          <w:rFonts w:asciiTheme="majorEastAsia" w:hAnsiTheme="majorEastAsia" w:eastAsiaTheme="majorEastAsia"/>
        </w:rPr>
      </w:pPr>
      <w:r>
        <w:rPr>
          <w:rFonts w:hint="eastAsia" w:asciiTheme="majorEastAsia" w:hAnsiTheme="majorEastAsia" w:eastAsiaTheme="majorEastAsia"/>
        </w:rPr>
        <w:t>预算金额：人民币</w:t>
      </w:r>
      <w:r>
        <w:rPr>
          <w:rFonts w:hint="eastAsia" w:asciiTheme="majorEastAsia" w:hAnsiTheme="majorEastAsia" w:eastAsiaTheme="majorEastAsia"/>
        </w:rPr>
        <w:fldChar w:fldCharType="begin"/>
      </w:r>
      <w:r>
        <w:rPr>
          <w:rFonts w:hint="eastAsia" w:asciiTheme="majorEastAsia" w:hAnsiTheme="majorEastAsia" w:eastAsiaTheme="majorEastAsia"/>
        </w:rPr>
        <w:instrText xml:space="preserve"> = 916000 \* CHINESENUM2 \* MERGEFORMAT </w:instrText>
      </w:r>
      <w:r>
        <w:rPr>
          <w:rFonts w:hint="eastAsia" w:asciiTheme="majorEastAsia" w:hAnsiTheme="majorEastAsia" w:eastAsiaTheme="majorEastAsia"/>
        </w:rPr>
        <w:fldChar w:fldCharType="separate"/>
      </w:r>
      <w:r>
        <w:rPr>
          <w:rFonts w:hint="eastAsia" w:asciiTheme="majorEastAsia" w:hAnsiTheme="majorEastAsia" w:eastAsiaTheme="majorEastAsia"/>
        </w:rPr>
        <w:t>玖拾壹万陆仟</w:t>
      </w:r>
      <w:r>
        <w:rPr>
          <w:rFonts w:hint="eastAsia" w:asciiTheme="majorEastAsia" w:hAnsiTheme="majorEastAsia" w:eastAsiaTheme="majorEastAsia"/>
        </w:rPr>
        <w:fldChar w:fldCharType="end"/>
      </w:r>
      <w:r>
        <w:rPr>
          <w:rFonts w:hint="eastAsia" w:asciiTheme="majorEastAsia" w:hAnsiTheme="majorEastAsia" w:eastAsiaTheme="majorEastAsia"/>
        </w:rPr>
        <w:t>元整(￥916000.00元)</w:t>
      </w:r>
    </w:p>
    <w:p>
      <w:pPr>
        <w:pStyle w:val="16"/>
        <w:spacing w:before="75" w:beforeAutospacing="0" w:after="75" w:afterAutospacing="0" w:line="360" w:lineRule="auto"/>
        <w:ind w:firstLine="240" w:firstLineChars="100"/>
        <w:rPr>
          <w:rFonts w:asciiTheme="majorEastAsia" w:hAnsiTheme="majorEastAsia" w:eastAsiaTheme="majorEastAsia"/>
        </w:rPr>
      </w:pPr>
      <w:r>
        <w:rPr>
          <w:rFonts w:hint="eastAsia" w:asciiTheme="majorEastAsia" w:hAnsiTheme="majorEastAsia" w:eastAsiaTheme="majorEastAsia"/>
        </w:rPr>
        <w:t>最高限价为：人民币</w:t>
      </w:r>
      <w:r>
        <w:rPr>
          <w:rFonts w:hint="eastAsia" w:asciiTheme="majorEastAsia" w:hAnsiTheme="majorEastAsia" w:eastAsiaTheme="majorEastAsia"/>
        </w:rPr>
        <w:fldChar w:fldCharType="begin"/>
      </w:r>
      <w:r>
        <w:rPr>
          <w:rFonts w:hint="eastAsia" w:asciiTheme="majorEastAsia" w:hAnsiTheme="majorEastAsia" w:eastAsiaTheme="majorEastAsia"/>
        </w:rPr>
        <w:instrText xml:space="preserve"> = 916000 \* CHINESENUM2 \* MERGEFORMAT </w:instrText>
      </w:r>
      <w:r>
        <w:rPr>
          <w:rFonts w:hint="eastAsia" w:asciiTheme="majorEastAsia" w:hAnsiTheme="majorEastAsia" w:eastAsiaTheme="majorEastAsia"/>
        </w:rPr>
        <w:fldChar w:fldCharType="separate"/>
      </w:r>
      <w:r>
        <w:rPr>
          <w:rFonts w:hint="eastAsia" w:asciiTheme="majorEastAsia" w:hAnsiTheme="majorEastAsia" w:eastAsiaTheme="majorEastAsia"/>
        </w:rPr>
        <w:t>玖拾壹万陆仟</w:t>
      </w:r>
      <w:r>
        <w:rPr>
          <w:rFonts w:hint="eastAsia" w:asciiTheme="majorEastAsia" w:hAnsiTheme="majorEastAsia" w:eastAsiaTheme="majorEastAsia"/>
        </w:rPr>
        <w:fldChar w:fldCharType="end"/>
      </w:r>
      <w:r>
        <w:rPr>
          <w:rFonts w:hint="eastAsia" w:asciiTheme="majorEastAsia" w:hAnsiTheme="majorEastAsia" w:eastAsiaTheme="majorEastAsia"/>
        </w:rPr>
        <w:t>元整(￥916000.00元)</w:t>
      </w:r>
    </w:p>
    <w:p>
      <w:pPr>
        <w:pStyle w:val="16"/>
        <w:spacing w:before="75" w:beforeAutospacing="0" w:after="75" w:afterAutospacing="0" w:line="360" w:lineRule="auto"/>
        <w:ind w:firstLine="240" w:firstLineChars="100"/>
        <w:rPr>
          <w:rFonts w:asciiTheme="majorEastAsia" w:hAnsiTheme="majorEastAsia" w:eastAsiaTheme="majorEastAsia"/>
        </w:rPr>
      </w:pPr>
      <w:r>
        <w:rPr>
          <w:rFonts w:hint="eastAsia" w:asciiTheme="majorEastAsia" w:hAnsiTheme="majorEastAsia" w:eastAsiaTheme="majorEastAsia"/>
        </w:rPr>
        <w:t>采购需求：</w:t>
      </w:r>
    </w:p>
    <w:tbl>
      <w:tblPr>
        <w:tblStyle w:val="18"/>
        <w:tblW w:w="865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80"/>
        <w:gridCol w:w="1688"/>
        <w:gridCol w:w="1275"/>
        <w:gridCol w:w="501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1"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auto"/>
              <w:jc w:val="center"/>
              <w:rPr>
                <w:rFonts w:ascii="宋体" w:hAnsi="宋体"/>
                <w:b/>
                <w:sz w:val="24"/>
                <w:szCs w:val="24"/>
              </w:rPr>
            </w:pPr>
            <w:r>
              <w:rPr>
                <w:rFonts w:hint="eastAsia" w:ascii="宋体" w:hAnsi="宋体"/>
                <w:b/>
                <w:sz w:val="24"/>
                <w:szCs w:val="24"/>
              </w:rPr>
              <w:t>项号</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b/>
                <w:sz w:val="24"/>
                <w:szCs w:val="24"/>
              </w:rPr>
            </w:pPr>
            <w:r>
              <w:rPr>
                <w:rFonts w:hint="eastAsia" w:ascii="宋体" w:hAnsi="宋体"/>
                <w:b/>
                <w:sz w:val="24"/>
                <w:szCs w:val="24"/>
              </w:rPr>
              <w:t>货物名称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b/>
                <w:sz w:val="24"/>
                <w:szCs w:val="24"/>
              </w:rPr>
            </w:pPr>
            <w:r>
              <w:rPr>
                <w:rFonts w:hint="eastAsia" w:ascii="宋体" w:hAnsi="宋体"/>
                <w:b/>
                <w:sz w:val="24"/>
                <w:szCs w:val="24"/>
              </w:rPr>
              <w:t>数量</w:t>
            </w:r>
          </w:p>
        </w:tc>
        <w:tc>
          <w:tcPr>
            <w:tcW w:w="50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b/>
                <w:sz w:val="24"/>
                <w:szCs w:val="24"/>
              </w:rPr>
            </w:pPr>
            <w:r>
              <w:rPr>
                <w:rFonts w:hint="eastAsia" w:cs="宋体" w:asciiTheme="minorEastAsia" w:hAnsiTheme="minorEastAsia" w:eastAsiaTheme="minorEastAsia"/>
                <w:b/>
                <w:kern w:val="0"/>
                <w:sz w:val="24"/>
                <w:szCs w:val="24"/>
              </w:rPr>
              <w:t>技术参数</w:t>
            </w:r>
            <w:r>
              <w:rPr>
                <w:rFonts w:hint="eastAsia" w:ascii="宋体" w:hAnsi="宋体"/>
                <w:b/>
                <w:sz w:val="24"/>
                <w:szCs w:val="24"/>
              </w:rPr>
              <w:t>要求（详见货物需求一览表）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1" w:hRule="atLeast"/>
          <w:jc w:val="center"/>
        </w:trPr>
        <w:tc>
          <w:tcPr>
            <w:tcW w:w="8658" w:type="dxa"/>
            <w:gridSpan w:val="4"/>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tabs>
                <w:tab w:val="left" w:pos="867"/>
              </w:tabs>
              <w:spacing w:line="360" w:lineRule="auto"/>
              <w:jc w:val="left"/>
              <w:rPr>
                <w:rFonts w:hint="eastAsia" w:cs="宋体" w:asciiTheme="minorEastAsia" w:hAnsiTheme="minorEastAsia" w:eastAsiaTheme="minorEastAsia"/>
                <w:b/>
                <w:kern w:val="0"/>
                <w:sz w:val="24"/>
                <w:szCs w:val="24"/>
                <w:lang w:eastAsia="zh-CN"/>
              </w:rPr>
            </w:pPr>
            <w:r>
              <w:rPr>
                <w:rFonts w:hint="eastAsia" w:ascii="新宋体" w:hAnsi="新宋体" w:eastAsia="新宋体" w:cs="新宋体"/>
                <w:b/>
                <w:bCs/>
                <w:color w:val="auto"/>
                <w:kern w:val="0"/>
                <w:sz w:val="24"/>
                <w:szCs w:val="24"/>
              </w:rPr>
              <w:t>一、配电部分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945"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p>
            <w:pPr>
              <w:pStyle w:val="8"/>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UPS市输入电线电缆</w:t>
            </w:r>
          </w:p>
          <w:p>
            <w:pPr>
              <w:pStyle w:val="8"/>
              <w:jc w:val="center"/>
              <w:rPr>
                <w:rFonts w:hint="eastAsia" w:ascii="宋体" w:hAnsi="宋体" w:eastAsia="宋体" w:cs="宋体"/>
                <w:sz w:val="24"/>
                <w:szCs w:val="24"/>
                <w:lang w:val="en-US" w:eastAsia="zh-CN"/>
              </w:rPr>
            </w:pPr>
            <w:r>
              <w:rPr>
                <w:rFonts w:hint="eastAsia" w:ascii="宋体" w:hAnsi="宋体" w:eastAsia="宋体" w:cs="宋体"/>
                <w:color w:val="auto"/>
                <w:kern w:val="0"/>
                <w:sz w:val="24"/>
                <w:szCs w:val="24"/>
                <w:lang w:val="en-US" w:eastAsia="zh-CN"/>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20米</w:t>
            </w:r>
          </w:p>
          <w:p>
            <w:pPr>
              <w:pStyle w:val="8"/>
              <w:jc w:val="center"/>
              <w:rPr>
                <w:rFonts w:hint="eastAsia" w:ascii="宋体" w:hAnsi="宋体" w:eastAsia="宋体" w:cs="宋体"/>
                <w:sz w:val="24"/>
                <w:szCs w:val="24"/>
                <w:lang w:val="en-US" w:eastAsia="zh-CN"/>
              </w:rPr>
            </w:pPr>
            <w:r>
              <w:rPr>
                <w:rFonts w:hint="eastAsia" w:ascii="宋体" w:hAnsi="宋体" w:eastAsia="宋体" w:cs="宋体"/>
                <w:color w:val="auto"/>
                <w:kern w:val="0"/>
                <w:sz w:val="24"/>
                <w:szCs w:val="24"/>
                <w:lang w:val="en-US" w:eastAsia="zh-CN"/>
              </w:rPr>
              <w:t>......</w:t>
            </w:r>
          </w:p>
        </w:tc>
        <w:tc>
          <w:tcPr>
            <w:tcW w:w="5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ZR-RVV-4*25+1*16</w:t>
            </w:r>
          </w:p>
          <w:p>
            <w:pPr>
              <w:pStyle w:val="8"/>
              <w:jc w:val="center"/>
              <w:rPr>
                <w:rFonts w:hint="eastAsia" w:ascii="宋体" w:hAnsi="宋体" w:eastAsia="宋体" w:cs="宋体"/>
                <w:sz w:val="24"/>
                <w:szCs w:val="24"/>
                <w:lang w:val="en-US" w:eastAsia="zh-CN"/>
              </w:rPr>
            </w:pPr>
            <w:r>
              <w:rPr>
                <w:rFonts w:hint="eastAsia" w:ascii="宋体" w:hAnsi="宋体" w:eastAsia="宋体" w:cs="宋体"/>
                <w:color w:val="auto"/>
                <w:kern w:val="0"/>
                <w:sz w:val="24"/>
                <w:szCs w:val="24"/>
                <w:lang w:val="en-US" w:eastAsia="zh-CN"/>
              </w:rPr>
              <w:t>......</w:t>
            </w:r>
          </w:p>
        </w:tc>
      </w:tr>
    </w:tbl>
    <w:p>
      <w:pPr>
        <w:pStyle w:val="16"/>
        <w:spacing w:before="75" w:beforeAutospacing="0" w:after="75" w:afterAutospacing="0" w:line="360" w:lineRule="auto"/>
        <w:ind w:firstLine="240" w:firstLineChars="100"/>
        <w:rPr>
          <w:rFonts w:asciiTheme="majorEastAsia" w:hAnsiTheme="majorEastAsia" w:eastAsiaTheme="majorEastAsia"/>
        </w:rPr>
      </w:pPr>
      <w:r>
        <w:rPr>
          <w:rFonts w:hint="eastAsia" w:asciiTheme="majorEastAsia" w:hAnsiTheme="majorEastAsia" w:eastAsiaTheme="majorEastAsia"/>
        </w:rPr>
        <w:t>如需进一步了解详细内容，详见公开招标文件。</w:t>
      </w:r>
    </w:p>
    <w:p>
      <w:pPr>
        <w:pStyle w:val="16"/>
        <w:spacing w:before="75" w:beforeAutospacing="0" w:after="75" w:afterAutospacing="0" w:line="360" w:lineRule="auto"/>
        <w:ind w:firstLine="240" w:firstLineChars="100"/>
        <w:rPr>
          <w:rFonts w:asciiTheme="majorEastAsia" w:hAnsiTheme="majorEastAsia" w:eastAsiaTheme="majorEastAsia"/>
        </w:rPr>
      </w:pPr>
      <w:r>
        <w:rPr>
          <w:rFonts w:hint="eastAsia" w:asciiTheme="majorEastAsia" w:hAnsiTheme="majorEastAsia" w:eastAsiaTheme="majorEastAsia"/>
        </w:rPr>
        <w:t>合同履行期限：详见公开招标文件。</w:t>
      </w:r>
    </w:p>
    <w:p>
      <w:pPr>
        <w:pStyle w:val="16"/>
        <w:spacing w:before="75" w:beforeAutospacing="0" w:after="75" w:afterAutospacing="0" w:line="360" w:lineRule="auto"/>
        <w:rPr>
          <w:rFonts w:asciiTheme="majorEastAsia" w:hAnsiTheme="majorEastAsia" w:eastAsiaTheme="majorEastAsia"/>
        </w:rPr>
      </w:pPr>
      <w:r>
        <w:rPr>
          <w:rStyle w:val="21"/>
          <w:rFonts w:hint="eastAsia" w:asciiTheme="majorEastAsia" w:hAnsiTheme="majorEastAsia" w:eastAsiaTheme="majorEastAsia"/>
        </w:rPr>
        <w:t>二、申请人的资格要求：</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1、符合《中华人民共和国政府采购法》第二十二条规定；</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2、本项目需落实的政府采购政策：本项目适用政府采购促进中小企业、监狱企业发展、促进残疾人就业、节能环保等有关政策，具体详见招标文件；</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3、本项目的特定资格要求：无</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4、</w:t>
      </w:r>
      <w:r>
        <w:rPr>
          <w:rFonts w:hint="eastAsia"/>
        </w:rPr>
        <w:t>具有国内法人资格或法人授权委托的分公司，注册经营(业务)范围满足采购内容的供应商或法人授权委托的分公司</w:t>
      </w:r>
      <w:r>
        <w:rPr>
          <w:rFonts w:hint="eastAsia" w:asciiTheme="majorEastAsia" w:hAnsiTheme="majorEastAsia" w:eastAsiaTheme="majorEastAsia"/>
        </w:rPr>
        <w:t>；</w:t>
      </w:r>
    </w:p>
    <w:p>
      <w:pPr>
        <w:pStyle w:val="16"/>
        <w:wordWrap w:val="0"/>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7、本项目不接受联合体投标。</w:t>
      </w:r>
    </w:p>
    <w:p>
      <w:pPr>
        <w:pStyle w:val="16"/>
        <w:spacing w:before="75" w:beforeAutospacing="0" w:after="75" w:afterAutospacing="0" w:line="360" w:lineRule="auto"/>
        <w:rPr>
          <w:rFonts w:asciiTheme="majorEastAsia" w:hAnsiTheme="majorEastAsia" w:eastAsiaTheme="majorEastAsia"/>
        </w:rPr>
      </w:pPr>
      <w:r>
        <w:rPr>
          <w:rStyle w:val="21"/>
          <w:rFonts w:hint="eastAsia" w:asciiTheme="majorEastAsia" w:hAnsiTheme="majorEastAsia" w:eastAsiaTheme="majorEastAsia"/>
        </w:rPr>
        <w:t>三、获取招标文件：</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时间：2020年</w:t>
      </w:r>
      <w:r>
        <w:rPr>
          <w:rFonts w:hint="eastAsia" w:asciiTheme="majorEastAsia" w:hAnsiTheme="majorEastAsia" w:eastAsiaTheme="majorEastAsia"/>
          <w:lang w:val="en-US" w:eastAsia="zh-CN"/>
        </w:rPr>
        <w:t>9</w:t>
      </w:r>
      <w:r>
        <w:rPr>
          <w:rFonts w:hint="eastAsia" w:asciiTheme="majorEastAsia" w:hAnsiTheme="majorEastAsia" w:eastAsiaTheme="majorEastAsia"/>
        </w:rPr>
        <w:t>月</w:t>
      </w:r>
      <w:r>
        <w:rPr>
          <w:rFonts w:hint="eastAsia" w:asciiTheme="majorEastAsia" w:hAnsiTheme="majorEastAsia" w:eastAsiaTheme="majorEastAsia"/>
          <w:lang w:val="en-US" w:eastAsia="zh-CN"/>
        </w:rPr>
        <w:t>30</w:t>
      </w:r>
      <w:r>
        <w:rPr>
          <w:rFonts w:hint="eastAsia" w:asciiTheme="majorEastAsia" w:hAnsiTheme="majorEastAsia" w:eastAsiaTheme="majorEastAsia"/>
        </w:rPr>
        <w:t>日至2020年</w:t>
      </w:r>
      <w:r>
        <w:rPr>
          <w:rFonts w:hint="eastAsia" w:asciiTheme="majorEastAsia" w:hAnsiTheme="majorEastAsia" w:eastAsiaTheme="majorEastAsia"/>
          <w:lang w:val="en-US" w:eastAsia="zh-CN"/>
        </w:rPr>
        <w:t>10</w:t>
      </w:r>
      <w:r>
        <w:rPr>
          <w:rFonts w:hint="eastAsia" w:asciiTheme="majorEastAsia" w:hAnsiTheme="majorEastAsia" w:eastAsiaTheme="majorEastAsia"/>
        </w:rPr>
        <w:t>月</w:t>
      </w:r>
      <w:r>
        <w:rPr>
          <w:rFonts w:hint="eastAsia" w:asciiTheme="majorEastAsia" w:hAnsiTheme="majorEastAsia" w:eastAsiaTheme="majorEastAsia"/>
          <w:lang w:val="en-US" w:eastAsia="zh-CN"/>
        </w:rPr>
        <w:t>13</w:t>
      </w:r>
      <w:r>
        <w:rPr>
          <w:rFonts w:hint="eastAsia" w:asciiTheme="majorEastAsia" w:hAnsiTheme="majorEastAsia" w:eastAsiaTheme="majorEastAsia"/>
        </w:rPr>
        <w:t>日</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地址：南宁市公共资源交易平台(https://www.nnggzy.org.cn/gxnnhy)的信息公告处。</w:t>
      </w:r>
    </w:p>
    <w:p>
      <w:pPr>
        <w:pStyle w:val="16"/>
        <w:wordWrap w:val="0"/>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方式：本项目不发放纸质文件，投标人自行在南宁市公共资源交易平台(https://www.nnggzy.org.cn/gxnnhy)的信息公告处下载采购文件。</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售价：0元。</w:t>
      </w:r>
    </w:p>
    <w:p>
      <w:pPr>
        <w:pStyle w:val="16"/>
        <w:spacing w:before="75" w:beforeAutospacing="0" w:after="75" w:afterAutospacing="0" w:line="360" w:lineRule="auto"/>
        <w:rPr>
          <w:rFonts w:asciiTheme="majorEastAsia" w:hAnsiTheme="majorEastAsia" w:eastAsiaTheme="majorEastAsia"/>
        </w:rPr>
      </w:pPr>
      <w:r>
        <w:rPr>
          <w:rStyle w:val="21"/>
          <w:rFonts w:hint="eastAsia" w:asciiTheme="majorEastAsia" w:hAnsiTheme="majorEastAsia" w:eastAsiaTheme="majorEastAsia"/>
        </w:rPr>
        <w:t>四、提交投标文件截止时间、开标时间和地点：</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时间：2020年</w:t>
      </w:r>
      <w:r>
        <w:rPr>
          <w:rFonts w:hint="eastAsia" w:asciiTheme="majorEastAsia" w:hAnsiTheme="majorEastAsia" w:eastAsiaTheme="majorEastAsia"/>
          <w:lang w:val="en-US" w:eastAsia="zh-CN"/>
        </w:rPr>
        <w:t>10</w:t>
      </w:r>
      <w:r>
        <w:rPr>
          <w:rFonts w:hint="eastAsia" w:asciiTheme="majorEastAsia" w:hAnsiTheme="majorEastAsia" w:eastAsiaTheme="majorEastAsia"/>
        </w:rPr>
        <w:t>月</w:t>
      </w:r>
      <w:r>
        <w:rPr>
          <w:rFonts w:hint="eastAsia" w:asciiTheme="majorEastAsia" w:hAnsiTheme="majorEastAsia" w:eastAsiaTheme="majorEastAsia"/>
          <w:lang w:val="en-US" w:eastAsia="zh-CN"/>
        </w:rPr>
        <w:t>23</w:t>
      </w:r>
      <w:r>
        <w:rPr>
          <w:rFonts w:hint="eastAsia" w:asciiTheme="majorEastAsia" w:hAnsiTheme="majorEastAsia" w:eastAsiaTheme="majorEastAsia"/>
        </w:rPr>
        <w:t>日</w:t>
      </w:r>
      <w:r>
        <w:rPr>
          <w:rFonts w:hint="eastAsia" w:asciiTheme="majorEastAsia" w:hAnsiTheme="majorEastAsia" w:eastAsiaTheme="majorEastAsia"/>
          <w:lang w:val="en-US" w:eastAsia="zh-CN"/>
        </w:rPr>
        <w:t>09</w:t>
      </w:r>
      <w:r>
        <w:rPr>
          <w:rFonts w:hint="eastAsia" w:asciiTheme="majorEastAsia" w:hAnsiTheme="majorEastAsia" w:eastAsiaTheme="majorEastAsia"/>
        </w:rPr>
        <w:t>时</w:t>
      </w:r>
      <w:r>
        <w:rPr>
          <w:rFonts w:hint="eastAsia" w:asciiTheme="majorEastAsia" w:hAnsiTheme="majorEastAsia" w:eastAsiaTheme="majorEastAsia"/>
          <w:lang w:val="en-US" w:eastAsia="zh-CN"/>
        </w:rPr>
        <w:t>30</w:t>
      </w:r>
      <w:r>
        <w:rPr>
          <w:rFonts w:hint="eastAsia" w:asciiTheme="majorEastAsia" w:hAnsiTheme="majorEastAsia" w:eastAsiaTheme="majorEastAsia"/>
        </w:rPr>
        <w:t>分（北京时间）</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地点：南宁市良庆区玉洞大道33号（青少年活动中心旁）市民中心9楼南宁市公共资源交易中心（具体详见9楼电子显示屏场地安排）。</w:t>
      </w:r>
      <w:r>
        <w:rPr>
          <w:rFonts w:hint="eastAsia" w:asciiTheme="majorEastAsia" w:hAnsiTheme="majorEastAsia" w:eastAsiaTheme="majorEastAsia"/>
          <w:b/>
          <w:bCs/>
        </w:rPr>
        <w:t>为做好疫情防控工作，本项目的投标文件通过邮寄快递的方式送达，具体要求详见关于投标文件邮寄形式的通知。</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开标时间：2020年</w:t>
      </w:r>
      <w:r>
        <w:rPr>
          <w:rFonts w:hint="eastAsia" w:asciiTheme="majorEastAsia" w:hAnsiTheme="majorEastAsia" w:eastAsiaTheme="majorEastAsia"/>
          <w:lang w:val="en-US" w:eastAsia="zh-CN"/>
        </w:rPr>
        <w:t>10</w:t>
      </w:r>
      <w:r>
        <w:rPr>
          <w:rFonts w:hint="eastAsia" w:asciiTheme="majorEastAsia" w:hAnsiTheme="majorEastAsia" w:eastAsiaTheme="majorEastAsia"/>
        </w:rPr>
        <w:t>月</w:t>
      </w:r>
      <w:r>
        <w:rPr>
          <w:rFonts w:hint="eastAsia" w:asciiTheme="majorEastAsia" w:hAnsiTheme="majorEastAsia" w:eastAsiaTheme="majorEastAsia"/>
          <w:lang w:val="en-US" w:eastAsia="zh-CN"/>
        </w:rPr>
        <w:t>23</w:t>
      </w:r>
      <w:r>
        <w:rPr>
          <w:rFonts w:hint="eastAsia" w:asciiTheme="majorEastAsia" w:hAnsiTheme="majorEastAsia" w:eastAsiaTheme="majorEastAsia"/>
        </w:rPr>
        <w:t>日</w:t>
      </w:r>
      <w:r>
        <w:rPr>
          <w:rFonts w:hint="eastAsia" w:asciiTheme="majorEastAsia" w:hAnsiTheme="majorEastAsia" w:eastAsiaTheme="majorEastAsia"/>
          <w:lang w:val="en-US" w:eastAsia="zh-CN"/>
        </w:rPr>
        <w:t>09</w:t>
      </w:r>
      <w:r>
        <w:rPr>
          <w:rFonts w:hint="eastAsia" w:asciiTheme="majorEastAsia" w:hAnsiTheme="majorEastAsia" w:eastAsiaTheme="majorEastAsia"/>
        </w:rPr>
        <w:t>时</w:t>
      </w:r>
      <w:r>
        <w:rPr>
          <w:rFonts w:hint="eastAsia" w:asciiTheme="majorEastAsia" w:hAnsiTheme="majorEastAsia" w:eastAsiaTheme="majorEastAsia"/>
          <w:lang w:val="en-US" w:eastAsia="zh-CN"/>
        </w:rPr>
        <w:t>30</w:t>
      </w:r>
      <w:r>
        <w:rPr>
          <w:rFonts w:hint="eastAsia" w:asciiTheme="majorEastAsia" w:hAnsiTheme="majorEastAsia" w:eastAsiaTheme="majorEastAsia"/>
        </w:rPr>
        <w:t>分（北京时间） </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开标地点：南宁市良庆区玉洞大道33号（市青少年活动中心旁）南宁市市民中心9楼南宁市公共资源交易中心（具体详见9楼电子显示屏场地安排） </w:t>
      </w:r>
    </w:p>
    <w:p>
      <w:pPr>
        <w:pStyle w:val="16"/>
        <w:spacing w:before="75" w:beforeAutospacing="0" w:after="75" w:afterAutospacing="0" w:line="360" w:lineRule="auto"/>
        <w:rPr>
          <w:rFonts w:asciiTheme="majorEastAsia" w:hAnsiTheme="majorEastAsia" w:eastAsiaTheme="majorEastAsia"/>
        </w:rPr>
      </w:pPr>
      <w:r>
        <w:rPr>
          <w:rStyle w:val="21"/>
          <w:rFonts w:hint="eastAsia" w:asciiTheme="majorEastAsia" w:hAnsiTheme="majorEastAsia" w:eastAsiaTheme="majorEastAsia"/>
        </w:rPr>
        <w:t>五、公告期限：</w:t>
      </w:r>
    </w:p>
    <w:p>
      <w:pPr>
        <w:pStyle w:val="16"/>
        <w:spacing w:before="75" w:beforeAutospacing="0" w:after="75" w:afterAutospacing="0" w:line="360" w:lineRule="auto"/>
        <w:ind w:firstLine="420"/>
        <w:rPr>
          <w:rFonts w:asciiTheme="majorEastAsia" w:hAnsiTheme="majorEastAsia" w:eastAsiaTheme="majorEastAsia"/>
        </w:rPr>
      </w:pPr>
      <w:r>
        <w:rPr>
          <w:rFonts w:hint="eastAsia" w:asciiTheme="majorEastAsia" w:hAnsiTheme="majorEastAsia" w:eastAsiaTheme="majorEastAsia"/>
        </w:rPr>
        <w:t>自本公告发布之日起5个工作日（ 2020年</w:t>
      </w:r>
      <w:r>
        <w:rPr>
          <w:rFonts w:hint="eastAsia" w:asciiTheme="majorEastAsia" w:hAnsiTheme="majorEastAsia" w:eastAsiaTheme="majorEastAsia"/>
          <w:lang w:val="en-US" w:eastAsia="zh-CN"/>
        </w:rPr>
        <w:t>9</w:t>
      </w:r>
      <w:r>
        <w:rPr>
          <w:rFonts w:hint="eastAsia" w:asciiTheme="majorEastAsia" w:hAnsiTheme="majorEastAsia" w:eastAsiaTheme="majorEastAsia"/>
        </w:rPr>
        <w:t>月</w:t>
      </w:r>
      <w:r>
        <w:rPr>
          <w:rFonts w:hint="eastAsia" w:asciiTheme="majorEastAsia" w:hAnsiTheme="majorEastAsia" w:eastAsiaTheme="majorEastAsia"/>
          <w:lang w:val="en-US" w:eastAsia="zh-CN"/>
        </w:rPr>
        <w:t>30</w:t>
      </w:r>
      <w:r>
        <w:rPr>
          <w:rFonts w:hint="eastAsia" w:asciiTheme="majorEastAsia" w:hAnsiTheme="majorEastAsia" w:eastAsiaTheme="majorEastAsia"/>
        </w:rPr>
        <w:t>日至2020年</w:t>
      </w:r>
      <w:r>
        <w:rPr>
          <w:rFonts w:hint="eastAsia" w:asciiTheme="majorEastAsia" w:hAnsiTheme="majorEastAsia" w:eastAsiaTheme="majorEastAsia"/>
          <w:lang w:val="en-US" w:eastAsia="zh-CN"/>
        </w:rPr>
        <w:t>10</w:t>
      </w:r>
      <w:r>
        <w:rPr>
          <w:rFonts w:hint="eastAsia" w:asciiTheme="majorEastAsia" w:hAnsiTheme="majorEastAsia" w:eastAsiaTheme="majorEastAsia"/>
        </w:rPr>
        <w:t>月</w:t>
      </w:r>
      <w:r>
        <w:rPr>
          <w:rFonts w:hint="eastAsia" w:asciiTheme="majorEastAsia" w:hAnsiTheme="majorEastAsia" w:eastAsiaTheme="majorEastAsia"/>
          <w:lang w:val="en-US" w:eastAsia="zh-CN"/>
        </w:rPr>
        <w:t>13</w:t>
      </w:r>
      <w:r>
        <w:rPr>
          <w:rFonts w:hint="eastAsia" w:asciiTheme="majorEastAsia" w:hAnsiTheme="majorEastAsia" w:eastAsiaTheme="majorEastAsia"/>
        </w:rPr>
        <w:t>日结束）。</w:t>
      </w:r>
    </w:p>
    <w:p>
      <w:pPr>
        <w:pStyle w:val="16"/>
        <w:numPr>
          <w:ilvl w:val="0"/>
          <w:numId w:val="2"/>
        </w:numPr>
        <w:spacing w:before="75" w:beforeAutospacing="0" w:after="75" w:afterAutospacing="0" w:line="360" w:lineRule="auto"/>
        <w:rPr>
          <w:rStyle w:val="21"/>
          <w:rFonts w:asciiTheme="majorEastAsia" w:hAnsiTheme="majorEastAsia" w:eastAsiaTheme="majorEastAsia"/>
        </w:rPr>
      </w:pPr>
      <w:r>
        <w:rPr>
          <w:rStyle w:val="21"/>
          <w:rFonts w:hint="eastAsia" w:asciiTheme="majorEastAsia" w:hAnsiTheme="majorEastAsia" w:eastAsiaTheme="majorEastAsia"/>
        </w:rPr>
        <w:t>其他补充事项：</w:t>
      </w:r>
    </w:p>
    <w:p>
      <w:pPr>
        <w:pStyle w:val="16"/>
        <w:spacing w:before="75" w:beforeAutospacing="0" w:after="75" w:afterAutospacing="0" w:line="360" w:lineRule="auto"/>
        <w:ind w:firstLine="720" w:firstLineChars="300"/>
        <w:rPr>
          <w:rFonts w:asciiTheme="majorEastAsia" w:hAnsiTheme="majorEastAsia" w:eastAsiaTheme="majorEastAsia"/>
        </w:rPr>
      </w:pPr>
      <w:r>
        <w:rPr>
          <w:rFonts w:hint="eastAsia" w:asciiTheme="majorEastAsia" w:hAnsiTheme="majorEastAsia" w:eastAsiaTheme="majorEastAsia"/>
        </w:rPr>
        <w:t>网上查询地址：</w:t>
      </w:r>
      <w:r>
        <w:fldChar w:fldCharType="begin"/>
      </w:r>
      <w:r>
        <w:instrText xml:space="preserve"> HYPERLINK </w:instrText>
      </w:r>
      <w:r>
        <w:fldChar w:fldCharType="separate"/>
      </w:r>
      <w:r>
        <w:rPr>
          <w:rFonts w:hint="eastAsia" w:asciiTheme="majorEastAsia" w:hAnsiTheme="majorEastAsia" w:eastAsiaTheme="majorEastAsia"/>
        </w:rPr>
        <w:t>www.ccgp.gov.cn（中国政府采购网）， http://zfcg.gxzf.gov.cn/（广西壮族自治区政府采购网），www.nnggzy.org.cn （南宁市公共资源交易中心网）</w:t>
      </w:r>
      <w:r>
        <w:rPr>
          <w:rFonts w:hint="eastAsia" w:asciiTheme="majorEastAsia" w:hAnsiTheme="majorEastAsia" w:eastAsiaTheme="majorEastAsia"/>
        </w:rPr>
        <w:fldChar w:fldCharType="end"/>
      </w:r>
    </w:p>
    <w:p>
      <w:pPr>
        <w:pStyle w:val="16"/>
        <w:spacing w:before="75" w:beforeAutospacing="0" w:after="75" w:afterAutospacing="0" w:line="360" w:lineRule="auto"/>
        <w:rPr>
          <w:rFonts w:asciiTheme="majorEastAsia" w:hAnsiTheme="majorEastAsia" w:eastAsiaTheme="majorEastAsia"/>
        </w:rPr>
      </w:pPr>
      <w:r>
        <w:rPr>
          <w:rStyle w:val="21"/>
          <w:rFonts w:hint="eastAsia" w:asciiTheme="majorEastAsia" w:hAnsiTheme="majorEastAsia" w:eastAsiaTheme="majorEastAsia"/>
        </w:rPr>
        <w:t>七、对本次招标提出询问，请按以下方式联系。</w:t>
      </w:r>
    </w:p>
    <w:p>
      <w:pPr>
        <w:pStyle w:val="16"/>
        <w:spacing w:before="75" w:beforeAutospacing="0" w:after="75" w:afterAutospacing="0" w:line="360" w:lineRule="auto"/>
        <w:ind w:right="840" w:firstLine="420"/>
        <w:rPr>
          <w:rFonts w:asciiTheme="majorEastAsia" w:hAnsiTheme="majorEastAsia" w:eastAsiaTheme="majorEastAsia"/>
        </w:rPr>
      </w:pPr>
      <w:r>
        <w:rPr>
          <w:rFonts w:hint="eastAsia" w:asciiTheme="majorEastAsia" w:hAnsiTheme="majorEastAsia" w:eastAsiaTheme="majorEastAsia"/>
        </w:rPr>
        <w:t>1.采购人信息：</w:t>
      </w:r>
    </w:p>
    <w:p>
      <w:pPr>
        <w:pStyle w:val="16"/>
        <w:spacing w:before="75" w:beforeAutospacing="0" w:after="75" w:afterAutospacing="0" w:line="360" w:lineRule="auto"/>
        <w:ind w:right="840" w:firstLine="420"/>
        <w:rPr>
          <w:rFonts w:asciiTheme="majorEastAsia" w:hAnsiTheme="majorEastAsia" w:eastAsiaTheme="majorEastAsia"/>
        </w:rPr>
      </w:pPr>
      <w:r>
        <w:rPr>
          <w:rFonts w:hint="eastAsia" w:asciiTheme="majorEastAsia" w:hAnsiTheme="majorEastAsia" w:eastAsiaTheme="majorEastAsia"/>
        </w:rPr>
        <w:t>名称：南宁市社会保障卡管理办公室</w:t>
      </w:r>
    </w:p>
    <w:p>
      <w:pPr>
        <w:pStyle w:val="16"/>
        <w:spacing w:before="75" w:beforeAutospacing="0" w:after="75" w:afterAutospacing="0" w:line="360" w:lineRule="auto"/>
        <w:ind w:right="840" w:firstLine="420"/>
        <w:rPr>
          <w:rFonts w:asciiTheme="majorEastAsia" w:hAnsiTheme="majorEastAsia" w:eastAsiaTheme="majorEastAsia"/>
        </w:rPr>
      </w:pPr>
      <w:r>
        <w:rPr>
          <w:rFonts w:hint="eastAsia" w:asciiTheme="majorEastAsia" w:hAnsiTheme="majorEastAsia" w:eastAsiaTheme="majorEastAsia"/>
        </w:rPr>
        <w:t>地址：</w:t>
      </w:r>
      <w:r>
        <w:rPr>
          <w:rFonts w:hint="eastAsia" w:eastAsiaTheme="majorEastAsia"/>
        </w:rPr>
        <w:t>南宁市桂春路南二里4号</w:t>
      </w:r>
    </w:p>
    <w:p>
      <w:pPr>
        <w:pStyle w:val="16"/>
        <w:spacing w:before="75" w:beforeAutospacing="0" w:after="75" w:afterAutospacing="0" w:line="360" w:lineRule="auto"/>
        <w:ind w:right="840" w:firstLine="420"/>
        <w:rPr>
          <w:rFonts w:asciiTheme="majorEastAsia" w:hAnsiTheme="majorEastAsia" w:eastAsiaTheme="majorEastAsia"/>
        </w:rPr>
      </w:pPr>
      <w:r>
        <w:rPr>
          <w:rFonts w:hint="eastAsia" w:asciiTheme="majorEastAsia" w:hAnsiTheme="majorEastAsia" w:eastAsiaTheme="majorEastAsia"/>
        </w:rPr>
        <w:t>联系人及电话：潘卓；0771-5537081</w:t>
      </w:r>
    </w:p>
    <w:p>
      <w:pPr>
        <w:pStyle w:val="16"/>
        <w:spacing w:before="75" w:beforeAutospacing="0" w:after="75" w:afterAutospacing="0" w:line="360" w:lineRule="auto"/>
        <w:ind w:right="840" w:firstLine="420"/>
        <w:rPr>
          <w:rFonts w:asciiTheme="majorEastAsia" w:hAnsiTheme="majorEastAsia" w:eastAsiaTheme="majorEastAsia"/>
        </w:rPr>
      </w:pPr>
      <w:r>
        <w:rPr>
          <w:rFonts w:hint="eastAsia" w:asciiTheme="majorEastAsia" w:hAnsiTheme="majorEastAsia" w:eastAsiaTheme="majorEastAsia"/>
        </w:rPr>
        <w:t>2.采购代理机构信息：</w:t>
      </w:r>
    </w:p>
    <w:p>
      <w:pPr>
        <w:pStyle w:val="16"/>
        <w:spacing w:before="75" w:beforeAutospacing="0" w:after="75" w:afterAutospacing="0" w:line="360" w:lineRule="auto"/>
        <w:ind w:right="840" w:firstLine="420"/>
        <w:rPr>
          <w:rFonts w:asciiTheme="majorEastAsia" w:hAnsiTheme="majorEastAsia" w:eastAsiaTheme="majorEastAsia"/>
        </w:rPr>
      </w:pPr>
      <w:r>
        <w:rPr>
          <w:rFonts w:hint="eastAsia" w:asciiTheme="majorEastAsia" w:hAnsiTheme="majorEastAsia" w:eastAsiaTheme="majorEastAsia"/>
        </w:rPr>
        <w:t>名称：广西邕政采购代理有限公司</w:t>
      </w:r>
    </w:p>
    <w:p>
      <w:pPr>
        <w:pStyle w:val="16"/>
        <w:spacing w:before="75" w:beforeAutospacing="0" w:after="75" w:afterAutospacing="0" w:line="360" w:lineRule="auto"/>
        <w:ind w:right="840" w:firstLine="420"/>
        <w:rPr>
          <w:rFonts w:asciiTheme="majorEastAsia" w:hAnsiTheme="majorEastAsia" w:eastAsiaTheme="majorEastAsia"/>
        </w:rPr>
      </w:pPr>
      <w:r>
        <w:rPr>
          <w:rFonts w:hint="eastAsia" w:asciiTheme="majorEastAsia" w:hAnsiTheme="majorEastAsia" w:eastAsiaTheme="majorEastAsia"/>
        </w:rPr>
        <w:t>联系地址：南宁市青秀区思贤路45号创投中心16A层</w:t>
      </w:r>
    </w:p>
    <w:p>
      <w:pPr>
        <w:pStyle w:val="16"/>
        <w:spacing w:before="75" w:beforeAutospacing="0" w:after="75" w:afterAutospacing="0" w:line="360" w:lineRule="auto"/>
        <w:ind w:right="840" w:firstLine="420"/>
        <w:rPr>
          <w:rFonts w:asciiTheme="majorEastAsia" w:hAnsiTheme="majorEastAsia" w:eastAsiaTheme="majorEastAsia"/>
        </w:rPr>
      </w:pPr>
      <w:r>
        <w:rPr>
          <w:rFonts w:hint="eastAsia" w:asciiTheme="majorEastAsia" w:hAnsiTheme="majorEastAsia" w:eastAsiaTheme="majorEastAsia"/>
        </w:rPr>
        <w:t xml:space="preserve">项目联系人及联系电话：罗工、黎工  0771-2442850 </w:t>
      </w:r>
    </w:p>
    <w:p>
      <w:pPr>
        <w:pStyle w:val="16"/>
        <w:spacing w:before="75" w:beforeAutospacing="0" w:after="75" w:afterAutospacing="0" w:line="360" w:lineRule="auto"/>
        <w:ind w:right="840" w:firstLine="420"/>
        <w:rPr>
          <w:rFonts w:asciiTheme="majorEastAsia" w:hAnsiTheme="majorEastAsia" w:eastAsiaTheme="majorEastAsia"/>
        </w:rPr>
      </w:pPr>
      <w:r>
        <w:rPr>
          <w:rFonts w:hint="eastAsia" w:asciiTheme="majorEastAsia" w:hAnsiTheme="majorEastAsia" w:eastAsiaTheme="majorEastAsia"/>
        </w:rPr>
        <w:t>3.项目联系方式</w:t>
      </w:r>
    </w:p>
    <w:p>
      <w:pPr>
        <w:pStyle w:val="16"/>
        <w:spacing w:before="75" w:beforeAutospacing="0" w:after="75" w:afterAutospacing="0" w:line="360" w:lineRule="auto"/>
        <w:ind w:right="840" w:firstLine="420"/>
        <w:rPr>
          <w:rFonts w:asciiTheme="majorEastAsia" w:hAnsiTheme="majorEastAsia" w:eastAsiaTheme="majorEastAsia"/>
        </w:rPr>
      </w:pPr>
      <w:r>
        <w:rPr>
          <w:rFonts w:hint="eastAsia" w:asciiTheme="majorEastAsia" w:hAnsiTheme="majorEastAsia" w:eastAsiaTheme="majorEastAsia"/>
        </w:rPr>
        <w:t>项目联系人：罗工、黎工</w:t>
      </w:r>
    </w:p>
    <w:p>
      <w:pPr>
        <w:pStyle w:val="16"/>
        <w:spacing w:before="75" w:beforeAutospacing="0" w:after="75" w:afterAutospacing="0" w:line="360" w:lineRule="auto"/>
        <w:ind w:right="840" w:firstLine="420"/>
        <w:rPr>
          <w:rFonts w:asciiTheme="majorEastAsia" w:hAnsiTheme="majorEastAsia" w:eastAsiaTheme="majorEastAsia"/>
        </w:rPr>
      </w:pPr>
      <w:r>
        <w:rPr>
          <w:rFonts w:hint="eastAsia" w:asciiTheme="majorEastAsia" w:hAnsiTheme="majorEastAsia" w:eastAsiaTheme="majorEastAsia"/>
        </w:rPr>
        <w:t xml:space="preserve">电话：0771-2442850 </w:t>
      </w:r>
    </w:p>
    <w:p>
      <w:pPr>
        <w:spacing w:line="360" w:lineRule="auto"/>
        <w:ind w:firstLine="2880" w:firstLineChars="120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w:t>
      </w:r>
    </w:p>
    <w:p>
      <w:pPr>
        <w:snapToGrid w:val="0"/>
        <w:spacing w:line="480" w:lineRule="auto"/>
        <w:jc w:val="right"/>
        <w:rPr>
          <w:rFonts w:asciiTheme="majorEastAsia" w:hAnsiTheme="majorEastAsia" w:eastAsiaTheme="majorEastAsia"/>
          <w:sz w:val="24"/>
          <w:szCs w:val="24"/>
        </w:rPr>
      </w:pPr>
    </w:p>
    <w:p>
      <w:pPr>
        <w:snapToGrid w:val="0"/>
        <w:spacing w:line="480" w:lineRule="auto"/>
        <w:jc w:val="right"/>
        <w:rPr>
          <w:rFonts w:ascii="宋体" w:hAnsi="宋体" w:cs="宋体"/>
          <w:sz w:val="24"/>
          <w:szCs w:val="24"/>
        </w:rPr>
      </w:pPr>
      <w:r>
        <w:rPr>
          <w:rFonts w:hint="eastAsia" w:asciiTheme="majorEastAsia" w:hAnsiTheme="majorEastAsia" w:eastAsiaTheme="majorEastAsia"/>
          <w:sz w:val="24"/>
          <w:szCs w:val="24"/>
        </w:rPr>
        <w:t>发布日期：2020年</w:t>
      </w:r>
      <w:r>
        <w:rPr>
          <w:rFonts w:hint="eastAsia" w:asciiTheme="majorEastAsia" w:hAnsiTheme="majorEastAsia" w:eastAsiaTheme="majorEastAsia"/>
          <w:sz w:val="24"/>
          <w:szCs w:val="24"/>
          <w:lang w:val="en-US" w:eastAsia="zh-CN"/>
        </w:rPr>
        <w:t>9</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29</w:t>
      </w:r>
      <w:r>
        <w:rPr>
          <w:rFonts w:hint="eastAsia" w:asciiTheme="majorEastAsia" w:hAnsiTheme="majorEastAsia" w:eastAsiaTheme="majorEastAsia"/>
          <w:sz w:val="24"/>
          <w:szCs w:val="24"/>
        </w:rPr>
        <w:t>日</w:t>
      </w:r>
      <w:r>
        <w:rPr>
          <w:rFonts w:hint="eastAsia" w:ascii="宋体" w:hAnsi="宋体" w:cs="宋体"/>
          <w:sz w:val="24"/>
          <w:szCs w:val="24"/>
        </w:rPr>
        <w:br w:type="page"/>
      </w:r>
      <w:bookmarkStart w:id="12" w:name="_Toc13688"/>
      <w:bookmarkStart w:id="13" w:name="_Toc16539"/>
    </w:p>
    <w:p>
      <w:pPr>
        <w:snapToGrid w:val="0"/>
        <w:spacing w:line="480" w:lineRule="auto"/>
        <w:jc w:val="center"/>
        <w:outlineLvl w:val="0"/>
        <w:rPr>
          <w:rFonts w:ascii="宋体" w:hAnsi="宋体" w:cs="宋体"/>
          <w:sz w:val="24"/>
          <w:szCs w:val="24"/>
        </w:rPr>
      </w:pPr>
      <w:bookmarkStart w:id="14" w:name="_Toc14797"/>
      <w:r>
        <w:rPr>
          <w:rFonts w:hint="eastAsia" w:ascii="宋体" w:hAnsi="宋体" w:cs="宋体"/>
          <w:b/>
          <w:bCs/>
          <w:sz w:val="36"/>
          <w:szCs w:val="36"/>
        </w:rPr>
        <w:t>第二章 货物需求一览表</w:t>
      </w:r>
      <w:bookmarkEnd w:id="5"/>
      <w:bookmarkEnd w:id="6"/>
      <w:bookmarkEnd w:id="7"/>
      <w:bookmarkEnd w:id="8"/>
      <w:bookmarkEnd w:id="12"/>
      <w:bookmarkEnd w:id="13"/>
      <w:bookmarkEnd w:id="14"/>
    </w:p>
    <w:p>
      <w:pPr>
        <w:snapToGrid w:val="0"/>
        <w:spacing w:line="480" w:lineRule="auto"/>
        <w:jc w:val="left"/>
        <w:rPr>
          <w:rFonts w:ascii="宋体" w:hAnsi="宋体" w:cs="宋体"/>
          <w:sz w:val="24"/>
          <w:szCs w:val="24"/>
        </w:rPr>
      </w:pPr>
      <w:r>
        <w:rPr>
          <w:rFonts w:hint="eastAsia" w:ascii="宋体" w:hAnsi="宋体" w:cs="宋体"/>
          <w:b/>
          <w:bCs/>
          <w:sz w:val="24"/>
          <w:szCs w:val="24"/>
        </w:rPr>
        <w:t>说明：</w:t>
      </w:r>
    </w:p>
    <w:p>
      <w:pPr>
        <w:adjustRightInd w:val="0"/>
        <w:spacing w:line="440" w:lineRule="exact"/>
        <w:ind w:firstLine="480" w:firstLineChars="200"/>
        <w:rPr>
          <w:rFonts w:ascii="宋体" w:hAnsi="宋体" w:cs="宋体"/>
          <w:sz w:val="24"/>
        </w:rPr>
      </w:pPr>
      <w:r>
        <w:rPr>
          <w:rFonts w:hint="eastAsia" w:ascii="宋体" w:hAnsi="宋体" w:cs="宋体"/>
          <w:sz w:val="24"/>
        </w:rPr>
        <w:t>1、本货物需求一览表中所列的品牌、型号</w:t>
      </w:r>
      <w:r>
        <w:rPr>
          <w:rFonts w:hint="eastAsia" w:ascii="宋体" w:hAnsi="宋体" w:cs="宋体"/>
          <w:b/>
          <w:sz w:val="24"/>
        </w:rPr>
        <w:t>仅起参考作</w:t>
      </w:r>
      <w:r>
        <w:rPr>
          <w:rFonts w:hint="eastAsia" w:ascii="宋体" w:hAnsi="宋体" w:cs="宋体"/>
          <w:sz w:val="24"/>
        </w:rPr>
        <w:t>用，投标人可选用其他品牌、型号替代，但替代的品牌、型号在实质性要求和条件上要</w:t>
      </w:r>
      <w:r>
        <w:rPr>
          <w:rFonts w:hint="eastAsia" w:ascii="宋体" w:hAnsi="宋体" w:cs="宋体"/>
          <w:b/>
          <w:sz w:val="24"/>
        </w:rPr>
        <w:t>相当于或优于</w:t>
      </w:r>
      <w:r>
        <w:rPr>
          <w:rFonts w:hint="eastAsia" w:ascii="宋体" w:hAnsi="宋体" w:cs="宋体"/>
          <w:sz w:val="24"/>
        </w:rPr>
        <w:t>参考品牌、型号。</w:t>
      </w:r>
    </w:p>
    <w:p>
      <w:pPr>
        <w:spacing w:line="440" w:lineRule="exact"/>
        <w:ind w:firstLine="480" w:firstLineChars="200"/>
        <w:rPr>
          <w:rFonts w:ascii="宋体" w:hAnsi="宋体" w:cs="宋体"/>
          <w:sz w:val="24"/>
        </w:rPr>
      </w:pPr>
      <w:r>
        <w:rPr>
          <w:rFonts w:hint="eastAsia" w:ascii="宋体" w:hAnsi="宋体" w:cs="宋体"/>
          <w:sz w:val="24"/>
        </w:rPr>
        <w:t>2、凡在“技术参数要求”中表述为“标配”或“标准配置”的设备，投标人应按第五章“投标文件格式”规定的格式在“投标产品技术资料表”中将其参数详细列明。</w:t>
      </w:r>
    </w:p>
    <w:p>
      <w:pPr>
        <w:spacing w:line="400" w:lineRule="exact"/>
        <w:ind w:firstLine="437"/>
        <w:rPr>
          <w:rFonts w:ascii="宋体" w:hAnsi="宋体" w:cs="宋体"/>
          <w:b/>
          <w:sz w:val="24"/>
        </w:rPr>
      </w:pPr>
      <w:r>
        <w:rPr>
          <w:rFonts w:hint="eastAsia" w:ascii="宋体" w:hAnsi="宋体" w:cs="宋体"/>
          <w:b/>
          <w:bCs/>
          <w:sz w:val="24"/>
        </w:rPr>
        <w:t>3、</w:t>
      </w:r>
      <w:r>
        <w:rPr>
          <w:rFonts w:hint="eastAsia" w:ascii="宋体" w:hAnsi="宋体" w:cs="宋体"/>
          <w:b/>
          <w:sz w:val="24"/>
        </w:rPr>
        <w:t>本货物需求一览表中标注★号的内容为实质性要求和条件。</w:t>
      </w:r>
    </w:p>
    <w:p>
      <w:pPr>
        <w:pStyle w:val="16"/>
        <w:spacing w:before="75" w:beforeAutospacing="0" w:after="75" w:afterAutospacing="0" w:line="440" w:lineRule="exact"/>
        <w:ind w:firstLine="420"/>
        <w:rPr>
          <w:rFonts w:hint="eastAsia" w:ascii="宋体" w:hAnsi="宋体" w:cs="宋体"/>
          <w:b/>
          <w:sz w:val="24"/>
        </w:rPr>
      </w:pPr>
      <w:r>
        <w:rPr>
          <w:rFonts w:hint="eastAsia" w:ascii="宋体" w:hAnsi="宋体" w:cs="宋体"/>
          <w:b/>
          <w:sz w:val="24"/>
        </w:rPr>
        <w:t>4、本次采购将依据品目清单和认证证书实施政府强制采购。若采购货物属于品目清单范围的，投标人的投标货物必须使用政府强制采购的节能产品，并在投标文件中提供所投产品属于政府强制采购节能产品的证明材料，否则投标无效。</w:t>
      </w:r>
    </w:p>
    <w:p>
      <w:pPr>
        <w:pStyle w:val="16"/>
        <w:spacing w:before="75" w:beforeAutospacing="0" w:after="75" w:afterAutospacing="0" w:line="440" w:lineRule="exact"/>
        <w:ind w:firstLine="420"/>
        <w:rPr>
          <w:rFonts w:ascii="宋体" w:hAnsi="宋体" w:cs="宋体"/>
          <w:b/>
          <w:sz w:val="24"/>
        </w:rPr>
      </w:pPr>
      <w:r>
        <w:rPr>
          <w:rFonts w:hint="eastAsia"/>
        </w:rPr>
        <w:t>5、本次货物采购最高限价为：</w:t>
      </w:r>
      <w:r>
        <w:rPr>
          <w:rFonts w:hint="eastAsia" w:asciiTheme="majorEastAsia" w:hAnsiTheme="majorEastAsia" w:eastAsiaTheme="majorEastAsia"/>
        </w:rPr>
        <w:t>人民币</w:t>
      </w:r>
      <w:r>
        <w:rPr>
          <w:rFonts w:hint="eastAsia" w:asciiTheme="majorEastAsia" w:hAnsiTheme="majorEastAsia" w:eastAsiaTheme="majorEastAsia"/>
        </w:rPr>
        <w:fldChar w:fldCharType="begin"/>
      </w:r>
      <w:r>
        <w:rPr>
          <w:rFonts w:hint="eastAsia" w:asciiTheme="majorEastAsia" w:hAnsiTheme="majorEastAsia" w:eastAsiaTheme="majorEastAsia"/>
        </w:rPr>
        <w:instrText xml:space="preserve"> = 916000 \* CHINESENUM2 \* MERGEFORMAT </w:instrText>
      </w:r>
      <w:r>
        <w:rPr>
          <w:rFonts w:hint="eastAsia" w:asciiTheme="majorEastAsia" w:hAnsiTheme="majorEastAsia" w:eastAsiaTheme="majorEastAsia"/>
        </w:rPr>
        <w:fldChar w:fldCharType="separate"/>
      </w:r>
      <w:r>
        <w:rPr>
          <w:rFonts w:hint="eastAsia" w:asciiTheme="majorEastAsia" w:hAnsiTheme="majorEastAsia" w:eastAsiaTheme="majorEastAsia"/>
        </w:rPr>
        <w:t>玖拾壹万陆仟</w:t>
      </w:r>
      <w:r>
        <w:rPr>
          <w:rFonts w:hint="eastAsia" w:asciiTheme="majorEastAsia" w:hAnsiTheme="majorEastAsia" w:eastAsiaTheme="majorEastAsia"/>
        </w:rPr>
        <w:fldChar w:fldCharType="end"/>
      </w:r>
      <w:r>
        <w:rPr>
          <w:rFonts w:hint="eastAsia" w:asciiTheme="majorEastAsia" w:hAnsiTheme="majorEastAsia" w:eastAsiaTheme="majorEastAsia"/>
        </w:rPr>
        <w:t>元整(￥916000.00元)</w:t>
      </w:r>
    </w:p>
    <w:tbl>
      <w:tblPr>
        <w:tblStyle w:val="18"/>
        <w:tblW w:w="9949" w:type="dxa"/>
        <w:jc w:val="center"/>
        <w:tblLayout w:type="fixed"/>
        <w:tblCellMar>
          <w:top w:w="0" w:type="dxa"/>
          <w:left w:w="108" w:type="dxa"/>
          <w:bottom w:w="0" w:type="dxa"/>
          <w:right w:w="108" w:type="dxa"/>
        </w:tblCellMar>
      </w:tblPr>
      <w:tblGrid>
        <w:gridCol w:w="705"/>
        <w:gridCol w:w="2038"/>
        <w:gridCol w:w="1108"/>
        <w:gridCol w:w="4399"/>
        <w:gridCol w:w="1699"/>
      </w:tblGrid>
      <w:tr>
        <w:tblPrEx>
          <w:tblCellMar>
            <w:top w:w="0" w:type="dxa"/>
            <w:left w:w="108" w:type="dxa"/>
            <w:bottom w:w="0" w:type="dxa"/>
            <w:right w:w="108" w:type="dxa"/>
          </w:tblCellMar>
        </w:tblPrEx>
        <w:trPr>
          <w:trHeight w:val="28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b/>
                <w:color w:val="auto"/>
                <w:kern w:val="0"/>
                <w:sz w:val="24"/>
                <w:szCs w:val="24"/>
              </w:rPr>
            </w:pPr>
            <w:r>
              <w:rPr>
                <w:rFonts w:hint="eastAsia" w:ascii="新宋体" w:hAnsi="新宋体" w:eastAsia="新宋体" w:cs="新宋体"/>
                <w:b/>
                <w:color w:val="auto"/>
                <w:kern w:val="0"/>
                <w:sz w:val="24"/>
                <w:szCs w:val="24"/>
              </w:rPr>
              <w:t>项号</w:t>
            </w:r>
          </w:p>
        </w:tc>
        <w:tc>
          <w:tcPr>
            <w:tcW w:w="203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b/>
                <w:color w:val="auto"/>
                <w:kern w:val="0"/>
                <w:sz w:val="24"/>
                <w:szCs w:val="24"/>
              </w:rPr>
            </w:pPr>
            <w:r>
              <w:rPr>
                <w:rFonts w:hint="eastAsia" w:ascii="新宋体" w:hAnsi="新宋体" w:eastAsia="新宋体" w:cs="新宋体"/>
                <w:b/>
                <w:color w:val="auto"/>
                <w:kern w:val="0"/>
                <w:sz w:val="24"/>
                <w:szCs w:val="24"/>
              </w:rPr>
              <w:t>货物名称</w:t>
            </w:r>
          </w:p>
        </w:tc>
        <w:tc>
          <w:tcPr>
            <w:tcW w:w="11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b/>
                <w:color w:val="auto"/>
                <w:kern w:val="0"/>
                <w:sz w:val="24"/>
                <w:szCs w:val="24"/>
              </w:rPr>
            </w:pPr>
            <w:r>
              <w:rPr>
                <w:rFonts w:hint="eastAsia" w:ascii="新宋体" w:hAnsi="新宋体" w:eastAsia="新宋体" w:cs="新宋体"/>
                <w:b/>
                <w:color w:val="auto"/>
                <w:kern w:val="0"/>
                <w:sz w:val="24"/>
                <w:szCs w:val="24"/>
              </w:rPr>
              <w:t>数量</w:t>
            </w:r>
          </w:p>
        </w:tc>
        <w:tc>
          <w:tcPr>
            <w:tcW w:w="4399" w:type="dxa"/>
            <w:tcBorders>
              <w:top w:val="single" w:color="000000" w:sz="8" w:space="0"/>
              <w:left w:val="nil"/>
              <w:bottom w:val="single" w:color="auto" w:sz="4" w:space="0"/>
              <w:right w:val="single" w:color="000000" w:sz="8"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b/>
                <w:color w:val="auto"/>
                <w:kern w:val="0"/>
                <w:sz w:val="24"/>
                <w:szCs w:val="24"/>
              </w:rPr>
            </w:pPr>
            <w:r>
              <w:rPr>
                <w:rFonts w:hint="eastAsia" w:ascii="新宋体" w:hAnsi="新宋体" w:eastAsia="新宋体" w:cs="新宋体"/>
                <w:b/>
                <w:color w:val="auto"/>
                <w:kern w:val="0"/>
                <w:sz w:val="24"/>
                <w:szCs w:val="24"/>
              </w:rPr>
              <w:t>技术参数要求</w:t>
            </w:r>
          </w:p>
        </w:tc>
        <w:tc>
          <w:tcPr>
            <w:tcW w:w="1699" w:type="dxa"/>
            <w:tcBorders>
              <w:top w:val="single" w:color="000000" w:sz="8" w:space="0"/>
              <w:left w:val="nil"/>
              <w:bottom w:val="single" w:color="auto" w:sz="4" w:space="0"/>
              <w:right w:val="single" w:color="000000" w:sz="8"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b/>
                <w:color w:val="auto"/>
                <w:kern w:val="0"/>
                <w:sz w:val="24"/>
                <w:szCs w:val="24"/>
              </w:rPr>
            </w:pPr>
            <w:r>
              <w:rPr>
                <w:rFonts w:hint="eastAsia" w:ascii="新宋体" w:hAnsi="新宋体" w:eastAsia="新宋体" w:cs="新宋体"/>
                <w:b/>
                <w:bCs/>
                <w:color w:val="auto"/>
                <w:kern w:val="0"/>
                <w:sz w:val="24"/>
                <w:szCs w:val="24"/>
              </w:rPr>
              <w:t>分项最高限价（元）</w:t>
            </w:r>
          </w:p>
        </w:tc>
      </w:tr>
      <w:tr>
        <w:tblPrEx>
          <w:tblCellMar>
            <w:top w:w="0" w:type="dxa"/>
            <w:left w:w="108" w:type="dxa"/>
            <w:bottom w:w="0" w:type="dxa"/>
            <w:right w:w="108" w:type="dxa"/>
          </w:tblCellMar>
        </w:tblPrEx>
        <w:trPr>
          <w:trHeight w:val="617" w:hRule="atLeast"/>
          <w:jc w:val="center"/>
        </w:trPr>
        <w:tc>
          <w:tcPr>
            <w:tcW w:w="99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b/>
                <w:bCs/>
                <w:color w:val="auto"/>
                <w:kern w:val="0"/>
                <w:sz w:val="24"/>
                <w:szCs w:val="24"/>
              </w:rPr>
              <w:t>一、配电部分</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UPS市输入电线电缆</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20米</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ZR-RVV-4*25+1*16</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rPr>
              <w:t>3000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UPS输出电缆</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20米</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ZR-RVV-4*25+1*16</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3000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UPS电源</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★1、采用工业级高标准设计，第6代IGBT功率器件和静态开关，应用最新型双核DSP实现全数字化控制，内部电气连接采用导电合金外包低烟无卤树脂的方式，可耐2万伏高压的30KVA/24KW UPS。</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2、UPS单机容量不低于要求功率，内置滤波器输入电抗浪涌保护器（5-30，依UPS功率确定）分钟电池组；内置输出隔离变压器；高可靠的散热技术，使用高效可靠的离心风机，具备多级风机调速功能，延长风机寿命。</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3、采用先进的同步均流控制技术，CAN总线并机通信技术，最多可实现32台RPA（冗余并联）系统，并联系统各单机严格同步、均分负载，用户扩容方便；工业级强力高速离心风机散热，智能化调速。</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★4、可选配Wi-Fi功能，使用手机或平板电脑进行操控，可调整整流和逆变等相关参数，操作与控制范围在距本机100m之内。</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★5、人机界面采用中文液晶触摸屏；平均无故障工作时间45万小时；落地式安装，底部含360°方向轮（可以拆装）；含操作开关：整流开关、电池开关、旁路开关、输出开关、维修开关均采用断路器。</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6、输入电压范围：380VAC±25%；输入功率因数≥0.9；输入频率范围：50Hz/60Hz±5%(可选±10%)。</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7、输出电压及精度：220V±1%，输出频率及精度：市电同步，50/60Hz±0.5Hz；逆变状态，50/60Hz±0.1Hz；波形失真度：纯正弦波，阻性负载时≤2.5%；非线性负载时≤3%。</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10、过载能力：过载125%可持续10分钟；过载150%可持续60秒。</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8、直流电压：384VDC。</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9、具有带三相100%不平衡负载的能力；具有很强的过载能力及抗冲击能力：150%时10秒钟，125%时2分钟。</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10、完备的监控管理：支持无线监控功能RS232、RS485、R244、MODEM多种后台通讯方式；具有较强的管理功能，UPS标配SNMP网络管理卡。</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11、先进的SNMP卡及其相关软件，兼容10M/100M以太网，支持SNMP、HTTP、等协议，监控软件具备电源事件记录和分析功能，灵活多样的组网方案，实现在Internet/Intranet上的远程监控。</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12、系统统具有电池放电终止预告警和自动安全关机功能。</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 xml:space="preserve">13、屏幕尺寸不小于4.3寸，人机界面友好，便于操作和维护：①采用触摸屏中文液晶显示的操作界面，存储功能高达10000条，能随时查阅故障信息记录；②操作简单，在面板操作提示失效情况下仍能通过按钮正常开关机；③同时具有LED、LCD、图形界面，显示形象直观，方便管理。 </w:t>
            </w:r>
          </w:p>
          <w:p>
            <w:pPr>
              <w:pStyle w:val="8"/>
              <w:keepNext w:val="0"/>
              <w:keepLines w:val="0"/>
              <w:pageBreakBefore w:val="0"/>
              <w:kinsoku/>
              <w:wordWrap w:val="0"/>
              <w:overflowPunct/>
              <w:topLinePunct w:val="0"/>
              <w:bidi w:val="0"/>
              <w:snapToGrid w:val="0"/>
              <w:spacing w:after="0" w:line="360" w:lineRule="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★14、所投品牌生产商必须具备生产工厂，严禁OEM\ODM贴牌产品</w:t>
            </w:r>
            <w:r>
              <w:rPr>
                <w:rFonts w:hint="eastAsia" w:ascii="宋体" w:hAnsi="宋体" w:cs="宋体"/>
                <w:color w:val="auto"/>
                <w:sz w:val="24"/>
                <w:szCs w:val="24"/>
                <w:highlight w:val="none"/>
                <w:lang w:eastAsia="zh-CN"/>
              </w:rPr>
              <w:t>。</w:t>
            </w:r>
          </w:p>
          <w:p>
            <w:pPr>
              <w:pStyle w:val="8"/>
              <w:keepNext w:val="0"/>
              <w:keepLines w:val="0"/>
              <w:pageBreakBefore w:val="0"/>
              <w:kinsoku/>
              <w:wordWrap w:val="0"/>
              <w:overflowPunct/>
              <w:topLinePunct w:val="0"/>
              <w:bidi w:val="0"/>
              <w:snapToGrid w:val="0"/>
              <w:spacing w:after="0"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lang w:eastAsia="zh-CN"/>
              </w:rPr>
              <w:t>投供投标产品</w:t>
            </w:r>
            <w:r>
              <w:rPr>
                <w:rFonts w:hint="eastAsia" w:ascii="宋体" w:hAnsi="宋体"/>
                <w:color w:val="auto"/>
                <w:sz w:val="24"/>
              </w:rPr>
              <w:t>TLC产品认证证书</w:t>
            </w:r>
            <w:r>
              <w:rPr>
                <w:rFonts w:hint="eastAsia" w:ascii="宋体" w:hAnsi="宋体"/>
                <w:color w:val="auto"/>
                <w:sz w:val="24"/>
                <w:lang w:eastAsia="zh-CN"/>
              </w:rPr>
              <w:t>及</w:t>
            </w:r>
            <w:r>
              <w:rPr>
                <w:rFonts w:hint="eastAsia" w:ascii="宋体" w:hAnsi="宋体"/>
                <w:color w:val="auto"/>
                <w:sz w:val="24"/>
              </w:rPr>
              <w:t>检测报告</w:t>
            </w:r>
          </w:p>
          <w:p>
            <w:pPr>
              <w:pStyle w:val="8"/>
              <w:keepNext w:val="0"/>
              <w:keepLines w:val="0"/>
              <w:pageBreakBefore w:val="0"/>
              <w:kinsoku/>
              <w:wordWrap w:val="0"/>
              <w:overflowPunct/>
              <w:topLinePunct w:val="0"/>
              <w:bidi w:val="0"/>
              <w:snapToGrid w:val="0"/>
              <w:spacing w:after="0" w:line="360" w:lineRule="auto"/>
              <w:rPr>
                <w:rFonts w:hint="eastAsia" w:ascii="宋体" w:hAnsi="宋体" w:eastAsia="宋体" w:cs="宋体"/>
                <w:bCs/>
                <w:color w:val="auto"/>
                <w:sz w:val="24"/>
                <w:szCs w:val="24"/>
                <w:lang w:eastAsia="zh-CN"/>
              </w:rPr>
            </w:pPr>
            <w:r>
              <w:rPr>
                <w:rFonts w:hint="eastAsia" w:ascii="宋体" w:hAnsi="宋体" w:cs="宋体"/>
                <w:color w:val="auto"/>
                <w:sz w:val="24"/>
                <w:szCs w:val="24"/>
              </w:rPr>
              <w:t>★</w:t>
            </w:r>
            <w:r>
              <w:rPr>
                <w:rFonts w:hint="eastAsia" w:ascii="宋体" w:hAnsi="宋体" w:cs="宋体"/>
                <w:bCs/>
                <w:color w:val="auto"/>
                <w:sz w:val="24"/>
                <w:szCs w:val="24"/>
              </w:rPr>
              <w:t>1</w:t>
            </w:r>
            <w:r>
              <w:rPr>
                <w:rFonts w:hint="eastAsia" w:ascii="宋体" w:hAnsi="宋体" w:cs="宋体"/>
                <w:bCs/>
                <w:color w:val="auto"/>
                <w:sz w:val="24"/>
                <w:szCs w:val="24"/>
                <w:lang w:val="en-US" w:eastAsia="zh-CN"/>
              </w:rPr>
              <w:t>6</w:t>
            </w:r>
            <w:r>
              <w:rPr>
                <w:rFonts w:hint="eastAsia" w:ascii="宋体" w:hAnsi="宋体" w:cs="宋体"/>
                <w:bCs/>
                <w:color w:val="auto"/>
                <w:sz w:val="24"/>
                <w:szCs w:val="24"/>
              </w:rPr>
              <w:t>、设备保修期不小于验收后3年</w:t>
            </w:r>
            <w:r>
              <w:rPr>
                <w:rFonts w:hint="eastAsia" w:ascii="宋体" w:hAnsi="宋体" w:cs="宋体"/>
                <w:bCs/>
                <w:color w:val="auto"/>
                <w:sz w:val="24"/>
                <w:szCs w:val="24"/>
                <w:lang w:eastAsia="zh-CN"/>
              </w:rPr>
              <w:t>。</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48000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蓄电池</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32节</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textAlignment w:val="center"/>
              <w:rPr>
                <w:rFonts w:ascii="宋体" w:hAnsi="宋体" w:cs="宋体"/>
                <w:color w:val="auto"/>
                <w:sz w:val="24"/>
                <w:szCs w:val="24"/>
              </w:rPr>
            </w:pPr>
            <w:r>
              <w:rPr>
                <w:rFonts w:hint="eastAsia" w:ascii="宋体" w:hAnsi="宋体" w:cs="宋体"/>
                <w:color w:val="auto"/>
                <w:sz w:val="24"/>
                <w:szCs w:val="24"/>
              </w:rPr>
              <w:t>★1、采用与UPS主机同一品牌12V/100AH免维护阻燃铅酸蓄电池。</w:t>
            </w:r>
          </w:p>
          <w:p>
            <w:pPr>
              <w:pStyle w:val="8"/>
              <w:keepNext w:val="0"/>
              <w:keepLines w:val="0"/>
              <w:pageBreakBefore w:val="0"/>
              <w:kinsoku/>
              <w:wordWrap w:val="0"/>
              <w:overflowPunct/>
              <w:topLinePunct w:val="0"/>
              <w:bidi w:val="0"/>
              <w:snapToGrid w:val="0"/>
              <w:spacing w:after="0" w:line="360" w:lineRule="auto"/>
              <w:rPr>
                <w:rFonts w:ascii="宋体" w:hAnsi="宋体" w:cs="宋体"/>
                <w:color w:val="auto"/>
                <w:sz w:val="24"/>
                <w:szCs w:val="24"/>
              </w:rPr>
            </w:pPr>
            <w:r>
              <w:rPr>
                <w:rFonts w:hint="eastAsia" w:ascii="宋体" w:hAnsi="宋体" w:cs="宋体"/>
                <w:color w:val="auto"/>
                <w:sz w:val="24"/>
                <w:szCs w:val="24"/>
              </w:rPr>
              <w:t>2、蓄电池在环境温度20～25℃时的浮充运行设计寿命应不低于5年，蓄电池必须采用全密封防泄漏结构，外壳无异常变形、裂纹及污迹，上盖及端子无损伤，正常工作时无酸雾溢出。</w:t>
            </w:r>
          </w:p>
          <w:p>
            <w:pPr>
              <w:pStyle w:val="8"/>
              <w:keepNext w:val="0"/>
              <w:keepLines w:val="0"/>
              <w:pageBreakBefore w:val="0"/>
              <w:kinsoku/>
              <w:wordWrap w:val="0"/>
              <w:overflowPunct/>
              <w:topLinePunct w:val="0"/>
              <w:bidi w:val="0"/>
              <w:snapToGrid w:val="0"/>
              <w:spacing w:after="0" w:line="360" w:lineRule="auto"/>
              <w:rPr>
                <w:rFonts w:ascii="宋体" w:hAnsi="宋体" w:cs="宋体"/>
                <w:color w:val="auto"/>
                <w:sz w:val="24"/>
                <w:szCs w:val="24"/>
              </w:rPr>
            </w:pPr>
            <w:r>
              <w:rPr>
                <w:rFonts w:hint="eastAsia" w:ascii="宋体" w:hAnsi="宋体" w:cs="宋体"/>
                <w:color w:val="auto"/>
                <w:sz w:val="24"/>
                <w:szCs w:val="24"/>
              </w:rPr>
              <w:t>3、蓄电池极性正确，正负极性及端子应有明显标志。</w:t>
            </w:r>
          </w:p>
          <w:p>
            <w:pPr>
              <w:keepNext w:val="0"/>
              <w:keepLines w:val="0"/>
              <w:pageBreakBefore w:val="0"/>
              <w:widowControl/>
              <w:kinsoku/>
              <w:wordWrap w:val="0"/>
              <w:overflowPunct/>
              <w:topLinePunct w:val="0"/>
              <w:bidi w:val="0"/>
              <w:snapToGrid w:val="0"/>
              <w:spacing w:line="360" w:lineRule="auto"/>
              <w:rPr>
                <w:rFonts w:ascii="宋体" w:hAnsi="宋体" w:cs="宋体"/>
                <w:color w:val="auto"/>
                <w:kern w:val="0"/>
                <w:sz w:val="24"/>
                <w:szCs w:val="24"/>
              </w:rPr>
            </w:pPr>
            <w:r>
              <w:rPr>
                <w:rFonts w:hint="eastAsia" w:ascii="宋体" w:hAnsi="宋体" w:cs="宋体"/>
                <w:color w:val="auto"/>
                <w:sz w:val="24"/>
                <w:szCs w:val="24"/>
              </w:rPr>
              <w:t>★</w:t>
            </w:r>
            <w:r>
              <w:rPr>
                <w:rFonts w:hint="eastAsia" w:ascii="宋体" w:hAnsi="宋体" w:cs="宋体"/>
                <w:bCs/>
                <w:color w:val="auto"/>
                <w:kern w:val="0"/>
                <w:sz w:val="24"/>
                <w:szCs w:val="24"/>
              </w:rPr>
              <w:t>4、设备保修期不小于验收后3年。</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28480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电池柜</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sz w:val="24"/>
                <w:szCs w:val="24"/>
              </w:rPr>
              <w:t>★</w:t>
            </w:r>
            <w:r>
              <w:rPr>
                <w:rFonts w:hint="eastAsia" w:ascii="宋体" w:hAnsi="宋体" w:cs="宋体"/>
                <w:color w:val="auto"/>
                <w:kern w:val="0"/>
                <w:sz w:val="24"/>
                <w:szCs w:val="24"/>
                <w:lang w:bidi="ar"/>
              </w:rPr>
              <w:t xml:space="preserve">1、外观颜色应与主机相同，每个电池箱装16节12V/100AH。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lang w:bidi="ar"/>
              </w:rPr>
              <w:t>2、应配置电池开关及电池连接线25mm</w:t>
            </w:r>
            <w:r>
              <w:rPr>
                <w:rFonts w:hint="eastAsia" w:ascii="宋体" w:hAnsi="宋体" w:cs="宋体"/>
                <w:color w:val="auto"/>
                <w:kern w:val="0"/>
                <w:sz w:val="24"/>
                <w:szCs w:val="24"/>
                <w:vertAlign w:val="superscript"/>
                <w:lang w:bidi="ar"/>
              </w:rPr>
              <w:t>2</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2700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6</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机柜接入线缆</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60米</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ZR-RVV3*6</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2160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7</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静态转换开关STS设备</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w:t>
            </w:r>
            <w:r>
              <w:rPr>
                <w:rFonts w:hint="eastAsia" w:ascii="宋体" w:hAnsi="宋体" w:cs="宋体"/>
                <w:color w:val="auto"/>
                <w:kern w:val="0"/>
                <w:sz w:val="24"/>
                <w:szCs w:val="24"/>
              </w:rPr>
              <w:t xml:space="preserve">6路，16A双电源自动切换开关PDU机柜插座 </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15600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8</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PDU</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8套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1、铝合金或钣金材料，坚实可靠；</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2、满足输入电压单相220VAC；频率：50Hz；</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3、插线排支持单路输入；</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4、支持32A输入；带来电显示灯，插线排输入配电线缆规格采用3*6mm²；</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sz w:val="24"/>
                <w:szCs w:val="24"/>
              </w:rPr>
              <w:t>★</w:t>
            </w:r>
            <w:r>
              <w:rPr>
                <w:rFonts w:hint="eastAsia" w:ascii="宋体" w:hAnsi="宋体" w:cs="宋体"/>
                <w:color w:val="auto"/>
                <w:kern w:val="0"/>
                <w:sz w:val="24"/>
                <w:szCs w:val="24"/>
                <w:lang w:bidi="ar"/>
              </w:rPr>
              <w:t>5、输出20位C13+4位C19；</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6、插线排安装于机柜后部侧边，不占用机柜设备安装空间。</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7、工作温度：0℃-40℃；</w:t>
            </w:r>
          </w:p>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kern w:val="0"/>
                <w:sz w:val="24"/>
                <w:szCs w:val="24"/>
              </w:rPr>
            </w:pPr>
            <w:r>
              <w:rPr>
                <w:rFonts w:hint="eastAsia" w:ascii="宋体" w:hAnsi="宋体" w:cs="宋体"/>
                <w:color w:val="auto"/>
                <w:kern w:val="0"/>
                <w:sz w:val="24"/>
                <w:szCs w:val="24"/>
                <w:lang w:bidi="ar"/>
              </w:rPr>
              <w:t>8、工作湿度：相对湿度≤95%</w:t>
            </w:r>
            <w:r>
              <w:rPr>
                <w:rFonts w:hint="eastAsia" w:ascii="新宋体" w:hAnsi="新宋体" w:eastAsia="新宋体" w:cs="新宋体"/>
                <w:color w:val="auto"/>
                <w:kern w:val="0"/>
                <w:sz w:val="24"/>
                <w:szCs w:val="24"/>
              </w:rPr>
              <w:t>　</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6400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9</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空调输入电缆</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20米</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ZR-RVV-4*16+1*10</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1800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10</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防雷接地线</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20米</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ZR-BVR-6mm2</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160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11</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机柜承重架</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6套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50*5角钢</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2700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99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b/>
                <w:bCs/>
                <w:color w:val="auto"/>
                <w:kern w:val="0"/>
                <w:sz w:val="24"/>
                <w:szCs w:val="24"/>
              </w:rPr>
              <w:t>二、单排冷通道</w:t>
            </w:r>
          </w:p>
        </w:tc>
      </w:tr>
      <w:tr>
        <w:tblPrEx>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服务器机柜</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4个</w:t>
            </w:r>
          </w:p>
        </w:tc>
        <w:tc>
          <w:tcPr>
            <w:tcW w:w="4399" w:type="dxa"/>
            <w:tcBorders>
              <w:top w:val="single" w:color="auto" w:sz="4" w:space="0"/>
              <w:left w:val="nil"/>
              <w:bottom w:val="single" w:color="auto" w:sz="4" w:space="0"/>
              <w:right w:val="single" w:color="auto" w:sz="4" w:space="0"/>
            </w:tcBorders>
            <w:vAlign w:val="center"/>
          </w:tcPr>
          <w:p>
            <w:pPr>
              <w:numPr>
                <w:ilvl w:val="0"/>
                <w:numId w:val="0"/>
              </w:numPr>
              <w:autoSpaceDE w:val="0"/>
              <w:autoSpaceDN w:val="0"/>
              <w:adjustRightInd w:val="0"/>
              <w:spacing w:line="360" w:lineRule="auto"/>
              <w:jc w:val="left"/>
              <w:rPr>
                <w:rFonts w:hint="eastAsia"/>
                <w:color w:val="auto"/>
                <w:lang w:val="en-GB"/>
              </w:rPr>
            </w:pPr>
            <w:r>
              <w:rPr>
                <w:rFonts w:hint="eastAsia"/>
                <w:color w:val="auto"/>
                <w:lang w:val="en-US" w:eastAsia="zh-CN"/>
              </w:rPr>
              <w:t>1、</w:t>
            </w:r>
            <w:r>
              <w:rPr>
                <w:rFonts w:hint="eastAsia"/>
                <w:color w:val="auto"/>
              </w:rPr>
              <w:t>★</w:t>
            </w:r>
            <w:r>
              <w:rPr>
                <w:rFonts w:hint="eastAsia"/>
                <w:color w:val="auto"/>
                <w:lang w:val="en-US" w:eastAsia="zh-CN"/>
              </w:rPr>
              <w:t>机</w:t>
            </w:r>
            <w:r>
              <w:rPr>
                <w:rFonts w:hint="eastAsia"/>
                <w:color w:val="auto"/>
              </w:rPr>
              <w:t>柜尺寸（W*D*H）：1200mm*</w:t>
            </w:r>
            <w:r>
              <w:rPr>
                <w:rFonts w:hint="eastAsia"/>
                <w:color w:val="auto"/>
                <w:lang w:val="en-US" w:eastAsia="zh-CN"/>
              </w:rPr>
              <w:t>6</w:t>
            </w:r>
            <w:r>
              <w:rPr>
                <w:rFonts w:hint="eastAsia"/>
                <w:color w:val="auto"/>
              </w:rPr>
              <w:t>00mm *2000mm</w:t>
            </w:r>
            <w:r>
              <w:rPr>
                <w:rFonts w:hint="eastAsia"/>
                <w:color w:val="auto"/>
                <w:lang w:eastAsia="zh-CN"/>
              </w:rPr>
              <w:t>，</w:t>
            </w:r>
            <w:r>
              <w:rPr>
                <w:rFonts w:hint="eastAsia"/>
                <w:color w:val="auto"/>
                <w:lang w:val="en-GB"/>
              </w:rPr>
              <w:t>机柜应采用外开门方式，正、背面对流超级通透网孔门，网孔高密度有序排列，网孔区域及门板整体应不变形，门板装配后无倾斜、凹陷、凸起或局部扭曲等不良现象。</w:t>
            </w:r>
          </w:p>
          <w:p>
            <w:pPr>
              <w:numPr>
                <w:ilvl w:val="0"/>
                <w:numId w:val="0"/>
              </w:numPr>
              <w:autoSpaceDE w:val="0"/>
              <w:autoSpaceDN w:val="0"/>
              <w:adjustRightInd w:val="0"/>
              <w:spacing w:line="360" w:lineRule="auto"/>
              <w:jc w:val="left"/>
              <w:rPr>
                <w:rFonts w:hint="eastAsia"/>
                <w:color w:val="auto"/>
                <w:lang w:val="en-GB"/>
              </w:rPr>
            </w:pPr>
            <w:r>
              <w:rPr>
                <w:rFonts w:hint="eastAsia"/>
                <w:color w:val="auto"/>
                <w:lang w:val="en-US" w:eastAsia="zh-CN"/>
              </w:rPr>
              <w:t>2、</w:t>
            </w:r>
            <w:r>
              <w:rPr>
                <w:rFonts w:hint="eastAsia"/>
                <w:color w:val="auto"/>
                <w:lang w:val="en-GB"/>
              </w:rPr>
              <w:t>机柜前门应设计单扇开启，门板通透率要求达到75%或以上。机柜后门应设计对称中间开启，门板通透率要求达到70%或以上。</w:t>
            </w:r>
          </w:p>
          <w:p>
            <w:pPr>
              <w:numPr>
                <w:ilvl w:val="0"/>
                <w:numId w:val="0"/>
              </w:numPr>
              <w:autoSpaceDE w:val="0"/>
              <w:autoSpaceDN w:val="0"/>
              <w:adjustRightInd w:val="0"/>
              <w:spacing w:line="360" w:lineRule="auto"/>
              <w:jc w:val="left"/>
              <w:rPr>
                <w:rFonts w:hint="eastAsia"/>
                <w:color w:val="auto"/>
                <w:lang w:val="en-GB"/>
              </w:rPr>
            </w:pPr>
            <w:r>
              <w:rPr>
                <w:rFonts w:hint="eastAsia"/>
                <w:color w:val="auto"/>
                <w:lang w:val="en-US" w:eastAsia="zh-CN"/>
              </w:rPr>
              <w:t>3、</w:t>
            </w:r>
            <w:r>
              <w:rPr>
                <w:rFonts w:hint="eastAsia"/>
                <w:color w:val="auto"/>
                <w:lang w:val="en-GB"/>
              </w:rPr>
              <w:t>机柜整体应采用模块式拼装结构设计，</w:t>
            </w:r>
            <w:r>
              <w:rPr>
                <w:rFonts w:hint="eastAsia"/>
                <w:color w:val="auto"/>
              </w:rPr>
              <w:t>框架立柱通过与顶、底框（板）连接加固，每个接触面不低于2个M8杯状内六角螺栓连接</w:t>
            </w:r>
            <w:r>
              <w:rPr>
                <w:rFonts w:hint="eastAsia"/>
                <w:color w:val="auto"/>
                <w:lang w:val="en-GB"/>
              </w:rPr>
              <w:t>。</w:t>
            </w:r>
          </w:p>
          <w:p>
            <w:pPr>
              <w:numPr>
                <w:ilvl w:val="0"/>
                <w:numId w:val="0"/>
              </w:numPr>
              <w:autoSpaceDE w:val="0"/>
              <w:autoSpaceDN w:val="0"/>
              <w:adjustRightInd w:val="0"/>
              <w:spacing w:line="360" w:lineRule="auto"/>
              <w:jc w:val="left"/>
              <w:rPr>
                <w:rFonts w:hint="eastAsia"/>
                <w:color w:val="auto"/>
                <w:lang w:val="en-GB"/>
              </w:rPr>
            </w:pPr>
            <w:r>
              <w:rPr>
                <w:rFonts w:hint="eastAsia"/>
                <w:color w:val="auto"/>
                <w:lang w:val="en-US" w:eastAsia="zh-CN"/>
              </w:rPr>
              <w:t>4、</w:t>
            </w:r>
            <w:r>
              <w:rPr>
                <w:rFonts w:hint="eastAsia"/>
                <w:color w:val="auto"/>
                <w:lang w:val="en-GB"/>
              </w:rPr>
              <w:t>机柜后门左侧应配有线缆固定装置；机柜后门右侧配置电源分配板。用做通信电缆的布放与固定</w:t>
            </w:r>
          </w:p>
          <w:p>
            <w:pPr>
              <w:numPr>
                <w:ilvl w:val="0"/>
                <w:numId w:val="0"/>
              </w:numPr>
              <w:autoSpaceDE w:val="0"/>
              <w:autoSpaceDN w:val="0"/>
              <w:adjustRightInd w:val="0"/>
              <w:spacing w:line="360" w:lineRule="auto"/>
              <w:jc w:val="left"/>
              <w:rPr>
                <w:rFonts w:hint="eastAsia" w:ascii="宋体" w:hAnsi="宋体" w:eastAsia="宋体" w:cs="宋体"/>
                <w:color w:val="auto"/>
                <w:sz w:val="24"/>
                <w:szCs w:val="24"/>
                <w:lang w:val="en-GB"/>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en-GB"/>
              </w:rPr>
              <w:t>机架静态承重要求达到1850KG，应确保机柜整体的牢固性和稳定性</w:t>
            </w: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GB"/>
              </w:rPr>
              <w:t>提供第三方检测报告证书。</w:t>
            </w:r>
          </w:p>
          <w:p>
            <w:pPr>
              <w:pStyle w:val="8"/>
              <w:rPr>
                <w:rFonts w:hint="eastAsia"/>
                <w:color w:val="auto"/>
                <w:lang w:val="en-US" w:eastAsia="zh-CN"/>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机柜有带载重600kg的抗震8/9级报告，要求提供第三方检测报告证书</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26000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侧板</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新宋体" w:hAnsi="新宋体" w:eastAsia="新宋体" w:cs="新宋体"/>
                <w:color w:val="auto"/>
                <w:kern w:val="0"/>
                <w:sz w:val="24"/>
                <w:szCs w:val="24"/>
              </w:rPr>
            </w:pPr>
            <w:r>
              <w:rPr>
                <w:rFonts w:hint="eastAsia" w:asciiTheme="minorEastAsia" w:hAnsiTheme="minorEastAsia" w:eastAsiaTheme="minorEastAsia" w:cstheme="minorEastAsia"/>
                <w:color w:val="auto"/>
                <w:sz w:val="24"/>
                <w:szCs w:val="24"/>
              </w:rPr>
              <w:t>侧板为门铰式联接,门的开合转动灵活、可靠、装拆方便，能方便拆卸并可选择以左或右开关，门的开启角不小于120°,间隙应不大于3mm。门板所使用的锁应具有抗破坏性符合GA/T 73-1994中的B级要求。</w:t>
            </w:r>
            <w:r>
              <w:rPr>
                <w:rFonts w:hint="eastAsia" w:ascii="新宋体" w:hAnsi="新宋体" w:eastAsia="新宋体" w:cs="新宋体"/>
                <w:color w:val="auto"/>
                <w:kern w:val="0"/>
                <w:sz w:val="24"/>
                <w:szCs w:val="24"/>
              </w:rPr>
              <w:t>　</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1520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通道门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1200*2200mm</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19200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通道天窗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600*1200mm</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10500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通道天窗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300*1200mm</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1100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6</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消防联动控制盒</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lang w:val="en-GB"/>
              </w:rPr>
              <w:t>冷通道</w:t>
            </w:r>
            <w:r>
              <w:rPr>
                <w:rFonts w:hint="eastAsia" w:ascii="新宋体" w:hAnsi="新宋体" w:eastAsia="新宋体" w:cs="新宋体"/>
                <w:color w:val="auto"/>
                <w:kern w:val="0"/>
                <w:sz w:val="24"/>
                <w:szCs w:val="24"/>
              </w:rPr>
              <w:t>应</w:t>
            </w:r>
            <w:r>
              <w:rPr>
                <w:rFonts w:hint="eastAsia" w:ascii="新宋体" w:hAnsi="新宋体" w:eastAsia="新宋体" w:cs="新宋体"/>
                <w:color w:val="auto"/>
                <w:kern w:val="0"/>
                <w:sz w:val="24"/>
                <w:szCs w:val="24"/>
                <w:lang w:val="en-GB"/>
              </w:rPr>
              <w:t>预置端口与机房消防整体联动，应根据不同形式的机房消防信号进行自动打开活动天窗，消除通道内险情。</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1500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7</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通道照明</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选用40W无眩光隔栅灯，灯具的镜面为哑光，机房区平均照度达到规范要求：不小于500Lx（离地面800mm处）　</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2300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8</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氛围灯</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照明设备应采用白色LED节能灯管及灯罩，平均布放于框架内关位于通道，采用双联双控开关，两侧均可实现对照明的控制。照度大于500lx，照明电缆需埋入框架内，保持美观及必要的可维护性。</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6500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9</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单通道支撑系统</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autoSpaceDE w:val="0"/>
              <w:autoSpaceDN w:val="0"/>
              <w:bidi w:val="0"/>
              <w:adjustRightInd w:val="0"/>
              <w:snapToGrid w:val="0"/>
              <w:spacing w:line="360" w:lineRule="auto"/>
              <w:jc w:val="left"/>
              <w:rPr>
                <w:rFonts w:ascii="宋体" w:hAnsi="宋体" w:cs="宋体"/>
                <w:color w:val="auto"/>
                <w:sz w:val="24"/>
                <w:szCs w:val="24"/>
                <w:lang w:val="en-GB"/>
              </w:rPr>
            </w:pPr>
            <w:r>
              <w:rPr>
                <w:rFonts w:hint="eastAsia" w:ascii="宋体" w:hAnsi="宋体" w:cs="宋体"/>
                <w:color w:val="auto"/>
                <w:sz w:val="24"/>
                <w:szCs w:val="24"/>
              </w:rPr>
              <w:t>1、</w:t>
            </w:r>
            <w:r>
              <w:rPr>
                <w:rFonts w:hint="eastAsia" w:ascii="宋体" w:hAnsi="宋体" w:cs="宋体"/>
                <w:color w:val="auto"/>
                <w:sz w:val="24"/>
                <w:szCs w:val="24"/>
                <w:lang w:val="en-GB"/>
              </w:rPr>
              <w:t>冷通道所有单元组件应采用具备良好耐磨性、耐蚀性，精细加工，整体冲压成型，高可靠接触，应安全耐用要求无松动现象，确保冷气流的密封性。</w:t>
            </w:r>
          </w:p>
          <w:p>
            <w:pPr>
              <w:keepNext w:val="0"/>
              <w:keepLines w:val="0"/>
              <w:pageBreakBefore w:val="0"/>
              <w:kinsoku/>
              <w:wordWrap w:val="0"/>
              <w:overflowPunct/>
              <w:topLinePunct w:val="0"/>
              <w:autoSpaceDE w:val="0"/>
              <w:autoSpaceDN w:val="0"/>
              <w:bidi w:val="0"/>
              <w:adjustRightInd w:val="0"/>
              <w:snapToGrid w:val="0"/>
              <w:spacing w:line="360" w:lineRule="auto"/>
              <w:jc w:val="left"/>
              <w:rPr>
                <w:rFonts w:ascii="宋体" w:hAnsi="宋体" w:cs="宋体"/>
                <w:color w:val="auto"/>
                <w:sz w:val="24"/>
                <w:szCs w:val="24"/>
                <w:lang w:val="en-GB"/>
              </w:rPr>
            </w:pPr>
            <w:r>
              <w:rPr>
                <w:rFonts w:hint="eastAsia" w:ascii="宋体" w:hAnsi="宋体" w:cs="宋体"/>
                <w:color w:val="auto"/>
                <w:sz w:val="24"/>
                <w:szCs w:val="24"/>
              </w:rPr>
              <w:t>2、单</w:t>
            </w:r>
            <w:r>
              <w:rPr>
                <w:rFonts w:hint="eastAsia" w:ascii="宋体" w:hAnsi="宋体" w:cs="宋体"/>
                <w:color w:val="auto"/>
                <w:sz w:val="24"/>
                <w:szCs w:val="24"/>
                <w:lang w:val="en-GB"/>
              </w:rPr>
              <w:t>通道处理：当冷通道</w:t>
            </w:r>
            <w:r>
              <w:rPr>
                <w:rFonts w:hint="eastAsia" w:ascii="宋体" w:hAnsi="宋体" w:cs="宋体"/>
                <w:color w:val="auto"/>
                <w:sz w:val="24"/>
                <w:szCs w:val="24"/>
              </w:rPr>
              <w:t>只有单排</w:t>
            </w:r>
            <w:r>
              <w:rPr>
                <w:rFonts w:hint="eastAsia" w:ascii="宋体" w:hAnsi="宋体" w:cs="宋体"/>
                <w:color w:val="auto"/>
                <w:sz w:val="24"/>
                <w:szCs w:val="24"/>
                <w:lang w:val="en-GB"/>
              </w:rPr>
              <w:t>机柜时，应在机柜对面安装</w:t>
            </w:r>
            <w:r>
              <w:rPr>
                <w:rFonts w:hint="eastAsia" w:ascii="宋体" w:hAnsi="宋体" w:cs="宋体"/>
                <w:color w:val="auto"/>
                <w:sz w:val="24"/>
                <w:szCs w:val="24"/>
              </w:rPr>
              <w:t>单通道支撑系统</w:t>
            </w:r>
            <w:r>
              <w:rPr>
                <w:rFonts w:hint="eastAsia" w:ascii="宋体" w:hAnsi="宋体" w:cs="宋体"/>
                <w:color w:val="auto"/>
                <w:sz w:val="24"/>
                <w:szCs w:val="24"/>
                <w:lang w:val="en-GB"/>
              </w:rPr>
              <w:t>，要求整体要求牢固、美观，同时应起到遏制气体作用。</w:t>
            </w:r>
          </w:p>
          <w:p>
            <w:pPr>
              <w:keepNext w:val="0"/>
              <w:keepLines w:val="0"/>
              <w:pageBreakBefore w:val="0"/>
              <w:kinsoku/>
              <w:wordWrap w:val="0"/>
              <w:overflowPunct/>
              <w:topLinePunct w:val="0"/>
              <w:autoSpaceDE w:val="0"/>
              <w:autoSpaceDN w:val="0"/>
              <w:bidi w:val="0"/>
              <w:adjustRightInd w:val="0"/>
              <w:snapToGrid w:val="0"/>
              <w:spacing w:line="360" w:lineRule="auto"/>
              <w:jc w:val="left"/>
              <w:rPr>
                <w:rFonts w:ascii="宋体" w:hAnsi="宋体" w:cs="宋体"/>
                <w:color w:val="auto"/>
                <w:sz w:val="24"/>
                <w:szCs w:val="24"/>
                <w:lang w:val="en-GB"/>
              </w:rPr>
            </w:pPr>
            <w:r>
              <w:rPr>
                <w:rFonts w:hint="eastAsia" w:ascii="宋体" w:hAnsi="宋体" w:cs="宋体"/>
                <w:color w:val="auto"/>
                <w:sz w:val="24"/>
                <w:szCs w:val="24"/>
              </w:rPr>
              <w:t>3、单通道支撑系统由钢化玻璃和3030型材立柱组成。</w:t>
            </w:r>
          </w:p>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宋体" w:hAnsi="宋体" w:cs="宋体"/>
                <w:color w:val="auto"/>
                <w:sz w:val="24"/>
                <w:szCs w:val="24"/>
              </w:rPr>
              <w:t>4、</w:t>
            </w:r>
            <w:r>
              <w:rPr>
                <w:rFonts w:hint="eastAsia" w:ascii="宋体" w:hAnsi="宋体" w:cs="宋体"/>
                <w:color w:val="auto"/>
                <w:sz w:val="24"/>
                <w:szCs w:val="24"/>
                <w:lang w:val="en-GB"/>
              </w:rPr>
              <w:t>冷通道首、末两端应提供位置可用于安装通道内摄像机。</w:t>
            </w:r>
            <w:r>
              <w:rPr>
                <w:rFonts w:hint="eastAsia" w:ascii="新宋体" w:hAnsi="新宋体" w:eastAsia="新宋体" w:cs="新宋体"/>
                <w:color w:val="auto"/>
                <w:kern w:val="0"/>
                <w:sz w:val="24"/>
                <w:szCs w:val="24"/>
              </w:rPr>
              <w:t>　</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21000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10</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列头柜</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1趟</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宋体" w:hAnsi="宋体" w:cs="宋体"/>
                <w:color w:val="auto"/>
                <w:sz w:val="24"/>
                <w:szCs w:val="24"/>
              </w:rPr>
              <w:t>★</w:t>
            </w:r>
            <w:r>
              <w:rPr>
                <w:rFonts w:hint="eastAsia" w:ascii="新宋体" w:hAnsi="新宋体" w:eastAsia="新宋体" w:cs="新宋体"/>
                <w:color w:val="auto"/>
                <w:kern w:val="0"/>
                <w:sz w:val="24"/>
                <w:szCs w:val="24"/>
              </w:rPr>
              <w:t>精密列头柜尺寸（W*D*H）：1200mm*300mm *2000mm，尺寸、颜色与服务器机柜保持一致，采用双回路供电模式，输入125A/2P*2路，每路输入各带32A/1P*10路，开关要求采用施耐德、ABB、西门子或同档次品牌开关。　</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28000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11</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25KW精密空调</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hint="eastAsia" w:ascii="宋体" w:hAnsi="宋体" w:eastAsia="宋体" w:cs="宋体"/>
                <w:color w:val="auto"/>
                <w:kern w:val="0"/>
                <w:sz w:val="24"/>
                <w:szCs w:val="24"/>
                <w:lang w:eastAsia="zh-CN" w:bidi="ar"/>
              </w:rPr>
            </w:pPr>
            <w:r>
              <w:rPr>
                <w:rFonts w:hint="eastAsia" w:ascii="宋体" w:hAnsi="宋体" w:cs="宋体"/>
                <w:color w:val="auto"/>
                <w:sz w:val="24"/>
                <w:szCs w:val="24"/>
              </w:rPr>
              <w:t>★</w:t>
            </w:r>
            <w:r>
              <w:rPr>
                <w:rFonts w:hint="eastAsia" w:ascii="宋体" w:hAnsi="宋体" w:cs="宋体"/>
                <w:color w:val="auto"/>
                <w:kern w:val="0"/>
                <w:sz w:val="24"/>
                <w:szCs w:val="24"/>
                <w:lang w:bidi="ar"/>
              </w:rPr>
              <w:t>1、制冷模式：风空调机为前送风后回风的水平送风空调机组</w:t>
            </w:r>
            <w:r>
              <w:rPr>
                <w:rFonts w:hint="eastAsia" w:ascii="宋体" w:hAnsi="宋体" w:cs="宋体"/>
                <w:color w:val="auto"/>
                <w:kern w:val="0"/>
                <w:sz w:val="24"/>
                <w:szCs w:val="24"/>
                <w:lang w:eastAsia="zh-CN" w:bidi="ar"/>
              </w:rPr>
              <w:t>。</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sz w:val="24"/>
                <w:szCs w:val="24"/>
              </w:rPr>
              <w:t>★</w:t>
            </w:r>
            <w:r>
              <w:rPr>
                <w:rFonts w:hint="eastAsia" w:ascii="宋体" w:hAnsi="宋体" w:cs="宋体"/>
                <w:color w:val="auto"/>
                <w:kern w:val="0"/>
                <w:sz w:val="24"/>
                <w:szCs w:val="24"/>
                <w:lang w:bidi="ar"/>
              </w:rPr>
              <w:t>2、总冷量≥25KW，风量≥5500m3/h</w:t>
            </w:r>
          </w:p>
          <w:p>
            <w:pPr>
              <w:keepNext w:val="0"/>
              <w:keepLines w:val="0"/>
              <w:pageBreakBefore w:val="0"/>
              <w:widowControl/>
              <w:kinsoku/>
              <w:wordWrap w:val="0"/>
              <w:overflowPunct/>
              <w:topLinePunct w:val="0"/>
              <w:bidi w:val="0"/>
              <w:snapToGrid w:val="0"/>
              <w:spacing w:line="360" w:lineRule="auto"/>
              <w:jc w:val="left"/>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bidi="ar"/>
              </w:rPr>
              <w:t>3、受安装条件所限，要求室内机尺寸（≤宽300mm*深1200mm*高2000mm</w:t>
            </w:r>
            <w:r>
              <w:rPr>
                <w:rFonts w:hint="eastAsia" w:ascii="宋体" w:hAnsi="宋体" w:cs="宋体"/>
                <w:color w:val="auto"/>
                <w:kern w:val="0"/>
                <w:sz w:val="24"/>
                <w:szCs w:val="24"/>
                <w:lang w:eastAsia="zh-CN" w:bidi="ar"/>
              </w:rPr>
              <w:t>；</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4、空调机组的压缩机应采用EC变容量压缩机，制冷剂应为环保制冷剂R410A，可根据附近机柜的温度自动调节制冷量，具有30-100%可调的调变能力。</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5、空调机组必须具有送风、回风的温度及湿度数值显示，便于直观的观察空调机组的运行情况。</w:t>
            </w:r>
          </w:p>
          <w:p>
            <w:pPr>
              <w:pStyle w:val="8"/>
              <w:keepNext w:val="0"/>
              <w:keepLines w:val="0"/>
              <w:pageBreakBefore w:val="0"/>
              <w:kinsoku/>
              <w:wordWrap w:val="0"/>
              <w:overflowPunct/>
              <w:topLinePunct w:val="0"/>
              <w:bidi w:val="0"/>
              <w:snapToGrid w:val="0"/>
              <w:spacing w:after="0" w:line="360" w:lineRule="auto"/>
              <w:rPr>
                <w:rFonts w:ascii="宋体" w:hAnsi="宋体" w:cs="宋体"/>
                <w:color w:val="auto"/>
                <w:sz w:val="24"/>
                <w:szCs w:val="24"/>
                <w:lang w:bidi="ar"/>
              </w:rPr>
            </w:pPr>
            <w:r>
              <w:rPr>
                <w:rFonts w:hint="eastAsia" w:ascii="宋体" w:hAnsi="宋体" w:cs="宋体"/>
                <w:color w:val="auto"/>
                <w:sz w:val="24"/>
                <w:szCs w:val="24"/>
                <w:lang w:bidi="ar"/>
              </w:rPr>
              <w:t>6、空调机组的送风机应采用不少于8个高效节能的EC直流调速送风机，风机采用热插拔设计，送风量能根据热负荷的要求进行变化，使运行更经济。</w:t>
            </w:r>
          </w:p>
          <w:p>
            <w:pPr>
              <w:pStyle w:val="8"/>
              <w:keepNext w:val="0"/>
              <w:keepLines w:val="0"/>
              <w:pageBreakBefore w:val="0"/>
              <w:kinsoku/>
              <w:wordWrap w:val="0"/>
              <w:overflowPunct/>
              <w:topLinePunct w:val="0"/>
              <w:bidi w:val="0"/>
              <w:snapToGrid w:val="0"/>
              <w:spacing w:after="0" w:line="360" w:lineRule="auto"/>
              <w:rPr>
                <w:rFonts w:ascii="宋体" w:hAnsi="宋体" w:cs="宋体"/>
                <w:color w:val="auto"/>
                <w:sz w:val="24"/>
                <w:szCs w:val="24"/>
                <w:lang w:bidi="ar"/>
              </w:rPr>
            </w:pPr>
            <w:r>
              <w:rPr>
                <w:rFonts w:hint="eastAsia" w:ascii="宋体" w:hAnsi="宋体" w:cs="宋体"/>
                <w:color w:val="auto"/>
                <w:sz w:val="24"/>
                <w:szCs w:val="24"/>
              </w:rPr>
              <w:t>★</w:t>
            </w:r>
            <w:r>
              <w:rPr>
                <w:rFonts w:hint="eastAsia" w:ascii="宋体" w:hAnsi="宋体" w:cs="宋体"/>
                <w:color w:val="auto"/>
                <w:sz w:val="24"/>
                <w:szCs w:val="24"/>
                <w:lang w:bidi="ar"/>
              </w:rPr>
              <w:t>7、室内机风机备用电源必须可通过UPS供电，保障空调制冷连续性。</w:t>
            </w:r>
          </w:p>
          <w:p>
            <w:pPr>
              <w:pStyle w:val="8"/>
              <w:keepNext w:val="0"/>
              <w:keepLines w:val="0"/>
              <w:pageBreakBefore w:val="0"/>
              <w:kinsoku/>
              <w:wordWrap w:val="0"/>
              <w:overflowPunct/>
              <w:topLinePunct w:val="0"/>
              <w:bidi w:val="0"/>
              <w:snapToGrid w:val="0"/>
              <w:spacing w:after="0" w:line="360" w:lineRule="auto"/>
              <w:rPr>
                <w:rFonts w:ascii="宋体" w:hAnsi="宋体" w:cs="宋体"/>
                <w:color w:val="auto"/>
                <w:sz w:val="24"/>
                <w:szCs w:val="24"/>
                <w:lang w:bidi="ar"/>
              </w:rPr>
            </w:pPr>
            <w:r>
              <w:rPr>
                <w:rFonts w:hint="eastAsia" w:ascii="宋体" w:hAnsi="宋体" w:cs="宋体"/>
                <w:color w:val="auto"/>
                <w:sz w:val="24"/>
                <w:szCs w:val="24"/>
                <w:lang w:bidi="ar"/>
              </w:rPr>
              <w:t>8、空调机组的室外机应铜管铝翅片换热器，并配置冷凝风机调速器，能根据空调的制冷量自动调节运行转速，稳压系统运行压力，机组采用塔状设计，户外占地空间最小化。</w:t>
            </w:r>
          </w:p>
          <w:p>
            <w:pPr>
              <w:pStyle w:val="8"/>
              <w:keepNext w:val="0"/>
              <w:keepLines w:val="0"/>
              <w:pageBreakBefore w:val="0"/>
              <w:kinsoku/>
              <w:wordWrap w:val="0"/>
              <w:overflowPunct/>
              <w:topLinePunct w:val="0"/>
              <w:bidi w:val="0"/>
              <w:snapToGrid w:val="0"/>
              <w:spacing w:after="0" w:line="360" w:lineRule="auto"/>
              <w:rPr>
                <w:rFonts w:ascii="宋体" w:hAnsi="宋体" w:cs="宋体"/>
                <w:color w:val="auto"/>
                <w:sz w:val="24"/>
                <w:szCs w:val="24"/>
                <w:lang w:bidi="ar"/>
              </w:rPr>
            </w:pPr>
            <w:r>
              <w:rPr>
                <w:rFonts w:hint="eastAsia" w:ascii="宋体" w:hAnsi="宋体" w:cs="宋体"/>
                <w:color w:val="auto"/>
                <w:sz w:val="24"/>
                <w:szCs w:val="24"/>
                <w:lang w:bidi="ar"/>
              </w:rPr>
              <w:t>9、空调机组应配置不小于4.3英寸彩色液晶触摸屏，具有送风、回风的温度及湿度显示，便于直观的观察空调机组的运行情况；同时空调机组还能显示空调机组附近机柜的进风温度，能显示并控制空调机组附近机柜的进风温度参数。</w:t>
            </w:r>
          </w:p>
          <w:p>
            <w:pPr>
              <w:pStyle w:val="8"/>
              <w:keepNext w:val="0"/>
              <w:keepLines w:val="0"/>
              <w:pageBreakBefore w:val="0"/>
              <w:kinsoku/>
              <w:wordWrap w:val="0"/>
              <w:overflowPunct/>
              <w:topLinePunct w:val="0"/>
              <w:bidi w:val="0"/>
              <w:snapToGrid w:val="0"/>
              <w:spacing w:after="0" w:line="360" w:lineRule="auto"/>
              <w:rPr>
                <w:rFonts w:ascii="宋体" w:hAnsi="宋体" w:cs="宋体"/>
                <w:color w:val="auto"/>
                <w:sz w:val="24"/>
                <w:szCs w:val="24"/>
                <w:lang w:bidi="ar"/>
              </w:rPr>
            </w:pPr>
            <w:r>
              <w:rPr>
                <w:rFonts w:hint="eastAsia" w:ascii="宋体" w:hAnsi="宋体" w:cs="宋体"/>
                <w:color w:val="auto"/>
                <w:sz w:val="24"/>
                <w:szCs w:val="24"/>
                <w:lang w:bidi="ar"/>
              </w:rPr>
              <w:t>10、空调机组应安装空气过滤器，空气过滤器应便于更换。所安装的过滤器应保证机房的洁净度符合国家相关标准。</w:t>
            </w:r>
          </w:p>
          <w:p>
            <w:pPr>
              <w:pStyle w:val="8"/>
              <w:keepNext w:val="0"/>
              <w:keepLines w:val="0"/>
              <w:pageBreakBefore w:val="0"/>
              <w:kinsoku/>
              <w:wordWrap w:val="0"/>
              <w:overflowPunct/>
              <w:topLinePunct w:val="0"/>
              <w:bidi w:val="0"/>
              <w:snapToGrid w:val="0"/>
              <w:spacing w:after="0" w:line="360" w:lineRule="auto"/>
              <w:rPr>
                <w:rFonts w:ascii="宋体" w:hAnsi="宋体" w:cs="宋体"/>
                <w:color w:val="auto"/>
                <w:sz w:val="24"/>
                <w:szCs w:val="24"/>
                <w:lang w:bidi="ar"/>
              </w:rPr>
            </w:pPr>
            <w:r>
              <w:rPr>
                <w:rFonts w:hint="eastAsia" w:ascii="宋体" w:hAnsi="宋体" w:cs="宋体"/>
                <w:color w:val="auto"/>
                <w:sz w:val="24"/>
                <w:szCs w:val="24"/>
                <w:lang w:bidi="ar"/>
              </w:rPr>
              <w:t>11、空调机组应具有网络接口（RJ45），要求通过网线可以方便的接入其它监控系统，不需要另外再加装监控板就能监控。</w:t>
            </w:r>
          </w:p>
          <w:p>
            <w:pPr>
              <w:pStyle w:val="8"/>
              <w:keepNext w:val="0"/>
              <w:keepLines w:val="0"/>
              <w:pageBreakBefore w:val="0"/>
              <w:kinsoku/>
              <w:wordWrap w:val="0"/>
              <w:overflowPunct/>
              <w:topLinePunct w:val="0"/>
              <w:bidi w:val="0"/>
              <w:snapToGrid w:val="0"/>
              <w:spacing w:after="0" w:line="360" w:lineRule="auto"/>
              <w:rPr>
                <w:rFonts w:ascii="宋体" w:hAnsi="宋体" w:cs="宋体"/>
                <w:color w:val="auto"/>
                <w:sz w:val="24"/>
                <w:szCs w:val="24"/>
                <w:lang w:bidi="ar"/>
              </w:rPr>
            </w:pPr>
            <w:r>
              <w:rPr>
                <w:rFonts w:hint="eastAsia" w:ascii="宋体" w:hAnsi="宋体" w:cs="宋体"/>
                <w:color w:val="auto"/>
                <w:sz w:val="24"/>
                <w:szCs w:val="24"/>
                <w:lang w:bidi="ar"/>
              </w:rPr>
              <w:t>12、空调机组应可选双电源，满足两路电源输入。</w:t>
            </w:r>
          </w:p>
          <w:p>
            <w:pPr>
              <w:pStyle w:val="8"/>
              <w:keepNext w:val="0"/>
              <w:keepLines w:val="0"/>
              <w:pageBreakBefore w:val="0"/>
              <w:kinsoku/>
              <w:wordWrap w:val="0"/>
              <w:overflowPunct/>
              <w:topLinePunct w:val="0"/>
              <w:bidi w:val="0"/>
              <w:snapToGrid w:val="0"/>
              <w:spacing w:after="0" w:line="360" w:lineRule="auto"/>
              <w:rPr>
                <w:rFonts w:hint="eastAsia" w:ascii="宋体" w:hAnsi="宋体" w:cs="宋体"/>
                <w:color w:val="auto"/>
                <w:sz w:val="24"/>
                <w:szCs w:val="24"/>
                <w:lang w:bidi="ar"/>
              </w:rPr>
            </w:pPr>
            <w:r>
              <w:rPr>
                <w:rFonts w:hint="eastAsia" w:ascii="宋体" w:hAnsi="宋体" w:cs="宋体"/>
                <w:color w:val="auto"/>
                <w:sz w:val="24"/>
                <w:szCs w:val="24"/>
              </w:rPr>
              <w:t>★</w:t>
            </w:r>
            <w:r>
              <w:rPr>
                <w:rFonts w:hint="eastAsia" w:ascii="宋体" w:hAnsi="宋体" w:cs="宋体"/>
                <w:color w:val="auto"/>
                <w:sz w:val="24"/>
                <w:szCs w:val="24"/>
                <w:lang w:bidi="ar"/>
              </w:rPr>
              <w:t>13、机房空调安装要求：室内机和室外机安装冷媒管理最大支持≥100米，满足长距离安装要求。</w:t>
            </w:r>
          </w:p>
          <w:p>
            <w:pPr>
              <w:spacing w:line="460" w:lineRule="exact"/>
              <w:rPr>
                <w:rFonts w:ascii="宋体" w:hAnsi="宋体"/>
                <w:color w:val="auto"/>
                <w:sz w:val="24"/>
              </w:rPr>
            </w:pPr>
            <w:r>
              <w:rPr>
                <w:rFonts w:hint="eastAsia" w:ascii="宋体" w:hAnsi="宋体"/>
                <w:color w:val="auto"/>
                <w:sz w:val="24"/>
                <w:lang w:val="en-US" w:eastAsia="zh-CN"/>
              </w:rPr>
              <w:t>14、提供</w:t>
            </w:r>
            <w:r>
              <w:rPr>
                <w:rFonts w:hint="eastAsia" w:ascii="宋体" w:hAnsi="宋体"/>
                <w:color w:val="auto"/>
                <w:sz w:val="24"/>
              </w:rPr>
              <w:t>精密空调生产厂家的焓差试验室证书。</w:t>
            </w:r>
          </w:p>
          <w:p>
            <w:pPr>
              <w:pStyle w:val="8"/>
              <w:keepNext w:val="0"/>
              <w:keepLines w:val="0"/>
              <w:pageBreakBefore w:val="0"/>
              <w:kinsoku/>
              <w:wordWrap w:val="0"/>
              <w:overflowPunct/>
              <w:topLinePunct w:val="0"/>
              <w:bidi w:val="0"/>
              <w:snapToGrid w:val="0"/>
              <w:spacing w:after="0" w:line="360" w:lineRule="auto"/>
              <w:rPr>
                <w:rFonts w:ascii="宋体" w:hAnsi="宋体" w:cs="宋体"/>
                <w:bCs/>
                <w:color w:val="auto"/>
                <w:sz w:val="24"/>
                <w:szCs w:val="24"/>
              </w:rPr>
            </w:pPr>
            <w:r>
              <w:rPr>
                <w:rFonts w:hint="eastAsia" w:ascii="宋体" w:hAnsi="宋体" w:cs="宋体"/>
                <w:color w:val="auto"/>
                <w:sz w:val="24"/>
                <w:szCs w:val="24"/>
              </w:rPr>
              <w:t>★</w:t>
            </w:r>
            <w:r>
              <w:rPr>
                <w:rFonts w:hint="eastAsia" w:ascii="宋体" w:hAnsi="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cs="宋体"/>
                <w:bCs/>
                <w:color w:val="auto"/>
                <w:sz w:val="24"/>
                <w:szCs w:val="24"/>
              </w:rPr>
              <w:t>、设备保修期不小于验收后一年。</w:t>
            </w:r>
          </w:p>
          <w:p>
            <w:pPr>
              <w:pStyle w:val="8"/>
              <w:keepNext w:val="0"/>
              <w:keepLines w:val="0"/>
              <w:pageBreakBefore w:val="0"/>
              <w:kinsoku/>
              <w:wordWrap w:val="0"/>
              <w:overflowPunct/>
              <w:topLinePunct w:val="0"/>
              <w:bidi w:val="0"/>
              <w:snapToGrid w:val="0"/>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1</w:t>
            </w:r>
            <w:r>
              <w:rPr>
                <w:rFonts w:hint="eastAsia" w:ascii="新宋体" w:hAnsi="新宋体" w:eastAsia="新宋体" w:cs="新宋体"/>
                <w:color w:val="auto"/>
                <w:sz w:val="24"/>
                <w:szCs w:val="24"/>
                <w:lang w:val="en-US" w:eastAsia="zh-CN"/>
              </w:rPr>
              <w:t>6</w:t>
            </w:r>
            <w:r>
              <w:rPr>
                <w:rFonts w:hint="eastAsia" w:ascii="新宋体" w:hAnsi="新宋体" w:eastAsia="新宋体" w:cs="新宋体"/>
                <w:color w:val="auto"/>
                <w:sz w:val="24"/>
                <w:szCs w:val="24"/>
              </w:rPr>
              <w:t>、签订合同后供货前需提供厂家针对本项目的售后服务承诺函　</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193000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12</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新风系统</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★1、吊卧式，风量800m3/h，</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2、配粗效、中效、亚高效三级过滤器，更高洁净度，更长维护间隔时间；</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3、档调速风机，三项风机需选配调速组件；</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4、液晶墙面控制器；</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5、三速的自动/手动调节；</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sz w:val="24"/>
                <w:szCs w:val="24"/>
              </w:rPr>
              <w:t>6、可显示并设定温度，根据温度自动运行；</w:t>
            </w:r>
          </w:p>
          <w:p>
            <w:pPr>
              <w:keepNext w:val="0"/>
              <w:keepLines w:val="0"/>
              <w:pageBreakBefore w:val="0"/>
              <w:widowControl/>
              <w:kinsoku/>
              <w:wordWrap w:val="0"/>
              <w:overflowPunct/>
              <w:topLinePunct w:val="0"/>
              <w:bidi w:val="0"/>
              <w:snapToGrid w:val="0"/>
              <w:spacing w:line="360" w:lineRule="auto"/>
              <w:jc w:val="left"/>
              <w:textAlignment w:val="center"/>
              <w:rPr>
                <w:rFonts w:ascii="新宋体" w:hAnsi="新宋体" w:eastAsia="新宋体" w:cs="新宋体"/>
                <w:color w:val="auto"/>
                <w:kern w:val="0"/>
                <w:sz w:val="24"/>
                <w:szCs w:val="24"/>
              </w:rPr>
            </w:pPr>
            <w:r>
              <w:rPr>
                <w:rFonts w:hint="eastAsia" w:ascii="宋体" w:hAnsi="宋体" w:cs="宋体"/>
                <w:color w:val="auto"/>
                <w:sz w:val="24"/>
                <w:szCs w:val="24"/>
              </w:rPr>
              <w:t>7、应配置新风机所需的通风管；</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sz w:val="24"/>
                <w:szCs w:val="24"/>
              </w:rPr>
            </w:pPr>
            <w:r>
              <w:rPr>
                <w:rFonts w:hint="eastAsia" w:ascii="宋体" w:hAnsi="宋体" w:cs="宋体"/>
                <w:color w:val="auto"/>
                <w:kern w:val="0"/>
                <w:sz w:val="24"/>
                <w:szCs w:val="24"/>
                <w:lang w:bidi="ar"/>
              </w:rPr>
              <w:t>35000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99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b/>
                <w:bCs/>
                <w:color w:val="auto"/>
                <w:kern w:val="0"/>
                <w:sz w:val="24"/>
                <w:szCs w:val="24"/>
              </w:rPr>
              <w:t>三、综合布线部分</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网络线</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1箱</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宋体" w:hAnsi="宋体" w:cs="宋体"/>
                <w:color w:val="auto"/>
                <w:sz w:val="24"/>
                <w:szCs w:val="24"/>
              </w:rPr>
              <w:t>★</w:t>
            </w:r>
            <w:r>
              <w:rPr>
                <w:rFonts w:hint="eastAsia" w:ascii="新宋体" w:hAnsi="新宋体" w:eastAsia="新宋体" w:cs="新宋体"/>
                <w:color w:val="auto"/>
                <w:kern w:val="0"/>
                <w:sz w:val="24"/>
                <w:szCs w:val="24"/>
              </w:rPr>
              <w:t>六类双绞线</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1700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万兆光纤跳线</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10条</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根据需求定制LC-LC（3M～8M)</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1800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水晶头</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1盒</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100个</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500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跳线制作</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10条</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根据需求定制</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1400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网格桥架</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10米</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200mm*100mm</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4800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591" w:hRule="atLeast"/>
          <w:jc w:val="center"/>
        </w:trPr>
        <w:tc>
          <w:tcPr>
            <w:tcW w:w="99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b/>
                <w:bCs/>
                <w:color w:val="auto"/>
                <w:kern w:val="0"/>
                <w:sz w:val="24"/>
                <w:szCs w:val="24"/>
              </w:rPr>
              <w:t>四、动环监控系统</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电量监测仪</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★1、准确度相电压、电流、功率＜0.5%RD ；电能、线电压＜1.0%RD ；频率≤0.1%</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★2、输入量程电压5～120V/600V(最大600V) ；电流0～1A/5A(最大6A) ；吸收功耗每路电压＜  0.4VA(347V)/0.2VA(150V)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3、电量仪测量系统可选择三相四线/三相三线/一相二线/一相三线等5、过载能电压750V连续/1000V 10秒/1200V 3秒</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3000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电流互感器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额定输入：+A6:D6100A 额定输出：5A  精确等级：1   线性范围：≥1.1倍额定耐压：≥3KV 引线长度：1米</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420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供配电驱动模块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★1、系统要能对机房市电配电的状态进行监控。例如：三相相电压、相电流、线电压、线电流、有功、无功、视在功率、频率、功率因数、电度等。       </w:t>
            </w:r>
          </w:p>
          <w:p>
            <w:pPr>
              <w:keepNext w:val="0"/>
              <w:keepLines w:val="0"/>
              <w:pageBreakBefore w:val="0"/>
              <w:numPr>
                <w:ilvl w:val="0"/>
                <w:numId w:val="0"/>
              </w:numPr>
              <w:kinsoku/>
              <w:wordWrap w:val="0"/>
              <w:overflowPunct/>
              <w:topLinePunct w:val="0"/>
              <w:bidi w:val="0"/>
              <w:snapToGrid w:val="0"/>
              <w:spacing w:line="360" w:lineRule="auto"/>
              <w:jc w:val="left"/>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系统支持管理人员通过短信实时查询机房配电运行情况。</w:t>
            </w:r>
          </w:p>
          <w:p>
            <w:pPr>
              <w:keepNext w:val="0"/>
              <w:keepLines w:val="0"/>
              <w:pageBreakBefore w:val="0"/>
              <w:numPr>
                <w:ilvl w:val="0"/>
                <w:numId w:val="0"/>
              </w:numPr>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3、系统能够实现电压过高、过低，电流过大，频率不稳，缺相及空气开关温度过高等报警。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4、系统能够实现对配电开关的监控，实时反映配电开关的通断电状态，一旦跳闸或断电需自动报警。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5、系统可以生成机房配电系统报警报表，并可按需求查寻或打印。</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2500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通信转换模块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1、电源：DC+10V～DC+30V。          </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2、转换信号：RS232转RS485或RS485转RS232。                    </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3、传输速率：1200、2400、4800、9600、19200、38400、57600、115200bps自适应。                              </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4、数据指示：接收和发送指示灯。    </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5、传输距离：最远1200米。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lang w:bidi="ar"/>
              </w:rPr>
              <w:t>6、连续工作时长不小于5万小时。</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2400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UPS监测驱动模块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hint="eastAsia" w:ascii="宋体" w:hAnsi="宋体" w:cs="宋体"/>
                <w:color w:val="auto"/>
                <w:sz w:val="24"/>
                <w:szCs w:val="24"/>
              </w:rPr>
            </w:pPr>
            <w:r>
              <w:rPr>
                <w:rFonts w:hint="eastAsia" w:ascii="宋体" w:hAnsi="宋体" w:cs="宋体"/>
                <w:color w:val="auto"/>
                <w:sz w:val="24"/>
                <w:szCs w:val="24"/>
              </w:rPr>
              <w:t>★1、系统能对机房UPS各部件的运行状态进行监控。如：UPS的各开关、整流器、电池、逆变器、旁路及输出等各部分的状态。系统标明UPS电流流向，可看到负载的供电状况，是否受保护等。</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2、系统能对机房UPS各部件的参数状态进行监控，如：电压、电流、频率、功率、后备时间等；整流器与旁路的电压、电流参数；逆变器与电池的电压、电流及电池的后备时间、充电量，负载的电压、电流参数，并合理布局、形象显示。</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3、具体监测的内容和控制的项目与卖方提供的该型号通讯协议规定的内容相符。能够实时反映设备状态及故障信息，记录各种数据并绘制相关图表。</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4000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6</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空调监测驱动模块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★1、监视参数主要包括:送风温度、湿度；回风温度、湿度；房间温度、湿度；压缩机运行时间；风系统运行时间。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2、监视状态包括：压缩机、风机、冷凝器、加湿器、去湿器、加热器、传感器、控制器的运行状态、漏水监测状态。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3、可实现远程开、关空调，远程空调参数设定（包括短信控制、WEB控制）。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4、可根据温湿度监控数据联动空调开关。</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4000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7</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智能漏水控制器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1、报警是发出无电压触点信号，并产生声光报警。                         2、485通讯接口，模块可编址0-255。 3、在无放大条件下，简易双绞线串行RS485通信可达1200米。</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lang w:bidi="ar"/>
              </w:rPr>
              <w:t>4、方便的DIN导轨安装方式。</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800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8</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漏水感应线（含引出线、终止端、固定胶贴）</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1条</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漏水感应线采用两芯线设计，通用于任何基于短路原理的泄漏检测系统。可配套适用于ZGKON-LS系列不定位漏液控制器，以及国内外其他品牌的不定位泄漏检测系统（区域式检测系统）。线缆直径:6MM, 检测导线外阻:20欧姆/100m,线缆重量: 28g/米,线缆颜色（骨架）: 黄色 ,最大暴露温度:85℃</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700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9</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漏水监测驱动模块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1、系统能对机房可能的漏水区域实时监视，显示并记录其运行数据，支持现场仿真显示。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2、系统采用电子地图方式显示实际漏水检测绳的分布。      </w:t>
            </w:r>
          </w:p>
          <w:p>
            <w:pPr>
              <w:keepNext w:val="0"/>
              <w:keepLines w:val="0"/>
              <w:pageBreakBefore w:val="0"/>
              <w:kinsoku/>
              <w:wordWrap w:val="0"/>
              <w:overflowPunct/>
              <w:topLinePunct w:val="0"/>
              <w:bidi w:val="0"/>
              <w:snapToGrid w:val="0"/>
              <w:spacing w:line="360" w:lineRule="auto"/>
              <w:jc w:val="left"/>
              <w:rPr>
                <w:rFonts w:hint="eastAsia" w:ascii="宋体" w:hAnsi="宋体" w:cs="宋体"/>
                <w:color w:val="auto"/>
                <w:sz w:val="24"/>
                <w:szCs w:val="24"/>
              </w:rPr>
            </w:pPr>
            <w:r>
              <w:rPr>
                <w:rFonts w:hint="eastAsia" w:ascii="宋体" w:hAnsi="宋体" w:cs="宋体"/>
                <w:color w:val="auto"/>
                <w:sz w:val="24"/>
                <w:szCs w:val="24"/>
              </w:rPr>
              <w:t>3、根据预先的设定，系统可以对机房漏水设定自动报警方案。</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4、系统支持通过短信实时查询机房漏水状况。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5、一旦检测到漏水，系统可以显示其实际漏水位置，并在电子地图上形象显示具体漏水位置，同时将漏水位置数值以短信的方式发送给管理人员。</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2500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10</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温湿度传感器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1、供电电源：12VDC                 </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2、电流：＜30mA。                  3、显示：60×42（mm）LED屏显示测量值。                               </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sz w:val="24"/>
                <w:szCs w:val="24"/>
              </w:rPr>
              <w:t>★</w:t>
            </w:r>
            <w:r>
              <w:rPr>
                <w:rFonts w:hint="eastAsia" w:ascii="宋体" w:hAnsi="宋体" w:cs="宋体"/>
                <w:color w:val="auto"/>
                <w:kern w:val="0"/>
                <w:sz w:val="24"/>
                <w:szCs w:val="24"/>
                <w:lang w:bidi="ar"/>
              </w:rPr>
              <w:t xml:space="preserve">4、测温范围：-10-50℃；测量精度：±0.1℃；                          </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5、测湿范围：0～100％RH，测量精度：±0.1%RH </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6、输出信号：RS485或者干接点可选。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lang w:bidi="ar"/>
              </w:rPr>
              <w:t>7、可支持现场设定报警值，报警时模块本身也可发出报警信号。</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1700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11</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温湿度监控驱动模块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★1、系统能对机房温湿度实时监视，显示并记录其运行数据。系统支持机房电子地图加载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★2、根据预先的设定，系统可以对机房温湿度参数和状态异常设定自动报警。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3、系统可以将机房温湿度数据生成报警报表，并可按需求查询或打印。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4、系统可以对机房温湿度参数进行历史曲线记录，并可随时查看任意一天的曲线记录。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5、监控系统支持通过短信实时查询机房各监测点的温度和湿度情况。</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2500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12</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消防监控驱动模块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sz w:val="24"/>
                <w:szCs w:val="24"/>
              </w:rPr>
              <w:t>★</w:t>
            </w:r>
            <w:r>
              <w:rPr>
                <w:rFonts w:hint="eastAsia" w:ascii="宋体" w:hAnsi="宋体" w:cs="宋体"/>
                <w:color w:val="auto"/>
                <w:kern w:val="0"/>
                <w:sz w:val="24"/>
                <w:szCs w:val="24"/>
                <w:lang w:bidi="ar"/>
              </w:rPr>
              <w:t xml:space="preserve">1、消防监控子系统主要利用消防控制箱给出的报警信号，通过开关量数据采集模块，将消防控制器上的干接点变化信号送到监控主机，实时监测机房内的火灾情况和及时告警。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lang w:bidi="ar"/>
              </w:rPr>
              <w:t>2、本子系统发生报警时可根据需要发出报警提示，联动门禁系统打开相应逃生通道，让工作人员迅速撤离灾害现场，并可启动综合排烟系统。</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13</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硬盘 (监控级)</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w:t>
            </w:r>
            <w:r>
              <w:rPr>
                <w:rFonts w:hint="eastAsia" w:ascii="宋体" w:hAnsi="宋体" w:cs="宋体"/>
                <w:color w:val="auto"/>
                <w:kern w:val="0"/>
                <w:sz w:val="24"/>
                <w:szCs w:val="24"/>
              </w:rPr>
              <w:t>规格：监控级硬盘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接口类型:SATA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容量:6TB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缓存:256M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转速:7200</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5000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14</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500万星光级半球网络摄像机（POE)</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★500万星光级1/2.7”CMOS ICR日夜型半球网络摄像机，20~30米最远红外，H.265/Smart265编码，支持智能报警，支持PoE</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3060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15</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硬盘录像机NVR(POE）</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hint="eastAsia" w:ascii="宋体" w:hAnsi="宋体" w:cs="宋体"/>
                <w:color w:val="auto"/>
                <w:sz w:val="24"/>
                <w:szCs w:val="24"/>
              </w:rPr>
            </w:pPr>
            <w:r>
              <w:rPr>
                <w:rFonts w:hint="eastAsia" w:ascii="宋体" w:hAnsi="宋体" w:cs="宋体"/>
                <w:color w:val="auto"/>
                <w:sz w:val="24"/>
                <w:szCs w:val="24"/>
              </w:rPr>
              <w:t>1、支持40M//60M/80M网络接入带宽，支持最大500W像素接入。</w:t>
            </w:r>
          </w:p>
          <w:p>
            <w:pPr>
              <w:keepNext w:val="0"/>
              <w:keepLines w:val="0"/>
              <w:pageBreakBefore w:val="0"/>
              <w:widowControl/>
              <w:kinsoku/>
              <w:wordWrap w:val="0"/>
              <w:overflowPunct/>
              <w:topLinePunct w:val="0"/>
              <w:bidi w:val="0"/>
              <w:snapToGrid w:val="0"/>
              <w:spacing w:line="360" w:lineRule="auto"/>
              <w:jc w:val="left"/>
              <w:rPr>
                <w:rFonts w:hint="eastAsia" w:ascii="宋体" w:hAnsi="宋体" w:cs="宋体"/>
                <w:color w:val="auto"/>
                <w:sz w:val="24"/>
                <w:szCs w:val="24"/>
              </w:rPr>
            </w:pPr>
            <w:r>
              <w:rPr>
                <w:rFonts w:hint="eastAsia" w:ascii="宋体" w:hAnsi="宋体" w:cs="宋体"/>
                <w:color w:val="auto"/>
                <w:sz w:val="24"/>
                <w:szCs w:val="24"/>
              </w:rPr>
              <w:t>★2、支持HDMI接口4K高清输出，支持H.265摄像机接入。</w:t>
            </w:r>
          </w:p>
          <w:p>
            <w:pPr>
              <w:keepNext w:val="0"/>
              <w:keepLines w:val="0"/>
              <w:pageBreakBefore w:val="0"/>
              <w:widowControl/>
              <w:kinsoku/>
              <w:wordWrap w:val="0"/>
              <w:overflowPunct/>
              <w:topLinePunct w:val="0"/>
              <w:bidi w:val="0"/>
              <w:snapToGrid w:val="0"/>
              <w:spacing w:line="360" w:lineRule="auto"/>
              <w:jc w:val="left"/>
              <w:rPr>
                <w:rFonts w:hint="eastAsia" w:ascii="宋体" w:hAnsi="宋体" w:cs="宋体"/>
                <w:color w:val="auto"/>
                <w:sz w:val="24"/>
                <w:szCs w:val="24"/>
              </w:rPr>
            </w:pPr>
            <w:r>
              <w:rPr>
                <w:rFonts w:hint="eastAsia" w:ascii="宋体" w:hAnsi="宋体" w:cs="宋体"/>
                <w:color w:val="auto"/>
                <w:sz w:val="24"/>
                <w:szCs w:val="24"/>
              </w:rPr>
              <w:t>3、支持1SATA。</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4、支持萤石云服务，设备默认自带4个POE网口。</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2500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16</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视频监控驱动模块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numPr>
                <w:ilvl w:val="0"/>
                <w:numId w:val="3"/>
              </w:numPr>
              <w:kinsoku/>
              <w:wordWrap w:val="0"/>
              <w:overflowPunct/>
              <w:topLinePunct w:val="0"/>
              <w:bidi w:val="0"/>
              <w:snapToGrid w:val="0"/>
              <w:spacing w:line="360" w:lineRule="auto"/>
              <w:jc w:val="left"/>
              <w:rPr>
                <w:rFonts w:hint="eastAsia" w:ascii="宋体" w:hAnsi="宋体" w:cs="宋体"/>
                <w:color w:val="auto"/>
                <w:sz w:val="24"/>
                <w:szCs w:val="24"/>
              </w:rPr>
            </w:pPr>
            <w:r>
              <w:rPr>
                <w:rFonts w:hint="eastAsia" w:ascii="宋体" w:hAnsi="宋体" w:cs="宋体"/>
                <w:color w:val="auto"/>
                <w:sz w:val="24"/>
                <w:szCs w:val="24"/>
              </w:rPr>
              <w:t>平台软件视频控件完全集成海康、大华主流视频服务器。</w:t>
            </w:r>
          </w:p>
          <w:p>
            <w:pPr>
              <w:keepNext w:val="0"/>
              <w:keepLines w:val="0"/>
              <w:pageBreakBefore w:val="0"/>
              <w:numPr>
                <w:ilvl w:val="0"/>
                <w:numId w:val="0"/>
              </w:numPr>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★2、可以在视频画面上直接进行球机转动、拉伸镜头及调焦控制。           3、具有红外检测系统和其他系统联动功能，一旦门禁系统、红外检测系统和其他检测系统发现异常，应自动转动球机，进行录像处理。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4、具有红外检测系统和其他系统联动功能，一旦门禁系统、红外检测系统和其他检测系统发现异常，应自动转动球机，进行录像处理。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5、应在一体化的集成监控系统中进行录像查询、浏览录像视频。             ★6、可通过IE浏览器全面监视机房实时情况，远程应能在统一平台下观看任意视频分组、进行球机转动、拉伸等控制，并进行录像浏览，操作界面应与监控主机完全一致。</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3000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17</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单门指纹门禁一体机</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产品类型：指纹门禁一体机           验证方式：指纹                    存储容量：指纹容量：3000 记录容量：100000 卡容量：5000（选配）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lang w:bidi="ar"/>
              </w:rPr>
              <w:t xml:space="preserve">语音功能：喇叭                     门禁功能：有线门铃设置，自带门铃大按键，有线门铃设置，自带门铃大按键，门铃按键带背光，可做指示灯。       其他功能：支持U盘功能             显示屏：2.4寸彩屏                  键盘按键：微动开关按键             通讯方式：TCP/IP，RS485 </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3000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18</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IC门禁系统发卡器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1. 支持卡类：支持Mifare标准，</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2. 频率：13.56MHz兼容卡 通信格式：</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3. 扩展键盘码（可根据客户要求定制）</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4. 读卡距离：大于70mm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5. 读卡时间：小于100ms 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6. 供电方式：USB取电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7. 输出接口：高速USB </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300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19</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双门双控电磁锁</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1把</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拉力类型：不小于280kg               工作电压：12VDC， 工作电流：380-430mA， 工作方式：通电/断电上锁      安装方式：埋入式/挂装式 附加功能：带指示灯/带延时/带反馈  适用于双门</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1500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20</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开关电源</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输入电压：AC185-240V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输出电流：5A</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输出电压：12V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功率：60W</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电流类型：直流</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输入频率：50-60Hz</w:t>
            </w:r>
          </w:p>
          <w:p>
            <w:pPr>
              <w:keepNext w:val="0"/>
              <w:keepLines w:val="0"/>
              <w:pageBreakBefore w:val="0"/>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工作环境：20%~93%</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300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21</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IC感应卡</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20张</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IC卡</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22</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触控出门按钮</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电气性能：3A@12VDC                 适用温度：-20---50摄氏度           输入电压：DC12V                   适用湿度：0-95%（相对湿度）工作电流：50MA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适用类型：适用宅门框或墙面直接安装接点输出：NO/NC/COM接点  </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耐用测试：五十万次老化合格</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220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23</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门禁管理驱动模块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numPr>
                <w:ilvl w:val="0"/>
                <w:numId w:val="4"/>
              </w:numPr>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将门禁系统完整集成到监控系统中。2、应选用具有防潜返，双门互锁，多卡开门等功能的产品。                 3、在集中监控系统中提供人员权限设置、开门/关门，及人员进出记录及查询、卡片增发、卡片管理。</w:t>
            </w:r>
          </w:p>
          <w:p>
            <w:pPr>
              <w:keepNext w:val="0"/>
              <w:keepLines w:val="0"/>
              <w:pageBreakBefore w:val="0"/>
              <w:widowControl/>
              <w:numPr>
                <w:ilvl w:val="0"/>
                <w:numId w:val="5"/>
              </w:numPr>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根据预先的设定，系统可以对门禁人员进出进行实时显示并记录，并提供考勤功能。                           5、如果门禁出现异常，应通过电话短信方式报告给设定的管理人员，便于尽快处理。</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6、可通过软件实现远程开关门区。</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2500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24</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工业级监控服务器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sz w:val="24"/>
                <w:szCs w:val="24"/>
              </w:rPr>
              <w:t>★</w:t>
            </w:r>
            <w:r>
              <w:rPr>
                <w:rFonts w:hint="eastAsia" w:ascii="宋体" w:hAnsi="宋体" w:cs="宋体"/>
                <w:color w:val="auto"/>
                <w:sz w:val="24"/>
                <w:szCs w:val="24"/>
                <w:lang w:val="en-US" w:eastAsia="zh-CN"/>
              </w:rPr>
              <w:t>1、</w:t>
            </w:r>
            <w:r>
              <w:rPr>
                <w:rFonts w:hint="eastAsia" w:ascii="宋体" w:hAnsi="宋体" w:cs="宋体"/>
                <w:color w:val="auto"/>
                <w:kern w:val="0"/>
                <w:sz w:val="24"/>
                <w:szCs w:val="24"/>
                <w:lang w:bidi="ar"/>
              </w:rPr>
              <w:t>4U、19″标准上架IPC-820整机/EC0-1816V2NA(B)-6COM/I5-2400/4G内存/500G硬盘/ATX 250W电源/带DVD-ROM光驱/带键盘及鼠标，除主板自带外露接口外，还引出4个COM(主板自带2个，共引出6个COM)、6个USB（前2后4） 、1个LPT。(主板自带5个PCI、1个PCI-E*1（PCI-E*4插槽)、1个PCI-E*16扩展槽位,支持VGA+DVI-D显示功能；支持PCIe X16、PCIe X1, PCI总线扩展，机箱：整体黑色，前面板工业造型美观、质感；前面板带LCD 屏，进行温度实时监控、电源硬盘运行状态显示</w:t>
            </w:r>
          </w:p>
          <w:p>
            <w:pPr>
              <w:keepNext w:val="0"/>
              <w:keepLines w:val="0"/>
              <w:pageBreakBefore w:val="0"/>
              <w:widowControl/>
              <w:kinsoku/>
              <w:wordWrap w:val="0"/>
              <w:overflowPunct/>
              <w:topLinePunct w:val="0"/>
              <w:bidi w:val="0"/>
              <w:snapToGrid w:val="0"/>
              <w:spacing w:line="360" w:lineRule="auto"/>
              <w:jc w:val="left"/>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bidi="ar"/>
              </w:rPr>
              <w:t>兼容性：可加装有导轨和助拔装置，兼容公司EPE新主板</w:t>
            </w:r>
            <w:r>
              <w:rPr>
                <w:rFonts w:hint="eastAsia" w:ascii="宋体" w:hAnsi="宋体" w:cs="宋体"/>
                <w:color w:val="auto"/>
                <w:kern w:val="0"/>
                <w:sz w:val="24"/>
                <w:szCs w:val="24"/>
                <w:lang w:eastAsia="zh-CN" w:bidi="ar"/>
              </w:rPr>
              <w:t>。</w:t>
            </w:r>
          </w:p>
          <w:p>
            <w:pPr>
              <w:keepNext w:val="0"/>
              <w:keepLines w:val="0"/>
              <w:pageBreakBefore w:val="0"/>
              <w:widowControl/>
              <w:numPr>
                <w:ilvl w:val="0"/>
                <w:numId w:val="4"/>
              </w:numPr>
              <w:kinsoku/>
              <w:wordWrap w:val="0"/>
              <w:overflowPunct/>
              <w:topLinePunct w:val="0"/>
              <w:bidi w:val="0"/>
              <w:snapToGrid w:val="0"/>
              <w:spacing w:line="360" w:lineRule="auto"/>
              <w:ind w:left="0" w:leftChars="0" w:firstLine="0" w:firstLineChars="0"/>
              <w:jc w:val="left"/>
              <w:textAlignment w:val="center"/>
              <w:rPr>
                <w:rFonts w:hint="eastAsia" w:ascii="宋体" w:hAnsi="宋体" w:cs="宋体"/>
                <w:color w:val="auto"/>
                <w:kern w:val="0"/>
                <w:sz w:val="24"/>
                <w:szCs w:val="24"/>
                <w:lang w:val="en-US" w:eastAsia="zh-CN" w:bidi="ar"/>
              </w:rPr>
            </w:pPr>
            <w:r>
              <w:rPr>
                <w:rFonts w:hint="eastAsia" w:ascii="宋体" w:hAnsi="宋体" w:cs="宋体"/>
                <w:color w:val="auto"/>
                <w:kern w:val="0"/>
                <w:sz w:val="24"/>
                <w:szCs w:val="24"/>
                <w:lang w:bidi="ar"/>
              </w:rPr>
              <w:t>整机加强：机箱两侧压有加强筋，很大程度上提高了机箱强度</w:t>
            </w:r>
            <w:r>
              <w:rPr>
                <w:rFonts w:hint="eastAsia" w:ascii="宋体" w:hAnsi="宋体" w:cs="宋体"/>
                <w:color w:val="auto"/>
                <w:kern w:val="0"/>
                <w:sz w:val="24"/>
                <w:szCs w:val="24"/>
                <w:lang w:val="en-US" w:eastAsia="zh-CN" w:bidi="ar"/>
              </w:rPr>
              <w:t>；</w:t>
            </w:r>
          </w:p>
          <w:p>
            <w:pPr>
              <w:keepNext w:val="0"/>
              <w:keepLines w:val="0"/>
              <w:pageBreakBefore w:val="0"/>
              <w:widowControl/>
              <w:numPr>
                <w:ilvl w:val="0"/>
                <w:numId w:val="0"/>
              </w:numPr>
              <w:kinsoku/>
              <w:wordWrap w:val="0"/>
              <w:overflowPunct/>
              <w:topLinePunct w:val="0"/>
              <w:bidi w:val="0"/>
              <w:snapToGrid w:val="0"/>
              <w:spacing w:line="360" w:lineRule="auto"/>
              <w:ind w:leftChars="0"/>
              <w:jc w:val="left"/>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val="en-US" w:eastAsia="zh-CN" w:bidi="ar"/>
              </w:rPr>
              <w:t>3、</w:t>
            </w:r>
            <w:r>
              <w:rPr>
                <w:rFonts w:hint="eastAsia" w:ascii="宋体" w:hAnsi="宋体" w:cs="宋体"/>
                <w:color w:val="auto"/>
                <w:kern w:val="0"/>
                <w:sz w:val="24"/>
                <w:szCs w:val="24"/>
                <w:lang w:bidi="ar"/>
              </w:rPr>
              <w:t>开盖方便：箱盖后部开有握手位，方便箱盖抽拉</w:t>
            </w:r>
            <w:r>
              <w:rPr>
                <w:rFonts w:hint="eastAsia" w:ascii="宋体" w:hAnsi="宋体" w:cs="宋体"/>
                <w:color w:val="auto"/>
                <w:kern w:val="0"/>
                <w:sz w:val="24"/>
                <w:szCs w:val="24"/>
                <w:lang w:eastAsia="zh-CN" w:bidi="ar"/>
              </w:rPr>
              <w:t>；</w:t>
            </w:r>
          </w:p>
          <w:p>
            <w:pPr>
              <w:keepNext w:val="0"/>
              <w:keepLines w:val="0"/>
              <w:pageBreakBefore w:val="0"/>
              <w:widowControl/>
              <w:kinsoku/>
              <w:wordWrap w:val="0"/>
              <w:overflowPunct/>
              <w:topLinePunct w:val="0"/>
              <w:bidi w:val="0"/>
              <w:snapToGrid w:val="0"/>
              <w:spacing w:line="360" w:lineRule="auto"/>
              <w:jc w:val="left"/>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val="en-US" w:eastAsia="zh-CN" w:bidi="ar"/>
              </w:rPr>
              <w:t>4、</w:t>
            </w:r>
            <w:r>
              <w:rPr>
                <w:rFonts w:hint="eastAsia" w:ascii="宋体" w:hAnsi="宋体" w:cs="宋体"/>
                <w:color w:val="auto"/>
                <w:kern w:val="0"/>
                <w:sz w:val="24"/>
                <w:szCs w:val="24"/>
                <w:lang w:bidi="ar"/>
              </w:rPr>
              <w:t>方便防尘网的更换：防尘网框抽拉部位结构设计有导轨，方便抽拉更换防尘网</w:t>
            </w:r>
            <w:r>
              <w:rPr>
                <w:rFonts w:hint="eastAsia" w:ascii="宋体" w:hAnsi="宋体" w:cs="宋体"/>
                <w:color w:val="auto"/>
                <w:kern w:val="0"/>
                <w:sz w:val="24"/>
                <w:szCs w:val="24"/>
                <w:lang w:eastAsia="zh-CN" w:bidi="ar"/>
              </w:rPr>
              <w:t>；</w:t>
            </w:r>
          </w:p>
          <w:p>
            <w:pPr>
              <w:keepNext w:val="0"/>
              <w:keepLines w:val="0"/>
              <w:pageBreakBefore w:val="0"/>
              <w:widowControl/>
              <w:kinsoku/>
              <w:wordWrap w:val="0"/>
              <w:overflowPunct/>
              <w:topLinePunct w:val="0"/>
              <w:bidi w:val="0"/>
              <w:snapToGrid w:val="0"/>
              <w:spacing w:line="360" w:lineRule="auto"/>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bidi="ar"/>
              </w:rPr>
              <w:t>5、</w:t>
            </w:r>
            <w:r>
              <w:rPr>
                <w:rFonts w:hint="eastAsia" w:ascii="宋体" w:hAnsi="宋体" w:cs="宋体"/>
                <w:color w:val="auto"/>
                <w:kern w:val="0"/>
                <w:sz w:val="24"/>
                <w:szCs w:val="24"/>
                <w:lang w:bidi="ar"/>
              </w:rPr>
              <w:t>EMC：光驱部位折边设计，与机箱紧密贴合，抗幅射能力加强</w:t>
            </w:r>
            <w:r>
              <w:rPr>
                <w:rFonts w:hint="eastAsia" w:ascii="宋体" w:hAnsi="宋体" w:cs="宋体"/>
                <w:color w:val="auto"/>
                <w:kern w:val="0"/>
                <w:sz w:val="24"/>
                <w:szCs w:val="24"/>
                <w:lang w:eastAsia="zh-CN" w:bidi="ar"/>
              </w:rPr>
              <w:t>。</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21000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25</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一体化工业主机</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1个10M/100M自适应网口，内嵌1.5KV电磁隔离；4个RS232/485/422串口，RJ45接口，每个串口带有15KVESD保护；4路DI，4路DO，2路12V电源输出；端口支持12V@1A  POE供电；2路AC220V冗余电源供电，1U机架式。</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5000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26</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液晶显示器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1、面板类型：TN面板</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2、面板尺寸：21.5英寸</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3、屏幕比例：16：9</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4、最佳分辨率；1920 x 1080</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5、亮度: 250cd/m2</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6、对比度: 1000000：1</w:t>
            </w:r>
          </w:p>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7、可视角度: 170°/160°(CR&gt;10)</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2500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27</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电话语音报警系统（含语音卡）</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★当报警事件发生时，系统将通过电话拨号方式，自动拨打已设置好的多组值班电话，包括固定电话和移动电话，以便及时的通知值班人员，从而在根本上实现了机房无人值守，科学管理。</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5000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28</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短信系统(含短信MODEM)</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宋体" w:hAnsi="宋体" w:cs="宋体"/>
                <w:color w:val="auto"/>
                <w:kern w:val="0"/>
                <w:sz w:val="24"/>
                <w:szCs w:val="24"/>
              </w:rPr>
            </w:pPr>
            <w:r>
              <w:rPr>
                <w:rFonts w:hint="eastAsia" w:ascii="宋体" w:hAnsi="宋体" w:cs="宋体"/>
                <w:color w:val="auto"/>
                <w:sz w:val="24"/>
                <w:szCs w:val="24"/>
              </w:rPr>
              <w:t>★可以根据重要级别将同时发生的报警排序处理，并可以将不同的报警内容选择设定为短信报警。</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4200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29</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集中监控系统平台软件</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1套</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★1、支持监控精密空调、温湿度、水泄漏、门禁、视频、门禁、防雷、消防等,完全集成中控系列门禁控制器，海康、大华、天地伟业视频监控系统。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★2、 全中文界面，3D视觉电子地图，统一界面，不得外挂附加于系统的单一视频窗口、门禁管理窗口和报表窗口。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3、具有完善的权限管理功能，可定义每个现场及Web用户查看不同页面、不同设备数据和具有不同功能权限。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4、预留网络管理功能，可在同一软件，同一窗口实现网络拓扑的自动生成和网络设备的监控。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5、系统可实现所有数据远程短信查询与短信控制，达到良好的短信互动功能。 6、系统可实现短信、电话方式的远程布放和撤防功能。</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 xml:space="preserve">7、系统所有监测子系统可以生成系统报警报表，并可按需求查寻或打印。     8、★门禁系统、系统软件完全集成中控系列门禁主机，集成软件可完成门禁卡片管理、时区管理、门区管理、人员管理、远程控制；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9、★平台软件视频控件完全集成海康、大华、天地伟业主流视频服务器。</w:t>
            </w:r>
          </w:p>
          <w:p>
            <w:pPr>
              <w:spacing w:line="460" w:lineRule="exact"/>
              <w:rPr>
                <w:rFonts w:hint="eastAsia" w:ascii="宋体" w:hAnsi="宋体" w:eastAsia="宋体" w:cs="宋体"/>
                <w:color w:val="auto"/>
                <w:kern w:val="0"/>
                <w:sz w:val="24"/>
                <w:szCs w:val="24"/>
                <w:lang w:eastAsia="zh-CN"/>
              </w:rPr>
            </w:pPr>
            <w:r>
              <w:rPr>
                <w:rFonts w:hint="eastAsia" w:ascii="宋体" w:hAnsi="宋体" w:cs="宋体"/>
                <w:color w:val="auto"/>
                <w:sz w:val="24"/>
                <w:szCs w:val="24"/>
              </w:rPr>
              <w:t>10、动环软件需支持IT资产管理监测功能</w:t>
            </w:r>
            <w:r>
              <w:rPr>
                <w:rFonts w:hint="eastAsia" w:ascii="宋体" w:hAnsi="宋体" w:cs="宋体"/>
                <w:color w:val="auto"/>
                <w:sz w:val="24"/>
                <w:szCs w:val="24"/>
                <w:lang w:eastAsia="zh-CN"/>
              </w:rPr>
              <w:t>，提供</w:t>
            </w:r>
            <w:r>
              <w:rPr>
                <w:rFonts w:hint="eastAsia" w:ascii="宋体" w:hAnsi="宋体"/>
                <w:color w:val="auto"/>
                <w:sz w:val="24"/>
              </w:rPr>
              <w:t>CSTC软件产品登记测试报告</w:t>
            </w:r>
            <w:r>
              <w:rPr>
                <w:rFonts w:hint="eastAsia" w:ascii="宋体" w:hAnsi="宋体"/>
                <w:color w:val="auto"/>
                <w:sz w:val="24"/>
                <w:lang w:eastAsia="zh-CN"/>
              </w:rPr>
              <w:t>或其它证明材料。</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29780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99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b/>
                <w:bCs/>
                <w:color w:val="auto"/>
                <w:kern w:val="0"/>
                <w:sz w:val="24"/>
                <w:szCs w:val="24"/>
              </w:rPr>
              <w:t>五、气体消防系统</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柜式七氟丙烷灭火装置</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1.GQQ70/2.5</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2.贮存压力4.2MPa；最大工作压力5.3MPa；最小工作压力3.6MPa；</w:t>
            </w:r>
          </w:p>
          <w:p>
            <w:pPr>
              <w:keepNext w:val="0"/>
              <w:keepLines w:val="0"/>
              <w:pageBreakBefore w:val="0"/>
              <w:widowControl/>
              <w:kinsoku/>
              <w:wordWrap w:val="0"/>
              <w:overflowPunct/>
              <w:topLinePunct w:val="0"/>
              <w:bidi w:val="0"/>
              <w:snapToGrid w:val="0"/>
              <w:spacing w:line="360" w:lineRule="auto"/>
              <w:jc w:val="left"/>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3.泄压装置动作压力7.2MPa；</w:t>
            </w:r>
          </w:p>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kern w:val="0"/>
                <w:sz w:val="24"/>
                <w:szCs w:val="24"/>
              </w:rPr>
            </w:pPr>
            <w:r>
              <w:rPr>
                <w:rFonts w:hint="eastAsia" w:ascii="宋体" w:hAnsi="宋体" w:cs="宋体"/>
                <w:color w:val="auto"/>
                <w:kern w:val="0"/>
                <w:sz w:val="24"/>
                <w:szCs w:val="24"/>
                <w:lang w:bidi="ar"/>
              </w:rPr>
              <w:t>4.最大充装密度950(kg/m3)。</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9300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赛福 七氟丙烷灭火药剂HFC-227ea</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70KG</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1.HFC-227ea</w:t>
            </w:r>
          </w:p>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宋体" w:hAnsi="宋体" w:cs="宋体"/>
                <w:color w:val="auto"/>
                <w:sz w:val="24"/>
                <w:szCs w:val="24"/>
              </w:rPr>
              <w:t>★2.纯度≧99.6，酸度≦1*10-4，水分≦10*10-4，蒸发残渣≦0.01，灭火浓度6.7±0.2</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7700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自动感应泄压口</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SHXYK-0.12J</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1400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气体灭火控制器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★1.可带2个区的气体灭火设备；</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2.工作电压：交流AC220V50/60Hz，允许电压变化范围AC176V～AC264V；</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★3.壁挂式/带打印；</w:t>
            </w:r>
          </w:p>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宋体" w:hAnsi="宋体" w:cs="宋体"/>
                <w:color w:val="auto"/>
                <w:sz w:val="24"/>
                <w:szCs w:val="24"/>
              </w:rPr>
              <w:t>4.2个总线制回路，每个回路255个编码点。</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8000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感温探测器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★1.信号总线电压：总线24V   允许范围：16V～28V；</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2.动作温度：56℃～66℃(出厂设置为56℃)；</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3.报警确认灯：红色，巡检时闪烁，报警时常亮；</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4.外壳防护等级：IP33；</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5.执行标准：GB4716-2005《点型感温火灾探测器》；</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6.线制：两总线，无极性；</w:t>
            </w:r>
          </w:p>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kern w:val="0"/>
                <w:sz w:val="24"/>
                <w:szCs w:val="24"/>
              </w:rPr>
            </w:pPr>
            <w:r>
              <w:rPr>
                <w:rFonts w:hint="eastAsia" w:ascii="宋体" w:hAnsi="宋体" w:cs="宋体"/>
                <w:color w:val="auto"/>
                <w:sz w:val="24"/>
                <w:szCs w:val="24"/>
              </w:rPr>
              <w:t>7.总线长度：≤2000m。</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300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6</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感烟探测器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★1.信号总线电压：总线24V   允许范围：16V～28V；</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2.编码方式：电子编码（编码范围为1～255）</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3.报警确认灯：红色，巡检时闪烁，报警时常亮；</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4.外壳防护等级：IP23；</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5.执行标准：《火灾自动报警系统设计规范》（GB 50116-2013）；</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6.线制：两总线，无极性；</w:t>
            </w:r>
          </w:p>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kern w:val="0"/>
                <w:sz w:val="24"/>
                <w:szCs w:val="24"/>
              </w:rPr>
            </w:pPr>
            <w:r>
              <w:rPr>
                <w:rFonts w:hint="eastAsia" w:ascii="宋体" w:hAnsi="宋体" w:cs="宋体"/>
                <w:color w:val="auto"/>
                <w:sz w:val="24"/>
                <w:szCs w:val="24"/>
              </w:rPr>
              <w:t>7.总线长度：≤2000m。</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300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7</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火灾声光报警器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1.工作电压：信号总线电压：总线24V；允许范围： 16V～28V</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2.电源总线电压：DC24V；允许范围：DC19V～DC28V</w:t>
            </w:r>
          </w:p>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kern w:val="0"/>
                <w:sz w:val="24"/>
                <w:szCs w:val="24"/>
              </w:rPr>
            </w:pPr>
            <w:r>
              <w:rPr>
                <w:rFonts w:hint="eastAsia" w:ascii="宋体" w:hAnsi="宋体" w:cs="宋体"/>
                <w:color w:val="auto"/>
                <w:sz w:val="24"/>
                <w:szCs w:val="24"/>
              </w:rPr>
              <w:t>3.执行标准：GB 26851—2011</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2000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8</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紧急启动按钮</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1.适用温度：-10℃～50℃；</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2.湿度：&lt; 95%RH(不凝露) ；</w:t>
            </w:r>
          </w:p>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kern w:val="0"/>
                <w:sz w:val="24"/>
                <w:szCs w:val="24"/>
              </w:rPr>
            </w:pPr>
            <w:r>
              <w:rPr>
                <w:rFonts w:hint="eastAsia" w:ascii="宋体" w:hAnsi="宋体" w:cs="宋体"/>
                <w:color w:val="auto"/>
                <w:sz w:val="24"/>
                <w:szCs w:val="24"/>
              </w:rPr>
              <w:t>3.工作电压：DC16～32V。</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1000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9</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气体释放灯</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1只</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1.适用温度：-10℃～50℃；</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2.湿度：＜95%RH(不凝露) ；</w:t>
            </w:r>
          </w:p>
          <w:p>
            <w:pPr>
              <w:keepNext w:val="0"/>
              <w:keepLines w:val="0"/>
              <w:pageBreakBefore w:val="0"/>
              <w:kinsoku/>
              <w:wordWrap w:val="0"/>
              <w:overflowPunct/>
              <w:topLinePunct w:val="0"/>
              <w:bidi w:val="0"/>
              <w:snapToGrid w:val="0"/>
              <w:spacing w:line="360" w:lineRule="auto"/>
              <w:jc w:val="left"/>
              <w:rPr>
                <w:rFonts w:ascii="宋体" w:hAnsi="宋体" w:cs="宋体"/>
                <w:color w:val="auto"/>
                <w:sz w:val="24"/>
                <w:szCs w:val="24"/>
              </w:rPr>
            </w:pPr>
            <w:r>
              <w:rPr>
                <w:rFonts w:hint="eastAsia" w:ascii="宋体" w:hAnsi="宋体" w:cs="宋体"/>
                <w:color w:val="auto"/>
                <w:sz w:val="24"/>
                <w:szCs w:val="24"/>
              </w:rPr>
              <w:t>3.工作电压：DC22～28V；</w:t>
            </w:r>
          </w:p>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kern w:val="0"/>
                <w:sz w:val="24"/>
                <w:szCs w:val="24"/>
              </w:rPr>
            </w:pPr>
            <w:r>
              <w:rPr>
                <w:rFonts w:hint="eastAsia" w:ascii="宋体" w:hAnsi="宋体" w:cs="宋体"/>
                <w:color w:val="auto"/>
                <w:sz w:val="24"/>
                <w:szCs w:val="24"/>
              </w:rPr>
              <w:t>4.工作电流：＜280mA。</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宋体" w:hAnsi="宋体" w:cs="宋体"/>
                <w:color w:val="auto"/>
                <w:sz w:val="24"/>
                <w:szCs w:val="24"/>
              </w:rPr>
            </w:pPr>
            <w:r>
              <w:rPr>
                <w:rFonts w:hint="eastAsia" w:ascii="宋体" w:hAnsi="宋体" w:cs="宋体"/>
                <w:color w:val="auto"/>
                <w:sz w:val="24"/>
                <w:szCs w:val="24"/>
              </w:rPr>
              <w:t>600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721" w:hRule="atLeast"/>
          <w:jc w:val="center"/>
        </w:trPr>
        <w:tc>
          <w:tcPr>
            <w:tcW w:w="99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rPr>
                <w:rFonts w:ascii="新宋体" w:hAnsi="新宋体" w:eastAsia="新宋体" w:cs="新宋体"/>
                <w:color w:val="auto"/>
                <w:kern w:val="0"/>
                <w:sz w:val="24"/>
                <w:szCs w:val="24"/>
              </w:rPr>
            </w:pPr>
            <w:r>
              <w:rPr>
                <w:rFonts w:hint="eastAsia" w:ascii="新宋体" w:hAnsi="新宋体" w:eastAsia="新宋体" w:cs="新宋体"/>
                <w:b/>
                <w:bCs/>
                <w:color w:val="auto"/>
                <w:kern w:val="0"/>
                <w:sz w:val="24"/>
                <w:szCs w:val="24"/>
              </w:rPr>
              <w:t>六、备份服务器</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服务器</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w:t>
            </w:r>
            <w:r>
              <w:rPr>
                <w:rFonts w:hint="eastAsia" w:ascii="新宋体" w:hAnsi="新宋体" w:eastAsia="新宋体" w:cs="新宋体"/>
                <w:color w:val="auto"/>
                <w:kern w:val="0"/>
                <w:sz w:val="24"/>
                <w:szCs w:val="24"/>
                <w:highlight w:val="none"/>
              </w:rPr>
              <w:t>、国内自主品牌服务</w:t>
            </w:r>
            <w:r>
              <w:rPr>
                <w:rFonts w:hint="eastAsia" w:ascii="新宋体" w:hAnsi="新宋体" w:eastAsia="新宋体" w:cs="新宋体"/>
                <w:color w:val="auto"/>
                <w:kern w:val="0"/>
                <w:sz w:val="24"/>
                <w:szCs w:val="24"/>
              </w:rPr>
              <w:t>器，采用INTEL C620芯片组；</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2、标准2U机架式服务器，配置安装导轨；</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★3、支持两颗英特尔® 至强® 可扩展系列处理器,本次配置2颗Intel Xeon Gold 5218R Processor/2.10 GHz/27.5 MB/20C/40T/125 W/2UPI/2667MHz处理器，或同等及以上档次；</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4、最大支持24 DIMM插槽, 支持2666MHz DDR4的RDIMM内存，最大支持2TB，本次配置4条32GB/DDR4/2666MHz/ECC/REG内存，或同等及以上档次；</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★5、硬盘位扩展：默认支持8个3.5” SATA/SAS/SSD 硬盘，支持后置2个2.5” SATA/SAS/SSD 硬盘；最大扩展支持12个3.5”加2个2.5”热插拔SATA/SAS/SSD硬盘，或26个2.5” SATA/SAS/SSD热插拔硬盘；支持2个U.2 SSD；</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本次配置3块600GB/SAS/15000RPM/2.5寸/企业级硬盘， 或同等及以上档次； 6、支持SATA RAID0、1、10、5，可选配支持SAS RAID0、1、10、5、50、6、60等，RAID 无缓存/1GB/2GB缓存，可选缓存掉电保护,本次配置缓存2GB的阵列卡；</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★7、扩展性：提供3个PCI-E 扩展插槽（可选1*半高PCI-E3.0x8，1*半高PCI-E3.0x16，1*全高PCI-E3.0x8，1*全高PCI-E3.0x16（支持双宽显卡），可选支持2*半高PCI-E3.0x8，1*半高PCI-E3.0x16，1*全高PCI-E3.0x8，1*全高PCI-E3.0x16（支持双宽显卡））；</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8、网卡控制器：集成2个万兆RJ45网口；可选配千兆及万兆网卡模块，本次配置1块16GB的PCI-E双端口光纤/HBA卡；</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9、电源：标配1个550W白金冗余交流电源模块；支持2个电源模块，支持1+0和1+1模式；电源模块可选550W/800W/1200W白金冗余交流电源模块，和800W直流-48V冗余电源模块；</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本次配置800W冗余电源；</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10、管理功能：支持IPMI2.0，对外提供1个100/1000 Mbps RJ45管理网口，集成iKVM，支持远程管理</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11、支持显示集成VGA接口，6个USB接口（5个USB3.0，1个USB2.0）；</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12、远程管理功能：标配远程管理功能，可实现与操作系统无关的远程对服务器的完全控制，功能包括:</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（1）虚拟电源可远程开机、重启、关机；</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（2）更新Firmware;支持远程故障现象重现；</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（3）虚拟控制台可远程监控图形界面，可远程从本地软盘和光盘或其影像启动安装、操作Windows,Linux等软件（虚拟软驱、虚拟光驱、虚拟目录和虚拟U盘）；</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（4）主板集成iBMC，可实现远程iKVM；</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13、操作系统支持:Windows Server 2012 R2/Red Hat* Enterprise Advanced Server 7.3;</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★14、保修：原厂商3年有限保修及上门服务，原厂3年7*24小时电话支持服务。</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15、支持智能调频功能，降低系统能耗，据热关键器件温度综合调节风扇转速，支持PDCM v2.0(能效管理器),提供自动化服务器功耗控制，有助于以更少的资源完成更多任务；</w:t>
            </w:r>
          </w:p>
          <w:p>
            <w:pPr>
              <w:keepNext w:val="0"/>
              <w:keepLines w:val="0"/>
              <w:pageBreakBefore w:val="0"/>
              <w:widowControl/>
              <w:kinsoku/>
              <w:wordWrap w:val="0"/>
              <w:overflowPunct/>
              <w:topLinePunct w:val="0"/>
              <w:bidi w:val="0"/>
              <w:snapToGrid w:val="0"/>
              <w:spacing w:line="360" w:lineRule="auto"/>
              <w:jc w:val="left"/>
              <w:rPr>
                <w:rFonts w:hint="eastAsia" w:ascii="新宋体" w:hAnsi="新宋体" w:eastAsia="新宋体" w:cs="新宋体"/>
                <w:color w:val="auto"/>
                <w:kern w:val="0"/>
                <w:sz w:val="24"/>
                <w:szCs w:val="24"/>
                <w:lang w:eastAsia="zh-CN"/>
              </w:rPr>
            </w:pPr>
            <w:r>
              <w:rPr>
                <w:rFonts w:hint="eastAsia" w:ascii="新宋体" w:hAnsi="新宋体" w:eastAsia="新宋体" w:cs="新宋体"/>
                <w:color w:val="auto"/>
                <w:kern w:val="0"/>
                <w:sz w:val="24"/>
                <w:szCs w:val="24"/>
              </w:rPr>
              <w:t>16、认证：CCC、ISO 14001:2004环境管理体系认证、ISO 9001:2008质量管理体系认证、信息技术服务管理体系认证、ISO27001信息安全证书、OHSAS18001职业健康安全管理体系认证</w:t>
            </w:r>
            <w:r>
              <w:rPr>
                <w:rFonts w:hint="eastAsia" w:ascii="新宋体" w:hAnsi="新宋体" w:eastAsia="新宋体" w:cs="新宋体"/>
                <w:color w:val="auto"/>
                <w:kern w:val="0"/>
                <w:sz w:val="24"/>
                <w:szCs w:val="24"/>
                <w:lang w:eastAsia="zh-CN"/>
              </w:rPr>
              <w:t>。</w:t>
            </w:r>
          </w:p>
          <w:p>
            <w:pPr>
              <w:keepNext w:val="0"/>
              <w:keepLines w:val="0"/>
              <w:pageBreakBefore w:val="0"/>
              <w:widowControl/>
              <w:kinsoku/>
              <w:wordWrap w:val="0"/>
              <w:overflowPunct/>
              <w:topLinePunct w:val="0"/>
              <w:bidi w:val="0"/>
              <w:snapToGrid w:val="0"/>
              <w:spacing w:line="360" w:lineRule="auto"/>
              <w:jc w:val="lef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17、虚拟化功能：含企业版虚拟化软件，可出厂预装，随机含安装介质。虚拟化软件必须与服务器同品牌，支持物理主机HA功能，当集群中的主机硬件发生故障时，该主机上的虚拟机可以在集群之内的其它主机上自动重启；通过实时监控主机的CPU、内存利用率，并根据配置的规则策略，根据主机负载状况在集群中自动均衡虚拟机的分布；对重要业务虚机的重启、删除等操作，需输入管理员密码才可重启、删除等操作，有效防止误操作；在虚拟化层实现防DDOS攻击保护，提高虚拟化平台内部安全性；虚拟化管理平台提供平台资源池、物理机、虚拟机、存储池资源报表以及操作日志报表功能，支持Excel格式的导出，需提供“日志管理系统软件”计算机软件著作权登记证书；支持VMware虚拟化软件平台虚拟机、物理主机等资源的生命周期管理，支持VMware的高级功能的配置，如DRS、vMotion、HA。以上虚拟化功能均提供完整界面截图，保留实际测试权利。</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sz w:val="24"/>
                <w:szCs w:val="24"/>
              </w:rPr>
            </w:pPr>
            <w:r>
              <w:rPr>
                <w:rFonts w:hint="eastAsia" w:ascii="新宋体" w:hAnsi="新宋体" w:eastAsia="新宋体" w:cs="新宋体"/>
                <w:color w:val="auto"/>
                <w:sz w:val="24"/>
                <w:szCs w:val="24"/>
              </w:rPr>
              <w:t>80000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存储磁盘阵列</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★1、 SAN与NAS统一存储，配置NAS协议（包括NFS和CIFS）、IP SAN和FC SAN协议，不需额外配置NAS网关，存储操作界面同时支持块存储和文件存储功能；</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★2.、配置冗余Active-Active控制器，控制器之间采用PCI-E/Infiniband或RDMA互联（非IP互联、非FC互联），支持控制器扩展，最大支持≥8控；</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★3、为保证国产自主可控，存储采用中国产自研核心处理器，本次控制器处理器核数总物理核心数≥32核，主频≥2.1GHz）；</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★4、系统内总一级缓存容量配置≥32GB，且任意控制器一级缓存容量≥16GB（不含任何性能加速模块、FlashCache、PAM卡，SSD Cache、SCM等）；</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5本次配置：12*1Gbps NAS接口 ＋ 8 *16Gbps FC SAN接口（满配多模模块）；</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6支持RAID 1、RAID 10、RAID50、RAID 5、RAID6等可选配置；</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7配置4*4*12Gb SAS3.0磁盘接口，后端磁盘通道带宽≥192Gbps；</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★8、配置 20块企业级NL SAS硬盘（SAS接口，非SATA接口），单盘容量≥8TB；未来磁盘阵列扩容容量不得另外收取license费用；可选25*2.5寸扩容框或24*3.5寸扩容框；</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★9、本次控制器数量支持最大硬盘数≥500；</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10</w:t>
            </w:r>
            <w:r>
              <w:rPr>
                <w:rFonts w:hint="eastAsia"/>
                <w:color w:val="auto"/>
                <w:lang w:eastAsia="zh-CN"/>
              </w:rPr>
              <w:t>、</w:t>
            </w:r>
            <w:r>
              <w:rPr>
                <w:rFonts w:hint="eastAsia"/>
                <w:color w:val="auto"/>
              </w:rPr>
              <w:t>配置自动精简配置，可实现存储资源的按需分配，实现零检测和已删除空间的回收，提高空间利用率；</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11</w:t>
            </w:r>
            <w:r>
              <w:rPr>
                <w:rFonts w:hint="eastAsia"/>
                <w:color w:val="auto"/>
                <w:lang w:eastAsia="zh-CN"/>
              </w:rPr>
              <w:t>、</w:t>
            </w:r>
            <w:r>
              <w:rPr>
                <w:rFonts w:hint="eastAsia"/>
                <w:color w:val="auto"/>
              </w:rPr>
              <w:t>支持数据快照功能，不限授权和容量，快照功能可用于LUN和文件系统；恢复某个时间点的快照，其他时间点快照不丢失；快照可读写，支持快照一致性激活；可为快照创建副本，且快照及其副本均可应用QOS策略保障业务流畅性；快照数量≥2048个。</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12</w:t>
            </w:r>
            <w:r>
              <w:rPr>
                <w:rFonts w:hint="eastAsia"/>
                <w:color w:val="auto"/>
                <w:lang w:eastAsia="zh-CN"/>
              </w:rPr>
              <w:t>、</w:t>
            </w:r>
            <w:r>
              <w:rPr>
                <w:rFonts w:hint="eastAsia"/>
                <w:color w:val="auto"/>
              </w:rPr>
              <w:t>支持存储SAN双活功能，提供双活架构，实现两套核心存储数据双活（主机能够并发读写同一双活卷），任何一套设备宕机均不影响上层业务系统运行。</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13</w:t>
            </w:r>
            <w:r>
              <w:rPr>
                <w:rFonts w:hint="eastAsia"/>
                <w:color w:val="auto"/>
                <w:lang w:eastAsia="zh-CN"/>
              </w:rPr>
              <w:t>、</w:t>
            </w:r>
            <w:r>
              <w:rPr>
                <w:rFonts w:hint="eastAsia"/>
                <w:color w:val="auto"/>
              </w:rPr>
              <w:t>支持NAS双活功能，单套存储故障，另外一套存储可自动接管FS文件共享特性</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★14、配置NAS功能，配置NFS、CIFS、NDMP、多租户、目录配额功能；NFS业务支持全局命名空间和日志审计功能；</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15支持提供WORM特性，满足一次写入不可修改和删除，满足关键业务文件信息安全以及法规遵从的要求；</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color w:val="auto"/>
              </w:rPr>
              <w:t>16</w:t>
            </w:r>
            <w:r>
              <w:rPr>
                <w:rFonts w:hint="eastAsia"/>
                <w:color w:val="auto"/>
                <w:lang w:eastAsia="zh-CN"/>
              </w:rPr>
              <w:t>、</w:t>
            </w:r>
            <w:r>
              <w:rPr>
                <w:rFonts w:hint="eastAsia"/>
                <w:color w:val="auto"/>
              </w:rPr>
              <w:t>支持提供文件系统QOS保障，对文件系统中的资源进行智能分配和调节，在整个存储路径上进行端到端的细粒度控制，从而满足多种不同重要性业务在同一台存储设备上的不同QoS要求；</w:t>
            </w:r>
          </w:p>
          <w:p>
            <w:pPr>
              <w:keepNext w:val="0"/>
              <w:keepLines w:val="0"/>
              <w:pageBreakBefore w:val="0"/>
              <w:widowControl/>
              <w:kinsoku/>
              <w:wordWrap w:val="0"/>
              <w:overflowPunct/>
              <w:topLinePunct w:val="0"/>
              <w:bidi w:val="0"/>
              <w:snapToGrid w:val="0"/>
              <w:spacing w:line="360" w:lineRule="auto"/>
              <w:jc w:val="left"/>
              <w:rPr>
                <w:color w:val="auto"/>
              </w:rPr>
            </w:pPr>
            <w:r>
              <w:rPr>
                <w:rFonts w:hint="eastAsia" w:ascii="宋体" w:hAnsi="宋体" w:eastAsia="宋体" w:cs="宋体"/>
                <w:color w:val="auto"/>
                <w:sz w:val="24"/>
                <w:szCs w:val="24"/>
              </w:rPr>
              <w:t>17</w:t>
            </w:r>
            <w:r>
              <w:rPr>
                <w:rFonts w:hint="eastAsia"/>
                <w:color w:val="auto"/>
                <w:lang w:eastAsia="zh-CN"/>
              </w:rPr>
              <w:t>、</w:t>
            </w:r>
            <w:r>
              <w:rPr>
                <w:rFonts w:hint="eastAsia"/>
                <w:color w:val="auto"/>
              </w:rPr>
              <w:t>存储厂商提供专有多路径（非操作系统自带多路径）软件，提供故障切换和负载均衡功能，支持Windows\Linux。</w:t>
            </w:r>
          </w:p>
          <w:p>
            <w:pPr>
              <w:pStyle w:val="8"/>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、获得SMI-S v1.5或以上版本认证，并提供官方网站截图或证书等证明文件；</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lang w:val="en-US" w:eastAsia="zh-CN"/>
              </w:rPr>
              <w:t>19</w:t>
            </w:r>
            <w:r>
              <w:rPr>
                <w:rFonts w:hint="eastAsia" w:ascii="宋体" w:hAnsi="宋体" w:eastAsia="宋体" w:cs="宋体"/>
                <w:color w:val="auto"/>
                <w:kern w:val="0"/>
                <w:sz w:val="24"/>
                <w:szCs w:val="24"/>
                <w:highlight w:val="none"/>
              </w:rPr>
              <w:t>、通过oracle数据库12c或以上版本的认证，提供官方网站截图。</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、产品通过中国环境标志认证，提供官方认证证书复印件。</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lang w:val="en-US" w:eastAsia="zh-CN"/>
              </w:rPr>
              <w:t>21</w:t>
            </w:r>
            <w:r>
              <w:rPr>
                <w:rFonts w:hint="eastAsia" w:ascii="宋体" w:hAnsi="宋体" w:eastAsia="宋体" w:cs="宋体"/>
                <w:color w:val="auto"/>
                <w:kern w:val="0"/>
                <w:sz w:val="24"/>
                <w:szCs w:val="24"/>
                <w:highlight w:val="none"/>
              </w:rPr>
              <w:t>、产品通过中国质量中心CQC节能认证，提供官方认证证书复印件。</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、产品通过Energy Star认证，提供官方认证证书复印件。</w:t>
            </w:r>
          </w:p>
          <w:p>
            <w:pPr>
              <w:pStyle w:val="8"/>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23</w:t>
            </w:r>
            <w:r>
              <w:rPr>
                <w:rFonts w:hint="eastAsia" w:ascii="宋体" w:hAnsi="宋体" w:eastAsia="宋体" w:cs="宋体"/>
                <w:color w:val="auto"/>
                <w:kern w:val="0"/>
                <w:sz w:val="24"/>
                <w:szCs w:val="24"/>
                <w:highlight w:val="none"/>
              </w:rPr>
              <w:t>、三年原厂质保，设备生产商需在国内设有400技术服务热线；</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sz w:val="24"/>
                <w:szCs w:val="24"/>
              </w:rPr>
            </w:pPr>
            <w:r>
              <w:rPr>
                <w:rFonts w:hint="eastAsia" w:ascii="新宋体" w:hAnsi="新宋体" w:eastAsia="新宋体" w:cs="新宋体"/>
                <w:color w:val="auto"/>
                <w:sz w:val="24"/>
                <w:szCs w:val="24"/>
              </w:rPr>
              <w:t>200000.00</w:t>
            </w:r>
          </w:p>
        </w:tc>
      </w:tr>
      <w:tr>
        <w:tblPrEx>
          <w:tblCellMar>
            <w:top w:w="0" w:type="dxa"/>
            <w:left w:w="108" w:type="dxa"/>
            <w:bottom w:w="0" w:type="dxa"/>
            <w:right w:w="108" w:type="dxa"/>
          </w:tblCellMar>
        </w:tblPrEx>
        <w:trPr>
          <w:trHeight w:val="25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交换机</w:t>
            </w:r>
          </w:p>
        </w:tc>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1台</w:t>
            </w:r>
          </w:p>
        </w:tc>
        <w:tc>
          <w:tcPr>
            <w:tcW w:w="43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1、下一代智能光交换机，15个10G SFP+万兆光口，1个SFP千兆光口，8个千兆电口，支持全端口线速转发；支持NAC统一管理、统一查看状态、VLAN等配置管理；</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2、1年硬件质保、软件升级</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3. 交换容量≥1.28Tbps/12.8Tbps，包转发率≥420Mpps</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★4、支持胖瘦一体化，支持智能交换机和普通交换机两种工作模式，可以根据不同的组网需要，随时灵活的进行切换（</w:t>
            </w:r>
            <w:r>
              <w:rPr>
                <w:rFonts w:hint="eastAsia"/>
                <w:color w:val="auto"/>
                <w:lang w:val="en-US" w:eastAsia="zh-CN"/>
              </w:rPr>
              <w:t>投标时</w:t>
            </w:r>
            <w:r>
              <w:rPr>
                <w:rFonts w:hint="eastAsia"/>
                <w:color w:val="auto"/>
              </w:rPr>
              <w:t>提供功能截图证明）</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★5、可通过配置静态IP地址，DHCP Option43方式，DNS域名等方式发现控制器平台；</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★6、支持通过控制器平台一键替换“按钮”即可完成故障设备替换（</w:t>
            </w:r>
            <w:r>
              <w:rPr>
                <w:rFonts w:hint="eastAsia"/>
                <w:color w:val="auto"/>
                <w:lang w:val="en-US" w:eastAsia="zh-CN"/>
              </w:rPr>
              <w:t>投标时</w:t>
            </w:r>
            <w:r>
              <w:rPr>
                <w:rFonts w:hint="eastAsia"/>
                <w:color w:val="auto"/>
              </w:rPr>
              <w:t>提供功能截图证明）</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7、支持STP、RSTP、MSTP协议，支持IGMP v1/v2/v3 Snooping</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8、支持IEEE 802.3az 标准的 EEE节能技术：当EEE使能时，从而大幅度的减小端口在该阶段的功耗，达到了节能的目的。</w:t>
            </w:r>
          </w:p>
          <w:p>
            <w:pPr>
              <w:keepNext w:val="0"/>
              <w:keepLines w:val="0"/>
              <w:pageBreakBefore w:val="0"/>
              <w:widowControl/>
              <w:kinsoku/>
              <w:wordWrap w:val="0"/>
              <w:overflowPunct/>
              <w:topLinePunct w:val="0"/>
              <w:bidi w:val="0"/>
              <w:snapToGrid w:val="0"/>
              <w:spacing w:line="360" w:lineRule="auto"/>
              <w:jc w:val="left"/>
              <w:rPr>
                <w:rFonts w:hint="eastAsia"/>
                <w:color w:val="auto"/>
                <w:lang w:eastAsia="zh-CN"/>
              </w:rPr>
            </w:pPr>
            <w:r>
              <w:rPr>
                <w:rFonts w:hint="eastAsia"/>
                <w:color w:val="auto"/>
              </w:rPr>
              <w:t>9、支持32K MAC地址，支持MAC地址自动学习</w:t>
            </w:r>
            <w:r>
              <w:rPr>
                <w:rFonts w:hint="eastAsia"/>
                <w:color w:val="auto"/>
                <w:lang w:eastAsia="zh-CN"/>
              </w:rPr>
              <w:t>；</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★10、支持M-LAG技术，跨设备链路聚合，配对的设备有独立的控制平面（</w:t>
            </w:r>
            <w:r>
              <w:rPr>
                <w:rFonts w:hint="eastAsia"/>
                <w:color w:val="auto"/>
                <w:lang w:val="en-US" w:eastAsia="zh-CN"/>
              </w:rPr>
              <w:t>投标时</w:t>
            </w:r>
            <w:r>
              <w:rPr>
                <w:rFonts w:hint="eastAsia"/>
                <w:color w:val="auto"/>
              </w:rPr>
              <w:t>提供截图证明材料）；</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★11、支持通过控制器平台查看交换机端口负载情况（</w:t>
            </w:r>
            <w:r>
              <w:rPr>
                <w:rFonts w:hint="eastAsia"/>
                <w:color w:val="auto"/>
                <w:lang w:val="en-US" w:eastAsia="zh-CN"/>
              </w:rPr>
              <w:t>投标时</w:t>
            </w:r>
            <w:r>
              <w:rPr>
                <w:rFonts w:hint="eastAsia"/>
                <w:color w:val="auto"/>
              </w:rPr>
              <w:t>提供平台功能截图证明）；</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12、支持防网关ARP欺骗，管理员分级管理，支持防止DOS、ARP攻击功能</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13、支持通过APP进行远程管理，并且可以修改交换机网络配置；</w:t>
            </w:r>
          </w:p>
          <w:p>
            <w:pPr>
              <w:keepNext w:val="0"/>
              <w:keepLines w:val="0"/>
              <w:pageBreakBefore w:val="0"/>
              <w:widowControl/>
              <w:kinsoku/>
              <w:wordWrap w:val="0"/>
              <w:overflowPunct/>
              <w:topLinePunct w:val="0"/>
              <w:bidi w:val="0"/>
              <w:snapToGrid w:val="0"/>
              <w:spacing w:line="360" w:lineRule="auto"/>
              <w:jc w:val="left"/>
              <w:rPr>
                <w:rFonts w:hint="eastAsia"/>
                <w:color w:val="auto"/>
              </w:rPr>
            </w:pPr>
            <w:r>
              <w:rPr>
                <w:rFonts w:hint="eastAsia"/>
                <w:color w:val="auto"/>
              </w:rPr>
              <w:t>14、支持通过在控制器平台的Web页面对交换机进行可视化管理查看，包括交换机的端口状态及配置、vlan信息；；</w:t>
            </w:r>
          </w:p>
          <w:p>
            <w:pPr>
              <w:keepNext w:val="0"/>
              <w:keepLines w:val="0"/>
              <w:pageBreakBefore w:val="0"/>
              <w:widowControl/>
              <w:kinsoku/>
              <w:wordWrap w:val="0"/>
              <w:overflowPunct/>
              <w:topLinePunct w:val="0"/>
              <w:bidi w:val="0"/>
              <w:snapToGrid w:val="0"/>
              <w:spacing w:line="360" w:lineRule="auto"/>
              <w:jc w:val="left"/>
              <w:rPr>
                <w:rFonts w:hint="eastAsia" w:ascii="宋体" w:hAnsi="宋体" w:eastAsia="宋体" w:cs="宋体"/>
                <w:color w:val="auto"/>
                <w:sz w:val="24"/>
                <w:szCs w:val="24"/>
              </w:rPr>
            </w:pPr>
            <w:r>
              <w:rPr>
                <w:rFonts w:hint="eastAsia"/>
                <w:color w:val="auto"/>
              </w:rPr>
              <w:t>★15、支持通过控制器平台图形化操作对交换机端口状态的开启与关闭（</w:t>
            </w:r>
            <w:r>
              <w:rPr>
                <w:rFonts w:hint="eastAsia"/>
                <w:color w:val="auto"/>
                <w:lang w:val="en-US" w:eastAsia="zh-CN"/>
              </w:rPr>
              <w:t>投标时</w:t>
            </w:r>
            <w:r>
              <w:rPr>
                <w:rFonts w:hint="eastAsia"/>
                <w:color w:val="auto"/>
              </w:rPr>
              <w:t>提供平台功</w:t>
            </w:r>
            <w:r>
              <w:rPr>
                <w:rFonts w:hint="eastAsia" w:ascii="宋体" w:hAnsi="宋体" w:eastAsia="宋体" w:cs="宋体"/>
                <w:color w:val="auto"/>
                <w:sz w:val="24"/>
                <w:szCs w:val="24"/>
              </w:rPr>
              <w:t>能截图证明）；</w:t>
            </w:r>
          </w:p>
          <w:p>
            <w:pPr>
              <w:keepNext w:val="0"/>
              <w:keepLines w:val="0"/>
              <w:pageBreakBefore w:val="0"/>
              <w:widowControl/>
              <w:kinsoku/>
              <w:wordWrap w:val="0"/>
              <w:overflowPunct/>
              <w:topLinePunct w:val="0"/>
              <w:bidi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★16、支持安全状态页面中统计显示联动事件次数及详情； </w:t>
            </w:r>
          </w:p>
          <w:p>
            <w:pPr>
              <w:pStyle w:val="8"/>
              <w:rPr>
                <w:color w:val="auto"/>
              </w:rPr>
            </w:pPr>
            <w:r>
              <w:rPr>
                <w:rFonts w:hint="eastAsia" w:ascii="宋体" w:hAnsi="宋体" w:eastAsia="宋体" w:cs="宋体"/>
                <w:color w:val="auto"/>
                <w:sz w:val="24"/>
                <w:szCs w:val="24"/>
              </w:rPr>
              <w:t>★17、支持通过APP进行远程管理，并且可以查看交换机网络配置（</w:t>
            </w:r>
            <w:r>
              <w:rPr>
                <w:rFonts w:hint="eastAsia" w:ascii="宋体" w:hAnsi="宋体" w:eastAsia="宋体" w:cs="宋体"/>
                <w:color w:val="auto"/>
                <w:sz w:val="24"/>
                <w:szCs w:val="24"/>
                <w:lang w:val="en-US" w:eastAsia="zh-CN"/>
              </w:rPr>
              <w:t>投标时</w:t>
            </w:r>
            <w:r>
              <w:rPr>
                <w:rFonts w:hint="eastAsia" w:ascii="宋体" w:hAnsi="宋体" w:eastAsia="宋体" w:cs="宋体"/>
                <w:color w:val="auto"/>
                <w:sz w:val="24"/>
                <w:szCs w:val="24"/>
              </w:rPr>
              <w:t>需提供产品功能截图）</w:t>
            </w:r>
          </w:p>
        </w:tc>
        <w:tc>
          <w:tcPr>
            <w:tcW w:w="1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sz w:val="24"/>
                <w:szCs w:val="24"/>
              </w:rPr>
            </w:pPr>
            <w:r>
              <w:rPr>
                <w:rFonts w:hint="eastAsia" w:ascii="新宋体" w:hAnsi="新宋体" w:eastAsia="新宋体" w:cs="新宋体"/>
                <w:color w:val="auto"/>
                <w:sz w:val="24"/>
                <w:szCs w:val="24"/>
              </w:rPr>
              <w:t>20000</w:t>
            </w:r>
            <w:r>
              <w:rPr>
                <w:rFonts w:hint="eastAsia" w:ascii="宋体" w:hAnsi="宋体" w:cs="宋体"/>
                <w:color w:val="auto"/>
                <w:sz w:val="24"/>
                <w:szCs w:val="24"/>
                <w:lang w:val="en-US" w:eastAsia="zh-CN"/>
              </w:rPr>
              <w:t>.00</w:t>
            </w:r>
          </w:p>
        </w:tc>
      </w:tr>
      <w:tr>
        <w:tblPrEx>
          <w:tblCellMar>
            <w:top w:w="0" w:type="dxa"/>
            <w:left w:w="108" w:type="dxa"/>
            <w:bottom w:w="0" w:type="dxa"/>
            <w:right w:w="108" w:type="dxa"/>
          </w:tblCellMar>
        </w:tblPrEx>
        <w:trPr>
          <w:trHeight w:val="255" w:hRule="atLeast"/>
          <w:jc w:val="center"/>
        </w:trPr>
        <w:tc>
          <w:tcPr>
            <w:tcW w:w="27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hint="default"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lang w:val="en-US" w:eastAsia="zh-CN"/>
              </w:rPr>
              <w:t>分项最高限价合计（元）</w:t>
            </w:r>
          </w:p>
        </w:tc>
        <w:tc>
          <w:tcPr>
            <w:tcW w:w="72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both"/>
              <w:rPr>
                <w:rFonts w:hint="eastAsia" w:ascii="新宋体" w:hAnsi="新宋体" w:eastAsia="新宋体" w:cs="新宋体"/>
                <w:b/>
                <w:bCs/>
                <w:color w:val="auto"/>
                <w:sz w:val="24"/>
                <w:szCs w:val="24"/>
                <w:lang w:val="en-US" w:eastAsia="zh-CN"/>
              </w:rPr>
            </w:pPr>
            <w:r>
              <w:rPr>
                <w:rFonts w:hint="eastAsia" w:ascii="新宋体" w:hAnsi="新宋体" w:eastAsia="新宋体" w:cs="新宋体"/>
                <w:color w:val="auto"/>
                <w:sz w:val="24"/>
                <w:szCs w:val="24"/>
                <w:lang w:val="en-US" w:eastAsia="zh-CN"/>
              </w:rPr>
              <w:t>¥916000.00元</w:t>
            </w:r>
          </w:p>
        </w:tc>
      </w:tr>
      <w:tr>
        <w:tblPrEx>
          <w:tblCellMar>
            <w:top w:w="0" w:type="dxa"/>
            <w:left w:w="108" w:type="dxa"/>
            <w:bottom w:w="0" w:type="dxa"/>
            <w:right w:w="108" w:type="dxa"/>
          </w:tblCellMar>
        </w:tblPrEx>
        <w:trPr>
          <w:trHeight w:val="317"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b/>
                <w:color w:val="auto"/>
                <w:kern w:val="0"/>
                <w:sz w:val="24"/>
                <w:szCs w:val="24"/>
              </w:rPr>
            </w:pPr>
            <w:r>
              <w:rPr>
                <w:rFonts w:hint="eastAsia" w:ascii="新宋体" w:hAnsi="新宋体" w:eastAsia="新宋体" w:cs="新宋体"/>
                <w:b/>
                <w:color w:val="auto"/>
                <w:kern w:val="0"/>
                <w:sz w:val="24"/>
                <w:szCs w:val="24"/>
              </w:rPr>
              <w:t>商</w:t>
            </w:r>
          </w:p>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b/>
                <w:color w:val="auto"/>
                <w:kern w:val="0"/>
                <w:sz w:val="24"/>
                <w:szCs w:val="24"/>
              </w:rPr>
            </w:pPr>
            <w:r>
              <w:rPr>
                <w:rFonts w:hint="eastAsia" w:ascii="新宋体" w:hAnsi="新宋体" w:eastAsia="新宋体" w:cs="新宋体"/>
                <w:b/>
                <w:color w:val="auto"/>
                <w:kern w:val="0"/>
                <w:sz w:val="24"/>
                <w:szCs w:val="24"/>
              </w:rPr>
              <w:t>务</w:t>
            </w:r>
          </w:p>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b/>
                <w:color w:val="auto"/>
                <w:kern w:val="0"/>
                <w:sz w:val="24"/>
                <w:szCs w:val="24"/>
              </w:rPr>
            </w:pPr>
            <w:r>
              <w:rPr>
                <w:rFonts w:hint="eastAsia" w:ascii="新宋体" w:hAnsi="新宋体" w:eastAsia="新宋体" w:cs="新宋体"/>
                <w:b/>
                <w:color w:val="auto"/>
                <w:kern w:val="0"/>
                <w:sz w:val="24"/>
                <w:szCs w:val="24"/>
              </w:rPr>
              <w:t>条</w:t>
            </w:r>
          </w:p>
          <w:p>
            <w:pPr>
              <w:keepNext w:val="0"/>
              <w:keepLines w:val="0"/>
              <w:pageBreakBefore w:val="0"/>
              <w:widowControl/>
              <w:kinsoku/>
              <w:wordWrap w:val="0"/>
              <w:overflowPunct/>
              <w:topLinePunct w:val="0"/>
              <w:bidi w:val="0"/>
              <w:snapToGrid w:val="0"/>
              <w:spacing w:line="360" w:lineRule="auto"/>
              <w:jc w:val="center"/>
              <w:rPr>
                <w:rFonts w:ascii="新宋体" w:hAnsi="新宋体" w:eastAsia="新宋体" w:cs="新宋体"/>
                <w:color w:val="auto"/>
                <w:kern w:val="0"/>
                <w:sz w:val="24"/>
                <w:szCs w:val="24"/>
              </w:rPr>
            </w:pPr>
            <w:r>
              <w:rPr>
                <w:rFonts w:hint="eastAsia" w:ascii="新宋体" w:hAnsi="新宋体" w:eastAsia="新宋体" w:cs="新宋体"/>
                <w:b/>
                <w:color w:val="auto"/>
                <w:kern w:val="0"/>
                <w:sz w:val="24"/>
                <w:szCs w:val="24"/>
              </w:rPr>
              <w:t>款</w:t>
            </w:r>
          </w:p>
        </w:tc>
        <w:tc>
          <w:tcPr>
            <w:tcW w:w="92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★一、合同签订期：自中标通知书发出之日起25个工作日内。</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★二、交货期：合同签订后20天内交货。</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三、交货地点：采购人指定地点。</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四、交货方式：现场交货。</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五、售后服务要求：</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★1、质量保证期：叁年硬件质保和软件升级，带现场服务。（自交货并验收合格之日起计）</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2、故障响应时间：中标供应商接到故障通知后在4小时内到达采购人指定现场。</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★六、项目实施要求：</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★1、产品具备完整性和可运行性，包含相关配套的软、硬件部件，在产品安装实施过程，不得要求用户另行采购与本项目相关的配件。</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2、培训要求：安装调试完成，免费提供对采购人的技术人员培训服务,使采购方的技术人员具备日常维护和管理操作的能力。</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3、验收条件及标准：由于本次设备的安装部署关系到采购人业务、应用网络的正常使用，因此中标供应商在安装调试设备过程中，需制定具体的实施方案并严格执行，确保本项目采购内容按采购人的要求实施，实现采购人的各项功能。验收标准，中标供应商按要求安装、部署、培训完成后，所有产品能够稳定无故障运行7个工作日以上，才能进行确认验收，签署最终验收报告。</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七、其他要求：</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★1、投标报价为采购人指定地点的现场交货价，包括：</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（1）货物的价格；</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（2）货物的标准附件、备品备件、专用工具的价格；</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（3）运输、装卸、安装、调试、培训、技术支持、售后服务等费用；</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（4）必要的保险费用和各项税费；</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★2、付款方式：本项目无预付款，供应商交货完毕并验收合格后，一次性支付合同款。</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★3、备品备件及耗材等要求：在质保期内，中标供应商需对本次采购设备的易损件准备一定数量的备品备件，如发生设备故障，确保所有相关的备品备件在24小时内提供更换。</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4、保密要求：为保障系统内涉密信息的安全性，中标供应商必须对工程技术文件以及由采购人提供的所有内部资料、技术文档和信息予以保密。未经采购人书面许可，投标人不得以任何形式向第三方透露本项目的任何内容。</w:t>
            </w:r>
          </w:p>
          <w:p>
            <w:pPr>
              <w:keepNext w:val="0"/>
              <w:keepLines w:val="0"/>
              <w:pageBreakBefore w:val="0"/>
              <w:kinsoku/>
              <w:wordWrap w:val="0"/>
              <w:overflowPunct/>
              <w:topLinePunct w:val="0"/>
              <w:bidi w:val="0"/>
              <w:snapToGrid w:val="0"/>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5、</w:t>
            </w:r>
            <w:r>
              <w:rPr>
                <w:rFonts w:hint="eastAsia" w:ascii="新宋体" w:hAnsi="新宋体" w:eastAsia="新宋体" w:cs="新宋体"/>
                <w:color w:val="auto"/>
                <w:sz w:val="24"/>
                <w:szCs w:val="24"/>
              </w:rPr>
              <w:tab/>
            </w:r>
            <w:r>
              <w:rPr>
                <w:rFonts w:hint="eastAsia" w:ascii="新宋体" w:hAnsi="新宋体" w:eastAsia="新宋体" w:cs="新宋体"/>
                <w:color w:val="auto"/>
                <w:sz w:val="24"/>
                <w:szCs w:val="24"/>
              </w:rPr>
              <w:t>验收方法及方案：按采购合同验收条款进行。</w:t>
            </w:r>
          </w:p>
        </w:tc>
      </w:tr>
    </w:tbl>
    <w:p>
      <w:pPr>
        <w:pStyle w:val="8"/>
        <w:outlineLvl w:val="0"/>
        <w:rPr>
          <w:rFonts w:asciiTheme="majorEastAsia" w:hAnsiTheme="majorEastAsia" w:eastAsiaTheme="majorEastAsia" w:cstheme="majorEastAsia"/>
          <w:b/>
          <w:bCs/>
          <w:sz w:val="28"/>
          <w:szCs w:val="28"/>
        </w:rPr>
      </w:pPr>
    </w:p>
    <w:p>
      <w:pPr>
        <w:rPr>
          <w:rFonts w:asciiTheme="minorEastAsia" w:hAnsiTheme="minorEastAsia" w:eastAsiaTheme="minorEastAsia"/>
          <w:sz w:val="24"/>
          <w:szCs w:val="24"/>
        </w:rPr>
      </w:pPr>
      <w:bookmarkStart w:id="15" w:name="_Toc213325923"/>
      <w:bookmarkStart w:id="16" w:name="_Toc213206174"/>
    </w:p>
    <w:p>
      <w:pPr>
        <w:spacing w:line="440" w:lineRule="atLeast"/>
        <w:rPr>
          <w:rFonts w:asciiTheme="minorEastAsia" w:hAnsiTheme="minorEastAsia" w:eastAsiaTheme="minorEastAsia"/>
          <w:sz w:val="24"/>
          <w:szCs w:val="24"/>
        </w:rPr>
      </w:pPr>
      <w:r>
        <w:rPr>
          <w:rFonts w:ascii="宋体" w:hAnsi="宋体" w:cs="宋体"/>
          <w:b/>
          <w:bCs/>
          <w:sz w:val="36"/>
          <w:szCs w:val="36"/>
        </w:rPr>
        <w:br w:type="page"/>
      </w:r>
    </w:p>
    <w:p>
      <w:pPr>
        <w:pStyle w:val="8"/>
        <w:numPr>
          <w:ilvl w:val="0"/>
          <w:numId w:val="6"/>
        </w:numPr>
        <w:jc w:val="center"/>
        <w:outlineLvl w:val="0"/>
        <w:rPr>
          <w:rFonts w:ascii="宋体" w:hAnsi="宋体" w:cs="宋体"/>
          <w:b/>
          <w:bCs/>
          <w:sz w:val="36"/>
          <w:szCs w:val="36"/>
        </w:rPr>
      </w:pPr>
      <w:bookmarkStart w:id="17" w:name="_Toc17219"/>
      <w:r>
        <w:rPr>
          <w:rFonts w:hint="eastAsia" w:ascii="宋体" w:hAnsi="宋体" w:cs="宋体"/>
          <w:b/>
          <w:bCs/>
          <w:sz w:val="36"/>
          <w:szCs w:val="36"/>
        </w:rPr>
        <w:t>评标方法</w:t>
      </w:r>
      <w:bookmarkEnd w:id="17"/>
    </w:p>
    <w:p>
      <w:pPr>
        <w:pStyle w:val="8"/>
        <w:ind w:firstLine="4200" w:firstLineChars="1400"/>
        <w:rPr>
          <w:rFonts w:ascii="宋体" w:hAnsi="宋体" w:cs="宋体"/>
        </w:rPr>
      </w:pPr>
      <w:r>
        <w:rPr>
          <w:rFonts w:hint="eastAsia" w:ascii="宋体" w:hAnsi="宋体" w:cs="宋体"/>
          <w:b/>
          <w:sz w:val="30"/>
          <w:szCs w:val="30"/>
        </w:rPr>
        <w:t>综合评分法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Theme="majorEastAsia" w:hAnsiTheme="majorEastAsia" w:eastAsiaTheme="majorEastAsia"/>
          <w:sz w:val="24"/>
          <w:szCs w:val="24"/>
        </w:rPr>
      </w:pPr>
      <w:r>
        <w:rPr>
          <w:rFonts w:hint="eastAsia" w:asciiTheme="majorEastAsia" w:hAnsiTheme="majorEastAsia" w:eastAsiaTheme="majorEastAsia"/>
          <w:sz w:val="24"/>
          <w:szCs w:val="24"/>
        </w:rPr>
        <w:t>（一）评标委员会以招标文件为依据，对投标文件进行评审，对投标人的投标报价、技术文件及商务文件等三部分内容按百分制打分，其中价格分30分，技术分54分，商务分16分。（评标时，对于带有主观因素的评分，由各评委独立进行评价、打分，不允许讨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Theme="majorEastAsia" w:hAnsiTheme="majorEastAsia" w:eastAsiaTheme="majorEastAsia"/>
          <w:sz w:val="24"/>
          <w:szCs w:val="24"/>
        </w:rPr>
      </w:pPr>
      <w:r>
        <w:rPr>
          <w:rFonts w:hint="eastAsia" w:asciiTheme="majorEastAsia" w:hAnsiTheme="majorEastAsia" w:eastAsiaTheme="majorEastAsia"/>
          <w:sz w:val="24"/>
          <w:szCs w:val="24"/>
        </w:rPr>
        <w:t>（二）评分细则：（按四舍五入取至百分位）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Theme="majorEastAsia" w:hAnsiTheme="majorEastAsia" w:eastAsiaTheme="majorEastAsia"/>
          <w:b/>
          <w:sz w:val="24"/>
          <w:szCs w:val="24"/>
        </w:rPr>
      </w:pPr>
      <w:r>
        <w:rPr>
          <w:rFonts w:hint="eastAsia" w:asciiTheme="majorEastAsia" w:hAnsiTheme="majorEastAsia" w:eastAsiaTheme="majorEastAsia"/>
          <w:b/>
          <w:sz w:val="24"/>
          <w:szCs w:val="24"/>
        </w:rPr>
        <w:t>1、价格分………………………………………………………………………………30分</w:t>
      </w:r>
    </w:p>
    <w:p>
      <w:pPr>
        <w:pStyle w:val="10"/>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（1）对于非专门面向中小企业的项目，对小型和微型企业产品的价格给予</w:t>
      </w:r>
      <w:r>
        <w:rPr>
          <w:rFonts w:hint="eastAsia" w:cs="宋体" w:asciiTheme="majorEastAsia" w:hAnsiTheme="majorEastAsia" w:eastAsiaTheme="majorEastAsia"/>
          <w:sz w:val="24"/>
          <w:szCs w:val="24"/>
          <w:shd w:val="pct10" w:color="auto" w:fill="FFFFFF"/>
          <w:lang w:val="en-US" w:eastAsia="zh-CN"/>
        </w:rPr>
        <w:t>10</w:t>
      </w:r>
      <w:r>
        <w:rPr>
          <w:rFonts w:cs="宋体" w:asciiTheme="majorEastAsia" w:hAnsiTheme="majorEastAsia" w:eastAsiaTheme="majorEastAsia"/>
          <w:sz w:val="24"/>
          <w:szCs w:val="24"/>
          <w:shd w:val="pct10" w:color="auto" w:fill="FFFFFF"/>
        </w:rPr>
        <w:t>%</w:t>
      </w:r>
      <w:r>
        <w:rPr>
          <w:rFonts w:cs="宋体" w:asciiTheme="majorEastAsia" w:hAnsiTheme="majorEastAsia" w:eastAsiaTheme="majorEastAsia"/>
          <w:sz w:val="24"/>
          <w:szCs w:val="24"/>
        </w:rPr>
        <w:t>的价格扣除，扣除后的价格为评标价，即评标价＝投标报价×（1-</w:t>
      </w:r>
      <w:r>
        <w:rPr>
          <w:rFonts w:hint="eastAsia" w:cs="宋体" w:asciiTheme="majorEastAsia" w:hAnsiTheme="majorEastAsia" w:eastAsiaTheme="majorEastAsia"/>
          <w:sz w:val="24"/>
          <w:szCs w:val="24"/>
          <w:shd w:val="pct10" w:color="auto" w:fill="FFFFFF"/>
          <w:lang w:val="en-US" w:eastAsia="zh-CN"/>
        </w:rPr>
        <w:t>10</w:t>
      </w:r>
      <w:r>
        <w:rPr>
          <w:rFonts w:cs="宋体" w:asciiTheme="majorEastAsia" w:hAnsiTheme="majorEastAsia" w:eastAsiaTheme="majorEastAsia"/>
          <w:sz w:val="24"/>
          <w:szCs w:val="24"/>
          <w:shd w:val="pct10" w:color="auto" w:fill="FFFFFF"/>
        </w:rPr>
        <w:t>%</w:t>
      </w:r>
      <w:r>
        <w:rPr>
          <w:rFonts w:cs="宋体" w:asciiTheme="majorEastAsia" w:hAnsiTheme="majorEastAsia" w:eastAsiaTheme="majorEastAsia"/>
          <w:sz w:val="24"/>
          <w:szCs w:val="24"/>
        </w:rPr>
        <w:t>）；</w:t>
      </w:r>
      <w:r>
        <w:rPr>
          <w:rFonts w:cs="宋体" w:asciiTheme="majorEastAsia" w:hAnsiTheme="majorEastAsia" w:eastAsiaTheme="majorEastAsia"/>
          <w:bCs/>
          <w:sz w:val="24"/>
          <w:szCs w:val="24"/>
        </w:rPr>
        <w:t>（以投标人按第五章“投标文件格式”要求提供的《报价表》和《</w:t>
      </w:r>
      <w:r>
        <w:rPr>
          <w:rFonts w:cs="宋体" w:asciiTheme="majorEastAsia" w:hAnsiTheme="majorEastAsia" w:eastAsiaTheme="majorEastAsia"/>
          <w:sz w:val="24"/>
          <w:szCs w:val="24"/>
        </w:rPr>
        <w:t>中小企业声明函</w:t>
      </w:r>
      <w:r>
        <w:rPr>
          <w:rFonts w:cs="宋体" w:asciiTheme="majorEastAsia" w:hAnsiTheme="majorEastAsia" w:eastAsiaTheme="majorEastAsia"/>
          <w:bCs/>
          <w:sz w:val="24"/>
          <w:szCs w:val="24"/>
        </w:rPr>
        <w:t>》为评分依据）</w:t>
      </w:r>
    </w:p>
    <w:p>
      <w:pPr>
        <w:pStyle w:val="10"/>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（2）对大中型企业和其他自然人、法人或者其他组织与小型、微型企业组成联合体，且联合体协议中约定小型、微型企业的协议合同金额占到联合体协议合同总金额30%以上的，给予</w:t>
      </w:r>
      <w:r>
        <w:rPr>
          <w:rFonts w:cs="宋体" w:asciiTheme="majorEastAsia" w:hAnsiTheme="majorEastAsia" w:eastAsiaTheme="majorEastAsia"/>
          <w:sz w:val="24"/>
          <w:szCs w:val="24"/>
          <w:shd w:val="pct10" w:color="auto" w:fill="FFFFFF"/>
        </w:rPr>
        <w:t>2%</w:t>
      </w:r>
      <w:r>
        <w:rPr>
          <w:rFonts w:cs="宋体" w:asciiTheme="majorEastAsia" w:hAnsiTheme="majorEastAsia" w:eastAsiaTheme="majorEastAsia"/>
          <w:sz w:val="24"/>
          <w:szCs w:val="24"/>
        </w:rPr>
        <w:t>的价格扣除，扣除后的价格为评标价，即评标价＝投标报价×（1-</w:t>
      </w:r>
      <w:r>
        <w:rPr>
          <w:rFonts w:cs="宋体" w:asciiTheme="majorEastAsia" w:hAnsiTheme="majorEastAsia" w:eastAsiaTheme="majorEastAsia"/>
          <w:sz w:val="24"/>
          <w:szCs w:val="24"/>
          <w:shd w:val="pct10" w:color="auto" w:fill="FFFFFF"/>
        </w:rPr>
        <w:t>2%</w:t>
      </w:r>
      <w:r>
        <w:rPr>
          <w:rFonts w:cs="宋体" w:asciiTheme="majorEastAsia" w:hAnsiTheme="majorEastAsia" w:eastAsiaTheme="majorEastAsia"/>
          <w:sz w:val="24"/>
          <w:szCs w:val="24"/>
        </w:rPr>
        <w:t>）；</w:t>
      </w:r>
      <w:r>
        <w:rPr>
          <w:rFonts w:cs="宋体" w:asciiTheme="majorEastAsia" w:hAnsiTheme="majorEastAsia" w:eastAsiaTheme="majorEastAsia"/>
          <w:bCs/>
          <w:sz w:val="24"/>
          <w:szCs w:val="24"/>
        </w:rPr>
        <w:t>（以投标人按第五章“投标文件格式”要求提供的《报价表》、《中小企业声明函》和《联合体协议书》为评分依据）</w:t>
      </w:r>
    </w:p>
    <w:p>
      <w:pPr>
        <w:pStyle w:val="10"/>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0"/>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成交结果同时公告，接受社会监督。（以投标人按第五章“投标文件格式”要求提供的《报价表》和《残疾人福利性单位声明函》为评分依据）。</w:t>
      </w:r>
    </w:p>
    <w:p>
      <w:pPr>
        <w:pStyle w:val="10"/>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（5）除上述情况外，评标价＝投标报价；</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Theme="majorEastAsia" w:hAnsiTheme="majorEastAsia" w:eastAsiaTheme="majorEastAsia"/>
          <w:sz w:val="24"/>
          <w:szCs w:val="24"/>
        </w:rPr>
      </w:pPr>
      <w:r>
        <w:rPr>
          <w:rFonts w:hint="eastAsia" w:asciiTheme="majorEastAsia" w:hAnsiTheme="majorEastAsia" w:eastAsiaTheme="majorEastAsia"/>
          <w:sz w:val="24"/>
          <w:szCs w:val="24"/>
        </w:rPr>
        <w:t>（6）价格分计算公式：</w:t>
      </w:r>
    </w:p>
    <w:p>
      <w:pPr>
        <w:pStyle w:val="9"/>
        <w:keepNext w:val="0"/>
        <w:keepLines w:val="0"/>
        <w:pageBreakBefore w:val="0"/>
        <w:kinsoku/>
        <w:wordWrap/>
        <w:overflowPunct/>
        <w:topLinePunct w:val="0"/>
        <w:autoSpaceDE/>
        <w:autoSpaceDN/>
        <w:bidi w:val="0"/>
        <w:adjustRightInd/>
        <w:snapToGrid/>
        <w:spacing w:line="440" w:lineRule="exact"/>
        <w:ind w:firstLine="464" w:firstLineChars="200"/>
        <w:textAlignment w:val="auto"/>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           　　           </w:t>
      </w:r>
    </w:p>
    <w:p>
      <w:pPr>
        <w:pStyle w:val="9"/>
        <w:keepNext w:val="0"/>
        <w:keepLines w:val="0"/>
        <w:pageBreakBefore w:val="0"/>
        <w:kinsoku/>
        <w:wordWrap/>
        <w:overflowPunct/>
        <w:topLinePunct w:val="0"/>
        <w:autoSpaceDE/>
        <w:autoSpaceDN/>
        <w:bidi w:val="0"/>
        <w:adjustRightInd/>
        <w:snapToGrid/>
        <w:spacing w:line="440" w:lineRule="exact"/>
        <w:ind w:firstLine="464" w:firstLineChars="200"/>
        <w:textAlignment w:val="auto"/>
        <w:rPr>
          <w:rFonts w:cs="宋体" w:asciiTheme="majorEastAsia" w:hAnsiTheme="majorEastAsia" w:eastAsiaTheme="majorEastAsia"/>
          <w:sz w:val="24"/>
          <w:szCs w:val="24"/>
        </w:rPr>
      </w:pPr>
    </w:p>
    <w:p>
      <w:pPr>
        <w:pStyle w:val="9"/>
        <w:keepNext w:val="0"/>
        <w:keepLines w:val="0"/>
        <w:pageBreakBefore w:val="0"/>
        <w:kinsoku/>
        <w:wordWrap/>
        <w:overflowPunct/>
        <w:topLinePunct w:val="0"/>
        <w:autoSpaceDE/>
        <w:autoSpaceDN/>
        <w:bidi w:val="0"/>
        <w:adjustRightInd/>
        <w:snapToGrid/>
        <w:spacing w:line="440" w:lineRule="exact"/>
        <w:ind w:firstLine="3345" w:firstLineChars="1442"/>
        <w:textAlignment w:val="auto"/>
        <w:rPr>
          <w:rFonts w:cs="宋体" w:asciiTheme="majorEastAsia" w:hAnsiTheme="majorEastAsia" w:eastAsiaTheme="majorEastAsia"/>
          <w:sz w:val="24"/>
          <w:szCs w:val="24"/>
        </w:rPr>
      </w:pPr>
      <w:r>
        <w:rPr>
          <w:rFonts w:cs="宋体" w:asciiTheme="majorEastAsia" w:hAnsiTheme="majorEastAsia" w:eastAsiaTheme="majorEastAsia"/>
          <w:sz w:val="24"/>
          <w:szCs w:val="24"/>
        </w:rPr>
        <w:t>投标人最低评标价金额</w:t>
      </w:r>
    </w:p>
    <w:p>
      <w:pPr>
        <w:pStyle w:val="9"/>
        <w:keepNext w:val="0"/>
        <w:keepLines w:val="0"/>
        <w:pageBreakBefore w:val="0"/>
        <w:kinsoku/>
        <w:wordWrap/>
        <w:overflowPunct/>
        <w:topLinePunct w:val="0"/>
        <w:autoSpaceDE/>
        <w:autoSpaceDN/>
        <w:bidi w:val="0"/>
        <w:adjustRightInd/>
        <w:snapToGrid/>
        <w:spacing w:line="440" w:lineRule="exact"/>
        <w:ind w:firstLine="1160" w:firstLineChars="500"/>
        <w:textAlignment w:val="auto"/>
        <w:rPr>
          <w:rFonts w:cs="宋体" w:asciiTheme="majorEastAsia" w:hAnsiTheme="majorEastAsia" w:eastAsiaTheme="majorEastAsia"/>
          <w:sz w:val="24"/>
          <w:szCs w:val="24"/>
        </w:rPr>
      </w:pPr>
      <w:r>
        <w:rPr>
          <w:rFonts w:cs="宋体" w:asciiTheme="majorEastAsia" w:hAnsiTheme="majorEastAsia" w:eastAsiaTheme="majorEastAsia"/>
          <w:sz w:val="24"/>
          <w:szCs w:val="24"/>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106045</wp:posOffset>
                </wp:positionV>
                <wp:extent cx="16706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67068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7.7pt;margin-top:8.35pt;height:0pt;width:131.55pt;z-index:251660288;mso-width-relative:page;mso-height-relative:page;" filled="f" stroked="t" coordsize="21600,21600" o:gfxdata="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5tkr9cAAAAJAQAADwAAAAAAAAABACAA&#10;AAAiAAAAZHJzL2Rvd25yZXYueG1sUEsBAhQAFAAAAAgAh07iQM41A9nVAQAAmAMAAA4AAAAAAAAA&#10;AQAgAAAAJgEAAGRycy9lMm9Eb2MueG1sUEsFBgAAAAAGAAYAWQEAAG0FAAAAAA==&#10;">
                <v:fill on="f" focussize="0,0"/>
                <v:stroke color="#000000" joinstyle="round"/>
                <v:imagedata o:title=""/>
                <o:lock v:ext="edit" aspectratio="f"/>
              </v:line>
            </w:pict>
          </mc:Fallback>
        </mc:AlternateContent>
      </w:r>
      <w:r>
        <w:rPr>
          <w:rFonts w:cs="宋体" w:asciiTheme="majorEastAsia" w:hAnsiTheme="majorEastAsia" w:eastAsiaTheme="majorEastAsia"/>
          <w:sz w:val="24"/>
          <w:szCs w:val="24"/>
        </w:rPr>
        <w:t xml:space="preserve">某投标人价格分 ＝                         </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w:t>
      </w:r>
      <w:r>
        <w:rPr>
          <w:rFonts w:hint="eastAsia" w:cs="宋体" w:asciiTheme="majorEastAsia" w:hAnsiTheme="majorEastAsia" w:eastAsiaTheme="majorEastAsia"/>
          <w:sz w:val="24"/>
          <w:szCs w:val="24"/>
        </w:rPr>
        <w:t>3</w:t>
      </w:r>
      <w:r>
        <w:rPr>
          <w:rFonts w:cs="宋体" w:asciiTheme="majorEastAsia" w:hAnsiTheme="majorEastAsia" w:eastAsiaTheme="majorEastAsia"/>
          <w:sz w:val="24"/>
          <w:szCs w:val="24"/>
        </w:rPr>
        <w:t>0分</w:t>
      </w:r>
    </w:p>
    <w:p>
      <w:pPr>
        <w:pStyle w:val="9"/>
        <w:keepNext w:val="0"/>
        <w:keepLines w:val="0"/>
        <w:pageBreakBefore w:val="0"/>
        <w:kinsoku/>
        <w:wordWrap/>
        <w:overflowPunct/>
        <w:topLinePunct w:val="0"/>
        <w:autoSpaceDE/>
        <w:autoSpaceDN/>
        <w:bidi w:val="0"/>
        <w:adjustRightInd/>
        <w:snapToGrid/>
        <w:spacing w:line="440" w:lineRule="exact"/>
        <w:ind w:firstLine="464" w:firstLineChars="200"/>
        <w:textAlignment w:val="auto"/>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                   　      某投标人评标价金额</w:t>
      </w:r>
    </w:p>
    <w:p>
      <w:pPr>
        <w:keepNext w:val="0"/>
        <w:keepLines w:val="0"/>
        <w:pageBreakBefore w:val="0"/>
        <w:numPr>
          <w:ilvl w:val="0"/>
          <w:numId w:val="7"/>
        </w:numPr>
        <w:kinsoku/>
        <w:wordWrap/>
        <w:overflowPunct/>
        <w:topLinePunct w:val="0"/>
        <w:autoSpaceDE/>
        <w:autoSpaceDN/>
        <w:bidi w:val="0"/>
        <w:adjustRightInd/>
        <w:snapToGrid/>
        <w:spacing w:line="440" w:lineRule="exact"/>
        <w:ind w:firstLine="480" w:firstLineChars="200"/>
        <w:textAlignment w:val="auto"/>
        <w:rPr>
          <w:rFonts w:ascii="宋体" w:hAnsi="宋体"/>
          <w:b/>
          <w:sz w:val="24"/>
        </w:rPr>
      </w:pPr>
      <w:r>
        <w:rPr>
          <w:rFonts w:hint="eastAsia" w:ascii="宋体" w:hAnsi="宋体"/>
          <w:b/>
          <w:sz w:val="24"/>
        </w:rPr>
        <w:t>技术分………………………………………………………………………………54分</w:t>
      </w:r>
    </w:p>
    <w:p>
      <w:pPr>
        <w:keepNext w:val="0"/>
        <w:keepLines w:val="0"/>
        <w:pageBreakBefore w:val="0"/>
        <w:numPr>
          <w:ilvl w:val="0"/>
          <w:numId w:val="8"/>
        </w:numPr>
        <w:kinsoku/>
        <w:wordWrap/>
        <w:overflowPunct/>
        <w:topLinePunct w:val="0"/>
        <w:autoSpaceDE/>
        <w:autoSpaceDN/>
        <w:bidi w:val="0"/>
        <w:adjustRightInd/>
        <w:snapToGrid/>
        <w:spacing w:line="440" w:lineRule="exact"/>
        <w:ind w:firstLine="480" w:firstLineChars="200"/>
        <w:textAlignment w:val="auto"/>
      </w:pPr>
      <w:r>
        <w:rPr>
          <w:rFonts w:hint="eastAsia" w:ascii="宋体" w:hAnsi="宋体"/>
          <w:sz w:val="24"/>
        </w:rPr>
        <w:t>产品性能分（18分）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lang w:eastAsia="zh-CN"/>
        </w:rPr>
      </w:pPr>
      <w:r>
        <w:rPr>
          <w:rFonts w:hint="eastAsia" w:ascii="宋体" w:hAnsi="宋体"/>
          <w:color w:val="auto"/>
          <w:sz w:val="24"/>
        </w:rPr>
        <w:t>“完全响应“第二章  货物需求一览表 中“技术参数要求”所有内容的得18分;非“★”参数每有一项未响应或不满足的扣2分，扣完为止”</w:t>
      </w:r>
      <w:r>
        <w:rPr>
          <w:rFonts w:hint="eastAsia" w:ascii="宋体" w:hAnsi="宋体"/>
          <w:color w:val="auto"/>
          <w:sz w:val="24"/>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szCs w:val="24"/>
        </w:rPr>
      </w:pPr>
      <w:r>
        <w:rPr>
          <w:rFonts w:hint="eastAsia" w:ascii="宋体" w:hAnsi="宋体"/>
          <w:sz w:val="24"/>
        </w:rPr>
        <w:t>（</w:t>
      </w:r>
      <w:r>
        <w:rPr>
          <w:rFonts w:hint="eastAsia" w:ascii="宋体" w:hAnsi="宋体"/>
          <w:sz w:val="24"/>
          <w:szCs w:val="24"/>
        </w:rPr>
        <w:t xml:space="preserve">2）技术方案分（21分）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szCs w:val="24"/>
        </w:rPr>
      </w:pPr>
      <w:r>
        <w:rPr>
          <w:rFonts w:hint="eastAsia" w:ascii="宋体" w:hAnsi="宋体"/>
          <w:sz w:val="24"/>
          <w:szCs w:val="24"/>
        </w:rPr>
        <w:t xml:space="preserve"> </w:t>
      </w:r>
      <w:r>
        <w:rPr>
          <w:rFonts w:hint="eastAsia"/>
          <w:sz w:val="24"/>
          <w:szCs w:val="24"/>
        </w:rPr>
        <w:t>一档（5分）：本项目涉及到配电系统、冷通道系统、机房动环监控系统、气体消防系统、备份服务器系统等几个子系统的建设。投标人的总体设计方案思路基本清晰，能够针对用户需求提出基础简要的系统设计方案。</w:t>
      </w:r>
    </w:p>
    <w:p>
      <w:pPr>
        <w:pStyle w:val="8"/>
        <w:keepNext w:val="0"/>
        <w:keepLines w:val="0"/>
        <w:pageBreakBefore w:val="0"/>
        <w:kinsoku/>
        <w:wordWrap/>
        <w:overflowPunct/>
        <w:topLinePunct w:val="0"/>
        <w:autoSpaceDE/>
        <w:autoSpaceDN/>
        <w:bidi w:val="0"/>
        <w:adjustRightInd/>
        <w:snapToGrid/>
        <w:spacing w:line="440" w:lineRule="exact"/>
        <w:ind w:firstLine="420"/>
        <w:textAlignment w:val="auto"/>
        <w:rPr>
          <w:sz w:val="24"/>
          <w:szCs w:val="24"/>
        </w:rPr>
      </w:pPr>
      <w:r>
        <w:rPr>
          <w:rFonts w:hint="eastAsia"/>
          <w:sz w:val="24"/>
          <w:szCs w:val="24"/>
        </w:rPr>
        <w:t>二档（10分）：本项目涉及到配电系统、冷通道系统、机房动环监控系统、气体消防系统、备份服务器系统等几个子系统的建设。投标人的总体设计方案思路较为清晰，采用的技术架构路线可行。在理解本项目的建设目标和定位的基础上，能够针对性的提出系统设计优化设计方案。对关键的子系统如配电系统、机房动环监控系统有比较详细和合理的设计。</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pPr>
      <w:r>
        <w:rPr>
          <w:rFonts w:hint="eastAsia"/>
          <w:sz w:val="24"/>
          <w:szCs w:val="24"/>
        </w:rPr>
        <w:t>三档（21分）：本项目涉及到配电系统、冷通道系统、机房动环监控系统、气体消防系统、备份服务器系统等几个子系统的建设。投标人对用户的实际需求有深入分析和理解，投标人的总体设计方案思路清晰，采用的技术架构路线先进、具有较强的可行性，并具备一定的前瞻性、扩展性。在深刻理解本项目的建设目标和定位的基础上，能够针对性的提出有创新性的优化设计方案。对关键的子系统如配电系统、机房动环监控系统有比较详细和合理的设计。提供了各子系统的详细的系统图和布线图。</w:t>
      </w:r>
    </w:p>
    <w:p>
      <w:pPr>
        <w:keepNext w:val="0"/>
        <w:keepLines w:val="0"/>
        <w:pageBreakBefore w:val="0"/>
        <w:numPr>
          <w:ilvl w:val="0"/>
          <w:numId w:val="9"/>
        </w:numPr>
        <w:kinsoku/>
        <w:wordWrap/>
        <w:overflowPunct/>
        <w:topLinePunct w:val="0"/>
        <w:autoSpaceDE/>
        <w:autoSpaceDN/>
        <w:bidi w:val="0"/>
        <w:adjustRightInd/>
        <w:snapToGrid/>
        <w:spacing w:line="440" w:lineRule="exact"/>
        <w:ind w:firstLine="480" w:firstLineChars="200"/>
        <w:textAlignment w:val="auto"/>
      </w:pPr>
      <w:r>
        <w:rPr>
          <w:rFonts w:hint="eastAsia" w:ascii="宋体" w:hAnsi="宋体"/>
          <w:sz w:val="24"/>
          <w:szCs w:val="24"/>
        </w:rPr>
        <w:t>项目实施与维保服务方案分（15分）</w:t>
      </w:r>
    </w:p>
    <w:p>
      <w:pPr>
        <w:pStyle w:val="8"/>
        <w:keepNext w:val="0"/>
        <w:keepLines w:val="0"/>
        <w:pageBreakBefore w:val="0"/>
        <w:kinsoku/>
        <w:wordWrap/>
        <w:overflowPunct/>
        <w:topLinePunct w:val="0"/>
        <w:autoSpaceDE/>
        <w:autoSpaceDN/>
        <w:bidi w:val="0"/>
        <w:adjustRightInd/>
        <w:snapToGrid/>
        <w:spacing w:line="440" w:lineRule="exact"/>
        <w:ind w:firstLine="420"/>
        <w:textAlignment w:val="auto"/>
        <w:rPr>
          <w:sz w:val="24"/>
          <w:szCs w:val="24"/>
        </w:rPr>
      </w:pPr>
      <w:r>
        <w:rPr>
          <w:rFonts w:hint="eastAsia"/>
          <w:sz w:val="24"/>
          <w:szCs w:val="24"/>
        </w:rPr>
        <w:t>一档（5分）：投标人提供的实施方案有明确的项目组织实施管理机构，产品供货组织计划， 实施进度计划，人员安排计划；提供基本的售后服务方案，提供完善的培训计划及实施方案、可靠的服务响应体系，基本满足招标文件售后服务要求。</w:t>
      </w:r>
    </w:p>
    <w:p>
      <w:pPr>
        <w:pStyle w:val="8"/>
        <w:keepNext w:val="0"/>
        <w:keepLines w:val="0"/>
        <w:pageBreakBefore w:val="0"/>
        <w:kinsoku/>
        <w:wordWrap/>
        <w:overflowPunct/>
        <w:topLinePunct w:val="0"/>
        <w:autoSpaceDE/>
        <w:autoSpaceDN/>
        <w:bidi w:val="0"/>
        <w:adjustRightInd/>
        <w:snapToGrid/>
        <w:spacing w:line="440" w:lineRule="exact"/>
        <w:ind w:firstLine="420"/>
        <w:textAlignment w:val="auto"/>
        <w:rPr>
          <w:sz w:val="24"/>
          <w:szCs w:val="24"/>
        </w:rPr>
      </w:pPr>
      <w:r>
        <w:rPr>
          <w:rFonts w:hint="eastAsia"/>
          <w:sz w:val="24"/>
          <w:szCs w:val="24"/>
        </w:rPr>
        <w:t>二档（10分）：在优于一档的基础上，方案有明确的项目组织实施管理架构，详细的产品供货组织计划，详细的实施进度计划，详细的人员安排计划；提供项目详细的系统建设的售后服务方案，提供组织架构、售后服务承诺内容、服务响应体系、故障处理的响应措施、故障处理流程、维护保障流程、配品配件及维修服务等内容，对服务措施、应急预案、响应时间等有描述。</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szCs w:val="24"/>
        </w:rPr>
      </w:pPr>
      <w:r>
        <w:rPr>
          <w:rFonts w:hint="eastAsia"/>
          <w:sz w:val="24"/>
          <w:szCs w:val="24"/>
        </w:rPr>
        <w:t>三档（15分）：在优于二档的基础上；项目实施方案科学合理，有明确的工程进度和管理措施，有明确的项目实施保障措施，项目实施方案详细、切实可行，提出具有建设性实施方案优化建议；提供清晰明确且不低于采购要求的售后服务违约条款；售后服务方案中，售后服务流程、应急预案、质量保障、响应时间、售后服务违约条款等项目优于招标文件；针对本项目提供专门的售后服务支持，能提供快速的售后服务响应，并提供售后服务联系人姓名、电话、详细地址等信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b/>
          <w:sz w:val="24"/>
          <w:szCs w:val="24"/>
        </w:rPr>
      </w:pPr>
      <w:r>
        <w:rPr>
          <w:rFonts w:hint="eastAsia" w:ascii="宋体" w:hAnsi="宋体"/>
          <w:b/>
          <w:sz w:val="24"/>
          <w:szCs w:val="24"/>
        </w:rPr>
        <w:t>3、商务分………………………………………………………………………………16分</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bCs/>
          <w:kern w:val="13"/>
        </w:rPr>
      </w:pPr>
      <w:r>
        <w:rPr>
          <w:rFonts w:hint="eastAsia"/>
          <w:bCs/>
          <w:kern w:val="13"/>
        </w:rPr>
        <w:t>（1）投标人具有信息系统集成能力证书的，得2分；</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bCs/>
          <w:kern w:val="13"/>
        </w:rPr>
      </w:pPr>
      <w:r>
        <w:rPr>
          <w:rFonts w:hint="eastAsia"/>
          <w:bCs/>
          <w:kern w:val="13"/>
        </w:rPr>
        <w:t>（2）投标人具有ISO9001、ISO14001、ISO18001质量管理体系认证的，每项得1分，满分2分；</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bCs/>
          <w:kern w:val="13"/>
        </w:rPr>
      </w:pPr>
      <w:r>
        <w:rPr>
          <w:rFonts w:hint="eastAsia"/>
          <w:bCs/>
          <w:kern w:val="13"/>
        </w:rPr>
        <w:t>（3）投标人具有信息系统运行维护能力证书的，得2分；</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bCs/>
          <w:kern w:val="13"/>
        </w:rPr>
      </w:pPr>
      <w:r>
        <w:rPr>
          <w:rFonts w:hint="eastAsia"/>
          <w:bCs/>
          <w:kern w:val="13"/>
        </w:rPr>
        <w:t>（4）投标人2017年至2019年在完成同类项目的业绩，每提供一个得1分，满分2分（以中标、成交通知书或签订的合同为准）</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bCs/>
          <w:kern w:val="13"/>
        </w:rPr>
      </w:pPr>
      <w:r>
        <w:rPr>
          <w:rFonts w:hint="eastAsia"/>
          <w:bCs/>
          <w:kern w:val="13"/>
        </w:rPr>
        <w:t>（5）投标人具有备件库的得1分，该备件库位于南宁的得1分，满分2分；</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bCs/>
          <w:kern w:val="13"/>
        </w:rPr>
      </w:pPr>
      <w:r>
        <w:rPr>
          <w:rFonts w:hint="eastAsia"/>
          <w:bCs/>
          <w:kern w:val="13"/>
        </w:rPr>
        <w:t>（6）投标人拟投入本项目原厂认证工程师（中级及以上），配备一名得0.5分，满分2分。(须提供证书复印件和近半年内</w:t>
      </w:r>
      <w:r>
        <w:rPr>
          <w:rFonts w:hint="eastAsia" w:asciiTheme="minorEastAsia" w:hAnsiTheme="minorEastAsia" w:cstheme="minorEastAsia"/>
        </w:rPr>
        <w:t>连续三个月的社保证明复印件</w:t>
      </w:r>
      <w:r>
        <w:rPr>
          <w:rFonts w:hint="eastAsia"/>
          <w:bCs/>
          <w:kern w:val="13"/>
        </w:rPr>
        <w:t>)；</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bCs/>
          <w:kern w:val="13"/>
        </w:rPr>
      </w:pPr>
      <w:r>
        <w:rPr>
          <w:rFonts w:hint="eastAsia"/>
          <w:bCs/>
          <w:kern w:val="13"/>
        </w:rPr>
        <w:t>（7）投标人拟投入本项目高级项目经理，配备一名得1分，满分2分。(须提供证书复印件和近半年内</w:t>
      </w:r>
      <w:r>
        <w:rPr>
          <w:rFonts w:hint="eastAsia" w:asciiTheme="minorEastAsia" w:hAnsiTheme="minorEastAsia" w:cstheme="minorEastAsia"/>
        </w:rPr>
        <w:t>连续三个月的社保证明复印件</w:t>
      </w:r>
      <w:r>
        <w:rPr>
          <w:rFonts w:hint="eastAsia"/>
          <w:bCs/>
          <w:kern w:val="13"/>
        </w:rPr>
        <w:t>)；</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bCs/>
          <w:kern w:val="13"/>
        </w:rPr>
      </w:pPr>
      <w:r>
        <w:rPr>
          <w:rFonts w:hint="eastAsia"/>
          <w:bCs/>
          <w:kern w:val="13"/>
        </w:rPr>
        <w:t>（8）投标人拟投入本项目拥有系统集成项目管理工程师--中级（计算机技术与软件专业技术资格（水平）证书）及以上证书的项目管理人员的，配备一名得1分，满分2分。(须提供证书复印件和近半年内</w:t>
      </w:r>
      <w:r>
        <w:rPr>
          <w:rFonts w:hint="eastAsia" w:asciiTheme="minorEastAsia" w:hAnsiTheme="minorEastAsia" w:cstheme="minorEastAsia"/>
        </w:rPr>
        <w:t>连续三个月的社保证明复印件</w:t>
      </w:r>
      <w:r>
        <w:rPr>
          <w:rFonts w:hint="eastAsia"/>
          <w:bCs/>
          <w:kern w:val="13"/>
        </w:rPr>
        <w:t>)；</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bCs/>
          <w:kern w:val="13"/>
        </w:rPr>
      </w:pPr>
      <w:r>
        <w:rPr>
          <w:rFonts w:hint="eastAsia"/>
          <w:bCs/>
          <w:kern w:val="13"/>
        </w:rPr>
        <w:t>（9）诚信分，投标人在截标日前1年内在政府采购活动中存在违约违规情形的（以财政部门出具的书面材料为评分依据），每次扣除3分，最高扣分6分扣完为止。</w:t>
      </w:r>
    </w:p>
    <w:p>
      <w:pPr>
        <w:keepNext w:val="0"/>
        <w:keepLines w:val="0"/>
        <w:pageBreakBefore w:val="0"/>
        <w:tabs>
          <w:tab w:val="left" w:pos="6931"/>
        </w:tabs>
        <w:kinsoku/>
        <w:wordWrap/>
        <w:overflowPunct/>
        <w:topLinePunct w:val="0"/>
        <w:autoSpaceDE/>
        <w:autoSpaceDN/>
        <w:bidi w:val="0"/>
        <w:adjustRightInd/>
        <w:snapToGrid/>
        <w:spacing w:line="440" w:lineRule="exact"/>
        <w:ind w:firstLine="360" w:firstLineChars="150"/>
        <w:textAlignment w:val="auto"/>
        <w:rPr>
          <w:rFonts w:ascii="宋体" w:hAnsi="宋体"/>
          <w:b/>
          <w:sz w:val="24"/>
          <w:szCs w:val="24"/>
        </w:rPr>
      </w:pPr>
      <w:r>
        <w:rPr>
          <w:rFonts w:hint="eastAsia" w:ascii="宋体" w:hAnsi="宋体"/>
          <w:b/>
          <w:sz w:val="24"/>
          <w:szCs w:val="24"/>
        </w:rPr>
        <w:t>（三）总得分＝1＋2＋3</w:t>
      </w:r>
    </w:p>
    <w:p>
      <w:pPr>
        <w:keepNext w:val="0"/>
        <w:keepLines w:val="0"/>
        <w:pageBreakBefore w:val="0"/>
        <w:tabs>
          <w:tab w:val="left" w:pos="6931"/>
        </w:tabs>
        <w:kinsoku/>
        <w:wordWrap/>
        <w:overflowPunct/>
        <w:topLinePunct w:val="0"/>
        <w:autoSpaceDE/>
        <w:autoSpaceDN/>
        <w:bidi w:val="0"/>
        <w:adjustRightInd/>
        <w:snapToGrid/>
        <w:spacing w:line="440" w:lineRule="exact"/>
        <w:ind w:firstLine="360" w:firstLineChars="150"/>
        <w:textAlignment w:val="auto"/>
        <w:rPr>
          <w:rFonts w:ascii="宋体" w:hAnsi="宋体"/>
          <w:b/>
          <w:sz w:val="24"/>
          <w:szCs w:val="24"/>
        </w:rPr>
      </w:pPr>
      <w:r>
        <w:rPr>
          <w:rFonts w:hint="eastAsia" w:ascii="宋体" w:hAnsi="宋体"/>
          <w:b/>
          <w:sz w:val="24"/>
          <w:szCs w:val="24"/>
        </w:rPr>
        <w:t>（四）中标标准：</w:t>
      </w:r>
    </w:p>
    <w:p>
      <w:pPr>
        <w:keepNext w:val="0"/>
        <w:keepLines w:val="0"/>
        <w:pageBreakBefore w:val="0"/>
        <w:tabs>
          <w:tab w:val="left" w:pos="6931"/>
        </w:tabs>
        <w:kinsoku/>
        <w:wordWrap/>
        <w:overflowPunct/>
        <w:topLinePunct w:val="0"/>
        <w:autoSpaceDE/>
        <w:autoSpaceDN/>
        <w:bidi w:val="0"/>
        <w:adjustRightInd/>
        <w:snapToGrid/>
        <w:spacing w:line="440" w:lineRule="exact"/>
        <w:ind w:firstLine="360" w:firstLineChars="150"/>
        <w:textAlignment w:val="auto"/>
        <w:rPr>
          <w:rFonts w:ascii="宋体" w:hAnsi="宋体"/>
          <w:b/>
          <w:sz w:val="24"/>
          <w:szCs w:val="24"/>
        </w:rPr>
      </w:pPr>
      <w:r>
        <w:rPr>
          <w:rFonts w:hint="eastAsia" w:ascii="宋体" w:hAnsi="宋体"/>
          <w:sz w:val="24"/>
          <w:szCs w:val="24"/>
        </w:rPr>
        <w:t>（</w:t>
      </w:r>
      <w:r>
        <w:rPr>
          <w:rFonts w:hint="eastAsia" w:ascii="宋体" w:hAnsi="宋体"/>
          <w:b/>
          <w:sz w:val="24"/>
          <w:szCs w:val="24"/>
        </w:rPr>
        <w:t>1）评标委员会将按总得分由高到低排列中标候选投标人顺序（总得分相同时，依次按投标报价低优先、技术分高优先、质量保证期长优先、提交服务成果时间短优先、处理问题到达时间短优先的顺序排列），并依照次序确定中标供应商。</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sz w:val="24"/>
        </w:rPr>
      </w:pPr>
      <w:r>
        <w:rPr>
          <w:rFonts w:hint="eastAsia" w:ascii="宋体" w:hAnsi="宋体" w:cs="宋体"/>
          <w:b/>
          <w:sz w:val="24"/>
        </w:rPr>
        <w:t>（2）评委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w:t>
      </w:r>
    </w:p>
    <w:p>
      <w:pPr>
        <w:spacing w:line="460" w:lineRule="exact"/>
        <w:ind w:firstLine="360" w:firstLineChars="150"/>
        <w:rPr>
          <w:rFonts w:ascii="宋体" w:hAnsi="宋体" w:cs="宋体"/>
          <w:kern w:val="0"/>
          <w:sz w:val="24"/>
          <w:szCs w:val="24"/>
        </w:rPr>
      </w:pPr>
    </w:p>
    <w:p>
      <w:pPr>
        <w:pStyle w:val="27"/>
        <w:ind w:firstLine="480"/>
        <w:rPr>
          <w:rFonts w:ascii="宋体" w:hAnsi="宋体" w:cs="宋体"/>
          <w:bCs/>
          <w:sz w:val="24"/>
          <w:szCs w:val="24"/>
        </w:rPr>
        <w:sectPr>
          <w:footerReference r:id="rId12" w:type="default"/>
          <w:pgSz w:w="11906" w:h="16838"/>
          <w:pgMar w:top="1134" w:right="1134" w:bottom="784" w:left="1134" w:header="720" w:footer="720" w:gutter="0"/>
          <w:pgNumType w:start="1"/>
          <w:cols w:space="720" w:num="1"/>
          <w:docGrid w:type="linesAndChars" w:linePitch="331" w:charSpace="0"/>
        </w:sectPr>
      </w:pPr>
    </w:p>
    <w:p>
      <w:pPr>
        <w:spacing w:line="360" w:lineRule="auto"/>
        <w:jc w:val="center"/>
        <w:outlineLvl w:val="0"/>
        <w:rPr>
          <w:rFonts w:ascii="宋体" w:hAnsi="宋体" w:cs="宋体"/>
          <w:b/>
          <w:bCs/>
          <w:sz w:val="36"/>
          <w:szCs w:val="36"/>
        </w:rPr>
      </w:pPr>
      <w:bookmarkStart w:id="18" w:name="_Toc10675"/>
      <w:bookmarkStart w:id="19" w:name="_Toc32016"/>
      <w:bookmarkStart w:id="20" w:name="_Toc18335"/>
      <w:r>
        <w:rPr>
          <w:rFonts w:hint="eastAsia" w:ascii="宋体" w:hAnsi="宋体" w:cs="宋体"/>
          <w:b/>
          <w:bCs/>
          <w:sz w:val="36"/>
          <w:szCs w:val="36"/>
        </w:rPr>
        <w:t>第四章  投标人须知</w:t>
      </w:r>
      <w:bookmarkEnd w:id="3"/>
      <w:bookmarkEnd w:id="4"/>
      <w:bookmarkEnd w:id="15"/>
      <w:bookmarkEnd w:id="16"/>
      <w:bookmarkEnd w:id="18"/>
      <w:bookmarkEnd w:id="19"/>
      <w:bookmarkEnd w:id="20"/>
    </w:p>
    <w:p>
      <w:pPr>
        <w:pStyle w:val="10"/>
        <w:spacing w:line="720" w:lineRule="auto"/>
        <w:jc w:val="center"/>
        <w:rPr>
          <w:rFonts w:hint="default" w:hAnsi="宋体" w:cs="宋体"/>
          <w:b/>
          <w:bCs/>
          <w:sz w:val="30"/>
          <w:szCs w:val="30"/>
        </w:rPr>
      </w:pPr>
      <w:r>
        <w:rPr>
          <w:rFonts w:hAnsi="宋体" w:cs="宋体"/>
          <w:b/>
          <w:bCs/>
          <w:sz w:val="30"/>
          <w:szCs w:val="30"/>
        </w:rPr>
        <w:t xml:space="preserve">  投标人须知前附表</w:t>
      </w:r>
    </w:p>
    <w:tbl>
      <w:tblPr>
        <w:tblStyle w:val="18"/>
        <w:tblW w:w="10420"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846"/>
        <w:gridCol w:w="6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12" w:type="dxa"/>
            <w:vAlign w:val="center"/>
          </w:tcPr>
          <w:p>
            <w:pPr>
              <w:adjustRightInd w:val="0"/>
              <w:spacing w:line="360" w:lineRule="auto"/>
              <w:jc w:val="center"/>
              <w:rPr>
                <w:rFonts w:ascii="宋体" w:hAnsi="宋体" w:cs="宋体"/>
                <w:b/>
                <w:bCs/>
                <w:sz w:val="24"/>
                <w:szCs w:val="24"/>
              </w:rPr>
            </w:pPr>
            <w:r>
              <w:rPr>
                <w:rFonts w:hint="eastAsia" w:ascii="宋体" w:hAnsi="宋体" w:cs="宋体"/>
                <w:b/>
                <w:bCs/>
                <w:sz w:val="24"/>
                <w:szCs w:val="24"/>
              </w:rPr>
              <w:t>条款号</w:t>
            </w:r>
          </w:p>
        </w:tc>
        <w:tc>
          <w:tcPr>
            <w:tcW w:w="2846"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条款名称</w:t>
            </w:r>
          </w:p>
        </w:tc>
        <w:tc>
          <w:tcPr>
            <w:tcW w:w="6562" w:type="dxa"/>
          </w:tcPr>
          <w:p>
            <w:pPr>
              <w:spacing w:line="360" w:lineRule="auto"/>
              <w:jc w:val="center"/>
              <w:rPr>
                <w:rFonts w:ascii="宋体" w:hAnsi="宋体" w:cs="宋体"/>
                <w:b/>
                <w:bCs/>
                <w:sz w:val="24"/>
                <w:szCs w:val="24"/>
              </w:rPr>
            </w:pPr>
            <w:r>
              <w:rPr>
                <w:rFonts w:hint="eastAsia" w:ascii="宋体" w:hAnsi="宋体" w:cs="宋体"/>
                <w:b/>
                <w:bCs/>
                <w:sz w:val="24"/>
                <w:szCs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1.1</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采购人</w:t>
            </w:r>
          </w:p>
        </w:tc>
        <w:tc>
          <w:tcPr>
            <w:tcW w:w="6562" w:type="dxa"/>
            <w:vAlign w:val="center"/>
          </w:tcPr>
          <w:p>
            <w:pPr>
              <w:pStyle w:val="10"/>
              <w:spacing w:line="400" w:lineRule="exact"/>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名称： 南宁市社会保障卡管理办公室</w:t>
            </w:r>
          </w:p>
          <w:p>
            <w:pPr>
              <w:pStyle w:val="10"/>
              <w:spacing w:line="400" w:lineRule="exact"/>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 xml:space="preserve">地址：广西南宁市桂春路南二里4号 </w:t>
            </w:r>
          </w:p>
          <w:p>
            <w:pPr>
              <w:pStyle w:val="10"/>
              <w:spacing w:line="400" w:lineRule="exact"/>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 xml:space="preserve">联系人：潘卓  </w:t>
            </w:r>
          </w:p>
          <w:p>
            <w:pPr>
              <w:pStyle w:val="10"/>
              <w:spacing w:line="400" w:lineRule="exact"/>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电话： 0771-5537081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1.2</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采购代理机构</w:t>
            </w:r>
          </w:p>
        </w:tc>
        <w:tc>
          <w:tcPr>
            <w:tcW w:w="6562" w:type="dxa"/>
            <w:vAlign w:val="center"/>
          </w:tcPr>
          <w:p>
            <w:pPr>
              <w:pStyle w:val="10"/>
              <w:spacing w:line="400" w:lineRule="exact"/>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名称：广西邕政采购代理有限公司</w:t>
            </w:r>
          </w:p>
          <w:p>
            <w:pPr>
              <w:pStyle w:val="10"/>
              <w:spacing w:line="400" w:lineRule="exact"/>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地址：南宁市青秀区思贤路45号创投中心16A层</w:t>
            </w:r>
          </w:p>
          <w:p>
            <w:pPr>
              <w:pStyle w:val="10"/>
              <w:spacing w:line="400" w:lineRule="exact"/>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项目联系人：罗工、黎工</w:t>
            </w:r>
          </w:p>
          <w:p>
            <w:pPr>
              <w:pStyle w:val="10"/>
              <w:spacing w:line="400" w:lineRule="exact"/>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 xml:space="preserve">联系电话：0771-2442850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1.3</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6562" w:type="dxa"/>
            <w:vAlign w:val="center"/>
          </w:tcPr>
          <w:p>
            <w:pPr>
              <w:spacing w:line="360" w:lineRule="auto"/>
              <w:rPr>
                <w:rFonts w:ascii="宋体" w:hAnsi="宋体" w:cs="宋体"/>
                <w:sz w:val="24"/>
                <w:szCs w:val="24"/>
              </w:rPr>
            </w:pPr>
            <w:r>
              <w:rPr>
                <w:rFonts w:hint="eastAsia" w:ascii="宋体" w:hAnsi="宋体" w:cs="宋体"/>
                <w:sz w:val="24"/>
                <w:szCs w:val="24"/>
              </w:rPr>
              <w:t xml:space="preserve">南宁市就业创业和人力资源市场信息系统数据备份中心建设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1.4</w:t>
            </w:r>
          </w:p>
        </w:tc>
        <w:tc>
          <w:tcPr>
            <w:tcW w:w="2846"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项目编号</w:t>
            </w:r>
          </w:p>
        </w:tc>
        <w:tc>
          <w:tcPr>
            <w:tcW w:w="6562" w:type="dxa"/>
            <w:vAlign w:val="center"/>
          </w:tcPr>
          <w:p>
            <w:pPr>
              <w:spacing w:line="360" w:lineRule="auto"/>
              <w:jc w:val="left"/>
              <w:rPr>
                <w:rFonts w:hint="eastAsia" w:ascii="宋体" w:hAnsi="宋体" w:cs="宋体"/>
                <w:sz w:val="24"/>
                <w:szCs w:val="24"/>
              </w:rPr>
            </w:pPr>
            <w:r>
              <w:rPr>
                <w:rFonts w:hint="eastAsia" w:ascii="宋体" w:hAnsi="宋体" w:cs="宋体"/>
                <w:sz w:val="24"/>
                <w:szCs w:val="24"/>
              </w:rPr>
              <w:t>NNZC2020-G1-990185-GXYZ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1.5</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采购预算</w:t>
            </w:r>
          </w:p>
        </w:tc>
        <w:tc>
          <w:tcPr>
            <w:tcW w:w="6562" w:type="dxa"/>
            <w:vAlign w:val="center"/>
          </w:tcPr>
          <w:p>
            <w:pPr>
              <w:pStyle w:val="16"/>
              <w:spacing w:before="75" w:beforeAutospacing="0" w:after="75" w:afterAutospacing="0" w:line="440" w:lineRule="exact"/>
            </w:pPr>
            <w:r>
              <w:rPr>
                <w:rFonts w:hint="eastAsia" w:asciiTheme="majorEastAsia" w:hAnsiTheme="majorEastAsia" w:eastAsiaTheme="majorEastAsia"/>
              </w:rPr>
              <w:t>人民币</w:t>
            </w:r>
            <w:r>
              <w:rPr>
                <w:rFonts w:hint="eastAsia" w:asciiTheme="majorEastAsia" w:hAnsiTheme="majorEastAsia" w:eastAsiaTheme="majorEastAsia"/>
              </w:rPr>
              <w:fldChar w:fldCharType="begin"/>
            </w:r>
            <w:r>
              <w:rPr>
                <w:rFonts w:hint="eastAsia" w:asciiTheme="majorEastAsia" w:hAnsiTheme="majorEastAsia" w:eastAsiaTheme="majorEastAsia"/>
              </w:rPr>
              <w:instrText xml:space="preserve"> = 916000 \* CHINESENUM2 \* MERGEFORMAT </w:instrText>
            </w:r>
            <w:r>
              <w:rPr>
                <w:rFonts w:hint="eastAsia" w:asciiTheme="majorEastAsia" w:hAnsiTheme="majorEastAsia" w:eastAsiaTheme="majorEastAsia"/>
              </w:rPr>
              <w:fldChar w:fldCharType="separate"/>
            </w:r>
            <w:r>
              <w:rPr>
                <w:rFonts w:hint="eastAsia" w:asciiTheme="majorEastAsia" w:hAnsiTheme="majorEastAsia" w:eastAsiaTheme="majorEastAsia"/>
              </w:rPr>
              <w:t>玖拾壹万陆仟</w:t>
            </w:r>
            <w:r>
              <w:rPr>
                <w:rFonts w:hint="eastAsia" w:asciiTheme="majorEastAsia" w:hAnsiTheme="majorEastAsia" w:eastAsiaTheme="majorEastAsia"/>
              </w:rPr>
              <w:fldChar w:fldCharType="end"/>
            </w:r>
            <w:r>
              <w:rPr>
                <w:rFonts w:hint="eastAsia" w:asciiTheme="majorEastAsia" w:hAnsiTheme="majorEastAsia" w:eastAsiaTheme="majorEastAsia"/>
              </w:rPr>
              <w:t>元整(￥916000.00元)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12" w:type="dxa"/>
            <w:vAlign w:val="center"/>
          </w:tcPr>
          <w:p>
            <w:pPr>
              <w:spacing w:line="360" w:lineRule="auto"/>
              <w:jc w:val="center"/>
              <w:rPr>
                <w:rFonts w:ascii="宋体" w:hAnsi="宋体" w:cs="宋体"/>
                <w:sz w:val="24"/>
                <w:szCs w:val="24"/>
              </w:rPr>
            </w:pPr>
            <w:r>
              <w:rPr>
                <w:rFonts w:hint="eastAsia" w:ascii="宋体" w:hAnsi="宋体" w:cs="宋体"/>
                <w:sz w:val="24"/>
                <w:szCs w:val="24"/>
              </w:rPr>
              <w:t>1.7</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获取招标文件的方式</w:t>
            </w:r>
          </w:p>
        </w:tc>
        <w:tc>
          <w:tcPr>
            <w:tcW w:w="6562" w:type="dxa"/>
            <w:vAlign w:val="center"/>
          </w:tcPr>
          <w:p>
            <w:pPr>
              <w:spacing w:line="400" w:lineRule="exact"/>
              <w:rPr>
                <w:rFonts w:ascii="宋体" w:hAnsi="宋体" w:cs="宋体"/>
                <w:sz w:val="24"/>
                <w:szCs w:val="24"/>
              </w:rPr>
            </w:pPr>
            <w:r>
              <w:rPr>
                <w:rFonts w:hint="eastAsia" w:ascii="宋体" w:hAnsi="宋体" w:cs="宋体"/>
                <w:sz w:val="24"/>
                <w:szCs w:val="24"/>
              </w:rPr>
              <w:t>1、本项目不发放纸质文件，投标人自行在南宁市公共资源交易平台(https://www.nnggzy.org.cn/gxnnzbw/)的信息公告处下载采购文件。</w:t>
            </w:r>
          </w:p>
          <w:p>
            <w:pPr>
              <w:spacing w:line="400" w:lineRule="exact"/>
              <w:rPr>
                <w:rFonts w:ascii="宋体" w:hAnsi="宋体" w:cs="宋体"/>
                <w:sz w:val="24"/>
                <w:szCs w:val="24"/>
              </w:rPr>
            </w:pPr>
            <w:r>
              <w:rPr>
                <w:rFonts w:hint="eastAsia" w:ascii="宋体" w:hAnsi="宋体" w:cs="宋体"/>
                <w:sz w:val="24"/>
                <w:szCs w:val="24"/>
              </w:rPr>
              <w:t>2、采购文件每套售价0元。</w:t>
            </w:r>
          </w:p>
          <w:p>
            <w:pPr>
              <w:pStyle w:val="16"/>
              <w:spacing w:before="75" w:beforeAutospacing="0" w:after="75" w:afterAutospacing="0" w:line="440" w:lineRule="exact"/>
            </w:pPr>
            <w:r>
              <w:rPr>
                <w:rFonts w:hint="eastAsia"/>
              </w:rPr>
              <w:t>3、本项目公开招标公告期限为公告发布之日起5个工作日（2020年</w:t>
            </w:r>
            <w:r>
              <w:rPr>
                <w:rFonts w:hint="eastAsia"/>
                <w:lang w:val="en-US" w:eastAsia="zh-CN"/>
              </w:rPr>
              <w:t>9</w:t>
            </w:r>
            <w:r>
              <w:rPr>
                <w:rFonts w:hint="eastAsia"/>
              </w:rPr>
              <w:t>月</w:t>
            </w:r>
            <w:r>
              <w:rPr>
                <w:rFonts w:hint="eastAsia"/>
                <w:lang w:val="en-US" w:eastAsia="zh-CN"/>
              </w:rPr>
              <w:t>30</w:t>
            </w:r>
            <w:r>
              <w:rPr>
                <w:rFonts w:hint="eastAsia"/>
              </w:rPr>
              <w:t>日至2020年</w:t>
            </w:r>
            <w:r>
              <w:rPr>
                <w:rFonts w:hint="eastAsia"/>
                <w:lang w:val="en-US" w:eastAsia="zh-CN"/>
              </w:rPr>
              <w:t>10</w:t>
            </w:r>
            <w:r>
              <w:rPr>
                <w:rFonts w:hint="eastAsia"/>
              </w:rPr>
              <w:t>月</w:t>
            </w:r>
            <w:r>
              <w:rPr>
                <w:rFonts w:hint="eastAsia"/>
                <w:lang w:val="en-US" w:eastAsia="zh-CN"/>
              </w:rPr>
              <w:t>13</w:t>
            </w:r>
            <w:r>
              <w:rPr>
                <w:rFonts w:hint="eastAsia"/>
              </w:rPr>
              <w:t>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1.8</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预留采购份额</w:t>
            </w:r>
          </w:p>
        </w:tc>
        <w:tc>
          <w:tcPr>
            <w:tcW w:w="6562" w:type="dxa"/>
            <w:vAlign w:val="center"/>
          </w:tcPr>
          <w:p>
            <w:pPr>
              <w:pStyle w:val="10"/>
              <w:spacing w:line="360" w:lineRule="auto"/>
              <w:rPr>
                <w:rFonts w:hint="default" w:hAnsi="宋体" w:cs="宋体"/>
                <w:sz w:val="24"/>
                <w:szCs w:val="24"/>
              </w:rPr>
            </w:pPr>
            <w:r>
              <w:rPr>
                <w:rFonts w:hAnsi="宋体" w:cs="宋体"/>
                <w:sz w:val="24"/>
                <w:szCs w:val="24"/>
              </w:rPr>
              <w:t>本项目非专门面向中小型企业采购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3.2</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投标人应具备的资格条件</w:t>
            </w:r>
          </w:p>
        </w:tc>
        <w:tc>
          <w:tcPr>
            <w:tcW w:w="6562" w:type="dxa"/>
            <w:vAlign w:val="center"/>
          </w:tcPr>
          <w:p>
            <w:pPr>
              <w:widowControl/>
              <w:spacing w:before="75" w:after="75" w:line="400" w:lineRule="exact"/>
              <w:jc w:val="left"/>
              <w:rPr>
                <w:rFonts w:ascii="宋体" w:hAnsi="宋体" w:cs="宋体"/>
                <w:kern w:val="0"/>
                <w:sz w:val="24"/>
                <w:szCs w:val="24"/>
              </w:rPr>
            </w:pPr>
            <w:r>
              <w:rPr>
                <w:rFonts w:hint="eastAsia" w:ascii="宋体" w:hAnsi="宋体" w:cs="宋体"/>
                <w:kern w:val="0"/>
                <w:sz w:val="24"/>
                <w:szCs w:val="24"/>
              </w:rPr>
              <w:t>1、符合《中华人民共和国政府采购法》第二十二条规定；</w:t>
            </w:r>
          </w:p>
          <w:p>
            <w:pPr>
              <w:widowControl/>
              <w:spacing w:before="75" w:after="75" w:line="400" w:lineRule="exact"/>
              <w:jc w:val="left"/>
              <w:rPr>
                <w:rFonts w:ascii="宋体" w:hAnsi="宋体" w:cs="宋体"/>
                <w:kern w:val="0"/>
                <w:sz w:val="24"/>
                <w:szCs w:val="24"/>
              </w:rPr>
            </w:pPr>
            <w:r>
              <w:rPr>
                <w:rFonts w:hint="eastAsia" w:ascii="宋体" w:hAnsi="宋体" w:cs="宋体"/>
                <w:kern w:val="0"/>
                <w:sz w:val="24"/>
                <w:szCs w:val="24"/>
              </w:rPr>
              <w:t>2、本项目需落实的政府采购政策：本项目适用政府采购促进中小企业、监狱企业发展、促进残疾人就业、节能环保等有关政策，具体详见招标文件；</w:t>
            </w:r>
          </w:p>
          <w:p>
            <w:pPr>
              <w:widowControl/>
              <w:spacing w:before="75" w:after="75" w:line="400" w:lineRule="exact"/>
              <w:jc w:val="left"/>
              <w:rPr>
                <w:rFonts w:ascii="宋体" w:hAnsi="宋体" w:cs="宋体"/>
                <w:kern w:val="0"/>
                <w:sz w:val="24"/>
                <w:szCs w:val="24"/>
              </w:rPr>
            </w:pPr>
            <w:r>
              <w:rPr>
                <w:rFonts w:hint="eastAsia" w:ascii="宋体" w:hAnsi="宋体" w:cs="宋体"/>
                <w:kern w:val="0"/>
                <w:sz w:val="24"/>
                <w:szCs w:val="24"/>
              </w:rPr>
              <w:t>3、本项目的特定资格要求：无；</w:t>
            </w:r>
          </w:p>
          <w:p>
            <w:pPr>
              <w:widowControl/>
              <w:spacing w:before="75" w:after="75" w:line="400" w:lineRule="exact"/>
              <w:jc w:val="left"/>
              <w:rPr>
                <w:rFonts w:ascii="宋体" w:hAnsi="宋体" w:cs="宋体"/>
                <w:kern w:val="0"/>
                <w:sz w:val="24"/>
                <w:szCs w:val="24"/>
              </w:rPr>
            </w:pPr>
            <w:r>
              <w:rPr>
                <w:rFonts w:hint="eastAsia" w:ascii="宋体" w:hAnsi="宋体" w:cs="宋体"/>
                <w:kern w:val="0"/>
                <w:sz w:val="24"/>
                <w:szCs w:val="24"/>
              </w:rPr>
              <w:t>4、</w:t>
            </w:r>
            <w:r>
              <w:rPr>
                <w:rFonts w:hint="eastAsia" w:ascii="宋体" w:hAnsi="宋体"/>
                <w:sz w:val="24"/>
              </w:rPr>
              <w:t>具有国内法人资格或法人授权委托的分公司，注册经营(业务)范围满足采购内容的供应商或法人授权委托的分公司</w:t>
            </w:r>
            <w:r>
              <w:rPr>
                <w:rFonts w:hint="eastAsia" w:ascii="宋体" w:hAnsi="宋体" w:cs="宋体"/>
                <w:kern w:val="0"/>
                <w:sz w:val="24"/>
                <w:szCs w:val="24"/>
              </w:rPr>
              <w:t>；</w:t>
            </w:r>
          </w:p>
          <w:p>
            <w:pPr>
              <w:widowControl/>
              <w:spacing w:before="75" w:after="75" w:line="400" w:lineRule="exact"/>
              <w:jc w:val="left"/>
              <w:rPr>
                <w:rFonts w:ascii="宋体" w:hAnsi="宋体" w:cs="宋体"/>
                <w:kern w:val="0"/>
                <w:sz w:val="24"/>
                <w:szCs w:val="24"/>
              </w:rPr>
            </w:pPr>
            <w:r>
              <w:rPr>
                <w:rFonts w:hint="eastAsia" w:ascii="宋体" w:hAnsi="宋体" w:cs="宋体"/>
                <w:kern w:val="0"/>
                <w:sz w:val="24"/>
                <w:szCs w:val="24"/>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6"/>
              <w:spacing w:before="75" w:beforeAutospacing="0" w:after="75" w:afterAutospacing="0" w:line="440" w:lineRule="exact"/>
            </w:pPr>
            <w:r>
              <w:rPr>
                <w:rFonts w:hint="eastAsia"/>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3.3</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是否接受联合体投标</w:t>
            </w:r>
          </w:p>
        </w:tc>
        <w:tc>
          <w:tcPr>
            <w:tcW w:w="6562" w:type="dxa"/>
            <w:vAlign w:val="center"/>
          </w:tcPr>
          <w:p>
            <w:pPr>
              <w:spacing w:line="360" w:lineRule="auto"/>
              <w:rPr>
                <w:rFonts w:ascii="宋体" w:hAnsi="宋体" w:cs="宋体"/>
                <w:sz w:val="24"/>
                <w:szCs w:val="24"/>
              </w:rPr>
            </w:pPr>
            <w:r>
              <w:rPr>
                <w:rFonts w:hint="eastAsia" w:ascii="宋体" w:hAnsi="宋体" w:cs="宋体"/>
                <w:sz w:val="24"/>
                <w:szCs w:val="24"/>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4.1</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招标文件质疑提交的截止时间</w:t>
            </w:r>
          </w:p>
        </w:tc>
        <w:tc>
          <w:tcPr>
            <w:tcW w:w="6562" w:type="dxa"/>
            <w:vAlign w:val="center"/>
          </w:tcPr>
          <w:p>
            <w:pPr>
              <w:spacing w:line="360" w:lineRule="auto"/>
              <w:jc w:val="left"/>
              <w:rPr>
                <w:rFonts w:ascii="宋体" w:hAnsi="宋体" w:cs="宋体"/>
                <w:sz w:val="24"/>
                <w:szCs w:val="24"/>
              </w:rPr>
            </w:pPr>
            <w:r>
              <w:rPr>
                <w:rFonts w:hint="eastAsia" w:ascii="宋体" w:hAnsi="宋体" w:cs="宋体"/>
                <w:sz w:val="24"/>
                <w:szCs w:val="24"/>
              </w:rPr>
              <w:t>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1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4.2</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质疑受理提交地点、电话</w:t>
            </w:r>
          </w:p>
        </w:tc>
        <w:tc>
          <w:tcPr>
            <w:tcW w:w="6562" w:type="dxa"/>
            <w:vAlign w:val="center"/>
          </w:tcPr>
          <w:p>
            <w:pPr>
              <w:spacing w:line="400" w:lineRule="exact"/>
              <w:jc w:val="left"/>
              <w:rPr>
                <w:rFonts w:ascii="宋体" w:hAnsi="宋体" w:cs="宋体"/>
                <w:bCs/>
                <w:sz w:val="24"/>
                <w:szCs w:val="20"/>
              </w:rPr>
            </w:pPr>
            <w:r>
              <w:rPr>
                <w:rFonts w:ascii="宋体" w:hAnsi="宋体" w:cs="宋体"/>
                <w:bCs/>
                <w:sz w:val="24"/>
                <w:szCs w:val="20"/>
              </w:rPr>
              <w:t>1、对</w:t>
            </w:r>
            <w:r>
              <w:rPr>
                <w:rFonts w:hint="eastAsia" w:ascii="宋体" w:hAnsi="宋体" w:cs="宋体"/>
                <w:bCs/>
                <w:sz w:val="24"/>
                <w:szCs w:val="20"/>
              </w:rPr>
              <w:t>资格</w:t>
            </w:r>
            <w:r>
              <w:rPr>
                <w:rFonts w:ascii="宋体" w:hAnsi="宋体" w:cs="宋体"/>
                <w:bCs/>
                <w:sz w:val="24"/>
                <w:szCs w:val="20"/>
              </w:rPr>
              <w:t>审查的质疑，由采购人负责受理和答复。（地址：</w:t>
            </w:r>
            <w:r>
              <w:rPr>
                <w:rFonts w:hint="eastAsia" w:ascii="宋体" w:hAnsi="宋体" w:cs="宋体"/>
                <w:bCs/>
                <w:sz w:val="24"/>
                <w:szCs w:val="20"/>
              </w:rPr>
              <w:t>广西南宁市桂春路南二里4号</w:t>
            </w:r>
            <w:r>
              <w:rPr>
                <w:rFonts w:ascii="宋体" w:hAnsi="宋体" w:cs="宋体"/>
                <w:bCs/>
                <w:sz w:val="24"/>
                <w:szCs w:val="20"/>
              </w:rPr>
              <w:t>； 质疑咨询电话：</w:t>
            </w:r>
            <w:r>
              <w:rPr>
                <w:rFonts w:hint="eastAsia" w:ascii="宋体" w:hAnsi="宋体" w:cs="宋体"/>
                <w:sz w:val="24"/>
                <w:szCs w:val="20"/>
              </w:rPr>
              <w:t>0771-5537081</w:t>
            </w:r>
            <w:r>
              <w:rPr>
                <w:rFonts w:ascii="宋体" w:hAnsi="宋体" w:cs="宋体"/>
                <w:bCs/>
                <w:sz w:val="24"/>
                <w:szCs w:val="20"/>
              </w:rPr>
              <w:t>）</w:t>
            </w:r>
          </w:p>
          <w:p>
            <w:pPr>
              <w:pStyle w:val="10"/>
              <w:spacing w:line="360" w:lineRule="auto"/>
              <w:rPr>
                <w:rFonts w:hint="default" w:hAnsi="宋体" w:cs="宋体"/>
                <w:bCs/>
                <w:sz w:val="24"/>
              </w:rPr>
            </w:pPr>
            <w:r>
              <w:rPr>
                <w:rFonts w:hAnsi="宋体" w:cs="宋体"/>
                <w:bCs/>
                <w:kern w:val="0"/>
                <w:sz w:val="24"/>
                <w:szCs w:val="22"/>
              </w:rPr>
              <w:t>2、对资格审查以外的质疑，由广西邕政采购代理有限公司负责受理和答复。（地址：</w:t>
            </w:r>
            <w:r>
              <w:rPr>
                <w:rFonts w:hAnsi="宋体" w:cs="宋体"/>
                <w:kern w:val="0"/>
                <w:sz w:val="24"/>
                <w:szCs w:val="24"/>
              </w:rPr>
              <w:t>南宁市青秀区思贤路45号创投中心16A层</w:t>
            </w:r>
            <w:r>
              <w:rPr>
                <w:rFonts w:hAnsi="宋体" w:cs="宋体"/>
                <w:bCs/>
                <w:kern w:val="0"/>
                <w:sz w:val="24"/>
                <w:szCs w:val="22"/>
              </w:rPr>
              <w:t>； 质疑咨询电话：</w:t>
            </w:r>
            <w:r>
              <w:rPr>
                <w:rFonts w:hAnsi="宋体" w:cs="宋体"/>
                <w:kern w:val="0"/>
                <w:sz w:val="24"/>
                <w:szCs w:val="24"/>
              </w:rPr>
              <w:t>0771-2442850</w:t>
            </w:r>
            <w:r>
              <w:rPr>
                <w:rFonts w:hAnsi="宋体" w:cs="宋体"/>
                <w:bCs/>
                <w:kern w:val="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7.1</w:t>
            </w:r>
          </w:p>
        </w:tc>
        <w:tc>
          <w:tcPr>
            <w:tcW w:w="2846" w:type="dxa"/>
            <w:vAlign w:val="center"/>
          </w:tcPr>
          <w:p>
            <w:pPr>
              <w:spacing w:line="360" w:lineRule="auto"/>
              <w:jc w:val="center"/>
              <w:rPr>
                <w:rFonts w:ascii="宋体" w:hAnsi="宋体" w:cs="宋体"/>
                <w:sz w:val="24"/>
                <w:szCs w:val="24"/>
              </w:rPr>
            </w:pPr>
            <w:r>
              <w:rPr>
                <w:rFonts w:hint="eastAsia" w:ascii="宋体" w:hAnsi="宋体" w:cs="宋体"/>
                <w:kern w:val="0"/>
                <w:sz w:val="24"/>
                <w:szCs w:val="24"/>
              </w:rPr>
              <w:t>投标人要求澄清的截止时间</w:t>
            </w:r>
          </w:p>
        </w:tc>
        <w:tc>
          <w:tcPr>
            <w:tcW w:w="6562" w:type="dxa"/>
            <w:vAlign w:val="center"/>
          </w:tcPr>
          <w:p>
            <w:pPr>
              <w:spacing w:line="360" w:lineRule="auto"/>
              <w:rPr>
                <w:rFonts w:ascii="宋体" w:hAnsi="宋体" w:cs="宋体"/>
                <w:sz w:val="24"/>
                <w:szCs w:val="24"/>
              </w:rPr>
            </w:pPr>
            <w:r>
              <w:rPr>
                <w:rFonts w:hint="eastAsia" w:ascii="宋体" w:hAnsi="宋体" w:cs="宋体"/>
                <w:sz w:val="24"/>
                <w:szCs w:val="24"/>
              </w:rPr>
              <w:t>招标文件发售之日起7个工作日内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8.8</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投标文件份数</w:t>
            </w:r>
          </w:p>
        </w:tc>
        <w:tc>
          <w:tcPr>
            <w:tcW w:w="6562" w:type="dxa"/>
            <w:vAlign w:val="center"/>
          </w:tcPr>
          <w:p>
            <w:pPr>
              <w:pStyle w:val="10"/>
              <w:spacing w:line="360" w:lineRule="auto"/>
              <w:rPr>
                <w:rFonts w:hint="default" w:hAnsi="宋体" w:cs="宋体"/>
                <w:sz w:val="24"/>
                <w:szCs w:val="24"/>
              </w:rPr>
            </w:pPr>
            <w:r>
              <w:rPr>
                <w:rFonts w:hAnsi="宋体" w:cs="宋体"/>
                <w:sz w:val="24"/>
                <w:szCs w:val="24"/>
              </w:rPr>
              <w:t>报价文件：正本1份，副本4份</w:t>
            </w:r>
          </w:p>
          <w:p>
            <w:pPr>
              <w:pStyle w:val="10"/>
              <w:spacing w:line="360" w:lineRule="auto"/>
              <w:rPr>
                <w:rFonts w:hint="default" w:hAnsi="宋体" w:cs="宋体"/>
                <w:sz w:val="24"/>
                <w:szCs w:val="24"/>
              </w:rPr>
            </w:pPr>
            <w:r>
              <w:rPr>
                <w:rFonts w:hAnsi="宋体" w:cs="宋体"/>
                <w:sz w:val="24"/>
                <w:szCs w:val="24"/>
              </w:rPr>
              <w:t>资格文件：正本1份，副本4份</w:t>
            </w:r>
          </w:p>
          <w:p>
            <w:pPr>
              <w:pStyle w:val="10"/>
              <w:spacing w:line="360" w:lineRule="auto"/>
              <w:rPr>
                <w:rFonts w:hint="default" w:hAnsi="宋体" w:cs="宋体"/>
                <w:sz w:val="24"/>
                <w:szCs w:val="24"/>
              </w:rPr>
            </w:pPr>
            <w:r>
              <w:rPr>
                <w:rFonts w:hAnsi="宋体" w:cs="宋体"/>
                <w:sz w:val="24"/>
                <w:szCs w:val="24"/>
              </w:rPr>
              <w:t>技术文件：正本1份，副本4份</w:t>
            </w:r>
          </w:p>
          <w:p>
            <w:pPr>
              <w:spacing w:line="360" w:lineRule="auto"/>
              <w:rPr>
                <w:rFonts w:ascii="宋体" w:hAnsi="宋体" w:cs="宋体"/>
                <w:sz w:val="24"/>
                <w:szCs w:val="24"/>
              </w:rPr>
            </w:pPr>
            <w:r>
              <w:rPr>
                <w:rFonts w:hint="eastAsia" w:ascii="宋体" w:hAnsi="宋体" w:cs="宋体"/>
                <w:sz w:val="24"/>
                <w:szCs w:val="24"/>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11.4</w:t>
            </w:r>
          </w:p>
        </w:tc>
        <w:tc>
          <w:tcPr>
            <w:tcW w:w="2846" w:type="dxa"/>
            <w:vAlign w:val="center"/>
          </w:tcPr>
          <w:p>
            <w:pPr>
              <w:autoSpaceDE w:val="0"/>
              <w:autoSpaceDN w:val="0"/>
              <w:adjustRightInd w:val="0"/>
              <w:spacing w:line="360" w:lineRule="auto"/>
              <w:jc w:val="center"/>
              <w:rPr>
                <w:rFonts w:ascii="宋体" w:hAnsi="宋体" w:cs="宋体"/>
                <w:kern w:val="0"/>
                <w:sz w:val="24"/>
                <w:szCs w:val="24"/>
              </w:rPr>
            </w:pPr>
            <w:r>
              <w:rPr>
                <w:rFonts w:hint="eastAsia" w:ascii="宋体" w:hAnsi="宋体" w:cs="宋体"/>
                <w:kern w:val="0"/>
                <w:sz w:val="24"/>
                <w:szCs w:val="24"/>
              </w:rPr>
              <w:t>采购代理服务费</w:t>
            </w:r>
          </w:p>
        </w:tc>
        <w:tc>
          <w:tcPr>
            <w:tcW w:w="6562" w:type="dxa"/>
            <w:vAlign w:val="center"/>
          </w:tcPr>
          <w:p>
            <w:pPr>
              <w:pStyle w:val="10"/>
              <w:spacing w:line="460" w:lineRule="exact"/>
              <w:jc w:val="left"/>
              <w:rPr>
                <w:rFonts w:asciiTheme="minorEastAsia" w:hAnsiTheme="minorEastAsia" w:eastAsiaTheme="minorEastAsia"/>
                <w:sz w:val="24"/>
                <w:szCs w:val="24"/>
              </w:rPr>
            </w:pPr>
            <w:bookmarkStart w:id="21" w:name="_Toc291581938"/>
            <w:bookmarkStart w:id="22" w:name="_Toc402451421"/>
            <w:bookmarkStart w:id="23" w:name="_Toc448908614"/>
            <w:bookmarkStart w:id="24" w:name="_Toc322959183"/>
            <w:bookmarkStart w:id="25" w:name="_Toc449509178"/>
            <w:bookmarkStart w:id="26" w:name="_Toc388450309"/>
            <w:bookmarkStart w:id="27" w:name="_Toc435627470"/>
            <w:r>
              <w:rPr>
                <w:rFonts w:asciiTheme="minorEastAsia" w:hAnsiTheme="minorEastAsia" w:eastAsiaTheme="minorEastAsia"/>
                <w:sz w:val="24"/>
                <w:szCs w:val="24"/>
              </w:rPr>
              <w:t>本项目招标代理服务费参照国家发展改革委关于进一步放开建设项目专业服务价格的通知发改价格〔2015〕299号标准计取。由成交供应商在领成交通知书时一次性支付，收取代理服务费：</w:t>
            </w:r>
            <w:r>
              <w:rPr>
                <w:rFonts w:hint="eastAsia" w:asciiTheme="minorEastAsia" w:hAnsiTheme="minorEastAsia" w:eastAsiaTheme="minorEastAsia"/>
                <w:sz w:val="24"/>
                <w:szCs w:val="24"/>
                <w:lang w:val="en-US" w:eastAsia="zh-CN"/>
              </w:rPr>
              <w:t>140</w:t>
            </w:r>
            <w:r>
              <w:rPr>
                <w:rFonts w:hint="eastAsia" w:asciiTheme="minorEastAsia" w:hAnsiTheme="minorEastAsia" w:eastAsiaTheme="minorEastAsia"/>
                <w:sz w:val="24"/>
                <w:szCs w:val="24"/>
              </w:rPr>
              <w:t>00</w:t>
            </w:r>
            <w:r>
              <w:rPr>
                <w:rFonts w:asciiTheme="minorEastAsia" w:hAnsiTheme="minorEastAsia" w:eastAsiaTheme="minorEastAsia"/>
                <w:sz w:val="24"/>
                <w:szCs w:val="24"/>
              </w:rPr>
              <w:t>.00元。</w:t>
            </w:r>
          </w:p>
          <w:p>
            <w:pPr>
              <w:pStyle w:val="10"/>
              <w:spacing w:line="360" w:lineRule="auto"/>
              <w:rPr>
                <w:rFonts w:hint="default" w:hAnsi="宋体" w:cs="宋体"/>
                <w:sz w:val="24"/>
                <w:szCs w:val="24"/>
              </w:rPr>
            </w:pPr>
            <w:r>
              <w:rPr>
                <w:rFonts w:hAnsi="宋体" w:cs="宋体"/>
                <w:sz w:val="24"/>
                <w:szCs w:val="24"/>
              </w:rPr>
              <w:t>注：招标代理服务费按差额定率累进法计算。</w:t>
            </w:r>
            <w:bookmarkEnd w:id="21"/>
            <w:bookmarkEnd w:id="22"/>
            <w:bookmarkEnd w:id="23"/>
            <w:bookmarkEnd w:id="24"/>
            <w:bookmarkEnd w:id="25"/>
            <w:bookmarkEnd w:id="26"/>
            <w:bookmarkEnd w:id="27"/>
          </w:p>
          <w:p>
            <w:pPr>
              <w:pStyle w:val="10"/>
              <w:spacing w:line="360" w:lineRule="auto"/>
              <w:rPr>
                <w:rFonts w:hint="default" w:hAnsi="宋体" w:cs="宋体"/>
                <w:sz w:val="24"/>
                <w:szCs w:val="24"/>
              </w:rPr>
            </w:pPr>
            <w:r>
              <w:rPr>
                <w:rFonts w:hAnsi="宋体" w:cs="宋体"/>
                <w:sz w:val="24"/>
                <w:szCs w:val="24"/>
              </w:rPr>
              <w:t>开户名称：广西邕政采购代理有限公司</w:t>
            </w:r>
          </w:p>
          <w:p>
            <w:pPr>
              <w:pStyle w:val="10"/>
              <w:spacing w:line="360" w:lineRule="auto"/>
              <w:rPr>
                <w:rFonts w:hint="default" w:hAnsi="宋体" w:cs="宋体"/>
                <w:sz w:val="24"/>
                <w:szCs w:val="24"/>
              </w:rPr>
            </w:pPr>
            <w:r>
              <w:rPr>
                <w:rFonts w:hAnsi="宋体" w:cs="宋体"/>
                <w:sz w:val="24"/>
                <w:szCs w:val="24"/>
              </w:rPr>
              <w:t>开户银行：交通银行南宁东葛西支行</w:t>
            </w:r>
          </w:p>
          <w:p>
            <w:pPr>
              <w:pStyle w:val="10"/>
              <w:spacing w:line="360" w:lineRule="auto"/>
              <w:rPr>
                <w:rFonts w:hint="default" w:hAnsi="宋体" w:cs="宋体"/>
                <w:sz w:val="24"/>
                <w:szCs w:val="24"/>
              </w:rPr>
            </w:pPr>
            <w:r>
              <w:rPr>
                <w:rFonts w:hAnsi="宋体" w:cs="宋体"/>
                <w:sz w:val="24"/>
                <w:szCs w:val="24"/>
              </w:rPr>
              <w:t>账号：4510 6070 1018 1602 32818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12.1</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投标有效期</w:t>
            </w:r>
          </w:p>
        </w:tc>
        <w:tc>
          <w:tcPr>
            <w:tcW w:w="6562" w:type="dxa"/>
            <w:vAlign w:val="center"/>
          </w:tcPr>
          <w:p>
            <w:pPr>
              <w:spacing w:line="360" w:lineRule="auto"/>
              <w:rPr>
                <w:rFonts w:ascii="宋体" w:hAnsi="宋体" w:cs="宋体"/>
                <w:sz w:val="24"/>
                <w:szCs w:val="24"/>
              </w:rPr>
            </w:pPr>
            <w:r>
              <w:rPr>
                <w:rFonts w:hint="eastAsia" w:ascii="宋体" w:hAnsi="宋体" w:cs="宋体"/>
                <w:sz w:val="24"/>
                <w:szCs w:val="24"/>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13.1</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投标保证金金额</w:t>
            </w:r>
          </w:p>
        </w:tc>
        <w:tc>
          <w:tcPr>
            <w:tcW w:w="6562" w:type="dxa"/>
            <w:vAlign w:val="center"/>
          </w:tcPr>
          <w:p>
            <w:pPr>
              <w:spacing w:line="360" w:lineRule="auto"/>
              <w:rPr>
                <w:rFonts w:ascii="宋体" w:hAnsi="宋体" w:cs="宋体"/>
                <w:sz w:val="20"/>
              </w:rPr>
            </w:pPr>
            <w:r>
              <w:rPr>
                <w:rFonts w:hint="eastAsia" w:ascii="宋体" w:hAnsi="宋体" w:cs="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15.1</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投标</w:t>
            </w:r>
            <w:permStart w:id="0" w:edGrp="everyone"/>
            <w:permEnd w:id="0"/>
            <w:r>
              <w:rPr>
                <w:rFonts w:hint="eastAsia" w:ascii="宋体" w:hAnsi="宋体" w:cs="宋体"/>
                <w:sz w:val="24"/>
                <w:szCs w:val="24"/>
              </w:rPr>
              <w:t>截止时间（开标时间）</w:t>
            </w:r>
          </w:p>
        </w:tc>
        <w:tc>
          <w:tcPr>
            <w:tcW w:w="6562" w:type="dxa"/>
            <w:vAlign w:val="center"/>
          </w:tcPr>
          <w:p>
            <w:pPr>
              <w:spacing w:line="360" w:lineRule="auto"/>
              <w:rPr>
                <w:rFonts w:ascii="宋体" w:hAnsi="宋体" w:cs="宋体"/>
                <w:sz w:val="24"/>
                <w:szCs w:val="24"/>
              </w:rPr>
            </w:pPr>
            <w:r>
              <w:rPr>
                <w:rFonts w:hint="eastAsia" w:ascii="宋体" w:hAnsi="宋体" w:cs="宋体"/>
                <w:sz w:val="24"/>
                <w:szCs w:val="24"/>
              </w:rPr>
              <w:t>2020年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23</w:t>
            </w:r>
            <w:r>
              <w:rPr>
                <w:rFonts w:hint="eastAsia" w:ascii="宋体" w:hAnsi="宋体" w:cs="宋体"/>
                <w:sz w:val="24"/>
                <w:szCs w:val="24"/>
              </w:rPr>
              <w:t>日</w:t>
            </w:r>
            <w:r>
              <w:rPr>
                <w:rFonts w:hint="eastAsia" w:ascii="宋体" w:hAnsi="宋体" w:cs="宋体"/>
                <w:sz w:val="24"/>
                <w:szCs w:val="24"/>
                <w:lang w:val="en-US" w:eastAsia="zh-CN"/>
              </w:rPr>
              <w:t>09</w:t>
            </w:r>
            <w:r>
              <w:rPr>
                <w:rFonts w:hint="eastAsia" w:ascii="宋体" w:hAnsi="宋体" w:cs="宋体"/>
                <w:sz w:val="24"/>
                <w:szCs w:val="24"/>
              </w:rPr>
              <w:t>点</w:t>
            </w:r>
            <w:r>
              <w:rPr>
                <w:rFonts w:hint="eastAsia" w:ascii="宋体" w:hAnsi="宋体" w:cs="宋体"/>
                <w:sz w:val="24"/>
                <w:szCs w:val="24"/>
                <w:lang w:val="en-US" w:eastAsia="zh-CN"/>
              </w:rPr>
              <w:t>30</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15.2</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递交投标文件地点</w:t>
            </w:r>
          </w:p>
        </w:tc>
        <w:tc>
          <w:tcPr>
            <w:tcW w:w="6562" w:type="dxa"/>
            <w:vAlign w:val="center"/>
          </w:tcPr>
          <w:p>
            <w:pPr>
              <w:spacing w:line="360" w:lineRule="auto"/>
              <w:rPr>
                <w:rFonts w:ascii="宋体" w:hAnsi="宋体" w:cs="宋体"/>
                <w:sz w:val="24"/>
                <w:szCs w:val="24"/>
              </w:rPr>
            </w:pPr>
            <w:r>
              <w:rPr>
                <w:rFonts w:hint="eastAsia" w:ascii="宋体" w:hAnsi="宋体" w:cs="宋体"/>
                <w:sz w:val="24"/>
                <w:szCs w:val="24"/>
              </w:rPr>
              <w:t>南宁市良庆区玉洞大道33号（青少年活动中心旁）市民中心9楼南宁市公共资源交易中心（具体详见9楼电子显示屏场地安排），</w:t>
            </w:r>
            <w:r>
              <w:rPr>
                <w:rFonts w:hint="eastAsia" w:ascii="宋体" w:hAnsi="宋体" w:cs="宋体"/>
                <w:b/>
                <w:bCs/>
                <w:sz w:val="24"/>
              </w:rPr>
              <w:t>为做好疫情防控工作，本项目的投标文件通过邮寄快递的方式送达，具体要求详见关于投标文件邮寄形式的通知</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16.1</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开标地点</w:t>
            </w:r>
          </w:p>
        </w:tc>
        <w:tc>
          <w:tcPr>
            <w:tcW w:w="6562" w:type="dxa"/>
            <w:vAlign w:val="center"/>
          </w:tcPr>
          <w:p>
            <w:pPr>
              <w:spacing w:line="360" w:lineRule="auto"/>
              <w:rPr>
                <w:rFonts w:ascii="宋体" w:hAnsi="宋体" w:cs="宋体"/>
                <w:sz w:val="24"/>
                <w:szCs w:val="24"/>
              </w:rPr>
            </w:pPr>
            <w:r>
              <w:rPr>
                <w:rFonts w:hint="eastAsia" w:ascii="宋体" w:hAnsi="宋体" w:cs="宋体"/>
                <w:sz w:val="24"/>
                <w:szCs w:val="24"/>
              </w:rPr>
              <w:t>南宁市良庆区玉洞大道33号（青少年活动中心旁）市民中心9楼南宁市公共资源交易中心（具体详见9楼电子显示屏场地安排）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17.3</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评标方法</w:t>
            </w:r>
          </w:p>
        </w:tc>
        <w:tc>
          <w:tcPr>
            <w:tcW w:w="6562" w:type="dxa"/>
            <w:vAlign w:val="center"/>
          </w:tcPr>
          <w:p>
            <w:pPr>
              <w:spacing w:line="360" w:lineRule="auto"/>
              <w:rPr>
                <w:rFonts w:ascii="宋体" w:hAnsi="宋体" w:cs="宋体"/>
                <w:sz w:val="24"/>
                <w:szCs w:val="24"/>
              </w:rPr>
            </w:pPr>
            <w:r>
              <w:rPr>
                <w:rFonts w:hint="eastAsia" w:ascii="宋体" w:hAnsi="宋体" w:cs="宋体"/>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23.1</w:t>
            </w:r>
          </w:p>
        </w:tc>
        <w:tc>
          <w:tcPr>
            <w:tcW w:w="2846" w:type="dxa"/>
            <w:vAlign w:val="center"/>
          </w:tcPr>
          <w:p>
            <w:pPr>
              <w:spacing w:line="360" w:lineRule="auto"/>
              <w:jc w:val="center"/>
              <w:rPr>
                <w:rFonts w:ascii="宋体" w:hAnsi="宋体" w:cs="宋体"/>
                <w:sz w:val="24"/>
                <w:szCs w:val="24"/>
              </w:rPr>
            </w:pPr>
            <w:r>
              <w:rPr>
                <w:rFonts w:hint="eastAsia" w:ascii="宋体" w:hAnsi="宋体" w:cs="宋体"/>
                <w:sz w:val="24"/>
                <w:szCs w:val="24"/>
              </w:rPr>
              <w:t>中标通知书的发放</w:t>
            </w:r>
          </w:p>
        </w:tc>
        <w:tc>
          <w:tcPr>
            <w:tcW w:w="6562" w:type="dxa"/>
            <w:vAlign w:val="center"/>
          </w:tcPr>
          <w:p>
            <w:pPr>
              <w:spacing w:line="360" w:lineRule="auto"/>
              <w:rPr>
                <w:rFonts w:ascii="宋体" w:hAnsi="宋体" w:cs="宋体"/>
                <w:sz w:val="24"/>
                <w:szCs w:val="24"/>
              </w:rPr>
            </w:pPr>
            <w:r>
              <w:rPr>
                <w:rFonts w:cs="宋体" w:asciiTheme="majorEastAsia" w:hAnsiTheme="majorEastAsia" w:eastAsiaTheme="majorEastAsia"/>
                <w:sz w:val="24"/>
                <w:szCs w:val="24"/>
              </w:rPr>
              <w:t>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28.1</w:t>
            </w:r>
          </w:p>
        </w:tc>
        <w:tc>
          <w:tcPr>
            <w:tcW w:w="2846" w:type="dxa"/>
            <w:vAlign w:val="center"/>
          </w:tcPr>
          <w:p>
            <w:pPr>
              <w:autoSpaceDE w:val="0"/>
              <w:autoSpaceDN w:val="0"/>
              <w:adjustRightInd w:val="0"/>
              <w:spacing w:line="360" w:lineRule="auto"/>
              <w:jc w:val="center"/>
              <w:rPr>
                <w:rFonts w:ascii="宋体" w:hAnsi="宋体" w:cs="宋体"/>
                <w:kern w:val="0"/>
                <w:sz w:val="24"/>
                <w:szCs w:val="24"/>
              </w:rPr>
            </w:pPr>
            <w:r>
              <w:rPr>
                <w:rFonts w:hint="eastAsia" w:ascii="宋体" w:hAnsi="宋体" w:cs="宋体"/>
                <w:kern w:val="0"/>
                <w:sz w:val="24"/>
                <w:szCs w:val="24"/>
              </w:rPr>
              <w:t>需要补充的其他内容</w:t>
            </w:r>
          </w:p>
        </w:tc>
        <w:tc>
          <w:tcPr>
            <w:tcW w:w="6562" w:type="dxa"/>
            <w:vAlign w:val="center"/>
          </w:tcPr>
          <w:p>
            <w:pPr>
              <w:spacing w:line="360" w:lineRule="auto"/>
              <w:rPr>
                <w:rFonts w:ascii="宋体" w:hAnsi="宋体" w:cs="宋体"/>
                <w:bCs/>
                <w:sz w:val="24"/>
                <w:szCs w:val="24"/>
              </w:rPr>
            </w:pPr>
            <w:r>
              <w:rPr>
                <w:rFonts w:hint="eastAsia" w:ascii="宋体" w:hAnsi="宋体" w:cs="宋体"/>
                <w:b/>
                <w:sz w:val="24"/>
                <w:szCs w:val="24"/>
              </w:rPr>
              <w:t>注：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bl>
    <w:p>
      <w:pPr>
        <w:pStyle w:val="10"/>
        <w:spacing w:line="440" w:lineRule="exact"/>
        <w:outlineLvl w:val="1"/>
        <w:rPr>
          <w:rFonts w:hint="default" w:hAnsi="宋体" w:cs="宋体"/>
          <w:b/>
          <w:bCs/>
          <w:sz w:val="30"/>
          <w:szCs w:val="30"/>
        </w:rPr>
      </w:pPr>
      <w:r>
        <w:rPr>
          <w:rFonts w:hAnsi="宋体" w:cs="宋体"/>
          <w:sz w:val="24"/>
          <w:szCs w:val="24"/>
        </w:rPr>
        <w:br w:type="page"/>
      </w:r>
      <w:bookmarkStart w:id="28" w:name="_Toc12546"/>
      <w:bookmarkStart w:id="29" w:name="_Toc213325924"/>
      <w:bookmarkStart w:id="30" w:name="_Toc213206175"/>
      <w:r>
        <w:rPr>
          <w:rFonts w:hAnsi="宋体" w:cs="宋体"/>
          <w:sz w:val="24"/>
          <w:szCs w:val="24"/>
        </w:rPr>
        <w:t xml:space="preserve">                                    </w:t>
      </w:r>
      <w:r>
        <w:rPr>
          <w:rFonts w:hAnsi="宋体" w:cs="宋体"/>
          <w:b/>
          <w:bCs/>
          <w:sz w:val="30"/>
          <w:szCs w:val="30"/>
        </w:rPr>
        <w:t>一    总  则</w:t>
      </w:r>
      <w:bookmarkEnd w:id="28"/>
    </w:p>
    <w:p>
      <w:pPr>
        <w:spacing w:line="360" w:lineRule="auto"/>
        <w:ind w:left="1"/>
        <w:jc w:val="left"/>
        <w:rPr>
          <w:rFonts w:ascii="宋体" w:hAnsi="宋体" w:cs="宋体"/>
          <w:bCs/>
          <w:sz w:val="24"/>
          <w:szCs w:val="24"/>
        </w:rPr>
      </w:pPr>
      <w:r>
        <w:rPr>
          <w:rFonts w:ascii="宋体" w:hAnsi="宋体" w:cs="宋体"/>
          <w:bCs/>
          <w:sz w:val="24"/>
          <w:szCs w:val="24"/>
        </w:rPr>
        <w:t>1.  项目概况</w:t>
      </w:r>
    </w:p>
    <w:p>
      <w:pPr>
        <w:spacing w:line="360" w:lineRule="auto"/>
        <w:ind w:firstLine="480" w:firstLineChars="200"/>
        <w:jc w:val="left"/>
        <w:rPr>
          <w:rFonts w:ascii="宋体" w:hAnsi="宋体" w:cs="宋体"/>
          <w:bCs/>
          <w:sz w:val="24"/>
          <w:szCs w:val="24"/>
        </w:rPr>
      </w:pPr>
      <w:r>
        <w:rPr>
          <w:rFonts w:ascii="宋体" w:hAnsi="宋体" w:cs="宋体"/>
          <w:sz w:val="24"/>
          <w:szCs w:val="24"/>
        </w:rPr>
        <w:t>1.1  采购人：</w:t>
      </w:r>
      <w:r>
        <w:rPr>
          <w:rFonts w:ascii="宋体" w:hAnsi="宋体" w:cs="宋体"/>
          <w:bCs/>
          <w:sz w:val="24"/>
          <w:szCs w:val="24"/>
        </w:rPr>
        <w:t>见投标人须知前附表。</w:t>
      </w:r>
    </w:p>
    <w:p>
      <w:pPr>
        <w:spacing w:line="360" w:lineRule="auto"/>
        <w:ind w:firstLine="480" w:firstLineChars="200"/>
        <w:jc w:val="left"/>
        <w:rPr>
          <w:rFonts w:ascii="宋体" w:hAnsi="宋体" w:cs="宋体"/>
          <w:bCs/>
          <w:sz w:val="24"/>
          <w:szCs w:val="24"/>
        </w:rPr>
      </w:pPr>
      <w:r>
        <w:rPr>
          <w:rFonts w:ascii="宋体" w:hAnsi="宋体" w:cs="宋体"/>
          <w:sz w:val="24"/>
          <w:szCs w:val="24"/>
        </w:rPr>
        <w:t>1.2  采购代理机构：</w:t>
      </w:r>
      <w:r>
        <w:rPr>
          <w:rFonts w:ascii="宋体" w:hAnsi="宋体" w:cs="宋体"/>
          <w:bCs/>
          <w:sz w:val="24"/>
          <w:szCs w:val="24"/>
        </w:rPr>
        <w:t>见投标人须知前附表。</w:t>
      </w:r>
    </w:p>
    <w:p>
      <w:pPr>
        <w:spacing w:line="360" w:lineRule="auto"/>
        <w:ind w:firstLine="480" w:firstLineChars="200"/>
        <w:jc w:val="left"/>
        <w:rPr>
          <w:rFonts w:ascii="宋体" w:hAnsi="宋体" w:cs="宋体"/>
          <w:bCs/>
          <w:sz w:val="24"/>
          <w:szCs w:val="24"/>
        </w:rPr>
      </w:pPr>
      <w:r>
        <w:rPr>
          <w:rFonts w:ascii="宋体" w:hAnsi="宋体" w:cs="宋体"/>
          <w:bCs/>
          <w:sz w:val="24"/>
          <w:szCs w:val="24"/>
        </w:rPr>
        <w:t>1.3  项目名称：见投标人须知前附表。</w:t>
      </w:r>
    </w:p>
    <w:p>
      <w:pPr>
        <w:spacing w:line="360" w:lineRule="auto"/>
        <w:ind w:firstLine="480" w:firstLineChars="200"/>
        <w:jc w:val="left"/>
        <w:rPr>
          <w:rFonts w:ascii="宋体" w:hAnsi="宋体" w:cs="宋体"/>
          <w:bCs/>
          <w:sz w:val="24"/>
          <w:szCs w:val="24"/>
        </w:rPr>
      </w:pPr>
      <w:r>
        <w:rPr>
          <w:rFonts w:ascii="宋体" w:hAnsi="宋体" w:cs="宋体"/>
          <w:bCs/>
          <w:sz w:val="24"/>
          <w:szCs w:val="24"/>
        </w:rPr>
        <w:t>1.4  项目编号：见投标人须知前附表</w:t>
      </w:r>
    </w:p>
    <w:p>
      <w:pPr>
        <w:spacing w:line="360" w:lineRule="auto"/>
        <w:ind w:firstLine="480" w:firstLineChars="200"/>
        <w:jc w:val="left"/>
        <w:rPr>
          <w:rFonts w:ascii="宋体" w:hAnsi="宋体" w:cs="宋体"/>
          <w:bCs/>
          <w:sz w:val="24"/>
          <w:szCs w:val="24"/>
        </w:rPr>
      </w:pPr>
      <w:r>
        <w:rPr>
          <w:rFonts w:ascii="宋体" w:hAnsi="宋体" w:cs="宋体"/>
          <w:bCs/>
          <w:sz w:val="24"/>
          <w:szCs w:val="24"/>
        </w:rPr>
        <w:t>1.5  采购预算：见投标人须知前附表。</w:t>
      </w:r>
    </w:p>
    <w:p>
      <w:pPr>
        <w:spacing w:line="360" w:lineRule="auto"/>
        <w:ind w:firstLine="480" w:firstLineChars="200"/>
        <w:jc w:val="left"/>
        <w:rPr>
          <w:rFonts w:ascii="宋体" w:hAnsi="宋体" w:cs="宋体"/>
          <w:bCs/>
          <w:sz w:val="24"/>
          <w:szCs w:val="24"/>
        </w:rPr>
      </w:pPr>
      <w:r>
        <w:rPr>
          <w:rFonts w:ascii="宋体" w:hAnsi="宋体" w:cs="宋体"/>
          <w:bCs/>
          <w:sz w:val="24"/>
          <w:szCs w:val="24"/>
        </w:rPr>
        <w:t>1.6  资金来源：财政性资金。</w:t>
      </w:r>
    </w:p>
    <w:p>
      <w:pPr>
        <w:spacing w:line="360" w:lineRule="auto"/>
        <w:ind w:left="2" w:firstLine="480" w:firstLineChars="200"/>
        <w:jc w:val="left"/>
        <w:rPr>
          <w:rFonts w:ascii="宋体" w:hAnsi="宋体" w:cs="宋体"/>
          <w:sz w:val="24"/>
          <w:szCs w:val="24"/>
        </w:rPr>
      </w:pPr>
      <w:r>
        <w:rPr>
          <w:rFonts w:ascii="宋体" w:hAnsi="宋体" w:cs="宋体"/>
          <w:sz w:val="24"/>
          <w:szCs w:val="24"/>
        </w:rPr>
        <w:t>1.7  获取招标文件的方式：见投标人须知前附表。</w:t>
      </w:r>
    </w:p>
    <w:p>
      <w:pPr>
        <w:spacing w:line="360" w:lineRule="auto"/>
        <w:ind w:left="2" w:firstLine="480" w:firstLineChars="200"/>
        <w:jc w:val="left"/>
        <w:rPr>
          <w:rFonts w:ascii="宋体" w:hAnsi="宋体" w:cs="宋体"/>
          <w:sz w:val="24"/>
          <w:szCs w:val="24"/>
        </w:rPr>
      </w:pPr>
      <w:r>
        <w:rPr>
          <w:rFonts w:ascii="宋体" w:hAnsi="宋体" w:cs="宋体"/>
          <w:sz w:val="24"/>
          <w:szCs w:val="24"/>
        </w:rPr>
        <w:t>1.8  预留采购份额：见投标人须知前附表。</w:t>
      </w:r>
    </w:p>
    <w:p>
      <w:pPr>
        <w:spacing w:line="360" w:lineRule="auto"/>
        <w:jc w:val="left"/>
        <w:rPr>
          <w:rFonts w:ascii="宋体" w:hAnsi="宋体" w:cs="宋体"/>
          <w:sz w:val="24"/>
          <w:szCs w:val="24"/>
        </w:rPr>
      </w:pPr>
      <w:r>
        <w:rPr>
          <w:rFonts w:ascii="宋体" w:hAnsi="宋体" w:cs="宋体"/>
          <w:sz w:val="24"/>
          <w:szCs w:val="24"/>
        </w:rPr>
        <w:t>2.  政府采购信息发布媒体：</w:t>
      </w:r>
    </w:p>
    <w:p>
      <w:pPr>
        <w:spacing w:line="360" w:lineRule="auto"/>
        <w:ind w:left="2" w:firstLine="480" w:firstLineChars="200"/>
        <w:jc w:val="left"/>
        <w:rPr>
          <w:rFonts w:ascii="宋体" w:hAnsi="宋体" w:cs="宋体"/>
          <w:sz w:val="24"/>
          <w:szCs w:val="24"/>
        </w:rPr>
      </w:pPr>
      <w:r>
        <w:rPr>
          <w:rFonts w:ascii="宋体" w:hAnsi="宋体" w:cs="宋体"/>
          <w:sz w:val="24"/>
          <w:szCs w:val="24"/>
        </w:rPr>
        <w:t>2.1  与本项目相关的政府采购业务信息（包括公开招标公告、中标公告及其更正事项等）将在以下媒体上发布：中国政府采购网、广西壮族自治区政府采购网、南宁市公共资源交易中心网发布。</w:t>
      </w:r>
    </w:p>
    <w:p>
      <w:pPr>
        <w:widowControl/>
        <w:adjustRightInd w:val="0"/>
        <w:snapToGrid w:val="0"/>
        <w:spacing w:after="200"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2.2  本项目公开招标公告期限为公告发布之日起5个工作日。</w:t>
      </w:r>
    </w:p>
    <w:p>
      <w:pPr>
        <w:widowControl/>
        <w:adjustRightInd w:val="0"/>
        <w:snapToGrid w:val="0"/>
        <w:spacing w:after="200" w:line="360" w:lineRule="auto"/>
        <w:ind w:firstLine="480" w:firstLineChars="200"/>
        <w:jc w:val="left"/>
        <w:rPr>
          <w:rFonts w:ascii="宋体" w:hAnsi="宋体" w:cs="宋体"/>
          <w:kern w:val="0"/>
          <w:sz w:val="24"/>
          <w:szCs w:val="22"/>
        </w:rPr>
      </w:pPr>
      <w:r>
        <w:rPr>
          <w:rFonts w:hAnsi="宋体" w:cs="宋体"/>
          <w:sz w:val="24"/>
          <w:szCs w:val="24"/>
        </w:rPr>
        <w:t>3.投标人资格要求：</w:t>
      </w:r>
    </w:p>
    <w:p>
      <w:pPr>
        <w:pStyle w:val="10"/>
        <w:spacing w:line="440" w:lineRule="exact"/>
        <w:ind w:firstLine="218" w:firstLineChars="91"/>
        <w:rPr>
          <w:rFonts w:hint="default" w:hAnsi="宋体" w:cs="宋体"/>
          <w:sz w:val="24"/>
          <w:szCs w:val="24"/>
        </w:rPr>
      </w:pPr>
      <w:r>
        <w:rPr>
          <w:rFonts w:hAnsi="宋体" w:cs="宋体"/>
          <w:sz w:val="24"/>
          <w:szCs w:val="24"/>
        </w:rPr>
        <w:t xml:space="preserve"> 3.1  投标人未被列入失信被执行人、重大税收违法案件当事人名单、政府采购严重违法失信行为记录名单，且应符合《中华人民共和国政府采购法》第二十二条规定的下列投标人资格条件：</w:t>
      </w:r>
    </w:p>
    <w:p>
      <w:pPr>
        <w:pStyle w:val="10"/>
        <w:spacing w:line="440" w:lineRule="exact"/>
        <w:ind w:firstLine="720" w:firstLineChars="300"/>
        <w:rPr>
          <w:rFonts w:hint="default" w:hAnsi="宋体" w:cs="宋体"/>
          <w:sz w:val="24"/>
          <w:szCs w:val="24"/>
        </w:rPr>
      </w:pPr>
      <w:r>
        <w:rPr>
          <w:rFonts w:hAnsi="宋体" w:cs="宋体"/>
          <w:sz w:val="24"/>
          <w:szCs w:val="24"/>
        </w:rPr>
        <w:t>（1）具有独立承担民事责任的能力；</w:t>
      </w:r>
    </w:p>
    <w:p>
      <w:pPr>
        <w:pStyle w:val="10"/>
        <w:spacing w:line="440" w:lineRule="exact"/>
        <w:ind w:firstLine="720"/>
        <w:rPr>
          <w:rFonts w:hint="default" w:hAnsi="宋体" w:cs="宋体"/>
          <w:sz w:val="24"/>
          <w:szCs w:val="24"/>
        </w:rPr>
      </w:pPr>
      <w:r>
        <w:rPr>
          <w:rFonts w:hAnsi="宋体" w:cs="宋体"/>
          <w:sz w:val="24"/>
          <w:szCs w:val="24"/>
        </w:rPr>
        <w:t>（2）具有良好的商业信誉和健全的财务会计制度；</w:t>
      </w:r>
    </w:p>
    <w:p>
      <w:pPr>
        <w:pStyle w:val="10"/>
        <w:spacing w:line="440" w:lineRule="exact"/>
        <w:ind w:firstLine="720"/>
        <w:rPr>
          <w:rFonts w:hint="default" w:hAnsi="宋体" w:cs="宋体"/>
          <w:sz w:val="24"/>
          <w:szCs w:val="24"/>
        </w:rPr>
      </w:pPr>
      <w:r>
        <w:rPr>
          <w:rFonts w:hAnsi="宋体" w:cs="宋体"/>
          <w:sz w:val="24"/>
          <w:szCs w:val="24"/>
        </w:rPr>
        <w:t>（3）具有履行合同所必需的设备和专业技术能力；</w:t>
      </w:r>
    </w:p>
    <w:p>
      <w:pPr>
        <w:pStyle w:val="10"/>
        <w:spacing w:line="440" w:lineRule="exact"/>
        <w:ind w:firstLine="720"/>
        <w:rPr>
          <w:rFonts w:hint="default" w:hAnsi="宋体" w:cs="宋体"/>
          <w:sz w:val="24"/>
          <w:szCs w:val="24"/>
        </w:rPr>
      </w:pPr>
      <w:r>
        <w:rPr>
          <w:rFonts w:hAnsi="宋体" w:cs="宋体"/>
          <w:sz w:val="24"/>
          <w:szCs w:val="24"/>
        </w:rPr>
        <w:t>（4）有依法缴纳税收和社会保障资金的良好记录；</w:t>
      </w:r>
    </w:p>
    <w:p>
      <w:pPr>
        <w:pStyle w:val="10"/>
        <w:spacing w:line="440" w:lineRule="exact"/>
        <w:ind w:firstLine="720"/>
        <w:rPr>
          <w:rFonts w:hint="default" w:hAnsi="宋体" w:cs="宋体"/>
          <w:sz w:val="24"/>
          <w:szCs w:val="24"/>
        </w:rPr>
      </w:pPr>
      <w:r>
        <w:rPr>
          <w:rFonts w:hAnsi="宋体" w:cs="宋体"/>
          <w:sz w:val="24"/>
          <w:szCs w:val="24"/>
        </w:rPr>
        <w:t>（5）参加政府采购活动前三年内，在经营活动中没有重大违法记录；</w:t>
      </w:r>
    </w:p>
    <w:p>
      <w:pPr>
        <w:pStyle w:val="10"/>
        <w:spacing w:line="440" w:lineRule="exact"/>
        <w:ind w:firstLine="720"/>
        <w:rPr>
          <w:rFonts w:hint="default" w:hAnsi="宋体" w:cs="宋体"/>
          <w:sz w:val="24"/>
          <w:szCs w:val="24"/>
        </w:rPr>
      </w:pPr>
      <w:r>
        <w:rPr>
          <w:rFonts w:hAnsi="宋体" w:cs="宋体"/>
          <w:sz w:val="24"/>
          <w:szCs w:val="24"/>
        </w:rPr>
        <w:t>（6）法律、行政法规规定的其他条件。</w:t>
      </w:r>
    </w:p>
    <w:p>
      <w:pPr>
        <w:pStyle w:val="10"/>
        <w:spacing w:line="440" w:lineRule="exact"/>
        <w:ind w:firstLine="360"/>
        <w:rPr>
          <w:rFonts w:hint="default" w:hAnsi="宋体" w:cs="宋体"/>
          <w:sz w:val="24"/>
          <w:szCs w:val="24"/>
        </w:rPr>
      </w:pPr>
      <w:r>
        <w:rPr>
          <w:rFonts w:hAnsi="宋体" w:cs="宋体"/>
          <w:sz w:val="24"/>
          <w:szCs w:val="24"/>
        </w:rPr>
        <w:t>3.2  针对本项目，投标人应具备的特定条件：见投标人须知前附表。</w:t>
      </w:r>
    </w:p>
    <w:p>
      <w:pPr>
        <w:pStyle w:val="10"/>
        <w:spacing w:line="440" w:lineRule="exact"/>
        <w:ind w:left="2" w:firstLine="360"/>
        <w:jc w:val="left"/>
        <w:rPr>
          <w:rFonts w:hint="default" w:hAnsi="宋体" w:cs="宋体"/>
          <w:sz w:val="24"/>
          <w:szCs w:val="24"/>
        </w:rPr>
      </w:pPr>
      <w:r>
        <w:rPr>
          <w:rFonts w:hAnsi="宋体" w:cs="宋体"/>
          <w:sz w:val="24"/>
          <w:szCs w:val="24"/>
        </w:rPr>
        <w:t>3.3  投标人须知前附表规定接受联合体投标的，两个以上供应商可以组成一个投标联合体，以一个投标人的身份共同参加投标。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0"/>
        <w:spacing w:line="440" w:lineRule="exact"/>
        <w:ind w:left="2" w:firstLine="360"/>
        <w:jc w:val="left"/>
        <w:rPr>
          <w:rFonts w:hint="default" w:hAnsi="宋体" w:cs="宋体"/>
          <w:sz w:val="24"/>
          <w:szCs w:val="24"/>
        </w:rPr>
      </w:pPr>
      <w:r>
        <w:rPr>
          <w:rFonts w:hAnsi="宋体" w:cs="宋体"/>
          <w:sz w:val="24"/>
          <w:szCs w:val="24"/>
        </w:rPr>
        <w:t xml:space="preserve">3.4  投标人不得直接或间接地与为本次采购的项目内容进行设计、编制规范和其他文件的咨询公司、采购代理机构或其附属机构有任何关联。 </w:t>
      </w:r>
    </w:p>
    <w:p>
      <w:pPr>
        <w:pStyle w:val="10"/>
        <w:spacing w:line="440" w:lineRule="exact"/>
        <w:ind w:left="2" w:firstLine="360"/>
        <w:jc w:val="left"/>
        <w:rPr>
          <w:rFonts w:hint="default" w:hAnsi="宋体" w:cs="宋体"/>
          <w:sz w:val="24"/>
          <w:szCs w:val="24"/>
        </w:rPr>
      </w:pPr>
    </w:p>
    <w:p>
      <w:pPr>
        <w:pStyle w:val="10"/>
        <w:spacing w:line="440" w:lineRule="exact"/>
        <w:ind w:left="242" w:hanging="242" w:hangingChars="101"/>
        <w:jc w:val="left"/>
        <w:rPr>
          <w:rFonts w:hint="default" w:hAnsi="宋体" w:cs="宋体"/>
          <w:bCs/>
          <w:sz w:val="24"/>
        </w:rPr>
      </w:pPr>
      <w:r>
        <w:rPr>
          <w:rFonts w:hAnsi="宋体" w:cs="宋体"/>
          <w:bCs/>
          <w:sz w:val="24"/>
        </w:rPr>
        <w:t>4.质疑</w:t>
      </w:r>
    </w:p>
    <w:p>
      <w:pPr>
        <w:spacing w:line="440" w:lineRule="exact"/>
        <w:ind w:firstLine="480" w:firstLineChars="200"/>
        <w:rPr>
          <w:rFonts w:ascii="宋体" w:hAnsi="宋体" w:cs="宋体"/>
          <w:bCs/>
          <w:sz w:val="24"/>
          <w:szCs w:val="24"/>
        </w:rPr>
      </w:pPr>
      <w:r>
        <w:rPr>
          <w:rFonts w:ascii="宋体" w:hAnsi="宋体" w:cs="宋体"/>
          <w:bCs/>
          <w:sz w:val="24"/>
          <w:szCs w:val="24"/>
        </w:rPr>
        <w:t>4.1  磋商供应商认为招标文件、采购过程或中标结果使自己的合法权益受到损害的，应当在知道或者应知其权益受到损害之日起七个工作日内，以书面形式向采购人、采购代理机构提出质疑。</w:t>
      </w:r>
    </w:p>
    <w:p>
      <w:pPr>
        <w:spacing w:line="440" w:lineRule="exact"/>
        <w:ind w:firstLine="480" w:firstLineChars="200"/>
        <w:rPr>
          <w:rFonts w:ascii="宋体" w:hAnsi="宋体" w:cs="宋体"/>
          <w:bCs/>
          <w:sz w:val="24"/>
          <w:szCs w:val="24"/>
        </w:rPr>
      </w:pPr>
      <w:r>
        <w:rPr>
          <w:rFonts w:ascii="宋体" w:hAnsi="宋体" w:cs="宋体"/>
          <w:bCs/>
          <w:sz w:val="24"/>
          <w:szCs w:val="24"/>
        </w:rPr>
        <w:t>4.2提出质疑的磋商供应商应当是参与所质疑项目采购活动的供应商，质疑函应按</w:t>
      </w:r>
      <w:r>
        <w:fldChar w:fldCharType="begin"/>
      </w:r>
      <w:r>
        <w:instrText xml:space="preserve"> HYPERLINK "https://www.baidu.com/link?url=FnEKpEfecgHI29OKpvrr0ThhhsjQDNw-iC11hZexO2s8DSLZMvZjUN1CP-ntt8geS3G5mNVZ0i2D2OwgmglOo6vjFDXXMR3ZdYuFwaHcBwa&amp;wd=&amp;eqid=f309d5cf0000e588000000065a976ec3" \t "_blank" </w:instrText>
      </w:r>
      <w:r>
        <w:fldChar w:fldCharType="separate"/>
      </w:r>
      <w:r>
        <w:rPr>
          <w:rFonts w:ascii="宋体" w:hAnsi="宋体" w:cs="宋体"/>
          <w:bCs/>
          <w:sz w:val="24"/>
          <w:szCs w:val="24"/>
        </w:rPr>
        <w:t>财政部发布《政府采购供应商质疑函范本》</w:t>
      </w:r>
      <w:r>
        <w:rPr>
          <w:rFonts w:ascii="宋体" w:hAnsi="宋体" w:cs="宋体"/>
          <w:bCs/>
          <w:sz w:val="24"/>
          <w:szCs w:val="24"/>
        </w:rPr>
        <w:fldChar w:fldCharType="end"/>
      </w:r>
      <w:r>
        <w:rPr>
          <w:rFonts w:ascii="宋体" w:hAnsi="宋体" w:cs="宋体"/>
          <w:bCs/>
          <w:sz w:val="24"/>
          <w:szCs w:val="24"/>
        </w:rPr>
        <w:t>编制，质疑函内容或格式不符合其规定的，投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spacing w:line="440" w:lineRule="exact"/>
        <w:ind w:firstLine="480" w:firstLineChars="200"/>
        <w:rPr>
          <w:rFonts w:ascii="宋体" w:hAnsi="宋体" w:cs="宋体"/>
          <w:bCs/>
          <w:sz w:val="24"/>
          <w:szCs w:val="24"/>
        </w:rPr>
      </w:pPr>
      <w:r>
        <w:rPr>
          <w:rFonts w:ascii="宋体" w:hAnsi="宋体" w:cs="宋体"/>
          <w:bCs/>
          <w:sz w:val="24"/>
          <w:szCs w:val="24"/>
        </w:rPr>
        <w:t>4.3供应商质疑实行实名制，其质疑应当有具体的质疑事项及事实根据，质疑应当坚持依法依规、诚实信用原则，不得进行虚假、恶意质疑。</w:t>
      </w:r>
    </w:p>
    <w:p>
      <w:pPr>
        <w:spacing w:line="440" w:lineRule="exact"/>
        <w:ind w:firstLine="480" w:firstLineChars="200"/>
        <w:rPr>
          <w:rFonts w:ascii="宋体" w:hAnsi="宋体" w:cs="宋体"/>
          <w:bCs/>
          <w:sz w:val="24"/>
          <w:szCs w:val="24"/>
        </w:rPr>
      </w:pPr>
      <w:r>
        <w:rPr>
          <w:rFonts w:ascii="宋体" w:hAnsi="宋体" w:cs="宋体"/>
          <w:bCs/>
          <w:sz w:val="24"/>
          <w:szCs w:val="24"/>
        </w:rPr>
        <w:t>4.4供应商提交质疑应当提交质疑函和必要的证明材料，质疑函应当包括下列内容：</w:t>
      </w:r>
    </w:p>
    <w:p>
      <w:pPr>
        <w:spacing w:line="440" w:lineRule="exact"/>
        <w:ind w:firstLine="480" w:firstLineChars="200"/>
        <w:rPr>
          <w:rFonts w:ascii="宋体" w:hAnsi="宋体" w:cs="宋体"/>
          <w:bCs/>
          <w:sz w:val="24"/>
          <w:szCs w:val="24"/>
        </w:rPr>
      </w:pPr>
      <w:r>
        <w:rPr>
          <w:rFonts w:ascii="宋体" w:hAnsi="宋体" w:cs="宋体"/>
          <w:bCs/>
          <w:sz w:val="24"/>
          <w:szCs w:val="24"/>
        </w:rPr>
        <w:t>（1）供应商的姓名或者名称、地址、邮编、联系人及联系电话；</w:t>
      </w:r>
    </w:p>
    <w:p>
      <w:pPr>
        <w:spacing w:line="440" w:lineRule="exact"/>
        <w:ind w:firstLine="480" w:firstLineChars="200"/>
        <w:rPr>
          <w:rFonts w:ascii="宋体" w:hAnsi="宋体" w:cs="宋体"/>
          <w:bCs/>
          <w:sz w:val="24"/>
          <w:szCs w:val="24"/>
        </w:rPr>
      </w:pPr>
      <w:r>
        <w:rPr>
          <w:rFonts w:ascii="宋体" w:hAnsi="宋体" w:cs="宋体"/>
          <w:bCs/>
          <w:sz w:val="24"/>
          <w:szCs w:val="24"/>
        </w:rPr>
        <w:t>（2）质疑项目的名称、编号；</w:t>
      </w:r>
    </w:p>
    <w:p>
      <w:pPr>
        <w:spacing w:line="440" w:lineRule="exact"/>
        <w:ind w:firstLine="480" w:firstLineChars="200"/>
        <w:rPr>
          <w:rFonts w:ascii="宋体" w:hAnsi="宋体" w:cs="宋体"/>
          <w:bCs/>
          <w:sz w:val="24"/>
          <w:szCs w:val="24"/>
        </w:rPr>
      </w:pPr>
      <w:r>
        <w:rPr>
          <w:rFonts w:ascii="宋体" w:hAnsi="宋体" w:cs="宋体"/>
          <w:bCs/>
          <w:sz w:val="24"/>
          <w:szCs w:val="24"/>
        </w:rPr>
        <w:t>（3）具体、明确的质疑事项和质疑事项相关的请求；</w:t>
      </w:r>
    </w:p>
    <w:p>
      <w:pPr>
        <w:spacing w:line="440" w:lineRule="exact"/>
        <w:ind w:firstLine="480" w:firstLineChars="200"/>
        <w:rPr>
          <w:rFonts w:ascii="宋体" w:hAnsi="宋体" w:cs="宋体"/>
          <w:bCs/>
          <w:sz w:val="24"/>
          <w:szCs w:val="24"/>
        </w:rPr>
      </w:pPr>
      <w:r>
        <w:rPr>
          <w:rFonts w:ascii="宋体" w:hAnsi="宋体" w:cs="宋体"/>
          <w:bCs/>
          <w:sz w:val="24"/>
          <w:szCs w:val="24"/>
        </w:rPr>
        <w:t>（4）事实依据；</w:t>
      </w:r>
    </w:p>
    <w:p>
      <w:pPr>
        <w:spacing w:line="440" w:lineRule="exact"/>
        <w:ind w:firstLine="480" w:firstLineChars="200"/>
        <w:rPr>
          <w:rFonts w:ascii="宋体" w:hAnsi="宋体" w:cs="宋体"/>
          <w:bCs/>
          <w:sz w:val="24"/>
          <w:szCs w:val="24"/>
        </w:rPr>
      </w:pPr>
      <w:r>
        <w:rPr>
          <w:rFonts w:ascii="宋体" w:hAnsi="宋体" w:cs="宋体"/>
          <w:bCs/>
          <w:sz w:val="24"/>
          <w:szCs w:val="24"/>
        </w:rPr>
        <w:t>（5）必要的法律依据；</w:t>
      </w:r>
    </w:p>
    <w:p>
      <w:pPr>
        <w:spacing w:line="440" w:lineRule="exact"/>
        <w:ind w:firstLine="480" w:firstLineChars="200"/>
        <w:rPr>
          <w:rFonts w:ascii="宋体" w:hAnsi="宋体" w:cs="宋体"/>
          <w:bCs/>
          <w:sz w:val="24"/>
          <w:szCs w:val="24"/>
        </w:rPr>
      </w:pPr>
      <w:r>
        <w:rPr>
          <w:rFonts w:ascii="宋体" w:hAnsi="宋体" w:cs="宋体"/>
          <w:bCs/>
          <w:sz w:val="24"/>
          <w:szCs w:val="24"/>
        </w:rPr>
        <w:t>（6）提起质疑的日期；</w:t>
      </w:r>
    </w:p>
    <w:p>
      <w:pPr>
        <w:spacing w:line="440" w:lineRule="exact"/>
        <w:ind w:firstLine="480" w:firstLineChars="200"/>
        <w:rPr>
          <w:rFonts w:ascii="宋体" w:hAnsi="宋体" w:cs="宋体"/>
          <w:bCs/>
          <w:sz w:val="24"/>
          <w:szCs w:val="24"/>
        </w:rPr>
      </w:pPr>
      <w:r>
        <w:rPr>
          <w:rFonts w:ascii="宋体" w:hAnsi="宋体" w:cs="宋体"/>
          <w:bCs/>
          <w:sz w:val="24"/>
          <w:szCs w:val="24"/>
        </w:rPr>
        <w:t>质疑书应当署名。供应商为自然人的，应当由本人签字；质疑供应商为法人或者其他组织的，应当由法定代表人、主要负责人签字或其授权代表签字或盖章并加盖公章。</w:t>
      </w:r>
    </w:p>
    <w:p>
      <w:pPr>
        <w:spacing w:line="440" w:lineRule="exact"/>
        <w:ind w:firstLine="480" w:firstLineChars="200"/>
        <w:rPr>
          <w:rFonts w:ascii="宋体" w:hAnsi="宋体" w:cs="宋体"/>
          <w:bCs/>
          <w:sz w:val="24"/>
          <w:szCs w:val="24"/>
        </w:rPr>
      </w:pPr>
      <w:r>
        <w:rPr>
          <w:rFonts w:ascii="宋体" w:hAnsi="宋体" w:cs="宋体"/>
          <w:bCs/>
          <w:sz w:val="24"/>
          <w:szCs w:val="24"/>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spacing w:line="440" w:lineRule="exact"/>
        <w:ind w:firstLine="480" w:firstLineChars="200"/>
        <w:rPr>
          <w:rFonts w:ascii="宋体" w:hAnsi="宋体" w:cs="宋体"/>
          <w:bCs/>
          <w:sz w:val="24"/>
          <w:szCs w:val="24"/>
        </w:rPr>
      </w:pPr>
      <w:r>
        <w:rPr>
          <w:rFonts w:ascii="宋体" w:hAnsi="宋体" w:cs="宋体"/>
          <w:bCs/>
          <w:sz w:val="24"/>
          <w:szCs w:val="24"/>
        </w:rPr>
        <w:t>4.6  质疑供应商提起质疑应当符合下列条件：</w:t>
      </w:r>
    </w:p>
    <w:p>
      <w:pPr>
        <w:spacing w:line="440" w:lineRule="exact"/>
        <w:ind w:firstLine="480" w:firstLineChars="200"/>
        <w:rPr>
          <w:rFonts w:ascii="宋体" w:hAnsi="宋体" w:cs="宋体"/>
          <w:bCs/>
          <w:sz w:val="24"/>
          <w:szCs w:val="24"/>
        </w:rPr>
      </w:pPr>
      <w:r>
        <w:rPr>
          <w:rFonts w:ascii="宋体" w:hAnsi="宋体" w:cs="宋体"/>
          <w:bCs/>
          <w:sz w:val="24"/>
          <w:szCs w:val="24"/>
        </w:rPr>
        <w:t>（1）质疑供应商是参与所质疑政府采购活动的供应商，以联合体形式参加政府采购活动的，其质疑应当由组成联合体的所有供应商共同提出；</w:t>
      </w:r>
    </w:p>
    <w:p>
      <w:pPr>
        <w:spacing w:line="440" w:lineRule="exact"/>
        <w:ind w:firstLine="480" w:firstLineChars="200"/>
        <w:rPr>
          <w:rFonts w:ascii="宋体" w:hAnsi="宋体" w:cs="宋体"/>
          <w:bCs/>
          <w:sz w:val="24"/>
          <w:szCs w:val="24"/>
        </w:rPr>
      </w:pPr>
      <w:r>
        <w:rPr>
          <w:rFonts w:ascii="宋体" w:hAnsi="宋体" w:cs="宋体"/>
          <w:bCs/>
          <w:sz w:val="24"/>
          <w:szCs w:val="24"/>
        </w:rPr>
        <w:t>（2）质疑函内容符合本章第4.4项的规定；</w:t>
      </w:r>
    </w:p>
    <w:p>
      <w:pPr>
        <w:spacing w:line="440" w:lineRule="exact"/>
        <w:ind w:firstLine="480" w:firstLineChars="200"/>
        <w:rPr>
          <w:rFonts w:ascii="宋体" w:hAnsi="宋体" w:cs="宋体"/>
          <w:bCs/>
          <w:sz w:val="24"/>
          <w:szCs w:val="24"/>
        </w:rPr>
      </w:pPr>
      <w:r>
        <w:rPr>
          <w:rFonts w:ascii="宋体" w:hAnsi="宋体" w:cs="宋体"/>
          <w:bCs/>
          <w:sz w:val="24"/>
          <w:szCs w:val="24"/>
        </w:rPr>
        <w:t>（3）在质疑有效期限内提起质疑；</w:t>
      </w:r>
    </w:p>
    <w:p>
      <w:pPr>
        <w:spacing w:line="440" w:lineRule="exact"/>
        <w:ind w:firstLine="480" w:firstLineChars="200"/>
        <w:rPr>
          <w:rFonts w:ascii="宋体" w:hAnsi="宋体" w:cs="宋体"/>
          <w:bCs/>
          <w:sz w:val="24"/>
          <w:szCs w:val="24"/>
        </w:rPr>
      </w:pPr>
      <w:r>
        <w:rPr>
          <w:rFonts w:ascii="宋体" w:hAnsi="宋体" w:cs="宋体"/>
          <w:bCs/>
          <w:sz w:val="24"/>
          <w:szCs w:val="24"/>
        </w:rPr>
        <w:t>（4）属于所质疑的采购人或采购人委托的采购代理机构组织的采购活动；</w:t>
      </w:r>
    </w:p>
    <w:p>
      <w:pPr>
        <w:spacing w:line="440" w:lineRule="exact"/>
        <w:ind w:firstLine="480" w:firstLineChars="200"/>
        <w:rPr>
          <w:rFonts w:ascii="宋体" w:hAnsi="宋体" w:cs="宋体"/>
          <w:bCs/>
          <w:sz w:val="24"/>
          <w:szCs w:val="24"/>
        </w:rPr>
      </w:pPr>
      <w:r>
        <w:rPr>
          <w:rFonts w:ascii="宋体" w:hAnsi="宋体" w:cs="宋体"/>
          <w:bCs/>
          <w:sz w:val="24"/>
          <w:szCs w:val="24"/>
        </w:rPr>
        <w:t xml:space="preserve">（5）同一质疑事项未经采购人或采购人委托的采购代理机构质疑处理； </w:t>
      </w:r>
    </w:p>
    <w:p>
      <w:pPr>
        <w:spacing w:line="440" w:lineRule="exact"/>
        <w:ind w:firstLine="480" w:firstLineChars="200"/>
        <w:rPr>
          <w:rFonts w:ascii="宋体" w:hAnsi="宋体" w:cs="宋体"/>
          <w:bCs/>
          <w:sz w:val="24"/>
          <w:szCs w:val="24"/>
        </w:rPr>
      </w:pPr>
      <w:r>
        <w:rPr>
          <w:rFonts w:ascii="宋体" w:hAnsi="宋体" w:cs="宋体"/>
          <w:bCs/>
          <w:sz w:val="24"/>
          <w:szCs w:val="24"/>
        </w:rPr>
        <w:t>（6）供应商对同一采购程序环节的质疑应当在质疑有效期内一次性提出；</w:t>
      </w:r>
    </w:p>
    <w:p>
      <w:pPr>
        <w:spacing w:line="440" w:lineRule="exact"/>
        <w:ind w:firstLine="480" w:firstLineChars="200"/>
        <w:rPr>
          <w:rFonts w:ascii="宋体" w:hAnsi="宋体" w:cs="宋体"/>
          <w:bCs/>
          <w:sz w:val="24"/>
          <w:szCs w:val="24"/>
        </w:rPr>
      </w:pPr>
      <w:r>
        <w:rPr>
          <w:rFonts w:ascii="宋体" w:hAnsi="宋体" w:cs="宋体"/>
          <w:bCs/>
          <w:sz w:val="24"/>
          <w:szCs w:val="24"/>
        </w:rPr>
        <w:t>（7）供应商提交质疑应当提交必要的证明材料，证明材料应以合法手段取得；</w:t>
      </w:r>
    </w:p>
    <w:p>
      <w:pPr>
        <w:spacing w:line="440" w:lineRule="exact"/>
        <w:ind w:firstLine="480" w:firstLineChars="200"/>
        <w:rPr>
          <w:rFonts w:ascii="宋体" w:hAnsi="宋体" w:cs="宋体"/>
          <w:bCs/>
          <w:sz w:val="24"/>
          <w:szCs w:val="24"/>
        </w:rPr>
      </w:pPr>
      <w:r>
        <w:rPr>
          <w:rFonts w:ascii="宋体" w:hAnsi="宋体" w:cs="宋体"/>
          <w:bCs/>
          <w:sz w:val="24"/>
          <w:szCs w:val="24"/>
        </w:rPr>
        <w:t>（8）财政部门规定的其他条件。</w:t>
      </w:r>
    </w:p>
    <w:p>
      <w:pPr>
        <w:spacing w:line="440" w:lineRule="exact"/>
        <w:ind w:firstLine="480" w:firstLineChars="200"/>
        <w:rPr>
          <w:rFonts w:ascii="宋体" w:hAnsi="宋体" w:cs="宋体"/>
          <w:bCs/>
          <w:sz w:val="24"/>
          <w:szCs w:val="24"/>
        </w:rPr>
      </w:pPr>
      <w:r>
        <w:rPr>
          <w:rFonts w:ascii="宋体" w:hAnsi="宋体" w:cs="宋体"/>
          <w:bCs/>
          <w:sz w:val="24"/>
          <w:szCs w:val="24"/>
        </w:rPr>
        <w:t>4.7  采购人或采购人委托的采购代理机构自受理质疑之日起七个工作日内，对质疑事项作出答复，并以书面形式通知质疑供应商及其他有关供应商。</w:t>
      </w:r>
    </w:p>
    <w:p>
      <w:pPr>
        <w:pStyle w:val="10"/>
        <w:spacing w:line="440" w:lineRule="exact"/>
        <w:ind w:firstLine="360"/>
        <w:rPr>
          <w:rFonts w:hint="default" w:hAnsi="宋体" w:cs="宋体"/>
          <w:sz w:val="24"/>
          <w:szCs w:val="24"/>
        </w:rPr>
      </w:pPr>
      <w:r>
        <w:rPr>
          <w:rFonts w:hAnsi="宋体" w:cs="宋体"/>
          <w:sz w:val="24"/>
          <w:szCs w:val="24"/>
        </w:rPr>
        <w:t>5.  投诉</w:t>
      </w:r>
    </w:p>
    <w:p>
      <w:pPr>
        <w:pStyle w:val="10"/>
        <w:spacing w:line="440" w:lineRule="exact"/>
        <w:ind w:firstLine="360"/>
        <w:rPr>
          <w:rFonts w:hint="default" w:hAnsi="宋体" w:cs="宋体"/>
          <w:sz w:val="24"/>
          <w:szCs w:val="24"/>
        </w:rPr>
      </w:pPr>
      <w:r>
        <w:rPr>
          <w:rFonts w:hAnsi="宋体" w:cs="宋体"/>
          <w:sz w:val="24"/>
          <w:szCs w:val="24"/>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15个工作日内向南宁市政府采购监督管理部门提起投诉。</w:t>
      </w:r>
    </w:p>
    <w:p>
      <w:pPr>
        <w:pStyle w:val="10"/>
        <w:spacing w:line="440" w:lineRule="exact"/>
        <w:ind w:firstLine="360"/>
        <w:rPr>
          <w:rFonts w:hint="default" w:hAnsi="宋体" w:cs="宋体"/>
          <w:sz w:val="24"/>
          <w:szCs w:val="24"/>
        </w:rPr>
      </w:pPr>
      <w:r>
        <w:rPr>
          <w:rFonts w:hAnsi="宋体" w:cs="宋体"/>
          <w:sz w:val="24"/>
          <w:szCs w:val="24"/>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0"/>
        <w:spacing w:line="440" w:lineRule="exact"/>
        <w:ind w:firstLine="360"/>
        <w:rPr>
          <w:rFonts w:hint="default" w:hAnsi="宋体" w:cs="宋体"/>
          <w:sz w:val="24"/>
          <w:szCs w:val="24"/>
        </w:rPr>
      </w:pPr>
      <w:r>
        <w:rPr>
          <w:rFonts w:hAnsi="宋体" w:cs="宋体"/>
          <w:sz w:val="24"/>
          <w:szCs w:val="24"/>
        </w:rPr>
        <w:t xml:space="preserve">（1）投诉人和被投诉人的名称、地址、电话等； </w:t>
      </w:r>
    </w:p>
    <w:p>
      <w:pPr>
        <w:pStyle w:val="10"/>
        <w:spacing w:line="440" w:lineRule="exact"/>
        <w:ind w:firstLine="360"/>
        <w:rPr>
          <w:rFonts w:hint="default" w:hAnsi="宋体" w:cs="宋体"/>
          <w:sz w:val="24"/>
          <w:szCs w:val="24"/>
        </w:rPr>
      </w:pPr>
      <w:r>
        <w:rPr>
          <w:rFonts w:hAnsi="宋体" w:cs="宋体"/>
          <w:sz w:val="24"/>
          <w:szCs w:val="24"/>
        </w:rPr>
        <w:t>（2）具体的投诉事项及事实依据；</w:t>
      </w:r>
    </w:p>
    <w:p>
      <w:pPr>
        <w:pStyle w:val="10"/>
        <w:spacing w:line="440" w:lineRule="exact"/>
        <w:ind w:firstLine="360"/>
        <w:rPr>
          <w:rFonts w:hint="default" w:hAnsi="宋体" w:cs="宋体"/>
          <w:sz w:val="24"/>
          <w:szCs w:val="24"/>
        </w:rPr>
      </w:pPr>
      <w:r>
        <w:rPr>
          <w:rFonts w:hAnsi="宋体" w:cs="宋体"/>
          <w:sz w:val="24"/>
          <w:szCs w:val="24"/>
        </w:rPr>
        <w:t xml:space="preserve">（3）质疑和质疑答复情况及相关证明材料； </w:t>
      </w:r>
    </w:p>
    <w:p>
      <w:pPr>
        <w:pStyle w:val="10"/>
        <w:spacing w:line="440" w:lineRule="exact"/>
        <w:ind w:firstLine="360"/>
        <w:rPr>
          <w:rFonts w:hint="default" w:hAnsi="宋体" w:cs="宋体"/>
          <w:sz w:val="24"/>
          <w:szCs w:val="24"/>
        </w:rPr>
      </w:pPr>
      <w:r>
        <w:rPr>
          <w:rFonts w:hAnsi="宋体" w:cs="宋体"/>
          <w:sz w:val="24"/>
          <w:szCs w:val="24"/>
        </w:rPr>
        <w:t>（4）提起投诉的日期。</w:t>
      </w:r>
    </w:p>
    <w:p>
      <w:pPr>
        <w:pStyle w:val="10"/>
        <w:spacing w:line="440" w:lineRule="exact"/>
        <w:ind w:firstLine="360"/>
        <w:rPr>
          <w:rFonts w:hint="default" w:hAnsi="宋体" w:cs="宋体"/>
          <w:sz w:val="24"/>
          <w:szCs w:val="24"/>
        </w:rPr>
      </w:pPr>
      <w:r>
        <w:rPr>
          <w:rFonts w:hAnsi="宋体" w:cs="宋体"/>
          <w:sz w:val="24"/>
          <w:szCs w:val="24"/>
        </w:rPr>
        <w:t xml:space="preserve">    投诉书应当署名。投诉人为自然人的，应当由本人签字；投诉人为法人或者其他组织的，应当由法定代表人或者主要负责人签字盖章并加盖公章。</w:t>
      </w:r>
    </w:p>
    <w:p>
      <w:pPr>
        <w:pStyle w:val="10"/>
        <w:spacing w:line="440" w:lineRule="exact"/>
        <w:ind w:firstLine="360"/>
        <w:rPr>
          <w:rFonts w:hint="default" w:hAnsi="宋体" w:cs="宋体"/>
          <w:sz w:val="24"/>
          <w:szCs w:val="24"/>
        </w:rPr>
      </w:pPr>
      <w:r>
        <w:rPr>
          <w:rFonts w:hAnsi="宋体" w:cs="宋体"/>
          <w:sz w:val="24"/>
          <w:szCs w:val="24"/>
        </w:rPr>
        <w:t>5.3  投诉人可以委托代理人办理投诉事务。代理人办理投诉事务时，除提交投诉书外，还应当提交投诉人的授权委托书，授权委托书应当载明委托代理的具体权限和事项。</w:t>
      </w:r>
    </w:p>
    <w:p>
      <w:pPr>
        <w:pStyle w:val="10"/>
        <w:spacing w:line="440" w:lineRule="exact"/>
        <w:ind w:firstLine="360"/>
        <w:rPr>
          <w:rFonts w:hint="default" w:hAnsi="宋体" w:cs="宋体"/>
          <w:sz w:val="24"/>
          <w:szCs w:val="24"/>
        </w:rPr>
      </w:pPr>
      <w:r>
        <w:rPr>
          <w:rFonts w:hAnsi="宋体" w:cs="宋体"/>
          <w:sz w:val="24"/>
          <w:szCs w:val="24"/>
        </w:rPr>
        <w:t>5.4  投诉人提起投诉应当符合下列条件：</w:t>
      </w:r>
    </w:p>
    <w:p>
      <w:pPr>
        <w:pStyle w:val="10"/>
        <w:spacing w:line="440" w:lineRule="exact"/>
        <w:ind w:firstLine="360"/>
        <w:rPr>
          <w:rFonts w:hint="default" w:hAnsi="宋体" w:cs="宋体"/>
          <w:sz w:val="24"/>
          <w:szCs w:val="24"/>
        </w:rPr>
      </w:pPr>
      <w:r>
        <w:rPr>
          <w:rFonts w:hAnsi="宋体" w:cs="宋体"/>
          <w:sz w:val="24"/>
          <w:szCs w:val="24"/>
        </w:rPr>
        <w:t>（1）投诉人是参与所投诉政府采购活动的供应商；</w:t>
      </w:r>
    </w:p>
    <w:p>
      <w:pPr>
        <w:pStyle w:val="10"/>
        <w:spacing w:line="440" w:lineRule="exact"/>
        <w:ind w:firstLine="360"/>
        <w:rPr>
          <w:rFonts w:hint="default" w:hAnsi="宋体" w:cs="宋体"/>
          <w:sz w:val="24"/>
          <w:szCs w:val="24"/>
        </w:rPr>
      </w:pPr>
      <w:r>
        <w:rPr>
          <w:rFonts w:hAnsi="宋体" w:cs="宋体"/>
          <w:sz w:val="24"/>
          <w:szCs w:val="24"/>
        </w:rPr>
        <w:t>（2）提起投诉前已依法进行质疑；</w:t>
      </w:r>
    </w:p>
    <w:p>
      <w:pPr>
        <w:pStyle w:val="10"/>
        <w:spacing w:line="440" w:lineRule="exact"/>
        <w:ind w:firstLine="360"/>
        <w:rPr>
          <w:rFonts w:hint="default" w:hAnsi="宋体" w:cs="宋体"/>
          <w:sz w:val="24"/>
          <w:szCs w:val="24"/>
        </w:rPr>
      </w:pPr>
      <w:r>
        <w:rPr>
          <w:rFonts w:hAnsi="宋体" w:cs="宋体"/>
          <w:sz w:val="24"/>
          <w:szCs w:val="24"/>
        </w:rPr>
        <w:t>（3）投诉书内容符合本章第5.2项的规定；</w:t>
      </w:r>
    </w:p>
    <w:p>
      <w:pPr>
        <w:pStyle w:val="10"/>
        <w:spacing w:line="440" w:lineRule="exact"/>
        <w:ind w:firstLine="360"/>
        <w:rPr>
          <w:rFonts w:hint="default" w:hAnsi="宋体" w:cs="宋体"/>
          <w:sz w:val="24"/>
          <w:szCs w:val="24"/>
        </w:rPr>
      </w:pPr>
      <w:r>
        <w:rPr>
          <w:rFonts w:hAnsi="宋体" w:cs="宋体"/>
          <w:sz w:val="24"/>
          <w:szCs w:val="24"/>
        </w:rPr>
        <w:t>（4）在投诉有效期限内提起投诉；</w:t>
      </w:r>
    </w:p>
    <w:p>
      <w:pPr>
        <w:pStyle w:val="10"/>
        <w:spacing w:line="440" w:lineRule="exact"/>
        <w:ind w:firstLine="360"/>
        <w:rPr>
          <w:rFonts w:hint="default" w:hAnsi="宋体" w:cs="宋体"/>
          <w:sz w:val="24"/>
          <w:szCs w:val="24"/>
        </w:rPr>
      </w:pPr>
      <w:r>
        <w:rPr>
          <w:rFonts w:hAnsi="宋体" w:cs="宋体"/>
          <w:sz w:val="24"/>
          <w:szCs w:val="24"/>
        </w:rPr>
        <w:t>（5）属于南宁市政府采购监督管理部门管辖；</w:t>
      </w:r>
    </w:p>
    <w:p>
      <w:pPr>
        <w:pStyle w:val="10"/>
        <w:spacing w:line="440" w:lineRule="exact"/>
        <w:ind w:firstLine="360"/>
        <w:rPr>
          <w:rFonts w:hint="default" w:hAnsi="宋体" w:cs="宋体"/>
          <w:sz w:val="24"/>
          <w:szCs w:val="24"/>
        </w:rPr>
      </w:pPr>
      <w:r>
        <w:rPr>
          <w:rFonts w:hAnsi="宋体" w:cs="宋体"/>
          <w:sz w:val="24"/>
          <w:szCs w:val="24"/>
        </w:rPr>
        <w:t>（6）同一投诉事项未经南宁市政府采购监督管理部门投诉处理；</w:t>
      </w:r>
    </w:p>
    <w:p>
      <w:pPr>
        <w:pStyle w:val="10"/>
        <w:spacing w:line="440" w:lineRule="exact"/>
        <w:ind w:firstLine="360"/>
        <w:rPr>
          <w:rFonts w:hint="default" w:hAnsi="宋体" w:cs="宋体"/>
          <w:sz w:val="24"/>
          <w:szCs w:val="24"/>
        </w:rPr>
      </w:pPr>
      <w:r>
        <w:rPr>
          <w:rFonts w:hAnsi="宋体" w:cs="宋体"/>
          <w:sz w:val="24"/>
          <w:szCs w:val="24"/>
        </w:rPr>
        <w:t>（7）国务院财政部门规定的其他条件。</w:t>
      </w:r>
    </w:p>
    <w:p>
      <w:pPr>
        <w:pStyle w:val="10"/>
        <w:spacing w:line="440" w:lineRule="exact"/>
        <w:ind w:firstLine="360"/>
        <w:rPr>
          <w:rFonts w:hint="default" w:hAnsi="宋体" w:cs="宋体"/>
          <w:sz w:val="24"/>
          <w:szCs w:val="24"/>
        </w:rPr>
      </w:pPr>
      <w:r>
        <w:rPr>
          <w:rFonts w:hAnsi="宋体" w:cs="宋体"/>
          <w:sz w:val="24"/>
          <w:szCs w:val="24"/>
        </w:rPr>
        <w:t>5.5  南宁市政府采购监督管理部门自受理投诉之日起30个工作日内，对投诉事项作出处理决定，并以书面形式通知投诉人、被投诉人及其他与投诉处理结果有利害关系的政府采购当事人。</w:t>
      </w:r>
    </w:p>
    <w:p>
      <w:pPr>
        <w:pStyle w:val="10"/>
        <w:spacing w:line="440" w:lineRule="exact"/>
        <w:ind w:firstLine="360"/>
        <w:rPr>
          <w:rFonts w:hint="default" w:hAnsi="宋体" w:cs="宋体"/>
          <w:sz w:val="24"/>
          <w:szCs w:val="24"/>
        </w:rPr>
      </w:pPr>
      <w:r>
        <w:rPr>
          <w:rFonts w:hAnsi="宋体" w:cs="宋体"/>
          <w:sz w:val="24"/>
          <w:szCs w:val="24"/>
        </w:rPr>
        <w:t>5.6  南宁市政府采购监督管理部门在处理投诉事项期间，可以视具体情况暂停采购活动。</w:t>
      </w:r>
    </w:p>
    <w:p>
      <w:pPr>
        <w:pStyle w:val="10"/>
        <w:jc w:val="center"/>
        <w:outlineLvl w:val="1"/>
        <w:rPr>
          <w:rFonts w:hint="default" w:hAnsi="宋体" w:cs="宋体"/>
          <w:b/>
          <w:bCs/>
          <w:sz w:val="30"/>
          <w:szCs w:val="30"/>
        </w:rPr>
      </w:pPr>
      <w:bookmarkStart w:id="31" w:name="_Toc1168"/>
      <w:bookmarkStart w:id="32" w:name="_Toc30478"/>
      <w:bookmarkStart w:id="33" w:name="_Toc18282"/>
      <w:r>
        <w:rPr>
          <w:rFonts w:hAnsi="宋体" w:cs="宋体"/>
          <w:b/>
          <w:bCs/>
          <w:sz w:val="30"/>
          <w:szCs w:val="30"/>
        </w:rPr>
        <w:t>二    公开招标文件</w:t>
      </w:r>
      <w:bookmarkEnd w:id="31"/>
      <w:bookmarkEnd w:id="32"/>
      <w:bookmarkEnd w:id="33"/>
    </w:p>
    <w:p>
      <w:pPr>
        <w:pStyle w:val="10"/>
        <w:spacing w:line="440" w:lineRule="exact"/>
        <w:rPr>
          <w:rFonts w:hint="default" w:hAnsi="宋体" w:cs="宋体"/>
          <w:sz w:val="24"/>
          <w:szCs w:val="24"/>
        </w:rPr>
      </w:pPr>
      <w:r>
        <w:rPr>
          <w:rFonts w:hAnsi="宋体" w:cs="宋体"/>
          <w:sz w:val="24"/>
          <w:szCs w:val="24"/>
        </w:rPr>
        <w:t>6.  公开招标文件的组成</w:t>
      </w:r>
    </w:p>
    <w:p>
      <w:pPr>
        <w:pStyle w:val="10"/>
        <w:spacing w:line="440" w:lineRule="exact"/>
        <w:ind w:firstLine="410" w:firstLineChars="171"/>
        <w:rPr>
          <w:rFonts w:hint="default" w:hAnsi="宋体" w:cs="宋体"/>
          <w:sz w:val="24"/>
          <w:szCs w:val="24"/>
        </w:rPr>
      </w:pPr>
      <w:r>
        <w:rPr>
          <w:rFonts w:hAnsi="宋体" w:cs="宋体"/>
          <w:sz w:val="24"/>
          <w:szCs w:val="24"/>
        </w:rPr>
        <w:t>6.1  本公开招标文件包括六个章节，各章的内容如下：</w:t>
      </w:r>
    </w:p>
    <w:p>
      <w:pPr>
        <w:pStyle w:val="10"/>
        <w:spacing w:line="440" w:lineRule="exact"/>
        <w:ind w:firstLine="820" w:firstLineChars="342"/>
        <w:rPr>
          <w:rFonts w:hint="default" w:hAnsi="宋体" w:cs="宋体"/>
          <w:sz w:val="24"/>
          <w:szCs w:val="24"/>
        </w:rPr>
      </w:pPr>
      <w:r>
        <w:rPr>
          <w:rFonts w:hAnsi="宋体" w:cs="宋体"/>
          <w:sz w:val="24"/>
          <w:szCs w:val="24"/>
        </w:rPr>
        <w:t>第一章  招标公告</w:t>
      </w:r>
    </w:p>
    <w:p>
      <w:pPr>
        <w:pStyle w:val="10"/>
        <w:spacing w:line="440" w:lineRule="exact"/>
        <w:ind w:firstLine="820" w:firstLineChars="342"/>
        <w:rPr>
          <w:rFonts w:hint="default" w:hAnsi="宋体" w:cs="宋体"/>
          <w:sz w:val="24"/>
          <w:szCs w:val="24"/>
        </w:rPr>
      </w:pPr>
      <w:r>
        <w:rPr>
          <w:rFonts w:hAnsi="宋体" w:cs="宋体"/>
          <w:sz w:val="24"/>
          <w:szCs w:val="24"/>
        </w:rPr>
        <w:t>第二章  货物需求一览表</w:t>
      </w:r>
    </w:p>
    <w:p>
      <w:pPr>
        <w:pStyle w:val="10"/>
        <w:spacing w:line="440" w:lineRule="exact"/>
        <w:ind w:firstLine="820" w:firstLineChars="342"/>
        <w:rPr>
          <w:rFonts w:hint="default" w:hAnsi="宋体" w:cs="宋体"/>
          <w:sz w:val="24"/>
          <w:szCs w:val="24"/>
        </w:rPr>
      </w:pPr>
      <w:r>
        <w:rPr>
          <w:rFonts w:hAnsi="宋体" w:cs="宋体"/>
          <w:sz w:val="24"/>
          <w:szCs w:val="24"/>
        </w:rPr>
        <w:t>第三章  评标方法</w:t>
      </w:r>
    </w:p>
    <w:p>
      <w:pPr>
        <w:pStyle w:val="10"/>
        <w:spacing w:line="440" w:lineRule="exact"/>
        <w:ind w:firstLine="820" w:firstLineChars="342"/>
        <w:rPr>
          <w:rFonts w:hint="default" w:hAnsi="宋体" w:cs="宋体"/>
          <w:sz w:val="24"/>
          <w:szCs w:val="24"/>
        </w:rPr>
      </w:pPr>
      <w:r>
        <w:rPr>
          <w:rFonts w:hAnsi="宋体" w:cs="宋体"/>
          <w:sz w:val="24"/>
          <w:szCs w:val="24"/>
        </w:rPr>
        <w:t>第四章  投标人须知</w:t>
      </w:r>
    </w:p>
    <w:p>
      <w:pPr>
        <w:pStyle w:val="10"/>
        <w:spacing w:line="440" w:lineRule="exact"/>
        <w:ind w:firstLine="820" w:firstLineChars="342"/>
        <w:rPr>
          <w:rFonts w:hint="default" w:hAnsi="宋体" w:cs="宋体"/>
          <w:sz w:val="24"/>
          <w:szCs w:val="24"/>
        </w:rPr>
      </w:pPr>
      <w:r>
        <w:rPr>
          <w:rFonts w:hAnsi="宋体" w:cs="宋体"/>
          <w:sz w:val="24"/>
          <w:szCs w:val="24"/>
        </w:rPr>
        <w:t>第五章  投标文件格式</w:t>
      </w:r>
    </w:p>
    <w:p>
      <w:pPr>
        <w:pStyle w:val="10"/>
        <w:spacing w:line="440" w:lineRule="exact"/>
        <w:ind w:firstLine="820" w:firstLineChars="342"/>
        <w:rPr>
          <w:rFonts w:hint="default" w:hAnsi="宋体" w:cs="宋体"/>
          <w:sz w:val="24"/>
          <w:szCs w:val="24"/>
        </w:rPr>
      </w:pPr>
      <w:r>
        <w:rPr>
          <w:rFonts w:hAnsi="宋体" w:cs="宋体"/>
          <w:sz w:val="24"/>
          <w:szCs w:val="24"/>
        </w:rPr>
        <w:t>第六章  合同条款及格式</w:t>
      </w:r>
    </w:p>
    <w:p>
      <w:pPr>
        <w:pStyle w:val="10"/>
        <w:spacing w:line="440" w:lineRule="exact"/>
        <w:ind w:firstLine="410" w:firstLineChars="171"/>
        <w:rPr>
          <w:rFonts w:hint="default" w:hAnsi="宋体" w:cs="宋体"/>
          <w:sz w:val="24"/>
          <w:szCs w:val="24"/>
        </w:rPr>
      </w:pPr>
      <w:r>
        <w:rPr>
          <w:rFonts w:hAnsi="宋体" w:cs="宋体"/>
          <w:sz w:val="24"/>
          <w:szCs w:val="24"/>
        </w:rPr>
        <w:t>6.2根据本章第7.1项的规定对公开招标文件所做的澄清、修改，构成招标文件的组成部分。当公开招标文件与招标文件的澄清和修改就同一内容的表述不一致时，以最后发出的书面文件为准。</w:t>
      </w:r>
    </w:p>
    <w:p>
      <w:pPr>
        <w:pStyle w:val="10"/>
        <w:spacing w:line="440" w:lineRule="exact"/>
        <w:rPr>
          <w:rFonts w:hint="default" w:hAnsi="宋体" w:cs="宋体"/>
          <w:sz w:val="24"/>
          <w:szCs w:val="24"/>
        </w:rPr>
      </w:pPr>
      <w:r>
        <w:rPr>
          <w:rFonts w:hAnsi="宋体" w:cs="宋体"/>
          <w:sz w:val="24"/>
          <w:szCs w:val="24"/>
        </w:rPr>
        <w:t>7.  招标文件的澄清和修改</w:t>
      </w:r>
    </w:p>
    <w:p>
      <w:pPr>
        <w:pStyle w:val="10"/>
        <w:spacing w:after="165" w:line="440" w:lineRule="exact"/>
        <w:ind w:left="2" w:firstLine="480"/>
        <w:rPr>
          <w:rFonts w:hint="default" w:hAnsi="宋体" w:cs="宋体"/>
          <w:sz w:val="24"/>
          <w:szCs w:val="24"/>
        </w:rPr>
      </w:pPr>
      <w:r>
        <w:rPr>
          <w:rFonts w:hAnsi="宋体" w:cs="宋体"/>
          <w:sz w:val="24"/>
          <w:szCs w:val="24"/>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10"/>
        <w:spacing w:after="165" w:line="440" w:lineRule="exact"/>
        <w:ind w:left="2" w:leftChars="1" w:firstLine="480" w:firstLineChars="200"/>
        <w:rPr>
          <w:rFonts w:hint="default" w:hAnsi="宋体" w:cs="宋体"/>
          <w:b/>
          <w:bCs/>
          <w:sz w:val="24"/>
          <w:szCs w:val="24"/>
        </w:rPr>
      </w:pPr>
      <w:r>
        <w:rPr>
          <w:rFonts w:hAnsi="宋体" w:cs="宋体"/>
          <w:sz w:val="24"/>
          <w:szCs w:val="24"/>
        </w:rPr>
        <w:t>7.2  采购人或采购代理机构必须在投标截止时间15日前，以书面形式答复投标人要求澄清的问题，并将不包含问题来源的澄清通知所有招标文件收受人，除书面澄清以外的其他澄清方式及澄清内容均无效；同时，采购代理机构在本章第2.1项规定的政府采购信息发布媒体上发布更正公告。如果澄清发出的时间距投标截止时间不足15日，则相应延长投标截止时间。</w:t>
      </w:r>
      <w:r>
        <w:rPr>
          <w:rFonts w:hAnsi="宋体" w:cs="宋体"/>
          <w:b/>
          <w:bCs/>
          <w:sz w:val="24"/>
          <w:szCs w:val="24"/>
        </w:rPr>
        <w:t>请各投标单位随时关注网站动态，代理机构将不再另行电话通知。</w:t>
      </w:r>
    </w:p>
    <w:p>
      <w:pPr>
        <w:pStyle w:val="10"/>
        <w:spacing w:after="165" w:line="440" w:lineRule="exact"/>
        <w:ind w:left="2" w:leftChars="1" w:firstLine="480" w:firstLineChars="200"/>
        <w:rPr>
          <w:rFonts w:hint="default" w:hAnsi="宋体" w:cs="宋体"/>
          <w:b/>
          <w:sz w:val="24"/>
          <w:szCs w:val="24"/>
        </w:rPr>
      </w:pPr>
      <w:r>
        <w:rPr>
          <w:rFonts w:hAnsi="宋体" w:cs="宋体"/>
          <w:sz w:val="24"/>
          <w:szCs w:val="24"/>
        </w:rPr>
        <w:t>7.3 采购人或采购代理机构对已发出的招标文件进行必要澄清或修改的，应在投标截止时间15日前，在本章第2.1项规定的政府采购信息发布媒体上发布更正公告。如果修改招标文件的时间距投标截止时间不足15日，则相应延长投标截止时间。</w:t>
      </w:r>
      <w:r>
        <w:rPr>
          <w:rFonts w:hAnsi="宋体" w:cs="宋体"/>
          <w:b/>
          <w:sz w:val="24"/>
          <w:szCs w:val="24"/>
        </w:rPr>
        <w:t>请各投标单位随时关注网站动态，代理机构将不再另行电话通知。</w:t>
      </w:r>
    </w:p>
    <w:p>
      <w:pPr>
        <w:pStyle w:val="10"/>
        <w:spacing w:after="165" w:line="440" w:lineRule="exact"/>
        <w:ind w:left="2" w:leftChars="1" w:firstLine="480" w:firstLineChars="200"/>
        <w:rPr>
          <w:rFonts w:hint="default" w:hAnsi="宋体" w:cs="宋体"/>
          <w:sz w:val="24"/>
          <w:szCs w:val="24"/>
        </w:rPr>
      </w:pPr>
      <w:r>
        <w:rPr>
          <w:rFonts w:hAnsi="宋体" w:cs="宋体"/>
          <w:sz w:val="24"/>
          <w:szCs w:val="24"/>
        </w:rPr>
        <w:t>7.4  采购人和采购代理机构可以视采购具体情况，变更投标截止时间和开标时间，将在本章第2.1项规定的政府采购信息发布媒体上发布变更公告。</w:t>
      </w:r>
      <w:r>
        <w:rPr>
          <w:rFonts w:hAnsi="宋体" w:cs="宋体"/>
          <w:b/>
          <w:sz w:val="24"/>
          <w:szCs w:val="24"/>
        </w:rPr>
        <w:t>请各投标单位随时关注网站动态，代理机构将不再另行电话通知。</w:t>
      </w:r>
    </w:p>
    <w:p>
      <w:pPr>
        <w:pStyle w:val="10"/>
        <w:spacing w:line="440" w:lineRule="exact"/>
        <w:ind w:left="2" w:firstLine="360"/>
        <w:rPr>
          <w:rFonts w:hint="default" w:hAnsi="宋体" w:cs="宋体"/>
          <w:sz w:val="24"/>
          <w:szCs w:val="24"/>
        </w:rPr>
      </w:pPr>
    </w:p>
    <w:p>
      <w:pPr>
        <w:pStyle w:val="10"/>
        <w:spacing w:line="440" w:lineRule="exact"/>
        <w:rPr>
          <w:rFonts w:hint="default" w:hAnsi="宋体" w:cs="宋体"/>
          <w:b/>
          <w:bCs/>
        </w:rPr>
      </w:pPr>
    </w:p>
    <w:p>
      <w:pPr>
        <w:pStyle w:val="10"/>
        <w:jc w:val="center"/>
        <w:outlineLvl w:val="1"/>
        <w:rPr>
          <w:rFonts w:hint="default" w:hAnsi="宋体" w:cs="宋体"/>
          <w:b/>
          <w:bCs/>
          <w:sz w:val="30"/>
          <w:szCs w:val="30"/>
        </w:rPr>
      </w:pPr>
      <w:bookmarkStart w:id="34" w:name="_Toc10923"/>
      <w:bookmarkStart w:id="35" w:name="_Toc27975"/>
      <w:bookmarkStart w:id="36" w:name="_Toc22999"/>
      <w:r>
        <w:rPr>
          <w:rFonts w:hAnsi="宋体" w:cs="宋体"/>
          <w:b/>
          <w:bCs/>
          <w:sz w:val="30"/>
          <w:szCs w:val="30"/>
        </w:rPr>
        <w:t>三    投标文件</w:t>
      </w:r>
      <w:bookmarkEnd w:id="34"/>
      <w:bookmarkEnd w:id="35"/>
      <w:bookmarkEnd w:id="36"/>
    </w:p>
    <w:p>
      <w:pPr>
        <w:pStyle w:val="10"/>
        <w:spacing w:line="440" w:lineRule="exact"/>
        <w:rPr>
          <w:rFonts w:hint="default" w:hAnsi="宋体" w:cs="宋体"/>
          <w:sz w:val="24"/>
          <w:szCs w:val="24"/>
        </w:rPr>
      </w:pPr>
      <w:r>
        <w:rPr>
          <w:rFonts w:hAnsi="宋体" w:cs="宋体"/>
          <w:sz w:val="24"/>
          <w:szCs w:val="24"/>
        </w:rPr>
        <w:t>8.  投标文件的编制</w:t>
      </w:r>
    </w:p>
    <w:p>
      <w:pPr>
        <w:pStyle w:val="10"/>
        <w:spacing w:line="440" w:lineRule="exact"/>
        <w:ind w:left="2" w:firstLine="360"/>
        <w:rPr>
          <w:rFonts w:hint="default" w:hAnsi="宋体" w:cs="宋体"/>
          <w:sz w:val="24"/>
          <w:szCs w:val="24"/>
        </w:rPr>
      </w:pPr>
      <w:r>
        <w:rPr>
          <w:rFonts w:hAnsi="宋体" w:cs="宋体"/>
          <w:sz w:val="24"/>
          <w:szCs w:val="24"/>
        </w:rPr>
        <w:t>8.1  投标人应仔细阅读招标文件，在充分了解招标的内容、技术参数要求和商务条款以及实质性要求和条件后，编写投标文件。</w:t>
      </w:r>
    </w:p>
    <w:p>
      <w:pPr>
        <w:pStyle w:val="10"/>
        <w:spacing w:line="440" w:lineRule="exact"/>
        <w:ind w:left="2" w:firstLine="360"/>
        <w:rPr>
          <w:rFonts w:hint="default" w:hAnsi="宋体" w:cs="宋体"/>
          <w:sz w:val="24"/>
          <w:szCs w:val="24"/>
        </w:rPr>
      </w:pPr>
      <w:r>
        <w:rPr>
          <w:rFonts w:hAnsi="宋体" w:cs="宋体"/>
          <w:sz w:val="24"/>
          <w:szCs w:val="24"/>
        </w:rPr>
        <w:t>8.2  对招标文件的实质性要求和条件作出响应是指投标人必须对招标文件中标注为实质性要求和条件的技术参数要求、商务条款及其它内容</w:t>
      </w:r>
      <w:r>
        <w:rPr>
          <w:rFonts w:hAnsi="宋体" w:cs="宋体"/>
          <w:b/>
          <w:bCs/>
          <w:sz w:val="24"/>
          <w:szCs w:val="24"/>
        </w:rPr>
        <w:t>作出满足或者优于原要求和条件的承诺</w:t>
      </w:r>
      <w:r>
        <w:rPr>
          <w:rFonts w:hAnsi="宋体" w:cs="宋体"/>
          <w:sz w:val="24"/>
          <w:szCs w:val="24"/>
        </w:rPr>
        <w:t>。</w:t>
      </w:r>
    </w:p>
    <w:p>
      <w:pPr>
        <w:pStyle w:val="10"/>
        <w:spacing w:line="440" w:lineRule="exact"/>
        <w:ind w:left="2" w:firstLine="360"/>
        <w:rPr>
          <w:rFonts w:hint="default" w:hAnsi="宋体" w:cs="宋体"/>
          <w:sz w:val="24"/>
          <w:szCs w:val="24"/>
        </w:rPr>
      </w:pPr>
      <w:r>
        <w:rPr>
          <w:rFonts w:hAnsi="宋体" w:cs="宋体"/>
          <w:sz w:val="24"/>
          <w:szCs w:val="24"/>
        </w:rPr>
        <w:t>8.3  招标文件中标注★号的内容为实质性要求和条件。未标注★号的内容在评标时不得作为判定投标无效的依据。</w:t>
      </w:r>
    </w:p>
    <w:p>
      <w:pPr>
        <w:pStyle w:val="10"/>
        <w:spacing w:line="440" w:lineRule="exact"/>
        <w:ind w:left="2" w:firstLine="360"/>
        <w:rPr>
          <w:rFonts w:hint="default" w:hAnsi="宋体" w:cs="宋体"/>
          <w:sz w:val="24"/>
          <w:szCs w:val="24"/>
        </w:rPr>
      </w:pPr>
      <w:r>
        <w:rPr>
          <w:rFonts w:hAnsi="宋体" w:cs="宋体"/>
          <w:sz w:val="24"/>
          <w:szCs w:val="24"/>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0"/>
        <w:spacing w:line="440" w:lineRule="exact"/>
        <w:ind w:left="2" w:firstLine="360"/>
        <w:rPr>
          <w:rFonts w:hint="default" w:hAnsi="宋体" w:cs="宋体"/>
          <w:sz w:val="24"/>
          <w:szCs w:val="24"/>
        </w:rPr>
      </w:pPr>
      <w:r>
        <w:rPr>
          <w:rFonts w:hAnsi="宋体" w:cs="宋体"/>
          <w:sz w:val="24"/>
          <w:szCs w:val="24"/>
        </w:rPr>
        <w:t>8.5  第五章“投标文件格式”中规定了投标文件格式的，应按相应格式要求编写。</w:t>
      </w:r>
    </w:p>
    <w:p>
      <w:pPr>
        <w:pStyle w:val="10"/>
        <w:spacing w:line="440" w:lineRule="exact"/>
        <w:ind w:left="2" w:firstLine="360"/>
        <w:rPr>
          <w:rFonts w:hint="default" w:hAnsi="宋体" w:cs="宋体"/>
          <w:sz w:val="24"/>
          <w:szCs w:val="24"/>
        </w:rPr>
      </w:pPr>
      <w:r>
        <w:rPr>
          <w:rFonts w:hAnsi="宋体" w:cs="宋体"/>
          <w:sz w:val="24"/>
          <w:szCs w:val="24"/>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0"/>
        <w:spacing w:line="440" w:lineRule="exact"/>
        <w:ind w:left="2" w:firstLine="360"/>
        <w:rPr>
          <w:rFonts w:hint="default" w:hAnsi="宋体" w:cs="宋体"/>
          <w:sz w:val="24"/>
          <w:szCs w:val="24"/>
        </w:rPr>
      </w:pPr>
      <w:r>
        <w:rPr>
          <w:rFonts w:hAnsi="宋体" w:cs="宋体"/>
          <w:sz w:val="24"/>
          <w:szCs w:val="24"/>
        </w:rPr>
        <w:t>8.7  投标文件应编制目录，且页码清晰准确。</w:t>
      </w:r>
    </w:p>
    <w:p>
      <w:pPr>
        <w:pStyle w:val="10"/>
        <w:spacing w:line="440" w:lineRule="exact"/>
        <w:ind w:left="2" w:firstLine="360"/>
        <w:rPr>
          <w:rFonts w:hint="default" w:hAnsi="宋体" w:cs="宋体"/>
          <w:b/>
        </w:rPr>
      </w:pPr>
      <w:r>
        <w:rPr>
          <w:rFonts w:hAnsi="宋体" w:cs="宋体"/>
          <w:b/>
          <w:bCs/>
          <w:sz w:val="24"/>
          <w:szCs w:val="24"/>
        </w:rPr>
        <w:t>8.8</w:t>
      </w:r>
      <w:r>
        <w:rPr>
          <w:rFonts w:hAnsi="宋体" w:cs="宋体"/>
          <w:b/>
          <w:sz w:val="24"/>
          <w:szCs w:val="24"/>
        </w:rPr>
        <w:t>投标文件的正本和副本应分别装订成册，封面上应清楚地标记“正本”或“副本”字样，并标明项目名称、项目编号、投标人名称、标段号等内容。副本可以采用正本的复印件，当副本和正本不一致时，以正本为准。投标人应准备报价文件正本、资格文件、技术文件正本、商务文件正本各一份，副本份数见投标人须知前附表。</w:t>
      </w:r>
    </w:p>
    <w:p>
      <w:pPr>
        <w:pStyle w:val="10"/>
        <w:spacing w:line="440" w:lineRule="exact"/>
        <w:rPr>
          <w:rFonts w:hint="default" w:hAnsi="宋体" w:cs="宋体"/>
          <w:sz w:val="24"/>
          <w:szCs w:val="24"/>
        </w:rPr>
      </w:pPr>
      <w:r>
        <w:rPr>
          <w:rFonts w:hAnsi="宋体" w:cs="宋体"/>
          <w:sz w:val="24"/>
          <w:szCs w:val="24"/>
        </w:rPr>
        <w:t>9.  投标语言文字及计量单位</w:t>
      </w:r>
    </w:p>
    <w:p>
      <w:pPr>
        <w:pStyle w:val="10"/>
        <w:spacing w:line="440" w:lineRule="exact"/>
        <w:ind w:firstLine="360"/>
        <w:rPr>
          <w:rFonts w:hint="default" w:hAnsi="宋体" w:cs="宋体"/>
          <w:sz w:val="24"/>
          <w:szCs w:val="24"/>
        </w:rPr>
      </w:pPr>
      <w:r>
        <w:rPr>
          <w:rFonts w:hAnsi="宋体" w:cs="宋体"/>
          <w:sz w:val="24"/>
          <w:szCs w:val="24"/>
        </w:rPr>
        <w:t>9.1  投标人的投标文件以及投标人与采购人、采购代理机构就有关投标的所有往来函电统一使用中文（特别规定除外）。</w:t>
      </w:r>
    </w:p>
    <w:p>
      <w:pPr>
        <w:pStyle w:val="10"/>
        <w:spacing w:line="440" w:lineRule="exact"/>
        <w:ind w:firstLine="360"/>
        <w:rPr>
          <w:rFonts w:hint="default" w:hAnsi="宋体" w:cs="宋体"/>
          <w:sz w:val="24"/>
          <w:szCs w:val="24"/>
        </w:rPr>
      </w:pPr>
      <w:r>
        <w:rPr>
          <w:rFonts w:hAnsi="宋体" w:cs="宋体"/>
          <w:sz w:val="24"/>
          <w:szCs w:val="24"/>
        </w:rPr>
        <w:t>9.2  对不同文字文本投标文件的解释发生异议的，以中文文本为准。</w:t>
      </w:r>
    </w:p>
    <w:p>
      <w:pPr>
        <w:pStyle w:val="10"/>
        <w:spacing w:line="440" w:lineRule="exact"/>
        <w:ind w:firstLine="360"/>
        <w:rPr>
          <w:rFonts w:hint="default" w:hAnsi="宋体" w:cs="宋体"/>
          <w:sz w:val="24"/>
          <w:szCs w:val="24"/>
        </w:rPr>
      </w:pPr>
      <w:r>
        <w:rPr>
          <w:rFonts w:hAnsi="宋体" w:cs="宋体"/>
          <w:sz w:val="24"/>
          <w:szCs w:val="24"/>
        </w:rPr>
        <w:t>9.3  投标文件使用的计量单位除招标文件中有特殊规定外，一律使用中华人民共和国法定计量单位。</w:t>
      </w:r>
    </w:p>
    <w:p>
      <w:pPr>
        <w:pStyle w:val="10"/>
        <w:spacing w:line="440" w:lineRule="exact"/>
        <w:rPr>
          <w:rFonts w:hint="default" w:hAnsi="宋体" w:cs="宋体"/>
          <w:sz w:val="24"/>
          <w:szCs w:val="24"/>
        </w:rPr>
      </w:pPr>
      <w:r>
        <w:rPr>
          <w:rFonts w:hAnsi="宋体" w:cs="宋体"/>
          <w:sz w:val="24"/>
          <w:szCs w:val="24"/>
        </w:rPr>
        <w:t>10.  投标文件的组成</w:t>
      </w:r>
    </w:p>
    <w:p>
      <w:pPr>
        <w:pStyle w:val="10"/>
        <w:spacing w:line="440" w:lineRule="exact"/>
        <w:ind w:firstLine="360"/>
        <w:rPr>
          <w:rFonts w:hint="default" w:hAnsi="宋体" w:cs="宋体"/>
          <w:sz w:val="24"/>
          <w:szCs w:val="24"/>
        </w:rPr>
      </w:pPr>
      <w:r>
        <w:rPr>
          <w:rFonts w:hAnsi="宋体" w:cs="宋体"/>
          <w:sz w:val="24"/>
          <w:szCs w:val="24"/>
        </w:rPr>
        <w:t>10.1 投标人需编制的投标文件包括报价文件、资格文件、技术文件和商务文件四部分，投标人应按下列说明编写和提交。应递交的有关文件如未特别注明为原件的，可提交复印件。</w:t>
      </w:r>
    </w:p>
    <w:p>
      <w:pPr>
        <w:pStyle w:val="10"/>
        <w:spacing w:line="440" w:lineRule="exact"/>
        <w:ind w:firstLine="360"/>
        <w:rPr>
          <w:rFonts w:hint="default" w:hAnsi="宋体" w:cs="宋体"/>
          <w:sz w:val="24"/>
          <w:szCs w:val="24"/>
        </w:rPr>
      </w:pPr>
      <w:r>
        <w:rPr>
          <w:rFonts w:hAnsi="宋体" w:cs="宋体"/>
          <w:sz w:val="24"/>
          <w:szCs w:val="24"/>
        </w:rPr>
        <w:t>10.1.1  报价文件组成要求，包括：</w:t>
      </w:r>
    </w:p>
    <w:p>
      <w:pPr>
        <w:pStyle w:val="10"/>
        <w:spacing w:line="440" w:lineRule="exact"/>
        <w:ind w:firstLine="360"/>
        <w:rPr>
          <w:rFonts w:hint="default" w:hAnsi="宋体" w:cs="宋体"/>
          <w:sz w:val="24"/>
          <w:szCs w:val="24"/>
        </w:rPr>
      </w:pPr>
      <w:r>
        <w:rPr>
          <w:rFonts w:hAnsi="宋体" w:cs="宋体"/>
          <w:sz w:val="24"/>
          <w:szCs w:val="24"/>
        </w:rPr>
        <w:t>（1）投标函：按第五章“投标文件格式”提供的“投标函（格式）”的要求填写；</w:t>
      </w:r>
    </w:p>
    <w:p>
      <w:pPr>
        <w:pStyle w:val="10"/>
        <w:spacing w:line="440" w:lineRule="exact"/>
        <w:ind w:firstLine="360"/>
        <w:rPr>
          <w:rFonts w:hint="default" w:hAnsi="宋体" w:cs="宋体"/>
          <w:sz w:val="24"/>
          <w:szCs w:val="24"/>
        </w:rPr>
      </w:pPr>
      <w:r>
        <w:rPr>
          <w:rFonts w:hAnsi="宋体" w:cs="宋体"/>
          <w:sz w:val="24"/>
          <w:szCs w:val="24"/>
        </w:rPr>
        <w:t>（2）投标报价表：按第五章“投标文件格式”提供的“投标报价表（格式）”的要求填写。</w:t>
      </w:r>
    </w:p>
    <w:p>
      <w:pPr>
        <w:pStyle w:val="10"/>
        <w:spacing w:line="440" w:lineRule="exact"/>
        <w:ind w:firstLine="360"/>
        <w:rPr>
          <w:rFonts w:hint="default" w:hAnsi="宋体" w:cs="宋体"/>
          <w:sz w:val="24"/>
          <w:szCs w:val="24"/>
        </w:rPr>
      </w:pPr>
      <w:r>
        <w:rPr>
          <w:rFonts w:hAnsi="宋体" w:cs="宋体"/>
          <w:sz w:val="24"/>
          <w:szCs w:val="24"/>
        </w:rPr>
        <w:t>（3）中小企业声明函：按第五章“投标文件格式”提供的“中小企业声明函（格式）”的要求填写；</w:t>
      </w:r>
    </w:p>
    <w:p>
      <w:pPr>
        <w:pStyle w:val="10"/>
        <w:spacing w:line="440" w:lineRule="exact"/>
        <w:ind w:firstLine="360"/>
        <w:rPr>
          <w:rFonts w:hint="default" w:hAnsi="宋体" w:cs="宋体"/>
          <w:sz w:val="24"/>
          <w:szCs w:val="24"/>
        </w:rPr>
      </w:pPr>
      <w:r>
        <w:rPr>
          <w:rFonts w:hAnsi="宋体" w:cs="宋体"/>
          <w:sz w:val="24"/>
          <w:szCs w:val="24"/>
        </w:rPr>
        <w:t>（4）监狱企业证明：提供由省级以上监狱管理局、戒毒管理局（含新疆生产建设兵团）出具的属于监狱企业的证明文件。</w:t>
      </w:r>
    </w:p>
    <w:p>
      <w:pPr>
        <w:pStyle w:val="10"/>
        <w:spacing w:line="440" w:lineRule="exact"/>
        <w:ind w:firstLine="360"/>
        <w:rPr>
          <w:rFonts w:hint="default" w:hAnsi="宋体" w:cs="宋体"/>
          <w:sz w:val="24"/>
          <w:szCs w:val="24"/>
        </w:rPr>
      </w:pPr>
      <w:r>
        <w:rPr>
          <w:rFonts w:hAnsi="宋体" w:cs="宋体"/>
          <w:sz w:val="24"/>
          <w:szCs w:val="24"/>
        </w:rPr>
        <w:t>（5）残疾人福利性单位声明函：按第五章“投标文件格式”提供的“残疾人福利性单位声明函（格式）”的要求填写。</w:t>
      </w:r>
    </w:p>
    <w:p>
      <w:pPr>
        <w:pStyle w:val="10"/>
        <w:spacing w:line="440" w:lineRule="exact"/>
        <w:ind w:firstLine="360"/>
        <w:rPr>
          <w:rFonts w:hint="default" w:hAnsi="宋体" w:cs="宋体"/>
          <w:sz w:val="24"/>
          <w:szCs w:val="24"/>
        </w:rPr>
      </w:pPr>
      <w:r>
        <w:rPr>
          <w:rFonts w:hAnsi="宋体" w:cs="宋体"/>
          <w:sz w:val="24"/>
          <w:szCs w:val="24"/>
        </w:rPr>
        <w:t>（6）广西工业产品声明函：按第五章“投标文件格式”提供的“广西工业产品声明函（格式）”的要求填写。</w:t>
      </w:r>
    </w:p>
    <w:p>
      <w:pPr>
        <w:pStyle w:val="10"/>
        <w:spacing w:line="440" w:lineRule="exact"/>
        <w:ind w:firstLine="602" w:firstLineChars="250"/>
        <w:rPr>
          <w:rFonts w:hint="default" w:hAnsi="宋体" w:cs="宋体"/>
          <w:sz w:val="24"/>
          <w:szCs w:val="24"/>
        </w:rPr>
      </w:pPr>
      <w:r>
        <w:rPr>
          <w:rFonts w:hAnsi="宋体" w:cs="宋体"/>
          <w:b/>
          <w:sz w:val="24"/>
          <w:szCs w:val="24"/>
        </w:rPr>
        <w:t>其中，报价文件组成要求的第（1）～（2）项必须提交；第（3）～（6）项如有请提交。</w:t>
      </w:r>
    </w:p>
    <w:p>
      <w:pPr>
        <w:pStyle w:val="10"/>
        <w:spacing w:line="440" w:lineRule="exact"/>
        <w:ind w:firstLine="360"/>
        <w:rPr>
          <w:rFonts w:hint="default" w:hAnsi="宋体" w:cs="宋体"/>
          <w:sz w:val="24"/>
          <w:szCs w:val="24"/>
        </w:rPr>
      </w:pPr>
      <w:r>
        <w:rPr>
          <w:rFonts w:hAnsi="宋体" w:cs="宋体"/>
          <w:sz w:val="24"/>
          <w:szCs w:val="24"/>
        </w:rPr>
        <w:t>10.1.2  资格文件组成要求，包括：</w:t>
      </w:r>
    </w:p>
    <w:p>
      <w:pPr>
        <w:pStyle w:val="10"/>
        <w:spacing w:line="440" w:lineRule="exact"/>
        <w:ind w:firstLine="720"/>
        <w:rPr>
          <w:rFonts w:hint="default" w:hAnsi="宋体" w:cs="宋体"/>
          <w:sz w:val="24"/>
          <w:szCs w:val="24"/>
        </w:rPr>
      </w:pPr>
      <w:r>
        <w:rPr>
          <w:rFonts w:hAnsi="宋体" w:cs="宋体"/>
          <w:sz w:val="24"/>
          <w:szCs w:val="24"/>
        </w:rPr>
        <w:t>（1）资格声明函。按第五章“投标文件格式”提供的“资格声明函（格式）”的要求填写。对列入失信被执行人、重大税收违法案件当事人名单、政府采购严重违法失信行为记录名单的投标人，将被拒绝参与本项目政府采购活动。</w:t>
      </w:r>
      <w:r>
        <w:rPr>
          <w:rFonts w:hAnsi="宋体" w:cs="宋体"/>
          <w:b/>
          <w:sz w:val="24"/>
        </w:rPr>
        <w:t>（注：采购人或采购代理机构在对投标人资格审查时进行信用查询，查询结果与投标文件不一致时，以采购人或采购代理机构查询结果为准。）</w:t>
      </w:r>
    </w:p>
    <w:p>
      <w:pPr>
        <w:pStyle w:val="10"/>
        <w:spacing w:line="440" w:lineRule="exact"/>
        <w:ind w:firstLine="720"/>
        <w:rPr>
          <w:rFonts w:hint="default" w:hAnsi="宋体" w:cs="宋体"/>
          <w:sz w:val="24"/>
          <w:szCs w:val="24"/>
        </w:rPr>
      </w:pPr>
      <w:r>
        <w:rPr>
          <w:rFonts w:hAnsi="宋体" w:cs="宋体"/>
          <w:sz w:val="24"/>
          <w:szCs w:val="24"/>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pStyle w:val="10"/>
        <w:spacing w:line="440" w:lineRule="exact"/>
        <w:ind w:firstLine="720"/>
        <w:rPr>
          <w:rFonts w:hint="default" w:hAnsi="宋体" w:cs="宋体"/>
          <w:sz w:val="24"/>
          <w:szCs w:val="24"/>
        </w:rPr>
      </w:pPr>
      <w:r>
        <w:rPr>
          <w:rFonts w:hAnsi="宋体" w:cs="宋体"/>
          <w:sz w:val="24"/>
          <w:szCs w:val="24"/>
        </w:rPr>
        <w:t>（3）法定代表人身份证明复印件：如使用第二代身份证应提交正、反面复印件，如法定代表人非中国国籍应提交护照复印件，要求证件有效并与营业执照或事业单位法人证中的法定代表人相符；</w:t>
      </w:r>
    </w:p>
    <w:p>
      <w:pPr>
        <w:pStyle w:val="5"/>
      </w:pPr>
    </w:p>
    <w:p>
      <w:pPr>
        <w:spacing w:line="360" w:lineRule="auto"/>
        <w:ind w:firstLine="480" w:firstLineChars="200"/>
        <w:rPr>
          <w:rFonts w:ascii="宋体" w:hAnsi="宋体" w:cs="宋体"/>
          <w:sz w:val="24"/>
          <w:szCs w:val="24"/>
        </w:rPr>
      </w:pPr>
      <w:r>
        <w:rPr>
          <w:rFonts w:hint="eastAsia" w:ascii="宋体" w:hAnsi="宋体" w:cs="宋体"/>
          <w:sz w:val="24"/>
          <w:szCs w:val="24"/>
        </w:rPr>
        <w:t>（4）投标人直接控股、管理关系信息表，按第</w:t>
      </w:r>
      <w:r>
        <w:rPr>
          <w:rFonts w:ascii="宋体" w:hAnsi="宋体" w:cs="宋体"/>
          <w:sz w:val="24"/>
          <w:szCs w:val="24"/>
        </w:rPr>
        <w:t>五</w:t>
      </w:r>
      <w:r>
        <w:rPr>
          <w:rFonts w:hint="eastAsia" w:ascii="宋体" w:hAnsi="宋体" w:cs="宋体"/>
          <w:sz w:val="24"/>
          <w:szCs w:val="24"/>
        </w:rPr>
        <w:t>章“投标文件格式”提供的“投标人直接控股、管理关系信息表（格式）”的要求填写；</w:t>
      </w:r>
    </w:p>
    <w:p>
      <w:pPr>
        <w:spacing w:line="360" w:lineRule="auto"/>
        <w:ind w:firstLine="482" w:firstLineChars="200"/>
        <w:rPr>
          <w:rFonts w:ascii="宋体" w:hAnsi="宋体" w:cs="宋体"/>
          <w:b/>
          <w:bCs/>
          <w:sz w:val="24"/>
          <w:szCs w:val="24"/>
        </w:rPr>
      </w:pPr>
      <w:r>
        <w:rPr>
          <w:rFonts w:ascii="宋体" w:hAnsi="宋体" w:cs="宋体"/>
          <w:b/>
          <w:bCs/>
          <w:sz w:val="24"/>
          <w:szCs w:val="24"/>
        </w:rPr>
        <w:t>其中，资格文件组成要求的第（1）～（</w:t>
      </w:r>
      <w:r>
        <w:rPr>
          <w:rFonts w:hint="eastAsia" w:ascii="宋体" w:hAnsi="宋体" w:cs="宋体"/>
          <w:b/>
          <w:bCs/>
          <w:sz w:val="24"/>
          <w:szCs w:val="24"/>
        </w:rPr>
        <w:t>4</w:t>
      </w:r>
      <w:r>
        <w:rPr>
          <w:rFonts w:ascii="宋体" w:hAnsi="宋体" w:cs="宋体"/>
          <w:b/>
          <w:bCs/>
          <w:sz w:val="24"/>
          <w:szCs w:val="24"/>
        </w:rPr>
        <w:t>）项必须提交。</w:t>
      </w:r>
    </w:p>
    <w:p>
      <w:pPr>
        <w:pStyle w:val="10"/>
        <w:spacing w:line="440" w:lineRule="exact"/>
        <w:ind w:firstLine="360"/>
        <w:rPr>
          <w:rFonts w:hint="default" w:hAnsi="宋体" w:cs="宋体"/>
          <w:b/>
          <w:bCs/>
          <w:sz w:val="24"/>
          <w:szCs w:val="24"/>
        </w:rPr>
      </w:pPr>
      <w:r>
        <w:rPr>
          <w:rFonts w:hAnsi="宋体" w:cs="宋体"/>
          <w:sz w:val="24"/>
          <w:szCs w:val="24"/>
        </w:rPr>
        <w:t>10.1.3  技术文件组成要求，包括：</w:t>
      </w:r>
    </w:p>
    <w:p>
      <w:pPr>
        <w:pStyle w:val="10"/>
        <w:spacing w:line="440" w:lineRule="exact"/>
        <w:ind w:firstLine="600" w:firstLineChars="250"/>
        <w:rPr>
          <w:rFonts w:hint="default" w:hAnsi="宋体" w:cs="宋体"/>
          <w:sz w:val="24"/>
          <w:szCs w:val="24"/>
        </w:rPr>
      </w:pPr>
      <w:r>
        <w:rPr>
          <w:rFonts w:hAnsi="宋体" w:cs="宋体"/>
          <w:sz w:val="24"/>
          <w:szCs w:val="24"/>
        </w:rPr>
        <w:t>（1）投标货物技术资料表：按第五章“投标文件格式”提供的“投标货物技术资料表（格式）”的要求填写；</w:t>
      </w:r>
    </w:p>
    <w:p>
      <w:pPr>
        <w:pStyle w:val="10"/>
        <w:spacing w:line="440" w:lineRule="exact"/>
        <w:ind w:firstLine="600" w:firstLineChars="250"/>
        <w:rPr>
          <w:rFonts w:hint="default" w:hAnsi="宋体" w:cs="宋体"/>
          <w:sz w:val="24"/>
          <w:szCs w:val="24"/>
        </w:rPr>
      </w:pPr>
      <w:r>
        <w:rPr>
          <w:rFonts w:hAnsi="宋体" w:cs="宋体"/>
          <w:sz w:val="24"/>
          <w:szCs w:val="24"/>
        </w:rPr>
        <w:t>（2）节能产品、环境标志产品的证明材料：根据第二章“货物需求一览表”中所采购的货物提供证明材料；</w:t>
      </w:r>
    </w:p>
    <w:p>
      <w:pPr>
        <w:pStyle w:val="10"/>
        <w:spacing w:line="440" w:lineRule="exact"/>
        <w:ind w:firstLine="600" w:firstLineChars="250"/>
        <w:rPr>
          <w:rFonts w:hint="default" w:hAnsi="宋体" w:cs="宋体"/>
          <w:sz w:val="24"/>
          <w:szCs w:val="24"/>
        </w:rPr>
      </w:pPr>
      <w:r>
        <w:rPr>
          <w:rFonts w:hAnsi="宋体" w:cs="宋体"/>
          <w:sz w:val="24"/>
          <w:szCs w:val="24"/>
        </w:rPr>
        <w:t>（3）其它：针对本项目所投标货物的主要技术指标、参数及性能的详细说明，相关的图片，产品技术资料彩页（技术指标要求对应印证投标文件技术参数承诺的符合性及有效性）、产品有效检测和鉴定证明复印件，等等。</w:t>
      </w:r>
    </w:p>
    <w:p>
      <w:pPr>
        <w:pStyle w:val="10"/>
        <w:spacing w:line="440" w:lineRule="exact"/>
        <w:ind w:firstLine="420"/>
        <w:rPr>
          <w:rFonts w:hint="default" w:hAnsi="宋体" w:cs="宋体"/>
          <w:b/>
          <w:bCs/>
          <w:sz w:val="24"/>
          <w:szCs w:val="24"/>
        </w:rPr>
      </w:pPr>
      <w:r>
        <w:rPr>
          <w:rFonts w:hAnsi="宋体" w:cs="宋体"/>
          <w:b/>
          <w:bCs/>
          <w:sz w:val="24"/>
          <w:szCs w:val="24"/>
        </w:rPr>
        <w:t>其中，技术文件组成要求的第（1）项必须提交；第二章“货物需求一览表”中的技术参数要求标明了所采购货物为政府强制采购节能产品的，技术文件中的第（2）项必须提交，未标明的，如有请提交；技术文件要求的第（3）项如有请提交。</w:t>
      </w:r>
    </w:p>
    <w:p>
      <w:pPr>
        <w:pStyle w:val="10"/>
        <w:spacing w:line="440" w:lineRule="exact"/>
        <w:ind w:firstLine="360"/>
        <w:rPr>
          <w:rFonts w:hint="default" w:hAnsi="宋体" w:cs="宋体"/>
          <w:sz w:val="24"/>
          <w:szCs w:val="24"/>
        </w:rPr>
      </w:pPr>
      <w:r>
        <w:rPr>
          <w:rFonts w:hAnsi="宋体" w:cs="宋体"/>
          <w:sz w:val="24"/>
          <w:szCs w:val="24"/>
        </w:rPr>
        <w:t>10.1.4  商务文件组成要求，包括：</w:t>
      </w:r>
      <w:r>
        <w:rPr>
          <w:rFonts w:hAnsi="宋体" w:cs="宋体"/>
          <w:b/>
          <w:bCs/>
          <w:sz w:val="24"/>
          <w:szCs w:val="24"/>
        </w:rPr>
        <w:t xml:space="preserve"> </w:t>
      </w:r>
    </w:p>
    <w:p>
      <w:pPr>
        <w:pStyle w:val="10"/>
        <w:spacing w:line="440" w:lineRule="exact"/>
        <w:rPr>
          <w:rFonts w:hint="default" w:hAnsi="宋体" w:cs="宋体"/>
          <w:sz w:val="24"/>
          <w:szCs w:val="24"/>
        </w:rPr>
      </w:pPr>
      <w:r>
        <w:rPr>
          <w:rFonts w:hAnsi="宋体" w:cs="宋体"/>
          <w:sz w:val="24"/>
          <w:szCs w:val="24"/>
        </w:rPr>
        <w:t xml:space="preserve">    （1）售后服务承诺书：按第五章“投标文件格式”提供的“售后服务承诺书（格式）” 的要求填写；</w:t>
      </w:r>
    </w:p>
    <w:p>
      <w:pPr>
        <w:pStyle w:val="10"/>
        <w:spacing w:line="440" w:lineRule="exact"/>
        <w:ind w:firstLine="480" w:firstLineChars="200"/>
        <w:rPr>
          <w:rFonts w:hint="default" w:hAnsi="宋体" w:cs="宋体"/>
          <w:sz w:val="24"/>
          <w:szCs w:val="24"/>
        </w:rPr>
      </w:pPr>
      <w:r>
        <w:rPr>
          <w:rFonts w:hAnsi="宋体" w:cs="宋体"/>
          <w:sz w:val="24"/>
          <w:szCs w:val="24"/>
        </w:rPr>
        <w:t>（2）商务条款偏离表：按第五章“投标文件格式”提供的“商务条款偏离表（格式）” 的要求填写；</w:t>
      </w:r>
    </w:p>
    <w:p>
      <w:pPr>
        <w:pStyle w:val="10"/>
        <w:spacing w:line="440" w:lineRule="exact"/>
        <w:ind w:firstLine="480" w:firstLineChars="200"/>
        <w:rPr>
          <w:rFonts w:hint="default" w:hAnsi="宋体" w:cs="宋体"/>
          <w:sz w:val="24"/>
          <w:szCs w:val="24"/>
        </w:rPr>
      </w:pPr>
      <w:r>
        <w:rPr>
          <w:rFonts w:hAnsi="宋体" w:cs="宋体"/>
          <w:sz w:val="24"/>
          <w:szCs w:val="24"/>
        </w:rPr>
        <w:t>（3）投标文件递交截止之日前半年内投标人连续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 ；</w:t>
      </w:r>
    </w:p>
    <w:p>
      <w:pPr>
        <w:pStyle w:val="10"/>
        <w:spacing w:line="440" w:lineRule="exact"/>
        <w:ind w:firstLine="480" w:firstLineChars="200"/>
        <w:rPr>
          <w:rFonts w:hint="default" w:hAnsi="宋体" w:cs="宋体"/>
          <w:sz w:val="24"/>
          <w:szCs w:val="24"/>
        </w:rPr>
      </w:pPr>
      <w:r>
        <w:rPr>
          <w:rFonts w:hAnsi="宋体" w:cs="宋体"/>
          <w:sz w:val="24"/>
          <w:szCs w:val="24"/>
        </w:rPr>
        <w:t>（4）投标文件递交截止之日前半年内投标人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pStyle w:val="10"/>
        <w:spacing w:line="440" w:lineRule="exact"/>
        <w:ind w:firstLine="600" w:firstLineChars="250"/>
        <w:rPr>
          <w:rFonts w:hint="default" w:hAnsi="宋体" w:cs="宋体"/>
          <w:sz w:val="24"/>
          <w:szCs w:val="24"/>
        </w:rPr>
      </w:pPr>
      <w:r>
        <w:rPr>
          <w:rFonts w:hAnsi="宋体" w:cs="宋体"/>
          <w:sz w:val="24"/>
          <w:szCs w:val="24"/>
        </w:rPr>
        <w:t>（5）法定代表人授权委托书：按第五章“投标文件格式”提供的“法定代表人授权委托书（格式）”的要求填写；</w:t>
      </w:r>
    </w:p>
    <w:p>
      <w:pPr>
        <w:pStyle w:val="10"/>
        <w:spacing w:line="440" w:lineRule="exact"/>
        <w:ind w:firstLine="600" w:firstLineChars="250"/>
        <w:rPr>
          <w:rFonts w:hint="default" w:hAnsi="宋体" w:cs="宋体"/>
          <w:sz w:val="24"/>
          <w:szCs w:val="24"/>
        </w:rPr>
      </w:pPr>
      <w:r>
        <w:rPr>
          <w:rFonts w:hAnsi="宋体" w:cs="宋体"/>
          <w:sz w:val="24"/>
          <w:szCs w:val="24"/>
        </w:rPr>
        <w:t>（6）委托代理人身份证明复印件：如使用第二代身份证应提交正、反面复印件，如委托代理人非中国国籍应提交护照复印件，要求证件有效并与法定代表人授权委托书中的委托代理人相符；</w:t>
      </w:r>
    </w:p>
    <w:p>
      <w:pPr>
        <w:pStyle w:val="10"/>
        <w:spacing w:line="440" w:lineRule="exact"/>
        <w:ind w:firstLine="600" w:firstLineChars="250"/>
        <w:rPr>
          <w:rFonts w:hint="default" w:hAnsi="宋体" w:cs="宋体"/>
          <w:sz w:val="24"/>
          <w:szCs w:val="24"/>
        </w:rPr>
      </w:pPr>
      <w:r>
        <w:rPr>
          <w:rFonts w:hAnsi="宋体" w:cs="宋体"/>
          <w:sz w:val="24"/>
          <w:szCs w:val="24"/>
        </w:rPr>
        <w:t xml:space="preserve">（7）财务会计报表复印件：投标人近三年的经会计师事务所或审计机构审计的财务会计报表，包括资产负债表、现金流量表、利润表、财务情况说明书和审计报告；  </w:t>
      </w:r>
    </w:p>
    <w:p>
      <w:pPr>
        <w:pStyle w:val="10"/>
        <w:spacing w:line="440" w:lineRule="exact"/>
        <w:ind w:firstLine="600" w:firstLineChars="250"/>
        <w:rPr>
          <w:rFonts w:hint="default" w:hAnsi="宋体" w:cs="宋体"/>
          <w:sz w:val="24"/>
          <w:szCs w:val="24"/>
        </w:rPr>
      </w:pPr>
      <w:r>
        <w:rPr>
          <w:rFonts w:hAnsi="宋体" w:cs="宋体"/>
          <w:sz w:val="24"/>
          <w:szCs w:val="24"/>
        </w:rPr>
        <w:t>（8）其它：投标人通过国家或国际认证资格证书复印件、银行出具的投标人资信证明或信用等级证明复印件、投标人近三年同类货物的实际业绩证明（附中标通知书复印件或合同复印件）、投标人近三年的质量获奖荣誉证书复印件、投标人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10"/>
        <w:spacing w:line="440" w:lineRule="exact"/>
        <w:ind w:firstLine="420"/>
        <w:rPr>
          <w:rFonts w:hint="default" w:hAnsi="宋体" w:cs="宋体"/>
          <w:sz w:val="24"/>
          <w:szCs w:val="24"/>
        </w:rPr>
      </w:pPr>
      <w:r>
        <w:rPr>
          <w:rFonts w:hAnsi="宋体" w:cs="宋体"/>
          <w:b/>
          <w:bCs/>
          <w:sz w:val="24"/>
          <w:szCs w:val="24"/>
        </w:rPr>
        <w:t>商务文件中的第（1）～（4）项必须提交；第（5）、（6）项在委托代理时必须提交；第（7）、（8）项如有请提交。</w:t>
      </w:r>
    </w:p>
    <w:p>
      <w:pPr>
        <w:pStyle w:val="10"/>
        <w:spacing w:line="440" w:lineRule="exact"/>
        <w:ind w:firstLine="360"/>
        <w:rPr>
          <w:rFonts w:hint="default" w:hAnsi="宋体" w:cs="宋体"/>
          <w:sz w:val="24"/>
          <w:szCs w:val="24"/>
        </w:rPr>
      </w:pPr>
      <w:r>
        <w:rPr>
          <w:rFonts w:hAnsi="宋体" w:cs="宋体"/>
          <w:sz w:val="24"/>
          <w:szCs w:val="24"/>
        </w:rPr>
        <w:t>10.2  投标人应编制目录，按上述顺序将报价文件、资格文件、技术文件、商务文件</w:t>
      </w:r>
      <w:r>
        <w:rPr>
          <w:rFonts w:hAnsi="宋体" w:cs="宋体"/>
          <w:b/>
          <w:sz w:val="24"/>
          <w:szCs w:val="24"/>
        </w:rPr>
        <w:t>分别装订成册</w:t>
      </w:r>
      <w:r>
        <w:rPr>
          <w:rFonts w:hAnsi="宋体" w:cs="宋体"/>
          <w:sz w:val="24"/>
          <w:szCs w:val="24"/>
        </w:rPr>
        <w:t>。</w:t>
      </w:r>
      <w:r>
        <w:rPr>
          <w:rFonts w:hAnsi="宋体" w:cs="宋体"/>
          <w:b/>
          <w:sz w:val="24"/>
          <w:szCs w:val="24"/>
        </w:rPr>
        <w:t>特别注意投标报价不得出现在资格文件、技术文件、商务文件中。</w:t>
      </w:r>
    </w:p>
    <w:p>
      <w:pPr>
        <w:pStyle w:val="10"/>
        <w:spacing w:line="440" w:lineRule="exact"/>
        <w:rPr>
          <w:rFonts w:hint="default" w:hAnsi="宋体" w:cs="宋体"/>
          <w:sz w:val="24"/>
          <w:szCs w:val="24"/>
        </w:rPr>
      </w:pPr>
    </w:p>
    <w:p>
      <w:pPr>
        <w:pStyle w:val="10"/>
        <w:spacing w:line="440" w:lineRule="exact"/>
        <w:rPr>
          <w:rFonts w:hint="default" w:hAnsi="宋体" w:cs="宋体"/>
          <w:sz w:val="24"/>
          <w:szCs w:val="24"/>
        </w:rPr>
      </w:pPr>
      <w:r>
        <w:rPr>
          <w:rFonts w:hAnsi="宋体" w:cs="宋体"/>
          <w:sz w:val="24"/>
          <w:szCs w:val="24"/>
        </w:rPr>
        <w:t>11.  投标报价</w:t>
      </w:r>
    </w:p>
    <w:p>
      <w:pPr>
        <w:pStyle w:val="10"/>
        <w:spacing w:line="440" w:lineRule="exact"/>
        <w:ind w:firstLine="360"/>
        <w:rPr>
          <w:rFonts w:hint="default" w:hAnsi="宋体" w:cs="宋体"/>
          <w:sz w:val="24"/>
          <w:szCs w:val="24"/>
        </w:rPr>
      </w:pPr>
      <w:r>
        <w:rPr>
          <w:rFonts w:hAnsi="宋体" w:cs="宋体"/>
          <w:sz w:val="24"/>
          <w:szCs w:val="24"/>
        </w:rPr>
        <w:t>11.1  投标人应以人民币报价。</w:t>
      </w:r>
    </w:p>
    <w:p>
      <w:pPr>
        <w:pStyle w:val="10"/>
        <w:spacing w:line="440" w:lineRule="exact"/>
        <w:ind w:firstLine="360"/>
        <w:rPr>
          <w:rFonts w:hint="default" w:hAnsi="宋体" w:cs="宋体"/>
          <w:sz w:val="24"/>
          <w:szCs w:val="24"/>
        </w:rPr>
      </w:pPr>
      <w:r>
        <w:rPr>
          <w:rFonts w:hAnsi="宋体" w:cs="宋体"/>
          <w:sz w:val="24"/>
          <w:szCs w:val="24"/>
        </w:rPr>
        <w:t>11.2  投标人可就第二章“货物需求一览表”中的</w:t>
      </w:r>
      <w:r>
        <w:rPr>
          <w:rFonts w:hAnsi="宋体" w:cs="宋体"/>
          <w:b/>
          <w:bCs/>
          <w:sz w:val="24"/>
          <w:szCs w:val="24"/>
        </w:rPr>
        <w:t>某单个分标内容报出完整且唯一报价，也可就某几个或所有分标内容分别报出完整且唯一报价，附带有条件的报价将不予接受。</w:t>
      </w:r>
    </w:p>
    <w:p>
      <w:pPr>
        <w:pStyle w:val="10"/>
        <w:spacing w:line="440" w:lineRule="exact"/>
        <w:ind w:firstLine="360"/>
        <w:rPr>
          <w:rFonts w:hint="default" w:hAnsi="宋体" w:cs="宋体"/>
          <w:sz w:val="24"/>
          <w:szCs w:val="24"/>
        </w:rPr>
      </w:pPr>
      <w:r>
        <w:rPr>
          <w:rFonts w:hAnsi="宋体" w:cs="宋体"/>
          <w:sz w:val="24"/>
          <w:szCs w:val="24"/>
        </w:rPr>
        <w:t>11.3  投标报价为采购人指定地点的现场交货价，其组成部分详见第二章“货物需求一览表”。采购人不再向中标供应商支付其投标报价之外的任何费用。</w:t>
      </w:r>
    </w:p>
    <w:p>
      <w:pPr>
        <w:pStyle w:val="10"/>
        <w:spacing w:line="440" w:lineRule="exact"/>
        <w:ind w:firstLine="360"/>
        <w:rPr>
          <w:rFonts w:hint="default" w:hAnsi="宋体" w:cs="宋体"/>
          <w:sz w:val="24"/>
          <w:szCs w:val="24"/>
        </w:rPr>
      </w:pPr>
      <w:r>
        <w:rPr>
          <w:rFonts w:hAnsi="宋体" w:cs="宋体"/>
          <w:sz w:val="24"/>
          <w:szCs w:val="24"/>
        </w:rPr>
        <w:t>11.4  本项目的采购代理货物费按物价部门核准的收费标准执行，见投标人须知前附表。</w:t>
      </w:r>
    </w:p>
    <w:p>
      <w:pPr>
        <w:pStyle w:val="10"/>
        <w:spacing w:line="440" w:lineRule="exact"/>
        <w:ind w:firstLine="360"/>
        <w:rPr>
          <w:rFonts w:hint="default" w:hAnsi="宋体" w:cs="宋体"/>
          <w:sz w:val="24"/>
          <w:szCs w:val="24"/>
        </w:rPr>
      </w:pPr>
      <w:r>
        <w:rPr>
          <w:rFonts w:hAnsi="宋体" w:cs="宋体"/>
          <w:sz w:val="24"/>
          <w:szCs w:val="24"/>
        </w:rPr>
        <w:t>11.5  不论投标结果如何，投标人均应自行承担与编制和递交投标文件有关的全部费用。</w:t>
      </w:r>
    </w:p>
    <w:p>
      <w:pPr>
        <w:pStyle w:val="10"/>
        <w:spacing w:line="440" w:lineRule="exact"/>
        <w:ind w:firstLine="360"/>
        <w:rPr>
          <w:rFonts w:hint="default" w:hAnsi="宋体" w:cs="宋体"/>
          <w:sz w:val="24"/>
          <w:szCs w:val="24"/>
        </w:rPr>
      </w:pPr>
    </w:p>
    <w:p>
      <w:pPr>
        <w:pStyle w:val="10"/>
        <w:spacing w:line="440" w:lineRule="exact"/>
        <w:rPr>
          <w:rFonts w:hint="default" w:hAnsi="宋体" w:cs="宋体"/>
          <w:sz w:val="24"/>
          <w:szCs w:val="24"/>
        </w:rPr>
      </w:pPr>
      <w:r>
        <w:rPr>
          <w:rFonts w:hAnsi="宋体" w:cs="宋体"/>
          <w:sz w:val="24"/>
          <w:szCs w:val="24"/>
        </w:rPr>
        <w:t>12.  投标有效期</w:t>
      </w:r>
    </w:p>
    <w:p>
      <w:pPr>
        <w:pStyle w:val="10"/>
        <w:spacing w:line="440" w:lineRule="exact"/>
        <w:ind w:firstLine="360"/>
        <w:rPr>
          <w:rFonts w:hint="default" w:hAnsi="宋体" w:cs="宋体"/>
          <w:sz w:val="24"/>
          <w:szCs w:val="24"/>
        </w:rPr>
      </w:pPr>
      <w:r>
        <w:rPr>
          <w:rFonts w:hAnsi="宋体" w:cs="宋体"/>
          <w:sz w:val="24"/>
          <w:szCs w:val="24"/>
        </w:rPr>
        <w:t>12.1  在投标人须知前附表规定的投标有效期内，投标人不得要求撤销或修改其投标文件。</w:t>
      </w:r>
    </w:p>
    <w:p>
      <w:pPr>
        <w:pStyle w:val="10"/>
        <w:spacing w:line="440" w:lineRule="exact"/>
        <w:ind w:firstLine="360"/>
        <w:rPr>
          <w:rFonts w:hint="default" w:hAnsi="宋体" w:cs="宋体"/>
          <w:sz w:val="24"/>
          <w:szCs w:val="24"/>
        </w:rPr>
      </w:pPr>
      <w:r>
        <w:rPr>
          <w:rFonts w:hAnsi="宋体" w:cs="宋体"/>
          <w:sz w:val="24"/>
          <w:szCs w:val="24"/>
        </w:rPr>
        <w:t>12.2  在特殊情况下，采购人或采购代理机构可与投标人协商延长投标有效期，这种要求与答复均应使用书面形式。投标人同意延长的，应相应延长其投标有效期，但不得要求或被允许修改或撤销其投标文件；投标人拒绝延长的，其投标在超过原有效期后失效。</w:t>
      </w:r>
    </w:p>
    <w:p>
      <w:pPr>
        <w:pStyle w:val="10"/>
        <w:spacing w:line="440" w:lineRule="exact"/>
        <w:ind w:firstLine="360"/>
        <w:rPr>
          <w:rFonts w:hint="default" w:hAnsi="宋体" w:cs="宋体"/>
          <w:sz w:val="24"/>
          <w:szCs w:val="24"/>
        </w:rPr>
      </w:pPr>
    </w:p>
    <w:p>
      <w:pPr>
        <w:pStyle w:val="10"/>
        <w:spacing w:line="440" w:lineRule="exact"/>
        <w:rPr>
          <w:rFonts w:hint="default" w:hAnsi="宋体" w:cs="宋体"/>
          <w:sz w:val="24"/>
          <w:szCs w:val="24"/>
        </w:rPr>
      </w:pPr>
      <w:r>
        <w:rPr>
          <w:rFonts w:hAnsi="宋体" w:cs="宋体"/>
          <w:sz w:val="24"/>
          <w:szCs w:val="24"/>
        </w:rPr>
        <w:t>13.  投标保证金</w:t>
      </w:r>
    </w:p>
    <w:p>
      <w:pPr>
        <w:pStyle w:val="10"/>
        <w:spacing w:line="440" w:lineRule="exact"/>
        <w:ind w:firstLine="360"/>
        <w:rPr>
          <w:rFonts w:hint="default" w:hAnsi="宋体" w:cs="宋体"/>
          <w:sz w:val="24"/>
          <w:szCs w:val="24"/>
        </w:rPr>
      </w:pPr>
      <w:r>
        <w:rPr>
          <w:rFonts w:hAnsi="宋体" w:cs="宋体"/>
          <w:sz w:val="24"/>
          <w:szCs w:val="24"/>
        </w:rPr>
        <w:t>本项目不收取投标保证金。</w:t>
      </w:r>
    </w:p>
    <w:p>
      <w:pPr>
        <w:pStyle w:val="10"/>
        <w:jc w:val="center"/>
        <w:outlineLvl w:val="1"/>
        <w:rPr>
          <w:rFonts w:hint="default" w:hAnsi="宋体" w:cs="宋体"/>
          <w:b/>
          <w:bCs/>
          <w:sz w:val="30"/>
          <w:szCs w:val="30"/>
        </w:rPr>
      </w:pPr>
      <w:bookmarkStart w:id="37" w:name="_Toc29418"/>
      <w:bookmarkStart w:id="38" w:name="_Toc6764"/>
      <w:bookmarkStart w:id="39" w:name="_Toc4578"/>
      <w:r>
        <w:rPr>
          <w:rFonts w:hAnsi="宋体" w:cs="宋体"/>
          <w:b/>
          <w:bCs/>
          <w:sz w:val="30"/>
          <w:szCs w:val="30"/>
        </w:rPr>
        <w:t>四    投标</w:t>
      </w:r>
      <w:bookmarkEnd w:id="37"/>
      <w:bookmarkEnd w:id="38"/>
      <w:bookmarkEnd w:id="39"/>
    </w:p>
    <w:p>
      <w:pPr>
        <w:pStyle w:val="10"/>
        <w:spacing w:line="440" w:lineRule="exact"/>
        <w:rPr>
          <w:rFonts w:hint="default" w:hAnsi="宋体" w:cs="宋体"/>
          <w:b/>
          <w:bCs/>
          <w:sz w:val="24"/>
          <w:szCs w:val="24"/>
        </w:rPr>
      </w:pPr>
      <w:r>
        <w:rPr>
          <w:rFonts w:hAnsi="宋体" w:cs="宋体"/>
          <w:b/>
          <w:bCs/>
          <w:sz w:val="24"/>
          <w:szCs w:val="24"/>
        </w:rPr>
        <w:t>14.  投标文件的密封</w:t>
      </w:r>
    </w:p>
    <w:p>
      <w:pPr>
        <w:pStyle w:val="10"/>
        <w:spacing w:line="440" w:lineRule="exact"/>
        <w:ind w:firstLine="360"/>
        <w:rPr>
          <w:rFonts w:hint="default" w:hAnsi="宋体" w:cs="宋体"/>
        </w:rPr>
      </w:pPr>
      <w:r>
        <w:rPr>
          <w:rFonts w:hAnsi="宋体" w:cs="宋体"/>
          <w:b/>
          <w:bCs/>
          <w:sz w:val="24"/>
          <w:szCs w:val="24"/>
        </w:rPr>
        <w:t>14.1  投标人应将投标正、副本文件进行密封包装。</w:t>
      </w:r>
    </w:p>
    <w:p>
      <w:pPr>
        <w:pStyle w:val="10"/>
        <w:spacing w:line="440" w:lineRule="exact"/>
        <w:ind w:firstLine="360"/>
        <w:rPr>
          <w:rFonts w:hint="default" w:hAnsi="宋体" w:cs="宋体"/>
          <w:b/>
          <w:bCs/>
          <w:sz w:val="24"/>
          <w:szCs w:val="24"/>
        </w:rPr>
      </w:pPr>
      <w:r>
        <w:rPr>
          <w:rFonts w:hAnsi="宋体" w:cs="宋体"/>
          <w:b/>
          <w:bCs/>
          <w:sz w:val="24"/>
          <w:szCs w:val="24"/>
        </w:rPr>
        <w:t>14.2外层包封应写明项目名称、项目编号、标段、投标人名称、地址、并注明开标时间以前不得开封。</w:t>
      </w:r>
    </w:p>
    <w:p>
      <w:pPr>
        <w:pStyle w:val="10"/>
        <w:spacing w:line="440" w:lineRule="exact"/>
        <w:ind w:firstLine="360"/>
        <w:rPr>
          <w:rFonts w:hint="default" w:hAnsi="宋体" w:cs="宋体"/>
          <w:b/>
          <w:bCs/>
          <w:sz w:val="24"/>
          <w:szCs w:val="24"/>
        </w:rPr>
      </w:pPr>
      <w:r>
        <w:rPr>
          <w:rFonts w:hAnsi="宋体" w:cs="宋体"/>
          <w:b/>
          <w:bCs/>
          <w:sz w:val="24"/>
          <w:szCs w:val="24"/>
        </w:rPr>
        <w:t>14.3如果外包封没有按照上述规定密封，招标代理单位将不承担投标文件错放或提前开封的责任。由此造成的提前开封的投标文件将予以拒绝，并退还给投标人。</w:t>
      </w:r>
    </w:p>
    <w:p>
      <w:pPr>
        <w:pStyle w:val="10"/>
        <w:spacing w:line="440" w:lineRule="exact"/>
        <w:ind w:firstLine="360"/>
        <w:rPr>
          <w:rFonts w:hint="default" w:hAnsi="宋体" w:cs="宋体"/>
          <w:b/>
          <w:bCs/>
          <w:sz w:val="24"/>
          <w:szCs w:val="24"/>
        </w:rPr>
      </w:pPr>
      <w:r>
        <w:rPr>
          <w:rFonts w:hAnsi="宋体" w:cs="宋体"/>
          <w:b/>
          <w:bCs/>
          <w:sz w:val="24"/>
          <w:szCs w:val="24"/>
        </w:rPr>
        <w:t>14.4外层包封封口处应加盖密封章或单位公章，若封口处没有加盖密封章或公章或破损严重，招标代理单位将其拒收。</w:t>
      </w:r>
    </w:p>
    <w:p>
      <w:pPr>
        <w:pStyle w:val="10"/>
        <w:spacing w:line="440" w:lineRule="exact"/>
        <w:rPr>
          <w:rFonts w:hint="default" w:hAnsi="宋体" w:cs="宋体"/>
          <w:sz w:val="24"/>
          <w:szCs w:val="24"/>
        </w:rPr>
      </w:pPr>
    </w:p>
    <w:p>
      <w:pPr>
        <w:pStyle w:val="10"/>
        <w:spacing w:line="440" w:lineRule="exact"/>
        <w:rPr>
          <w:rFonts w:hint="default" w:hAnsi="宋体" w:cs="宋体"/>
          <w:sz w:val="24"/>
          <w:szCs w:val="24"/>
        </w:rPr>
      </w:pPr>
      <w:r>
        <w:rPr>
          <w:rFonts w:hAnsi="宋体" w:cs="宋体"/>
          <w:sz w:val="24"/>
          <w:szCs w:val="24"/>
        </w:rPr>
        <w:t>15.  投标文件的递交</w:t>
      </w:r>
    </w:p>
    <w:p>
      <w:pPr>
        <w:pStyle w:val="10"/>
        <w:spacing w:line="440" w:lineRule="exact"/>
        <w:ind w:firstLine="360"/>
        <w:rPr>
          <w:rFonts w:hint="default" w:hAnsi="宋体" w:cs="宋体"/>
          <w:sz w:val="24"/>
          <w:szCs w:val="24"/>
        </w:rPr>
      </w:pPr>
      <w:r>
        <w:rPr>
          <w:rFonts w:hAnsi="宋体" w:cs="宋体"/>
          <w:sz w:val="24"/>
          <w:szCs w:val="24"/>
        </w:rPr>
        <w:t>15.1  投标人投标截止时间：见投标人须知前附表。</w:t>
      </w:r>
    </w:p>
    <w:p>
      <w:pPr>
        <w:pStyle w:val="10"/>
        <w:spacing w:line="440" w:lineRule="exact"/>
        <w:ind w:firstLine="360"/>
        <w:rPr>
          <w:rFonts w:hint="default" w:hAnsi="宋体" w:cs="宋体"/>
          <w:sz w:val="24"/>
          <w:szCs w:val="24"/>
        </w:rPr>
      </w:pPr>
      <w:r>
        <w:rPr>
          <w:rFonts w:hAnsi="宋体" w:cs="宋体"/>
          <w:sz w:val="24"/>
          <w:szCs w:val="24"/>
        </w:rPr>
        <w:t>15.2  投标人递交投标文件地点：见投标人须知前附表。</w:t>
      </w:r>
    </w:p>
    <w:p>
      <w:pPr>
        <w:pStyle w:val="10"/>
        <w:spacing w:line="440" w:lineRule="exact"/>
        <w:jc w:val="center"/>
        <w:rPr>
          <w:rFonts w:hint="default" w:hAnsi="宋体" w:cs="宋体"/>
        </w:rPr>
      </w:pPr>
    </w:p>
    <w:p>
      <w:pPr>
        <w:pStyle w:val="10"/>
        <w:jc w:val="center"/>
        <w:outlineLvl w:val="1"/>
        <w:rPr>
          <w:rFonts w:hint="default" w:hAnsi="宋体" w:cs="宋体"/>
          <w:b/>
          <w:bCs/>
          <w:sz w:val="30"/>
          <w:szCs w:val="30"/>
        </w:rPr>
      </w:pPr>
      <w:bookmarkStart w:id="40" w:name="_Toc4239"/>
      <w:bookmarkStart w:id="41" w:name="_Toc21468"/>
      <w:bookmarkStart w:id="42" w:name="_Toc9088"/>
      <w:r>
        <w:rPr>
          <w:rFonts w:hAnsi="宋体" w:cs="宋体"/>
          <w:b/>
          <w:bCs/>
          <w:sz w:val="30"/>
          <w:szCs w:val="30"/>
        </w:rPr>
        <w:t>五    开标、资格审查与评标</w:t>
      </w:r>
      <w:bookmarkEnd w:id="40"/>
      <w:bookmarkEnd w:id="41"/>
      <w:bookmarkEnd w:id="42"/>
    </w:p>
    <w:p>
      <w:pPr>
        <w:pStyle w:val="10"/>
        <w:spacing w:line="440" w:lineRule="exact"/>
        <w:rPr>
          <w:rFonts w:hint="default" w:hAnsi="宋体" w:cs="宋体"/>
          <w:sz w:val="24"/>
          <w:szCs w:val="24"/>
        </w:rPr>
      </w:pPr>
      <w:r>
        <w:rPr>
          <w:rFonts w:hAnsi="宋体" w:cs="宋体"/>
          <w:sz w:val="24"/>
          <w:szCs w:val="24"/>
        </w:rPr>
        <w:t>16.  开标</w:t>
      </w:r>
    </w:p>
    <w:p>
      <w:pPr>
        <w:pStyle w:val="10"/>
        <w:spacing w:line="440" w:lineRule="exact"/>
        <w:ind w:firstLine="480" w:firstLineChars="200"/>
        <w:rPr>
          <w:rFonts w:hint="default" w:hAnsi="宋体" w:cs="宋体"/>
          <w:sz w:val="24"/>
          <w:szCs w:val="24"/>
        </w:rPr>
      </w:pPr>
      <w:r>
        <w:rPr>
          <w:rFonts w:hAnsi="宋体" w:cs="宋体"/>
          <w:sz w:val="24"/>
          <w:szCs w:val="24"/>
        </w:rPr>
        <w:t>16.1  采购代理机构将在本章第15.1项规定的投标截止时间（即开标时间）和投标人须知前附表规定的地点公开开标，投标人的法定代表人或委托代理人开标必须持证件（法定代表人凭资格证书、营业执照复印件、身份证原件及复印件）或（委托代理人凭法人授权委托书原件、营业执照复印件、身份证原件及复印件）应准时参加并签到。投标人的法定代表人或其委托代理人应准时参加并签到。如未按时签到，由此产生的后果由投标人自行负责。</w:t>
      </w:r>
    </w:p>
    <w:p>
      <w:pPr>
        <w:pStyle w:val="10"/>
        <w:spacing w:line="440" w:lineRule="exact"/>
        <w:ind w:firstLine="480" w:firstLineChars="200"/>
        <w:rPr>
          <w:rFonts w:hint="default" w:hAnsi="宋体" w:cs="宋体"/>
          <w:sz w:val="24"/>
          <w:szCs w:val="24"/>
        </w:rPr>
      </w:pPr>
      <w:r>
        <w:rPr>
          <w:rFonts w:hAnsi="宋体" w:cs="宋体"/>
          <w:sz w:val="24"/>
          <w:szCs w:val="24"/>
        </w:rPr>
        <w:t>16.1.1截标后由采购人或采购代理机构对投标人进行信用查询。</w:t>
      </w:r>
    </w:p>
    <w:p>
      <w:pPr>
        <w:pStyle w:val="10"/>
        <w:spacing w:line="440" w:lineRule="exact"/>
        <w:ind w:firstLine="480" w:firstLineChars="200"/>
        <w:jc w:val="left"/>
        <w:rPr>
          <w:rFonts w:hint="default" w:hAnsi="宋体" w:cs="宋体"/>
          <w:sz w:val="24"/>
          <w:szCs w:val="24"/>
        </w:rPr>
      </w:pPr>
      <w:r>
        <w:rPr>
          <w:rFonts w:hAnsi="宋体" w:cs="宋体"/>
          <w:sz w:val="24"/>
          <w:szCs w:val="24"/>
        </w:rPr>
        <w:t xml:space="preserve">查询渠道：“信用中国”网站（www.creditchina.gov.cn）、中国政府采购网（www.ccgp.gov.cn） </w:t>
      </w:r>
    </w:p>
    <w:p>
      <w:pPr>
        <w:pStyle w:val="8"/>
        <w:spacing w:line="500" w:lineRule="exact"/>
        <w:ind w:firstLine="480" w:firstLineChars="200"/>
        <w:rPr>
          <w:rFonts w:ascii="宋体" w:hAnsi="宋体" w:cs="宋体"/>
          <w:sz w:val="24"/>
        </w:rPr>
      </w:pPr>
      <w:r>
        <w:rPr>
          <w:rFonts w:hint="eastAsia" w:ascii="宋体" w:hAnsi="宋体" w:cs="宋体"/>
          <w:sz w:val="24"/>
        </w:rPr>
        <w:t xml:space="preserve">查询截止时点：投标截止时间   </w:t>
      </w:r>
    </w:p>
    <w:p>
      <w:pPr>
        <w:pStyle w:val="8"/>
        <w:spacing w:line="500" w:lineRule="exact"/>
        <w:ind w:firstLine="480" w:firstLineChars="200"/>
        <w:rPr>
          <w:rFonts w:ascii="宋体" w:hAnsi="宋体" w:cs="宋体"/>
          <w:sz w:val="24"/>
        </w:rPr>
      </w:pPr>
      <w:r>
        <w:rPr>
          <w:rFonts w:hint="eastAsia" w:ascii="宋体" w:hAnsi="宋体" w:cs="宋体"/>
          <w:sz w:val="24"/>
        </w:rPr>
        <w:t>查询记录和证据留存方式：在查询网站中直接打印查询记录，打印材料作为评审资料保存。</w:t>
      </w:r>
    </w:p>
    <w:p>
      <w:pPr>
        <w:pStyle w:val="10"/>
        <w:spacing w:line="440" w:lineRule="exact"/>
        <w:ind w:firstLine="480" w:firstLineChars="200"/>
        <w:rPr>
          <w:rFonts w:hint="default" w:hAnsi="宋体" w:cs="宋体"/>
          <w:sz w:val="24"/>
          <w:szCs w:val="24"/>
        </w:rPr>
      </w:pPr>
      <w:r>
        <w:rPr>
          <w:rFonts w:hAnsi="宋体" w:cs="宋体"/>
          <w:sz w:val="24"/>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0"/>
        <w:spacing w:line="440" w:lineRule="exact"/>
        <w:ind w:firstLine="410" w:firstLineChars="171"/>
        <w:rPr>
          <w:rFonts w:hint="default" w:hAnsi="宋体" w:cs="宋体"/>
          <w:sz w:val="24"/>
          <w:szCs w:val="24"/>
        </w:rPr>
      </w:pPr>
      <w:r>
        <w:rPr>
          <w:rFonts w:hAnsi="宋体" w:cs="宋体"/>
          <w:sz w:val="24"/>
          <w:szCs w:val="24"/>
        </w:rPr>
        <w:t>16.2  开标程序：</w:t>
      </w:r>
    </w:p>
    <w:p>
      <w:pPr>
        <w:pStyle w:val="10"/>
        <w:spacing w:line="440" w:lineRule="exact"/>
        <w:ind w:firstLine="480" w:firstLineChars="200"/>
        <w:rPr>
          <w:rFonts w:hint="default" w:hAnsi="宋体" w:cs="宋体"/>
          <w:sz w:val="24"/>
          <w:szCs w:val="24"/>
        </w:rPr>
      </w:pPr>
      <w:r>
        <w:rPr>
          <w:rFonts w:hAnsi="宋体" w:cs="宋体"/>
          <w:sz w:val="24"/>
          <w:szCs w:val="24"/>
        </w:rPr>
        <w:t>（1）开标会由采购代理机构主持，主持人宣布开标会议开始，介绍开标现场相关人员；</w:t>
      </w:r>
    </w:p>
    <w:p>
      <w:pPr>
        <w:pStyle w:val="10"/>
        <w:spacing w:line="440" w:lineRule="exact"/>
        <w:ind w:firstLine="480" w:firstLineChars="200"/>
        <w:rPr>
          <w:rFonts w:hint="default" w:hAnsi="宋体" w:cs="宋体"/>
          <w:sz w:val="24"/>
          <w:szCs w:val="24"/>
        </w:rPr>
      </w:pPr>
      <w:r>
        <w:rPr>
          <w:rFonts w:hAnsi="宋体" w:cs="宋体"/>
          <w:sz w:val="24"/>
          <w:szCs w:val="24"/>
        </w:rPr>
        <w:t>（2）公布在投标截止时间前递交投标文件的投标人名称；</w:t>
      </w:r>
    </w:p>
    <w:p>
      <w:pPr>
        <w:pStyle w:val="10"/>
        <w:spacing w:line="440" w:lineRule="exact"/>
        <w:ind w:firstLine="480" w:firstLineChars="200"/>
        <w:rPr>
          <w:rFonts w:hint="default" w:hAnsi="宋体" w:cs="宋体"/>
          <w:sz w:val="24"/>
          <w:szCs w:val="24"/>
        </w:rPr>
      </w:pPr>
      <w:r>
        <w:rPr>
          <w:rFonts w:hAnsi="宋体" w:cs="宋体"/>
          <w:sz w:val="24"/>
          <w:szCs w:val="24"/>
        </w:rPr>
        <w:t>（3）投标人代表按本章第14.1项的规定交叉检查投标文件的密封情况，并签字确认；</w:t>
      </w:r>
    </w:p>
    <w:p>
      <w:pPr>
        <w:pStyle w:val="10"/>
        <w:spacing w:line="440" w:lineRule="exact"/>
        <w:ind w:firstLine="480" w:firstLineChars="200"/>
        <w:rPr>
          <w:rFonts w:hint="default" w:hAnsi="宋体" w:cs="宋体"/>
          <w:sz w:val="24"/>
          <w:szCs w:val="24"/>
        </w:rPr>
      </w:pPr>
      <w:r>
        <w:rPr>
          <w:rFonts w:hAnsi="宋体" w:cs="宋体"/>
          <w:sz w:val="24"/>
          <w:szCs w:val="24"/>
        </w:rPr>
        <w:t>（4）当众拆封投标文件，由唱标人宣读投标人名称、分标名称、投标文件正副本数量、投标报价、交货期等以及采购代理机构认为有必要宣读的其他内容，记录人负责做开标记录；</w:t>
      </w:r>
    </w:p>
    <w:p>
      <w:pPr>
        <w:pStyle w:val="10"/>
        <w:spacing w:line="440" w:lineRule="exact"/>
        <w:ind w:firstLine="480" w:firstLineChars="200"/>
        <w:rPr>
          <w:rFonts w:hint="default" w:hAnsi="宋体" w:cs="宋体"/>
          <w:sz w:val="24"/>
          <w:szCs w:val="24"/>
        </w:rPr>
      </w:pPr>
      <w:r>
        <w:rPr>
          <w:rFonts w:hAnsi="宋体" w:cs="宋体"/>
          <w:sz w:val="24"/>
          <w:szCs w:val="24"/>
        </w:rPr>
        <w:t>（5）相关人员在开标记录上签字确认；</w:t>
      </w:r>
    </w:p>
    <w:p>
      <w:pPr>
        <w:pStyle w:val="10"/>
        <w:spacing w:line="440" w:lineRule="exact"/>
        <w:ind w:firstLine="480" w:firstLineChars="200"/>
        <w:rPr>
          <w:rFonts w:hint="default" w:hAnsi="宋体" w:cs="宋体"/>
          <w:sz w:val="24"/>
          <w:szCs w:val="24"/>
        </w:rPr>
      </w:pPr>
      <w:r>
        <w:rPr>
          <w:rFonts w:hAnsi="宋体" w:cs="宋体"/>
          <w:sz w:val="24"/>
          <w:szCs w:val="24"/>
        </w:rPr>
        <w:t>（6）宣布评标期间的有关事项；</w:t>
      </w:r>
    </w:p>
    <w:p>
      <w:pPr>
        <w:pStyle w:val="10"/>
        <w:spacing w:line="440" w:lineRule="exact"/>
        <w:ind w:firstLine="480" w:firstLineChars="200"/>
        <w:rPr>
          <w:rFonts w:hint="default" w:hAnsi="宋体" w:cs="宋体"/>
          <w:sz w:val="24"/>
          <w:szCs w:val="24"/>
        </w:rPr>
      </w:pPr>
      <w:r>
        <w:rPr>
          <w:rFonts w:hAnsi="宋体" w:cs="宋体"/>
          <w:sz w:val="24"/>
          <w:szCs w:val="24"/>
        </w:rPr>
        <w:t>（7）开标结束。</w:t>
      </w:r>
    </w:p>
    <w:p>
      <w:pPr>
        <w:pStyle w:val="10"/>
        <w:spacing w:line="440" w:lineRule="exact"/>
        <w:ind w:firstLine="360" w:firstLineChars="150"/>
        <w:rPr>
          <w:rFonts w:hint="default" w:hAnsi="宋体" w:cs="宋体"/>
          <w:sz w:val="24"/>
          <w:szCs w:val="24"/>
        </w:rPr>
      </w:pPr>
      <w:r>
        <w:rPr>
          <w:rFonts w:hAnsi="宋体" w:cs="宋体"/>
          <w:sz w:val="24"/>
          <w:szCs w:val="24"/>
        </w:rPr>
        <w:t>16.3  资格审查</w:t>
      </w:r>
    </w:p>
    <w:p>
      <w:pPr>
        <w:pStyle w:val="10"/>
        <w:spacing w:line="440" w:lineRule="exact"/>
        <w:ind w:firstLine="360"/>
        <w:rPr>
          <w:rFonts w:hint="default" w:hAnsi="宋体" w:cs="宋体"/>
          <w:b/>
          <w:bCs/>
          <w:sz w:val="24"/>
          <w:szCs w:val="24"/>
        </w:rPr>
      </w:pPr>
      <w:r>
        <w:rPr>
          <w:rFonts w:hAnsi="宋体" w:cs="宋体"/>
          <w:b/>
          <w:bCs/>
          <w:sz w:val="24"/>
          <w:szCs w:val="24"/>
        </w:rPr>
        <w:t>采购人依据法律法规和招标文件的规定，对投标文件中的资格文件进行审查，以确定投标供应商是否具备投标资格。合格投标人不足3家的，不得评标。</w:t>
      </w:r>
    </w:p>
    <w:p>
      <w:pPr>
        <w:pStyle w:val="10"/>
        <w:spacing w:line="440" w:lineRule="exact"/>
        <w:rPr>
          <w:rFonts w:hint="default" w:hAnsi="宋体" w:cs="宋体"/>
          <w:sz w:val="24"/>
          <w:szCs w:val="24"/>
        </w:rPr>
      </w:pPr>
      <w:r>
        <w:rPr>
          <w:rFonts w:hAnsi="宋体" w:cs="宋体"/>
          <w:sz w:val="24"/>
          <w:szCs w:val="24"/>
        </w:rPr>
        <w:t>17.  评标</w:t>
      </w:r>
    </w:p>
    <w:p>
      <w:pPr>
        <w:pStyle w:val="10"/>
        <w:spacing w:line="440" w:lineRule="exact"/>
        <w:ind w:firstLine="360"/>
        <w:rPr>
          <w:rFonts w:hint="default" w:hAnsi="宋体" w:cs="宋体"/>
          <w:sz w:val="24"/>
          <w:szCs w:val="24"/>
        </w:rPr>
      </w:pPr>
      <w:r>
        <w:rPr>
          <w:rFonts w:hAnsi="宋体" w:cs="宋体"/>
          <w:sz w:val="24"/>
          <w:szCs w:val="24"/>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0"/>
        <w:spacing w:line="440" w:lineRule="exact"/>
        <w:ind w:firstLine="360"/>
        <w:rPr>
          <w:rFonts w:hint="default" w:hAnsi="宋体" w:cs="宋体"/>
          <w:sz w:val="24"/>
          <w:szCs w:val="24"/>
        </w:rPr>
      </w:pPr>
      <w:r>
        <w:rPr>
          <w:rFonts w:hAnsi="宋体" w:cs="宋体"/>
          <w:sz w:val="24"/>
          <w:szCs w:val="24"/>
        </w:rPr>
        <w:t>17.2  评标原则：评标活动遵循公平、公正、科学和择优的原则。</w:t>
      </w:r>
    </w:p>
    <w:p>
      <w:pPr>
        <w:pStyle w:val="10"/>
        <w:spacing w:line="440" w:lineRule="exact"/>
        <w:ind w:firstLine="360"/>
        <w:rPr>
          <w:rFonts w:hint="default" w:hAnsi="宋体" w:cs="宋体"/>
          <w:sz w:val="24"/>
          <w:szCs w:val="24"/>
        </w:rPr>
      </w:pPr>
      <w:r>
        <w:rPr>
          <w:rFonts w:hAnsi="宋体" w:cs="宋体"/>
          <w:sz w:val="24"/>
          <w:szCs w:val="24"/>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10"/>
        <w:spacing w:line="440" w:lineRule="exact"/>
        <w:ind w:firstLine="360"/>
        <w:rPr>
          <w:rFonts w:hint="default" w:hAnsi="宋体" w:cs="宋体"/>
          <w:sz w:val="24"/>
          <w:szCs w:val="24"/>
        </w:rPr>
      </w:pPr>
      <w:r>
        <w:rPr>
          <w:rFonts w:hAnsi="宋体" w:cs="宋体"/>
          <w:sz w:val="24"/>
          <w:szCs w:val="24"/>
        </w:rPr>
        <w:t>17.4  评标程序：</w:t>
      </w:r>
    </w:p>
    <w:p>
      <w:pPr>
        <w:pStyle w:val="10"/>
        <w:spacing w:line="440" w:lineRule="exact"/>
        <w:ind w:firstLine="360"/>
        <w:rPr>
          <w:rFonts w:hint="default" w:hAnsi="宋体" w:cs="宋体"/>
          <w:sz w:val="24"/>
          <w:szCs w:val="24"/>
        </w:rPr>
      </w:pPr>
      <w:r>
        <w:rPr>
          <w:rFonts w:hAnsi="宋体" w:cs="宋体"/>
          <w:sz w:val="24"/>
          <w:szCs w:val="24"/>
        </w:rPr>
        <w:t>17.4.1  采购代理机构项目负责人宣读评标现场纪律要求，集中管理通讯工具，询问在场人员是否申请回避；</w:t>
      </w:r>
    </w:p>
    <w:p>
      <w:pPr>
        <w:pStyle w:val="10"/>
        <w:spacing w:line="440" w:lineRule="exact"/>
        <w:ind w:firstLine="360"/>
        <w:rPr>
          <w:rFonts w:hint="default" w:hAnsi="宋体" w:cs="宋体"/>
          <w:sz w:val="24"/>
          <w:szCs w:val="24"/>
        </w:rPr>
      </w:pPr>
      <w:r>
        <w:rPr>
          <w:rFonts w:hAnsi="宋体" w:cs="宋体"/>
          <w:sz w:val="24"/>
          <w:szCs w:val="24"/>
        </w:rPr>
        <w:t>17.4.2  采购代理机构项目负责人介绍项目概况及评标委员会组成情况（但不得发表影响评审的倾向性、歧视性言论），推选评标组长（原则上采购人不得担任评标组长）；</w:t>
      </w:r>
    </w:p>
    <w:p>
      <w:pPr>
        <w:pStyle w:val="10"/>
        <w:spacing w:line="440" w:lineRule="exact"/>
        <w:ind w:firstLine="360"/>
        <w:rPr>
          <w:rFonts w:hint="default" w:hAnsi="宋体" w:cs="宋体"/>
          <w:sz w:val="24"/>
          <w:szCs w:val="24"/>
        </w:rPr>
      </w:pPr>
      <w:r>
        <w:rPr>
          <w:rFonts w:hAnsi="宋体" w:cs="宋体"/>
          <w:sz w:val="24"/>
          <w:szCs w:val="24"/>
        </w:rPr>
        <w:t>17.4.3  评标委员会按分工开展评标工作：</w:t>
      </w:r>
    </w:p>
    <w:p>
      <w:pPr>
        <w:pStyle w:val="10"/>
        <w:spacing w:line="440" w:lineRule="exact"/>
        <w:ind w:firstLine="480" w:firstLineChars="200"/>
        <w:rPr>
          <w:rFonts w:hint="default" w:hAnsi="宋体" w:cs="宋体"/>
          <w:sz w:val="24"/>
          <w:szCs w:val="24"/>
        </w:rPr>
      </w:pPr>
      <w:r>
        <w:rPr>
          <w:rFonts w:hAnsi="宋体" w:cs="宋体"/>
          <w:sz w:val="24"/>
          <w:szCs w:val="24"/>
        </w:rPr>
        <w:t>17.4.3.1投标文件初审。符合性检查：依据招标文件的规定，从投标文件的有效性、完整性和对招标文件的响应程度进行审查，以确定是否对招标文件的实质性要求和条件作出响应。</w:t>
      </w:r>
    </w:p>
    <w:p>
      <w:pPr>
        <w:pStyle w:val="10"/>
        <w:spacing w:line="440" w:lineRule="exact"/>
        <w:ind w:firstLine="820" w:firstLineChars="342"/>
        <w:rPr>
          <w:rFonts w:hint="default" w:hAnsi="宋体" w:cs="宋体"/>
          <w:sz w:val="24"/>
          <w:szCs w:val="24"/>
        </w:rPr>
      </w:pPr>
      <w:r>
        <w:rPr>
          <w:rFonts w:hAnsi="宋体" w:cs="宋体"/>
          <w:sz w:val="24"/>
          <w:szCs w:val="24"/>
        </w:rPr>
        <w:t>(1)有下列情形之一的视为投标人相互串通投标，投标文件将被视为无效。</w:t>
      </w:r>
    </w:p>
    <w:p>
      <w:pPr>
        <w:widowControl/>
        <w:spacing w:line="440" w:lineRule="exact"/>
        <w:ind w:firstLine="640"/>
        <w:jc w:val="left"/>
        <w:rPr>
          <w:rFonts w:ascii="宋体" w:hAnsi="宋体" w:cs="宋体"/>
          <w:sz w:val="24"/>
          <w:szCs w:val="24"/>
        </w:rPr>
      </w:pPr>
      <w:r>
        <w:rPr>
          <w:rFonts w:hint="eastAsia" w:ascii="宋体" w:hAnsi="宋体" w:cs="宋体"/>
          <w:sz w:val="24"/>
          <w:szCs w:val="24"/>
        </w:rPr>
        <w:t>①不同投标人的投标文件由同一单位或者个人编制；</w:t>
      </w:r>
    </w:p>
    <w:p>
      <w:pPr>
        <w:widowControl/>
        <w:spacing w:line="440" w:lineRule="exact"/>
        <w:ind w:firstLine="640"/>
        <w:jc w:val="left"/>
        <w:rPr>
          <w:rFonts w:ascii="宋体" w:hAnsi="宋体" w:cs="宋体"/>
          <w:sz w:val="24"/>
          <w:szCs w:val="24"/>
        </w:rPr>
      </w:pPr>
      <w:r>
        <w:rPr>
          <w:rFonts w:hint="eastAsia" w:ascii="宋体" w:hAnsi="宋体" w:cs="宋体"/>
          <w:sz w:val="24"/>
          <w:szCs w:val="24"/>
        </w:rPr>
        <w:t>②不同投标人委托同一单位或者个人办理投标事宜;</w:t>
      </w:r>
    </w:p>
    <w:p>
      <w:pPr>
        <w:widowControl/>
        <w:spacing w:line="440" w:lineRule="exact"/>
        <w:ind w:firstLine="640"/>
        <w:jc w:val="left"/>
        <w:rPr>
          <w:rFonts w:ascii="宋体" w:hAnsi="宋体" w:cs="宋体"/>
          <w:sz w:val="24"/>
          <w:szCs w:val="24"/>
        </w:rPr>
      </w:pPr>
      <w:r>
        <w:rPr>
          <w:rFonts w:hint="eastAsia" w:ascii="宋体" w:hAnsi="宋体" w:cs="宋体"/>
          <w:sz w:val="24"/>
          <w:szCs w:val="24"/>
        </w:rPr>
        <w:t>③不同的投标人的投标文件载明的项目管理员为同一个人;</w:t>
      </w:r>
    </w:p>
    <w:p>
      <w:pPr>
        <w:widowControl/>
        <w:spacing w:line="440" w:lineRule="exact"/>
        <w:ind w:firstLine="640"/>
        <w:jc w:val="left"/>
        <w:rPr>
          <w:rFonts w:ascii="宋体" w:hAnsi="宋体" w:cs="宋体"/>
          <w:sz w:val="24"/>
          <w:szCs w:val="24"/>
        </w:rPr>
      </w:pPr>
      <w:r>
        <w:rPr>
          <w:rFonts w:hint="eastAsia" w:ascii="宋体" w:hAnsi="宋体" w:cs="宋体"/>
          <w:sz w:val="24"/>
          <w:szCs w:val="24"/>
        </w:rPr>
        <w:t>④不同投标人的投标文件异常一致或投标报价呈规律性差异;</w:t>
      </w:r>
    </w:p>
    <w:p>
      <w:pPr>
        <w:widowControl/>
        <w:spacing w:line="440" w:lineRule="exact"/>
        <w:ind w:firstLine="640"/>
        <w:jc w:val="left"/>
        <w:rPr>
          <w:rFonts w:ascii="宋体" w:hAnsi="宋体" w:cs="宋体"/>
          <w:sz w:val="24"/>
          <w:szCs w:val="24"/>
        </w:rPr>
      </w:pPr>
      <w:r>
        <w:rPr>
          <w:rFonts w:hint="eastAsia" w:ascii="宋体" w:hAnsi="宋体" w:cs="宋体"/>
          <w:sz w:val="24"/>
          <w:szCs w:val="24"/>
        </w:rPr>
        <w:t>⑤不同投标人的投标文件相互混装;</w:t>
      </w:r>
    </w:p>
    <w:p>
      <w:pPr>
        <w:widowControl/>
        <w:spacing w:line="440" w:lineRule="exact"/>
        <w:ind w:firstLine="640"/>
        <w:jc w:val="left"/>
        <w:rPr>
          <w:rFonts w:ascii="宋体" w:hAnsi="宋体" w:cs="宋体"/>
          <w:sz w:val="24"/>
          <w:szCs w:val="24"/>
        </w:rPr>
      </w:pPr>
      <w:r>
        <w:rPr>
          <w:rFonts w:hint="eastAsia" w:ascii="宋体" w:hAnsi="宋体" w:cs="宋体"/>
          <w:sz w:val="24"/>
          <w:szCs w:val="24"/>
        </w:rPr>
        <w:t>（2）关联供应商不得参加同一合同项下政府采购活动，否则投标文件将被视为无效</w:t>
      </w:r>
    </w:p>
    <w:p>
      <w:pPr>
        <w:widowControl/>
        <w:spacing w:line="440" w:lineRule="exact"/>
        <w:ind w:firstLine="640"/>
        <w:jc w:val="left"/>
        <w:rPr>
          <w:rFonts w:ascii="宋体" w:hAnsi="宋体" w:cs="宋体"/>
          <w:sz w:val="24"/>
          <w:szCs w:val="24"/>
        </w:rPr>
      </w:pPr>
      <w:r>
        <w:rPr>
          <w:rFonts w:hint="eastAsia" w:ascii="宋体" w:hAnsi="宋体" w:cs="宋体"/>
          <w:sz w:val="24"/>
          <w:szCs w:val="24"/>
        </w:rPr>
        <w:t>①单位负责人为同一人或者存在直接控股、管理关系的不同的供应商，不得参加同一合同项下的政府采购活动;</w:t>
      </w:r>
    </w:p>
    <w:p>
      <w:pPr>
        <w:widowControl/>
        <w:spacing w:line="440" w:lineRule="exact"/>
        <w:ind w:firstLine="640"/>
        <w:jc w:val="left"/>
        <w:rPr>
          <w:rFonts w:ascii="宋体" w:hAnsi="宋体" w:cs="宋体"/>
          <w:sz w:val="24"/>
          <w:szCs w:val="24"/>
        </w:rPr>
      </w:pPr>
      <w:r>
        <w:rPr>
          <w:rFonts w:hint="eastAsia" w:ascii="宋体" w:hAnsi="宋体" w:cs="宋体"/>
          <w:sz w:val="24"/>
          <w:szCs w:val="24"/>
        </w:rPr>
        <w:t>②生产厂商授权给供应商后自己不得参加同一合同项下的政府采购活动；生产厂商对同一品牌同一型号的货物，仅能委托一个代理商参加投标。</w:t>
      </w:r>
    </w:p>
    <w:p>
      <w:pPr>
        <w:pStyle w:val="10"/>
        <w:spacing w:line="440" w:lineRule="exact"/>
        <w:ind w:firstLine="480" w:firstLineChars="200"/>
        <w:rPr>
          <w:rFonts w:hint="default" w:hAnsi="宋体" w:cs="宋体"/>
          <w:sz w:val="24"/>
          <w:szCs w:val="24"/>
        </w:rPr>
      </w:pPr>
      <w:r>
        <w:rPr>
          <w:rFonts w:hAnsi="宋体" w:cs="宋体"/>
          <w:sz w:val="24"/>
          <w:szCs w:val="24"/>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0"/>
        <w:spacing w:line="440" w:lineRule="exact"/>
        <w:ind w:firstLine="480" w:firstLineChars="200"/>
        <w:rPr>
          <w:rFonts w:hint="default" w:hAnsi="宋体" w:cs="宋体"/>
          <w:sz w:val="24"/>
          <w:szCs w:val="24"/>
        </w:rPr>
      </w:pPr>
      <w:r>
        <w:rPr>
          <w:rFonts w:hAnsi="宋体" w:cs="宋体"/>
          <w:sz w:val="24"/>
          <w:szCs w:val="24"/>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0"/>
        <w:spacing w:line="440" w:lineRule="exact"/>
        <w:ind w:firstLine="602" w:firstLineChars="250"/>
        <w:rPr>
          <w:rFonts w:hint="default" w:hAnsi="宋体" w:cs="宋体"/>
          <w:b/>
          <w:sz w:val="24"/>
          <w:szCs w:val="24"/>
        </w:rPr>
      </w:pPr>
      <w:r>
        <w:rPr>
          <w:rFonts w:hAnsi="宋体" w:cs="宋体"/>
          <w:b/>
          <w:sz w:val="24"/>
          <w:szCs w:val="24"/>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
        <w:spacing w:line="440" w:lineRule="exact"/>
        <w:ind w:firstLine="720"/>
        <w:rPr>
          <w:rFonts w:hint="default" w:hAnsi="宋体" w:cs="宋体"/>
          <w:sz w:val="24"/>
          <w:szCs w:val="24"/>
        </w:rPr>
      </w:pPr>
      <w:r>
        <w:rPr>
          <w:rFonts w:hAnsi="宋体" w:cs="宋体"/>
          <w:sz w:val="24"/>
          <w:szCs w:val="24"/>
        </w:rPr>
        <w:t>17.4.3.5编写评标报告，并确定中标供应商名单。</w:t>
      </w:r>
    </w:p>
    <w:p>
      <w:pPr>
        <w:pStyle w:val="10"/>
        <w:spacing w:line="440" w:lineRule="exact"/>
        <w:ind w:firstLine="720"/>
        <w:rPr>
          <w:rFonts w:hint="default" w:hAnsi="宋体" w:cs="宋体"/>
          <w:bCs/>
          <w:sz w:val="24"/>
          <w:szCs w:val="24"/>
        </w:rPr>
      </w:pPr>
      <w:r>
        <w:rPr>
          <w:rFonts w:hAnsi="宋体" w:cs="宋体"/>
          <w:sz w:val="24"/>
          <w:szCs w:val="24"/>
        </w:rPr>
        <w:t>17.4.4  整个现场评标过程中，采购代理机构应严格按照招标文件既定的程序组织评委评审，针对评委作出的评分、评标结论现场认真进行核对和复核，如有错漏，应及时请当事评委进行校正。</w:t>
      </w:r>
    </w:p>
    <w:p>
      <w:pPr>
        <w:pStyle w:val="10"/>
        <w:spacing w:line="440" w:lineRule="exact"/>
        <w:ind w:firstLine="410" w:firstLineChars="171"/>
        <w:rPr>
          <w:rFonts w:hint="default" w:hAnsi="宋体" w:cs="宋体"/>
          <w:sz w:val="24"/>
          <w:szCs w:val="24"/>
        </w:rPr>
      </w:pPr>
      <w:r>
        <w:rPr>
          <w:rFonts w:hAnsi="宋体" w:cs="宋体"/>
          <w:sz w:val="24"/>
          <w:szCs w:val="24"/>
        </w:rPr>
        <w:t>17.5  在确定中标供应商前，采购人或采购代理机构不得与投标供应商就投标价格、投标方案等实质性内容进行谈判。</w:t>
      </w:r>
    </w:p>
    <w:p>
      <w:pPr>
        <w:pStyle w:val="10"/>
        <w:spacing w:line="440" w:lineRule="exact"/>
        <w:ind w:firstLine="410" w:firstLineChars="171"/>
        <w:rPr>
          <w:rFonts w:hint="default" w:hAnsi="宋体" w:cs="宋体"/>
          <w:sz w:val="24"/>
          <w:szCs w:val="24"/>
        </w:rPr>
      </w:pPr>
      <w:r>
        <w:rPr>
          <w:rFonts w:hAnsi="宋体" w:cs="宋体"/>
          <w:sz w:val="24"/>
          <w:szCs w:val="24"/>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0"/>
        <w:spacing w:line="440" w:lineRule="exact"/>
        <w:rPr>
          <w:rFonts w:hint="default" w:hAnsi="宋体" w:cs="宋体"/>
          <w:sz w:val="24"/>
          <w:szCs w:val="24"/>
        </w:rPr>
      </w:pPr>
      <w:r>
        <w:rPr>
          <w:rFonts w:hAnsi="宋体" w:cs="宋体"/>
          <w:sz w:val="24"/>
          <w:szCs w:val="24"/>
        </w:rPr>
        <w:t>18.  投标文件的修正</w:t>
      </w:r>
    </w:p>
    <w:p>
      <w:pPr>
        <w:pStyle w:val="10"/>
        <w:spacing w:line="440" w:lineRule="exact"/>
        <w:ind w:firstLine="410" w:firstLineChars="171"/>
        <w:rPr>
          <w:rFonts w:hint="default" w:hAnsi="宋体" w:cs="宋体"/>
          <w:sz w:val="24"/>
          <w:szCs w:val="24"/>
        </w:rPr>
      </w:pPr>
      <w:r>
        <w:rPr>
          <w:rFonts w:hAnsi="宋体" w:cs="宋体"/>
          <w:sz w:val="24"/>
          <w:szCs w:val="24"/>
        </w:rPr>
        <w:t>18.1  投标文件报价出现前后不一致的，修正的原则如下：</w:t>
      </w:r>
    </w:p>
    <w:p>
      <w:pPr>
        <w:pStyle w:val="10"/>
        <w:spacing w:line="440" w:lineRule="exact"/>
        <w:ind w:firstLine="410" w:firstLineChars="171"/>
        <w:rPr>
          <w:rFonts w:hint="default" w:hAnsi="宋体" w:cs="宋体"/>
          <w:sz w:val="24"/>
          <w:szCs w:val="24"/>
        </w:rPr>
      </w:pPr>
      <w:r>
        <w:rPr>
          <w:rFonts w:hAnsi="宋体" w:cs="宋体"/>
          <w:sz w:val="24"/>
          <w:szCs w:val="24"/>
        </w:rPr>
        <w:t>（1）投标文件中报价表内容与投标文件中相应内容不一致的，以报价表为准；</w:t>
      </w:r>
    </w:p>
    <w:p>
      <w:pPr>
        <w:pStyle w:val="10"/>
        <w:spacing w:line="440" w:lineRule="exact"/>
        <w:ind w:firstLine="410" w:firstLineChars="171"/>
        <w:rPr>
          <w:rFonts w:hint="default" w:hAnsi="宋体" w:cs="宋体"/>
          <w:sz w:val="24"/>
          <w:szCs w:val="24"/>
        </w:rPr>
      </w:pPr>
      <w:r>
        <w:rPr>
          <w:rFonts w:hAnsi="宋体" w:cs="宋体"/>
          <w:sz w:val="24"/>
          <w:szCs w:val="24"/>
        </w:rPr>
        <w:t>（2）大写金额和小写金额不一致的，以大写金额为准；</w:t>
      </w:r>
    </w:p>
    <w:p>
      <w:pPr>
        <w:pStyle w:val="10"/>
        <w:spacing w:line="440" w:lineRule="exact"/>
        <w:ind w:firstLine="410" w:firstLineChars="171"/>
        <w:rPr>
          <w:rFonts w:hint="default" w:hAnsi="宋体" w:cs="宋体"/>
          <w:sz w:val="24"/>
          <w:szCs w:val="24"/>
        </w:rPr>
      </w:pPr>
      <w:r>
        <w:rPr>
          <w:rFonts w:hAnsi="宋体" w:cs="宋体"/>
          <w:sz w:val="24"/>
          <w:szCs w:val="24"/>
        </w:rPr>
        <w:t>（3）单价金额小数点或者百分比有明显错位的，以开标一览表的总价为准，并修改单价；</w:t>
      </w:r>
    </w:p>
    <w:p>
      <w:pPr>
        <w:pStyle w:val="10"/>
        <w:spacing w:line="440" w:lineRule="exact"/>
        <w:ind w:firstLine="410" w:firstLineChars="171"/>
        <w:rPr>
          <w:rFonts w:hint="default" w:hAnsi="宋体" w:cs="宋体"/>
          <w:sz w:val="24"/>
          <w:szCs w:val="24"/>
        </w:rPr>
      </w:pPr>
      <w:r>
        <w:rPr>
          <w:rFonts w:hAnsi="宋体" w:cs="宋体"/>
          <w:sz w:val="24"/>
          <w:szCs w:val="24"/>
        </w:rPr>
        <w:t>（4）总价金额与按单价汇总金额不一致的，以单价金额计算结果为准。</w:t>
      </w:r>
    </w:p>
    <w:p>
      <w:pPr>
        <w:pStyle w:val="10"/>
        <w:spacing w:line="440" w:lineRule="exact"/>
        <w:ind w:firstLine="410" w:firstLineChars="171"/>
        <w:rPr>
          <w:rFonts w:hint="default" w:hAnsi="宋体" w:cs="宋体"/>
          <w:sz w:val="24"/>
          <w:szCs w:val="24"/>
        </w:rPr>
      </w:pPr>
      <w:r>
        <w:rPr>
          <w:rFonts w:hAnsi="宋体" w:cs="宋体"/>
          <w:sz w:val="24"/>
          <w:szCs w:val="24"/>
        </w:rPr>
        <w:t>18.2同时出现两种以上不一致的，按照本条款规定的顺序修正。修正后的报价按照本章17.4.3.2的规定经投标人确认后产生约束力，投标人不确认的，其投标无效。</w:t>
      </w:r>
    </w:p>
    <w:p>
      <w:pPr>
        <w:pStyle w:val="10"/>
        <w:spacing w:line="440" w:lineRule="exact"/>
        <w:rPr>
          <w:rFonts w:hint="default" w:hAnsi="宋体" w:cs="宋体"/>
          <w:b/>
          <w:bCs/>
          <w:sz w:val="24"/>
          <w:szCs w:val="24"/>
        </w:rPr>
      </w:pPr>
      <w:r>
        <w:rPr>
          <w:rFonts w:hAnsi="宋体" w:cs="宋体"/>
          <w:b/>
          <w:bCs/>
          <w:sz w:val="24"/>
          <w:szCs w:val="24"/>
        </w:rPr>
        <w:t>19. 拒绝接收</w:t>
      </w:r>
    </w:p>
    <w:p>
      <w:pPr>
        <w:pStyle w:val="10"/>
        <w:spacing w:line="440" w:lineRule="exact"/>
        <w:ind w:firstLine="360"/>
        <w:jc w:val="left"/>
        <w:rPr>
          <w:rFonts w:hint="default" w:hAnsi="宋体" w:cs="宋体"/>
          <w:sz w:val="24"/>
          <w:szCs w:val="24"/>
        </w:rPr>
      </w:pPr>
      <w:r>
        <w:rPr>
          <w:rFonts w:hAnsi="宋体" w:cs="宋体"/>
          <w:sz w:val="24"/>
          <w:szCs w:val="24"/>
        </w:rPr>
        <w:t xml:space="preserve">   19.1  投标人未在本章第15.1项规定的时间之前将投标文件送达至本章第15.2项指定地点的，采购代理机构应当拒绝接收该投标人的投标文件。</w:t>
      </w:r>
    </w:p>
    <w:p>
      <w:pPr>
        <w:pStyle w:val="10"/>
        <w:spacing w:line="440" w:lineRule="exact"/>
        <w:rPr>
          <w:rFonts w:hint="default" w:hAnsi="宋体" w:cs="宋体"/>
          <w:b/>
          <w:bCs/>
          <w:sz w:val="24"/>
          <w:szCs w:val="24"/>
        </w:rPr>
      </w:pPr>
      <w:r>
        <w:rPr>
          <w:rFonts w:hAnsi="宋体" w:cs="宋体"/>
          <w:b/>
          <w:bCs/>
          <w:sz w:val="24"/>
          <w:szCs w:val="24"/>
        </w:rPr>
        <w:t>20.  无效投标</w:t>
      </w:r>
    </w:p>
    <w:p>
      <w:pPr>
        <w:pStyle w:val="10"/>
        <w:spacing w:line="440" w:lineRule="exact"/>
        <w:ind w:firstLine="410" w:firstLineChars="171"/>
        <w:rPr>
          <w:rFonts w:hint="default" w:hAnsi="宋体" w:cs="宋体"/>
          <w:sz w:val="24"/>
          <w:szCs w:val="24"/>
        </w:rPr>
      </w:pPr>
      <w:r>
        <w:rPr>
          <w:rFonts w:hAnsi="宋体" w:cs="宋体"/>
          <w:sz w:val="24"/>
          <w:szCs w:val="24"/>
        </w:rPr>
        <w:t>★20.1  属下列情形之一的，投标人的投标无效：</w:t>
      </w:r>
    </w:p>
    <w:p>
      <w:pPr>
        <w:pStyle w:val="10"/>
        <w:spacing w:line="440" w:lineRule="exact"/>
        <w:ind w:firstLine="410" w:firstLineChars="171"/>
        <w:rPr>
          <w:rFonts w:hint="default" w:hAnsi="宋体" w:cs="宋体"/>
          <w:sz w:val="24"/>
          <w:szCs w:val="24"/>
        </w:rPr>
      </w:pPr>
      <w:r>
        <w:rPr>
          <w:rFonts w:hAnsi="宋体" w:cs="宋体"/>
          <w:sz w:val="24"/>
          <w:szCs w:val="24"/>
        </w:rPr>
        <w:t>（1）投标人或投标文件不符合本章第3项规定的；</w:t>
      </w:r>
    </w:p>
    <w:p>
      <w:pPr>
        <w:pStyle w:val="10"/>
        <w:spacing w:line="440" w:lineRule="exact"/>
        <w:ind w:firstLine="410" w:firstLineChars="171"/>
        <w:rPr>
          <w:rFonts w:hint="default" w:hAnsi="宋体" w:cs="宋体"/>
          <w:sz w:val="24"/>
          <w:szCs w:val="24"/>
        </w:rPr>
      </w:pPr>
      <w:r>
        <w:rPr>
          <w:rFonts w:hAnsi="宋体" w:cs="宋体"/>
          <w:sz w:val="24"/>
          <w:szCs w:val="24"/>
        </w:rPr>
        <w:t xml:space="preserve">（2）投标文件未按本章第8.8项的规定标识或未按规定的正、副本数量递交的； </w:t>
      </w:r>
    </w:p>
    <w:p>
      <w:pPr>
        <w:pStyle w:val="10"/>
        <w:spacing w:line="440" w:lineRule="exact"/>
        <w:ind w:firstLine="410" w:firstLineChars="171"/>
        <w:rPr>
          <w:rFonts w:hint="default" w:hAnsi="宋体" w:cs="宋体"/>
          <w:sz w:val="24"/>
          <w:szCs w:val="24"/>
        </w:rPr>
      </w:pPr>
      <w:r>
        <w:rPr>
          <w:rFonts w:hAnsi="宋体" w:cs="宋体"/>
          <w:sz w:val="24"/>
          <w:szCs w:val="24"/>
        </w:rPr>
        <w:t>（3）投标文件未按本章第10.1项的规定编写和提交的（包括缺少应提交的文件或格式不符合第五章“投标文件格式”的要求）；</w:t>
      </w:r>
    </w:p>
    <w:p>
      <w:pPr>
        <w:pStyle w:val="10"/>
        <w:spacing w:line="440" w:lineRule="exact"/>
        <w:ind w:firstLine="410" w:firstLineChars="171"/>
        <w:rPr>
          <w:rFonts w:hint="default" w:hAnsi="宋体" w:cs="宋体"/>
          <w:sz w:val="24"/>
          <w:szCs w:val="24"/>
        </w:rPr>
      </w:pPr>
      <w:r>
        <w:rPr>
          <w:rFonts w:hAnsi="宋体" w:cs="宋体"/>
          <w:sz w:val="24"/>
          <w:szCs w:val="24"/>
        </w:rPr>
        <w:t>（4）投标文件不符合本章第10.2项规定的；</w:t>
      </w:r>
    </w:p>
    <w:p>
      <w:pPr>
        <w:pStyle w:val="10"/>
        <w:spacing w:line="440" w:lineRule="exact"/>
        <w:ind w:firstLine="410" w:firstLineChars="171"/>
        <w:rPr>
          <w:rFonts w:hint="default" w:hAnsi="宋体" w:cs="宋体"/>
          <w:sz w:val="24"/>
          <w:szCs w:val="24"/>
        </w:rPr>
      </w:pPr>
      <w:r>
        <w:rPr>
          <w:rFonts w:hAnsi="宋体" w:cs="宋体"/>
          <w:sz w:val="24"/>
          <w:szCs w:val="24"/>
        </w:rPr>
        <w:t>（5）投标人报价不符合本章第11项规定或超过采购预算的或超过分项预算或评标委员会认定属于17.4.3.4条规定的投标无效情形的；</w:t>
      </w:r>
    </w:p>
    <w:p>
      <w:pPr>
        <w:pStyle w:val="10"/>
        <w:spacing w:line="440" w:lineRule="exact"/>
        <w:ind w:firstLine="410" w:firstLineChars="171"/>
        <w:rPr>
          <w:rFonts w:hint="default" w:hAnsi="宋体" w:cs="宋体"/>
          <w:sz w:val="24"/>
          <w:szCs w:val="24"/>
        </w:rPr>
      </w:pPr>
      <w:r>
        <w:rPr>
          <w:rFonts w:hAnsi="宋体" w:cs="宋体"/>
          <w:sz w:val="24"/>
          <w:szCs w:val="24"/>
        </w:rPr>
        <w:t>（6）投标文件不符合本章第14.1项规定的；</w:t>
      </w:r>
    </w:p>
    <w:p>
      <w:pPr>
        <w:pStyle w:val="10"/>
        <w:spacing w:line="440" w:lineRule="exact"/>
        <w:ind w:firstLine="410" w:firstLineChars="171"/>
        <w:rPr>
          <w:rFonts w:hint="default" w:hAnsi="宋体" w:cs="宋体"/>
          <w:sz w:val="24"/>
          <w:szCs w:val="24"/>
        </w:rPr>
      </w:pPr>
      <w:r>
        <w:rPr>
          <w:rFonts w:hAnsi="宋体" w:cs="宋体"/>
          <w:sz w:val="24"/>
          <w:szCs w:val="24"/>
        </w:rPr>
        <w:t>（7）投标人出现本章第17.4.3.1项所述的投标文件将被视为无效的情形的；</w:t>
      </w:r>
    </w:p>
    <w:p>
      <w:pPr>
        <w:pStyle w:val="10"/>
        <w:spacing w:line="440" w:lineRule="exact"/>
        <w:ind w:firstLine="410" w:firstLineChars="171"/>
        <w:rPr>
          <w:rFonts w:hint="default" w:hAnsi="宋体" w:cs="宋体"/>
          <w:sz w:val="24"/>
          <w:szCs w:val="24"/>
        </w:rPr>
      </w:pPr>
      <w:r>
        <w:rPr>
          <w:rFonts w:hAnsi="宋体" w:cs="宋体"/>
          <w:sz w:val="24"/>
          <w:szCs w:val="24"/>
        </w:rPr>
        <w:t>（8）投标人出现本章第18.2项所述情形的；</w:t>
      </w:r>
    </w:p>
    <w:p>
      <w:pPr>
        <w:pStyle w:val="10"/>
        <w:spacing w:line="440" w:lineRule="exact"/>
        <w:ind w:firstLine="410" w:firstLineChars="171"/>
        <w:rPr>
          <w:rFonts w:hint="default" w:hAnsi="宋体" w:cs="宋体"/>
          <w:sz w:val="24"/>
          <w:szCs w:val="24"/>
        </w:rPr>
      </w:pPr>
      <w:r>
        <w:rPr>
          <w:rFonts w:hAnsi="宋体" w:cs="宋体"/>
          <w:sz w:val="24"/>
          <w:szCs w:val="24"/>
        </w:rPr>
        <w:t>（9）投标文件未对招标文件提出的要求和条件作出实质性响应的；</w:t>
      </w:r>
    </w:p>
    <w:p>
      <w:pPr>
        <w:pStyle w:val="10"/>
        <w:spacing w:line="440" w:lineRule="exact"/>
        <w:ind w:firstLine="410" w:firstLineChars="171"/>
        <w:rPr>
          <w:rFonts w:hint="default" w:hAnsi="宋体" w:cs="宋体"/>
          <w:sz w:val="24"/>
          <w:szCs w:val="24"/>
        </w:rPr>
      </w:pPr>
      <w:r>
        <w:rPr>
          <w:rFonts w:hAnsi="宋体" w:cs="宋体"/>
          <w:sz w:val="24"/>
          <w:szCs w:val="24"/>
        </w:rPr>
        <w:t>（10）投标文件附有采购需求以外的条件使评标委员会认为不能接受的；</w:t>
      </w:r>
    </w:p>
    <w:p>
      <w:pPr>
        <w:pStyle w:val="10"/>
        <w:spacing w:line="440" w:lineRule="exact"/>
        <w:ind w:firstLine="410" w:firstLineChars="171"/>
        <w:rPr>
          <w:rFonts w:hint="default" w:hAnsi="宋体" w:cs="宋体"/>
          <w:sz w:val="24"/>
          <w:szCs w:val="24"/>
        </w:rPr>
      </w:pPr>
      <w:r>
        <w:rPr>
          <w:rFonts w:hAnsi="宋体" w:cs="宋体"/>
          <w:sz w:val="24"/>
          <w:szCs w:val="24"/>
        </w:rPr>
        <w:t>（11）投标人在投标过程中提供虚假材料的；</w:t>
      </w:r>
    </w:p>
    <w:p>
      <w:pPr>
        <w:pStyle w:val="10"/>
        <w:spacing w:line="440" w:lineRule="exact"/>
        <w:ind w:firstLine="410" w:firstLineChars="171"/>
        <w:rPr>
          <w:rFonts w:hint="default" w:hAnsi="宋体" w:cs="宋体"/>
          <w:sz w:val="24"/>
          <w:szCs w:val="24"/>
        </w:rPr>
      </w:pPr>
      <w:r>
        <w:rPr>
          <w:rFonts w:hAnsi="宋体" w:cs="宋体"/>
          <w:sz w:val="24"/>
          <w:szCs w:val="24"/>
        </w:rPr>
        <w:t xml:space="preserve">（12）投标文件含有违反国家法律、法规的内容。 </w:t>
      </w:r>
    </w:p>
    <w:p>
      <w:pPr>
        <w:pStyle w:val="10"/>
        <w:spacing w:line="440" w:lineRule="exact"/>
        <w:rPr>
          <w:rFonts w:hint="default" w:hAnsi="宋体" w:cs="宋体"/>
          <w:b/>
          <w:bCs/>
          <w:sz w:val="24"/>
          <w:szCs w:val="24"/>
        </w:rPr>
      </w:pPr>
      <w:r>
        <w:rPr>
          <w:rFonts w:hAnsi="宋体" w:cs="宋体"/>
          <w:b/>
          <w:bCs/>
          <w:sz w:val="24"/>
          <w:szCs w:val="24"/>
        </w:rPr>
        <w:t>21.  废标</w:t>
      </w:r>
    </w:p>
    <w:p>
      <w:pPr>
        <w:pStyle w:val="10"/>
        <w:spacing w:line="440" w:lineRule="exact"/>
        <w:ind w:firstLine="410" w:firstLineChars="171"/>
        <w:rPr>
          <w:rFonts w:hint="default" w:hAnsi="宋体" w:cs="宋体"/>
          <w:sz w:val="24"/>
          <w:szCs w:val="24"/>
        </w:rPr>
      </w:pPr>
      <w:r>
        <w:rPr>
          <w:rFonts w:hAnsi="宋体" w:cs="宋体"/>
          <w:sz w:val="24"/>
          <w:szCs w:val="24"/>
        </w:rPr>
        <w:t>21.1  在招标过程中，出现下列情形之一的，予以废标：</w:t>
      </w:r>
    </w:p>
    <w:p>
      <w:pPr>
        <w:pStyle w:val="10"/>
        <w:spacing w:line="440" w:lineRule="exact"/>
        <w:ind w:firstLine="720"/>
        <w:rPr>
          <w:rFonts w:hint="default" w:hAnsi="宋体" w:cs="宋体"/>
          <w:sz w:val="24"/>
          <w:szCs w:val="24"/>
        </w:rPr>
      </w:pPr>
      <w:r>
        <w:rPr>
          <w:rFonts w:hAnsi="宋体" w:cs="宋体"/>
          <w:sz w:val="24"/>
          <w:szCs w:val="24"/>
        </w:rPr>
        <w:t>（1）符合专业条件的供应商或者对招标文件作实质响应的供应商不足三家的；</w:t>
      </w:r>
    </w:p>
    <w:p>
      <w:pPr>
        <w:pStyle w:val="10"/>
        <w:spacing w:line="440" w:lineRule="exact"/>
        <w:ind w:firstLine="944" w:firstLineChars="392"/>
        <w:rPr>
          <w:rFonts w:hint="default" w:hAnsi="宋体" w:cs="宋体"/>
          <w:b/>
          <w:bCs/>
          <w:sz w:val="24"/>
          <w:szCs w:val="24"/>
        </w:rPr>
      </w:pPr>
      <w:r>
        <w:rPr>
          <w:rFonts w:hAnsi="宋体" w:cs="宋体"/>
          <w:b/>
          <w:bCs/>
          <w:sz w:val="24"/>
          <w:szCs w:val="24"/>
        </w:rPr>
        <w:t>供应商家数计算规则：</w:t>
      </w:r>
    </w:p>
    <w:p>
      <w:pPr>
        <w:pStyle w:val="10"/>
        <w:spacing w:line="440" w:lineRule="exact"/>
        <w:ind w:firstLine="720"/>
        <w:rPr>
          <w:rFonts w:hint="default" w:hAnsi="宋体" w:cs="宋体"/>
          <w:sz w:val="24"/>
          <w:szCs w:val="24"/>
        </w:rPr>
      </w:pPr>
      <w:r>
        <w:rPr>
          <w:rFonts w:hAnsi="宋体" w:cs="宋体"/>
          <w:sz w:val="24"/>
          <w:szCs w:val="24"/>
        </w:rPr>
        <w:t>①使用综合评分法的采购项目，提供相同品牌产品且通过资格审查、符合性审查的不同投标人参加同一合同项下投标的，按一家投标人计算，评审后得分最高的同品牌投标人获得中标供应商推荐资格；评审得分相同的，由评标委员会采取随机抽取的方式确定一个投标人获得中标供应商推荐资格，其他同品牌投标人不作为中标候选人。</w:t>
      </w:r>
    </w:p>
    <w:p>
      <w:pPr>
        <w:pStyle w:val="10"/>
        <w:spacing w:line="440" w:lineRule="exact"/>
        <w:ind w:firstLine="720"/>
        <w:rPr>
          <w:rFonts w:hint="default" w:hAnsi="宋体" w:cs="宋体"/>
          <w:sz w:val="24"/>
          <w:szCs w:val="24"/>
        </w:rPr>
      </w:pPr>
      <w:r>
        <w:rPr>
          <w:rFonts w:hAnsi="宋体" w:cs="宋体"/>
          <w:sz w:val="24"/>
          <w:szCs w:val="24"/>
        </w:rPr>
        <w:t>②非单一产品采购项目，采购人应当根据采购项目技术构成、产品价格比重等合理确定核心产品，并在招标文件中载明。多家投标人提供的核心产品品牌相同的，按上述规定处理。</w:t>
      </w:r>
    </w:p>
    <w:p>
      <w:pPr>
        <w:pStyle w:val="10"/>
        <w:spacing w:line="440" w:lineRule="exact"/>
        <w:ind w:firstLine="720"/>
        <w:rPr>
          <w:rFonts w:hint="default" w:hAnsi="宋体" w:cs="宋体"/>
          <w:sz w:val="24"/>
          <w:szCs w:val="24"/>
        </w:rPr>
      </w:pPr>
      <w:r>
        <w:rPr>
          <w:rFonts w:hAnsi="宋体" w:cs="宋体"/>
          <w:sz w:val="24"/>
          <w:szCs w:val="24"/>
        </w:rPr>
        <w:t>（2）出现影响采购公正的违法、违规行为的；</w:t>
      </w:r>
    </w:p>
    <w:p>
      <w:pPr>
        <w:pStyle w:val="10"/>
        <w:spacing w:line="440" w:lineRule="exact"/>
        <w:ind w:firstLine="720"/>
        <w:rPr>
          <w:rFonts w:hint="default" w:hAnsi="宋体" w:cs="宋体"/>
          <w:sz w:val="24"/>
          <w:szCs w:val="24"/>
        </w:rPr>
      </w:pPr>
      <w:r>
        <w:rPr>
          <w:rFonts w:hAnsi="宋体" w:cs="宋体"/>
          <w:sz w:val="24"/>
          <w:szCs w:val="24"/>
        </w:rPr>
        <w:t>（3）投标人的报价均超过了采购预算，采购人不能支付的；</w:t>
      </w:r>
    </w:p>
    <w:p>
      <w:pPr>
        <w:pStyle w:val="10"/>
        <w:spacing w:line="440" w:lineRule="exact"/>
        <w:ind w:firstLine="720"/>
        <w:rPr>
          <w:rFonts w:hint="default" w:hAnsi="宋体" w:cs="宋体"/>
          <w:sz w:val="24"/>
          <w:szCs w:val="24"/>
        </w:rPr>
      </w:pPr>
      <w:r>
        <w:rPr>
          <w:rFonts w:hAnsi="宋体" w:cs="宋体"/>
          <w:sz w:val="24"/>
          <w:szCs w:val="24"/>
        </w:rPr>
        <w:t>（4）因重大变故，采购任务取消的。</w:t>
      </w:r>
    </w:p>
    <w:p>
      <w:pPr>
        <w:pStyle w:val="10"/>
        <w:spacing w:line="440" w:lineRule="exact"/>
        <w:ind w:firstLine="470" w:firstLineChars="196"/>
        <w:rPr>
          <w:rFonts w:hint="default" w:hAnsi="宋体" w:cs="宋体"/>
          <w:b/>
          <w:bCs/>
          <w:sz w:val="24"/>
          <w:szCs w:val="24"/>
        </w:rPr>
      </w:pPr>
      <w:r>
        <w:rPr>
          <w:rFonts w:hAnsi="宋体" w:cs="宋体"/>
          <w:sz w:val="24"/>
          <w:szCs w:val="24"/>
        </w:rPr>
        <w:t>21.2  废标后，采购代理机构将在本章第2.1项规定的政府采购信息发布媒体上公告废标理由，不再另行通知。</w:t>
      </w:r>
    </w:p>
    <w:p>
      <w:pPr>
        <w:pStyle w:val="10"/>
        <w:jc w:val="center"/>
        <w:outlineLvl w:val="1"/>
        <w:rPr>
          <w:rFonts w:hint="default" w:hAnsi="宋体" w:cs="宋体"/>
          <w:b/>
          <w:bCs/>
          <w:sz w:val="30"/>
          <w:szCs w:val="30"/>
        </w:rPr>
      </w:pPr>
      <w:bookmarkStart w:id="43" w:name="_Toc22253"/>
      <w:bookmarkStart w:id="44" w:name="_Toc437592448"/>
      <w:bookmarkStart w:id="45" w:name="_Toc5352"/>
      <w:bookmarkStart w:id="46" w:name="_Toc29902"/>
      <w:bookmarkStart w:id="47" w:name="_Toc213326421"/>
      <w:r>
        <w:rPr>
          <w:rFonts w:hAnsi="宋体" w:cs="宋体"/>
          <w:b/>
          <w:bCs/>
          <w:sz w:val="30"/>
          <w:szCs w:val="30"/>
        </w:rPr>
        <w:t>六    合同授予</w:t>
      </w:r>
      <w:bookmarkEnd w:id="43"/>
      <w:bookmarkEnd w:id="44"/>
      <w:bookmarkEnd w:id="45"/>
      <w:bookmarkEnd w:id="46"/>
      <w:bookmarkEnd w:id="47"/>
    </w:p>
    <w:p>
      <w:pPr>
        <w:pStyle w:val="10"/>
        <w:spacing w:line="440" w:lineRule="exact"/>
        <w:rPr>
          <w:rFonts w:hint="default" w:hAnsi="宋体" w:cs="宋体"/>
          <w:sz w:val="24"/>
          <w:szCs w:val="24"/>
        </w:rPr>
      </w:pPr>
      <w:r>
        <w:rPr>
          <w:rFonts w:hAnsi="宋体" w:cs="宋体"/>
          <w:sz w:val="24"/>
          <w:szCs w:val="24"/>
        </w:rPr>
        <w:t>22.  中标供应商的确定</w:t>
      </w:r>
    </w:p>
    <w:p>
      <w:pPr>
        <w:spacing w:line="440" w:lineRule="exact"/>
        <w:ind w:firstLine="420"/>
        <w:rPr>
          <w:rFonts w:ascii="宋体" w:hAnsi="宋体" w:cs="宋体"/>
          <w:sz w:val="24"/>
          <w:szCs w:val="24"/>
        </w:rPr>
      </w:pPr>
      <w:r>
        <w:rPr>
          <w:rFonts w:hint="eastAsia" w:ascii="宋体" w:hAnsi="宋体" w:cs="宋体"/>
          <w:sz w:val="24"/>
          <w:szCs w:val="24"/>
        </w:rPr>
        <w:t>22.1  评标委员会按第三章“评标方法”的规定排列中标候选供应商顺序，并依照次序确定中标供应商。</w:t>
      </w:r>
    </w:p>
    <w:p>
      <w:pPr>
        <w:pStyle w:val="10"/>
        <w:spacing w:line="440" w:lineRule="exact"/>
        <w:rPr>
          <w:rFonts w:hint="default" w:hAnsi="宋体" w:cs="宋体"/>
          <w:sz w:val="24"/>
          <w:szCs w:val="24"/>
        </w:rPr>
      </w:pPr>
      <w:r>
        <w:rPr>
          <w:rFonts w:hAnsi="宋体" w:cs="宋体"/>
          <w:sz w:val="24"/>
          <w:szCs w:val="24"/>
        </w:rPr>
        <w:t>23.  中标通知书</w:t>
      </w:r>
    </w:p>
    <w:p>
      <w:pPr>
        <w:pStyle w:val="10"/>
        <w:spacing w:line="440" w:lineRule="exact"/>
        <w:ind w:firstLine="360"/>
        <w:rPr>
          <w:rFonts w:hint="default" w:hAnsi="宋体" w:cs="宋体"/>
        </w:rPr>
      </w:pPr>
      <w:r>
        <w:rPr>
          <w:rFonts w:hAnsi="宋体" w:cs="宋体"/>
          <w:sz w:val="24"/>
          <w:szCs w:val="24"/>
        </w:rPr>
        <w:t>23.1  评标结束后，在中标供应商确定之日起2个工作日内，由采购代理机构在本章第2.1项规定的政府采购信息发布媒体上发布中标结果公告，中标结果公告期限为1个工作日，发布中标结果公告的同时向中标供应商发出中标通知书。</w:t>
      </w:r>
    </w:p>
    <w:p>
      <w:pPr>
        <w:pStyle w:val="10"/>
        <w:spacing w:line="440" w:lineRule="exact"/>
        <w:ind w:firstLine="360"/>
        <w:rPr>
          <w:rFonts w:hint="default" w:hAnsi="宋体" w:cs="宋体"/>
          <w:sz w:val="24"/>
          <w:szCs w:val="24"/>
        </w:rPr>
      </w:pPr>
      <w:r>
        <w:rPr>
          <w:rFonts w:hAnsi="宋体" w:cs="宋体"/>
          <w:sz w:val="24"/>
          <w:szCs w:val="24"/>
        </w:rPr>
        <w:t>23.2  中标通知书对采购人和中标供应商具有同等法律效力。中标通知书发出后，采购人改变中标结果，或者中标供应商放弃中标，应当承担相应的法律责任。</w:t>
      </w:r>
    </w:p>
    <w:p>
      <w:pPr>
        <w:pStyle w:val="10"/>
        <w:spacing w:line="440" w:lineRule="exact"/>
        <w:rPr>
          <w:rFonts w:hint="default" w:hAnsi="宋体" w:cs="宋体"/>
          <w:sz w:val="24"/>
          <w:szCs w:val="24"/>
        </w:rPr>
      </w:pPr>
      <w:r>
        <w:rPr>
          <w:rFonts w:hAnsi="宋体" w:cs="宋体"/>
          <w:sz w:val="24"/>
          <w:szCs w:val="24"/>
        </w:rPr>
        <w:t>24.  投标文件的退回</w:t>
      </w:r>
    </w:p>
    <w:p>
      <w:pPr>
        <w:pStyle w:val="10"/>
        <w:spacing w:line="440" w:lineRule="exact"/>
        <w:rPr>
          <w:rFonts w:hint="default" w:hAnsi="宋体" w:cs="宋体"/>
          <w:sz w:val="24"/>
          <w:szCs w:val="24"/>
        </w:rPr>
      </w:pPr>
      <w:r>
        <w:rPr>
          <w:rFonts w:hAnsi="宋体" w:cs="宋体"/>
          <w:sz w:val="24"/>
          <w:szCs w:val="24"/>
        </w:rPr>
        <w:t>24.1 采购人及采购代理机构无义务向未中标供应商解释其未中标原因和退回投标文件。</w:t>
      </w:r>
    </w:p>
    <w:p>
      <w:pPr>
        <w:pStyle w:val="10"/>
        <w:spacing w:line="440" w:lineRule="exact"/>
        <w:rPr>
          <w:rFonts w:hint="default" w:hAnsi="宋体" w:cs="宋体"/>
          <w:sz w:val="24"/>
          <w:szCs w:val="24"/>
        </w:rPr>
      </w:pPr>
      <w:r>
        <w:rPr>
          <w:rFonts w:hAnsi="宋体" w:cs="宋体"/>
          <w:sz w:val="24"/>
          <w:szCs w:val="24"/>
        </w:rPr>
        <w:t>25.   签订合同</w:t>
      </w:r>
    </w:p>
    <w:p>
      <w:pPr>
        <w:pStyle w:val="10"/>
        <w:spacing w:line="440" w:lineRule="exact"/>
        <w:ind w:firstLine="360"/>
        <w:rPr>
          <w:rFonts w:hint="default" w:hAnsi="宋体" w:cs="宋体"/>
          <w:sz w:val="24"/>
          <w:szCs w:val="24"/>
        </w:rPr>
      </w:pPr>
      <w:r>
        <w:rPr>
          <w:rFonts w:hAnsi="宋体" w:cs="宋体"/>
          <w:sz w:val="24"/>
          <w:szCs w:val="24"/>
        </w:rPr>
        <w:t>25.1 政府采购合同签订应遵照《南宁市政府采购项目合同签订管理暂行办法》（南政采发[2009]9号）的有关要求。</w:t>
      </w:r>
    </w:p>
    <w:p>
      <w:pPr>
        <w:pStyle w:val="10"/>
        <w:spacing w:line="440" w:lineRule="exact"/>
        <w:ind w:firstLine="360"/>
        <w:rPr>
          <w:rFonts w:hint="default" w:hAnsi="宋体" w:cs="宋体"/>
          <w:sz w:val="24"/>
          <w:szCs w:val="24"/>
        </w:rPr>
      </w:pPr>
      <w:r>
        <w:rPr>
          <w:rFonts w:hAnsi="宋体" w:cs="宋体"/>
          <w:sz w:val="24"/>
          <w:szCs w:val="24"/>
        </w:rPr>
        <w:t>25.2采购人和中标供应商应当在第二章“货物需求一览表”中商务条款要求载明的合同签订期内，根据《南宁市政府采购项目合同签订管理暂行办法》要求按第六章“合同条款及格式”订立书面合同。联合体投标的，联合体各方应当共同与采购人签订采购合同，均应在合同的签章处签章，就采购合同约定的事项对采购人承担连带责任。</w:t>
      </w:r>
    </w:p>
    <w:p>
      <w:pPr>
        <w:pStyle w:val="10"/>
        <w:spacing w:line="440" w:lineRule="exact"/>
        <w:ind w:firstLine="360"/>
        <w:rPr>
          <w:rFonts w:hint="default" w:hAnsi="宋体" w:cs="宋体"/>
          <w:sz w:val="24"/>
          <w:szCs w:val="24"/>
        </w:rPr>
      </w:pPr>
      <w:r>
        <w:rPr>
          <w:rFonts w:hAnsi="宋体" w:cs="宋体"/>
          <w:sz w:val="24"/>
          <w:szCs w:val="24"/>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0"/>
        <w:spacing w:line="440" w:lineRule="exact"/>
        <w:ind w:firstLine="360"/>
        <w:rPr>
          <w:rFonts w:hint="default" w:hAnsi="宋体" w:cs="宋体"/>
          <w:sz w:val="24"/>
          <w:szCs w:val="24"/>
        </w:rPr>
      </w:pPr>
      <w:r>
        <w:rPr>
          <w:rFonts w:hAnsi="宋体" w:cs="宋体"/>
          <w:sz w:val="24"/>
          <w:szCs w:val="24"/>
        </w:rPr>
        <w:t>25.4  采购人在签订合同之前有权要求中标供应商提供本项目招标文件要求的资料原件进行核查，中标供应商不得拒绝。如中标供应商拒绝提供，则自行承担由此产生的后果。</w:t>
      </w:r>
    </w:p>
    <w:p>
      <w:pPr>
        <w:pStyle w:val="10"/>
        <w:spacing w:line="440" w:lineRule="exact"/>
        <w:ind w:firstLine="360"/>
        <w:rPr>
          <w:rFonts w:hint="default" w:hAnsi="宋体" w:cs="宋体"/>
          <w:sz w:val="24"/>
          <w:szCs w:val="24"/>
        </w:rPr>
      </w:pPr>
      <w:r>
        <w:rPr>
          <w:rFonts w:hAnsi="宋体" w:cs="宋体"/>
          <w:sz w:val="24"/>
          <w:szCs w:val="24"/>
        </w:rPr>
        <w:t>25.5  中标供应商因不可抗力或者自身原因不能履行政府采购合同的，如仍在投标有效期内，经政府采购监督管理部门同意采购人可以与排位在中标供应商之后第一位的中标候选供应商签订政府采购合同，以此类推。</w:t>
      </w:r>
    </w:p>
    <w:p>
      <w:pPr>
        <w:pStyle w:val="10"/>
        <w:spacing w:line="440" w:lineRule="exact"/>
        <w:ind w:firstLine="420"/>
        <w:rPr>
          <w:rFonts w:hint="default" w:hAnsi="宋体" w:cs="宋体"/>
          <w:sz w:val="24"/>
          <w:szCs w:val="24"/>
        </w:rPr>
      </w:pPr>
      <w:r>
        <w:rPr>
          <w:rFonts w:hAnsi="宋体" w:cs="宋体"/>
          <w:sz w:val="24"/>
          <w:szCs w:val="24"/>
        </w:rPr>
        <w:t>25.6　采购人或中标供应商不得单方面向合同另一方提出任何招标文件没有约定的条件或不合理的要求，作为签订合同的条件，也不得协商另行订立背离招标文件和合同实质性内容的协议。</w:t>
      </w:r>
    </w:p>
    <w:p>
      <w:pPr>
        <w:pStyle w:val="10"/>
        <w:spacing w:line="440" w:lineRule="exact"/>
        <w:ind w:firstLine="420"/>
        <w:rPr>
          <w:rFonts w:hint="default" w:hAnsi="宋体" w:cs="宋体"/>
          <w:sz w:val="24"/>
          <w:szCs w:val="24"/>
        </w:rPr>
      </w:pPr>
      <w:r>
        <w:rPr>
          <w:rFonts w:hAnsi="宋体" w:cs="宋体"/>
          <w:sz w:val="24"/>
          <w:szCs w:val="24"/>
        </w:rPr>
        <w:t>25.7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0"/>
        <w:spacing w:line="440" w:lineRule="exact"/>
        <w:ind w:firstLine="420"/>
        <w:rPr>
          <w:rFonts w:hint="default" w:hAnsi="宋体" w:cs="宋体"/>
          <w:sz w:val="24"/>
          <w:szCs w:val="24"/>
        </w:rPr>
      </w:pPr>
      <w:r>
        <w:rPr>
          <w:rFonts w:hAnsi="宋体" w:cs="宋体"/>
          <w:sz w:val="24"/>
          <w:szCs w:val="24"/>
        </w:rPr>
        <w:t>25.8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0"/>
        <w:spacing w:line="440" w:lineRule="exact"/>
        <w:ind w:firstLine="420"/>
        <w:rPr>
          <w:rFonts w:hint="default" w:hAnsi="宋体" w:cs="宋体"/>
          <w:sz w:val="24"/>
          <w:szCs w:val="24"/>
        </w:rPr>
      </w:pPr>
      <w:r>
        <w:rPr>
          <w:rFonts w:hAnsi="宋体" w:cs="宋体"/>
          <w:sz w:val="24"/>
          <w:szCs w:val="24"/>
        </w:rPr>
        <w:t>25.9　采购人或中标供应商在合同履行过程中存在违反政府采购合同行为的，权益受损当事人应当将有关违约的情况以及拟采取的措施，及时书面报告采购代理机构。</w:t>
      </w:r>
    </w:p>
    <w:p>
      <w:pPr>
        <w:pStyle w:val="10"/>
        <w:spacing w:line="440" w:lineRule="exact"/>
        <w:rPr>
          <w:rFonts w:hint="default" w:hAnsi="宋体" w:cs="宋体"/>
          <w:sz w:val="24"/>
          <w:szCs w:val="24"/>
        </w:rPr>
      </w:pPr>
    </w:p>
    <w:p>
      <w:pPr>
        <w:pStyle w:val="10"/>
        <w:spacing w:line="440" w:lineRule="exact"/>
        <w:rPr>
          <w:rFonts w:hint="default" w:hAnsi="宋体" w:cs="宋体"/>
          <w:sz w:val="24"/>
          <w:szCs w:val="24"/>
        </w:rPr>
      </w:pPr>
      <w:r>
        <w:rPr>
          <w:rFonts w:hAnsi="宋体" w:cs="宋体"/>
          <w:sz w:val="24"/>
          <w:szCs w:val="24"/>
        </w:rPr>
        <w:t>26.  履约保证金及质量保证金</w:t>
      </w:r>
    </w:p>
    <w:p>
      <w:pPr>
        <w:pStyle w:val="10"/>
        <w:spacing w:line="440" w:lineRule="exact"/>
        <w:ind w:firstLine="360"/>
        <w:rPr>
          <w:rFonts w:hint="default" w:hAnsi="宋体" w:cs="宋体"/>
          <w:b/>
          <w:bCs/>
          <w:sz w:val="30"/>
          <w:szCs w:val="30"/>
        </w:rPr>
      </w:pPr>
      <w:r>
        <w:rPr>
          <w:rFonts w:hAnsi="宋体" w:cs="宋体"/>
          <w:sz w:val="24"/>
          <w:szCs w:val="24"/>
        </w:rPr>
        <w:t xml:space="preserve">  本项目不收取履约保证金及质量保证金</w:t>
      </w:r>
      <w:r>
        <w:rPr>
          <w:rFonts w:hAnsi="宋体" w:cs="宋体"/>
          <w:szCs w:val="28"/>
        </w:rPr>
        <w:t>。</w:t>
      </w:r>
      <w:bookmarkStart w:id="48" w:name="_Toc213326422"/>
      <w:bookmarkStart w:id="49" w:name="_Toc437592449"/>
    </w:p>
    <w:p>
      <w:pPr>
        <w:pStyle w:val="10"/>
        <w:jc w:val="center"/>
        <w:outlineLvl w:val="1"/>
        <w:rPr>
          <w:rFonts w:hint="default" w:hAnsi="宋体" w:cs="宋体"/>
          <w:b/>
          <w:bCs/>
          <w:sz w:val="30"/>
          <w:szCs w:val="30"/>
        </w:rPr>
      </w:pPr>
      <w:bookmarkStart w:id="50" w:name="_Toc13133"/>
      <w:bookmarkStart w:id="51" w:name="_Toc4122"/>
      <w:bookmarkStart w:id="52" w:name="_Toc26922"/>
      <w:r>
        <w:rPr>
          <w:rFonts w:hAnsi="宋体" w:cs="宋体"/>
          <w:b/>
          <w:bCs/>
          <w:sz w:val="30"/>
          <w:szCs w:val="30"/>
        </w:rPr>
        <w:t>七   其他事项</w:t>
      </w:r>
      <w:bookmarkEnd w:id="48"/>
      <w:bookmarkEnd w:id="49"/>
      <w:bookmarkEnd w:id="50"/>
      <w:bookmarkEnd w:id="51"/>
      <w:bookmarkEnd w:id="52"/>
    </w:p>
    <w:p>
      <w:pPr>
        <w:spacing w:line="360" w:lineRule="auto"/>
        <w:rPr>
          <w:rFonts w:ascii="宋体" w:hAnsi="宋体" w:cs="宋体"/>
          <w:bCs/>
          <w:sz w:val="24"/>
          <w:szCs w:val="24"/>
        </w:rPr>
      </w:pPr>
      <w:r>
        <w:rPr>
          <w:rFonts w:ascii="宋体" w:hAnsi="宋体" w:cs="宋体"/>
          <w:bCs/>
          <w:sz w:val="24"/>
          <w:szCs w:val="24"/>
        </w:rPr>
        <w:t>27.  解释权</w:t>
      </w:r>
    </w:p>
    <w:p>
      <w:pPr>
        <w:widowControl/>
        <w:adjustRightInd w:val="0"/>
        <w:snapToGrid w:val="0"/>
        <w:spacing w:after="200" w:line="360" w:lineRule="auto"/>
        <w:ind w:firstLine="360"/>
        <w:jc w:val="left"/>
        <w:rPr>
          <w:rFonts w:ascii="宋体" w:hAnsi="宋体" w:cs="宋体"/>
          <w:kern w:val="0"/>
          <w:sz w:val="24"/>
          <w:szCs w:val="22"/>
        </w:rPr>
      </w:pPr>
      <w:r>
        <w:rPr>
          <w:rFonts w:hint="eastAsia" w:ascii="宋体" w:hAnsi="宋体" w:cs="宋体"/>
          <w:kern w:val="0"/>
          <w:sz w:val="24"/>
          <w:szCs w:val="22"/>
        </w:rPr>
        <w:t>27.1  本招标文件根据《中华人民共和国政府采购法》、《政府采购货物和服务招标投标管理办法》及相关法律法规编制，解释权属采购代理机构。</w:t>
      </w:r>
    </w:p>
    <w:p>
      <w:pPr>
        <w:spacing w:line="360" w:lineRule="auto"/>
        <w:rPr>
          <w:rFonts w:ascii="宋体" w:hAnsi="宋体" w:cs="宋体"/>
          <w:bCs/>
          <w:sz w:val="24"/>
          <w:szCs w:val="24"/>
        </w:rPr>
      </w:pPr>
      <w:r>
        <w:rPr>
          <w:rFonts w:ascii="宋体" w:hAnsi="宋体" w:cs="宋体"/>
          <w:bCs/>
          <w:sz w:val="24"/>
          <w:szCs w:val="24"/>
        </w:rPr>
        <w:t>28.   其他</w:t>
      </w:r>
    </w:p>
    <w:p>
      <w:pPr>
        <w:spacing w:line="360" w:lineRule="auto"/>
        <w:ind w:firstLine="720" w:firstLineChars="300"/>
        <w:jc w:val="left"/>
        <w:rPr>
          <w:rFonts w:ascii="宋体" w:hAnsi="宋体" w:cs="宋体"/>
          <w:sz w:val="24"/>
          <w:szCs w:val="24"/>
        </w:rPr>
      </w:pPr>
      <w:r>
        <w:rPr>
          <w:rFonts w:ascii="宋体" w:hAnsi="宋体" w:cs="宋体"/>
          <w:sz w:val="24"/>
          <w:szCs w:val="24"/>
        </w:rPr>
        <w:t>只要投标人参与投标并递交投标文件即视为已经理解并毫无保留地同意了本招标文件的所有条文。</w:t>
      </w:r>
    </w:p>
    <w:p>
      <w:pPr>
        <w:spacing w:line="360" w:lineRule="auto"/>
        <w:rPr>
          <w:rFonts w:ascii="宋体" w:hAnsi="宋体" w:cs="宋体"/>
          <w:bCs/>
          <w:sz w:val="24"/>
          <w:szCs w:val="24"/>
        </w:rPr>
      </w:pPr>
      <w:r>
        <w:rPr>
          <w:rFonts w:ascii="宋体" w:hAnsi="宋体" w:cs="宋体"/>
          <w:bCs/>
          <w:sz w:val="24"/>
          <w:szCs w:val="24"/>
        </w:rPr>
        <w:t>29.   投标文件的退回</w:t>
      </w:r>
    </w:p>
    <w:p>
      <w:pPr>
        <w:spacing w:line="360" w:lineRule="auto"/>
        <w:ind w:firstLine="600" w:firstLineChars="250"/>
        <w:jc w:val="left"/>
        <w:rPr>
          <w:rFonts w:ascii="宋体" w:hAnsi="宋体" w:cs="宋体"/>
          <w:sz w:val="24"/>
          <w:szCs w:val="24"/>
        </w:rPr>
      </w:pPr>
      <w:r>
        <w:rPr>
          <w:rFonts w:ascii="宋体" w:hAnsi="宋体" w:cs="宋体"/>
          <w:sz w:val="24"/>
          <w:szCs w:val="24"/>
        </w:rPr>
        <w:t xml:space="preserve"> 所有投标文件均不予退回</w:t>
      </w:r>
    </w:p>
    <w:p>
      <w:pPr>
        <w:widowControl/>
        <w:numPr>
          <w:ilvl w:val="0"/>
          <w:numId w:val="10"/>
        </w:numPr>
        <w:adjustRightInd w:val="0"/>
        <w:snapToGrid w:val="0"/>
        <w:spacing w:after="200" w:line="360" w:lineRule="auto"/>
        <w:jc w:val="left"/>
        <w:rPr>
          <w:rFonts w:ascii="宋体" w:hAnsi="宋体" w:cs="宋体"/>
          <w:kern w:val="0"/>
          <w:sz w:val="24"/>
          <w:szCs w:val="22"/>
        </w:rPr>
      </w:pPr>
      <w:r>
        <w:rPr>
          <w:rFonts w:hint="eastAsia" w:ascii="宋体" w:hAnsi="宋体" w:cs="宋体"/>
          <w:kern w:val="0"/>
          <w:sz w:val="24"/>
          <w:szCs w:val="22"/>
        </w:rPr>
        <w:t xml:space="preserve"> 需要补充的其他内容</w:t>
      </w:r>
    </w:p>
    <w:p>
      <w:pPr>
        <w:spacing w:line="360" w:lineRule="auto"/>
        <w:rPr>
          <w:rFonts w:ascii="宋体" w:hAnsi="宋体" w:cs="宋体"/>
          <w:bCs/>
          <w:sz w:val="24"/>
          <w:szCs w:val="24"/>
        </w:rPr>
      </w:pPr>
      <w:r>
        <w:rPr>
          <w:rFonts w:hint="eastAsia" w:ascii="宋体" w:hAnsi="宋体" w:cs="宋体"/>
          <w:bCs/>
          <w:sz w:val="24"/>
          <w:szCs w:val="24"/>
        </w:rPr>
        <w:t xml:space="preserve">    30.1  需要补充的其他内容：见投标人须知前附表。</w:t>
      </w:r>
    </w:p>
    <w:p>
      <w:pPr>
        <w:pStyle w:val="10"/>
        <w:jc w:val="center"/>
        <w:outlineLvl w:val="0"/>
        <w:rPr>
          <w:rFonts w:hint="default" w:hAnsi="宋体" w:cs="宋体"/>
        </w:rPr>
      </w:pPr>
      <w:r>
        <w:rPr>
          <w:rFonts w:hAnsi="宋体" w:cs="宋体"/>
          <w:b/>
          <w:bCs/>
          <w:sz w:val="36"/>
          <w:szCs w:val="36"/>
        </w:rPr>
        <w:br w:type="page"/>
      </w:r>
      <w:bookmarkStart w:id="53" w:name="_Toc27620"/>
      <w:bookmarkStart w:id="54" w:name="_Toc19437"/>
      <w:bookmarkStart w:id="55" w:name="_Toc8956"/>
      <w:r>
        <w:rPr>
          <w:rFonts w:hAnsi="宋体" w:cs="宋体"/>
          <w:b/>
          <w:bCs/>
          <w:sz w:val="36"/>
          <w:szCs w:val="36"/>
        </w:rPr>
        <w:t>第五章  投标文件格式</w:t>
      </w:r>
      <w:bookmarkEnd w:id="29"/>
      <w:bookmarkEnd w:id="30"/>
      <w:bookmarkEnd w:id="53"/>
      <w:bookmarkEnd w:id="54"/>
      <w:bookmarkEnd w:id="55"/>
      <w:bookmarkStart w:id="56" w:name="_Toc139966427"/>
      <w:bookmarkStart w:id="57" w:name="_Toc139967211"/>
    </w:p>
    <w:p>
      <w:pPr>
        <w:pStyle w:val="10"/>
        <w:spacing w:line="500" w:lineRule="exact"/>
        <w:rPr>
          <w:rFonts w:hint="default" w:hAnsi="宋体" w:cs="宋体"/>
          <w:b/>
          <w:bCs/>
        </w:rPr>
      </w:pPr>
      <w:r>
        <w:rPr>
          <w:rFonts w:hAnsi="宋体" w:cs="宋体"/>
          <w:b/>
          <w:bCs/>
        </w:rPr>
        <w:t>格式1：</w:t>
      </w:r>
    </w:p>
    <w:p>
      <w:pPr>
        <w:pStyle w:val="10"/>
        <w:spacing w:line="500" w:lineRule="exact"/>
        <w:jc w:val="center"/>
        <w:rPr>
          <w:rFonts w:hint="default" w:hAnsi="宋体" w:cs="宋体"/>
          <w:b/>
          <w:bCs/>
          <w:sz w:val="30"/>
          <w:szCs w:val="30"/>
        </w:rPr>
      </w:pPr>
      <w:r>
        <w:rPr>
          <w:rFonts w:hAnsi="宋体" w:cs="宋体"/>
          <w:b/>
          <w:bCs/>
          <w:sz w:val="30"/>
          <w:szCs w:val="30"/>
        </w:rPr>
        <w:t>投标函（格式）</w:t>
      </w:r>
    </w:p>
    <w:p>
      <w:pPr>
        <w:pStyle w:val="10"/>
        <w:spacing w:line="500" w:lineRule="exact"/>
        <w:rPr>
          <w:rFonts w:hint="default" w:hAnsi="宋体" w:cs="宋体"/>
          <w:sz w:val="32"/>
          <w:szCs w:val="32"/>
        </w:rPr>
      </w:pPr>
    </w:p>
    <w:p>
      <w:pPr>
        <w:pStyle w:val="10"/>
        <w:spacing w:line="440" w:lineRule="exact"/>
        <w:ind w:firstLine="435"/>
        <w:rPr>
          <w:rFonts w:hint="default" w:hAnsi="宋体" w:cs="宋体"/>
          <w:sz w:val="24"/>
          <w:szCs w:val="24"/>
        </w:rPr>
      </w:pPr>
      <w:r>
        <w:rPr>
          <w:rFonts w:hAnsi="宋体" w:cs="宋体"/>
          <w:sz w:val="24"/>
          <w:szCs w:val="24"/>
        </w:rPr>
        <w:t>致：（采购代理机构名称）</w:t>
      </w:r>
    </w:p>
    <w:p>
      <w:pPr>
        <w:pStyle w:val="10"/>
        <w:spacing w:line="440" w:lineRule="exact"/>
        <w:ind w:firstLine="435"/>
        <w:rPr>
          <w:rFonts w:hint="default" w:hAnsi="宋体" w:cs="宋体"/>
          <w:sz w:val="24"/>
          <w:szCs w:val="24"/>
        </w:rPr>
      </w:pPr>
    </w:p>
    <w:p>
      <w:pPr>
        <w:pStyle w:val="10"/>
        <w:spacing w:line="440" w:lineRule="exact"/>
        <w:ind w:firstLine="482"/>
        <w:rPr>
          <w:rFonts w:hint="default" w:hAnsi="宋体" w:cs="宋体"/>
          <w:sz w:val="24"/>
          <w:szCs w:val="24"/>
        </w:rPr>
      </w:pPr>
      <w:r>
        <w:rPr>
          <w:rFonts w:hAnsi="宋体" w:cs="宋体"/>
          <w:sz w:val="24"/>
          <w:szCs w:val="24"/>
        </w:rPr>
        <w:t>我方已仔细阅读了贵方组织的</w:t>
      </w:r>
      <w:r>
        <w:rPr>
          <w:rFonts w:hAnsi="宋体" w:cs="宋体"/>
          <w:sz w:val="24"/>
          <w:szCs w:val="24"/>
          <w:u w:val="single"/>
        </w:rPr>
        <w:t xml:space="preserve">        （项目名称）       </w:t>
      </w:r>
      <w:r>
        <w:rPr>
          <w:rFonts w:hAnsi="宋体" w:cs="宋体"/>
          <w:sz w:val="24"/>
          <w:szCs w:val="24"/>
        </w:rPr>
        <w:t>项目（项目编号：</w:t>
      </w:r>
      <w:r>
        <w:rPr>
          <w:rFonts w:hAnsi="宋体" w:cs="宋体"/>
          <w:sz w:val="24"/>
          <w:szCs w:val="24"/>
          <w:u w:val="single"/>
        </w:rPr>
        <w:t xml:space="preserve">        </w:t>
      </w:r>
      <w:r>
        <w:rPr>
          <w:rFonts w:hAnsi="宋体" w:cs="宋体"/>
          <w:sz w:val="24"/>
          <w:szCs w:val="24"/>
        </w:rPr>
        <w:t xml:space="preserve">）的招标文件的全部内容，现正式递交下述文件参加贵方组织的本次政府采购活动： </w:t>
      </w:r>
    </w:p>
    <w:p>
      <w:pPr>
        <w:pStyle w:val="10"/>
        <w:numPr>
          <w:ilvl w:val="0"/>
          <w:numId w:val="11"/>
        </w:numPr>
        <w:spacing w:line="440" w:lineRule="exact"/>
        <w:ind w:firstLine="482"/>
        <w:rPr>
          <w:rFonts w:hint="default" w:hAnsi="宋体" w:cs="宋体"/>
          <w:sz w:val="24"/>
          <w:szCs w:val="24"/>
        </w:rPr>
      </w:pPr>
      <w:r>
        <w:rPr>
          <w:rFonts w:hAnsi="宋体" w:cs="宋体"/>
          <w:sz w:val="24"/>
          <w:szCs w:val="24"/>
        </w:rPr>
        <w:t>报价文件正本一份，副本</w:t>
      </w:r>
      <w:r>
        <w:rPr>
          <w:rFonts w:hAnsi="宋体" w:cs="宋体"/>
          <w:sz w:val="24"/>
          <w:szCs w:val="24"/>
          <w:u w:val="single"/>
        </w:rPr>
        <w:t xml:space="preserve">   </w:t>
      </w:r>
      <w:r>
        <w:rPr>
          <w:rFonts w:hAnsi="宋体" w:cs="宋体"/>
          <w:sz w:val="24"/>
          <w:szCs w:val="24"/>
        </w:rPr>
        <w:t>份（包含按投标人须知第10.1.1项要求提交的全部文件）；</w:t>
      </w:r>
    </w:p>
    <w:p>
      <w:pPr>
        <w:pStyle w:val="10"/>
        <w:numPr>
          <w:ilvl w:val="0"/>
          <w:numId w:val="11"/>
        </w:numPr>
        <w:spacing w:line="440" w:lineRule="exact"/>
        <w:ind w:firstLine="482"/>
        <w:rPr>
          <w:rFonts w:hint="default" w:hAnsi="宋体" w:cs="宋体"/>
          <w:sz w:val="24"/>
          <w:szCs w:val="24"/>
        </w:rPr>
      </w:pPr>
      <w:r>
        <w:rPr>
          <w:rFonts w:hAnsi="宋体" w:cs="宋体"/>
          <w:sz w:val="24"/>
          <w:szCs w:val="24"/>
        </w:rPr>
        <w:t>资格文件正本一份，副本</w:t>
      </w:r>
      <w:r>
        <w:rPr>
          <w:rFonts w:hAnsi="宋体" w:cs="宋体"/>
          <w:sz w:val="24"/>
          <w:szCs w:val="24"/>
          <w:u w:val="single"/>
        </w:rPr>
        <w:t xml:space="preserve">   </w:t>
      </w:r>
      <w:r>
        <w:rPr>
          <w:rFonts w:hAnsi="宋体" w:cs="宋体"/>
          <w:sz w:val="24"/>
          <w:szCs w:val="24"/>
        </w:rPr>
        <w:t>份（包含按投标人须知第10.1.2项要求提交的全部文件）；</w:t>
      </w:r>
    </w:p>
    <w:p>
      <w:pPr>
        <w:pStyle w:val="10"/>
        <w:spacing w:line="440" w:lineRule="exact"/>
        <w:ind w:firstLine="482"/>
        <w:rPr>
          <w:rFonts w:hint="default" w:hAnsi="宋体" w:cs="宋体"/>
          <w:sz w:val="24"/>
          <w:szCs w:val="24"/>
        </w:rPr>
      </w:pPr>
      <w:r>
        <w:rPr>
          <w:rFonts w:hAnsi="宋体" w:cs="宋体"/>
          <w:sz w:val="24"/>
          <w:szCs w:val="24"/>
        </w:rPr>
        <w:t>三、技术文件正本一份，副本</w:t>
      </w:r>
      <w:r>
        <w:rPr>
          <w:rFonts w:hAnsi="宋体" w:cs="宋体"/>
          <w:sz w:val="24"/>
          <w:szCs w:val="24"/>
          <w:u w:val="single"/>
        </w:rPr>
        <w:t xml:space="preserve">   </w:t>
      </w:r>
      <w:r>
        <w:rPr>
          <w:rFonts w:hAnsi="宋体" w:cs="宋体"/>
          <w:sz w:val="24"/>
          <w:szCs w:val="24"/>
        </w:rPr>
        <w:t>份（包含按投标人须知第10.1.3项要求提交的全部文件）；</w:t>
      </w:r>
    </w:p>
    <w:p>
      <w:pPr>
        <w:pStyle w:val="10"/>
        <w:spacing w:line="440" w:lineRule="exact"/>
        <w:ind w:firstLine="482"/>
        <w:rPr>
          <w:rFonts w:hint="default" w:hAnsi="宋体" w:cs="宋体"/>
          <w:sz w:val="24"/>
          <w:szCs w:val="24"/>
        </w:rPr>
      </w:pPr>
      <w:r>
        <w:rPr>
          <w:rFonts w:hAnsi="宋体" w:cs="宋体"/>
          <w:sz w:val="24"/>
          <w:szCs w:val="24"/>
        </w:rPr>
        <w:t>四、商务文件正本一份，副本</w:t>
      </w:r>
      <w:r>
        <w:rPr>
          <w:rFonts w:hAnsi="宋体" w:cs="宋体"/>
          <w:sz w:val="24"/>
          <w:szCs w:val="24"/>
          <w:u w:val="single"/>
        </w:rPr>
        <w:t xml:space="preserve">   </w:t>
      </w:r>
      <w:r>
        <w:rPr>
          <w:rFonts w:hAnsi="宋体" w:cs="宋体"/>
          <w:sz w:val="24"/>
          <w:szCs w:val="24"/>
        </w:rPr>
        <w:t>份（包含按投标人须知第10.1.4项要求提交的全部文件）。</w:t>
      </w:r>
    </w:p>
    <w:p>
      <w:pPr>
        <w:pStyle w:val="10"/>
        <w:spacing w:line="440" w:lineRule="exact"/>
        <w:ind w:firstLine="482"/>
        <w:rPr>
          <w:rFonts w:hint="default" w:hAnsi="宋体" w:cs="宋体"/>
          <w:sz w:val="24"/>
          <w:szCs w:val="24"/>
        </w:rPr>
      </w:pPr>
      <w:r>
        <w:rPr>
          <w:rFonts w:hAnsi="宋体" w:cs="宋体"/>
          <w:sz w:val="24"/>
          <w:szCs w:val="24"/>
        </w:rPr>
        <w:t>据此函，签字人兹宣布：</w:t>
      </w:r>
    </w:p>
    <w:p>
      <w:pPr>
        <w:pStyle w:val="10"/>
        <w:spacing w:line="440" w:lineRule="exact"/>
        <w:ind w:firstLine="482"/>
        <w:rPr>
          <w:rFonts w:hint="default" w:hAnsi="宋体" w:cs="宋体"/>
          <w:sz w:val="24"/>
          <w:szCs w:val="24"/>
        </w:rPr>
      </w:pPr>
      <w:r>
        <w:rPr>
          <w:rFonts w:hAnsi="宋体" w:cs="宋体"/>
          <w:sz w:val="24"/>
          <w:szCs w:val="24"/>
        </w:rPr>
        <w:t>1、我方愿意以（大写）人民币</w:t>
      </w:r>
      <w:r>
        <w:rPr>
          <w:rFonts w:hAnsi="宋体" w:cs="宋体"/>
          <w:sz w:val="24"/>
          <w:szCs w:val="24"/>
          <w:u w:val="single"/>
        </w:rPr>
        <w:t xml:space="preserve">                    </w:t>
      </w:r>
      <w:r>
        <w:rPr>
          <w:rFonts w:hAnsi="宋体" w:cs="宋体"/>
          <w:sz w:val="24"/>
          <w:szCs w:val="24"/>
        </w:rPr>
        <w:t>（￥</w:t>
      </w:r>
      <w:r>
        <w:rPr>
          <w:rFonts w:hAnsi="宋体" w:cs="宋体"/>
          <w:sz w:val="24"/>
          <w:szCs w:val="24"/>
          <w:u w:val="single"/>
        </w:rPr>
        <w:t xml:space="preserve">           </w:t>
      </w:r>
      <w:r>
        <w:rPr>
          <w:rFonts w:hAnsi="宋体" w:cs="宋体"/>
          <w:sz w:val="24"/>
          <w:szCs w:val="24"/>
        </w:rPr>
        <w:t>元)的投标总报价，交货期：</w:t>
      </w:r>
      <w:r>
        <w:rPr>
          <w:rFonts w:hAnsi="宋体" w:cs="宋体"/>
          <w:sz w:val="24"/>
          <w:szCs w:val="24"/>
          <w:u w:val="single"/>
        </w:rPr>
        <w:t xml:space="preserve">            </w:t>
      </w:r>
      <w:r>
        <w:rPr>
          <w:rFonts w:hAnsi="宋体" w:cs="宋体"/>
          <w:sz w:val="24"/>
          <w:szCs w:val="24"/>
        </w:rPr>
        <w:t>，提供本项目招标文件第二章“货物需求一览表”中的采购内容。</w:t>
      </w:r>
    </w:p>
    <w:p>
      <w:pPr>
        <w:pStyle w:val="10"/>
        <w:spacing w:line="440" w:lineRule="exact"/>
        <w:ind w:firstLine="482"/>
        <w:rPr>
          <w:rFonts w:hint="default" w:hAnsi="宋体" w:cs="宋体"/>
          <w:sz w:val="24"/>
          <w:szCs w:val="24"/>
        </w:rPr>
      </w:pPr>
      <w:r>
        <w:rPr>
          <w:rFonts w:hAnsi="宋体" w:cs="宋体"/>
          <w:sz w:val="24"/>
          <w:szCs w:val="24"/>
        </w:rPr>
        <w:t>2、我方同意自本项目招标文件“投标人须知”第15.1项规定的投标截止时间（开标时间）起遵循本投标函，并承诺在“投标人须知”第12.1项规定的投标有效期内不修改、撤销投标文件。</w:t>
      </w:r>
    </w:p>
    <w:p>
      <w:pPr>
        <w:pStyle w:val="10"/>
        <w:spacing w:line="440" w:lineRule="exact"/>
        <w:ind w:firstLine="482"/>
        <w:rPr>
          <w:rFonts w:hint="default" w:hAnsi="宋体" w:cs="宋体"/>
          <w:sz w:val="24"/>
          <w:szCs w:val="24"/>
        </w:rPr>
      </w:pPr>
      <w:r>
        <w:rPr>
          <w:rFonts w:hAnsi="宋体" w:cs="宋体"/>
          <w:sz w:val="24"/>
          <w:szCs w:val="24"/>
        </w:rPr>
        <w:t>3、我方在此声明，所递交的投标文件及有关资料内容完整、真实和准确。</w:t>
      </w:r>
    </w:p>
    <w:p>
      <w:pPr>
        <w:pStyle w:val="10"/>
        <w:spacing w:line="440" w:lineRule="exact"/>
        <w:ind w:firstLine="482"/>
        <w:rPr>
          <w:rFonts w:hint="default" w:hAnsi="宋体" w:cs="宋体"/>
          <w:sz w:val="24"/>
          <w:szCs w:val="24"/>
        </w:rPr>
      </w:pPr>
      <w:r>
        <w:rPr>
          <w:rFonts w:hAnsi="宋体" w:cs="宋体"/>
          <w:sz w:val="24"/>
          <w:szCs w:val="24"/>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0"/>
        <w:numPr>
          <w:ilvl w:val="0"/>
          <w:numId w:val="12"/>
        </w:numPr>
        <w:spacing w:line="440" w:lineRule="exact"/>
        <w:rPr>
          <w:rFonts w:hint="default" w:hAnsi="宋体" w:cs="宋体"/>
          <w:sz w:val="24"/>
          <w:szCs w:val="24"/>
        </w:rPr>
      </w:pPr>
      <w:r>
        <w:rPr>
          <w:rFonts w:hAnsi="宋体" w:cs="宋体"/>
          <w:sz w:val="24"/>
          <w:szCs w:val="24"/>
        </w:rPr>
        <w:t>具有独立承担民事责任的能力；</w:t>
      </w:r>
    </w:p>
    <w:p>
      <w:pPr>
        <w:pStyle w:val="10"/>
        <w:numPr>
          <w:ilvl w:val="0"/>
          <w:numId w:val="12"/>
        </w:numPr>
        <w:spacing w:line="440" w:lineRule="exact"/>
        <w:rPr>
          <w:rFonts w:hint="default" w:hAnsi="宋体" w:cs="宋体"/>
          <w:sz w:val="24"/>
          <w:szCs w:val="24"/>
        </w:rPr>
      </w:pPr>
      <w:r>
        <w:rPr>
          <w:rFonts w:hAnsi="宋体" w:cs="宋体"/>
          <w:sz w:val="24"/>
          <w:szCs w:val="24"/>
        </w:rPr>
        <w:t>具有良好的商业信誉和健全的财务会计制度；</w:t>
      </w:r>
    </w:p>
    <w:p>
      <w:pPr>
        <w:pStyle w:val="10"/>
        <w:numPr>
          <w:ilvl w:val="0"/>
          <w:numId w:val="12"/>
        </w:numPr>
        <w:spacing w:line="440" w:lineRule="exact"/>
        <w:rPr>
          <w:rFonts w:hint="default" w:hAnsi="宋体" w:cs="宋体"/>
          <w:sz w:val="24"/>
          <w:szCs w:val="24"/>
        </w:rPr>
      </w:pPr>
      <w:r>
        <w:rPr>
          <w:rFonts w:hAnsi="宋体" w:cs="宋体"/>
          <w:sz w:val="24"/>
          <w:szCs w:val="24"/>
        </w:rPr>
        <w:t>具有履行合同所必需的设备和专业技术能力；</w:t>
      </w:r>
    </w:p>
    <w:p>
      <w:pPr>
        <w:pStyle w:val="10"/>
        <w:numPr>
          <w:ilvl w:val="0"/>
          <w:numId w:val="12"/>
        </w:numPr>
        <w:spacing w:line="440" w:lineRule="exact"/>
        <w:rPr>
          <w:rFonts w:hint="default" w:hAnsi="宋体" w:cs="宋体"/>
          <w:sz w:val="24"/>
          <w:szCs w:val="24"/>
        </w:rPr>
      </w:pPr>
      <w:r>
        <w:rPr>
          <w:rFonts w:hAnsi="宋体" w:cs="宋体"/>
          <w:sz w:val="24"/>
          <w:szCs w:val="24"/>
        </w:rPr>
        <w:t>有依法缴纳税收和社会保障资金的良好记录；</w:t>
      </w:r>
    </w:p>
    <w:p>
      <w:pPr>
        <w:pStyle w:val="10"/>
        <w:numPr>
          <w:ilvl w:val="0"/>
          <w:numId w:val="12"/>
        </w:numPr>
        <w:spacing w:line="440" w:lineRule="exact"/>
        <w:rPr>
          <w:rFonts w:hint="default" w:hAnsi="宋体" w:cs="宋体"/>
          <w:sz w:val="24"/>
          <w:szCs w:val="24"/>
        </w:rPr>
      </w:pPr>
      <w:r>
        <w:rPr>
          <w:rFonts w:hAnsi="宋体" w:cs="宋体"/>
          <w:sz w:val="24"/>
          <w:szCs w:val="24"/>
        </w:rPr>
        <w:t>参加政府采购活动前三年内，在经营活动中没有重大违法记录；</w:t>
      </w:r>
    </w:p>
    <w:p>
      <w:pPr>
        <w:pStyle w:val="10"/>
        <w:numPr>
          <w:ilvl w:val="0"/>
          <w:numId w:val="12"/>
        </w:numPr>
        <w:spacing w:line="440" w:lineRule="exact"/>
        <w:rPr>
          <w:rFonts w:hint="default" w:hAnsi="宋体" w:cs="宋体"/>
          <w:sz w:val="24"/>
          <w:szCs w:val="24"/>
        </w:rPr>
      </w:pPr>
      <w:r>
        <w:rPr>
          <w:rFonts w:hAnsi="宋体" w:cs="宋体"/>
          <w:sz w:val="24"/>
          <w:szCs w:val="24"/>
        </w:rPr>
        <w:t>法律、行政法规规定的其他条件。</w:t>
      </w:r>
    </w:p>
    <w:p>
      <w:pPr>
        <w:pStyle w:val="10"/>
        <w:spacing w:line="440" w:lineRule="exact"/>
        <w:ind w:firstLine="482"/>
        <w:rPr>
          <w:rFonts w:hint="default" w:hAnsi="宋体" w:cs="宋体"/>
          <w:sz w:val="24"/>
          <w:szCs w:val="24"/>
        </w:rPr>
      </w:pPr>
      <w:r>
        <w:rPr>
          <w:rFonts w:hAnsi="宋体" w:cs="宋体"/>
          <w:sz w:val="24"/>
          <w:szCs w:val="24"/>
        </w:rPr>
        <w:t>5、如本项目采购内容涉及须符合国家强制规定的，我方承诺我方本次投标（包括资格条件和所投产品）均符合国家有关强制规定。</w:t>
      </w:r>
    </w:p>
    <w:p>
      <w:pPr>
        <w:pStyle w:val="10"/>
        <w:spacing w:line="440" w:lineRule="exact"/>
        <w:ind w:firstLine="482"/>
        <w:rPr>
          <w:rFonts w:hint="default" w:hAnsi="宋体" w:cs="宋体"/>
          <w:sz w:val="24"/>
          <w:szCs w:val="24"/>
        </w:rPr>
      </w:pPr>
      <w:r>
        <w:rPr>
          <w:rFonts w:hAnsi="宋体" w:cs="宋体"/>
          <w:sz w:val="24"/>
          <w:szCs w:val="24"/>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10"/>
        <w:spacing w:line="440" w:lineRule="exact"/>
        <w:ind w:firstLine="482"/>
        <w:rPr>
          <w:rFonts w:hint="default" w:hAnsi="宋体" w:cs="宋体"/>
          <w:sz w:val="24"/>
          <w:szCs w:val="24"/>
        </w:rPr>
      </w:pPr>
      <w:r>
        <w:rPr>
          <w:rFonts w:hAnsi="宋体" w:cs="宋体"/>
          <w:sz w:val="24"/>
          <w:szCs w:val="24"/>
        </w:rPr>
        <w:t>7、我方已详细审核招标文件，我方知道必须放弃提出含糊不清或误解问题的权利。</w:t>
      </w:r>
    </w:p>
    <w:p>
      <w:pPr>
        <w:pStyle w:val="10"/>
        <w:spacing w:line="440" w:lineRule="exact"/>
        <w:ind w:firstLine="482"/>
        <w:rPr>
          <w:rFonts w:hint="default" w:hAnsi="宋体" w:cs="宋体"/>
          <w:sz w:val="24"/>
          <w:szCs w:val="24"/>
        </w:rPr>
      </w:pPr>
      <w:r>
        <w:rPr>
          <w:rFonts w:hAnsi="宋体" w:cs="宋体"/>
          <w:sz w:val="24"/>
          <w:szCs w:val="24"/>
        </w:rPr>
        <w:t>8、我方同意应贵方要求提供与本投标有关的任何数据或资料。若贵方需要，我方愿意提供我方作出的一切承诺的证明材料。</w:t>
      </w:r>
    </w:p>
    <w:p>
      <w:pPr>
        <w:pStyle w:val="10"/>
        <w:spacing w:line="440" w:lineRule="exact"/>
        <w:ind w:firstLine="482"/>
        <w:rPr>
          <w:rFonts w:hint="default" w:hAnsi="宋体" w:cs="宋体"/>
          <w:sz w:val="24"/>
          <w:szCs w:val="24"/>
        </w:rPr>
      </w:pPr>
      <w:r>
        <w:rPr>
          <w:rFonts w:hAnsi="宋体" w:cs="宋体"/>
          <w:sz w:val="24"/>
          <w:szCs w:val="24"/>
        </w:rPr>
        <w:t>9、我方完全理解贵方不一定接受投标报价最低的投标人为中标供应商的行为。</w:t>
      </w:r>
    </w:p>
    <w:p>
      <w:pPr>
        <w:pStyle w:val="10"/>
        <w:spacing w:line="440" w:lineRule="exact"/>
        <w:ind w:firstLine="482"/>
        <w:rPr>
          <w:rFonts w:hint="default" w:hAnsi="宋体" w:cs="宋体"/>
          <w:sz w:val="24"/>
          <w:szCs w:val="24"/>
        </w:rPr>
      </w:pPr>
      <w:r>
        <w:rPr>
          <w:rFonts w:hAnsi="宋体" w:cs="宋体"/>
          <w:sz w:val="24"/>
          <w:szCs w:val="24"/>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0"/>
        <w:numPr>
          <w:ilvl w:val="0"/>
          <w:numId w:val="13"/>
        </w:numPr>
        <w:spacing w:line="440" w:lineRule="exact"/>
        <w:rPr>
          <w:rFonts w:hint="default" w:hAnsi="宋体" w:cs="宋体"/>
          <w:sz w:val="24"/>
          <w:szCs w:val="24"/>
        </w:rPr>
      </w:pPr>
      <w:r>
        <w:rPr>
          <w:rFonts w:hAnsi="宋体" w:cs="宋体"/>
          <w:sz w:val="24"/>
          <w:szCs w:val="24"/>
        </w:rPr>
        <w:t>提供虚假材料谋取中标、中标的；</w:t>
      </w:r>
    </w:p>
    <w:p>
      <w:pPr>
        <w:pStyle w:val="10"/>
        <w:numPr>
          <w:ilvl w:val="0"/>
          <w:numId w:val="13"/>
        </w:numPr>
        <w:spacing w:line="440" w:lineRule="exact"/>
        <w:rPr>
          <w:rFonts w:hint="default" w:hAnsi="宋体" w:cs="宋体"/>
          <w:sz w:val="24"/>
          <w:szCs w:val="24"/>
        </w:rPr>
      </w:pPr>
      <w:r>
        <w:rPr>
          <w:rFonts w:hAnsi="宋体" w:cs="宋体"/>
          <w:sz w:val="24"/>
          <w:szCs w:val="24"/>
        </w:rPr>
        <w:t>采取不正当手段诋毁、排挤其他供应商的；</w:t>
      </w:r>
    </w:p>
    <w:p>
      <w:pPr>
        <w:pStyle w:val="10"/>
        <w:numPr>
          <w:ilvl w:val="0"/>
          <w:numId w:val="13"/>
        </w:numPr>
        <w:spacing w:line="440" w:lineRule="exact"/>
        <w:rPr>
          <w:rFonts w:hint="default" w:hAnsi="宋体" w:cs="宋体"/>
          <w:sz w:val="24"/>
          <w:szCs w:val="24"/>
        </w:rPr>
      </w:pPr>
      <w:r>
        <w:rPr>
          <w:rFonts w:hAnsi="宋体" w:cs="宋体"/>
          <w:sz w:val="24"/>
          <w:szCs w:val="24"/>
        </w:rPr>
        <w:t>与采购人、其他供应商或者采购代理机构恶意串通的；</w:t>
      </w:r>
    </w:p>
    <w:p>
      <w:pPr>
        <w:pStyle w:val="10"/>
        <w:numPr>
          <w:ilvl w:val="0"/>
          <w:numId w:val="13"/>
        </w:numPr>
        <w:spacing w:line="440" w:lineRule="exact"/>
        <w:rPr>
          <w:rFonts w:hint="default" w:hAnsi="宋体" w:cs="宋体"/>
          <w:sz w:val="24"/>
          <w:szCs w:val="24"/>
        </w:rPr>
      </w:pPr>
      <w:r>
        <w:rPr>
          <w:rFonts w:hAnsi="宋体" w:cs="宋体"/>
          <w:sz w:val="24"/>
          <w:szCs w:val="24"/>
        </w:rPr>
        <w:t>向采购人、采购代理机构行贿或者提供其他不正当利益的；</w:t>
      </w:r>
    </w:p>
    <w:p>
      <w:pPr>
        <w:pStyle w:val="10"/>
        <w:numPr>
          <w:ilvl w:val="0"/>
          <w:numId w:val="13"/>
        </w:numPr>
        <w:spacing w:line="440" w:lineRule="exact"/>
        <w:rPr>
          <w:rFonts w:hint="default" w:hAnsi="宋体" w:cs="宋体"/>
          <w:sz w:val="24"/>
          <w:szCs w:val="24"/>
        </w:rPr>
      </w:pPr>
      <w:r>
        <w:rPr>
          <w:rFonts w:hAnsi="宋体" w:cs="宋体"/>
          <w:sz w:val="24"/>
          <w:szCs w:val="24"/>
        </w:rPr>
        <w:t>在招标采购过程中与采购人进行协商谈判的；</w:t>
      </w:r>
    </w:p>
    <w:p>
      <w:pPr>
        <w:pStyle w:val="10"/>
        <w:spacing w:line="440" w:lineRule="exact"/>
        <w:ind w:firstLine="480" w:firstLineChars="200"/>
        <w:rPr>
          <w:rFonts w:hint="default" w:hAnsi="宋体" w:cs="宋体"/>
          <w:sz w:val="24"/>
          <w:szCs w:val="24"/>
        </w:rPr>
      </w:pPr>
      <w:r>
        <w:rPr>
          <w:rFonts w:hAnsi="宋体" w:cs="宋体"/>
          <w:sz w:val="24"/>
          <w:szCs w:val="24"/>
        </w:rPr>
        <w:t>（6） 拒绝有关部门监督检查或提供虚假情况的。</w:t>
      </w:r>
    </w:p>
    <w:p>
      <w:pPr>
        <w:pStyle w:val="10"/>
        <w:spacing w:line="440" w:lineRule="exact"/>
        <w:ind w:firstLine="482"/>
        <w:rPr>
          <w:rFonts w:hint="default" w:hAnsi="宋体" w:cs="宋体"/>
          <w:sz w:val="24"/>
          <w:szCs w:val="24"/>
        </w:rPr>
      </w:pPr>
      <w:r>
        <w:rPr>
          <w:rFonts w:hAnsi="宋体" w:cs="宋体"/>
          <w:sz w:val="24"/>
          <w:szCs w:val="24"/>
        </w:rPr>
        <w:t>11、我方及由本人担任法定代表人的其他机构最近三年内被处罚的违法行为有：__________________________________________________________________________。</w:t>
      </w:r>
    </w:p>
    <w:p>
      <w:pPr>
        <w:pStyle w:val="10"/>
        <w:spacing w:line="440" w:lineRule="exact"/>
        <w:ind w:left="420"/>
        <w:rPr>
          <w:rFonts w:hint="default" w:hAnsi="宋体" w:cs="宋体"/>
          <w:sz w:val="24"/>
          <w:szCs w:val="24"/>
        </w:rPr>
      </w:pPr>
      <w:r>
        <w:rPr>
          <w:rFonts w:hAnsi="宋体" w:cs="宋体"/>
          <w:sz w:val="24"/>
          <w:szCs w:val="24"/>
        </w:rPr>
        <w:t>12、以上事项如有虚假或隐瞒，我方愿意承担一切后果，并不再寻求任何旨在减轻或免除法律责任的辩解。</w:t>
      </w:r>
    </w:p>
    <w:p>
      <w:pPr>
        <w:pStyle w:val="10"/>
        <w:spacing w:line="360" w:lineRule="auto"/>
        <w:ind w:firstLine="420"/>
        <w:rPr>
          <w:rFonts w:hint="default" w:hAnsi="宋体" w:cs="宋体"/>
          <w:sz w:val="24"/>
          <w:szCs w:val="24"/>
        </w:rPr>
      </w:pPr>
    </w:p>
    <w:p>
      <w:pPr>
        <w:pStyle w:val="10"/>
        <w:spacing w:line="360" w:lineRule="auto"/>
        <w:ind w:firstLine="420"/>
        <w:rPr>
          <w:rFonts w:hint="default" w:hAnsi="宋体" w:cs="宋体"/>
          <w:sz w:val="24"/>
          <w:szCs w:val="24"/>
          <w:u w:val="single"/>
        </w:rPr>
      </w:pPr>
      <w:r>
        <w:rPr>
          <w:rFonts w:hAnsi="宋体" w:cs="宋体"/>
          <w:sz w:val="24"/>
          <w:szCs w:val="24"/>
        </w:rPr>
        <w:t>投标人：</w:t>
      </w:r>
      <w:r>
        <w:rPr>
          <w:rFonts w:hAnsi="宋体" w:cs="宋体"/>
          <w:sz w:val="24"/>
          <w:szCs w:val="24"/>
          <w:u w:val="single"/>
        </w:rPr>
        <w:t xml:space="preserve">                                         </w:t>
      </w:r>
      <w:r>
        <w:rPr>
          <w:rFonts w:hAnsi="宋体" w:cs="宋体"/>
          <w:sz w:val="24"/>
          <w:szCs w:val="24"/>
        </w:rPr>
        <w:t>（盖单位公章）</w:t>
      </w:r>
    </w:p>
    <w:p>
      <w:pPr>
        <w:pStyle w:val="10"/>
        <w:spacing w:line="360" w:lineRule="auto"/>
        <w:ind w:firstLine="420"/>
        <w:rPr>
          <w:rFonts w:hint="default" w:hAnsi="宋体" w:cs="宋体"/>
          <w:sz w:val="24"/>
          <w:szCs w:val="24"/>
        </w:rPr>
      </w:pPr>
      <w:r>
        <w:rPr>
          <w:rFonts w:hAnsi="宋体" w:cs="宋体"/>
          <w:sz w:val="24"/>
          <w:szCs w:val="24"/>
        </w:rPr>
        <w:t>法定代表人或其委托代理人：</w:t>
      </w:r>
      <w:r>
        <w:rPr>
          <w:rFonts w:hAnsi="宋体" w:cs="宋体"/>
          <w:sz w:val="24"/>
          <w:szCs w:val="24"/>
          <w:u w:val="single"/>
        </w:rPr>
        <w:t xml:space="preserve">                       </w:t>
      </w:r>
      <w:r>
        <w:rPr>
          <w:rFonts w:hAnsi="宋体" w:cs="宋体"/>
          <w:sz w:val="24"/>
          <w:szCs w:val="24"/>
        </w:rPr>
        <w:t>（签字或盖章）</w:t>
      </w:r>
    </w:p>
    <w:p>
      <w:pPr>
        <w:pStyle w:val="10"/>
        <w:spacing w:line="360" w:lineRule="auto"/>
        <w:ind w:firstLine="420"/>
        <w:rPr>
          <w:rFonts w:hint="default" w:hAnsi="宋体" w:cs="宋体"/>
          <w:sz w:val="24"/>
          <w:szCs w:val="24"/>
        </w:rPr>
      </w:pPr>
      <w:r>
        <w:rPr>
          <w:rFonts w:hAnsi="宋体" w:cs="宋体"/>
          <w:sz w:val="24"/>
          <w:szCs w:val="24"/>
        </w:rPr>
        <w:t>地址：</w:t>
      </w:r>
      <w:r>
        <w:rPr>
          <w:rFonts w:hAnsi="宋体" w:cs="宋体"/>
          <w:sz w:val="24"/>
          <w:szCs w:val="24"/>
          <w:u w:val="single"/>
        </w:rPr>
        <w:t xml:space="preserve">                                                        </w:t>
      </w:r>
      <w:r>
        <w:rPr>
          <w:rFonts w:hAnsi="宋体" w:cs="宋体"/>
          <w:sz w:val="24"/>
          <w:szCs w:val="24"/>
        </w:rPr>
        <w:t xml:space="preserve"> </w:t>
      </w:r>
    </w:p>
    <w:p>
      <w:pPr>
        <w:pStyle w:val="10"/>
        <w:spacing w:line="360" w:lineRule="auto"/>
        <w:ind w:firstLine="420"/>
        <w:rPr>
          <w:rFonts w:hint="default" w:hAnsi="宋体" w:cs="宋体"/>
          <w:sz w:val="24"/>
          <w:szCs w:val="24"/>
          <w:u w:val="single"/>
        </w:rPr>
      </w:pPr>
      <w:r>
        <w:rPr>
          <w:rFonts w:hAnsi="宋体" w:cs="宋体"/>
          <w:sz w:val="24"/>
          <w:szCs w:val="24"/>
        </w:rPr>
        <w:t>电话：</w:t>
      </w:r>
      <w:r>
        <w:rPr>
          <w:rFonts w:hAnsi="宋体" w:cs="宋体"/>
          <w:sz w:val="24"/>
          <w:szCs w:val="24"/>
          <w:u w:val="single"/>
        </w:rPr>
        <w:t xml:space="preserve">                                      　　　　　　　　　</w:t>
      </w:r>
    </w:p>
    <w:p>
      <w:pPr>
        <w:pStyle w:val="10"/>
        <w:spacing w:line="360" w:lineRule="auto"/>
        <w:ind w:firstLine="420"/>
        <w:rPr>
          <w:rFonts w:hint="default" w:hAnsi="宋体" w:cs="宋体"/>
          <w:sz w:val="24"/>
          <w:szCs w:val="24"/>
        </w:rPr>
      </w:pPr>
      <w:r>
        <w:rPr>
          <w:rFonts w:hAnsi="宋体" w:cs="宋体"/>
          <w:sz w:val="24"/>
          <w:szCs w:val="24"/>
        </w:rPr>
        <w:t>传真：</w:t>
      </w:r>
      <w:r>
        <w:rPr>
          <w:rFonts w:hAnsi="宋体" w:cs="宋体"/>
          <w:sz w:val="24"/>
          <w:szCs w:val="24"/>
          <w:u w:val="single"/>
        </w:rPr>
        <w:t>　　　　　　　　　　　　　　　　　　　　　　　　　　　　</w:t>
      </w:r>
    </w:p>
    <w:p>
      <w:pPr>
        <w:pStyle w:val="10"/>
        <w:spacing w:line="360" w:lineRule="auto"/>
        <w:ind w:firstLine="420"/>
        <w:rPr>
          <w:rFonts w:hint="default" w:hAnsi="宋体" w:cs="宋体"/>
          <w:sz w:val="24"/>
          <w:szCs w:val="24"/>
          <w:u w:val="single"/>
        </w:rPr>
      </w:pPr>
      <w:r>
        <w:rPr>
          <w:rFonts w:hAnsi="宋体" w:cs="宋体"/>
          <w:sz w:val="24"/>
          <w:szCs w:val="24"/>
        </w:rPr>
        <w:t>邮政编码：</w:t>
      </w:r>
      <w:r>
        <w:rPr>
          <w:rFonts w:hAnsi="宋体" w:cs="宋体"/>
          <w:sz w:val="24"/>
          <w:szCs w:val="24"/>
          <w:u w:val="single"/>
        </w:rPr>
        <w:t xml:space="preserve">                                                    </w:t>
      </w:r>
    </w:p>
    <w:p>
      <w:pPr>
        <w:pStyle w:val="10"/>
        <w:spacing w:line="360" w:lineRule="auto"/>
        <w:ind w:firstLine="420"/>
        <w:rPr>
          <w:rFonts w:hint="default" w:hAnsi="宋体" w:cs="宋体"/>
          <w:sz w:val="24"/>
          <w:szCs w:val="24"/>
          <w:u w:val="single"/>
        </w:rPr>
      </w:pPr>
      <w:r>
        <w:rPr>
          <w:rFonts w:hAnsi="宋体" w:cs="宋体"/>
          <w:sz w:val="24"/>
          <w:szCs w:val="24"/>
        </w:rPr>
        <w:t>开户名称：</w:t>
      </w:r>
      <w:r>
        <w:rPr>
          <w:rFonts w:hAnsi="宋体" w:cs="宋体"/>
          <w:sz w:val="24"/>
          <w:szCs w:val="24"/>
          <w:u w:val="single"/>
        </w:rPr>
        <w:t xml:space="preserve">                                                    </w:t>
      </w:r>
    </w:p>
    <w:p>
      <w:pPr>
        <w:pStyle w:val="10"/>
        <w:spacing w:line="360" w:lineRule="auto"/>
        <w:ind w:firstLine="420"/>
        <w:rPr>
          <w:rFonts w:hint="default" w:hAnsi="宋体" w:cs="宋体"/>
          <w:sz w:val="24"/>
          <w:szCs w:val="24"/>
          <w:u w:val="single"/>
        </w:rPr>
      </w:pPr>
      <w:r>
        <w:rPr>
          <w:rFonts w:hAnsi="宋体" w:cs="宋体"/>
          <w:sz w:val="24"/>
          <w:szCs w:val="24"/>
        </w:rPr>
        <w:t>开户银行：</w:t>
      </w:r>
      <w:r>
        <w:rPr>
          <w:rFonts w:hAnsi="宋体" w:cs="宋体"/>
          <w:sz w:val="24"/>
          <w:szCs w:val="24"/>
          <w:u w:val="single"/>
        </w:rPr>
        <w:t xml:space="preserve">                                                    </w:t>
      </w:r>
    </w:p>
    <w:p>
      <w:pPr>
        <w:pStyle w:val="10"/>
        <w:spacing w:line="360" w:lineRule="auto"/>
        <w:ind w:firstLine="420"/>
        <w:rPr>
          <w:rFonts w:hint="default" w:hAnsi="宋体" w:cs="宋体"/>
          <w:sz w:val="24"/>
          <w:szCs w:val="24"/>
          <w:u w:val="single"/>
        </w:rPr>
      </w:pPr>
      <w:r>
        <w:rPr>
          <w:rFonts w:hAnsi="宋体" w:cs="宋体"/>
          <w:sz w:val="24"/>
          <w:szCs w:val="24"/>
        </w:rPr>
        <w:t>银行账号：</w:t>
      </w:r>
      <w:r>
        <w:rPr>
          <w:rFonts w:hAnsi="宋体" w:cs="宋体"/>
          <w:sz w:val="24"/>
          <w:szCs w:val="24"/>
          <w:u w:val="single"/>
        </w:rPr>
        <w:t xml:space="preserve">                                                    </w:t>
      </w:r>
    </w:p>
    <w:p>
      <w:pPr>
        <w:pStyle w:val="10"/>
        <w:spacing w:line="360" w:lineRule="auto"/>
        <w:ind w:firstLine="420"/>
        <w:rPr>
          <w:rFonts w:hint="default" w:hAnsi="宋体" w:cs="宋体"/>
          <w:u w:val="single"/>
        </w:rPr>
      </w:pPr>
      <w:r>
        <w:rPr>
          <w:rFonts w:hAnsi="宋体" w:cs="宋体"/>
          <w:sz w:val="24"/>
          <w:szCs w:val="24"/>
          <w:u w:val="single"/>
        </w:rPr>
        <w:t xml:space="preserve">    </w:t>
      </w:r>
      <w:r>
        <w:rPr>
          <w:rFonts w:hAnsi="宋体" w:cs="宋体"/>
          <w:sz w:val="24"/>
          <w:szCs w:val="24"/>
        </w:rPr>
        <w:t>年</w:t>
      </w:r>
      <w:r>
        <w:rPr>
          <w:rFonts w:hAnsi="宋体" w:cs="宋体"/>
          <w:sz w:val="24"/>
          <w:szCs w:val="24"/>
          <w:u w:val="single"/>
        </w:rPr>
        <w:t xml:space="preserve">    </w:t>
      </w:r>
      <w:r>
        <w:rPr>
          <w:rFonts w:hAnsi="宋体" w:cs="宋体"/>
          <w:sz w:val="24"/>
          <w:szCs w:val="24"/>
        </w:rPr>
        <w:t>月</w:t>
      </w:r>
      <w:r>
        <w:rPr>
          <w:rFonts w:hAnsi="宋体" w:cs="宋体"/>
          <w:sz w:val="24"/>
          <w:szCs w:val="24"/>
          <w:u w:val="single"/>
        </w:rPr>
        <w:t xml:space="preserve">    </w:t>
      </w:r>
      <w:r>
        <w:rPr>
          <w:rFonts w:hAnsi="宋体" w:cs="宋体"/>
          <w:sz w:val="24"/>
          <w:szCs w:val="24"/>
        </w:rPr>
        <w:t>日</w:t>
      </w:r>
      <w:r>
        <w:rPr>
          <w:rFonts w:hAnsi="宋体" w:cs="宋体"/>
          <w:b/>
          <w:bCs/>
          <w:sz w:val="24"/>
          <w:szCs w:val="24"/>
        </w:rPr>
        <w:br w:type="page"/>
      </w:r>
      <w:r>
        <w:rPr>
          <w:rFonts w:hAnsi="宋体" w:cs="宋体"/>
          <w:b/>
          <w:bCs/>
        </w:rPr>
        <w:t>格式2：</w:t>
      </w:r>
    </w:p>
    <w:p>
      <w:pPr>
        <w:pStyle w:val="10"/>
        <w:spacing w:line="500" w:lineRule="exact"/>
        <w:jc w:val="center"/>
        <w:rPr>
          <w:rFonts w:hint="default" w:hAnsi="宋体" w:cs="宋体"/>
          <w:b/>
          <w:bCs/>
          <w:sz w:val="30"/>
          <w:szCs w:val="30"/>
        </w:rPr>
      </w:pPr>
      <w:r>
        <w:rPr>
          <w:rFonts w:hAnsi="宋体" w:cs="宋体"/>
          <w:b/>
          <w:bCs/>
          <w:sz w:val="30"/>
          <w:szCs w:val="30"/>
        </w:rPr>
        <w:t>投标报价表（格式）</w:t>
      </w:r>
    </w:p>
    <w:tbl>
      <w:tblPr>
        <w:tblStyle w:val="18"/>
        <w:tblW w:w="983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98"/>
        <w:gridCol w:w="900"/>
        <w:gridCol w:w="1998"/>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序号</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货物名称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数量①</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规格型号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单项合价（元）</w:t>
            </w:r>
          </w:p>
          <w:p>
            <w:pPr>
              <w:jc w:val="center"/>
              <w:rPr>
                <w:rFonts w:ascii="宋体" w:hAnsi="宋体" w:cs="宋体"/>
                <w:sz w:val="24"/>
                <w:szCs w:val="24"/>
              </w:rPr>
            </w:pPr>
            <w:r>
              <w:rPr>
                <w:rFonts w:hint="eastAsia" w:ascii="宋体" w:hAnsi="宋体" w:cs="宋体"/>
                <w:sz w:val="24"/>
                <w:szCs w:val="24"/>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30"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报价合计（包含装卸、运输等所有费用）：（大写）人民币</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元）</w:t>
            </w:r>
          </w:p>
          <w:p>
            <w:pPr>
              <w:rPr>
                <w:rFonts w:ascii="宋体" w:hAnsi="宋体" w:cs="宋体"/>
                <w:sz w:val="24"/>
                <w:szCs w:val="24"/>
              </w:rPr>
            </w:pPr>
            <w:r>
              <w:rPr>
                <w:rFonts w:hint="eastAsia" w:ascii="宋体" w:hAnsi="宋体" w:cs="宋体"/>
                <w:sz w:val="24"/>
                <w:szCs w:val="24"/>
              </w:rPr>
              <w:t>投标货物中，属于小微企业生产的产品总值为￥</w:t>
            </w:r>
            <w:r>
              <w:rPr>
                <w:rFonts w:hint="eastAsia" w:ascii="宋体" w:hAnsi="宋体" w:cs="宋体"/>
                <w:sz w:val="24"/>
                <w:szCs w:val="24"/>
                <w:u w:val="single"/>
              </w:rPr>
              <w:t xml:space="preserve">      </w:t>
            </w:r>
            <w:r>
              <w:rPr>
                <w:rFonts w:hint="eastAsia" w:ascii="宋体" w:hAnsi="宋体" w:cs="宋体"/>
                <w:sz w:val="24"/>
                <w:szCs w:val="24"/>
              </w:rPr>
              <w:t>元，占本投标报价的比例为</w:t>
            </w:r>
            <w:r>
              <w:rPr>
                <w:rFonts w:hint="eastAsia" w:ascii="宋体" w:hAnsi="宋体" w:cs="宋体"/>
                <w:sz w:val="24"/>
                <w:szCs w:val="24"/>
                <w:u w:val="single"/>
              </w:rPr>
              <w:t xml:space="preserve">    </w:t>
            </w:r>
            <w:r>
              <w:rPr>
                <w:rFonts w:hint="eastAsia" w:ascii="宋体" w:hAnsi="宋体" w:cs="宋体"/>
                <w:sz w:val="24"/>
                <w:szCs w:val="24"/>
              </w:rPr>
              <w:t>%；属于优先采购节能产品总值为￥</w:t>
            </w:r>
            <w:r>
              <w:rPr>
                <w:rFonts w:hint="eastAsia" w:ascii="宋体" w:hAnsi="宋体" w:cs="宋体"/>
                <w:sz w:val="24"/>
                <w:szCs w:val="24"/>
                <w:u w:val="single"/>
              </w:rPr>
              <w:t xml:space="preserve">      </w:t>
            </w:r>
            <w:r>
              <w:rPr>
                <w:rFonts w:hint="eastAsia" w:ascii="宋体" w:hAnsi="宋体" w:cs="宋体"/>
                <w:sz w:val="24"/>
                <w:szCs w:val="24"/>
              </w:rPr>
              <w:t>元，占本投标报价的比例为</w:t>
            </w:r>
            <w:r>
              <w:rPr>
                <w:rFonts w:hint="eastAsia" w:ascii="宋体" w:hAnsi="宋体" w:cs="宋体"/>
                <w:sz w:val="24"/>
                <w:szCs w:val="24"/>
                <w:u w:val="single"/>
              </w:rPr>
              <w:t xml:space="preserve">     </w:t>
            </w:r>
            <w:r>
              <w:rPr>
                <w:rFonts w:hint="eastAsia" w:ascii="宋体" w:hAnsi="宋体" w:cs="宋体"/>
                <w:sz w:val="24"/>
                <w:szCs w:val="24"/>
              </w:rPr>
              <w:t xml:space="preserve"> %；属于优先采购环境标志产品总值为￥</w:t>
            </w:r>
            <w:r>
              <w:rPr>
                <w:rFonts w:hint="eastAsia" w:ascii="宋体" w:hAnsi="宋体" w:cs="宋体"/>
                <w:sz w:val="24"/>
                <w:szCs w:val="24"/>
                <w:u w:val="single"/>
              </w:rPr>
              <w:t xml:space="preserve">      </w:t>
            </w:r>
            <w:r>
              <w:rPr>
                <w:rFonts w:hint="eastAsia" w:ascii="宋体" w:hAnsi="宋体" w:cs="宋体"/>
                <w:sz w:val="24"/>
                <w:szCs w:val="24"/>
              </w:rPr>
              <w:t>元，占本投标报价的比例为</w:t>
            </w:r>
            <w:r>
              <w:rPr>
                <w:rFonts w:hint="eastAsia" w:ascii="宋体" w:hAnsi="宋体" w:cs="宋体"/>
                <w:sz w:val="24"/>
                <w:szCs w:val="24"/>
                <w:u w:val="single"/>
              </w:rPr>
              <w:t xml:space="preserve">    </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30" w:type="dxa"/>
            <w:gridSpan w:val="8"/>
            <w:tcBorders>
              <w:top w:val="single" w:color="auto" w:sz="4" w:space="0"/>
              <w:left w:val="single" w:color="auto" w:sz="4" w:space="0"/>
              <w:bottom w:val="single" w:color="auto" w:sz="4" w:space="0"/>
              <w:right w:val="single" w:color="auto" w:sz="4" w:space="0"/>
            </w:tcBorders>
            <w:vAlign w:val="center"/>
          </w:tcPr>
          <w:p>
            <w:pPr>
              <w:pStyle w:val="10"/>
              <w:spacing w:line="600" w:lineRule="exact"/>
              <w:rPr>
                <w:rFonts w:hint="default" w:hAnsi="宋体" w:cs="宋体"/>
                <w:sz w:val="24"/>
                <w:szCs w:val="24"/>
                <w:u w:val="single"/>
              </w:rPr>
            </w:pPr>
            <w:r>
              <w:rPr>
                <w:rFonts w:hAnsi="宋体" w:cs="宋体"/>
                <w:sz w:val="24"/>
                <w:szCs w:val="24"/>
              </w:rPr>
              <w:t>投标人（盖单位公章）：</w:t>
            </w:r>
            <w:r>
              <w:rPr>
                <w:rFonts w:hAnsi="宋体" w:cs="宋体"/>
                <w:sz w:val="24"/>
                <w:szCs w:val="24"/>
                <w:u w:val="single"/>
              </w:rPr>
              <w:t xml:space="preserve">                                    </w:t>
            </w:r>
          </w:p>
          <w:p>
            <w:pPr>
              <w:rPr>
                <w:rFonts w:ascii="宋体" w:hAnsi="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30" w:type="dxa"/>
            <w:gridSpan w:val="8"/>
            <w:tcBorders>
              <w:top w:val="single" w:color="auto" w:sz="4" w:space="0"/>
              <w:left w:val="single" w:color="auto" w:sz="4" w:space="0"/>
              <w:bottom w:val="single" w:color="auto" w:sz="4" w:space="0"/>
              <w:right w:val="single" w:color="auto" w:sz="4" w:space="0"/>
            </w:tcBorders>
            <w:vAlign w:val="center"/>
          </w:tcPr>
          <w:p>
            <w:pPr>
              <w:pStyle w:val="10"/>
              <w:spacing w:line="500" w:lineRule="exact"/>
              <w:rPr>
                <w:rFonts w:hint="default" w:hAnsi="宋体" w:cs="宋体"/>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pPr>
              <w:rPr>
                <w:rFonts w:ascii="宋体" w:hAnsi="宋体" w:cs="宋体"/>
                <w:sz w:val="24"/>
                <w:szCs w:val="24"/>
                <w:u w:val="single"/>
              </w:rPr>
            </w:pPr>
          </w:p>
        </w:tc>
      </w:tr>
    </w:tbl>
    <w:p>
      <w:pPr>
        <w:pStyle w:val="10"/>
        <w:rPr>
          <w:rFonts w:hint="default" w:hAnsi="宋体" w:cs="宋体"/>
          <w:b/>
          <w:bCs/>
          <w:sz w:val="24"/>
          <w:szCs w:val="24"/>
        </w:rPr>
      </w:pPr>
    </w:p>
    <w:p>
      <w:pPr>
        <w:pStyle w:val="10"/>
        <w:jc w:val="left"/>
        <w:rPr>
          <w:rFonts w:hint="default" w:hAnsi="宋体" w:cs="宋体"/>
          <w:sz w:val="24"/>
          <w:szCs w:val="24"/>
        </w:rPr>
      </w:pPr>
    </w:p>
    <w:p>
      <w:pPr>
        <w:pStyle w:val="10"/>
        <w:jc w:val="left"/>
        <w:rPr>
          <w:rFonts w:hint="default" w:hAnsi="宋体" w:cs="宋体"/>
          <w:sz w:val="24"/>
          <w:szCs w:val="24"/>
        </w:rPr>
      </w:pPr>
      <w:r>
        <w:rPr>
          <w:rFonts w:hAnsi="宋体" w:cs="宋体"/>
          <w:sz w:val="24"/>
          <w:szCs w:val="24"/>
        </w:rPr>
        <w:t>注：表格内容均需按要求填写并盖章，不得留空, 否则按投标无效处理。</w:t>
      </w:r>
    </w:p>
    <w:p>
      <w:pPr>
        <w:pStyle w:val="10"/>
        <w:spacing w:line="600" w:lineRule="exact"/>
        <w:rPr>
          <w:rFonts w:hint="default" w:hAnsi="宋体" w:cs="宋体"/>
          <w:sz w:val="24"/>
          <w:szCs w:val="24"/>
        </w:rPr>
      </w:pPr>
    </w:p>
    <w:p>
      <w:pPr>
        <w:pStyle w:val="10"/>
        <w:spacing w:line="600" w:lineRule="exact"/>
        <w:rPr>
          <w:rFonts w:hint="default" w:hAnsi="宋体" w:cs="宋体"/>
          <w:sz w:val="24"/>
          <w:szCs w:val="24"/>
        </w:rPr>
      </w:pPr>
    </w:p>
    <w:p>
      <w:pPr>
        <w:pStyle w:val="10"/>
        <w:spacing w:line="600" w:lineRule="exact"/>
        <w:rPr>
          <w:rFonts w:hint="default" w:hAnsi="宋体" w:cs="宋体"/>
          <w:sz w:val="24"/>
          <w:szCs w:val="24"/>
          <w:u w:val="single"/>
        </w:rPr>
      </w:pPr>
    </w:p>
    <w:p>
      <w:pPr>
        <w:pStyle w:val="10"/>
        <w:jc w:val="left"/>
        <w:rPr>
          <w:rFonts w:hint="default" w:hAnsi="宋体" w:cs="宋体"/>
          <w:b/>
          <w:bCs/>
        </w:rPr>
      </w:pPr>
      <w:r>
        <w:rPr>
          <w:rFonts w:hAnsi="宋体" w:cs="宋体"/>
          <w:sz w:val="24"/>
          <w:szCs w:val="24"/>
        </w:rPr>
        <w:br w:type="page"/>
      </w:r>
      <w:r>
        <w:rPr>
          <w:rFonts w:hAnsi="宋体" w:cs="宋体"/>
          <w:b/>
          <w:bCs/>
        </w:rPr>
        <w:t>格式3：</w:t>
      </w:r>
    </w:p>
    <w:p>
      <w:pPr>
        <w:pStyle w:val="10"/>
        <w:jc w:val="center"/>
        <w:rPr>
          <w:rFonts w:hint="default" w:hAnsi="宋体" w:cs="宋体"/>
          <w:b/>
          <w:bCs/>
          <w:sz w:val="30"/>
          <w:szCs w:val="30"/>
        </w:rPr>
      </w:pPr>
      <w:r>
        <w:rPr>
          <w:rFonts w:hAnsi="宋体" w:cs="宋体"/>
          <w:b/>
          <w:bCs/>
          <w:sz w:val="30"/>
          <w:szCs w:val="30"/>
        </w:rPr>
        <w:t>中小企业声明函（格式）</w:t>
      </w:r>
    </w:p>
    <w:p>
      <w:pPr>
        <w:pStyle w:val="9"/>
        <w:spacing w:line="240" w:lineRule="auto"/>
        <w:ind w:firstLine="0"/>
        <w:rPr>
          <w:rFonts w:hAnsi="宋体" w:cs="宋体"/>
          <w:sz w:val="24"/>
          <w:szCs w:val="24"/>
        </w:rPr>
      </w:pPr>
      <w:r>
        <w:rPr>
          <w:rFonts w:hint="eastAsia" w:hAnsi="宋体" w:cs="宋体"/>
          <w:sz w:val="24"/>
          <w:szCs w:val="24"/>
        </w:rPr>
        <w:t>说明：</w:t>
      </w:r>
    </w:p>
    <w:p>
      <w:pPr>
        <w:pStyle w:val="9"/>
        <w:spacing w:line="240" w:lineRule="auto"/>
        <w:ind w:firstLine="464" w:firstLineChars="200"/>
        <w:rPr>
          <w:rFonts w:hAnsi="宋体" w:cs="宋体"/>
          <w:sz w:val="24"/>
          <w:szCs w:val="24"/>
        </w:rPr>
      </w:pPr>
      <w:r>
        <w:rPr>
          <w:rFonts w:hint="eastAsia" w:hAnsi="宋体" w:cs="宋体"/>
          <w:sz w:val="24"/>
          <w:szCs w:val="24"/>
        </w:rPr>
        <w:t>1、本声明函主要供参加政府采购活动的中小企业填写，非中小企业无需填写。</w:t>
      </w:r>
    </w:p>
    <w:p>
      <w:pPr>
        <w:pStyle w:val="9"/>
        <w:spacing w:line="240" w:lineRule="auto"/>
        <w:ind w:firstLine="464" w:firstLineChars="200"/>
        <w:rPr>
          <w:rFonts w:hAnsi="宋体" w:cs="宋体"/>
          <w:sz w:val="24"/>
          <w:szCs w:val="24"/>
        </w:rPr>
      </w:pPr>
      <w:r>
        <w:rPr>
          <w:rFonts w:hint="eastAsia" w:hAnsi="宋体" w:cs="宋体"/>
          <w:sz w:val="24"/>
          <w:szCs w:val="24"/>
        </w:rPr>
        <w:t>2、小型、微型企业提供中型企业制造的货物的，视同为中型企业。</w:t>
      </w:r>
    </w:p>
    <w:p>
      <w:pPr>
        <w:pStyle w:val="9"/>
        <w:spacing w:line="360" w:lineRule="auto"/>
        <w:ind w:firstLine="464" w:firstLineChars="200"/>
        <w:rPr>
          <w:rFonts w:hAnsi="宋体" w:cs="宋体"/>
          <w:sz w:val="24"/>
          <w:szCs w:val="24"/>
        </w:rPr>
      </w:pPr>
    </w:p>
    <w:p>
      <w:pPr>
        <w:pStyle w:val="10"/>
        <w:spacing w:line="360" w:lineRule="auto"/>
        <w:ind w:firstLine="480" w:firstLineChars="200"/>
        <w:rPr>
          <w:rFonts w:hint="default" w:hAnsi="宋体" w:cs="宋体"/>
          <w:sz w:val="24"/>
          <w:szCs w:val="24"/>
        </w:rPr>
      </w:pPr>
      <w:r>
        <w:rPr>
          <w:rFonts w:hAnsi="宋体" w:cs="宋体"/>
          <w:sz w:val="24"/>
          <w:szCs w:val="24"/>
        </w:rPr>
        <w:t>本公司郑重声明，根据《政府采购促进中小企业发展暂行办法》（财库〔2011〕181号）的规定，本公司为______（请填写：中型、小型、微型）企业。即，本公司同时满足以下条件：</w:t>
      </w:r>
    </w:p>
    <w:p>
      <w:pPr>
        <w:pStyle w:val="10"/>
        <w:spacing w:line="360" w:lineRule="auto"/>
        <w:ind w:firstLine="480" w:firstLineChars="200"/>
        <w:rPr>
          <w:rFonts w:hint="default" w:hAnsi="宋体" w:cs="宋体"/>
          <w:sz w:val="24"/>
          <w:szCs w:val="24"/>
        </w:rPr>
      </w:pPr>
      <w:r>
        <w:rPr>
          <w:rFonts w:hAnsi="宋体" w:cs="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pStyle w:val="10"/>
        <w:spacing w:line="360" w:lineRule="auto"/>
        <w:ind w:firstLine="480" w:firstLineChars="200"/>
        <w:rPr>
          <w:rFonts w:hint="default" w:hAnsi="宋体" w:cs="宋体"/>
          <w:sz w:val="24"/>
          <w:szCs w:val="24"/>
        </w:rPr>
      </w:pPr>
      <w:r>
        <w:rPr>
          <w:rFonts w:hAnsi="宋体" w:cs="宋体"/>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0"/>
        <w:spacing w:line="360" w:lineRule="auto"/>
        <w:ind w:firstLine="480" w:firstLineChars="200"/>
        <w:rPr>
          <w:rFonts w:hint="default" w:hAnsi="宋体" w:cs="宋体"/>
          <w:sz w:val="24"/>
          <w:szCs w:val="24"/>
        </w:rPr>
      </w:pPr>
      <w:r>
        <w:rPr>
          <w:rFonts w:hAnsi="宋体" w:cs="宋体"/>
          <w:sz w:val="24"/>
          <w:szCs w:val="24"/>
        </w:rPr>
        <w:t>本公司对上述声明的真实性负责。如有虚假，将依法承担相应责任。</w:t>
      </w:r>
    </w:p>
    <w:p>
      <w:pPr>
        <w:pStyle w:val="10"/>
        <w:spacing w:line="360" w:lineRule="auto"/>
        <w:rPr>
          <w:rFonts w:hint="default" w:hAnsi="宋体" w:cs="宋体"/>
          <w:sz w:val="24"/>
          <w:szCs w:val="24"/>
        </w:rPr>
      </w:pPr>
    </w:p>
    <w:p>
      <w:pPr>
        <w:pStyle w:val="10"/>
        <w:spacing w:line="360" w:lineRule="auto"/>
        <w:ind w:firstLine="480" w:firstLineChars="200"/>
        <w:rPr>
          <w:rFonts w:hint="default" w:hAnsi="宋体" w:cs="宋体"/>
          <w:sz w:val="24"/>
          <w:szCs w:val="24"/>
        </w:rPr>
      </w:pPr>
    </w:p>
    <w:p>
      <w:pPr>
        <w:pStyle w:val="10"/>
        <w:spacing w:line="600" w:lineRule="exact"/>
        <w:rPr>
          <w:rFonts w:hint="default" w:hAnsi="宋体" w:cs="宋体"/>
          <w:sz w:val="24"/>
          <w:szCs w:val="24"/>
          <w:u w:val="single"/>
        </w:rPr>
      </w:pPr>
      <w:r>
        <w:rPr>
          <w:rFonts w:hAnsi="宋体" w:cs="宋体"/>
          <w:sz w:val="24"/>
          <w:szCs w:val="24"/>
        </w:rPr>
        <w:t>投标人（盖单位公章）：</w:t>
      </w:r>
      <w:r>
        <w:rPr>
          <w:rFonts w:hAnsi="宋体" w:cs="宋体"/>
          <w:sz w:val="24"/>
          <w:szCs w:val="24"/>
          <w:u w:val="single"/>
        </w:rPr>
        <w:t xml:space="preserve">                                    </w:t>
      </w:r>
    </w:p>
    <w:p>
      <w:pPr>
        <w:pStyle w:val="10"/>
        <w:spacing w:line="600" w:lineRule="exact"/>
        <w:rPr>
          <w:rFonts w:hint="default" w:hAnsi="宋体" w:cs="宋体"/>
          <w:sz w:val="24"/>
          <w:szCs w:val="24"/>
          <w:u w:val="single"/>
        </w:rPr>
      </w:pPr>
    </w:p>
    <w:p>
      <w:pPr>
        <w:pStyle w:val="10"/>
        <w:spacing w:line="500" w:lineRule="exact"/>
        <w:rPr>
          <w:rFonts w:hint="default" w:hAnsi="宋体" w:cs="宋体"/>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pPr>
        <w:spacing w:line="588" w:lineRule="exact"/>
        <w:jc w:val="left"/>
        <w:rPr>
          <w:rFonts w:ascii="宋体" w:hAnsi="宋体" w:cs="宋体"/>
          <w:sz w:val="24"/>
          <w:szCs w:val="24"/>
        </w:rPr>
      </w:pPr>
      <w:r>
        <w:rPr>
          <w:rFonts w:hint="eastAsia" w:ascii="宋体" w:hAnsi="宋体" w:cs="宋体"/>
        </w:rPr>
        <w:br w:type="page"/>
      </w:r>
      <w:bookmarkStart w:id="58" w:name="OLE_LINK13"/>
      <w:bookmarkStart w:id="59" w:name="OLE_LINK14"/>
      <w:r>
        <w:rPr>
          <w:rFonts w:hint="eastAsia" w:ascii="宋体" w:hAnsi="宋体" w:cs="宋体"/>
          <w:b/>
          <w:bCs/>
        </w:rPr>
        <w:t>格式4：</w:t>
      </w:r>
    </w:p>
    <w:p>
      <w:pPr>
        <w:pStyle w:val="10"/>
        <w:spacing w:line="500" w:lineRule="exact"/>
        <w:jc w:val="center"/>
        <w:rPr>
          <w:rFonts w:hint="default" w:hAnsi="宋体" w:cs="宋体"/>
          <w:b/>
          <w:bCs/>
          <w:sz w:val="30"/>
          <w:szCs w:val="30"/>
        </w:rPr>
      </w:pPr>
      <w:r>
        <w:rPr>
          <w:rFonts w:hAnsi="宋体" w:cs="宋体"/>
          <w:b/>
          <w:bCs/>
          <w:sz w:val="30"/>
          <w:szCs w:val="30"/>
        </w:rPr>
        <w:t>残疾人福利性单位声明函（格式）</w:t>
      </w:r>
    </w:p>
    <w:bookmarkEnd w:id="58"/>
    <w:bookmarkEnd w:id="59"/>
    <w:p>
      <w:pPr>
        <w:spacing w:line="588" w:lineRule="exact"/>
        <w:rPr>
          <w:rFonts w:ascii="宋体" w:hAnsi="宋体" w:cs="宋体"/>
          <w:b/>
          <w:bCs/>
          <w:spacing w:val="6"/>
          <w:sz w:val="30"/>
          <w:szCs w:val="30"/>
        </w:rPr>
      </w:pPr>
    </w:p>
    <w:p>
      <w:pPr>
        <w:pStyle w:val="10"/>
        <w:spacing w:line="360" w:lineRule="auto"/>
        <w:ind w:firstLine="480" w:firstLineChars="200"/>
        <w:rPr>
          <w:rFonts w:hint="default" w:hAnsi="宋体" w:cs="宋体"/>
          <w:sz w:val="24"/>
          <w:szCs w:val="24"/>
        </w:rPr>
      </w:pPr>
      <w:r>
        <w:rPr>
          <w:rFonts w:hAnsi="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0"/>
        <w:spacing w:line="360" w:lineRule="auto"/>
        <w:ind w:firstLine="480" w:firstLineChars="200"/>
        <w:rPr>
          <w:rFonts w:hint="default" w:hAnsi="宋体" w:cs="宋体"/>
          <w:sz w:val="24"/>
          <w:szCs w:val="24"/>
        </w:rPr>
      </w:pPr>
      <w:r>
        <w:rPr>
          <w:rFonts w:hAnsi="宋体" w:cs="宋体"/>
          <w:sz w:val="24"/>
          <w:szCs w:val="24"/>
        </w:rPr>
        <w:t>本单位对上述声明的真实性负责。如有虚假，将依法承担相应责任。</w:t>
      </w:r>
    </w:p>
    <w:p>
      <w:pPr>
        <w:pStyle w:val="10"/>
        <w:spacing w:line="360" w:lineRule="auto"/>
        <w:ind w:firstLine="480" w:firstLineChars="200"/>
        <w:rPr>
          <w:rFonts w:hint="default" w:hAnsi="宋体" w:cs="宋体"/>
          <w:sz w:val="24"/>
          <w:szCs w:val="24"/>
        </w:rPr>
      </w:pPr>
    </w:p>
    <w:p>
      <w:pPr>
        <w:pStyle w:val="10"/>
        <w:spacing w:line="360" w:lineRule="auto"/>
        <w:ind w:firstLine="480" w:firstLineChars="200"/>
        <w:rPr>
          <w:rFonts w:hint="default" w:hAnsi="宋体" w:cs="宋体"/>
          <w:sz w:val="24"/>
          <w:szCs w:val="24"/>
        </w:rPr>
      </w:pPr>
    </w:p>
    <w:p>
      <w:pPr>
        <w:pStyle w:val="10"/>
        <w:spacing w:line="360" w:lineRule="auto"/>
        <w:ind w:firstLine="480" w:firstLineChars="200"/>
        <w:rPr>
          <w:rFonts w:hint="default" w:hAnsi="宋体" w:cs="宋体"/>
          <w:sz w:val="24"/>
          <w:szCs w:val="24"/>
        </w:rPr>
      </w:pPr>
      <w:r>
        <w:rPr>
          <w:rFonts w:hAnsi="宋体" w:cs="宋体"/>
          <w:sz w:val="24"/>
          <w:szCs w:val="24"/>
        </w:rPr>
        <w:t xml:space="preserve">                                       单位名称（盖章）：</w:t>
      </w:r>
    </w:p>
    <w:p>
      <w:pPr>
        <w:pStyle w:val="10"/>
        <w:spacing w:line="360" w:lineRule="auto"/>
        <w:ind w:firstLine="480" w:firstLineChars="200"/>
        <w:rPr>
          <w:rFonts w:hint="default" w:hAnsi="宋体" w:cs="宋体"/>
          <w:sz w:val="24"/>
          <w:szCs w:val="24"/>
        </w:rPr>
      </w:pPr>
      <w:r>
        <w:rPr>
          <w:rFonts w:hAnsi="宋体" w:cs="宋体"/>
          <w:sz w:val="24"/>
          <w:szCs w:val="24"/>
        </w:rPr>
        <w:t xml:space="preserve">                                       日  期：</w:t>
      </w:r>
    </w:p>
    <w:p>
      <w:pPr>
        <w:pStyle w:val="10"/>
        <w:spacing w:line="360" w:lineRule="auto"/>
        <w:rPr>
          <w:rFonts w:hint="default" w:hAnsi="宋体" w:cs="宋体"/>
        </w:rPr>
      </w:pPr>
      <w:r>
        <w:rPr>
          <w:rFonts w:hAnsi="宋体" w:cs="宋体"/>
        </w:rPr>
        <w:br w:type="page"/>
      </w:r>
      <w:r>
        <w:rPr>
          <w:rFonts w:hAnsi="宋体" w:cs="宋体"/>
          <w:b/>
          <w:bCs/>
        </w:rPr>
        <w:t>格式5：</w:t>
      </w:r>
    </w:p>
    <w:p>
      <w:pPr>
        <w:pStyle w:val="10"/>
        <w:spacing w:line="500" w:lineRule="exact"/>
        <w:jc w:val="center"/>
        <w:rPr>
          <w:rFonts w:hint="default" w:hAnsi="宋体" w:cs="宋体"/>
          <w:b/>
          <w:bCs/>
          <w:sz w:val="30"/>
          <w:szCs w:val="30"/>
        </w:rPr>
      </w:pPr>
      <w:r>
        <w:rPr>
          <w:rFonts w:hAnsi="宋体" w:cs="宋体"/>
          <w:b/>
          <w:bCs/>
          <w:sz w:val="30"/>
          <w:szCs w:val="30"/>
        </w:rPr>
        <w:t>广西工业产品声明函（格式）</w:t>
      </w:r>
    </w:p>
    <w:p>
      <w:pPr>
        <w:pStyle w:val="10"/>
        <w:rPr>
          <w:rFonts w:hint="default" w:hAnsi="宋体" w:cs="宋体"/>
          <w:b/>
          <w:bCs/>
          <w:sz w:val="24"/>
          <w:szCs w:val="24"/>
        </w:rPr>
      </w:pPr>
    </w:p>
    <w:p>
      <w:pPr>
        <w:pStyle w:val="9"/>
        <w:spacing w:line="240" w:lineRule="auto"/>
        <w:ind w:firstLine="0"/>
        <w:rPr>
          <w:rFonts w:hAnsi="宋体" w:cs="宋体"/>
          <w:sz w:val="24"/>
          <w:szCs w:val="24"/>
        </w:rPr>
      </w:pPr>
      <w:r>
        <w:rPr>
          <w:rFonts w:hint="eastAsia" w:hAnsi="宋体" w:cs="宋体"/>
          <w:sz w:val="24"/>
          <w:szCs w:val="24"/>
        </w:rPr>
        <w:t>说明：</w:t>
      </w:r>
    </w:p>
    <w:p>
      <w:pPr>
        <w:pStyle w:val="9"/>
        <w:spacing w:line="240" w:lineRule="auto"/>
        <w:ind w:firstLine="0"/>
        <w:rPr>
          <w:rFonts w:hAnsi="宋体" w:cs="宋体"/>
          <w:sz w:val="24"/>
          <w:szCs w:val="24"/>
        </w:rPr>
      </w:pPr>
      <w:r>
        <w:rPr>
          <w:rFonts w:hint="eastAsia" w:hAnsi="宋体" w:cs="宋体"/>
          <w:sz w:val="24"/>
          <w:szCs w:val="24"/>
        </w:rPr>
        <w:t>1、本文件所指广西工业产品，是指广西境内生产的工业产品，具体以生产企业的工商营业执照注册所在地为准。</w:t>
      </w:r>
    </w:p>
    <w:p>
      <w:pPr>
        <w:pStyle w:val="9"/>
        <w:spacing w:line="240" w:lineRule="auto"/>
        <w:ind w:firstLine="0"/>
        <w:rPr>
          <w:rFonts w:hAnsi="宋体" w:cs="宋体"/>
          <w:sz w:val="24"/>
          <w:szCs w:val="24"/>
        </w:rPr>
      </w:pPr>
      <w:r>
        <w:rPr>
          <w:rFonts w:hint="eastAsia" w:hAnsi="宋体" w:cs="宋体"/>
          <w:sz w:val="24"/>
          <w:szCs w:val="24"/>
        </w:rPr>
        <w:t>2、本细则所指使用广西工业产品 80%以上，是指参加政府采购项目或招标项目时供货范围中采用广西工业产品的金额占本次投标或投标总金额的80%以上（含）；或者工程建设使用广西工业产品占工程建设所需产品总金额的80%以上（含）。</w:t>
      </w:r>
    </w:p>
    <w:p>
      <w:pPr>
        <w:pStyle w:val="9"/>
        <w:spacing w:line="240" w:lineRule="auto"/>
        <w:ind w:firstLine="0"/>
        <w:rPr>
          <w:rFonts w:hAnsi="宋体" w:cs="宋体"/>
          <w:sz w:val="24"/>
          <w:szCs w:val="24"/>
        </w:rPr>
      </w:pPr>
      <w:r>
        <w:rPr>
          <w:rFonts w:hint="eastAsia" w:hAnsi="宋体" w:cs="宋体"/>
          <w:sz w:val="24"/>
          <w:szCs w:val="24"/>
        </w:rPr>
        <w:t>3、发现投标人提供虚假材料、采购单位履约过程中中标供应商未按投标文件《广西工业产品声明函》中使用广西工业产品或者使用广西工业产品未达80%以上的，按照有关法律法规追究其相关责任。</w:t>
      </w:r>
    </w:p>
    <w:p>
      <w:pPr>
        <w:pStyle w:val="9"/>
        <w:spacing w:line="240" w:lineRule="auto"/>
        <w:ind w:firstLine="0"/>
        <w:rPr>
          <w:rFonts w:hAnsi="宋体" w:cs="宋体"/>
          <w:sz w:val="24"/>
          <w:szCs w:val="24"/>
        </w:rPr>
      </w:pPr>
    </w:p>
    <w:p>
      <w:pPr>
        <w:pStyle w:val="9"/>
        <w:spacing w:line="240" w:lineRule="auto"/>
        <w:ind w:firstLine="464" w:firstLineChars="200"/>
        <w:rPr>
          <w:rFonts w:hAnsi="宋体" w:cs="宋体"/>
          <w:sz w:val="24"/>
          <w:szCs w:val="24"/>
        </w:rPr>
      </w:pPr>
      <w:r>
        <w:rPr>
          <w:rFonts w:hint="eastAsia" w:hAnsi="宋体" w:cs="宋体"/>
          <w:sz w:val="24"/>
          <w:szCs w:val="24"/>
        </w:rPr>
        <w:t>本公司郑重声明，根据《招标采购促进广西工业产品产销对接实施细则》的规定，本公司在本次投标∕投标中或者工程项目中提供的下述产品为广西工业产品，详情如下：</w:t>
      </w:r>
    </w:p>
    <w:p>
      <w:pPr>
        <w:pStyle w:val="10"/>
        <w:rPr>
          <w:rFonts w:hint="default" w:hAnsi="宋体" w:cs="宋体"/>
          <w:sz w:val="24"/>
          <w:szCs w:val="24"/>
          <w:u w:val="single"/>
        </w:rPr>
      </w:pPr>
      <w:r>
        <w:rPr>
          <w:rFonts w:hAnsi="宋体" w:cs="宋体"/>
          <w:sz w:val="24"/>
          <w:szCs w:val="24"/>
          <w:u w:val="single"/>
        </w:rPr>
        <w:t>　　分标（有分标时填写）</w:t>
      </w:r>
    </w:p>
    <w:tbl>
      <w:tblPr>
        <w:tblStyle w:val="18"/>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vAlign w:val="center"/>
          </w:tcPr>
          <w:p>
            <w:pPr>
              <w:pStyle w:val="10"/>
              <w:jc w:val="center"/>
              <w:rPr>
                <w:rFonts w:hint="default" w:hAnsi="宋体" w:cs="宋体"/>
                <w:sz w:val="24"/>
                <w:szCs w:val="24"/>
                <w:u w:val="single"/>
              </w:rPr>
            </w:pPr>
            <w:r>
              <w:rPr>
                <w:rFonts w:hAnsi="宋体" w:cs="宋体"/>
                <w:sz w:val="24"/>
                <w:szCs w:val="24"/>
                <w:u w:val="single"/>
              </w:rPr>
              <w:t>序号</w:t>
            </w:r>
          </w:p>
        </w:tc>
        <w:tc>
          <w:tcPr>
            <w:tcW w:w="2164" w:type="dxa"/>
            <w:vAlign w:val="center"/>
          </w:tcPr>
          <w:p>
            <w:pPr>
              <w:pStyle w:val="10"/>
              <w:jc w:val="center"/>
              <w:rPr>
                <w:rFonts w:hint="default" w:hAnsi="宋体" w:cs="宋体"/>
                <w:sz w:val="24"/>
                <w:szCs w:val="24"/>
                <w:u w:val="single"/>
              </w:rPr>
            </w:pPr>
            <w:r>
              <w:rPr>
                <w:rFonts w:hAnsi="宋体" w:cs="宋体"/>
                <w:sz w:val="24"/>
                <w:szCs w:val="24"/>
                <w:u w:val="single"/>
              </w:rPr>
              <w:t>产品名称</w:t>
            </w:r>
          </w:p>
        </w:tc>
        <w:tc>
          <w:tcPr>
            <w:tcW w:w="1417" w:type="dxa"/>
            <w:vAlign w:val="center"/>
          </w:tcPr>
          <w:p>
            <w:pPr>
              <w:pStyle w:val="10"/>
              <w:jc w:val="center"/>
              <w:rPr>
                <w:rFonts w:hint="default" w:hAnsi="宋体" w:cs="宋体"/>
                <w:sz w:val="24"/>
                <w:szCs w:val="24"/>
                <w:u w:val="single"/>
              </w:rPr>
            </w:pPr>
            <w:r>
              <w:rPr>
                <w:rFonts w:hAnsi="宋体" w:cs="宋体"/>
                <w:sz w:val="24"/>
                <w:szCs w:val="24"/>
                <w:u w:val="single"/>
              </w:rPr>
              <w:t>型号和规格</w:t>
            </w:r>
          </w:p>
        </w:tc>
        <w:tc>
          <w:tcPr>
            <w:tcW w:w="709" w:type="dxa"/>
            <w:vAlign w:val="center"/>
          </w:tcPr>
          <w:p>
            <w:pPr>
              <w:pStyle w:val="10"/>
              <w:jc w:val="center"/>
              <w:rPr>
                <w:rFonts w:hint="default" w:hAnsi="宋体" w:cs="宋体"/>
                <w:sz w:val="24"/>
                <w:szCs w:val="24"/>
                <w:u w:val="single"/>
              </w:rPr>
            </w:pPr>
            <w:r>
              <w:rPr>
                <w:rFonts w:hAnsi="宋体" w:cs="宋体"/>
                <w:sz w:val="24"/>
                <w:szCs w:val="24"/>
                <w:u w:val="single"/>
              </w:rPr>
              <w:t>数量</w:t>
            </w:r>
          </w:p>
        </w:tc>
        <w:tc>
          <w:tcPr>
            <w:tcW w:w="2268" w:type="dxa"/>
            <w:vAlign w:val="center"/>
          </w:tcPr>
          <w:p>
            <w:pPr>
              <w:pStyle w:val="10"/>
              <w:jc w:val="center"/>
              <w:rPr>
                <w:rFonts w:hint="default" w:hAnsi="宋体" w:cs="宋体"/>
                <w:sz w:val="24"/>
                <w:szCs w:val="24"/>
                <w:u w:val="single"/>
              </w:rPr>
            </w:pPr>
            <w:r>
              <w:rPr>
                <w:rFonts w:hAnsi="宋体" w:cs="宋体"/>
                <w:sz w:val="24"/>
                <w:szCs w:val="24"/>
                <w:u w:val="single"/>
              </w:rPr>
              <w:t>制造厂商及原产地</w:t>
            </w:r>
          </w:p>
        </w:tc>
        <w:tc>
          <w:tcPr>
            <w:tcW w:w="1474" w:type="dxa"/>
            <w:vAlign w:val="center"/>
          </w:tcPr>
          <w:p>
            <w:pPr>
              <w:pStyle w:val="10"/>
              <w:jc w:val="center"/>
              <w:rPr>
                <w:rFonts w:hint="default" w:hAnsi="宋体" w:cs="宋体"/>
                <w:sz w:val="24"/>
                <w:szCs w:val="24"/>
                <w:u w:val="single"/>
              </w:rPr>
            </w:pPr>
            <w:r>
              <w:rPr>
                <w:rFonts w:hAnsi="宋体" w:cs="宋体"/>
                <w:sz w:val="24"/>
                <w:szCs w:val="24"/>
                <w:u w:val="single"/>
              </w:rPr>
              <w:t>投标价</w:t>
            </w:r>
          </w:p>
        </w:tc>
        <w:tc>
          <w:tcPr>
            <w:tcW w:w="893" w:type="dxa"/>
            <w:vAlign w:val="center"/>
          </w:tcPr>
          <w:p>
            <w:pPr>
              <w:pStyle w:val="10"/>
              <w:jc w:val="center"/>
              <w:rPr>
                <w:rFonts w:hint="default" w:hAnsi="宋体" w:cs="宋体"/>
                <w:sz w:val="24"/>
                <w:szCs w:val="24"/>
                <w:u w:val="single"/>
              </w:rPr>
            </w:pPr>
            <w:r>
              <w:rPr>
                <w:rFonts w:hAnsi="宋体" w:cs="宋体"/>
                <w:sz w:val="24"/>
                <w:szCs w:val="24"/>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vAlign w:val="center"/>
          </w:tcPr>
          <w:p>
            <w:pPr>
              <w:pStyle w:val="10"/>
              <w:jc w:val="center"/>
              <w:rPr>
                <w:rFonts w:hint="default" w:hAnsi="宋体" w:cs="宋体"/>
                <w:sz w:val="24"/>
                <w:szCs w:val="24"/>
                <w:u w:val="single"/>
              </w:rPr>
            </w:pPr>
            <w:r>
              <w:rPr>
                <w:rFonts w:hAnsi="宋体" w:cs="宋体"/>
                <w:sz w:val="24"/>
                <w:szCs w:val="24"/>
                <w:u w:val="single"/>
              </w:rPr>
              <w:t>1</w:t>
            </w:r>
          </w:p>
        </w:tc>
        <w:tc>
          <w:tcPr>
            <w:tcW w:w="2164" w:type="dxa"/>
            <w:vAlign w:val="center"/>
          </w:tcPr>
          <w:p>
            <w:pPr>
              <w:pStyle w:val="10"/>
              <w:jc w:val="center"/>
              <w:rPr>
                <w:rFonts w:hint="default" w:hAnsi="宋体" w:cs="宋体"/>
                <w:sz w:val="24"/>
                <w:szCs w:val="24"/>
                <w:u w:val="single"/>
              </w:rPr>
            </w:pPr>
          </w:p>
        </w:tc>
        <w:tc>
          <w:tcPr>
            <w:tcW w:w="1417" w:type="dxa"/>
            <w:vAlign w:val="center"/>
          </w:tcPr>
          <w:p>
            <w:pPr>
              <w:pStyle w:val="10"/>
              <w:jc w:val="center"/>
              <w:rPr>
                <w:rFonts w:hint="default" w:hAnsi="宋体" w:cs="宋体"/>
                <w:sz w:val="24"/>
                <w:szCs w:val="24"/>
                <w:u w:val="single"/>
              </w:rPr>
            </w:pPr>
          </w:p>
        </w:tc>
        <w:tc>
          <w:tcPr>
            <w:tcW w:w="709" w:type="dxa"/>
            <w:vAlign w:val="center"/>
          </w:tcPr>
          <w:p>
            <w:pPr>
              <w:pStyle w:val="10"/>
              <w:jc w:val="center"/>
              <w:rPr>
                <w:rFonts w:hint="default" w:hAnsi="宋体" w:cs="宋体"/>
                <w:sz w:val="24"/>
                <w:szCs w:val="24"/>
                <w:u w:val="single"/>
              </w:rPr>
            </w:pPr>
          </w:p>
        </w:tc>
        <w:tc>
          <w:tcPr>
            <w:tcW w:w="2268" w:type="dxa"/>
            <w:vAlign w:val="center"/>
          </w:tcPr>
          <w:p>
            <w:pPr>
              <w:pStyle w:val="10"/>
              <w:jc w:val="center"/>
              <w:rPr>
                <w:rFonts w:hint="default" w:hAnsi="宋体" w:cs="宋体"/>
                <w:sz w:val="24"/>
                <w:szCs w:val="24"/>
                <w:u w:val="single"/>
              </w:rPr>
            </w:pPr>
          </w:p>
        </w:tc>
        <w:tc>
          <w:tcPr>
            <w:tcW w:w="1474" w:type="dxa"/>
            <w:vAlign w:val="center"/>
          </w:tcPr>
          <w:p>
            <w:pPr>
              <w:pStyle w:val="10"/>
              <w:jc w:val="center"/>
              <w:rPr>
                <w:rFonts w:hint="default" w:hAnsi="宋体" w:cs="宋体"/>
                <w:sz w:val="24"/>
                <w:szCs w:val="24"/>
                <w:u w:val="single"/>
              </w:rPr>
            </w:pPr>
          </w:p>
        </w:tc>
        <w:tc>
          <w:tcPr>
            <w:tcW w:w="893" w:type="dxa"/>
            <w:vAlign w:val="center"/>
          </w:tcPr>
          <w:p>
            <w:pPr>
              <w:pStyle w:val="10"/>
              <w:jc w:val="center"/>
              <w:rPr>
                <w:rFonts w:hint="default" w:hAnsi="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vAlign w:val="center"/>
          </w:tcPr>
          <w:p>
            <w:pPr>
              <w:pStyle w:val="10"/>
              <w:jc w:val="center"/>
              <w:rPr>
                <w:rFonts w:hint="default" w:hAnsi="宋体" w:cs="宋体"/>
                <w:sz w:val="24"/>
                <w:szCs w:val="24"/>
                <w:u w:val="single"/>
              </w:rPr>
            </w:pPr>
            <w:r>
              <w:rPr>
                <w:rFonts w:hAnsi="宋体" w:cs="宋体"/>
                <w:sz w:val="24"/>
                <w:szCs w:val="24"/>
                <w:u w:val="single"/>
              </w:rPr>
              <w:t>2</w:t>
            </w:r>
          </w:p>
        </w:tc>
        <w:tc>
          <w:tcPr>
            <w:tcW w:w="2164" w:type="dxa"/>
            <w:vAlign w:val="center"/>
          </w:tcPr>
          <w:p>
            <w:pPr>
              <w:pStyle w:val="10"/>
              <w:jc w:val="center"/>
              <w:rPr>
                <w:rFonts w:hint="default" w:hAnsi="宋体" w:cs="宋体"/>
                <w:sz w:val="24"/>
                <w:szCs w:val="24"/>
                <w:u w:val="single"/>
              </w:rPr>
            </w:pPr>
          </w:p>
        </w:tc>
        <w:tc>
          <w:tcPr>
            <w:tcW w:w="1417" w:type="dxa"/>
            <w:vAlign w:val="center"/>
          </w:tcPr>
          <w:p>
            <w:pPr>
              <w:pStyle w:val="10"/>
              <w:jc w:val="center"/>
              <w:rPr>
                <w:rFonts w:hint="default" w:hAnsi="宋体" w:cs="宋体"/>
                <w:sz w:val="24"/>
                <w:szCs w:val="24"/>
                <w:u w:val="single"/>
              </w:rPr>
            </w:pPr>
          </w:p>
        </w:tc>
        <w:tc>
          <w:tcPr>
            <w:tcW w:w="709" w:type="dxa"/>
            <w:vAlign w:val="center"/>
          </w:tcPr>
          <w:p>
            <w:pPr>
              <w:pStyle w:val="10"/>
              <w:jc w:val="center"/>
              <w:rPr>
                <w:rFonts w:hint="default" w:hAnsi="宋体" w:cs="宋体"/>
                <w:sz w:val="24"/>
                <w:szCs w:val="24"/>
                <w:u w:val="single"/>
              </w:rPr>
            </w:pPr>
          </w:p>
        </w:tc>
        <w:tc>
          <w:tcPr>
            <w:tcW w:w="2268" w:type="dxa"/>
            <w:vAlign w:val="center"/>
          </w:tcPr>
          <w:p>
            <w:pPr>
              <w:pStyle w:val="10"/>
              <w:jc w:val="center"/>
              <w:rPr>
                <w:rFonts w:hint="default" w:hAnsi="宋体" w:cs="宋体"/>
                <w:sz w:val="24"/>
                <w:szCs w:val="24"/>
                <w:u w:val="single"/>
              </w:rPr>
            </w:pPr>
          </w:p>
        </w:tc>
        <w:tc>
          <w:tcPr>
            <w:tcW w:w="1474" w:type="dxa"/>
            <w:vAlign w:val="center"/>
          </w:tcPr>
          <w:p>
            <w:pPr>
              <w:pStyle w:val="10"/>
              <w:jc w:val="center"/>
              <w:rPr>
                <w:rFonts w:hint="default" w:hAnsi="宋体" w:cs="宋体"/>
                <w:sz w:val="24"/>
                <w:szCs w:val="24"/>
                <w:u w:val="single"/>
              </w:rPr>
            </w:pPr>
          </w:p>
        </w:tc>
        <w:tc>
          <w:tcPr>
            <w:tcW w:w="893" w:type="dxa"/>
            <w:vAlign w:val="center"/>
          </w:tcPr>
          <w:p>
            <w:pPr>
              <w:pStyle w:val="10"/>
              <w:jc w:val="center"/>
              <w:rPr>
                <w:rFonts w:hint="default" w:hAnsi="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vAlign w:val="center"/>
          </w:tcPr>
          <w:p>
            <w:pPr>
              <w:pStyle w:val="10"/>
              <w:jc w:val="center"/>
              <w:rPr>
                <w:rFonts w:hint="default" w:hAnsi="宋体" w:cs="宋体"/>
                <w:sz w:val="24"/>
                <w:szCs w:val="24"/>
                <w:u w:val="single"/>
              </w:rPr>
            </w:pPr>
            <w:r>
              <w:rPr>
                <w:rFonts w:hAnsi="宋体" w:cs="宋体"/>
                <w:sz w:val="24"/>
                <w:szCs w:val="24"/>
                <w:u w:val="single"/>
              </w:rPr>
              <w:t>……</w:t>
            </w:r>
          </w:p>
        </w:tc>
        <w:tc>
          <w:tcPr>
            <w:tcW w:w="2164" w:type="dxa"/>
            <w:vAlign w:val="center"/>
          </w:tcPr>
          <w:p>
            <w:pPr>
              <w:pStyle w:val="10"/>
              <w:jc w:val="center"/>
              <w:rPr>
                <w:rFonts w:hint="default" w:hAnsi="宋体" w:cs="宋体"/>
                <w:sz w:val="24"/>
                <w:szCs w:val="24"/>
                <w:u w:val="single"/>
              </w:rPr>
            </w:pPr>
          </w:p>
        </w:tc>
        <w:tc>
          <w:tcPr>
            <w:tcW w:w="1417" w:type="dxa"/>
            <w:vAlign w:val="center"/>
          </w:tcPr>
          <w:p>
            <w:pPr>
              <w:pStyle w:val="10"/>
              <w:jc w:val="center"/>
              <w:rPr>
                <w:rFonts w:hint="default" w:hAnsi="宋体" w:cs="宋体"/>
                <w:sz w:val="24"/>
                <w:szCs w:val="24"/>
                <w:u w:val="single"/>
              </w:rPr>
            </w:pPr>
          </w:p>
        </w:tc>
        <w:tc>
          <w:tcPr>
            <w:tcW w:w="709" w:type="dxa"/>
            <w:vAlign w:val="center"/>
          </w:tcPr>
          <w:p>
            <w:pPr>
              <w:pStyle w:val="10"/>
              <w:jc w:val="center"/>
              <w:rPr>
                <w:rFonts w:hint="default" w:hAnsi="宋体" w:cs="宋体"/>
                <w:sz w:val="24"/>
                <w:szCs w:val="24"/>
                <w:u w:val="single"/>
              </w:rPr>
            </w:pPr>
          </w:p>
        </w:tc>
        <w:tc>
          <w:tcPr>
            <w:tcW w:w="2268" w:type="dxa"/>
            <w:vAlign w:val="center"/>
          </w:tcPr>
          <w:p>
            <w:pPr>
              <w:pStyle w:val="10"/>
              <w:jc w:val="center"/>
              <w:rPr>
                <w:rFonts w:hint="default" w:hAnsi="宋体" w:cs="宋体"/>
                <w:sz w:val="24"/>
                <w:szCs w:val="24"/>
                <w:u w:val="single"/>
              </w:rPr>
            </w:pPr>
          </w:p>
        </w:tc>
        <w:tc>
          <w:tcPr>
            <w:tcW w:w="1474" w:type="dxa"/>
            <w:vAlign w:val="center"/>
          </w:tcPr>
          <w:p>
            <w:pPr>
              <w:pStyle w:val="10"/>
              <w:jc w:val="center"/>
              <w:rPr>
                <w:rFonts w:hint="default" w:hAnsi="宋体" w:cs="宋体"/>
                <w:sz w:val="24"/>
                <w:szCs w:val="24"/>
                <w:u w:val="single"/>
              </w:rPr>
            </w:pPr>
          </w:p>
        </w:tc>
        <w:tc>
          <w:tcPr>
            <w:tcW w:w="893" w:type="dxa"/>
            <w:vAlign w:val="center"/>
          </w:tcPr>
          <w:p>
            <w:pPr>
              <w:pStyle w:val="10"/>
              <w:jc w:val="center"/>
              <w:rPr>
                <w:rFonts w:hint="default" w:hAnsi="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pStyle w:val="10"/>
              <w:jc w:val="center"/>
              <w:rPr>
                <w:rFonts w:hint="default" w:hAnsi="宋体" w:cs="宋体"/>
                <w:sz w:val="24"/>
                <w:szCs w:val="24"/>
                <w:u w:val="single"/>
              </w:rPr>
            </w:pPr>
          </w:p>
        </w:tc>
        <w:tc>
          <w:tcPr>
            <w:tcW w:w="2164" w:type="dxa"/>
            <w:vAlign w:val="center"/>
          </w:tcPr>
          <w:p>
            <w:pPr>
              <w:pStyle w:val="10"/>
              <w:jc w:val="center"/>
              <w:rPr>
                <w:rFonts w:hint="default" w:hAnsi="宋体" w:cs="宋体"/>
                <w:sz w:val="24"/>
                <w:szCs w:val="24"/>
                <w:u w:val="single"/>
              </w:rPr>
            </w:pPr>
            <w:r>
              <w:rPr>
                <w:rFonts w:hAnsi="宋体" w:cs="宋体"/>
                <w:sz w:val="24"/>
                <w:szCs w:val="24"/>
                <w:u w:val="single"/>
              </w:rPr>
              <w:t>广西工业产品</w:t>
            </w:r>
          </w:p>
          <w:p>
            <w:pPr>
              <w:pStyle w:val="10"/>
              <w:jc w:val="center"/>
              <w:rPr>
                <w:rFonts w:hint="default" w:hAnsi="宋体" w:cs="宋体"/>
                <w:sz w:val="24"/>
                <w:szCs w:val="24"/>
                <w:u w:val="single"/>
              </w:rPr>
            </w:pPr>
            <w:r>
              <w:rPr>
                <w:rFonts w:hAnsi="宋体" w:cs="宋体"/>
                <w:sz w:val="24"/>
                <w:szCs w:val="24"/>
                <w:u w:val="single"/>
              </w:rPr>
              <w:t>合计价格：</w:t>
            </w:r>
          </w:p>
        </w:tc>
        <w:tc>
          <w:tcPr>
            <w:tcW w:w="2126" w:type="dxa"/>
            <w:gridSpan w:val="2"/>
            <w:vAlign w:val="center"/>
          </w:tcPr>
          <w:p>
            <w:pPr>
              <w:pStyle w:val="10"/>
              <w:jc w:val="center"/>
              <w:rPr>
                <w:rFonts w:hint="default" w:hAnsi="宋体" w:cs="宋体"/>
                <w:sz w:val="24"/>
                <w:szCs w:val="24"/>
                <w:u w:val="single"/>
              </w:rPr>
            </w:pPr>
          </w:p>
        </w:tc>
        <w:tc>
          <w:tcPr>
            <w:tcW w:w="2268" w:type="dxa"/>
            <w:vAlign w:val="center"/>
          </w:tcPr>
          <w:p>
            <w:pPr>
              <w:pStyle w:val="10"/>
              <w:jc w:val="center"/>
              <w:rPr>
                <w:rFonts w:hint="default" w:hAnsi="宋体" w:cs="宋体"/>
                <w:sz w:val="24"/>
                <w:szCs w:val="24"/>
                <w:u w:val="single"/>
              </w:rPr>
            </w:pPr>
            <w:r>
              <w:rPr>
                <w:rFonts w:hAnsi="宋体" w:cs="宋体"/>
                <w:sz w:val="24"/>
                <w:szCs w:val="24"/>
                <w:u w:val="single"/>
              </w:rPr>
              <w:t>占投标总价比例：</w:t>
            </w:r>
          </w:p>
        </w:tc>
        <w:tc>
          <w:tcPr>
            <w:tcW w:w="2367" w:type="dxa"/>
            <w:gridSpan w:val="2"/>
            <w:vAlign w:val="center"/>
          </w:tcPr>
          <w:p>
            <w:pPr>
              <w:pStyle w:val="10"/>
              <w:jc w:val="center"/>
              <w:rPr>
                <w:rFonts w:hint="default" w:hAnsi="宋体" w:cs="宋体"/>
                <w:sz w:val="24"/>
                <w:szCs w:val="24"/>
                <w:u w:val="single"/>
              </w:rPr>
            </w:pPr>
          </w:p>
        </w:tc>
      </w:tr>
    </w:tbl>
    <w:p>
      <w:pPr>
        <w:pStyle w:val="10"/>
        <w:ind w:firstLine="420"/>
        <w:rPr>
          <w:rFonts w:hint="default" w:hAnsi="宋体" w:cs="宋体"/>
          <w:sz w:val="24"/>
          <w:szCs w:val="24"/>
        </w:rPr>
      </w:pPr>
      <w:r>
        <w:rPr>
          <w:rFonts w:hAnsi="宋体" w:cs="宋体"/>
          <w:sz w:val="24"/>
          <w:szCs w:val="24"/>
        </w:rPr>
        <w:t>本公司对上述声明的真实性负责。如有虚假，将依法承担相应责任。</w:t>
      </w: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spacing w:line="600" w:lineRule="exact"/>
        <w:rPr>
          <w:rFonts w:hint="default" w:hAnsi="宋体" w:cs="宋体"/>
          <w:sz w:val="24"/>
          <w:szCs w:val="24"/>
          <w:u w:val="single"/>
        </w:rPr>
      </w:pPr>
      <w:r>
        <w:rPr>
          <w:rFonts w:hAnsi="宋体" w:cs="宋体"/>
          <w:sz w:val="24"/>
          <w:szCs w:val="24"/>
        </w:rPr>
        <w:t>投标人（盖单位公章）：</w:t>
      </w:r>
      <w:r>
        <w:rPr>
          <w:rFonts w:hAnsi="宋体" w:cs="宋体"/>
          <w:sz w:val="24"/>
          <w:szCs w:val="24"/>
          <w:u w:val="single"/>
        </w:rPr>
        <w:t xml:space="preserve">                                    </w:t>
      </w:r>
    </w:p>
    <w:p>
      <w:pPr>
        <w:pStyle w:val="10"/>
        <w:spacing w:line="600" w:lineRule="exact"/>
        <w:rPr>
          <w:rFonts w:hint="default" w:hAnsi="宋体" w:cs="宋体"/>
          <w:sz w:val="24"/>
          <w:szCs w:val="24"/>
          <w:u w:val="single"/>
        </w:rPr>
      </w:pPr>
    </w:p>
    <w:p>
      <w:pPr>
        <w:pStyle w:val="10"/>
        <w:spacing w:line="500" w:lineRule="exact"/>
        <w:rPr>
          <w:rFonts w:hint="default" w:hAnsi="宋体" w:cs="宋体"/>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pPr>
        <w:spacing w:line="588" w:lineRule="exact"/>
        <w:jc w:val="left"/>
        <w:rPr>
          <w:rFonts w:ascii="宋体" w:hAnsi="宋体" w:cs="宋体"/>
          <w:sz w:val="24"/>
          <w:szCs w:val="24"/>
        </w:rPr>
      </w:pPr>
      <w:r>
        <w:rPr>
          <w:rFonts w:hint="eastAsia" w:ascii="宋体" w:hAnsi="宋体" w:cs="宋体"/>
          <w:sz w:val="24"/>
          <w:szCs w:val="24"/>
        </w:rPr>
        <w:br w:type="page"/>
      </w:r>
      <w:r>
        <w:rPr>
          <w:rFonts w:hint="eastAsia" w:ascii="宋体" w:hAnsi="宋体" w:cs="宋体"/>
          <w:b/>
          <w:bCs/>
        </w:rPr>
        <w:t>格式6：</w:t>
      </w:r>
    </w:p>
    <w:p>
      <w:pPr>
        <w:spacing w:line="588" w:lineRule="exact"/>
        <w:jc w:val="center"/>
        <w:rPr>
          <w:rFonts w:ascii="宋体" w:hAnsi="宋体" w:cs="宋体"/>
          <w:b/>
          <w:bCs/>
          <w:spacing w:val="6"/>
          <w:sz w:val="30"/>
          <w:szCs w:val="30"/>
        </w:rPr>
      </w:pPr>
    </w:p>
    <w:p>
      <w:pPr>
        <w:spacing w:line="588" w:lineRule="exact"/>
        <w:jc w:val="center"/>
        <w:rPr>
          <w:rFonts w:ascii="宋体" w:hAnsi="宋体" w:cs="宋体"/>
          <w:b/>
          <w:bCs/>
          <w:spacing w:val="6"/>
          <w:sz w:val="30"/>
          <w:szCs w:val="30"/>
        </w:rPr>
      </w:pPr>
      <w:r>
        <w:rPr>
          <w:rFonts w:hint="eastAsia" w:ascii="宋体" w:hAnsi="宋体" w:cs="宋体"/>
          <w:b/>
          <w:bCs/>
          <w:spacing w:val="6"/>
          <w:sz w:val="30"/>
          <w:szCs w:val="30"/>
        </w:rPr>
        <w:t>资格声明函（格式）</w:t>
      </w:r>
    </w:p>
    <w:p>
      <w:pPr>
        <w:pStyle w:val="16"/>
        <w:shd w:val="clear" w:color="auto" w:fill="FFFFFF"/>
        <w:spacing w:before="0" w:beforeAutospacing="0" w:after="0" w:afterAutospacing="0" w:line="360" w:lineRule="atLeast"/>
        <w:jc w:val="center"/>
        <w:rPr>
          <w:sz w:val="18"/>
          <w:szCs w:val="18"/>
        </w:rPr>
      </w:pPr>
    </w:p>
    <w:p>
      <w:pPr>
        <w:pStyle w:val="10"/>
        <w:spacing w:line="440" w:lineRule="exact"/>
        <w:ind w:firstLine="480" w:firstLineChars="200"/>
        <w:rPr>
          <w:rFonts w:hint="default" w:hAnsi="宋体" w:cs="宋体"/>
          <w:sz w:val="24"/>
          <w:szCs w:val="24"/>
        </w:rPr>
      </w:pPr>
      <w:r>
        <w:rPr>
          <w:rFonts w:hAnsi="宋体" w:cs="宋体"/>
          <w:sz w:val="24"/>
          <w:szCs w:val="24"/>
        </w:rPr>
        <w:t>致：</w:t>
      </w:r>
      <w:r>
        <w:rPr>
          <w:rFonts w:hAnsi="宋体" w:cs="宋体"/>
          <w:sz w:val="24"/>
          <w:szCs w:val="24"/>
          <w:u w:val="single"/>
        </w:rPr>
        <w:t xml:space="preserve">           </w:t>
      </w:r>
      <w:r>
        <w:rPr>
          <w:rFonts w:hAnsi="宋体" w:cs="宋体"/>
          <w:sz w:val="24"/>
          <w:szCs w:val="24"/>
        </w:rPr>
        <w:t>（采购代理机构名称）</w:t>
      </w:r>
    </w:p>
    <w:p>
      <w:pPr>
        <w:pStyle w:val="10"/>
        <w:spacing w:line="440" w:lineRule="exact"/>
        <w:ind w:firstLine="480" w:firstLineChars="200"/>
        <w:rPr>
          <w:rFonts w:hint="default" w:hAnsi="宋体" w:cs="宋体"/>
          <w:sz w:val="24"/>
          <w:szCs w:val="24"/>
        </w:rPr>
      </w:pPr>
      <w:r>
        <w:rPr>
          <w:rFonts w:hAnsi="宋体" w:cs="宋体"/>
          <w:sz w:val="24"/>
          <w:szCs w:val="24"/>
        </w:rPr>
        <w:t>我方愿意参加贵方组织的</w:t>
      </w:r>
      <w:r>
        <w:rPr>
          <w:rFonts w:hAnsi="宋体" w:cs="宋体"/>
          <w:sz w:val="24"/>
          <w:szCs w:val="24"/>
          <w:u w:val="single"/>
        </w:rPr>
        <w:t xml:space="preserve">   (项目名称)     </w:t>
      </w:r>
      <w:r>
        <w:rPr>
          <w:rFonts w:hAnsi="宋体" w:cs="宋体"/>
          <w:sz w:val="24"/>
          <w:szCs w:val="24"/>
        </w:rPr>
        <w:t>（项目编号</w:t>
      </w:r>
      <w:r>
        <w:rPr>
          <w:rFonts w:hAnsi="宋体" w:cs="宋体"/>
          <w:sz w:val="24"/>
          <w:szCs w:val="24"/>
          <w:u w:val="single"/>
        </w:rPr>
        <w:t xml:space="preserve">：      </w:t>
      </w:r>
      <w:r>
        <w:rPr>
          <w:rFonts w:hAnsi="宋体" w:cs="宋体"/>
          <w:sz w:val="24"/>
          <w:szCs w:val="24"/>
        </w:rPr>
        <w:t>）项目的投标，为便于贵方公正、择优地确定中标供应商及其投标服务成果和服务，我方就本次投标有关事项郑重声明如下：</w:t>
      </w:r>
    </w:p>
    <w:p>
      <w:pPr>
        <w:pStyle w:val="10"/>
        <w:spacing w:line="440" w:lineRule="exact"/>
        <w:ind w:firstLine="480" w:firstLineChars="200"/>
        <w:rPr>
          <w:rFonts w:hint="default" w:hAnsi="宋体" w:cs="宋体"/>
          <w:sz w:val="24"/>
          <w:szCs w:val="24"/>
        </w:rPr>
      </w:pPr>
      <w:r>
        <w:rPr>
          <w:rFonts w:hAnsi="宋体" w:cs="宋体"/>
          <w:sz w:val="24"/>
          <w:szCs w:val="24"/>
        </w:rPr>
        <w:t>1、我方承诺已经具备《中华人民共和国政府采购法》中规定的参加政府采购活动的供应商应当具备的条件：</w:t>
      </w:r>
    </w:p>
    <w:p>
      <w:pPr>
        <w:pStyle w:val="10"/>
        <w:spacing w:line="440" w:lineRule="exact"/>
        <w:ind w:firstLine="480" w:firstLineChars="200"/>
        <w:rPr>
          <w:rFonts w:hint="default" w:hAnsi="宋体" w:cs="宋体"/>
          <w:sz w:val="24"/>
          <w:szCs w:val="24"/>
        </w:rPr>
      </w:pPr>
      <w:r>
        <w:rPr>
          <w:rFonts w:hAnsi="宋体" w:cs="宋体"/>
          <w:sz w:val="24"/>
          <w:szCs w:val="24"/>
        </w:rPr>
        <w:t>（1）具有独立承担民事责任的能力；</w:t>
      </w:r>
    </w:p>
    <w:p>
      <w:pPr>
        <w:pStyle w:val="10"/>
        <w:spacing w:line="440" w:lineRule="exact"/>
        <w:ind w:firstLine="480" w:firstLineChars="200"/>
        <w:rPr>
          <w:rFonts w:hint="default" w:hAnsi="宋体" w:cs="宋体"/>
          <w:sz w:val="24"/>
          <w:szCs w:val="24"/>
        </w:rPr>
      </w:pPr>
      <w:r>
        <w:rPr>
          <w:rFonts w:hAnsi="宋体" w:cs="宋体"/>
          <w:sz w:val="24"/>
          <w:szCs w:val="24"/>
        </w:rPr>
        <w:t>（2）具有良好的商业信誉和健全的财务会计制度；</w:t>
      </w:r>
    </w:p>
    <w:p>
      <w:pPr>
        <w:pStyle w:val="10"/>
        <w:spacing w:line="440" w:lineRule="exact"/>
        <w:ind w:firstLine="480" w:firstLineChars="200"/>
        <w:rPr>
          <w:rFonts w:hint="default" w:hAnsi="宋体" w:cs="宋体"/>
          <w:sz w:val="24"/>
          <w:szCs w:val="24"/>
        </w:rPr>
      </w:pPr>
      <w:r>
        <w:rPr>
          <w:rFonts w:hAnsi="宋体" w:cs="宋体"/>
          <w:sz w:val="24"/>
          <w:szCs w:val="24"/>
        </w:rPr>
        <w:t>（3）具有履行合同所必需的设备和专业技术能力；</w:t>
      </w:r>
    </w:p>
    <w:p>
      <w:pPr>
        <w:pStyle w:val="10"/>
        <w:spacing w:line="440" w:lineRule="exact"/>
        <w:ind w:firstLine="480" w:firstLineChars="200"/>
        <w:rPr>
          <w:rFonts w:hint="default" w:hAnsi="宋体" w:cs="宋体"/>
          <w:sz w:val="24"/>
          <w:szCs w:val="24"/>
        </w:rPr>
      </w:pPr>
      <w:r>
        <w:rPr>
          <w:rFonts w:hAnsi="宋体" w:cs="宋体"/>
          <w:sz w:val="24"/>
          <w:szCs w:val="24"/>
        </w:rPr>
        <w:t>（4）有依法缴纳税收和社会保障资金的良好记录；</w:t>
      </w:r>
    </w:p>
    <w:p>
      <w:pPr>
        <w:pStyle w:val="10"/>
        <w:spacing w:line="440" w:lineRule="exact"/>
        <w:ind w:firstLine="480" w:firstLineChars="200"/>
        <w:rPr>
          <w:rFonts w:hint="default" w:hAnsi="宋体" w:cs="宋体"/>
          <w:sz w:val="24"/>
          <w:szCs w:val="24"/>
        </w:rPr>
      </w:pPr>
      <w:r>
        <w:rPr>
          <w:rFonts w:hAnsi="宋体" w:cs="宋体"/>
          <w:sz w:val="24"/>
          <w:szCs w:val="24"/>
        </w:rPr>
        <w:t>（5）参加政府采购活动前三年内，在经营活动中没有重大违法记录；</w:t>
      </w:r>
    </w:p>
    <w:p>
      <w:pPr>
        <w:pStyle w:val="10"/>
        <w:spacing w:line="440" w:lineRule="exact"/>
        <w:ind w:firstLine="480" w:firstLineChars="200"/>
        <w:rPr>
          <w:rFonts w:hint="default" w:hAnsi="宋体" w:cs="宋体"/>
          <w:sz w:val="24"/>
          <w:szCs w:val="24"/>
        </w:rPr>
      </w:pPr>
      <w:r>
        <w:rPr>
          <w:rFonts w:hAnsi="宋体" w:cs="宋体"/>
          <w:sz w:val="24"/>
          <w:szCs w:val="24"/>
        </w:rPr>
        <w:t>（6）法律、行政法规规定的其他条件。</w:t>
      </w:r>
    </w:p>
    <w:p>
      <w:pPr>
        <w:pStyle w:val="10"/>
        <w:spacing w:line="440" w:lineRule="exact"/>
        <w:ind w:firstLine="480" w:firstLineChars="200"/>
        <w:rPr>
          <w:rFonts w:hint="default" w:hAnsi="宋体" w:cs="宋体"/>
          <w:sz w:val="24"/>
          <w:szCs w:val="24"/>
        </w:rPr>
      </w:pPr>
      <w:r>
        <w:rPr>
          <w:rFonts w:hAnsi="宋体" w:cs="宋体"/>
          <w:sz w:val="24"/>
          <w:szCs w:val="24"/>
        </w:rPr>
        <w:t>2. 经查询，在“信用中国”和“中国政府采购网”网站我方未被列入失信被执行人、重大税收违法案件当事人名单、政府采购严重违法失信行为记录名单。</w:t>
      </w:r>
    </w:p>
    <w:p>
      <w:pPr>
        <w:pStyle w:val="10"/>
        <w:spacing w:line="440" w:lineRule="exact"/>
        <w:ind w:firstLine="480" w:firstLineChars="200"/>
        <w:rPr>
          <w:rFonts w:hint="default" w:hAnsi="宋体" w:cs="宋体"/>
          <w:sz w:val="24"/>
          <w:szCs w:val="24"/>
        </w:rPr>
      </w:pPr>
      <w:r>
        <w:rPr>
          <w:rFonts w:hAnsi="宋体" w:cs="宋体"/>
          <w:sz w:val="24"/>
          <w:szCs w:val="24"/>
        </w:rPr>
        <w:t>以上事项如有虚假或隐瞒，我方愿意承担一切后果，并不再寻求任何旨在减轻或免除法律责任的辩解。</w:t>
      </w:r>
    </w:p>
    <w:p>
      <w:pPr>
        <w:pStyle w:val="10"/>
        <w:spacing w:line="440" w:lineRule="exact"/>
        <w:ind w:firstLine="482" w:firstLineChars="200"/>
        <w:rPr>
          <w:rFonts w:hint="default" w:hAnsi="宋体" w:cs="宋体"/>
          <w:b/>
          <w:sz w:val="24"/>
          <w:szCs w:val="24"/>
        </w:rPr>
      </w:pPr>
    </w:p>
    <w:p>
      <w:pPr>
        <w:pStyle w:val="10"/>
        <w:spacing w:line="440" w:lineRule="exact"/>
        <w:ind w:firstLine="482" w:firstLineChars="200"/>
        <w:rPr>
          <w:rFonts w:hint="default" w:hAnsi="宋体" w:cs="宋体"/>
          <w:b/>
          <w:sz w:val="24"/>
          <w:szCs w:val="24"/>
        </w:rPr>
      </w:pPr>
    </w:p>
    <w:p>
      <w:pPr>
        <w:tabs>
          <w:tab w:val="left" w:pos="7200"/>
        </w:tabs>
        <w:spacing w:line="360" w:lineRule="auto"/>
        <w:ind w:firstLine="959" w:firstLineChars="398"/>
        <w:rPr>
          <w:rFonts w:ascii="宋体" w:hAnsi="宋体" w:cs="宋体"/>
          <w:sz w:val="24"/>
          <w:szCs w:val="24"/>
          <w:u w:val="single"/>
        </w:rPr>
      </w:pPr>
      <w:r>
        <w:rPr>
          <w:rFonts w:hint="eastAsia" w:ascii="宋体" w:hAnsi="宋体" w:cs="宋体"/>
          <w:b/>
          <w:bCs/>
          <w:sz w:val="24"/>
          <w:szCs w:val="24"/>
        </w:rPr>
        <w:t xml:space="preserve">                               </w:t>
      </w:r>
      <w:r>
        <w:rPr>
          <w:rFonts w:hint="eastAsia" w:ascii="宋体" w:hAnsi="宋体" w:cs="宋体"/>
          <w:sz w:val="24"/>
          <w:szCs w:val="24"/>
        </w:rPr>
        <w:t xml:space="preserve">    法定代表人或委托代理人签字：</w:t>
      </w:r>
      <w:r>
        <w:rPr>
          <w:rFonts w:hint="eastAsia" w:ascii="宋体" w:hAnsi="宋体" w:cs="宋体"/>
          <w:sz w:val="24"/>
          <w:szCs w:val="24"/>
          <w:u w:val="single"/>
        </w:rPr>
        <w:t xml:space="preserve">             </w:t>
      </w:r>
    </w:p>
    <w:p>
      <w:pPr>
        <w:tabs>
          <w:tab w:val="left" w:pos="7200"/>
        </w:tabs>
        <w:spacing w:line="360" w:lineRule="auto"/>
        <w:ind w:firstLine="4668" w:firstLineChars="1945"/>
        <w:rPr>
          <w:rFonts w:ascii="宋体" w:hAnsi="宋体" w:cs="宋体"/>
          <w:sz w:val="24"/>
          <w:szCs w:val="24"/>
        </w:rPr>
      </w:pPr>
      <w:r>
        <w:rPr>
          <w:rFonts w:hint="eastAsia" w:ascii="宋体" w:hAnsi="宋体" w:cs="宋体"/>
          <w:sz w:val="24"/>
          <w:szCs w:val="24"/>
        </w:rPr>
        <w:t xml:space="preserve">    投标人（盖章）：</w:t>
      </w:r>
      <w:r>
        <w:rPr>
          <w:rFonts w:hint="eastAsia" w:ascii="宋体" w:hAnsi="宋体" w:cs="宋体"/>
          <w:sz w:val="24"/>
          <w:szCs w:val="24"/>
          <w:u w:val="single"/>
        </w:rPr>
        <w:t xml:space="preserve">               </w:t>
      </w:r>
      <w:r>
        <w:rPr>
          <w:rFonts w:hint="eastAsia" w:ascii="宋体" w:hAnsi="宋体" w:cs="宋体"/>
          <w:sz w:val="24"/>
          <w:szCs w:val="24"/>
        </w:rPr>
        <w:t xml:space="preserve">                     </w:t>
      </w:r>
    </w:p>
    <w:p>
      <w:pPr>
        <w:tabs>
          <w:tab w:val="left" w:pos="7200"/>
        </w:tabs>
        <w:spacing w:line="360" w:lineRule="auto"/>
        <w:rPr>
          <w:rFonts w:ascii="宋体" w:hAnsi="宋体" w:cs="宋体"/>
          <w:b/>
          <w:bCs/>
        </w:rPr>
      </w:pPr>
      <w:r>
        <w:rPr>
          <w:rFonts w:hint="eastAsia" w:ascii="宋体" w:hAnsi="宋体" w:cs="宋体"/>
          <w:sz w:val="24"/>
          <w:szCs w:val="24"/>
        </w:rPr>
        <w:t xml:space="preserve">                                           年    月    日</w:t>
      </w:r>
    </w:p>
    <w:p>
      <w:pPr>
        <w:pStyle w:val="10"/>
        <w:spacing w:line="500" w:lineRule="exact"/>
        <w:rPr>
          <w:rFonts w:hint="default" w:hAnsi="宋体" w:cs="宋体"/>
          <w:b/>
          <w:bCs/>
        </w:rPr>
        <w:sectPr>
          <w:headerReference r:id="rId14" w:type="first"/>
          <w:headerReference r:id="rId13" w:type="default"/>
          <w:footerReference r:id="rId15" w:type="default"/>
          <w:pgSz w:w="11906" w:h="16838"/>
          <w:pgMar w:top="1276" w:right="1170" w:bottom="1440" w:left="876" w:header="851" w:footer="992" w:gutter="0"/>
          <w:cols w:space="720" w:num="1"/>
          <w:docGrid w:type="lines" w:linePitch="312" w:charSpace="0"/>
        </w:sectPr>
      </w:pPr>
    </w:p>
    <w:p>
      <w:pPr>
        <w:pStyle w:val="10"/>
        <w:spacing w:line="500" w:lineRule="exact"/>
        <w:rPr>
          <w:rFonts w:hint="default" w:hAnsi="宋体" w:cs="宋体"/>
        </w:rPr>
      </w:pPr>
      <w:r>
        <w:rPr>
          <w:rFonts w:hAnsi="宋体" w:cs="宋体"/>
          <w:b/>
          <w:bCs/>
        </w:rPr>
        <w:t>格式7：</w:t>
      </w:r>
    </w:p>
    <w:p>
      <w:pPr>
        <w:pStyle w:val="10"/>
        <w:spacing w:line="500" w:lineRule="exact"/>
        <w:jc w:val="center"/>
        <w:rPr>
          <w:rFonts w:hint="default" w:hAnsi="宋体" w:cs="宋体"/>
          <w:b/>
          <w:bCs/>
          <w:sz w:val="30"/>
          <w:szCs w:val="30"/>
        </w:rPr>
      </w:pPr>
      <w:r>
        <w:rPr>
          <w:rFonts w:hAnsi="宋体" w:cs="宋体"/>
          <w:b/>
          <w:bCs/>
          <w:sz w:val="30"/>
          <w:szCs w:val="30"/>
        </w:rPr>
        <w:t>投标货物技术资料表（格式）</w:t>
      </w:r>
    </w:p>
    <w:p>
      <w:pPr>
        <w:pStyle w:val="10"/>
        <w:spacing w:line="500" w:lineRule="exact"/>
        <w:jc w:val="center"/>
        <w:rPr>
          <w:rFonts w:hint="default" w:hAnsi="宋体" w:cs="宋体"/>
          <w:b/>
          <w:bCs/>
          <w:sz w:val="30"/>
          <w:szCs w:val="30"/>
        </w:rPr>
      </w:pPr>
    </w:p>
    <w:p>
      <w:pPr>
        <w:pStyle w:val="10"/>
        <w:spacing w:line="440" w:lineRule="exact"/>
        <w:ind w:firstLine="468"/>
        <w:rPr>
          <w:rFonts w:hint="default" w:hAnsi="宋体" w:cs="宋体"/>
          <w:sz w:val="32"/>
          <w:szCs w:val="32"/>
        </w:rPr>
      </w:pPr>
      <w:r>
        <w:rPr>
          <w:rFonts w:hAnsi="宋体" w:cs="宋体"/>
          <w:sz w:val="24"/>
          <w:szCs w:val="24"/>
        </w:rPr>
        <w:t>请根据所投产品的实际技术参数，逐条对应本项目招标文件第二章“货物需求一览表”中的技术参数要求详细填写相应的具体内容。“偏离说明”一栏应当选择“正偏离”、“负偏离”或“无偏离”进行填写。</w:t>
      </w:r>
    </w:p>
    <w:p>
      <w:pPr>
        <w:pStyle w:val="10"/>
        <w:spacing w:line="440" w:lineRule="exact"/>
        <w:rPr>
          <w:rFonts w:hint="default" w:hAnsi="宋体" w:cs="宋体"/>
          <w:sz w:val="24"/>
          <w:szCs w:val="24"/>
        </w:rPr>
      </w:pPr>
    </w:p>
    <w:tbl>
      <w:tblPr>
        <w:tblStyle w:val="18"/>
        <w:tblW w:w="10549"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275"/>
        <w:gridCol w:w="735"/>
        <w:gridCol w:w="1674"/>
        <w:gridCol w:w="1278"/>
        <w:gridCol w:w="885"/>
        <w:gridCol w:w="1525"/>
        <w:gridCol w:w="1207"/>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47" w:type="dxa"/>
            <w:vMerge w:val="restart"/>
            <w:tcBorders>
              <w:top w:val="single" w:color="auto" w:sz="4" w:space="0"/>
              <w:left w:val="single" w:color="auto" w:sz="4" w:space="0"/>
              <w:bottom w:val="single" w:color="auto" w:sz="4" w:space="0"/>
              <w:right w:val="single" w:color="auto" w:sz="4" w:space="0"/>
            </w:tcBorders>
            <w:vAlign w:val="center"/>
          </w:tcPr>
          <w:p>
            <w:pPr>
              <w:pStyle w:val="10"/>
              <w:ind w:right="-107" w:rightChars="-51"/>
              <w:rPr>
                <w:rFonts w:hint="default" w:hAnsi="宋体" w:cs="宋体"/>
                <w:sz w:val="24"/>
                <w:szCs w:val="24"/>
              </w:rPr>
            </w:pPr>
            <w:r>
              <w:rPr>
                <w:rFonts w:hAnsi="宋体" w:cs="宋体"/>
                <w:sz w:val="24"/>
                <w:szCs w:val="24"/>
              </w:rPr>
              <w:t>项号</w:t>
            </w:r>
          </w:p>
        </w:tc>
        <w:tc>
          <w:tcPr>
            <w:tcW w:w="36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招标文件需求</w:t>
            </w:r>
          </w:p>
        </w:tc>
        <w:tc>
          <w:tcPr>
            <w:tcW w:w="4895"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 w:val="24"/>
                <w:szCs w:val="24"/>
              </w:rPr>
            </w:pPr>
            <w:r>
              <w:rPr>
                <w:rFonts w:hint="eastAsia" w:ascii="宋体" w:hAnsi="宋体" w:cs="宋体"/>
                <w:sz w:val="24"/>
                <w:szCs w:val="24"/>
              </w:rPr>
              <w:t>投标文件承诺</w:t>
            </w:r>
          </w:p>
        </w:tc>
        <w:tc>
          <w:tcPr>
            <w:tcW w:w="1223"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数量</w:t>
            </w:r>
          </w:p>
        </w:tc>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技术参数要求</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货物名称</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数量</w:t>
            </w:r>
          </w:p>
        </w:tc>
        <w:tc>
          <w:tcPr>
            <w:tcW w:w="15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品牌、厂家、型号、规格</w:t>
            </w: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技术参数</w:t>
            </w:r>
          </w:p>
        </w:tc>
        <w:tc>
          <w:tcPr>
            <w:tcW w:w="12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pStyle w:val="10"/>
              <w:jc w:val="center"/>
              <w:rPr>
                <w:rFonts w:hint="default" w:hAnsi="宋体" w:cs="宋体"/>
                <w:spacing w:val="-20"/>
                <w:sz w:val="24"/>
                <w:szCs w:val="24"/>
              </w:rPr>
            </w:pPr>
            <w:r>
              <w:rPr>
                <w:rFonts w:hAnsi="宋体" w:cs="宋体"/>
                <w:spacing w:val="-20"/>
                <w:sz w:val="24"/>
                <w:szCs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w:t>
            </w:r>
          </w:p>
          <w:p>
            <w:pPr>
              <w:rPr>
                <w:rFonts w:ascii="宋体" w:hAnsi="宋体" w:cs="宋体"/>
                <w:sz w:val="24"/>
                <w:szCs w:val="24"/>
              </w:rPr>
            </w:pPr>
            <w:r>
              <w:rPr>
                <w:rFonts w:hint="eastAsia" w:ascii="宋体" w:hAnsi="宋体" w:cs="宋体"/>
                <w:sz w:val="24"/>
                <w:szCs w:val="24"/>
              </w:rPr>
              <w:t>2……</w:t>
            </w:r>
          </w:p>
          <w:p>
            <w:pPr>
              <w:rPr>
                <w:rFonts w:ascii="宋体" w:hAnsi="宋体" w:cs="宋体"/>
                <w:sz w:val="24"/>
                <w:szCs w:val="24"/>
              </w:rPr>
            </w:pPr>
            <w:r>
              <w:rPr>
                <w:rFonts w:hint="eastAsia" w:ascii="宋体" w:hAnsi="宋体" w:cs="宋体"/>
                <w:sz w:val="24"/>
                <w:szCs w:val="24"/>
              </w:rPr>
              <w:t>3……</w:t>
            </w:r>
          </w:p>
          <w:p>
            <w:pPr>
              <w:rPr>
                <w:rFonts w:ascii="宋体" w:hAnsi="宋体" w:cs="宋体"/>
                <w:sz w:val="24"/>
                <w:szCs w:val="24"/>
              </w:rPr>
            </w:pPr>
            <w:r>
              <w:rPr>
                <w:rFonts w:hint="eastAsia" w:ascii="宋体" w:hAnsi="宋体" w:cs="宋体"/>
                <w:sz w:val="24"/>
                <w:szCs w:val="24"/>
              </w:rPr>
              <w:t>……</w:t>
            </w:r>
          </w:p>
        </w:tc>
        <w:tc>
          <w:tcPr>
            <w:tcW w:w="127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w:t>
            </w:r>
          </w:p>
        </w:tc>
        <w:tc>
          <w:tcPr>
            <w:tcW w:w="8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w:t>
            </w:r>
          </w:p>
        </w:tc>
        <w:tc>
          <w:tcPr>
            <w:tcW w:w="15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w:t>
            </w:r>
          </w:p>
        </w:tc>
        <w:tc>
          <w:tcPr>
            <w:tcW w:w="120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w:t>
            </w:r>
          </w:p>
          <w:p>
            <w:pPr>
              <w:rPr>
                <w:rFonts w:ascii="宋体" w:hAnsi="宋体" w:cs="宋体"/>
                <w:sz w:val="24"/>
                <w:szCs w:val="24"/>
              </w:rPr>
            </w:pPr>
            <w:r>
              <w:rPr>
                <w:rFonts w:hint="eastAsia" w:ascii="宋体" w:hAnsi="宋体" w:cs="宋体"/>
                <w:sz w:val="24"/>
                <w:szCs w:val="24"/>
              </w:rPr>
              <w:t>2……</w:t>
            </w:r>
          </w:p>
          <w:p>
            <w:pPr>
              <w:rPr>
                <w:rFonts w:ascii="宋体" w:hAnsi="宋体" w:cs="宋体"/>
                <w:sz w:val="24"/>
                <w:szCs w:val="24"/>
              </w:rPr>
            </w:pPr>
            <w:r>
              <w:rPr>
                <w:rFonts w:hint="eastAsia" w:ascii="宋体" w:hAnsi="宋体" w:cs="宋体"/>
                <w:sz w:val="24"/>
                <w:szCs w:val="24"/>
              </w:rPr>
              <w:t>3……</w:t>
            </w:r>
          </w:p>
          <w:p>
            <w:pPr>
              <w:rPr>
                <w:rFonts w:ascii="宋体" w:hAnsi="宋体" w:cs="宋体"/>
                <w:sz w:val="24"/>
                <w:szCs w:val="24"/>
              </w:rPr>
            </w:pPr>
            <w:r>
              <w:rPr>
                <w:rFonts w:hint="eastAsia" w:ascii="宋体" w:hAnsi="宋体" w:cs="宋体"/>
                <w:sz w:val="24"/>
                <w:szCs w:val="24"/>
              </w:rPr>
              <w:t>……</w:t>
            </w:r>
          </w:p>
        </w:tc>
        <w:tc>
          <w:tcPr>
            <w:tcW w:w="12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pStyle w:val="10"/>
              <w:jc w:val="center"/>
              <w:rPr>
                <w:rFonts w:hint="default" w:hAnsi="宋体" w:cs="宋体"/>
                <w:spacing w:val="-20"/>
                <w:sz w:val="24"/>
                <w:szCs w:val="24"/>
              </w:rPr>
            </w:pPr>
            <w:r>
              <w:rPr>
                <w:rFonts w:hAnsi="宋体" w:cs="宋体"/>
                <w:spacing w:val="-20"/>
                <w:sz w:val="24"/>
                <w:szCs w:val="24"/>
              </w:rPr>
              <w:t>2</w:t>
            </w: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w:t>
            </w:r>
          </w:p>
          <w:p>
            <w:pPr>
              <w:rPr>
                <w:rFonts w:ascii="宋体" w:hAnsi="宋体" w:cs="宋体"/>
                <w:sz w:val="24"/>
                <w:szCs w:val="24"/>
              </w:rPr>
            </w:pPr>
            <w:r>
              <w:rPr>
                <w:rFonts w:hint="eastAsia" w:ascii="宋体" w:hAnsi="宋体" w:cs="宋体"/>
                <w:sz w:val="24"/>
                <w:szCs w:val="24"/>
              </w:rPr>
              <w:t>2……</w:t>
            </w:r>
          </w:p>
          <w:p>
            <w:pPr>
              <w:rPr>
                <w:rFonts w:ascii="宋体" w:hAnsi="宋体" w:cs="宋体"/>
                <w:sz w:val="24"/>
                <w:szCs w:val="24"/>
              </w:rPr>
            </w:pPr>
            <w:r>
              <w:rPr>
                <w:rFonts w:hint="eastAsia" w:ascii="宋体" w:hAnsi="宋体" w:cs="宋体"/>
                <w:sz w:val="24"/>
                <w:szCs w:val="24"/>
              </w:rPr>
              <w:t>3……</w:t>
            </w:r>
          </w:p>
          <w:p>
            <w:pPr>
              <w:rPr>
                <w:rFonts w:ascii="宋体" w:hAnsi="宋体" w:cs="宋体"/>
                <w:sz w:val="24"/>
                <w:szCs w:val="24"/>
              </w:rPr>
            </w:pPr>
            <w:r>
              <w:rPr>
                <w:rFonts w:hint="eastAsia" w:ascii="宋体" w:hAnsi="宋体" w:cs="宋体"/>
                <w:sz w:val="24"/>
                <w:szCs w:val="24"/>
              </w:rPr>
              <w:t>……</w:t>
            </w:r>
          </w:p>
        </w:tc>
        <w:tc>
          <w:tcPr>
            <w:tcW w:w="127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w:t>
            </w:r>
          </w:p>
        </w:tc>
        <w:tc>
          <w:tcPr>
            <w:tcW w:w="8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w:t>
            </w:r>
          </w:p>
        </w:tc>
        <w:tc>
          <w:tcPr>
            <w:tcW w:w="15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w:t>
            </w:r>
          </w:p>
        </w:tc>
        <w:tc>
          <w:tcPr>
            <w:tcW w:w="120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w:t>
            </w:r>
          </w:p>
          <w:p>
            <w:pPr>
              <w:rPr>
                <w:rFonts w:ascii="宋体" w:hAnsi="宋体" w:cs="宋体"/>
                <w:sz w:val="24"/>
                <w:szCs w:val="24"/>
              </w:rPr>
            </w:pPr>
            <w:r>
              <w:rPr>
                <w:rFonts w:hint="eastAsia" w:ascii="宋体" w:hAnsi="宋体" w:cs="宋体"/>
                <w:sz w:val="24"/>
                <w:szCs w:val="24"/>
              </w:rPr>
              <w:t>2……</w:t>
            </w:r>
          </w:p>
          <w:p>
            <w:pPr>
              <w:rPr>
                <w:rFonts w:ascii="宋体" w:hAnsi="宋体" w:cs="宋体"/>
                <w:sz w:val="24"/>
                <w:szCs w:val="24"/>
              </w:rPr>
            </w:pPr>
            <w:r>
              <w:rPr>
                <w:rFonts w:hint="eastAsia" w:ascii="宋体" w:hAnsi="宋体" w:cs="宋体"/>
                <w:sz w:val="24"/>
                <w:szCs w:val="24"/>
              </w:rPr>
              <w:t>3……</w:t>
            </w:r>
          </w:p>
          <w:p>
            <w:pPr>
              <w:rPr>
                <w:rFonts w:ascii="宋体" w:hAnsi="宋体" w:cs="宋体"/>
                <w:sz w:val="24"/>
                <w:szCs w:val="24"/>
              </w:rPr>
            </w:pPr>
            <w:r>
              <w:rPr>
                <w:rFonts w:hint="eastAsia" w:ascii="宋体" w:hAnsi="宋体" w:cs="宋体"/>
                <w:sz w:val="24"/>
                <w:szCs w:val="24"/>
              </w:rPr>
              <w:t>……</w:t>
            </w:r>
          </w:p>
        </w:tc>
        <w:tc>
          <w:tcPr>
            <w:tcW w:w="12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pStyle w:val="10"/>
              <w:jc w:val="center"/>
              <w:rPr>
                <w:rFonts w:hint="default" w:hAnsi="宋体" w:cs="宋体"/>
                <w:spacing w:val="-20"/>
                <w:sz w:val="24"/>
                <w:szCs w:val="24"/>
              </w:rPr>
            </w:pPr>
            <w:r>
              <w:rPr>
                <w:rFonts w:hAnsi="宋体" w:cs="宋体"/>
                <w:spacing w:val="-20"/>
                <w:sz w:val="24"/>
                <w:szCs w:val="24"/>
              </w:rPr>
              <w:t>...</w:t>
            </w:r>
          </w:p>
        </w:tc>
        <w:tc>
          <w:tcPr>
            <w:tcW w:w="1275" w:type="dxa"/>
            <w:tcBorders>
              <w:top w:val="single" w:color="auto" w:sz="4" w:space="0"/>
              <w:left w:val="single" w:color="auto" w:sz="4" w:space="0"/>
              <w:bottom w:val="single" w:color="auto" w:sz="4" w:space="0"/>
              <w:right w:val="single" w:color="auto" w:sz="4" w:space="0"/>
            </w:tcBorders>
            <w:vAlign w:val="center"/>
          </w:tcPr>
          <w:p>
            <w:pPr>
              <w:pStyle w:val="10"/>
              <w:spacing w:line="600" w:lineRule="exact"/>
              <w:jc w:val="center"/>
              <w:rPr>
                <w:rFonts w:hint="default" w:hAnsi="宋体" w:cs="宋体"/>
                <w:sz w:val="24"/>
                <w:szCs w:val="24"/>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0"/>
              <w:spacing w:line="600" w:lineRule="exact"/>
              <w:jc w:val="center"/>
              <w:rPr>
                <w:rFonts w:hint="default" w:hAnsi="宋体" w:cs="宋体"/>
                <w:sz w:val="24"/>
                <w:szCs w:val="24"/>
              </w:rPr>
            </w:pPr>
          </w:p>
        </w:tc>
        <w:tc>
          <w:tcPr>
            <w:tcW w:w="1674" w:type="dxa"/>
            <w:tcBorders>
              <w:top w:val="single" w:color="auto" w:sz="4" w:space="0"/>
              <w:left w:val="single" w:color="auto" w:sz="4" w:space="0"/>
              <w:bottom w:val="single" w:color="auto" w:sz="4" w:space="0"/>
              <w:right w:val="single" w:color="auto" w:sz="4" w:space="0"/>
            </w:tcBorders>
            <w:vAlign w:val="center"/>
          </w:tcPr>
          <w:p>
            <w:pPr>
              <w:pStyle w:val="10"/>
              <w:spacing w:line="600" w:lineRule="exact"/>
              <w:jc w:val="center"/>
              <w:rPr>
                <w:rFonts w:hint="default" w:hAnsi="宋体" w:cs="宋体"/>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pStyle w:val="10"/>
              <w:spacing w:line="600" w:lineRule="exact"/>
              <w:jc w:val="center"/>
              <w:rPr>
                <w:rFonts w:hint="default" w:hAnsi="宋体" w:cs="宋体"/>
                <w:sz w:val="24"/>
                <w:szCs w:val="24"/>
              </w:rPr>
            </w:pPr>
          </w:p>
        </w:tc>
        <w:tc>
          <w:tcPr>
            <w:tcW w:w="885" w:type="dxa"/>
            <w:tcBorders>
              <w:top w:val="single" w:color="auto" w:sz="4" w:space="0"/>
              <w:left w:val="single" w:color="auto" w:sz="4" w:space="0"/>
              <w:bottom w:val="single" w:color="auto" w:sz="4" w:space="0"/>
              <w:right w:val="single" w:color="auto" w:sz="4" w:space="0"/>
            </w:tcBorders>
          </w:tcPr>
          <w:p>
            <w:pPr>
              <w:pStyle w:val="10"/>
              <w:spacing w:line="600" w:lineRule="exact"/>
              <w:jc w:val="center"/>
              <w:rPr>
                <w:rFonts w:hint="default" w:hAnsi="宋体" w:cs="宋体"/>
                <w:sz w:val="24"/>
                <w:szCs w:val="24"/>
              </w:rPr>
            </w:pPr>
          </w:p>
        </w:tc>
        <w:tc>
          <w:tcPr>
            <w:tcW w:w="1525" w:type="dxa"/>
            <w:tcBorders>
              <w:top w:val="single" w:color="auto" w:sz="4" w:space="0"/>
              <w:left w:val="single" w:color="auto" w:sz="4" w:space="0"/>
              <w:bottom w:val="single" w:color="auto" w:sz="4" w:space="0"/>
              <w:right w:val="single" w:color="auto" w:sz="4" w:space="0"/>
            </w:tcBorders>
            <w:vAlign w:val="center"/>
          </w:tcPr>
          <w:p>
            <w:pPr>
              <w:pStyle w:val="10"/>
              <w:spacing w:line="600" w:lineRule="exact"/>
              <w:jc w:val="center"/>
              <w:rPr>
                <w:rFonts w:hint="default" w:hAnsi="宋体" w:cs="宋体"/>
                <w:sz w:val="24"/>
                <w:szCs w:val="24"/>
              </w:rPr>
            </w:pPr>
          </w:p>
        </w:tc>
        <w:tc>
          <w:tcPr>
            <w:tcW w:w="1207" w:type="dxa"/>
            <w:tcBorders>
              <w:top w:val="single" w:color="auto" w:sz="4" w:space="0"/>
              <w:left w:val="single" w:color="auto" w:sz="4" w:space="0"/>
              <w:bottom w:val="single" w:color="auto" w:sz="4" w:space="0"/>
              <w:right w:val="single" w:color="auto" w:sz="4" w:space="0"/>
            </w:tcBorders>
            <w:vAlign w:val="center"/>
          </w:tcPr>
          <w:p>
            <w:pPr>
              <w:pStyle w:val="10"/>
              <w:spacing w:line="600" w:lineRule="exact"/>
              <w:jc w:val="center"/>
              <w:rPr>
                <w:rFonts w:hint="default" w:hAnsi="宋体" w:cs="宋体"/>
                <w:sz w:val="24"/>
                <w:szCs w:val="24"/>
              </w:rPr>
            </w:pPr>
          </w:p>
        </w:tc>
        <w:tc>
          <w:tcPr>
            <w:tcW w:w="1223" w:type="dxa"/>
            <w:tcBorders>
              <w:top w:val="single" w:color="auto" w:sz="4" w:space="0"/>
              <w:left w:val="single" w:color="auto" w:sz="4" w:space="0"/>
              <w:bottom w:val="single" w:color="auto" w:sz="4" w:space="0"/>
              <w:right w:val="single" w:color="auto" w:sz="4" w:space="0"/>
            </w:tcBorders>
            <w:vAlign w:val="center"/>
          </w:tcPr>
          <w:p>
            <w:pPr>
              <w:pStyle w:val="10"/>
              <w:spacing w:line="600" w:lineRule="exact"/>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49" w:type="dxa"/>
            <w:gridSpan w:val="9"/>
            <w:tcBorders>
              <w:top w:val="single" w:color="auto" w:sz="4" w:space="0"/>
              <w:left w:val="single" w:color="auto" w:sz="4" w:space="0"/>
              <w:bottom w:val="single" w:color="auto" w:sz="4" w:space="0"/>
              <w:right w:val="single" w:color="auto" w:sz="4" w:space="0"/>
            </w:tcBorders>
            <w:vAlign w:val="center"/>
          </w:tcPr>
          <w:p>
            <w:pPr>
              <w:pStyle w:val="10"/>
              <w:spacing w:line="600" w:lineRule="exact"/>
              <w:rPr>
                <w:rFonts w:hint="default" w:hAnsi="宋体" w:cs="宋体"/>
                <w:sz w:val="24"/>
                <w:szCs w:val="24"/>
                <w:u w:val="single"/>
              </w:rPr>
            </w:pPr>
            <w:r>
              <w:rPr>
                <w:rFonts w:hAnsi="宋体" w:cs="宋体"/>
                <w:sz w:val="24"/>
                <w:szCs w:val="24"/>
              </w:rPr>
              <w:t>投标人（盖单位公章）：</w:t>
            </w:r>
            <w:r>
              <w:rPr>
                <w:rFonts w:hAnsi="宋体" w:cs="宋体"/>
                <w:sz w:val="24"/>
                <w:szCs w:val="24"/>
                <w:u w:val="single"/>
              </w:rPr>
              <w:t xml:space="preserve">                                    </w:t>
            </w:r>
          </w:p>
          <w:p>
            <w:pPr>
              <w:rPr>
                <w:rFonts w:ascii="宋体" w:hAnsi="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49" w:type="dxa"/>
            <w:gridSpan w:val="9"/>
            <w:tcBorders>
              <w:top w:val="single" w:color="auto" w:sz="4" w:space="0"/>
              <w:left w:val="single" w:color="auto" w:sz="4" w:space="0"/>
              <w:bottom w:val="single" w:color="auto" w:sz="4" w:space="0"/>
              <w:right w:val="single" w:color="auto" w:sz="4" w:space="0"/>
            </w:tcBorders>
            <w:vAlign w:val="center"/>
          </w:tcPr>
          <w:p>
            <w:pPr>
              <w:pStyle w:val="10"/>
              <w:spacing w:line="500" w:lineRule="exact"/>
              <w:rPr>
                <w:rFonts w:hint="default" w:hAnsi="宋体" w:cs="宋体"/>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pPr>
              <w:rPr>
                <w:rFonts w:ascii="宋体" w:hAnsi="宋体" w:cs="宋体"/>
                <w:sz w:val="24"/>
                <w:szCs w:val="24"/>
                <w:u w:val="single"/>
              </w:rPr>
            </w:pPr>
          </w:p>
        </w:tc>
      </w:tr>
    </w:tbl>
    <w:p>
      <w:pPr>
        <w:pStyle w:val="10"/>
        <w:rPr>
          <w:rFonts w:hint="default" w:hAnsi="宋体" w:cs="宋体"/>
          <w:sz w:val="24"/>
          <w:szCs w:val="24"/>
        </w:rPr>
      </w:pPr>
    </w:p>
    <w:p>
      <w:pPr>
        <w:pStyle w:val="10"/>
        <w:rPr>
          <w:rFonts w:hint="default" w:hAnsi="宋体" w:cs="宋体"/>
          <w:sz w:val="24"/>
          <w:szCs w:val="24"/>
        </w:rPr>
      </w:pPr>
      <w:r>
        <w:rPr>
          <w:rFonts w:hAnsi="宋体" w:cs="宋体"/>
          <w:sz w:val="24"/>
          <w:szCs w:val="24"/>
        </w:rPr>
        <w:t>......</w:t>
      </w:r>
    </w:p>
    <w:p>
      <w:pPr>
        <w:pStyle w:val="10"/>
        <w:spacing w:line="440" w:lineRule="exact"/>
        <w:rPr>
          <w:rFonts w:hint="default" w:hAnsi="宋体" w:cs="宋体"/>
          <w:sz w:val="24"/>
          <w:szCs w:val="24"/>
        </w:rPr>
      </w:pPr>
      <w:r>
        <w:rPr>
          <w:rFonts w:hAnsi="宋体" w:cs="宋体"/>
          <w:sz w:val="24"/>
          <w:szCs w:val="24"/>
        </w:rPr>
        <w:t>注：⑴表格内容均需按要求填写并盖章，不得留空，否则按投标无效处理。</w:t>
      </w:r>
    </w:p>
    <w:p>
      <w:pPr>
        <w:pStyle w:val="10"/>
        <w:spacing w:line="440" w:lineRule="exact"/>
        <w:ind w:firstLine="468"/>
        <w:rPr>
          <w:rFonts w:hint="default" w:hAnsi="宋体" w:cs="宋体"/>
          <w:sz w:val="24"/>
          <w:szCs w:val="24"/>
        </w:rPr>
      </w:pPr>
      <w:r>
        <w:rPr>
          <w:rFonts w:hAnsi="宋体" w:cs="宋体"/>
          <w:sz w:val="24"/>
          <w:szCs w:val="24"/>
        </w:rPr>
        <w:t>⑵如果投标文件需求小于或大于招标文件某个数值标准时，投标文件不得直接复制招标文件需求，投标文件对应内容应当写明投标货物具体参数的实际数值，否则按投标无效处理。</w:t>
      </w:r>
    </w:p>
    <w:p>
      <w:pPr>
        <w:pStyle w:val="10"/>
        <w:spacing w:line="440" w:lineRule="exact"/>
        <w:ind w:firstLine="468"/>
        <w:rPr>
          <w:rFonts w:hint="default" w:hAnsi="宋体" w:cs="宋体"/>
          <w:sz w:val="24"/>
          <w:szCs w:val="24"/>
        </w:rPr>
      </w:pPr>
      <w:r>
        <w:rPr>
          <w:rFonts w:hAnsi="宋体" w:cs="宋体"/>
          <w:sz w:val="24"/>
          <w:szCs w:val="24"/>
        </w:rPr>
        <w:t>⑶当投标文件的技术参数低于招标文件要求时，投标人应当如实写明“负偏离”，否则视为虚假应标。</w:t>
      </w:r>
    </w:p>
    <w:p>
      <w:pPr>
        <w:pStyle w:val="10"/>
        <w:spacing w:line="600" w:lineRule="exact"/>
        <w:rPr>
          <w:rFonts w:hint="default" w:hAnsi="宋体" w:cs="宋体"/>
          <w:sz w:val="24"/>
          <w:szCs w:val="24"/>
        </w:rPr>
      </w:pPr>
    </w:p>
    <w:p>
      <w:pPr>
        <w:pStyle w:val="10"/>
        <w:spacing w:line="600" w:lineRule="exact"/>
        <w:rPr>
          <w:rFonts w:hint="default" w:hAnsi="宋体" w:cs="宋体"/>
        </w:rPr>
      </w:pPr>
      <w:r>
        <w:rPr>
          <w:rFonts w:hAnsi="宋体" w:cs="宋体"/>
          <w:sz w:val="24"/>
          <w:szCs w:val="24"/>
        </w:rPr>
        <w:br w:type="page"/>
      </w:r>
      <w:r>
        <w:rPr>
          <w:rFonts w:hAnsi="宋体" w:cs="宋体"/>
          <w:b/>
          <w:bCs/>
        </w:rPr>
        <w:t>格式8：</w:t>
      </w:r>
    </w:p>
    <w:p>
      <w:pPr>
        <w:pStyle w:val="10"/>
        <w:spacing w:line="500" w:lineRule="exact"/>
        <w:jc w:val="center"/>
        <w:rPr>
          <w:rFonts w:hint="default" w:hAnsi="宋体" w:cs="宋体"/>
          <w:b/>
          <w:bCs/>
          <w:sz w:val="30"/>
          <w:szCs w:val="30"/>
        </w:rPr>
      </w:pPr>
      <w:r>
        <w:rPr>
          <w:rFonts w:hAnsi="宋体" w:cs="宋体"/>
          <w:b/>
          <w:bCs/>
          <w:sz w:val="30"/>
          <w:szCs w:val="30"/>
        </w:rPr>
        <w:t>售后服务承诺书（格式）</w:t>
      </w:r>
    </w:p>
    <w:p>
      <w:pPr>
        <w:pStyle w:val="10"/>
        <w:jc w:val="center"/>
        <w:rPr>
          <w:rFonts w:hint="default" w:hAnsi="宋体" w:cs="宋体"/>
        </w:rPr>
      </w:pPr>
    </w:p>
    <w:p>
      <w:pPr>
        <w:pStyle w:val="10"/>
        <w:spacing w:line="440" w:lineRule="exact"/>
        <w:rPr>
          <w:rFonts w:hint="default" w:hAnsi="宋体" w:cs="宋体"/>
          <w:sz w:val="24"/>
          <w:szCs w:val="24"/>
        </w:rPr>
      </w:pPr>
      <w:r>
        <w:rPr>
          <w:rFonts w:hAnsi="宋体" w:cs="宋体"/>
          <w:sz w:val="24"/>
          <w:szCs w:val="24"/>
        </w:rPr>
        <w:t>(由投标人按本项目招标文件第二章“货物需求一览表”中“商务条款”的售后服务要求自行填写。)</w:t>
      </w:r>
    </w:p>
    <w:p>
      <w:pPr>
        <w:pStyle w:val="10"/>
        <w:spacing w:line="440" w:lineRule="exact"/>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rPr>
          <w:rFonts w:hint="default" w:hAnsi="宋体" w:cs="宋体"/>
          <w:sz w:val="24"/>
          <w:szCs w:val="24"/>
        </w:rPr>
      </w:pPr>
    </w:p>
    <w:p>
      <w:pPr>
        <w:pStyle w:val="10"/>
        <w:spacing w:line="600" w:lineRule="exact"/>
        <w:rPr>
          <w:rFonts w:hint="default" w:hAnsi="宋体" w:cs="宋体"/>
          <w:sz w:val="24"/>
          <w:szCs w:val="24"/>
          <w:u w:val="single"/>
        </w:rPr>
      </w:pPr>
      <w:r>
        <w:rPr>
          <w:rFonts w:hAnsi="宋体" w:cs="宋体"/>
          <w:sz w:val="24"/>
          <w:szCs w:val="24"/>
        </w:rPr>
        <w:t>投标人（盖单位公章）：</w:t>
      </w:r>
      <w:r>
        <w:rPr>
          <w:rFonts w:hAnsi="宋体" w:cs="宋体"/>
          <w:sz w:val="24"/>
          <w:szCs w:val="24"/>
          <w:u w:val="single"/>
        </w:rPr>
        <w:t xml:space="preserve">                                    </w:t>
      </w:r>
    </w:p>
    <w:p>
      <w:pPr>
        <w:pStyle w:val="10"/>
        <w:spacing w:line="600" w:lineRule="exact"/>
        <w:rPr>
          <w:rFonts w:hint="default" w:hAnsi="宋体" w:cs="宋体"/>
          <w:sz w:val="24"/>
          <w:szCs w:val="24"/>
          <w:u w:val="single"/>
        </w:rPr>
      </w:pPr>
    </w:p>
    <w:p>
      <w:pPr>
        <w:pStyle w:val="10"/>
        <w:spacing w:line="600" w:lineRule="exact"/>
        <w:rPr>
          <w:rFonts w:hint="default" w:hAnsi="宋体" w:cs="宋体"/>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pPr>
        <w:pStyle w:val="10"/>
        <w:spacing w:line="600" w:lineRule="exact"/>
        <w:rPr>
          <w:rFonts w:hint="default" w:hAnsi="宋体" w:cs="宋体"/>
        </w:rPr>
      </w:pPr>
      <w:r>
        <w:rPr>
          <w:rFonts w:hAnsi="宋体" w:cs="宋体"/>
          <w:b/>
          <w:bCs/>
          <w:sz w:val="30"/>
          <w:szCs w:val="30"/>
        </w:rPr>
        <w:br w:type="page"/>
      </w:r>
      <w:r>
        <w:rPr>
          <w:rFonts w:hAnsi="宋体" w:cs="宋体"/>
          <w:b/>
          <w:bCs/>
        </w:rPr>
        <w:t>格式9：</w:t>
      </w:r>
    </w:p>
    <w:p>
      <w:pPr>
        <w:pStyle w:val="10"/>
        <w:spacing w:line="500" w:lineRule="exact"/>
        <w:jc w:val="center"/>
        <w:rPr>
          <w:rFonts w:hint="default" w:hAnsi="宋体" w:cs="宋体"/>
          <w:b/>
          <w:bCs/>
          <w:sz w:val="30"/>
          <w:szCs w:val="30"/>
        </w:rPr>
      </w:pPr>
      <w:r>
        <w:rPr>
          <w:rFonts w:hAnsi="宋体" w:cs="宋体"/>
          <w:b/>
          <w:bCs/>
          <w:sz w:val="30"/>
          <w:szCs w:val="30"/>
        </w:rPr>
        <w:t>商务条款偏离表（格式）</w:t>
      </w:r>
    </w:p>
    <w:p>
      <w:pPr>
        <w:pStyle w:val="10"/>
        <w:spacing w:line="440" w:lineRule="exact"/>
        <w:ind w:firstLine="420" w:firstLineChars="200"/>
        <w:rPr>
          <w:rFonts w:hint="default" w:hAnsi="宋体" w:cs="宋体"/>
          <w:sz w:val="24"/>
          <w:szCs w:val="24"/>
        </w:rPr>
      </w:pPr>
      <w:r>
        <w:rPr>
          <w:rFonts w:hAnsi="宋体" w:cs="宋体"/>
        </w:rPr>
        <w:t xml:space="preserve"> </w:t>
      </w:r>
      <w:r>
        <w:rPr>
          <w:rFonts w:hAnsi="宋体" w:cs="宋体"/>
          <w:sz w:val="24"/>
          <w:szCs w:val="24"/>
        </w:rPr>
        <w:t>请</w:t>
      </w:r>
      <w:r>
        <w:rPr>
          <w:rFonts w:hAnsi="宋体" w:cs="宋体"/>
          <w:b/>
          <w:bCs/>
          <w:sz w:val="24"/>
          <w:szCs w:val="24"/>
        </w:rPr>
        <w:t>逐条对应</w:t>
      </w:r>
      <w:r>
        <w:rPr>
          <w:rFonts w:hAnsi="宋体" w:cs="宋体"/>
          <w:sz w:val="24"/>
          <w:szCs w:val="24"/>
        </w:rPr>
        <w:t>本项目招标文件第二章“货物需求一览表”中“商务条款”的要求，详细填写相应的具体内容，“偏离说明”一栏选择“正偏离”、“负偏离”或“无偏离”进行填写。</w:t>
      </w:r>
    </w:p>
    <w:p>
      <w:pPr>
        <w:pStyle w:val="10"/>
        <w:rPr>
          <w:rFonts w:hint="default" w:hAnsi="宋体" w:cs="宋体"/>
          <w:sz w:val="24"/>
          <w:szCs w:val="24"/>
        </w:rPr>
      </w:pPr>
    </w:p>
    <w:tbl>
      <w:tblPr>
        <w:tblStyle w:val="18"/>
        <w:tblW w:w="95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502"/>
        <w:gridCol w:w="396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10"/>
              <w:spacing w:line="600" w:lineRule="exact"/>
              <w:jc w:val="center"/>
              <w:rPr>
                <w:rFonts w:hint="default" w:hAnsi="宋体" w:cs="宋体"/>
                <w:sz w:val="24"/>
                <w:szCs w:val="24"/>
              </w:rPr>
            </w:pPr>
            <w:r>
              <w:rPr>
                <w:rFonts w:hAnsi="宋体" w:cs="宋体"/>
                <w:sz w:val="24"/>
                <w:szCs w:val="24"/>
              </w:rPr>
              <w:t>项号</w:t>
            </w:r>
          </w:p>
        </w:tc>
        <w:tc>
          <w:tcPr>
            <w:tcW w:w="3502" w:type="dxa"/>
            <w:vAlign w:val="center"/>
          </w:tcPr>
          <w:p>
            <w:pPr>
              <w:pStyle w:val="10"/>
              <w:spacing w:line="600" w:lineRule="exact"/>
              <w:jc w:val="center"/>
              <w:rPr>
                <w:rFonts w:hint="default" w:hAnsi="宋体" w:cs="宋体"/>
                <w:sz w:val="24"/>
                <w:szCs w:val="24"/>
              </w:rPr>
            </w:pPr>
            <w:r>
              <w:rPr>
                <w:rFonts w:hAnsi="宋体" w:cs="宋体"/>
                <w:sz w:val="24"/>
                <w:szCs w:val="24"/>
              </w:rPr>
              <w:t>招标文件的商务需求</w:t>
            </w:r>
          </w:p>
        </w:tc>
        <w:tc>
          <w:tcPr>
            <w:tcW w:w="3960" w:type="dxa"/>
            <w:vAlign w:val="center"/>
          </w:tcPr>
          <w:p>
            <w:pPr>
              <w:pStyle w:val="10"/>
              <w:spacing w:line="600" w:lineRule="exact"/>
              <w:jc w:val="center"/>
              <w:rPr>
                <w:rFonts w:hint="default" w:hAnsi="宋体" w:cs="宋体"/>
                <w:sz w:val="24"/>
                <w:szCs w:val="24"/>
              </w:rPr>
            </w:pPr>
            <w:r>
              <w:rPr>
                <w:rFonts w:hAnsi="宋体" w:cs="宋体"/>
                <w:sz w:val="24"/>
                <w:szCs w:val="24"/>
              </w:rPr>
              <w:t>投标文件承诺的商务条款</w:t>
            </w:r>
          </w:p>
        </w:tc>
        <w:tc>
          <w:tcPr>
            <w:tcW w:w="1391" w:type="dxa"/>
            <w:vAlign w:val="center"/>
          </w:tcPr>
          <w:p>
            <w:pPr>
              <w:pStyle w:val="10"/>
              <w:spacing w:line="600" w:lineRule="exact"/>
              <w:jc w:val="center"/>
              <w:rPr>
                <w:rFonts w:hint="default" w:hAnsi="宋体" w:cs="宋体"/>
                <w:sz w:val="24"/>
                <w:szCs w:val="24"/>
              </w:rPr>
            </w:pPr>
            <w:r>
              <w:rPr>
                <w:rFonts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0"/>
              <w:spacing w:line="600" w:lineRule="exact"/>
              <w:jc w:val="center"/>
              <w:rPr>
                <w:rFonts w:hint="default" w:hAnsi="宋体" w:cs="宋体"/>
                <w:sz w:val="24"/>
                <w:szCs w:val="24"/>
              </w:rPr>
            </w:pPr>
            <w:r>
              <w:rPr>
                <w:rFonts w:hAnsi="宋体" w:cs="宋体"/>
                <w:sz w:val="24"/>
                <w:szCs w:val="24"/>
              </w:rPr>
              <w:t>一</w:t>
            </w:r>
          </w:p>
        </w:tc>
        <w:tc>
          <w:tcPr>
            <w:tcW w:w="3502" w:type="dxa"/>
          </w:tcPr>
          <w:p>
            <w:pPr>
              <w:rPr>
                <w:rFonts w:ascii="宋体" w:hAnsi="宋体" w:cs="宋体"/>
                <w:sz w:val="24"/>
                <w:szCs w:val="24"/>
              </w:rPr>
            </w:pPr>
            <w:r>
              <w:rPr>
                <w:rFonts w:hint="eastAsia" w:ascii="宋体" w:hAnsi="宋体" w:cs="宋体"/>
                <w:sz w:val="24"/>
                <w:szCs w:val="24"/>
              </w:rPr>
              <w:t>1……</w:t>
            </w:r>
          </w:p>
          <w:p>
            <w:pPr>
              <w:rPr>
                <w:rFonts w:ascii="宋体" w:hAnsi="宋体" w:cs="宋体"/>
                <w:sz w:val="24"/>
                <w:szCs w:val="24"/>
              </w:rPr>
            </w:pPr>
            <w:r>
              <w:rPr>
                <w:rFonts w:hint="eastAsia" w:ascii="宋体" w:hAnsi="宋体" w:cs="宋体"/>
                <w:sz w:val="24"/>
                <w:szCs w:val="24"/>
              </w:rPr>
              <w:t>2……</w:t>
            </w:r>
          </w:p>
          <w:p>
            <w:pPr>
              <w:rPr>
                <w:rFonts w:ascii="宋体" w:hAnsi="宋体" w:cs="宋体"/>
                <w:sz w:val="24"/>
                <w:szCs w:val="24"/>
              </w:rPr>
            </w:pPr>
            <w:r>
              <w:rPr>
                <w:rFonts w:hint="eastAsia" w:ascii="宋体" w:hAnsi="宋体" w:cs="宋体"/>
                <w:sz w:val="24"/>
                <w:szCs w:val="24"/>
              </w:rPr>
              <w:t>3……</w:t>
            </w:r>
          </w:p>
          <w:p>
            <w:pPr>
              <w:pStyle w:val="10"/>
              <w:spacing w:line="600" w:lineRule="exact"/>
              <w:jc w:val="left"/>
              <w:rPr>
                <w:rFonts w:hint="default" w:hAnsi="宋体" w:cs="宋体"/>
                <w:sz w:val="24"/>
                <w:szCs w:val="24"/>
              </w:rPr>
            </w:pPr>
            <w:r>
              <w:rPr>
                <w:rFonts w:hAnsi="宋体" w:cs="宋体"/>
                <w:sz w:val="24"/>
                <w:szCs w:val="24"/>
              </w:rPr>
              <w:t>…………</w:t>
            </w:r>
          </w:p>
        </w:tc>
        <w:tc>
          <w:tcPr>
            <w:tcW w:w="3960" w:type="dxa"/>
          </w:tcPr>
          <w:p>
            <w:pPr>
              <w:rPr>
                <w:rFonts w:ascii="宋体" w:hAnsi="宋体" w:cs="宋体"/>
                <w:sz w:val="24"/>
                <w:szCs w:val="24"/>
              </w:rPr>
            </w:pPr>
            <w:r>
              <w:rPr>
                <w:rFonts w:hint="eastAsia" w:ascii="宋体" w:hAnsi="宋体" w:cs="宋体"/>
                <w:sz w:val="24"/>
                <w:szCs w:val="24"/>
              </w:rPr>
              <w:t>1……</w:t>
            </w:r>
          </w:p>
          <w:p>
            <w:pPr>
              <w:rPr>
                <w:rFonts w:ascii="宋体" w:hAnsi="宋体" w:cs="宋体"/>
                <w:sz w:val="24"/>
                <w:szCs w:val="24"/>
              </w:rPr>
            </w:pPr>
            <w:r>
              <w:rPr>
                <w:rFonts w:hint="eastAsia" w:ascii="宋体" w:hAnsi="宋体" w:cs="宋体"/>
                <w:sz w:val="24"/>
                <w:szCs w:val="24"/>
              </w:rPr>
              <w:t>2……</w:t>
            </w:r>
          </w:p>
          <w:p>
            <w:pPr>
              <w:rPr>
                <w:rFonts w:ascii="宋体" w:hAnsi="宋体" w:cs="宋体"/>
                <w:sz w:val="24"/>
                <w:szCs w:val="24"/>
              </w:rPr>
            </w:pPr>
            <w:r>
              <w:rPr>
                <w:rFonts w:hint="eastAsia" w:ascii="宋体" w:hAnsi="宋体" w:cs="宋体"/>
                <w:sz w:val="24"/>
                <w:szCs w:val="24"/>
              </w:rPr>
              <w:t>3……</w:t>
            </w:r>
          </w:p>
          <w:p>
            <w:pPr>
              <w:pStyle w:val="10"/>
              <w:spacing w:line="600" w:lineRule="exact"/>
              <w:jc w:val="left"/>
              <w:rPr>
                <w:rFonts w:hint="default" w:hAnsi="宋体" w:cs="宋体"/>
                <w:sz w:val="24"/>
                <w:szCs w:val="24"/>
              </w:rPr>
            </w:pPr>
            <w:r>
              <w:rPr>
                <w:rFonts w:hAnsi="宋体" w:cs="宋体"/>
                <w:sz w:val="24"/>
                <w:szCs w:val="24"/>
              </w:rPr>
              <w:t>…………</w:t>
            </w:r>
          </w:p>
        </w:tc>
        <w:tc>
          <w:tcPr>
            <w:tcW w:w="1391" w:type="dxa"/>
          </w:tcPr>
          <w:p>
            <w:pPr>
              <w:pStyle w:val="10"/>
              <w:spacing w:line="600" w:lineRule="exact"/>
              <w:rPr>
                <w:rFonts w:hint="default" w:hAnsi="宋体" w:cs="宋体"/>
                <w:sz w:val="24"/>
                <w:szCs w:val="24"/>
              </w:rPr>
            </w:pPr>
            <w:r>
              <w:rPr>
                <w:rFonts w:hAnsi="宋体" w:cs="宋体"/>
                <w:sz w:val="24"/>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0"/>
              <w:spacing w:line="600" w:lineRule="exact"/>
              <w:jc w:val="center"/>
              <w:rPr>
                <w:rFonts w:hint="default" w:hAnsi="宋体" w:cs="宋体"/>
                <w:sz w:val="24"/>
                <w:szCs w:val="24"/>
              </w:rPr>
            </w:pPr>
            <w:r>
              <w:rPr>
                <w:rFonts w:hAnsi="宋体" w:cs="宋体"/>
                <w:sz w:val="24"/>
                <w:szCs w:val="24"/>
              </w:rPr>
              <w:t>二</w:t>
            </w:r>
          </w:p>
        </w:tc>
        <w:tc>
          <w:tcPr>
            <w:tcW w:w="3502" w:type="dxa"/>
          </w:tcPr>
          <w:p>
            <w:pPr>
              <w:rPr>
                <w:rFonts w:ascii="宋体" w:hAnsi="宋体" w:cs="宋体"/>
                <w:sz w:val="24"/>
                <w:szCs w:val="24"/>
              </w:rPr>
            </w:pPr>
            <w:r>
              <w:rPr>
                <w:rFonts w:hint="eastAsia" w:ascii="宋体" w:hAnsi="宋体" w:cs="宋体"/>
                <w:sz w:val="24"/>
                <w:szCs w:val="24"/>
              </w:rPr>
              <w:t>1……</w:t>
            </w:r>
          </w:p>
          <w:p>
            <w:pPr>
              <w:rPr>
                <w:rFonts w:ascii="宋体" w:hAnsi="宋体" w:cs="宋体"/>
                <w:sz w:val="24"/>
                <w:szCs w:val="24"/>
              </w:rPr>
            </w:pPr>
            <w:r>
              <w:rPr>
                <w:rFonts w:hint="eastAsia" w:ascii="宋体" w:hAnsi="宋体" w:cs="宋体"/>
                <w:sz w:val="24"/>
                <w:szCs w:val="24"/>
              </w:rPr>
              <w:t>2……</w:t>
            </w:r>
          </w:p>
          <w:p>
            <w:pPr>
              <w:rPr>
                <w:rFonts w:ascii="宋体" w:hAnsi="宋体" w:cs="宋体"/>
                <w:sz w:val="24"/>
                <w:szCs w:val="24"/>
              </w:rPr>
            </w:pPr>
            <w:r>
              <w:rPr>
                <w:rFonts w:hint="eastAsia" w:ascii="宋体" w:hAnsi="宋体" w:cs="宋体"/>
                <w:sz w:val="24"/>
                <w:szCs w:val="24"/>
              </w:rPr>
              <w:t>3……</w:t>
            </w:r>
          </w:p>
          <w:p>
            <w:pPr>
              <w:pStyle w:val="10"/>
              <w:spacing w:line="600" w:lineRule="exact"/>
              <w:jc w:val="left"/>
              <w:rPr>
                <w:rFonts w:hint="default" w:hAnsi="宋体" w:cs="宋体"/>
                <w:sz w:val="24"/>
                <w:szCs w:val="24"/>
              </w:rPr>
            </w:pPr>
            <w:r>
              <w:rPr>
                <w:rFonts w:hAnsi="宋体" w:cs="宋体"/>
                <w:sz w:val="24"/>
                <w:szCs w:val="24"/>
              </w:rPr>
              <w:t>…………</w:t>
            </w:r>
          </w:p>
        </w:tc>
        <w:tc>
          <w:tcPr>
            <w:tcW w:w="3960" w:type="dxa"/>
          </w:tcPr>
          <w:p>
            <w:pPr>
              <w:rPr>
                <w:rFonts w:ascii="宋体" w:hAnsi="宋体" w:cs="宋体"/>
                <w:sz w:val="24"/>
                <w:szCs w:val="24"/>
              </w:rPr>
            </w:pPr>
            <w:r>
              <w:rPr>
                <w:rFonts w:hint="eastAsia" w:ascii="宋体" w:hAnsi="宋体" w:cs="宋体"/>
                <w:sz w:val="24"/>
                <w:szCs w:val="24"/>
              </w:rPr>
              <w:t>1……</w:t>
            </w:r>
          </w:p>
          <w:p>
            <w:pPr>
              <w:rPr>
                <w:rFonts w:ascii="宋体" w:hAnsi="宋体" w:cs="宋体"/>
                <w:sz w:val="24"/>
                <w:szCs w:val="24"/>
              </w:rPr>
            </w:pPr>
            <w:r>
              <w:rPr>
                <w:rFonts w:hint="eastAsia" w:ascii="宋体" w:hAnsi="宋体" w:cs="宋体"/>
                <w:sz w:val="24"/>
                <w:szCs w:val="24"/>
              </w:rPr>
              <w:t>2……</w:t>
            </w:r>
          </w:p>
          <w:p>
            <w:pPr>
              <w:rPr>
                <w:rFonts w:ascii="宋体" w:hAnsi="宋体" w:cs="宋体"/>
                <w:sz w:val="24"/>
                <w:szCs w:val="24"/>
              </w:rPr>
            </w:pPr>
            <w:r>
              <w:rPr>
                <w:rFonts w:hint="eastAsia" w:ascii="宋体" w:hAnsi="宋体" w:cs="宋体"/>
                <w:sz w:val="24"/>
                <w:szCs w:val="24"/>
              </w:rPr>
              <w:t>3……</w:t>
            </w:r>
          </w:p>
          <w:p>
            <w:pPr>
              <w:pStyle w:val="10"/>
              <w:spacing w:line="600" w:lineRule="exact"/>
              <w:jc w:val="left"/>
              <w:rPr>
                <w:rFonts w:hint="default" w:hAnsi="宋体" w:cs="宋体"/>
                <w:sz w:val="24"/>
                <w:szCs w:val="24"/>
              </w:rPr>
            </w:pPr>
            <w:r>
              <w:rPr>
                <w:rFonts w:hAnsi="宋体" w:cs="宋体"/>
                <w:sz w:val="24"/>
                <w:szCs w:val="24"/>
              </w:rPr>
              <w:t>…………</w:t>
            </w:r>
          </w:p>
        </w:tc>
        <w:tc>
          <w:tcPr>
            <w:tcW w:w="1391" w:type="dxa"/>
          </w:tcPr>
          <w:p>
            <w:pPr>
              <w:pStyle w:val="10"/>
              <w:spacing w:line="600" w:lineRule="exact"/>
              <w:rPr>
                <w:rFonts w:hint="default" w:hAnsi="宋体" w:cs="宋体"/>
                <w:sz w:val="24"/>
                <w:szCs w:val="24"/>
              </w:rPr>
            </w:pPr>
            <w:r>
              <w:rPr>
                <w:rFonts w:hAnsi="宋体" w:cs="宋体"/>
                <w:sz w:val="24"/>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ascii="宋体" w:hAnsi="宋体" w:cs="宋体"/>
                <w:sz w:val="24"/>
                <w:szCs w:val="24"/>
              </w:rPr>
            </w:pPr>
            <w:r>
              <w:rPr>
                <w:rFonts w:hint="eastAsia" w:ascii="宋体" w:hAnsi="宋体" w:cs="宋体"/>
                <w:sz w:val="24"/>
                <w:szCs w:val="24"/>
              </w:rPr>
              <w:t>…</w:t>
            </w:r>
          </w:p>
        </w:tc>
        <w:tc>
          <w:tcPr>
            <w:tcW w:w="3502" w:type="dxa"/>
            <w:vAlign w:val="center"/>
          </w:tcPr>
          <w:p>
            <w:pPr>
              <w:pStyle w:val="10"/>
              <w:spacing w:line="600" w:lineRule="exact"/>
              <w:jc w:val="center"/>
              <w:rPr>
                <w:rFonts w:hint="default" w:hAnsi="宋体" w:cs="宋体"/>
                <w:sz w:val="24"/>
                <w:szCs w:val="24"/>
              </w:rPr>
            </w:pPr>
          </w:p>
        </w:tc>
        <w:tc>
          <w:tcPr>
            <w:tcW w:w="3960" w:type="dxa"/>
            <w:vAlign w:val="center"/>
          </w:tcPr>
          <w:p>
            <w:pPr>
              <w:pStyle w:val="10"/>
              <w:spacing w:line="600" w:lineRule="exact"/>
              <w:jc w:val="center"/>
              <w:rPr>
                <w:rFonts w:hint="default" w:hAnsi="宋体" w:cs="宋体"/>
                <w:sz w:val="24"/>
                <w:szCs w:val="24"/>
              </w:rPr>
            </w:pPr>
          </w:p>
        </w:tc>
        <w:tc>
          <w:tcPr>
            <w:tcW w:w="1391" w:type="dxa"/>
            <w:vAlign w:val="center"/>
          </w:tcPr>
          <w:p>
            <w:pPr>
              <w:pStyle w:val="10"/>
              <w:spacing w:line="600" w:lineRule="exact"/>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4"/>
            <w:vAlign w:val="center"/>
          </w:tcPr>
          <w:p>
            <w:pPr>
              <w:pStyle w:val="10"/>
              <w:spacing w:line="600" w:lineRule="exact"/>
              <w:rPr>
                <w:rFonts w:hint="default" w:hAnsi="宋体" w:cs="宋体"/>
                <w:sz w:val="24"/>
                <w:szCs w:val="24"/>
                <w:u w:val="single"/>
              </w:rPr>
            </w:pPr>
            <w:r>
              <w:rPr>
                <w:rFonts w:hAnsi="宋体" w:cs="宋体"/>
                <w:sz w:val="24"/>
                <w:szCs w:val="24"/>
              </w:rPr>
              <w:t>投标人（盖单位公章）：</w:t>
            </w:r>
            <w:r>
              <w:rPr>
                <w:rFonts w:hAnsi="宋体" w:cs="宋体"/>
                <w:sz w:val="24"/>
                <w:szCs w:val="24"/>
                <w:u w:val="single"/>
              </w:rPr>
              <w:t xml:space="preserve">                                    </w:t>
            </w:r>
          </w:p>
          <w:p>
            <w:pPr>
              <w:rPr>
                <w:rFonts w:ascii="宋体" w:hAnsi="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4"/>
            <w:vAlign w:val="center"/>
          </w:tcPr>
          <w:p>
            <w:pPr>
              <w:pStyle w:val="10"/>
              <w:spacing w:line="500" w:lineRule="exact"/>
              <w:rPr>
                <w:rFonts w:hint="default" w:hAnsi="宋体" w:cs="宋体"/>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pPr>
              <w:rPr>
                <w:rFonts w:ascii="宋体" w:hAnsi="宋体" w:cs="宋体"/>
                <w:sz w:val="24"/>
                <w:szCs w:val="24"/>
                <w:u w:val="single"/>
              </w:rPr>
            </w:pPr>
          </w:p>
        </w:tc>
      </w:tr>
    </w:tbl>
    <w:p>
      <w:pPr>
        <w:pStyle w:val="10"/>
        <w:rPr>
          <w:rFonts w:hint="default" w:hAnsi="宋体" w:cs="宋体"/>
          <w:sz w:val="24"/>
          <w:szCs w:val="24"/>
        </w:rPr>
      </w:pPr>
    </w:p>
    <w:p>
      <w:pPr>
        <w:pStyle w:val="10"/>
        <w:spacing w:line="440" w:lineRule="exact"/>
        <w:rPr>
          <w:rFonts w:hint="default" w:hAnsi="宋体" w:cs="宋体"/>
          <w:sz w:val="24"/>
          <w:szCs w:val="24"/>
        </w:rPr>
      </w:pPr>
      <w:r>
        <w:rPr>
          <w:rFonts w:hAnsi="宋体" w:cs="宋体"/>
          <w:sz w:val="24"/>
          <w:szCs w:val="24"/>
        </w:rPr>
        <w:t>注：⑴表格内容均需按要求填写并盖章，不得留空，否则按投标无效处理。</w:t>
      </w:r>
    </w:p>
    <w:p>
      <w:pPr>
        <w:pStyle w:val="10"/>
        <w:spacing w:line="440" w:lineRule="exact"/>
        <w:ind w:firstLine="480" w:firstLineChars="200"/>
        <w:rPr>
          <w:rFonts w:hint="default" w:hAnsi="宋体" w:cs="宋体"/>
          <w:sz w:val="24"/>
          <w:szCs w:val="24"/>
        </w:rPr>
      </w:pPr>
      <w:r>
        <w:rPr>
          <w:rFonts w:hAnsi="宋体" w:cs="宋体"/>
          <w:sz w:val="24"/>
          <w:szCs w:val="24"/>
        </w:rPr>
        <w:t>⑵如果投标文件需求小于或大于招标文件某个数值标准时，投标文件不得直接复制招标文件需求，投标文件对应内容应当写明商务响应的实际数值，否则按投标无效处理。</w:t>
      </w:r>
    </w:p>
    <w:p>
      <w:pPr>
        <w:pStyle w:val="10"/>
        <w:spacing w:line="440" w:lineRule="exact"/>
        <w:ind w:firstLine="480" w:firstLineChars="200"/>
        <w:rPr>
          <w:rFonts w:hint="default" w:hAnsi="宋体" w:cs="宋体"/>
          <w:sz w:val="24"/>
          <w:szCs w:val="24"/>
        </w:rPr>
      </w:pPr>
      <w:r>
        <w:rPr>
          <w:rFonts w:hAnsi="宋体" w:cs="宋体"/>
          <w:sz w:val="24"/>
          <w:szCs w:val="24"/>
        </w:rPr>
        <w:t>⑶当投标文件的商务响应低于招标文件要求时，投标人应当如实写明“负偏离”，否则视为虚假应标。</w:t>
      </w:r>
    </w:p>
    <w:p>
      <w:pPr>
        <w:pStyle w:val="10"/>
        <w:spacing w:line="600" w:lineRule="exact"/>
        <w:rPr>
          <w:rFonts w:hint="default" w:hAnsi="宋体" w:cs="宋体"/>
          <w:sz w:val="24"/>
          <w:szCs w:val="24"/>
        </w:rPr>
      </w:pPr>
    </w:p>
    <w:p>
      <w:pPr>
        <w:pStyle w:val="10"/>
        <w:spacing w:line="600" w:lineRule="exact"/>
        <w:rPr>
          <w:rFonts w:hint="default" w:hAnsi="宋体" w:cs="宋体"/>
        </w:rPr>
      </w:pPr>
      <w:r>
        <w:rPr>
          <w:rFonts w:hAnsi="宋体" w:cs="宋体"/>
          <w:b/>
          <w:bCs/>
          <w:sz w:val="32"/>
          <w:szCs w:val="32"/>
        </w:rPr>
        <w:br w:type="page"/>
      </w:r>
      <w:r>
        <w:rPr>
          <w:rFonts w:hAnsi="宋体" w:cs="宋体"/>
          <w:b/>
          <w:bCs/>
        </w:rPr>
        <w:t>格式10：</w:t>
      </w:r>
    </w:p>
    <w:p>
      <w:pPr>
        <w:pStyle w:val="10"/>
        <w:spacing w:line="500" w:lineRule="exact"/>
        <w:jc w:val="center"/>
        <w:rPr>
          <w:rFonts w:hint="default" w:hAnsi="宋体" w:cs="宋体"/>
          <w:b/>
          <w:bCs/>
          <w:sz w:val="30"/>
          <w:szCs w:val="30"/>
        </w:rPr>
      </w:pPr>
      <w:r>
        <w:rPr>
          <w:rFonts w:hAnsi="宋体" w:cs="宋体"/>
          <w:b/>
          <w:bCs/>
          <w:sz w:val="30"/>
          <w:szCs w:val="30"/>
        </w:rPr>
        <w:t>法定代表人授权委托书（格式）</w:t>
      </w:r>
    </w:p>
    <w:p>
      <w:pPr>
        <w:pStyle w:val="10"/>
        <w:spacing w:line="500" w:lineRule="exact"/>
        <w:ind w:firstLine="420" w:firstLineChars="200"/>
        <w:rPr>
          <w:rFonts w:hint="default" w:hAnsi="宋体" w:cs="宋体"/>
          <w:u w:val="single"/>
        </w:rPr>
      </w:pPr>
    </w:p>
    <w:p>
      <w:pPr>
        <w:pStyle w:val="10"/>
        <w:spacing w:line="360" w:lineRule="auto"/>
        <w:ind w:firstLine="435"/>
        <w:rPr>
          <w:rFonts w:hint="default" w:hAnsi="宋体" w:cs="宋体"/>
          <w:sz w:val="24"/>
          <w:szCs w:val="24"/>
        </w:rPr>
      </w:pPr>
      <w:r>
        <w:rPr>
          <w:rFonts w:hAnsi="宋体" w:cs="宋体"/>
          <w:sz w:val="24"/>
          <w:szCs w:val="24"/>
        </w:rPr>
        <w:t>致：</w:t>
      </w:r>
      <w:r>
        <w:rPr>
          <w:rFonts w:hAnsi="宋体" w:cs="宋体"/>
          <w:sz w:val="24"/>
          <w:szCs w:val="24"/>
          <w:u w:val="single"/>
        </w:rPr>
        <w:t xml:space="preserve">                       </w:t>
      </w:r>
      <w:r>
        <w:rPr>
          <w:rFonts w:hAnsi="宋体" w:cs="宋体"/>
          <w:sz w:val="24"/>
          <w:szCs w:val="24"/>
        </w:rPr>
        <w:t>（采购代理机构名称）</w:t>
      </w:r>
    </w:p>
    <w:p>
      <w:pPr>
        <w:pStyle w:val="10"/>
        <w:spacing w:line="360" w:lineRule="auto"/>
        <w:ind w:firstLine="435"/>
        <w:rPr>
          <w:rFonts w:hint="default" w:hAnsi="宋体" w:cs="宋体"/>
          <w:sz w:val="24"/>
          <w:szCs w:val="24"/>
        </w:rPr>
      </w:pPr>
    </w:p>
    <w:p>
      <w:pPr>
        <w:pStyle w:val="10"/>
        <w:spacing w:line="360" w:lineRule="auto"/>
        <w:ind w:firstLine="435"/>
        <w:rPr>
          <w:rFonts w:hint="default" w:hAnsi="宋体" w:cs="宋体"/>
          <w:sz w:val="24"/>
          <w:szCs w:val="24"/>
        </w:rPr>
      </w:pPr>
      <w:r>
        <w:rPr>
          <w:rFonts w:hAnsi="宋体" w:cs="宋体"/>
          <w:sz w:val="24"/>
          <w:szCs w:val="24"/>
        </w:rPr>
        <w:t>本人</w:t>
      </w:r>
      <w:r>
        <w:rPr>
          <w:rFonts w:hAnsi="宋体" w:cs="宋体"/>
          <w:sz w:val="24"/>
          <w:szCs w:val="24"/>
          <w:u w:val="single"/>
        </w:rPr>
        <w:t xml:space="preserve">    （姓名）    </w:t>
      </w:r>
      <w:r>
        <w:rPr>
          <w:rFonts w:hAnsi="宋体" w:cs="宋体"/>
          <w:sz w:val="24"/>
          <w:szCs w:val="24"/>
        </w:rPr>
        <w:t>系</w:t>
      </w:r>
      <w:r>
        <w:rPr>
          <w:rFonts w:hAnsi="宋体" w:cs="宋体"/>
          <w:sz w:val="24"/>
          <w:szCs w:val="24"/>
          <w:u w:val="single"/>
        </w:rPr>
        <w:t xml:space="preserve">     （投标人名称）     </w:t>
      </w:r>
      <w:r>
        <w:rPr>
          <w:rFonts w:hAnsi="宋体" w:cs="宋体"/>
          <w:sz w:val="24"/>
          <w:szCs w:val="24"/>
        </w:rPr>
        <w:t>的法定代表人，现授权我单位在职正式员工</w:t>
      </w:r>
      <w:r>
        <w:rPr>
          <w:rFonts w:hAnsi="宋体" w:cs="宋体"/>
          <w:sz w:val="24"/>
          <w:szCs w:val="24"/>
          <w:u w:val="single"/>
        </w:rPr>
        <w:t xml:space="preserve">    （姓名和职务）    </w:t>
      </w:r>
      <w:r>
        <w:rPr>
          <w:rFonts w:hAnsi="宋体" w:cs="宋体"/>
          <w:sz w:val="24"/>
          <w:szCs w:val="24"/>
        </w:rPr>
        <w:t>为我方代理人。代理人根据授权，以我方名义签署、澄清、说明、补正、递交、撤回、修改贵方组织的</w:t>
      </w:r>
      <w:r>
        <w:rPr>
          <w:rFonts w:hAnsi="宋体" w:cs="宋体"/>
          <w:sz w:val="24"/>
          <w:szCs w:val="24"/>
          <w:u w:val="single"/>
        </w:rPr>
        <w:t xml:space="preserve">   （项目名称）     </w:t>
      </w:r>
      <w:r>
        <w:rPr>
          <w:rFonts w:hAnsi="宋体" w:cs="宋体"/>
          <w:sz w:val="24"/>
          <w:szCs w:val="24"/>
        </w:rPr>
        <w:t>（项目编号：</w:t>
      </w:r>
      <w:r>
        <w:rPr>
          <w:rFonts w:hAnsi="宋体" w:cs="宋体"/>
          <w:sz w:val="24"/>
          <w:szCs w:val="24"/>
          <w:u w:val="single"/>
        </w:rPr>
        <w:t xml:space="preserve">           </w:t>
      </w:r>
      <w:r>
        <w:rPr>
          <w:rFonts w:hAnsi="宋体" w:cs="宋体"/>
          <w:sz w:val="24"/>
          <w:szCs w:val="24"/>
        </w:rPr>
        <w:t>）项目的投标文件、签订合同和处理一切有关事宜，其法律后果由我方承担。</w:t>
      </w:r>
    </w:p>
    <w:p>
      <w:pPr>
        <w:pStyle w:val="10"/>
        <w:spacing w:line="360" w:lineRule="auto"/>
        <w:ind w:firstLine="435"/>
        <w:rPr>
          <w:rFonts w:hint="default" w:hAnsi="宋体" w:cs="宋体"/>
          <w:sz w:val="24"/>
          <w:szCs w:val="24"/>
        </w:rPr>
      </w:pPr>
      <w:r>
        <w:rPr>
          <w:rFonts w:hAnsi="宋体" w:cs="宋体"/>
          <w:sz w:val="24"/>
          <w:szCs w:val="24"/>
        </w:rPr>
        <w:t>本授权书于</w:t>
      </w:r>
      <w:r>
        <w:rPr>
          <w:rFonts w:hAnsi="宋体" w:cs="宋体"/>
          <w:spacing w:val="10"/>
          <w:sz w:val="24"/>
          <w:szCs w:val="24"/>
          <w:u w:val="single"/>
        </w:rPr>
        <w:t xml:space="preserve">    </w:t>
      </w:r>
      <w:r>
        <w:rPr>
          <w:rFonts w:hAnsi="宋体" w:cs="宋体"/>
          <w:sz w:val="24"/>
          <w:szCs w:val="24"/>
        </w:rPr>
        <w:t>年</w:t>
      </w:r>
      <w:r>
        <w:rPr>
          <w:rFonts w:hAnsi="宋体" w:cs="宋体"/>
          <w:spacing w:val="10"/>
          <w:sz w:val="24"/>
          <w:szCs w:val="24"/>
          <w:u w:val="single"/>
        </w:rPr>
        <w:t xml:space="preserve">    </w:t>
      </w:r>
      <w:r>
        <w:rPr>
          <w:rFonts w:hAnsi="宋体" w:cs="宋体"/>
          <w:sz w:val="24"/>
          <w:szCs w:val="24"/>
        </w:rPr>
        <w:t>月</w:t>
      </w:r>
      <w:r>
        <w:rPr>
          <w:rFonts w:hAnsi="宋体" w:cs="宋体"/>
          <w:spacing w:val="10"/>
          <w:sz w:val="24"/>
          <w:szCs w:val="24"/>
          <w:u w:val="single"/>
        </w:rPr>
        <w:t xml:space="preserve">    </w:t>
      </w:r>
      <w:r>
        <w:rPr>
          <w:rFonts w:hAnsi="宋体" w:cs="宋体"/>
          <w:sz w:val="24"/>
          <w:szCs w:val="24"/>
        </w:rPr>
        <w:t>日签字生效，委托期限：</w:t>
      </w:r>
      <w:r>
        <w:rPr>
          <w:rFonts w:hAnsi="宋体" w:cs="宋体"/>
          <w:spacing w:val="10"/>
          <w:sz w:val="24"/>
          <w:szCs w:val="24"/>
          <w:u w:val="single"/>
        </w:rPr>
        <w:t xml:space="preserve">    </w:t>
      </w:r>
      <w:r>
        <w:rPr>
          <w:rFonts w:hAnsi="宋体" w:cs="宋体"/>
          <w:sz w:val="24"/>
          <w:szCs w:val="24"/>
        </w:rPr>
        <w:t>。</w:t>
      </w:r>
    </w:p>
    <w:p>
      <w:pPr>
        <w:pStyle w:val="10"/>
        <w:spacing w:line="360" w:lineRule="auto"/>
        <w:ind w:firstLine="420"/>
        <w:rPr>
          <w:rFonts w:hint="default" w:hAnsi="宋体" w:cs="宋体"/>
          <w:sz w:val="24"/>
          <w:szCs w:val="24"/>
        </w:rPr>
      </w:pPr>
      <w:r>
        <w:rPr>
          <w:rFonts w:hAnsi="宋体" w:cs="宋体"/>
          <w:sz w:val="24"/>
          <w:szCs w:val="24"/>
        </w:rPr>
        <w:t>代理人无转委托权。</w:t>
      </w:r>
    </w:p>
    <w:p>
      <w:pPr>
        <w:pStyle w:val="10"/>
        <w:spacing w:line="360" w:lineRule="auto"/>
        <w:ind w:firstLine="420"/>
        <w:rPr>
          <w:rFonts w:hint="default" w:hAnsi="宋体" w:cs="宋体"/>
          <w:sz w:val="24"/>
          <w:szCs w:val="24"/>
        </w:rPr>
      </w:pPr>
    </w:p>
    <w:p>
      <w:pPr>
        <w:pStyle w:val="10"/>
        <w:spacing w:line="360" w:lineRule="auto"/>
        <w:ind w:firstLine="420"/>
        <w:rPr>
          <w:rFonts w:hint="default" w:hAnsi="宋体" w:cs="宋体"/>
          <w:sz w:val="24"/>
          <w:szCs w:val="24"/>
          <w:u w:val="single"/>
        </w:rPr>
      </w:pPr>
      <w:r>
        <w:rPr>
          <w:rFonts w:hAnsi="宋体" w:cs="宋体"/>
          <w:sz w:val="24"/>
          <w:szCs w:val="24"/>
        </w:rPr>
        <w:t>投标人（盖单位公章）：</w:t>
      </w:r>
      <w:r>
        <w:rPr>
          <w:rFonts w:hAnsi="宋体" w:cs="宋体"/>
          <w:sz w:val="24"/>
          <w:szCs w:val="24"/>
          <w:u w:val="single"/>
        </w:rPr>
        <w:t xml:space="preserve">                                    </w:t>
      </w:r>
    </w:p>
    <w:p>
      <w:pPr>
        <w:pStyle w:val="10"/>
        <w:spacing w:line="360" w:lineRule="auto"/>
        <w:ind w:firstLine="420"/>
        <w:rPr>
          <w:rFonts w:hint="default" w:hAnsi="宋体" w:cs="宋体"/>
          <w:sz w:val="24"/>
          <w:szCs w:val="24"/>
          <w:u w:val="single"/>
        </w:rPr>
      </w:pPr>
      <w:r>
        <w:rPr>
          <w:rFonts w:hAnsi="宋体" w:cs="宋体"/>
          <w:sz w:val="24"/>
          <w:szCs w:val="24"/>
        </w:rPr>
        <w:t>统一社会信用代码:</w:t>
      </w:r>
      <w:r>
        <w:rPr>
          <w:rFonts w:hAnsi="宋体" w:cs="宋体"/>
          <w:sz w:val="24"/>
          <w:szCs w:val="24"/>
          <w:u w:val="single"/>
        </w:rPr>
        <w:t xml:space="preserve">                                         </w:t>
      </w:r>
    </w:p>
    <w:p>
      <w:pPr>
        <w:pStyle w:val="10"/>
        <w:spacing w:line="360" w:lineRule="auto"/>
        <w:ind w:firstLine="420"/>
        <w:rPr>
          <w:rFonts w:hint="default" w:hAnsi="宋体" w:cs="宋体"/>
          <w:sz w:val="24"/>
          <w:szCs w:val="24"/>
        </w:rPr>
      </w:pPr>
      <w:r>
        <w:rPr>
          <w:rFonts w:hAnsi="宋体" w:cs="宋体"/>
          <w:sz w:val="24"/>
          <w:szCs w:val="24"/>
        </w:rPr>
        <w:t>法定代表人（签字或盖章）：</w:t>
      </w:r>
      <w:r>
        <w:rPr>
          <w:rFonts w:hAnsi="宋体" w:cs="宋体"/>
          <w:sz w:val="24"/>
          <w:szCs w:val="24"/>
          <w:u w:val="single"/>
        </w:rPr>
        <w:t xml:space="preserve">                                </w:t>
      </w:r>
      <w:r>
        <w:rPr>
          <w:rFonts w:hAnsi="宋体" w:cs="宋体"/>
          <w:sz w:val="24"/>
          <w:szCs w:val="24"/>
        </w:rPr>
        <w:t xml:space="preserve">                               </w:t>
      </w:r>
    </w:p>
    <w:p>
      <w:pPr>
        <w:pStyle w:val="10"/>
        <w:spacing w:line="360" w:lineRule="auto"/>
        <w:ind w:firstLine="420"/>
        <w:rPr>
          <w:rFonts w:hint="default" w:hAnsi="宋体" w:cs="宋体"/>
          <w:sz w:val="24"/>
          <w:szCs w:val="24"/>
        </w:rPr>
      </w:pPr>
      <w:r>
        <w:rPr>
          <w:rFonts w:hAnsi="宋体" w:cs="宋体"/>
          <w:sz w:val="24"/>
          <w:szCs w:val="24"/>
        </w:rPr>
        <w:t>法定代表人身份证号码：</w:t>
      </w:r>
      <w:r>
        <w:rPr>
          <w:rFonts w:hAnsi="宋体" w:cs="宋体"/>
          <w:sz w:val="24"/>
          <w:szCs w:val="24"/>
          <w:u w:val="single"/>
        </w:rPr>
        <w:t xml:space="preserve">                                   </w:t>
      </w:r>
      <w:r>
        <w:rPr>
          <w:rFonts w:hAnsi="宋体" w:cs="宋体"/>
          <w:sz w:val="24"/>
          <w:szCs w:val="24"/>
        </w:rPr>
        <w:t xml:space="preserve">                                   </w:t>
      </w:r>
    </w:p>
    <w:p>
      <w:pPr>
        <w:pStyle w:val="10"/>
        <w:spacing w:line="360" w:lineRule="auto"/>
        <w:ind w:firstLine="420"/>
        <w:rPr>
          <w:rFonts w:hint="default" w:hAnsi="宋体" w:cs="宋体"/>
          <w:sz w:val="24"/>
          <w:szCs w:val="24"/>
        </w:rPr>
      </w:pPr>
      <w:r>
        <w:rPr>
          <w:rFonts w:hAnsi="宋体" w:cs="宋体"/>
          <w:sz w:val="24"/>
          <w:szCs w:val="24"/>
        </w:rPr>
        <w:t>委托代理人（签字或盖章）：</w:t>
      </w:r>
      <w:r>
        <w:rPr>
          <w:rFonts w:hAnsi="宋体" w:cs="宋体"/>
          <w:sz w:val="24"/>
          <w:szCs w:val="24"/>
          <w:u w:val="single"/>
        </w:rPr>
        <w:t xml:space="preserve">                                </w:t>
      </w:r>
      <w:r>
        <w:rPr>
          <w:rFonts w:hAnsi="宋体" w:cs="宋体"/>
          <w:sz w:val="24"/>
          <w:szCs w:val="24"/>
        </w:rPr>
        <w:t xml:space="preserve">                                </w:t>
      </w:r>
    </w:p>
    <w:p>
      <w:pPr>
        <w:pStyle w:val="10"/>
        <w:spacing w:line="360" w:lineRule="auto"/>
        <w:ind w:firstLine="420"/>
        <w:rPr>
          <w:rFonts w:hint="default" w:hAnsi="宋体" w:cs="宋体"/>
          <w:sz w:val="24"/>
          <w:szCs w:val="24"/>
        </w:rPr>
      </w:pPr>
      <w:r>
        <w:rPr>
          <w:rFonts w:hAnsi="宋体" w:cs="宋体"/>
          <w:sz w:val="24"/>
          <w:szCs w:val="24"/>
        </w:rPr>
        <w:t>委托代理人身份证号码：</w:t>
      </w:r>
      <w:r>
        <w:rPr>
          <w:rFonts w:hAnsi="宋体" w:cs="宋体"/>
          <w:sz w:val="24"/>
          <w:szCs w:val="24"/>
          <w:u w:val="single"/>
        </w:rPr>
        <w:t xml:space="preserve">                                   </w:t>
      </w:r>
      <w:r>
        <w:rPr>
          <w:rFonts w:hAnsi="宋体" w:cs="宋体"/>
          <w:sz w:val="24"/>
          <w:szCs w:val="24"/>
        </w:rPr>
        <w:t xml:space="preserve">                                   </w:t>
      </w:r>
    </w:p>
    <w:p>
      <w:pPr>
        <w:spacing w:line="600" w:lineRule="exact"/>
        <w:jc w:val="center"/>
        <w:rPr>
          <w:rFonts w:ascii="宋体" w:hAnsi="宋体" w:cs="宋体"/>
          <w:spacing w:val="20"/>
          <w:sz w:val="24"/>
          <w:szCs w:val="24"/>
        </w:rPr>
      </w:pPr>
      <w:r>
        <w:rPr>
          <w:rFonts w:hint="eastAsia" w:ascii="宋体" w:hAnsi="宋体" w:cs="宋体"/>
          <w:spacing w:val="20"/>
          <w:sz w:val="24"/>
          <w:szCs w:val="24"/>
        </w:rPr>
        <w:br w:type="page"/>
      </w:r>
      <w:bookmarkEnd w:id="56"/>
      <w:bookmarkEnd w:id="57"/>
      <w:bookmarkStart w:id="60" w:name="_Toc213206176"/>
      <w:bookmarkStart w:id="61" w:name="_Toc213325925"/>
      <w:bookmarkStart w:id="62" w:name="_Toc322528018"/>
    </w:p>
    <w:p>
      <w:pPr>
        <w:spacing w:line="600" w:lineRule="exact"/>
        <w:jc w:val="center"/>
        <w:rPr>
          <w:rFonts w:ascii="宋体" w:hAnsi="宋体" w:cs="宋体"/>
          <w:spacing w:val="20"/>
          <w:sz w:val="24"/>
          <w:szCs w:val="24"/>
        </w:rPr>
      </w:pPr>
    </w:p>
    <w:p>
      <w:pPr>
        <w:spacing w:line="360" w:lineRule="auto"/>
        <w:ind w:firstLine="420"/>
        <w:rPr>
          <w:rFonts w:ascii="宋体" w:hAnsi="宋体" w:cs="宋体"/>
          <w:sz w:val="24"/>
          <w:szCs w:val="24"/>
        </w:rPr>
      </w:pPr>
      <w:bookmarkStart w:id="63" w:name="_Toc32128"/>
      <w:bookmarkStart w:id="64" w:name="_Toc581"/>
      <w:r>
        <w:rPr>
          <w:rFonts w:hint="eastAsia" w:ascii="宋体" w:hAnsi="宋体" w:cs="宋体"/>
          <w:b/>
          <w:bCs/>
          <w:szCs w:val="20"/>
        </w:rPr>
        <w:t>格式</w:t>
      </w:r>
      <w:r>
        <w:rPr>
          <w:rFonts w:ascii="宋体" w:hAnsi="宋体" w:cs="宋体"/>
          <w:b/>
          <w:bCs/>
          <w:szCs w:val="20"/>
        </w:rPr>
        <w:t>1</w:t>
      </w:r>
      <w:r>
        <w:rPr>
          <w:rFonts w:hint="eastAsia" w:ascii="宋体" w:hAnsi="宋体" w:cs="宋体"/>
          <w:b/>
          <w:bCs/>
          <w:szCs w:val="20"/>
        </w:rPr>
        <w:t>1：</w:t>
      </w:r>
      <w:r>
        <w:rPr>
          <w:rFonts w:ascii="宋体" w:hAnsi="宋体" w:cs="宋体"/>
          <w:sz w:val="24"/>
          <w:szCs w:val="24"/>
        </w:rPr>
        <w:t xml:space="preserve">                                </w:t>
      </w:r>
    </w:p>
    <w:p>
      <w:pPr>
        <w:spacing w:line="500" w:lineRule="exact"/>
        <w:jc w:val="center"/>
        <w:rPr>
          <w:rFonts w:ascii="宋体" w:hAnsi="宋体" w:cs="宋体"/>
          <w:b/>
          <w:bCs/>
          <w:sz w:val="30"/>
          <w:szCs w:val="30"/>
        </w:rPr>
      </w:pPr>
      <w:r>
        <w:rPr>
          <w:rFonts w:hint="eastAsia" w:ascii="宋体" w:hAnsi="宋体" w:cs="宋体"/>
          <w:b/>
          <w:bCs/>
          <w:sz w:val="30"/>
          <w:szCs w:val="30"/>
        </w:rPr>
        <w:t>投标人直接控股、管理关系信息表（格式）</w:t>
      </w:r>
    </w:p>
    <w:p>
      <w:pPr>
        <w:widowControl/>
        <w:adjustRightInd w:val="0"/>
        <w:snapToGrid w:val="0"/>
        <w:spacing w:before="50" w:after="156" w:afterLines="50"/>
        <w:jc w:val="center"/>
        <w:rPr>
          <w:rFonts w:ascii="宋体" w:hAnsi="宋体" w:cs="宋体"/>
          <w:b/>
          <w:kern w:val="0"/>
          <w:sz w:val="28"/>
          <w:szCs w:val="28"/>
        </w:rPr>
      </w:pPr>
    </w:p>
    <w:p>
      <w:pPr>
        <w:widowControl/>
        <w:adjustRightInd w:val="0"/>
        <w:snapToGrid w:val="0"/>
        <w:spacing w:before="50" w:after="156" w:afterLines="50"/>
        <w:jc w:val="center"/>
        <w:rPr>
          <w:rFonts w:ascii="宋体" w:hAnsi="宋体" w:cs="宋体"/>
          <w:b/>
          <w:kern w:val="0"/>
          <w:sz w:val="28"/>
          <w:szCs w:val="28"/>
        </w:rPr>
      </w:pPr>
      <w:r>
        <w:rPr>
          <w:rFonts w:hint="eastAsia" w:ascii="宋体" w:hAnsi="宋体" w:cs="宋体"/>
          <w:b/>
          <w:kern w:val="0"/>
          <w:sz w:val="28"/>
          <w:szCs w:val="28"/>
        </w:rPr>
        <w:t>投标人直接控股股东信息表</w:t>
      </w:r>
    </w:p>
    <w:tbl>
      <w:tblPr>
        <w:tblStyle w:val="18"/>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28"/>
        <w:gridCol w:w="2269"/>
        <w:gridCol w:w="1239"/>
        <w:gridCol w:w="372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Header/>
        </w:trPr>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序号</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直接控股股东名称</w:t>
            </w: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出资比例</w:t>
            </w: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身份证号码或统一社会信用代码</w:t>
            </w: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1</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2</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3</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r>
    </w:tbl>
    <w:p>
      <w:pPr>
        <w:widowControl/>
        <w:adjustRightInd w:val="0"/>
        <w:snapToGrid w:val="0"/>
        <w:spacing w:after="200"/>
        <w:jc w:val="left"/>
        <w:rPr>
          <w:rFonts w:ascii="宋体" w:hAnsi="宋体" w:cs="宋体"/>
          <w:kern w:val="0"/>
          <w:sz w:val="24"/>
          <w:szCs w:val="24"/>
        </w:rPr>
      </w:pPr>
      <w:r>
        <w:rPr>
          <w:rFonts w:hint="eastAsia" w:ascii="宋体" w:hAnsi="宋体" w:cs="宋体"/>
          <w:kern w:val="0"/>
          <w:sz w:val="24"/>
          <w:szCs w:val="24"/>
        </w:rPr>
        <w:t>注：</w:t>
      </w:r>
    </w:p>
    <w:p>
      <w:pPr>
        <w:widowControl/>
        <w:adjustRightInd w:val="0"/>
        <w:snapToGrid w:val="0"/>
        <w:spacing w:after="200"/>
        <w:jc w:val="left"/>
        <w:rPr>
          <w:rFonts w:ascii="宋体" w:hAnsi="宋体" w:cs="宋体"/>
          <w:kern w:val="0"/>
          <w:sz w:val="24"/>
          <w:szCs w:val="24"/>
        </w:rPr>
      </w:pPr>
      <w:r>
        <w:rPr>
          <w:rFonts w:hint="eastAsia" w:ascii="宋体" w:hAnsi="宋体" w:cs="宋体"/>
          <w:kern w:val="0"/>
          <w:sz w:val="24"/>
          <w:szCs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widowControl/>
        <w:adjustRightInd w:val="0"/>
        <w:snapToGrid w:val="0"/>
        <w:spacing w:after="200"/>
        <w:jc w:val="left"/>
        <w:rPr>
          <w:rFonts w:ascii="宋体" w:hAnsi="宋体" w:cs="宋体"/>
          <w:kern w:val="0"/>
          <w:sz w:val="24"/>
          <w:szCs w:val="24"/>
        </w:rPr>
      </w:pPr>
      <w:r>
        <w:rPr>
          <w:rFonts w:hint="eastAsia" w:ascii="宋体" w:hAnsi="宋体" w:cs="宋体"/>
          <w:kern w:val="0"/>
          <w:sz w:val="24"/>
          <w:szCs w:val="24"/>
        </w:rPr>
        <w:t>2.本表所指的控股关系仅限于直接控股关系，不包括间接的控股关系。公司实际控制人与公司之间的关系不属于本表所指的直接控股关系。</w:t>
      </w:r>
    </w:p>
    <w:p>
      <w:pPr>
        <w:widowControl/>
        <w:adjustRightInd w:val="0"/>
        <w:snapToGrid w:val="0"/>
        <w:spacing w:after="200"/>
        <w:jc w:val="left"/>
        <w:rPr>
          <w:rFonts w:ascii="宋体" w:hAnsi="宋体" w:cs="宋体"/>
          <w:kern w:val="0"/>
          <w:sz w:val="24"/>
          <w:szCs w:val="24"/>
        </w:rPr>
      </w:pPr>
    </w:p>
    <w:p>
      <w:pPr>
        <w:widowControl/>
        <w:adjustRightInd w:val="0"/>
        <w:snapToGrid w:val="0"/>
        <w:spacing w:after="200"/>
        <w:jc w:val="left"/>
        <w:rPr>
          <w:rFonts w:ascii="宋体" w:hAnsi="宋体" w:cs="宋体"/>
          <w:kern w:val="0"/>
          <w:sz w:val="24"/>
          <w:szCs w:val="24"/>
        </w:rPr>
      </w:pPr>
    </w:p>
    <w:p>
      <w:pPr>
        <w:widowControl/>
        <w:adjustRightInd w:val="0"/>
        <w:snapToGrid w:val="0"/>
        <w:spacing w:after="200"/>
        <w:jc w:val="left"/>
        <w:rPr>
          <w:rFonts w:ascii="宋体" w:hAnsi="宋体" w:cs="宋体"/>
          <w:kern w:val="0"/>
          <w:sz w:val="24"/>
          <w:szCs w:val="24"/>
        </w:rPr>
      </w:pPr>
    </w:p>
    <w:p>
      <w:pPr>
        <w:spacing w:line="600" w:lineRule="exact"/>
        <w:rPr>
          <w:rFonts w:ascii="宋体" w:hAnsi="宋体" w:cs="宋体"/>
          <w:sz w:val="24"/>
          <w:szCs w:val="24"/>
          <w:u w:val="single"/>
        </w:rPr>
      </w:pPr>
      <w:r>
        <w:rPr>
          <w:rFonts w:hint="eastAsia" w:ascii="宋体" w:hAnsi="宋体" w:cs="宋体"/>
          <w:sz w:val="24"/>
          <w:szCs w:val="24"/>
        </w:rPr>
        <w:t>投标人（盖单位公章）：</w:t>
      </w:r>
      <w:r>
        <w:rPr>
          <w:rFonts w:hint="eastAsia" w:ascii="宋体" w:hAnsi="宋体" w:cs="宋体"/>
          <w:sz w:val="24"/>
          <w:szCs w:val="24"/>
          <w:u w:val="single"/>
        </w:rPr>
        <w:t xml:space="preserve">                                    </w:t>
      </w:r>
    </w:p>
    <w:p>
      <w:pPr>
        <w:spacing w:line="600" w:lineRule="exact"/>
        <w:rPr>
          <w:rFonts w:ascii="宋体" w:hAnsi="宋体" w:cs="宋体"/>
          <w:sz w:val="24"/>
          <w:szCs w:val="24"/>
        </w:rPr>
      </w:pPr>
    </w:p>
    <w:p>
      <w:pPr>
        <w:spacing w:line="600" w:lineRule="exact"/>
        <w:rPr>
          <w:rFonts w:ascii="宋体" w:hAnsi="宋体" w:cs="宋体"/>
          <w:sz w:val="24"/>
          <w:szCs w:val="24"/>
          <w:u w:val="single"/>
        </w:rPr>
      </w:pPr>
      <w:r>
        <w:rPr>
          <w:rFonts w:hint="eastAsia" w:ascii="宋体" w:hAnsi="宋体" w:cs="宋体"/>
          <w:sz w:val="24"/>
          <w:szCs w:val="24"/>
        </w:rPr>
        <w:t>法定代表人或其委托代理人（签字或盖章）：</w:t>
      </w:r>
      <w:r>
        <w:rPr>
          <w:rFonts w:hint="eastAsia" w:ascii="宋体" w:hAnsi="宋体" w:cs="宋体"/>
          <w:sz w:val="24"/>
          <w:szCs w:val="24"/>
          <w:u w:val="single"/>
        </w:rPr>
        <w:t xml:space="preserve">                  </w:t>
      </w:r>
    </w:p>
    <w:p>
      <w:pPr>
        <w:widowControl/>
        <w:adjustRightInd w:val="0"/>
        <w:snapToGrid w:val="0"/>
        <w:spacing w:before="156" w:beforeLines="50" w:after="50"/>
        <w:ind w:right="480" w:firstLine="5520" w:firstLineChars="2300"/>
        <w:jc w:val="left"/>
        <w:rPr>
          <w:rFonts w:ascii="宋体" w:hAnsi="宋体" w:cs="宋体"/>
          <w:kern w:val="0"/>
          <w:sz w:val="24"/>
          <w:szCs w:val="24"/>
        </w:rPr>
      </w:pPr>
    </w:p>
    <w:p>
      <w:pPr>
        <w:widowControl/>
        <w:adjustRightInd w:val="0"/>
        <w:snapToGrid w:val="0"/>
        <w:spacing w:before="156" w:beforeLines="50" w:after="50"/>
        <w:ind w:right="480" w:firstLine="240" w:firstLineChars="100"/>
        <w:jc w:val="left"/>
        <w:rPr>
          <w:rFonts w:ascii="宋体" w:hAnsi="宋体" w:cs="宋体"/>
          <w:kern w:val="0"/>
          <w:sz w:val="24"/>
          <w:szCs w:val="24"/>
        </w:rPr>
      </w:pPr>
      <w:r>
        <w:rPr>
          <w:rFonts w:hint="eastAsia" w:ascii="宋体" w:hAnsi="宋体" w:cs="宋体"/>
          <w:kern w:val="0"/>
          <w:sz w:val="24"/>
          <w:szCs w:val="24"/>
        </w:rPr>
        <w:t>年    月    日</w:t>
      </w:r>
    </w:p>
    <w:p>
      <w:pPr>
        <w:widowControl/>
        <w:adjustRightInd w:val="0"/>
        <w:snapToGrid w:val="0"/>
        <w:spacing w:after="200"/>
        <w:jc w:val="center"/>
        <w:rPr>
          <w:rFonts w:ascii="宋体" w:hAnsi="宋体" w:cs="宋体"/>
          <w:kern w:val="0"/>
          <w:sz w:val="24"/>
          <w:szCs w:val="24"/>
        </w:rPr>
      </w:pPr>
      <w:r>
        <w:rPr>
          <w:rFonts w:hint="eastAsia" w:ascii="宋体" w:hAnsi="宋体" w:cs="宋体"/>
          <w:b/>
          <w:kern w:val="0"/>
          <w:sz w:val="24"/>
          <w:szCs w:val="24"/>
        </w:rPr>
        <w:br w:type="page"/>
      </w:r>
      <w:r>
        <w:rPr>
          <w:rFonts w:hint="eastAsia" w:ascii="宋体" w:hAnsi="宋体" w:cs="宋体"/>
          <w:b/>
          <w:kern w:val="0"/>
          <w:sz w:val="28"/>
          <w:szCs w:val="28"/>
        </w:rPr>
        <w:t>投标人直接管理关系信息表</w:t>
      </w:r>
    </w:p>
    <w:tbl>
      <w:tblPr>
        <w:tblStyle w:val="18"/>
        <w:tblW w:w="9652" w:type="dxa"/>
        <w:tblInd w:w="0" w:type="dxa"/>
        <w:shd w:val="clear" w:color="auto" w:fill="FFFFFF"/>
        <w:tblLayout w:type="fixed"/>
        <w:tblCellMar>
          <w:top w:w="0" w:type="dxa"/>
          <w:left w:w="0" w:type="dxa"/>
          <w:bottom w:w="0" w:type="dxa"/>
          <w:right w:w="0" w:type="dxa"/>
        </w:tblCellMar>
      </w:tblPr>
      <w:tblGrid>
        <w:gridCol w:w="1005"/>
        <w:gridCol w:w="2659"/>
        <w:gridCol w:w="3924"/>
        <w:gridCol w:w="2064"/>
      </w:tblGrid>
      <w:tr>
        <w:tblPrEx>
          <w:shd w:val="clear" w:color="auto" w:fill="FFFFFF"/>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kern w:val="0"/>
                <w:sz w:val="24"/>
                <w:szCs w:val="24"/>
              </w:rPr>
            </w:pPr>
            <w:r>
              <w:rPr>
                <w:rFonts w:hint="eastAsia" w:ascii="宋体" w:hAnsi="宋体" w:cs="宋体"/>
                <w:b/>
                <w:bCs/>
                <w:kern w:val="0"/>
                <w:sz w:val="24"/>
                <w:szCs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kern w:val="0"/>
                <w:sz w:val="24"/>
                <w:szCs w:val="24"/>
              </w:rPr>
            </w:pPr>
            <w:r>
              <w:rPr>
                <w:rFonts w:hint="eastAsia" w:ascii="宋体" w:hAnsi="宋体" w:cs="宋体"/>
                <w:b/>
                <w:bCs/>
                <w:kern w:val="0"/>
                <w:sz w:val="24"/>
                <w:szCs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kern w:val="0"/>
                <w:sz w:val="24"/>
                <w:szCs w:val="24"/>
              </w:rPr>
            </w:pPr>
            <w:r>
              <w:rPr>
                <w:rFonts w:hint="eastAsia" w:ascii="宋体" w:hAnsi="宋体" w:cs="宋体"/>
                <w:b/>
                <w:bCs/>
                <w:kern w:val="0"/>
                <w:sz w:val="24"/>
                <w:szCs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kern w:val="0"/>
                <w:sz w:val="24"/>
                <w:szCs w:val="24"/>
              </w:rPr>
            </w:pPr>
            <w:r>
              <w:rPr>
                <w:rFonts w:hint="eastAsia" w:ascii="宋体" w:hAnsi="宋体" w:cs="宋体"/>
                <w:b/>
                <w:bCs/>
                <w:kern w:val="0"/>
                <w:sz w:val="24"/>
                <w:szCs w:val="24"/>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r>
              <w:rPr>
                <w:rFonts w:hint="eastAsia" w:ascii="宋体" w:hAnsi="宋体" w:cs="宋体"/>
                <w:kern w:val="0"/>
                <w:sz w:val="24"/>
                <w:szCs w:val="24"/>
              </w:rPr>
              <w:t>……</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kern w:val="0"/>
                <w:sz w:val="24"/>
                <w:szCs w:val="24"/>
              </w:rPr>
            </w:pPr>
          </w:p>
        </w:tc>
      </w:tr>
    </w:tbl>
    <w:p>
      <w:pPr>
        <w:widowControl/>
        <w:adjustRightInd w:val="0"/>
        <w:snapToGrid w:val="0"/>
        <w:spacing w:after="200"/>
        <w:jc w:val="left"/>
        <w:rPr>
          <w:rFonts w:ascii="宋体" w:hAnsi="宋体" w:cs="宋体"/>
          <w:kern w:val="0"/>
          <w:sz w:val="24"/>
          <w:szCs w:val="24"/>
        </w:rPr>
      </w:pPr>
      <w:r>
        <w:rPr>
          <w:rFonts w:hint="eastAsia" w:ascii="宋体" w:hAnsi="宋体" w:cs="宋体"/>
          <w:kern w:val="0"/>
          <w:sz w:val="24"/>
          <w:szCs w:val="24"/>
        </w:rPr>
        <w:t>注：</w:t>
      </w:r>
    </w:p>
    <w:p>
      <w:pPr>
        <w:widowControl/>
        <w:adjustRightInd w:val="0"/>
        <w:snapToGrid w:val="0"/>
        <w:spacing w:after="200"/>
        <w:jc w:val="left"/>
        <w:rPr>
          <w:rFonts w:ascii="宋体" w:hAnsi="宋体" w:cs="宋体"/>
          <w:kern w:val="0"/>
          <w:sz w:val="24"/>
          <w:szCs w:val="24"/>
        </w:rPr>
      </w:pPr>
      <w:r>
        <w:rPr>
          <w:rFonts w:hint="eastAsia" w:ascii="宋体" w:hAnsi="宋体" w:cs="宋体"/>
          <w:kern w:val="0"/>
          <w:sz w:val="24"/>
          <w:szCs w:val="24"/>
        </w:rPr>
        <w:t>1.管理关系：是指不具有出资持股关系的其他单位之间存在的管理与被管理关系，如一些上下级关系的事业单位和团体组织。</w:t>
      </w:r>
    </w:p>
    <w:p>
      <w:pPr>
        <w:widowControl/>
        <w:adjustRightInd w:val="0"/>
        <w:snapToGrid w:val="0"/>
        <w:spacing w:after="200"/>
        <w:jc w:val="left"/>
        <w:rPr>
          <w:rFonts w:ascii="宋体" w:hAnsi="宋体" w:cs="宋体"/>
          <w:kern w:val="0"/>
          <w:sz w:val="24"/>
          <w:szCs w:val="24"/>
        </w:rPr>
      </w:pPr>
      <w:r>
        <w:rPr>
          <w:rFonts w:hint="eastAsia" w:ascii="宋体" w:hAnsi="宋体" w:cs="宋体"/>
          <w:kern w:val="0"/>
          <w:sz w:val="24"/>
          <w:szCs w:val="24"/>
        </w:rPr>
        <w:t>2.本表所指的管理关系仅限于直接管理关系，不包括间接的管理关系。</w:t>
      </w:r>
    </w:p>
    <w:p>
      <w:pPr>
        <w:widowControl/>
        <w:adjustRightInd w:val="0"/>
        <w:snapToGrid w:val="0"/>
        <w:spacing w:after="200"/>
        <w:jc w:val="left"/>
        <w:rPr>
          <w:rFonts w:ascii="宋体" w:hAnsi="宋体" w:cs="宋体"/>
          <w:kern w:val="0"/>
          <w:sz w:val="24"/>
          <w:szCs w:val="24"/>
        </w:rPr>
      </w:pPr>
    </w:p>
    <w:p>
      <w:pPr>
        <w:widowControl/>
        <w:adjustRightInd w:val="0"/>
        <w:snapToGrid w:val="0"/>
        <w:spacing w:after="200"/>
        <w:jc w:val="left"/>
        <w:rPr>
          <w:rFonts w:ascii="宋体" w:hAnsi="宋体" w:cs="宋体"/>
          <w:kern w:val="0"/>
          <w:sz w:val="24"/>
          <w:szCs w:val="24"/>
        </w:rPr>
      </w:pPr>
    </w:p>
    <w:p>
      <w:pPr>
        <w:widowControl/>
        <w:adjustRightInd w:val="0"/>
        <w:snapToGrid w:val="0"/>
        <w:spacing w:after="200"/>
        <w:jc w:val="left"/>
        <w:rPr>
          <w:rFonts w:ascii="宋体" w:hAnsi="宋体" w:cs="宋体"/>
          <w:kern w:val="0"/>
          <w:sz w:val="24"/>
          <w:szCs w:val="24"/>
        </w:rPr>
      </w:pPr>
    </w:p>
    <w:p>
      <w:pPr>
        <w:widowControl/>
        <w:adjustRightInd w:val="0"/>
        <w:snapToGrid w:val="0"/>
        <w:spacing w:after="200"/>
        <w:jc w:val="left"/>
        <w:rPr>
          <w:rFonts w:ascii="宋体" w:hAnsi="宋体" w:cs="宋体"/>
          <w:kern w:val="0"/>
          <w:sz w:val="24"/>
          <w:szCs w:val="24"/>
        </w:rPr>
      </w:pPr>
    </w:p>
    <w:p>
      <w:pPr>
        <w:widowControl/>
        <w:adjustRightInd w:val="0"/>
        <w:snapToGrid w:val="0"/>
        <w:spacing w:after="200"/>
        <w:jc w:val="left"/>
        <w:rPr>
          <w:rFonts w:ascii="宋体" w:hAnsi="宋体" w:cs="宋体"/>
          <w:kern w:val="0"/>
          <w:sz w:val="24"/>
          <w:szCs w:val="24"/>
        </w:rPr>
      </w:pPr>
    </w:p>
    <w:p>
      <w:pPr>
        <w:spacing w:line="600" w:lineRule="exact"/>
        <w:rPr>
          <w:rFonts w:ascii="宋体" w:hAnsi="宋体" w:cs="宋体"/>
          <w:sz w:val="24"/>
          <w:szCs w:val="24"/>
          <w:u w:val="single"/>
        </w:rPr>
      </w:pPr>
      <w:r>
        <w:rPr>
          <w:rFonts w:hint="eastAsia" w:ascii="宋体" w:hAnsi="宋体" w:cs="宋体"/>
          <w:sz w:val="24"/>
          <w:szCs w:val="24"/>
        </w:rPr>
        <w:t>投标人（盖单位公章）：</w:t>
      </w:r>
      <w:r>
        <w:rPr>
          <w:rFonts w:hint="eastAsia" w:ascii="宋体" w:hAnsi="宋体" w:cs="宋体"/>
          <w:sz w:val="24"/>
          <w:szCs w:val="24"/>
          <w:u w:val="single"/>
        </w:rPr>
        <w:t xml:space="preserve">                                    </w:t>
      </w:r>
    </w:p>
    <w:p>
      <w:pPr>
        <w:spacing w:line="600" w:lineRule="exact"/>
        <w:rPr>
          <w:rFonts w:ascii="宋体" w:hAnsi="宋体" w:cs="宋体"/>
          <w:sz w:val="24"/>
          <w:szCs w:val="24"/>
        </w:rPr>
      </w:pPr>
    </w:p>
    <w:p>
      <w:pPr>
        <w:spacing w:line="600" w:lineRule="exact"/>
        <w:rPr>
          <w:rFonts w:ascii="宋体" w:hAnsi="宋体" w:cs="宋体"/>
          <w:sz w:val="24"/>
          <w:szCs w:val="24"/>
          <w:u w:val="single"/>
        </w:rPr>
      </w:pPr>
      <w:r>
        <w:rPr>
          <w:rFonts w:hint="eastAsia" w:ascii="宋体" w:hAnsi="宋体" w:cs="宋体"/>
          <w:sz w:val="24"/>
          <w:szCs w:val="24"/>
        </w:rPr>
        <w:t>法定代表人或其委托代理人（签字或盖章）：</w:t>
      </w:r>
      <w:r>
        <w:rPr>
          <w:rFonts w:hint="eastAsia" w:ascii="宋体" w:hAnsi="宋体" w:cs="宋体"/>
          <w:sz w:val="24"/>
          <w:szCs w:val="24"/>
          <w:u w:val="single"/>
        </w:rPr>
        <w:t xml:space="preserve">                  </w:t>
      </w:r>
    </w:p>
    <w:p>
      <w:pPr>
        <w:widowControl/>
        <w:adjustRightInd w:val="0"/>
        <w:snapToGrid w:val="0"/>
        <w:spacing w:before="156" w:beforeLines="50" w:after="50"/>
        <w:ind w:right="480" w:firstLine="5520" w:firstLineChars="2300"/>
        <w:jc w:val="left"/>
        <w:rPr>
          <w:rFonts w:ascii="宋体" w:hAnsi="宋体" w:cs="宋体"/>
          <w:kern w:val="0"/>
          <w:sz w:val="24"/>
          <w:szCs w:val="24"/>
        </w:rPr>
      </w:pPr>
    </w:p>
    <w:p>
      <w:pPr>
        <w:widowControl/>
        <w:adjustRightInd w:val="0"/>
        <w:snapToGrid w:val="0"/>
        <w:spacing w:before="156" w:beforeLines="50" w:after="50"/>
        <w:ind w:right="480" w:firstLine="240" w:firstLineChars="100"/>
        <w:jc w:val="left"/>
        <w:rPr>
          <w:rFonts w:ascii="宋体" w:hAnsi="宋体" w:cs="宋体"/>
          <w:kern w:val="0"/>
          <w:sz w:val="24"/>
          <w:szCs w:val="24"/>
        </w:rPr>
      </w:pPr>
      <w:r>
        <w:rPr>
          <w:rFonts w:hint="eastAsia" w:ascii="宋体" w:hAnsi="宋体" w:cs="宋体"/>
          <w:kern w:val="0"/>
          <w:sz w:val="24"/>
          <w:szCs w:val="24"/>
        </w:rPr>
        <w:t>年    月    日</w:t>
      </w:r>
    </w:p>
    <w:p>
      <w:pPr>
        <w:widowControl/>
        <w:jc w:val="left"/>
        <w:rPr>
          <w:rFonts w:ascii="宋体" w:hAnsi="宋体" w:cs="宋体"/>
          <w:b/>
          <w:bCs/>
          <w:sz w:val="36"/>
          <w:szCs w:val="36"/>
        </w:rPr>
      </w:pPr>
      <w:r>
        <w:rPr>
          <w:rFonts w:ascii="宋体" w:hAnsi="宋体" w:cs="宋体"/>
          <w:b/>
          <w:bCs/>
          <w:sz w:val="36"/>
          <w:szCs w:val="36"/>
        </w:rPr>
        <w:br w:type="page"/>
      </w:r>
    </w:p>
    <w:p>
      <w:pPr>
        <w:spacing w:line="600" w:lineRule="exact"/>
        <w:jc w:val="center"/>
        <w:outlineLvl w:val="0"/>
        <w:rPr>
          <w:rFonts w:ascii="宋体" w:hAnsi="宋体" w:cs="宋体"/>
          <w:u w:val="single"/>
        </w:rPr>
      </w:pPr>
      <w:bookmarkStart w:id="65" w:name="_Toc7509"/>
      <w:permStart w:id="1" w:edGrp="everyone"/>
      <w:permEnd w:id="1"/>
      <w:bookmarkStart w:id="66" w:name="_GoBack"/>
      <w:bookmarkEnd w:id="66"/>
      <w:r>
        <w:rPr>
          <w:rFonts w:hint="eastAsia" w:ascii="宋体" w:hAnsi="宋体" w:cs="宋体"/>
          <w:b/>
          <w:bCs/>
          <w:sz w:val="36"/>
          <w:szCs w:val="36"/>
        </w:rPr>
        <w:t>第六章  合同条款及格式</w:t>
      </w:r>
      <w:bookmarkEnd w:id="60"/>
      <w:bookmarkEnd w:id="61"/>
      <w:bookmarkEnd w:id="62"/>
      <w:bookmarkEnd w:id="63"/>
      <w:bookmarkEnd w:id="64"/>
      <w:bookmarkEnd w:id="65"/>
    </w:p>
    <w:p>
      <w:pPr>
        <w:spacing w:line="360" w:lineRule="auto"/>
        <w:rPr>
          <w:rFonts w:ascii="宋体" w:hAnsi="宋体" w:cs="宋体"/>
          <w:b/>
          <w:bCs/>
          <w:sz w:val="52"/>
          <w:szCs w:val="52"/>
        </w:rPr>
      </w:pPr>
    </w:p>
    <w:p>
      <w:pPr>
        <w:spacing w:line="360" w:lineRule="auto"/>
        <w:ind w:firstLine="420" w:firstLineChars="200"/>
        <w:rPr>
          <w:rFonts w:ascii="宋体" w:hAnsi="宋体" w:cs="宋体"/>
        </w:rPr>
      </w:pPr>
    </w:p>
    <w:p>
      <w:pPr>
        <w:widowControl/>
        <w:jc w:val="left"/>
        <w:rPr>
          <w:rFonts w:ascii="宋体" w:hAnsi="宋体" w:cs="宋体"/>
          <w:b/>
          <w:sz w:val="36"/>
          <w:szCs w:val="36"/>
        </w:rPr>
      </w:pPr>
    </w:p>
    <w:p>
      <w:pPr>
        <w:widowControl/>
        <w:jc w:val="left"/>
        <w:rPr>
          <w:rFonts w:ascii="宋体" w:hAnsi="宋体" w:cs="宋体"/>
          <w:b/>
          <w:sz w:val="36"/>
          <w:szCs w:val="36"/>
        </w:rPr>
      </w:pPr>
    </w:p>
    <w:p>
      <w:pPr>
        <w:widowControl/>
        <w:jc w:val="center"/>
        <w:rPr>
          <w:rFonts w:ascii="宋体" w:hAnsi="宋体" w:cs="宋体"/>
          <w:b/>
          <w:sz w:val="36"/>
          <w:szCs w:val="36"/>
          <w:u w:val="single"/>
        </w:rPr>
      </w:pPr>
      <w:r>
        <w:rPr>
          <w:rFonts w:hint="eastAsia" w:ascii="宋体" w:hAnsi="宋体" w:cs="宋体"/>
          <w:b/>
          <w:sz w:val="36"/>
          <w:szCs w:val="36"/>
          <w:u w:val="single"/>
        </w:rPr>
        <w:t>南宁市就业创业和人力资源市场信息系统数据</w:t>
      </w:r>
    </w:p>
    <w:p>
      <w:pPr>
        <w:widowControl/>
        <w:jc w:val="center"/>
        <w:rPr>
          <w:rFonts w:ascii="宋体" w:hAnsi="宋体" w:cs="宋体"/>
          <w:b/>
          <w:sz w:val="36"/>
          <w:szCs w:val="36"/>
        </w:rPr>
      </w:pPr>
      <w:r>
        <w:rPr>
          <w:rFonts w:hint="eastAsia" w:ascii="宋体" w:hAnsi="宋体" w:cs="宋体"/>
          <w:b/>
          <w:sz w:val="36"/>
          <w:szCs w:val="36"/>
          <w:u w:val="single"/>
        </w:rPr>
        <w:t>备份中心建设</w:t>
      </w:r>
      <w:r>
        <w:rPr>
          <w:rFonts w:hint="eastAsia" w:ascii="宋体" w:hAnsi="宋体" w:cs="宋体"/>
          <w:b/>
          <w:sz w:val="36"/>
          <w:szCs w:val="36"/>
        </w:rPr>
        <w:t>合同</w:t>
      </w:r>
    </w:p>
    <w:p>
      <w:pPr>
        <w:spacing w:line="360" w:lineRule="auto"/>
        <w:rPr>
          <w:rFonts w:ascii="宋体" w:hAnsi="宋体" w:cs="宋体"/>
          <w:b/>
          <w:bCs/>
          <w:sz w:val="44"/>
        </w:rPr>
      </w:pPr>
    </w:p>
    <w:p>
      <w:pPr>
        <w:spacing w:line="360" w:lineRule="auto"/>
        <w:ind w:firstLine="3507" w:firstLineChars="794"/>
        <w:rPr>
          <w:rFonts w:ascii="宋体" w:hAnsi="宋体" w:cs="宋体"/>
          <w:b/>
          <w:bCs/>
          <w:sz w:val="44"/>
        </w:rPr>
      </w:pPr>
    </w:p>
    <w:p>
      <w:pPr>
        <w:spacing w:line="360" w:lineRule="auto"/>
        <w:ind w:firstLine="3507" w:firstLineChars="794"/>
        <w:rPr>
          <w:rFonts w:ascii="宋体" w:hAnsi="宋体" w:cs="宋体"/>
          <w:b/>
          <w:bCs/>
          <w:sz w:val="44"/>
        </w:rPr>
      </w:pPr>
    </w:p>
    <w:p>
      <w:pPr>
        <w:widowControl/>
        <w:ind w:firstLine="1807" w:firstLineChars="500"/>
        <w:jc w:val="left"/>
        <w:rPr>
          <w:rFonts w:hint="eastAsia" w:ascii="宋体" w:hAnsi="宋体" w:cs="宋体"/>
          <w:b/>
          <w:sz w:val="36"/>
          <w:szCs w:val="36"/>
        </w:rPr>
      </w:pPr>
      <w:r>
        <w:rPr>
          <w:rFonts w:hint="eastAsia" w:ascii="宋体" w:hAnsi="宋体" w:cs="宋体"/>
          <w:b/>
          <w:sz w:val="36"/>
          <w:szCs w:val="36"/>
        </w:rPr>
        <w:t>项目编号：NNZC2020-G1-990185-GXYZ</w:t>
      </w:r>
    </w:p>
    <w:p>
      <w:pPr>
        <w:widowControl/>
        <w:ind w:firstLine="1807" w:firstLineChars="500"/>
        <w:jc w:val="left"/>
        <w:rPr>
          <w:rFonts w:hint="eastAsia" w:ascii="宋体" w:hAnsi="宋体" w:cs="宋体"/>
          <w:b/>
          <w:sz w:val="36"/>
          <w:szCs w:val="36"/>
        </w:rPr>
      </w:pPr>
      <w:r>
        <w:rPr>
          <w:rFonts w:hint="eastAsia" w:ascii="宋体" w:hAnsi="宋体" w:cs="宋体"/>
          <w:b/>
          <w:sz w:val="36"/>
          <w:szCs w:val="36"/>
        </w:rPr>
        <w:t>审批编号：</w:t>
      </w:r>
      <w:r>
        <w:rPr>
          <w:rFonts w:hint="eastAsia" w:ascii="宋体" w:hAnsi="宋体" w:cs="宋体"/>
          <w:b/>
          <w:sz w:val="36"/>
          <w:szCs w:val="36"/>
        </w:rPr>
        <w:fldChar w:fldCharType="begin"/>
      </w:r>
      <w:r>
        <w:rPr>
          <w:rFonts w:hint="eastAsia" w:ascii="宋体" w:hAnsi="宋体" w:cs="宋体"/>
          <w:b/>
          <w:sz w:val="36"/>
          <w:szCs w:val="36"/>
        </w:rPr>
        <w:instrText xml:space="preserve"> HYPERLINK "https://pay.zcygov.cn/purchaseplan_front/" \l "/plan/list/detail?id=1000000000003425825&amp;encrypt=9876525f155030c3f211a8fee54e77cf" \t "https://www.zcygov.cn/bidding-entrust/" \l "/purchaseFileMake/_blank" </w:instrText>
      </w:r>
      <w:r>
        <w:rPr>
          <w:rFonts w:hint="eastAsia" w:ascii="宋体" w:hAnsi="宋体" w:cs="宋体"/>
          <w:b/>
          <w:sz w:val="36"/>
          <w:szCs w:val="36"/>
        </w:rPr>
        <w:fldChar w:fldCharType="separate"/>
      </w:r>
      <w:r>
        <w:rPr>
          <w:rFonts w:hint="eastAsia" w:ascii="宋体" w:hAnsi="宋体" w:cs="宋体"/>
          <w:b/>
          <w:sz w:val="36"/>
          <w:szCs w:val="36"/>
        </w:rPr>
        <w:t>[2020]NCCSH206-001</w:t>
      </w:r>
      <w:r>
        <w:rPr>
          <w:rFonts w:hint="eastAsia" w:ascii="宋体" w:hAnsi="宋体" w:cs="宋体"/>
          <w:b/>
          <w:sz w:val="36"/>
          <w:szCs w:val="36"/>
        </w:rPr>
        <w:fldChar w:fldCharType="end"/>
      </w:r>
    </w:p>
    <w:p>
      <w:pPr>
        <w:widowControl/>
        <w:ind w:firstLine="1807" w:firstLineChars="500"/>
        <w:jc w:val="left"/>
        <w:rPr>
          <w:rFonts w:hint="eastAsia" w:ascii="宋体" w:hAnsi="宋体" w:cs="宋体"/>
          <w:b/>
          <w:sz w:val="36"/>
          <w:szCs w:val="36"/>
        </w:rPr>
      </w:pPr>
    </w:p>
    <w:p>
      <w:pPr>
        <w:widowControl/>
        <w:ind w:firstLine="2168" w:firstLineChars="600"/>
        <w:jc w:val="left"/>
        <w:rPr>
          <w:rFonts w:ascii="宋体" w:hAnsi="宋体" w:cs="宋体"/>
          <w:b/>
          <w:sz w:val="36"/>
          <w:szCs w:val="36"/>
        </w:rPr>
      </w:pPr>
    </w:p>
    <w:p>
      <w:pPr>
        <w:widowControl/>
        <w:ind w:firstLine="2168" w:firstLineChars="600"/>
        <w:jc w:val="left"/>
        <w:rPr>
          <w:rFonts w:ascii="宋体" w:hAnsi="宋体" w:cs="宋体"/>
          <w:b/>
          <w:sz w:val="36"/>
          <w:szCs w:val="36"/>
        </w:rPr>
      </w:pPr>
    </w:p>
    <w:p>
      <w:pPr>
        <w:widowControl/>
        <w:ind w:firstLine="2168" w:firstLineChars="600"/>
        <w:jc w:val="left"/>
        <w:rPr>
          <w:rFonts w:ascii="宋体" w:hAnsi="宋体" w:cs="宋体"/>
          <w:b/>
          <w:sz w:val="36"/>
          <w:szCs w:val="36"/>
        </w:rPr>
      </w:pPr>
    </w:p>
    <w:p>
      <w:pPr>
        <w:widowControl/>
        <w:ind w:firstLine="1807" w:firstLineChars="500"/>
        <w:jc w:val="left"/>
        <w:rPr>
          <w:rFonts w:ascii="宋体" w:hAnsi="宋体" w:cs="宋体"/>
        </w:rPr>
      </w:pPr>
      <w:r>
        <w:rPr>
          <w:rFonts w:hint="eastAsia" w:ascii="宋体" w:hAnsi="宋体" w:cs="宋体"/>
          <w:b/>
          <w:sz w:val="36"/>
          <w:szCs w:val="36"/>
        </w:rPr>
        <w:t>采购人：</w:t>
      </w:r>
      <w:r>
        <w:rPr>
          <w:rFonts w:hint="eastAsia" w:ascii="宋体" w:hAnsi="宋体" w:cs="宋体"/>
          <w:b/>
          <w:bCs/>
          <w:sz w:val="36"/>
          <w:szCs w:val="36"/>
          <w:u w:val="single"/>
        </w:rPr>
        <w:t>南宁市社会保障卡管理办公室</w:t>
      </w:r>
    </w:p>
    <w:p>
      <w:pPr>
        <w:tabs>
          <w:tab w:val="left" w:pos="7380"/>
        </w:tabs>
        <w:spacing w:line="360" w:lineRule="auto"/>
        <w:ind w:firstLine="2176" w:firstLineChars="602"/>
        <w:rPr>
          <w:rFonts w:ascii="宋体" w:hAnsi="宋体" w:cs="宋体"/>
          <w:b/>
          <w:sz w:val="36"/>
          <w:szCs w:val="36"/>
        </w:rPr>
      </w:pPr>
    </w:p>
    <w:p>
      <w:pPr>
        <w:tabs>
          <w:tab w:val="left" w:pos="7380"/>
        </w:tabs>
        <w:spacing w:line="360" w:lineRule="auto"/>
        <w:ind w:firstLine="1807" w:firstLineChars="500"/>
        <w:rPr>
          <w:rFonts w:ascii="宋体" w:hAnsi="宋体" w:cs="宋体"/>
          <w:b/>
          <w:bCs/>
          <w:sz w:val="44"/>
          <w:u w:val="single"/>
        </w:rPr>
      </w:pPr>
      <w:r>
        <w:rPr>
          <w:rFonts w:hint="eastAsia" w:ascii="宋体" w:hAnsi="宋体" w:cs="宋体"/>
          <w:b/>
          <w:sz w:val="36"/>
          <w:szCs w:val="36"/>
        </w:rPr>
        <w:t>中标供应商：</w:t>
      </w:r>
      <w:r>
        <w:rPr>
          <w:rFonts w:hint="eastAsia" w:ascii="宋体" w:hAnsi="宋体" w:cs="宋体"/>
          <w:b/>
          <w:bCs/>
          <w:sz w:val="36"/>
          <w:szCs w:val="36"/>
          <w:u w:val="single"/>
        </w:rPr>
        <w:t xml:space="preserve">              </w:t>
      </w:r>
      <w:r>
        <w:rPr>
          <w:rFonts w:hint="eastAsia" w:ascii="宋体" w:hAnsi="宋体" w:cs="宋体"/>
          <w:b/>
          <w:sz w:val="36"/>
          <w:szCs w:val="36"/>
          <w:u w:val="single"/>
        </w:rPr>
        <w:t xml:space="preserve">        </w:t>
      </w:r>
    </w:p>
    <w:p>
      <w:pPr>
        <w:spacing w:line="360" w:lineRule="auto"/>
        <w:ind w:firstLine="723" w:firstLineChars="200"/>
        <w:jc w:val="center"/>
        <w:rPr>
          <w:rFonts w:ascii="宋体" w:hAnsi="宋体" w:cs="宋体"/>
          <w:b/>
          <w:bCs/>
          <w:sz w:val="36"/>
          <w:szCs w:val="36"/>
        </w:rPr>
      </w:pPr>
      <w:r>
        <w:rPr>
          <w:rFonts w:hint="eastAsia" w:ascii="宋体" w:hAnsi="宋体" w:cs="宋体"/>
          <w:b/>
          <w:bCs/>
          <w:sz w:val="36"/>
          <w:szCs w:val="36"/>
        </w:rPr>
        <w:br w:type="page"/>
      </w:r>
      <w:r>
        <w:rPr>
          <w:rFonts w:hint="eastAsia" w:ascii="宋体" w:hAnsi="宋体" w:cs="宋体"/>
          <w:b/>
          <w:bCs/>
          <w:sz w:val="36"/>
          <w:szCs w:val="36"/>
        </w:rPr>
        <w:t>目  录</w:t>
      </w:r>
    </w:p>
    <w:p>
      <w:pPr>
        <w:tabs>
          <w:tab w:val="left" w:pos="1170"/>
        </w:tabs>
        <w:spacing w:line="360" w:lineRule="auto"/>
        <w:ind w:left="359" w:leftChars="171" w:firstLine="198" w:firstLineChars="71"/>
        <w:rPr>
          <w:rFonts w:ascii="宋体" w:hAnsi="宋体" w:cs="宋体"/>
          <w:sz w:val="28"/>
          <w:szCs w:val="28"/>
        </w:rPr>
      </w:pPr>
      <w:r>
        <w:rPr>
          <w:rFonts w:hint="eastAsia" w:ascii="宋体" w:hAnsi="宋体" w:cs="宋体"/>
          <w:sz w:val="28"/>
          <w:szCs w:val="28"/>
        </w:rPr>
        <w:tab/>
      </w:r>
    </w:p>
    <w:p>
      <w:pPr>
        <w:rPr>
          <w:rFonts w:ascii="宋体" w:hAnsi="宋体" w:cs="宋体"/>
          <w:b/>
          <w:bCs/>
          <w:sz w:val="30"/>
          <w:szCs w:val="30"/>
        </w:rPr>
      </w:pPr>
      <w:r>
        <w:rPr>
          <w:rFonts w:hint="eastAsia" w:ascii="宋体" w:hAnsi="宋体" w:cs="宋体"/>
          <w:b/>
          <w:bCs/>
          <w:sz w:val="30"/>
          <w:szCs w:val="30"/>
        </w:rPr>
        <w:t>一、南宁市政府采购合同书</w:t>
      </w:r>
    </w:p>
    <w:p>
      <w:pPr>
        <w:rPr>
          <w:rFonts w:ascii="宋体" w:hAnsi="宋体" w:cs="宋体"/>
          <w:b/>
          <w:bCs/>
          <w:sz w:val="30"/>
          <w:szCs w:val="30"/>
        </w:rPr>
      </w:pPr>
      <w:r>
        <w:rPr>
          <w:rFonts w:hint="eastAsia" w:ascii="宋体" w:hAnsi="宋体" w:cs="宋体"/>
          <w:b/>
          <w:bCs/>
          <w:sz w:val="30"/>
          <w:szCs w:val="30"/>
        </w:rPr>
        <w:t>二、合同附件</w:t>
      </w:r>
    </w:p>
    <w:p>
      <w:pPr>
        <w:numPr>
          <w:ilvl w:val="0"/>
          <w:numId w:val="14"/>
        </w:numPr>
        <w:rPr>
          <w:rFonts w:ascii="宋体" w:hAnsi="宋体" w:cs="宋体"/>
          <w:sz w:val="28"/>
          <w:szCs w:val="28"/>
        </w:rPr>
      </w:pPr>
      <w:r>
        <w:rPr>
          <w:rFonts w:hint="eastAsia" w:ascii="宋体" w:hAnsi="宋体" w:cs="宋体"/>
          <w:sz w:val="28"/>
          <w:szCs w:val="28"/>
        </w:rPr>
        <w:t>中标通知书</w:t>
      </w:r>
    </w:p>
    <w:p>
      <w:pPr>
        <w:numPr>
          <w:ilvl w:val="0"/>
          <w:numId w:val="14"/>
        </w:numPr>
        <w:rPr>
          <w:rFonts w:ascii="宋体" w:hAnsi="宋体" w:cs="宋体"/>
          <w:sz w:val="28"/>
          <w:szCs w:val="28"/>
        </w:rPr>
      </w:pPr>
      <w:r>
        <w:rPr>
          <w:rFonts w:hint="eastAsia" w:ascii="宋体" w:hAnsi="宋体" w:cs="宋体"/>
          <w:sz w:val="28"/>
          <w:szCs w:val="28"/>
        </w:rPr>
        <w:t>招标文件货物需求一览表</w:t>
      </w:r>
    </w:p>
    <w:p>
      <w:pPr>
        <w:numPr>
          <w:ilvl w:val="0"/>
          <w:numId w:val="14"/>
        </w:numPr>
        <w:rPr>
          <w:rFonts w:ascii="宋体" w:hAnsi="宋体" w:cs="宋体"/>
          <w:sz w:val="28"/>
          <w:szCs w:val="28"/>
        </w:rPr>
      </w:pPr>
      <w:r>
        <w:rPr>
          <w:rFonts w:hint="eastAsia" w:ascii="宋体" w:hAnsi="宋体" w:cs="宋体"/>
          <w:sz w:val="28"/>
          <w:szCs w:val="28"/>
        </w:rPr>
        <w:t>招标文件的更改通知（如有）</w:t>
      </w:r>
    </w:p>
    <w:p>
      <w:pPr>
        <w:numPr>
          <w:ilvl w:val="0"/>
          <w:numId w:val="14"/>
        </w:numPr>
        <w:rPr>
          <w:rFonts w:ascii="宋体" w:hAnsi="宋体" w:cs="宋体"/>
          <w:sz w:val="28"/>
          <w:szCs w:val="28"/>
        </w:rPr>
      </w:pPr>
      <w:r>
        <w:rPr>
          <w:rFonts w:hint="eastAsia" w:ascii="宋体" w:hAnsi="宋体" w:cs="宋体"/>
          <w:sz w:val="28"/>
          <w:szCs w:val="28"/>
        </w:rPr>
        <w:t>投标函</w:t>
      </w:r>
    </w:p>
    <w:p>
      <w:pPr>
        <w:numPr>
          <w:ilvl w:val="0"/>
          <w:numId w:val="14"/>
        </w:numPr>
        <w:rPr>
          <w:rFonts w:ascii="宋体" w:hAnsi="宋体" w:cs="宋体"/>
          <w:sz w:val="28"/>
          <w:szCs w:val="28"/>
        </w:rPr>
      </w:pPr>
      <w:r>
        <w:rPr>
          <w:rFonts w:hint="eastAsia" w:ascii="宋体" w:hAnsi="宋体" w:cs="宋体"/>
          <w:sz w:val="28"/>
          <w:szCs w:val="28"/>
        </w:rPr>
        <w:t>投标报价表</w:t>
      </w:r>
    </w:p>
    <w:p>
      <w:pPr>
        <w:numPr>
          <w:ilvl w:val="0"/>
          <w:numId w:val="14"/>
        </w:numPr>
        <w:rPr>
          <w:rFonts w:ascii="宋体" w:hAnsi="宋体" w:cs="宋体"/>
          <w:sz w:val="28"/>
          <w:szCs w:val="28"/>
          <w:u w:val="thick"/>
        </w:rPr>
      </w:pPr>
      <w:r>
        <w:rPr>
          <w:rFonts w:hint="eastAsia" w:ascii="宋体" w:hAnsi="宋体" w:cs="宋体"/>
          <w:sz w:val="28"/>
          <w:szCs w:val="28"/>
        </w:rPr>
        <w:t>投标产品技术资料表、商务条款偏离表</w:t>
      </w:r>
    </w:p>
    <w:p>
      <w:pPr>
        <w:numPr>
          <w:ilvl w:val="0"/>
          <w:numId w:val="14"/>
        </w:numPr>
        <w:rPr>
          <w:rFonts w:ascii="宋体" w:hAnsi="宋体" w:cs="宋体"/>
          <w:sz w:val="28"/>
          <w:szCs w:val="28"/>
        </w:rPr>
      </w:pPr>
      <w:r>
        <w:rPr>
          <w:rFonts w:hint="eastAsia" w:ascii="宋体" w:hAnsi="宋体" w:cs="宋体"/>
          <w:sz w:val="28"/>
          <w:szCs w:val="28"/>
        </w:rPr>
        <w:t>中标供应商澄清函（如有请提</w:t>
      </w:r>
      <w:r>
        <w:rPr>
          <w:rFonts w:hint="eastAsia" w:ascii="宋体" w:hAnsi="宋体" w:cs="宋体"/>
          <w:sz w:val="30"/>
          <w:szCs w:val="30"/>
        </w:rPr>
        <w:t>供</w:t>
      </w:r>
      <w:r>
        <w:rPr>
          <w:rFonts w:hint="eastAsia" w:ascii="宋体" w:hAnsi="宋体" w:cs="宋体"/>
          <w:sz w:val="28"/>
          <w:szCs w:val="28"/>
        </w:rPr>
        <w:t>）</w:t>
      </w:r>
    </w:p>
    <w:p>
      <w:pPr>
        <w:pStyle w:val="10"/>
        <w:numPr>
          <w:ilvl w:val="0"/>
          <w:numId w:val="14"/>
        </w:numPr>
        <w:spacing w:line="360" w:lineRule="auto"/>
        <w:rPr>
          <w:rFonts w:hint="default" w:hAnsi="宋体" w:cs="宋体"/>
          <w:sz w:val="28"/>
          <w:szCs w:val="28"/>
        </w:rPr>
      </w:pPr>
      <w:r>
        <w:rPr>
          <w:rFonts w:hAnsi="宋体" w:cs="宋体"/>
          <w:sz w:val="28"/>
          <w:szCs w:val="28"/>
        </w:rPr>
        <w:t>其他与本合同相关的资料（如有请提</w:t>
      </w:r>
      <w:r>
        <w:rPr>
          <w:rFonts w:hAnsi="宋体" w:cs="宋体"/>
          <w:sz w:val="30"/>
          <w:szCs w:val="30"/>
        </w:rPr>
        <w:t>供</w:t>
      </w:r>
      <w:r>
        <w:rPr>
          <w:rFonts w:hAnsi="宋体" w:cs="宋体"/>
          <w:sz w:val="28"/>
          <w:szCs w:val="28"/>
        </w:rPr>
        <w:t>）</w:t>
      </w:r>
    </w:p>
    <w:p>
      <w:pPr>
        <w:ind w:left="1320"/>
        <w:rPr>
          <w:rFonts w:ascii="宋体" w:hAnsi="宋体" w:cs="宋体"/>
          <w:sz w:val="28"/>
          <w:szCs w:val="28"/>
        </w:rPr>
      </w:pPr>
    </w:p>
    <w:p>
      <w:pPr>
        <w:spacing w:line="360" w:lineRule="auto"/>
        <w:jc w:val="center"/>
        <w:rPr>
          <w:rFonts w:ascii="宋体" w:hAnsi="宋体" w:cs="宋体"/>
          <w:b/>
          <w:bCs/>
          <w:sz w:val="28"/>
          <w:szCs w:val="28"/>
        </w:rPr>
      </w:pPr>
    </w:p>
    <w:p>
      <w:pPr>
        <w:spacing w:line="440" w:lineRule="exact"/>
        <w:jc w:val="center"/>
        <w:rPr>
          <w:rFonts w:ascii="宋体" w:hAnsi="宋体" w:cs="宋体"/>
          <w:b/>
          <w:bCs/>
          <w:sz w:val="30"/>
          <w:szCs w:val="30"/>
        </w:rPr>
      </w:pPr>
      <w:r>
        <w:rPr>
          <w:rFonts w:hint="eastAsia" w:ascii="宋体" w:hAnsi="宋体" w:cs="宋体"/>
          <w:sz w:val="28"/>
          <w:szCs w:val="28"/>
        </w:rPr>
        <w:br w:type="page"/>
      </w:r>
      <w:r>
        <w:rPr>
          <w:rFonts w:hint="eastAsia" w:ascii="宋体" w:hAnsi="宋体" w:cs="宋体"/>
          <w:b/>
          <w:bCs/>
          <w:sz w:val="30"/>
          <w:szCs w:val="30"/>
        </w:rPr>
        <w:t>南宁市政府采购合同书</w:t>
      </w:r>
    </w:p>
    <w:p>
      <w:pPr>
        <w:spacing w:line="450" w:lineRule="exact"/>
        <w:rPr>
          <w:rFonts w:ascii="宋体" w:hAnsi="宋体" w:cs="宋体"/>
          <w:sz w:val="24"/>
          <w:szCs w:val="24"/>
        </w:rPr>
      </w:pPr>
    </w:p>
    <w:p>
      <w:pPr>
        <w:spacing w:line="450" w:lineRule="exact"/>
        <w:rPr>
          <w:rFonts w:ascii="宋体" w:hAnsi="宋体" w:cs="宋体"/>
          <w:sz w:val="24"/>
          <w:szCs w:val="24"/>
          <w:u w:val="single"/>
        </w:rPr>
      </w:pPr>
      <w:r>
        <w:rPr>
          <w:rFonts w:hint="eastAsia" w:ascii="宋体" w:hAnsi="宋体" w:cs="宋体"/>
          <w:sz w:val="24"/>
          <w:szCs w:val="24"/>
        </w:rPr>
        <w:t>项目名称：</w:t>
      </w:r>
      <w:r>
        <w:rPr>
          <w:rFonts w:hint="eastAsia" w:ascii="宋体" w:hAnsi="宋体" w:cs="宋体"/>
          <w:sz w:val="24"/>
          <w:szCs w:val="24"/>
          <w:u w:val="single"/>
        </w:rPr>
        <w:t xml:space="preserve">南宁市就业创业和人力资源市场信息系统数据备份中心建设 </w:t>
      </w:r>
    </w:p>
    <w:p>
      <w:pPr>
        <w:spacing w:line="450" w:lineRule="exact"/>
        <w:rPr>
          <w:rFonts w:ascii="宋体" w:hAnsi="宋体" w:cs="宋体"/>
          <w:sz w:val="24"/>
          <w:szCs w:val="24"/>
          <w:u w:val="single"/>
        </w:rPr>
      </w:pPr>
      <w:r>
        <w:rPr>
          <w:rFonts w:hint="eastAsia" w:ascii="宋体" w:hAnsi="宋体" w:cs="宋体"/>
          <w:sz w:val="24"/>
          <w:szCs w:val="24"/>
        </w:rPr>
        <w:t>项目编</w:t>
      </w:r>
      <w:r>
        <w:rPr>
          <w:rFonts w:hint="eastAsia" w:ascii="宋体" w:hAnsi="宋体" w:cs="宋体"/>
          <w:sz w:val="24"/>
          <w:szCs w:val="24"/>
          <w:u w:val="single"/>
        </w:rPr>
        <w:t xml:space="preserve">号: NNZC2020-G1-990185-GXYZ </w:t>
      </w:r>
    </w:p>
    <w:p>
      <w:pPr>
        <w:spacing w:line="450" w:lineRule="exact"/>
        <w:rPr>
          <w:rFonts w:ascii="宋体" w:hAnsi="宋体" w:cs="宋体"/>
          <w:sz w:val="24"/>
          <w:szCs w:val="24"/>
          <w:u w:val="single"/>
        </w:rPr>
      </w:pPr>
      <w:r>
        <w:rPr>
          <w:rFonts w:hint="eastAsia" w:ascii="宋体" w:hAnsi="宋体" w:cs="宋体"/>
          <w:sz w:val="24"/>
          <w:szCs w:val="24"/>
        </w:rPr>
        <w:t>分标号：</w:t>
      </w:r>
      <w:r>
        <w:rPr>
          <w:rFonts w:hint="eastAsia" w:ascii="宋体" w:hAnsi="宋体" w:cs="宋体"/>
          <w:sz w:val="24"/>
          <w:szCs w:val="24"/>
          <w:u w:val="single"/>
        </w:rPr>
        <w:t xml:space="preserve"> / </w:t>
      </w:r>
      <w:r>
        <w:rPr>
          <w:rFonts w:hint="eastAsia" w:ascii="宋体" w:hAnsi="宋体" w:cs="宋体"/>
          <w:sz w:val="24"/>
          <w:szCs w:val="24"/>
        </w:rPr>
        <w:t xml:space="preserve">   </w:t>
      </w:r>
    </w:p>
    <w:p>
      <w:pPr>
        <w:widowControl/>
        <w:jc w:val="left"/>
        <w:rPr>
          <w:rFonts w:ascii="宋体" w:hAnsi="宋体" w:cs="宋体"/>
          <w:sz w:val="24"/>
          <w:szCs w:val="24"/>
        </w:rPr>
      </w:pPr>
    </w:p>
    <w:p>
      <w:pPr>
        <w:widowControl/>
        <w:jc w:val="left"/>
        <w:rPr>
          <w:rFonts w:ascii="宋体" w:hAnsi="宋体" w:cs="宋体"/>
          <w:sz w:val="24"/>
          <w:szCs w:val="24"/>
        </w:rPr>
      </w:pPr>
    </w:p>
    <w:p>
      <w:pPr>
        <w:widowControl/>
        <w:jc w:val="left"/>
        <w:rPr>
          <w:rFonts w:ascii="宋体" w:hAnsi="宋体" w:cs="宋体"/>
          <w:sz w:val="24"/>
          <w:szCs w:val="24"/>
          <w:u w:val="single"/>
        </w:rPr>
      </w:pPr>
      <w:r>
        <w:rPr>
          <w:rFonts w:hint="eastAsia" w:ascii="宋体" w:hAnsi="宋体" w:cs="宋体"/>
          <w:sz w:val="24"/>
          <w:szCs w:val="24"/>
        </w:rPr>
        <w:t>甲方（采购人）：</w:t>
      </w:r>
      <w:r>
        <w:rPr>
          <w:rFonts w:hint="eastAsia" w:ascii="宋体" w:hAnsi="宋体" w:cs="宋体"/>
          <w:sz w:val="24"/>
          <w:szCs w:val="24"/>
          <w:u w:val="single"/>
        </w:rPr>
        <w:t xml:space="preserve">南宁市社会保障卡管理办公室    </w:t>
      </w:r>
    </w:p>
    <w:p>
      <w:pPr>
        <w:spacing w:line="450" w:lineRule="exact"/>
        <w:rPr>
          <w:rFonts w:ascii="宋体" w:hAnsi="宋体" w:cs="宋体"/>
          <w:sz w:val="24"/>
          <w:szCs w:val="24"/>
        </w:rPr>
      </w:pPr>
      <w:r>
        <w:rPr>
          <w:rFonts w:hint="eastAsia" w:ascii="宋体" w:hAnsi="宋体" w:cs="宋体"/>
          <w:sz w:val="24"/>
          <w:szCs w:val="24"/>
        </w:rPr>
        <w:t>乙方（供应商）：</w:t>
      </w:r>
      <w:r>
        <w:rPr>
          <w:rFonts w:hint="eastAsia" w:ascii="宋体" w:hAnsi="宋体" w:cs="宋体"/>
          <w:sz w:val="24"/>
          <w:szCs w:val="24"/>
          <w:u w:val="single"/>
        </w:rPr>
        <w:t xml:space="preserve">                              </w:t>
      </w:r>
    </w:p>
    <w:p>
      <w:pPr>
        <w:spacing w:line="450" w:lineRule="exact"/>
        <w:rPr>
          <w:rFonts w:ascii="宋体" w:hAnsi="宋体" w:cs="宋体"/>
          <w:b/>
          <w:bCs/>
          <w:sz w:val="24"/>
          <w:szCs w:val="24"/>
        </w:rPr>
      </w:pPr>
      <w:r>
        <w:rPr>
          <w:rFonts w:hint="eastAsia" w:ascii="宋体" w:hAnsi="宋体" w:cs="宋体"/>
          <w:b/>
          <w:bCs/>
          <w:sz w:val="24"/>
          <w:szCs w:val="24"/>
        </w:rPr>
        <w:t xml:space="preserve">   </w:t>
      </w:r>
    </w:p>
    <w:p>
      <w:pPr>
        <w:spacing w:line="450" w:lineRule="exact"/>
        <w:rPr>
          <w:rFonts w:ascii="宋体" w:hAnsi="宋体" w:cs="宋体"/>
          <w:b/>
          <w:sz w:val="24"/>
        </w:rPr>
      </w:pPr>
      <w:r>
        <w:rPr>
          <w:rFonts w:hint="eastAsia" w:ascii="宋体" w:hAnsi="宋体" w:cs="宋体"/>
          <w:b/>
          <w:bCs/>
          <w:sz w:val="24"/>
          <w:szCs w:val="24"/>
        </w:rPr>
        <w:t xml:space="preserve">    </w:t>
      </w:r>
      <w:r>
        <w:rPr>
          <w:rFonts w:hint="eastAsia" w:ascii="宋体" w:hAnsi="宋体" w:cs="宋体"/>
          <w:sz w:val="24"/>
        </w:rPr>
        <w:t>根据</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日南宁市政府采购项目的采购结果，甲方接受乙方对本项目的投标，甲、乙双方同意签署本合同（以下简称合同）。</w:t>
      </w:r>
    </w:p>
    <w:p>
      <w:pPr>
        <w:spacing w:line="450" w:lineRule="exact"/>
        <w:rPr>
          <w:rFonts w:ascii="宋体" w:hAnsi="宋体" w:cs="宋体"/>
          <w:b/>
          <w:sz w:val="24"/>
        </w:rPr>
      </w:pPr>
    </w:p>
    <w:p>
      <w:pPr>
        <w:spacing w:line="450" w:lineRule="exact"/>
        <w:rPr>
          <w:rFonts w:ascii="宋体" w:hAnsi="宋体" w:cs="宋体"/>
          <w:b/>
          <w:bCs/>
          <w:sz w:val="24"/>
        </w:rPr>
      </w:pPr>
      <w:r>
        <w:rPr>
          <w:rFonts w:hint="eastAsia" w:ascii="宋体" w:hAnsi="宋体" w:cs="宋体"/>
          <w:b/>
          <w:bCs/>
          <w:sz w:val="24"/>
        </w:rPr>
        <w:t>1.  采购内容</w:t>
      </w:r>
    </w:p>
    <w:p>
      <w:pPr>
        <w:tabs>
          <w:tab w:val="left" w:pos="5220"/>
        </w:tabs>
        <w:spacing w:line="450" w:lineRule="exact"/>
        <w:ind w:firstLine="360"/>
        <w:rPr>
          <w:rFonts w:ascii="宋体" w:hAnsi="宋体" w:cs="宋体"/>
          <w:sz w:val="24"/>
        </w:rPr>
      </w:pPr>
      <w:r>
        <w:rPr>
          <w:rFonts w:hint="eastAsia" w:ascii="宋体" w:hAnsi="宋体" w:cs="宋体"/>
          <w:sz w:val="24"/>
        </w:rPr>
        <w:t>1.1 货物名称：</w:t>
      </w:r>
      <w:r>
        <w:rPr>
          <w:rFonts w:hint="eastAsia" w:ascii="宋体" w:hAnsi="宋体" w:cs="宋体"/>
          <w:sz w:val="24"/>
          <w:u w:val="single"/>
        </w:rPr>
        <w:t>详见合同附件中投标报价表</w:t>
      </w:r>
      <w:r>
        <w:rPr>
          <w:rFonts w:hint="eastAsia" w:ascii="宋体" w:hAnsi="宋体" w:cs="宋体"/>
          <w:sz w:val="24"/>
        </w:rPr>
        <w:t xml:space="preserve"> </w:t>
      </w:r>
    </w:p>
    <w:p>
      <w:pPr>
        <w:widowControl/>
        <w:spacing w:line="450" w:lineRule="exact"/>
        <w:ind w:firstLine="360" w:firstLineChars="150"/>
        <w:rPr>
          <w:rFonts w:ascii="宋体" w:hAnsi="宋体" w:cs="宋体"/>
          <w:kern w:val="0"/>
          <w:sz w:val="24"/>
        </w:rPr>
      </w:pPr>
      <w:r>
        <w:rPr>
          <w:rFonts w:hint="eastAsia" w:ascii="宋体" w:hAnsi="宋体" w:cs="宋体"/>
          <w:kern w:val="0"/>
          <w:sz w:val="24"/>
        </w:rPr>
        <w:t>1.2 数量（单位）：</w:t>
      </w:r>
      <w:r>
        <w:rPr>
          <w:rFonts w:hint="eastAsia" w:ascii="宋体" w:hAnsi="宋体" w:cs="宋体"/>
          <w:kern w:val="0"/>
          <w:sz w:val="24"/>
          <w:u w:val="single"/>
        </w:rPr>
        <w:t xml:space="preserve">详见合同附件中投标报价表 </w:t>
      </w:r>
    </w:p>
    <w:p>
      <w:pPr>
        <w:widowControl/>
        <w:spacing w:line="450" w:lineRule="exact"/>
        <w:ind w:firstLine="360" w:firstLineChars="150"/>
        <w:rPr>
          <w:rFonts w:ascii="宋体" w:hAnsi="宋体" w:cs="宋体"/>
          <w:kern w:val="0"/>
          <w:sz w:val="24"/>
        </w:rPr>
      </w:pPr>
      <w:r>
        <w:rPr>
          <w:rFonts w:hint="eastAsia" w:ascii="宋体" w:hAnsi="宋体" w:cs="宋体"/>
          <w:kern w:val="0"/>
          <w:sz w:val="24"/>
        </w:rPr>
        <w:t>1.3 品牌、厂家、型号、规格、配置：</w:t>
      </w:r>
      <w:r>
        <w:rPr>
          <w:rFonts w:hint="eastAsia" w:ascii="宋体" w:hAnsi="宋体" w:cs="宋体"/>
          <w:kern w:val="0"/>
          <w:sz w:val="24"/>
          <w:u w:val="single"/>
        </w:rPr>
        <w:t>详见合同附件中投标产品技术资料表（投标产品技术资料表与澄清函不一致的以澄清函为准）</w:t>
      </w:r>
    </w:p>
    <w:p>
      <w:pPr>
        <w:widowControl/>
        <w:spacing w:line="450" w:lineRule="exact"/>
        <w:rPr>
          <w:rFonts w:ascii="宋体" w:hAnsi="宋体" w:cs="宋体"/>
          <w:kern w:val="0"/>
          <w:sz w:val="24"/>
        </w:rPr>
      </w:pPr>
      <w:r>
        <w:rPr>
          <w:rFonts w:hint="eastAsia" w:ascii="宋体" w:hAnsi="宋体" w:cs="宋体"/>
          <w:kern w:val="0"/>
          <w:sz w:val="24"/>
        </w:rPr>
        <w:t xml:space="preserve">   1.4 技术参数：</w:t>
      </w:r>
      <w:r>
        <w:rPr>
          <w:rFonts w:hint="eastAsia" w:ascii="宋体" w:hAnsi="宋体" w:cs="宋体"/>
          <w:kern w:val="0"/>
          <w:sz w:val="24"/>
          <w:u w:val="single"/>
        </w:rPr>
        <w:t>详见合同附件中投标产品技术资料表</w:t>
      </w:r>
    </w:p>
    <w:p>
      <w:pPr>
        <w:spacing w:line="450" w:lineRule="exact"/>
        <w:ind w:firstLine="360"/>
        <w:rPr>
          <w:rFonts w:ascii="宋体" w:hAnsi="宋体" w:cs="宋体"/>
          <w:b/>
          <w:bCs/>
          <w:sz w:val="24"/>
        </w:rPr>
      </w:pPr>
      <w:r>
        <w:rPr>
          <w:rFonts w:hint="eastAsia" w:ascii="宋体" w:hAnsi="宋体" w:cs="宋体"/>
          <w:b/>
          <w:bCs/>
          <w:sz w:val="24"/>
        </w:rPr>
        <w:t>2.  合同金额</w:t>
      </w:r>
    </w:p>
    <w:p>
      <w:pPr>
        <w:spacing w:line="450" w:lineRule="exact"/>
        <w:ind w:left="2" w:firstLine="410" w:firstLineChars="171"/>
        <w:rPr>
          <w:rFonts w:ascii="宋体" w:hAnsi="宋体" w:cs="宋体"/>
          <w:sz w:val="24"/>
        </w:rPr>
      </w:pPr>
      <w:r>
        <w:rPr>
          <w:rFonts w:hint="eastAsia" w:ascii="宋体" w:hAnsi="宋体" w:cs="宋体"/>
          <w:sz w:val="24"/>
        </w:rPr>
        <w:t>2.1 本合同金额为（大写）人民币</w:t>
      </w:r>
      <w:r>
        <w:rPr>
          <w:rFonts w:hint="eastAsia" w:ascii="宋体" w:hAnsi="宋体" w:cs="宋体"/>
          <w:sz w:val="24"/>
          <w:u w:val="single"/>
        </w:rPr>
        <w:t xml:space="preserve">　　　　　　   </w:t>
      </w:r>
      <w:r>
        <w:rPr>
          <w:rFonts w:hint="eastAsia" w:ascii="宋体" w:hAnsi="宋体" w:cs="宋体"/>
          <w:sz w:val="24"/>
        </w:rPr>
        <w:t>元（￥</w:t>
      </w:r>
      <w:r>
        <w:rPr>
          <w:rFonts w:hint="eastAsia" w:ascii="宋体" w:hAnsi="宋体" w:cs="宋体"/>
          <w:sz w:val="24"/>
          <w:u w:val="single"/>
        </w:rPr>
        <w:t>　　　　　　</w:t>
      </w:r>
      <w:r>
        <w:rPr>
          <w:rFonts w:hint="eastAsia" w:ascii="宋体" w:hAnsi="宋体" w:cs="宋体"/>
          <w:sz w:val="24"/>
        </w:rPr>
        <w:t>）。（详见合同附件中投标报价表）</w:t>
      </w:r>
    </w:p>
    <w:p>
      <w:pPr>
        <w:tabs>
          <w:tab w:val="left" w:pos="5940"/>
        </w:tabs>
        <w:spacing w:line="450" w:lineRule="exact"/>
        <w:rPr>
          <w:rFonts w:ascii="宋体" w:hAnsi="宋体" w:cs="宋体"/>
          <w:b/>
          <w:bCs/>
          <w:sz w:val="24"/>
        </w:rPr>
      </w:pPr>
      <w:r>
        <w:rPr>
          <w:rFonts w:hint="eastAsia" w:ascii="宋体" w:hAnsi="宋体" w:cs="宋体"/>
          <w:b/>
          <w:bCs/>
          <w:sz w:val="24"/>
        </w:rPr>
        <w:t>3.  交货要求</w:t>
      </w:r>
    </w:p>
    <w:p>
      <w:pPr>
        <w:tabs>
          <w:tab w:val="left" w:pos="5220"/>
        </w:tabs>
        <w:spacing w:line="450" w:lineRule="exact"/>
        <w:ind w:firstLine="360"/>
        <w:rPr>
          <w:rFonts w:ascii="宋体" w:hAnsi="宋体" w:cs="宋体"/>
          <w:bCs/>
          <w:sz w:val="24"/>
          <w:u w:val="single"/>
        </w:rPr>
      </w:pPr>
      <w:r>
        <w:rPr>
          <w:rFonts w:hint="eastAsia" w:ascii="宋体" w:hAnsi="宋体" w:cs="宋体"/>
          <w:bCs/>
          <w:sz w:val="24"/>
        </w:rPr>
        <w:t>3.1 交货期：</w:t>
      </w:r>
      <w:r>
        <w:rPr>
          <w:rFonts w:hint="eastAsia" w:ascii="宋体" w:hAnsi="宋体" w:cs="宋体"/>
          <w:sz w:val="24"/>
          <w:u w:val="single"/>
        </w:rPr>
        <w:t xml:space="preserve">                                  </w:t>
      </w:r>
    </w:p>
    <w:p>
      <w:pPr>
        <w:spacing w:line="450" w:lineRule="exact"/>
        <w:ind w:firstLine="360"/>
        <w:rPr>
          <w:rFonts w:ascii="宋体" w:hAnsi="宋体" w:cs="宋体"/>
          <w:bCs/>
          <w:sz w:val="24"/>
        </w:rPr>
      </w:pPr>
      <w:r>
        <w:rPr>
          <w:rFonts w:hint="eastAsia" w:ascii="宋体" w:hAnsi="宋体" w:cs="宋体"/>
          <w:bCs/>
          <w:sz w:val="24"/>
        </w:rPr>
        <w:t>3.2 交货地点：</w:t>
      </w:r>
      <w:r>
        <w:rPr>
          <w:rFonts w:hint="eastAsia" w:ascii="宋体" w:hAnsi="宋体" w:cs="宋体"/>
          <w:sz w:val="24"/>
          <w:u w:val="single"/>
        </w:rPr>
        <w:t xml:space="preserve">                                </w:t>
      </w:r>
    </w:p>
    <w:p>
      <w:pPr>
        <w:spacing w:line="450" w:lineRule="exact"/>
        <w:ind w:firstLine="360"/>
        <w:rPr>
          <w:rFonts w:ascii="宋体" w:hAnsi="宋体" w:cs="宋体"/>
          <w:b/>
          <w:sz w:val="24"/>
        </w:rPr>
      </w:pPr>
      <w:r>
        <w:rPr>
          <w:rFonts w:hint="eastAsia" w:ascii="宋体" w:hAnsi="宋体" w:cs="宋体"/>
          <w:bCs/>
          <w:sz w:val="24"/>
        </w:rPr>
        <w:t xml:space="preserve">3.3 </w:t>
      </w:r>
      <w:r>
        <w:rPr>
          <w:rFonts w:hint="eastAsia" w:ascii="宋体" w:hAnsi="宋体" w:cs="宋体"/>
          <w:sz w:val="24"/>
        </w:rPr>
        <w:t>乙方必须按投标文件承诺的技术参数、性能要求、质量标准等向甲方提供全新、完整、未经使用的货物。</w:t>
      </w:r>
    </w:p>
    <w:p>
      <w:pPr>
        <w:spacing w:line="450" w:lineRule="exact"/>
        <w:ind w:left="410" w:hanging="410" w:hangingChars="170"/>
        <w:rPr>
          <w:rFonts w:ascii="宋体" w:hAnsi="宋体" w:cs="宋体"/>
          <w:b/>
          <w:sz w:val="24"/>
        </w:rPr>
      </w:pPr>
      <w:r>
        <w:rPr>
          <w:rFonts w:hint="eastAsia" w:ascii="宋体" w:hAnsi="宋体" w:cs="宋体"/>
          <w:b/>
          <w:bCs/>
          <w:sz w:val="24"/>
        </w:rPr>
        <w:t>4.  履约保证金</w:t>
      </w:r>
    </w:p>
    <w:p>
      <w:pPr>
        <w:spacing w:line="450" w:lineRule="exact"/>
        <w:ind w:firstLine="360" w:firstLineChars="150"/>
        <w:rPr>
          <w:rFonts w:ascii="宋体" w:hAnsi="宋体" w:cs="宋体"/>
          <w:sz w:val="24"/>
          <w:szCs w:val="24"/>
        </w:rPr>
      </w:pPr>
      <w:r>
        <w:rPr>
          <w:rFonts w:hint="eastAsia" w:ascii="宋体" w:hAnsi="宋体" w:cs="宋体"/>
          <w:sz w:val="24"/>
          <w:szCs w:val="24"/>
        </w:rPr>
        <w:t>本项目不收取履约保证金</w:t>
      </w:r>
    </w:p>
    <w:p>
      <w:pPr>
        <w:spacing w:line="450" w:lineRule="exact"/>
        <w:rPr>
          <w:rFonts w:ascii="宋体" w:hAnsi="宋体" w:cs="宋体"/>
          <w:b/>
          <w:bCs/>
          <w:sz w:val="24"/>
        </w:rPr>
      </w:pPr>
      <w:r>
        <w:rPr>
          <w:rFonts w:hint="eastAsia" w:ascii="宋体" w:hAnsi="宋体" w:cs="宋体"/>
          <w:b/>
          <w:bCs/>
          <w:sz w:val="24"/>
        </w:rPr>
        <w:t>5.  质量保证及售后服务</w:t>
      </w:r>
    </w:p>
    <w:p>
      <w:pPr>
        <w:spacing w:line="450" w:lineRule="exact"/>
        <w:ind w:left="2" w:firstLine="410" w:firstLineChars="171"/>
        <w:rPr>
          <w:rFonts w:ascii="宋体" w:hAnsi="宋体" w:cs="宋体"/>
          <w:sz w:val="24"/>
        </w:rPr>
      </w:pPr>
      <w:r>
        <w:rPr>
          <w:rFonts w:hint="eastAsia" w:ascii="宋体" w:hAnsi="宋体" w:cs="宋体"/>
          <w:sz w:val="24"/>
        </w:rPr>
        <w:t>5.1 质量保证期</w:t>
      </w:r>
      <w:r>
        <w:rPr>
          <w:rFonts w:hint="eastAsia" w:ascii="宋体" w:hAnsi="宋体" w:cs="宋体"/>
          <w:sz w:val="24"/>
          <w:u w:val="single"/>
        </w:rPr>
        <w:t xml:space="preserve">    </w:t>
      </w:r>
      <w:r>
        <w:rPr>
          <w:rFonts w:hint="eastAsia" w:ascii="宋体" w:hAnsi="宋体" w:cs="宋体"/>
          <w:sz w:val="24"/>
        </w:rPr>
        <w:t>年（自交货验收合格之日起计）。</w:t>
      </w:r>
    </w:p>
    <w:p>
      <w:pPr>
        <w:spacing w:line="450" w:lineRule="exact"/>
        <w:ind w:firstLine="410" w:firstLineChars="171"/>
        <w:rPr>
          <w:rFonts w:ascii="宋体" w:hAnsi="宋体" w:cs="宋体"/>
          <w:sz w:val="24"/>
        </w:rPr>
      </w:pPr>
      <w:r>
        <w:rPr>
          <w:rFonts w:hint="eastAsia" w:ascii="宋体" w:hAnsi="宋体" w:cs="宋体"/>
          <w:sz w:val="24"/>
        </w:rPr>
        <w:t>5.2 如乙方提供的货物在使用过程中发生质量问题，</w:t>
      </w:r>
      <w:r>
        <w:rPr>
          <w:rFonts w:hint="eastAsia" w:asciiTheme="majorEastAsia" w:hAnsiTheme="majorEastAsia" w:eastAsiaTheme="majorEastAsia" w:cstheme="majorEastAsia"/>
          <w:sz w:val="24"/>
        </w:rPr>
        <w:t>乙方接到甲方故障通知后应在投标文件承诺的时间内到达甲方指定现场，按国家及行业标准对故障进行及时处理。</w:t>
      </w:r>
    </w:p>
    <w:p>
      <w:pPr>
        <w:spacing w:line="450" w:lineRule="exact"/>
        <w:ind w:firstLine="410" w:firstLineChars="171"/>
        <w:rPr>
          <w:rFonts w:ascii="宋体" w:hAnsi="宋体" w:cs="宋体"/>
          <w:sz w:val="24"/>
        </w:rPr>
      </w:pPr>
      <w:r>
        <w:rPr>
          <w:rFonts w:hint="eastAsia" w:ascii="宋体" w:hAnsi="宋体" w:cs="宋体"/>
          <w:sz w:val="24"/>
        </w:rPr>
        <w:t>5.3 乙方提供的货物在质量保证期内因货物本身的质量问题发生故障，乙方应负责免费更换。对达不到技术要求者，根据实际情况，经双方协商，可按以下办法处理：</w:t>
      </w:r>
    </w:p>
    <w:p>
      <w:pPr>
        <w:spacing w:line="450" w:lineRule="exact"/>
        <w:ind w:firstLine="410" w:firstLineChars="171"/>
        <w:rPr>
          <w:rFonts w:ascii="宋体" w:hAnsi="宋体" w:cs="宋体"/>
          <w:sz w:val="24"/>
        </w:rPr>
      </w:pPr>
      <w:r>
        <w:rPr>
          <w:rFonts w:hint="eastAsia" w:ascii="宋体" w:hAnsi="宋体" w:cs="宋体"/>
          <w:sz w:val="24"/>
        </w:rPr>
        <w:t>（1）更换：由乙方承担所发生的全部费用；</w:t>
      </w:r>
    </w:p>
    <w:p>
      <w:pPr>
        <w:spacing w:line="450" w:lineRule="exact"/>
        <w:ind w:firstLine="410" w:firstLineChars="171"/>
        <w:rPr>
          <w:rFonts w:ascii="宋体" w:hAnsi="宋体" w:cs="宋体"/>
          <w:sz w:val="24"/>
        </w:rPr>
      </w:pPr>
      <w:r>
        <w:rPr>
          <w:rFonts w:hint="eastAsia" w:ascii="宋体" w:hAnsi="宋体" w:cs="宋体"/>
          <w:sz w:val="24"/>
        </w:rPr>
        <w:t>（2）贬值处理：由甲乙双方合议定价；</w:t>
      </w:r>
    </w:p>
    <w:p>
      <w:pPr>
        <w:spacing w:line="450" w:lineRule="exact"/>
        <w:ind w:firstLine="410" w:firstLineChars="171"/>
        <w:rPr>
          <w:rFonts w:ascii="宋体" w:hAnsi="宋体" w:cs="宋体"/>
          <w:sz w:val="24"/>
        </w:rPr>
      </w:pPr>
      <w:r>
        <w:rPr>
          <w:rFonts w:hint="eastAsia" w:ascii="宋体" w:hAnsi="宋体" w:cs="宋体"/>
          <w:sz w:val="24"/>
        </w:rPr>
        <w:t>（3）退货处理：乙方应退还甲方支付的合同款，同时应承担与该货物相关的直接费用（运输、保险、检验、合同款利息及银行手续费等）。</w:t>
      </w:r>
    </w:p>
    <w:p>
      <w:pPr>
        <w:spacing w:line="450" w:lineRule="exact"/>
        <w:ind w:left="2" w:firstLine="360"/>
        <w:rPr>
          <w:rFonts w:ascii="宋体" w:hAnsi="宋体" w:cs="宋体"/>
          <w:sz w:val="24"/>
        </w:rPr>
      </w:pPr>
      <w:r>
        <w:rPr>
          <w:rFonts w:hint="eastAsia" w:ascii="宋体" w:hAnsi="宋体" w:cs="宋体"/>
          <w:sz w:val="24"/>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spacing w:line="450" w:lineRule="exact"/>
        <w:ind w:left="2" w:firstLine="360"/>
        <w:rPr>
          <w:rFonts w:ascii="宋体" w:hAnsi="宋体" w:cs="宋体"/>
          <w:sz w:val="24"/>
        </w:rPr>
      </w:pPr>
      <w:r>
        <w:rPr>
          <w:rFonts w:hint="eastAsia" w:ascii="宋体" w:hAnsi="宋体" w:cs="宋体"/>
          <w:sz w:val="24"/>
        </w:rPr>
        <w:t>5.5 超过质量保证期的货物，乙方提供终生维修、保养服务，维修时只收部件成本费。</w:t>
      </w:r>
    </w:p>
    <w:p>
      <w:pPr>
        <w:spacing w:line="450" w:lineRule="exact"/>
        <w:ind w:left="2" w:firstLine="360"/>
        <w:rPr>
          <w:rFonts w:ascii="宋体" w:hAnsi="宋体" w:cs="宋体"/>
          <w:sz w:val="24"/>
        </w:rPr>
      </w:pPr>
      <w:r>
        <w:rPr>
          <w:rFonts w:hint="eastAsia" w:ascii="宋体" w:hAnsi="宋体" w:cs="宋体"/>
          <w:sz w:val="24"/>
        </w:rPr>
        <w:t>5.6 乙方随时优惠提供备品备件，优惠提供产品更新、改造服务。</w:t>
      </w:r>
    </w:p>
    <w:p>
      <w:pPr>
        <w:pStyle w:val="10"/>
        <w:spacing w:line="480" w:lineRule="exact"/>
        <w:ind w:left="2" w:firstLine="360"/>
        <w:rPr>
          <w:rFonts w:hint="default" w:hAnsi="宋体" w:cs="宋体"/>
          <w:sz w:val="24"/>
          <w:szCs w:val="24"/>
          <w:u w:val="single"/>
        </w:rPr>
      </w:pPr>
      <w:r>
        <w:rPr>
          <w:rFonts w:hAnsi="宋体" w:cs="宋体"/>
          <w:sz w:val="24"/>
          <w:szCs w:val="24"/>
        </w:rPr>
        <w:t>5.7 其他售后服务要求：</w:t>
      </w:r>
      <w:r>
        <w:rPr>
          <w:rFonts w:hAnsi="宋体" w:cs="宋体"/>
          <w:sz w:val="24"/>
          <w:szCs w:val="24"/>
          <w:u w:val="single"/>
        </w:rPr>
        <w:t>按投标文件商务条款偏离表及澄清函（商务条款偏离表与澄清函不一致的以澄清函为准）内容执行。</w:t>
      </w:r>
    </w:p>
    <w:p>
      <w:pPr>
        <w:spacing w:line="450" w:lineRule="exact"/>
        <w:rPr>
          <w:rFonts w:ascii="宋体" w:hAnsi="宋体" w:cs="宋体"/>
          <w:sz w:val="24"/>
        </w:rPr>
      </w:pPr>
    </w:p>
    <w:p>
      <w:pPr>
        <w:spacing w:line="450" w:lineRule="exact"/>
        <w:rPr>
          <w:rFonts w:ascii="宋体" w:hAnsi="宋体" w:cs="宋体"/>
          <w:b/>
          <w:bCs/>
          <w:sz w:val="24"/>
        </w:rPr>
      </w:pPr>
      <w:r>
        <w:rPr>
          <w:rFonts w:hint="eastAsia" w:ascii="宋体" w:hAnsi="宋体" w:cs="宋体"/>
          <w:b/>
          <w:bCs/>
          <w:sz w:val="24"/>
        </w:rPr>
        <w:t>6.  合同款支付</w:t>
      </w:r>
    </w:p>
    <w:p>
      <w:pPr>
        <w:spacing w:line="360" w:lineRule="auto"/>
        <w:ind w:firstLine="360" w:firstLineChars="150"/>
        <w:jc w:val="left"/>
        <w:rPr>
          <w:rFonts w:ascii="宋体" w:hAnsi="宋体" w:cs="宋体"/>
          <w:sz w:val="24"/>
          <w:szCs w:val="24"/>
        </w:rPr>
      </w:pPr>
      <w:r>
        <w:rPr>
          <w:rFonts w:hint="eastAsia" w:ascii="宋体" w:hAnsi="宋体" w:cs="宋体"/>
          <w:sz w:val="24"/>
        </w:rPr>
        <w:t>6.1 付款方式</w:t>
      </w:r>
      <w:r>
        <w:rPr>
          <w:rFonts w:hint="eastAsia" w:ascii="宋体" w:hAnsi="宋体" w:cs="宋体"/>
          <w:kern w:val="0"/>
          <w:sz w:val="24"/>
          <w:szCs w:val="24"/>
        </w:rPr>
        <w:t>：</w:t>
      </w:r>
      <w:r>
        <w:rPr>
          <w:rFonts w:hint="eastAsia" w:ascii="宋体" w:hAnsi="宋体" w:cs="宋体"/>
          <w:sz w:val="24"/>
          <w:u w:val="single"/>
        </w:rPr>
        <w:t>本项目无预付款，供应商交货完毕并验收合格后，一次性支付合同款</w:t>
      </w:r>
      <w:r>
        <w:rPr>
          <w:rFonts w:hint="eastAsia" w:ascii="宋体" w:hAnsi="宋体" w:cs="宋体"/>
          <w:sz w:val="24"/>
          <w:szCs w:val="24"/>
          <w:u w:val="single"/>
        </w:rPr>
        <w:t>。</w:t>
      </w:r>
    </w:p>
    <w:p>
      <w:pPr>
        <w:spacing w:line="450" w:lineRule="exact"/>
        <w:ind w:firstLine="360"/>
        <w:rPr>
          <w:rFonts w:ascii="宋体" w:hAnsi="宋体" w:cs="宋体"/>
          <w:sz w:val="24"/>
        </w:rPr>
      </w:pPr>
      <w:r>
        <w:rPr>
          <w:rFonts w:hint="eastAsia" w:ascii="宋体" w:hAnsi="宋体" w:cs="宋体"/>
          <w:sz w:val="24"/>
        </w:rPr>
        <w:t>6.2 支付合同款时，由甲方按照合同约定向南宁市财政局提交完整且合格的支付申请材料；南宁市财政局按财政国库直接支付程序将款项直接支付给供应商。</w:t>
      </w:r>
    </w:p>
    <w:p>
      <w:pPr>
        <w:spacing w:line="450" w:lineRule="exact"/>
        <w:ind w:firstLine="360"/>
        <w:rPr>
          <w:rFonts w:ascii="宋体" w:hAnsi="宋体" w:cs="宋体"/>
          <w:sz w:val="24"/>
        </w:rPr>
      </w:pPr>
      <w:r>
        <w:rPr>
          <w:rFonts w:hint="eastAsia" w:ascii="宋体" w:hAnsi="宋体" w:cs="宋体"/>
          <w:sz w:val="24"/>
        </w:rPr>
        <w:t>6.3 当采购数量与实际使用数量不一致时，甲方可以在报经南宁市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中标单价进行计算。</w:t>
      </w:r>
    </w:p>
    <w:p>
      <w:pPr>
        <w:spacing w:line="450" w:lineRule="exact"/>
        <w:ind w:firstLine="360"/>
        <w:rPr>
          <w:rFonts w:ascii="宋体" w:hAnsi="宋体" w:cs="宋体"/>
          <w:bCs/>
          <w:sz w:val="24"/>
          <w:u w:val="single"/>
        </w:rPr>
      </w:pPr>
      <w:r>
        <w:rPr>
          <w:rFonts w:hint="eastAsia" w:ascii="宋体" w:hAnsi="宋体" w:cs="宋体"/>
          <w:bCs/>
          <w:sz w:val="24"/>
        </w:rPr>
        <w:t>6.4</w:t>
      </w:r>
      <w:r>
        <w:rPr>
          <w:rFonts w:hint="eastAsia" w:ascii="宋体" w:hAnsi="宋体" w:cs="宋体"/>
          <w:sz w:val="24"/>
        </w:rPr>
        <w:t>政府采购监督管理部门在处理投诉事项期间，可以视具体情况书面通知采购人暂停采购活动</w:t>
      </w:r>
      <w:r>
        <w:rPr>
          <w:rFonts w:hint="eastAsia" w:ascii="宋体" w:hAnsi="宋体" w:cs="宋体"/>
          <w:bCs/>
          <w:sz w:val="24"/>
        </w:rPr>
        <w:t>，并延期支付合同款。</w:t>
      </w:r>
    </w:p>
    <w:p>
      <w:pPr>
        <w:spacing w:line="450" w:lineRule="exact"/>
        <w:ind w:left="412" w:hanging="412" w:hangingChars="171"/>
        <w:rPr>
          <w:rFonts w:ascii="宋体" w:hAnsi="宋体" w:cs="宋体"/>
          <w:b/>
          <w:sz w:val="24"/>
        </w:rPr>
      </w:pPr>
      <w:r>
        <w:rPr>
          <w:rFonts w:hint="eastAsia" w:ascii="宋体" w:hAnsi="宋体" w:cs="宋体"/>
          <w:b/>
          <w:bCs/>
          <w:sz w:val="24"/>
        </w:rPr>
        <w:t>7.  产权</w:t>
      </w:r>
    </w:p>
    <w:p>
      <w:pPr>
        <w:spacing w:line="450" w:lineRule="exact"/>
        <w:ind w:left="2" w:firstLine="410" w:firstLineChars="171"/>
        <w:rPr>
          <w:rFonts w:ascii="宋体" w:hAnsi="宋体" w:cs="宋体"/>
          <w:bCs/>
          <w:sz w:val="24"/>
        </w:rPr>
      </w:pPr>
      <w:r>
        <w:rPr>
          <w:rFonts w:hint="eastAsia" w:ascii="宋体" w:hAnsi="宋体" w:cs="宋体"/>
          <w:sz w:val="24"/>
        </w:rPr>
        <w:t>7.1 乙方保证所提供的货物或其任何一部分均不会侵犯任何第三方的专利权、商标权或著作权</w:t>
      </w:r>
      <w:r>
        <w:rPr>
          <w:rFonts w:hint="eastAsia" w:ascii="宋体" w:hAnsi="宋体" w:cs="宋体"/>
          <w:bCs/>
          <w:sz w:val="24"/>
        </w:rPr>
        <w:t>。</w:t>
      </w:r>
    </w:p>
    <w:p>
      <w:pPr>
        <w:spacing w:line="450" w:lineRule="exact"/>
        <w:ind w:left="2" w:firstLine="410" w:firstLineChars="171"/>
        <w:rPr>
          <w:rFonts w:ascii="宋体" w:hAnsi="宋体" w:cs="宋体"/>
          <w:b/>
          <w:bCs/>
          <w:sz w:val="24"/>
        </w:rPr>
      </w:pPr>
      <w:r>
        <w:rPr>
          <w:rFonts w:hint="eastAsia" w:ascii="宋体" w:hAnsi="宋体" w:cs="宋体"/>
          <w:sz w:val="24"/>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spacing w:line="450" w:lineRule="exact"/>
        <w:rPr>
          <w:rFonts w:ascii="宋体" w:hAnsi="宋体" w:cs="宋体"/>
          <w:b/>
          <w:sz w:val="24"/>
        </w:rPr>
      </w:pPr>
      <w:r>
        <w:rPr>
          <w:rFonts w:hint="eastAsia" w:ascii="宋体" w:hAnsi="宋体" w:cs="宋体"/>
          <w:b/>
          <w:bCs/>
          <w:sz w:val="24"/>
        </w:rPr>
        <w:t>8.  技术资料</w:t>
      </w:r>
    </w:p>
    <w:p>
      <w:pPr>
        <w:spacing w:line="450" w:lineRule="exact"/>
        <w:ind w:firstLine="360"/>
        <w:rPr>
          <w:rFonts w:ascii="宋体" w:hAnsi="宋体" w:cs="宋体"/>
          <w:sz w:val="24"/>
        </w:rPr>
      </w:pPr>
      <w:r>
        <w:rPr>
          <w:rFonts w:hint="eastAsia" w:ascii="宋体" w:hAnsi="宋体" w:cs="宋体"/>
          <w:sz w:val="24"/>
        </w:rPr>
        <w:t>8.1 甲方向乙方提供采购货物的有关技术要求。</w:t>
      </w:r>
    </w:p>
    <w:p>
      <w:pPr>
        <w:spacing w:line="450" w:lineRule="exact"/>
        <w:ind w:firstLine="360"/>
        <w:rPr>
          <w:rFonts w:ascii="宋体" w:hAnsi="宋体" w:cs="宋体"/>
          <w:sz w:val="24"/>
        </w:rPr>
      </w:pPr>
      <w:r>
        <w:rPr>
          <w:rFonts w:hint="eastAsia" w:ascii="宋体" w:hAnsi="宋体" w:cs="宋体"/>
          <w:sz w:val="24"/>
        </w:rPr>
        <w:t>8.2 乙方应在采购文件规定的时间向甲方提供使用货物的有关技术资料。</w:t>
      </w:r>
    </w:p>
    <w:p>
      <w:pPr>
        <w:spacing w:line="450" w:lineRule="exact"/>
        <w:ind w:firstLine="360"/>
        <w:rPr>
          <w:rFonts w:ascii="宋体" w:hAnsi="宋体" w:cs="宋体"/>
          <w:sz w:val="24"/>
        </w:rPr>
      </w:pPr>
      <w:r>
        <w:rPr>
          <w:rFonts w:hint="eastAsia" w:ascii="宋体" w:hAnsi="宋体" w:cs="宋体"/>
          <w:sz w:val="24"/>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spacing w:line="450" w:lineRule="exact"/>
        <w:rPr>
          <w:rFonts w:ascii="宋体" w:hAnsi="宋体" w:cs="宋体"/>
          <w:b/>
          <w:bCs/>
          <w:sz w:val="24"/>
        </w:rPr>
      </w:pPr>
      <w:r>
        <w:rPr>
          <w:rFonts w:hint="eastAsia" w:ascii="宋体" w:hAnsi="宋体" w:cs="宋体"/>
          <w:b/>
          <w:bCs/>
          <w:sz w:val="24"/>
        </w:rPr>
        <w:t>9.  货物包装、发运及运输</w:t>
      </w:r>
    </w:p>
    <w:p>
      <w:pPr>
        <w:tabs>
          <w:tab w:val="left" w:pos="0"/>
        </w:tabs>
        <w:spacing w:line="450" w:lineRule="exact"/>
        <w:ind w:firstLine="360"/>
        <w:rPr>
          <w:rFonts w:ascii="宋体" w:hAnsi="宋体" w:cs="宋体"/>
          <w:sz w:val="24"/>
        </w:rPr>
      </w:pPr>
      <w:r>
        <w:rPr>
          <w:rFonts w:hint="eastAsia" w:ascii="宋体" w:hAnsi="宋体" w:cs="宋体"/>
          <w:sz w:val="24"/>
        </w:rPr>
        <w:t>9.1 乙方应在货物发运前对其进行满足运输距离、防潮、防震、防锈和防破损装卸等要求包装，以保证货物安全运达甲方指定地点。</w:t>
      </w:r>
    </w:p>
    <w:p>
      <w:pPr>
        <w:tabs>
          <w:tab w:val="left" w:pos="0"/>
        </w:tabs>
        <w:spacing w:line="450" w:lineRule="exact"/>
        <w:ind w:firstLine="360"/>
        <w:rPr>
          <w:rFonts w:ascii="宋体" w:hAnsi="宋体" w:cs="宋体"/>
          <w:sz w:val="24"/>
        </w:rPr>
      </w:pPr>
      <w:r>
        <w:rPr>
          <w:rFonts w:hint="eastAsia" w:ascii="宋体" w:hAnsi="宋体" w:cs="宋体"/>
          <w:sz w:val="24"/>
        </w:rPr>
        <w:t>9.2 使用说明书、质量检验证明书、保修单据、随配附件和工具以及清单一并附于货物内。</w:t>
      </w:r>
    </w:p>
    <w:p>
      <w:pPr>
        <w:tabs>
          <w:tab w:val="left" w:pos="0"/>
        </w:tabs>
        <w:spacing w:line="450" w:lineRule="exact"/>
        <w:ind w:firstLine="360"/>
        <w:rPr>
          <w:rFonts w:ascii="宋体" w:hAnsi="宋体" w:cs="宋体"/>
          <w:sz w:val="24"/>
        </w:rPr>
      </w:pPr>
      <w:r>
        <w:rPr>
          <w:rFonts w:hint="eastAsia" w:ascii="宋体" w:hAnsi="宋体" w:cs="宋体"/>
          <w:sz w:val="24"/>
        </w:rPr>
        <w:t>9.3 乙方在货物发运手续办理完毕后24小时内或货到甲方48小时前通知甲方，以准备接货。</w:t>
      </w:r>
    </w:p>
    <w:p>
      <w:pPr>
        <w:tabs>
          <w:tab w:val="left" w:pos="0"/>
        </w:tabs>
        <w:spacing w:line="450" w:lineRule="exact"/>
        <w:ind w:firstLine="360"/>
        <w:rPr>
          <w:rFonts w:ascii="宋体" w:hAnsi="宋体" w:cs="宋体"/>
          <w:sz w:val="24"/>
        </w:rPr>
      </w:pPr>
      <w:r>
        <w:rPr>
          <w:rFonts w:hint="eastAsia" w:ascii="宋体" w:hAnsi="宋体" w:cs="宋体"/>
          <w:sz w:val="24"/>
        </w:rPr>
        <w:t>9.4 货物在交付甲方前发生的风险均由乙方负责。</w:t>
      </w:r>
    </w:p>
    <w:p>
      <w:pPr>
        <w:tabs>
          <w:tab w:val="left" w:pos="0"/>
        </w:tabs>
        <w:spacing w:line="450" w:lineRule="exact"/>
        <w:ind w:firstLine="360"/>
        <w:rPr>
          <w:rFonts w:ascii="宋体" w:hAnsi="宋体" w:cs="宋体"/>
          <w:sz w:val="24"/>
        </w:rPr>
      </w:pPr>
      <w:r>
        <w:rPr>
          <w:rFonts w:hint="eastAsia" w:ascii="宋体" w:hAnsi="宋体" w:cs="宋体"/>
          <w:sz w:val="24"/>
        </w:rPr>
        <w:t>9.5 货物在规定的交付期限内由乙方送达甲方指定的地点视为交付，乙方同时需通知甲方货物已送达。</w:t>
      </w:r>
    </w:p>
    <w:p>
      <w:pPr>
        <w:spacing w:line="450" w:lineRule="exact"/>
        <w:rPr>
          <w:rFonts w:ascii="宋体" w:hAnsi="宋体" w:cs="宋体"/>
          <w:b/>
          <w:bCs/>
          <w:sz w:val="24"/>
        </w:rPr>
      </w:pPr>
      <w:r>
        <w:rPr>
          <w:rFonts w:hint="eastAsia" w:ascii="宋体" w:hAnsi="宋体" w:cs="宋体"/>
          <w:b/>
          <w:bCs/>
          <w:sz w:val="24"/>
        </w:rPr>
        <w:t>10.  调试和验收</w:t>
      </w:r>
    </w:p>
    <w:p>
      <w:pPr>
        <w:spacing w:line="450" w:lineRule="exact"/>
        <w:ind w:firstLine="410" w:firstLineChars="171"/>
        <w:rPr>
          <w:rFonts w:ascii="宋体" w:hAnsi="宋体" w:cs="宋体"/>
          <w:sz w:val="24"/>
        </w:rPr>
      </w:pPr>
      <w:r>
        <w:rPr>
          <w:rFonts w:hint="eastAsia" w:ascii="宋体" w:hAnsi="宋体" w:cs="宋体"/>
          <w:sz w:val="24"/>
        </w:rPr>
        <w:t>10.1 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spacing w:line="450" w:lineRule="exact"/>
        <w:ind w:firstLine="410" w:firstLineChars="171"/>
        <w:rPr>
          <w:rFonts w:ascii="宋体" w:hAnsi="宋体" w:cs="宋体"/>
          <w:sz w:val="24"/>
        </w:rPr>
      </w:pPr>
      <w:r>
        <w:rPr>
          <w:rFonts w:hint="eastAsia" w:ascii="宋体" w:hAnsi="宋体" w:cs="宋体"/>
          <w:sz w:val="24"/>
        </w:rPr>
        <w:t>10.2 乙方交货前应对产品作出全面检查和对验收文件进行整理，并列出清单，作为甲方收货验收和使用的技术条件依据，检验的结果应随货物交甲方。</w:t>
      </w:r>
    </w:p>
    <w:p>
      <w:pPr>
        <w:spacing w:line="450" w:lineRule="exact"/>
        <w:ind w:firstLine="410" w:firstLineChars="171"/>
        <w:rPr>
          <w:rFonts w:ascii="宋体" w:hAnsi="宋体" w:cs="宋体"/>
          <w:sz w:val="24"/>
        </w:rPr>
      </w:pPr>
      <w:r>
        <w:rPr>
          <w:rFonts w:hint="eastAsia" w:ascii="宋体" w:hAnsi="宋体" w:cs="宋体"/>
          <w:sz w:val="24"/>
        </w:rPr>
        <w:t>10.3 甲方对乙方提供的货物在使用前进行调试时，乙方需负责安装并培训甲方的使用操作人员，并协助甲方一起调试，直到符合技术要求，甲方才做最终验收。</w:t>
      </w:r>
    </w:p>
    <w:p>
      <w:pPr>
        <w:spacing w:line="450" w:lineRule="exact"/>
        <w:ind w:firstLine="410" w:firstLineChars="171"/>
        <w:rPr>
          <w:rFonts w:ascii="宋体" w:hAnsi="宋体" w:cs="宋体"/>
          <w:sz w:val="24"/>
        </w:rPr>
      </w:pPr>
      <w:r>
        <w:rPr>
          <w:rFonts w:hint="eastAsia" w:ascii="宋体" w:hAnsi="宋体" w:cs="宋体"/>
          <w:sz w:val="24"/>
        </w:rPr>
        <w:t>10.4 验收时乙方必须在现场，验收完毕后作出验收结果报告。</w:t>
      </w:r>
    </w:p>
    <w:p>
      <w:pPr>
        <w:spacing w:line="450" w:lineRule="exact"/>
        <w:ind w:firstLine="410" w:firstLineChars="171"/>
        <w:rPr>
          <w:rFonts w:ascii="宋体" w:hAnsi="宋体" w:cs="宋体"/>
          <w:sz w:val="24"/>
        </w:rPr>
      </w:pPr>
      <w:r>
        <w:rPr>
          <w:rFonts w:hint="eastAsia" w:ascii="宋体" w:hAnsi="宋体" w:cs="宋体"/>
          <w:sz w:val="24"/>
        </w:rPr>
        <w:t>10.5 对技术复杂的货物，甲方可请国家认可的专业检测机构参与验收，并由其出具质量检测报告，相关费用由甲方承担。</w:t>
      </w:r>
    </w:p>
    <w:p>
      <w:pPr>
        <w:spacing w:line="450" w:lineRule="exact"/>
        <w:rPr>
          <w:rFonts w:ascii="宋体" w:hAnsi="宋体" w:cs="宋体"/>
          <w:b/>
          <w:bCs/>
          <w:sz w:val="24"/>
        </w:rPr>
      </w:pPr>
      <w:r>
        <w:rPr>
          <w:rFonts w:hint="eastAsia" w:ascii="宋体" w:hAnsi="宋体" w:cs="宋体"/>
          <w:b/>
          <w:bCs/>
          <w:sz w:val="24"/>
        </w:rPr>
        <w:t>11.  违约责任</w:t>
      </w:r>
    </w:p>
    <w:p>
      <w:pPr>
        <w:spacing w:line="450" w:lineRule="exact"/>
        <w:ind w:left="2" w:firstLine="360"/>
        <w:rPr>
          <w:rFonts w:ascii="宋体" w:hAnsi="宋体" w:cs="宋体"/>
          <w:sz w:val="24"/>
        </w:rPr>
      </w:pPr>
      <w:r>
        <w:rPr>
          <w:rFonts w:hint="eastAsia" w:ascii="宋体" w:hAnsi="宋体" w:cs="宋体"/>
          <w:sz w:val="24"/>
        </w:rPr>
        <w:t>11.1 甲方无正当理由拒收货物的，甲方向乙方偿付拒收合同款总值的百分之五违约金。</w:t>
      </w:r>
    </w:p>
    <w:p>
      <w:pPr>
        <w:spacing w:line="450" w:lineRule="exact"/>
        <w:ind w:left="2" w:firstLine="360"/>
        <w:rPr>
          <w:rFonts w:ascii="宋体" w:hAnsi="宋体" w:cs="宋体"/>
          <w:sz w:val="24"/>
        </w:rPr>
      </w:pPr>
      <w:r>
        <w:rPr>
          <w:rFonts w:hint="eastAsia" w:ascii="宋体" w:hAnsi="宋体" w:cs="宋体"/>
          <w:sz w:val="24"/>
        </w:rPr>
        <w:t>11.2 甲方无故逾期验收或办理合同款支付手续的，甲方应按逾期付款总额每日万分之五向乙方支付违约金。</w:t>
      </w:r>
    </w:p>
    <w:p>
      <w:pPr>
        <w:spacing w:line="450" w:lineRule="exact"/>
        <w:ind w:left="2" w:firstLine="360"/>
        <w:rPr>
          <w:rFonts w:ascii="宋体" w:hAnsi="宋体" w:cs="宋体"/>
          <w:sz w:val="24"/>
        </w:rPr>
      </w:pPr>
      <w:r>
        <w:rPr>
          <w:rFonts w:hint="eastAsia" w:ascii="宋体" w:hAnsi="宋体" w:cs="宋体"/>
          <w:sz w:val="24"/>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spacing w:line="450" w:lineRule="exact"/>
        <w:ind w:left="2" w:firstLine="360"/>
        <w:rPr>
          <w:rFonts w:ascii="宋体" w:hAnsi="宋体" w:cs="宋体"/>
          <w:sz w:val="24"/>
        </w:rPr>
      </w:pPr>
      <w:r>
        <w:rPr>
          <w:rFonts w:hint="eastAsia" w:ascii="宋体" w:hAnsi="宋体" w:cs="宋体"/>
          <w:sz w:val="24"/>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spacing w:line="450" w:lineRule="exact"/>
        <w:rPr>
          <w:rFonts w:ascii="宋体" w:hAnsi="宋体" w:cs="宋体"/>
          <w:b/>
          <w:bCs/>
          <w:sz w:val="24"/>
        </w:rPr>
      </w:pPr>
      <w:r>
        <w:rPr>
          <w:rFonts w:hint="eastAsia" w:ascii="宋体" w:hAnsi="宋体" w:cs="宋体"/>
          <w:b/>
          <w:bCs/>
          <w:sz w:val="24"/>
        </w:rPr>
        <w:t>12.  不可抗力事件处理</w:t>
      </w:r>
    </w:p>
    <w:p>
      <w:pPr>
        <w:spacing w:line="450" w:lineRule="exact"/>
        <w:ind w:firstLine="410" w:firstLineChars="171"/>
        <w:rPr>
          <w:rFonts w:ascii="宋体" w:hAnsi="宋体" w:cs="宋体"/>
          <w:sz w:val="24"/>
        </w:rPr>
      </w:pPr>
      <w:r>
        <w:rPr>
          <w:rFonts w:hint="eastAsia" w:ascii="宋体" w:hAnsi="宋体" w:cs="宋体"/>
          <w:sz w:val="24"/>
        </w:rPr>
        <w:t>12.1 在合同有效期内，任何一方因不可抗力事件导致不能履行合同，则合同履行期可延长，其延长期与不可抗力影响期相同。</w:t>
      </w:r>
    </w:p>
    <w:p>
      <w:pPr>
        <w:spacing w:line="450" w:lineRule="exact"/>
        <w:ind w:firstLine="410" w:firstLineChars="171"/>
        <w:rPr>
          <w:rFonts w:ascii="宋体" w:hAnsi="宋体" w:cs="宋体"/>
          <w:sz w:val="24"/>
        </w:rPr>
      </w:pPr>
      <w:r>
        <w:rPr>
          <w:rFonts w:hint="eastAsia" w:ascii="宋体" w:hAnsi="宋体" w:cs="宋体"/>
          <w:sz w:val="24"/>
        </w:rPr>
        <w:t>12.2 不可抗力事件发生后，应立即通知对方，并寄送有关权威机构出具的证明。</w:t>
      </w:r>
    </w:p>
    <w:p>
      <w:pPr>
        <w:spacing w:line="450" w:lineRule="exact"/>
        <w:ind w:firstLine="410" w:firstLineChars="171"/>
        <w:rPr>
          <w:rFonts w:ascii="宋体" w:hAnsi="宋体" w:cs="宋体"/>
          <w:sz w:val="24"/>
        </w:rPr>
      </w:pPr>
      <w:r>
        <w:rPr>
          <w:rFonts w:hint="eastAsia" w:ascii="宋体" w:hAnsi="宋体" w:cs="宋体"/>
          <w:sz w:val="24"/>
        </w:rPr>
        <w:t>12.3 不可抗力事件延续120天以上，双方应通过友好协商，确定是否继续履行合同。</w:t>
      </w:r>
    </w:p>
    <w:p>
      <w:pPr>
        <w:spacing w:line="450" w:lineRule="exact"/>
        <w:rPr>
          <w:rFonts w:ascii="宋体" w:hAnsi="宋体" w:cs="宋体"/>
          <w:b/>
          <w:bCs/>
          <w:sz w:val="24"/>
        </w:rPr>
      </w:pPr>
      <w:r>
        <w:rPr>
          <w:rFonts w:hint="eastAsia" w:ascii="宋体" w:hAnsi="宋体" w:cs="宋体"/>
          <w:b/>
          <w:bCs/>
          <w:sz w:val="24"/>
        </w:rPr>
        <w:t>13.  诉讼</w:t>
      </w:r>
    </w:p>
    <w:p>
      <w:pPr>
        <w:tabs>
          <w:tab w:val="left" w:pos="0"/>
        </w:tabs>
        <w:spacing w:line="450" w:lineRule="exact"/>
        <w:ind w:firstLine="410" w:firstLineChars="171"/>
        <w:rPr>
          <w:rFonts w:ascii="宋体" w:hAnsi="宋体" w:cs="宋体"/>
          <w:sz w:val="24"/>
        </w:rPr>
      </w:pPr>
      <w:r>
        <w:rPr>
          <w:rFonts w:hint="eastAsia" w:ascii="宋体" w:hAnsi="宋体" w:cs="宋体"/>
          <w:sz w:val="24"/>
        </w:rPr>
        <w:t>13.1 双方在执行合同中所发生的一切争议，应通过协商解决。如协商不成，可向合同签订地法院起诉，合同签订地在此约定为广西南宁市。</w:t>
      </w:r>
    </w:p>
    <w:p>
      <w:pPr>
        <w:spacing w:line="450" w:lineRule="exact"/>
        <w:rPr>
          <w:rFonts w:ascii="宋体" w:hAnsi="宋体" w:cs="宋体"/>
          <w:b/>
          <w:bCs/>
          <w:sz w:val="24"/>
        </w:rPr>
      </w:pPr>
      <w:r>
        <w:rPr>
          <w:rFonts w:hint="eastAsia" w:ascii="宋体" w:hAnsi="宋体" w:cs="宋体"/>
          <w:b/>
          <w:bCs/>
          <w:sz w:val="24"/>
        </w:rPr>
        <w:t>14.  合同生效及其它</w:t>
      </w:r>
    </w:p>
    <w:p>
      <w:pPr>
        <w:spacing w:line="450" w:lineRule="exact"/>
        <w:ind w:firstLine="360"/>
        <w:rPr>
          <w:rFonts w:ascii="宋体" w:hAnsi="宋体" w:cs="宋体"/>
          <w:sz w:val="24"/>
        </w:rPr>
      </w:pPr>
      <w:r>
        <w:rPr>
          <w:rFonts w:hint="eastAsia" w:ascii="宋体" w:hAnsi="宋体" w:cs="宋体"/>
          <w:sz w:val="24"/>
        </w:rPr>
        <w:t>14.1 合同经双方法定代表人或授权委托代理人签字并加盖单位公章后生效。</w:t>
      </w:r>
    </w:p>
    <w:p>
      <w:pPr>
        <w:spacing w:line="450" w:lineRule="exact"/>
        <w:ind w:firstLine="360"/>
        <w:rPr>
          <w:rFonts w:ascii="宋体" w:hAnsi="宋体" w:cs="宋体"/>
          <w:sz w:val="24"/>
        </w:rPr>
      </w:pPr>
      <w:r>
        <w:rPr>
          <w:rFonts w:hint="eastAsia" w:ascii="宋体" w:hAnsi="宋体" w:cs="宋体"/>
          <w:sz w:val="24"/>
        </w:rPr>
        <w:t>14.2 合同执行中涉及采购资金和采购内容修改或补充的，须经市财政部门审批，并签书面补充协议报南宁市政府采购监督管理部门备案，方可作为主合同不可分割的一部分。</w:t>
      </w:r>
    </w:p>
    <w:p>
      <w:pPr>
        <w:spacing w:line="450" w:lineRule="exact"/>
        <w:ind w:firstLine="360"/>
        <w:rPr>
          <w:rFonts w:ascii="宋体" w:hAnsi="宋体" w:cs="宋体"/>
          <w:sz w:val="24"/>
        </w:rPr>
      </w:pPr>
      <w:r>
        <w:rPr>
          <w:rFonts w:hint="eastAsia" w:ascii="宋体" w:hAnsi="宋体" w:cs="宋体"/>
          <w:sz w:val="24"/>
        </w:rPr>
        <w:t>14.3 下述合同附件为本合同不可分割的部分并与本合同具有同等效力：</w:t>
      </w:r>
    </w:p>
    <w:p>
      <w:pPr>
        <w:spacing w:line="450" w:lineRule="exact"/>
        <w:ind w:firstLine="360"/>
        <w:rPr>
          <w:rFonts w:ascii="宋体" w:hAnsi="宋体" w:cs="宋体"/>
          <w:sz w:val="24"/>
        </w:rPr>
      </w:pPr>
      <w:r>
        <w:rPr>
          <w:rFonts w:hint="eastAsia" w:ascii="宋体" w:hAnsi="宋体" w:cs="宋体"/>
          <w:sz w:val="24"/>
        </w:rPr>
        <w:t>（1）中标通知书；</w:t>
      </w:r>
    </w:p>
    <w:p>
      <w:pPr>
        <w:spacing w:line="450" w:lineRule="exact"/>
        <w:ind w:firstLine="360"/>
        <w:rPr>
          <w:rFonts w:ascii="宋体" w:hAnsi="宋体" w:cs="宋体"/>
          <w:sz w:val="24"/>
        </w:rPr>
      </w:pPr>
      <w:r>
        <w:rPr>
          <w:rFonts w:hint="eastAsia" w:ascii="宋体" w:hAnsi="宋体" w:cs="宋体"/>
          <w:sz w:val="24"/>
        </w:rPr>
        <w:t>（2）招标文件货物需求一览表；</w:t>
      </w:r>
    </w:p>
    <w:p>
      <w:pPr>
        <w:spacing w:line="450" w:lineRule="exact"/>
        <w:ind w:firstLine="360"/>
        <w:rPr>
          <w:rFonts w:ascii="宋体" w:hAnsi="宋体" w:cs="宋体"/>
          <w:sz w:val="24"/>
        </w:rPr>
      </w:pPr>
      <w:r>
        <w:rPr>
          <w:rFonts w:hint="eastAsia" w:ascii="宋体" w:hAnsi="宋体" w:cs="宋体"/>
          <w:sz w:val="24"/>
        </w:rPr>
        <w:t>（3）招标文件的澄清和修改；</w:t>
      </w:r>
    </w:p>
    <w:p>
      <w:pPr>
        <w:spacing w:line="450" w:lineRule="exact"/>
        <w:ind w:firstLine="360"/>
        <w:rPr>
          <w:rFonts w:ascii="宋体" w:hAnsi="宋体" w:cs="宋体"/>
          <w:sz w:val="24"/>
        </w:rPr>
      </w:pPr>
      <w:r>
        <w:rPr>
          <w:rFonts w:hint="eastAsia" w:ascii="宋体" w:hAnsi="宋体" w:cs="宋体"/>
          <w:sz w:val="24"/>
        </w:rPr>
        <w:t>（4）投标报价表；</w:t>
      </w:r>
    </w:p>
    <w:p>
      <w:pPr>
        <w:spacing w:line="450" w:lineRule="exact"/>
        <w:ind w:firstLine="360"/>
        <w:rPr>
          <w:rFonts w:ascii="宋体" w:hAnsi="宋体" w:cs="宋体"/>
          <w:sz w:val="24"/>
        </w:rPr>
      </w:pPr>
      <w:r>
        <w:rPr>
          <w:rFonts w:hint="eastAsia" w:ascii="宋体" w:hAnsi="宋体" w:cs="宋体"/>
          <w:sz w:val="24"/>
        </w:rPr>
        <w:t>（5）投标产品技术资料表、商务条款偏离表；</w:t>
      </w:r>
    </w:p>
    <w:p>
      <w:pPr>
        <w:spacing w:line="450" w:lineRule="exact"/>
        <w:ind w:firstLine="360"/>
        <w:rPr>
          <w:rFonts w:ascii="宋体" w:hAnsi="宋体" w:cs="宋体"/>
          <w:sz w:val="24"/>
        </w:rPr>
      </w:pPr>
      <w:r>
        <w:rPr>
          <w:rFonts w:hint="eastAsia" w:ascii="宋体" w:hAnsi="宋体" w:cs="宋体"/>
          <w:sz w:val="24"/>
        </w:rPr>
        <w:t>（6）中标供应商澄清函；</w:t>
      </w:r>
    </w:p>
    <w:p>
      <w:pPr>
        <w:spacing w:line="450" w:lineRule="exact"/>
        <w:ind w:firstLine="360"/>
        <w:rPr>
          <w:rFonts w:ascii="宋体" w:hAnsi="宋体" w:cs="宋体"/>
          <w:sz w:val="24"/>
        </w:rPr>
      </w:pPr>
      <w:r>
        <w:rPr>
          <w:rFonts w:hint="eastAsia" w:ascii="宋体" w:hAnsi="宋体" w:cs="宋体"/>
          <w:sz w:val="24"/>
        </w:rPr>
        <w:t>（7）其他与本合同相关的资料。</w:t>
      </w:r>
    </w:p>
    <w:p>
      <w:pPr>
        <w:spacing w:line="450" w:lineRule="exact"/>
        <w:ind w:firstLine="360"/>
        <w:rPr>
          <w:rFonts w:ascii="宋体" w:hAnsi="宋体" w:cs="宋体"/>
          <w:sz w:val="24"/>
        </w:rPr>
      </w:pPr>
      <w:r>
        <w:rPr>
          <w:rFonts w:hint="eastAsia" w:ascii="宋体" w:hAnsi="宋体" w:cs="宋体"/>
          <w:sz w:val="24"/>
        </w:rPr>
        <w:t>14.4 本合同未尽事宜，遵照《中华人民共和国合同法》有关条文执行。</w:t>
      </w:r>
    </w:p>
    <w:p>
      <w:pPr>
        <w:spacing w:line="450" w:lineRule="exact"/>
        <w:ind w:firstLine="360"/>
        <w:rPr>
          <w:rFonts w:ascii="宋体" w:hAnsi="宋体" w:cs="宋体"/>
          <w:sz w:val="24"/>
        </w:rPr>
      </w:pPr>
      <w:r>
        <w:rPr>
          <w:rFonts w:hint="eastAsia" w:ascii="宋体" w:hAnsi="宋体" w:cs="宋体"/>
          <w:sz w:val="24"/>
        </w:rPr>
        <w:t>14.5本合同</w:t>
      </w:r>
      <w:r>
        <w:rPr>
          <w:rFonts w:hint="eastAsia" w:ascii="宋体" w:hAnsi="宋体" w:cs="宋体"/>
          <w:b/>
          <w:sz w:val="24"/>
        </w:rPr>
        <w:t>正本一式贰份</w:t>
      </w:r>
      <w:r>
        <w:rPr>
          <w:rFonts w:hint="eastAsia" w:ascii="宋体" w:hAnsi="宋体" w:cs="宋体"/>
          <w:sz w:val="24"/>
        </w:rPr>
        <w:t>，具有同等法律效力，甲乙双方各执</w:t>
      </w:r>
      <w:r>
        <w:rPr>
          <w:rFonts w:hint="eastAsia" w:ascii="宋体" w:hAnsi="宋体" w:cs="宋体"/>
          <w:b/>
          <w:sz w:val="24"/>
        </w:rPr>
        <w:t>壹份</w:t>
      </w:r>
      <w:r>
        <w:rPr>
          <w:rFonts w:hint="eastAsia" w:ascii="宋体" w:hAnsi="宋体" w:cs="宋体"/>
          <w:sz w:val="24"/>
        </w:rPr>
        <w:t>；副本</w:t>
      </w:r>
      <w:r>
        <w:rPr>
          <w:rFonts w:hint="eastAsia" w:ascii="宋体" w:hAnsi="宋体" w:cs="宋体"/>
          <w:b/>
          <w:sz w:val="24"/>
        </w:rPr>
        <w:t>肆份</w:t>
      </w:r>
      <w:r>
        <w:rPr>
          <w:rFonts w:hint="eastAsia" w:ascii="宋体" w:hAnsi="宋体" w:cs="宋体"/>
          <w:sz w:val="24"/>
        </w:rPr>
        <w:t>，甲乙双方各执</w:t>
      </w:r>
      <w:r>
        <w:rPr>
          <w:rFonts w:hint="eastAsia" w:ascii="宋体" w:hAnsi="宋体" w:cs="宋体"/>
          <w:b/>
          <w:sz w:val="24"/>
        </w:rPr>
        <w:t>壹份</w:t>
      </w:r>
      <w:r>
        <w:rPr>
          <w:rFonts w:hint="eastAsia" w:ascii="宋体" w:hAnsi="宋体" w:cs="宋体"/>
          <w:sz w:val="24"/>
        </w:rPr>
        <w:t>，采购代理</w:t>
      </w:r>
      <w:r>
        <w:rPr>
          <w:rFonts w:hint="eastAsia" w:ascii="宋体" w:hAnsi="宋体" w:cs="宋体"/>
          <w:b/>
          <w:sz w:val="24"/>
        </w:rPr>
        <w:t>贰份</w:t>
      </w:r>
      <w:r>
        <w:rPr>
          <w:rFonts w:hint="eastAsia" w:ascii="宋体" w:hAnsi="宋体" w:cs="宋体"/>
          <w:sz w:val="24"/>
        </w:rPr>
        <w:t>。自合同签订之日起</w:t>
      </w:r>
      <w:r>
        <w:rPr>
          <w:rFonts w:hint="eastAsia" w:ascii="宋体" w:hAnsi="宋体" w:cs="宋体"/>
          <w:b/>
          <w:sz w:val="24"/>
        </w:rPr>
        <w:t>2个工作日内</w:t>
      </w:r>
      <w:r>
        <w:rPr>
          <w:rFonts w:hint="eastAsia" w:ascii="宋体" w:hAnsi="宋体" w:cs="宋体"/>
          <w:sz w:val="24"/>
        </w:rPr>
        <w:t>由中标供应商将合同送至采购代理机构处。采购代理机构将政府采购合同在省级以上人民政府财政部门指定的媒体上公告，同时采购代理机构将政府采购合同的电子档案及相关资料上传至“南宁市财政局政府采购监督管理系统”备案。</w:t>
      </w:r>
    </w:p>
    <w:p>
      <w:pPr>
        <w:pStyle w:val="8"/>
      </w:pPr>
    </w:p>
    <w:p>
      <w:pPr>
        <w:spacing w:line="450" w:lineRule="exact"/>
        <w:ind w:firstLine="360"/>
        <w:rPr>
          <w:rFonts w:ascii="宋体" w:hAnsi="宋体" w:cs="宋体"/>
          <w:sz w:val="24"/>
        </w:rPr>
      </w:pPr>
    </w:p>
    <w:p>
      <w:pPr>
        <w:spacing w:line="450" w:lineRule="exact"/>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r>
        <w:rPr>
          <w:rFonts w:hint="eastAsia" w:ascii="宋体" w:hAnsi="宋体" w:cs="宋体"/>
          <w:sz w:val="24"/>
        </w:rPr>
        <w:t xml:space="preserve">    乙方：</w:t>
      </w:r>
      <w:r>
        <w:rPr>
          <w:rFonts w:hint="eastAsia" w:ascii="宋体" w:hAnsi="宋体" w:cs="宋体"/>
          <w:sz w:val="24"/>
          <w:u w:val="single"/>
        </w:rPr>
        <w:t xml:space="preserve">                                    </w:t>
      </w:r>
    </w:p>
    <w:p>
      <w:pPr>
        <w:spacing w:line="450" w:lineRule="exact"/>
        <w:rPr>
          <w:rFonts w:ascii="宋体" w:hAnsi="宋体" w:cs="宋体"/>
          <w:sz w:val="24"/>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 xml:space="preserve">    地址：</w:t>
      </w:r>
      <w:r>
        <w:rPr>
          <w:rFonts w:hint="eastAsia" w:ascii="宋体" w:hAnsi="宋体" w:cs="宋体"/>
          <w:sz w:val="24"/>
          <w:u w:val="single"/>
        </w:rPr>
        <w:t xml:space="preserve">                                    </w:t>
      </w:r>
      <w:r>
        <w:rPr>
          <w:rFonts w:hint="eastAsia" w:ascii="宋体" w:hAnsi="宋体" w:cs="宋体"/>
          <w:sz w:val="24"/>
        </w:rPr>
        <w:t xml:space="preserve">     </w:t>
      </w:r>
    </w:p>
    <w:p>
      <w:pPr>
        <w:spacing w:line="450" w:lineRule="exact"/>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 xml:space="preserve">    法定代表人：</w:t>
      </w:r>
      <w:r>
        <w:rPr>
          <w:rFonts w:hint="eastAsia" w:ascii="宋体" w:hAnsi="宋体" w:cs="宋体"/>
          <w:sz w:val="24"/>
          <w:u w:val="single"/>
        </w:rPr>
        <w:t xml:space="preserve">                              </w:t>
      </w:r>
    </w:p>
    <w:p>
      <w:pPr>
        <w:spacing w:line="450" w:lineRule="exact"/>
        <w:rPr>
          <w:rFonts w:ascii="宋体" w:hAnsi="宋体" w:cs="宋体"/>
          <w:sz w:val="24"/>
        </w:rPr>
      </w:pPr>
      <w:r>
        <w:rPr>
          <w:rFonts w:hint="eastAsia" w:ascii="宋体" w:hAnsi="宋体" w:cs="宋体"/>
          <w:sz w:val="24"/>
        </w:rPr>
        <w:t>委托代理人：</w:t>
      </w:r>
      <w:r>
        <w:rPr>
          <w:rFonts w:hint="eastAsia" w:ascii="宋体" w:hAnsi="宋体" w:cs="宋体"/>
          <w:sz w:val="24"/>
          <w:u w:val="single"/>
        </w:rPr>
        <w:t xml:space="preserve">                              </w:t>
      </w:r>
      <w:r>
        <w:rPr>
          <w:rFonts w:hint="eastAsia" w:ascii="宋体" w:hAnsi="宋体" w:cs="宋体"/>
          <w:sz w:val="24"/>
        </w:rPr>
        <w:t xml:space="preserve">    委托代理人：</w:t>
      </w:r>
      <w:r>
        <w:rPr>
          <w:rFonts w:hint="eastAsia" w:ascii="宋体" w:hAnsi="宋体" w:cs="宋体"/>
          <w:sz w:val="24"/>
          <w:u w:val="single"/>
        </w:rPr>
        <w:t xml:space="preserve">                              </w:t>
      </w:r>
    </w:p>
    <w:p>
      <w:pPr>
        <w:spacing w:line="450" w:lineRule="exact"/>
        <w:rPr>
          <w:rFonts w:ascii="宋体" w:hAnsi="宋体" w:cs="宋体"/>
          <w:sz w:val="24"/>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 xml:space="preserve">    电话：</w:t>
      </w:r>
      <w:r>
        <w:rPr>
          <w:rFonts w:hint="eastAsia" w:ascii="宋体" w:hAnsi="宋体" w:cs="宋体"/>
          <w:sz w:val="24"/>
          <w:u w:val="single"/>
        </w:rPr>
        <w:t xml:space="preserve">                                    </w:t>
      </w:r>
      <w:r>
        <w:rPr>
          <w:rFonts w:hint="eastAsia" w:ascii="宋体" w:hAnsi="宋体" w:cs="宋体"/>
          <w:sz w:val="24"/>
        </w:rPr>
        <w:t xml:space="preserve">       </w:t>
      </w:r>
    </w:p>
    <w:p>
      <w:pPr>
        <w:spacing w:line="450" w:lineRule="exact"/>
        <w:rPr>
          <w:rFonts w:ascii="宋体" w:hAnsi="宋体" w:cs="宋体"/>
          <w:sz w:val="24"/>
        </w:rPr>
      </w:pPr>
      <w:r>
        <w:rPr>
          <w:rFonts w:hint="eastAsia" w:ascii="宋体" w:hAnsi="宋体" w:cs="宋体"/>
          <w:sz w:val="24"/>
        </w:rPr>
        <w:t>传真：</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r>
        <w:rPr>
          <w:rFonts w:hint="eastAsia" w:ascii="宋体" w:hAnsi="宋体" w:cs="宋体"/>
          <w:sz w:val="24"/>
        </w:rPr>
        <w:t xml:space="preserve">    </w:t>
      </w:r>
    </w:p>
    <w:p>
      <w:pPr>
        <w:spacing w:line="450" w:lineRule="exact"/>
        <w:rPr>
          <w:rFonts w:ascii="宋体" w:hAnsi="宋体" w:cs="宋体"/>
          <w:sz w:val="24"/>
          <w:szCs w:val="24"/>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 xml:space="preserve">    邮政</w:t>
      </w:r>
      <w:r>
        <w:rPr>
          <w:rFonts w:hint="eastAsia" w:ascii="宋体" w:hAnsi="宋体" w:cs="宋体"/>
          <w:sz w:val="24"/>
          <w:szCs w:val="24"/>
        </w:rPr>
        <w:t>编码：</w:t>
      </w:r>
      <w:r>
        <w:rPr>
          <w:rFonts w:hint="eastAsia" w:ascii="宋体" w:hAnsi="宋体" w:cs="宋体"/>
          <w:sz w:val="24"/>
          <w:szCs w:val="24"/>
          <w:u w:val="single"/>
        </w:rPr>
        <w:t xml:space="preserve">                                </w:t>
      </w:r>
    </w:p>
    <w:p>
      <w:pPr>
        <w:pStyle w:val="10"/>
        <w:spacing w:line="360" w:lineRule="auto"/>
        <w:rPr>
          <w:rFonts w:hint="default" w:hAnsi="宋体" w:cs="宋体"/>
        </w:rPr>
      </w:pPr>
      <w:r>
        <w:rPr>
          <w:rFonts w:hAnsi="宋体" w:cs="宋体"/>
          <w:sz w:val="24"/>
          <w:szCs w:val="24"/>
        </w:rPr>
        <w:t xml:space="preserve">                                              统一社会代码：</w:t>
      </w:r>
      <w:r>
        <w:rPr>
          <w:rFonts w:hAnsi="宋体" w:cs="宋体"/>
          <w:sz w:val="24"/>
          <w:szCs w:val="24"/>
          <w:u w:val="single"/>
        </w:rPr>
        <w:t xml:space="preserve">  </w:t>
      </w:r>
      <w:r>
        <w:rPr>
          <w:rFonts w:hAnsi="宋体" w:cs="宋体"/>
          <w:u w:val="single"/>
        </w:rPr>
        <w:t xml:space="preserve">                          </w:t>
      </w:r>
    </w:p>
    <w:p>
      <w:pPr>
        <w:spacing w:line="450" w:lineRule="exact"/>
        <w:ind w:firstLine="5520" w:firstLineChars="2300"/>
        <w:rPr>
          <w:rFonts w:ascii="宋体" w:hAnsi="宋体" w:cs="宋体"/>
          <w:sz w:val="24"/>
          <w:u w:val="single"/>
        </w:rPr>
      </w:pPr>
      <w:r>
        <w:rPr>
          <w:rFonts w:hint="eastAsia" w:ascii="宋体" w:hAnsi="宋体" w:cs="宋体"/>
          <w:sz w:val="24"/>
        </w:rPr>
        <w:t>开户银行：</w:t>
      </w:r>
      <w:r>
        <w:rPr>
          <w:rFonts w:hint="eastAsia" w:ascii="宋体" w:hAnsi="宋体" w:cs="宋体"/>
          <w:sz w:val="24"/>
          <w:u w:val="single"/>
        </w:rPr>
        <w:t xml:space="preserve">                                </w:t>
      </w:r>
    </w:p>
    <w:p>
      <w:pPr>
        <w:spacing w:line="450" w:lineRule="exact"/>
        <w:rPr>
          <w:rFonts w:ascii="宋体" w:hAnsi="宋体" w:cs="宋体"/>
          <w:sz w:val="24"/>
          <w:u w:val="single"/>
        </w:rPr>
      </w:pPr>
      <w:r>
        <w:rPr>
          <w:rFonts w:hint="eastAsia" w:ascii="宋体" w:hAnsi="宋体" w:cs="宋体"/>
          <w:sz w:val="24"/>
        </w:rPr>
        <w:t xml:space="preserve">                                              开户名称：</w:t>
      </w:r>
      <w:r>
        <w:rPr>
          <w:rFonts w:hint="eastAsia" w:ascii="宋体" w:hAnsi="宋体" w:cs="宋体"/>
          <w:sz w:val="24"/>
          <w:u w:val="single"/>
        </w:rPr>
        <w:t xml:space="preserve">                                </w:t>
      </w:r>
    </w:p>
    <w:p>
      <w:pPr>
        <w:spacing w:line="450" w:lineRule="exact"/>
        <w:rPr>
          <w:rFonts w:ascii="宋体" w:hAnsi="宋体" w:cs="宋体"/>
          <w:sz w:val="24"/>
          <w:u w:val="single"/>
        </w:rPr>
      </w:pPr>
      <w:r>
        <w:rPr>
          <w:rFonts w:hint="eastAsia" w:ascii="宋体" w:hAnsi="宋体" w:cs="宋体"/>
          <w:sz w:val="24"/>
        </w:rPr>
        <w:t xml:space="preserve">                                              银行账号：</w:t>
      </w:r>
      <w:r>
        <w:rPr>
          <w:rFonts w:hint="eastAsia" w:ascii="宋体" w:hAnsi="宋体" w:cs="宋体"/>
          <w:sz w:val="24"/>
          <w:u w:val="single"/>
        </w:rPr>
        <w:t xml:space="preserve">                                </w:t>
      </w:r>
    </w:p>
    <w:p>
      <w:pPr>
        <w:spacing w:line="450" w:lineRule="exact"/>
        <w:rPr>
          <w:rFonts w:ascii="宋体" w:hAnsi="宋体" w:cs="宋体"/>
          <w:sz w:val="24"/>
        </w:rPr>
      </w:pPr>
      <w:r>
        <w:rPr>
          <w:rFonts w:hint="eastAsia" w:ascii="宋体" w:hAnsi="宋体" w:cs="宋体"/>
          <w:sz w:val="24"/>
        </w:rPr>
        <w:t xml:space="preserve">合同签订地点：广西南宁市 </w:t>
      </w:r>
    </w:p>
    <w:p>
      <w:pPr>
        <w:spacing w:line="450" w:lineRule="exact"/>
        <w:rPr>
          <w:rFonts w:ascii="宋体" w:hAnsi="宋体" w:cs="宋体"/>
          <w:sz w:val="24"/>
        </w:rPr>
      </w:pPr>
      <w:r>
        <w:rPr>
          <w:rFonts w:hint="eastAsia" w:ascii="宋体" w:hAnsi="宋体" w:cs="宋体"/>
          <w:sz w:val="24"/>
        </w:rPr>
        <w:t>合同签订日期：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10"/>
        <w:spacing w:line="440" w:lineRule="exact"/>
        <w:rPr>
          <w:rFonts w:hint="default" w:hAnsi="宋体" w:cs="宋体"/>
          <w:b/>
          <w:bCs/>
          <w:sz w:val="30"/>
          <w:szCs w:val="30"/>
        </w:rPr>
      </w:pPr>
    </w:p>
    <w:p>
      <w:pPr>
        <w:pStyle w:val="10"/>
        <w:spacing w:line="440" w:lineRule="exact"/>
        <w:ind w:left="420"/>
        <w:jc w:val="center"/>
        <w:rPr>
          <w:rFonts w:hint="default" w:hAnsi="宋体" w:cs="宋体"/>
          <w:b/>
          <w:bCs/>
          <w:sz w:val="30"/>
          <w:szCs w:val="30"/>
        </w:rPr>
      </w:pPr>
    </w:p>
    <w:p>
      <w:pPr>
        <w:pStyle w:val="10"/>
        <w:spacing w:line="440" w:lineRule="exact"/>
        <w:ind w:left="420"/>
        <w:jc w:val="center"/>
        <w:rPr>
          <w:rFonts w:hint="default" w:hAnsi="宋体" w:cs="宋体"/>
          <w:b/>
          <w:bCs/>
          <w:sz w:val="30"/>
          <w:szCs w:val="30"/>
        </w:rPr>
      </w:pPr>
    </w:p>
    <w:p>
      <w:pPr>
        <w:pStyle w:val="10"/>
        <w:spacing w:line="440" w:lineRule="exact"/>
        <w:ind w:left="420"/>
        <w:jc w:val="center"/>
        <w:rPr>
          <w:rFonts w:hint="default" w:hAnsi="宋体" w:cs="宋体"/>
          <w:b/>
          <w:bCs/>
          <w:sz w:val="30"/>
          <w:szCs w:val="30"/>
        </w:rPr>
      </w:pPr>
    </w:p>
    <w:p>
      <w:pPr>
        <w:pStyle w:val="10"/>
        <w:spacing w:line="440" w:lineRule="exact"/>
        <w:ind w:left="420"/>
        <w:jc w:val="center"/>
        <w:rPr>
          <w:rFonts w:hint="default" w:hAnsi="宋体" w:cs="宋体"/>
          <w:b/>
          <w:bCs/>
          <w:sz w:val="30"/>
          <w:szCs w:val="30"/>
        </w:rPr>
      </w:pPr>
    </w:p>
    <w:p>
      <w:pPr>
        <w:rPr>
          <w:rFonts w:ascii="宋体" w:hAnsi="宋体" w:cs="宋体"/>
        </w:rPr>
      </w:pPr>
    </w:p>
    <w:p>
      <w:pPr>
        <w:rPr>
          <w:rFonts w:ascii="宋体" w:hAnsi="宋体" w:cs="宋体"/>
        </w:rPr>
      </w:pPr>
    </w:p>
    <w:sectPr>
      <w:pgSz w:w="11906" w:h="16838"/>
      <w:pgMar w:top="1276" w:right="1570" w:bottom="1440" w:left="109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2"/>
        <w:sz w:val="21"/>
      </w:rPr>
    </w:pPr>
    <w:r>
      <w:rPr>
        <w:sz w:val="21"/>
      </w:rPr>
      <w:fldChar w:fldCharType="begin"/>
    </w:r>
    <w:r>
      <w:rPr>
        <w:rStyle w:val="22"/>
        <w:sz w:val="21"/>
      </w:rPr>
      <w:instrText xml:space="preserve">PAGE  </w:instrText>
    </w:r>
    <w:r>
      <w:rPr>
        <w:sz w:val="21"/>
      </w:rPr>
      <w:fldChar w:fldCharType="separate"/>
    </w:r>
    <w:r>
      <w:rPr>
        <w:rStyle w:val="22"/>
        <w:sz w:val="21"/>
      </w:rPr>
      <w:t>34</w:t>
    </w:r>
    <w:r>
      <w:rPr>
        <w:sz w:val="21"/>
      </w:rPr>
      <w:fldChar w:fldCharType="end"/>
    </w:r>
  </w:p>
  <w:p>
    <w:pPr>
      <w:pStyle w:val="2"/>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819"/>
        <w:tab w:val="clear" w:pos="4153"/>
        <w:tab w:val="clear" w:pos="8306"/>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819"/>
        <w:tab w:val="clear" w:pos="4153"/>
        <w:tab w:val="clear" w:pos="8306"/>
      </w:tabs>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355"/>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355"/>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355"/>
        <w:tab w:val="clear" w:pos="4153"/>
        <w:tab w:val="clear" w:pos="8306"/>
      </w:tabs>
    </w:pPr>
    <w: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0</wp:posOffset>
              </wp:positionV>
              <wp:extent cx="57785" cy="1314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72684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P&#10;i91E0AAAAAIBAAAPAAAAAAAAAAEAIAAAACIAAABkcnMvZG93bnJldi54bWxQSwECFAAUAAAACACH&#10;TuJAxJFGt7oBAABVAwAADgAAAAAAAAABACAAAAAfAQAAZHJzL2Uyb0RvYy54bWxQSwUGAAAAAAYA&#10;BgBZAQAAS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22"/>
                            </w:rPr>
                          </w:pPr>
                          <w:r>
                            <w:fldChar w:fldCharType="begin"/>
                          </w:r>
                          <w:r>
                            <w:rPr>
                              <w:rStyle w:val="22"/>
                            </w:rPr>
                            <w:instrText xml:space="preserve">PAGE  </w:instrText>
                          </w:r>
                          <w:r>
                            <w:fldChar w:fldCharType="separate"/>
                          </w:r>
                          <w:r>
                            <w:rPr>
                              <w:rStyle w:val="22"/>
                            </w:rP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
                      <w:rPr>
                        <w:rStyle w:val="22"/>
                      </w:rPr>
                    </w:pPr>
                    <w:r>
                      <w:fldChar w:fldCharType="begin"/>
                    </w:r>
                    <w:r>
                      <w:rPr>
                        <w:rStyle w:val="22"/>
                      </w:rPr>
                      <w:instrText xml:space="preserve">PAGE  </w:instrText>
                    </w:r>
                    <w:r>
                      <w:fldChar w:fldCharType="separate"/>
                    </w:r>
                    <w:r>
                      <w:rPr>
                        <w:rStyle w:val="22"/>
                      </w:rP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olor w:val="0D0D0D"/>
        <w:u w:val="single"/>
      </w:rPr>
    </w:pPr>
    <w:r>
      <w:rPr>
        <w:rFonts w:hint="eastAsia" w:ascii="宋体" w:hAnsi="宋体" w:cs="宋体"/>
        <w:color w:val="000000"/>
        <w:kern w:val="0"/>
        <w:sz w:val="18"/>
        <w:szCs w:val="18"/>
      </w:rPr>
      <w:t> </w:t>
    </w:r>
    <w:r>
      <w:rPr>
        <w:rFonts w:hint="eastAsia" w:ascii="宋体" w:hAnsi="宋体"/>
        <w:color w:val="0D0D0D"/>
        <w:u w:val="single"/>
      </w:rPr>
      <w:t>项目名称：南宁市就业创业和人力资源市场信息系统数据备份中心建设                                      项目编号：NNZC2020-G1-00866-GXYZ</w:t>
    </w:r>
  </w:p>
  <w:p>
    <w:pPr>
      <w:spacing w:line="500" w:lineRule="exact"/>
      <w:jc w:val="left"/>
      <w:rPr>
        <w:rFonts w:ascii="宋体" w:hAnsi="宋体" w:cs="宋体"/>
        <w:color w:val="000000"/>
        <w:kern w:val="0"/>
        <w:sz w:val="18"/>
        <w:szCs w:val="18"/>
        <w:u w:val="single"/>
      </w:rPr>
    </w:pPr>
    <w:r>
      <w:rPr>
        <w:rFonts w:hint="eastAsia" w:ascii="宋体" w:hAnsi="宋体" w:cs="宋体"/>
        <w:color w:val="000000"/>
        <w:kern w:val="0"/>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left"/>
      <w:rPr>
        <w:rFonts w:ascii="宋体" w:hAnsi="宋体"/>
        <w:color w:val="0D0D0D"/>
      </w:rPr>
    </w:pPr>
    <w:r>
      <w:rPr>
        <w:rFonts w:hint="eastAsia" w:ascii="宋体" w:hAnsi="宋体"/>
        <w:color w:val="0D0D0D"/>
      </w:rPr>
      <w:t xml:space="preserve"> </w:t>
    </w:r>
    <w:r>
      <w:rPr>
        <w:rFonts w:ascii="宋体" w:cs="宋体"/>
        <w:b/>
      </w:rPr>
      <w:drawing>
        <wp:inline distT="0" distB="0" distL="114300" distR="114300">
          <wp:extent cx="332740" cy="332740"/>
          <wp:effectExtent l="0" t="0" r="10160" b="10160"/>
          <wp:docPr id="3" name="图片 1" descr="af2a504d3d9e3c99805d76a7617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f2a504d3d9e3c99805d76a76177922"/>
                  <pic:cNvPicPr>
                    <a:picLocks noChangeAspect="1"/>
                  </pic:cNvPicPr>
                </pic:nvPicPr>
                <pic:blipFill>
                  <a:blip r:embed="rId1"/>
                  <a:stretch>
                    <a:fillRect/>
                  </a:stretch>
                </pic:blipFill>
                <pic:spPr>
                  <a:xfrm>
                    <a:off x="0" y="0"/>
                    <a:ext cx="332740" cy="332740"/>
                  </a:xfrm>
                  <a:prstGeom prst="rect">
                    <a:avLst/>
                  </a:prstGeom>
                  <a:noFill/>
                  <a:ln>
                    <a:noFill/>
                  </a:ln>
                </pic:spPr>
              </pic:pic>
            </a:graphicData>
          </a:graphic>
        </wp:inline>
      </w:drawing>
    </w:r>
    <w:r>
      <w:rPr>
        <w:rFonts w:hint="eastAsia" w:ascii="宋体" w:hAnsi="宋体" w:cs="宋体"/>
        <w:b/>
      </w:rPr>
      <w:t>广西邕政采购代理有限公司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宋体" w:hAnsi="宋体"/>
        <w:color w:val="0D0D0D"/>
        <w:sz w:val="18"/>
        <w:szCs w:val="18"/>
        <w:u w:val="single"/>
      </w:rPr>
    </w:pPr>
    <w:r>
      <w:rPr>
        <w:rFonts w:hint="eastAsia" w:ascii="宋体" w:hAnsi="宋体"/>
        <w:color w:val="0D0D0D"/>
        <w:sz w:val="18"/>
        <w:szCs w:val="18"/>
        <w:u w:val="single"/>
      </w:rPr>
      <w:t>项目名称：南宁市就业创业和人力资源市场信息系统数据备份中心建设              项目编号：NNZC2020-G1-990185-GXYZ</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bCs/>
        <w:color w:val="000000"/>
        <w:sz w:val="18"/>
        <w:szCs w:val="18"/>
        <w:u w:val="single"/>
      </w:rPr>
    </w:pPr>
    <w:r>
      <w:rPr>
        <w:rFonts w:hint="eastAsia" w:ascii="宋体" w:hAnsi="宋体"/>
        <w:bCs/>
        <w:color w:val="000000"/>
        <w:sz w:val="18"/>
        <w:szCs w:val="18"/>
        <w:u w:val="single"/>
      </w:rPr>
      <w:t>项目名称：南宁市就业创业和人力资源市场信息系统数据备份中心建设                 项目编号：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0"/>
      </w:pBdr>
      <w:tabs>
        <w:tab w:val="center" w:pos="0"/>
        <w:tab w:val="left" w:pos="8306"/>
        <w:tab w:val="clear" w:pos="4153"/>
      </w:tabs>
      <w:jc w:val="left"/>
    </w:pPr>
    <w:r>
      <w:rPr>
        <w:rFonts w:ascii="宋体" w:hAnsi="宋体" w:cs="宋体"/>
      </w:rPr>
      <w:drawing>
        <wp:inline distT="0" distB="0" distL="114300" distR="114300">
          <wp:extent cx="344805" cy="344805"/>
          <wp:effectExtent l="0" t="0" r="5715" b="5715"/>
          <wp:docPr id="2" name="图片 1" descr="af2a504d3d9e3c99805d76a7617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af2a504d3d9e3c99805d76a76177922"/>
                  <pic:cNvPicPr>
                    <a:picLocks noChangeAspect="1"/>
                  </pic:cNvPicPr>
                </pic:nvPicPr>
                <pic:blipFill>
                  <a:blip r:embed="rId1"/>
                  <a:stretch>
                    <a:fillRect/>
                  </a:stretch>
                </pic:blipFill>
                <pic:spPr>
                  <a:xfrm>
                    <a:off x="0" y="0"/>
                    <a:ext cx="344805" cy="344805"/>
                  </a:xfrm>
                  <a:prstGeom prst="rect">
                    <a:avLst/>
                  </a:prstGeom>
                  <a:noFill/>
                  <a:ln>
                    <a:noFill/>
                  </a:ln>
                </pic:spPr>
              </pic:pic>
            </a:graphicData>
          </a:graphic>
        </wp:inline>
      </w:drawing>
    </w:r>
    <w:r>
      <w:rPr>
        <w:rFonts w:hint="eastAsia" w:ascii="宋体" w:hAnsi="宋体" w:cs="宋体"/>
      </w:rPr>
      <w:t xml:space="preserve">  </w:t>
    </w:r>
    <w:r>
      <w:rPr>
        <w:rFonts w:hint="eastAsia" w:ascii="宋体" w:hAnsi="宋体" w:cs="宋体"/>
        <w:b/>
      </w:rPr>
      <w:t>广西邕政采购代理有限公司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B51CBC"/>
    <w:multiLevelType w:val="singleLevel"/>
    <w:tmpl w:val="B4B51CBC"/>
    <w:lvl w:ilvl="0" w:tentative="0">
      <w:start w:val="2"/>
      <w:numFmt w:val="decimal"/>
      <w:suff w:val="nothing"/>
      <w:lvlText w:val="%1、"/>
      <w:lvlJc w:val="left"/>
    </w:lvl>
  </w:abstractNum>
  <w:abstractNum w:abstractNumId="1">
    <w:nsid w:val="B624F683"/>
    <w:multiLevelType w:val="singleLevel"/>
    <w:tmpl w:val="B624F683"/>
    <w:lvl w:ilvl="0" w:tentative="0">
      <w:start w:val="3"/>
      <w:numFmt w:val="chineseCounting"/>
      <w:suff w:val="space"/>
      <w:lvlText w:val="第%1章"/>
      <w:lvlJc w:val="left"/>
      <w:rPr>
        <w:rFonts w:hint="eastAsia"/>
      </w:rPr>
    </w:lvl>
  </w:abstractNum>
  <w:abstractNum w:abstractNumId="2">
    <w:nsid w:val="C0F07A12"/>
    <w:multiLevelType w:val="singleLevel"/>
    <w:tmpl w:val="C0F07A12"/>
    <w:lvl w:ilvl="0" w:tentative="0">
      <w:start w:val="1"/>
      <w:numFmt w:val="decimal"/>
      <w:suff w:val="nothing"/>
      <w:lvlText w:val="%1、"/>
      <w:lvlJc w:val="left"/>
    </w:lvl>
  </w:abstractNum>
  <w:abstractNum w:abstractNumId="3">
    <w:nsid w:val="F21F5903"/>
    <w:multiLevelType w:val="singleLevel"/>
    <w:tmpl w:val="F21F5903"/>
    <w:lvl w:ilvl="0" w:tentative="0">
      <w:start w:val="6"/>
      <w:numFmt w:val="chineseCounting"/>
      <w:suff w:val="nothing"/>
      <w:lvlText w:val="%1、"/>
      <w:lvlJc w:val="left"/>
      <w:rPr>
        <w:rFonts w:hint="eastAsia"/>
      </w:rPr>
    </w:lvl>
  </w:abstractNum>
  <w:abstractNum w:abstractNumId="4">
    <w:nsid w:val="F69251C7"/>
    <w:multiLevelType w:val="singleLevel"/>
    <w:tmpl w:val="F69251C7"/>
    <w:lvl w:ilvl="0" w:tentative="0">
      <w:start w:val="1"/>
      <w:numFmt w:val="decimal"/>
      <w:suff w:val="nothing"/>
      <w:lvlText w:val="（%1）"/>
      <w:lvlJc w:val="left"/>
    </w:lvl>
  </w:abstractNum>
  <w:abstractNum w:abstractNumId="5">
    <w:nsid w:val="00000002"/>
    <w:multiLevelType w:val="singleLevel"/>
    <w:tmpl w:val="00000002"/>
    <w:lvl w:ilvl="0" w:tentative="0">
      <w:start w:val="30"/>
      <w:numFmt w:val="decimal"/>
      <w:suff w:val="space"/>
      <w:lvlText w:val="%1."/>
      <w:lvlJc w:val="left"/>
    </w:lvl>
  </w:abstractNum>
  <w:abstractNum w:abstractNumId="6">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8">
    <w:nsid w:val="12324E13"/>
    <w:multiLevelType w:val="multilevel"/>
    <w:tmpl w:val="12324E13"/>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pStyle w:val="4"/>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22B364E5"/>
    <w:multiLevelType w:val="multilevel"/>
    <w:tmpl w:val="22B364E5"/>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259B8457"/>
    <w:multiLevelType w:val="singleLevel"/>
    <w:tmpl w:val="259B8457"/>
    <w:lvl w:ilvl="0" w:tentative="0">
      <w:start w:val="3"/>
      <w:numFmt w:val="decimal"/>
      <w:suff w:val="nothing"/>
      <w:lvlText w:val="（%1）"/>
      <w:lvlJc w:val="left"/>
    </w:lvl>
  </w:abstractNum>
  <w:abstractNum w:abstractNumId="11">
    <w:nsid w:val="51BE0737"/>
    <w:multiLevelType w:val="singleLevel"/>
    <w:tmpl w:val="51BE0737"/>
    <w:lvl w:ilvl="0" w:tentative="0">
      <w:start w:val="1"/>
      <w:numFmt w:val="decimal"/>
      <w:suff w:val="nothing"/>
      <w:lvlText w:val="%1、"/>
      <w:lvlJc w:val="left"/>
    </w:lvl>
  </w:abstractNum>
  <w:abstractNum w:abstractNumId="12">
    <w:nsid w:val="59CDC5ED"/>
    <w:multiLevelType w:val="singleLevel"/>
    <w:tmpl w:val="59CDC5ED"/>
    <w:lvl w:ilvl="0" w:tentative="0">
      <w:start w:val="1"/>
      <w:numFmt w:val="chineseCounting"/>
      <w:suff w:val="nothing"/>
      <w:lvlText w:val="%1、"/>
      <w:lvlJc w:val="left"/>
    </w:lvl>
  </w:abstractNum>
  <w:abstractNum w:abstractNumId="13">
    <w:nsid w:val="64FB748D"/>
    <w:multiLevelType w:val="singleLevel"/>
    <w:tmpl w:val="64FB748D"/>
    <w:lvl w:ilvl="0" w:tentative="0">
      <w:start w:val="4"/>
      <w:numFmt w:val="decimal"/>
      <w:suff w:val="nothing"/>
      <w:lvlText w:val="%1、"/>
      <w:lvlJc w:val="left"/>
    </w:lvl>
  </w:abstractNum>
  <w:num w:numId="1">
    <w:abstractNumId w:val="8"/>
  </w:num>
  <w:num w:numId="2">
    <w:abstractNumId w:val="3"/>
  </w:num>
  <w:num w:numId="3">
    <w:abstractNumId w:val="11"/>
  </w:num>
  <w:num w:numId="4">
    <w:abstractNumId w:val="2"/>
  </w:num>
  <w:num w:numId="5">
    <w:abstractNumId w:val="13"/>
  </w:num>
  <w:num w:numId="6">
    <w:abstractNumId w:val="1"/>
  </w:num>
  <w:num w:numId="7">
    <w:abstractNumId w:val="0"/>
  </w:num>
  <w:num w:numId="8">
    <w:abstractNumId w:val="4"/>
  </w:num>
  <w:num w:numId="9">
    <w:abstractNumId w:val="10"/>
  </w:num>
  <w:num w:numId="10">
    <w:abstractNumId w:val="5"/>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hideSpellingErrors/>
  <w:documentProtection w:edit="readOnly" w:formatting="1" w:enforcement="1" w:cryptProviderType="rsaFull" w:cryptAlgorithmClass="hash" w:cryptAlgorithmType="typeAny" w:cryptAlgorithmSid="4" w:cryptSpinCount="0" w:hash="NiP/lPhrjUbwPQWk1P8ErWSuBiY=" w:salt="ucjstTOSqFKUF6A5BSLitA=="/>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D0F24"/>
    <w:rsid w:val="000029AF"/>
    <w:rsid w:val="0001089D"/>
    <w:rsid w:val="00013D85"/>
    <w:rsid w:val="0004740F"/>
    <w:rsid w:val="00051F1B"/>
    <w:rsid w:val="000854D9"/>
    <w:rsid w:val="000B2EDF"/>
    <w:rsid w:val="000D0BAC"/>
    <w:rsid w:val="00131E05"/>
    <w:rsid w:val="001369DD"/>
    <w:rsid w:val="00140348"/>
    <w:rsid w:val="00162FC1"/>
    <w:rsid w:val="001669B0"/>
    <w:rsid w:val="00197F25"/>
    <w:rsid w:val="001B4348"/>
    <w:rsid w:val="002147E9"/>
    <w:rsid w:val="00241A27"/>
    <w:rsid w:val="002864E8"/>
    <w:rsid w:val="002C406B"/>
    <w:rsid w:val="00334983"/>
    <w:rsid w:val="00344DCA"/>
    <w:rsid w:val="00353EC9"/>
    <w:rsid w:val="00380F32"/>
    <w:rsid w:val="003A2990"/>
    <w:rsid w:val="003A51E1"/>
    <w:rsid w:val="003A7917"/>
    <w:rsid w:val="003B4B47"/>
    <w:rsid w:val="003C070E"/>
    <w:rsid w:val="003F5907"/>
    <w:rsid w:val="0040715B"/>
    <w:rsid w:val="004203DF"/>
    <w:rsid w:val="0044204A"/>
    <w:rsid w:val="004546F1"/>
    <w:rsid w:val="00460381"/>
    <w:rsid w:val="004B24D1"/>
    <w:rsid w:val="004B445C"/>
    <w:rsid w:val="004C6B15"/>
    <w:rsid w:val="004E7C1E"/>
    <w:rsid w:val="005626EB"/>
    <w:rsid w:val="00570A6B"/>
    <w:rsid w:val="005873A1"/>
    <w:rsid w:val="00597A07"/>
    <w:rsid w:val="005C141B"/>
    <w:rsid w:val="005D3BF5"/>
    <w:rsid w:val="005E317A"/>
    <w:rsid w:val="006213B3"/>
    <w:rsid w:val="006347B8"/>
    <w:rsid w:val="00641D52"/>
    <w:rsid w:val="00667E3B"/>
    <w:rsid w:val="00680764"/>
    <w:rsid w:val="00683F8A"/>
    <w:rsid w:val="00693839"/>
    <w:rsid w:val="006B19D7"/>
    <w:rsid w:val="006B6522"/>
    <w:rsid w:val="006C2722"/>
    <w:rsid w:val="006C4FAB"/>
    <w:rsid w:val="006F4E22"/>
    <w:rsid w:val="00703E2E"/>
    <w:rsid w:val="007113ED"/>
    <w:rsid w:val="00716DA8"/>
    <w:rsid w:val="00724F76"/>
    <w:rsid w:val="00735BFC"/>
    <w:rsid w:val="007472DA"/>
    <w:rsid w:val="00752237"/>
    <w:rsid w:val="007677EA"/>
    <w:rsid w:val="007734F0"/>
    <w:rsid w:val="00791494"/>
    <w:rsid w:val="00795B9F"/>
    <w:rsid w:val="007D3B13"/>
    <w:rsid w:val="007D51DF"/>
    <w:rsid w:val="007E0608"/>
    <w:rsid w:val="00837722"/>
    <w:rsid w:val="00844672"/>
    <w:rsid w:val="00863B7E"/>
    <w:rsid w:val="00873D50"/>
    <w:rsid w:val="008B0D39"/>
    <w:rsid w:val="008B66C9"/>
    <w:rsid w:val="008C310B"/>
    <w:rsid w:val="008E46F0"/>
    <w:rsid w:val="008F06BE"/>
    <w:rsid w:val="0090032B"/>
    <w:rsid w:val="0093214B"/>
    <w:rsid w:val="00944D07"/>
    <w:rsid w:val="00960DA6"/>
    <w:rsid w:val="00975B5F"/>
    <w:rsid w:val="00982062"/>
    <w:rsid w:val="00990B74"/>
    <w:rsid w:val="009A6849"/>
    <w:rsid w:val="00A472AF"/>
    <w:rsid w:val="00A551FD"/>
    <w:rsid w:val="00A72339"/>
    <w:rsid w:val="00AC79FE"/>
    <w:rsid w:val="00AE022A"/>
    <w:rsid w:val="00B16657"/>
    <w:rsid w:val="00B32891"/>
    <w:rsid w:val="00B41229"/>
    <w:rsid w:val="00B4404D"/>
    <w:rsid w:val="00B5573C"/>
    <w:rsid w:val="00BA7053"/>
    <w:rsid w:val="00BC349A"/>
    <w:rsid w:val="00BD459C"/>
    <w:rsid w:val="00BE42DD"/>
    <w:rsid w:val="00BF0CD0"/>
    <w:rsid w:val="00BF60FD"/>
    <w:rsid w:val="00C111AF"/>
    <w:rsid w:val="00C23481"/>
    <w:rsid w:val="00C2702E"/>
    <w:rsid w:val="00C604AD"/>
    <w:rsid w:val="00C64BF3"/>
    <w:rsid w:val="00C76D18"/>
    <w:rsid w:val="00C91DC5"/>
    <w:rsid w:val="00CF119C"/>
    <w:rsid w:val="00D023A1"/>
    <w:rsid w:val="00D10BAB"/>
    <w:rsid w:val="00D3489E"/>
    <w:rsid w:val="00D5584E"/>
    <w:rsid w:val="00DA2B56"/>
    <w:rsid w:val="00DD0827"/>
    <w:rsid w:val="00DE07ED"/>
    <w:rsid w:val="00DF23D4"/>
    <w:rsid w:val="00E055A3"/>
    <w:rsid w:val="00E166B8"/>
    <w:rsid w:val="00E25C74"/>
    <w:rsid w:val="00E372C2"/>
    <w:rsid w:val="00E461FF"/>
    <w:rsid w:val="00E50F0A"/>
    <w:rsid w:val="00E63993"/>
    <w:rsid w:val="00EA650A"/>
    <w:rsid w:val="00EB2AEB"/>
    <w:rsid w:val="00EB61A3"/>
    <w:rsid w:val="00EE7CA0"/>
    <w:rsid w:val="00EF08CB"/>
    <w:rsid w:val="00F030A5"/>
    <w:rsid w:val="00F130D0"/>
    <w:rsid w:val="00F346E1"/>
    <w:rsid w:val="00F43936"/>
    <w:rsid w:val="00F67C14"/>
    <w:rsid w:val="00F93F52"/>
    <w:rsid w:val="00FB6B3C"/>
    <w:rsid w:val="00FC2F1E"/>
    <w:rsid w:val="00FE630E"/>
    <w:rsid w:val="00FF0053"/>
    <w:rsid w:val="010A09D6"/>
    <w:rsid w:val="01501640"/>
    <w:rsid w:val="01D01260"/>
    <w:rsid w:val="01D02A89"/>
    <w:rsid w:val="01F0314D"/>
    <w:rsid w:val="01F928A4"/>
    <w:rsid w:val="0220135C"/>
    <w:rsid w:val="02233BEE"/>
    <w:rsid w:val="023C201B"/>
    <w:rsid w:val="024E5064"/>
    <w:rsid w:val="0269530A"/>
    <w:rsid w:val="026B5344"/>
    <w:rsid w:val="034029B7"/>
    <w:rsid w:val="035A0B44"/>
    <w:rsid w:val="03B739B1"/>
    <w:rsid w:val="03BA21B8"/>
    <w:rsid w:val="04623F00"/>
    <w:rsid w:val="04BA0544"/>
    <w:rsid w:val="04E06DE5"/>
    <w:rsid w:val="04FD6C21"/>
    <w:rsid w:val="0529221A"/>
    <w:rsid w:val="055A2F10"/>
    <w:rsid w:val="059E124A"/>
    <w:rsid w:val="05B53D42"/>
    <w:rsid w:val="05FE05E9"/>
    <w:rsid w:val="06176A6B"/>
    <w:rsid w:val="06513CD2"/>
    <w:rsid w:val="0669752C"/>
    <w:rsid w:val="067A294B"/>
    <w:rsid w:val="067D393B"/>
    <w:rsid w:val="067D604D"/>
    <w:rsid w:val="06DA6595"/>
    <w:rsid w:val="071D0F0F"/>
    <w:rsid w:val="07363C02"/>
    <w:rsid w:val="0744281F"/>
    <w:rsid w:val="07453CB0"/>
    <w:rsid w:val="07BC13C7"/>
    <w:rsid w:val="07EB1CF2"/>
    <w:rsid w:val="08193CDA"/>
    <w:rsid w:val="086B0C95"/>
    <w:rsid w:val="08837FD0"/>
    <w:rsid w:val="08A26DCF"/>
    <w:rsid w:val="08EC52C5"/>
    <w:rsid w:val="08F16307"/>
    <w:rsid w:val="091D0D54"/>
    <w:rsid w:val="09431711"/>
    <w:rsid w:val="098F4D1F"/>
    <w:rsid w:val="09CD1BB7"/>
    <w:rsid w:val="09CD7C8A"/>
    <w:rsid w:val="09EC3C0D"/>
    <w:rsid w:val="09F8791F"/>
    <w:rsid w:val="0A063C2F"/>
    <w:rsid w:val="0A5B18A5"/>
    <w:rsid w:val="0AE72558"/>
    <w:rsid w:val="0B3F12AF"/>
    <w:rsid w:val="0B5219CB"/>
    <w:rsid w:val="0B912CE6"/>
    <w:rsid w:val="0BB12276"/>
    <w:rsid w:val="0BBD3DAF"/>
    <w:rsid w:val="0BDF240C"/>
    <w:rsid w:val="0BEE6B42"/>
    <w:rsid w:val="0C045DEA"/>
    <w:rsid w:val="0C1B44A9"/>
    <w:rsid w:val="0C1D3209"/>
    <w:rsid w:val="0C231F4B"/>
    <w:rsid w:val="0C5F1EF9"/>
    <w:rsid w:val="0C7E424B"/>
    <w:rsid w:val="0D362A23"/>
    <w:rsid w:val="0D4D0F3F"/>
    <w:rsid w:val="0D4E3CE6"/>
    <w:rsid w:val="0D7046AC"/>
    <w:rsid w:val="0D705BB9"/>
    <w:rsid w:val="0D83377C"/>
    <w:rsid w:val="0DC23751"/>
    <w:rsid w:val="0DC8773E"/>
    <w:rsid w:val="0DCF3998"/>
    <w:rsid w:val="0E3A3C30"/>
    <w:rsid w:val="0EB31962"/>
    <w:rsid w:val="0ED062E2"/>
    <w:rsid w:val="0F0903D5"/>
    <w:rsid w:val="0F0B7759"/>
    <w:rsid w:val="0F652989"/>
    <w:rsid w:val="0F6A573F"/>
    <w:rsid w:val="0F7E2C59"/>
    <w:rsid w:val="0F806BFD"/>
    <w:rsid w:val="0FB62166"/>
    <w:rsid w:val="0FDF3BD5"/>
    <w:rsid w:val="0FEA1ECE"/>
    <w:rsid w:val="10541E98"/>
    <w:rsid w:val="10751754"/>
    <w:rsid w:val="107C14D5"/>
    <w:rsid w:val="10BF1D84"/>
    <w:rsid w:val="10CB5A2E"/>
    <w:rsid w:val="10EB3539"/>
    <w:rsid w:val="11300FFE"/>
    <w:rsid w:val="114D0CED"/>
    <w:rsid w:val="11551574"/>
    <w:rsid w:val="11610CCB"/>
    <w:rsid w:val="11727EC5"/>
    <w:rsid w:val="119314F4"/>
    <w:rsid w:val="119D2C6F"/>
    <w:rsid w:val="119E440B"/>
    <w:rsid w:val="123F7EF9"/>
    <w:rsid w:val="12415EEB"/>
    <w:rsid w:val="12596106"/>
    <w:rsid w:val="127029DD"/>
    <w:rsid w:val="127F7599"/>
    <w:rsid w:val="12907896"/>
    <w:rsid w:val="12B14351"/>
    <w:rsid w:val="12B22075"/>
    <w:rsid w:val="12C74F4B"/>
    <w:rsid w:val="12FB50E2"/>
    <w:rsid w:val="1352279B"/>
    <w:rsid w:val="13683C81"/>
    <w:rsid w:val="1371726B"/>
    <w:rsid w:val="13781401"/>
    <w:rsid w:val="139224C4"/>
    <w:rsid w:val="139633E1"/>
    <w:rsid w:val="13E0779A"/>
    <w:rsid w:val="13E91FFC"/>
    <w:rsid w:val="14081B02"/>
    <w:rsid w:val="14A06C36"/>
    <w:rsid w:val="14B371CB"/>
    <w:rsid w:val="15035919"/>
    <w:rsid w:val="151C1915"/>
    <w:rsid w:val="15821ABB"/>
    <w:rsid w:val="158D547A"/>
    <w:rsid w:val="15AB5160"/>
    <w:rsid w:val="15CB5310"/>
    <w:rsid w:val="160359B6"/>
    <w:rsid w:val="16697F14"/>
    <w:rsid w:val="167F66A6"/>
    <w:rsid w:val="16C83A84"/>
    <w:rsid w:val="17200E63"/>
    <w:rsid w:val="173C7CDF"/>
    <w:rsid w:val="174B3864"/>
    <w:rsid w:val="176C0CC0"/>
    <w:rsid w:val="179F5602"/>
    <w:rsid w:val="17F061DD"/>
    <w:rsid w:val="18093FF5"/>
    <w:rsid w:val="185A7217"/>
    <w:rsid w:val="189156EF"/>
    <w:rsid w:val="18A44E0A"/>
    <w:rsid w:val="18B44993"/>
    <w:rsid w:val="19111EB3"/>
    <w:rsid w:val="191302BB"/>
    <w:rsid w:val="19163F3A"/>
    <w:rsid w:val="195252FE"/>
    <w:rsid w:val="19562696"/>
    <w:rsid w:val="1A254B62"/>
    <w:rsid w:val="1AE45FB4"/>
    <w:rsid w:val="1AF75A1B"/>
    <w:rsid w:val="1B541870"/>
    <w:rsid w:val="1B7B3627"/>
    <w:rsid w:val="1BB57B14"/>
    <w:rsid w:val="1BBB2847"/>
    <w:rsid w:val="1C011CA4"/>
    <w:rsid w:val="1C3F3D63"/>
    <w:rsid w:val="1C6549D0"/>
    <w:rsid w:val="1C7E698D"/>
    <w:rsid w:val="1C837A9D"/>
    <w:rsid w:val="1C905319"/>
    <w:rsid w:val="1CA95845"/>
    <w:rsid w:val="1CB56B39"/>
    <w:rsid w:val="1CCD1919"/>
    <w:rsid w:val="1CD044BC"/>
    <w:rsid w:val="1D5F5A66"/>
    <w:rsid w:val="1DF956D7"/>
    <w:rsid w:val="1E492B52"/>
    <w:rsid w:val="1E77260F"/>
    <w:rsid w:val="1E902ED0"/>
    <w:rsid w:val="1E97103A"/>
    <w:rsid w:val="1EB10422"/>
    <w:rsid w:val="1ED06D01"/>
    <w:rsid w:val="1ED65F27"/>
    <w:rsid w:val="1F1354DE"/>
    <w:rsid w:val="1F4E6D93"/>
    <w:rsid w:val="1F500A6E"/>
    <w:rsid w:val="1F9038DF"/>
    <w:rsid w:val="1FBA44A4"/>
    <w:rsid w:val="1FBB1383"/>
    <w:rsid w:val="1FBC3946"/>
    <w:rsid w:val="1FF12F32"/>
    <w:rsid w:val="204016B1"/>
    <w:rsid w:val="20731724"/>
    <w:rsid w:val="2075775B"/>
    <w:rsid w:val="20D8471F"/>
    <w:rsid w:val="20E921AC"/>
    <w:rsid w:val="21086718"/>
    <w:rsid w:val="21124D6D"/>
    <w:rsid w:val="21177BF3"/>
    <w:rsid w:val="213B3511"/>
    <w:rsid w:val="215500DA"/>
    <w:rsid w:val="218B0B88"/>
    <w:rsid w:val="21A5198E"/>
    <w:rsid w:val="21B23E97"/>
    <w:rsid w:val="21B45EEA"/>
    <w:rsid w:val="21DB4198"/>
    <w:rsid w:val="21E35601"/>
    <w:rsid w:val="21E464F5"/>
    <w:rsid w:val="22050196"/>
    <w:rsid w:val="220928C4"/>
    <w:rsid w:val="222D7CC0"/>
    <w:rsid w:val="22531AEA"/>
    <w:rsid w:val="229B46EF"/>
    <w:rsid w:val="22E652E6"/>
    <w:rsid w:val="23074EA3"/>
    <w:rsid w:val="231A7CDD"/>
    <w:rsid w:val="23787FFD"/>
    <w:rsid w:val="238A1578"/>
    <w:rsid w:val="239F72C8"/>
    <w:rsid w:val="23A967A0"/>
    <w:rsid w:val="23C6186D"/>
    <w:rsid w:val="23F518B0"/>
    <w:rsid w:val="24182001"/>
    <w:rsid w:val="24247A01"/>
    <w:rsid w:val="24257C72"/>
    <w:rsid w:val="24506C13"/>
    <w:rsid w:val="246A67EE"/>
    <w:rsid w:val="248D660D"/>
    <w:rsid w:val="24971992"/>
    <w:rsid w:val="24F82B1B"/>
    <w:rsid w:val="255030BD"/>
    <w:rsid w:val="257B79D5"/>
    <w:rsid w:val="25B312AD"/>
    <w:rsid w:val="25BF6F2C"/>
    <w:rsid w:val="26250211"/>
    <w:rsid w:val="262D285F"/>
    <w:rsid w:val="26423D9D"/>
    <w:rsid w:val="26626ACA"/>
    <w:rsid w:val="26973F34"/>
    <w:rsid w:val="26BF05E1"/>
    <w:rsid w:val="26EF71DC"/>
    <w:rsid w:val="27013ECA"/>
    <w:rsid w:val="27033F70"/>
    <w:rsid w:val="27040A03"/>
    <w:rsid w:val="27050CA1"/>
    <w:rsid w:val="27073315"/>
    <w:rsid w:val="2711222A"/>
    <w:rsid w:val="276C36AB"/>
    <w:rsid w:val="27AF3E51"/>
    <w:rsid w:val="27BF111D"/>
    <w:rsid w:val="27C44D25"/>
    <w:rsid w:val="27C91712"/>
    <w:rsid w:val="27E91BCF"/>
    <w:rsid w:val="282821DB"/>
    <w:rsid w:val="283E2A3D"/>
    <w:rsid w:val="28550E9A"/>
    <w:rsid w:val="2863014D"/>
    <w:rsid w:val="29104F24"/>
    <w:rsid w:val="295E70F4"/>
    <w:rsid w:val="295F1B3B"/>
    <w:rsid w:val="29E32B20"/>
    <w:rsid w:val="2A13019B"/>
    <w:rsid w:val="2A275A3B"/>
    <w:rsid w:val="2A332C92"/>
    <w:rsid w:val="2AFA1C77"/>
    <w:rsid w:val="2B5B27D3"/>
    <w:rsid w:val="2B741ADE"/>
    <w:rsid w:val="2B8A358B"/>
    <w:rsid w:val="2B9864EE"/>
    <w:rsid w:val="2BC51A0B"/>
    <w:rsid w:val="2BF22D50"/>
    <w:rsid w:val="2BF3351E"/>
    <w:rsid w:val="2C124265"/>
    <w:rsid w:val="2C3834A6"/>
    <w:rsid w:val="2C5631DB"/>
    <w:rsid w:val="2C664B98"/>
    <w:rsid w:val="2C725C5B"/>
    <w:rsid w:val="2CAA05DA"/>
    <w:rsid w:val="2CD01E73"/>
    <w:rsid w:val="2D874FBD"/>
    <w:rsid w:val="2D8F0E29"/>
    <w:rsid w:val="2D9B3B74"/>
    <w:rsid w:val="2DB618AC"/>
    <w:rsid w:val="2DD51835"/>
    <w:rsid w:val="2DD6107E"/>
    <w:rsid w:val="2DDA151C"/>
    <w:rsid w:val="2DEA1E6B"/>
    <w:rsid w:val="2E3545A5"/>
    <w:rsid w:val="2E623FB4"/>
    <w:rsid w:val="2E7600E7"/>
    <w:rsid w:val="2EDE478A"/>
    <w:rsid w:val="2F562C45"/>
    <w:rsid w:val="2FC22020"/>
    <w:rsid w:val="2FF55223"/>
    <w:rsid w:val="300A63F1"/>
    <w:rsid w:val="302E223B"/>
    <w:rsid w:val="305F162C"/>
    <w:rsid w:val="30740A9B"/>
    <w:rsid w:val="30771DF2"/>
    <w:rsid w:val="30883B01"/>
    <w:rsid w:val="308C04CA"/>
    <w:rsid w:val="309D0F80"/>
    <w:rsid w:val="30A62343"/>
    <w:rsid w:val="31244946"/>
    <w:rsid w:val="317347F2"/>
    <w:rsid w:val="317B0EB3"/>
    <w:rsid w:val="31CB284D"/>
    <w:rsid w:val="31CD030B"/>
    <w:rsid w:val="31EF634F"/>
    <w:rsid w:val="31F652AD"/>
    <w:rsid w:val="32202F03"/>
    <w:rsid w:val="3244771A"/>
    <w:rsid w:val="32716102"/>
    <w:rsid w:val="32A4573D"/>
    <w:rsid w:val="32B3147B"/>
    <w:rsid w:val="32FB68B1"/>
    <w:rsid w:val="33182783"/>
    <w:rsid w:val="333B367A"/>
    <w:rsid w:val="335216FD"/>
    <w:rsid w:val="33A134FA"/>
    <w:rsid w:val="33BF3A1F"/>
    <w:rsid w:val="33C2021E"/>
    <w:rsid w:val="34212C21"/>
    <w:rsid w:val="342E3CC2"/>
    <w:rsid w:val="34B859EC"/>
    <w:rsid w:val="34BC5EC0"/>
    <w:rsid w:val="34C1133A"/>
    <w:rsid w:val="34FE4631"/>
    <w:rsid w:val="35111B09"/>
    <w:rsid w:val="35383B8F"/>
    <w:rsid w:val="35E11865"/>
    <w:rsid w:val="36133DB2"/>
    <w:rsid w:val="3616002B"/>
    <w:rsid w:val="36340650"/>
    <w:rsid w:val="364764FC"/>
    <w:rsid w:val="364D60D2"/>
    <w:rsid w:val="36920968"/>
    <w:rsid w:val="36B44654"/>
    <w:rsid w:val="36D2376F"/>
    <w:rsid w:val="36D408F2"/>
    <w:rsid w:val="37031BE0"/>
    <w:rsid w:val="371D4D7B"/>
    <w:rsid w:val="378F53C4"/>
    <w:rsid w:val="37925D79"/>
    <w:rsid w:val="379B1E25"/>
    <w:rsid w:val="37A74E35"/>
    <w:rsid w:val="37B34DB0"/>
    <w:rsid w:val="37E373D1"/>
    <w:rsid w:val="386915F4"/>
    <w:rsid w:val="38984F30"/>
    <w:rsid w:val="38A137F0"/>
    <w:rsid w:val="38B077DE"/>
    <w:rsid w:val="38C06C1A"/>
    <w:rsid w:val="38D957CB"/>
    <w:rsid w:val="38E10AFC"/>
    <w:rsid w:val="38F5205E"/>
    <w:rsid w:val="39445467"/>
    <w:rsid w:val="39871560"/>
    <w:rsid w:val="39B86038"/>
    <w:rsid w:val="39F320D8"/>
    <w:rsid w:val="3A0512FC"/>
    <w:rsid w:val="3A075EAC"/>
    <w:rsid w:val="3A2461ED"/>
    <w:rsid w:val="3A820D78"/>
    <w:rsid w:val="3A9D14EE"/>
    <w:rsid w:val="3AAF16EA"/>
    <w:rsid w:val="3AAF282C"/>
    <w:rsid w:val="3B040A66"/>
    <w:rsid w:val="3B135931"/>
    <w:rsid w:val="3B142B8D"/>
    <w:rsid w:val="3B557FA7"/>
    <w:rsid w:val="3B734EF1"/>
    <w:rsid w:val="3B784046"/>
    <w:rsid w:val="3B852972"/>
    <w:rsid w:val="3B8C414B"/>
    <w:rsid w:val="3BC930A3"/>
    <w:rsid w:val="3BE85C86"/>
    <w:rsid w:val="3C023CEF"/>
    <w:rsid w:val="3C273B27"/>
    <w:rsid w:val="3D1E3EA0"/>
    <w:rsid w:val="3D646C85"/>
    <w:rsid w:val="3D7B0467"/>
    <w:rsid w:val="3DD24A55"/>
    <w:rsid w:val="3DDB6784"/>
    <w:rsid w:val="3DF300CF"/>
    <w:rsid w:val="3E167C6F"/>
    <w:rsid w:val="3E3D624E"/>
    <w:rsid w:val="3E5963C4"/>
    <w:rsid w:val="3E6523ED"/>
    <w:rsid w:val="3EB94809"/>
    <w:rsid w:val="3ED80896"/>
    <w:rsid w:val="3EDF60A6"/>
    <w:rsid w:val="3F0A5C11"/>
    <w:rsid w:val="3F474E19"/>
    <w:rsid w:val="3F4D77D2"/>
    <w:rsid w:val="3F5974C9"/>
    <w:rsid w:val="3F76095A"/>
    <w:rsid w:val="3F797CC9"/>
    <w:rsid w:val="3F7A5EED"/>
    <w:rsid w:val="3F834B2F"/>
    <w:rsid w:val="40031E81"/>
    <w:rsid w:val="4023014D"/>
    <w:rsid w:val="40570C61"/>
    <w:rsid w:val="406F3987"/>
    <w:rsid w:val="409E6AF8"/>
    <w:rsid w:val="41491FD9"/>
    <w:rsid w:val="41497FD9"/>
    <w:rsid w:val="417F7D2F"/>
    <w:rsid w:val="418016B6"/>
    <w:rsid w:val="41804C2E"/>
    <w:rsid w:val="41961140"/>
    <w:rsid w:val="41BE381D"/>
    <w:rsid w:val="420E475B"/>
    <w:rsid w:val="421C730C"/>
    <w:rsid w:val="42CB0D23"/>
    <w:rsid w:val="42F030B9"/>
    <w:rsid w:val="42FD53B4"/>
    <w:rsid w:val="432F4872"/>
    <w:rsid w:val="437213C0"/>
    <w:rsid w:val="43E71906"/>
    <w:rsid w:val="4418335E"/>
    <w:rsid w:val="441A20FE"/>
    <w:rsid w:val="441D44FF"/>
    <w:rsid w:val="442E3895"/>
    <w:rsid w:val="444C612A"/>
    <w:rsid w:val="446E239F"/>
    <w:rsid w:val="4491478D"/>
    <w:rsid w:val="4498238B"/>
    <w:rsid w:val="449B3E12"/>
    <w:rsid w:val="44C717EF"/>
    <w:rsid w:val="44D32054"/>
    <w:rsid w:val="44F42FBA"/>
    <w:rsid w:val="44FE1C1A"/>
    <w:rsid w:val="4534025B"/>
    <w:rsid w:val="453925A4"/>
    <w:rsid w:val="45473CCC"/>
    <w:rsid w:val="455D3EC8"/>
    <w:rsid w:val="45747B83"/>
    <w:rsid w:val="45754629"/>
    <w:rsid w:val="45A87B35"/>
    <w:rsid w:val="45B066BB"/>
    <w:rsid w:val="45B17F7D"/>
    <w:rsid w:val="45DA4486"/>
    <w:rsid w:val="45E1059E"/>
    <w:rsid w:val="46191F33"/>
    <w:rsid w:val="467D228F"/>
    <w:rsid w:val="46951504"/>
    <w:rsid w:val="469B6C11"/>
    <w:rsid w:val="46D579F3"/>
    <w:rsid w:val="46FB3368"/>
    <w:rsid w:val="47320CA0"/>
    <w:rsid w:val="4747265B"/>
    <w:rsid w:val="475362F0"/>
    <w:rsid w:val="47812C62"/>
    <w:rsid w:val="47881F1D"/>
    <w:rsid w:val="479E6A89"/>
    <w:rsid w:val="47D631DB"/>
    <w:rsid w:val="47DF18C6"/>
    <w:rsid w:val="47EC3859"/>
    <w:rsid w:val="482118D3"/>
    <w:rsid w:val="488C6F6D"/>
    <w:rsid w:val="48B0398B"/>
    <w:rsid w:val="48DE64A2"/>
    <w:rsid w:val="49034BF7"/>
    <w:rsid w:val="4906062E"/>
    <w:rsid w:val="49452A52"/>
    <w:rsid w:val="497514B1"/>
    <w:rsid w:val="499B2B3B"/>
    <w:rsid w:val="49FB0ED2"/>
    <w:rsid w:val="4ACC40D7"/>
    <w:rsid w:val="4ACF0BC0"/>
    <w:rsid w:val="4ADE0486"/>
    <w:rsid w:val="4B2370C8"/>
    <w:rsid w:val="4B380019"/>
    <w:rsid w:val="4B4C48C4"/>
    <w:rsid w:val="4B52639F"/>
    <w:rsid w:val="4BA02F90"/>
    <w:rsid w:val="4BA60343"/>
    <w:rsid w:val="4BFB58CE"/>
    <w:rsid w:val="4BFE4085"/>
    <w:rsid w:val="4C193F5E"/>
    <w:rsid w:val="4C534FF6"/>
    <w:rsid w:val="4C593D3C"/>
    <w:rsid w:val="4C6945C0"/>
    <w:rsid w:val="4CA541BF"/>
    <w:rsid w:val="4CA80351"/>
    <w:rsid w:val="4CAD483A"/>
    <w:rsid w:val="4CB27D24"/>
    <w:rsid w:val="4CD11BF4"/>
    <w:rsid w:val="4D2103DA"/>
    <w:rsid w:val="4D2A686C"/>
    <w:rsid w:val="4D4D44DE"/>
    <w:rsid w:val="4D856573"/>
    <w:rsid w:val="4D9C6888"/>
    <w:rsid w:val="4DA2286F"/>
    <w:rsid w:val="4DD854C7"/>
    <w:rsid w:val="4E613B32"/>
    <w:rsid w:val="50126577"/>
    <w:rsid w:val="50766055"/>
    <w:rsid w:val="507805E3"/>
    <w:rsid w:val="507C13B7"/>
    <w:rsid w:val="50804242"/>
    <w:rsid w:val="50A84B54"/>
    <w:rsid w:val="50C50944"/>
    <w:rsid w:val="50DB670B"/>
    <w:rsid w:val="50E25FA9"/>
    <w:rsid w:val="513227B0"/>
    <w:rsid w:val="517B29F2"/>
    <w:rsid w:val="51956820"/>
    <w:rsid w:val="51B003A2"/>
    <w:rsid w:val="51B5042F"/>
    <w:rsid w:val="52702D59"/>
    <w:rsid w:val="52732480"/>
    <w:rsid w:val="52904E7C"/>
    <w:rsid w:val="529315B7"/>
    <w:rsid w:val="52942FA8"/>
    <w:rsid w:val="52A94CB1"/>
    <w:rsid w:val="52C1576F"/>
    <w:rsid w:val="52CE540B"/>
    <w:rsid w:val="52E3066A"/>
    <w:rsid w:val="530842D6"/>
    <w:rsid w:val="531402D1"/>
    <w:rsid w:val="5354482F"/>
    <w:rsid w:val="539071B0"/>
    <w:rsid w:val="53B14DC4"/>
    <w:rsid w:val="54276243"/>
    <w:rsid w:val="5489507D"/>
    <w:rsid w:val="54A813E3"/>
    <w:rsid w:val="54C4444C"/>
    <w:rsid w:val="54C56FE9"/>
    <w:rsid w:val="54CD6625"/>
    <w:rsid w:val="54DA7B61"/>
    <w:rsid w:val="54F539C3"/>
    <w:rsid w:val="5507192D"/>
    <w:rsid w:val="55856EC6"/>
    <w:rsid w:val="55AE03D6"/>
    <w:rsid w:val="55D34D6D"/>
    <w:rsid w:val="560352C2"/>
    <w:rsid w:val="56576C9F"/>
    <w:rsid w:val="566312DC"/>
    <w:rsid w:val="569C27FB"/>
    <w:rsid w:val="57222BDA"/>
    <w:rsid w:val="57317BE6"/>
    <w:rsid w:val="574B7C88"/>
    <w:rsid w:val="574F6D37"/>
    <w:rsid w:val="575703CD"/>
    <w:rsid w:val="577865F5"/>
    <w:rsid w:val="579575E2"/>
    <w:rsid w:val="57972719"/>
    <w:rsid w:val="57F62E0F"/>
    <w:rsid w:val="57F665A1"/>
    <w:rsid w:val="580A0559"/>
    <w:rsid w:val="585A5AE5"/>
    <w:rsid w:val="5877785A"/>
    <w:rsid w:val="58B97588"/>
    <w:rsid w:val="58CF7FFD"/>
    <w:rsid w:val="58D611C6"/>
    <w:rsid w:val="59115EB4"/>
    <w:rsid w:val="592F58BF"/>
    <w:rsid w:val="59395B86"/>
    <w:rsid w:val="593A1119"/>
    <w:rsid w:val="593B1850"/>
    <w:rsid w:val="59491E67"/>
    <w:rsid w:val="594A7DFE"/>
    <w:rsid w:val="597879D3"/>
    <w:rsid w:val="59AC3BAB"/>
    <w:rsid w:val="59B11DCC"/>
    <w:rsid w:val="59B34C68"/>
    <w:rsid w:val="59F30843"/>
    <w:rsid w:val="59F35912"/>
    <w:rsid w:val="5A080674"/>
    <w:rsid w:val="5A1C1920"/>
    <w:rsid w:val="5A3249CA"/>
    <w:rsid w:val="5A3B10C3"/>
    <w:rsid w:val="5A3D66E3"/>
    <w:rsid w:val="5A465713"/>
    <w:rsid w:val="5A470FB9"/>
    <w:rsid w:val="5A5367DA"/>
    <w:rsid w:val="5A680400"/>
    <w:rsid w:val="5AA104E4"/>
    <w:rsid w:val="5AF23000"/>
    <w:rsid w:val="5B4142B6"/>
    <w:rsid w:val="5B9C0061"/>
    <w:rsid w:val="5BF16B54"/>
    <w:rsid w:val="5C281F0F"/>
    <w:rsid w:val="5C2E1A48"/>
    <w:rsid w:val="5CBD3EBE"/>
    <w:rsid w:val="5CBF5C9D"/>
    <w:rsid w:val="5CC4334F"/>
    <w:rsid w:val="5CEA4ABD"/>
    <w:rsid w:val="5D0B07CD"/>
    <w:rsid w:val="5D433020"/>
    <w:rsid w:val="5D616788"/>
    <w:rsid w:val="5DB6573F"/>
    <w:rsid w:val="5DE52B05"/>
    <w:rsid w:val="5E204C84"/>
    <w:rsid w:val="5E3E5957"/>
    <w:rsid w:val="5E7001FD"/>
    <w:rsid w:val="5F024457"/>
    <w:rsid w:val="5F064D49"/>
    <w:rsid w:val="5F4B61DE"/>
    <w:rsid w:val="5F576D51"/>
    <w:rsid w:val="5F8E71CC"/>
    <w:rsid w:val="5FAB7FA9"/>
    <w:rsid w:val="5FBE22CE"/>
    <w:rsid w:val="5FDE6416"/>
    <w:rsid w:val="5FDE783D"/>
    <w:rsid w:val="5FF57360"/>
    <w:rsid w:val="60335088"/>
    <w:rsid w:val="603C44D0"/>
    <w:rsid w:val="60451205"/>
    <w:rsid w:val="605D7ED0"/>
    <w:rsid w:val="608E6D74"/>
    <w:rsid w:val="60CB2270"/>
    <w:rsid w:val="60F421C8"/>
    <w:rsid w:val="60FD1136"/>
    <w:rsid w:val="611906B1"/>
    <w:rsid w:val="613F6C7E"/>
    <w:rsid w:val="6168633D"/>
    <w:rsid w:val="616D6E4F"/>
    <w:rsid w:val="61752092"/>
    <w:rsid w:val="617A44EA"/>
    <w:rsid w:val="61C12804"/>
    <w:rsid w:val="61C36075"/>
    <w:rsid w:val="61C409F8"/>
    <w:rsid w:val="61D714A2"/>
    <w:rsid w:val="61E8702E"/>
    <w:rsid w:val="61EE099A"/>
    <w:rsid w:val="61F957E5"/>
    <w:rsid w:val="62184CF5"/>
    <w:rsid w:val="621B02E0"/>
    <w:rsid w:val="621F577A"/>
    <w:rsid w:val="62233494"/>
    <w:rsid w:val="625127B0"/>
    <w:rsid w:val="628C5410"/>
    <w:rsid w:val="628E74AB"/>
    <w:rsid w:val="62CE2E1D"/>
    <w:rsid w:val="63185CCC"/>
    <w:rsid w:val="632A7AD8"/>
    <w:rsid w:val="632C48F7"/>
    <w:rsid w:val="63320A8F"/>
    <w:rsid w:val="634C1FC8"/>
    <w:rsid w:val="63736F4E"/>
    <w:rsid w:val="6390752C"/>
    <w:rsid w:val="63AD3693"/>
    <w:rsid w:val="642A0136"/>
    <w:rsid w:val="644F519F"/>
    <w:rsid w:val="64571857"/>
    <w:rsid w:val="64622892"/>
    <w:rsid w:val="64726A48"/>
    <w:rsid w:val="6475049F"/>
    <w:rsid w:val="64753D3C"/>
    <w:rsid w:val="64B57A84"/>
    <w:rsid w:val="65400F8D"/>
    <w:rsid w:val="65877148"/>
    <w:rsid w:val="65935F2C"/>
    <w:rsid w:val="659A21B0"/>
    <w:rsid w:val="65A66C40"/>
    <w:rsid w:val="66071738"/>
    <w:rsid w:val="660D5BA5"/>
    <w:rsid w:val="66307040"/>
    <w:rsid w:val="66F676B8"/>
    <w:rsid w:val="67013234"/>
    <w:rsid w:val="67213BE3"/>
    <w:rsid w:val="674D47FD"/>
    <w:rsid w:val="67954F1F"/>
    <w:rsid w:val="679A1F72"/>
    <w:rsid w:val="67E516D3"/>
    <w:rsid w:val="67F43B7C"/>
    <w:rsid w:val="68536E08"/>
    <w:rsid w:val="688354A6"/>
    <w:rsid w:val="689073A5"/>
    <w:rsid w:val="68C34D86"/>
    <w:rsid w:val="6939734A"/>
    <w:rsid w:val="695E7498"/>
    <w:rsid w:val="69752AC3"/>
    <w:rsid w:val="69A05295"/>
    <w:rsid w:val="69B62227"/>
    <w:rsid w:val="6A3B3672"/>
    <w:rsid w:val="6A903C96"/>
    <w:rsid w:val="6AF90D51"/>
    <w:rsid w:val="6B081469"/>
    <w:rsid w:val="6B235F42"/>
    <w:rsid w:val="6B6D36D3"/>
    <w:rsid w:val="6B90369B"/>
    <w:rsid w:val="6BA53EDD"/>
    <w:rsid w:val="6BF05EA4"/>
    <w:rsid w:val="6C1C1505"/>
    <w:rsid w:val="6CD8275E"/>
    <w:rsid w:val="6D172D45"/>
    <w:rsid w:val="6D870CA4"/>
    <w:rsid w:val="6DF13451"/>
    <w:rsid w:val="6DF36BA0"/>
    <w:rsid w:val="6DF60CC4"/>
    <w:rsid w:val="6E143CCD"/>
    <w:rsid w:val="6E4E3573"/>
    <w:rsid w:val="6E7215D8"/>
    <w:rsid w:val="6EF04195"/>
    <w:rsid w:val="6F6D3356"/>
    <w:rsid w:val="6F7328E9"/>
    <w:rsid w:val="6F9241C1"/>
    <w:rsid w:val="6FEF2D30"/>
    <w:rsid w:val="6FF334F4"/>
    <w:rsid w:val="704A3046"/>
    <w:rsid w:val="709F51B7"/>
    <w:rsid w:val="714C3B8E"/>
    <w:rsid w:val="71796491"/>
    <w:rsid w:val="718615EE"/>
    <w:rsid w:val="719B6148"/>
    <w:rsid w:val="71AC3688"/>
    <w:rsid w:val="71AE6F10"/>
    <w:rsid w:val="71FA00D8"/>
    <w:rsid w:val="721D0619"/>
    <w:rsid w:val="72B22B70"/>
    <w:rsid w:val="72FA1650"/>
    <w:rsid w:val="72FD0F24"/>
    <w:rsid w:val="73006250"/>
    <w:rsid w:val="731F7C84"/>
    <w:rsid w:val="735C531A"/>
    <w:rsid w:val="737E3C29"/>
    <w:rsid w:val="739963E5"/>
    <w:rsid w:val="73C0609C"/>
    <w:rsid w:val="73EA1C37"/>
    <w:rsid w:val="73F676AB"/>
    <w:rsid w:val="746B26E6"/>
    <w:rsid w:val="746C4B5D"/>
    <w:rsid w:val="74E75F5D"/>
    <w:rsid w:val="74F408DE"/>
    <w:rsid w:val="75AD1037"/>
    <w:rsid w:val="764028F1"/>
    <w:rsid w:val="76417634"/>
    <w:rsid w:val="764E6559"/>
    <w:rsid w:val="76AB6E38"/>
    <w:rsid w:val="76AF73E4"/>
    <w:rsid w:val="76CD1729"/>
    <w:rsid w:val="76DB22C7"/>
    <w:rsid w:val="76FE447E"/>
    <w:rsid w:val="77024593"/>
    <w:rsid w:val="776003E3"/>
    <w:rsid w:val="781A6D97"/>
    <w:rsid w:val="782949D8"/>
    <w:rsid w:val="78342501"/>
    <w:rsid w:val="78727B48"/>
    <w:rsid w:val="78AA5231"/>
    <w:rsid w:val="791C1102"/>
    <w:rsid w:val="793900A8"/>
    <w:rsid w:val="79951023"/>
    <w:rsid w:val="79AE7060"/>
    <w:rsid w:val="79BB5E89"/>
    <w:rsid w:val="79BB78B2"/>
    <w:rsid w:val="79DE03D2"/>
    <w:rsid w:val="7A775A2D"/>
    <w:rsid w:val="7AAF27EE"/>
    <w:rsid w:val="7AE5319E"/>
    <w:rsid w:val="7AFA0DBA"/>
    <w:rsid w:val="7B100C1D"/>
    <w:rsid w:val="7B2A380C"/>
    <w:rsid w:val="7B413223"/>
    <w:rsid w:val="7BED6385"/>
    <w:rsid w:val="7C0C6F2B"/>
    <w:rsid w:val="7C30769F"/>
    <w:rsid w:val="7C345263"/>
    <w:rsid w:val="7C3A5A6A"/>
    <w:rsid w:val="7C3D40FD"/>
    <w:rsid w:val="7CB82E21"/>
    <w:rsid w:val="7CC231EA"/>
    <w:rsid w:val="7CD67191"/>
    <w:rsid w:val="7D206E72"/>
    <w:rsid w:val="7D3A16E9"/>
    <w:rsid w:val="7D74162D"/>
    <w:rsid w:val="7DA56428"/>
    <w:rsid w:val="7DC03149"/>
    <w:rsid w:val="7E15411A"/>
    <w:rsid w:val="7E4F6EDF"/>
    <w:rsid w:val="7E841018"/>
    <w:rsid w:val="7E9810CC"/>
    <w:rsid w:val="7EA509D7"/>
    <w:rsid w:val="7ECA385A"/>
    <w:rsid w:val="7ECB1905"/>
    <w:rsid w:val="7F2C13BB"/>
    <w:rsid w:val="7F554A21"/>
    <w:rsid w:val="7F5D277F"/>
    <w:rsid w:val="7FA72EC4"/>
    <w:rsid w:val="7FB83561"/>
    <w:rsid w:val="7FFD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99"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semiHidden/>
    <w:unhideWhenUsed/>
    <w:qFormat/>
    <w:uiPriority w:val="0"/>
    <w:pPr>
      <w:jc w:val="left"/>
      <w:outlineLvl w:val="1"/>
    </w:pPr>
    <w:rPr>
      <w:rFonts w:hint="eastAsia" w:ascii="宋体" w:hAnsi="宋体"/>
      <w:kern w:val="0"/>
      <w:sz w:val="36"/>
      <w:szCs w:val="36"/>
    </w:rPr>
  </w:style>
  <w:style w:type="paragraph" w:styleId="4">
    <w:name w:val="heading 6"/>
    <w:basedOn w:val="1"/>
    <w:next w:val="1"/>
    <w:qFormat/>
    <w:uiPriority w:val="0"/>
    <w:pPr>
      <w:keepNext/>
      <w:keepLines/>
      <w:numPr>
        <w:ilvl w:val="5"/>
        <w:numId w:val="1"/>
      </w:numPr>
      <w:spacing w:before="240" w:after="64" w:line="319" w:lineRule="auto"/>
      <w:outlineLvl w:val="5"/>
    </w:pPr>
    <w:rPr>
      <w:rFonts w:ascii="Arial" w:hAnsi="Arial" w:eastAsia="黑体"/>
      <w:b/>
      <w:sz w:val="24"/>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5">
    <w:name w:val="index 8"/>
    <w:basedOn w:val="1"/>
    <w:next w:val="1"/>
    <w:qFormat/>
    <w:uiPriority w:val="0"/>
    <w:pPr>
      <w:ind w:left="2940"/>
    </w:pPr>
  </w:style>
  <w:style w:type="paragraph" w:styleId="6">
    <w:name w:val="Document Map"/>
    <w:basedOn w:val="1"/>
    <w:link w:val="39"/>
    <w:qFormat/>
    <w:uiPriority w:val="0"/>
    <w:rPr>
      <w:rFonts w:ascii="宋体"/>
      <w:sz w:val="18"/>
      <w:szCs w:val="18"/>
    </w:rPr>
  </w:style>
  <w:style w:type="paragraph" w:styleId="7">
    <w:name w:val="annotation text"/>
    <w:basedOn w:val="1"/>
    <w:link w:val="31"/>
    <w:qFormat/>
    <w:uiPriority w:val="0"/>
    <w:pPr>
      <w:jc w:val="left"/>
    </w:pPr>
  </w:style>
  <w:style w:type="paragraph" w:styleId="8">
    <w:name w:val="Body Text"/>
    <w:basedOn w:val="1"/>
    <w:unhideWhenUsed/>
    <w:qFormat/>
    <w:uiPriority w:val="99"/>
    <w:pPr>
      <w:spacing w:after="120"/>
    </w:pPr>
    <w:rPr>
      <w:kern w:val="0"/>
      <w:sz w:val="20"/>
    </w:rPr>
  </w:style>
  <w:style w:type="paragraph" w:styleId="9">
    <w:name w:val="Body Text Indent"/>
    <w:basedOn w:val="1"/>
    <w:qFormat/>
    <w:uiPriority w:val="99"/>
    <w:pPr>
      <w:spacing w:line="200" w:lineRule="exact"/>
      <w:ind w:firstLine="301"/>
    </w:pPr>
    <w:rPr>
      <w:rFonts w:ascii="宋体" w:hAnsi="Courier New"/>
      <w:spacing w:val="-4"/>
      <w:kern w:val="0"/>
      <w:sz w:val="18"/>
      <w:szCs w:val="18"/>
    </w:rPr>
  </w:style>
  <w:style w:type="paragraph" w:styleId="10">
    <w:name w:val="Plain Text"/>
    <w:basedOn w:val="1"/>
    <w:next w:val="5"/>
    <w:link w:val="36"/>
    <w:qFormat/>
    <w:uiPriority w:val="0"/>
    <w:rPr>
      <w:rFonts w:hint="eastAsia" w:ascii="宋体" w:hAnsi="Courier New"/>
      <w:szCs w:val="20"/>
    </w:rPr>
  </w:style>
  <w:style w:type="paragraph" w:styleId="11">
    <w:name w:val="Balloon Text"/>
    <w:basedOn w:val="1"/>
    <w:link w:val="30"/>
    <w:qFormat/>
    <w:uiPriority w:val="0"/>
    <w:rPr>
      <w:sz w:val="18"/>
      <w:szCs w:val="18"/>
    </w:rPr>
  </w:style>
  <w:style w:type="paragraph" w:styleId="12">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semiHidden/>
    <w:qFormat/>
    <w:uiPriority w:val="99"/>
    <w:pPr>
      <w:spacing w:before="120" w:after="120"/>
      <w:jc w:val="left"/>
    </w:pPr>
    <w:rPr>
      <w:b/>
      <w:bCs/>
      <w:caps/>
      <w:sz w:val="20"/>
      <w:szCs w:val="20"/>
    </w:rPr>
  </w:style>
  <w:style w:type="paragraph" w:styleId="14">
    <w:name w:val="toc 2"/>
    <w:basedOn w:val="1"/>
    <w:next w:val="1"/>
    <w:qFormat/>
    <w:uiPriority w:val="0"/>
    <w:pPr>
      <w:ind w:left="420" w:leftChars="200"/>
    </w:pPr>
  </w:style>
  <w:style w:type="paragraph" w:styleId="15">
    <w:name w:val="toc 9"/>
    <w:basedOn w:val="1"/>
    <w:next w:val="1"/>
    <w:qFormat/>
    <w:uiPriority w:val="0"/>
    <w:pPr>
      <w:tabs>
        <w:tab w:val="right" w:leader="dot" w:pos="9185"/>
      </w:tabs>
      <w:adjustRightInd w:val="0"/>
      <w:spacing w:line="312" w:lineRule="atLeast"/>
      <w:ind w:left="3360"/>
      <w:textAlignment w:val="baseline"/>
    </w:pPr>
    <w:rPr>
      <w:rFonts w:ascii="Calibri" w:hAnsi="Calibri"/>
      <w:kern w:val="0"/>
      <w:szCs w:val="20"/>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annotation subject"/>
    <w:basedOn w:val="7"/>
    <w:next w:val="7"/>
    <w:link w:val="32"/>
    <w:qFormat/>
    <w:uiPriority w:val="0"/>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99"/>
  </w:style>
  <w:style w:type="character" w:styleId="23">
    <w:name w:val="FollowedHyperlink"/>
    <w:basedOn w:val="20"/>
    <w:qFormat/>
    <w:uiPriority w:val="0"/>
    <w:rPr>
      <w:color w:val="0000CC"/>
      <w:u w:val="none"/>
    </w:rPr>
  </w:style>
  <w:style w:type="character" w:styleId="24">
    <w:name w:val="Emphasis"/>
    <w:basedOn w:val="20"/>
    <w:qFormat/>
    <w:uiPriority w:val="0"/>
    <w:rPr>
      <w:i/>
    </w:rPr>
  </w:style>
  <w:style w:type="character" w:styleId="25">
    <w:name w:val="Hyperlink"/>
    <w:qFormat/>
    <w:uiPriority w:val="99"/>
    <w:rPr>
      <w:color w:val="0000FF"/>
      <w:u w:val="none"/>
    </w:rPr>
  </w:style>
  <w:style w:type="character" w:styleId="26">
    <w:name w:val="annotation reference"/>
    <w:semiHidden/>
    <w:qFormat/>
    <w:uiPriority w:val="99"/>
    <w:rPr>
      <w:sz w:val="21"/>
      <w:szCs w:val="21"/>
    </w:rPr>
  </w:style>
  <w:style w:type="paragraph" w:customStyle="1" w:styleId="27">
    <w:name w:val="样式 0正文 + 首行缩进:  2 字符1"/>
    <w:basedOn w:val="1"/>
    <w:qFormat/>
    <w:uiPriority w:val="99"/>
    <w:pPr>
      <w:spacing w:line="360" w:lineRule="auto"/>
      <w:ind w:firstLine="200" w:firstLineChars="200"/>
    </w:pPr>
    <w:rPr>
      <w:szCs w:val="20"/>
    </w:rPr>
  </w:style>
  <w:style w:type="paragraph" w:customStyle="1" w:styleId="28">
    <w:name w:val="表格文字"/>
    <w:basedOn w:val="1"/>
    <w:qFormat/>
    <w:uiPriority w:val="0"/>
    <w:pPr>
      <w:jc w:val="left"/>
    </w:pPr>
    <w:rPr>
      <w:bCs/>
      <w:spacing w:val="10"/>
      <w:kern w:val="0"/>
      <w:sz w:val="24"/>
    </w:rPr>
  </w:style>
  <w:style w:type="paragraph" w:customStyle="1" w:styleId="29">
    <w:name w:val="列表段落1"/>
    <w:basedOn w:val="1"/>
    <w:qFormat/>
    <w:uiPriority w:val="34"/>
    <w:pPr>
      <w:ind w:firstLine="420" w:firstLineChars="200"/>
    </w:pPr>
  </w:style>
  <w:style w:type="character" w:customStyle="1" w:styleId="30">
    <w:name w:val="批注框文本 Char"/>
    <w:basedOn w:val="20"/>
    <w:link w:val="11"/>
    <w:qFormat/>
    <w:uiPriority w:val="0"/>
    <w:rPr>
      <w:kern w:val="2"/>
      <w:sz w:val="18"/>
      <w:szCs w:val="18"/>
      <w:lang w:bidi="ar-SA"/>
    </w:rPr>
  </w:style>
  <w:style w:type="character" w:customStyle="1" w:styleId="31">
    <w:name w:val="批注文字 Char"/>
    <w:basedOn w:val="20"/>
    <w:link w:val="7"/>
    <w:qFormat/>
    <w:uiPriority w:val="0"/>
    <w:rPr>
      <w:kern w:val="2"/>
      <w:sz w:val="21"/>
      <w:szCs w:val="21"/>
      <w:lang w:bidi="ar-SA"/>
    </w:rPr>
  </w:style>
  <w:style w:type="character" w:customStyle="1" w:styleId="32">
    <w:name w:val="批注主题 Char"/>
    <w:basedOn w:val="31"/>
    <w:link w:val="17"/>
    <w:qFormat/>
    <w:uiPriority w:val="0"/>
    <w:rPr>
      <w:kern w:val="2"/>
      <w:sz w:val="21"/>
      <w:szCs w:val="21"/>
      <w:lang w:bidi="ar-SA"/>
    </w:rPr>
  </w:style>
  <w:style w:type="paragraph" w:styleId="33">
    <w:name w:val="List Paragraph"/>
    <w:basedOn w:val="1"/>
    <w:qFormat/>
    <w:uiPriority w:val="34"/>
    <w:pPr>
      <w:ind w:firstLine="420" w:firstLineChars="200"/>
    </w:pPr>
  </w:style>
  <w:style w:type="paragraph" w:customStyle="1" w:styleId="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5">
    <w:name w:val="纯文本 Char1"/>
    <w:basedOn w:val="20"/>
    <w:qFormat/>
    <w:uiPriority w:val="0"/>
    <w:rPr>
      <w:rFonts w:hint="eastAsia" w:ascii="宋体" w:hAnsi="Courier New" w:eastAsia="宋体" w:cs="Courier New"/>
      <w:kern w:val="2"/>
      <w:sz w:val="21"/>
      <w:szCs w:val="21"/>
    </w:rPr>
  </w:style>
  <w:style w:type="character" w:customStyle="1" w:styleId="36">
    <w:name w:val="纯文本 Char"/>
    <w:basedOn w:val="20"/>
    <w:link w:val="10"/>
    <w:qFormat/>
    <w:uiPriority w:val="0"/>
    <w:rPr>
      <w:rFonts w:hint="eastAsia" w:ascii="宋体" w:hAnsi="Courier New" w:eastAsia="宋体" w:cs="宋体"/>
      <w:kern w:val="2"/>
      <w:sz w:val="21"/>
    </w:rPr>
  </w:style>
  <w:style w:type="paragraph" w:customStyle="1" w:styleId="37">
    <w:name w:val="cjk"/>
    <w:basedOn w:val="1"/>
    <w:qFormat/>
    <w:uiPriority w:val="0"/>
    <w:pPr>
      <w:spacing w:line="480" w:lineRule="auto"/>
    </w:pPr>
    <w:rPr>
      <w:rFonts w:ascii="宋体" w:hAnsi="宋体" w:cs="宋体"/>
      <w:sz w:val="24"/>
      <w:szCs w:val="24"/>
    </w:rPr>
  </w:style>
  <w:style w:type="character" w:customStyle="1" w:styleId="38">
    <w:name w:val="font21"/>
    <w:basedOn w:val="20"/>
    <w:qFormat/>
    <w:uiPriority w:val="0"/>
    <w:rPr>
      <w:rFonts w:hint="eastAsia" w:ascii="宋体" w:hAnsi="宋体" w:eastAsia="宋体" w:cs="宋体"/>
      <w:color w:val="000000"/>
      <w:sz w:val="20"/>
      <w:szCs w:val="20"/>
      <w:u w:val="none"/>
    </w:rPr>
  </w:style>
  <w:style w:type="character" w:customStyle="1" w:styleId="39">
    <w:name w:val="文档结构图 Char"/>
    <w:basedOn w:val="20"/>
    <w:link w:val="6"/>
    <w:qFormat/>
    <w:uiPriority w:val="0"/>
    <w:rPr>
      <w:rFonts w:ascii="宋体"/>
      <w:kern w:val="2"/>
      <w:sz w:val="18"/>
      <w:szCs w:val="18"/>
    </w:rPr>
  </w:style>
  <w:style w:type="paragraph" w:customStyle="1" w:styleId="40">
    <w:name w:val="修订1"/>
    <w:hidden/>
    <w:unhideWhenUsed/>
    <w:qFormat/>
    <w:uiPriority w:val="99"/>
    <w:rPr>
      <w:rFonts w:ascii="Times New Roman" w:hAnsi="Times New Roman" w:eastAsia="宋体" w:cs="Times New Roman"/>
      <w:kern w:val="2"/>
      <w:sz w:val="21"/>
      <w:szCs w:val="21"/>
      <w:lang w:val="en-US" w:eastAsia="zh-CN" w:bidi="ar-SA"/>
    </w:rPr>
  </w:style>
  <w:style w:type="paragraph" w:customStyle="1" w:styleId="41">
    <w:name w:val="正文段"/>
    <w:basedOn w:val="1"/>
    <w:qFormat/>
    <w:uiPriority w:val="0"/>
    <w:pPr>
      <w:spacing w:afterLines="50"/>
      <w:ind w:firstLine="200" w:firstLineChars="200"/>
    </w:pPr>
    <w:rPr>
      <w:rFonts w:ascii="Calibri" w:hAnsi="Calibri"/>
      <w:sz w:val="24"/>
      <w:szCs w:val="20"/>
    </w:rPr>
  </w:style>
  <w:style w:type="character" w:customStyle="1" w:styleId="42">
    <w:name w:val="layui-layer-tabnow"/>
    <w:basedOn w:val="20"/>
    <w:qFormat/>
    <w:uiPriority w:val="0"/>
    <w:rPr>
      <w:bdr w:val="single" w:color="CCCCCC" w:sz="6" w:space="0"/>
      <w:shd w:val="clear" w:color="auto" w:fill="FFFFFF"/>
    </w:rPr>
  </w:style>
  <w:style w:type="character" w:customStyle="1" w:styleId="43">
    <w:name w:val="first-child"/>
    <w:basedOn w:val="20"/>
    <w:qFormat/>
    <w:uiPriority w:val="0"/>
  </w:style>
  <w:style w:type="character" w:customStyle="1" w:styleId="44">
    <w:name w:val="dot"/>
    <w:basedOn w:val="20"/>
    <w:qFormat/>
    <w:uiPriority w:val="0"/>
  </w:style>
  <w:style w:type="character" w:customStyle="1" w:styleId="45">
    <w:name w:val="time"/>
    <w:basedOn w:val="20"/>
    <w:qFormat/>
    <w:uiPriority w:val="0"/>
    <w:rPr>
      <w:color w:val="999999"/>
    </w:rPr>
  </w:style>
  <w:style w:type="character" w:customStyle="1" w:styleId="46">
    <w:name w:val="time2"/>
    <w:basedOn w:val="20"/>
    <w:qFormat/>
    <w:uiPriority w:val="0"/>
    <w:rPr>
      <w:color w:val="999999"/>
    </w:rPr>
  </w:style>
  <w:style w:type="paragraph" w:customStyle="1" w:styleId="47">
    <w:name w:val="Revision"/>
    <w:hidden/>
    <w:unhideWhenUsed/>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8D04D-C0E2-4E51-A619-9A361DC1E72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69</Pages>
  <Words>7633</Words>
  <Characters>43510</Characters>
  <Lines>362</Lines>
  <Paragraphs>102</Paragraphs>
  <TotalTime>12</TotalTime>
  <ScaleCrop>false</ScaleCrop>
  <LinksUpToDate>false</LinksUpToDate>
  <CharactersWithSpaces>51041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2020-09-28T07:32:00Z</dcterms:created>
  <dc:creator>F</dc:creator>
  <cp:lastModifiedBy>Administrator</cp:lastModifiedBy>
  <cp:lastPrinted>2020-09-29T04:48:00Z</cp:lastPrinted>
  <dcterms:modified xsi:type="dcterms:W3CDTF">2020-09-29T11:35:55Z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