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bookmarkStart w:id="10" w:name="_GoBack"/>
      <w:bookmarkEnd w:id="10"/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广西邕政采购代理有限公司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</w:rPr>
        <w:t>南宁市良庆区2021-2023年工程项目常规检测、施工图审查服务定点单位采购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outlineLvl w:val="0"/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</w:rPr>
        <w:t>NNZC2021-G3-080092-GXYZ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480" w:hanging="480" w:hangingChars="200"/>
        <w:outlineLvl w:val="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二、项目名称：南宁市良庆区2021-2023年工程项目常规检测、施工图审查服务定点单位采购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、中标信息：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J分标：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</w:p>
    <w:tbl>
      <w:tblPr>
        <w:tblStyle w:val="9"/>
        <w:tblW w:w="990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484"/>
        <w:gridCol w:w="3911"/>
        <w:gridCol w:w="17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供应商地址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下浮系数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广西科创校准检测有限公司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柳州市鸡喇路17-1号1号车间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/南宁市江南区国凯大道19号B1栋一楼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广西安盛建设工程检测咨询有限公司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南宁市那洪大道12号D栋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天皓建筑科技有限公司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南宁市高新区振兴路90号2#生产楼1层西侧场地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广西博建检测技术有限公司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南宁市高科路28号3号车间1层103室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广西瑞宇建筑科技有限公司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南宁市友谊路48-16号3#仓3层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广西奕群建筑科技有限公司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南宁市青秀区金湖路38-1号时代丽都4层402号房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K分标：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</w:p>
    <w:tbl>
      <w:tblPr>
        <w:tblStyle w:val="9"/>
        <w:tblW w:w="990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484"/>
        <w:gridCol w:w="3911"/>
        <w:gridCol w:w="17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供应商地址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下浮系数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广西金图工程咨询有限公司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南宁市兴宁区兴东路6号南宁市建筑设计院科研设计中心1号楼四楼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广西万华建设工程咨询有限公司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南宁市青秀区竹溪大道11号新兴综合楼第四层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广西圣图建筑工程咨询有限责任公司</w:t>
            </w:r>
          </w:p>
        </w:tc>
        <w:tc>
          <w:tcPr>
            <w:tcW w:w="3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广西南宁市青秀区民族大道12号丽原·天际4207室</w:t>
            </w:r>
          </w:p>
        </w:tc>
        <w:tc>
          <w:tcPr>
            <w:tcW w:w="1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outlineLvl w:val="0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四、主要标的信息：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J分标：</w:t>
      </w:r>
    </w:p>
    <w:tbl>
      <w:tblPr>
        <w:tblStyle w:val="9"/>
        <w:tblW w:w="888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2404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名称：南宁市良庆区2021-2023年工程项目常规检测服务定点单位采购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服务要求：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服务时间：自合同签订之日起至2023年12月31日止。服务期满后，如果因特殊需要延期合同的，经报请城区人民政府同意后，可以延期使用直至启用下一轮定点服务单位为止(延期最长不超过一年)。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服务标准：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符合国家、行业标准。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K分标：</w:t>
      </w:r>
    </w:p>
    <w:tbl>
      <w:tblPr>
        <w:tblStyle w:val="9"/>
        <w:tblW w:w="888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8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名称：南宁市良庆区2021-2023年工程项目施工图审查服务定点单位采购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服务要求：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详见采购文件。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服务时间：自合同签订之日起至2023年12月31日止。服务期满后，如果因特殊需要延期合同的，经报请城区人民政府同意后，可以延期使用直至启用下一轮定点服务单位为止(延期最长不超过一年)。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服务标准：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符合国家、行业标准。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outlineLvl w:val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评审专家名单：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刘波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李志强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王翠英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陈敏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、</w:t>
      </w:r>
      <w:r>
        <w:rPr>
          <w:rFonts w:hint="eastAsia" w:ascii="宋体" w:hAnsi="宋体"/>
          <w:bCs/>
          <w:kern w:val="2"/>
          <w:sz w:val="24"/>
          <w:szCs w:val="24"/>
          <w:highlight w:val="none"/>
          <w:lang w:val="en-US" w:eastAsia="zh-CN" w:bidi="ar-SA"/>
        </w:rPr>
        <w:t>黄薇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 xml:space="preserve"> </w:t>
      </w:r>
    </w:p>
    <w:p>
      <w:pPr>
        <w:pStyle w:val="6"/>
        <w:spacing w:line="44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、招标代理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</w:rPr>
        <w:t>收费标准及金额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bookmarkStart w:id="0" w:name="_Toc449509178"/>
      <w:bookmarkStart w:id="1" w:name="_Toc388450309"/>
      <w:bookmarkStart w:id="2" w:name="_Toc291581938"/>
      <w:bookmarkStart w:id="3" w:name="_Toc448908614"/>
      <w:bookmarkStart w:id="4" w:name="_Toc322959183"/>
      <w:bookmarkStart w:id="5" w:name="_Toc435627470"/>
      <w:bookmarkStart w:id="6" w:name="_Toc402451421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国家发展改革委关于进一步放开建设项目专业服务价格的通知（发改价格〔2015〕299号）精神，代理服务费为¥4000.00元/家，由各分标中标供应商在领取中标通知书前，向采购代理机构一次性支付招标代理服务费。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Lines="0" w:line="440" w:lineRule="exact"/>
        <w:ind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中标结果公告期限：自中标结果公告发布之日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起一个工作日。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Lines="0" w:line="440" w:lineRule="exact"/>
        <w:ind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八、其他补充事宜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bookmarkStart w:id="7" w:name="_Toc448343806"/>
      <w:bookmarkStart w:id="8" w:name="_Toc448343931"/>
      <w:bookmarkStart w:id="9" w:name="_Toc450053767"/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未通过资格审查供应商及原因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无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网上查询地址：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instrText xml:space="preserve"> HYPERLINK "http://www.ccgp.gov.cn（中国政府采购网）， www.gxzfcg.gov.cn（广西壮族自治区政府采购网），www.nnggzy.org.cn （南宁市公共资源交易中心网）……"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www.ccgp.gov.cn（中国政府采购网）， http://zfcg.gxzf.gov.cn/（广西壮族自治区政府采购网），https://www.nnggzy.org.cn/gxnnzbw/（南宁市公共资源交易中心网）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bookmarkEnd w:id="7"/>
      <w:bookmarkEnd w:id="8"/>
      <w:bookmarkEnd w:id="9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凡是对本次公告内容提出询问，按以下方式联系。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1.采购人信息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名称：南宁市良庆区财政局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地址：南宁市良庆区歌海路9号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联系人及电话：梁工  0771-4950646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名称：广西邕政采购代理有限公司   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南宁市青秀区思贤路45号创投中心16A楼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 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联系方式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：黄工、丰工  0771-2442850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项目联系人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黄工、丰工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   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0771-2442850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  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十、附件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文件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唱标记录表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40" w:lineRule="exact"/>
        <w:ind w:firstLine="42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中标供应商《中小企业声明函》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0" w:firstLineChars="20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sectPr>
      <w:footerReference r:id="rId3" w:type="default"/>
      <w:pgSz w:w="11906" w:h="16838"/>
      <w:pgMar w:top="1020" w:right="991" w:bottom="10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dit="forms" w:formatting="1" w:enforcement="1" w:cryptProviderType="rsaFull" w:cryptAlgorithmClass="hash" w:cryptAlgorithmType="typeAny" w:cryptAlgorithmSid="4" w:cryptSpinCount="0" w:hash="R11ALinvSFamdPttp6T+eNZhLog=" w:salt="wsytYK/1wRF54KvBHHtvI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2853CD"/>
    <w:rsid w:val="00021320"/>
    <w:rsid w:val="0003097C"/>
    <w:rsid w:val="00072139"/>
    <w:rsid w:val="000C5D59"/>
    <w:rsid w:val="000E4A58"/>
    <w:rsid w:val="001775F2"/>
    <w:rsid w:val="001927A6"/>
    <w:rsid w:val="001D04BD"/>
    <w:rsid w:val="001E2FF3"/>
    <w:rsid w:val="002B43D2"/>
    <w:rsid w:val="002F495C"/>
    <w:rsid w:val="003937C6"/>
    <w:rsid w:val="003C3698"/>
    <w:rsid w:val="004E1D77"/>
    <w:rsid w:val="004E4E08"/>
    <w:rsid w:val="0050697D"/>
    <w:rsid w:val="00546849"/>
    <w:rsid w:val="00596ABC"/>
    <w:rsid w:val="005C29DB"/>
    <w:rsid w:val="005C6FED"/>
    <w:rsid w:val="006248D6"/>
    <w:rsid w:val="006850A4"/>
    <w:rsid w:val="00690374"/>
    <w:rsid w:val="006D2721"/>
    <w:rsid w:val="007261CA"/>
    <w:rsid w:val="00726B4F"/>
    <w:rsid w:val="0073367D"/>
    <w:rsid w:val="00770A40"/>
    <w:rsid w:val="007928EA"/>
    <w:rsid w:val="007D07BC"/>
    <w:rsid w:val="007D2229"/>
    <w:rsid w:val="00905984"/>
    <w:rsid w:val="009C2A32"/>
    <w:rsid w:val="009D702B"/>
    <w:rsid w:val="00A173B3"/>
    <w:rsid w:val="00A66268"/>
    <w:rsid w:val="00A754FB"/>
    <w:rsid w:val="00AD0767"/>
    <w:rsid w:val="00AF548B"/>
    <w:rsid w:val="00B25502"/>
    <w:rsid w:val="00B267A9"/>
    <w:rsid w:val="00B74AEA"/>
    <w:rsid w:val="00B83F27"/>
    <w:rsid w:val="00B8685C"/>
    <w:rsid w:val="00B86D75"/>
    <w:rsid w:val="00B96E0D"/>
    <w:rsid w:val="00BD03B6"/>
    <w:rsid w:val="00C2578A"/>
    <w:rsid w:val="00C77C9C"/>
    <w:rsid w:val="00CB191D"/>
    <w:rsid w:val="00CC0CD7"/>
    <w:rsid w:val="00D2682E"/>
    <w:rsid w:val="00D35D8D"/>
    <w:rsid w:val="00D438A8"/>
    <w:rsid w:val="00D63425"/>
    <w:rsid w:val="00D71D77"/>
    <w:rsid w:val="00DA04B4"/>
    <w:rsid w:val="00DE065D"/>
    <w:rsid w:val="00E6029F"/>
    <w:rsid w:val="00E87671"/>
    <w:rsid w:val="00E951C9"/>
    <w:rsid w:val="00EE134A"/>
    <w:rsid w:val="00EF1127"/>
    <w:rsid w:val="00F549BC"/>
    <w:rsid w:val="00F65F69"/>
    <w:rsid w:val="00FF0EB4"/>
    <w:rsid w:val="037B6AB4"/>
    <w:rsid w:val="044E33FA"/>
    <w:rsid w:val="076F0E16"/>
    <w:rsid w:val="08591E52"/>
    <w:rsid w:val="08D57F92"/>
    <w:rsid w:val="096B3BE2"/>
    <w:rsid w:val="096F66D6"/>
    <w:rsid w:val="0D1B1D5A"/>
    <w:rsid w:val="0E565F22"/>
    <w:rsid w:val="0F7E378C"/>
    <w:rsid w:val="1071354E"/>
    <w:rsid w:val="12F42B68"/>
    <w:rsid w:val="13100965"/>
    <w:rsid w:val="15435D56"/>
    <w:rsid w:val="162E3549"/>
    <w:rsid w:val="16D40312"/>
    <w:rsid w:val="17902E05"/>
    <w:rsid w:val="18321728"/>
    <w:rsid w:val="18A61CE5"/>
    <w:rsid w:val="1B3664A3"/>
    <w:rsid w:val="1B61058A"/>
    <w:rsid w:val="1FB93A73"/>
    <w:rsid w:val="1FE924E2"/>
    <w:rsid w:val="20182BE9"/>
    <w:rsid w:val="23E74092"/>
    <w:rsid w:val="25CD412C"/>
    <w:rsid w:val="27DE5EC9"/>
    <w:rsid w:val="2B420FC6"/>
    <w:rsid w:val="307C030C"/>
    <w:rsid w:val="342C1394"/>
    <w:rsid w:val="34C71D2E"/>
    <w:rsid w:val="34F71A7D"/>
    <w:rsid w:val="35134D8A"/>
    <w:rsid w:val="37224550"/>
    <w:rsid w:val="397A0427"/>
    <w:rsid w:val="3A3173AC"/>
    <w:rsid w:val="3AD8069F"/>
    <w:rsid w:val="3C1C55C9"/>
    <w:rsid w:val="3CCA4A7F"/>
    <w:rsid w:val="47CD545B"/>
    <w:rsid w:val="48886D83"/>
    <w:rsid w:val="490313C9"/>
    <w:rsid w:val="4C380A5F"/>
    <w:rsid w:val="4D544218"/>
    <w:rsid w:val="50B567E2"/>
    <w:rsid w:val="51432E0D"/>
    <w:rsid w:val="53912936"/>
    <w:rsid w:val="53A14014"/>
    <w:rsid w:val="57E5226A"/>
    <w:rsid w:val="584D174C"/>
    <w:rsid w:val="588E3055"/>
    <w:rsid w:val="5C2853CD"/>
    <w:rsid w:val="5C4E4A8A"/>
    <w:rsid w:val="5C8A7490"/>
    <w:rsid w:val="5E387169"/>
    <w:rsid w:val="60163F6F"/>
    <w:rsid w:val="6144604C"/>
    <w:rsid w:val="62227774"/>
    <w:rsid w:val="66DB3B32"/>
    <w:rsid w:val="67054361"/>
    <w:rsid w:val="67FB64A5"/>
    <w:rsid w:val="68152858"/>
    <w:rsid w:val="68B454DD"/>
    <w:rsid w:val="6D535020"/>
    <w:rsid w:val="6EE356E6"/>
    <w:rsid w:val="70691383"/>
    <w:rsid w:val="721F3E13"/>
    <w:rsid w:val="75883F58"/>
    <w:rsid w:val="7AD402CC"/>
    <w:rsid w:val="7D2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Document Map"/>
    <w:basedOn w:val="1"/>
    <w:link w:val="2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  <w:rPr>
      <w:kern w:val="0"/>
      <w:sz w:val="20"/>
    </w:rPr>
  </w:style>
  <w:style w:type="paragraph" w:styleId="6">
    <w:name w:val="Plain Text"/>
    <w:basedOn w:val="1"/>
    <w:next w:val="3"/>
    <w:link w:val="23"/>
    <w:unhideWhenUsed/>
    <w:qFormat/>
    <w:uiPriority w:val="0"/>
    <w:rPr>
      <w:rFonts w:ascii="宋体" w:hAnsi="Courier New"/>
      <w:szCs w:val="20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000000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/>
      <w:sz w:val="20"/>
      <w:u w:val="none"/>
    </w:rPr>
  </w:style>
  <w:style w:type="character" w:styleId="20">
    <w:name w:val="HTML Cite"/>
    <w:basedOn w:val="11"/>
    <w:qFormat/>
    <w:uiPriority w:val="0"/>
  </w:style>
  <w:style w:type="character" w:customStyle="1" w:styleId="21">
    <w:name w:val="文档结构图 Char"/>
    <w:basedOn w:val="11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2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23">
    <w:name w:val="纯文本 Char"/>
    <w:link w:val="6"/>
    <w:qFormat/>
    <w:locked/>
    <w:uiPriority w:val="0"/>
    <w:rPr>
      <w:rFonts w:ascii="宋体" w:hAnsi="Courier New"/>
      <w:kern w:val="2"/>
      <w:sz w:val="21"/>
    </w:rPr>
  </w:style>
  <w:style w:type="paragraph" w:customStyle="1" w:styleId="24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character" w:customStyle="1" w:styleId="25">
    <w:name w:val="margin_right202"/>
    <w:basedOn w:val="11"/>
    <w:qFormat/>
    <w:uiPriority w:val="0"/>
  </w:style>
  <w:style w:type="character" w:customStyle="1" w:styleId="26">
    <w:name w:val="hover"/>
    <w:basedOn w:val="11"/>
    <w:qFormat/>
    <w:uiPriority w:val="0"/>
    <w:rPr>
      <w:color w:val="0063BA"/>
    </w:rPr>
  </w:style>
  <w:style w:type="character" w:customStyle="1" w:styleId="27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28">
    <w:name w:val="before"/>
    <w:basedOn w:val="11"/>
    <w:qFormat/>
    <w:uiPriority w:val="0"/>
    <w:rPr>
      <w:shd w:val="clear" w:fill="E22323"/>
    </w:rPr>
  </w:style>
  <w:style w:type="character" w:customStyle="1" w:styleId="29">
    <w:name w:val="hover5"/>
    <w:basedOn w:val="11"/>
    <w:qFormat/>
    <w:uiPriority w:val="0"/>
    <w:rPr>
      <w:color w:val="0063BA"/>
    </w:rPr>
  </w:style>
  <w:style w:type="character" w:customStyle="1" w:styleId="30">
    <w:name w:val="margin_right20"/>
    <w:basedOn w:val="11"/>
    <w:qFormat/>
    <w:uiPriority w:val="0"/>
  </w:style>
  <w:style w:type="character" w:customStyle="1" w:styleId="31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32">
    <w:name w:val="hover4"/>
    <w:basedOn w:val="11"/>
    <w:qFormat/>
    <w:uiPriority w:val="0"/>
    <w:rPr>
      <w:color w:val="0063BA"/>
    </w:rPr>
  </w:style>
  <w:style w:type="character" w:customStyle="1" w:styleId="33">
    <w:name w:val="active"/>
    <w:basedOn w:val="11"/>
    <w:qFormat/>
    <w:uiPriority w:val="0"/>
    <w:rPr>
      <w:color w:val="FFFFFF"/>
      <w:shd w:val="clear" w:fill="E22323"/>
    </w:rPr>
  </w:style>
  <w:style w:type="character" w:customStyle="1" w:styleId="34">
    <w:name w:val="active4"/>
    <w:basedOn w:val="11"/>
    <w:qFormat/>
    <w:uiPriority w:val="0"/>
    <w:rPr>
      <w:color w:val="FFFFFF"/>
      <w:shd w:val="clear" w:fill="E22323"/>
    </w:rPr>
  </w:style>
  <w:style w:type="character" w:customStyle="1" w:styleId="35">
    <w:name w:val="active2"/>
    <w:basedOn w:val="11"/>
    <w:qFormat/>
    <w:uiPriority w:val="0"/>
    <w:rPr>
      <w:color w:val="FFFFFF"/>
      <w:shd w:val="clear" w:fill="E22323"/>
    </w:rPr>
  </w:style>
  <w:style w:type="character" w:customStyle="1" w:styleId="36">
    <w:name w:val="active3"/>
    <w:basedOn w:val="11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5</Pages>
  <Words>548</Words>
  <Characters>3126</Characters>
  <Lines>26</Lines>
  <Paragraphs>7</Paragraphs>
  <TotalTime>7</TotalTime>
  <ScaleCrop>false</ScaleCrop>
  <LinksUpToDate>false</LinksUpToDate>
  <CharactersWithSpaces>3667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2018-07-04T08:39:00Z</dcterms:created>
  <dc:creator>X.</dc:creator>
  <cp:lastModifiedBy>DLJG</cp:lastModifiedBy>
  <cp:lastPrinted>2019-02-21T02:56:00Z</cp:lastPrinted>
  <dcterms:modified xsi:type="dcterms:W3CDTF">2021-10-18T01:41:56Z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A59543902E744865A8CEE52F17091145</vt:lpwstr>
  </property>
</Properties>
</file>