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华文行楷" w:hAnsi="华文行楷" w:eastAsia="华文行楷" w:cs="华文行楷"/>
          <w:b/>
          <w:color w:val="000000"/>
          <w:sz w:val="72"/>
          <w:szCs w:val="72"/>
        </w:rPr>
      </w:pPr>
      <w:r>
        <w:rPr>
          <w:rFonts w:hint="eastAsia"/>
          <w:sz w:val="32"/>
          <w:szCs w:val="32"/>
          <w:lang w:val="en-US"/>
        </w:rPr>
        <w:t xml:space="preserve"> </w:t>
      </w:r>
      <w:r>
        <w:rPr>
          <w:rFonts w:hint="eastAsia"/>
          <w:sz w:val="32"/>
          <w:szCs w:val="32"/>
        </w:rPr>
        <w:drawing>
          <wp:inline distT="0" distB="0" distL="114300" distR="114300">
            <wp:extent cx="1064895" cy="745490"/>
            <wp:effectExtent l="0" t="0" r="1905" b="3810"/>
            <wp:docPr id="93" name="图片 1" descr="图标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descr="图标2017"/>
                    <pic:cNvPicPr>
                      <a:picLocks noChangeAspect="1"/>
                    </pic:cNvPicPr>
                  </pic:nvPicPr>
                  <pic:blipFill>
                    <a:blip r:embed="rId13"/>
                    <a:srcRect l="23178" t="19746" r="23892" b="42766"/>
                    <a:stretch>
                      <a:fillRect/>
                    </a:stretch>
                  </pic:blipFill>
                  <pic:spPr>
                    <a:xfrm>
                      <a:off x="0" y="0"/>
                      <a:ext cx="1064895" cy="745490"/>
                    </a:xfrm>
                    <a:prstGeom prst="rect">
                      <a:avLst/>
                    </a:prstGeom>
                    <a:noFill/>
                    <a:ln>
                      <a:noFill/>
                    </a:ln>
                  </pic:spPr>
                </pic:pic>
              </a:graphicData>
            </a:graphic>
          </wp:inline>
        </w:drawing>
      </w:r>
      <w:r>
        <w:drawing>
          <wp:inline distT="0" distB="0" distL="114300" distR="114300">
            <wp:extent cx="5014595" cy="702310"/>
            <wp:effectExtent l="0" t="0" r="0" b="8890"/>
            <wp:docPr id="92" name="图片 2" descr="国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descr="国兴"/>
                    <pic:cNvPicPr>
                      <a:picLocks noChangeAspect="1"/>
                    </pic:cNvPicPr>
                  </pic:nvPicPr>
                  <pic:blipFill>
                    <a:blip r:embed="rId14"/>
                    <a:srcRect l="13968" t="-5786" r="-1166"/>
                    <a:stretch>
                      <a:fillRect/>
                    </a:stretch>
                  </pic:blipFill>
                  <pic:spPr>
                    <a:xfrm>
                      <a:off x="0" y="0"/>
                      <a:ext cx="5014595" cy="702310"/>
                    </a:xfrm>
                    <a:prstGeom prst="rect">
                      <a:avLst/>
                    </a:prstGeom>
                    <a:noFill/>
                    <a:ln>
                      <a:noFill/>
                    </a:ln>
                  </pic:spPr>
                </pic:pic>
              </a:graphicData>
            </a:graphic>
          </wp:inline>
        </w:drawing>
      </w:r>
      <w:r>
        <w:rPr>
          <w:rFonts w:hint="eastAsia"/>
          <w:sz w:val="32"/>
          <w:szCs w:val="32"/>
          <w:lang w:val="en-US"/>
        </w:rPr>
        <w:t xml:space="preserve"> </w:t>
      </w:r>
    </w:p>
    <w:p>
      <w:pPr>
        <w:spacing w:line="360" w:lineRule="auto"/>
        <w:jc w:val="both"/>
        <w:rPr>
          <w:rFonts w:ascii="华文行楷" w:hAnsi="华文行楷" w:eastAsia="华文行楷" w:cs="华文行楷"/>
          <w:b/>
          <w:color w:val="000000"/>
          <w:sz w:val="72"/>
          <w:szCs w:val="72"/>
        </w:rPr>
      </w:pPr>
    </w:p>
    <w:p>
      <w:pPr>
        <w:spacing w:line="360" w:lineRule="auto"/>
        <w:jc w:val="center"/>
        <w:rPr>
          <w:rFonts w:ascii="华文行楷" w:hAnsi="华文行楷" w:eastAsia="华文行楷" w:cs="华文行楷"/>
          <w:b/>
          <w:color w:val="000000"/>
          <w:kern w:val="2"/>
          <w:sz w:val="72"/>
          <w:szCs w:val="72"/>
          <w:lang w:val="en-US" w:bidi="ar-SA"/>
        </w:rPr>
      </w:pPr>
      <w:r>
        <w:rPr>
          <w:rFonts w:hint="eastAsia" w:ascii="华文行楷" w:hAnsi="华文行楷" w:eastAsia="华文行楷" w:cs="华文行楷"/>
          <w:b/>
          <w:color w:val="000000"/>
          <w:kern w:val="2"/>
          <w:sz w:val="72"/>
          <w:szCs w:val="72"/>
          <w:lang w:val="en-US" w:bidi="ar-SA"/>
        </w:rPr>
        <w:t>公开招标文件</w:t>
      </w:r>
    </w:p>
    <w:p>
      <w:pPr>
        <w:pStyle w:val="27"/>
        <w:spacing w:line="2000" w:lineRule="exact"/>
        <w:jc w:val="center"/>
        <w:rPr>
          <w:rFonts w:hAnsi="宋体"/>
          <w:b/>
          <w:color w:val="000000"/>
          <w:spacing w:val="20"/>
          <w:sz w:val="72"/>
          <w:szCs w:val="72"/>
        </w:rPr>
      </w:pPr>
    </w:p>
    <w:p>
      <w:pPr>
        <w:pStyle w:val="27"/>
        <w:jc w:val="center"/>
        <w:rPr>
          <w:color w:val="000000"/>
          <w:sz w:val="28"/>
        </w:rPr>
      </w:pPr>
    </w:p>
    <w:p>
      <w:pPr>
        <w:pStyle w:val="27"/>
        <w:ind w:left="2262" w:leftChars="152" w:right="273" w:rightChars="124" w:hanging="1928" w:hangingChars="600"/>
        <w:rPr>
          <w:rFonts w:hAnsi="宋体"/>
          <w:b/>
          <w:color w:val="000000"/>
          <w:sz w:val="32"/>
          <w:szCs w:val="32"/>
        </w:rPr>
      </w:pPr>
      <w:r>
        <w:rPr>
          <w:rFonts w:hint="eastAsia" w:hAnsi="宋体"/>
          <w:b/>
          <w:color w:val="000000"/>
          <w:sz w:val="32"/>
          <w:szCs w:val="32"/>
        </w:rPr>
        <w:t xml:space="preserve">  项目名称：大新县应急广播体系建设工程（设备采购）</w:t>
      </w:r>
    </w:p>
    <w:p>
      <w:pPr>
        <w:pStyle w:val="27"/>
        <w:ind w:firstLine="643" w:firstLineChars="200"/>
        <w:jc w:val="both"/>
        <w:rPr>
          <w:color w:val="000000"/>
          <w:sz w:val="36"/>
        </w:rPr>
      </w:pPr>
      <w:r>
        <w:rPr>
          <w:rFonts w:hint="eastAsia" w:hAnsi="宋体"/>
          <w:b/>
          <w:color w:val="000000"/>
          <w:sz w:val="32"/>
          <w:szCs w:val="32"/>
        </w:rPr>
        <w:t>项目编号</w:t>
      </w:r>
      <w:r>
        <w:rPr>
          <w:rFonts w:hint="eastAsia" w:hAnsi="宋体"/>
          <w:b/>
          <w:sz w:val="32"/>
          <w:szCs w:val="32"/>
        </w:rPr>
        <w:t>：CZZC2021-G1-240114-GXGX</w:t>
      </w:r>
    </w:p>
    <w:p>
      <w:pPr>
        <w:pBdr>
          <w:bottom w:val="thickThinSmallGap" w:color="auto" w:sz="24" w:space="1"/>
        </w:pBdr>
        <w:snapToGrid w:val="0"/>
        <w:spacing w:before="120" w:beforeLines="50" w:line="600" w:lineRule="exact"/>
        <w:rPr>
          <w:b/>
          <w:bCs/>
          <w:color w:val="000000"/>
          <w:sz w:val="36"/>
          <w:szCs w:val="36"/>
        </w:rPr>
      </w:pPr>
    </w:p>
    <w:p>
      <w:pPr>
        <w:rPr>
          <w:color w:val="000000"/>
          <w:sz w:val="36"/>
        </w:rPr>
      </w:pPr>
    </w:p>
    <w:p>
      <w:pPr>
        <w:spacing w:line="660" w:lineRule="exact"/>
        <w:ind w:firstLine="1285" w:firstLineChars="400"/>
        <w:rPr>
          <w:b/>
          <w:color w:val="000000"/>
          <w:sz w:val="32"/>
          <w:szCs w:val="32"/>
        </w:rPr>
      </w:pPr>
      <w:r>
        <w:rPr>
          <w:rFonts w:hint="eastAsia"/>
          <w:b/>
          <w:color w:val="000000"/>
          <w:sz w:val="32"/>
          <w:szCs w:val="32"/>
        </w:rPr>
        <w:t>采 购 单 位：大新县文化旅游和体育广电局</w:t>
      </w:r>
    </w:p>
    <w:p>
      <w:pPr>
        <w:spacing w:line="660" w:lineRule="exact"/>
        <w:ind w:firstLine="1285" w:firstLineChars="400"/>
        <w:rPr>
          <w:b/>
          <w:color w:val="000000"/>
          <w:sz w:val="32"/>
          <w:szCs w:val="32"/>
        </w:rPr>
      </w:pPr>
      <w:r>
        <w:rPr>
          <w:rFonts w:hint="eastAsia"/>
          <w:b/>
          <w:color w:val="000000"/>
          <w:sz w:val="32"/>
          <w:szCs w:val="32"/>
        </w:rPr>
        <w:t xml:space="preserve">采购代理机构：广西国兴项目管理有限公司 </w:t>
      </w:r>
    </w:p>
    <w:p>
      <w:pPr>
        <w:jc w:val="center"/>
        <w:rPr>
          <w:sz w:val="36"/>
        </w:rPr>
        <w:sectPr>
          <w:pgSz w:w="11910" w:h="16840"/>
          <w:pgMar w:top="1280" w:right="760" w:bottom="280" w:left="820" w:header="720" w:footer="720" w:gutter="0"/>
          <w:cols w:space="720" w:num="1"/>
        </w:sectPr>
      </w:pPr>
      <w:r>
        <w:rPr>
          <w:rFonts w:hint="eastAsia" w:ascii="Courier New" w:hAnsi="Courier New" w:cs="Courier New"/>
          <w:b/>
          <w:color w:val="000000"/>
          <w:sz w:val="32"/>
        </w:rPr>
        <w:t>20</w:t>
      </w:r>
      <w:r>
        <w:rPr>
          <w:rFonts w:hint="eastAsia" w:ascii="Courier New" w:hAnsi="Courier New" w:cs="Courier New"/>
          <w:b/>
          <w:color w:val="000000"/>
          <w:sz w:val="32"/>
          <w:lang w:val="en-US"/>
        </w:rPr>
        <w:t>21</w:t>
      </w:r>
      <w:r>
        <w:rPr>
          <w:rFonts w:hint="eastAsia" w:ascii="Courier New" w:hAnsi="Courier New" w:cs="Courier New"/>
          <w:b/>
          <w:color w:val="000000"/>
          <w:sz w:val="32"/>
        </w:rPr>
        <w:t>年</w:t>
      </w:r>
      <w:r>
        <w:rPr>
          <w:rFonts w:hint="eastAsia" w:ascii="Courier New" w:hAnsi="Courier New" w:cs="Courier New"/>
          <w:b/>
          <w:color w:val="000000"/>
          <w:sz w:val="32"/>
          <w:lang w:val="en-US"/>
        </w:rPr>
        <w:t>09</w:t>
      </w:r>
      <w:r>
        <w:rPr>
          <w:rFonts w:hint="eastAsia" w:ascii="Courier New" w:hAnsi="Courier New" w:cs="Courier New"/>
          <w:b/>
          <w:color w:val="000000"/>
          <w:sz w:val="32"/>
        </w:rPr>
        <w:t>月</w:t>
      </w:r>
    </w:p>
    <w:p>
      <w:pPr>
        <w:pStyle w:val="19"/>
        <w:rPr>
          <w:rFonts w:ascii="仿宋"/>
          <w:sz w:val="20"/>
        </w:rPr>
      </w:pPr>
    </w:p>
    <w:p>
      <w:pPr>
        <w:pStyle w:val="19"/>
        <w:spacing w:before="12"/>
        <w:rPr>
          <w:rFonts w:ascii="仿宋"/>
          <w:sz w:val="19"/>
        </w:rPr>
      </w:pPr>
    </w:p>
    <w:p>
      <w:pPr>
        <w:pStyle w:val="5"/>
        <w:tabs>
          <w:tab w:val="left" w:pos="1200"/>
        </w:tabs>
        <w:rPr>
          <w:sz w:val="56"/>
          <w:szCs w:val="56"/>
        </w:rPr>
      </w:pPr>
      <w:bookmarkStart w:id="0" w:name="_Toc59"/>
      <w:r>
        <w:rPr>
          <w:sz w:val="56"/>
          <w:szCs w:val="56"/>
        </w:rPr>
        <w:t>目</w:t>
      </w:r>
      <w:r>
        <w:rPr>
          <w:sz w:val="56"/>
          <w:szCs w:val="56"/>
        </w:rPr>
        <w:tab/>
      </w:r>
      <w:r>
        <w:rPr>
          <w:sz w:val="56"/>
          <w:szCs w:val="56"/>
        </w:rPr>
        <w:t>录</w:t>
      </w:r>
      <w:bookmarkEnd w:id="0"/>
    </w:p>
    <w:sdt>
      <w:sdtPr>
        <w:rPr>
          <w:rFonts w:ascii="宋体" w:hAnsi="宋体" w:eastAsia="宋体" w:cs="宋体"/>
          <w:sz w:val="21"/>
          <w:szCs w:val="22"/>
          <w:lang w:val="zh-CN" w:eastAsia="zh-CN" w:bidi="zh-CN"/>
        </w:rPr>
        <w:id w:val="147465761"/>
        <w15:color w:val="DBDBDB"/>
        <w:docPartObj>
          <w:docPartGallery w:val="Table of Contents"/>
          <w:docPartUnique/>
        </w:docPartObj>
      </w:sdtPr>
      <w:sdtEndPr>
        <w:rPr>
          <w:rFonts w:ascii="宋体" w:hAnsi="宋体" w:eastAsia="宋体" w:cs="宋体"/>
          <w:sz w:val="48"/>
          <w:szCs w:val="48"/>
          <w:lang w:val="zh-CN" w:eastAsia="zh-CN" w:bidi="zh-CN"/>
        </w:rPr>
      </w:sdtEndPr>
      <w:sdtContent>
        <w:p>
          <w:pPr>
            <w:spacing w:before="0" w:beforeLines="0" w:after="0" w:afterLines="0" w:line="240" w:lineRule="auto"/>
            <w:ind w:left="0" w:leftChars="0" w:right="0" w:rightChars="0" w:firstLine="0" w:firstLineChars="0"/>
            <w:jc w:val="center"/>
          </w:pPr>
        </w:p>
        <w:p>
          <w:pPr>
            <w:pStyle w:val="188"/>
            <w:tabs>
              <w:tab w:val="right" w:pos="2400"/>
              <w:tab w:val="right" w:leader="dot" w:pos="10470"/>
            </w:tabs>
            <w:spacing w:line="480" w:lineRule="auto"/>
            <w:rPr>
              <w:sz w:val="40"/>
              <w:szCs w:val="40"/>
            </w:rPr>
          </w:pPr>
          <w:r>
            <w:rPr>
              <w:sz w:val="40"/>
              <w:szCs w:val="40"/>
            </w:rPr>
            <w:fldChar w:fldCharType="begin"/>
          </w:r>
          <w:r>
            <w:rPr>
              <w:sz w:val="40"/>
              <w:szCs w:val="40"/>
            </w:rPr>
            <w:instrText xml:space="preserve">TOC \o "1-3" \h \u </w:instrText>
          </w:r>
          <w:r>
            <w:rPr>
              <w:sz w:val="40"/>
              <w:szCs w:val="40"/>
            </w:rPr>
            <w:fldChar w:fldCharType="separate"/>
          </w:r>
        </w:p>
        <w:p>
          <w:pPr>
            <w:pStyle w:val="189"/>
            <w:tabs>
              <w:tab w:val="right" w:leader="dot" w:pos="10470"/>
            </w:tabs>
            <w:spacing w:line="480" w:lineRule="auto"/>
            <w:rPr>
              <w:sz w:val="40"/>
              <w:szCs w:val="40"/>
            </w:rPr>
          </w:pPr>
          <w:r>
            <w:rPr>
              <w:sz w:val="40"/>
              <w:szCs w:val="40"/>
            </w:rPr>
            <w:fldChar w:fldCharType="begin"/>
          </w:r>
          <w:r>
            <w:rPr>
              <w:sz w:val="40"/>
              <w:szCs w:val="40"/>
            </w:rPr>
            <w:instrText xml:space="preserve"> HYPERLINK \l _Toc28766 </w:instrText>
          </w:r>
          <w:r>
            <w:rPr>
              <w:sz w:val="40"/>
              <w:szCs w:val="40"/>
            </w:rPr>
            <w:fldChar w:fldCharType="separate"/>
          </w:r>
          <w:r>
            <w:rPr>
              <w:sz w:val="40"/>
              <w:szCs w:val="40"/>
            </w:rPr>
            <w:t>第一章 招标公告</w:t>
          </w:r>
          <w:r>
            <w:rPr>
              <w:sz w:val="40"/>
              <w:szCs w:val="40"/>
            </w:rPr>
            <w:tab/>
          </w:r>
          <w:r>
            <w:rPr>
              <w:sz w:val="40"/>
              <w:szCs w:val="40"/>
            </w:rPr>
            <w:fldChar w:fldCharType="begin"/>
          </w:r>
          <w:r>
            <w:rPr>
              <w:sz w:val="40"/>
              <w:szCs w:val="40"/>
            </w:rPr>
            <w:instrText xml:space="preserve"> PAGEREF _Toc28766 \h </w:instrText>
          </w:r>
          <w:r>
            <w:rPr>
              <w:sz w:val="40"/>
              <w:szCs w:val="40"/>
            </w:rPr>
            <w:fldChar w:fldCharType="separate"/>
          </w:r>
          <w:r>
            <w:rPr>
              <w:sz w:val="40"/>
              <w:szCs w:val="40"/>
            </w:rPr>
            <w:t>1</w:t>
          </w:r>
          <w:r>
            <w:rPr>
              <w:sz w:val="40"/>
              <w:szCs w:val="40"/>
            </w:rPr>
            <w:fldChar w:fldCharType="end"/>
          </w:r>
          <w:r>
            <w:rPr>
              <w:sz w:val="40"/>
              <w:szCs w:val="40"/>
            </w:rPr>
            <w:fldChar w:fldCharType="end"/>
          </w:r>
        </w:p>
        <w:p>
          <w:pPr>
            <w:pStyle w:val="189"/>
            <w:tabs>
              <w:tab w:val="right" w:leader="dot" w:pos="10470"/>
            </w:tabs>
            <w:spacing w:line="480" w:lineRule="auto"/>
            <w:rPr>
              <w:sz w:val="40"/>
              <w:szCs w:val="40"/>
            </w:rPr>
          </w:pPr>
          <w:r>
            <w:rPr>
              <w:sz w:val="40"/>
              <w:szCs w:val="40"/>
            </w:rPr>
            <w:fldChar w:fldCharType="begin"/>
          </w:r>
          <w:r>
            <w:rPr>
              <w:sz w:val="40"/>
              <w:szCs w:val="40"/>
            </w:rPr>
            <w:instrText xml:space="preserve"> HYPERLINK \l _Toc4604 </w:instrText>
          </w:r>
          <w:r>
            <w:rPr>
              <w:sz w:val="40"/>
              <w:szCs w:val="40"/>
            </w:rPr>
            <w:fldChar w:fldCharType="separate"/>
          </w:r>
          <w:r>
            <w:rPr>
              <w:rFonts w:hint="eastAsia"/>
              <w:kern w:val="44"/>
              <w:sz w:val="40"/>
              <w:szCs w:val="160"/>
            </w:rPr>
            <w:t>第二章  采购需求</w:t>
          </w:r>
          <w:r>
            <w:rPr>
              <w:sz w:val="40"/>
              <w:szCs w:val="40"/>
            </w:rPr>
            <w:tab/>
          </w:r>
          <w:r>
            <w:rPr>
              <w:sz w:val="40"/>
              <w:szCs w:val="40"/>
            </w:rPr>
            <w:fldChar w:fldCharType="begin"/>
          </w:r>
          <w:r>
            <w:rPr>
              <w:sz w:val="40"/>
              <w:szCs w:val="40"/>
            </w:rPr>
            <w:instrText xml:space="preserve"> PAGEREF _Toc4604 \h </w:instrText>
          </w:r>
          <w:r>
            <w:rPr>
              <w:sz w:val="40"/>
              <w:szCs w:val="40"/>
            </w:rPr>
            <w:fldChar w:fldCharType="separate"/>
          </w:r>
          <w:r>
            <w:rPr>
              <w:sz w:val="40"/>
              <w:szCs w:val="40"/>
            </w:rPr>
            <w:t>4</w:t>
          </w:r>
          <w:r>
            <w:rPr>
              <w:sz w:val="40"/>
              <w:szCs w:val="40"/>
            </w:rPr>
            <w:fldChar w:fldCharType="end"/>
          </w:r>
          <w:r>
            <w:rPr>
              <w:sz w:val="40"/>
              <w:szCs w:val="40"/>
            </w:rPr>
            <w:fldChar w:fldCharType="end"/>
          </w:r>
        </w:p>
        <w:p>
          <w:pPr>
            <w:pStyle w:val="189"/>
            <w:tabs>
              <w:tab w:val="right" w:pos="2000"/>
              <w:tab w:val="right" w:leader="dot" w:pos="10470"/>
            </w:tabs>
            <w:spacing w:line="480" w:lineRule="auto"/>
            <w:rPr>
              <w:sz w:val="40"/>
              <w:szCs w:val="40"/>
            </w:rPr>
          </w:pPr>
          <w:r>
            <w:rPr>
              <w:sz w:val="40"/>
              <w:szCs w:val="40"/>
            </w:rPr>
            <w:fldChar w:fldCharType="begin"/>
          </w:r>
          <w:r>
            <w:rPr>
              <w:sz w:val="40"/>
              <w:szCs w:val="40"/>
            </w:rPr>
            <w:instrText xml:space="preserve"> HYPERLINK \l _Toc25777 </w:instrText>
          </w:r>
          <w:r>
            <w:rPr>
              <w:sz w:val="40"/>
              <w:szCs w:val="40"/>
            </w:rPr>
            <w:fldChar w:fldCharType="separate"/>
          </w:r>
          <w:r>
            <w:rPr>
              <w:bCs/>
              <w:sz w:val="40"/>
              <w:szCs w:val="160"/>
            </w:rPr>
            <w:t>第三章</w:t>
          </w:r>
          <w:r>
            <w:rPr>
              <w:bCs/>
              <w:sz w:val="40"/>
              <w:szCs w:val="160"/>
            </w:rPr>
            <w:tab/>
          </w:r>
          <w:r>
            <w:rPr>
              <w:bCs/>
              <w:sz w:val="40"/>
              <w:szCs w:val="160"/>
            </w:rPr>
            <w:t>投标人须知</w:t>
          </w:r>
          <w:r>
            <w:rPr>
              <w:sz w:val="40"/>
              <w:szCs w:val="40"/>
            </w:rPr>
            <w:tab/>
          </w:r>
          <w:r>
            <w:rPr>
              <w:sz w:val="40"/>
              <w:szCs w:val="40"/>
            </w:rPr>
            <w:fldChar w:fldCharType="begin"/>
          </w:r>
          <w:r>
            <w:rPr>
              <w:sz w:val="40"/>
              <w:szCs w:val="40"/>
            </w:rPr>
            <w:instrText xml:space="preserve"> PAGEREF _Toc25777 \h </w:instrText>
          </w:r>
          <w:r>
            <w:rPr>
              <w:sz w:val="40"/>
              <w:szCs w:val="40"/>
            </w:rPr>
            <w:fldChar w:fldCharType="separate"/>
          </w:r>
          <w:r>
            <w:rPr>
              <w:sz w:val="40"/>
              <w:szCs w:val="40"/>
            </w:rPr>
            <w:t>58</w:t>
          </w:r>
          <w:r>
            <w:rPr>
              <w:sz w:val="40"/>
              <w:szCs w:val="40"/>
            </w:rPr>
            <w:fldChar w:fldCharType="end"/>
          </w:r>
          <w:r>
            <w:rPr>
              <w:sz w:val="40"/>
              <w:szCs w:val="40"/>
            </w:rPr>
            <w:fldChar w:fldCharType="end"/>
          </w:r>
        </w:p>
        <w:p>
          <w:pPr>
            <w:pStyle w:val="189"/>
            <w:tabs>
              <w:tab w:val="right" w:pos="2000"/>
              <w:tab w:val="right" w:leader="dot" w:pos="10470"/>
            </w:tabs>
            <w:spacing w:line="480" w:lineRule="auto"/>
            <w:rPr>
              <w:sz w:val="40"/>
              <w:szCs w:val="40"/>
            </w:rPr>
          </w:pPr>
          <w:r>
            <w:rPr>
              <w:sz w:val="40"/>
              <w:szCs w:val="40"/>
            </w:rPr>
            <w:fldChar w:fldCharType="begin"/>
          </w:r>
          <w:r>
            <w:rPr>
              <w:sz w:val="40"/>
              <w:szCs w:val="40"/>
            </w:rPr>
            <w:instrText xml:space="preserve"> HYPERLINK \l _Toc22960 </w:instrText>
          </w:r>
          <w:r>
            <w:rPr>
              <w:sz w:val="40"/>
              <w:szCs w:val="40"/>
            </w:rPr>
            <w:fldChar w:fldCharType="separate"/>
          </w:r>
          <w:r>
            <w:rPr>
              <w:sz w:val="40"/>
              <w:szCs w:val="40"/>
            </w:rPr>
            <w:t>第四章</w:t>
          </w:r>
          <w:r>
            <w:rPr>
              <w:sz w:val="40"/>
              <w:szCs w:val="40"/>
            </w:rPr>
            <w:tab/>
          </w:r>
          <w:r>
            <w:rPr>
              <w:sz w:val="40"/>
              <w:szCs w:val="40"/>
            </w:rPr>
            <w:t>评标方法及评标标准</w:t>
          </w:r>
          <w:r>
            <w:rPr>
              <w:sz w:val="40"/>
              <w:szCs w:val="40"/>
            </w:rPr>
            <w:tab/>
          </w:r>
          <w:r>
            <w:rPr>
              <w:sz w:val="40"/>
              <w:szCs w:val="40"/>
            </w:rPr>
            <w:fldChar w:fldCharType="begin"/>
          </w:r>
          <w:r>
            <w:rPr>
              <w:sz w:val="40"/>
              <w:szCs w:val="40"/>
            </w:rPr>
            <w:instrText xml:space="preserve"> PAGEREF _Toc22960 \h </w:instrText>
          </w:r>
          <w:r>
            <w:rPr>
              <w:sz w:val="40"/>
              <w:szCs w:val="40"/>
            </w:rPr>
            <w:fldChar w:fldCharType="separate"/>
          </w:r>
          <w:r>
            <w:rPr>
              <w:sz w:val="40"/>
              <w:szCs w:val="40"/>
            </w:rPr>
            <w:t>77</w:t>
          </w:r>
          <w:r>
            <w:rPr>
              <w:sz w:val="40"/>
              <w:szCs w:val="40"/>
            </w:rPr>
            <w:fldChar w:fldCharType="end"/>
          </w:r>
          <w:r>
            <w:rPr>
              <w:sz w:val="40"/>
              <w:szCs w:val="40"/>
            </w:rPr>
            <w:fldChar w:fldCharType="end"/>
          </w:r>
        </w:p>
        <w:p>
          <w:pPr>
            <w:pStyle w:val="189"/>
            <w:tabs>
              <w:tab w:val="right" w:pos="2000"/>
              <w:tab w:val="right" w:leader="dot" w:pos="10470"/>
            </w:tabs>
            <w:spacing w:line="480" w:lineRule="auto"/>
            <w:rPr>
              <w:sz w:val="40"/>
              <w:szCs w:val="40"/>
            </w:rPr>
          </w:pPr>
          <w:r>
            <w:rPr>
              <w:sz w:val="40"/>
              <w:szCs w:val="40"/>
            </w:rPr>
            <w:fldChar w:fldCharType="begin"/>
          </w:r>
          <w:r>
            <w:rPr>
              <w:sz w:val="40"/>
              <w:szCs w:val="40"/>
            </w:rPr>
            <w:instrText xml:space="preserve"> HYPERLINK \l _Toc27721 </w:instrText>
          </w:r>
          <w:r>
            <w:rPr>
              <w:sz w:val="40"/>
              <w:szCs w:val="40"/>
            </w:rPr>
            <w:fldChar w:fldCharType="separate"/>
          </w:r>
          <w:r>
            <w:rPr>
              <w:bCs/>
              <w:sz w:val="40"/>
              <w:szCs w:val="40"/>
            </w:rPr>
            <w:t>第五章</w:t>
          </w:r>
          <w:r>
            <w:rPr>
              <w:bCs/>
              <w:sz w:val="40"/>
              <w:szCs w:val="40"/>
            </w:rPr>
            <w:tab/>
          </w:r>
          <w:r>
            <w:rPr>
              <w:sz w:val="40"/>
              <w:szCs w:val="40"/>
            </w:rPr>
            <w:t>拟签订的合同文本</w:t>
          </w:r>
          <w:r>
            <w:rPr>
              <w:sz w:val="40"/>
              <w:szCs w:val="40"/>
            </w:rPr>
            <w:tab/>
          </w:r>
          <w:r>
            <w:rPr>
              <w:sz w:val="40"/>
              <w:szCs w:val="40"/>
            </w:rPr>
            <w:fldChar w:fldCharType="begin"/>
          </w:r>
          <w:r>
            <w:rPr>
              <w:sz w:val="40"/>
              <w:szCs w:val="40"/>
            </w:rPr>
            <w:instrText xml:space="preserve"> PAGEREF _Toc27721 \h </w:instrText>
          </w:r>
          <w:r>
            <w:rPr>
              <w:sz w:val="40"/>
              <w:szCs w:val="40"/>
            </w:rPr>
            <w:fldChar w:fldCharType="separate"/>
          </w:r>
          <w:r>
            <w:rPr>
              <w:sz w:val="40"/>
              <w:szCs w:val="40"/>
            </w:rPr>
            <w:t>84</w:t>
          </w:r>
          <w:r>
            <w:rPr>
              <w:sz w:val="40"/>
              <w:szCs w:val="40"/>
            </w:rPr>
            <w:fldChar w:fldCharType="end"/>
          </w:r>
          <w:r>
            <w:rPr>
              <w:sz w:val="40"/>
              <w:szCs w:val="40"/>
            </w:rPr>
            <w:fldChar w:fldCharType="end"/>
          </w:r>
        </w:p>
        <w:p>
          <w:pPr>
            <w:pStyle w:val="189"/>
            <w:tabs>
              <w:tab w:val="right" w:pos="2000"/>
              <w:tab w:val="right" w:leader="dot" w:pos="10470"/>
            </w:tabs>
            <w:spacing w:line="480" w:lineRule="auto"/>
            <w:rPr>
              <w:sz w:val="40"/>
              <w:szCs w:val="40"/>
            </w:rPr>
          </w:pPr>
          <w:r>
            <w:rPr>
              <w:sz w:val="40"/>
              <w:szCs w:val="40"/>
            </w:rPr>
            <w:fldChar w:fldCharType="begin"/>
          </w:r>
          <w:r>
            <w:rPr>
              <w:sz w:val="40"/>
              <w:szCs w:val="40"/>
            </w:rPr>
            <w:instrText xml:space="preserve"> HYPERLINK \l _Toc32294 </w:instrText>
          </w:r>
          <w:r>
            <w:rPr>
              <w:sz w:val="40"/>
              <w:szCs w:val="40"/>
            </w:rPr>
            <w:fldChar w:fldCharType="separate"/>
          </w:r>
          <w:r>
            <w:rPr>
              <w:sz w:val="40"/>
              <w:szCs w:val="40"/>
            </w:rPr>
            <w:t>第六章</w:t>
          </w:r>
          <w:r>
            <w:rPr>
              <w:sz w:val="40"/>
              <w:szCs w:val="40"/>
            </w:rPr>
            <w:tab/>
          </w:r>
          <w:r>
            <w:rPr>
              <w:sz w:val="40"/>
              <w:szCs w:val="40"/>
            </w:rPr>
            <w:t>投标文件格式</w:t>
          </w:r>
          <w:r>
            <w:rPr>
              <w:sz w:val="40"/>
              <w:szCs w:val="40"/>
            </w:rPr>
            <w:tab/>
          </w:r>
          <w:r>
            <w:rPr>
              <w:sz w:val="40"/>
              <w:szCs w:val="40"/>
            </w:rPr>
            <w:fldChar w:fldCharType="begin"/>
          </w:r>
          <w:r>
            <w:rPr>
              <w:sz w:val="40"/>
              <w:szCs w:val="40"/>
            </w:rPr>
            <w:instrText xml:space="preserve"> PAGEREF _Toc32294 \h </w:instrText>
          </w:r>
          <w:r>
            <w:rPr>
              <w:sz w:val="40"/>
              <w:szCs w:val="40"/>
            </w:rPr>
            <w:fldChar w:fldCharType="separate"/>
          </w:r>
          <w:r>
            <w:rPr>
              <w:sz w:val="40"/>
              <w:szCs w:val="40"/>
            </w:rPr>
            <w:t>91</w:t>
          </w:r>
          <w:r>
            <w:rPr>
              <w:sz w:val="40"/>
              <w:szCs w:val="40"/>
            </w:rPr>
            <w:fldChar w:fldCharType="end"/>
          </w:r>
          <w:r>
            <w:rPr>
              <w:sz w:val="40"/>
              <w:szCs w:val="40"/>
            </w:rPr>
            <w:fldChar w:fldCharType="end"/>
          </w:r>
        </w:p>
        <w:p>
          <w:pPr>
            <w:spacing w:line="480" w:lineRule="auto"/>
            <w:rPr>
              <w:sz w:val="48"/>
              <w:szCs w:val="48"/>
            </w:rPr>
            <w:sectPr>
              <w:pgSz w:w="11910" w:h="16840"/>
              <w:pgMar w:top="1580" w:right="720" w:bottom="280" w:left="720" w:header="720" w:footer="720" w:gutter="0"/>
              <w:cols w:space="720" w:num="1"/>
            </w:sectPr>
          </w:pPr>
          <w:r>
            <w:rPr>
              <w:sz w:val="48"/>
              <w:szCs w:val="48"/>
            </w:rPr>
            <w:fldChar w:fldCharType="end"/>
          </w:r>
        </w:p>
      </w:sdtContent>
    </w:sdt>
    <w:p>
      <w:pPr>
        <w:pStyle w:val="3"/>
        <w:ind w:left="0"/>
      </w:pPr>
      <w:bookmarkStart w:id="1" w:name="_Toc28766"/>
      <w:r>
        <w:t>第一章 招标公告</w:t>
      </w:r>
      <w:bookmarkEnd w:id="1"/>
    </w:p>
    <w:p>
      <w:pPr>
        <w:pStyle w:val="19"/>
        <w:rPr>
          <w:b/>
          <w:sz w:val="20"/>
        </w:rPr>
      </w:pPr>
    </w:p>
    <w:p>
      <w:pPr>
        <w:pStyle w:val="19"/>
        <w:rPr>
          <w:b/>
          <w:sz w:val="20"/>
        </w:rPr>
      </w:pPr>
    </w:p>
    <w:p>
      <w:pPr>
        <w:pBdr>
          <w:top w:val="single" w:color="auto" w:sz="4" w:space="1"/>
          <w:left w:val="single" w:color="auto" w:sz="4" w:space="4"/>
          <w:bottom w:val="single" w:color="auto" w:sz="4" w:space="1"/>
          <w:right w:val="single" w:color="auto" w:sz="4" w:space="4"/>
        </w:pBdr>
        <w:autoSpaceDE/>
        <w:autoSpaceDN/>
        <w:spacing w:line="440" w:lineRule="exact"/>
        <w:ind w:firstLine="420" w:firstLineChars="200"/>
        <w:rPr>
          <w:sz w:val="21"/>
          <w:szCs w:val="21"/>
        </w:rPr>
      </w:pPr>
      <w:r>
        <w:rPr>
          <w:rFonts w:hint="eastAsia"/>
          <w:sz w:val="21"/>
          <w:szCs w:val="21"/>
        </w:rPr>
        <w:t>项目概况</w:t>
      </w:r>
    </w:p>
    <w:p>
      <w:pPr>
        <w:pBdr>
          <w:top w:val="single" w:color="auto" w:sz="4" w:space="1"/>
          <w:left w:val="single" w:color="auto" w:sz="4" w:space="4"/>
          <w:bottom w:val="single" w:color="auto" w:sz="4" w:space="1"/>
          <w:right w:val="single" w:color="auto" w:sz="4" w:space="4"/>
        </w:pBdr>
        <w:autoSpaceDE/>
        <w:autoSpaceDN/>
        <w:spacing w:line="440" w:lineRule="exact"/>
        <w:ind w:firstLine="420" w:firstLineChars="200"/>
        <w:rPr>
          <w:sz w:val="21"/>
          <w:szCs w:val="21"/>
        </w:rPr>
      </w:pPr>
      <w:r>
        <w:rPr>
          <w:rFonts w:hint="eastAsia"/>
          <w:sz w:val="21"/>
          <w:szCs w:val="21"/>
          <w:u w:val="single"/>
          <w:lang w:eastAsia="zh-CN"/>
        </w:rPr>
        <w:t>大新县应急广播体系建设工程（设备采购）</w:t>
      </w:r>
      <w:r>
        <w:rPr>
          <w:rFonts w:hint="eastAsia"/>
          <w:sz w:val="21"/>
          <w:szCs w:val="21"/>
        </w:rPr>
        <w:t>采购项目的潜在供应商应在</w:t>
      </w:r>
      <w:r>
        <w:rPr>
          <w:rFonts w:hint="eastAsia"/>
          <w:sz w:val="21"/>
          <w:szCs w:val="21"/>
          <w:u w:val="single"/>
          <w:lang w:val="en-US"/>
        </w:rPr>
        <w:t>政采云平台（网址：</w:t>
      </w:r>
      <w:r>
        <w:rPr>
          <w:rFonts w:hint="eastAsia"/>
          <w:sz w:val="21"/>
          <w:szCs w:val="21"/>
          <w:u w:val="single"/>
          <w:lang w:val="en-US"/>
        </w:rPr>
        <w:fldChar w:fldCharType="begin"/>
      </w:r>
      <w:r>
        <w:rPr>
          <w:rFonts w:hint="eastAsia"/>
          <w:sz w:val="21"/>
          <w:szCs w:val="21"/>
          <w:u w:val="single"/>
          <w:lang w:val="en-US"/>
        </w:rPr>
        <w:instrText xml:space="preserve"> HYPERLINK "http://www.zcygov.cn）在线办理报名并自行下载采购文件，并于2020年" </w:instrText>
      </w:r>
      <w:r>
        <w:rPr>
          <w:rFonts w:hint="eastAsia"/>
          <w:sz w:val="21"/>
          <w:szCs w:val="21"/>
          <w:u w:val="single"/>
          <w:lang w:val="en-US"/>
        </w:rPr>
        <w:fldChar w:fldCharType="separate"/>
      </w:r>
      <w:r>
        <w:rPr>
          <w:rStyle w:val="59"/>
          <w:rFonts w:hint="eastAsia"/>
          <w:color w:val="auto"/>
          <w:sz w:val="21"/>
          <w:szCs w:val="21"/>
          <w:u w:val="single"/>
          <w:lang w:val="en-US"/>
        </w:rPr>
        <w:t>http://www.zcygov.cn）</w:t>
      </w:r>
      <w:r>
        <w:rPr>
          <w:rStyle w:val="59"/>
          <w:rFonts w:hint="eastAsia"/>
          <w:color w:val="auto"/>
          <w:sz w:val="21"/>
          <w:szCs w:val="21"/>
          <w:lang w:val="en-US"/>
        </w:rPr>
        <w:t>在线办理报名并自行下载</w:t>
      </w:r>
      <w:r>
        <w:rPr>
          <w:rStyle w:val="59"/>
          <w:rFonts w:hint="eastAsia"/>
          <w:color w:val="auto"/>
          <w:sz w:val="21"/>
          <w:szCs w:val="21"/>
        </w:rPr>
        <w:t>采购文件，并于</w:t>
      </w:r>
      <w:r>
        <w:rPr>
          <w:rStyle w:val="59"/>
          <w:rFonts w:hint="eastAsia"/>
          <w:color w:val="auto"/>
          <w:sz w:val="21"/>
          <w:szCs w:val="21"/>
          <w:lang w:val="en-US"/>
        </w:rPr>
        <w:t>2021</w:t>
      </w:r>
      <w:r>
        <w:rPr>
          <w:rStyle w:val="59"/>
          <w:rFonts w:hint="eastAsia"/>
          <w:bCs/>
          <w:color w:val="auto"/>
          <w:sz w:val="21"/>
          <w:szCs w:val="21"/>
        </w:rPr>
        <w:t>年</w:t>
      </w:r>
      <w:r>
        <w:rPr>
          <w:rFonts w:hint="eastAsia"/>
          <w:sz w:val="21"/>
          <w:szCs w:val="21"/>
          <w:u w:val="single"/>
          <w:lang w:val="en-US"/>
        </w:rPr>
        <w:fldChar w:fldCharType="end"/>
      </w:r>
      <w:r>
        <w:rPr>
          <w:rFonts w:hint="eastAsia"/>
          <w:bCs/>
          <w:sz w:val="21"/>
          <w:szCs w:val="21"/>
          <w:lang w:val="en-US" w:eastAsia="zh-CN"/>
        </w:rPr>
        <w:t>10</w:t>
      </w:r>
      <w:r>
        <w:rPr>
          <w:rFonts w:hint="eastAsia"/>
          <w:bCs/>
          <w:sz w:val="21"/>
          <w:szCs w:val="21"/>
        </w:rPr>
        <w:t>月</w:t>
      </w:r>
      <w:r>
        <w:rPr>
          <w:rFonts w:hint="eastAsia"/>
          <w:bCs/>
          <w:sz w:val="21"/>
          <w:szCs w:val="21"/>
          <w:lang w:val="en-US" w:eastAsia="zh-CN"/>
        </w:rPr>
        <w:t>09</w:t>
      </w:r>
      <w:r>
        <w:rPr>
          <w:rFonts w:hint="eastAsia"/>
          <w:bCs/>
          <w:sz w:val="21"/>
          <w:szCs w:val="21"/>
        </w:rPr>
        <w:t>日</w:t>
      </w:r>
      <w:r>
        <w:rPr>
          <w:rFonts w:hint="eastAsia"/>
          <w:bCs/>
          <w:sz w:val="21"/>
          <w:szCs w:val="21"/>
          <w:lang w:val="en-US" w:eastAsia="zh-CN"/>
        </w:rPr>
        <w:t>15</w:t>
      </w:r>
      <w:r>
        <w:rPr>
          <w:rFonts w:hint="eastAsia"/>
          <w:bCs/>
          <w:sz w:val="21"/>
          <w:szCs w:val="21"/>
        </w:rPr>
        <w:t>点</w:t>
      </w:r>
      <w:r>
        <w:rPr>
          <w:rFonts w:hint="eastAsia"/>
          <w:bCs/>
          <w:sz w:val="21"/>
          <w:szCs w:val="21"/>
          <w:lang w:val="en-US" w:eastAsia="zh-CN"/>
        </w:rPr>
        <w:t>00</w:t>
      </w:r>
      <w:r>
        <w:rPr>
          <w:rFonts w:hint="eastAsia"/>
          <w:bCs/>
          <w:sz w:val="21"/>
          <w:szCs w:val="21"/>
        </w:rPr>
        <w:t>分（北京时间）前提交响应文件</w:t>
      </w:r>
      <w:r>
        <w:rPr>
          <w:rFonts w:hint="eastAsia"/>
          <w:sz w:val="21"/>
          <w:szCs w:val="21"/>
        </w:rPr>
        <w:t>。</w:t>
      </w:r>
    </w:p>
    <w:p>
      <w:pPr>
        <w:pStyle w:val="19"/>
        <w:spacing w:before="4"/>
        <w:rPr>
          <w:b/>
          <w:sz w:val="11"/>
        </w:rPr>
      </w:pPr>
    </w:p>
    <w:p>
      <w:pPr>
        <w:spacing w:before="160"/>
        <w:ind w:left="412"/>
        <w:outlineLvl w:val="1"/>
        <w:rPr>
          <w:b/>
          <w:sz w:val="21"/>
        </w:rPr>
      </w:pPr>
      <w:bookmarkStart w:id="2" w:name="_Toc10267"/>
      <w:r>
        <w:rPr>
          <w:b/>
          <w:sz w:val="21"/>
        </w:rPr>
        <w:t>一、项目基本情况</w:t>
      </w:r>
      <w:bookmarkEnd w:id="2"/>
    </w:p>
    <w:p>
      <w:pPr>
        <w:pStyle w:val="19"/>
        <w:spacing w:before="2"/>
        <w:rPr>
          <w:b/>
          <w:sz w:val="18"/>
        </w:rPr>
      </w:pPr>
    </w:p>
    <w:p>
      <w:pPr>
        <w:pStyle w:val="19"/>
        <w:ind w:left="412"/>
      </w:pPr>
      <w:r>
        <w:t>项目编号：</w:t>
      </w:r>
      <w:r>
        <w:rPr>
          <w:rFonts w:hint="eastAsia"/>
        </w:rPr>
        <w:t>CZZC2021-G1-240114-GXGX</w:t>
      </w:r>
    </w:p>
    <w:p>
      <w:pPr>
        <w:pStyle w:val="19"/>
        <w:ind w:left="412"/>
      </w:pPr>
    </w:p>
    <w:p>
      <w:pPr>
        <w:pStyle w:val="19"/>
        <w:spacing w:line="446" w:lineRule="auto"/>
        <w:ind w:left="412" w:right="2990" w:rightChars="0"/>
      </w:pPr>
      <w:r>
        <w:t>项目名称：</w:t>
      </w:r>
      <w:r>
        <w:rPr>
          <w:rFonts w:hint="eastAsia"/>
          <w:lang w:eastAsia="zh-CN"/>
        </w:rPr>
        <w:t>大新县应急广播体系建设工程（设备采购）</w:t>
      </w:r>
      <w:r>
        <w:t xml:space="preserve"> </w:t>
      </w:r>
    </w:p>
    <w:p>
      <w:pPr>
        <w:pStyle w:val="19"/>
        <w:spacing w:line="446" w:lineRule="auto"/>
        <w:ind w:left="412" w:right="2990" w:rightChars="0"/>
        <w:rPr>
          <w:lang w:val="en-US"/>
        </w:rPr>
      </w:pPr>
      <w:r>
        <w:t>预算金额：3</w:t>
      </w:r>
      <w:r>
        <w:rPr>
          <w:rFonts w:hint="eastAsia"/>
          <w:lang w:val="en-US"/>
        </w:rPr>
        <w:t>1</w:t>
      </w:r>
      <w:r>
        <w:rPr>
          <w:rFonts w:hint="eastAsia"/>
          <w:lang w:val="en-US" w:eastAsia="zh-CN"/>
        </w:rPr>
        <w:t>6</w:t>
      </w:r>
      <w:r>
        <w:t>万元</w:t>
      </w:r>
    </w:p>
    <w:p>
      <w:pPr>
        <w:pStyle w:val="19"/>
        <w:spacing w:line="446" w:lineRule="auto"/>
        <w:ind w:left="412" w:right="5190"/>
      </w:pPr>
      <w:r>
        <w:t>最高限价</w:t>
      </w:r>
      <w:r>
        <w:rPr>
          <w:rFonts w:hint="eastAsia"/>
          <w:lang w:eastAsia="zh-CN"/>
        </w:rPr>
        <w:t>：</w:t>
      </w:r>
      <w:r>
        <w:t>3</w:t>
      </w:r>
      <w:r>
        <w:rPr>
          <w:rFonts w:hint="eastAsia"/>
          <w:lang w:val="en-US"/>
        </w:rPr>
        <w:t>1</w:t>
      </w:r>
      <w:r>
        <w:rPr>
          <w:rFonts w:hint="eastAsia"/>
          <w:lang w:val="en-US" w:eastAsia="zh-CN"/>
        </w:rPr>
        <w:t>6</w:t>
      </w:r>
      <w:r>
        <w:t>万元</w:t>
      </w:r>
    </w:p>
    <w:p>
      <w:pPr>
        <w:pStyle w:val="19"/>
        <w:spacing w:line="446" w:lineRule="auto"/>
        <w:ind w:left="412" w:right="5190"/>
      </w:pPr>
      <w:r>
        <w:t>采购需求：</w:t>
      </w:r>
    </w:p>
    <w:tbl>
      <w:tblPr>
        <w:tblStyle w:val="52"/>
        <w:tblW w:w="10200" w:type="dxa"/>
        <w:tblInd w:w="23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0"/>
        <w:gridCol w:w="2666"/>
        <w:gridCol w:w="1480"/>
        <w:gridCol w:w="51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900" w:type="dxa"/>
            <w:vAlign w:val="center"/>
          </w:tcPr>
          <w:p>
            <w:pPr>
              <w:pStyle w:val="19"/>
              <w:jc w:val="center"/>
              <w:rPr>
                <w:rFonts w:hint="eastAsia" w:eastAsia="宋体"/>
                <w:sz w:val="20"/>
                <w:lang w:val="en-US" w:eastAsia="zh-CN"/>
              </w:rPr>
            </w:pPr>
            <w:r>
              <w:rPr>
                <w:rFonts w:hint="eastAsia"/>
                <w:sz w:val="20"/>
                <w:lang w:val="en-US" w:eastAsia="zh-CN"/>
              </w:rPr>
              <w:t>序号</w:t>
            </w:r>
          </w:p>
        </w:tc>
        <w:tc>
          <w:tcPr>
            <w:tcW w:w="2666" w:type="dxa"/>
            <w:vAlign w:val="center"/>
          </w:tcPr>
          <w:p>
            <w:pPr>
              <w:widowControl/>
              <w:jc w:val="center"/>
              <w:rPr>
                <w:sz w:val="20"/>
              </w:rPr>
            </w:pPr>
            <w:r>
              <w:rPr>
                <w:rFonts w:hint="eastAsia"/>
                <w:color w:val="000000"/>
                <w:sz w:val="20"/>
                <w:szCs w:val="20"/>
                <w:lang w:val="en-US" w:bidi="ar"/>
              </w:rPr>
              <w:t>标的的名称</w:t>
            </w:r>
          </w:p>
        </w:tc>
        <w:tc>
          <w:tcPr>
            <w:tcW w:w="1480" w:type="dxa"/>
            <w:vAlign w:val="center"/>
          </w:tcPr>
          <w:p>
            <w:pPr>
              <w:widowControl/>
              <w:jc w:val="center"/>
              <w:rPr>
                <w:sz w:val="20"/>
              </w:rPr>
            </w:pPr>
            <w:r>
              <w:rPr>
                <w:rFonts w:hint="eastAsia"/>
                <w:color w:val="000000"/>
                <w:sz w:val="20"/>
                <w:szCs w:val="20"/>
                <w:lang w:val="en-US" w:bidi="ar"/>
              </w:rPr>
              <w:t>数量及单位</w:t>
            </w:r>
          </w:p>
        </w:tc>
        <w:tc>
          <w:tcPr>
            <w:tcW w:w="5154" w:type="dxa"/>
            <w:vAlign w:val="center"/>
          </w:tcPr>
          <w:p>
            <w:pPr>
              <w:widowControl/>
              <w:jc w:val="center"/>
              <w:rPr>
                <w:sz w:val="20"/>
              </w:rPr>
            </w:pPr>
            <w:r>
              <w:rPr>
                <w:rFonts w:hint="eastAsia"/>
                <w:color w:val="000000"/>
                <w:sz w:val="20"/>
                <w:szCs w:val="20"/>
                <w:lang w:val="en-US" w:bidi="ar"/>
              </w:rPr>
              <w:t>简要技术需求或者服务要求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rPr>
        <w:tc>
          <w:tcPr>
            <w:tcW w:w="900" w:type="dxa"/>
            <w:vAlign w:val="center"/>
          </w:tcPr>
          <w:p>
            <w:pPr>
              <w:pStyle w:val="19"/>
              <w:jc w:val="center"/>
              <w:rPr>
                <w:sz w:val="20"/>
                <w:lang w:val="en-US"/>
              </w:rPr>
            </w:pPr>
            <w:r>
              <w:rPr>
                <w:rFonts w:hint="eastAsia"/>
                <w:sz w:val="20"/>
                <w:lang w:val="en-US"/>
              </w:rPr>
              <w:t>1</w:t>
            </w:r>
          </w:p>
        </w:tc>
        <w:tc>
          <w:tcPr>
            <w:tcW w:w="2666" w:type="dxa"/>
            <w:vAlign w:val="center"/>
          </w:tcPr>
          <w:p>
            <w:pPr>
              <w:pStyle w:val="19"/>
              <w:jc w:val="center"/>
              <w:rPr>
                <w:sz w:val="20"/>
              </w:rPr>
            </w:pPr>
            <w:r>
              <w:rPr>
                <w:rFonts w:hint="eastAsia"/>
                <w:sz w:val="20"/>
                <w:lang w:val="en-US"/>
              </w:rPr>
              <w:t>大新县</w:t>
            </w:r>
            <w:r>
              <w:rPr>
                <w:rFonts w:hint="eastAsia"/>
                <w:sz w:val="20"/>
              </w:rPr>
              <w:t>应急广播体系建设工程（设备采购）</w:t>
            </w:r>
          </w:p>
        </w:tc>
        <w:tc>
          <w:tcPr>
            <w:tcW w:w="1480" w:type="dxa"/>
            <w:vAlign w:val="center"/>
          </w:tcPr>
          <w:p>
            <w:pPr>
              <w:pStyle w:val="19"/>
              <w:jc w:val="center"/>
              <w:rPr>
                <w:sz w:val="20"/>
                <w:lang w:val="en-US"/>
              </w:rPr>
            </w:pPr>
            <w:r>
              <w:rPr>
                <w:rFonts w:hint="eastAsia"/>
                <w:sz w:val="20"/>
                <w:lang w:val="en-US"/>
              </w:rPr>
              <w:t>1</w:t>
            </w:r>
          </w:p>
        </w:tc>
        <w:tc>
          <w:tcPr>
            <w:tcW w:w="5154" w:type="dxa"/>
            <w:vAlign w:val="center"/>
          </w:tcPr>
          <w:p>
            <w:pPr>
              <w:pStyle w:val="19"/>
              <w:jc w:val="center"/>
              <w:rPr>
                <w:rFonts w:hint="eastAsia" w:eastAsia="宋体"/>
                <w:sz w:val="20"/>
                <w:lang w:eastAsia="zh-CN"/>
              </w:rPr>
            </w:pPr>
            <w:r>
              <w:rPr>
                <w:rFonts w:hint="eastAsia"/>
                <w:sz w:val="20"/>
              </w:rPr>
              <w:t>2021年建设1个县(城区)级应急广播播控平台、14个乡镇级播控平台、150个行政村平台终端(含1华侨总场、2个景区、18 个社区、238个自然屯终端(含8个华侨农场分场)和12个景区(小区、广场、市场)终端的县级应急广播体系</w:t>
            </w:r>
            <w:r>
              <w:rPr>
                <w:rFonts w:hint="eastAsia"/>
                <w:sz w:val="20"/>
                <w:lang w:eastAsia="zh-CN"/>
              </w:rPr>
              <w:t>，详见招标文件</w:t>
            </w:r>
          </w:p>
        </w:tc>
      </w:tr>
    </w:tbl>
    <w:p>
      <w:pPr>
        <w:pStyle w:val="19"/>
        <w:rPr>
          <w:sz w:val="20"/>
        </w:rPr>
      </w:pPr>
    </w:p>
    <w:p>
      <w:pPr>
        <w:spacing w:before="168"/>
        <w:ind w:left="832"/>
      </w:pPr>
      <w:r>
        <w:rPr>
          <w:sz w:val="21"/>
        </w:rPr>
        <w:t>合同履行期限：</w:t>
      </w:r>
      <w:r>
        <w:rPr>
          <w:rFonts w:ascii="宋体" w:hAnsi="宋体" w:eastAsia="宋体" w:cs="宋体"/>
          <w:sz w:val="21"/>
          <w:szCs w:val="22"/>
          <w:lang w:val="zh-CN" w:eastAsia="zh-CN" w:bidi="zh-CN"/>
        </w:rPr>
        <w:t>合同签订后 90 个日历日完成。</w:t>
      </w:r>
    </w:p>
    <w:p>
      <w:pPr>
        <w:pStyle w:val="19"/>
        <w:spacing w:before="9"/>
        <w:rPr>
          <w:sz w:val="17"/>
        </w:rPr>
      </w:pPr>
    </w:p>
    <w:p>
      <w:pPr>
        <w:spacing w:line="446" w:lineRule="auto"/>
        <w:ind w:left="412" w:right="6376" w:firstLine="420"/>
        <w:rPr>
          <w:sz w:val="21"/>
        </w:rPr>
      </w:pPr>
      <w:r>
        <w:rPr>
          <w:sz w:val="21"/>
        </w:rPr>
        <w:t>本项目（否）接受联合体投标。</w:t>
      </w:r>
    </w:p>
    <w:p>
      <w:pPr>
        <w:spacing w:line="446" w:lineRule="auto"/>
        <w:ind w:left="412" w:right="6376" w:firstLine="420"/>
        <w:outlineLvl w:val="1"/>
        <w:rPr>
          <w:b/>
          <w:sz w:val="21"/>
        </w:rPr>
      </w:pPr>
      <w:bookmarkStart w:id="3" w:name="_Toc7462"/>
      <w:r>
        <w:rPr>
          <w:b/>
          <w:sz w:val="21"/>
        </w:rPr>
        <w:t>二、投标人的资格要求：</w:t>
      </w:r>
      <w:bookmarkEnd w:id="3"/>
    </w:p>
    <w:p>
      <w:pPr>
        <w:pStyle w:val="62"/>
        <w:numPr>
          <w:ilvl w:val="0"/>
          <w:numId w:val="3"/>
        </w:numPr>
        <w:tabs>
          <w:tab w:val="left" w:pos="1044"/>
        </w:tabs>
        <w:spacing w:line="267" w:lineRule="exact"/>
        <w:rPr>
          <w:sz w:val="21"/>
        </w:rPr>
      </w:pPr>
      <w:r>
        <w:rPr>
          <w:sz w:val="21"/>
        </w:rPr>
        <w:t>满足《中华人民共和国政府采购法》第二十二条规定；</w:t>
      </w:r>
    </w:p>
    <w:p>
      <w:pPr>
        <w:pStyle w:val="19"/>
        <w:spacing w:before="2"/>
        <w:rPr>
          <w:sz w:val="18"/>
        </w:rPr>
      </w:pPr>
    </w:p>
    <w:p>
      <w:pPr>
        <w:pStyle w:val="62"/>
        <w:numPr>
          <w:ilvl w:val="0"/>
          <w:numId w:val="3"/>
        </w:numPr>
        <w:tabs>
          <w:tab w:val="left" w:pos="1044"/>
        </w:tabs>
        <w:rPr>
          <w:sz w:val="21"/>
        </w:rPr>
      </w:pPr>
      <w:r>
        <w:rPr>
          <w:sz w:val="21"/>
        </w:rPr>
        <w:t>落实政府采购政策需满足的资格要求：无</w:t>
      </w:r>
    </w:p>
    <w:p>
      <w:pPr>
        <w:pStyle w:val="19"/>
        <w:spacing w:before="12"/>
        <w:rPr>
          <w:sz w:val="17"/>
        </w:rPr>
      </w:pPr>
    </w:p>
    <w:p>
      <w:pPr>
        <w:pStyle w:val="62"/>
        <w:numPr>
          <w:ilvl w:val="0"/>
          <w:numId w:val="3"/>
        </w:numPr>
        <w:tabs>
          <w:tab w:val="left" w:pos="1044"/>
        </w:tabs>
        <w:spacing w:line="446" w:lineRule="auto"/>
        <w:ind w:left="412" w:right="410" w:firstLine="420"/>
        <w:jc w:val="both"/>
        <w:rPr>
          <w:sz w:val="21"/>
        </w:rPr>
      </w:pPr>
      <w:r>
        <w:rPr>
          <w:sz w:val="21"/>
        </w:rPr>
        <w:t>单位负责人为同一人或者存在直接控股、管理关系的不同供应商，不得参加同一合同项下的政府采购活动。为本项目提供过整体设计、规范编制或者项目管理、监理、检测等服务的供应商，不得再参加本</w:t>
      </w:r>
      <w:r>
        <w:rPr>
          <w:spacing w:val="-4"/>
          <w:sz w:val="21"/>
        </w:rPr>
        <w:t>项目上述服务以外的其他采购活动。</w:t>
      </w:r>
    </w:p>
    <w:p>
      <w:pPr>
        <w:pStyle w:val="62"/>
        <w:numPr>
          <w:ilvl w:val="0"/>
          <w:numId w:val="3"/>
        </w:numPr>
        <w:tabs>
          <w:tab w:val="left" w:pos="1044"/>
        </w:tabs>
        <w:spacing w:line="446" w:lineRule="auto"/>
        <w:ind w:left="412" w:right="410" w:firstLine="420"/>
        <w:jc w:val="both"/>
        <w:rPr>
          <w:sz w:val="21"/>
        </w:rPr>
      </w:pPr>
      <w:r>
        <w:rPr>
          <w:spacing w:val="-4"/>
          <w:sz w:val="21"/>
        </w:rPr>
        <w:t>对在“信用中国”网站(</w:t>
      </w:r>
      <w:r>
        <w:rPr>
          <w:sz w:val="21"/>
        </w:rPr>
        <w:t>www.creditchina.gov.cn</w:t>
      </w:r>
      <w:r>
        <w:rPr>
          <w:spacing w:val="-5"/>
          <w:sz w:val="21"/>
        </w:rPr>
        <w:t>) 、中国政府采购网(</w:t>
      </w:r>
      <w:r>
        <w:rPr>
          <w:sz w:val="21"/>
        </w:rPr>
        <w:t>www.ccgp.gov.cn)被列入失信被执行人、重大税收违法案件当事人名单、政府采购严重违法失信行为记录名单及其他不符合《中华人</w:t>
      </w:r>
      <w:r>
        <w:rPr>
          <w:spacing w:val="-4"/>
          <w:sz w:val="21"/>
        </w:rPr>
        <w:t>民共和国政府采购法》第二十二条规定条件的供应商，不得参与政府采购活动。</w:t>
      </w:r>
    </w:p>
    <w:p>
      <w:pPr>
        <w:spacing w:line="446" w:lineRule="auto"/>
        <w:jc w:val="both"/>
        <w:rPr>
          <w:sz w:val="21"/>
        </w:rPr>
        <w:sectPr>
          <w:footerReference r:id="rId3" w:type="default"/>
          <w:pgSz w:w="11910" w:h="16840"/>
          <w:pgMar w:top="1100" w:right="720" w:bottom="1300" w:left="720" w:header="0" w:footer="1120" w:gutter="0"/>
          <w:pgNumType w:fmt="decimal" w:start="1"/>
          <w:cols w:space="720" w:num="1"/>
        </w:sectPr>
      </w:pPr>
    </w:p>
    <w:p>
      <w:pPr>
        <w:spacing w:before="46"/>
        <w:ind w:left="412"/>
        <w:outlineLvl w:val="1"/>
        <w:rPr>
          <w:b/>
          <w:sz w:val="21"/>
        </w:rPr>
      </w:pPr>
      <w:bookmarkStart w:id="4" w:name="_Toc2869"/>
      <w:r>
        <w:rPr>
          <w:b/>
          <w:sz w:val="21"/>
        </w:rPr>
        <w:t>三、获取招标文件</w:t>
      </w:r>
      <w:bookmarkEnd w:id="4"/>
    </w:p>
    <w:p>
      <w:pPr>
        <w:pStyle w:val="19"/>
        <w:rPr>
          <w:b/>
          <w:sz w:val="18"/>
        </w:rPr>
      </w:pPr>
    </w:p>
    <w:p>
      <w:pPr>
        <w:pStyle w:val="19"/>
        <w:tabs>
          <w:tab w:val="left" w:pos="2332"/>
          <w:tab w:val="left" w:pos="2752"/>
          <w:tab w:val="left" w:pos="3698"/>
          <w:tab w:val="left" w:pos="4118"/>
          <w:tab w:val="left" w:pos="4538"/>
        </w:tabs>
        <w:spacing w:line="446" w:lineRule="auto"/>
        <w:ind w:left="412" w:right="304" w:firstLine="420"/>
      </w:pPr>
      <w:r>
        <w:t>时间</w:t>
      </w:r>
      <w:r>
        <w:rPr>
          <w:spacing w:val="-5"/>
        </w:rPr>
        <w:t>：2021</w:t>
      </w:r>
      <w:r>
        <w:rPr>
          <w:spacing w:val="-53"/>
        </w:rPr>
        <w:t xml:space="preserve"> </w:t>
      </w:r>
      <w:r>
        <w:rPr>
          <w:u w:val="none"/>
        </w:rPr>
        <w:t>年</w:t>
      </w:r>
      <w:r>
        <w:rPr>
          <w:rFonts w:hint="eastAsia"/>
          <w:u w:val="none"/>
          <w:lang w:val="en-US" w:eastAsia="zh-CN"/>
        </w:rPr>
        <w:t>09</w:t>
      </w:r>
      <w:r>
        <w:rPr>
          <w:u w:val="none"/>
        </w:rPr>
        <w:tab/>
      </w:r>
      <w:r>
        <w:rPr>
          <w:u w:val="none"/>
        </w:rPr>
        <w:t>月</w:t>
      </w:r>
      <w:r>
        <w:rPr>
          <w:rFonts w:hint="eastAsia"/>
          <w:u w:val="none"/>
          <w:lang w:val="en-US" w:eastAsia="zh-CN"/>
        </w:rPr>
        <w:t>18</w:t>
      </w:r>
      <w:r>
        <w:rPr>
          <w:u w:val="none"/>
        </w:rPr>
        <w:t>日</w:t>
      </w:r>
      <w:r>
        <w:t>至</w:t>
      </w:r>
      <w:r>
        <w:rPr>
          <w:rFonts w:hint="eastAsia"/>
          <w:u w:val="none"/>
          <w:lang w:val="en-US" w:eastAsia="zh-CN"/>
        </w:rPr>
        <w:t>2021</w:t>
      </w:r>
      <w:r>
        <w:rPr>
          <w:u w:val="none"/>
        </w:rPr>
        <w:t>年</w:t>
      </w:r>
      <w:r>
        <w:rPr>
          <w:rFonts w:hint="eastAsia"/>
          <w:u w:val="none"/>
          <w:lang w:val="en-US" w:eastAsia="zh-CN"/>
        </w:rPr>
        <w:t>09</w:t>
      </w:r>
      <w:r>
        <w:rPr>
          <w:u w:val="none"/>
        </w:rPr>
        <w:t>月</w:t>
      </w:r>
      <w:r>
        <w:rPr>
          <w:rFonts w:hint="eastAsia"/>
          <w:u w:val="none"/>
          <w:lang w:val="en-US" w:eastAsia="zh-CN"/>
        </w:rPr>
        <w:t>27</w:t>
      </w:r>
      <w:r>
        <w:rPr>
          <w:u w:val="none"/>
        </w:rPr>
        <w:t>日</w:t>
      </w:r>
      <w:r>
        <w:t>每天上午</w:t>
      </w:r>
      <w:r>
        <w:rPr>
          <w:spacing w:val="-55"/>
        </w:rPr>
        <w:t xml:space="preserve"> </w:t>
      </w:r>
      <w:r>
        <w:rPr>
          <w:rFonts w:hint="eastAsia"/>
          <w:lang w:val="en-US" w:eastAsia="zh-CN"/>
        </w:rPr>
        <w:t>8</w:t>
      </w:r>
      <w:r>
        <w:t>:</w:t>
      </w:r>
      <w:r>
        <w:rPr>
          <w:rFonts w:hint="eastAsia"/>
          <w:lang w:val="en-US" w:eastAsia="zh-CN"/>
        </w:rPr>
        <w:t>3</w:t>
      </w:r>
      <w:r>
        <w:t>0</w:t>
      </w:r>
      <w:r>
        <w:rPr>
          <w:spacing w:val="-56"/>
        </w:rPr>
        <w:t xml:space="preserve"> </w:t>
      </w:r>
      <w:r>
        <w:t>至</w:t>
      </w:r>
      <w:r>
        <w:rPr>
          <w:spacing w:val="-52"/>
        </w:rPr>
        <w:t xml:space="preserve"> </w:t>
      </w:r>
      <w:r>
        <w:rPr>
          <w:spacing w:val="-4"/>
        </w:rPr>
        <w:t>12:00，</w:t>
      </w:r>
      <w:r>
        <w:t>下午</w:t>
      </w:r>
      <w:r>
        <w:rPr>
          <w:spacing w:val="-55"/>
        </w:rPr>
        <w:t xml:space="preserve"> </w:t>
      </w:r>
      <w:r>
        <w:t>1</w:t>
      </w:r>
      <w:r>
        <w:rPr>
          <w:rFonts w:hint="eastAsia"/>
          <w:lang w:val="en-US" w:eastAsia="zh-CN"/>
        </w:rPr>
        <w:t>4</w:t>
      </w:r>
      <w:r>
        <w:t>:</w:t>
      </w:r>
      <w:r>
        <w:rPr>
          <w:rFonts w:hint="eastAsia"/>
          <w:lang w:val="en-US" w:eastAsia="zh-CN"/>
        </w:rPr>
        <w:t>3</w:t>
      </w:r>
      <w:r>
        <w:t>0</w:t>
      </w:r>
      <w:r>
        <w:rPr>
          <w:spacing w:val="-57"/>
        </w:rPr>
        <w:t xml:space="preserve"> </w:t>
      </w:r>
      <w:r>
        <w:t>至</w:t>
      </w:r>
      <w:r>
        <w:rPr>
          <w:spacing w:val="-52"/>
        </w:rPr>
        <w:t xml:space="preserve"> </w:t>
      </w:r>
      <w:r>
        <w:rPr>
          <w:spacing w:val="-4"/>
        </w:rPr>
        <w:t>17:</w:t>
      </w:r>
      <w:r>
        <w:rPr>
          <w:rFonts w:hint="eastAsia"/>
          <w:spacing w:val="-4"/>
          <w:lang w:val="en-US" w:eastAsia="zh-CN"/>
        </w:rPr>
        <w:t>00</w:t>
      </w:r>
      <w:r>
        <w:rPr>
          <w:spacing w:val="-4"/>
        </w:rPr>
        <w:t>（</w:t>
      </w:r>
      <w:r>
        <w:t>北京时间， 法定节假日除外</w:t>
      </w:r>
      <w:r>
        <w:rPr>
          <w:spacing w:val="1"/>
        </w:rPr>
        <w:t xml:space="preserve"> </w:t>
      </w:r>
      <w:r>
        <w:t>）</w:t>
      </w:r>
    </w:p>
    <w:p>
      <w:pPr>
        <w:pStyle w:val="19"/>
        <w:ind w:left="952"/>
      </w:pPr>
      <w:r>
        <w:t>地点：</w:t>
      </w:r>
      <w:r>
        <w:rPr>
          <w:rFonts w:hint="eastAsia"/>
        </w:rPr>
        <w:t>广西政府采购网政采云平台（http://www.ccgp-guangxi.gov.cn/）</w:t>
      </w:r>
    </w:p>
    <w:p>
      <w:pPr>
        <w:pStyle w:val="19"/>
        <w:spacing w:before="12"/>
        <w:rPr>
          <w:sz w:val="17"/>
        </w:rPr>
      </w:pPr>
    </w:p>
    <w:p>
      <w:pPr>
        <w:pStyle w:val="19"/>
        <w:spacing w:line="446" w:lineRule="auto"/>
        <w:ind w:left="412" w:right="392" w:firstLine="565" w:firstLineChars="290"/>
        <w:jc w:val="both"/>
      </w:pPr>
      <w:r>
        <w:rPr>
          <w:spacing w:val="-2"/>
          <w:w w:val="95"/>
        </w:rPr>
        <w:t>方式：</w:t>
      </w:r>
      <w:r>
        <w:t>登录政采云平台</w:t>
      </w:r>
      <w:r>
        <w:rPr>
          <w:w w:val="95"/>
        </w:rPr>
        <w:t>（网址：</w:t>
      </w:r>
      <w:r>
        <w:fldChar w:fldCharType="begin"/>
      </w:r>
      <w:r>
        <w:instrText xml:space="preserve"> HYPERLINK "http://www.zcygov.cn/" \h </w:instrText>
      </w:r>
      <w:r>
        <w:fldChar w:fldCharType="separate"/>
      </w:r>
      <w:r>
        <w:rPr>
          <w:w w:val="95"/>
        </w:rPr>
        <w:t>http://www.zcygov.cn</w:t>
      </w:r>
      <w:r>
        <w:rPr>
          <w:w w:val="95"/>
        </w:rPr>
        <w:fldChar w:fldCharType="end"/>
      </w:r>
      <w:r>
        <w:rPr>
          <w:w w:val="95"/>
        </w:rPr>
        <w:t>）</w:t>
      </w:r>
      <w:r>
        <w:rPr>
          <w:spacing w:val="-5"/>
        </w:rPr>
        <w:t>进行报名并获取招标文件；未注册的投标人   可在政采云平台完成注册后再行报名。如在操作过程中遇到问题或需技术支持，请致电政采云客服热线</w:t>
      </w:r>
      <w:r>
        <w:rPr>
          <w:spacing w:val="-1"/>
          <w:w w:val="95"/>
        </w:rPr>
        <w:t xml:space="preserve">： </w:t>
      </w:r>
      <w:r>
        <w:rPr>
          <w:spacing w:val="-5"/>
        </w:rPr>
        <w:t>400-881-7190。提示：招标公告附件内的招标文件仅供阅览使用；投标人只有在“政采云平台”完成获取</w:t>
      </w:r>
      <w:r>
        <w:rPr>
          <w:spacing w:val="-6"/>
        </w:rPr>
        <w:t>招标文件申请并下载了招标文件后才视作依法获取招标文件</w:t>
      </w:r>
      <w:r>
        <w:t>（法律法规所指的投标人获取招标文件时间以投标人完成获取招标文件申请后下载招标文件的时间为准）。</w:t>
      </w:r>
    </w:p>
    <w:p>
      <w:pPr>
        <w:pStyle w:val="19"/>
        <w:spacing w:line="446" w:lineRule="auto"/>
        <w:ind w:left="412" w:right="392" w:firstLine="609" w:firstLineChars="290"/>
        <w:jc w:val="both"/>
      </w:pPr>
      <w:r>
        <w:rPr>
          <w:rFonts w:hint="eastAsia"/>
        </w:rPr>
        <w:t>注:1.供应商未按规定获取招标文件的，代理机构有权拒收其响应文件；2.已获取招标文件的供应商不等于符合本项目的供应商资格条件。3.潜在供应商在截标现场签到后，认定为本项目的报名人，方可递交响应文件。</w:t>
      </w:r>
    </w:p>
    <w:p>
      <w:pPr>
        <w:pStyle w:val="19"/>
        <w:spacing w:line="268" w:lineRule="exact"/>
        <w:ind w:left="952"/>
        <w:jc w:val="both"/>
      </w:pPr>
      <w:r>
        <w:t>售价：0 元</w:t>
      </w:r>
    </w:p>
    <w:p>
      <w:pPr>
        <w:pStyle w:val="19"/>
        <w:spacing w:before="12"/>
        <w:rPr>
          <w:sz w:val="17"/>
        </w:rPr>
      </w:pPr>
    </w:p>
    <w:p>
      <w:pPr>
        <w:ind w:left="412"/>
        <w:outlineLvl w:val="1"/>
        <w:rPr>
          <w:b/>
          <w:sz w:val="21"/>
        </w:rPr>
      </w:pPr>
      <w:bookmarkStart w:id="5" w:name="_Toc13220"/>
      <w:r>
        <w:rPr>
          <w:b/>
          <w:sz w:val="21"/>
        </w:rPr>
        <w:t>四、提交投标文件截止时间、开标时间和地点</w:t>
      </w:r>
      <w:bookmarkEnd w:id="5"/>
    </w:p>
    <w:p>
      <w:pPr>
        <w:pStyle w:val="19"/>
        <w:rPr>
          <w:b/>
          <w:sz w:val="18"/>
        </w:rPr>
      </w:pPr>
    </w:p>
    <w:p>
      <w:pPr>
        <w:pStyle w:val="19"/>
        <w:tabs>
          <w:tab w:val="left" w:pos="4036"/>
          <w:tab w:val="left" w:pos="4456"/>
          <w:tab w:val="left" w:pos="4876"/>
          <w:tab w:val="left" w:pos="5085"/>
          <w:tab w:val="left" w:pos="5296"/>
          <w:tab w:val="left" w:pos="5505"/>
          <w:tab w:val="left" w:pos="5925"/>
          <w:tab w:val="left" w:pos="6136"/>
          <w:tab w:val="left" w:pos="6345"/>
          <w:tab w:val="left" w:pos="6765"/>
        </w:tabs>
        <w:spacing w:line="446" w:lineRule="auto"/>
        <w:ind w:left="832" w:right="2229"/>
        <w:rPr>
          <w:spacing w:val="-14"/>
        </w:rPr>
      </w:pPr>
      <w:r>
        <w:t>提交投标文件截止时间和开标时间：</w:t>
      </w:r>
      <w:r>
        <w:rPr>
          <w:u w:val="single"/>
        </w:rPr>
        <w:t>2021年</w:t>
      </w:r>
      <w:r>
        <w:rPr>
          <w:rFonts w:hint="eastAsia"/>
          <w:u w:val="single"/>
          <w:lang w:val="en-US" w:eastAsia="zh-CN"/>
        </w:rPr>
        <w:t>10</w:t>
      </w:r>
      <w:r>
        <w:rPr>
          <w:u w:val="single"/>
        </w:rPr>
        <w:t>月</w:t>
      </w:r>
      <w:r>
        <w:rPr>
          <w:rFonts w:hint="eastAsia"/>
          <w:u w:val="single"/>
          <w:lang w:val="en-US" w:eastAsia="zh-CN"/>
        </w:rPr>
        <w:t>09</w:t>
      </w:r>
      <w:r>
        <w:rPr>
          <w:u w:val="single"/>
        </w:rPr>
        <w:t>日</w:t>
      </w:r>
      <w:r>
        <w:rPr>
          <w:rFonts w:hint="eastAsia"/>
          <w:u w:val="single"/>
          <w:lang w:val="en-US" w:eastAsia="zh-CN"/>
        </w:rPr>
        <w:t>15</w:t>
      </w:r>
      <w:r>
        <w:rPr>
          <w:u w:val="single"/>
        </w:rPr>
        <w:t>时</w:t>
      </w:r>
      <w:r>
        <w:rPr>
          <w:rFonts w:hint="eastAsia"/>
          <w:u w:val="single"/>
          <w:lang w:val="en-US" w:eastAsia="zh-CN"/>
        </w:rPr>
        <w:t>00</w:t>
      </w:r>
      <w:r>
        <w:rPr>
          <w:u w:val="single"/>
        </w:rPr>
        <w:t>分</w:t>
      </w:r>
      <w:r>
        <w:t>（北京时间</w:t>
      </w:r>
      <w:r>
        <w:rPr>
          <w:spacing w:val="-14"/>
        </w:rPr>
        <w:t>）</w:t>
      </w:r>
    </w:p>
    <w:p>
      <w:pPr>
        <w:pStyle w:val="19"/>
        <w:tabs>
          <w:tab w:val="left" w:pos="4036"/>
          <w:tab w:val="left" w:pos="4456"/>
          <w:tab w:val="left" w:pos="4876"/>
          <w:tab w:val="left" w:pos="5085"/>
          <w:tab w:val="left" w:pos="5296"/>
          <w:tab w:val="left" w:pos="5505"/>
          <w:tab w:val="left" w:pos="5925"/>
          <w:tab w:val="left" w:pos="6136"/>
          <w:tab w:val="left" w:pos="6345"/>
          <w:tab w:val="left" w:pos="6765"/>
        </w:tabs>
        <w:spacing w:line="446" w:lineRule="auto"/>
        <w:ind w:left="832" w:right="2229"/>
      </w:pPr>
      <w:r>
        <w:t>投标文件提交起止时间：</w:t>
      </w:r>
      <w:r>
        <w:rPr>
          <w:u w:val="single"/>
        </w:rPr>
        <w:t>2021年</w:t>
      </w:r>
      <w:r>
        <w:rPr>
          <w:rFonts w:hint="eastAsia"/>
          <w:u w:val="single"/>
          <w:lang w:val="en-US" w:eastAsia="zh-CN"/>
        </w:rPr>
        <w:t>10</w:t>
      </w:r>
      <w:r>
        <w:rPr>
          <w:u w:val="single"/>
        </w:rPr>
        <w:t>月</w:t>
      </w:r>
      <w:r>
        <w:rPr>
          <w:rFonts w:hint="eastAsia"/>
          <w:u w:val="single"/>
          <w:lang w:val="en-US" w:eastAsia="zh-CN"/>
        </w:rPr>
        <w:t>09</w:t>
      </w:r>
      <w:r>
        <w:rPr>
          <w:u w:val="single"/>
        </w:rPr>
        <w:t>日</w:t>
      </w:r>
      <w:r>
        <w:rPr>
          <w:rFonts w:hint="eastAsia"/>
          <w:u w:val="single"/>
          <w:lang w:val="en-US" w:eastAsia="zh-CN"/>
        </w:rPr>
        <w:t>14</w:t>
      </w:r>
      <w:r>
        <w:rPr>
          <w:u w:val="single"/>
        </w:rPr>
        <w:t>时</w:t>
      </w:r>
      <w:r>
        <w:rPr>
          <w:rFonts w:hint="eastAsia"/>
          <w:u w:val="single"/>
          <w:lang w:val="en-US" w:eastAsia="zh-CN"/>
        </w:rPr>
        <w:t>30</w:t>
      </w:r>
      <w:r>
        <w:rPr>
          <w:u w:val="single"/>
        </w:rPr>
        <w:t>分至</w:t>
      </w:r>
      <w:r>
        <w:rPr>
          <w:rFonts w:hint="eastAsia"/>
          <w:u w:val="single"/>
          <w:lang w:val="en-US" w:eastAsia="zh-CN"/>
        </w:rPr>
        <w:t>15</w:t>
      </w:r>
      <w:r>
        <w:rPr>
          <w:u w:val="single"/>
        </w:rPr>
        <w:t>时</w:t>
      </w:r>
      <w:r>
        <w:rPr>
          <w:rFonts w:hint="eastAsia"/>
          <w:u w:val="single"/>
          <w:lang w:val="en-US" w:eastAsia="zh-CN"/>
        </w:rPr>
        <w:t>00</w:t>
      </w:r>
      <w:r>
        <w:rPr>
          <w:u w:val="single"/>
        </w:rPr>
        <w:t>分</w:t>
      </w:r>
      <w:r>
        <w:t>（北京时间）</w:t>
      </w:r>
    </w:p>
    <w:p>
      <w:pPr>
        <w:pStyle w:val="19"/>
        <w:ind w:left="832"/>
      </w:pPr>
      <w:r>
        <w:t>投标和开标地点：崇左市城南新区石景林路东段崇左市政务服务中心综合楼 5 楼。</w:t>
      </w:r>
    </w:p>
    <w:p>
      <w:pPr>
        <w:pStyle w:val="19"/>
        <w:spacing w:before="12"/>
        <w:rPr>
          <w:sz w:val="17"/>
        </w:rPr>
      </w:pPr>
    </w:p>
    <w:p>
      <w:pPr>
        <w:pStyle w:val="19"/>
        <w:spacing w:line="446" w:lineRule="auto"/>
        <w:ind w:left="412" w:right="412" w:firstLine="420"/>
      </w:pPr>
      <w:r>
        <w:rPr>
          <w:spacing w:val="-5"/>
        </w:rPr>
        <w:t>注：投标人应在投标文件提交起止时间内，将投标文件密封送达投标地点，未在规定时间内送达或者未按照招标文件要求密封的投标文件，将予以拒收。</w:t>
      </w:r>
    </w:p>
    <w:p>
      <w:pPr>
        <w:ind w:left="412"/>
        <w:outlineLvl w:val="1"/>
        <w:rPr>
          <w:b/>
          <w:sz w:val="21"/>
        </w:rPr>
      </w:pPr>
      <w:bookmarkStart w:id="6" w:name="_Toc5102"/>
      <w:r>
        <w:rPr>
          <w:b/>
          <w:sz w:val="21"/>
        </w:rPr>
        <w:t>五、公告期限</w:t>
      </w:r>
      <w:bookmarkEnd w:id="6"/>
    </w:p>
    <w:p>
      <w:pPr>
        <w:pStyle w:val="19"/>
        <w:spacing w:before="12"/>
        <w:rPr>
          <w:b/>
          <w:sz w:val="17"/>
        </w:rPr>
      </w:pPr>
    </w:p>
    <w:p>
      <w:pPr>
        <w:spacing w:line="446" w:lineRule="auto"/>
        <w:ind w:left="412" w:right="6482" w:firstLine="420"/>
        <w:rPr>
          <w:b/>
          <w:sz w:val="21"/>
        </w:rPr>
      </w:pPr>
      <w:r>
        <w:rPr>
          <w:spacing w:val="-6"/>
          <w:sz w:val="21"/>
        </w:rPr>
        <w:t xml:space="preserve">自本公告发布之日起 </w:t>
      </w:r>
      <w:r>
        <w:rPr>
          <w:sz w:val="21"/>
        </w:rPr>
        <w:t>5</w:t>
      </w:r>
      <w:r>
        <w:rPr>
          <w:spacing w:val="-12"/>
          <w:sz w:val="21"/>
        </w:rPr>
        <w:t xml:space="preserve"> 个工作日。</w:t>
      </w:r>
      <w:r>
        <w:rPr>
          <w:b/>
          <w:sz w:val="21"/>
        </w:rPr>
        <w:t>六、其他补充事宜</w:t>
      </w:r>
    </w:p>
    <w:p>
      <w:pPr>
        <w:pStyle w:val="62"/>
        <w:keepNext w:val="0"/>
        <w:keepLines w:val="0"/>
        <w:pageBreakBefore w:val="0"/>
        <w:widowControl w:val="0"/>
        <w:numPr>
          <w:ilvl w:val="0"/>
          <w:numId w:val="4"/>
        </w:numPr>
        <w:tabs>
          <w:tab w:val="left" w:pos="941"/>
        </w:tabs>
        <w:kinsoku/>
        <w:wordWrap/>
        <w:overflowPunct/>
        <w:topLinePunct w:val="0"/>
        <w:autoSpaceDE w:val="0"/>
        <w:autoSpaceDN w:val="0"/>
        <w:bidi w:val="0"/>
        <w:adjustRightInd/>
        <w:snapToGrid/>
        <w:spacing w:line="360" w:lineRule="auto"/>
        <w:textAlignment w:val="auto"/>
        <w:outlineLvl w:val="9"/>
        <w:rPr>
          <w:sz w:val="21"/>
        </w:rPr>
      </w:pPr>
      <w:r>
        <w:rPr>
          <w:sz w:val="21"/>
        </w:rPr>
        <w:t>投标保证金</w:t>
      </w:r>
      <w:r>
        <w:rPr>
          <w:rFonts w:hint="eastAsia"/>
          <w:sz w:val="21"/>
          <w:lang w:eastAsia="zh-CN"/>
        </w:rPr>
        <w:t xml:space="preserve">：保证金人民币 </w:t>
      </w:r>
      <w:r>
        <w:rPr>
          <w:rFonts w:hint="eastAsia"/>
          <w:sz w:val="21"/>
          <w:u w:val="single"/>
          <w:lang w:eastAsia="zh-CN"/>
        </w:rPr>
        <w:t>30000.00</w:t>
      </w:r>
      <w:r>
        <w:rPr>
          <w:rFonts w:hint="eastAsia"/>
          <w:sz w:val="21"/>
          <w:lang w:eastAsia="zh-CN"/>
        </w:rPr>
        <w:t>元。</w:t>
      </w:r>
    </w:p>
    <w:p>
      <w:pPr>
        <w:pStyle w:val="19"/>
        <w:keepNext w:val="0"/>
        <w:keepLines w:val="0"/>
        <w:pageBreakBefore w:val="0"/>
        <w:widowControl w:val="0"/>
        <w:kinsoku/>
        <w:wordWrap/>
        <w:overflowPunct/>
        <w:topLinePunct w:val="0"/>
        <w:autoSpaceDE w:val="0"/>
        <w:autoSpaceDN w:val="0"/>
        <w:bidi w:val="0"/>
        <w:adjustRightInd/>
        <w:snapToGrid/>
        <w:spacing w:line="360" w:lineRule="auto"/>
        <w:ind w:left="412" w:right="412" w:firstLine="420"/>
        <w:textAlignment w:val="auto"/>
        <w:outlineLvl w:val="9"/>
        <w:rPr>
          <w:sz w:val="17"/>
        </w:rPr>
      </w:pPr>
      <w:r>
        <w:rPr>
          <w:rFonts w:hint="eastAsia"/>
          <w:spacing w:val="-5"/>
        </w:rPr>
        <w:t>保证金的交纳方式：银行转账、支票、汇票、本票或者金融、担保机构出具的保函，禁止采用现钞方式。采用银行转账方式的，在首次响应文件提交截止时间前交至采购代理机构指定账户并且到账（开户银行：</w:t>
      </w:r>
      <w:r>
        <w:rPr>
          <w:rFonts w:hint="eastAsia"/>
          <w:spacing w:val="-5"/>
          <w:u w:val="single"/>
          <w:lang w:val="en-US" w:eastAsia="zh-CN"/>
        </w:rPr>
        <w:t>崇左市公共资源交易中心</w:t>
      </w:r>
      <w:r>
        <w:rPr>
          <w:rFonts w:hint="eastAsia"/>
          <w:spacing w:val="-5"/>
        </w:rPr>
        <w:t>，开户名称：</w:t>
      </w:r>
      <w:r>
        <w:rPr>
          <w:rFonts w:hint="eastAsia"/>
          <w:spacing w:val="-5"/>
          <w:u w:val="single"/>
          <w:lang w:val="en-US" w:eastAsia="zh-CN"/>
        </w:rPr>
        <w:t>中国建设银行股份有限公司崇左友谊大道支行</w:t>
      </w:r>
      <w:r>
        <w:rPr>
          <w:rFonts w:hint="eastAsia"/>
          <w:spacing w:val="-5"/>
        </w:rPr>
        <w:t>，银行账号：</w:t>
      </w:r>
      <w:r>
        <w:rPr>
          <w:rFonts w:hint="eastAsia"/>
          <w:spacing w:val="-5"/>
          <w:u w:val="single"/>
          <w:lang w:val="en-US" w:eastAsia="zh-CN"/>
        </w:rPr>
        <w:t>45001598054059556677-0918</w:t>
      </w:r>
      <w:r>
        <w:rPr>
          <w:rFonts w:hint="eastAsia"/>
          <w:spacing w:val="-5"/>
        </w:rPr>
        <w:t>）；采用支票、汇票、本票或者保函等方式的，在首次响应文件提交截止时间前，供应商必须提交单独密封的支票、汇票、本票或者保函原件。否则视为无效</w:t>
      </w:r>
      <w:r>
        <w:rPr>
          <w:rFonts w:hint="eastAsia"/>
          <w:spacing w:val="-5"/>
          <w:lang w:eastAsia="zh-CN"/>
        </w:rPr>
        <w:t>投标</w:t>
      </w:r>
      <w:r>
        <w:rPr>
          <w:rFonts w:hint="eastAsia"/>
          <w:spacing w:val="-5"/>
        </w:rPr>
        <w:t>保证金。</w:t>
      </w:r>
    </w:p>
    <w:p>
      <w:pPr>
        <w:pStyle w:val="62"/>
        <w:keepNext w:val="0"/>
        <w:keepLines w:val="0"/>
        <w:pageBreakBefore w:val="0"/>
        <w:widowControl w:val="0"/>
        <w:numPr>
          <w:ilvl w:val="0"/>
          <w:numId w:val="4"/>
        </w:numPr>
        <w:tabs>
          <w:tab w:val="left" w:pos="1044"/>
        </w:tabs>
        <w:kinsoku/>
        <w:wordWrap/>
        <w:overflowPunct/>
        <w:topLinePunct w:val="0"/>
        <w:autoSpaceDE w:val="0"/>
        <w:autoSpaceDN w:val="0"/>
        <w:bidi w:val="0"/>
        <w:adjustRightInd/>
        <w:snapToGrid/>
        <w:spacing w:line="360" w:lineRule="auto"/>
        <w:ind w:left="1044" w:hanging="315"/>
        <w:textAlignment w:val="auto"/>
        <w:outlineLvl w:val="9"/>
        <w:rPr>
          <w:sz w:val="18"/>
        </w:rPr>
      </w:pPr>
      <w:r>
        <w:rPr>
          <w:sz w:val="21"/>
        </w:rPr>
        <w:t>网上查询地址</w:t>
      </w:r>
    </w:p>
    <w:p>
      <w:pPr>
        <w:pStyle w:val="19"/>
        <w:keepNext w:val="0"/>
        <w:keepLines w:val="0"/>
        <w:pageBreakBefore w:val="0"/>
        <w:widowControl w:val="0"/>
        <w:kinsoku/>
        <w:wordWrap/>
        <w:overflowPunct/>
        <w:topLinePunct w:val="0"/>
        <w:autoSpaceDE w:val="0"/>
        <w:autoSpaceDN w:val="0"/>
        <w:bidi w:val="0"/>
        <w:adjustRightInd/>
        <w:snapToGrid/>
        <w:spacing w:line="360" w:lineRule="auto"/>
        <w:ind w:left="412" w:right="415" w:firstLine="420"/>
        <w:textAlignment w:val="auto"/>
        <w:outlineLvl w:val="9"/>
      </w:pPr>
      <w:r>
        <w:fldChar w:fldCharType="begin"/>
      </w:r>
      <w:r>
        <w:instrText xml:space="preserve"> HYPERLINK "http://www.ccgp.gov.cn/" \h </w:instrText>
      </w:r>
      <w:r>
        <w:fldChar w:fldCharType="separate"/>
      </w:r>
      <w:r>
        <w:t>www.ccgp.gov.cn</w:t>
      </w:r>
      <w:r>
        <w:fldChar w:fldCharType="end"/>
      </w:r>
      <w:r>
        <w:t>（中国政府采购网）、zfcg.gxzf.gov.cn（广西壮族自治区政府采购网）、全国公共资源交易平台(广西.崇左)</w:t>
      </w:r>
      <w:r>
        <w:fldChar w:fldCharType="begin"/>
      </w:r>
      <w:r>
        <w:instrText xml:space="preserve"> HYPERLINK "http://ggzy.jgswj.gxzf.gov.cn/czggzy" \h </w:instrText>
      </w:r>
      <w:r>
        <w:fldChar w:fldCharType="separate"/>
      </w:r>
      <w:r>
        <w:t>http://ggzy.jgswj.gxzf.gov.cn/czggzy</w:t>
      </w:r>
      <w:r>
        <w:fldChar w:fldCharType="end"/>
      </w:r>
    </w:p>
    <w:p>
      <w:pPr>
        <w:tabs>
          <w:tab w:val="right" w:pos="4508"/>
        </w:tabs>
        <w:spacing w:before="230" w:line="460" w:lineRule="auto"/>
        <w:ind w:left="832" w:right="5625" w:hanging="420"/>
        <w:rPr>
          <w:sz w:val="21"/>
        </w:rPr>
      </w:pPr>
      <w:r>
        <w:rPr>
          <w:b/>
          <w:sz w:val="21"/>
        </w:rPr>
        <w:t>七、对本次招标提出询问，请按以下方式联系</w:t>
      </w:r>
      <w:r>
        <w:rPr>
          <w:b/>
          <w:spacing w:val="-12"/>
          <w:sz w:val="21"/>
        </w:rPr>
        <w:t>。</w:t>
      </w:r>
      <w:r>
        <w:rPr>
          <w:sz w:val="21"/>
        </w:rPr>
        <w:t>1.采购人：</w:t>
      </w:r>
      <w:r>
        <w:rPr>
          <w:rFonts w:hint="eastAsia"/>
          <w:sz w:val="21"/>
          <w:lang w:val="en-US"/>
        </w:rPr>
        <w:t>大新</w:t>
      </w:r>
      <w:r>
        <w:rPr>
          <w:sz w:val="21"/>
        </w:rPr>
        <w:t>县文化旅游和体育广电局 地址：</w:t>
      </w:r>
      <w:r>
        <w:rPr>
          <w:rFonts w:hint="eastAsia"/>
          <w:sz w:val="21"/>
          <w:lang w:val="en-US"/>
        </w:rPr>
        <w:t xml:space="preserve">大新县桃城镇养利路440-1                </w:t>
      </w:r>
      <w:r>
        <w:rPr>
          <w:sz w:val="21"/>
        </w:rPr>
        <w:t>电话：</w:t>
      </w:r>
      <w:r>
        <w:rPr>
          <w:rFonts w:hint="eastAsia"/>
          <w:sz w:val="21"/>
        </w:rPr>
        <w:t>0771</w:t>
      </w:r>
      <w:r>
        <w:rPr>
          <w:rFonts w:hint="eastAsia"/>
          <w:sz w:val="21"/>
          <w:lang w:val="en-US"/>
        </w:rPr>
        <w:t>-</w:t>
      </w:r>
      <w:r>
        <w:rPr>
          <w:rFonts w:hint="eastAsia"/>
          <w:sz w:val="21"/>
        </w:rPr>
        <w:t>3622409</w:t>
      </w:r>
    </w:p>
    <w:p>
      <w:pPr>
        <w:pStyle w:val="62"/>
        <w:numPr>
          <w:ilvl w:val="1"/>
          <w:numId w:val="4"/>
        </w:numPr>
        <w:tabs>
          <w:tab w:val="left" w:pos="1044"/>
        </w:tabs>
        <w:spacing w:line="252" w:lineRule="exact"/>
        <w:rPr>
          <w:sz w:val="21"/>
        </w:rPr>
      </w:pPr>
      <w:r>
        <w:rPr>
          <w:sz w:val="21"/>
        </w:rPr>
        <w:t>采购代理机构：</w:t>
      </w:r>
      <w:r>
        <w:rPr>
          <w:rFonts w:hint="eastAsia"/>
          <w:sz w:val="21"/>
        </w:rPr>
        <w:t>广西国兴项目管理有限公司</w:t>
      </w:r>
    </w:p>
    <w:p>
      <w:pPr>
        <w:pStyle w:val="19"/>
        <w:tabs>
          <w:tab w:val="right" w:pos="5500"/>
        </w:tabs>
        <w:spacing w:before="233" w:line="446" w:lineRule="auto"/>
        <w:ind w:left="832" w:right="4310"/>
      </w:pPr>
      <w:r>
        <w:t>地址：</w:t>
      </w:r>
      <w:r>
        <w:rPr>
          <w:rFonts w:hint="eastAsia"/>
        </w:rPr>
        <w:t>南宁市良庆区体强路19号阳光城 时代中心B座2220</w:t>
      </w:r>
      <w:r>
        <w:t>联系电话</w:t>
      </w:r>
      <w:r>
        <w:rPr>
          <w:rFonts w:hint="eastAsia"/>
        </w:rPr>
        <w:t>：0771-5789574</w:t>
      </w:r>
    </w:p>
    <w:p>
      <w:pPr>
        <w:pStyle w:val="62"/>
        <w:numPr>
          <w:ilvl w:val="1"/>
          <w:numId w:val="4"/>
        </w:numPr>
        <w:tabs>
          <w:tab w:val="left" w:pos="1044"/>
        </w:tabs>
        <w:spacing w:line="267" w:lineRule="exact"/>
        <w:rPr>
          <w:sz w:val="21"/>
        </w:rPr>
      </w:pPr>
      <w:r>
        <w:rPr>
          <w:sz w:val="21"/>
        </w:rPr>
        <w:t>监督部门</w:t>
      </w:r>
    </w:p>
    <w:p>
      <w:pPr>
        <w:pStyle w:val="19"/>
        <w:spacing w:before="2"/>
        <w:rPr>
          <w:sz w:val="18"/>
        </w:rPr>
      </w:pPr>
    </w:p>
    <w:p>
      <w:pPr>
        <w:pStyle w:val="19"/>
        <w:tabs>
          <w:tab w:val="left" w:pos="4192"/>
        </w:tabs>
        <w:ind w:left="832"/>
      </w:pPr>
      <w:r>
        <w:rPr>
          <w:rFonts w:hint="eastAsia"/>
        </w:rPr>
        <w:t>大新县财政局政府采购监督管理股</w:t>
      </w:r>
      <w:r>
        <w:tab/>
      </w:r>
      <w:r>
        <w:t>联系电话：</w:t>
      </w:r>
      <w:r>
        <w:rPr>
          <w:rFonts w:hint="eastAsia"/>
        </w:rPr>
        <w:t>0771-3626646</w:t>
      </w: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17"/>
        </w:rPr>
      </w:pPr>
    </w:p>
    <w:p>
      <w:pPr>
        <w:pStyle w:val="19"/>
        <w:tabs>
          <w:tab w:val="left" w:pos="7816"/>
          <w:tab w:val="left" w:pos="9020"/>
        </w:tabs>
        <w:spacing w:line="487" w:lineRule="auto"/>
        <w:ind w:left="6712" w:leftChars="2860" w:right="1653" w:hanging="420" w:hangingChars="200"/>
      </w:pPr>
      <w:r>
        <w:rPr>
          <w:rFonts w:hint="eastAsia"/>
        </w:rPr>
        <w:t>广西国兴项目管理有限公司</w:t>
      </w:r>
      <w:r>
        <w:t>2021</w:t>
      </w:r>
      <w:r>
        <w:rPr>
          <w:spacing w:val="-55"/>
        </w:rPr>
        <w:t xml:space="preserve"> </w:t>
      </w:r>
      <w:r>
        <w:t>年</w:t>
      </w:r>
      <w:r>
        <w:rPr>
          <w:spacing w:val="-50"/>
        </w:rPr>
        <w:t xml:space="preserve"> </w:t>
      </w:r>
      <w:r>
        <w:rPr>
          <w:rFonts w:hint="eastAsia"/>
          <w:lang w:val="en-US" w:eastAsia="zh-CN"/>
        </w:rPr>
        <w:t xml:space="preserve">09 </w:t>
      </w:r>
      <w:r>
        <w:t>月</w:t>
      </w:r>
      <w:r>
        <w:rPr>
          <w:rFonts w:hint="eastAsia"/>
          <w:lang w:val="en-US" w:eastAsia="zh-CN"/>
        </w:rPr>
        <w:t xml:space="preserve"> 18 </w:t>
      </w:r>
      <w:r>
        <w:t>日</w:t>
      </w:r>
    </w:p>
    <w:p>
      <w:pPr>
        <w:spacing w:line="487" w:lineRule="auto"/>
        <w:sectPr>
          <w:pgSz w:w="11910" w:h="16840"/>
          <w:pgMar w:top="1260" w:right="720" w:bottom="1380" w:left="720" w:header="0" w:footer="1120" w:gutter="0"/>
          <w:pgNumType w:fmt="decimal"/>
          <w:cols w:space="720" w:num="1"/>
        </w:sectPr>
      </w:pPr>
    </w:p>
    <w:p>
      <w:pPr>
        <w:snapToGrid w:val="0"/>
        <w:spacing w:line="480" w:lineRule="auto"/>
        <w:jc w:val="center"/>
        <w:outlineLvl w:val="0"/>
        <w:rPr>
          <w:color w:val="000000"/>
          <w:kern w:val="44"/>
          <w:sz w:val="44"/>
          <w:szCs w:val="44"/>
        </w:rPr>
      </w:pPr>
      <w:bookmarkStart w:id="7" w:name="_Toc4604"/>
      <w:r>
        <w:rPr>
          <w:rFonts w:hint="eastAsia"/>
          <w:color w:val="000000"/>
          <w:kern w:val="44"/>
          <w:sz w:val="44"/>
          <w:szCs w:val="44"/>
        </w:rPr>
        <w:t>第二章  采购需求</w:t>
      </w:r>
      <w:bookmarkEnd w:id="7"/>
    </w:p>
    <w:p>
      <w:pPr>
        <w:adjustRightInd w:val="0"/>
        <w:snapToGrid w:val="0"/>
        <w:spacing w:line="560" w:lineRule="exact"/>
        <w:ind w:firstLine="420"/>
        <w:outlineLvl w:val="1"/>
        <w:rPr>
          <w:color w:val="000000"/>
          <w:szCs w:val="21"/>
        </w:rPr>
      </w:pPr>
      <w:bookmarkStart w:id="8" w:name="_Toc30722"/>
      <w:r>
        <w:rPr>
          <w:rFonts w:hint="eastAsia"/>
          <w:color w:val="000000"/>
          <w:szCs w:val="21"/>
        </w:rPr>
        <w:t>说明：</w:t>
      </w:r>
      <w:bookmarkEnd w:id="8"/>
    </w:p>
    <w:p>
      <w:pPr>
        <w:adjustRightInd w:val="0"/>
        <w:snapToGrid w:val="0"/>
        <w:spacing w:line="560" w:lineRule="exact"/>
        <w:ind w:firstLine="420"/>
        <w:rPr>
          <w:color w:val="000000"/>
          <w:szCs w:val="21"/>
        </w:rPr>
      </w:pPr>
      <w:r>
        <w:rPr>
          <w:rFonts w:hint="eastAsia"/>
          <w:color w:val="000000"/>
          <w:szCs w:val="21"/>
        </w:rPr>
        <w:t>1.采购需求中出现的品牌、型号或者生产厂家仅起参考作用，不属于指定品牌、型号或者生产厂家的情形。投标人可参照或者选用其他相当的品牌、型号或者生产厂家替代，但选用的投标产品参数性能必须满足实质性要求。</w:t>
      </w:r>
    </w:p>
    <w:p>
      <w:pPr>
        <w:adjustRightInd w:val="0"/>
        <w:snapToGrid w:val="0"/>
        <w:spacing w:line="560" w:lineRule="exact"/>
        <w:ind w:firstLine="420"/>
        <w:rPr>
          <w:szCs w:val="21"/>
        </w:rPr>
      </w:pPr>
      <w:r>
        <w:rPr>
          <w:rFonts w:hint="eastAsia"/>
          <w:color w:val="000000"/>
          <w:szCs w:val="21"/>
        </w:rPr>
        <w:t>2.投标人应根据自身实际情况响应招标文件采购需求中的各项需求，</w:t>
      </w:r>
      <w:r>
        <w:rPr>
          <w:rFonts w:hint="eastAsia"/>
          <w:szCs w:val="21"/>
        </w:rPr>
        <w:t>对于重要技术条款或技术参数应当在投标文件中提供技术支持资料。技术支持资料以投标货物</w:t>
      </w:r>
      <w:r>
        <w:rPr>
          <w:rFonts w:hint="eastAsia"/>
          <w:color w:val="000000"/>
          <w:szCs w:val="21"/>
        </w:rPr>
        <w:t>生产厂家</w:t>
      </w:r>
      <w:r>
        <w:rPr>
          <w:rFonts w:hint="eastAsia"/>
          <w:szCs w:val="21"/>
        </w:rPr>
        <w:t>公开发布的印刷资料或检测机构出具的检测报告或招标文件中允许的其它形式为准。凡不符合上述要求的，将视为无效技术支持资料。</w:t>
      </w:r>
    </w:p>
    <w:p>
      <w:pPr>
        <w:adjustRightInd w:val="0"/>
        <w:snapToGrid w:val="0"/>
        <w:spacing w:line="560" w:lineRule="exact"/>
        <w:ind w:left="6" w:firstLine="422"/>
        <w:rPr>
          <w:b/>
          <w:bCs/>
          <w:szCs w:val="21"/>
        </w:rPr>
      </w:pPr>
      <w:r>
        <w:rPr>
          <w:rFonts w:hint="eastAsia"/>
          <w:b/>
          <w:bCs/>
          <w:szCs w:val="21"/>
        </w:rPr>
        <w:t xml:space="preserve">3.本项目采购标的对应的中小企业划分标准所属是 </w:t>
      </w:r>
      <w:r>
        <w:rPr>
          <w:rFonts w:hint="eastAsia"/>
          <w:b/>
          <w:bCs/>
          <w:szCs w:val="21"/>
          <w:u w:val="single"/>
        </w:rPr>
        <w:t xml:space="preserve">   工业   </w:t>
      </w:r>
      <w:r>
        <w:rPr>
          <w:rFonts w:hint="eastAsia"/>
          <w:b/>
          <w:bCs/>
          <w:szCs w:val="21"/>
        </w:rPr>
        <w:t>行业。</w:t>
      </w:r>
    </w:p>
    <w:p>
      <w:pPr>
        <w:adjustRightInd w:val="0"/>
        <w:snapToGrid w:val="0"/>
        <w:spacing w:line="560" w:lineRule="exact"/>
        <w:ind w:left="6" w:firstLine="422"/>
        <w:rPr>
          <w:b/>
          <w:bCs/>
          <w:szCs w:val="21"/>
        </w:rPr>
      </w:pPr>
      <w:r>
        <w:rPr>
          <w:rFonts w:hint="eastAsia"/>
          <w:b/>
          <w:bCs/>
          <w:szCs w:val="21"/>
        </w:rPr>
        <w:t>4</w:t>
      </w:r>
      <w:r>
        <w:rPr>
          <w:b/>
          <w:bCs/>
          <w:szCs w:val="21"/>
        </w:rPr>
        <w:t>.</w:t>
      </w:r>
      <w:r>
        <w:rPr>
          <w:rFonts w:hint="eastAsia"/>
          <w:b/>
          <w:bCs/>
          <w:szCs w:val="21"/>
        </w:rPr>
        <w:t xml:space="preserve"> 本项目需求中标注“▲”的条款为本次采购的实质性的商务、技术或服务要求，必须满足或优于。</w:t>
      </w:r>
    </w:p>
    <w:p>
      <w:pPr>
        <w:adjustRightInd w:val="0"/>
        <w:snapToGrid w:val="0"/>
        <w:spacing w:line="560" w:lineRule="exact"/>
        <w:ind w:firstLine="420"/>
        <w:outlineLvl w:val="1"/>
        <w:rPr>
          <w:bCs/>
          <w:color w:val="000000"/>
          <w:szCs w:val="21"/>
          <w:u w:val="single"/>
        </w:rPr>
      </w:pPr>
      <w:bookmarkStart w:id="9" w:name="_Toc11920"/>
      <w:r>
        <w:rPr>
          <w:rFonts w:hint="eastAsia"/>
          <w:bCs/>
          <w:color w:val="000000"/>
          <w:szCs w:val="21"/>
        </w:rPr>
        <w:t>采购预算</w:t>
      </w:r>
      <w:r>
        <w:rPr>
          <w:rFonts w:hint="eastAsia"/>
          <w:bCs/>
          <w:color w:val="000000"/>
          <w:szCs w:val="21"/>
          <w:u w:val="single"/>
        </w:rPr>
        <w:t>3</w:t>
      </w:r>
      <w:r>
        <w:rPr>
          <w:bCs/>
          <w:color w:val="000000"/>
          <w:szCs w:val="21"/>
          <w:u w:val="single"/>
        </w:rPr>
        <w:t>1</w:t>
      </w:r>
      <w:r>
        <w:rPr>
          <w:rFonts w:hint="eastAsia"/>
          <w:bCs/>
          <w:color w:val="000000"/>
          <w:szCs w:val="21"/>
          <w:u w:val="single"/>
          <w:lang w:val="en-US" w:eastAsia="zh-CN"/>
        </w:rPr>
        <w:t>6</w:t>
      </w:r>
      <w:r>
        <w:rPr>
          <w:rFonts w:hint="eastAsia"/>
          <w:bCs/>
          <w:color w:val="000000"/>
          <w:szCs w:val="21"/>
          <w:u w:val="single"/>
        </w:rPr>
        <w:t>万元</w:t>
      </w:r>
      <w:bookmarkEnd w:id="9"/>
    </w:p>
    <w:tbl>
      <w:tblPr>
        <w:tblStyle w:val="51"/>
        <w:tblW w:w="10069" w:type="dxa"/>
        <w:tblInd w:w="0" w:type="dxa"/>
        <w:tblLayout w:type="fixed"/>
        <w:tblCellMar>
          <w:top w:w="0" w:type="dxa"/>
          <w:left w:w="0" w:type="dxa"/>
          <w:bottom w:w="0" w:type="dxa"/>
          <w:right w:w="0" w:type="dxa"/>
        </w:tblCellMar>
      </w:tblPr>
      <w:tblGrid>
        <w:gridCol w:w="562"/>
        <w:gridCol w:w="993"/>
        <w:gridCol w:w="7371"/>
        <w:gridCol w:w="1143"/>
      </w:tblGrid>
      <w:tr>
        <w:tblPrEx>
          <w:tblCellMar>
            <w:top w:w="0" w:type="dxa"/>
            <w:left w:w="0" w:type="dxa"/>
            <w:bottom w:w="0" w:type="dxa"/>
            <w:right w:w="0" w:type="dxa"/>
          </w:tblCellMar>
        </w:tblPrEx>
        <w:trPr>
          <w:trHeight w:val="405" w:hRule="atLeast"/>
        </w:trPr>
        <w:tc>
          <w:tcPr>
            <w:tcW w:w="562" w:type="dxa"/>
            <w:tcBorders>
              <w:top w:val="single" w:color="auto" w:sz="4" w:space="0"/>
              <w:left w:val="single" w:color="auto" w:sz="4" w:space="0"/>
              <w:bottom w:val="single" w:color="auto"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bCs/>
                <w:szCs w:val="21"/>
              </w:rPr>
              <w:t>序号</w:t>
            </w:r>
          </w:p>
        </w:tc>
        <w:tc>
          <w:tcPr>
            <w:tcW w:w="993" w:type="dxa"/>
            <w:tcBorders>
              <w:top w:val="single" w:color="auto" w:sz="4" w:space="0"/>
              <w:left w:val="single" w:color="000000" w:sz="4" w:space="0"/>
              <w:bottom w:val="single" w:color="auto"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采购内容</w:t>
            </w:r>
          </w:p>
        </w:tc>
        <w:tc>
          <w:tcPr>
            <w:tcW w:w="7371" w:type="dxa"/>
            <w:tcBorders>
              <w:top w:val="single" w:color="auto" w:sz="4" w:space="0"/>
              <w:left w:val="single" w:color="000000" w:sz="4" w:space="0"/>
              <w:bottom w:val="single" w:color="auto" w:sz="4" w:space="0"/>
              <w:right w:val="single" w:color="auto" w:sz="4" w:space="0"/>
            </w:tcBorders>
            <w:shd w:val="clear" w:color="auto" w:fill="FFFFFF"/>
            <w:tcMar>
              <w:top w:w="10" w:type="dxa"/>
              <w:left w:w="10" w:type="dxa"/>
              <w:right w:w="10" w:type="dxa"/>
            </w:tcMar>
            <w:vAlign w:val="center"/>
          </w:tcPr>
          <w:p>
            <w:pPr>
              <w:widowControl/>
              <w:adjustRightInd w:val="0"/>
              <w:snapToGrid w:val="0"/>
              <w:ind w:firstLine="420"/>
              <w:jc w:val="center"/>
              <w:textAlignment w:val="center"/>
              <w:rPr>
                <w:bCs/>
                <w:szCs w:val="21"/>
              </w:rPr>
            </w:pPr>
            <w:r>
              <w:rPr>
                <w:rFonts w:hint="eastAsia"/>
                <w:bCs/>
                <w:szCs w:val="21"/>
              </w:rPr>
              <w:t>技术参数及性能（配置）要求</w:t>
            </w:r>
          </w:p>
        </w:tc>
        <w:tc>
          <w:tcPr>
            <w:tcW w:w="1143" w:type="dxa"/>
            <w:tcBorders>
              <w:top w:val="single" w:color="000000" w:sz="4" w:space="0"/>
              <w:left w:val="single" w:color="auto"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bCs/>
                <w:szCs w:val="21"/>
              </w:rPr>
              <w:t>数量</w:t>
            </w:r>
            <w:r>
              <w:rPr>
                <w:bCs/>
                <w:szCs w:val="21"/>
              </w:rPr>
              <w:t>/</w:t>
            </w:r>
            <w:r>
              <w:rPr>
                <w:rFonts w:hint="eastAsia"/>
                <w:bCs/>
                <w:szCs w:val="21"/>
              </w:rPr>
              <w:t>单位</w:t>
            </w:r>
          </w:p>
        </w:tc>
      </w:tr>
      <w:tr>
        <w:tblPrEx>
          <w:tblCellMar>
            <w:top w:w="0" w:type="dxa"/>
            <w:left w:w="0" w:type="dxa"/>
            <w:bottom w:w="0" w:type="dxa"/>
            <w:right w:w="0" w:type="dxa"/>
          </w:tblCellMar>
        </w:tblPrEx>
        <w:trPr>
          <w:trHeight w:val="405" w:hRule="atLeast"/>
        </w:trPr>
        <w:tc>
          <w:tcPr>
            <w:tcW w:w="10069" w:type="dxa"/>
            <w:gridSpan w:val="4"/>
            <w:tcBorders>
              <w:top w:val="single" w:color="auto" w:sz="4" w:space="0"/>
              <w:left w:val="single" w:color="auto" w:sz="4" w:space="0"/>
              <w:bottom w:val="single" w:color="auto"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一、县级应急广播平台</w:t>
            </w:r>
          </w:p>
        </w:tc>
      </w:tr>
      <w:tr>
        <w:tblPrEx>
          <w:tblCellMar>
            <w:top w:w="0" w:type="dxa"/>
            <w:left w:w="0" w:type="dxa"/>
            <w:bottom w:w="0" w:type="dxa"/>
            <w:right w:w="0" w:type="dxa"/>
          </w:tblCellMar>
        </w:tblPrEx>
        <w:trPr>
          <w:trHeight w:val="1857" w:hRule="atLeast"/>
        </w:trPr>
        <w:tc>
          <w:tcPr>
            <w:tcW w:w="562" w:type="dxa"/>
            <w:tcBorders>
              <w:top w:val="single" w:color="auto"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w:t>
            </w:r>
          </w:p>
        </w:tc>
        <w:tc>
          <w:tcPr>
            <w:tcW w:w="993" w:type="dxa"/>
            <w:tcBorders>
              <w:top w:val="single" w:color="auto"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县级应急广播平台系统与调试（标准版）</w:t>
            </w:r>
          </w:p>
        </w:tc>
        <w:tc>
          <w:tcPr>
            <w:tcW w:w="7371" w:type="dxa"/>
            <w:tcBorders>
              <w:top w:val="single" w:color="auto"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adjustRightInd w:val="0"/>
              <w:snapToGrid w:val="0"/>
              <w:ind w:firstLine="422"/>
              <w:rPr>
                <w:b/>
                <w:bCs/>
                <w:szCs w:val="21"/>
              </w:rPr>
            </w:pPr>
            <w:r>
              <w:rPr>
                <w:rFonts w:hint="eastAsia"/>
                <w:b/>
                <w:bCs/>
                <w:szCs w:val="21"/>
              </w:rPr>
              <w:t>一、基本要求</w:t>
            </w:r>
          </w:p>
          <w:p>
            <w:pPr>
              <w:adjustRightInd w:val="0"/>
              <w:snapToGrid w:val="0"/>
              <w:ind w:firstLine="420"/>
              <w:rPr>
                <w:szCs w:val="21"/>
              </w:rPr>
            </w:pPr>
            <w:r>
              <w:rPr>
                <w:rFonts w:hint="eastAsia"/>
                <w:szCs w:val="21"/>
              </w:rPr>
              <w:t>1.安装调试本地县级应急广播平台系统和云平台系统。其中县级应急广播云平台系统是全区统一版本的平台系统，本地县级应急广播平台系统可采用但不限于云平台系统版本。</w:t>
            </w:r>
          </w:p>
          <w:p>
            <w:pPr>
              <w:adjustRightInd w:val="0"/>
              <w:snapToGrid w:val="0"/>
              <w:ind w:firstLine="420"/>
              <w:rPr>
                <w:szCs w:val="21"/>
              </w:rPr>
            </w:pPr>
            <w:r>
              <w:rPr>
                <w:rFonts w:hint="eastAsia"/>
                <w:szCs w:val="21"/>
              </w:rPr>
              <w:t>2.两个系统的操作界面（平台页面UI设计）风格及展示效果必须保持一致。平台页面UI设计规范文档由甲方提供。其中后台操作界面和显示大屏的主屏初始页面等如下图所示。</w:t>
            </w:r>
          </w:p>
          <w:p>
            <w:pPr>
              <w:adjustRightInd w:val="0"/>
              <w:snapToGrid w:val="0"/>
              <w:ind w:firstLine="420"/>
              <w:jc w:val="center"/>
              <w:rPr>
                <w:szCs w:val="21"/>
              </w:rPr>
            </w:pPr>
            <w:r>
              <w:rPr>
                <w:rFonts w:hint="eastAsia"/>
                <w:szCs w:val="21"/>
              </w:rPr>
              <w:drawing>
                <wp:inline distT="0" distB="0" distL="0" distR="0">
                  <wp:extent cx="2580640" cy="1463040"/>
                  <wp:effectExtent l="0" t="0" r="0" b="0"/>
                  <wp:docPr id="108" name="图片 93" descr="20210222_融合大屏5 - 县级地图"/>
                  <wp:cNvGraphicFramePr/>
                  <a:graphic xmlns:a="http://schemas.openxmlformats.org/drawingml/2006/main">
                    <a:graphicData uri="http://schemas.openxmlformats.org/drawingml/2006/picture">
                      <pic:pic xmlns:pic="http://schemas.openxmlformats.org/drawingml/2006/picture">
                        <pic:nvPicPr>
                          <pic:cNvPr id="108" name="图片 93" descr="20210222_融合大屏5 - 县级地图"/>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580640" cy="1463040"/>
                          </a:xfrm>
                          <a:prstGeom prst="rect">
                            <a:avLst/>
                          </a:prstGeom>
                          <a:noFill/>
                          <a:ln>
                            <a:noFill/>
                          </a:ln>
                        </pic:spPr>
                      </pic:pic>
                    </a:graphicData>
                  </a:graphic>
                </wp:inline>
              </w:drawing>
            </w:r>
          </w:p>
          <w:p>
            <w:pPr>
              <w:adjustRightInd w:val="0"/>
              <w:snapToGrid w:val="0"/>
              <w:ind w:firstLine="420"/>
              <w:jc w:val="center"/>
              <w:rPr>
                <w:szCs w:val="21"/>
              </w:rPr>
            </w:pPr>
            <w:r>
              <w:rPr>
                <w:rFonts w:hint="eastAsia"/>
                <w:szCs w:val="21"/>
              </w:rPr>
              <w:drawing>
                <wp:inline distT="0" distB="0" distL="0" distR="0">
                  <wp:extent cx="2600960" cy="1463040"/>
                  <wp:effectExtent l="19050" t="0" r="8890" b="0"/>
                  <wp:docPr id="109" name="图片 76" descr="21"/>
                  <wp:cNvGraphicFramePr/>
                  <a:graphic xmlns:a="http://schemas.openxmlformats.org/drawingml/2006/main">
                    <a:graphicData uri="http://schemas.openxmlformats.org/drawingml/2006/picture">
                      <pic:pic xmlns:pic="http://schemas.openxmlformats.org/drawingml/2006/picture">
                        <pic:nvPicPr>
                          <pic:cNvPr id="109" name="图片 76" descr="2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600960" cy="1463040"/>
                          </a:xfrm>
                          <a:prstGeom prst="rect">
                            <a:avLst/>
                          </a:prstGeom>
                          <a:noFill/>
                          <a:ln>
                            <a:noFill/>
                          </a:ln>
                        </pic:spPr>
                      </pic:pic>
                    </a:graphicData>
                  </a:graphic>
                </wp:inline>
              </w:drawing>
            </w:r>
          </w:p>
          <w:p>
            <w:pPr>
              <w:adjustRightInd w:val="0"/>
              <w:snapToGrid w:val="0"/>
              <w:ind w:firstLine="420"/>
              <w:jc w:val="center"/>
              <w:rPr>
                <w:szCs w:val="21"/>
              </w:rPr>
            </w:pPr>
            <w:r>
              <w:rPr>
                <w:rFonts w:hint="eastAsia"/>
                <w:szCs w:val="21"/>
              </w:rPr>
              <w:t>后台操作页面示例</w:t>
            </w:r>
          </w:p>
          <w:p>
            <w:pPr>
              <w:adjustRightInd w:val="0"/>
              <w:snapToGrid w:val="0"/>
              <w:ind w:firstLine="420"/>
              <w:jc w:val="center"/>
              <w:rPr>
                <w:szCs w:val="21"/>
              </w:rPr>
            </w:pPr>
            <w:r>
              <w:rPr>
                <w:rFonts w:hint="eastAsia"/>
                <w:szCs w:val="21"/>
              </w:rPr>
              <w:drawing>
                <wp:inline distT="0" distB="0" distL="0" distR="0">
                  <wp:extent cx="2580640" cy="1341120"/>
                  <wp:effectExtent l="0" t="0" r="0" b="0"/>
                  <wp:docPr id="110" name="图片 94" descr="3975208cd8db052c73b156c9fe84106"/>
                  <wp:cNvGraphicFramePr/>
                  <a:graphic xmlns:a="http://schemas.openxmlformats.org/drawingml/2006/main">
                    <a:graphicData uri="http://schemas.openxmlformats.org/drawingml/2006/picture">
                      <pic:pic xmlns:pic="http://schemas.openxmlformats.org/drawingml/2006/picture">
                        <pic:nvPicPr>
                          <pic:cNvPr id="110" name="图片 94" descr="3975208cd8db052c73b156c9fe84106"/>
                          <pic:cNvPicPr/>
                        </pic:nvPicPr>
                        <pic:blipFill>
                          <a:blip r:embed="rId17" cstate="print">
                            <a:extLst>
                              <a:ext uri="{28A0092B-C50C-407E-A947-70E740481C1C}">
                                <a14:useLocalDpi xmlns:a14="http://schemas.microsoft.com/office/drawing/2010/main" val="0"/>
                              </a:ext>
                            </a:extLst>
                          </a:blip>
                          <a:srcRect l="5070" t="7091" r="11191" b="50133"/>
                          <a:stretch>
                            <a:fillRect/>
                          </a:stretch>
                        </pic:blipFill>
                        <pic:spPr>
                          <a:xfrm>
                            <a:off x="0" y="0"/>
                            <a:ext cx="2580640" cy="1341120"/>
                          </a:xfrm>
                          <a:prstGeom prst="rect">
                            <a:avLst/>
                          </a:prstGeom>
                          <a:noFill/>
                          <a:ln>
                            <a:noFill/>
                          </a:ln>
                          <a:effectLst/>
                        </pic:spPr>
                      </pic:pic>
                    </a:graphicData>
                  </a:graphic>
                </wp:inline>
              </w:drawing>
            </w:r>
          </w:p>
          <w:p>
            <w:pPr>
              <w:adjustRightInd w:val="0"/>
              <w:snapToGrid w:val="0"/>
              <w:ind w:firstLine="420"/>
              <w:jc w:val="center"/>
              <w:rPr>
                <w:szCs w:val="21"/>
              </w:rPr>
            </w:pPr>
            <w:r>
              <w:rPr>
                <w:rFonts w:hint="eastAsia"/>
                <w:szCs w:val="21"/>
              </w:rPr>
              <w:t>显示大屏的主屏初始页面示例</w:t>
            </w:r>
          </w:p>
          <w:p>
            <w:pPr>
              <w:adjustRightInd w:val="0"/>
              <w:snapToGrid w:val="0"/>
              <w:ind w:firstLine="420"/>
              <w:rPr>
                <w:szCs w:val="21"/>
              </w:rPr>
            </w:pPr>
            <w:r>
              <w:rPr>
                <w:rFonts w:hint="eastAsia"/>
                <w:szCs w:val="21"/>
              </w:rPr>
              <w:t>注：县级平台显示大屏比例通常为2*4，主屏特指大屏中间2*2的显示屏。</w:t>
            </w:r>
          </w:p>
          <w:p>
            <w:pPr>
              <w:adjustRightInd w:val="0"/>
              <w:snapToGrid w:val="0"/>
              <w:ind w:firstLine="420"/>
              <w:rPr>
                <w:szCs w:val="21"/>
              </w:rPr>
            </w:pPr>
            <w:r>
              <w:rPr>
                <w:rFonts w:hint="eastAsia"/>
                <w:szCs w:val="21"/>
              </w:rPr>
              <w:t>3.遵循《应急广播平台信息交换规范》（原《广西应急广播平台接口规范》），确保两个平台之间的数据无缝连接。</w:t>
            </w:r>
          </w:p>
          <w:p>
            <w:pPr>
              <w:adjustRightInd w:val="0"/>
              <w:snapToGrid w:val="0"/>
              <w:ind w:firstLine="420"/>
              <w:rPr>
                <w:szCs w:val="21"/>
              </w:rPr>
            </w:pPr>
            <w:r>
              <w:rPr>
                <w:rFonts w:hint="eastAsia"/>
                <w:szCs w:val="21"/>
              </w:rPr>
              <w:t>4.本地县级应急广播平台系统应满足如下先决条件：</w:t>
            </w:r>
          </w:p>
          <w:p>
            <w:pPr>
              <w:adjustRightInd w:val="0"/>
              <w:snapToGrid w:val="0"/>
              <w:ind w:firstLine="420"/>
              <w:rPr>
                <w:szCs w:val="21"/>
              </w:rPr>
            </w:pPr>
            <w:r>
              <w:rPr>
                <w:rFonts w:hint="eastAsia"/>
                <w:szCs w:val="21"/>
              </w:rPr>
              <w:t>（1）平台系统基于LINUX操作系统下运行。</w:t>
            </w:r>
          </w:p>
          <w:p>
            <w:pPr>
              <w:adjustRightInd w:val="0"/>
              <w:snapToGrid w:val="0"/>
              <w:ind w:firstLine="420"/>
              <w:rPr>
                <w:szCs w:val="21"/>
              </w:rPr>
            </w:pPr>
            <w:r>
              <w:rPr>
                <w:rFonts w:hint="eastAsia"/>
                <w:szCs w:val="21"/>
              </w:rPr>
              <w:t>（2）根据有关文件精神，本系统应全面支持IPv6，兼容IPv4。</w:t>
            </w:r>
          </w:p>
          <w:p>
            <w:pPr>
              <w:adjustRightInd w:val="0"/>
              <w:snapToGrid w:val="0"/>
              <w:ind w:firstLine="420"/>
              <w:rPr>
                <w:szCs w:val="21"/>
              </w:rPr>
            </w:pPr>
            <w:r>
              <w:rPr>
                <w:rFonts w:hint="eastAsia"/>
                <w:szCs w:val="21"/>
              </w:rPr>
              <w:t>（3）系统软件包括：信息接入输出模块、信息处理及制作模块、审核播发模块、资源管理模块、生成发布模块、调度控制模块、监管评估模块、设置升级管理模块、系统管理模块、信息安全模块等，并整合县平台机房控制室环境监控系统的环境监控模块。</w:t>
            </w:r>
          </w:p>
          <w:p>
            <w:pPr>
              <w:adjustRightInd w:val="0"/>
              <w:snapToGrid w:val="0"/>
              <w:ind w:firstLine="420"/>
              <w:rPr>
                <w:szCs w:val="21"/>
              </w:rPr>
            </w:pPr>
            <w:r>
              <w:rPr>
                <w:rFonts w:hint="eastAsia"/>
                <w:szCs w:val="21"/>
              </w:rPr>
              <w:t>（4）支持广西应急广播相关技术规范，包括《广西应急广播调频副载波(RDS)编码传输技术规范》、《广西应急广播TS流传输技术规范》、《广西应急广播指令安全保护(数字签名)技术规范》、《广西应急广播终端通信技术规范V1.2》（原《广西应急广播终端数据回传技术规范V1.2》、《广西应急广播终端软件升级技术规范》、《广西应急广播IP传输技术规范V1.2》、《应急广播平台信息交换规范》（原《广西应急广播平台接口规范》）、《应急广播资源分类及编码规范》（原《广西应急广播资源分类及编码规范》）等。</w:t>
            </w:r>
          </w:p>
          <w:p>
            <w:pPr>
              <w:adjustRightInd w:val="0"/>
              <w:snapToGrid w:val="0"/>
              <w:ind w:firstLine="420"/>
              <w:rPr>
                <w:szCs w:val="21"/>
              </w:rPr>
            </w:pPr>
            <w:r>
              <w:rPr>
                <w:rFonts w:hint="eastAsia"/>
                <w:szCs w:val="21"/>
              </w:rPr>
              <w:t>5.做好平台系统与乡镇平台、村级（平台）终端、摄像头、UPS、FM发射机等的联网调试。</w:t>
            </w:r>
          </w:p>
          <w:p>
            <w:pPr>
              <w:adjustRightInd w:val="0"/>
              <w:snapToGrid w:val="0"/>
              <w:ind w:firstLine="420"/>
              <w:rPr>
                <w:szCs w:val="21"/>
              </w:rPr>
            </w:pPr>
            <w:r>
              <w:rPr>
                <w:rFonts w:hint="eastAsia"/>
                <w:szCs w:val="21"/>
              </w:rPr>
              <w:t>6.做好与应急局、融媒体中心等部门横向接口的配置。</w:t>
            </w:r>
          </w:p>
          <w:p>
            <w:pPr>
              <w:adjustRightInd w:val="0"/>
              <w:snapToGrid w:val="0"/>
              <w:ind w:firstLine="420"/>
              <w:rPr>
                <w:szCs w:val="21"/>
              </w:rPr>
            </w:pPr>
            <w:r>
              <w:rPr>
                <w:rFonts w:hint="eastAsia"/>
                <w:szCs w:val="21"/>
              </w:rPr>
              <w:t>7.县级平台系统相关设备的安装调试，综合布线参照相关国家标准和《广西应急广播体系建设工程安装规范》实施，安装地点为甲方指定地点。</w:t>
            </w:r>
          </w:p>
          <w:p>
            <w:pPr>
              <w:adjustRightInd w:val="0"/>
              <w:snapToGrid w:val="0"/>
              <w:ind w:firstLine="420"/>
              <w:rPr>
                <w:szCs w:val="21"/>
              </w:rPr>
            </w:pPr>
            <w:r>
              <w:rPr>
                <w:rFonts w:hint="eastAsia"/>
                <w:szCs w:val="21"/>
              </w:rPr>
              <w:t>8.设备操作培训，包括但不限于终端参数配置、应急信息制作、应急信息播发、播发效果评估、终端视频调用、终端音频调用、播发策略修订等。</w:t>
            </w:r>
          </w:p>
          <w:p>
            <w:pPr>
              <w:adjustRightInd w:val="0"/>
              <w:snapToGrid w:val="0"/>
              <w:ind w:firstLine="420"/>
              <w:rPr>
                <w:szCs w:val="21"/>
              </w:rPr>
            </w:pPr>
            <w:r>
              <w:rPr>
                <w:rFonts w:hint="eastAsia"/>
                <w:szCs w:val="21"/>
              </w:rPr>
              <w:t>9.制定或完善本地平台系统受到严重灾害（如水灾、火灾、停电等）时的应急预案。</w:t>
            </w:r>
          </w:p>
          <w:p>
            <w:pPr>
              <w:adjustRightInd w:val="0"/>
              <w:snapToGrid w:val="0"/>
              <w:ind w:firstLine="420"/>
              <w:rPr>
                <w:szCs w:val="21"/>
              </w:rPr>
            </w:pPr>
            <w:r>
              <w:rPr>
                <w:rFonts w:hint="eastAsia"/>
                <w:szCs w:val="21"/>
              </w:rPr>
              <w:t>10.为了方便系统调试，可配置个性化插件，但不能影响系统正常运维。</w:t>
            </w:r>
          </w:p>
          <w:p>
            <w:pPr>
              <w:adjustRightInd w:val="0"/>
              <w:snapToGrid w:val="0"/>
              <w:ind w:firstLine="420"/>
              <w:rPr>
                <w:szCs w:val="21"/>
              </w:rPr>
            </w:pPr>
            <w:r>
              <w:rPr>
                <w:rFonts w:hint="eastAsia"/>
                <w:szCs w:val="21"/>
              </w:rPr>
              <w:t>11.配置防火墙安全策略，连接本地县级平台系统与云平台系统，实现两个平台系统隔离。不能擅自在本地将县级平台系统连接外网，必须经过云平台固定IP连接。</w:t>
            </w:r>
          </w:p>
          <w:p>
            <w:pPr>
              <w:adjustRightInd w:val="0"/>
              <w:snapToGrid w:val="0"/>
              <w:ind w:firstLine="420"/>
              <w:rPr>
                <w:szCs w:val="21"/>
              </w:rPr>
            </w:pPr>
            <w:r>
              <w:rPr>
                <w:rFonts w:hint="eastAsia"/>
                <w:szCs w:val="21"/>
              </w:rPr>
              <w:t>如果有第二台防火墙，应配置在操作电脑、部门横向接口等外部数据入口与县级平台系统之间，实现平台与外部数据隔离；同时应划分多个通道来对应外部数据来源。</w:t>
            </w:r>
          </w:p>
          <w:p>
            <w:pPr>
              <w:adjustRightInd w:val="0"/>
              <w:snapToGrid w:val="0"/>
              <w:ind w:firstLine="420"/>
              <w:rPr>
                <w:szCs w:val="21"/>
              </w:rPr>
            </w:pPr>
            <w:r>
              <w:rPr>
                <w:rFonts w:hint="eastAsia"/>
                <w:szCs w:val="21"/>
              </w:rPr>
              <w:t>12.报价包含网络布线，光纤、转换器、各类接头、电缆、扎带、线槽、管材、警示胶带、标签等安装材料。</w:t>
            </w:r>
          </w:p>
          <w:p>
            <w:pPr>
              <w:adjustRightInd w:val="0"/>
              <w:snapToGrid w:val="0"/>
              <w:ind w:firstLine="420"/>
              <w:rPr>
                <w:szCs w:val="21"/>
              </w:rPr>
            </w:pPr>
            <w:r>
              <w:rPr>
                <w:rFonts w:hint="eastAsia"/>
                <w:szCs w:val="21"/>
              </w:rPr>
              <w:t>13.县级平台安装完成后，剩余的配件应集中收纳，和备机一起移交县局；并按照《广西应急广播体系建设工程安装规范》的要求，办理工程交接手续。</w:t>
            </w:r>
          </w:p>
          <w:p>
            <w:pPr>
              <w:adjustRightInd w:val="0"/>
              <w:snapToGrid w:val="0"/>
              <w:ind w:firstLine="422"/>
              <w:rPr>
                <w:b/>
                <w:bCs/>
                <w:szCs w:val="21"/>
              </w:rPr>
            </w:pPr>
            <w:r>
              <w:rPr>
                <w:rFonts w:hint="eastAsia"/>
                <w:b/>
                <w:bCs/>
                <w:szCs w:val="21"/>
              </w:rPr>
              <w:t>二、县级应急广播平台系统各相关模块要求</w:t>
            </w:r>
          </w:p>
          <w:p>
            <w:pPr>
              <w:adjustRightInd w:val="0"/>
              <w:snapToGrid w:val="0"/>
              <w:ind w:firstLine="420"/>
              <w:rPr>
                <w:b/>
                <w:bCs/>
                <w:szCs w:val="21"/>
              </w:rPr>
            </w:pPr>
            <w:r>
              <w:rPr>
                <w:rFonts w:hint="eastAsia"/>
                <w:szCs w:val="21"/>
              </w:rPr>
              <w:t xml:space="preserve">   </w:t>
            </w:r>
            <w:r>
              <w:rPr>
                <w:rFonts w:hint="eastAsia"/>
                <w:b/>
                <w:bCs/>
                <w:szCs w:val="21"/>
              </w:rPr>
              <w:t>1、平台界面</w:t>
            </w:r>
            <w:r>
              <w:rPr>
                <w:rFonts w:hint="eastAsia"/>
                <w:b/>
                <w:bCs/>
                <w:szCs w:val="21"/>
              </w:rPr>
              <w:tab/>
            </w:r>
          </w:p>
          <w:p>
            <w:pPr>
              <w:adjustRightInd w:val="0"/>
              <w:snapToGrid w:val="0"/>
              <w:ind w:firstLine="420"/>
              <w:rPr>
                <w:szCs w:val="21"/>
              </w:rPr>
            </w:pPr>
            <w:r>
              <w:rPr>
                <w:rFonts w:hint="eastAsia"/>
                <w:szCs w:val="21"/>
              </w:rPr>
              <w:t>（1）县级平台采用B/S架构，以web方式访问，采用TAR数据包文件格式制作应急广播消息。</w:t>
            </w:r>
          </w:p>
          <w:p>
            <w:pPr>
              <w:adjustRightInd w:val="0"/>
              <w:snapToGrid w:val="0"/>
              <w:ind w:firstLine="420"/>
              <w:rPr>
                <w:szCs w:val="21"/>
              </w:rPr>
            </w:pPr>
            <w:r>
              <w:rPr>
                <w:rFonts w:hint="eastAsia"/>
                <w:szCs w:val="21"/>
              </w:rPr>
              <w:t>（2）平台须设置个人用户名及密码登录。界面扁平化，一级（功能模块）标签须在首页全部显示，下级菜单能够在首页上展开。</w:t>
            </w:r>
          </w:p>
          <w:p>
            <w:pPr>
              <w:adjustRightInd w:val="0"/>
              <w:snapToGrid w:val="0"/>
              <w:ind w:firstLine="420"/>
              <w:rPr>
                <w:szCs w:val="21"/>
              </w:rPr>
            </w:pPr>
            <w:r>
              <w:rPr>
                <w:rFonts w:hint="eastAsia"/>
                <w:szCs w:val="21"/>
              </w:rPr>
              <w:t>（3）以离线GIS地图和图表为显示主体。地图须有精确到村级的坐标数据，能够伴随坐标显示资源管理的内容、播发提示、终端监管的状态等。具有良好的观感。提供地图服务、空间数据访问与管理服务、智能缓存技术、集群服务及地图服务发布功能，支持服务端服务聚合，含空间数据库引擎；支持通用的标准和规范OGC标准；支持对第三方提供的GIS功能（地图、数据）进行聚合，支持天地图服务、百度地图、OpenStreetMap、WFS服务、超图云门户服务等。</w:t>
            </w:r>
          </w:p>
          <w:p>
            <w:pPr>
              <w:adjustRightInd w:val="0"/>
              <w:snapToGrid w:val="0"/>
              <w:ind w:firstLine="420"/>
              <w:rPr>
                <w:szCs w:val="21"/>
              </w:rPr>
            </w:pPr>
            <w:r>
              <w:rPr>
                <w:rFonts w:hint="eastAsia"/>
                <w:szCs w:val="21"/>
              </w:rPr>
              <w:t>（4）平台有独立的数据大屏页面，能够实时无感知更新大屏数据。</w:t>
            </w:r>
          </w:p>
          <w:p>
            <w:pPr>
              <w:adjustRightInd w:val="0"/>
              <w:snapToGrid w:val="0"/>
              <w:ind w:firstLine="420"/>
              <w:rPr>
                <w:szCs w:val="21"/>
              </w:rPr>
            </w:pPr>
            <w:r>
              <w:rPr>
                <w:rFonts w:hint="eastAsia"/>
                <w:szCs w:val="21"/>
              </w:rPr>
              <w:t>（5）平台界面布局合理，支持一键投屏，并且投屏页面可灵活选择和互换。</w:t>
            </w:r>
          </w:p>
          <w:p>
            <w:pPr>
              <w:adjustRightInd w:val="0"/>
              <w:snapToGrid w:val="0"/>
              <w:ind w:firstLine="422"/>
              <w:rPr>
                <w:b/>
                <w:bCs/>
                <w:szCs w:val="21"/>
              </w:rPr>
            </w:pPr>
            <w:r>
              <w:rPr>
                <w:rFonts w:hint="eastAsia"/>
                <w:b/>
                <w:bCs/>
                <w:szCs w:val="21"/>
              </w:rPr>
              <w:t>2、信息接入输出模块</w:t>
            </w:r>
          </w:p>
          <w:p>
            <w:pPr>
              <w:adjustRightInd w:val="0"/>
              <w:snapToGrid w:val="0"/>
              <w:ind w:firstLine="420"/>
              <w:rPr>
                <w:szCs w:val="21"/>
              </w:rPr>
            </w:pPr>
            <w:r>
              <w:rPr>
                <w:rFonts w:hint="eastAsia"/>
                <w:szCs w:val="21"/>
              </w:rPr>
              <w:t>（1）平台具备与上级平台、下级平台或适配器接口功能，接口按照标准规范开发。上下级能够实时进行数据或节目流传输。包括应急广播消息播发请求、运维数据请求、资源信息数据上报、播发记录数据上报等。</w:t>
            </w:r>
          </w:p>
          <w:p>
            <w:pPr>
              <w:adjustRightInd w:val="0"/>
              <w:snapToGrid w:val="0"/>
              <w:ind w:firstLine="420"/>
              <w:rPr>
                <w:szCs w:val="21"/>
              </w:rPr>
            </w:pPr>
            <w:r>
              <w:rPr>
                <w:rFonts w:hint="eastAsia"/>
                <w:szCs w:val="21"/>
              </w:rPr>
              <w:t>（2）平台具备与县级信息源、县级播出机构系统的接口，此类接口根据实际现有对接方现有接口进行适配。确保完整准确的信息接入和输出。</w:t>
            </w:r>
          </w:p>
          <w:p>
            <w:pPr>
              <w:adjustRightInd w:val="0"/>
              <w:snapToGrid w:val="0"/>
              <w:ind w:firstLine="420"/>
              <w:rPr>
                <w:szCs w:val="21"/>
              </w:rPr>
            </w:pPr>
            <w:r>
              <w:rPr>
                <w:rFonts w:hint="eastAsia"/>
                <w:szCs w:val="21"/>
              </w:rPr>
              <w:t>（3）平台具备接收传输状态、终端状态、现场播发实况录音、视频监控等监管数据获取、存储、应用、展示等功能。</w:t>
            </w:r>
          </w:p>
          <w:p>
            <w:pPr>
              <w:adjustRightInd w:val="0"/>
              <w:snapToGrid w:val="0"/>
              <w:ind w:firstLine="420"/>
              <w:rPr>
                <w:szCs w:val="21"/>
              </w:rPr>
            </w:pPr>
            <w:r>
              <w:rPr>
                <w:rFonts w:hint="eastAsia"/>
                <w:szCs w:val="21"/>
              </w:rPr>
              <w:t>（4）通过外部设备能够与上级应急广播系统的中短波、卫星传输、直播卫星等应急广播信号接入。</w:t>
            </w:r>
          </w:p>
          <w:p>
            <w:pPr>
              <w:adjustRightInd w:val="0"/>
              <w:snapToGrid w:val="0"/>
              <w:ind w:firstLine="420"/>
              <w:rPr>
                <w:szCs w:val="21"/>
              </w:rPr>
            </w:pPr>
            <w:r>
              <w:rPr>
                <w:rFonts w:hint="eastAsia"/>
                <w:szCs w:val="21"/>
              </w:rPr>
              <w:t>（5）数据交换应采用信息安全保护措施。</w:t>
            </w:r>
          </w:p>
          <w:p>
            <w:pPr>
              <w:adjustRightInd w:val="0"/>
              <w:snapToGrid w:val="0"/>
              <w:ind w:firstLine="420"/>
              <w:rPr>
                <w:szCs w:val="21"/>
              </w:rPr>
            </w:pPr>
            <w:r>
              <w:rPr>
                <w:rFonts w:hint="eastAsia"/>
                <w:szCs w:val="21"/>
              </w:rPr>
              <w:t>（6）平台具备IP方式及IP(TS)数据流输出接口。</w:t>
            </w:r>
          </w:p>
          <w:p>
            <w:pPr>
              <w:adjustRightInd w:val="0"/>
              <w:snapToGrid w:val="0"/>
              <w:ind w:firstLine="420"/>
              <w:rPr>
                <w:szCs w:val="21"/>
              </w:rPr>
            </w:pPr>
            <w:r>
              <w:rPr>
                <w:rFonts w:hint="eastAsia"/>
                <w:szCs w:val="21"/>
              </w:rPr>
              <w:t>（7）平台支持通过4G传输对行政村级的应急广播适配器和自然村收扩机直接下发音频广播。流媒体服务器具备公网流媒体数据的转发处理能力。</w:t>
            </w:r>
          </w:p>
          <w:p>
            <w:pPr>
              <w:adjustRightInd w:val="0"/>
              <w:snapToGrid w:val="0"/>
              <w:ind w:firstLine="420"/>
              <w:rPr>
                <w:szCs w:val="21"/>
              </w:rPr>
            </w:pPr>
            <w:r>
              <w:rPr>
                <w:rFonts w:hint="eastAsia"/>
                <w:szCs w:val="21"/>
              </w:rPr>
              <w:t>（8）支持组播、单播IP指令下发、支持4G（IP）下发。</w:t>
            </w:r>
          </w:p>
          <w:p>
            <w:pPr>
              <w:adjustRightInd w:val="0"/>
              <w:snapToGrid w:val="0"/>
              <w:ind w:firstLine="422"/>
              <w:rPr>
                <w:b/>
                <w:bCs/>
                <w:szCs w:val="21"/>
              </w:rPr>
            </w:pPr>
            <w:r>
              <w:rPr>
                <w:rFonts w:hint="eastAsia"/>
                <w:b/>
                <w:bCs/>
                <w:szCs w:val="21"/>
              </w:rPr>
              <w:t>3、信息处理及制作模块</w:t>
            </w:r>
          </w:p>
          <w:p>
            <w:pPr>
              <w:adjustRightInd w:val="0"/>
              <w:snapToGrid w:val="0"/>
              <w:ind w:firstLine="420"/>
              <w:rPr>
                <w:szCs w:val="21"/>
              </w:rPr>
            </w:pPr>
            <w:r>
              <w:rPr>
                <w:rFonts w:hint="eastAsia"/>
                <w:szCs w:val="21"/>
              </w:rPr>
              <w:t>（1）每条应急信息应具有完整的描述，具有流程播发节点时间和流程状态监控显示。具备复查功能。</w:t>
            </w:r>
          </w:p>
          <w:p>
            <w:pPr>
              <w:adjustRightInd w:val="0"/>
              <w:snapToGrid w:val="0"/>
              <w:ind w:firstLine="420"/>
              <w:rPr>
                <w:szCs w:val="21"/>
              </w:rPr>
            </w:pPr>
            <w:r>
              <w:rPr>
                <w:rFonts w:hint="eastAsia"/>
                <w:szCs w:val="21"/>
              </w:rPr>
              <w:t>（2）平台通过外部转换设备，能够接入话筒语音、电话语音、短信、APP信息、日常广播输入及其他外部音源。内部开关由平台手动或自动控制。</w:t>
            </w:r>
          </w:p>
          <w:p>
            <w:pPr>
              <w:adjustRightInd w:val="0"/>
              <w:snapToGrid w:val="0"/>
              <w:ind w:firstLine="420"/>
              <w:rPr>
                <w:szCs w:val="21"/>
              </w:rPr>
            </w:pPr>
            <w:r>
              <w:rPr>
                <w:rFonts w:hint="eastAsia"/>
                <w:szCs w:val="21"/>
              </w:rPr>
              <w:t>（3）平台能够接收上级平台或其它信息源的应急信息格式文本或音频，按照协议规范进行解析应急信息或适配成标准规范信息。</w:t>
            </w:r>
          </w:p>
          <w:p>
            <w:pPr>
              <w:adjustRightInd w:val="0"/>
              <w:snapToGrid w:val="0"/>
              <w:ind w:firstLine="420"/>
              <w:rPr>
                <w:szCs w:val="21"/>
              </w:rPr>
            </w:pPr>
            <w:r>
              <w:rPr>
                <w:rFonts w:hint="eastAsia"/>
                <w:szCs w:val="21"/>
              </w:rPr>
              <w:t>（4）电话、短信呼入、APP播发方式须经可靠身份验证、鉴权。可将电话语音、短信调制转换为音频流，同时生成终端唤醒及播出指令。电话、短信、APP播发内容具有播发人、播发时间、播发内容等语音录音及短信文本存储功能。</w:t>
            </w:r>
          </w:p>
          <w:p>
            <w:pPr>
              <w:adjustRightInd w:val="0"/>
              <w:snapToGrid w:val="0"/>
              <w:ind w:firstLine="420"/>
              <w:rPr>
                <w:szCs w:val="21"/>
              </w:rPr>
            </w:pPr>
            <w:r>
              <w:rPr>
                <w:rFonts w:hint="eastAsia"/>
                <w:szCs w:val="21"/>
              </w:rPr>
              <w:t>（5）播发应急信息按照标准规范具备包含来源单位、覆盖行政区域编码、应急事件类型、应急事件级别、发布时间、失效时间、发布频次、发布语言、发布通道等内容。</w:t>
            </w:r>
          </w:p>
          <w:p>
            <w:pPr>
              <w:adjustRightInd w:val="0"/>
              <w:snapToGrid w:val="0"/>
              <w:ind w:firstLine="422"/>
              <w:rPr>
                <w:b/>
                <w:bCs/>
                <w:szCs w:val="21"/>
              </w:rPr>
            </w:pPr>
            <w:r>
              <w:rPr>
                <w:rFonts w:hint="eastAsia"/>
                <w:b/>
                <w:bCs/>
                <w:szCs w:val="21"/>
              </w:rPr>
              <w:t>4、审核播发模块</w:t>
            </w:r>
          </w:p>
          <w:p>
            <w:pPr>
              <w:adjustRightInd w:val="0"/>
              <w:snapToGrid w:val="0"/>
              <w:ind w:firstLine="420"/>
              <w:rPr>
                <w:szCs w:val="21"/>
              </w:rPr>
            </w:pPr>
            <w:r>
              <w:rPr>
                <w:rFonts w:hint="eastAsia"/>
                <w:szCs w:val="21"/>
              </w:rPr>
              <w:t>（1）应具备应急广播消息审核功能，对预存媒资库内容（音频、播发方案等）、需播发信息及和指令进行审核。可以处理和显示审核意见。</w:t>
            </w:r>
          </w:p>
          <w:p>
            <w:pPr>
              <w:adjustRightInd w:val="0"/>
              <w:snapToGrid w:val="0"/>
              <w:ind w:firstLine="420"/>
              <w:rPr>
                <w:szCs w:val="21"/>
              </w:rPr>
            </w:pPr>
            <w:r>
              <w:rPr>
                <w:rFonts w:hint="eastAsia"/>
                <w:szCs w:val="21"/>
              </w:rPr>
              <w:t>（2）支持自动审核及手动审核功能。该功能可以进行设置。</w:t>
            </w:r>
          </w:p>
          <w:p>
            <w:pPr>
              <w:adjustRightInd w:val="0"/>
              <w:snapToGrid w:val="0"/>
              <w:ind w:firstLine="420"/>
              <w:rPr>
                <w:szCs w:val="21"/>
              </w:rPr>
            </w:pPr>
            <w:r>
              <w:rPr>
                <w:rFonts w:hint="eastAsia"/>
                <w:szCs w:val="21"/>
              </w:rPr>
              <w:t>（3）支持待审核的消息在平台首页有相应的消息提醒。</w:t>
            </w:r>
          </w:p>
          <w:p>
            <w:pPr>
              <w:adjustRightInd w:val="0"/>
              <w:snapToGrid w:val="0"/>
              <w:ind w:firstLine="422"/>
              <w:rPr>
                <w:b/>
                <w:bCs/>
                <w:szCs w:val="21"/>
              </w:rPr>
            </w:pPr>
            <w:r>
              <w:rPr>
                <w:rFonts w:hint="eastAsia"/>
                <w:b/>
                <w:bCs/>
                <w:szCs w:val="21"/>
              </w:rPr>
              <w:t>5、资源管理模块</w:t>
            </w:r>
          </w:p>
          <w:p>
            <w:pPr>
              <w:adjustRightInd w:val="0"/>
              <w:snapToGrid w:val="0"/>
              <w:ind w:firstLine="420"/>
              <w:rPr>
                <w:szCs w:val="21"/>
              </w:rPr>
            </w:pPr>
            <w:r>
              <w:rPr>
                <w:rFonts w:hint="eastAsia"/>
                <w:szCs w:val="21"/>
              </w:rPr>
              <w:t>（1）可对全县所有系统设备进行管理。具备县域范围的播出资源管理及调度功能，可根据预设进行资源统一配置和调度。县级授权乡、村级用户权限后，乡、村级方可进行信息插播和调用。</w:t>
            </w:r>
          </w:p>
          <w:p>
            <w:pPr>
              <w:adjustRightInd w:val="0"/>
              <w:snapToGrid w:val="0"/>
              <w:ind w:firstLine="420"/>
              <w:rPr>
                <w:szCs w:val="21"/>
              </w:rPr>
            </w:pPr>
            <w:r>
              <w:rPr>
                <w:rFonts w:hint="eastAsia"/>
                <w:szCs w:val="21"/>
              </w:rPr>
              <w:t>（2）具备资源信息同步功能和接收传输覆盖网资源信息主动上报功能，可监管县级应急广播资源的状态信息。</w:t>
            </w:r>
          </w:p>
          <w:p>
            <w:pPr>
              <w:adjustRightInd w:val="0"/>
              <w:snapToGrid w:val="0"/>
              <w:ind w:firstLine="420"/>
              <w:rPr>
                <w:szCs w:val="21"/>
              </w:rPr>
            </w:pPr>
            <w:r>
              <w:rPr>
                <w:rFonts w:hint="eastAsia"/>
                <w:szCs w:val="21"/>
              </w:rPr>
              <w:t>（3）具备资源类型及资源编码设置功能。对系统内关键设备和终端的型号、编码、安装地点、所属厂商、工作参数等运维信息的管理功能，可根据需要可对设备和终端的编码、频率、音量、开关等配置参数进行远程修改。</w:t>
            </w:r>
          </w:p>
          <w:p>
            <w:pPr>
              <w:adjustRightInd w:val="0"/>
              <w:snapToGrid w:val="0"/>
              <w:ind w:firstLine="420"/>
              <w:rPr>
                <w:szCs w:val="21"/>
              </w:rPr>
            </w:pPr>
            <w:r>
              <w:rPr>
                <w:rFonts w:hint="eastAsia"/>
                <w:szCs w:val="21"/>
              </w:rPr>
              <w:t>（4）支持通过手机APP连接平台，查看参数的设置和开关机状态。</w:t>
            </w:r>
          </w:p>
          <w:p>
            <w:pPr>
              <w:adjustRightInd w:val="0"/>
              <w:snapToGrid w:val="0"/>
              <w:ind w:firstLine="422"/>
              <w:rPr>
                <w:b/>
                <w:bCs/>
                <w:szCs w:val="21"/>
              </w:rPr>
            </w:pPr>
            <w:r>
              <w:rPr>
                <w:rFonts w:hint="eastAsia"/>
                <w:b/>
                <w:bCs/>
                <w:szCs w:val="21"/>
              </w:rPr>
              <w:t>6、调度控制模块</w:t>
            </w:r>
          </w:p>
          <w:p>
            <w:pPr>
              <w:adjustRightInd w:val="0"/>
              <w:snapToGrid w:val="0"/>
              <w:ind w:firstLine="420"/>
              <w:rPr>
                <w:szCs w:val="21"/>
              </w:rPr>
            </w:pPr>
            <w:r>
              <w:rPr>
                <w:rFonts w:hint="eastAsia"/>
                <w:szCs w:val="21"/>
              </w:rPr>
              <w:t>（1）具有对上级播发信息及指令进行解析并自动匹配调度本级传输覆盖资源，播发应急广播消息。</w:t>
            </w:r>
          </w:p>
          <w:p>
            <w:pPr>
              <w:adjustRightInd w:val="0"/>
              <w:snapToGrid w:val="0"/>
              <w:ind w:firstLine="420"/>
              <w:rPr>
                <w:szCs w:val="21"/>
              </w:rPr>
            </w:pPr>
            <w:r>
              <w:rPr>
                <w:rFonts w:hint="eastAsia"/>
                <w:szCs w:val="21"/>
              </w:rPr>
              <w:t>（2）具备调度预案管理功能，可手动设置调度预案，生成新调度发布方案。</w:t>
            </w:r>
          </w:p>
          <w:p>
            <w:pPr>
              <w:adjustRightInd w:val="0"/>
              <w:snapToGrid w:val="0"/>
              <w:ind w:firstLine="420"/>
              <w:rPr>
                <w:szCs w:val="21"/>
              </w:rPr>
            </w:pPr>
            <w:r>
              <w:rPr>
                <w:rFonts w:hint="eastAsia"/>
                <w:szCs w:val="21"/>
              </w:rPr>
              <w:t>（3）支持同时分区域应急广播，支持县至乡镇并发应急广播流不小于2个。</w:t>
            </w:r>
          </w:p>
          <w:p>
            <w:pPr>
              <w:adjustRightInd w:val="0"/>
              <w:snapToGrid w:val="0"/>
              <w:ind w:firstLine="420"/>
              <w:rPr>
                <w:szCs w:val="21"/>
              </w:rPr>
            </w:pPr>
            <w:r>
              <w:rPr>
                <w:rFonts w:hint="eastAsia"/>
                <w:szCs w:val="21"/>
              </w:rPr>
              <w:t>（4）具备监控应急消息调度指令传输状态功能；具备调度方案管理，查看所有等待调度、发布的应急消息状态，以及历史发布的调度方案信息。</w:t>
            </w:r>
          </w:p>
          <w:p>
            <w:pPr>
              <w:adjustRightInd w:val="0"/>
              <w:snapToGrid w:val="0"/>
              <w:ind w:firstLine="420"/>
              <w:rPr>
                <w:szCs w:val="21"/>
              </w:rPr>
            </w:pPr>
            <w:r>
              <w:rPr>
                <w:rFonts w:hint="eastAsia"/>
                <w:szCs w:val="21"/>
              </w:rPr>
              <w:t>（5）具备本级资源不够、能力不足的情况下，平台可向上级应急广播平台申请，启用上级平台资源加强本区域应急广播覆盖。</w:t>
            </w:r>
          </w:p>
          <w:p>
            <w:pPr>
              <w:adjustRightInd w:val="0"/>
              <w:snapToGrid w:val="0"/>
              <w:ind w:firstLine="420"/>
              <w:rPr>
                <w:szCs w:val="21"/>
              </w:rPr>
            </w:pPr>
            <w:r>
              <w:rPr>
                <w:rFonts w:hint="eastAsia"/>
                <w:szCs w:val="21"/>
              </w:rPr>
              <w:t>（6）日常广播具备接收、传送中央、区、地市广播节目或县本地广播节目的功能，编排可定时自动或非定时手动播出功能。</w:t>
            </w:r>
          </w:p>
          <w:p>
            <w:pPr>
              <w:adjustRightInd w:val="0"/>
              <w:snapToGrid w:val="0"/>
              <w:ind w:firstLine="422"/>
              <w:rPr>
                <w:b/>
                <w:bCs/>
                <w:szCs w:val="21"/>
              </w:rPr>
            </w:pPr>
            <w:r>
              <w:rPr>
                <w:rFonts w:hint="eastAsia"/>
                <w:b/>
                <w:bCs/>
                <w:szCs w:val="21"/>
              </w:rPr>
              <w:t>7、生成发布模块</w:t>
            </w:r>
          </w:p>
          <w:p>
            <w:pPr>
              <w:adjustRightInd w:val="0"/>
              <w:snapToGrid w:val="0"/>
              <w:ind w:firstLine="420"/>
              <w:rPr>
                <w:szCs w:val="21"/>
              </w:rPr>
            </w:pPr>
            <w:r>
              <w:rPr>
                <w:rFonts w:hint="eastAsia"/>
                <w:szCs w:val="21"/>
              </w:rPr>
              <w:t>（1）平台根据应急信息中的发布需求，结合本地传输覆盖网资源情况和应急发布预案，能够手动或自动生成调度控制指令。自动完成协议转换并输出。</w:t>
            </w:r>
          </w:p>
          <w:p>
            <w:pPr>
              <w:adjustRightInd w:val="0"/>
              <w:snapToGrid w:val="0"/>
              <w:ind w:firstLine="420"/>
              <w:rPr>
                <w:szCs w:val="21"/>
              </w:rPr>
            </w:pPr>
            <w:r>
              <w:rPr>
                <w:rFonts w:hint="eastAsia"/>
                <w:szCs w:val="21"/>
              </w:rPr>
              <w:t>（2）按照应急信息分级发布策略，具有按照策略自动生成指令（包括优先级）。本级信息播发具有手动或预设优先级功能。</w:t>
            </w:r>
          </w:p>
          <w:p>
            <w:pPr>
              <w:adjustRightInd w:val="0"/>
              <w:snapToGrid w:val="0"/>
              <w:ind w:firstLine="422"/>
              <w:rPr>
                <w:b/>
                <w:bCs/>
                <w:szCs w:val="21"/>
              </w:rPr>
            </w:pPr>
            <w:r>
              <w:rPr>
                <w:rFonts w:hint="eastAsia"/>
                <w:b/>
                <w:bCs/>
                <w:szCs w:val="21"/>
              </w:rPr>
              <w:t>8、监管评估模块</w:t>
            </w:r>
          </w:p>
          <w:p>
            <w:pPr>
              <w:adjustRightInd w:val="0"/>
              <w:snapToGrid w:val="0"/>
              <w:ind w:firstLine="420"/>
              <w:rPr>
                <w:szCs w:val="21"/>
              </w:rPr>
            </w:pPr>
            <w:r>
              <w:rPr>
                <w:rFonts w:hint="eastAsia"/>
                <w:szCs w:val="21"/>
              </w:rPr>
              <w:t>（1）实时获取终端状态（设备数量、有线/4G在线数量、在线率、播出状态等），传输状态，现场播出实况等数据。结合资源管理，以图表方式呈现应急系统状态监控。</w:t>
            </w:r>
          </w:p>
          <w:p>
            <w:pPr>
              <w:adjustRightInd w:val="0"/>
              <w:snapToGrid w:val="0"/>
              <w:ind w:firstLine="420"/>
              <w:rPr>
                <w:szCs w:val="21"/>
              </w:rPr>
            </w:pPr>
            <w:r>
              <w:rPr>
                <w:rFonts w:hint="eastAsia"/>
                <w:szCs w:val="21"/>
              </w:rPr>
              <w:t>（2）具有相应的数据存储功能，统计分析功能，具有统计查询功能，支持各类组合条件复杂检索查询统计，可对应急广播消息的发布覆盖率、发布时效等指标进行评估，形成效果评估报告。</w:t>
            </w:r>
          </w:p>
          <w:p>
            <w:pPr>
              <w:adjustRightInd w:val="0"/>
              <w:snapToGrid w:val="0"/>
              <w:ind w:firstLine="420"/>
              <w:rPr>
                <w:szCs w:val="21"/>
              </w:rPr>
            </w:pPr>
            <w:r>
              <w:rPr>
                <w:rFonts w:hint="eastAsia"/>
                <w:szCs w:val="21"/>
              </w:rPr>
              <w:t>（3）具有效果评估网络覆盖率图表信息和到达实效图表信息。</w:t>
            </w:r>
          </w:p>
          <w:p>
            <w:pPr>
              <w:adjustRightInd w:val="0"/>
              <w:snapToGrid w:val="0"/>
              <w:ind w:firstLine="420"/>
              <w:rPr>
                <w:szCs w:val="21"/>
              </w:rPr>
            </w:pPr>
            <w:r>
              <w:rPr>
                <w:rFonts w:hint="eastAsia"/>
                <w:szCs w:val="21"/>
              </w:rPr>
              <w:t>（4）具备实时或定时向上级应急广播平台反馈播发结果。</w:t>
            </w:r>
          </w:p>
          <w:p>
            <w:pPr>
              <w:adjustRightInd w:val="0"/>
              <w:snapToGrid w:val="0"/>
              <w:ind w:firstLine="420"/>
              <w:rPr>
                <w:szCs w:val="21"/>
              </w:rPr>
            </w:pPr>
            <w:r>
              <w:rPr>
                <w:rFonts w:hint="eastAsia"/>
                <w:szCs w:val="21"/>
              </w:rPr>
              <w:t>（5）支持设备拓扑管理，实时显示在网所有设备的拓扑结构和线路状态，如果设备离线或者异常，可以实时的发出告警。拓扑界面中可直接查看和管理设备的详细信息。</w:t>
            </w:r>
          </w:p>
          <w:p>
            <w:pPr>
              <w:adjustRightInd w:val="0"/>
              <w:snapToGrid w:val="0"/>
              <w:ind w:firstLine="420"/>
              <w:rPr>
                <w:szCs w:val="21"/>
              </w:rPr>
            </w:pPr>
            <w:r>
              <w:rPr>
                <w:rFonts w:hint="eastAsia"/>
                <w:szCs w:val="21"/>
              </w:rPr>
              <w:t>（6）可监管指挥中心的工作状态，包括环境红外、温湿度、烟雾、明火、水浸报警等。</w:t>
            </w:r>
          </w:p>
          <w:p>
            <w:pPr>
              <w:adjustRightInd w:val="0"/>
              <w:snapToGrid w:val="0"/>
              <w:ind w:firstLine="420"/>
              <w:rPr>
                <w:szCs w:val="21"/>
              </w:rPr>
            </w:pPr>
            <w:r>
              <w:rPr>
                <w:rFonts w:hint="eastAsia"/>
                <w:szCs w:val="21"/>
              </w:rPr>
              <w:t>（7）可远程监看指挥中心和各乡镇村点摄像头推上来的音视频流，查看录远程摄像头sd卡上的音视频记录。平台软件可控制指挥中心带云台的摄像机转动和变焦。</w:t>
            </w:r>
          </w:p>
          <w:p>
            <w:pPr>
              <w:adjustRightInd w:val="0"/>
              <w:snapToGrid w:val="0"/>
              <w:ind w:firstLine="420"/>
              <w:rPr>
                <w:szCs w:val="21"/>
              </w:rPr>
            </w:pPr>
            <w:r>
              <w:rPr>
                <w:rFonts w:hint="eastAsia"/>
                <w:szCs w:val="21"/>
              </w:rPr>
              <w:t>（8）可查看机房UPS电源输入和各组输出电压、电流以及电池电压、电流等参数。</w:t>
            </w:r>
          </w:p>
          <w:p>
            <w:pPr>
              <w:adjustRightInd w:val="0"/>
              <w:snapToGrid w:val="0"/>
              <w:ind w:firstLine="420"/>
              <w:rPr>
                <w:szCs w:val="21"/>
              </w:rPr>
            </w:pPr>
            <w:r>
              <w:rPr>
                <w:rFonts w:hint="eastAsia"/>
                <w:szCs w:val="21"/>
              </w:rPr>
              <w:t>（9）效果评估须具有基于播发区域人口覆盖率、开机率、正常率等关键数据的评估。具有可按时间段查询所辖设备开机率、正常率等统计报表。</w:t>
            </w:r>
          </w:p>
          <w:p>
            <w:pPr>
              <w:adjustRightInd w:val="0"/>
              <w:snapToGrid w:val="0"/>
              <w:ind w:firstLine="422"/>
              <w:rPr>
                <w:b/>
                <w:bCs/>
                <w:szCs w:val="21"/>
              </w:rPr>
            </w:pPr>
            <w:r>
              <w:rPr>
                <w:rFonts w:hint="eastAsia"/>
                <w:b/>
                <w:bCs/>
                <w:szCs w:val="21"/>
              </w:rPr>
              <w:t>9、设置升级管理模块</w:t>
            </w:r>
          </w:p>
          <w:p>
            <w:pPr>
              <w:adjustRightInd w:val="0"/>
              <w:snapToGrid w:val="0"/>
              <w:ind w:firstLine="420"/>
              <w:rPr>
                <w:szCs w:val="21"/>
              </w:rPr>
            </w:pPr>
            <w:r>
              <w:rPr>
                <w:rFonts w:hint="eastAsia"/>
                <w:szCs w:val="21"/>
              </w:rPr>
              <w:t>（1）平台自身具有被动升级及主动查询升级功能，支持手动及自动升级。升级前自动备份数据，升级不能对备份数据造成破坏。升级不成功具有自动恢复原版本功能。</w:t>
            </w:r>
          </w:p>
          <w:p>
            <w:pPr>
              <w:adjustRightInd w:val="0"/>
              <w:snapToGrid w:val="0"/>
              <w:ind w:firstLine="420"/>
              <w:rPr>
                <w:szCs w:val="21"/>
              </w:rPr>
            </w:pPr>
            <w:r>
              <w:rPr>
                <w:rFonts w:hint="eastAsia"/>
                <w:szCs w:val="21"/>
              </w:rPr>
              <w:t>（2）对终端设备具有升级信息库管理功能，提供发送命令升级和接受查询升级。支持TS流广播方式升级及IP方式升级。</w:t>
            </w:r>
          </w:p>
          <w:p>
            <w:pPr>
              <w:adjustRightInd w:val="0"/>
              <w:snapToGrid w:val="0"/>
              <w:ind w:firstLine="420"/>
              <w:rPr>
                <w:szCs w:val="21"/>
              </w:rPr>
            </w:pPr>
            <w:r>
              <w:rPr>
                <w:rFonts w:hint="eastAsia"/>
                <w:szCs w:val="21"/>
              </w:rPr>
              <w:t>（3）对终端设备升级支持批量升级、自动排队升级功能，具有定时主动推送升级功能。</w:t>
            </w:r>
          </w:p>
          <w:p>
            <w:pPr>
              <w:adjustRightInd w:val="0"/>
              <w:snapToGrid w:val="0"/>
              <w:ind w:firstLine="420"/>
              <w:rPr>
                <w:szCs w:val="21"/>
              </w:rPr>
            </w:pPr>
            <w:r>
              <w:rPr>
                <w:rFonts w:hint="eastAsia"/>
                <w:szCs w:val="21"/>
              </w:rPr>
              <w:t>（4）具有升级反馈信息采集并生成统计功能。</w:t>
            </w:r>
          </w:p>
          <w:p>
            <w:pPr>
              <w:adjustRightInd w:val="0"/>
              <w:snapToGrid w:val="0"/>
              <w:ind w:firstLine="422"/>
              <w:rPr>
                <w:b/>
                <w:bCs/>
                <w:szCs w:val="21"/>
              </w:rPr>
            </w:pPr>
            <w:r>
              <w:rPr>
                <w:rFonts w:hint="eastAsia"/>
                <w:b/>
                <w:bCs/>
                <w:szCs w:val="21"/>
              </w:rPr>
              <w:t>10、系统管理模块</w:t>
            </w:r>
          </w:p>
          <w:p>
            <w:pPr>
              <w:adjustRightInd w:val="0"/>
              <w:snapToGrid w:val="0"/>
              <w:ind w:firstLine="420"/>
              <w:rPr>
                <w:szCs w:val="21"/>
              </w:rPr>
            </w:pPr>
            <w:r>
              <w:rPr>
                <w:rFonts w:hint="eastAsia"/>
                <w:szCs w:val="21"/>
              </w:rPr>
              <w:t>（1）具备平台系统运行参数配置管理功能。</w:t>
            </w:r>
          </w:p>
          <w:p>
            <w:pPr>
              <w:adjustRightInd w:val="0"/>
              <w:snapToGrid w:val="0"/>
              <w:ind w:firstLine="420"/>
              <w:rPr>
                <w:szCs w:val="21"/>
              </w:rPr>
            </w:pPr>
            <w:r>
              <w:rPr>
                <w:rFonts w:hint="eastAsia"/>
                <w:szCs w:val="21"/>
              </w:rPr>
              <w:t>（2）具备所辖区域的信息和编码管理功能。支持批量导入区域编码，并且可树形结构显示编码和对应的区域名称，支持自定义区域编码录入功能。</w:t>
            </w:r>
          </w:p>
          <w:p>
            <w:pPr>
              <w:adjustRightInd w:val="0"/>
              <w:snapToGrid w:val="0"/>
              <w:ind w:firstLine="420"/>
              <w:rPr>
                <w:szCs w:val="21"/>
              </w:rPr>
            </w:pPr>
            <w:r>
              <w:rPr>
                <w:rFonts w:hint="eastAsia"/>
                <w:szCs w:val="21"/>
              </w:rPr>
              <w:t>（3）具备系统操作人员、角色、权限的配置管理功能。</w:t>
            </w:r>
          </w:p>
          <w:p>
            <w:pPr>
              <w:adjustRightInd w:val="0"/>
              <w:snapToGrid w:val="0"/>
              <w:ind w:firstLine="420"/>
              <w:rPr>
                <w:szCs w:val="21"/>
              </w:rPr>
            </w:pPr>
            <w:r>
              <w:rPr>
                <w:rFonts w:hint="eastAsia"/>
                <w:szCs w:val="21"/>
              </w:rPr>
              <w:t>（4）具备系统操作日志的记录和查询功能。</w:t>
            </w:r>
          </w:p>
          <w:p>
            <w:pPr>
              <w:adjustRightInd w:val="0"/>
              <w:snapToGrid w:val="0"/>
              <w:ind w:firstLine="420"/>
              <w:rPr>
                <w:szCs w:val="21"/>
              </w:rPr>
            </w:pPr>
            <w:r>
              <w:rPr>
                <w:rFonts w:hint="eastAsia"/>
                <w:szCs w:val="21"/>
              </w:rPr>
              <w:t>（5）具备系统数据库的定期备份、故障恢复等功能。</w:t>
            </w:r>
          </w:p>
          <w:p>
            <w:pPr>
              <w:adjustRightInd w:val="0"/>
              <w:snapToGrid w:val="0"/>
              <w:ind w:firstLine="420"/>
              <w:rPr>
                <w:szCs w:val="21"/>
              </w:rPr>
            </w:pPr>
            <w:r>
              <w:rPr>
                <w:rFonts w:hint="eastAsia"/>
                <w:szCs w:val="21"/>
              </w:rPr>
              <w:t>（6）具备对系统运行状态监控功能，对系统的关键进程、设备和网络的运行状态进行实时监控，出现故障可进行及时报警。</w:t>
            </w:r>
          </w:p>
          <w:p>
            <w:pPr>
              <w:adjustRightInd w:val="0"/>
              <w:snapToGrid w:val="0"/>
              <w:ind w:firstLine="420"/>
              <w:rPr>
                <w:szCs w:val="21"/>
              </w:rPr>
            </w:pPr>
            <w:r>
              <w:rPr>
                <w:rFonts w:hint="eastAsia"/>
                <w:szCs w:val="21"/>
              </w:rPr>
              <w:t>（7）具备流程规则管理功能，能够对业务流程进行重新编排，并制定相应的规则。</w:t>
            </w:r>
          </w:p>
          <w:p>
            <w:pPr>
              <w:adjustRightInd w:val="0"/>
              <w:snapToGrid w:val="0"/>
              <w:ind w:firstLine="422"/>
              <w:rPr>
                <w:b/>
                <w:bCs/>
                <w:szCs w:val="21"/>
              </w:rPr>
            </w:pPr>
            <w:r>
              <w:rPr>
                <w:rFonts w:hint="eastAsia"/>
                <w:b/>
                <w:bCs/>
                <w:szCs w:val="21"/>
              </w:rPr>
              <w:t>11、信息安全模块</w:t>
            </w:r>
          </w:p>
          <w:p>
            <w:pPr>
              <w:adjustRightInd w:val="0"/>
              <w:snapToGrid w:val="0"/>
              <w:ind w:firstLine="420"/>
              <w:rPr>
                <w:szCs w:val="21"/>
              </w:rPr>
            </w:pPr>
            <w:r>
              <w:rPr>
                <w:rFonts w:hint="eastAsia"/>
                <w:szCs w:val="21"/>
              </w:rPr>
              <w:t>（1）平台部署安全服务系统，安全服务系统包括证书管理子系统、签名验签子系统等。</w:t>
            </w:r>
          </w:p>
          <w:p>
            <w:pPr>
              <w:adjustRightInd w:val="0"/>
              <w:snapToGrid w:val="0"/>
              <w:ind w:firstLine="420"/>
              <w:rPr>
                <w:szCs w:val="21"/>
              </w:rPr>
            </w:pPr>
            <w:r>
              <w:rPr>
                <w:rFonts w:hint="eastAsia"/>
                <w:szCs w:val="21"/>
              </w:rPr>
              <w:t>（2）具有数字签名功能，采用国算法。按照广西标准规范执行。</w:t>
            </w:r>
          </w:p>
          <w:p>
            <w:pPr>
              <w:adjustRightInd w:val="0"/>
              <w:snapToGrid w:val="0"/>
              <w:ind w:firstLine="420"/>
              <w:rPr>
                <w:szCs w:val="21"/>
              </w:rPr>
            </w:pPr>
            <w:r>
              <w:rPr>
                <w:rFonts w:hint="eastAsia"/>
                <w:szCs w:val="21"/>
              </w:rPr>
              <w:t>（3）对平台接收到的应急广播消息进行签名验证，以及对发送的应急广播消息进行签名。</w:t>
            </w:r>
          </w:p>
          <w:p>
            <w:pPr>
              <w:adjustRightInd w:val="0"/>
              <w:snapToGrid w:val="0"/>
              <w:ind w:firstLine="420"/>
              <w:rPr>
                <w:szCs w:val="21"/>
              </w:rPr>
            </w:pPr>
            <w:r>
              <w:rPr>
                <w:rFonts w:hint="eastAsia"/>
                <w:szCs w:val="21"/>
              </w:rPr>
              <w:t>（4）具备用户鉴权认证机制，县平台与上级应急广播平台之间、调频台站/有线前端/地面数字电视前端之间的数据交互，以及传输覆盖网下发的控制及唤醒指令，均应进行签名保护，具备防攻击、防篡改机制。</w:t>
            </w:r>
          </w:p>
          <w:p>
            <w:pPr>
              <w:adjustRightInd w:val="0"/>
              <w:snapToGrid w:val="0"/>
              <w:ind w:firstLine="422"/>
              <w:rPr>
                <w:szCs w:val="21"/>
              </w:rPr>
            </w:pPr>
            <w:r>
              <w:rPr>
                <w:rFonts w:hint="eastAsia"/>
                <w:b/>
                <w:bCs/>
                <w:szCs w:val="21"/>
              </w:rPr>
              <w:t>12、云平台接口模块</w:t>
            </w:r>
          </w:p>
          <w:p>
            <w:pPr>
              <w:adjustRightInd w:val="0"/>
              <w:snapToGrid w:val="0"/>
              <w:ind w:firstLine="420"/>
              <w:rPr>
                <w:szCs w:val="21"/>
              </w:rPr>
            </w:pPr>
            <w:r>
              <w:rPr>
                <w:rFonts w:hint="eastAsia"/>
                <w:szCs w:val="21"/>
              </w:rPr>
              <w:t>（1）实现平台数据云备份，提高数据和网络的安全性。</w:t>
            </w:r>
          </w:p>
          <w:p>
            <w:pPr>
              <w:adjustRightInd w:val="0"/>
              <w:snapToGrid w:val="0"/>
              <w:ind w:firstLine="420"/>
              <w:rPr>
                <w:szCs w:val="21"/>
              </w:rPr>
            </w:pPr>
            <w:r>
              <w:rPr>
                <w:rFonts w:hint="eastAsia"/>
                <w:szCs w:val="21"/>
              </w:rPr>
              <w:t>（2）实现本地服务器和云服务器互为备份，提高系统的稳定性。</w:t>
            </w:r>
          </w:p>
          <w:p>
            <w:pPr>
              <w:adjustRightInd w:val="0"/>
              <w:snapToGrid w:val="0"/>
              <w:ind w:firstLine="420"/>
              <w:rPr>
                <w:szCs w:val="21"/>
              </w:rPr>
            </w:pPr>
            <w:r>
              <w:rPr>
                <w:rFonts w:hint="eastAsia"/>
                <w:szCs w:val="21"/>
              </w:rPr>
              <w:t>（3）云迁移内容：将设备状态回传、音频回传、IP广播服务、IP话筒服务、流媒体服务迁移到云端，同时平台本地服务器保留数据备份。</w:t>
            </w:r>
          </w:p>
          <w:p>
            <w:pPr>
              <w:adjustRightInd w:val="0"/>
              <w:snapToGrid w:val="0"/>
              <w:ind w:firstLine="420"/>
              <w:rPr>
                <w:szCs w:val="21"/>
              </w:rPr>
            </w:pPr>
            <w:r>
              <w:rPr>
                <w:rFonts w:hint="eastAsia"/>
                <w:szCs w:val="21"/>
              </w:rPr>
              <w:t>（4）TS消息流下发业务保留在平台本地服务器端，简化本地服务端设备与功能，本地服务平台设备软硬件做到通过云远程开关机，可控可管，自动工作，故障自动报警（记录并上报云服务器）。</w:t>
            </w:r>
          </w:p>
          <w:p>
            <w:pPr>
              <w:pStyle w:val="4"/>
              <w:ind w:left="0"/>
              <w:jc w:val="left"/>
              <w:rPr>
                <w:b/>
                <w:bCs/>
                <w:kern w:val="2"/>
                <w:sz w:val="21"/>
                <w:szCs w:val="21"/>
              </w:rPr>
            </w:pPr>
            <w:bookmarkStart w:id="10" w:name="_Toc30075"/>
            <w:r>
              <w:rPr>
                <w:rFonts w:hint="eastAsia"/>
                <w:kern w:val="2"/>
                <w:sz w:val="21"/>
                <w:szCs w:val="21"/>
              </w:rPr>
              <w:t>*13.具有广播区域控制方法及装置知识产权局颁布的相关资质证书，提供复印件加盖投标人公章。</w:t>
            </w:r>
            <w:bookmarkEnd w:id="10"/>
          </w:p>
          <w:p>
            <w:pPr>
              <w:rPr>
                <w:szCs w:val="21"/>
              </w:rPr>
            </w:pPr>
            <w:r>
              <w:rPr>
                <w:rFonts w:hint="eastAsia"/>
                <w:szCs w:val="21"/>
              </w:rPr>
              <w:t>*14. 具有应急广播音频处理与装置知识产权局颁布的相关资质证书，提供复印件加盖投标人公章。</w:t>
            </w:r>
          </w:p>
          <w:p>
            <w:pPr>
              <w:pStyle w:val="4"/>
              <w:ind w:left="0"/>
              <w:jc w:val="left"/>
            </w:pPr>
            <w:bookmarkStart w:id="11" w:name="_Toc13226"/>
            <w:r>
              <w:rPr>
                <w:rFonts w:hint="eastAsia"/>
                <w:kern w:val="2"/>
                <w:sz w:val="21"/>
                <w:szCs w:val="21"/>
              </w:rPr>
              <w:t>*15. 具有广播数据交互与装置知识产权局颁布的相关资质证书，提供复印件加盖投标人公章。</w:t>
            </w:r>
            <w:bookmarkEnd w:id="11"/>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szCs w:val="21"/>
              </w:rPr>
              <w:t>1项</w:t>
            </w:r>
          </w:p>
        </w:tc>
      </w:tr>
      <w:tr>
        <w:tblPrEx>
          <w:tblCellMar>
            <w:top w:w="0" w:type="dxa"/>
            <w:left w:w="0" w:type="dxa"/>
            <w:bottom w:w="0" w:type="dxa"/>
            <w:right w:w="0" w:type="dxa"/>
          </w:tblCellMar>
        </w:tblPrEx>
        <w:trPr>
          <w:trHeight w:val="352"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2</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应急广播适配器</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textAlignment w:val="center"/>
              <w:rPr>
                <w:rStyle w:val="55"/>
                <w:b/>
                <w:bCs/>
              </w:rPr>
            </w:pPr>
            <w:r>
              <w:rPr>
                <w:rStyle w:val="55"/>
                <w:rFonts w:hint="eastAsia"/>
              </w:rPr>
              <w:t>（一）</w:t>
            </w:r>
            <w:r>
              <w:rPr>
                <w:rStyle w:val="55"/>
                <w:rFonts w:hint="eastAsia"/>
                <w:b/>
                <w:bCs/>
              </w:rPr>
              <w:t>接口要求与技术指标：</w:t>
            </w:r>
          </w:p>
          <w:tbl>
            <w:tblPr>
              <w:tblStyle w:val="51"/>
              <w:tblW w:w="6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45" w:type="dxa"/>
                <w:left w:w="45" w:type="dxa"/>
                <w:bottom w:w="45" w:type="dxa"/>
                <w:right w:w="45" w:type="dxa"/>
              </w:tblCellMar>
            </w:tblPr>
            <w:tblGrid>
              <w:gridCol w:w="603"/>
              <w:gridCol w:w="2248"/>
              <w:gridCol w:w="4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58" w:hRule="atLeast"/>
              </w:trPr>
              <w:tc>
                <w:tcPr>
                  <w:tcW w:w="603" w:type="dxa"/>
                  <w:vMerge w:val="restart"/>
                  <w:vAlign w:val="center"/>
                </w:tcPr>
                <w:p>
                  <w:pPr>
                    <w:adjustRightInd w:val="0"/>
                    <w:snapToGrid w:val="0"/>
                    <w:ind w:firstLine="422"/>
                    <w:jc w:val="center"/>
                    <w:rPr>
                      <w:b/>
                      <w:bCs/>
                      <w:szCs w:val="21"/>
                    </w:rPr>
                  </w:pPr>
                </w:p>
                <w:p>
                  <w:pPr>
                    <w:adjustRightInd w:val="0"/>
                    <w:snapToGrid w:val="0"/>
                    <w:jc w:val="center"/>
                    <w:rPr>
                      <w:b/>
                      <w:bCs/>
                      <w:szCs w:val="21"/>
                    </w:rPr>
                  </w:pPr>
                  <w:r>
                    <w:rPr>
                      <w:rFonts w:hint="eastAsia"/>
                      <w:b/>
                      <w:bCs/>
                      <w:szCs w:val="21"/>
                    </w:rPr>
                    <w:t>射频接口</w:t>
                  </w:r>
                </w:p>
              </w:tc>
              <w:tc>
                <w:tcPr>
                  <w:tcW w:w="2248" w:type="dxa"/>
                  <w:vAlign w:val="center"/>
                </w:tcPr>
                <w:p>
                  <w:pPr>
                    <w:adjustRightInd w:val="0"/>
                    <w:snapToGrid w:val="0"/>
                    <w:ind w:firstLine="444"/>
                    <w:rPr>
                      <w:spacing w:val="6"/>
                      <w:szCs w:val="21"/>
                    </w:rPr>
                  </w:pPr>
                  <w:r>
                    <w:rPr>
                      <w:rFonts w:hint="eastAsia"/>
                      <w:spacing w:val="6"/>
                      <w:szCs w:val="21"/>
                    </w:rPr>
                    <w:t>1路DVB-C输入</w:t>
                  </w:r>
                </w:p>
              </w:tc>
              <w:tc>
                <w:tcPr>
                  <w:tcW w:w="4147" w:type="dxa"/>
                  <w:vAlign w:val="center"/>
                </w:tcPr>
                <w:p>
                  <w:pPr>
                    <w:adjustRightInd w:val="0"/>
                    <w:snapToGrid w:val="0"/>
                    <w:rPr>
                      <w:szCs w:val="21"/>
                    </w:rPr>
                  </w:pPr>
                  <w:r>
                    <w:rPr>
                      <w:rFonts w:hint="eastAsia"/>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59"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1路DTMB输入</w:t>
                  </w:r>
                </w:p>
              </w:tc>
              <w:tc>
                <w:tcPr>
                  <w:tcW w:w="4147" w:type="dxa"/>
                  <w:vAlign w:val="center"/>
                </w:tcPr>
                <w:p>
                  <w:pPr>
                    <w:adjustRightInd w:val="0"/>
                    <w:snapToGrid w:val="0"/>
                    <w:rPr>
                      <w:spacing w:val="6"/>
                      <w:szCs w:val="21"/>
                    </w:rPr>
                  </w:pPr>
                  <w:r>
                    <w:rPr>
                      <w:rFonts w:hint="eastAsia"/>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18"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2路FM输入</w:t>
                  </w:r>
                </w:p>
              </w:tc>
              <w:tc>
                <w:tcPr>
                  <w:tcW w:w="4147" w:type="dxa"/>
                  <w:vAlign w:val="center"/>
                </w:tcPr>
                <w:p>
                  <w:pPr>
                    <w:adjustRightInd w:val="0"/>
                    <w:snapToGrid w:val="0"/>
                    <w:rPr>
                      <w:spacing w:val="6"/>
                      <w:szCs w:val="21"/>
                    </w:rPr>
                  </w:pPr>
                  <w:r>
                    <w:rPr>
                      <w:rFonts w:hint="eastAsia"/>
                      <w:spacing w:val="6"/>
                      <w:szCs w:val="21"/>
                    </w:rPr>
                    <w:t>F座（</w:t>
                  </w:r>
                  <w:r>
                    <w:rPr>
                      <w:rFonts w:hint="eastAsia"/>
                      <w:szCs w:val="21"/>
                    </w:rPr>
                    <w:t>公制</w:t>
                  </w:r>
                  <w:r>
                    <w:rPr>
                      <w:rFonts w:hint="eastAsia"/>
                      <w:spacing w:val="6"/>
                      <w:szCs w:val="21"/>
                    </w:rPr>
                    <w:t>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39"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1路4G模块</w:t>
                  </w:r>
                </w:p>
              </w:tc>
              <w:tc>
                <w:tcPr>
                  <w:tcW w:w="4147" w:type="dxa"/>
                  <w:vAlign w:val="center"/>
                </w:tcPr>
                <w:p>
                  <w:pPr>
                    <w:adjustRightInd w:val="0"/>
                    <w:snapToGrid w:val="0"/>
                    <w:rPr>
                      <w:spacing w:val="6"/>
                      <w:szCs w:val="21"/>
                    </w:rPr>
                  </w:pPr>
                  <w:r>
                    <w:rPr>
                      <w:rFonts w:hint="eastAsia"/>
                      <w:spacing w:val="6"/>
                      <w:szCs w:val="21"/>
                    </w:rPr>
                    <w:t>SMA母座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574"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1路调频副载波（RDS）输出</w:t>
                  </w:r>
                </w:p>
              </w:tc>
              <w:tc>
                <w:tcPr>
                  <w:tcW w:w="4147" w:type="dxa"/>
                </w:tcPr>
                <w:p>
                  <w:pPr>
                    <w:adjustRightInd w:val="0"/>
                    <w:snapToGrid w:val="0"/>
                    <w:rPr>
                      <w:spacing w:val="6"/>
                      <w:szCs w:val="21"/>
                    </w:rPr>
                  </w:pPr>
                  <w:r>
                    <w:rPr>
                      <w:rFonts w:hint="eastAsia"/>
                      <w:spacing w:val="6"/>
                      <w:szCs w:val="21"/>
                    </w:rPr>
                    <w:t>BNC接口，57KHz。或采用RS232输出（如采用此种方式则要求调频广播发射机RDS编码数据采用RS232输入），DB9公座。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13" w:hRule="atLeast"/>
              </w:trPr>
              <w:tc>
                <w:tcPr>
                  <w:tcW w:w="603" w:type="dxa"/>
                  <w:vMerge w:val="restart"/>
                  <w:vAlign w:val="center"/>
                </w:tcPr>
                <w:p>
                  <w:pPr>
                    <w:adjustRightInd w:val="0"/>
                    <w:snapToGrid w:val="0"/>
                    <w:jc w:val="center"/>
                    <w:rPr>
                      <w:b/>
                      <w:bCs/>
                      <w:szCs w:val="21"/>
                    </w:rPr>
                  </w:pPr>
                  <w:r>
                    <w:rPr>
                      <w:rFonts w:hint="eastAsia"/>
                      <w:b/>
                      <w:bCs/>
                      <w:szCs w:val="21"/>
                    </w:rPr>
                    <w:t>音频接口</w:t>
                  </w:r>
                </w:p>
              </w:tc>
              <w:tc>
                <w:tcPr>
                  <w:tcW w:w="2248" w:type="dxa"/>
                  <w:vAlign w:val="center"/>
                </w:tcPr>
                <w:p>
                  <w:pPr>
                    <w:adjustRightInd w:val="0"/>
                    <w:snapToGrid w:val="0"/>
                    <w:ind w:firstLine="444"/>
                    <w:rPr>
                      <w:spacing w:val="6"/>
                      <w:szCs w:val="21"/>
                    </w:rPr>
                  </w:pPr>
                  <w:r>
                    <w:rPr>
                      <w:rFonts w:hint="eastAsia"/>
                      <w:spacing w:val="6"/>
                      <w:szCs w:val="21"/>
                    </w:rPr>
                    <w:t>1组立体声非平衡模拟音频线路输出</w:t>
                  </w:r>
                </w:p>
              </w:tc>
              <w:tc>
                <w:tcPr>
                  <w:tcW w:w="4147" w:type="dxa"/>
                  <w:vAlign w:val="center"/>
                </w:tcPr>
                <w:p>
                  <w:pPr>
                    <w:adjustRightInd w:val="0"/>
                    <w:snapToGrid w:val="0"/>
                    <w:rPr>
                      <w:spacing w:val="6"/>
                      <w:szCs w:val="21"/>
                    </w:rPr>
                  </w:pPr>
                  <w:r>
                    <w:rPr>
                      <w:rFonts w:hint="eastAsia"/>
                      <w:spacing w:val="6"/>
                      <w:szCs w:val="21"/>
                    </w:rPr>
                    <w:t>RCA莲花母座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76" w:hRule="atLeast"/>
              </w:trPr>
              <w:tc>
                <w:tcPr>
                  <w:tcW w:w="603" w:type="dxa"/>
                  <w:vMerge w:val="continue"/>
                  <w:vAlign w:val="center"/>
                </w:tcPr>
                <w:p>
                  <w:pPr>
                    <w:adjustRightInd w:val="0"/>
                    <w:snapToGrid w:val="0"/>
                    <w:ind w:firstLine="108" w:firstLineChars="49"/>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1组立体声平衡模拟音频线路输出</w:t>
                  </w:r>
                </w:p>
              </w:tc>
              <w:tc>
                <w:tcPr>
                  <w:tcW w:w="4147" w:type="dxa"/>
                  <w:vAlign w:val="center"/>
                </w:tcPr>
                <w:p>
                  <w:pPr>
                    <w:adjustRightInd w:val="0"/>
                    <w:snapToGrid w:val="0"/>
                    <w:rPr>
                      <w:spacing w:val="6"/>
                      <w:szCs w:val="21"/>
                    </w:rPr>
                  </w:pPr>
                  <w:r>
                    <w:rPr>
                      <w:rFonts w:hint="eastAsia"/>
                      <w:spacing w:val="6"/>
                      <w:szCs w:val="21"/>
                    </w:rPr>
                    <w:t>XLR卡侬公座，（引脚定义：1为GND;2为+;3为-）。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31" w:hRule="atLeast"/>
              </w:trPr>
              <w:tc>
                <w:tcPr>
                  <w:tcW w:w="603" w:type="dxa"/>
                  <w:vMerge w:val="continue"/>
                  <w:vAlign w:val="center"/>
                </w:tcPr>
                <w:p>
                  <w:pPr>
                    <w:adjustRightInd w:val="0"/>
                    <w:snapToGrid w:val="0"/>
                    <w:ind w:firstLine="108" w:firstLineChars="49"/>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2路话筒输入</w:t>
                  </w:r>
                </w:p>
              </w:tc>
              <w:tc>
                <w:tcPr>
                  <w:tcW w:w="4147" w:type="dxa"/>
                  <w:vAlign w:val="center"/>
                </w:tcPr>
                <w:p>
                  <w:pPr>
                    <w:adjustRightInd w:val="0"/>
                    <w:snapToGrid w:val="0"/>
                  </w:pPr>
                  <w:r>
                    <w:rPr>
                      <w:rFonts w:hint="eastAsia"/>
                    </w:rPr>
                    <w:t>一个6.35mm动圈话筒接口；一个内置话筒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532" w:hRule="atLeast"/>
              </w:trPr>
              <w:tc>
                <w:tcPr>
                  <w:tcW w:w="603" w:type="dxa"/>
                  <w:vMerge w:val="continue"/>
                  <w:vAlign w:val="center"/>
                </w:tcPr>
                <w:p>
                  <w:pPr>
                    <w:adjustRightInd w:val="0"/>
                    <w:snapToGrid w:val="0"/>
                    <w:ind w:firstLine="108" w:firstLineChars="49"/>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2组立体声非平衡模拟音频线路输入</w:t>
                  </w:r>
                </w:p>
              </w:tc>
              <w:tc>
                <w:tcPr>
                  <w:tcW w:w="4147" w:type="dxa"/>
                  <w:vAlign w:val="center"/>
                </w:tcPr>
                <w:p>
                  <w:pPr>
                    <w:adjustRightInd w:val="0"/>
                    <w:snapToGrid w:val="0"/>
                    <w:rPr>
                      <w:spacing w:val="6"/>
                      <w:szCs w:val="21"/>
                    </w:rPr>
                  </w:pPr>
                  <w:r>
                    <w:rPr>
                      <w:rFonts w:hint="eastAsia"/>
                      <w:spacing w:val="6"/>
                      <w:szCs w:val="21"/>
                    </w:rPr>
                    <w:t>RCA莲花母座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64" w:hRule="atLeast"/>
              </w:trPr>
              <w:tc>
                <w:tcPr>
                  <w:tcW w:w="603" w:type="dxa"/>
                  <w:vMerge w:val="continue"/>
                  <w:vAlign w:val="center"/>
                </w:tcPr>
                <w:p>
                  <w:pPr>
                    <w:adjustRightInd w:val="0"/>
                    <w:snapToGrid w:val="0"/>
                    <w:ind w:firstLine="108" w:firstLineChars="49"/>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1个拾音器接口</w:t>
                  </w:r>
                </w:p>
              </w:tc>
              <w:tc>
                <w:tcPr>
                  <w:tcW w:w="4147" w:type="dxa"/>
                  <w:vAlign w:val="center"/>
                </w:tcPr>
                <w:p>
                  <w:pPr>
                    <w:adjustRightInd w:val="0"/>
                    <w:snapToGrid w:val="0"/>
                    <w:rPr>
                      <w:spacing w:val="6"/>
                      <w:szCs w:val="21"/>
                    </w:rPr>
                  </w:pPr>
                  <w:r>
                    <w:rPr>
                      <w:rFonts w:hint="eastAsia"/>
                      <w:szCs w:val="21"/>
                    </w:rPr>
                    <w:t>EDG-5.08-3P，引脚间距5.08mm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77" w:hRule="atLeast"/>
              </w:trPr>
              <w:tc>
                <w:tcPr>
                  <w:tcW w:w="603" w:type="dxa"/>
                  <w:vMerge w:val="continue"/>
                  <w:vAlign w:val="center"/>
                </w:tcPr>
                <w:p>
                  <w:pPr>
                    <w:adjustRightInd w:val="0"/>
                    <w:snapToGrid w:val="0"/>
                    <w:ind w:firstLine="108" w:firstLineChars="49"/>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1组音频功放输出</w:t>
                  </w:r>
                </w:p>
              </w:tc>
              <w:tc>
                <w:tcPr>
                  <w:tcW w:w="4147" w:type="dxa"/>
                </w:tcPr>
                <w:p>
                  <w:pPr>
                    <w:adjustRightInd w:val="0"/>
                    <w:snapToGrid w:val="0"/>
                    <w:rPr>
                      <w:spacing w:val="6"/>
                      <w:szCs w:val="21"/>
                    </w:rPr>
                  </w:pPr>
                  <w:r>
                    <w:rPr>
                      <w:rFonts w:hint="eastAsia"/>
                      <w:spacing w:val="6"/>
                      <w:szCs w:val="21"/>
                    </w:rPr>
                    <w:t>4个纯铜镀金音频功放接线柱，推动4个功率为25W的高清喇叭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45" w:hRule="atLeast"/>
              </w:trPr>
              <w:tc>
                <w:tcPr>
                  <w:tcW w:w="603" w:type="dxa"/>
                  <w:vMerge w:val="continue"/>
                  <w:vAlign w:val="center"/>
                </w:tcPr>
                <w:p>
                  <w:pPr>
                    <w:adjustRightInd w:val="0"/>
                    <w:snapToGrid w:val="0"/>
                    <w:ind w:firstLine="108" w:firstLineChars="49"/>
                    <w:jc w:val="center"/>
                    <w:rPr>
                      <w:b/>
                      <w:bCs/>
                      <w:szCs w:val="21"/>
                    </w:rPr>
                  </w:pPr>
                </w:p>
              </w:tc>
              <w:tc>
                <w:tcPr>
                  <w:tcW w:w="2248" w:type="dxa"/>
                  <w:vAlign w:val="center"/>
                </w:tcPr>
                <w:p>
                  <w:pPr>
                    <w:adjustRightInd w:val="0"/>
                    <w:snapToGrid w:val="0"/>
                    <w:rPr>
                      <w:spacing w:val="6"/>
                      <w:szCs w:val="21"/>
                    </w:rPr>
                  </w:pPr>
                  <w:r>
                    <w:rPr>
                      <w:rFonts w:hint="eastAsia"/>
                      <w:spacing w:val="6"/>
                      <w:szCs w:val="21"/>
                    </w:rPr>
                    <w:t>1路监听扬声器输出</w:t>
                  </w:r>
                </w:p>
              </w:tc>
              <w:tc>
                <w:tcPr>
                  <w:tcW w:w="4147" w:type="dxa"/>
                  <w:vAlign w:val="center"/>
                </w:tcPr>
                <w:p>
                  <w:pPr>
                    <w:adjustRightInd w:val="0"/>
                    <w:snapToGrid w:val="0"/>
                    <w:rPr>
                      <w:spacing w:val="6"/>
                      <w:szCs w:val="21"/>
                    </w:rPr>
                  </w:pPr>
                  <w:r>
                    <w:rPr>
                      <w:rFonts w:hint="eastAsia"/>
                      <w:spacing w:val="6"/>
                      <w:szCs w:val="21"/>
                    </w:rPr>
                    <w:t>内置，额定输出功率2W或以上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55" w:hRule="atLeast"/>
              </w:trPr>
              <w:tc>
                <w:tcPr>
                  <w:tcW w:w="603" w:type="dxa"/>
                  <w:vMerge w:val="restart"/>
                  <w:vAlign w:val="center"/>
                </w:tcPr>
                <w:p>
                  <w:pPr>
                    <w:adjustRightInd w:val="0"/>
                    <w:snapToGrid w:val="0"/>
                    <w:jc w:val="center"/>
                    <w:rPr>
                      <w:b/>
                      <w:bCs/>
                      <w:szCs w:val="21"/>
                    </w:rPr>
                  </w:pPr>
                  <w:r>
                    <w:rPr>
                      <w:rFonts w:hint="eastAsia"/>
                      <w:b/>
                      <w:bCs/>
                      <w:szCs w:val="21"/>
                    </w:rPr>
                    <w:t>数字接口</w:t>
                  </w:r>
                </w:p>
              </w:tc>
              <w:tc>
                <w:tcPr>
                  <w:tcW w:w="2248" w:type="dxa"/>
                  <w:vAlign w:val="center"/>
                </w:tcPr>
                <w:p>
                  <w:pPr>
                    <w:adjustRightInd w:val="0"/>
                    <w:snapToGrid w:val="0"/>
                    <w:ind w:firstLine="444"/>
                    <w:rPr>
                      <w:spacing w:val="6"/>
                      <w:szCs w:val="21"/>
                    </w:rPr>
                  </w:pPr>
                  <w:r>
                    <w:rPr>
                      <w:rFonts w:hint="eastAsia"/>
                      <w:spacing w:val="6"/>
                      <w:szCs w:val="21"/>
                    </w:rPr>
                    <w:t>IP数据口1</w:t>
                  </w:r>
                </w:p>
              </w:tc>
              <w:tc>
                <w:tcPr>
                  <w:tcW w:w="4147" w:type="dxa"/>
                  <w:vAlign w:val="center"/>
                </w:tcPr>
                <w:p>
                  <w:pPr>
                    <w:adjustRightInd w:val="0"/>
                    <w:snapToGrid w:val="0"/>
                    <w:rPr>
                      <w:spacing w:val="6"/>
                      <w:szCs w:val="21"/>
                    </w:rPr>
                  </w:pPr>
                  <w:r>
                    <w:rPr>
                      <w:rFonts w:hint="eastAsia"/>
                      <w:spacing w:val="6"/>
                      <w:szCs w:val="21"/>
                    </w:rPr>
                    <w:t>RJ45,10/100Mbps自适应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61"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IP数据口2</w:t>
                  </w:r>
                </w:p>
              </w:tc>
              <w:tc>
                <w:tcPr>
                  <w:tcW w:w="4147" w:type="dxa"/>
                  <w:vAlign w:val="center"/>
                </w:tcPr>
                <w:p>
                  <w:pPr>
                    <w:adjustRightInd w:val="0"/>
                    <w:snapToGrid w:val="0"/>
                    <w:rPr>
                      <w:spacing w:val="6"/>
                      <w:szCs w:val="21"/>
                    </w:rPr>
                  </w:pPr>
                  <w:r>
                    <w:rPr>
                      <w:rFonts w:hint="eastAsia"/>
                      <w:spacing w:val="6"/>
                      <w:szCs w:val="21"/>
                    </w:rPr>
                    <w:t>RJ45,10/100Mbps自适应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07"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2个RS232串口</w:t>
                  </w:r>
                </w:p>
              </w:tc>
              <w:tc>
                <w:tcPr>
                  <w:tcW w:w="4147" w:type="dxa"/>
                  <w:vAlign w:val="center"/>
                </w:tcPr>
                <w:p>
                  <w:pPr>
                    <w:adjustRightInd w:val="0"/>
                    <w:snapToGrid w:val="0"/>
                    <w:rPr>
                      <w:spacing w:val="6"/>
                      <w:szCs w:val="21"/>
                    </w:rPr>
                  </w:pPr>
                  <w:r>
                    <w:rPr>
                      <w:rFonts w:hint="eastAsia"/>
                      <w:spacing w:val="6"/>
                      <w:szCs w:val="21"/>
                    </w:rPr>
                    <w:t>DB9母座(1个)；DB9公座(1个)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584" w:hRule="atLeast"/>
              </w:trPr>
              <w:tc>
                <w:tcPr>
                  <w:tcW w:w="603" w:type="dxa"/>
                  <w:vMerge w:val="restart"/>
                  <w:vAlign w:val="center"/>
                </w:tcPr>
                <w:p>
                  <w:pPr>
                    <w:adjustRightInd w:val="0"/>
                    <w:snapToGrid w:val="0"/>
                    <w:jc w:val="center"/>
                    <w:rPr>
                      <w:b/>
                      <w:bCs/>
                      <w:szCs w:val="21"/>
                    </w:rPr>
                  </w:pPr>
                  <w:r>
                    <w:rPr>
                      <w:rFonts w:hint="eastAsia"/>
                      <w:b/>
                      <w:bCs/>
                      <w:szCs w:val="21"/>
                    </w:rPr>
                    <w:t>其他接口</w:t>
                  </w:r>
                </w:p>
              </w:tc>
              <w:tc>
                <w:tcPr>
                  <w:tcW w:w="2248" w:type="dxa"/>
                  <w:vAlign w:val="center"/>
                </w:tcPr>
                <w:p>
                  <w:pPr>
                    <w:adjustRightInd w:val="0"/>
                    <w:snapToGrid w:val="0"/>
                    <w:ind w:firstLine="444"/>
                    <w:rPr>
                      <w:spacing w:val="6"/>
                      <w:szCs w:val="21"/>
                    </w:rPr>
                  </w:pPr>
                  <w:r>
                    <w:rPr>
                      <w:rFonts w:hint="eastAsia"/>
                      <w:spacing w:val="6"/>
                      <w:szCs w:val="21"/>
                    </w:rPr>
                    <w:t>总电源输入</w:t>
                  </w:r>
                </w:p>
              </w:tc>
              <w:tc>
                <w:tcPr>
                  <w:tcW w:w="4147" w:type="dxa"/>
                  <w:vAlign w:val="center"/>
                </w:tcPr>
                <w:p>
                  <w:pPr>
                    <w:adjustRightInd w:val="0"/>
                    <w:snapToGrid w:val="0"/>
                    <w:rPr>
                      <w:spacing w:val="6"/>
                      <w:szCs w:val="21"/>
                    </w:rPr>
                  </w:pPr>
                  <w:r>
                    <w:rPr>
                      <w:rFonts w:hint="eastAsia"/>
                      <w:spacing w:val="6"/>
                      <w:szCs w:val="21"/>
                    </w:rPr>
                    <w:t>国标品字三针插座，带保险管（1主1备）和防浪涌电源滤波器。</w:t>
                  </w:r>
                  <w:r>
                    <w:rPr>
                      <w:rFonts w:hint="eastAsia"/>
                      <w:spacing w:val="6"/>
                      <w:szCs w:val="21"/>
                    </w:rPr>
                    <w:tab/>
                  </w:r>
                  <w:r>
                    <w:rPr>
                      <w:rFonts w:hint="eastAsia"/>
                      <w:spacing w:val="6"/>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受控电源输出</w:t>
                  </w:r>
                </w:p>
              </w:tc>
              <w:tc>
                <w:tcPr>
                  <w:tcW w:w="4147" w:type="dxa"/>
                  <w:vAlign w:val="center"/>
                </w:tcPr>
                <w:p>
                  <w:pPr>
                    <w:adjustRightInd w:val="0"/>
                    <w:snapToGrid w:val="0"/>
                    <w:rPr>
                      <w:spacing w:val="6"/>
                      <w:szCs w:val="21"/>
                    </w:rPr>
                  </w:pPr>
                  <w:r>
                    <w:rPr>
                      <w:rFonts w:hint="eastAsia"/>
                      <w:spacing w:val="6"/>
                      <w:szCs w:val="21"/>
                    </w:rPr>
                    <w:t>国标品字三孔插座，220V/10A输出。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17"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rPr>
                      <w:spacing w:val="6"/>
                      <w:szCs w:val="21"/>
                    </w:rPr>
                  </w:pPr>
                  <w:r>
                    <w:rPr>
                      <w:rFonts w:hint="eastAsia"/>
                      <w:spacing w:val="6"/>
                      <w:szCs w:val="21"/>
                    </w:rPr>
                    <w:t>应急直流电源输入</w:t>
                  </w:r>
                </w:p>
              </w:tc>
              <w:tc>
                <w:tcPr>
                  <w:tcW w:w="4147" w:type="dxa"/>
                  <w:vAlign w:val="center"/>
                </w:tcPr>
                <w:p>
                  <w:pPr>
                    <w:adjustRightInd w:val="0"/>
                    <w:snapToGrid w:val="0"/>
                    <w:rPr>
                      <w:spacing w:val="6"/>
                      <w:szCs w:val="21"/>
                    </w:rPr>
                  </w:pPr>
                  <w:r>
                    <w:rPr>
                      <w:rFonts w:hint="eastAsia"/>
                      <w:szCs w:val="21"/>
                    </w:rPr>
                    <w:t>EDG-5.08-2P，引脚间距5.08mm。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14"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USB接口</w:t>
                  </w:r>
                </w:p>
              </w:tc>
              <w:tc>
                <w:tcPr>
                  <w:tcW w:w="4147" w:type="dxa"/>
                  <w:vAlign w:val="center"/>
                </w:tcPr>
                <w:p>
                  <w:pPr>
                    <w:adjustRightInd w:val="0"/>
                    <w:snapToGrid w:val="0"/>
                    <w:rPr>
                      <w:spacing w:val="6"/>
                      <w:szCs w:val="21"/>
                    </w:rPr>
                  </w:pPr>
                  <w:r>
                    <w:rPr>
                      <w:rFonts w:hint="eastAsia"/>
                      <w:spacing w:val="6"/>
                      <w:szCs w:val="21"/>
                    </w:rPr>
                    <w:t>三个独立接口，USB2.0及以上接口规范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35"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zCs w:val="21"/>
                    </w:rPr>
                  </w:pPr>
                  <w:r>
                    <w:rPr>
                      <w:rFonts w:hint="eastAsia"/>
                      <w:spacing w:val="6"/>
                      <w:szCs w:val="21"/>
                    </w:rPr>
                    <w:t>HDMI音视频接口</w:t>
                  </w:r>
                </w:p>
              </w:tc>
              <w:tc>
                <w:tcPr>
                  <w:tcW w:w="4147" w:type="dxa"/>
                  <w:vAlign w:val="center"/>
                </w:tcPr>
                <w:p>
                  <w:pPr>
                    <w:adjustRightInd w:val="0"/>
                    <w:snapToGrid w:val="0"/>
                    <w:rPr>
                      <w:szCs w:val="21"/>
                    </w:rPr>
                  </w:pPr>
                  <w:r>
                    <w:rPr>
                      <w:rFonts w:hint="eastAsia"/>
                      <w:spacing w:val="6"/>
                      <w:szCs w:val="21"/>
                    </w:rPr>
                    <w:t>1个HDMI音视频输出接口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93"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20"/>
                    <w:rPr>
                      <w:spacing w:val="6"/>
                      <w:szCs w:val="21"/>
                    </w:rPr>
                  </w:pPr>
                  <w:r>
                    <w:rPr>
                      <w:rFonts w:hint="eastAsia"/>
                      <w:szCs w:val="21"/>
                    </w:rPr>
                    <w:t>TF卡</w:t>
                  </w:r>
                  <w:r>
                    <w:rPr>
                      <w:rFonts w:hint="eastAsia"/>
                      <w:spacing w:val="6"/>
                      <w:szCs w:val="21"/>
                    </w:rPr>
                    <w:t>槽</w:t>
                  </w:r>
                </w:p>
              </w:tc>
              <w:tc>
                <w:tcPr>
                  <w:tcW w:w="4147" w:type="dxa"/>
                  <w:vAlign w:val="center"/>
                </w:tcPr>
                <w:p>
                  <w:pPr>
                    <w:adjustRightInd w:val="0"/>
                    <w:snapToGrid w:val="0"/>
                    <w:rPr>
                      <w:spacing w:val="6"/>
                      <w:szCs w:val="21"/>
                    </w:rPr>
                  </w:pPr>
                  <w:r>
                    <w:rPr>
                      <w:rFonts w:hint="eastAsia"/>
                      <w:szCs w:val="21"/>
                    </w:rPr>
                    <w:t>置于设备内部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4G手机卡槽</w:t>
                  </w:r>
                </w:p>
              </w:tc>
              <w:tc>
                <w:tcPr>
                  <w:tcW w:w="4147" w:type="dxa"/>
                  <w:vAlign w:val="center"/>
                </w:tcPr>
                <w:p>
                  <w:pPr>
                    <w:adjustRightInd w:val="0"/>
                    <w:snapToGrid w:val="0"/>
                    <w:rPr>
                      <w:spacing w:val="6"/>
                      <w:szCs w:val="21"/>
                    </w:rPr>
                  </w:pPr>
                  <w:r>
                    <w:rPr>
                      <w:rFonts w:hint="eastAsia"/>
                      <w:spacing w:val="6"/>
                      <w:szCs w:val="21"/>
                    </w:rPr>
                    <w:t>配置4G手机卡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784" w:hRule="atLeast"/>
              </w:trPr>
              <w:tc>
                <w:tcPr>
                  <w:tcW w:w="603" w:type="dxa"/>
                  <w:vMerge w:val="restart"/>
                  <w:vAlign w:val="center"/>
                </w:tcPr>
                <w:p>
                  <w:pPr>
                    <w:adjustRightInd w:val="0"/>
                    <w:snapToGrid w:val="0"/>
                    <w:jc w:val="center"/>
                    <w:rPr>
                      <w:b/>
                      <w:bCs/>
                      <w:szCs w:val="21"/>
                    </w:rPr>
                  </w:pPr>
                  <w:r>
                    <w:rPr>
                      <w:rFonts w:hint="eastAsia"/>
                      <w:b/>
                      <w:bCs/>
                      <w:szCs w:val="21"/>
                    </w:rPr>
                    <w:t>指标参数</w:t>
                  </w:r>
                </w:p>
              </w:tc>
              <w:tc>
                <w:tcPr>
                  <w:tcW w:w="2248" w:type="dxa"/>
                  <w:vAlign w:val="center"/>
                </w:tcPr>
                <w:p>
                  <w:pPr>
                    <w:adjustRightInd w:val="0"/>
                    <w:snapToGrid w:val="0"/>
                    <w:ind w:firstLine="444"/>
                    <w:rPr>
                      <w:b/>
                      <w:bCs/>
                      <w:szCs w:val="21"/>
                    </w:rPr>
                  </w:pPr>
                  <w:r>
                    <w:rPr>
                      <w:rFonts w:hint="eastAsia"/>
                      <w:spacing w:val="6"/>
                      <w:szCs w:val="21"/>
                    </w:rPr>
                    <w:t>射频接收范围</w:t>
                  </w:r>
                </w:p>
              </w:tc>
              <w:tc>
                <w:tcPr>
                  <w:tcW w:w="4147" w:type="dxa"/>
                  <w:vAlign w:val="center"/>
                </w:tcPr>
                <w:p>
                  <w:pPr>
                    <w:adjustRightInd w:val="0"/>
                    <w:snapToGrid w:val="0"/>
                    <w:rPr>
                      <w:spacing w:val="6"/>
                      <w:szCs w:val="21"/>
                    </w:rPr>
                  </w:pPr>
                  <w:r>
                    <w:rPr>
                      <w:rFonts w:hint="eastAsia"/>
                      <w:spacing w:val="6"/>
                      <w:szCs w:val="21"/>
                    </w:rPr>
                    <w:t>DTMB：47MHz</w:t>
                  </w:r>
                  <w:r>
                    <w:rPr>
                      <w:rFonts w:hint="eastAsia"/>
                      <w:szCs w:val="21"/>
                    </w:rPr>
                    <w:t>～</w:t>
                  </w:r>
                  <w:r>
                    <w:rPr>
                      <w:rFonts w:hint="eastAsia"/>
                      <w:spacing w:val="6"/>
                      <w:szCs w:val="21"/>
                    </w:rPr>
                    <w:t>862MHz</w:t>
                  </w:r>
                </w:p>
                <w:p>
                  <w:pPr>
                    <w:adjustRightInd w:val="0"/>
                    <w:snapToGrid w:val="0"/>
                    <w:rPr>
                      <w:spacing w:val="6"/>
                      <w:szCs w:val="21"/>
                    </w:rPr>
                  </w:pPr>
                  <w:r>
                    <w:rPr>
                      <w:rFonts w:hint="eastAsia"/>
                      <w:spacing w:val="6"/>
                      <w:szCs w:val="21"/>
                    </w:rPr>
                    <w:t>DVB-C：115MHz</w:t>
                  </w:r>
                  <w:r>
                    <w:rPr>
                      <w:rFonts w:hint="eastAsia"/>
                      <w:szCs w:val="21"/>
                    </w:rPr>
                    <w:t>～</w:t>
                  </w:r>
                  <w:r>
                    <w:rPr>
                      <w:rFonts w:hint="eastAsia"/>
                      <w:spacing w:val="6"/>
                      <w:szCs w:val="21"/>
                    </w:rPr>
                    <w:t>858MHz</w:t>
                  </w:r>
                </w:p>
                <w:p>
                  <w:pPr>
                    <w:adjustRightInd w:val="0"/>
                    <w:snapToGrid w:val="0"/>
                    <w:rPr>
                      <w:spacing w:val="6"/>
                      <w:szCs w:val="21"/>
                    </w:rPr>
                  </w:pPr>
                  <w:r>
                    <w:rPr>
                      <w:rFonts w:hint="eastAsia"/>
                      <w:spacing w:val="6"/>
                      <w:szCs w:val="21"/>
                    </w:rPr>
                    <w:t>FM：76MHz</w:t>
                  </w:r>
                  <w:r>
                    <w:rPr>
                      <w:rFonts w:hint="eastAsia"/>
                      <w:szCs w:val="21"/>
                    </w:rPr>
                    <w:t>～</w:t>
                  </w:r>
                  <w:r>
                    <w:rPr>
                      <w:rFonts w:hint="eastAsia"/>
                      <w:spacing w:val="6"/>
                      <w:szCs w:val="21"/>
                    </w:rPr>
                    <w:t>108MHz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52"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rPr>
                      <w:spacing w:val="6"/>
                      <w:szCs w:val="21"/>
                    </w:rPr>
                  </w:pPr>
                  <w:r>
                    <w:rPr>
                      <w:rFonts w:hint="eastAsia"/>
                      <w:spacing w:val="6"/>
                      <w:szCs w:val="21"/>
                    </w:rPr>
                    <w:t>调频FM接收灵敏度</w:t>
                  </w:r>
                </w:p>
              </w:tc>
              <w:tc>
                <w:tcPr>
                  <w:tcW w:w="4147" w:type="dxa"/>
                  <w:vAlign w:val="center"/>
                </w:tcPr>
                <w:p>
                  <w:pPr>
                    <w:adjustRightInd w:val="0"/>
                    <w:snapToGrid w:val="0"/>
                    <w:rPr>
                      <w:spacing w:val="6"/>
                      <w:szCs w:val="21"/>
                    </w:rPr>
                  </w:pPr>
                  <w:r>
                    <w:rPr>
                      <w:rFonts w:hint="eastAsia"/>
                      <w:spacing w:val="6"/>
                      <w:szCs w:val="21"/>
                    </w:rPr>
                    <w:t>≤30dB</w:t>
                  </w:r>
                  <w:r>
                    <w:rPr>
                      <w:rFonts w:hint="eastAsia"/>
                      <w:szCs w:val="21"/>
                      <w:lang w:eastAsia="en-US"/>
                    </w:rPr>
                    <w:t>μ</w:t>
                  </w:r>
                  <w:r>
                    <w:rPr>
                      <w:rFonts w:hint="eastAsia"/>
                      <w:szCs w:val="21"/>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558"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rPr>
                      <w:spacing w:val="6"/>
                      <w:szCs w:val="21"/>
                    </w:rPr>
                  </w:pPr>
                  <w:r>
                    <w:rPr>
                      <w:rFonts w:hint="eastAsia"/>
                      <w:spacing w:val="6"/>
                      <w:szCs w:val="21"/>
                    </w:rPr>
                    <w:t>音频功放输出阻抗</w:t>
                  </w:r>
                </w:p>
              </w:tc>
              <w:tc>
                <w:tcPr>
                  <w:tcW w:w="4147" w:type="dxa"/>
                  <w:vAlign w:val="center"/>
                </w:tcPr>
                <w:p>
                  <w:pPr>
                    <w:adjustRightInd w:val="0"/>
                    <w:snapToGrid w:val="0"/>
                    <w:rPr>
                      <w:spacing w:val="6"/>
                      <w:szCs w:val="21"/>
                    </w:rPr>
                  </w:pPr>
                  <w:r>
                    <w:rPr>
                      <w:rFonts w:hint="eastAsia"/>
                      <w:spacing w:val="6"/>
                      <w:szCs w:val="21"/>
                    </w:rPr>
                    <w:t>4Ω</w:t>
                  </w:r>
                  <w:r>
                    <w:rPr>
                      <w:rFonts w:hint="eastAsia"/>
                      <w:szCs w:val="21"/>
                    </w:rPr>
                    <w:t>～</w:t>
                  </w:r>
                  <w:r>
                    <w:rPr>
                      <w:rFonts w:hint="eastAsia"/>
                      <w:spacing w:val="6"/>
                      <w:szCs w:val="21"/>
                    </w:rPr>
                    <w:t>8Ω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rPr>
                      <w:spacing w:val="6"/>
                      <w:szCs w:val="21"/>
                    </w:rPr>
                  </w:pPr>
                  <w:r>
                    <w:rPr>
                      <w:rFonts w:hint="eastAsia"/>
                      <w:spacing w:val="6"/>
                      <w:szCs w:val="21"/>
                    </w:rPr>
                    <w:t>音频功放额定输出有效值功率</w:t>
                  </w:r>
                </w:p>
              </w:tc>
              <w:tc>
                <w:tcPr>
                  <w:tcW w:w="4147" w:type="dxa"/>
                  <w:vAlign w:val="center"/>
                </w:tcPr>
                <w:p>
                  <w:pPr>
                    <w:adjustRightInd w:val="0"/>
                    <w:snapToGrid w:val="0"/>
                    <w:rPr>
                      <w:spacing w:val="6"/>
                      <w:szCs w:val="21"/>
                    </w:rPr>
                  </w:pPr>
                  <w:r>
                    <w:rPr>
                      <w:rFonts w:hint="eastAsia"/>
                      <w:spacing w:val="6"/>
                      <w:szCs w:val="21"/>
                    </w:rPr>
                    <w:t>≥100W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56" w:hRule="atLeast"/>
              </w:trPr>
              <w:tc>
                <w:tcPr>
                  <w:tcW w:w="603" w:type="dxa"/>
                  <w:vMerge w:val="continue"/>
                  <w:vAlign w:val="center"/>
                </w:tcPr>
                <w:p>
                  <w:pPr>
                    <w:adjustRightInd w:val="0"/>
                    <w:snapToGrid w:val="0"/>
                    <w:ind w:firstLine="420"/>
                    <w:jc w:val="center"/>
                    <w:rPr>
                      <w:bCs/>
                      <w:szCs w:val="21"/>
                    </w:rPr>
                  </w:pPr>
                </w:p>
              </w:tc>
              <w:tc>
                <w:tcPr>
                  <w:tcW w:w="2248" w:type="dxa"/>
                  <w:vAlign w:val="center"/>
                </w:tcPr>
                <w:p>
                  <w:pPr>
                    <w:adjustRightInd w:val="0"/>
                    <w:snapToGrid w:val="0"/>
                    <w:ind w:firstLine="444"/>
                    <w:rPr>
                      <w:spacing w:val="6"/>
                      <w:szCs w:val="21"/>
                    </w:rPr>
                  </w:pPr>
                  <w:r>
                    <w:rPr>
                      <w:rFonts w:hint="eastAsia"/>
                      <w:spacing w:val="6"/>
                      <w:szCs w:val="21"/>
                    </w:rPr>
                    <w:t>音频功放信噪比</w:t>
                  </w:r>
                </w:p>
              </w:tc>
              <w:tc>
                <w:tcPr>
                  <w:tcW w:w="4147" w:type="dxa"/>
                  <w:vAlign w:val="center"/>
                </w:tcPr>
                <w:p>
                  <w:pPr>
                    <w:adjustRightInd w:val="0"/>
                    <w:snapToGrid w:val="0"/>
                    <w:rPr>
                      <w:spacing w:val="6"/>
                      <w:szCs w:val="21"/>
                    </w:rPr>
                  </w:pPr>
                  <w:r>
                    <w:rPr>
                      <w:rFonts w:hint="eastAsia"/>
                      <w:spacing w:val="6"/>
                      <w:szCs w:val="21"/>
                    </w:rPr>
                    <w:t>≥60dB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603" w:type="dxa"/>
                  <w:vMerge w:val="continue"/>
                  <w:vAlign w:val="center"/>
                </w:tcPr>
                <w:p>
                  <w:pPr>
                    <w:adjustRightInd w:val="0"/>
                    <w:snapToGrid w:val="0"/>
                    <w:ind w:firstLine="420"/>
                    <w:jc w:val="center"/>
                    <w:rPr>
                      <w:bCs/>
                      <w:szCs w:val="21"/>
                    </w:rPr>
                  </w:pPr>
                </w:p>
              </w:tc>
              <w:tc>
                <w:tcPr>
                  <w:tcW w:w="2248" w:type="dxa"/>
                  <w:vAlign w:val="center"/>
                </w:tcPr>
                <w:p>
                  <w:pPr>
                    <w:adjustRightInd w:val="0"/>
                    <w:snapToGrid w:val="0"/>
                    <w:rPr>
                      <w:spacing w:val="6"/>
                      <w:szCs w:val="21"/>
                    </w:rPr>
                  </w:pPr>
                  <w:r>
                    <w:rPr>
                      <w:rFonts w:hint="eastAsia"/>
                      <w:spacing w:val="6"/>
                      <w:szCs w:val="21"/>
                    </w:rPr>
                    <w:t>音频功放频率响应</w:t>
                  </w:r>
                </w:p>
              </w:tc>
              <w:tc>
                <w:tcPr>
                  <w:tcW w:w="4147" w:type="dxa"/>
                  <w:vAlign w:val="center"/>
                </w:tcPr>
                <w:p>
                  <w:pPr>
                    <w:adjustRightInd w:val="0"/>
                    <w:snapToGrid w:val="0"/>
                    <w:rPr>
                      <w:spacing w:val="6"/>
                      <w:szCs w:val="21"/>
                    </w:rPr>
                  </w:pPr>
                  <w:r>
                    <w:rPr>
                      <w:rFonts w:hint="eastAsia"/>
                      <w:spacing w:val="6"/>
                      <w:szCs w:val="21"/>
                    </w:rPr>
                    <w:t>±1dB(80Hz</w:t>
                  </w:r>
                  <w:r>
                    <w:rPr>
                      <w:rFonts w:hint="eastAsia"/>
                      <w:szCs w:val="21"/>
                    </w:rPr>
                    <w:t>～</w:t>
                  </w:r>
                  <w:r>
                    <w:rPr>
                      <w:rFonts w:hint="eastAsia"/>
                      <w:spacing w:val="6"/>
                      <w:szCs w:val="21"/>
                    </w:rPr>
                    <w:t>12.5KHz)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82" w:hRule="atLeast"/>
              </w:trPr>
              <w:tc>
                <w:tcPr>
                  <w:tcW w:w="603" w:type="dxa"/>
                  <w:vMerge w:val="continue"/>
                  <w:vAlign w:val="center"/>
                </w:tcPr>
                <w:p>
                  <w:pPr>
                    <w:adjustRightInd w:val="0"/>
                    <w:snapToGrid w:val="0"/>
                    <w:ind w:firstLine="420"/>
                    <w:jc w:val="center"/>
                    <w:rPr>
                      <w:bCs/>
                      <w:szCs w:val="21"/>
                    </w:rPr>
                  </w:pPr>
                </w:p>
              </w:tc>
              <w:tc>
                <w:tcPr>
                  <w:tcW w:w="2248" w:type="dxa"/>
                  <w:vAlign w:val="center"/>
                </w:tcPr>
                <w:p>
                  <w:pPr>
                    <w:adjustRightInd w:val="0"/>
                    <w:snapToGrid w:val="0"/>
                    <w:rPr>
                      <w:spacing w:val="6"/>
                      <w:szCs w:val="21"/>
                    </w:rPr>
                  </w:pPr>
                  <w:r>
                    <w:rPr>
                      <w:rFonts w:hint="eastAsia"/>
                      <w:spacing w:val="6"/>
                      <w:szCs w:val="21"/>
                    </w:rPr>
                    <w:t>音频功放谐波失真</w:t>
                  </w:r>
                </w:p>
              </w:tc>
              <w:tc>
                <w:tcPr>
                  <w:tcW w:w="4147" w:type="dxa"/>
                  <w:vAlign w:val="center"/>
                </w:tcPr>
                <w:p>
                  <w:pPr>
                    <w:adjustRightInd w:val="0"/>
                    <w:snapToGrid w:val="0"/>
                    <w:rPr>
                      <w:spacing w:val="6"/>
                      <w:szCs w:val="21"/>
                    </w:rPr>
                  </w:pPr>
                  <w:r>
                    <w:rPr>
                      <w:rFonts w:hint="eastAsia"/>
                      <w:spacing w:val="6"/>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94" w:hRule="atLeast"/>
              </w:trPr>
              <w:tc>
                <w:tcPr>
                  <w:tcW w:w="603" w:type="dxa"/>
                  <w:vMerge w:val="continue"/>
                  <w:vAlign w:val="center"/>
                </w:tcPr>
                <w:p>
                  <w:pPr>
                    <w:adjustRightInd w:val="0"/>
                    <w:snapToGrid w:val="0"/>
                    <w:ind w:firstLine="420"/>
                    <w:jc w:val="center"/>
                    <w:rPr>
                      <w:bCs/>
                      <w:szCs w:val="21"/>
                    </w:rPr>
                  </w:pPr>
                </w:p>
              </w:tc>
              <w:tc>
                <w:tcPr>
                  <w:tcW w:w="2248" w:type="dxa"/>
                  <w:vAlign w:val="center"/>
                </w:tcPr>
                <w:p>
                  <w:pPr>
                    <w:adjustRightInd w:val="0"/>
                    <w:snapToGrid w:val="0"/>
                    <w:rPr>
                      <w:spacing w:val="6"/>
                      <w:szCs w:val="21"/>
                    </w:rPr>
                  </w:pPr>
                  <w:r>
                    <w:rPr>
                      <w:rFonts w:hint="eastAsia"/>
                      <w:spacing w:val="6"/>
                      <w:szCs w:val="21"/>
                    </w:rPr>
                    <w:t>音频功放左右声道分离度</w:t>
                  </w:r>
                </w:p>
              </w:tc>
              <w:tc>
                <w:tcPr>
                  <w:tcW w:w="4147" w:type="dxa"/>
                  <w:vAlign w:val="center"/>
                </w:tcPr>
                <w:p>
                  <w:pPr>
                    <w:adjustRightInd w:val="0"/>
                    <w:snapToGrid w:val="0"/>
                    <w:rPr>
                      <w:spacing w:val="6"/>
                      <w:szCs w:val="21"/>
                    </w:rPr>
                  </w:pPr>
                  <w:r>
                    <w:rPr>
                      <w:rFonts w:hint="eastAsia"/>
                      <w:spacing w:val="6"/>
                      <w:szCs w:val="21"/>
                    </w:rPr>
                    <w:t>＞36dB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53" w:hRule="atLeast"/>
              </w:trPr>
              <w:tc>
                <w:tcPr>
                  <w:tcW w:w="603" w:type="dxa"/>
                  <w:vMerge w:val="continue"/>
                  <w:vAlign w:val="center"/>
                </w:tcPr>
                <w:p>
                  <w:pPr>
                    <w:adjustRightInd w:val="0"/>
                    <w:snapToGrid w:val="0"/>
                    <w:ind w:firstLine="420"/>
                    <w:jc w:val="center"/>
                    <w:rPr>
                      <w:bCs/>
                      <w:szCs w:val="21"/>
                    </w:rPr>
                  </w:pPr>
                </w:p>
              </w:tc>
              <w:tc>
                <w:tcPr>
                  <w:tcW w:w="2248" w:type="dxa"/>
                  <w:vAlign w:val="center"/>
                </w:tcPr>
                <w:p>
                  <w:pPr>
                    <w:adjustRightInd w:val="0"/>
                    <w:snapToGrid w:val="0"/>
                    <w:rPr>
                      <w:spacing w:val="6"/>
                      <w:szCs w:val="21"/>
                    </w:rPr>
                  </w:pPr>
                  <w:r>
                    <w:rPr>
                      <w:rFonts w:hint="eastAsia"/>
                      <w:spacing w:val="6"/>
                      <w:szCs w:val="21"/>
                    </w:rPr>
                    <w:t>音频功放左右声道电平差</w:t>
                  </w:r>
                </w:p>
              </w:tc>
              <w:tc>
                <w:tcPr>
                  <w:tcW w:w="4147" w:type="dxa"/>
                  <w:vAlign w:val="center"/>
                </w:tcPr>
                <w:p>
                  <w:pPr>
                    <w:adjustRightInd w:val="0"/>
                    <w:snapToGrid w:val="0"/>
                    <w:rPr>
                      <w:spacing w:val="6"/>
                      <w:szCs w:val="21"/>
                    </w:rPr>
                  </w:pPr>
                  <w:r>
                    <w:rPr>
                      <w:rFonts w:hint="eastAsia"/>
                      <w:spacing w:val="6"/>
                      <w:szCs w:val="21"/>
                    </w:rPr>
                    <w:t>＜1dB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87" w:hRule="atLeast"/>
              </w:trPr>
              <w:tc>
                <w:tcPr>
                  <w:tcW w:w="603" w:type="dxa"/>
                  <w:vMerge w:val="continue"/>
                  <w:vAlign w:val="center"/>
                </w:tcPr>
                <w:p>
                  <w:pPr>
                    <w:adjustRightInd w:val="0"/>
                    <w:snapToGrid w:val="0"/>
                    <w:ind w:firstLine="420"/>
                    <w:jc w:val="center"/>
                    <w:rPr>
                      <w:bCs/>
                      <w:szCs w:val="21"/>
                    </w:rPr>
                  </w:pPr>
                </w:p>
              </w:tc>
              <w:tc>
                <w:tcPr>
                  <w:tcW w:w="2248" w:type="dxa"/>
                  <w:vAlign w:val="center"/>
                </w:tcPr>
                <w:p>
                  <w:pPr>
                    <w:adjustRightInd w:val="0"/>
                    <w:snapToGrid w:val="0"/>
                    <w:ind w:firstLine="444"/>
                    <w:rPr>
                      <w:spacing w:val="6"/>
                      <w:szCs w:val="21"/>
                    </w:rPr>
                  </w:pPr>
                  <w:r>
                    <w:rPr>
                      <w:rFonts w:hint="eastAsia"/>
                      <w:spacing w:val="6"/>
                      <w:szCs w:val="21"/>
                    </w:rPr>
                    <w:t>电源效率</w:t>
                  </w:r>
                </w:p>
              </w:tc>
              <w:tc>
                <w:tcPr>
                  <w:tcW w:w="4147" w:type="dxa"/>
                  <w:vAlign w:val="center"/>
                </w:tcPr>
                <w:p>
                  <w:pPr>
                    <w:adjustRightInd w:val="0"/>
                    <w:snapToGrid w:val="0"/>
                    <w:rPr>
                      <w:spacing w:val="6"/>
                      <w:szCs w:val="21"/>
                    </w:rPr>
                  </w:pPr>
                  <w:r>
                    <w:rPr>
                      <w:rFonts w:hint="eastAsia"/>
                      <w:spacing w:val="6"/>
                      <w:szCs w:val="21"/>
                    </w:rPr>
                    <w:t>采用高性能开关电源。输出功率≥250W，效效率≥87</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79" w:hRule="atLeast"/>
              </w:trPr>
              <w:tc>
                <w:tcPr>
                  <w:tcW w:w="603" w:type="dxa"/>
                  <w:vMerge w:val="restart"/>
                  <w:vAlign w:val="center"/>
                </w:tcPr>
                <w:p>
                  <w:pPr>
                    <w:adjustRightInd w:val="0"/>
                    <w:snapToGrid w:val="0"/>
                    <w:jc w:val="center"/>
                    <w:rPr>
                      <w:b/>
                      <w:bCs/>
                      <w:szCs w:val="21"/>
                    </w:rPr>
                  </w:pPr>
                  <w:r>
                    <w:rPr>
                      <w:rFonts w:hint="eastAsia"/>
                      <w:b/>
                      <w:bCs/>
                      <w:szCs w:val="21"/>
                    </w:rPr>
                    <w:t>通用参数</w:t>
                  </w:r>
                </w:p>
              </w:tc>
              <w:tc>
                <w:tcPr>
                  <w:tcW w:w="2248" w:type="dxa"/>
                  <w:vAlign w:val="center"/>
                </w:tcPr>
                <w:p>
                  <w:pPr>
                    <w:adjustRightInd w:val="0"/>
                    <w:snapToGrid w:val="0"/>
                    <w:ind w:firstLine="444"/>
                    <w:rPr>
                      <w:spacing w:val="6"/>
                      <w:szCs w:val="21"/>
                    </w:rPr>
                  </w:pPr>
                  <w:r>
                    <w:rPr>
                      <w:rFonts w:hint="eastAsia"/>
                      <w:spacing w:val="6"/>
                      <w:szCs w:val="21"/>
                    </w:rPr>
                    <w:t>工作温度</w:t>
                  </w:r>
                </w:p>
              </w:tc>
              <w:tc>
                <w:tcPr>
                  <w:tcW w:w="4147" w:type="dxa"/>
                  <w:vAlign w:val="center"/>
                </w:tcPr>
                <w:p>
                  <w:pPr>
                    <w:adjustRightInd w:val="0"/>
                    <w:snapToGrid w:val="0"/>
                    <w:rPr>
                      <w:spacing w:val="6"/>
                      <w:szCs w:val="21"/>
                    </w:rPr>
                  </w:pPr>
                  <w:r>
                    <w:rPr>
                      <w:rFonts w:hint="eastAsia"/>
                      <w:szCs w:val="21"/>
                    </w:rPr>
                    <w:t>-10</w:t>
                  </w:r>
                  <w:r>
                    <w:rPr>
                      <w:rFonts w:hint="eastAsia"/>
                      <w:spacing w:val="6"/>
                      <w:szCs w:val="21"/>
                    </w:rPr>
                    <w:t>℃</w:t>
                  </w:r>
                  <w:r>
                    <w:rPr>
                      <w:rFonts w:hint="eastAsia"/>
                      <w:szCs w:val="21"/>
                    </w:rPr>
                    <w:t>～60</w:t>
                  </w:r>
                  <w:r>
                    <w:rPr>
                      <w:rFonts w:hint="eastAsia"/>
                      <w:spacing w:val="6"/>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427" w:hRule="atLeast"/>
              </w:trPr>
              <w:tc>
                <w:tcPr>
                  <w:tcW w:w="603" w:type="dxa"/>
                  <w:vMerge w:val="continue"/>
                  <w:vAlign w:val="center"/>
                </w:tcPr>
                <w:p>
                  <w:pPr>
                    <w:adjustRightInd w:val="0"/>
                    <w:snapToGrid w:val="0"/>
                    <w:ind w:firstLine="422"/>
                    <w:jc w:val="center"/>
                    <w:rPr>
                      <w:b/>
                      <w:bCs/>
                      <w:szCs w:val="21"/>
                    </w:rPr>
                  </w:pPr>
                </w:p>
              </w:tc>
              <w:tc>
                <w:tcPr>
                  <w:tcW w:w="2248" w:type="dxa"/>
                  <w:vAlign w:val="center"/>
                </w:tcPr>
                <w:p>
                  <w:pPr>
                    <w:adjustRightInd w:val="0"/>
                    <w:snapToGrid w:val="0"/>
                    <w:ind w:firstLine="444"/>
                    <w:rPr>
                      <w:spacing w:val="6"/>
                      <w:szCs w:val="21"/>
                    </w:rPr>
                  </w:pPr>
                  <w:r>
                    <w:rPr>
                      <w:rFonts w:hint="eastAsia"/>
                      <w:spacing w:val="6"/>
                      <w:szCs w:val="21"/>
                    </w:rPr>
                    <w:t>工作电压</w:t>
                  </w:r>
                </w:p>
              </w:tc>
              <w:tc>
                <w:tcPr>
                  <w:tcW w:w="4147" w:type="dxa"/>
                  <w:vAlign w:val="center"/>
                </w:tcPr>
                <w:p>
                  <w:pPr>
                    <w:adjustRightInd w:val="0"/>
                    <w:snapToGrid w:val="0"/>
                    <w:rPr>
                      <w:spacing w:val="6"/>
                      <w:szCs w:val="21"/>
                    </w:rPr>
                  </w:pPr>
                  <w:r>
                    <w:rPr>
                      <w:rFonts w:hint="eastAsia"/>
                      <w:spacing w:val="6"/>
                      <w:szCs w:val="21"/>
                    </w:rPr>
                    <w:t>交流90V</w:t>
                  </w:r>
                  <w:r>
                    <w:rPr>
                      <w:rFonts w:hint="eastAsia"/>
                      <w:szCs w:val="21"/>
                    </w:rPr>
                    <w:t>～</w:t>
                  </w:r>
                  <w:r>
                    <w:rPr>
                      <w:rFonts w:hint="eastAsia"/>
                      <w:spacing w:val="6"/>
                      <w:szCs w:val="21"/>
                    </w:rPr>
                    <w:t>AC260V或更宽范围；频率50Hz±5Hz。</w:t>
                  </w:r>
                </w:p>
              </w:tc>
            </w:tr>
          </w:tbl>
          <w:p>
            <w:pPr>
              <w:widowControl/>
              <w:adjustRightInd w:val="0"/>
              <w:snapToGrid w:val="0"/>
              <w:ind w:firstLine="422"/>
              <w:rPr>
                <w:b/>
                <w:bCs/>
                <w:szCs w:val="21"/>
              </w:rPr>
            </w:pPr>
            <w:r>
              <w:rPr>
                <w:rFonts w:hint="eastAsia"/>
                <w:b/>
                <w:bCs/>
                <w:szCs w:val="21"/>
              </w:rPr>
              <w:t>（二）基本功能要求</w:t>
            </w:r>
          </w:p>
          <w:p>
            <w:pPr>
              <w:numPr>
                <w:ilvl w:val="0"/>
                <w:numId w:val="5"/>
              </w:numPr>
              <w:autoSpaceDE/>
              <w:autoSpaceDN/>
              <w:adjustRightInd w:val="0"/>
              <w:snapToGrid w:val="0"/>
              <w:ind w:firstLine="440" w:firstLineChars="200"/>
              <w:rPr>
                <w:szCs w:val="21"/>
              </w:rPr>
            </w:pPr>
            <w:r>
              <w:rPr>
                <w:rFonts w:hint="eastAsia"/>
                <w:szCs w:val="21"/>
              </w:rPr>
              <w:t>集接收、转发、编码、解码、播控、管理等功能于一体，要求整机模块化设计，符合指标要求。</w:t>
            </w:r>
          </w:p>
          <w:p>
            <w:pPr>
              <w:numPr>
                <w:ilvl w:val="0"/>
                <w:numId w:val="5"/>
              </w:numPr>
              <w:autoSpaceDE/>
              <w:autoSpaceDN/>
              <w:adjustRightInd w:val="0"/>
              <w:snapToGrid w:val="0"/>
              <w:ind w:firstLine="440" w:firstLineChars="200"/>
              <w:rPr>
                <w:szCs w:val="21"/>
              </w:rPr>
            </w:pPr>
            <w:r>
              <w:rPr>
                <w:rFonts w:hint="eastAsia"/>
                <w:szCs w:val="21"/>
              </w:rPr>
              <w:t>具有辖区内接收终端列表，可选择一个或多个接收终端进行广播，可手动切换需要播出的本地信源。操作应急广播适配器进行播发时，播发区域默认为全乡镇（行政村）广播。</w:t>
            </w:r>
          </w:p>
          <w:p>
            <w:pPr>
              <w:numPr>
                <w:ilvl w:val="0"/>
                <w:numId w:val="5"/>
              </w:numPr>
              <w:autoSpaceDE/>
              <w:autoSpaceDN/>
              <w:adjustRightInd w:val="0"/>
              <w:snapToGrid w:val="0"/>
              <w:ind w:firstLine="440" w:firstLineChars="200"/>
              <w:rPr>
                <w:szCs w:val="21"/>
              </w:rPr>
            </w:pPr>
            <w:r>
              <w:rPr>
                <w:rFonts w:hint="eastAsia"/>
                <w:szCs w:val="21"/>
              </w:rPr>
              <w:t>具有IP(TS)、DTMB/DVB-C、IP/4G、FM多通道模式同时接收应急广播消息并解析的功能。</w:t>
            </w:r>
          </w:p>
          <w:p>
            <w:pPr>
              <w:numPr>
                <w:ilvl w:val="0"/>
                <w:numId w:val="5"/>
              </w:numPr>
              <w:autoSpaceDE/>
              <w:autoSpaceDN/>
              <w:adjustRightInd w:val="0"/>
              <w:snapToGrid w:val="0"/>
              <w:ind w:firstLine="440" w:firstLineChars="200"/>
              <w:rPr>
                <w:szCs w:val="21"/>
              </w:rPr>
            </w:pPr>
            <w:r>
              <w:rPr>
                <w:rFonts w:hint="eastAsia"/>
                <w:szCs w:val="21"/>
              </w:rPr>
              <w:t>内置的所有网卡全面支持IPV4。</w:t>
            </w:r>
          </w:p>
          <w:p>
            <w:pPr>
              <w:adjustRightInd w:val="0"/>
              <w:snapToGrid w:val="0"/>
              <w:ind w:left="400"/>
              <w:rPr>
                <w:b/>
                <w:bCs/>
                <w:szCs w:val="21"/>
              </w:rPr>
            </w:pPr>
            <w:r>
              <w:rPr>
                <w:rFonts w:hint="eastAsia"/>
                <w:b/>
                <w:bCs/>
                <w:szCs w:val="21"/>
              </w:rPr>
              <w:t>（三）配套的触摸显示器控制</w:t>
            </w:r>
          </w:p>
          <w:p>
            <w:pPr>
              <w:numPr>
                <w:ilvl w:val="0"/>
                <w:numId w:val="6"/>
              </w:numPr>
              <w:autoSpaceDE/>
              <w:autoSpaceDN/>
              <w:adjustRightInd w:val="0"/>
              <w:snapToGrid w:val="0"/>
              <w:ind w:firstLine="440" w:firstLineChars="200"/>
              <w:rPr>
                <w:szCs w:val="21"/>
              </w:rPr>
            </w:pPr>
            <w:r>
              <w:rPr>
                <w:rFonts w:hint="eastAsia"/>
                <w:szCs w:val="21"/>
              </w:rPr>
              <w:t>应急广播适配器应保留本机播发功能，同时兼顾操作触摸显示器播发，操作触摸显示器只作为适配器扩展功能的便捷操作方式。触摸显示器发生故障时，还可操作适配器直接播发应急广播信息。严禁屏蔽适配器面板的手动操作播发功能。</w:t>
            </w:r>
          </w:p>
          <w:p>
            <w:pPr>
              <w:numPr>
                <w:ilvl w:val="0"/>
                <w:numId w:val="6"/>
              </w:numPr>
              <w:autoSpaceDE/>
              <w:autoSpaceDN/>
              <w:adjustRightInd w:val="0"/>
              <w:snapToGrid w:val="0"/>
              <w:ind w:firstLine="440" w:firstLineChars="200"/>
              <w:rPr>
                <w:szCs w:val="21"/>
              </w:rPr>
            </w:pPr>
            <w:r>
              <w:rPr>
                <w:rFonts w:hint="eastAsia"/>
                <w:szCs w:val="21"/>
              </w:rPr>
              <w:t>应急广播适配器采用LINUX或Android嵌入式操作系统，实现嵌入式图文操作界面。通过HDMI接口输出视频到外接的触摸显示器，并采用USB口实现触摸控制。触摸显示器不宜带操作系统，只是带触控功能的通用显示设备，无需任何参数配置，可替换。</w:t>
            </w:r>
          </w:p>
          <w:p>
            <w:pPr>
              <w:numPr>
                <w:ilvl w:val="0"/>
                <w:numId w:val="6"/>
              </w:numPr>
              <w:autoSpaceDE/>
              <w:autoSpaceDN/>
              <w:adjustRightInd w:val="0"/>
              <w:snapToGrid w:val="0"/>
              <w:ind w:firstLine="440" w:firstLineChars="200"/>
              <w:rPr>
                <w:szCs w:val="21"/>
              </w:rPr>
            </w:pPr>
            <w:r>
              <w:rPr>
                <w:rFonts w:hint="eastAsia"/>
                <w:szCs w:val="21"/>
              </w:rPr>
              <w:t>触摸显示器无操作30～60分钟，自动进入休眠状态；操作适配器或划动触摸显示器可唤醒。也可在触摸显示器面板配置电源按键，一键休眠/唤醒。</w:t>
            </w:r>
          </w:p>
          <w:p>
            <w:pPr>
              <w:numPr>
                <w:ilvl w:val="0"/>
                <w:numId w:val="6"/>
              </w:numPr>
              <w:autoSpaceDE/>
              <w:autoSpaceDN/>
              <w:adjustRightInd w:val="0"/>
              <w:snapToGrid w:val="0"/>
              <w:ind w:firstLine="440" w:firstLineChars="200"/>
              <w:rPr>
                <w:szCs w:val="21"/>
              </w:rPr>
            </w:pPr>
            <w:r>
              <w:rPr>
                <w:rFonts w:hint="eastAsia"/>
                <w:szCs w:val="21"/>
              </w:rPr>
              <w:t>应急广播适配器输出视频页面，须具有“本级播发操作”、“U盘音频文件播放列表”、 “查看本乡镇（行政村）所辖区域内设备工作状态”、“地面数字电视DTMB操作和显示”、“调频通道1/2操作”等5个页面，采用“菜单”“返回”2个触控按键实现页面跳转，其中U盘音频文件播放列表页面仅为当前播放通道为U盘时才展现。</w:t>
            </w:r>
          </w:p>
          <w:p>
            <w:pPr>
              <w:adjustRightInd w:val="0"/>
              <w:snapToGrid w:val="0"/>
              <w:rPr>
                <w:szCs w:val="21"/>
              </w:rPr>
            </w:pPr>
            <w:r>
              <w:rPr>
                <w:rFonts w:hint="eastAsia"/>
                <w:szCs w:val="21"/>
              </w:rPr>
              <w:t xml:space="preserve">    本地播发操作页面与应急广播适配器面板操作同步指示，操作方式一致。本地播发操作页面采用双色图标指示按键按下（本地应急播发时为红色，其余为蓝色）或弹起（白色）两种状态。</w:t>
            </w:r>
          </w:p>
          <w:p>
            <w:pPr>
              <w:numPr>
                <w:ilvl w:val="0"/>
                <w:numId w:val="6"/>
              </w:numPr>
              <w:autoSpaceDE/>
              <w:autoSpaceDN/>
              <w:adjustRightInd w:val="0"/>
              <w:snapToGrid w:val="0"/>
              <w:ind w:firstLine="440" w:firstLineChars="200"/>
              <w:rPr>
                <w:szCs w:val="21"/>
              </w:rPr>
            </w:pPr>
            <w:r>
              <w:rPr>
                <w:rFonts w:hint="eastAsia"/>
                <w:szCs w:val="21"/>
              </w:rPr>
              <w:t>设备工作状态页面采用4色标识设备工作情况。红色表示设备正在响应上级广播（包括应急和日常两种类型广播）；紫色表示本级广播（包括应急和日常两种类型广播）；黄色表示设备在线；灰色表示设备离线。点击地图上任意设备时，可查看该设备工作状态数据，数据由应急广播适配器通过网管通道采用《广西应急广播终端通信技术规范V1.2》（原《广西应急广播终端数据回传技术规范V1.2》，下同）从县级平台数据库读取，每10秒间隔自动刷新页面更新数据。</w:t>
            </w:r>
          </w:p>
          <w:p>
            <w:pPr>
              <w:adjustRightInd w:val="0"/>
              <w:snapToGrid w:val="0"/>
              <w:jc w:val="center"/>
              <w:rPr>
                <w:szCs w:val="21"/>
              </w:rPr>
            </w:pPr>
            <w:r>
              <w:rPr>
                <w:szCs w:val="21"/>
              </w:rPr>
              <w:drawing>
                <wp:anchor distT="0" distB="0" distL="114300" distR="114300" simplePos="0" relativeHeight="251673600" behindDoc="0" locked="0" layoutInCell="1" allowOverlap="1">
                  <wp:simplePos x="0" y="0"/>
                  <wp:positionH relativeFrom="column">
                    <wp:posOffset>1092200</wp:posOffset>
                  </wp:positionH>
                  <wp:positionV relativeFrom="paragraph">
                    <wp:posOffset>51435</wp:posOffset>
                  </wp:positionV>
                  <wp:extent cx="2703830" cy="2336800"/>
                  <wp:effectExtent l="19050" t="0" r="1270" b="0"/>
                  <wp:wrapTopAndBottom/>
                  <wp:docPr id="111" name="对象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对象 2"/>
                          <pic:cNvPicPr>
                            <a:picLocks noChangeAspect="1" noChangeArrowheads="1"/>
                          </pic:cNvPicPr>
                        </pic:nvPicPr>
                        <pic:blipFill>
                          <a:blip r:embed="rId18" cstate="print"/>
                          <a:srcRect/>
                          <a:stretch>
                            <a:fillRect/>
                          </a:stretch>
                        </pic:blipFill>
                        <pic:spPr>
                          <a:xfrm>
                            <a:off x="0" y="0"/>
                            <a:ext cx="2703830" cy="2336800"/>
                          </a:xfrm>
                          <a:prstGeom prst="rect">
                            <a:avLst/>
                          </a:prstGeom>
                          <a:noFill/>
                        </pic:spPr>
                      </pic:pic>
                    </a:graphicData>
                  </a:graphic>
                </wp:anchor>
              </w:drawing>
            </w:r>
          </w:p>
          <w:p>
            <w:pPr>
              <w:adjustRightInd w:val="0"/>
              <w:snapToGrid w:val="0"/>
              <w:rPr>
                <w:szCs w:val="21"/>
              </w:rPr>
            </w:pPr>
            <w:r>
              <w:rPr>
                <w:rFonts w:hint="eastAsia"/>
                <w:szCs w:val="21"/>
              </w:rPr>
              <w:t xml:space="preserve">    应急广播适配器工作状态数据的各项展现不少于上图所示，至少展现图中描述的13项重要参数。</w:t>
            </w:r>
          </w:p>
          <w:p>
            <w:pPr>
              <w:numPr>
                <w:ilvl w:val="0"/>
                <w:numId w:val="6"/>
              </w:numPr>
              <w:autoSpaceDE/>
              <w:autoSpaceDN/>
              <w:adjustRightInd w:val="0"/>
              <w:snapToGrid w:val="0"/>
              <w:ind w:firstLine="440" w:firstLineChars="200"/>
              <w:rPr>
                <w:szCs w:val="21"/>
              </w:rPr>
            </w:pPr>
            <w:r>
              <w:rPr>
                <w:rFonts w:hint="eastAsia"/>
                <w:szCs w:val="21"/>
              </w:rPr>
              <w:t>行政区划地图的形成：可采用但不限于列表式地图（例如10*10、15*10的列表），根据乡镇（行政村）所辖的行政村（自然村）的地理位置，在列表上的大概方位标注地名即可。乡镇的地图应分两层显示，双击行政村应弹窗显示下一层自然村的地图。没有安装应急广播设备的自然村也应显示，用方形文本框标记。</w:t>
            </w:r>
          </w:p>
          <w:p>
            <w:pPr>
              <w:adjustRightInd w:val="0"/>
              <w:snapToGrid w:val="0"/>
              <w:ind w:firstLine="420"/>
              <w:rPr>
                <w:szCs w:val="21"/>
              </w:rPr>
            </w:pPr>
            <w:r>
              <w:rPr>
                <w:rFonts w:hint="eastAsia"/>
                <w:szCs w:val="21"/>
              </w:rPr>
              <w:t>地图中的地名样式：设备4色标识+地名。地名包括但不限于县/乡镇/行政村/自然村。</w:t>
            </w:r>
          </w:p>
          <w:p>
            <w:pPr>
              <w:numPr>
                <w:ilvl w:val="0"/>
                <w:numId w:val="6"/>
              </w:numPr>
              <w:autoSpaceDE/>
              <w:autoSpaceDN/>
              <w:adjustRightInd w:val="0"/>
              <w:snapToGrid w:val="0"/>
              <w:ind w:firstLine="440" w:firstLineChars="200"/>
              <w:rPr>
                <w:szCs w:val="21"/>
              </w:rPr>
            </w:pPr>
            <w:r>
              <w:rPr>
                <w:rFonts w:hint="eastAsia"/>
                <w:szCs w:val="21"/>
              </w:rPr>
              <w:t>应急广播适配器接收DTMB信号，解调的图像和伴音应能在触摸显示器上播放。DTMB信号调谐、节目选择、伴音回放音量调节等操作可在触摸显示器实现。</w:t>
            </w:r>
          </w:p>
          <w:p>
            <w:pPr>
              <w:numPr>
                <w:ilvl w:val="0"/>
                <w:numId w:val="6"/>
              </w:numPr>
              <w:autoSpaceDE/>
              <w:autoSpaceDN/>
              <w:adjustRightInd w:val="0"/>
              <w:snapToGrid w:val="0"/>
              <w:ind w:firstLine="440" w:firstLineChars="200"/>
              <w:rPr>
                <w:szCs w:val="21"/>
              </w:rPr>
            </w:pPr>
            <w:r>
              <w:rPr>
                <w:rFonts w:hint="eastAsia"/>
                <w:szCs w:val="21"/>
              </w:rPr>
              <w:t>应急广播适配器接收FM1、FM2信号，解调出的声音可在触摸屏上播放。FM信号调谐、节目选择、伴音回放音量调节等操作可在触摸显示器实现。</w:t>
            </w:r>
          </w:p>
          <w:p>
            <w:pPr>
              <w:numPr>
                <w:ilvl w:val="0"/>
                <w:numId w:val="6"/>
              </w:numPr>
              <w:autoSpaceDE/>
              <w:autoSpaceDN/>
              <w:adjustRightInd w:val="0"/>
              <w:snapToGrid w:val="0"/>
              <w:ind w:firstLine="440" w:firstLineChars="200"/>
              <w:rPr>
                <w:szCs w:val="21"/>
              </w:rPr>
            </w:pPr>
            <w:r>
              <w:rPr>
                <w:rFonts w:hint="eastAsia"/>
                <w:szCs w:val="21"/>
              </w:rPr>
              <w:t>应急广播适配器播发U盘文件，解调出的声音可在触摸显示器上播放。U盘文件选择、伴音回放音量调节等操作可在触摸显示器实现。</w:t>
            </w:r>
          </w:p>
          <w:p>
            <w:pPr>
              <w:numPr>
                <w:ilvl w:val="0"/>
                <w:numId w:val="6"/>
              </w:numPr>
              <w:autoSpaceDE/>
              <w:autoSpaceDN/>
              <w:adjustRightInd w:val="0"/>
              <w:snapToGrid w:val="0"/>
              <w:ind w:firstLine="440" w:firstLineChars="200"/>
              <w:rPr>
                <w:szCs w:val="21"/>
              </w:rPr>
            </w:pPr>
            <w:r>
              <w:rPr>
                <w:rFonts w:hint="eastAsia"/>
                <w:szCs w:val="21"/>
              </w:rPr>
              <w:t>应急广播适配器外部输入端口输入的音视频信号可在触摸显示器上播放。伴音回放音量调节可在触摸显示器实现。</w:t>
            </w:r>
          </w:p>
          <w:p>
            <w:pPr>
              <w:numPr>
                <w:ilvl w:val="0"/>
                <w:numId w:val="6"/>
              </w:numPr>
              <w:autoSpaceDE/>
              <w:autoSpaceDN/>
              <w:adjustRightInd w:val="0"/>
              <w:snapToGrid w:val="0"/>
              <w:ind w:firstLine="440" w:firstLineChars="200"/>
              <w:rPr>
                <w:szCs w:val="21"/>
              </w:rPr>
            </w:pPr>
            <w:r>
              <w:rPr>
                <w:rFonts w:hint="eastAsia"/>
                <w:szCs w:val="21"/>
              </w:rPr>
              <w:t>应急广播适配器的其它功能和配置也可考虑在触摸显示器上实现操作，方便安装调试。</w:t>
            </w:r>
          </w:p>
          <w:p>
            <w:pPr>
              <w:adjustRightInd w:val="0"/>
              <w:snapToGrid w:val="0"/>
              <w:rPr>
                <w:szCs w:val="21"/>
              </w:rPr>
            </w:pPr>
            <w:r>
              <w:rPr>
                <w:rFonts w:hint="eastAsia"/>
                <w:szCs w:val="21"/>
              </w:rPr>
              <w:t xml:space="preserve">    </w:t>
            </w:r>
            <w:r>
              <w:rPr>
                <w:rFonts w:hint="eastAsia"/>
                <w:b/>
                <w:bCs/>
                <w:szCs w:val="21"/>
              </w:rPr>
              <w:t>（四）应急信息播发策略</w:t>
            </w:r>
          </w:p>
          <w:p>
            <w:pPr>
              <w:numPr>
                <w:ilvl w:val="0"/>
                <w:numId w:val="7"/>
              </w:numPr>
              <w:autoSpaceDE/>
              <w:autoSpaceDN/>
              <w:adjustRightInd w:val="0"/>
              <w:snapToGrid w:val="0"/>
              <w:ind w:firstLine="440" w:firstLineChars="200"/>
              <w:rPr>
                <w:szCs w:val="21"/>
              </w:rPr>
            </w:pPr>
            <w:r>
              <w:rPr>
                <w:rFonts w:hint="eastAsia"/>
                <w:szCs w:val="21"/>
              </w:rPr>
              <w:t>优先级播出处理规则设置：</w:t>
            </w:r>
          </w:p>
          <w:p>
            <w:pPr>
              <w:adjustRightInd w:val="0"/>
              <w:snapToGrid w:val="0"/>
              <w:ind w:firstLine="420"/>
              <w:rPr>
                <w:szCs w:val="21"/>
              </w:rPr>
            </w:pPr>
            <w:r>
              <w:rPr>
                <w:rFonts w:hint="eastAsia"/>
                <w:szCs w:val="21"/>
              </w:rPr>
              <w:t>（1）应急广播与日常广播此两种不同类型广播，不论级别，应急广播均优先播出，电话及短信插播方式视为应急广播；</w:t>
            </w:r>
          </w:p>
          <w:p>
            <w:pPr>
              <w:adjustRightInd w:val="0"/>
              <w:snapToGrid w:val="0"/>
              <w:ind w:firstLine="420"/>
              <w:rPr>
                <w:szCs w:val="21"/>
              </w:rPr>
            </w:pPr>
            <w:r>
              <w:rPr>
                <w:rFonts w:hint="eastAsia"/>
                <w:szCs w:val="21"/>
              </w:rPr>
              <w:t>（2）相同类型广播，应首先判断广播消息级别，优先级高则优先播出；</w:t>
            </w:r>
          </w:p>
          <w:p>
            <w:pPr>
              <w:adjustRightInd w:val="0"/>
              <w:snapToGrid w:val="0"/>
              <w:ind w:firstLine="420"/>
              <w:rPr>
                <w:szCs w:val="21"/>
              </w:rPr>
            </w:pPr>
            <w:r>
              <w:rPr>
                <w:rFonts w:hint="eastAsia"/>
                <w:szCs w:val="21"/>
              </w:rPr>
              <w:t>（3）广播消息级别相同，如果设备设置为上级优先，则行政级别高优先播出，如果设备设置为下级优先，则行政级别低优先播出；</w:t>
            </w:r>
          </w:p>
          <w:p>
            <w:pPr>
              <w:adjustRightInd w:val="0"/>
              <w:snapToGrid w:val="0"/>
              <w:ind w:firstLine="420"/>
              <w:rPr>
                <w:szCs w:val="21"/>
              </w:rPr>
            </w:pPr>
            <w:r>
              <w:rPr>
                <w:rFonts w:hint="eastAsia"/>
                <w:szCs w:val="21"/>
              </w:rPr>
              <w:t>（4）广播消息级别和行政级别均相同，默认情况下优先播出数字通道（依次为IP(TS)、DTMB/DVB-C、IP/4G），然后为FM通道（如当前通道有广播则不进行通道切换，无广播则按上述次序切换）。</w:t>
            </w:r>
          </w:p>
          <w:p>
            <w:pPr>
              <w:adjustRightInd w:val="0"/>
              <w:snapToGrid w:val="0"/>
              <w:ind w:firstLine="420"/>
              <w:rPr>
                <w:szCs w:val="21"/>
              </w:rPr>
            </w:pPr>
            <w:r>
              <w:rPr>
                <w:rFonts w:hint="eastAsia"/>
                <w:szCs w:val="21"/>
              </w:rPr>
              <w:t>（5）高优先级广播播出完成以后，播放次优先级广播。</w:t>
            </w:r>
          </w:p>
          <w:p>
            <w:pPr>
              <w:numPr>
                <w:ilvl w:val="0"/>
                <w:numId w:val="7"/>
              </w:numPr>
              <w:autoSpaceDE/>
              <w:autoSpaceDN/>
              <w:adjustRightInd w:val="0"/>
              <w:snapToGrid w:val="0"/>
              <w:ind w:firstLine="440" w:firstLineChars="200"/>
              <w:rPr>
                <w:szCs w:val="21"/>
              </w:rPr>
            </w:pPr>
            <w:r>
              <w:rPr>
                <w:rFonts w:hint="eastAsia"/>
                <w:szCs w:val="21"/>
              </w:rPr>
              <w:t>具有本地和远程设置应急广播信息上级优先、下级优先播出功能，默认设置为上级优先。</w:t>
            </w:r>
          </w:p>
          <w:p>
            <w:pPr>
              <w:numPr>
                <w:ilvl w:val="0"/>
                <w:numId w:val="7"/>
              </w:numPr>
              <w:autoSpaceDE/>
              <w:autoSpaceDN/>
              <w:adjustRightInd w:val="0"/>
              <w:snapToGrid w:val="0"/>
              <w:ind w:firstLine="440" w:firstLineChars="200"/>
              <w:rPr>
                <w:szCs w:val="21"/>
              </w:rPr>
            </w:pPr>
            <w:r>
              <w:rPr>
                <w:rFonts w:hint="eastAsia"/>
                <w:szCs w:val="21"/>
              </w:rPr>
              <w:t>应急广播适配器电话及短信插播视为本地应急广播，默认优先级为2级。当应急广播适配器同时收到电话和短信文转语插播时，电话语音插播优先，可中断短信文转语插播转而播发电话语音。当有电话语音及短信文转语插播时，RDS转发优先级为适配器设定的应急广播消息级别（默认2级）。</w:t>
            </w:r>
          </w:p>
          <w:p>
            <w:pPr>
              <w:numPr>
                <w:ilvl w:val="0"/>
                <w:numId w:val="7"/>
              </w:numPr>
              <w:autoSpaceDE/>
              <w:autoSpaceDN/>
              <w:adjustRightInd w:val="0"/>
              <w:snapToGrid w:val="0"/>
              <w:ind w:firstLine="440" w:firstLineChars="200"/>
              <w:rPr>
                <w:szCs w:val="21"/>
              </w:rPr>
            </w:pPr>
            <w:r>
              <w:rPr>
                <w:rFonts w:hint="eastAsia"/>
                <w:szCs w:val="21"/>
              </w:rPr>
              <w:t>接收和转发上级广播时，通道优先级默认优先顺序：IP(TS)、DTMB/DVB-C、IP/4G、FM1、FM2，可本地和远程设置。</w:t>
            </w:r>
          </w:p>
          <w:p>
            <w:pPr>
              <w:numPr>
                <w:ilvl w:val="0"/>
                <w:numId w:val="7"/>
              </w:numPr>
              <w:autoSpaceDE/>
              <w:autoSpaceDN/>
              <w:adjustRightInd w:val="0"/>
              <w:snapToGrid w:val="0"/>
              <w:ind w:firstLine="440" w:firstLineChars="200"/>
              <w:rPr>
                <w:szCs w:val="21"/>
              </w:rPr>
            </w:pPr>
            <w:r>
              <w:rPr>
                <w:rFonts w:hint="eastAsia"/>
                <w:szCs w:val="21"/>
              </w:rPr>
              <w:t>IP(TS)、DTMB、DVB-C、IP/4G四种模式传输应急广播信息，要求传输协议采用《广西应急广播TS流传输技术规范》、《广西应急广播IP传输技术规范V1.2》。TS指令数据采用上级平台加密，适配器解密的方式传输，协议采用《广西应急广播系统指令安全保护（数字签名）技术规范》。</w:t>
            </w:r>
          </w:p>
          <w:p>
            <w:pPr>
              <w:numPr>
                <w:ilvl w:val="0"/>
                <w:numId w:val="7"/>
              </w:numPr>
              <w:autoSpaceDE/>
              <w:autoSpaceDN/>
              <w:adjustRightInd w:val="0"/>
              <w:snapToGrid w:val="0"/>
              <w:ind w:firstLine="440" w:firstLineChars="200"/>
              <w:rPr>
                <w:szCs w:val="21"/>
              </w:rPr>
            </w:pPr>
            <w:r>
              <w:rPr>
                <w:rFonts w:hint="eastAsia"/>
                <w:szCs w:val="21"/>
              </w:rPr>
              <w:t>要求设备可同时解析两个应急广播控制PID，分别为0x21和0x2x，两个控制PID所在TS流携带的指令表格式参照《广西应急广播TS流传输技术规范》。其中PID=0x21的TS流为县级以上平台下发的应急广播指令，PID=0x2x的TS流为其他平台下发的应急广播指令（保留）。</w:t>
            </w:r>
          </w:p>
          <w:p>
            <w:pPr>
              <w:numPr>
                <w:ilvl w:val="0"/>
                <w:numId w:val="7"/>
              </w:numPr>
              <w:autoSpaceDE/>
              <w:autoSpaceDN/>
              <w:adjustRightInd w:val="0"/>
              <w:snapToGrid w:val="0"/>
              <w:ind w:firstLine="440" w:firstLineChars="200"/>
              <w:rPr>
                <w:szCs w:val="21"/>
              </w:rPr>
            </w:pPr>
            <w:r>
              <w:rPr>
                <w:rFonts w:hint="eastAsia"/>
                <w:szCs w:val="21"/>
              </w:rPr>
              <w:t>每个乡镇级平台的应急广播适配器输出组播IP地址及端口由广电网络提供，指令PID统一为0x22。</w:t>
            </w:r>
          </w:p>
          <w:p>
            <w:pPr>
              <w:numPr>
                <w:ilvl w:val="0"/>
                <w:numId w:val="7"/>
              </w:numPr>
              <w:autoSpaceDE/>
              <w:autoSpaceDN/>
              <w:adjustRightInd w:val="0"/>
              <w:snapToGrid w:val="0"/>
              <w:ind w:firstLine="440" w:firstLineChars="200"/>
              <w:rPr>
                <w:szCs w:val="21"/>
              </w:rPr>
            </w:pPr>
            <w:r>
              <w:rPr>
                <w:rFonts w:hint="eastAsia"/>
                <w:szCs w:val="21"/>
              </w:rPr>
              <w:t>乡镇级平台的应急广播适配器输出IP(TS)组播直接下行播发到村级平台应急广播适配器，同时在县级平台与乡镇级平台网管通信正常的情况下具有通过网管通道向县级平台申请播发的功能。</w:t>
            </w:r>
          </w:p>
          <w:p>
            <w:pPr>
              <w:numPr>
                <w:ilvl w:val="0"/>
                <w:numId w:val="7"/>
              </w:numPr>
              <w:autoSpaceDE/>
              <w:autoSpaceDN/>
              <w:adjustRightInd w:val="0"/>
              <w:snapToGrid w:val="0"/>
              <w:ind w:firstLine="440" w:firstLineChars="200"/>
              <w:rPr>
                <w:szCs w:val="21"/>
              </w:rPr>
            </w:pPr>
            <w:r>
              <w:rPr>
                <w:rFonts w:hint="eastAsia"/>
                <w:szCs w:val="21"/>
              </w:rPr>
              <w:t>应急广播适配器可采用IP、4G、RDS播发应急广播信息，对本级播发的IP/4G广播，当应急广播适配器作为IP终端使用时，应能甄别自身所发出的信息并不予响应。</w:t>
            </w:r>
          </w:p>
          <w:p>
            <w:pPr>
              <w:adjustRightInd w:val="0"/>
              <w:snapToGrid w:val="0"/>
              <w:ind w:firstLine="420"/>
              <w:rPr>
                <w:szCs w:val="21"/>
              </w:rPr>
            </w:pPr>
            <w:r>
              <w:rPr>
                <w:rFonts w:hint="eastAsia"/>
                <w:szCs w:val="21"/>
              </w:rPr>
              <w:t>为了避免应急信息重复、循环、错误播发，乡镇级平台应急广播适配器转发功能应设置：不对县级或其他乡镇发布的IP(TS)、IP/4G应急信息进行转发；本地播发不进行转发。</w:t>
            </w:r>
          </w:p>
          <w:p>
            <w:pPr>
              <w:adjustRightInd w:val="0"/>
              <w:snapToGrid w:val="0"/>
              <w:ind w:firstLine="422"/>
              <w:rPr>
                <w:b/>
                <w:bCs/>
                <w:szCs w:val="21"/>
              </w:rPr>
            </w:pPr>
            <w:r>
              <w:rPr>
                <w:rFonts w:hint="eastAsia"/>
                <w:b/>
                <w:bCs/>
                <w:szCs w:val="21"/>
              </w:rPr>
              <w:t>（五）主要功能要求</w:t>
            </w:r>
          </w:p>
          <w:p>
            <w:pPr>
              <w:numPr>
                <w:ilvl w:val="0"/>
                <w:numId w:val="8"/>
              </w:numPr>
              <w:autoSpaceDE/>
              <w:autoSpaceDN/>
              <w:adjustRightInd w:val="0"/>
              <w:snapToGrid w:val="0"/>
              <w:ind w:firstLine="440" w:firstLineChars="200"/>
              <w:rPr>
                <w:szCs w:val="21"/>
              </w:rPr>
            </w:pPr>
            <w:r>
              <w:rPr>
                <w:rFonts w:hint="eastAsia"/>
                <w:szCs w:val="21"/>
              </w:rPr>
              <w:t>采用有线IP和无线4G网络两种方式实现设备状态数据回传，两种回传方式均须实现。可本地和远程设置手动、自动两种状态（默认）。手动状态下可本地和远程手动切换回传方式；自动状态下由设备定时（时长可设置）检测有线IP回传通路情况。设备作为客户端与平台服务器握手通信，已连接则采用有线IP回传，断开连接则选择无线4G网络回传，恢复连接则重新选择有线IP回传。两种回传方式的协议均要求采用《广西应急广播终端数据回传技术规范V1.2》。</w:t>
            </w:r>
          </w:p>
          <w:p>
            <w:pPr>
              <w:numPr>
                <w:ilvl w:val="0"/>
                <w:numId w:val="8"/>
              </w:numPr>
              <w:autoSpaceDE/>
              <w:autoSpaceDN/>
              <w:adjustRightInd w:val="0"/>
              <w:snapToGrid w:val="0"/>
              <w:ind w:firstLine="440" w:firstLineChars="200"/>
              <w:rPr>
                <w:szCs w:val="21"/>
              </w:rPr>
            </w:pPr>
            <w:r>
              <w:rPr>
                <w:rFonts w:hint="eastAsia"/>
                <w:szCs w:val="21"/>
              </w:rPr>
              <w:t>具有本级RDS编码加密、接收上级下发的RDS编码并解密的功能，传输协议要求采用《广西应急广播调频副载波（RDS）编码传输技术规范》。两种情况的RDS编码数据输出应根据优先级播出处理规则决定，本级与上级RDS编码数据输出同时只能选择其一。RDS指令数据采用上级平台加密，接收设备解密的方式传输，协议采用《广西应急广播指令安全保护（数字签名）技术规范》。</w:t>
            </w:r>
          </w:p>
          <w:p>
            <w:pPr>
              <w:numPr>
                <w:ilvl w:val="0"/>
                <w:numId w:val="8"/>
              </w:numPr>
              <w:autoSpaceDE/>
              <w:autoSpaceDN/>
              <w:adjustRightInd w:val="0"/>
              <w:snapToGrid w:val="0"/>
              <w:ind w:firstLine="440" w:firstLineChars="200"/>
              <w:rPr>
                <w:szCs w:val="21"/>
              </w:rPr>
            </w:pPr>
            <w:r>
              <w:rPr>
                <w:rFonts w:hint="eastAsia"/>
                <w:szCs w:val="21"/>
              </w:rPr>
              <w:t>具有IP广播功能，参照《广西应急广播IP传输技术规范V1.2》。本地播发的同时有IP（TS）广播，也有IP/4G广播，共存并互不影响。当采用IP/4G广播时，IP广播优先，通过有线专网传输应急信息到县级平台，有线专网中断则采用4G广播，有线专网恢复则切换回有线IP广播。</w:t>
            </w:r>
          </w:p>
          <w:p>
            <w:pPr>
              <w:numPr>
                <w:ilvl w:val="0"/>
                <w:numId w:val="8"/>
              </w:numPr>
              <w:autoSpaceDE/>
              <w:autoSpaceDN/>
              <w:adjustRightInd w:val="0"/>
              <w:snapToGrid w:val="0"/>
              <w:ind w:firstLine="440" w:firstLineChars="200"/>
              <w:rPr>
                <w:szCs w:val="21"/>
              </w:rPr>
            </w:pPr>
            <w:r>
              <w:rPr>
                <w:rFonts w:hint="eastAsia"/>
                <w:szCs w:val="21"/>
              </w:rPr>
              <w:t>具有远程升级功能，可通过IP（TS）、DTMB/DVB-C、IP/4G通道传输，可采取TS流方式被动升级和HTTP请求方式主动升级两种方式，设备接收完数据并校验通过后自动进行升级。设备软件升级方式参照《广西应急广播终端软件升级技术规范》。</w:t>
            </w:r>
          </w:p>
          <w:p>
            <w:pPr>
              <w:numPr>
                <w:ilvl w:val="0"/>
                <w:numId w:val="8"/>
              </w:numPr>
              <w:autoSpaceDE/>
              <w:autoSpaceDN/>
              <w:adjustRightInd w:val="0"/>
              <w:snapToGrid w:val="0"/>
              <w:ind w:firstLine="440" w:firstLineChars="200"/>
              <w:rPr>
                <w:szCs w:val="21"/>
              </w:rPr>
            </w:pPr>
            <w:r>
              <w:rPr>
                <w:rFonts w:hint="eastAsia"/>
                <w:szCs w:val="21"/>
              </w:rPr>
              <w:t>可通过应急广播指令对设备进行管理配置，包括资源编码设置、组播和网管业务参数设置、回传IP地址设置、默认音量设置、自动报文间隔、接收射频频率设置等。</w:t>
            </w:r>
          </w:p>
          <w:p>
            <w:pPr>
              <w:numPr>
                <w:ilvl w:val="0"/>
                <w:numId w:val="8"/>
              </w:numPr>
              <w:autoSpaceDE/>
              <w:autoSpaceDN/>
              <w:adjustRightInd w:val="0"/>
              <w:snapToGrid w:val="0"/>
              <w:ind w:firstLine="440" w:firstLineChars="200"/>
              <w:rPr>
                <w:szCs w:val="21"/>
              </w:rPr>
            </w:pPr>
            <w:r>
              <w:rPr>
                <w:rFonts w:hint="eastAsia"/>
                <w:szCs w:val="21"/>
              </w:rPr>
              <w:t>应急广播适配器本地话筒插播时，须检测话筒电平，持续5分钟没有信号，自动退出本次话筒插播，恢复待机状态。采用其他信号进行本地插播时，插播2小时后，如果还没有手动关闭本次广播则自动退出本次插播，恢复待机状态。</w:t>
            </w:r>
          </w:p>
          <w:p>
            <w:pPr>
              <w:numPr>
                <w:ilvl w:val="0"/>
                <w:numId w:val="8"/>
              </w:numPr>
              <w:autoSpaceDE/>
              <w:autoSpaceDN/>
              <w:adjustRightInd w:val="0"/>
              <w:snapToGrid w:val="0"/>
              <w:ind w:firstLine="440" w:firstLineChars="200"/>
              <w:rPr>
                <w:szCs w:val="21"/>
              </w:rPr>
            </w:pPr>
            <w:r>
              <w:rPr>
                <w:rFonts w:hint="eastAsia"/>
                <w:szCs w:val="21"/>
              </w:rPr>
              <w:t>应急广播适配器必须具有自动分配网关的功能。有线IP及4G网管通道，数据上行必须绑定出口路由。当使用有线IP网络回传的时候，回传数据自动从广电内网网关出，不能从4G网关出；当切换到4G网络时候，回传数据自动从4G网关出，同时保留内网网关以和县级平台进行通信，当有线IP通道恢复时自动切换回有线IP通道。</w:t>
            </w:r>
          </w:p>
          <w:p>
            <w:pPr>
              <w:numPr>
                <w:ilvl w:val="0"/>
                <w:numId w:val="8"/>
              </w:numPr>
              <w:autoSpaceDE/>
              <w:autoSpaceDN/>
              <w:adjustRightInd w:val="0"/>
              <w:snapToGrid w:val="0"/>
              <w:ind w:firstLine="440" w:firstLineChars="200"/>
              <w:rPr>
                <w:szCs w:val="21"/>
              </w:rPr>
            </w:pPr>
            <w:r>
              <w:rPr>
                <w:rFonts w:hint="eastAsia"/>
                <w:szCs w:val="21"/>
              </w:rPr>
              <w:t>具有系统复位按键（参照后面板示意图），长按5秒恢复出厂设置，所有参数恢复到出厂设置状态。支持TELNET远程登录服务标准协议，可由用户远程登录设备嵌入式操作系统，用户名统一为：admin，密码为admin，最大用户权限。用户TENET登录后，可修改默认管理地址（192.168.2.200）和子网掩码（255.255.255.0）等参数。</w:t>
            </w:r>
          </w:p>
          <w:p>
            <w:pPr>
              <w:numPr>
                <w:ilvl w:val="0"/>
                <w:numId w:val="8"/>
              </w:numPr>
              <w:autoSpaceDE/>
              <w:autoSpaceDN/>
              <w:adjustRightInd w:val="0"/>
              <w:snapToGrid w:val="0"/>
              <w:ind w:firstLine="440" w:firstLineChars="200"/>
              <w:rPr>
                <w:szCs w:val="21"/>
              </w:rPr>
            </w:pPr>
            <w:r>
              <w:rPr>
                <w:rFonts w:hint="eastAsia"/>
                <w:szCs w:val="21"/>
              </w:rPr>
              <w:t>WEB网管具有系统软重启、恢复出厂设置项，用户可登陆该WEB网管对整个乡镇级适配器进行重启和恢复出厂设置操作。WEB网管用户名统一为：admin，登录密码统一为123456。</w:t>
            </w:r>
          </w:p>
          <w:p>
            <w:pPr>
              <w:numPr>
                <w:ilvl w:val="0"/>
                <w:numId w:val="8"/>
              </w:numPr>
              <w:autoSpaceDE/>
              <w:autoSpaceDN/>
              <w:adjustRightInd w:val="0"/>
              <w:snapToGrid w:val="0"/>
              <w:ind w:firstLine="440" w:firstLineChars="200"/>
              <w:rPr>
                <w:szCs w:val="21"/>
              </w:rPr>
            </w:pPr>
            <w:r>
              <w:rPr>
                <w:rFonts w:hint="eastAsia"/>
                <w:szCs w:val="21"/>
              </w:rPr>
              <w:t>应急广播适配器菜单部分主要参数必须输入密码才能修改。如该设备的资源编码（9字节）、FM接收频点、DTMB接收频点、DVB-C接收频点、网管IP地址及端口、4G回传IP地址及端口、组播接收IP地址及端口、转发优先级、上下级优先设定，密码修改等选项，初始密码默认为：123456。</w:t>
            </w:r>
          </w:p>
          <w:p>
            <w:pPr>
              <w:numPr>
                <w:ilvl w:val="0"/>
                <w:numId w:val="8"/>
              </w:numPr>
              <w:autoSpaceDE/>
              <w:autoSpaceDN/>
              <w:adjustRightInd w:val="0"/>
              <w:snapToGrid w:val="0"/>
              <w:ind w:firstLine="440" w:firstLineChars="200"/>
              <w:rPr>
                <w:szCs w:val="21"/>
              </w:rPr>
            </w:pPr>
            <w:r>
              <w:rPr>
                <w:rFonts w:hint="eastAsia"/>
                <w:szCs w:val="21"/>
              </w:rPr>
              <w:t>具有4G手机模块并配置4G手机卡，实现电话语音插播、短信文转语插播，终端状态可通过移动通信网络回传。可设置电话白名单至少32组，每组包括一个手机号码和授权广播区域编码，只有白名单上的手机号码可对授权区域进行语音及短信插播。电话语音插播须有语音提示，按下手机“#”号键即可电话语音广播。短信插播格式：播报次数#播报内容（播报次数取值范围1～9）。短信播报内容要求支持300个以上中文字符。</w:t>
            </w:r>
          </w:p>
          <w:p>
            <w:pPr>
              <w:numPr>
                <w:ilvl w:val="0"/>
                <w:numId w:val="8"/>
              </w:numPr>
              <w:autoSpaceDE/>
              <w:autoSpaceDN/>
              <w:adjustRightInd w:val="0"/>
              <w:snapToGrid w:val="0"/>
              <w:ind w:firstLine="440" w:firstLineChars="200"/>
              <w:rPr>
                <w:szCs w:val="21"/>
              </w:rPr>
            </w:pPr>
            <w:r>
              <w:rPr>
                <w:rFonts w:hint="eastAsia"/>
                <w:szCs w:val="21"/>
              </w:rPr>
              <w:t>具有日常定时播出功能，每天能设置至少3个时段，时间精确到秒，每个时段均可任意选择6个信源之一播放，分别为:话筒、线路输入1、线路输入2、U盘、FM1、FM2。定时广播属于本地日常广播。定时广播时日常广播对应LED指示灯亮，此时按下日常广播轻触式按键则关闭当前时段定时广播。</w:t>
            </w:r>
          </w:p>
          <w:p>
            <w:pPr>
              <w:numPr>
                <w:ilvl w:val="0"/>
                <w:numId w:val="8"/>
              </w:numPr>
              <w:autoSpaceDE/>
              <w:autoSpaceDN/>
              <w:adjustRightInd w:val="0"/>
              <w:snapToGrid w:val="0"/>
              <w:ind w:firstLine="440" w:firstLineChars="200"/>
              <w:rPr>
                <w:szCs w:val="21"/>
              </w:rPr>
            </w:pPr>
            <w:r>
              <w:rPr>
                <w:rFonts w:hint="eastAsia"/>
                <w:szCs w:val="21"/>
              </w:rPr>
              <w:t>具有MPEG1-layer1/2/3、MPEG2-layer1/2/3、AAC，MP3音频格式解码，MP3音频格式编码，解码输出音质清晰、流畅。</w:t>
            </w:r>
          </w:p>
          <w:p>
            <w:pPr>
              <w:numPr>
                <w:ilvl w:val="0"/>
                <w:numId w:val="8"/>
              </w:numPr>
              <w:autoSpaceDE/>
              <w:autoSpaceDN/>
              <w:adjustRightInd w:val="0"/>
              <w:snapToGrid w:val="0"/>
              <w:ind w:firstLine="440" w:firstLineChars="200"/>
              <w:rPr>
                <w:szCs w:val="21"/>
              </w:rPr>
            </w:pPr>
            <w:r>
              <w:rPr>
                <w:rFonts w:hint="eastAsia"/>
                <w:szCs w:val="21"/>
              </w:rPr>
              <w:t>MP3格式音频编码封装成TS包并通过IP(TS)组播和RTSP协议（IP广播）输出。乡镇级应急广播适配器音频编码参数共8项。输出模式为CBR（恒定码率）。必须有PMT_PID、PCR_PID、AUDIO_PID、Service_PID(节目号)、Service_Name(节目名称，要求为中文)设置项并可由用户设置和修改。采用立体声编码，音频编码码率为128Kbps，采样码率为48KHz。</w:t>
            </w:r>
          </w:p>
          <w:p>
            <w:pPr>
              <w:numPr>
                <w:ilvl w:val="0"/>
                <w:numId w:val="8"/>
              </w:numPr>
              <w:autoSpaceDE/>
              <w:autoSpaceDN/>
              <w:adjustRightInd w:val="0"/>
              <w:snapToGrid w:val="0"/>
              <w:ind w:firstLine="440" w:firstLineChars="200"/>
              <w:rPr>
                <w:szCs w:val="21"/>
              </w:rPr>
            </w:pPr>
            <w:r>
              <w:rPr>
                <w:rFonts w:hint="eastAsia"/>
                <w:szCs w:val="21"/>
              </w:rPr>
              <w:t>采用《广西应急广播终端数据回传技术规范V1.2》，通过串口设置、读取调频发射机参数，再由应急广播适配器把发射机参数回传到县级平台。</w:t>
            </w:r>
          </w:p>
          <w:p>
            <w:pPr>
              <w:numPr>
                <w:ilvl w:val="0"/>
                <w:numId w:val="8"/>
              </w:numPr>
              <w:autoSpaceDE/>
              <w:autoSpaceDN/>
              <w:adjustRightInd w:val="0"/>
              <w:snapToGrid w:val="0"/>
              <w:ind w:firstLine="440" w:firstLineChars="200"/>
              <w:rPr>
                <w:szCs w:val="21"/>
              </w:rPr>
            </w:pPr>
            <w:r>
              <w:rPr>
                <w:rFonts w:hint="eastAsia"/>
                <w:szCs w:val="21"/>
              </w:rPr>
              <w:t>具有独立时钟电路，采用高精度实时时钟芯片作为系统时钟，采用锂电池作为实时时钟芯片供电电源，确保设备运行时间准确。可根据上级授时指令对当前实时时钟进行更新授时。（时钟芯片性能不低于DS3231）</w:t>
            </w:r>
          </w:p>
          <w:p>
            <w:pPr>
              <w:numPr>
                <w:ilvl w:val="0"/>
                <w:numId w:val="8"/>
              </w:numPr>
              <w:autoSpaceDE/>
              <w:autoSpaceDN/>
              <w:adjustRightInd w:val="0"/>
              <w:snapToGrid w:val="0"/>
              <w:ind w:firstLine="440" w:firstLineChars="200"/>
              <w:rPr>
                <w:szCs w:val="21"/>
              </w:rPr>
            </w:pPr>
            <w:r>
              <w:rPr>
                <w:rFonts w:hint="eastAsia"/>
                <w:szCs w:val="21"/>
              </w:rPr>
              <w:t>具备后备锂电池，可在外电停止后将设备不少于5分钟的状态数据通过4G通道回传给平台服务器。</w:t>
            </w:r>
          </w:p>
          <w:p>
            <w:pPr>
              <w:numPr>
                <w:ilvl w:val="0"/>
                <w:numId w:val="8"/>
              </w:numPr>
              <w:autoSpaceDE/>
              <w:autoSpaceDN/>
              <w:adjustRightInd w:val="0"/>
              <w:snapToGrid w:val="0"/>
              <w:ind w:firstLine="440" w:firstLineChars="200"/>
              <w:rPr>
                <w:szCs w:val="21"/>
              </w:rPr>
            </w:pPr>
            <w:r>
              <w:rPr>
                <w:rFonts w:hint="eastAsia"/>
                <w:szCs w:val="21"/>
              </w:rPr>
              <w:t>具有断电记忆功能，设备断电重启后，已保存的参数不丢失。</w:t>
            </w:r>
          </w:p>
          <w:p>
            <w:pPr>
              <w:numPr>
                <w:ilvl w:val="0"/>
                <w:numId w:val="8"/>
              </w:numPr>
              <w:autoSpaceDE/>
              <w:autoSpaceDN/>
              <w:adjustRightInd w:val="0"/>
              <w:snapToGrid w:val="0"/>
              <w:ind w:firstLine="440" w:firstLineChars="200"/>
              <w:rPr>
                <w:szCs w:val="21"/>
              </w:rPr>
            </w:pPr>
            <w:r>
              <w:rPr>
                <w:rFonts w:hint="eastAsia"/>
                <w:szCs w:val="21"/>
              </w:rPr>
              <w:t>具有DTMB/DVB-C接收频率、FM接收频率锁定指示（参照后面板示意图），LED指示灯为绿色，建议降低LED亮度，点亮后能分辨颜色即可，以适应长时间持续工作。</w:t>
            </w:r>
          </w:p>
          <w:p>
            <w:pPr>
              <w:numPr>
                <w:ilvl w:val="0"/>
                <w:numId w:val="8"/>
              </w:numPr>
              <w:autoSpaceDE/>
              <w:autoSpaceDN/>
              <w:adjustRightInd w:val="0"/>
              <w:snapToGrid w:val="0"/>
              <w:ind w:firstLine="440" w:firstLineChars="200"/>
              <w:rPr>
                <w:szCs w:val="21"/>
              </w:rPr>
            </w:pPr>
            <w:r>
              <w:rPr>
                <w:rFonts w:hint="eastAsia"/>
                <w:szCs w:val="21"/>
              </w:rPr>
              <w:t>应急广播适配器音量调节旋钮（飞梭）应用定义：接收到上级平台广播，如果为应急广播，则设备播放音量自动最大；如果为日常广播，则输出音量=旋钮所调音量×本机默认音量百分比。对于适配器本地插播，如果为应急广播，则设备播放音量自动最大；如果为日常广播，则输出音量=旋钮所调音量×本机默认音量百分比。</w:t>
            </w:r>
          </w:p>
          <w:p>
            <w:pPr>
              <w:numPr>
                <w:ilvl w:val="0"/>
                <w:numId w:val="8"/>
              </w:numPr>
              <w:autoSpaceDE/>
              <w:autoSpaceDN/>
              <w:adjustRightInd w:val="0"/>
              <w:snapToGrid w:val="0"/>
              <w:ind w:firstLine="440" w:firstLineChars="200"/>
              <w:rPr>
                <w:szCs w:val="21"/>
              </w:rPr>
            </w:pPr>
            <w:r>
              <w:rPr>
                <w:rFonts w:hint="eastAsia"/>
                <w:szCs w:val="21"/>
              </w:rPr>
              <w:t>前面板前面板要求有IP(TS)、DTMB、DVB-C、IP/4G、FM1、FM2上级平台当前播放通道选择LED(蓝色)指示、OLED当前播放状态同步显示。具有应急广播和日常广播两个轻触式按键，按下此两键之一即开启本地广播，再次按下此键关闭广播。其中本地应急广播可切断本地日常广播，但本地日常广播不能切断本地应急广播，需要关闭本地应急广播才能重新开启本地日常广播。</w:t>
            </w:r>
          </w:p>
          <w:p>
            <w:pPr>
              <w:adjustRightInd w:val="0"/>
              <w:snapToGrid w:val="0"/>
              <w:ind w:firstLine="420"/>
              <w:rPr>
                <w:szCs w:val="21"/>
              </w:rPr>
            </w:pPr>
            <w:r>
              <w:rPr>
                <w:rFonts w:hint="eastAsia"/>
                <w:szCs w:val="21"/>
              </w:rPr>
              <w:t>（1）开启应急广播：按下应急按键，对应LED指示灯亮，默认选择音源为话筒，可通过面板轻触式音源选择按键切换其他音源，如下图所示。切到对应音源则对应LED指示灯亮。如果选择的音源为U盘，可以通过飞梭菜单操作键切换U盘内其他MP3文件播放。</w:t>
            </w:r>
          </w:p>
          <w:p>
            <w:pPr>
              <w:adjustRightInd w:val="0"/>
              <w:snapToGrid w:val="0"/>
              <w:ind w:firstLine="420"/>
              <w:rPr>
                <w:szCs w:val="21"/>
              </w:rPr>
            </w:pPr>
            <w:r>
              <w:rPr>
                <w:rFonts w:hint="eastAsia"/>
                <w:szCs w:val="21"/>
              </w:rPr>
              <w:t>（2）开启日常广播：按下日常按键，对应LED指示灯亮，默认选择音源为话筒，可通过面板轻触式音源选择按键切换其他音源，如下图所示。切到对应音源则对应LED指示灯亮。如果选择的音源为U盘，可以通过飞梭菜单操作键切换U盘内其他MP3文件播放。</w:t>
            </w:r>
          </w:p>
          <w:p>
            <w:pPr>
              <w:adjustRightInd w:val="0"/>
              <w:snapToGrid w:val="0"/>
              <w:ind w:firstLine="420"/>
              <w:rPr>
                <w:szCs w:val="21"/>
              </w:rPr>
            </w:pPr>
            <w:r>
              <w:rPr>
                <w:rFonts w:hint="eastAsia"/>
                <w:szCs w:val="21"/>
              </w:rPr>
              <w:t>（3）应急按键和日常按键应便于识别操作，采用不同颜色、大小的按键或醒目的标记来实现。</w:t>
            </w:r>
          </w:p>
          <w:p>
            <w:pPr>
              <w:adjustRightInd w:val="0"/>
              <w:snapToGrid w:val="0"/>
              <w:ind w:firstLine="420"/>
              <w:jc w:val="center"/>
              <w:rPr>
                <w:szCs w:val="21"/>
              </w:rPr>
            </w:pPr>
            <w:r>
              <w:rPr>
                <w:rFonts w:hint="eastAsia"/>
                <w:szCs w:val="21"/>
              </w:rPr>
              <w:drawing>
                <wp:inline distT="0" distB="0" distL="0" distR="0">
                  <wp:extent cx="2560320" cy="629920"/>
                  <wp:effectExtent l="0" t="0" r="0" b="0"/>
                  <wp:docPr id="112" name="图片 78" descr="FBBBFEC48E5CB85D877C06B5D002F780"/>
                  <wp:cNvGraphicFramePr/>
                  <a:graphic xmlns:a="http://schemas.openxmlformats.org/drawingml/2006/main">
                    <a:graphicData uri="http://schemas.openxmlformats.org/drawingml/2006/picture">
                      <pic:pic xmlns:pic="http://schemas.openxmlformats.org/drawingml/2006/picture">
                        <pic:nvPicPr>
                          <pic:cNvPr id="112" name="图片 78" descr="FBBBFEC48E5CB85D877C06B5D002F780"/>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560320" cy="629920"/>
                          </a:xfrm>
                          <a:prstGeom prst="rect">
                            <a:avLst/>
                          </a:prstGeom>
                          <a:noFill/>
                          <a:ln>
                            <a:noFill/>
                          </a:ln>
                        </pic:spPr>
                      </pic:pic>
                    </a:graphicData>
                  </a:graphic>
                </wp:inline>
              </w:drawing>
            </w:r>
          </w:p>
          <w:p>
            <w:pPr>
              <w:adjustRightInd w:val="0"/>
              <w:snapToGrid w:val="0"/>
              <w:ind w:firstLine="420"/>
              <w:jc w:val="center"/>
              <w:rPr>
                <w:szCs w:val="21"/>
              </w:rPr>
            </w:pPr>
            <w:r>
              <w:rPr>
                <w:rFonts w:hint="eastAsia"/>
                <w:szCs w:val="21"/>
              </w:rPr>
              <w:t>应急广播适配器前面板示意图</w:t>
            </w:r>
          </w:p>
          <w:p>
            <w:pPr>
              <w:adjustRightInd w:val="0"/>
              <w:snapToGrid w:val="0"/>
              <w:ind w:firstLine="420"/>
              <w:jc w:val="center"/>
              <w:rPr>
                <w:szCs w:val="21"/>
              </w:rPr>
            </w:pPr>
            <w:r>
              <w:rPr>
                <w:rFonts w:hint="eastAsia"/>
                <w:szCs w:val="21"/>
              </w:rPr>
              <w:object>
                <v:shape id="_x0000_i1025" o:spt="75" type="#_x0000_t75" style="height:52.2pt;width:210.6pt;" o:ole="t" filled="f" o:preferrelative="t" stroked="f" coordsize="21600,21600">
                  <v:path/>
                  <v:fill on="f" focussize="0,0"/>
                  <v:stroke on="f"/>
                  <v:imagedata r:id="rId21" o:title=""/>
                  <o:lock v:ext="edit" aspectratio="t"/>
                  <w10:wrap type="none"/>
                  <w10:anchorlock/>
                </v:shape>
                <o:OLEObject Type="Embed" ProgID="Visio.Drawing.11" ShapeID="_x0000_i1025" DrawAspect="Content" ObjectID="_1468075725" r:id="rId20">
                  <o:LockedField>false</o:LockedField>
                </o:OLEObject>
              </w:object>
            </w:r>
          </w:p>
          <w:p>
            <w:pPr>
              <w:adjustRightInd w:val="0"/>
              <w:snapToGrid w:val="0"/>
              <w:ind w:left="400" w:firstLine="420"/>
              <w:jc w:val="center"/>
              <w:rPr>
                <w:szCs w:val="21"/>
              </w:rPr>
            </w:pPr>
            <w:r>
              <w:rPr>
                <w:rFonts w:hint="eastAsia"/>
                <w:szCs w:val="21"/>
              </w:rPr>
              <w:t>应急广播适配器后面板示意图</w:t>
            </w:r>
          </w:p>
          <w:p>
            <w:pPr>
              <w:numPr>
                <w:ilvl w:val="0"/>
                <w:numId w:val="8"/>
              </w:numPr>
              <w:autoSpaceDE/>
              <w:autoSpaceDN/>
              <w:adjustRightInd w:val="0"/>
              <w:snapToGrid w:val="0"/>
              <w:ind w:firstLine="440" w:firstLineChars="200"/>
              <w:rPr>
                <w:szCs w:val="21"/>
              </w:rPr>
            </w:pPr>
            <w:r>
              <w:rPr>
                <w:rFonts w:hint="eastAsia"/>
                <w:szCs w:val="21"/>
              </w:rPr>
              <w:t>采用液晶屏显示菜单，要求液晶显示屏至少能显示4行中文字符、3吋以上。长时间不操作屏幕会关掉背光，操作即开。长时间不操作菜单长会自动返回主界面，时间长度可设置。采用飞梭操作按钮，操作设备菜单，操作键具有选择，设置，调整三个功能，按下该键表示选择，按下情况下，所选择项进入反显状态，则表示该项已经进入了编辑状态，左右旋转可以改变该项的值。设置或调整数值完成后选择“确定”并按下，可保存并退出。</w:t>
            </w:r>
          </w:p>
          <w:p>
            <w:pPr>
              <w:numPr>
                <w:ilvl w:val="0"/>
                <w:numId w:val="8"/>
              </w:numPr>
              <w:autoSpaceDE/>
              <w:autoSpaceDN/>
              <w:adjustRightInd w:val="0"/>
              <w:snapToGrid w:val="0"/>
              <w:ind w:firstLine="440" w:firstLineChars="200"/>
              <w:rPr>
                <w:szCs w:val="21"/>
              </w:rPr>
            </w:pPr>
            <w:r>
              <w:rPr>
                <w:rFonts w:hint="eastAsia"/>
                <w:szCs w:val="21"/>
              </w:rPr>
              <w:t>应急广播适配器OLED显示屏顶端左上角：应有IP（TS）组播接收指示图标，当接收到指定IP地址的组播时（如县级平台组播：239.12.12.12:1212，要求可由用户配置）则显示该图标，未接收到则不显示。应有专网IP网管通道连接正常指示，当应急广播适配器通过有线专网网管通道往县级平台发送主动报文，并收到县级平台回复的应答包时，表示连接正常，则显示该图标，未收到应答包则不显示该图标。应有IP/4G当前在播状态指示，当通过该方式广播时显示该图标，广播结束则不显示该图标。应有4G移动通信网络信号强度指示图标。</w:t>
            </w:r>
          </w:p>
          <w:p>
            <w:pPr>
              <w:numPr>
                <w:ilvl w:val="0"/>
                <w:numId w:val="8"/>
              </w:numPr>
              <w:autoSpaceDE/>
              <w:autoSpaceDN/>
              <w:adjustRightInd w:val="0"/>
              <w:snapToGrid w:val="0"/>
              <w:ind w:firstLine="440" w:firstLineChars="200"/>
              <w:rPr>
                <w:szCs w:val="21"/>
              </w:rPr>
            </w:pPr>
            <w:r>
              <w:rPr>
                <w:rFonts w:hint="eastAsia"/>
                <w:szCs w:val="21"/>
              </w:rPr>
              <w:t>应分别有IP、4G当前在播状态指示，当通过该方式广播时显示该图标，广播结束则不显示该图标。应有4G移动通信网络信号强度指示图标。</w:t>
            </w:r>
          </w:p>
          <w:p>
            <w:pPr>
              <w:numPr>
                <w:ilvl w:val="0"/>
                <w:numId w:val="8"/>
              </w:numPr>
              <w:autoSpaceDE/>
              <w:autoSpaceDN/>
              <w:adjustRightInd w:val="0"/>
              <w:snapToGrid w:val="0"/>
              <w:ind w:firstLine="440" w:firstLineChars="200"/>
              <w:rPr>
                <w:szCs w:val="21"/>
              </w:rPr>
            </w:pPr>
            <w:r>
              <w:rPr>
                <w:rFonts w:hint="eastAsia"/>
                <w:szCs w:val="21"/>
              </w:rPr>
              <w:t>应急广播适配器本地插播，音源切换到U盘时，配套的触控显示器和应急广播适配器OLED屏能在主页面自动显示音频播放列表，并默认选择当前播放列表第一个音频文件播放，可由用户使用配套的触控显示器和应急广播适配器前面板飞梭操作键选择列表内其他音频文件播放。</w:t>
            </w:r>
          </w:p>
          <w:p>
            <w:pPr>
              <w:numPr>
                <w:ilvl w:val="0"/>
                <w:numId w:val="8"/>
              </w:numPr>
              <w:autoSpaceDE/>
              <w:autoSpaceDN/>
              <w:adjustRightInd w:val="0"/>
              <w:snapToGrid w:val="0"/>
              <w:ind w:firstLine="440" w:firstLineChars="200"/>
              <w:rPr>
                <w:szCs w:val="21"/>
              </w:rPr>
            </w:pPr>
            <w:r>
              <w:rPr>
                <w:rFonts w:hint="eastAsia"/>
                <w:szCs w:val="21"/>
              </w:rPr>
              <w:t>应急广播适配器配套的U盘，音频文件应放置在根目录，且适配器能在本地插播时根据用户选择直接读取该U盘所存储的音频文件并播放，不可采用U盘根目录建特定文件夹专门存放音频文件的方式。</w:t>
            </w:r>
          </w:p>
          <w:p>
            <w:pPr>
              <w:numPr>
                <w:ilvl w:val="0"/>
                <w:numId w:val="8"/>
              </w:numPr>
              <w:autoSpaceDE/>
              <w:autoSpaceDN/>
              <w:adjustRightInd w:val="0"/>
              <w:snapToGrid w:val="0"/>
              <w:ind w:firstLine="440" w:firstLineChars="200"/>
              <w:rPr>
                <w:szCs w:val="21"/>
              </w:rPr>
            </w:pPr>
            <w:r>
              <w:rPr>
                <w:rFonts w:hint="eastAsia"/>
                <w:szCs w:val="21"/>
              </w:rPr>
              <w:t>具有U盘存储的MP3格式音频文件播放功能,开本级应急广播和日常广播时启用。能显示U盘存储的MP3文件列表，当前所选MP3文件反显。通过飞梭菜单操作键左旋或右旋选择MP3音频文件播出,默认自动播出文件列表第一个音频。</w:t>
            </w:r>
          </w:p>
          <w:p>
            <w:pPr>
              <w:numPr>
                <w:ilvl w:val="0"/>
                <w:numId w:val="8"/>
              </w:numPr>
              <w:autoSpaceDE/>
              <w:autoSpaceDN/>
              <w:adjustRightInd w:val="0"/>
              <w:snapToGrid w:val="0"/>
              <w:ind w:firstLine="440" w:firstLineChars="200"/>
              <w:rPr>
                <w:szCs w:val="21"/>
              </w:rPr>
            </w:pPr>
            <w:r>
              <w:rPr>
                <w:rFonts w:hint="eastAsia"/>
                <w:szCs w:val="21"/>
              </w:rPr>
              <w:t>具有6.35mm接口规格动圈话筒、内置话筒输入，应急广播适配器做好输入匹配。内置话筒位于前面板右下方，面板上该话筒位置处开有“*”型多个小孔，便于用户对其喊话。动圈话筒接口要求位于前面板右下方、内置话筒旁边。两个话筒在喊话音量均相同的情况下，要求输出音量趋于一致，相差不可太大。</w:t>
            </w:r>
          </w:p>
          <w:p>
            <w:pPr>
              <w:numPr>
                <w:ilvl w:val="0"/>
                <w:numId w:val="8"/>
              </w:numPr>
              <w:autoSpaceDE/>
              <w:autoSpaceDN/>
              <w:adjustRightInd w:val="0"/>
              <w:snapToGrid w:val="0"/>
              <w:ind w:firstLine="440" w:firstLineChars="200"/>
              <w:rPr>
                <w:szCs w:val="21"/>
              </w:rPr>
            </w:pPr>
            <w:r>
              <w:rPr>
                <w:rFonts w:hint="eastAsia"/>
                <w:szCs w:val="21"/>
              </w:rPr>
              <w:t>两个话筒工作逻辑为：插入6.35mm接口规格动圈话筒，内置话筒失效；拔出6.35mm接口规格动圈话筒，内置话筒生效。内置话筒生效的同时要求内置监听扬声器喇叭自动关闭，防止自激产生啸叫声。</w:t>
            </w:r>
          </w:p>
          <w:p>
            <w:pPr>
              <w:numPr>
                <w:ilvl w:val="0"/>
                <w:numId w:val="8"/>
              </w:numPr>
              <w:autoSpaceDE/>
              <w:autoSpaceDN/>
              <w:adjustRightInd w:val="0"/>
              <w:snapToGrid w:val="0"/>
              <w:ind w:firstLine="440" w:firstLineChars="200"/>
              <w:rPr>
                <w:szCs w:val="21"/>
              </w:rPr>
            </w:pPr>
            <w:r>
              <w:rPr>
                <w:rFonts w:hint="eastAsia"/>
                <w:szCs w:val="21"/>
              </w:rPr>
              <w:t>具有高保真降噪监控专用拾音器接口，接口为EDG-5.08-3P绿色弯脚插拔式接线端子（引脚间距5.08mm），三个引脚分别为1-+12V电源、2-音频信号、3-公共地；接线方式为“红—+12V，兰—信号，黄—地”，采用3芯RVV电缆，单根线芯要求为99.99%纯无氧铜，单根线芯截面积不小于1.5。</w:t>
            </w:r>
          </w:p>
          <w:p>
            <w:pPr>
              <w:adjustRightInd w:val="0"/>
              <w:snapToGrid w:val="0"/>
              <w:ind w:firstLine="420"/>
              <w:rPr>
                <w:szCs w:val="21"/>
              </w:rPr>
            </w:pPr>
            <w:r>
              <w:rPr>
                <w:rFonts w:hint="eastAsia"/>
                <w:szCs w:val="21"/>
              </w:rPr>
              <w:t>可采集终端应急广播现场发布的声音并以单个文件MP3格式录制存储。当应急广播适配器播出上级播发的应急广播和日常广播时开始录制，其余时间不录制。</w:t>
            </w:r>
          </w:p>
          <w:p>
            <w:pPr>
              <w:adjustRightInd w:val="0"/>
              <w:snapToGrid w:val="0"/>
              <w:ind w:firstLine="420"/>
              <w:rPr>
                <w:szCs w:val="21"/>
              </w:rPr>
            </w:pPr>
            <w:r>
              <w:rPr>
                <w:rFonts w:hint="eastAsia"/>
                <w:szCs w:val="21"/>
              </w:rPr>
              <w:t>文件名为：S+开始录音日期时间+该设备资源编码（9字节BCD码）。可采用有线IP和移动通信网络根据上级指令选择是否回传至上级平台。</w:t>
            </w:r>
          </w:p>
          <w:p>
            <w:pPr>
              <w:numPr>
                <w:ilvl w:val="0"/>
                <w:numId w:val="8"/>
              </w:numPr>
              <w:autoSpaceDE/>
              <w:autoSpaceDN/>
              <w:adjustRightInd w:val="0"/>
              <w:snapToGrid w:val="0"/>
              <w:ind w:firstLine="440" w:firstLineChars="200"/>
              <w:rPr>
                <w:szCs w:val="21"/>
              </w:rPr>
            </w:pPr>
            <w:r>
              <w:rPr>
                <w:rFonts w:hint="eastAsia"/>
                <w:szCs w:val="21"/>
              </w:rPr>
              <w:t>内置TF卡或U盘，存储本地广播音频和拾音器音频，循环存储，支持可存储容量为16G以上，可通过设备前面板USB接口将该卡存储的录音文件直接复制到U盘（或通过IP数据口2，利用WEB网管能读取并下载内置TF卡内MP3文件）。该TF卡或U盘置于设备内部PCB板上，如不打开设备机箱则不能取出。</w:t>
            </w:r>
          </w:p>
          <w:p>
            <w:pPr>
              <w:numPr>
                <w:ilvl w:val="0"/>
                <w:numId w:val="8"/>
              </w:numPr>
              <w:autoSpaceDE/>
              <w:autoSpaceDN/>
              <w:adjustRightInd w:val="0"/>
              <w:snapToGrid w:val="0"/>
              <w:ind w:firstLine="440" w:firstLineChars="200"/>
              <w:rPr>
                <w:szCs w:val="21"/>
              </w:rPr>
            </w:pPr>
            <w:r>
              <w:rPr>
                <w:rFonts w:hint="eastAsia"/>
                <w:szCs w:val="21"/>
              </w:rPr>
              <w:t>具有本地播出应急、日常音频录音功能，每次录音以单个MP3文件格式存储于TF卡，文件名为：B+开始录音日期时间+该设备资源编码（9字节BCD码），可采用有线IP和移动通信网络方式根据上级指令选择是否回传至上级平台。</w:t>
            </w:r>
          </w:p>
          <w:p>
            <w:pPr>
              <w:adjustRightInd w:val="0"/>
              <w:snapToGrid w:val="0"/>
              <w:rPr>
                <w:szCs w:val="21"/>
              </w:rPr>
            </w:pPr>
            <w:r>
              <w:rPr>
                <w:rFonts w:hint="eastAsia"/>
                <w:szCs w:val="21"/>
              </w:rPr>
              <w:t xml:space="preserve">    </w:t>
            </w:r>
            <w:r>
              <w:rPr>
                <w:rFonts w:hint="eastAsia"/>
                <w:b/>
                <w:bCs/>
                <w:szCs w:val="21"/>
              </w:rPr>
              <w:t>（六）接口和配件要求</w:t>
            </w:r>
          </w:p>
          <w:p>
            <w:pPr>
              <w:numPr>
                <w:ilvl w:val="0"/>
                <w:numId w:val="9"/>
              </w:numPr>
              <w:autoSpaceDE/>
              <w:autoSpaceDN/>
              <w:adjustRightInd w:val="0"/>
              <w:snapToGrid w:val="0"/>
              <w:ind w:firstLine="440" w:firstLineChars="200"/>
              <w:rPr>
                <w:szCs w:val="21"/>
              </w:rPr>
            </w:pPr>
            <w:r>
              <w:rPr>
                <w:rFonts w:hint="eastAsia"/>
                <w:szCs w:val="21"/>
              </w:rPr>
              <w:t>具有两组立体声非平衡模拟音频线路输入，接口为RCA莲花母座。一组为直播卫星接收机输出音频，另一组为DVD播放机等具有模拟音频输出设备输出的音频。</w:t>
            </w:r>
          </w:p>
          <w:p>
            <w:pPr>
              <w:numPr>
                <w:ilvl w:val="0"/>
                <w:numId w:val="9"/>
              </w:numPr>
              <w:autoSpaceDE/>
              <w:autoSpaceDN/>
              <w:adjustRightInd w:val="0"/>
              <w:snapToGrid w:val="0"/>
              <w:ind w:firstLine="440" w:firstLineChars="200"/>
              <w:rPr>
                <w:szCs w:val="21"/>
              </w:rPr>
            </w:pPr>
            <w:r>
              <w:rPr>
                <w:rFonts w:hint="eastAsia"/>
                <w:szCs w:val="21"/>
              </w:rPr>
              <w:t>具有一组立体声平衡模拟音频线路输出，XLR卡侬公座；一组立体声非平衡模拟音频线路输出，RCA莲花母座。</w:t>
            </w:r>
          </w:p>
          <w:p>
            <w:pPr>
              <w:numPr>
                <w:ilvl w:val="0"/>
                <w:numId w:val="9"/>
              </w:numPr>
              <w:autoSpaceDE/>
              <w:autoSpaceDN/>
              <w:adjustRightInd w:val="0"/>
              <w:snapToGrid w:val="0"/>
              <w:ind w:firstLine="440" w:firstLineChars="200"/>
              <w:rPr>
                <w:szCs w:val="21"/>
              </w:rPr>
            </w:pPr>
            <w:r>
              <w:rPr>
                <w:rFonts w:hint="eastAsia"/>
                <w:szCs w:val="21"/>
              </w:rPr>
              <w:t>具有额定有效值功率为100W的音频功放定阻输出。总共4个标准音频接线柱，分两组，每组50W，输出阻抗4Ω～8Ω。采用2芯RVV电缆，单根线芯要求为99.99%纯无氧铜，单根线芯截面积不小于1.5。音频功放的输入音频和设备总输出的模拟音频一致。</w:t>
            </w:r>
          </w:p>
          <w:p>
            <w:pPr>
              <w:numPr>
                <w:ilvl w:val="0"/>
                <w:numId w:val="9"/>
              </w:numPr>
              <w:autoSpaceDE/>
              <w:autoSpaceDN/>
              <w:adjustRightInd w:val="0"/>
              <w:snapToGrid w:val="0"/>
              <w:ind w:firstLine="440" w:firstLineChars="200"/>
              <w:rPr>
                <w:szCs w:val="21"/>
              </w:rPr>
            </w:pPr>
            <w:r>
              <w:rPr>
                <w:rFonts w:hint="eastAsia"/>
                <w:szCs w:val="21"/>
              </w:rPr>
              <w:t>内置监听扬声器，额定功率2W或以上，可调节监听音量。采用微型不锈钢带灯指示自锁开关，位于前面板，监听可开可关。</w:t>
            </w:r>
          </w:p>
          <w:p>
            <w:pPr>
              <w:adjustRightInd w:val="0"/>
              <w:snapToGrid w:val="0"/>
              <w:ind w:firstLine="420"/>
              <w:rPr>
                <w:szCs w:val="21"/>
              </w:rPr>
            </w:pPr>
            <w:r>
              <w:rPr>
                <w:rFonts w:hint="eastAsia"/>
                <w:szCs w:val="21"/>
              </w:rPr>
              <w:t>参考样式：</w:t>
            </w:r>
            <w:r>
              <w:rPr>
                <w:rFonts w:hint="eastAsia"/>
                <w:szCs w:val="21"/>
              </w:rPr>
              <w:object>
                <v:shape id="_x0000_i1026" o:spt="75" type="#_x0000_t75" style="height:46.8pt;width:45pt;" o:ole="t" filled="f" o:preferrelative="t" stroked="f" coordsize="21600,21600">
                  <v:path/>
                  <v:fill on="f" focussize="0,0"/>
                  <v:stroke on="f"/>
                  <v:imagedata r:id="rId23" o:title=""/>
                  <o:lock v:ext="edit" aspectratio="t"/>
                  <w10:wrap type="none"/>
                  <w10:anchorlock/>
                </v:shape>
                <o:OLEObject Type="Embed" ProgID="Visio.Drawing.11" ShapeID="_x0000_i1026" DrawAspect="Content" ObjectID="_1468075726" r:id="rId22">
                  <o:LockedField>false</o:LockedField>
                </o:OLEObject>
              </w:object>
            </w:r>
            <w:r>
              <w:rPr>
                <w:rFonts w:hint="eastAsia"/>
                <w:szCs w:val="21"/>
              </w:rPr>
              <w:t>。</w:t>
            </w:r>
          </w:p>
          <w:p>
            <w:pPr>
              <w:numPr>
                <w:ilvl w:val="0"/>
                <w:numId w:val="9"/>
              </w:numPr>
              <w:autoSpaceDE/>
              <w:autoSpaceDN/>
              <w:adjustRightInd w:val="0"/>
              <w:snapToGrid w:val="0"/>
              <w:ind w:firstLine="440" w:firstLineChars="200"/>
              <w:rPr>
                <w:szCs w:val="21"/>
              </w:rPr>
            </w:pPr>
            <w:r>
              <w:rPr>
                <w:rFonts w:hint="eastAsia"/>
                <w:szCs w:val="21"/>
              </w:rPr>
              <w:t>具有一个220V/10A受控电源输出，当有应急广播或日常广播（包括定时广播）时输出自动开启。</w:t>
            </w:r>
          </w:p>
          <w:p>
            <w:pPr>
              <w:numPr>
                <w:ilvl w:val="0"/>
                <w:numId w:val="9"/>
              </w:numPr>
              <w:autoSpaceDE/>
              <w:autoSpaceDN/>
              <w:adjustRightInd w:val="0"/>
              <w:snapToGrid w:val="0"/>
              <w:ind w:firstLine="440" w:firstLineChars="200"/>
              <w:rPr>
                <w:szCs w:val="21"/>
              </w:rPr>
            </w:pPr>
            <w:r>
              <w:rPr>
                <w:rFonts w:hint="eastAsia"/>
                <w:szCs w:val="21"/>
              </w:rPr>
              <w:t>具有57KHz调频副载波（RDS）输出，BNC接头，输出幅度连续可调。或采用RS232输出（如采用此种方式则要求调频广播发射机支持RDS编码数据采用RS232输入），DB9公座。</w:t>
            </w:r>
          </w:p>
          <w:p>
            <w:pPr>
              <w:numPr>
                <w:ilvl w:val="0"/>
                <w:numId w:val="9"/>
              </w:numPr>
              <w:autoSpaceDE/>
              <w:autoSpaceDN/>
              <w:adjustRightInd w:val="0"/>
              <w:snapToGrid w:val="0"/>
              <w:ind w:firstLine="440" w:firstLineChars="200"/>
              <w:rPr>
                <w:szCs w:val="21"/>
              </w:rPr>
            </w:pPr>
            <w:r>
              <w:rPr>
                <w:rFonts w:hint="eastAsia"/>
                <w:szCs w:val="21"/>
              </w:rPr>
              <w:t>具有2个RS232串口。一个为DB9母座，用于设备控制程序升级、可扩展LED大屏图文显示；另一个为DB9公座，用于RDS编码数据输出和接收调频广播发射机状态数据。</w:t>
            </w:r>
          </w:p>
          <w:p>
            <w:pPr>
              <w:numPr>
                <w:ilvl w:val="0"/>
                <w:numId w:val="9"/>
              </w:numPr>
              <w:autoSpaceDE/>
              <w:autoSpaceDN/>
              <w:adjustRightInd w:val="0"/>
              <w:snapToGrid w:val="0"/>
              <w:ind w:firstLine="440" w:firstLineChars="200"/>
              <w:rPr>
                <w:szCs w:val="21"/>
              </w:rPr>
            </w:pPr>
            <w:r>
              <w:rPr>
                <w:rFonts w:hint="eastAsia"/>
                <w:szCs w:val="21"/>
              </w:rPr>
              <w:t>后面板具有1个HDMI音视频输出接口和一个USB接口，用于连接触控显示器，操作/显示应急广播信息播发和控制/显示DTMB信号。</w:t>
            </w:r>
          </w:p>
          <w:p>
            <w:pPr>
              <w:numPr>
                <w:ilvl w:val="0"/>
                <w:numId w:val="9"/>
              </w:numPr>
              <w:autoSpaceDE/>
              <w:autoSpaceDN/>
              <w:adjustRightInd w:val="0"/>
              <w:snapToGrid w:val="0"/>
              <w:ind w:firstLine="440" w:firstLineChars="200"/>
              <w:rPr>
                <w:szCs w:val="21"/>
              </w:rPr>
            </w:pPr>
            <w:r>
              <w:rPr>
                <w:rFonts w:hint="eastAsia"/>
                <w:szCs w:val="21"/>
              </w:rPr>
              <w:t>FM接收输入通道设计为一个F头，共用FM接收天线。</w:t>
            </w:r>
          </w:p>
          <w:p>
            <w:pPr>
              <w:numPr>
                <w:ilvl w:val="0"/>
                <w:numId w:val="9"/>
              </w:numPr>
              <w:autoSpaceDE/>
              <w:autoSpaceDN/>
              <w:adjustRightInd w:val="0"/>
              <w:snapToGrid w:val="0"/>
              <w:ind w:firstLine="440" w:firstLineChars="200"/>
              <w:rPr>
                <w:szCs w:val="21"/>
              </w:rPr>
            </w:pPr>
            <w:r>
              <w:rPr>
                <w:rFonts w:hint="eastAsia"/>
                <w:szCs w:val="21"/>
              </w:rPr>
              <w:t>两个FM接收模块同时接收。均可接收RDS数据。</w:t>
            </w:r>
          </w:p>
          <w:p>
            <w:pPr>
              <w:numPr>
                <w:ilvl w:val="0"/>
                <w:numId w:val="9"/>
              </w:numPr>
              <w:autoSpaceDE/>
              <w:autoSpaceDN/>
              <w:adjustRightInd w:val="0"/>
              <w:snapToGrid w:val="0"/>
              <w:ind w:firstLine="440" w:firstLineChars="200"/>
              <w:rPr>
                <w:szCs w:val="21"/>
              </w:rPr>
            </w:pPr>
            <w:r>
              <w:rPr>
                <w:rFonts w:hint="eastAsia"/>
                <w:szCs w:val="21"/>
              </w:rPr>
              <w:t>具有两个RJ45网口。</w:t>
            </w:r>
          </w:p>
          <w:p>
            <w:pPr>
              <w:adjustRightInd w:val="0"/>
              <w:snapToGrid w:val="0"/>
              <w:ind w:firstLine="220" w:firstLineChars="100"/>
              <w:rPr>
                <w:szCs w:val="21"/>
              </w:rPr>
            </w:pPr>
            <w:r>
              <w:rPr>
                <w:rFonts w:hint="eastAsia"/>
                <w:szCs w:val="21"/>
              </w:rPr>
              <w:t xml:space="preserve">  网口1：10/100Mbps自适应，IP(TS)信源输入、输出口，可同时接收至少2个或2个以上组播，接收、发送组播IP地址及端口号可本地和远程设置。</w:t>
            </w:r>
          </w:p>
          <w:p>
            <w:pPr>
              <w:adjustRightInd w:val="0"/>
              <w:snapToGrid w:val="0"/>
              <w:ind w:firstLine="220" w:firstLineChars="100"/>
              <w:rPr>
                <w:szCs w:val="21"/>
              </w:rPr>
            </w:pPr>
            <w:r>
              <w:rPr>
                <w:rFonts w:hint="eastAsia"/>
                <w:szCs w:val="21"/>
              </w:rPr>
              <w:t xml:space="preserve">  网口2：10/100Mbps自适应，作为IP广播、WEB网管、数据回传，对本机详细的参数进行设置、状态查看。回传IP地址及端口号可本地和远程设置，共有四组设置项，分别对应移动通信网络回传方式两组和有线IP回传方式两组，选择任意一种回传方式均可往两个不同的IP地址发送数据。</w:t>
            </w:r>
          </w:p>
          <w:p>
            <w:pPr>
              <w:numPr>
                <w:ilvl w:val="0"/>
                <w:numId w:val="9"/>
              </w:numPr>
              <w:autoSpaceDE/>
              <w:autoSpaceDN/>
              <w:adjustRightInd w:val="0"/>
              <w:snapToGrid w:val="0"/>
              <w:ind w:firstLine="440" w:firstLineChars="200"/>
              <w:rPr>
                <w:szCs w:val="21"/>
              </w:rPr>
            </w:pPr>
            <w:r>
              <w:rPr>
                <w:rFonts w:hint="eastAsia"/>
                <w:szCs w:val="21"/>
              </w:rPr>
              <w:t>采用高性能开关电源，效率≥87%，具有短路、过温、过流、过压保护功能，出现保护时关断输出电压，重启时恢复。</w:t>
            </w:r>
          </w:p>
          <w:p>
            <w:pPr>
              <w:numPr>
                <w:ilvl w:val="0"/>
                <w:numId w:val="9"/>
              </w:numPr>
              <w:autoSpaceDE/>
              <w:autoSpaceDN/>
              <w:adjustRightInd w:val="0"/>
              <w:snapToGrid w:val="0"/>
              <w:ind w:firstLine="440" w:firstLineChars="200"/>
              <w:rPr>
                <w:szCs w:val="21"/>
              </w:rPr>
            </w:pPr>
            <w:r>
              <w:rPr>
                <w:rFonts w:hint="eastAsia"/>
                <w:szCs w:val="21"/>
              </w:rPr>
              <w:t>设备各个模块要求均采用+24V电压供电，除了开关电源要求具有+24V电压输出外，要求设备后面板具有+24V电源电压输入接口，接口为EDG-5.08-2P绿色弯脚插拔式接线端子（引脚间距5.08mm）两个引脚分别为1-+24V电源、2-公共地；当没有外电或开关电源损坏时，可采用+24V备用电池组给整个设备供电。</w:t>
            </w:r>
          </w:p>
          <w:p>
            <w:pPr>
              <w:numPr>
                <w:ilvl w:val="0"/>
                <w:numId w:val="9"/>
              </w:numPr>
              <w:autoSpaceDE/>
              <w:autoSpaceDN/>
              <w:adjustRightInd w:val="0"/>
              <w:snapToGrid w:val="0"/>
              <w:ind w:firstLine="440" w:firstLineChars="200"/>
              <w:rPr>
                <w:szCs w:val="21"/>
              </w:rPr>
            </w:pPr>
            <w:r>
              <w:rPr>
                <w:rFonts w:hint="eastAsia"/>
                <w:szCs w:val="21"/>
              </w:rPr>
              <w:t>设备总电源采用船型开关，置于后面板。电源输入具有防雷设计，具有防浪涌电源滤波器，采用自带保险管（1主1备）电源接口，如下图所示。</w:t>
            </w:r>
          </w:p>
          <w:p>
            <w:pPr>
              <w:adjustRightInd w:val="0"/>
              <w:snapToGrid w:val="0"/>
              <w:ind w:left="400" w:firstLine="420"/>
              <w:jc w:val="center"/>
              <w:rPr>
                <w:szCs w:val="21"/>
              </w:rPr>
            </w:pPr>
            <w:r>
              <w:rPr>
                <w:rFonts w:hint="eastAsia"/>
                <w:szCs w:val="21"/>
              </w:rPr>
              <w:drawing>
                <wp:inline distT="0" distB="0" distL="0" distR="0">
                  <wp:extent cx="1137920" cy="833120"/>
                  <wp:effectExtent l="0" t="0" r="0" b="0"/>
                  <wp:docPr id="115" name="图片 81" descr="图片1"/>
                  <wp:cNvGraphicFramePr/>
                  <a:graphic xmlns:a="http://schemas.openxmlformats.org/drawingml/2006/main">
                    <a:graphicData uri="http://schemas.openxmlformats.org/drawingml/2006/picture">
                      <pic:pic xmlns:pic="http://schemas.openxmlformats.org/drawingml/2006/picture">
                        <pic:nvPicPr>
                          <pic:cNvPr id="115" name="图片 81" descr="图片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137920" cy="833120"/>
                          </a:xfrm>
                          <a:prstGeom prst="rect">
                            <a:avLst/>
                          </a:prstGeom>
                          <a:noFill/>
                          <a:ln>
                            <a:noFill/>
                          </a:ln>
                        </pic:spPr>
                      </pic:pic>
                    </a:graphicData>
                  </a:graphic>
                </wp:inline>
              </w:drawing>
            </w:r>
          </w:p>
          <w:p>
            <w:pPr>
              <w:adjustRightInd w:val="0"/>
              <w:snapToGrid w:val="0"/>
              <w:ind w:left="400" w:firstLine="420"/>
              <w:jc w:val="center"/>
              <w:rPr>
                <w:szCs w:val="21"/>
              </w:rPr>
            </w:pPr>
            <w:r>
              <w:rPr>
                <w:rFonts w:hint="eastAsia"/>
                <w:szCs w:val="21"/>
              </w:rPr>
              <w:t>防浪涌电源滤波器示意图</w:t>
            </w:r>
          </w:p>
          <w:p>
            <w:pPr>
              <w:numPr>
                <w:ilvl w:val="0"/>
                <w:numId w:val="9"/>
              </w:numPr>
              <w:autoSpaceDE/>
              <w:autoSpaceDN/>
              <w:adjustRightInd w:val="0"/>
              <w:snapToGrid w:val="0"/>
              <w:ind w:firstLine="440" w:firstLineChars="200"/>
              <w:rPr>
                <w:szCs w:val="21"/>
              </w:rPr>
            </w:pPr>
            <w:r>
              <w:rPr>
                <w:rFonts w:hint="eastAsia"/>
                <w:szCs w:val="21"/>
              </w:rPr>
              <w:t>采用三芯电源线，线芯要求为99.99%纯无氧铜，单根线芯截面积不小于1.5。输入火线与零线间并联一个20D561K规格的压敏电阻。</w:t>
            </w:r>
          </w:p>
          <w:p>
            <w:pPr>
              <w:numPr>
                <w:ilvl w:val="0"/>
                <w:numId w:val="9"/>
              </w:numPr>
              <w:autoSpaceDE/>
              <w:autoSpaceDN/>
              <w:adjustRightInd w:val="0"/>
              <w:snapToGrid w:val="0"/>
              <w:ind w:firstLine="440" w:firstLineChars="200"/>
              <w:rPr>
                <w:szCs w:val="21"/>
              </w:rPr>
            </w:pPr>
            <w:r>
              <w:rPr>
                <w:rFonts w:hint="eastAsia"/>
                <w:szCs w:val="21"/>
              </w:rPr>
              <w:t>设备具有接地端子，要求设备可靠接地。</w:t>
            </w:r>
          </w:p>
          <w:p>
            <w:pPr>
              <w:numPr>
                <w:ilvl w:val="0"/>
                <w:numId w:val="9"/>
              </w:numPr>
              <w:autoSpaceDE/>
              <w:autoSpaceDN/>
              <w:adjustRightInd w:val="0"/>
              <w:snapToGrid w:val="0"/>
              <w:ind w:firstLine="440" w:firstLineChars="200"/>
              <w:rPr>
                <w:szCs w:val="21"/>
              </w:rPr>
            </w:pPr>
            <w:r>
              <w:rPr>
                <w:rFonts w:hint="eastAsia"/>
                <w:szCs w:val="21"/>
              </w:rPr>
              <w:t>设备内部所有PCB电路板要求喷三防漆，射频接口均须考虑防雷性能，接插件要求用硅橡胶固定。</w:t>
            </w:r>
          </w:p>
          <w:p>
            <w:pPr>
              <w:numPr>
                <w:ilvl w:val="0"/>
                <w:numId w:val="9"/>
              </w:numPr>
              <w:autoSpaceDE/>
              <w:autoSpaceDN/>
              <w:adjustRightInd w:val="0"/>
              <w:snapToGrid w:val="0"/>
              <w:ind w:firstLine="440" w:firstLineChars="200"/>
              <w:rPr>
                <w:szCs w:val="21"/>
              </w:rPr>
            </w:pPr>
            <w:r>
              <w:rPr>
                <w:rFonts w:hint="eastAsia"/>
                <w:szCs w:val="21"/>
              </w:rPr>
              <w:t>标准19寸2U机架式全铝合金机箱，喷粉防腐设计，深度不超过50cm。颜色为国标色号73-B03，如机箱部分为不锈钢材料则不锈钢部分不用喷粉。</w:t>
            </w:r>
          </w:p>
          <w:p>
            <w:pPr>
              <w:numPr>
                <w:ilvl w:val="0"/>
                <w:numId w:val="9"/>
              </w:numPr>
              <w:autoSpaceDE/>
              <w:autoSpaceDN/>
              <w:adjustRightInd w:val="0"/>
              <w:snapToGrid w:val="0"/>
              <w:ind w:firstLine="440" w:firstLineChars="200"/>
              <w:rPr>
                <w:szCs w:val="21"/>
              </w:rPr>
            </w:pPr>
            <w:r>
              <w:rPr>
                <w:rFonts w:hint="eastAsia"/>
                <w:szCs w:val="21"/>
              </w:rPr>
              <w:t>配件：</w:t>
            </w:r>
          </w:p>
          <w:p>
            <w:pPr>
              <w:adjustRightInd w:val="0"/>
              <w:snapToGrid w:val="0"/>
              <w:ind w:left="10" w:firstLine="424" w:firstLineChars="193"/>
              <w:rPr>
                <w:szCs w:val="21"/>
              </w:rPr>
            </w:pPr>
            <w:r>
              <w:rPr>
                <w:rFonts w:hint="eastAsia"/>
                <w:szCs w:val="21"/>
              </w:rPr>
              <w:t>（1）U盘1个（16G，U盘根目录至少存放3个音频/音乐文件，要求内容积极向上）；</w:t>
            </w:r>
          </w:p>
          <w:p>
            <w:pPr>
              <w:adjustRightInd w:val="0"/>
              <w:snapToGrid w:val="0"/>
              <w:ind w:left="10" w:firstLine="424" w:firstLineChars="193"/>
              <w:rPr>
                <w:szCs w:val="21"/>
              </w:rPr>
            </w:pPr>
            <w:r>
              <w:rPr>
                <w:rFonts w:hint="eastAsia"/>
                <w:szCs w:val="21"/>
              </w:rPr>
              <w:t>（2）TF卡1个（16G，安装在应急广播适配器内）；</w:t>
            </w:r>
          </w:p>
          <w:p>
            <w:pPr>
              <w:adjustRightInd w:val="0"/>
              <w:snapToGrid w:val="0"/>
              <w:ind w:left="10" w:firstLine="424" w:firstLineChars="193"/>
              <w:rPr>
                <w:szCs w:val="21"/>
              </w:rPr>
            </w:pPr>
            <w:r>
              <w:rPr>
                <w:rFonts w:hint="eastAsia"/>
                <w:szCs w:val="21"/>
              </w:rPr>
              <w:t>（3）拾音器（监听面积10～70平方米，传输距离≥100米，工作电压+12V DC，)输出阻抗600Ω，信噪比≥60dB，灵敏度≥-34dB，具有雷击保护和电源极性反接保护）；</w:t>
            </w:r>
          </w:p>
          <w:p>
            <w:pPr>
              <w:adjustRightInd w:val="0"/>
              <w:snapToGrid w:val="0"/>
              <w:ind w:left="10" w:firstLine="424" w:firstLineChars="193"/>
              <w:rPr>
                <w:szCs w:val="21"/>
              </w:rPr>
            </w:pPr>
            <w:r>
              <w:rPr>
                <w:rFonts w:hint="eastAsia"/>
                <w:szCs w:val="21"/>
              </w:rPr>
              <w:t>（4）4G/GSM吸盘天线1副；</w:t>
            </w:r>
          </w:p>
          <w:p>
            <w:pPr>
              <w:adjustRightInd w:val="0"/>
              <w:snapToGrid w:val="0"/>
              <w:ind w:left="10" w:firstLine="424" w:firstLineChars="193"/>
              <w:rPr>
                <w:szCs w:val="21"/>
              </w:rPr>
            </w:pPr>
            <w:r>
              <w:rPr>
                <w:rFonts w:hint="eastAsia"/>
                <w:szCs w:val="21"/>
              </w:rPr>
              <w:t>（5）动圈话筒1个（配支架）；</w:t>
            </w:r>
          </w:p>
          <w:p>
            <w:pPr>
              <w:adjustRightInd w:val="0"/>
              <w:snapToGrid w:val="0"/>
              <w:ind w:left="10" w:firstLine="424" w:firstLineChars="193"/>
              <w:rPr>
                <w:szCs w:val="21"/>
              </w:rPr>
            </w:pPr>
            <w:r>
              <w:rPr>
                <w:rFonts w:hint="eastAsia"/>
                <w:szCs w:val="21"/>
              </w:rPr>
              <w:t>（6）2米5类屏蔽成品网线2根；</w:t>
            </w:r>
          </w:p>
          <w:p>
            <w:pPr>
              <w:adjustRightInd w:val="0"/>
              <w:snapToGrid w:val="0"/>
              <w:ind w:left="10" w:firstLine="424" w:firstLineChars="193"/>
              <w:rPr>
                <w:szCs w:val="21"/>
              </w:rPr>
            </w:pPr>
            <w:r>
              <w:rPr>
                <w:rFonts w:hint="eastAsia"/>
                <w:szCs w:val="21"/>
              </w:rPr>
              <w:t>（7）电源线1根；</w:t>
            </w:r>
          </w:p>
          <w:p>
            <w:pPr>
              <w:adjustRightInd w:val="0"/>
              <w:snapToGrid w:val="0"/>
              <w:ind w:left="10" w:firstLine="424" w:firstLineChars="193"/>
              <w:rPr>
                <w:szCs w:val="21"/>
              </w:rPr>
            </w:pPr>
            <w:r>
              <w:rPr>
                <w:rFonts w:hint="eastAsia"/>
                <w:szCs w:val="21"/>
              </w:rPr>
              <w:t>（8）防雷警示标贴1张；</w:t>
            </w:r>
          </w:p>
          <w:p>
            <w:pPr>
              <w:adjustRightInd w:val="0"/>
              <w:snapToGrid w:val="0"/>
              <w:ind w:left="10" w:firstLine="424" w:firstLineChars="193"/>
              <w:rPr>
                <w:szCs w:val="21"/>
              </w:rPr>
            </w:pPr>
            <w:r>
              <w:rPr>
                <w:rFonts w:hint="eastAsia"/>
                <w:szCs w:val="21"/>
              </w:rPr>
              <w:t>（9）说明书、合格证等1份；</w:t>
            </w:r>
          </w:p>
          <w:p>
            <w:pPr>
              <w:adjustRightInd w:val="0"/>
              <w:snapToGrid w:val="0"/>
              <w:ind w:left="10" w:firstLine="424" w:firstLineChars="193"/>
              <w:rPr>
                <w:szCs w:val="21"/>
              </w:rPr>
            </w:pPr>
            <w:r>
              <w:rPr>
                <w:rFonts w:hint="eastAsia"/>
                <w:szCs w:val="21"/>
              </w:rPr>
              <w:t>（10）简易操作卡1张；</w:t>
            </w:r>
          </w:p>
          <w:p>
            <w:pPr>
              <w:adjustRightInd w:val="0"/>
              <w:snapToGrid w:val="0"/>
              <w:ind w:left="10" w:firstLine="424" w:firstLineChars="193"/>
              <w:rPr>
                <w:szCs w:val="21"/>
              </w:rPr>
            </w:pPr>
            <w:r>
              <w:rPr>
                <w:rFonts w:hint="eastAsia"/>
                <w:szCs w:val="21"/>
              </w:rPr>
              <w:t>（11）设备重要参数纪录卡1张；</w:t>
            </w:r>
          </w:p>
          <w:p>
            <w:pPr>
              <w:adjustRightInd w:val="0"/>
              <w:snapToGrid w:val="0"/>
              <w:ind w:left="10" w:firstLine="424" w:firstLineChars="193"/>
              <w:rPr>
                <w:szCs w:val="21"/>
              </w:rPr>
            </w:pPr>
            <w:r>
              <w:rPr>
                <w:rFonts w:hint="eastAsia"/>
                <w:szCs w:val="21"/>
              </w:rPr>
              <w:t>（12）HDMI线接、USB控制线等其余配件根据使用需求配置。</w:t>
            </w:r>
          </w:p>
          <w:p>
            <w:pPr>
              <w:pStyle w:val="4"/>
              <w:spacing w:before="0" w:line="360" w:lineRule="auto"/>
              <w:ind w:left="0"/>
              <w:jc w:val="left"/>
              <w:rPr>
                <w:b/>
                <w:bCs/>
                <w:kern w:val="2"/>
                <w:sz w:val="21"/>
                <w:szCs w:val="21"/>
              </w:rPr>
            </w:pPr>
            <w:bookmarkStart w:id="12" w:name="_Toc2104"/>
            <w:r>
              <w:rPr>
                <w:rFonts w:hint="eastAsia"/>
                <w:kern w:val="2"/>
                <w:sz w:val="21"/>
                <w:szCs w:val="21"/>
              </w:rPr>
              <w:t>*20.具备定阻定压输出装置及定阻定压功放机知识产权局颁布的相关资质证书，提供复印件加盖投标人公章。</w:t>
            </w:r>
            <w:bookmarkEnd w:id="12"/>
          </w:p>
          <w:p>
            <w:pPr>
              <w:spacing w:line="360" w:lineRule="auto"/>
            </w:pPr>
            <w:r>
              <w:rPr>
                <w:rFonts w:hint="eastAsia"/>
                <w:szCs w:val="21"/>
              </w:rPr>
              <w:t>*21.具备应急广播适配器嵌入式软件软件著作权资质证书，提供复印件加盖投标人公章。</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2台</w:t>
            </w:r>
          </w:p>
        </w:tc>
      </w:tr>
      <w:tr>
        <w:tblPrEx>
          <w:tblCellMar>
            <w:top w:w="0" w:type="dxa"/>
            <w:left w:w="0" w:type="dxa"/>
            <w:bottom w:w="0" w:type="dxa"/>
            <w:right w:w="0" w:type="dxa"/>
          </w:tblCellMar>
        </w:tblPrEx>
        <w:trPr>
          <w:trHeight w:val="36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3</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多媒体网关</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adjustRightInd w:val="0"/>
              <w:snapToGrid w:val="0"/>
              <w:ind w:left="10" w:firstLine="424" w:firstLineChars="193"/>
              <w:rPr>
                <w:szCs w:val="21"/>
              </w:rPr>
            </w:pPr>
            <w:r>
              <w:rPr>
                <w:rFonts w:hint="eastAsia"/>
                <w:szCs w:val="21"/>
              </w:rPr>
              <w:t>1.支持接收手机语音及短信接入，具有文转语音模块。</w:t>
            </w:r>
          </w:p>
          <w:p>
            <w:pPr>
              <w:adjustRightInd w:val="0"/>
              <w:snapToGrid w:val="0"/>
              <w:ind w:left="10" w:firstLine="424" w:firstLineChars="193"/>
              <w:rPr>
                <w:szCs w:val="21"/>
              </w:rPr>
            </w:pPr>
            <w:r>
              <w:rPr>
                <w:rFonts w:hint="eastAsia"/>
                <w:szCs w:val="21"/>
              </w:rPr>
              <w:t>2.不少于4路电话短信接入的设备，配置 SIM 卡槽。1路 ASI 输入。</w:t>
            </w:r>
          </w:p>
          <w:p>
            <w:pPr>
              <w:adjustRightInd w:val="0"/>
              <w:snapToGrid w:val="0"/>
              <w:ind w:left="10" w:firstLine="424" w:firstLineChars="193"/>
              <w:rPr>
                <w:szCs w:val="21"/>
              </w:rPr>
            </w:pPr>
            <w:r>
              <w:rPr>
                <w:rFonts w:hint="eastAsia"/>
                <w:szCs w:val="21"/>
              </w:rPr>
              <w:t>3.支持TS流输出，支持 不少于1路ASI 输出和不少于1路 IP 输出。</w:t>
            </w:r>
          </w:p>
          <w:p>
            <w:pPr>
              <w:adjustRightInd w:val="0"/>
              <w:snapToGrid w:val="0"/>
              <w:ind w:left="10" w:firstLine="424" w:firstLineChars="193"/>
              <w:rPr>
                <w:szCs w:val="21"/>
              </w:rPr>
            </w:pPr>
            <w:r>
              <w:rPr>
                <w:rFonts w:hint="eastAsia"/>
                <w:szCs w:val="21"/>
              </w:rPr>
              <w:t>4.有WEB网管，可查看、设置设备工作状态及参数。</w:t>
            </w:r>
          </w:p>
          <w:p>
            <w:pPr>
              <w:adjustRightInd w:val="0"/>
              <w:snapToGrid w:val="0"/>
              <w:ind w:left="10" w:firstLine="424" w:firstLineChars="193"/>
              <w:rPr>
                <w:szCs w:val="21"/>
              </w:rPr>
            </w:pPr>
            <w:r>
              <w:rPr>
                <w:rFonts w:hint="eastAsia"/>
                <w:szCs w:val="21"/>
              </w:rPr>
              <w:t>5.手机天线接口：SMA母座，配模块天线。</w:t>
            </w:r>
          </w:p>
          <w:p>
            <w:pPr>
              <w:adjustRightInd w:val="0"/>
              <w:snapToGrid w:val="0"/>
              <w:ind w:left="10" w:firstLine="424" w:firstLineChars="193"/>
              <w:rPr>
                <w:szCs w:val="21"/>
              </w:rPr>
            </w:pPr>
            <w:r>
              <w:rPr>
                <w:rFonts w:hint="eastAsia"/>
                <w:szCs w:val="21"/>
              </w:rPr>
              <w:t>6.输出编码格式 MP3，采样率 48KHz，码率128Kbps。</w:t>
            </w:r>
          </w:p>
          <w:p>
            <w:pPr>
              <w:pStyle w:val="4"/>
              <w:spacing w:before="0" w:line="360" w:lineRule="auto"/>
              <w:jc w:val="left"/>
            </w:pPr>
            <w:bookmarkStart w:id="13" w:name="_Toc17771"/>
            <w:r>
              <w:rPr>
                <w:rFonts w:hint="eastAsia"/>
                <w:kern w:val="2"/>
                <w:sz w:val="21"/>
                <w:szCs w:val="21"/>
              </w:rPr>
              <w:t>*7.具备一种电话机及广播设备知识产权局颁布的相关资质证书，提供复印件加盖投标人鲜章。</w:t>
            </w:r>
            <w:bookmarkEnd w:id="13"/>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2台</w:t>
            </w:r>
          </w:p>
        </w:tc>
      </w:tr>
      <w:tr>
        <w:tblPrEx>
          <w:tblCellMar>
            <w:top w:w="0" w:type="dxa"/>
            <w:left w:w="0" w:type="dxa"/>
            <w:bottom w:w="0" w:type="dxa"/>
            <w:right w:w="0" w:type="dxa"/>
          </w:tblCellMar>
        </w:tblPrEx>
        <w:trPr>
          <w:trHeight w:val="2691"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4</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县级应急广播体系备机</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adjustRightInd w:val="0"/>
              <w:snapToGrid w:val="0"/>
              <w:ind w:firstLine="420"/>
              <w:rPr>
                <w:szCs w:val="21"/>
              </w:rPr>
            </w:pPr>
            <w:r>
              <w:rPr>
                <w:rFonts w:hint="eastAsia"/>
                <w:szCs w:val="21"/>
              </w:rPr>
              <w:t>配置在县应急广播指挥中心机房。</w:t>
            </w:r>
          </w:p>
          <w:tbl>
            <w:tblPr>
              <w:tblStyle w:val="51"/>
              <w:tblW w:w="5898" w:type="dxa"/>
              <w:jc w:val="center"/>
              <w:tblLayout w:type="fixed"/>
              <w:tblCellMar>
                <w:top w:w="0" w:type="dxa"/>
                <w:left w:w="0" w:type="dxa"/>
                <w:bottom w:w="0" w:type="dxa"/>
                <w:right w:w="0" w:type="dxa"/>
              </w:tblCellMar>
            </w:tblPr>
            <w:tblGrid>
              <w:gridCol w:w="795"/>
              <w:gridCol w:w="3425"/>
              <w:gridCol w:w="857"/>
              <w:gridCol w:w="821"/>
            </w:tblGrid>
            <w:tr>
              <w:tblPrEx>
                <w:tblCellMar>
                  <w:top w:w="0" w:type="dxa"/>
                  <w:left w:w="0" w:type="dxa"/>
                  <w:bottom w:w="0" w:type="dxa"/>
                  <w:right w:w="0" w:type="dxa"/>
                </w:tblCellMar>
              </w:tblPrEx>
              <w:trPr>
                <w:trHeight w:val="210" w:hRule="atLeast"/>
                <w:jc w:val="center"/>
              </w:trPr>
              <w:tc>
                <w:tcPr>
                  <w:tcW w:w="795" w:type="dxa"/>
                  <w:tcBorders>
                    <w:top w:val="single" w:color="auto" w:sz="4" w:space="0"/>
                    <w:left w:val="single" w:color="auto" w:sz="4" w:space="0"/>
                    <w:bottom w:val="single" w:color="auto" w:sz="4" w:space="0"/>
                    <w:right w:val="single" w:color="auto" w:sz="4" w:space="0"/>
                  </w:tcBorders>
                  <w:shd w:val="clear" w:color="auto" w:fill="auto"/>
                  <w:tcMar>
                    <w:top w:w="10" w:type="dxa"/>
                    <w:left w:w="10" w:type="dxa"/>
                    <w:right w:w="10" w:type="dxa"/>
                  </w:tcMar>
                  <w:vAlign w:val="center"/>
                </w:tcPr>
                <w:p>
                  <w:pPr>
                    <w:widowControl/>
                    <w:adjustRightInd w:val="0"/>
                    <w:snapToGrid w:val="0"/>
                    <w:jc w:val="both"/>
                    <w:textAlignment w:val="center"/>
                    <w:rPr>
                      <w:b/>
                      <w:szCs w:val="21"/>
                    </w:rPr>
                  </w:pPr>
                  <w:r>
                    <w:rPr>
                      <w:rFonts w:hint="eastAsia"/>
                      <w:b/>
                      <w:szCs w:val="21"/>
                    </w:rPr>
                    <w:t>序号</w:t>
                  </w:r>
                </w:p>
              </w:tc>
              <w:tc>
                <w:tcPr>
                  <w:tcW w:w="3425" w:type="dxa"/>
                  <w:tcBorders>
                    <w:top w:val="single" w:color="auto" w:sz="4" w:space="0"/>
                    <w:left w:val="single" w:color="auto" w:sz="4" w:space="0"/>
                    <w:bottom w:val="single" w:color="auto" w:sz="4" w:space="0"/>
                    <w:right w:val="single" w:color="auto" w:sz="4" w:space="0"/>
                  </w:tcBorders>
                  <w:shd w:val="clear" w:color="auto" w:fill="FFFFFF"/>
                  <w:tcMar>
                    <w:top w:w="10" w:type="dxa"/>
                    <w:left w:w="10" w:type="dxa"/>
                    <w:right w:w="10" w:type="dxa"/>
                  </w:tcMar>
                  <w:vAlign w:val="center"/>
                </w:tcPr>
                <w:p>
                  <w:pPr>
                    <w:widowControl/>
                    <w:adjustRightInd w:val="0"/>
                    <w:snapToGrid w:val="0"/>
                    <w:ind w:firstLine="422"/>
                    <w:jc w:val="center"/>
                    <w:textAlignment w:val="center"/>
                    <w:rPr>
                      <w:b/>
                      <w:szCs w:val="21"/>
                    </w:rPr>
                  </w:pPr>
                  <w:r>
                    <w:rPr>
                      <w:rFonts w:hint="eastAsia"/>
                      <w:b/>
                      <w:szCs w:val="21"/>
                    </w:rPr>
                    <w:t>设备</w:t>
                  </w:r>
                </w:p>
              </w:tc>
              <w:tc>
                <w:tcPr>
                  <w:tcW w:w="857" w:type="dxa"/>
                  <w:tcBorders>
                    <w:top w:val="single" w:color="auto" w:sz="4" w:space="0"/>
                    <w:left w:val="single" w:color="auto" w:sz="4" w:space="0"/>
                    <w:bottom w:val="single" w:color="auto" w:sz="4" w:space="0"/>
                    <w:right w:val="single" w:color="auto" w:sz="4" w:space="0"/>
                  </w:tcBorders>
                  <w:tcMar>
                    <w:top w:w="10" w:type="dxa"/>
                    <w:left w:w="10" w:type="dxa"/>
                    <w:right w:w="10" w:type="dxa"/>
                  </w:tcMar>
                  <w:vAlign w:val="center"/>
                </w:tcPr>
                <w:p>
                  <w:pPr>
                    <w:widowControl/>
                    <w:adjustRightInd w:val="0"/>
                    <w:snapToGrid w:val="0"/>
                    <w:jc w:val="both"/>
                    <w:textAlignment w:val="center"/>
                    <w:rPr>
                      <w:b/>
                      <w:szCs w:val="21"/>
                    </w:rPr>
                  </w:pPr>
                  <w:r>
                    <w:rPr>
                      <w:rFonts w:hint="eastAsia"/>
                      <w:b/>
                      <w:szCs w:val="21"/>
                    </w:rPr>
                    <w:t>单位</w:t>
                  </w:r>
                </w:p>
              </w:tc>
              <w:tc>
                <w:tcPr>
                  <w:tcW w:w="821" w:type="dxa"/>
                  <w:tcBorders>
                    <w:top w:val="single" w:color="auto" w:sz="4" w:space="0"/>
                    <w:left w:val="single" w:color="auto" w:sz="4" w:space="0"/>
                    <w:bottom w:val="single" w:color="000000" w:sz="4" w:space="0"/>
                    <w:right w:val="single" w:color="auto" w:sz="4" w:space="0"/>
                  </w:tcBorders>
                  <w:tcMar>
                    <w:top w:w="10" w:type="dxa"/>
                    <w:left w:w="10" w:type="dxa"/>
                    <w:right w:w="10" w:type="dxa"/>
                  </w:tcMar>
                  <w:vAlign w:val="center"/>
                </w:tcPr>
                <w:p>
                  <w:pPr>
                    <w:widowControl/>
                    <w:adjustRightInd w:val="0"/>
                    <w:snapToGrid w:val="0"/>
                    <w:jc w:val="both"/>
                    <w:textAlignment w:val="center"/>
                    <w:rPr>
                      <w:b/>
                      <w:szCs w:val="21"/>
                    </w:rPr>
                  </w:pPr>
                  <w:r>
                    <w:rPr>
                      <w:rFonts w:hint="eastAsia"/>
                      <w:b/>
                      <w:szCs w:val="21"/>
                    </w:rPr>
                    <w:t>数量</w:t>
                  </w:r>
                </w:p>
              </w:tc>
            </w:tr>
            <w:tr>
              <w:tblPrEx>
                <w:tblCellMar>
                  <w:top w:w="0" w:type="dxa"/>
                  <w:left w:w="0" w:type="dxa"/>
                  <w:bottom w:w="0" w:type="dxa"/>
                  <w:right w:w="0" w:type="dxa"/>
                </w:tblCellMar>
              </w:tblPrEx>
              <w:trPr>
                <w:trHeight w:val="29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auto"/>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1</w:t>
                  </w:r>
                </w:p>
              </w:tc>
              <w:tc>
                <w:tcPr>
                  <w:tcW w:w="3425"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应急广播适配器</w:t>
                  </w:r>
                </w:p>
              </w:tc>
              <w:tc>
                <w:tcPr>
                  <w:tcW w:w="857"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台</w:t>
                  </w:r>
                </w:p>
              </w:tc>
              <w:tc>
                <w:tcPr>
                  <w:tcW w:w="821" w:type="dxa"/>
                  <w:tcBorders>
                    <w:top w:val="nil"/>
                    <w:left w:val="single" w:color="000000" w:sz="4" w:space="0"/>
                    <w:bottom w:val="single" w:color="000000" w:sz="4" w:space="0"/>
                    <w:right w:val="single" w:color="000000" w:sz="4" w:space="0"/>
                  </w:tcBorders>
                  <w:noWrap/>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3</w:t>
                  </w:r>
                </w:p>
              </w:tc>
            </w:tr>
            <w:tr>
              <w:tblPrEx>
                <w:tblCellMar>
                  <w:top w:w="0" w:type="dxa"/>
                  <w:left w:w="0" w:type="dxa"/>
                  <w:bottom w:w="0" w:type="dxa"/>
                  <w:right w:w="0" w:type="dxa"/>
                </w:tblCellMar>
              </w:tblPrEx>
              <w:trPr>
                <w:trHeight w:val="293"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2</w:t>
                  </w:r>
                </w:p>
              </w:tc>
              <w:tc>
                <w:tcPr>
                  <w:tcW w:w="3425"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收扩机</w:t>
                  </w:r>
                </w:p>
              </w:tc>
              <w:tc>
                <w:tcPr>
                  <w:tcW w:w="857"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台</w:t>
                  </w:r>
                </w:p>
              </w:tc>
              <w:tc>
                <w:tcPr>
                  <w:tcW w:w="82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widowControl/>
                    <w:adjustRightInd w:val="0"/>
                    <w:snapToGrid w:val="0"/>
                    <w:ind w:firstLine="420"/>
                    <w:jc w:val="both"/>
                    <w:textAlignment w:val="center"/>
                    <w:rPr>
                      <w:szCs w:val="21"/>
                    </w:rPr>
                  </w:pPr>
                  <w:r>
                    <w:rPr>
                      <w:szCs w:val="21"/>
                    </w:rPr>
                    <w:t>5</w:t>
                  </w:r>
                </w:p>
              </w:tc>
            </w:tr>
            <w:tr>
              <w:tblPrEx>
                <w:tblCellMar>
                  <w:top w:w="0" w:type="dxa"/>
                  <w:left w:w="0" w:type="dxa"/>
                  <w:bottom w:w="0" w:type="dxa"/>
                  <w:right w:w="0" w:type="dxa"/>
                </w:tblCellMar>
              </w:tblPrEx>
              <w:trPr>
                <w:trHeight w:val="193" w:hRule="atLeast"/>
                <w:jc w:val="center"/>
              </w:trPr>
              <w:tc>
                <w:tcPr>
                  <w:tcW w:w="795"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3</w:t>
                  </w:r>
                </w:p>
              </w:tc>
              <w:tc>
                <w:tcPr>
                  <w:tcW w:w="3425"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音柱</w:t>
                  </w:r>
                </w:p>
              </w:tc>
              <w:tc>
                <w:tcPr>
                  <w:tcW w:w="857"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台</w:t>
                  </w:r>
                </w:p>
              </w:tc>
              <w:tc>
                <w:tcPr>
                  <w:tcW w:w="82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widowControl/>
                    <w:adjustRightInd w:val="0"/>
                    <w:snapToGrid w:val="0"/>
                    <w:ind w:firstLine="420"/>
                    <w:jc w:val="both"/>
                    <w:textAlignment w:val="center"/>
                    <w:rPr>
                      <w:szCs w:val="21"/>
                    </w:rPr>
                  </w:pPr>
                  <w:r>
                    <w:rPr>
                      <w:szCs w:val="21"/>
                    </w:rPr>
                    <w:t>2</w:t>
                  </w:r>
                </w:p>
              </w:tc>
            </w:tr>
            <w:tr>
              <w:tblPrEx>
                <w:tblCellMar>
                  <w:top w:w="0" w:type="dxa"/>
                  <w:left w:w="0" w:type="dxa"/>
                  <w:bottom w:w="0" w:type="dxa"/>
                  <w:right w:w="0" w:type="dxa"/>
                </w:tblCellMar>
              </w:tblPrEx>
              <w:trPr>
                <w:trHeight w:val="293" w:hRule="atLeast"/>
                <w:jc w:val="center"/>
              </w:trPr>
              <w:tc>
                <w:tcPr>
                  <w:tcW w:w="795"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4</w:t>
                  </w:r>
                </w:p>
              </w:tc>
              <w:tc>
                <w:tcPr>
                  <w:tcW w:w="3425"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高清喇叭</w:t>
                  </w:r>
                </w:p>
              </w:tc>
              <w:tc>
                <w:tcPr>
                  <w:tcW w:w="857"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只</w:t>
                  </w:r>
                </w:p>
              </w:tc>
              <w:tc>
                <w:tcPr>
                  <w:tcW w:w="82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widowControl/>
                    <w:adjustRightInd w:val="0"/>
                    <w:snapToGrid w:val="0"/>
                    <w:ind w:firstLine="420"/>
                    <w:jc w:val="both"/>
                    <w:textAlignment w:val="center"/>
                    <w:rPr>
                      <w:szCs w:val="21"/>
                    </w:rPr>
                  </w:pPr>
                  <w:r>
                    <w:rPr>
                      <w:szCs w:val="21"/>
                    </w:rPr>
                    <w:t>10</w:t>
                  </w:r>
                </w:p>
              </w:tc>
            </w:tr>
            <w:tr>
              <w:tblPrEx>
                <w:tblCellMar>
                  <w:top w:w="0" w:type="dxa"/>
                  <w:left w:w="0" w:type="dxa"/>
                  <w:bottom w:w="0" w:type="dxa"/>
                  <w:right w:w="0" w:type="dxa"/>
                </w:tblCellMar>
              </w:tblPrEx>
              <w:trPr>
                <w:trHeight w:val="146"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5</w:t>
                  </w:r>
                </w:p>
              </w:tc>
              <w:tc>
                <w:tcPr>
                  <w:tcW w:w="3425"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应急广播适配器开关电源</w:t>
                  </w:r>
                </w:p>
              </w:tc>
              <w:tc>
                <w:tcPr>
                  <w:tcW w:w="857"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块</w:t>
                  </w:r>
                </w:p>
              </w:tc>
              <w:tc>
                <w:tcPr>
                  <w:tcW w:w="82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20</w:t>
                  </w:r>
                </w:p>
              </w:tc>
            </w:tr>
            <w:tr>
              <w:tblPrEx>
                <w:tblCellMar>
                  <w:top w:w="0" w:type="dxa"/>
                  <w:left w:w="0" w:type="dxa"/>
                  <w:bottom w:w="0" w:type="dxa"/>
                  <w:right w:w="0" w:type="dxa"/>
                </w:tblCellMar>
              </w:tblPrEx>
              <w:trPr>
                <w:trHeight w:val="105" w:hRule="atLeast"/>
                <w:jc w:val="center"/>
              </w:trPr>
              <w:tc>
                <w:tcPr>
                  <w:tcW w:w="795"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6</w:t>
                  </w:r>
                </w:p>
              </w:tc>
              <w:tc>
                <w:tcPr>
                  <w:tcW w:w="3425"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收扩机开关电源</w:t>
                  </w:r>
                </w:p>
              </w:tc>
              <w:tc>
                <w:tcPr>
                  <w:tcW w:w="857"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块</w:t>
                  </w:r>
                </w:p>
              </w:tc>
              <w:tc>
                <w:tcPr>
                  <w:tcW w:w="82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widowControl/>
                    <w:adjustRightInd w:val="0"/>
                    <w:snapToGrid w:val="0"/>
                    <w:ind w:firstLine="420"/>
                    <w:jc w:val="both"/>
                    <w:textAlignment w:val="center"/>
                    <w:rPr>
                      <w:szCs w:val="21"/>
                    </w:rPr>
                  </w:pPr>
                  <w:r>
                    <w:rPr>
                      <w:szCs w:val="21"/>
                    </w:rPr>
                    <w:t>30</w:t>
                  </w:r>
                </w:p>
              </w:tc>
            </w:tr>
            <w:tr>
              <w:tblPrEx>
                <w:tblCellMar>
                  <w:top w:w="0" w:type="dxa"/>
                  <w:left w:w="0" w:type="dxa"/>
                  <w:bottom w:w="0" w:type="dxa"/>
                  <w:right w:w="0" w:type="dxa"/>
                </w:tblCellMar>
              </w:tblPrEx>
              <w:trPr>
                <w:trHeight w:val="221" w:hRule="atLeast"/>
                <w:jc w:val="center"/>
              </w:trPr>
              <w:tc>
                <w:tcPr>
                  <w:tcW w:w="795"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7</w:t>
                  </w:r>
                </w:p>
              </w:tc>
              <w:tc>
                <w:tcPr>
                  <w:tcW w:w="3425"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音柱开关电源</w:t>
                  </w:r>
                </w:p>
              </w:tc>
              <w:tc>
                <w:tcPr>
                  <w:tcW w:w="857"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both"/>
                    <w:textAlignment w:val="center"/>
                    <w:rPr>
                      <w:szCs w:val="21"/>
                    </w:rPr>
                  </w:pPr>
                  <w:r>
                    <w:rPr>
                      <w:rFonts w:hint="eastAsia"/>
                      <w:szCs w:val="21"/>
                    </w:rPr>
                    <w:t>块</w:t>
                  </w:r>
                </w:p>
              </w:tc>
              <w:tc>
                <w:tcPr>
                  <w:tcW w:w="821" w:type="dxa"/>
                  <w:tcBorders>
                    <w:top w:val="single" w:color="000000" w:sz="4" w:space="0"/>
                    <w:left w:val="single" w:color="000000" w:sz="4" w:space="0"/>
                    <w:bottom w:val="single" w:color="000000" w:sz="4" w:space="0"/>
                    <w:right w:val="single" w:color="000000" w:sz="4" w:space="0"/>
                  </w:tcBorders>
                  <w:noWrap/>
                  <w:tcMar>
                    <w:top w:w="10" w:type="dxa"/>
                    <w:left w:w="10" w:type="dxa"/>
                    <w:right w:w="10" w:type="dxa"/>
                  </w:tcMar>
                  <w:vAlign w:val="center"/>
                </w:tcPr>
                <w:p>
                  <w:pPr>
                    <w:widowControl/>
                    <w:adjustRightInd w:val="0"/>
                    <w:snapToGrid w:val="0"/>
                    <w:ind w:firstLine="420"/>
                    <w:jc w:val="both"/>
                    <w:textAlignment w:val="center"/>
                    <w:rPr>
                      <w:szCs w:val="21"/>
                    </w:rPr>
                  </w:pPr>
                  <w:r>
                    <w:rPr>
                      <w:szCs w:val="21"/>
                    </w:rPr>
                    <w:t>5</w:t>
                  </w:r>
                </w:p>
              </w:tc>
            </w:tr>
          </w:tbl>
          <w:p>
            <w:pPr>
              <w:adjustRightInd w:val="0"/>
              <w:snapToGrid w:val="0"/>
              <w:ind w:firstLine="420"/>
              <w:rPr>
                <w:bCs/>
                <w:szCs w:val="21"/>
              </w:rPr>
            </w:pP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1项</w:t>
            </w:r>
          </w:p>
        </w:tc>
      </w:tr>
      <w:tr>
        <w:tblPrEx>
          <w:tblCellMar>
            <w:top w:w="0" w:type="dxa"/>
            <w:left w:w="0" w:type="dxa"/>
            <w:bottom w:w="0" w:type="dxa"/>
            <w:right w:w="0" w:type="dxa"/>
          </w:tblCellMar>
        </w:tblPrEx>
        <w:trPr>
          <w:trHeight w:val="36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5</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平台服务器</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szCs w:val="21"/>
              </w:rPr>
            </w:pPr>
            <w:r>
              <w:rPr>
                <w:rFonts w:hint="eastAsia"/>
                <w:szCs w:val="21"/>
              </w:rPr>
              <w:t>1.处理器:2颗英特尔至强八核 E5-2620V4 (2.1G\20MB\8核\85W）。</w:t>
            </w:r>
          </w:p>
          <w:p>
            <w:pPr>
              <w:widowControl/>
              <w:adjustRightInd w:val="0"/>
              <w:snapToGrid w:val="0"/>
              <w:textAlignment w:val="center"/>
              <w:rPr>
                <w:szCs w:val="21"/>
              </w:rPr>
            </w:pPr>
            <w:r>
              <w:rPr>
                <w:rFonts w:hint="eastAsia"/>
                <w:szCs w:val="21"/>
              </w:rPr>
              <w:t>2.内存：64GB(4×16GB)(RDIMM 2400Mhz)内存，最大可扩充至768GB。</w:t>
            </w:r>
          </w:p>
          <w:p>
            <w:pPr>
              <w:widowControl/>
              <w:adjustRightInd w:val="0"/>
              <w:snapToGrid w:val="0"/>
              <w:textAlignment w:val="center"/>
              <w:rPr>
                <w:szCs w:val="21"/>
              </w:rPr>
            </w:pPr>
            <w:r>
              <w:rPr>
                <w:rFonts w:hint="eastAsia"/>
                <w:szCs w:val="21"/>
              </w:rPr>
              <w:t>3.硬盘：8TB（7.2K RPM SAS 12Gbps）3.5英寸热插拔硬盘×4块(最大8块盘）。</w:t>
            </w:r>
          </w:p>
          <w:p>
            <w:pPr>
              <w:widowControl/>
              <w:adjustRightInd w:val="0"/>
              <w:snapToGrid w:val="0"/>
              <w:textAlignment w:val="center"/>
              <w:rPr>
                <w:szCs w:val="21"/>
              </w:rPr>
            </w:pPr>
            <w:r>
              <w:rPr>
                <w:rFonts w:hint="eastAsia"/>
                <w:szCs w:val="21"/>
              </w:rPr>
              <w:t xml:space="preserve">  控制器:内置PERC H330（支持raid0，1，5，10）。</w:t>
            </w:r>
          </w:p>
          <w:p>
            <w:pPr>
              <w:widowControl/>
              <w:adjustRightInd w:val="0"/>
              <w:snapToGrid w:val="0"/>
              <w:textAlignment w:val="center"/>
              <w:rPr>
                <w:szCs w:val="21"/>
              </w:rPr>
            </w:pPr>
            <w:r>
              <w:rPr>
                <w:rFonts w:hint="eastAsia"/>
                <w:szCs w:val="21"/>
              </w:rPr>
              <w:t>4.芯片组:英特尔C610；I/O 插槽标准：6个PCIe Gen 2 插槽。</w:t>
            </w:r>
          </w:p>
          <w:p>
            <w:pPr>
              <w:widowControl/>
              <w:adjustRightInd w:val="0"/>
              <w:snapToGrid w:val="0"/>
              <w:textAlignment w:val="center"/>
              <w:rPr>
                <w:szCs w:val="21"/>
              </w:rPr>
            </w:pPr>
            <w:r>
              <w:rPr>
                <w:rFonts w:hint="eastAsia"/>
                <w:szCs w:val="21"/>
              </w:rPr>
              <w:t xml:space="preserve">  网卡:集成Broadcom 5720四端口千兆网卡。</w:t>
            </w:r>
          </w:p>
          <w:p>
            <w:pPr>
              <w:widowControl/>
              <w:adjustRightInd w:val="0"/>
              <w:snapToGrid w:val="0"/>
              <w:textAlignment w:val="center"/>
              <w:rPr>
                <w:szCs w:val="21"/>
              </w:rPr>
            </w:pPr>
            <w:r>
              <w:rPr>
                <w:rFonts w:hint="eastAsia"/>
                <w:szCs w:val="21"/>
              </w:rPr>
              <w:t xml:space="preserve">  iDRAC8 标准版管理卡。</w:t>
            </w:r>
          </w:p>
          <w:p>
            <w:pPr>
              <w:widowControl/>
              <w:adjustRightInd w:val="0"/>
              <w:snapToGrid w:val="0"/>
              <w:textAlignment w:val="center"/>
              <w:rPr>
                <w:szCs w:val="21"/>
              </w:rPr>
            </w:pPr>
            <w:r>
              <w:rPr>
                <w:rFonts w:hint="eastAsia"/>
                <w:szCs w:val="21"/>
              </w:rPr>
              <w:t xml:space="preserve">  光驱:DVDRW。</w:t>
            </w:r>
          </w:p>
          <w:p>
            <w:pPr>
              <w:widowControl/>
              <w:adjustRightInd w:val="0"/>
              <w:snapToGrid w:val="0"/>
              <w:textAlignment w:val="center"/>
              <w:rPr>
                <w:bCs/>
                <w:szCs w:val="21"/>
              </w:rPr>
            </w:pPr>
            <w:r>
              <w:rPr>
                <w:rFonts w:hint="eastAsia"/>
                <w:szCs w:val="21"/>
              </w:rPr>
              <w:t>5.电源:热插拔750w电源（1+1配置)。</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2台</w:t>
            </w:r>
          </w:p>
        </w:tc>
      </w:tr>
      <w:tr>
        <w:tblPrEx>
          <w:tblCellMar>
            <w:top w:w="0" w:type="dxa"/>
            <w:left w:w="0" w:type="dxa"/>
            <w:bottom w:w="0" w:type="dxa"/>
            <w:right w:w="0" w:type="dxa"/>
          </w:tblCellMar>
        </w:tblPrEx>
        <w:trPr>
          <w:trHeight w:val="36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6</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控制台操作服务器</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1.CPUi7-8700，（3.2GHz睿频至4.6GHz 三级缓存 8MB）</w:t>
            </w:r>
          </w:p>
          <w:p>
            <w:pPr>
              <w:widowControl/>
              <w:adjustRightInd w:val="0"/>
              <w:snapToGrid w:val="0"/>
              <w:ind w:firstLine="420"/>
              <w:textAlignment w:val="center"/>
              <w:rPr>
                <w:szCs w:val="21"/>
              </w:rPr>
            </w:pPr>
            <w:r>
              <w:rPr>
                <w:rFonts w:hint="eastAsia"/>
                <w:szCs w:val="21"/>
              </w:rPr>
              <w:t xml:space="preserve">2.显卡 显示芯片 GTX1050TI 显存容量 独立4GB </w:t>
            </w:r>
          </w:p>
          <w:p>
            <w:pPr>
              <w:widowControl/>
              <w:adjustRightInd w:val="0"/>
              <w:snapToGrid w:val="0"/>
              <w:ind w:firstLine="420"/>
              <w:textAlignment w:val="center"/>
              <w:rPr>
                <w:szCs w:val="21"/>
              </w:rPr>
            </w:pPr>
            <w:r>
              <w:rPr>
                <w:rFonts w:hint="eastAsia"/>
                <w:szCs w:val="21"/>
              </w:rPr>
              <w:t>3.内存 容量 16GB</w:t>
            </w:r>
          </w:p>
          <w:p>
            <w:pPr>
              <w:widowControl/>
              <w:adjustRightInd w:val="0"/>
              <w:snapToGrid w:val="0"/>
              <w:ind w:firstLine="420"/>
              <w:textAlignment w:val="center"/>
              <w:rPr>
                <w:szCs w:val="21"/>
              </w:rPr>
            </w:pPr>
            <w:r>
              <w:rPr>
                <w:rFonts w:hint="eastAsia"/>
                <w:szCs w:val="21"/>
              </w:rPr>
              <w:t>4.硬盘：128G SSD+1T机械硬盘</w:t>
            </w:r>
          </w:p>
          <w:p>
            <w:pPr>
              <w:widowControl/>
              <w:adjustRightInd w:val="0"/>
              <w:snapToGrid w:val="0"/>
              <w:ind w:firstLine="420"/>
              <w:textAlignment w:val="center"/>
              <w:rPr>
                <w:szCs w:val="21"/>
              </w:rPr>
            </w:pPr>
            <w:r>
              <w:rPr>
                <w:rFonts w:hint="eastAsia"/>
                <w:szCs w:val="21"/>
              </w:rPr>
              <w:t>5.前(侧)面接口 USB 4 个</w:t>
            </w:r>
          </w:p>
          <w:p>
            <w:pPr>
              <w:widowControl/>
              <w:adjustRightInd w:val="0"/>
              <w:snapToGrid w:val="0"/>
              <w:ind w:firstLine="420"/>
              <w:textAlignment w:val="center"/>
              <w:rPr>
                <w:szCs w:val="21"/>
              </w:rPr>
            </w:pPr>
            <w:r>
              <w:rPr>
                <w:rFonts w:hint="eastAsia"/>
                <w:szCs w:val="21"/>
              </w:rPr>
              <w:t xml:space="preserve">  后面接口 视频接口 DVI\HDMI\DP接口 USB 4个</w:t>
            </w:r>
          </w:p>
          <w:p>
            <w:pPr>
              <w:widowControl/>
              <w:adjustRightInd w:val="0"/>
              <w:snapToGrid w:val="0"/>
              <w:ind w:firstLine="420"/>
              <w:textAlignment w:val="center"/>
              <w:rPr>
                <w:szCs w:val="21"/>
              </w:rPr>
            </w:pPr>
            <w:r>
              <w:rPr>
                <w:rFonts w:hint="eastAsia"/>
                <w:szCs w:val="21"/>
              </w:rPr>
              <w:t>6.显示器：21吋以上（含）屏</w:t>
            </w:r>
          </w:p>
          <w:p>
            <w:pPr>
              <w:widowControl/>
              <w:adjustRightInd w:val="0"/>
              <w:snapToGrid w:val="0"/>
              <w:ind w:firstLine="420"/>
              <w:textAlignment w:val="center"/>
              <w:rPr>
                <w:bCs/>
                <w:szCs w:val="21"/>
              </w:rPr>
            </w:pPr>
            <w:r>
              <w:rPr>
                <w:rFonts w:hint="eastAsia"/>
                <w:szCs w:val="21"/>
              </w:rPr>
              <w:t>7.其他配件：标配</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jc w:val="center"/>
              <w:textAlignment w:val="center"/>
              <w:rPr>
                <w:szCs w:val="21"/>
              </w:rPr>
            </w:pPr>
          </w:p>
          <w:p>
            <w:pPr>
              <w:widowControl/>
              <w:adjustRightInd w:val="0"/>
              <w:snapToGrid w:val="0"/>
              <w:jc w:val="both"/>
              <w:textAlignment w:val="center"/>
              <w:rPr>
                <w:bCs/>
                <w:szCs w:val="21"/>
              </w:rPr>
            </w:pPr>
            <w:r>
              <w:rPr>
                <w:szCs w:val="21"/>
              </w:rPr>
              <w:t>2</w:t>
            </w:r>
            <w:r>
              <w:rPr>
                <w:rFonts w:hint="eastAsia"/>
                <w:szCs w:val="21"/>
              </w:rPr>
              <w:t>台</w:t>
            </w:r>
          </w:p>
        </w:tc>
      </w:tr>
      <w:tr>
        <w:tblPrEx>
          <w:tblCellMar>
            <w:top w:w="0" w:type="dxa"/>
            <w:left w:w="0" w:type="dxa"/>
            <w:bottom w:w="0" w:type="dxa"/>
            <w:right w:w="0" w:type="dxa"/>
          </w:tblCellMar>
        </w:tblPrEx>
        <w:trPr>
          <w:trHeight w:val="34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7</w:t>
            </w:r>
          </w:p>
        </w:tc>
        <w:tc>
          <w:tcPr>
            <w:tcW w:w="99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textAlignment w:val="center"/>
              <w:rPr>
                <w:bCs/>
                <w:szCs w:val="21"/>
              </w:rPr>
            </w:pPr>
            <w:r>
              <w:rPr>
                <w:rFonts w:hint="eastAsia"/>
                <w:szCs w:val="21"/>
              </w:rPr>
              <w:t>防火墙模块</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1.安全防范等级2级以上（含）；</w:t>
            </w:r>
          </w:p>
          <w:p>
            <w:pPr>
              <w:widowControl/>
              <w:adjustRightInd w:val="0"/>
              <w:snapToGrid w:val="0"/>
              <w:ind w:firstLine="420"/>
              <w:textAlignment w:val="center"/>
              <w:rPr>
                <w:szCs w:val="21"/>
              </w:rPr>
            </w:pPr>
            <w:r>
              <w:rPr>
                <w:rFonts w:hint="eastAsia"/>
                <w:szCs w:val="21"/>
              </w:rPr>
              <w:t>2.根据有关文件精神，本系统应全面支持IPv6，兼容IPv4。</w:t>
            </w:r>
          </w:p>
          <w:p>
            <w:pPr>
              <w:widowControl/>
              <w:adjustRightInd w:val="0"/>
              <w:snapToGrid w:val="0"/>
              <w:ind w:firstLine="420"/>
              <w:textAlignment w:val="center"/>
              <w:rPr>
                <w:szCs w:val="21"/>
              </w:rPr>
            </w:pPr>
            <w:r>
              <w:rPr>
                <w:rFonts w:hint="eastAsia"/>
                <w:szCs w:val="21"/>
              </w:rPr>
              <w:t>3.可扩展千兆电口/千兆光口/万兆光口，支持BYPASS插卡。</w:t>
            </w:r>
          </w:p>
          <w:p>
            <w:pPr>
              <w:widowControl/>
              <w:adjustRightInd w:val="0"/>
              <w:snapToGrid w:val="0"/>
              <w:ind w:firstLine="420"/>
              <w:textAlignment w:val="center"/>
              <w:rPr>
                <w:szCs w:val="21"/>
              </w:rPr>
            </w:pPr>
            <w:r>
              <w:rPr>
                <w:rFonts w:hint="eastAsia"/>
                <w:szCs w:val="21"/>
              </w:rPr>
              <w:t>4.集传统防火墙、VPN、入侵防御、防病毒、数据防泄漏、带宽管理、Anti-DDoS、URL过滤、反垃圾邮件等多种功能与一身，全局配置视图和一体化策略管理。</w:t>
            </w:r>
          </w:p>
          <w:p>
            <w:pPr>
              <w:widowControl/>
              <w:adjustRightInd w:val="0"/>
              <w:snapToGrid w:val="0"/>
              <w:ind w:firstLine="420"/>
              <w:textAlignment w:val="center"/>
              <w:rPr>
                <w:szCs w:val="21"/>
              </w:rPr>
            </w:pPr>
            <w:r>
              <w:rPr>
                <w:rFonts w:hint="eastAsia"/>
                <w:szCs w:val="21"/>
              </w:rPr>
              <w:t>5.第一时间获取最新威胁信息，准确检测并防御针对漏洞的攻击。可防护各种针对web的攻击，包括SQL注入攻击和跨站脚本攻击。</w:t>
            </w:r>
          </w:p>
          <w:p>
            <w:pPr>
              <w:widowControl/>
              <w:adjustRightInd w:val="0"/>
              <w:snapToGrid w:val="0"/>
              <w:ind w:firstLine="420"/>
              <w:textAlignment w:val="center"/>
              <w:rPr>
                <w:szCs w:val="21"/>
              </w:rPr>
            </w:pPr>
            <w:r>
              <w:rPr>
                <w:rFonts w:hint="eastAsia"/>
                <w:szCs w:val="21"/>
              </w:rPr>
              <w:t>在识别业务应用的基础上，可管理每用户/IP使用的带宽, 确保关键业务和关键用户的网络体验。管控方式包括：限制最大带宽或保障最小带宽、应用的策略路由、修改应用转发优先级等。</w:t>
            </w:r>
          </w:p>
          <w:p>
            <w:pPr>
              <w:widowControl/>
              <w:adjustRightInd w:val="0"/>
              <w:snapToGrid w:val="0"/>
              <w:ind w:firstLine="420"/>
              <w:textAlignment w:val="center"/>
              <w:rPr>
                <w:szCs w:val="21"/>
              </w:rPr>
            </w:pPr>
            <w:r>
              <w:rPr>
                <w:rFonts w:hint="eastAsia"/>
                <w:szCs w:val="21"/>
              </w:rPr>
              <w:t>6.支持丰富高可靠性的VPN特性，如IPSec VPN、SSL VPN、L2TP VPN。</w:t>
            </w:r>
          </w:p>
          <w:p>
            <w:pPr>
              <w:widowControl/>
              <w:adjustRightInd w:val="0"/>
              <w:snapToGrid w:val="0"/>
              <w:ind w:firstLine="420"/>
              <w:textAlignment w:val="center"/>
              <w:rPr>
                <w:szCs w:val="21"/>
              </w:rPr>
            </w:pPr>
            <w:r>
              <w:rPr>
                <w:rFonts w:hint="eastAsia"/>
                <w:szCs w:val="21"/>
              </w:rPr>
              <w:t>7.支持多种安全业务的虚拟化，包括防火墙、入侵防御、反病毒、VPN等。不同用户可在同一台物理设备上进行隔离的个性化管理。</w:t>
            </w:r>
          </w:p>
          <w:p>
            <w:pPr>
              <w:widowControl/>
              <w:adjustRightInd w:val="0"/>
              <w:snapToGrid w:val="0"/>
              <w:ind w:firstLine="420"/>
              <w:textAlignment w:val="center"/>
              <w:rPr>
                <w:szCs w:val="21"/>
              </w:rPr>
            </w:pPr>
            <w:r>
              <w:rPr>
                <w:rFonts w:hint="eastAsia"/>
                <w:szCs w:val="21"/>
              </w:rPr>
              <w:t>8.预置常用防护场景模板，快速部署安全策略，降低学习成本。</w:t>
            </w:r>
          </w:p>
          <w:p>
            <w:pPr>
              <w:widowControl/>
              <w:adjustRightInd w:val="0"/>
              <w:snapToGrid w:val="0"/>
              <w:ind w:firstLine="420"/>
              <w:textAlignment w:val="center"/>
              <w:rPr>
                <w:szCs w:val="21"/>
              </w:rPr>
            </w:pPr>
            <w:r>
              <w:rPr>
                <w:rFonts w:hint="eastAsia"/>
                <w:szCs w:val="21"/>
              </w:rPr>
              <w:t>9.自动评估安全策略存在的风险，智能给出优化建议。</w:t>
            </w:r>
          </w:p>
          <w:p>
            <w:pPr>
              <w:adjustRightInd w:val="0"/>
              <w:snapToGrid w:val="0"/>
              <w:ind w:firstLine="420"/>
              <w:rPr>
                <w:bCs/>
                <w:szCs w:val="21"/>
              </w:rPr>
            </w:pPr>
            <w:r>
              <w:rPr>
                <w:rFonts w:hint="eastAsia"/>
                <w:szCs w:val="21"/>
              </w:rPr>
              <w:t>10.支持策略冲突和冗余检测，发现冗余的和长期未使用策略，有效控制策略。</w:t>
            </w: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2项</w:t>
            </w:r>
          </w:p>
        </w:tc>
      </w:tr>
      <w:tr>
        <w:tblPrEx>
          <w:tblCellMar>
            <w:top w:w="0" w:type="dxa"/>
            <w:left w:w="0" w:type="dxa"/>
            <w:bottom w:w="0" w:type="dxa"/>
            <w:right w:w="0" w:type="dxa"/>
          </w:tblCellMar>
        </w:tblPrEx>
        <w:trPr>
          <w:trHeight w:val="38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8</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GPS服务器</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1.网络协议：NTP v1.v2.v3(RFC1119&amp;1305) SNTP(RFC2030)（RFC1321） DHCP (RFC2131) HTTP IPV4，IPV6；</w:t>
            </w:r>
          </w:p>
          <w:p>
            <w:pPr>
              <w:widowControl/>
              <w:adjustRightInd w:val="0"/>
              <w:snapToGrid w:val="0"/>
              <w:ind w:firstLine="420"/>
              <w:textAlignment w:val="center"/>
              <w:rPr>
                <w:szCs w:val="21"/>
              </w:rPr>
            </w:pPr>
            <w:r>
              <w:rPr>
                <w:rFonts w:hint="eastAsia"/>
                <w:szCs w:val="21"/>
              </w:rPr>
              <w:t>2.性能：</w:t>
            </w:r>
          </w:p>
          <w:p>
            <w:pPr>
              <w:widowControl/>
              <w:adjustRightInd w:val="0"/>
              <w:snapToGrid w:val="0"/>
              <w:textAlignment w:val="center"/>
              <w:rPr>
                <w:szCs w:val="21"/>
              </w:rPr>
            </w:pPr>
            <w:r>
              <w:rPr>
                <w:rFonts w:hint="eastAsia"/>
                <w:szCs w:val="21"/>
              </w:rPr>
              <w:t xml:space="preserve">      用户终端同步授时精度：1-50ms（局域网典型值）</w:t>
            </w:r>
          </w:p>
          <w:p>
            <w:pPr>
              <w:widowControl/>
              <w:adjustRightInd w:val="0"/>
              <w:snapToGrid w:val="0"/>
              <w:textAlignment w:val="center"/>
              <w:rPr>
                <w:szCs w:val="21"/>
              </w:rPr>
            </w:pPr>
            <w:r>
              <w:rPr>
                <w:rFonts w:hint="eastAsia"/>
                <w:szCs w:val="21"/>
              </w:rPr>
              <w:t xml:space="preserve">      用户容量：可支持数万台客户端</w:t>
            </w:r>
          </w:p>
          <w:p>
            <w:pPr>
              <w:widowControl/>
              <w:adjustRightInd w:val="0"/>
              <w:snapToGrid w:val="0"/>
              <w:textAlignment w:val="center"/>
              <w:rPr>
                <w:szCs w:val="21"/>
              </w:rPr>
            </w:pPr>
            <w:r>
              <w:rPr>
                <w:rFonts w:hint="eastAsia"/>
                <w:szCs w:val="21"/>
              </w:rPr>
              <w:t xml:space="preserve">      NTP请求量：2000次/秒</w:t>
            </w:r>
          </w:p>
          <w:p>
            <w:pPr>
              <w:widowControl/>
              <w:adjustRightInd w:val="0"/>
              <w:snapToGrid w:val="0"/>
              <w:ind w:firstLine="420"/>
              <w:textAlignment w:val="center"/>
              <w:rPr>
                <w:szCs w:val="21"/>
              </w:rPr>
            </w:pPr>
            <w:r>
              <w:rPr>
                <w:rFonts w:hint="eastAsia"/>
                <w:szCs w:val="21"/>
              </w:rPr>
              <w:t>3.信号接收性能</w:t>
            </w:r>
          </w:p>
          <w:p>
            <w:pPr>
              <w:widowControl/>
              <w:adjustRightInd w:val="0"/>
              <w:snapToGrid w:val="0"/>
              <w:textAlignment w:val="center"/>
              <w:rPr>
                <w:szCs w:val="21"/>
              </w:rPr>
            </w:pPr>
            <w:r>
              <w:rPr>
                <w:rFonts w:hint="eastAsia"/>
                <w:szCs w:val="21"/>
              </w:rPr>
              <w:t xml:space="preserve">      72通道授时型GPS北斗混合接收机</w:t>
            </w:r>
          </w:p>
          <w:p>
            <w:pPr>
              <w:widowControl/>
              <w:adjustRightInd w:val="0"/>
              <w:snapToGrid w:val="0"/>
              <w:textAlignment w:val="center"/>
              <w:rPr>
                <w:szCs w:val="21"/>
              </w:rPr>
            </w:pPr>
            <w:r>
              <w:rPr>
                <w:rFonts w:hint="eastAsia"/>
                <w:szCs w:val="21"/>
              </w:rPr>
              <w:t xml:space="preserve">      UTC同步精度30ns（RMS），支持单星授时窗口模式。</w:t>
            </w:r>
          </w:p>
          <w:p>
            <w:pPr>
              <w:widowControl/>
              <w:adjustRightInd w:val="0"/>
              <w:snapToGrid w:val="0"/>
              <w:ind w:firstLine="420"/>
              <w:textAlignment w:val="center"/>
              <w:rPr>
                <w:szCs w:val="21"/>
              </w:rPr>
            </w:pPr>
            <w:r>
              <w:rPr>
                <w:rFonts w:hint="eastAsia"/>
                <w:szCs w:val="21"/>
              </w:rPr>
              <w:t>5.卫星授时窗口模式</w:t>
            </w:r>
          </w:p>
          <w:p>
            <w:pPr>
              <w:widowControl/>
              <w:adjustRightInd w:val="0"/>
              <w:snapToGrid w:val="0"/>
              <w:textAlignment w:val="center"/>
              <w:rPr>
                <w:szCs w:val="21"/>
              </w:rPr>
            </w:pPr>
            <w:r>
              <w:rPr>
                <w:rFonts w:hint="eastAsia"/>
                <w:szCs w:val="21"/>
              </w:rPr>
              <w:t xml:space="preserve">      GPS接收L1,C/A码信号-1575.42MHz</w:t>
            </w:r>
          </w:p>
          <w:p>
            <w:pPr>
              <w:widowControl/>
              <w:adjustRightInd w:val="0"/>
              <w:snapToGrid w:val="0"/>
              <w:textAlignment w:val="center"/>
              <w:rPr>
                <w:szCs w:val="21"/>
              </w:rPr>
            </w:pPr>
            <w:r>
              <w:rPr>
                <w:rFonts w:hint="eastAsia"/>
                <w:szCs w:val="21"/>
              </w:rPr>
              <w:t xml:space="preserve">      北斗beiDou B1，模式可选择纯GPS、纯北斗或混合三种模式。</w:t>
            </w:r>
          </w:p>
          <w:p>
            <w:pPr>
              <w:widowControl/>
              <w:adjustRightInd w:val="0"/>
              <w:snapToGrid w:val="0"/>
              <w:textAlignment w:val="center"/>
              <w:rPr>
                <w:szCs w:val="21"/>
              </w:rPr>
            </w:pPr>
            <w:r>
              <w:rPr>
                <w:rFonts w:hint="eastAsia"/>
                <w:szCs w:val="21"/>
              </w:rPr>
              <w:t xml:space="preserve">      跟踪及锁定灵敏度可达-167dBm</w:t>
            </w:r>
          </w:p>
          <w:p>
            <w:pPr>
              <w:widowControl/>
              <w:adjustRightInd w:val="0"/>
              <w:snapToGrid w:val="0"/>
              <w:ind w:firstLine="420"/>
              <w:textAlignment w:val="center"/>
              <w:rPr>
                <w:szCs w:val="21"/>
              </w:rPr>
            </w:pPr>
            <w:r>
              <w:rPr>
                <w:rFonts w:hint="eastAsia"/>
                <w:szCs w:val="21"/>
              </w:rPr>
              <w:t>6.接口</w:t>
            </w:r>
          </w:p>
          <w:p>
            <w:pPr>
              <w:widowControl/>
              <w:adjustRightInd w:val="0"/>
              <w:snapToGrid w:val="0"/>
              <w:ind w:firstLine="420"/>
              <w:textAlignment w:val="center"/>
              <w:rPr>
                <w:szCs w:val="21"/>
              </w:rPr>
            </w:pPr>
            <w:r>
              <w:rPr>
                <w:rFonts w:hint="eastAsia"/>
                <w:szCs w:val="21"/>
              </w:rPr>
              <w:t xml:space="preserve">  GPS天线入：BNC，1路，L1，1575.42MHz、 BeiDou B1</w:t>
            </w:r>
          </w:p>
          <w:p>
            <w:pPr>
              <w:widowControl/>
              <w:adjustRightInd w:val="0"/>
              <w:snapToGrid w:val="0"/>
              <w:ind w:firstLine="420"/>
              <w:textAlignment w:val="center"/>
              <w:rPr>
                <w:szCs w:val="21"/>
              </w:rPr>
            </w:pPr>
            <w:r>
              <w:rPr>
                <w:rFonts w:hint="eastAsia"/>
                <w:szCs w:val="21"/>
              </w:rPr>
              <w:t xml:space="preserve">  网口：RJ-45，1路，10/100M自适应以太网接口1个；</w:t>
            </w:r>
          </w:p>
          <w:p>
            <w:pPr>
              <w:widowControl/>
              <w:adjustRightInd w:val="0"/>
              <w:snapToGrid w:val="0"/>
              <w:ind w:firstLine="420"/>
              <w:textAlignment w:val="center"/>
              <w:rPr>
                <w:szCs w:val="21"/>
              </w:rPr>
            </w:pPr>
            <w:r>
              <w:rPr>
                <w:rFonts w:hint="eastAsia"/>
                <w:szCs w:val="21"/>
              </w:rPr>
              <w:t xml:space="preserve">  复位按钮，1个恢复出厂设置按钮；</w:t>
            </w:r>
          </w:p>
          <w:p>
            <w:pPr>
              <w:widowControl/>
              <w:adjustRightInd w:val="0"/>
              <w:snapToGrid w:val="0"/>
              <w:ind w:firstLine="420"/>
              <w:textAlignment w:val="center"/>
              <w:rPr>
                <w:szCs w:val="21"/>
              </w:rPr>
            </w:pPr>
            <w:r>
              <w:rPr>
                <w:rFonts w:hint="eastAsia"/>
                <w:szCs w:val="21"/>
              </w:rPr>
              <w:t>7.机箱：机架式1U。</w:t>
            </w:r>
          </w:p>
          <w:p>
            <w:pPr>
              <w:widowControl/>
              <w:adjustRightInd w:val="0"/>
              <w:snapToGrid w:val="0"/>
              <w:ind w:firstLine="420"/>
              <w:textAlignment w:val="center"/>
              <w:rPr>
                <w:szCs w:val="21"/>
              </w:rPr>
            </w:pPr>
            <w:r>
              <w:rPr>
                <w:rFonts w:hint="eastAsia"/>
                <w:szCs w:val="21"/>
              </w:rPr>
              <w:t>8.配件：北斗双模天线，配线30米。</w:t>
            </w:r>
          </w:p>
          <w:p>
            <w:pPr>
              <w:widowControl/>
              <w:adjustRightInd w:val="0"/>
              <w:snapToGrid w:val="0"/>
              <w:ind w:firstLine="420"/>
              <w:textAlignment w:val="center"/>
              <w:rPr>
                <w:color w:val="FF0000"/>
              </w:rPr>
            </w:pPr>
            <w:r>
              <w:rPr>
                <w:rFonts w:hint="eastAsia"/>
                <w:szCs w:val="21"/>
              </w:rPr>
              <w:t>*9.须具有广电总局下属机构出具的第三方检测报告。</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1台</w:t>
            </w:r>
          </w:p>
        </w:tc>
      </w:tr>
      <w:tr>
        <w:tblPrEx>
          <w:tblCellMar>
            <w:top w:w="0" w:type="dxa"/>
            <w:left w:w="0" w:type="dxa"/>
            <w:bottom w:w="0" w:type="dxa"/>
            <w:right w:w="0" w:type="dxa"/>
          </w:tblCellMar>
        </w:tblPrEx>
        <w:trPr>
          <w:trHeight w:val="38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9</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IP复用器</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1.支持IP、ASI输入。ASI码流符码率 1~216M，字节数 188，204自动识别。</w:t>
            </w:r>
          </w:p>
          <w:p>
            <w:pPr>
              <w:widowControl/>
              <w:adjustRightInd w:val="0"/>
              <w:snapToGrid w:val="0"/>
              <w:ind w:firstLine="420"/>
              <w:textAlignment w:val="center"/>
              <w:rPr>
                <w:szCs w:val="21"/>
              </w:rPr>
            </w:pPr>
            <w:r>
              <w:rPr>
                <w:rFonts w:hint="eastAsia"/>
                <w:szCs w:val="21"/>
              </w:rPr>
              <w:t>2.支持多节目流ASI或IP输出，支持UDP协议，支持单播及多播</w:t>
            </w:r>
          </w:p>
          <w:p>
            <w:pPr>
              <w:widowControl/>
              <w:adjustRightInd w:val="0"/>
              <w:snapToGrid w:val="0"/>
              <w:ind w:firstLine="420"/>
              <w:textAlignment w:val="center"/>
              <w:rPr>
                <w:szCs w:val="21"/>
              </w:rPr>
            </w:pPr>
            <w:r>
              <w:rPr>
                <w:rFonts w:hint="eastAsia"/>
                <w:szCs w:val="21"/>
              </w:rPr>
              <w:t>3.支持中英文液晶显示，前面板按键操作和远程WEB网管</w:t>
            </w:r>
          </w:p>
          <w:p>
            <w:pPr>
              <w:widowControl/>
              <w:adjustRightInd w:val="0"/>
              <w:snapToGrid w:val="0"/>
              <w:ind w:firstLine="420"/>
              <w:textAlignment w:val="center"/>
              <w:rPr>
                <w:szCs w:val="21"/>
              </w:rPr>
            </w:pPr>
            <w:r>
              <w:rPr>
                <w:rFonts w:hint="eastAsia"/>
                <w:szCs w:val="21"/>
              </w:rPr>
              <w:t>4.具有两个独立网卡输出</w:t>
            </w:r>
          </w:p>
          <w:p>
            <w:pPr>
              <w:widowControl/>
              <w:adjustRightInd w:val="0"/>
              <w:snapToGrid w:val="0"/>
              <w:ind w:firstLine="420"/>
              <w:textAlignment w:val="center"/>
              <w:rPr>
                <w:szCs w:val="21"/>
              </w:rPr>
            </w:pPr>
            <w:r>
              <w:rPr>
                <w:rFonts w:hint="eastAsia"/>
                <w:szCs w:val="21"/>
              </w:rPr>
              <w:t>5.输入接口：RJ45网口2个（IP），BNC接口2个（ASI）</w:t>
            </w:r>
          </w:p>
          <w:p>
            <w:pPr>
              <w:widowControl/>
              <w:adjustRightInd w:val="0"/>
              <w:snapToGrid w:val="0"/>
              <w:ind w:firstLine="420"/>
              <w:textAlignment w:val="center"/>
              <w:rPr>
                <w:szCs w:val="21"/>
              </w:rPr>
            </w:pPr>
            <w:r>
              <w:rPr>
                <w:rFonts w:hint="eastAsia"/>
                <w:szCs w:val="21"/>
              </w:rPr>
              <w:t>6.输出接口：RJ45网口2个（IP），BNC接口2个（ASI）</w:t>
            </w:r>
          </w:p>
          <w:p>
            <w:pPr>
              <w:widowControl/>
              <w:adjustRightInd w:val="0"/>
              <w:snapToGrid w:val="0"/>
              <w:ind w:firstLine="420"/>
              <w:textAlignment w:val="center"/>
              <w:rPr>
                <w:szCs w:val="21"/>
              </w:rPr>
            </w:pPr>
            <w:r>
              <w:rPr>
                <w:rFonts w:hint="eastAsia"/>
                <w:szCs w:val="21"/>
              </w:rPr>
              <w:t>7.其他接口：RJ45网口1个（网管）</w:t>
            </w:r>
          </w:p>
          <w:p>
            <w:pPr>
              <w:widowControl/>
              <w:adjustRightInd w:val="0"/>
              <w:snapToGrid w:val="0"/>
              <w:ind w:firstLine="420"/>
              <w:textAlignment w:val="center"/>
              <w:rPr>
                <w:szCs w:val="21"/>
              </w:rPr>
            </w:pPr>
            <w:r>
              <w:rPr>
                <w:rFonts w:hint="eastAsia"/>
                <w:szCs w:val="21"/>
              </w:rPr>
              <w:t>*8.支持EAS（Emerancy alarm system）紧急节目插播功能，可指定一套特定的输入节目为紧急节目，在需要时将所有输出节目替换为该紧急节目，每个通道支持最多16套紧急节目替换，后期支持在不增加任何设备的情况下实现紧急切换功能。（提供国家广电总局直属机构检测报告证明，复印件加盖投标人公章）</w:t>
            </w:r>
          </w:p>
          <w:p>
            <w:pPr>
              <w:widowControl/>
              <w:adjustRightInd w:val="0"/>
              <w:snapToGrid w:val="0"/>
              <w:textAlignment w:val="center"/>
            </w:pPr>
            <w:r>
              <w:rPr>
                <w:rFonts w:hint="eastAsia"/>
                <w:szCs w:val="21"/>
              </w:rPr>
              <w:t>*9.须具有广电总局下属机构出具的第三方检测报告与入网认定证书复印件。</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szCs w:val="21"/>
              </w:rPr>
              <w:t>2</w:t>
            </w:r>
            <w:r>
              <w:rPr>
                <w:rFonts w:hint="eastAsia"/>
                <w:szCs w:val="21"/>
              </w:rPr>
              <w:t>台</w:t>
            </w:r>
          </w:p>
        </w:tc>
      </w:tr>
      <w:tr>
        <w:tblPrEx>
          <w:tblCellMar>
            <w:top w:w="0" w:type="dxa"/>
            <w:left w:w="0" w:type="dxa"/>
            <w:bottom w:w="0" w:type="dxa"/>
            <w:right w:w="0" w:type="dxa"/>
          </w:tblCellMar>
        </w:tblPrEx>
        <w:trPr>
          <w:trHeight w:val="34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10</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平台路由交换模块</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 xml:space="preserve">1.端口：24个10/100/1000Base-T自适应以太网口，4个千兆 SFP端口； </w:t>
            </w:r>
          </w:p>
          <w:p>
            <w:pPr>
              <w:widowControl/>
              <w:adjustRightInd w:val="0"/>
              <w:snapToGrid w:val="0"/>
              <w:ind w:firstLine="420"/>
              <w:textAlignment w:val="center"/>
              <w:rPr>
                <w:szCs w:val="21"/>
              </w:rPr>
            </w:pPr>
            <w:r>
              <w:rPr>
                <w:rFonts w:hint="eastAsia"/>
                <w:szCs w:val="21"/>
              </w:rPr>
              <w:t>2.支持VLAN；</w:t>
            </w:r>
          </w:p>
          <w:p>
            <w:pPr>
              <w:widowControl/>
              <w:adjustRightInd w:val="0"/>
              <w:snapToGrid w:val="0"/>
              <w:ind w:firstLine="420"/>
              <w:textAlignment w:val="center"/>
              <w:rPr>
                <w:szCs w:val="21"/>
              </w:rPr>
            </w:pPr>
            <w:r>
              <w:rPr>
                <w:rFonts w:hint="eastAsia"/>
                <w:szCs w:val="21"/>
              </w:rPr>
              <w:t>3.具有WEB图形化界面的网络设备管理和用户管理功能的软件；</w:t>
            </w:r>
          </w:p>
          <w:p>
            <w:pPr>
              <w:widowControl/>
              <w:adjustRightInd w:val="0"/>
              <w:snapToGrid w:val="0"/>
              <w:ind w:firstLine="420"/>
              <w:textAlignment w:val="center"/>
              <w:rPr>
                <w:bCs/>
                <w:szCs w:val="21"/>
              </w:rPr>
            </w:pPr>
            <w:r>
              <w:rPr>
                <w:rFonts w:hint="eastAsia"/>
                <w:szCs w:val="21"/>
              </w:rPr>
              <w:t>4.设备配置管理，网络拓扑管理，用户接入认证，访问权限控制等功能。</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szCs w:val="21"/>
              </w:rPr>
              <w:t>3</w:t>
            </w:r>
            <w:r>
              <w:rPr>
                <w:rFonts w:hint="eastAsia"/>
                <w:szCs w:val="21"/>
              </w:rPr>
              <w:t>台</w:t>
            </w:r>
          </w:p>
        </w:tc>
      </w:tr>
      <w:tr>
        <w:tblPrEx>
          <w:tblCellMar>
            <w:top w:w="0" w:type="dxa"/>
            <w:left w:w="0" w:type="dxa"/>
            <w:bottom w:w="0" w:type="dxa"/>
            <w:right w:w="0" w:type="dxa"/>
          </w:tblCellMar>
        </w:tblPrEx>
        <w:trPr>
          <w:trHeight w:val="9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11</w:t>
            </w:r>
          </w:p>
        </w:tc>
        <w:tc>
          <w:tcPr>
            <w:tcW w:w="99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textAlignment w:val="center"/>
              <w:rPr>
                <w:bCs/>
                <w:szCs w:val="21"/>
              </w:rPr>
            </w:pPr>
            <w:r>
              <w:rPr>
                <w:rFonts w:hint="eastAsia"/>
                <w:szCs w:val="21"/>
              </w:rPr>
              <w:t>调音台</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1、输入通道：单声道8路以上（含），立体声2路以上（含）</w:t>
            </w:r>
          </w:p>
          <w:p>
            <w:pPr>
              <w:widowControl/>
              <w:adjustRightInd w:val="0"/>
              <w:snapToGrid w:val="0"/>
              <w:ind w:firstLine="420"/>
              <w:textAlignment w:val="center"/>
              <w:rPr>
                <w:szCs w:val="21"/>
              </w:rPr>
            </w:pPr>
            <w:r>
              <w:rPr>
                <w:rFonts w:hint="eastAsia"/>
                <w:szCs w:val="21"/>
              </w:rPr>
              <w:t>2、输出通道：主输出2路（立体声），录音输出，耳机输出等</w:t>
            </w:r>
          </w:p>
          <w:p>
            <w:pPr>
              <w:widowControl/>
              <w:adjustRightInd w:val="0"/>
              <w:snapToGrid w:val="0"/>
              <w:ind w:firstLine="420"/>
              <w:textAlignment w:val="center"/>
              <w:rPr>
                <w:szCs w:val="21"/>
              </w:rPr>
            </w:pPr>
            <w:r>
              <w:rPr>
                <w:rFonts w:hint="eastAsia"/>
                <w:szCs w:val="21"/>
              </w:rPr>
              <w:t>3、母线：主母线为立体声，编组母线4路等</w:t>
            </w:r>
          </w:p>
          <w:p>
            <w:pPr>
              <w:widowControl/>
              <w:adjustRightInd w:val="0"/>
              <w:snapToGrid w:val="0"/>
              <w:ind w:firstLine="420"/>
              <w:textAlignment w:val="center"/>
              <w:rPr>
                <w:szCs w:val="21"/>
              </w:rPr>
            </w:pPr>
            <w:r>
              <w:rPr>
                <w:rFonts w:hint="eastAsia"/>
                <w:szCs w:val="21"/>
              </w:rPr>
              <w:t>4、信噪比：&gt;80dB；总谐波失真：&lt;0.1%(20Hz-20KHz)；频率响应：+0.5dB/-1.5dB (20Hz-20KHz)；串音：&lt;-70dB</w:t>
            </w:r>
          </w:p>
          <w:p>
            <w:pPr>
              <w:widowControl/>
              <w:adjustRightInd w:val="0"/>
              <w:snapToGrid w:val="0"/>
              <w:ind w:firstLine="420"/>
              <w:textAlignment w:val="center"/>
              <w:rPr>
                <w:szCs w:val="21"/>
              </w:rPr>
            </w:pPr>
            <w:r>
              <w:rPr>
                <w:rFonts w:hint="eastAsia"/>
                <w:szCs w:val="21"/>
              </w:rPr>
              <w:t>5、幻象电源：单声道通道带高性能话筒放大器和幻象电源开关,电压 +48V</w:t>
            </w:r>
          </w:p>
          <w:p>
            <w:pPr>
              <w:widowControl/>
              <w:adjustRightInd w:val="0"/>
              <w:snapToGrid w:val="0"/>
              <w:ind w:firstLine="420"/>
              <w:textAlignment w:val="center"/>
              <w:rPr>
                <w:szCs w:val="21"/>
              </w:rPr>
            </w:pPr>
            <w:r>
              <w:rPr>
                <w:rFonts w:hint="eastAsia"/>
                <w:szCs w:val="21"/>
              </w:rPr>
              <w:t>6、音调均衡：输入通道三段式通道均衡器（其中单声道通道内置通道压缩器），主输出通道五段以上图示均衡</w:t>
            </w:r>
          </w:p>
          <w:p>
            <w:pPr>
              <w:widowControl/>
              <w:adjustRightInd w:val="0"/>
              <w:snapToGrid w:val="0"/>
              <w:ind w:firstLine="420"/>
              <w:textAlignment w:val="center"/>
              <w:rPr>
                <w:szCs w:val="21"/>
              </w:rPr>
            </w:pPr>
            <w:r>
              <w:rPr>
                <w:rFonts w:hint="eastAsia"/>
                <w:szCs w:val="21"/>
              </w:rPr>
              <w:t>7、混响：不少于10种DSP混响效果调节</w:t>
            </w:r>
          </w:p>
          <w:p>
            <w:pPr>
              <w:widowControl/>
              <w:adjustRightInd w:val="0"/>
              <w:snapToGrid w:val="0"/>
              <w:ind w:firstLine="420"/>
              <w:textAlignment w:val="center"/>
              <w:rPr>
                <w:szCs w:val="21"/>
              </w:rPr>
            </w:pPr>
            <w:r>
              <w:rPr>
                <w:rFonts w:hint="eastAsia"/>
                <w:szCs w:val="21"/>
              </w:rPr>
              <w:t>8、支持U盘播放</w:t>
            </w:r>
          </w:p>
          <w:p>
            <w:pPr>
              <w:adjustRightInd w:val="0"/>
              <w:snapToGrid w:val="0"/>
              <w:ind w:firstLine="420"/>
              <w:rPr>
                <w:bCs/>
                <w:szCs w:val="21"/>
              </w:rPr>
            </w:pPr>
            <w:r>
              <w:rPr>
                <w:rFonts w:hint="eastAsia"/>
                <w:szCs w:val="21"/>
              </w:rPr>
              <w:t>9、电源：220VAC</w:t>
            </w: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1台</w:t>
            </w:r>
          </w:p>
        </w:tc>
      </w:tr>
      <w:tr>
        <w:tblPrEx>
          <w:tblCellMar>
            <w:top w:w="0" w:type="dxa"/>
            <w:left w:w="0" w:type="dxa"/>
            <w:bottom w:w="0" w:type="dxa"/>
            <w:right w:w="0" w:type="dxa"/>
          </w:tblCellMar>
        </w:tblPrEx>
        <w:trPr>
          <w:trHeight w:val="34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12</w:t>
            </w:r>
          </w:p>
        </w:tc>
        <w:tc>
          <w:tcPr>
            <w:tcW w:w="99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textAlignment w:val="center"/>
              <w:rPr>
                <w:bCs/>
                <w:szCs w:val="21"/>
              </w:rPr>
            </w:pPr>
            <w:r>
              <w:rPr>
                <w:szCs w:val="21"/>
              </w:rPr>
              <w:t>LED</w:t>
            </w:r>
            <w:r>
              <w:rPr>
                <w:rFonts w:hint="eastAsia"/>
                <w:szCs w:val="21"/>
              </w:rPr>
              <w:t>文本显示屏</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1.室内屏，4.8米左右，与显示大屏宽度一致</w:t>
            </w:r>
          </w:p>
          <w:p>
            <w:pPr>
              <w:widowControl/>
              <w:adjustRightInd w:val="0"/>
              <w:snapToGrid w:val="0"/>
              <w:ind w:firstLine="420"/>
              <w:textAlignment w:val="center"/>
              <w:rPr>
                <w:szCs w:val="21"/>
              </w:rPr>
            </w:pPr>
            <w:r>
              <w:rPr>
                <w:rFonts w:hint="eastAsia"/>
                <w:szCs w:val="21"/>
              </w:rPr>
              <w:t>2.分辨率：P2.5</w:t>
            </w:r>
          </w:p>
          <w:p>
            <w:pPr>
              <w:widowControl/>
              <w:adjustRightInd w:val="0"/>
              <w:snapToGrid w:val="0"/>
              <w:ind w:firstLine="420"/>
              <w:textAlignment w:val="center"/>
              <w:rPr>
                <w:szCs w:val="21"/>
              </w:rPr>
            </w:pPr>
            <w:r>
              <w:rPr>
                <w:rFonts w:hint="eastAsia"/>
                <w:szCs w:val="21"/>
              </w:rPr>
              <w:t>3.带边框及驱动板。</w:t>
            </w:r>
          </w:p>
          <w:p>
            <w:pPr>
              <w:widowControl/>
              <w:adjustRightInd w:val="0"/>
              <w:snapToGrid w:val="0"/>
              <w:ind w:firstLine="420"/>
              <w:textAlignment w:val="center"/>
              <w:rPr>
                <w:szCs w:val="21"/>
              </w:rPr>
            </w:pPr>
            <w:r>
              <w:rPr>
                <w:rFonts w:hint="eastAsia"/>
                <w:szCs w:val="21"/>
              </w:rPr>
              <w:t>4.带网口，提供通信协议，可在平台系统上修改图文，并可同步内容与时间等。</w:t>
            </w: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textAlignment w:val="center"/>
              <w:rPr>
                <w:bCs/>
                <w:szCs w:val="21"/>
              </w:rPr>
            </w:pPr>
            <w:r>
              <w:rPr>
                <w:szCs w:val="21"/>
              </w:rPr>
              <w:t>1</w:t>
            </w:r>
            <w:r>
              <w:rPr>
                <w:rFonts w:hint="eastAsia"/>
                <w:szCs w:val="21"/>
              </w:rPr>
              <w:t>屏</w:t>
            </w:r>
          </w:p>
        </w:tc>
      </w:tr>
      <w:tr>
        <w:tblPrEx>
          <w:tblCellMar>
            <w:top w:w="0" w:type="dxa"/>
            <w:left w:w="0" w:type="dxa"/>
            <w:bottom w:w="0" w:type="dxa"/>
            <w:right w:w="0" w:type="dxa"/>
          </w:tblCellMar>
        </w:tblPrEx>
        <w:trPr>
          <w:trHeight w:val="34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13</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显示大屏</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整个大屏幕拼接后总体平整，整墙屏幕无凸凹不平现象，屏幕表面无任何金属钩针、无金属包边、无螺丝钉、无钢针等影响美观的辅助材料，平整精度误差不高于0.5mm。每块单元须具备防挤压装置保护显示单元。包括：55吋显示屏8台（2*4）、拼接屏支架1套、显示大屏边框1套。其中：</w:t>
            </w:r>
          </w:p>
          <w:p>
            <w:pPr>
              <w:widowControl/>
              <w:adjustRightInd w:val="0"/>
              <w:snapToGrid w:val="0"/>
              <w:ind w:firstLine="420"/>
              <w:textAlignment w:val="center"/>
              <w:rPr>
                <w:szCs w:val="21"/>
              </w:rPr>
            </w:pPr>
            <w:r>
              <w:rPr>
                <w:rFonts w:hint="eastAsia"/>
                <w:szCs w:val="21"/>
              </w:rPr>
              <w:t xml:space="preserve">    一、显示屏</w:t>
            </w:r>
          </w:p>
          <w:p>
            <w:pPr>
              <w:widowControl/>
              <w:adjustRightInd w:val="0"/>
              <w:snapToGrid w:val="0"/>
              <w:ind w:firstLine="420"/>
              <w:textAlignment w:val="center"/>
              <w:rPr>
                <w:szCs w:val="21"/>
              </w:rPr>
            </w:pPr>
            <w:r>
              <w:rPr>
                <w:rFonts w:hint="eastAsia"/>
                <w:szCs w:val="21"/>
              </w:rPr>
              <w:t xml:space="preserve">1.屏幕对角线尺寸为55"英寸。 </w:t>
            </w:r>
          </w:p>
          <w:p>
            <w:pPr>
              <w:widowControl/>
              <w:adjustRightInd w:val="0"/>
              <w:snapToGrid w:val="0"/>
              <w:ind w:firstLine="420"/>
              <w:textAlignment w:val="center"/>
              <w:rPr>
                <w:szCs w:val="21"/>
              </w:rPr>
            </w:pPr>
            <w:r>
              <w:rPr>
                <w:rFonts w:hint="eastAsia"/>
                <w:szCs w:val="21"/>
              </w:rPr>
              <w:t>2.观看视角到达水平/垂直178度，确保画面的输出精确和稳定，色彩饱和靓丽，屏幕更加明亮，画质更加清晰，画面衔接流畅自然，整体显示流畅完美，呈现完美的显示效果。</w:t>
            </w:r>
          </w:p>
          <w:p>
            <w:pPr>
              <w:widowControl/>
              <w:adjustRightInd w:val="0"/>
              <w:snapToGrid w:val="0"/>
              <w:ind w:firstLine="420"/>
              <w:textAlignment w:val="center"/>
              <w:rPr>
                <w:szCs w:val="21"/>
              </w:rPr>
            </w:pPr>
            <w:r>
              <w:rPr>
                <w:rFonts w:hint="eastAsia"/>
                <w:szCs w:val="21"/>
              </w:rPr>
              <w:t>3.采用120HZ倍频刷新技术，图像快速运动无拖尾和模糊，色数 ≥16.7M。</w:t>
            </w:r>
          </w:p>
          <w:p>
            <w:pPr>
              <w:widowControl/>
              <w:adjustRightInd w:val="0"/>
              <w:snapToGrid w:val="0"/>
              <w:ind w:firstLine="420"/>
              <w:textAlignment w:val="center"/>
              <w:rPr>
                <w:szCs w:val="21"/>
              </w:rPr>
            </w:pPr>
            <w:r>
              <w:rPr>
                <w:rFonts w:hint="eastAsia"/>
                <w:szCs w:val="21"/>
              </w:rPr>
              <w:t>4.物理分辨率1920×1080；屏幕比例为16∶9。</w:t>
            </w:r>
          </w:p>
          <w:p>
            <w:pPr>
              <w:widowControl/>
              <w:adjustRightInd w:val="0"/>
              <w:snapToGrid w:val="0"/>
              <w:ind w:firstLine="420"/>
              <w:textAlignment w:val="center"/>
              <w:rPr>
                <w:szCs w:val="21"/>
              </w:rPr>
            </w:pPr>
            <w:r>
              <w:rPr>
                <w:rFonts w:hint="eastAsia"/>
                <w:szCs w:val="21"/>
              </w:rPr>
              <w:t>5.响应时间≤8ms。</w:t>
            </w:r>
          </w:p>
          <w:p>
            <w:pPr>
              <w:widowControl/>
              <w:adjustRightInd w:val="0"/>
              <w:snapToGrid w:val="0"/>
              <w:ind w:firstLine="420"/>
              <w:textAlignment w:val="center"/>
              <w:rPr>
                <w:szCs w:val="21"/>
              </w:rPr>
            </w:pPr>
            <w:r>
              <w:rPr>
                <w:rFonts w:hint="eastAsia"/>
                <w:szCs w:val="21"/>
              </w:rPr>
              <w:t>6.双边边缝≤</w:t>
            </w:r>
            <w:r>
              <w:rPr>
                <w:szCs w:val="21"/>
              </w:rPr>
              <w:t>3</w:t>
            </w:r>
            <w:r>
              <w:rPr>
                <w:rFonts w:hint="eastAsia"/>
                <w:szCs w:val="21"/>
              </w:rPr>
              <w:t>.</w:t>
            </w:r>
            <w:r>
              <w:rPr>
                <w:szCs w:val="21"/>
              </w:rPr>
              <w:t>5</w:t>
            </w:r>
            <w:r>
              <w:rPr>
                <w:rFonts w:hint="eastAsia"/>
                <w:szCs w:val="21"/>
              </w:rPr>
              <w:t>mm。</w:t>
            </w:r>
          </w:p>
          <w:p>
            <w:pPr>
              <w:widowControl/>
              <w:adjustRightInd w:val="0"/>
              <w:snapToGrid w:val="0"/>
              <w:ind w:firstLine="420"/>
              <w:textAlignment w:val="center"/>
              <w:rPr>
                <w:szCs w:val="21"/>
              </w:rPr>
            </w:pPr>
            <w:r>
              <w:rPr>
                <w:rFonts w:hint="eastAsia"/>
                <w:szCs w:val="21"/>
              </w:rPr>
              <w:t>*</w:t>
            </w:r>
            <w:r>
              <w:rPr>
                <w:szCs w:val="21"/>
              </w:rPr>
              <w:t>7.所投</w:t>
            </w:r>
            <w:r>
              <w:rPr>
                <w:rFonts w:hint="eastAsia"/>
                <w:szCs w:val="21"/>
              </w:rPr>
              <w:t>液晶拼接产品色度根据CIE1931标准色系统，色坐标误差在±0.001以内（提供封面同时具备CMA、CNAS盖章的第三方检测机构出具的检测报告加盖投标人公章）。</w:t>
            </w:r>
          </w:p>
          <w:p>
            <w:pPr>
              <w:widowControl/>
              <w:adjustRightInd w:val="0"/>
              <w:snapToGrid w:val="0"/>
              <w:ind w:firstLine="420"/>
              <w:textAlignment w:val="center"/>
              <w:rPr>
                <w:szCs w:val="21"/>
              </w:rPr>
            </w:pPr>
            <w:r>
              <w:rPr>
                <w:rFonts w:hint="eastAsia"/>
                <w:szCs w:val="21"/>
              </w:rPr>
              <w:t>*</w:t>
            </w:r>
            <w:r>
              <w:rPr>
                <w:szCs w:val="21"/>
              </w:rPr>
              <w:t>8.</w:t>
            </w:r>
            <w:r>
              <w:rPr>
                <w:rFonts w:hint="eastAsia"/>
                <w:szCs w:val="21"/>
              </w:rPr>
              <w:t>液晶拼接单元光学拼缝符合SJ/T11710-2018液晶拼接系统验收规范标准工程检查要求（提供封面同时具备CMA、CNAS盖章的第三方检测机构出具的检测报告复印件并加盖投标人公章）。</w:t>
            </w:r>
          </w:p>
          <w:p>
            <w:pPr>
              <w:widowControl/>
              <w:adjustRightInd w:val="0"/>
              <w:snapToGrid w:val="0"/>
              <w:ind w:firstLine="420"/>
              <w:textAlignment w:val="center"/>
              <w:rPr>
                <w:szCs w:val="21"/>
              </w:rPr>
            </w:pPr>
            <w:r>
              <w:rPr>
                <w:rFonts w:hint="eastAsia"/>
                <w:szCs w:val="21"/>
              </w:rPr>
              <w:t>*9</w:t>
            </w:r>
            <w:r>
              <w:rPr>
                <w:szCs w:val="21"/>
              </w:rPr>
              <w:t>.</w:t>
            </w:r>
            <w:r>
              <w:rPr>
                <w:rFonts w:hint="eastAsia"/>
                <w:szCs w:val="21"/>
              </w:rPr>
              <w:t>液晶拼接单元光学性能（偏振度、透过率、色调）符合GB/T25275-2010规范要求（提供封面同时具备CMA、CNAS盖章的第三方检测机构出具的检测报告复印件并加盖投标人公章</w:t>
            </w:r>
            <w:r>
              <w:rPr>
                <w:szCs w:val="21"/>
              </w:rPr>
              <w:t>）</w:t>
            </w:r>
            <w:r>
              <w:rPr>
                <w:rFonts w:hint="eastAsia"/>
                <w:szCs w:val="21"/>
              </w:rPr>
              <w:t>。</w:t>
            </w:r>
          </w:p>
          <w:p>
            <w:pPr>
              <w:widowControl/>
              <w:adjustRightInd w:val="0"/>
              <w:snapToGrid w:val="0"/>
              <w:ind w:firstLine="420"/>
              <w:textAlignment w:val="center"/>
              <w:rPr>
                <w:szCs w:val="21"/>
              </w:rPr>
            </w:pPr>
            <w:r>
              <w:rPr>
                <w:rFonts w:hint="eastAsia"/>
                <w:szCs w:val="21"/>
              </w:rPr>
              <w:t>二、拼接屏支架</w:t>
            </w:r>
          </w:p>
          <w:p>
            <w:pPr>
              <w:widowControl/>
              <w:adjustRightInd w:val="0"/>
              <w:snapToGrid w:val="0"/>
              <w:ind w:firstLine="420"/>
              <w:textAlignment w:val="center"/>
              <w:rPr>
                <w:szCs w:val="21"/>
              </w:rPr>
            </w:pPr>
            <w:r>
              <w:rPr>
                <w:rFonts w:hint="eastAsia"/>
                <w:szCs w:val="21"/>
              </w:rPr>
              <w:t>1.液晶拼接支架需通过 RoHS认证。配套于超窄边液晶拼接屏。</w:t>
            </w:r>
          </w:p>
          <w:p>
            <w:pPr>
              <w:widowControl/>
              <w:adjustRightInd w:val="0"/>
              <w:snapToGrid w:val="0"/>
              <w:ind w:firstLine="420"/>
              <w:textAlignment w:val="center"/>
              <w:rPr>
                <w:szCs w:val="21"/>
              </w:rPr>
            </w:pPr>
            <w:r>
              <w:rPr>
                <w:rFonts w:hint="eastAsia"/>
                <w:szCs w:val="21"/>
              </w:rPr>
              <w:t>2.根据整个项目需求定制。</w:t>
            </w:r>
          </w:p>
          <w:p>
            <w:pPr>
              <w:widowControl/>
              <w:adjustRightInd w:val="0"/>
              <w:snapToGrid w:val="0"/>
              <w:ind w:firstLine="420"/>
              <w:textAlignment w:val="center"/>
              <w:rPr>
                <w:szCs w:val="21"/>
              </w:rPr>
            </w:pPr>
            <w:r>
              <w:rPr>
                <w:rFonts w:hint="eastAsia"/>
                <w:szCs w:val="21"/>
              </w:rPr>
              <w:t>3.支架类型：前维护壁挂式支架</w:t>
            </w:r>
          </w:p>
          <w:p>
            <w:pPr>
              <w:widowControl/>
              <w:adjustRightInd w:val="0"/>
              <w:snapToGrid w:val="0"/>
              <w:ind w:firstLine="420"/>
              <w:textAlignment w:val="center"/>
              <w:rPr>
                <w:szCs w:val="21"/>
              </w:rPr>
            </w:pPr>
            <w:r>
              <w:rPr>
                <w:rFonts w:hint="eastAsia"/>
                <w:szCs w:val="21"/>
              </w:rPr>
              <w:t>4.支架应采用标准的三角支撑框架结构设计，具有足够的强度，不变形，不下沉，保障其应有的安全性能和固定功能。</w:t>
            </w:r>
          </w:p>
          <w:p>
            <w:pPr>
              <w:widowControl/>
              <w:adjustRightInd w:val="0"/>
              <w:snapToGrid w:val="0"/>
              <w:ind w:firstLine="420"/>
              <w:textAlignment w:val="center"/>
              <w:rPr>
                <w:szCs w:val="21"/>
              </w:rPr>
            </w:pPr>
            <w:r>
              <w:rPr>
                <w:rFonts w:hint="eastAsia"/>
                <w:szCs w:val="21"/>
              </w:rPr>
              <w:t>5.支架应具备充足的微型调节装置，确保拼接大屏的平整度和减少拼接缝隙。</w:t>
            </w:r>
          </w:p>
          <w:p>
            <w:pPr>
              <w:widowControl/>
              <w:adjustRightInd w:val="0"/>
              <w:snapToGrid w:val="0"/>
              <w:ind w:firstLine="420"/>
              <w:textAlignment w:val="center"/>
              <w:rPr>
                <w:szCs w:val="21"/>
              </w:rPr>
            </w:pPr>
            <w:r>
              <w:rPr>
                <w:rFonts w:hint="eastAsia"/>
                <w:szCs w:val="21"/>
              </w:rPr>
              <w:t>6.支架安装显示屏后，每个拼接显示单元可单独弹出和推入，不影响其它显示屏正常使用。</w:t>
            </w:r>
          </w:p>
          <w:p>
            <w:pPr>
              <w:widowControl/>
              <w:adjustRightInd w:val="0"/>
              <w:snapToGrid w:val="0"/>
              <w:ind w:firstLine="420"/>
              <w:textAlignment w:val="center"/>
              <w:rPr>
                <w:szCs w:val="21"/>
              </w:rPr>
            </w:pPr>
            <w:r>
              <w:rPr>
                <w:rFonts w:hint="eastAsia"/>
                <w:szCs w:val="21"/>
              </w:rPr>
              <w:t>三、显示大屏边框</w:t>
            </w:r>
          </w:p>
          <w:p>
            <w:pPr>
              <w:widowControl/>
              <w:adjustRightInd w:val="0"/>
              <w:snapToGrid w:val="0"/>
              <w:ind w:firstLine="420"/>
              <w:textAlignment w:val="center"/>
              <w:rPr>
                <w:szCs w:val="21"/>
              </w:rPr>
            </w:pPr>
            <w:r>
              <w:rPr>
                <w:rFonts w:hint="eastAsia"/>
                <w:szCs w:val="21"/>
              </w:rPr>
              <w:t>1.完全遮挡拼接屏安装支架。</w:t>
            </w:r>
          </w:p>
          <w:p>
            <w:pPr>
              <w:widowControl/>
              <w:adjustRightInd w:val="0"/>
              <w:snapToGrid w:val="0"/>
              <w:ind w:firstLine="420"/>
              <w:textAlignment w:val="center"/>
              <w:rPr>
                <w:szCs w:val="21"/>
              </w:rPr>
            </w:pPr>
            <w:r>
              <w:rPr>
                <w:rFonts w:hint="eastAsia"/>
                <w:szCs w:val="21"/>
              </w:rPr>
              <w:t>2.安装显示大屏边框后的拼接大屏宽度与上方的LED文本显示屏宽度基本一致。</w:t>
            </w:r>
          </w:p>
          <w:p>
            <w:pPr>
              <w:widowControl/>
              <w:adjustRightInd w:val="0"/>
              <w:snapToGrid w:val="0"/>
              <w:ind w:firstLine="420"/>
              <w:textAlignment w:val="center"/>
              <w:rPr>
                <w:szCs w:val="21"/>
              </w:rPr>
            </w:pPr>
            <w:r>
              <w:rPr>
                <w:rFonts w:hint="eastAsia"/>
                <w:szCs w:val="21"/>
              </w:rPr>
              <w:t>3.显示大屏边框上下边框预留散热口，配置不少于4个滚珠轴承轴流风机，风机电源开关位于下边框底面右侧。</w:t>
            </w:r>
          </w:p>
          <w:p>
            <w:pPr>
              <w:widowControl/>
              <w:ind w:firstLine="420"/>
              <w:textAlignment w:val="center"/>
              <w:rPr>
                <w:szCs w:val="21"/>
              </w:rPr>
            </w:pPr>
            <w:r>
              <w:rPr>
                <w:rFonts w:hint="eastAsia"/>
                <w:szCs w:val="21"/>
              </w:rPr>
              <w:t>4.风机参数：120×120×25mm，噪声≤34.9dB/A，无故障寿命大于50000小时。</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1屏</w:t>
            </w:r>
          </w:p>
        </w:tc>
      </w:tr>
      <w:tr>
        <w:tblPrEx>
          <w:tblCellMar>
            <w:top w:w="0" w:type="dxa"/>
            <w:left w:w="0" w:type="dxa"/>
            <w:bottom w:w="0" w:type="dxa"/>
            <w:right w:w="0" w:type="dxa"/>
          </w:tblCellMar>
        </w:tblPrEx>
        <w:trPr>
          <w:trHeight w:val="34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w:t>
            </w:r>
            <w:r>
              <w:rPr>
                <w:bCs/>
                <w:szCs w:val="21"/>
              </w:rPr>
              <w:t>4</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szCs w:val="21"/>
              </w:rPr>
            </w:pPr>
            <w:r>
              <w:rPr>
                <w:rFonts w:hint="eastAsia"/>
                <w:szCs w:val="21"/>
              </w:rPr>
              <w:t>多屏拼接切换系统</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textAlignment w:val="center"/>
              <w:rPr>
                <w:szCs w:val="21"/>
              </w:rPr>
            </w:pPr>
            <w:r>
              <w:rPr>
                <w:rFonts w:hint="eastAsia"/>
                <w:szCs w:val="21"/>
              </w:rPr>
              <w:t>一、拼接处理器</w:t>
            </w:r>
          </w:p>
          <w:p>
            <w:pPr>
              <w:widowControl/>
              <w:ind w:firstLine="420"/>
              <w:textAlignment w:val="center"/>
              <w:rPr>
                <w:szCs w:val="21"/>
              </w:rPr>
            </w:pPr>
            <w:r>
              <w:rPr>
                <w:rFonts w:hint="eastAsia"/>
                <w:szCs w:val="21"/>
              </w:rPr>
              <w:t>1.内置控制管理平台在不需要外置服务器或中控的前提下，支持手机和平板控制。</w:t>
            </w:r>
          </w:p>
          <w:p>
            <w:pPr>
              <w:widowControl/>
              <w:ind w:firstLine="420"/>
              <w:textAlignment w:val="center"/>
              <w:rPr>
                <w:szCs w:val="21"/>
              </w:rPr>
            </w:pPr>
            <w:r>
              <w:rPr>
                <w:rFonts w:hint="eastAsia"/>
                <w:szCs w:val="21"/>
              </w:rPr>
              <w:t>2.支持跨平台控制管理，支持安卓、IOS、Windows系统、支持RS232和LAN双向控制以及第三方控制</w:t>
            </w:r>
          </w:p>
          <w:p>
            <w:pPr>
              <w:widowControl/>
              <w:ind w:firstLine="420"/>
              <w:textAlignment w:val="center"/>
              <w:rPr>
                <w:szCs w:val="21"/>
              </w:rPr>
            </w:pPr>
            <w:r>
              <w:rPr>
                <w:rFonts w:hint="eastAsia"/>
                <w:szCs w:val="21"/>
              </w:rPr>
              <w:t>3.支持APP集中管理，可同时控制和管理同一网络内的多台图像控制设备，无需手动修改配置数据。</w:t>
            </w:r>
          </w:p>
          <w:p>
            <w:pPr>
              <w:widowControl/>
              <w:ind w:firstLine="420"/>
              <w:textAlignment w:val="center"/>
              <w:rPr>
                <w:szCs w:val="21"/>
              </w:rPr>
            </w:pPr>
            <w:r>
              <w:rPr>
                <w:rFonts w:hint="eastAsia"/>
                <w:szCs w:val="21"/>
              </w:rPr>
              <w:t>4.采用广电级可视化按钮，两键式操作，让信号切换更加简单有效，且支持通道快速关闭。</w:t>
            </w:r>
          </w:p>
          <w:p>
            <w:pPr>
              <w:widowControl/>
              <w:ind w:firstLine="420"/>
              <w:textAlignment w:val="center"/>
              <w:rPr>
                <w:szCs w:val="21"/>
              </w:rPr>
            </w:pPr>
            <w:r>
              <w:rPr>
                <w:rFonts w:hint="eastAsia"/>
                <w:szCs w:val="21"/>
              </w:rPr>
              <w:t>5.支持拼接控制软件联动控制，支持网络远程控制大屏开关机。</w:t>
            </w:r>
          </w:p>
          <w:p>
            <w:pPr>
              <w:widowControl/>
              <w:ind w:firstLine="420"/>
              <w:textAlignment w:val="center"/>
              <w:rPr>
                <w:szCs w:val="21"/>
              </w:rPr>
            </w:pPr>
            <w:r>
              <w:rPr>
                <w:rFonts w:hint="eastAsia"/>
                <w:szCs w:val="21"/>
              </w:rPr>
              <w:t>6.支持第三方用户控制接口，支持二次开发。</w:t>
            </w:r>
          </w:p>
          <w:p>
            <w:pPr>
              <w:ind w:firstLine="420"/>
              <w:rPr>
                <w:szCs w:val="21"/>
              </w:rPr>
            </w:pPr>
            <w:r>
              <w:rPr>
                <w:rFonts w:hint="eastAsia"/>
                <w:szCs w:val="21"/>
              </w:rPr>
              <w:t>7.可编程组合输入输出，具有快捷调用方式。</w:t>
            </w:r>
          </w:p>
          <w:p>
            <w:pPr>
              <w:ind w:firstLine="420"/>
              <w:rPr>
                <w:szCs w:val="21"/>
              </w:rPr>
            </w:pPr>
            <w:r>
              <w:rPr>
                <w:rFonts w:hint="eastAsia"/>
                <w:szCs w:val="21"/>
              </w:rPr>
              <w:t>8.支持多路多格式（HDMI/VGA/VIDEO/DVI）视频输入输出。其中输入接口HDMI不少于10路，DVI不少于4路；输出接口HDMI不少于8路，DVI不少于4路。</w:t>
            </w:r>
          </w:p>
          <w:p>
            <w:pPr>
              <w:widowControl/>
              <w:ind w:firstLine="420"/>
              <w:textAlignment w:val="center"/>
              <w:rPr>
                <w:szCs w:val="21"/>
              </w:rPr>
            </w:pPr>
            <w:r>
              <w:rPr>
                <w:rFonts w:hint="eastAsia"/>
                <w:szCs w:val="21"/>
              </w:rPr>
              <w:t>二、拼接控制软件</w:t>
            </w:r>
          </w:p>
          <w:p>
            <w:pPr>
              <w:widowControl/>
              <w:ind w:firstLine="420"/>
              <w:textAlignment w:val="center"/>
              <w:rPr>
                <w:szCs w:val="21"/>
              </w:rPr>
            </w:pPr>
            <w:r>
              <w:rPr>
                <w:rFonts w:hint="eastAsia"/>
                <w:szCs w:val="21"/>
              </w:rPr>
              <w:t xml:space="preserve">1.控制软件必须为中文操作界面。 </w:t>
            </w:r>
          </w:p>
          <w:p>
            <w:pPr>
              <w:widowControl/>
              <w:ind w:firstLine="420"/>
              <w:textAlignment w:val="center"/>
              <w:rPr>
                <w:szCs w:val="21"/>
              </w:rPr>
            </w:pPr>
            <w:r>
              <w:rPr>
                <w:rFonts w:hint="eastAsia"/>
                <w:szCs w:val="21"/>
              </w:rPr>
              <w:t>2.基于TCP/IP网络的多用户实时操作。</w:t>
            </w:r>
          </w:p>
          <w:p>
            <w:pPr>
              <w:widowControl/>
              <w:ind w:firstLine="420"/>
              <w:textAlignment w:val="center"/>
              <w:rPr>
                <w:szCs w:val="21"/>
              </w:rPr>
            </w:pPr>
            <w:r>
              <w:rPr>
                <w:rFonts w:hint="eastAsia"/>
                <w:szCs w:val="21"/>
              </w:rPr>
              <w:t>3.可实现对多种信号源定义、调度和管理。</w:t>
            </w:r>
          </w:p>
          <w:p>
            <w:pPr>
              <w:widowControl/>
              <w:ind w:firstLine="420"/>
              <w:textAlignment w:val="center"/>
              <w:rPr>
                <w:szCs w:val="21"/>
              </w:rPr>
            </w:pPr>
            <w:r>
              <w:rPr>
                <w:rFonts w:hint="eastAsia"/>
                <w:szCs w:val="21"/>
              </w:rPr>
              <w:t>4.可实现任意信号源窗口模式组合的定义、编辑。</w:t>
            </w:r>
          </w:p>
          <w:p>
            <w:pPr>
              <w:widowControl/>
              <w:ind w:firstLine="420"/>
              <w:textAlignment w:val="center"/>
              <w:rPr>
                <w:szCs w:val="21"/>
              </w:rPr>
            </w:pPr>
            <w:r>
              <w:rPr>
                <w:rFonts w:hint="eastAsia"/>
                <w:szCs w:val="21"/>
              </w:rPr>
              <w:t>5.可实现自定义多种显示模式灵活调用。</w:t>
            </w:r>
          </w:p>
          <w:p>
            <w:pPr>
              <w:widowControl/>
              <w:ind w:firstLine="420"/>
              <w:textAlignment w:val="center"/>
              <w:rPr>
                <w:szCs w:val="21"/>
              </w:rPr>
            </w:pPr>
            <w:r>
              <w:rPr>
                <w:rFonts w:hint="eastAsia"/>
                <w:szCs w:val="21"/>
              </w:rPr>
              <w:t>6.支持多点远程控制。</w:t>
            </w:r>
          </w:p>
          <w:p>
            <w:pPr>
              <w:widowControl/>
              <w:ind w:firstLine="420"/>
              <w:textAlignment w:val="center"/>
              <w:rPr>
                <w:szCs w:val="21"/>
              </w:rPr>
            </w:pPr>
            <w:r>
              <w:rPr>
                <w:rFonts w:hint="eastAsia"/>
                <w:szCs w:val="21"/>
              </w:rPr>
              <w:t>7.支持矩阵的联动控制。</w:t>
            </w:r>
          </w:p>
          <w:p>
            <w:pPr>
              <w:widowControl/>
              <w:ind w:firstLine="420"/>
              <w:textAlignment w:val="center"/>
              <w:rPr>
                <w:szCs w:val="21"/>
              </w:rPr>
            </w:pPr>
            <w:r>
              <w:rPr>
                <w:rFonts w:hint="eastAsia"/>
                <w:szCs w:val="21"/>
              </w:rPr>
              <w:t>8.大屏幕控制软件安装在用户pc机（工作站）上，并与用户系统兼容，不影响用户原来各种应用系统的运行。</w:t>
            </w:r>
          </w:p>
          <w:p>
            <w:pPr>
              <w:widowControl/>
              <w:ind w:firstLine="420"/>
              <w:textAlignment w:val="center"/>
              <w:rPr>
                <w:szCs w:val="21"/>
              </w:rPr>
            </w:pPr>
            <w:r>
              <w:rPr>
                <w:rFonts w:hint="eastAsia"/>
                <w:szCs w:val="21"/>
              </w:rPr>
              <w:t>9.在同一操作界面下实现视频信号、DVI信号、HDMI信号的切换、显示、控制功能</w:t>
            </w:r>
          </w:p>
          <w:p>
            <w:pPr>
              <w:widowControl/>
              <w:ind w:firstLine="420"/>
              <w:textAlignment w:val="center"/>
              <w:rPr>
                <w:szCs w:val="21"/>
              </w:rPr>
            </w:pPr>
            <w:r>
              <w:rPr>
                <w:rFonts w:hint="eastAsia"/>
                <w:szCs w:val="21"/>
              </w:rPr>
              <w:t>10.视频信号、DVI信号、HDMI信号可以同时在大屏幕上显示出来，窗口的位置、大小可以任意，各窗口之间可以覆盖、重叠并且互相不受影响。</w:t>
            </w:r>
          </w:p>
          <w:p>
            <w:pPr>
              <w:widowControl/>
              <w:ind w:firstLine="420"/>
              <w:textAlignment w:val="center"/>
              <w:rPr>
                <w:szCs w:val="21"/>
              </w:rPr>
            </w:pPr>
            <w:r>
              <w:rPr>
                <w:rFonts w:hint="eastAsia"/>
                <w:szCs w:val="21"/>
              </w:rPr>
              <w:t>11.可实现任意信号在任意单屏、多屏、整屏上的显示，支持单屏内画面分割和画面轮巡显示。</w:t>
            </w:r>
          </w:p>
          <w:p>
            <w:pPr>
              <w:widowControl/>
              <w:ind w:firstLine="420"/>
              <w:textAlignment w:val="center"/>
              <w:rPr>
                <w:szCs w:val="21"/>
              </w:rPr>
            </w:pPr>
            <w:r>
              <w:rPr>
                <w:rFonts w:hint="eastAsia"/>
                <w:szCs w:val="21"/>
              </w:rPr>
              <w:t>12.支持画面任意位置设置矢量字幕标识。</w:t>
            </w:r>
          </w:p>
          <w:p>
            <w:pPr>
              <w:widowControl/>
              <w:ind w:firstLine="420"/>
              <w:textAlignment w:val="center"/>
              <w:rPr>
                <w:szCs w:val="21"/>
              </w:rPr>
            </w:pPr>
            <w:r>
              <w:rPr>
                <w:rFonts w:hint="eastAsia"/>
                <w:szCs w:val="21"/>
              </w:rPr>
              <w:t>13.操作者在指挥室的控制台上使用单一的鼠标或键盘进行对液晶拼接屏系统的操作和多屏的控制。可预设投屏位置，开机自动投屏定位，可实现一键投屏定位多屏。</w:t>
            </w:r>
          </w:p>
          <w:p>
            <w:pPr>
              <w:ind w:firstLine="420"/>
              <w:rPr>
                <w:szCs w:val="21"/>
              </w:rPr>
            </w:pPr>
            <w:r>
              <w:rPr>
                <w:rFonts w:hint="eastAsia"/>
                <w:szCs w:val="21"/>
              </w:rPr>
              <w:t>14.预留县播控监测系统和县发射台监测系统接口，可实现三个系统显示画面互切、同显。切换可手动和自动模式（告警时切换）。</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szCs w:val="21"/>
              </w:rPr>
            </w:pPr>
            <w:r>
              <w:rPr>
                <w:rFonts w:hint="eastAsia"/>
                <w:szCs w:val="21"/>
              </w:rPr>
              <w:t>1台</w:t>
            </w:r>
          </w:p>
        </w:tc>
      </w:tr>
      <w:tr>
        <w:tblPrEx>
          <w:tblCellMar>
            <w:top w:w="0" w:type="dxa"/>
            <w:left w:w="0" w:type="dxa"/>
            <w:bottom w:w="0" w:type="dxa"/>
            <w:right w:w="0" w:type="dxa"/>
          </w:tblCellMar>
        </w:tblPrEx>
        <w:trPr>
          <w:trHeight w:val="30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w:t>
            </w:r>
            <w:r>
              <w:rPr>
                <w:bCs/>
                <w:szCs w:val="21"/>
              </w:rPr>
              <w:t>5</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有源监听音箱</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adjustRightInd w:val="0"/>
              <w:snapToGrid w:val="0"/>
              <w:ind w:firstLine="420"/>
              <w:rPr>
                <w:szCs w:val="21"/>
              </w:rPr>
            </w:pPr>
            <w:r>
              <w:rPr>
                <w:rFonts w:hint="eastAsia"/>
                <w:szCs w:val="21"/>
              </w:rPr>
              <w:t>安装在县级平台，计划监听以下内容（包括但不限于）：县平台制作信息回放、县平台播出信息监听、上级下发信息监听（含文转语信息）、下级播发效果监听、摄像头监控声音监听等。</w:t>
            </w:r>
          </w:p>
          <w:p>
            <w:pPr>
              <w:widowControl/>
              <w:adjustRightInd w:val="0"/>
              <w:snapToGrid w:val="0"/>
              <w:ind w:firstLine="420"/>
              <w:textAlignment w:val="center"/>
              <w:rPr>
                <w:szCs w:val="21"/>
              </w:rPr>
            </w:pPr>
            <w:r>
              <w:rPr>
                <w:rFonts w:hint="eastAsia"/>
                <w:szCs w:val="21"/>
              </w:rPr>
              <w:t>1.有源音箱</w:t>
            </w:r>
          </w:p>
          <w:p>
            <w:pPr>
              <w:widowControl/>
              <w:adjustRightInd w:val="0"/>
              <w:snapToGrid w:val="0"/>
              <w:ind w:firstLine="420"/>
              <w:textAlignment w:val="center"/>
              <w:rPr>
                <w:szCs w:val="21"/>
              </w:rPr>
            </w:pPr>
            <w:r>
              <w:rPr>
                <w:rFonts w:hint="eastAsia"/>
                <w:szCs w:val="21"/>
              </w:rPr>
              <w:t>2.输出功率：≥30W，阻抗4-8欧姆，信噪比：&gt;75dB，频率响应：20Hz-20KHz。</w:t>
            </w:r>
          </w:p>
          <w:p>
            <w:pPr>
              <w:widowControl/>
              <w:adjustRightInd w:val="0"/>
              <w:snapToGrid w:val="0"/>
              <w:ind w:firstLine="420"/>
              <w:textAlignment w:val="center"/>
              <w:rPr>
                <w:szCs w:val="21"/>
              </w:rPr>
            </w:pPr>
            <w:r>
              <w:rPr>
                <w:rFonts w:hint="eastAsia"/>
                <w:szCs w:val="21"/>
              </w:rPr>
              <w:t>3.喇叭单元：5英寸低音单元，1英寸高音单元</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szCs w:val="21"/>
              </w:rPr>
              <w:t>1</w:t>
            </w:r>
            <w:r>
              <w:rPr>
                <w:rFonts w:hint="eastAsia"/>
                <w:szCs w:val="21"/>
              </w:rPr>
              <w:t>对</w:t>
            </w:r>
          </w:p>
        </w:tc>
      </w:tr>
      <w:tr>
        <w:tblPrEx>
          <w:tblCellMar>
            <w:top w:w="0" w:type="dxa"/>
            <w:left w:w="0" w:type="dxa"/>
            <w:bottom w:w="0" w:type="dxa"/>
            <w:right w:w="0" w:type="dxa"/>
          </w:tblCellMar>
        </w:tblPrEx>
        <w:trPr>
          <w:trHeight w:val="30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w:t>
            </w:r>
            <w:r>
              <w:rPr>
                <w:bCs/>
                <w:szCs w:val="21"/>
              </w:rPr>
              <w:t>6</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县平台不间断电源UPS</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pStyle w:val="62"/>
              <w:numPr>
                <w:ilvl w:val="0"/>
                <w:numId w:val="10"/>
              </w:numPr>
              <w:autoSpaceDE/>
              <w:autoSpaceDN/>
              <w:adjustRightInd w:val="0"/>
              <w:spacing w:before="120" w:beforeLines="50" w:after="120" w:afterLines="50" w:line="360" w:lineRule="atLeast"/>
              <w:ind w:firstLine="385" w:firstLineChars="175"/>
              <w:jc w:val="both"/>
              <w:rPr>
                <w:szCs w:val="21"/>
              </w:rPr>
            </w:pPr>
            <w:r>
              <w:rPr>
                <w:rFonts w:hint="eastAsia"/>
                <w:szCs w:val="21"/>
              </w:rPr>
              <w:t>主要技术参数</w:t>
            </w:r>
          </w:p>
          <w:p>
            <w:pPr>
              <w:widowControl/>
              <w:numPr>
                <w:ilvl w:val="0"/>
                <w:numId w:val="11"/>
              </w:numPr>
              <w:autoSpaceDE/>
              <w:autoSpaceDN/>
              <w:ind w:left="0" w:firstLine="385" w:firstLineChars="175"/>
              <w:textAlignment w:val="center"/>
              <w:rPr>
                <w:szCs w:val="21"/>
              </w:rPr>
            </w:pPr>
            <w:r>
              <w:rPr>
                <w:rFonts w:hint="eastAsia"/>
                <w:szCs w:val="21"/>
              </w:rPr>
              <w:t>高频在线式、6KVA,一体化机柜系统集成机柜、智能配电、UPS、机架式电池包、监控系统、分级分时控制系统等部件功能于一体。</w:t>
            </w:r>
          </w:p>
          <w:p>
            <w:pPr>
              <w:widowControl/>
              <w:numPr>
                <w:ilvl w:val="0"/>
                <w:numId w:val="11"/>
              </w:numPr>
              <w:autoSpaceDE/>
              <w:autoSpaceDN/>
              <w:ind w:left="0" w:firstLine="385" w:firstLineChars="175"/>
              <w:textAlignment w:val="center"/>
              <w:rPr>
                <w:szCs w:val="21"/>
              </w:rPr>
            </w:pPr>
            <w:r>
              <w:rPr>
                <w:rFonts w:hint="eastAsia"/>
                <w:szCs w:val="21"/>
              </w:rPr>
              <w:t>输入频率：</w:t>
            </w:r>
            <w:r>
              <w:rPr>
                <w:rFonts w:hint="eastAsia"/>
                <w:szCs w:val="21"/>
              </w:rPr>
              <w:tab/>
            </w:r>
            <w:r>
              <w:rPr>
                <w:rFonts w:hint="eastAsia"/>
                <w:szCs w:val="21"/>
              </w:rPr>
              <w:t>50Hz/60Hz±10%</w:t>
            </w:r>
          </w:p>
          <w:p>
            <w:pPr>
              <w:widowControl/>
              <w:numPr>
                <w:ilvl w:val="0"/>
                <w:numId w:val="11"/>
              </w:numPr>
              <w:autoSpaceDE/>
              <w:autoSpaceDN/>
              <w:ind w:left="0" w:firstLine="385" w:firstLineChars="175"/>
              <w:textAlignment w:val="center"/>
              <w:rPr>
                <w:szCs w:val="21"/>
              </w:rPr>
            </w:pPr>
            <w:r>
              <w:rPr>
                <w:rFonts w:hint="eastAsia"/>
                <w:szCs w:val="21"/>
              </w:rPr>
              <w:t>效率因数：</w:t>
            </w:r>
            <w:r>
              <w:rPr>
                <w:rFonts w:hint="eastAsia"/>
                <w:szCs w:val="21"/>
              </w:rPr>
              <w:tab/>
            </w:r>
            <w:r>
              <w:rPr>
                <w:rFonts w:hint="eastAsia"/>
                <w:szCs w:val="21"/>
              </w:rPr>
              <w:t>≥95%</w:t>
            </w:r>
          </w:p>
          <w:p>
            <w:pPr>
              <w:widowControl/>
              <w:numPr>
                <w:ilvl w:val="0"/>
                <w:numId w:val="11"/>
              </w:numPr>
              <w:autoSpaceDE/>
              <w:autoSpaceDN/>
              <w:ind w:left="0" w:firstLine="385" w:firstLineChars="175"/>
              <w:textAlignment w:val="center"/>
              <w:rPr>
                <w:szCs w:val="21"/>
              </w:rPr>
            </w:pPr>
            <w:r>
              <w:rPr>
                <w:rFonts w:hint="eastAsia"/>
                <w:szCs w:val="21"/>
              </w:rPr>
              <w:t>输出电压：</w:t>
            </w:r>
            <w:r>
              <w:rPr>
                <w:rFonts w:hint="eastAsia"/>
                <w:szCs w:val="21"/>
              </w:rPr>
              <w:tab/>
            </w:r>
            <w:r>
              <w:rPr>
                <w:rFonts w:hint="eastAsia"/>
                <w:szCs w:val="21"/>
              </w:rPr>
              <w:t>220V±0.5%</w:t>
            </w:r>
          </w:p>
          <w:p>
            <w:pPr>
              <w:widowControl/>
              <w:numPr>
                <w:ilvl w:val="0"/>
                <w:numId w:val="11"/>
              </w:numPr>
              <w:autoSpaceDE/>
              <w:autoSpaceDN/>
              <w:ind w:left="0" w:firstLine="385" w:firstLineChars="175"/>
              <w:textAlignment w:val="center"/>
              <w:rPr>
                <w:szCs w:val="21"/>
              </w:rPr>
            </w:pPr>
            <w:r>
              <w:rPr>
                <w:rFonts w:hint="eastAsia"/>
                <w:szCs w:val="21"/>
              </w:rPr>
              <w:t>输出频率稳定度：50Hz/60Hz±0.5%(直流供电时)</w:t>
            </w:r>
          </w:p>
          <w:p>
            <w:pPr>
              <w:widowControl/>
              <w:numPr>
                <w:ilvl w:val="0"/>
                <w:numId w:val="11"/>
              </w:numPr>
              <w:autoSpaceDE/>
              <w:autoSpaceDN/>
              <w:ind w:left="0" w:firstLine="385" w:firstLineChars="175"/>
              <w:textAlignment w:val="center"/>
              <w:rPr>
                <w:szCs w:val="21"/>
              </w:rPr>
            </w:pPr>
            <w:r>
              <w:rPr>
                <w:rFonts w:hint="eastAsia"/>
                <w:szCs w:val="21"/>
              </w:rPr>
              <w:t>动态瞬变范围：输出0~50%~100%时≤3%，恢复时间≤10ms</w:t>
            </w:r>
          </w:p>
          <w:p>
            <w:pPr>
              <w:widowControl/>
              <w:numPr>
                <w:ilvl w:val="0"/>
                <w:numId w:val="11"/>
              </w:numPr>
              <w:autoSpaceDE/>
              <w:autoSpaceDN/>
              <w:ind w:left="0" w:firstLine="385" w:firstLineChars="175"/>
              <w:textAlignment w:val="center"/>
              <w:rPr>
                <w:szCs w:val="21"/>
              </w:rPr>
            </w:pPr>
            <w:r>
              <w:rPr>
                <w:rFonts w:hint="eastAsia"/>
                <w:szCs w:val="21"/>
              </w:rPr>
              <w:t>过载能力110%≥300Min,150%≥60s</w:t>
            </w:r>
          </w:p>
          <w:p>
            <w:pPr>
              <w:widowControl/>
              <w:numPr>
                <w:ilvl w:val="0"/>
                <w:numId w:val="11"/>
              </w:numPr>
              <w:autoSpaceDE/>
              <w:autoSpaceDN/>
              <w:ind w:left="0" w:firstLine="385" w:firstLineChars="175"/>
              <w:textAlignment w:val="center"/>
              <w:rPr>
                <w:szCs w:val="21"/>
              </w:rPr>
            </w:pPr>
            <w:r>
              <w:rPr>
                <w:rFonts w:hint="eastAsia"/>
                <w:szCs w:val="21"/>
              </w:rPr>
              <w:t>波形：正弦波</w:t>
            </w:r>
          </w:p>
          <w:p>
            <w:pPr>
              <w:widowControl/>
              <w:numPr>
                <w:ilvl w:val="0"/>
                <w:numId w:val="11"/>
              </w:numPr>
              <w:autoSpaceDE/>
              <w:autoSpaceDN/>
              <w:ind w:left="0" w:firstLine="385" w:firstLineChars="175"/>
              <w:textAlignment w:val="center"/>
              <w:rPr>
                <w:szCs w:val="21"/>
              </w:rPr>
            </w:pPr>
            <w:r>
              <w:rPr>
                <w:rFonts w:hint="eastAsia"/>
                <w:szCs w:val="21"/>
              </w:rPr>
              <w:t>整机效率≥90%</w:t>
            </w:r>
          </w:p>
          <w:p>
            <w:pPr>
              <w:widowControl/>
              <w:numPr>
                <w:ilvl w:val="0"/>
                <w:numId w:val="11"/>
              </w:numPr>
              <w:autoSpaceDE/>
              <w:autoSpaceDN/>
              <w:ind w:left="0" w:firstLine="385" w:firstLineChars="175"/>
              <w:textAlignment w:val="center"/>
              <w:rPr>
                <w:szCs w:val="21"/>
              </w:rPr>
            </w:pPr>
            <w:r>
              <w:rPr>
                <w:rFonts w:hint="eastAsia"/>
                <w:szCs w:val="21"/>
              </w:rPr>
              <w:t>充电时间：完全充电后8小时充电至90%</w:t>
            </w:r>
          </w:p>
          <w:p>
            <w:pPr>
              <w:widowControl/>
              <w:numPr>
                <w:ilvl w:val="0"/>
                <w:numId w:val="11"/>
              </w:numPr>
              <w:autoSpaceDE/>
              <w:autoSpaceDN/>
              <w:ind w:left="0" w:firstLine="385" w:firstLineChars="175"/>
              <w:textAlignment w:val="center"/>
              <w:rPr>
                <w:szCs w:val="21"/>
              </w:rPr>
            </w:pPr>
            <w:r>
              <w:rPr>
                <w:rFonts w:hint="eastAsia"/>
                <w:szCs w:val="21"/>
              </w:rPr>
              <w:t>电池欠压、故障报警保护，具有故障自动旁路功能</w:t>
            </w:r>
          </w:p>
          <w:p>
            <w:pPr>
              <w:widowControl/>
              <w:numPr>
                <w:ilvl w:val="0"/>
                <w:numId w:val="11"/>
              </w:numPr>
              <w:autoSpaceDE/>
              <w:autoSpaceDN/>
              <w:ind w:left="0" w:firstLine="385" w:firstLineChars="175"/>
              <w:textAlignment w:val="center"/>
              <w:rPr>
                <w:szCs w:val="21"/>
              </w:rPr>
            </w:pPr>
            <w:r>
              <w:rPr>
                <w:rFonts w:hint="eastAsia"/>
                <w:szCs w:val="21"/>
              </w:rPr>
              <w:t>后备时间：30分钟</w:t>
            </w:r>
          </w:p>
          <w:p>
            <w:pPr>
              <w:widowControl/>
              <w:numPr>
                <w:ilvl w:val="0"/>
                <w:numId w:val="11"/>
              </w:numPr>
              <w:autoSpaceDE/>
              <w:autoSpaceDN/>
              <w:ind w:left="0" w:firstLine="385" w:firstLineChars="175"/>
              <w:textAlignment w:val="center"/>
              <w:rPr>
                <w:szCs w:val="21"/>
              </w:rPr>
            </w:pPr>
            <w:r>
              <w:rPr>
                <w:rFonts w:hint="eastAsia"/>
                <w:szCs w:val="21"/>
              </w:rPr>
              <w:t>交流输入：单相三线制—火线L；零线N；保护地线PE。</w:t>
            </w:r>
          </w:p>
          <w:p>
            <w:pPr>
              <w:widowControl/>
              <w:numPr>
                <w:ilvl w:val="0"/>
                <w:numId w:val="11"/>
              </w:numPr>
              <w:autoSpaceDE/>
              <w:autoSpaceDN/>
              <w:ind w:left="0" w:firstLine="385" w:firstLineChars="175"/>
              <w:textAlignment w:val="center"/>
              <w:rPr>
                <w:szCs w:val="21"/>
              </w:rPr>
            </w:pPr>
            <w:r>
              <w:rPr>
                <w:rFonts w:hint="eastAsia"/>
                <w:szCs w:val="21"/>
              </w:rPr>
              <w:t>绝缘强度：</w:t>
            </w:r>
          </w:p>
          <w:p>
            <w:pPr>
              <w:widowControl/>
              <w:ind w:firstLine="385" w:firstLineChars="175"/>
              <w:textAlignment w:val="center"/>
              <w:rPr>
                <w:szCs w:val="21"/>
              </w:rPr>
            </w:pPr>
            <w:r>
              <w:rPr>
                <w:rFonts w:hint="eastAsia"/>
                <w:szCs w:val="21"/>
              </w:rPr>
              <w:t>在不接入检测板、控制器等时，交流电路对地之间应能承受50Hz、1000Vac的交流电压1min，无击穿、无飞弧现象。</w:t>
            </w:r>
          </w:p>
          <w:p>
            <w:pPr>
              <w:pStyle w:val="62"/>
              <w:numPr>
                <w:ilvl w:val="0"/>
                <w:numId w:val="10"/>
              </w:numPr>
              <w:autoSpaceDE/>
              <w:autoSpaceDN/>
              <w:adjustRightInd w:val="0"/>
              <w:spacing w:before="120" w:beforeLines="50" w:after="120" w:afterLines="50" w:line="360" w:lineRule="atLeast"/>
              <w:ind w:firstLine="385" w:firstLineChars="175"/>
              <w:jc w:val="both"/>
              <w:rPr>
                <w:szCs w:val="21"/>
              </w:rPr>
            </w:pPr>
            <w:r>
              <w:rPr>
                <w:rFonts w:hint="eastAsia"/>
                <w:szCs w:val="21"/>
              </w:rPr>
              <w:t>电源机柜</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机柜参考尺寸宽600*深1000*高2000mm，可用空间42U，1U盲板10个，两个16A8口PDU，2对L型导轨，螺丝、螺母50套</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机柜采用 1.2mm～2.0mm 厚高强度A 级优质碳素冷轧钢板和镀锌板，表面喷粉厚度不小于60μm ,采用黑色砂纹工艺，满足防腐、防锈、防火、光洁、色泽均匀、无流挂、不露底、无起泡、无裂纹、金属件无毛刺锈蚀要求；</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机柜静态承载能力不小于 1500kg，机柜动态承载能力不小于1000kg；</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机柜底部安装有万向脚轮和支撑脚，采用四个重型万向滚轮，单个滚轮动态承重不小于350kg，静态承载不小于500kg，方便机柜移动和调节水平；</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机柜顶板承重能力不小于 110kg。进入机柜采用毛刷走线，对于不同的出线容量可满足较好的密封效果。机柜顶部和底部均设有出线孔，支持下进下出和上进上出的走线方式,进出线口配有橡胶圈进行绝缘保护；</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结构坚固, 安装设备的U立柱可前后调整，方便服务器和网络设备安装；</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机柜含侧门；机柜前门单开网孔门，后门为钢板门。</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机柜内部应设置安装方孔条，用于安装设备和固定层板。安装方孔条能够前后距离可持按照25mm步距灵活调节。安装立柱的间距、孔距等机柜内部尺寸结构应满足《IEC60297-3-100-2008》和《IEC 60297-3-105-2008》的要求。</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过线孔和开孔处磨光，无毛刺锐角；</w:t>
            </w:r>
          </w:p>
          <w:p>
            <w:pPr>
              <w:pStyle w:val="62"/>
              <w:numPr>
                <w:ilvl w:val="0"/>
                <w:numId w:val="12"/>
              </w:numPr>
              <w:autoSpaceDE/>
              <w:autoSpaceDN/>
              <w:adjustRightInd w:val="0"/>
              <w:spacing w:line="360" w:lineRule="atLeast"/>
              <w:ind w:left="0" w:firstLine="385" w:firstLineChars="175"/>
              <w:jc w:val="both"/>
              <w:rPr>
                <w:szCs w:val="21"/>
              </w:rPr>
            </w:pPr>
            <w:r>
              <w:rPr>
                <w:rFonts w:hint="eastAsia"/>
                <w:szCs w:val="21"/>
              </w:rPr>
              <w:t>机柜内带监控采集器，可对配电开关状态，UPS电压电流、温度、湿度等进行数据采集，故障信号可自动上传。</w:t>
            </w:r>
          </w:p>
          <w:p>
            <w:pPr>
              <w:pStyle w:val="62"/>
              <w:numPr>
                <w:ilvl w:val="0"/>
                <w:numId w:val="10"/>
              </w:numPr>
              <w:autoSpaceDE/>
              <w:autoSpaceDN/>
              <w:adjustRightInd w:val="0"/>
              <w:spacing w:before="120" w:beforeLines="50" w:after="120" w:afterLines="50" w:line="360" w:lineRule="atLeast"/>
              <w:ind w:firstLine="385" w:firstLineChars="175"/>
              <w:jc w:val="both"/>
              <w:rPr>
                <w:szCs w:val="21"/>
              </w:rPr>
            </w:pPr>
            <w:r>
              <w:rPr>
                <w:rFonts w:hint="eastAsia"/>
                <w:szCs w:val="21"/>
              </w:rPr>
              <w:t>智能配电模块</w:t>
            </w:r>
          </w:p>
          <w:p>
            <w:pPr>
              <w:spacing w:before="120" w:beforeLines="50" w:after="120" w:afterLines="50"/>
              <w:ind w:firstLine="385" w:firstLineChars="175"/>
              <w:jc w:val="both"/>
              <w:rPr>
                <w:szCs w:val="21"/>
              </w:rPr>
            </w:pPr>
            <w:r>
              <w:rPr>
                <w:rFonts w:hint="eastAsia"/>
                <w:szCs w:val="21"/>
              </w:rPr>
              <w:t>1. 配电模块总输入为单相输入，单相三线制接入方式，输出分为常规交流输出和分级分时控制输出。配电模块符合《低压配电设计规范（GB50054-2011）》相关设计规范。</w:t>
            </w:r>
          </w:p>
          <w:p>
            <w:pPr>
              <w:spacing w:before="120" w:beforeLines="50" w:after="120" w:afterLines="50"/>
              <w:ind w:firstLine="385" w:firstLineChars="175"/>
              <w:jc w:val="both"/>
              <w:rPr>
                <w:szCs w:val="21"/>
              </w:rPr>
            </w:pPr>
            <w:r>
              <w:rPr>
                <w:rFonts w:hint="eastAsia"/>
                <w:szCs w:val="21"/>
              </w:rPr>
              <w:t>2. 总配电负载容量大于12KVA，至少包括1路市电总输入，3路市电输出；</w:t>
            </w:r>
          </w:p>
          <w:p>
            <w:pPr>
              <w:spacing w:before="120" w:beforeLines="50" w:after="120" w:afterLines="50"/>
              <w:ind w:firstLine="385" w:firstLineChars="175"/>
              <w:jc w:val="both"/>
              <w:rPr>
                <w:szCs w:val="21"/>
              </w:rPr>
            </w:pPr>
            <w:r>
              <w:rPr>
                <w:rFonts w:hint="eastAsia"/>
                <w:szCs w:val="21"/>
              </w:rPr>
              <w:t>3. 四路UPS输出，均支持分级分时上下电设置，其中第一路为机柜主用电源，第二路为控制桌主用电源和显示大屏电源，第三路为机柜和控制桌备用电源，第四路为预留输出；每一路输出配置不少于5路断路器（23A）。</w:t>
            </w:r>
          </w:p>
          <w:p>
            <w:pPr>
              <w:spacing w:before="120" w:beforeLines="50" w:after="120" w:afterLines="50"/>
              <w:ind w:firstLine="385" w:firstLineChars="175"/>
              <w:jc w:val="both"/>
              <w:rPr>
                <w:szCs w:val="21"/>
              </w:rPr>
            </w:pPr>
            <w:r>
              <w:rPr>
                <w:rFonts w:hint="eastAsia"/>
                <w:szCs w:val="21"/>
              </w:rPr>
              <w:t>4. 配电模块内部的断路器，若客户不指定，默认选择ABB/施耐德等品牌。</w:t>
            </w:r>
          </w:p>
          <w:p>
            <w:pPr>
              <w:spacing w:before="120" w:beforeLines="50" w:after="120" w:afterLines="50"/>
              <w:ind w:firstLine="385" w:firstLineChars="175"/>
              <w:jc w:val="both"/>
              <w:rPr>
                <w:szCs w:val="21"/>
              </w:rPr>
            </w:pPr>
            <w:r>
              <w:rPr>
                <w:rFonts w:hint="eastAsia"/>
                <w:szCs w:val="21"/>
              </w:rPr>
              <w:t>5. 分级分时上下单功能为UPS输出配电部分，同时支持本地和远程设置分时下电功能，并可远程上电，最大支持4路输出控制，通过本地动环系统软件设置，可依据各路负载的重要程度控制UPS的各路输出时长，即可按照预设时间先后断电和送电，又可通过app调整各路输出的时长策略，以保证关键负载最长的在线时间；接入动环系统平台后，可由后台远程管理各路输出时长。</w:t>
            </w:r>
          </w:p>
          <w:p>
            <w:pPr>
              <w:pStyle w:val="62"/>
              <w:numPr>
                <w:ilvl w:val="0"/>
                <w:numId w:val="10"/>
              </w:numPr>
              <w:autoSpaceDE/>
              <w:autoSpaceDN/>
              <w:adjustRightInd w:val="0"/>
              <w:spacing w:before="120" w:beforeLines="50" w:after="120" w:afterLines="50" w:line="360" w:lineRule="atLeast"/>
              <w:ind w:firstLine="385" w:firstLineChars="175"/>
              <w:jc w:val="both"/>
              <w:rPr>
                <w:szCs w:val="21"/>
              </w:rPr>
            </w:pPr>
            <w:r>
              <w:rPr>
                <w:rFonts w:hint="eastAsia"/>
                <w:szCs w:val="21"/>
              </w:rPr>
              <w:t>UPS模块</w:t>
            </w:r>
          </w:p>
          <w:p>
            <w:pPr>
              <w:pStyle w:val="62"/>
              <w:numPr>
                <w:ilvl w:val="0"/>
                <w:numId w:val="13"/>
              </w:numPr>
              <w:autoSpaceDE/>
              <w:autoSpaceDN/>
              <w:adjustRightInd w:val="0"/>
              <w:spacing w:line="360" w:lineRule="atLeast"/>
              <w:ind w:left="0" w:firstLine="385" w:firstLineChars="175"/>
              <w:jc w:val="both"/>
              <w:rPr>
                <w:szCs w:val="21"/>
              </w:rPr>
            </w:pPr>
            <w:r>
              <w:rPr>
                <w:rFonts w:hint="eastAsia"/>
                <w:szCs w:val="21"/>
              </w:rPr>
              <w:t>高频在线双转换纯在线式UPS主机，机架式安装方式；</w:t>
            </w:r>
          </w:p>
          <w:p>
            <w:pPr>
              <w:pStyle w:val="62"/>
              <w:numPr>
                <w:ilvl w:val="0"/>
                <w:numId w:val="13"/>
              </w:numPr>
              <w:autoSpaceDE/>
              <w:autoSpaceDN/>
              <w:adjustRightInd w:val="0"/>
              <w:spacing w:line="360" w:lineRule="atLeast"/>
              <w:ind w:left="0" w:firstLine="385" w:firstLineChars="175"/>
              <w:jc w:val="both"/>
              <w:rPr>
                <w:szCs w:val="21"/>
              </w:rPr>
            </w:pPr>
            <w:r>
              <w:rPr>
                <w:rFonts w:hint="eastAsia"/>
                <w:szCs w:val="21"/>
              </w:rPr>
              <w:t>输入电压范围110Vac-300Vac，市电不稳定现状，减少电池循环使用次数，提高电池实际使用寿命。</w:t>
            </w:r>
          </w:p>
          <w:p>
            <w:pPr>
              <w:pStyle w:val="62"/>
              <w:numPr>
                <w:ilvl w:val="0"/>
                <w:numId w:val="13"/>
              </w:numPr>
              <w:autoSpaceDE/>
              <w:autoSpaceDN/>
              <w:adjustRightInd w:val="0"/>
              <w:spacing w:line="360" w:lineRule="atLeast"/>
              <w:ind w:left="0" w:firstLine="385" w:firstLineChars="175"/>
              <w:jc w:val="both"/>
              <w:rPr>
                <w:szCs w:val="21"/>
              </w:rPr>
            </w:pPr>
            <w:r>
              <w:rPr>
                <w:rFonts w:hint="eastAsia"/>
                <w:szCs w:val="21"/>
              </w:rPr>
              <w:t>极宽温度范围-10℃～50℃；</w:t>
            </w:r>
          </w:p>
          <w:p>
            <w:pPr>
              <w:pStyle w:val="62"/>
              <w:numPr>
                <w:ilvl w:val="0"/>
                <w:numId w:val="13"/>
              </w:numPr>
              <w:autoSpaceDE/>
              <w:autoSpaceDN/>
              <w:adjustRightInd w:val="0"/>
              <w:spacing w:line="360" w:lineRule="atLeast"/>
              <w:ind w:left="0" w:firstLine="385" w:firstLineChars="175"/>
              <w:jc w:val="both"/>
              <w:rPr>
                <w:szCs w:val="21"/>
              </w:rPr>
            </w:pPr>
            <w:r>
              <w:rPr>
                <w:rFonts w:hint="eastAsia"/>
                <w:szCs w:val="21"/>
              </w:rPr>
              <w:t>具备电池管理能力，可自动周期性电池检测，也可以远程进行电池测试；</w:t>
            </w:r>
          </w:p>
          <w:p>
            <w:pPr>
              <w:pStyle w:val="62"/>
              <w:numPr>
                <w:ilvl w:val="0"/>
                <w:numId w:val="13"/>
              </w:numPr>
              <w:autoSpaceDE/>
              <w:autoSpaceDN/>
              <w:adjustRightInd w:val="0"/>
              <w:spacing w:line="360" w:lineRule="atLeast"/>
              <w:ind w:left="0" w:firstLine="385" w:firstLineChars="175"/>
              <w:jc w:val="both"/>
              <w:rPr>
                <w:szCs w:val="21"/>
              </w:rPr>
            </w:pPr>
            <w:r>
              <w:rPr>
                <w:rFonts w:hint="eastAsia"/>
                <w:szCs w:val="21"/>
              </w:rPr>
              <w:t>优化设计，三防喷涂，适应有腐蚀性应用场合；</w:t>
            </w:r>
          </w:p>
          <w:p>
            <w:pPr>
              <w:pStyle w:val="62"/>
              <w:numPr>
                <w:ilvl w:val="0"/>
                <w:numId w:val="13"/>
              </w:numPr>
              <w:autoSpaceDE/>
              <w:autoSpaceDN/>
              <w:adjustRightInd w:val="0"/>
              <w:spacing w:line="360" w:lineRule="atLeast"/>
              <w:ind w:left="0" w:firstLine="385" w:firstLineChars="175"/>
              <w:jc w:val="both"/>
              <w:rPr>
                <w:szCs w:val="21"/>
              </w:rPr>
            </w:pPr>
            <w:r>
              <w:rPr>
                <w:rFonts w:hint="eastAsia"/>
                <w:szCs w:val="21"/>
              </w:rPr>
              <w:t>高性能DSP控制，纯净正弦波输出；</w:t>
            </w:r>
          </w:p>
          <w:p>
            <w:pPr>
              <w:pStyle w:val="62"/>
              <w:numPr>
                <w:ilvl w:val="0"/>
                <w:numId w:val="13"/>
              </w:numPr>
              <w:autoSpaceDE/>
              <w:autoSpaceDN/>
              <w:adjustRightInd w:val="0"/>
              <w:spacing w:line="360" w:lineRule="atLeast"/>
              <w:ind w:left="0" w:firstLine="385" w:firstLineChars="175"/>
              <w:jc w:val="both"/>
              <w:rPr>
                <w:szCs w:val="21"/>
              </w:rPr>
            </w:pPr>
            <w:r>
              <w:rPr>
                <w:rFonts w:hint="eastAsia"/>
                <w:szCs w:val="21"/>
              </w:rPr>
              <w:t>节能模式下效率可高达98%；</w:t>
            </w:r>
          </w:p>
          <w:p>
            <w:pPr>
              <w:pStyle w:val="62"/>
              <w:numPr>
                <w:ilvl w:val="0"/>
                <w:numId w:val="13"/>
              </w:numPr>
              <w:autoSpaceDE/>
              <w:autoSpaceDN/>
              <w:adjustRightInd w:val="0"/>
              <w:spacing w:line="360" w:lineRule="atLeast"/>
              <w:ind w:left="0" w:firstLine="385" w:firstLineChars="175"/>
              <w:jc w:val="both"/>
              <w:rPr>
                <w:szCs w:val="21"/>
              </w:rPr>
            </w:pPr>
            <w:r>
              <w:rPr>
                <w:rFonts w:hint="eastAsia"/>
                <w:szCs w:val="21"/>
              </w:rPr>
              <w:t>可支持RS485\RS232\RS422\SNMP接口协议，支持远程干节点控制。</w:t>
            </w:r>
          </w:p>
          <w:p>
            <w:pPr>
              <w:pStyle w:val="62"/>
              <w:numPr>
                <w:ilvl w:val="0"/>
                <w:numId w:val="10"/>
              </w:numPr>
              <w:autoSpaceDE/>
              <w:autoSpaceDN/>
              <w:adjustRightInd w:val="0"/>
              <w:spacing w:before="120" w:beforeLines="50" w:after="120" w:afterLines="50" w:line="360" w:lineRule="atLeast"/>
              <w:ind w:firstLine="385" w:firstLineChars="175"/>
              <w:jc w:val="both"/>
              <w:rPr>
                <w:szCs w:val="21"/>
              </w:rPr>
            </w:pPr>
            <w:r>
              <w:rPr>
                <w:rFonts w:hint="eastAsia"/>
                <w:szCs w:val="21"/>
              </w:rPr>
              <w:t>电池包</w:t>
            </w:r>
          </w:p>
          <w:p>
            <w:pPr>
              <w:spacing w:before="120" w:beforeLines="50" w:after="120" w:afterLines="50"/>
              <w:ind w:firstLine="385" w:firstLineChars="175"/>
              <w:rPr>
                <w:szCs w:val="21"/>
              </w:rPr>
            </w:pPr>
            <w:r>
              <w:rPr>
                <w:rFonts w:hint="eastAsia"/>
                <w:szCs w:val="21"/>
              </w:rPr>
              <w:t>采用机架式电池包并联的方式实现后备时间保证，每个电池包参考尺寸深668mm×宽438mm×高88mm（2U），4个电池包并联，后备时间大于30min。</w:t>
            </w:r>
          </w:p>
          <w:p>
            <w:pPr>
              <w:widowControl/>
              <w:ind w:firstLine="385" w:firstLineChars="175"/>
              <w:rPr>
                <w:szCs w:val="21"/>
              </w:rPr>
            </w:pPr>
            <w:r>
              <w:rPr>
                <w:rFonts w:hint="eastAsia"/>
                <w:szCs w:val="21"/>
              </w:rPr>
              <w:t>每个电池包内置16节12V7AH铅酸蓄电池，电池本体设计寿命7年。每个电池包配置32A 1P微型断路器，进行过流保护，电池包与电池包、电池包与UPS之间通过快捷接插端子线连接，防反接防呆设计，更安全，支持热插拔，任意电池包退出系统不影响其他电池包和UPS的正常工作。</w:t>
            </w:r>
          </w:p>
          <w:p>
            <w:pPr>
              <w:pStyle w:val="62"/>
              <w:numPr>
                <w:ilvl w:val="0"/>
                <w:numId w:val="10"/>
              </w:numPr>
              <w:autoSpaceDE/>
              <w:autoSpaceDN/>
              <w:adjustRightInd w:val="0"/>
              <w:spacing w:before="120" w:beforeLines="50" w:after="120" w:afterLines="50" w:line="360" w:lineRule="atLeast"/>
              <w:ind w:firstLine="385" w:firstLineChars="175"/>
              <w:jc w:val="both"/>
              <w:rPr>
                <w:szCs w:val="21"/>
              </w:rPr>
            </w:pPr>
            <w:r>
              <w:rPr>
                <w:rFonts w:hint="eastAsia"/>
                <w:szCs w:val="21"/>
              </w:rPr>
              <w:t>监控系统</w:t>
            </w:r>
          </w:p>
          <w:p>
            <w:pPr>
              <w:spacing w:line="360" w:lineRule="auto"/>
              <w:ind w:firstLine="385" w:firstLineChars="175"/>
              <w:rPr>
                <w:szCs w:val="21"/>
              </w:rPr>
            </w:pPr>
            <w:r>
              <w:rPr>
                <w:rFonts w:hint="eastAsia"/>
                <w:szCs w:val="21"/>
              </w:rPr>
              <w:t>为保证一体化机柜的设备正常运作，同时降低各网点的管理难度，平台监控系统对其进行全面集中监控，以达到“集中监控、精确定位故障、高效管理”的建设目标；具备分级监控功能；同时还须对整套系统的扩展性进行充分考虑，设计时预留相应接口，以方便将来的二期的扩容。</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szCs w:val="21"/>
              </w:rPr>
              <w:t>1</w:t>
            </w:r>
            <w:r>
              <w:rPr>
                <w:rFonts w:hint="eastAsia"/>
                <w:szCs w:val="21"/>
              </w:rPr>
              <w:t>台</w:t>
            </w:r>
          </w:p>
        </w:tc>
      </w:tr>
      <w:tr>
        <w:tblPrEx>
          <w:tblCellMar>
            <w:top w:w="0" w:type="dxa"/>
            <w:left w:w="0" w:type="dxa"/>
            <w:bottom w:w="0" w:type="dxa"/>
            <w:right w:w="0" w:type="dxa"/>
          </w:tblCellMar>
        </w:tblPrEx>
        <w:trPr>
          <w:trHeight w:val="30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w:t>
            </w:r>
            <w:r>
              <w:rPr>
                <w:bCs/>
                <w:szCs w:val="21"/>
              </w:rPr>
              <w:t>7</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szCs w:val="21"/>
              </w:rPr>
            </w:pPr>
            <w:r>
              <w:rPr>
                <w:rFonts w:hint="eastAsia"/>
                <w:szCs w:val="21"/>
              </w:rPr>
              <w:t>县平台控制台</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ind w:firstLine="420"/>
              <w:textAlignment w:val="center"/>
              <w:rPr>
                <w:szCs w:val="21"/>
              </w:rPr>
            </w:pPr>
            <w:r>
              <w:rPr>
                <w:rFonts w:hint="eastAsia"/>
                <w:szCs w:val="21"/>
              </w:rPr>
              <w:t>1.要求尺寸：桌面宽度大于800mm，柜体台面高度750mm，台面长度不少于6个工位。该尺寸为要求的最小尺寸，如供货商提供更大尺寸的亦可。控制台主体采用热镀锌钢板拼接而成，整体板厚1.2mm或以上。</w:t>
            </w:r>
          </w:p>
          <w:p>
            <w:pPr>
              <w:widowControl/>
              <w:ind w:firstLine="420"/>
              <w:textAlignment w:val="center"/>
              <w:rPr>
                <w:szCs w:val="21"/>
              </w:rPr>
            </w:pPr>
            <w:r>
              <w:rPr>
                <w:rFonts w:hint="eastAsia"/>
                <w:szCs w:val="21"/>
              </w:rPr>
              <w:t>2.颜色：国标色号73-B03，要求静电喷粉设计工艺，表面光滑无毛刺，防腐。</w:t>
            </w:r>
          </w:p>
          <w:p>
            <w:pPr>
              <w:widowControl/>
              <w:ind w:firstLine="420"/>
              <w:textAlignment w:val="center"/>
              <w:rPr>
                <w:szCs w:val="21"/>
              </w:rPr>
            </w:pPr>
            <w:r>
              <w:rPr>
                <w:rFonts w:hint="eastAsia"/>
                <w:szCs w:val="21"/>
              </w:rPr>
              <w:t>3.控制台台面为全平台面，可根据需要配置安装应急广播适配器、调音台的机架。</w:t>
            </w:r>
          </w:p>
          <w:p>
            <w:pPr>
              <w:widowControl/>
              <w:ind w:firstLine="420"/>
              <w:textAlignment w:val="center"/>
              <w:rPr>
                <w:szCs w:val="21"/>
              </w:rPr>
            </w:pPr>
            <w:r>
              <w:rPr>
                <w:rFonts w:hint="eastAsia"/>
                <w:szCs w:val="21"/>
              </w:rPr>
              <w:t>4.控制台下部（相对于台面，下同）均为机架式设计，可放置标准19寸设备，容量为6U或更大。正面具有双开钢制门，后面为抽取式钢制门。</w:t>
            </w:r>
          </w:p>
          <w:p>
            <w:pPr>
              <w:widowControl/>
              <w:ind w:firstLine="420"/>
              <w:textAlignment w:val="center"/>
              <w:rPr>
                <w:szCs w:val="21"/>
              </w:rPr>
            </w:pPr>
            <w:r>
              <w:rPr>
                <w:rFonts w:hint="eastAsia"/>
                <w:szCs w:val="21"/>
              </w:rPr>
              <w:t>5.台面配有推拉式键盘抽屉，台面预留不少于5个鼠标线孔，动圈话筒线多余长度可放入该孔进行隐藏，达到美观效果。</w:t>
            </w:r>
          </w:p>
          <w:p>
            <w:pPr>
              <w:widowControl/>
              <w:ind w:firstLine="420"/>
              <w:textAlignment w:val="center"/>
              <w:rPr>
                <w:szCs w:val="21"/>
              </w:rPr>
            </w:pPr>
            <w:r>
              <w:rPr>
                <w:rFonts w:hint="eastAsia"/>
                <w:szCs w:val="21"/>
              </w:rPr>
              <w:t>6.后门及两侧预留大面积通风散热小孔或百叶通气槽，可使柜体内部产生循环风而达到散热功能。</w:t>
            </w:r>
          </w:p>
          <w:p>
            <w:pPr>
              <w:widowControl/>
              <w:ind w:firstLine="420"/>
              <w:textAlignment w:val="center"/>
              <w:rPr>
                <w:szCs w:val="21"/>
              </w:rPr>
            </w:pPr>
            <w:r>
              <w:rPr>
                <w:rFonts w:hint="eastAsia"/>
                <w:szCs w:val="21"/>
              </w:rPr>
              <w:t>7.底部预留4个以上穿线口，穿线口盖板螺丝固定。</w:t>
            </w:r>
          </w:p>
          <w:p>
            <w:pPr>
              <w:widowControl/>
              <w:ind w:firstLine="420"/>
              <w:textAlignment w:val="center"/>
              <w:rPr>
                <w:szCs w:val="21"/>
              </w:rPr>
            </w:pPr>
            <w:r>
              <w:rPr>
                <w:rFonts w:hint="eastAsia"/>
                <w:szCs w:val="21"/>
              </w:rPr>
              <w:t>8.每个机架配置19寸机柜专用带开关6位PDU电源插排2个，要求必须集成浪涌保护器（SPD）。</w:t>
            </w:r>
          </w:p>
          <w:p>
            <w:pPr>
              <w:widowControl/>
              <w:ind w:firstLine="420"/>
              <w:textAlignment w:val="center"/>
              <w:rPr>
                <w:szCs w:val="21"/>
              </w:rPr>
            </w:pPr>
            <w:r>
              <w:rPr>
                <w:rFonts w:hint="eastAsia"/>
                <w:szCs w:val="21"/>
              </w:rPr>
              <w:t>9.配件：办公椅不少于4张；每个机架配综合布线架两根；每个机架配托板两块，角铁4对；不少于6孔的接地母排2根（配齐螺丝）；安装螺丝100套。</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szCs w:val="21"/>
              </w:rPr>
            </w:pPr>
            <w:r>
              <w:rPr>
                <w:rFonts w:hint="eastAsia"/>
                <w:szCs w:val="21"/>
              </w:rPr>
              <w:t>1套</w:t>
            </w:r>
          </w:p>
        </w:tc>
      </w:tr>
      <w:tr>
        <w:tblPrEx>
          <w:tblCellMar>
            <w:top w:w="0" w:type="dxa"/>
            <w:left w:w="0" w:type="dxa"/>
            <w:bottom w:w="0" w:type="dxa"/>
            <w:right w:w="0" w:type="dxa"/>
          </w:tblCellMar>
        </w:tblPrEx>
        <w:trPr>
          <w:trHeight w:val="337"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w:t>
            </w:r>
            <w:r>
              <w:rPr>
                <w:bCs/>
                <w:szCs w:val="21"/>
              </w:rPr>
              <w:t>8</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县平台立式机柜</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1.19″标准机柜要求符合GB/T3047.2-92国家标准。</w:t>
            </w:r>
          </w:p>
          <w:p>
            <w:pPr>
              <w:widowControl/>
              <w:adjustRightInd w:val="0"/>
              <w:snapToGrid w:val="0"/>
              <w:ind w:firstLine="420"/>
              <w:textAlignment w:val="center"/>
              <w:rPr>
                <w:szCs w:val="21"/>
              </w:rPr>
            </w:pPr>
            <w:r>
              <w:rPr>
                <w:rFonts w:hint="eastAsia"/>
                <w:szCs w:val="21"/>
              </w:rPr>
              <w:t>2.机架外形尺寸：高2000 mm×宽600 mm ×深900 mm，可根据实际情况进行定制尺寸。</w:t>
            </w:r>
          </w:p>
          <w:p>
            <w:pPr>
              <w:widowControl/>
              <w:adjustRightInd w:val="0"/>
              <w:snapToGrid w:val="0"/>
              <w:ind w:firstLine="420"/>
              <w:textAlignment w:val="center"/>
              <w:rPr>
                <w:szCs w:val="21"/>
              </w:rPr>
            </w:pPr>
            <w:r>
              <w:rPr>
                <w:rFonts w:hint="eastAsia"/>
                <w:szCs w:val="21"/>
              </w:rPr>
              <w:t>3.材料：优质冷轧钢板，立柱、框架承重件厚2.0mm，其余厚均为1.5mm,数控机床加工成型。</w:t>
            </w:r>
          </w:p>
          <w:p>
            <w:pPr>
              <w:widowControl/>
              <w:adjustRightInd w:val="0"/>
              <w:snapToGrid w:val="0"/>
              <w:ind w:firstLine="420"/>
              <w:textAlignment w:val="center"/>
              <w:rPr>
                <w:szCs w:val="21"/>
              </w:rPr>
            </w:pPr>
            <w:r>
              <w:rPr>
                <w:rFonts w:hint="eastAsia"/>
                <w:szCs w:val="21"/>
              </w:rPr>
              <w:t>4.表面处理：热磷化静电喷塑工艺。</w:t>
            </w:r>
          </w:p>
          <w:p>
            <w:pPr>
              <w:widowControl/>
              <w:adjustRightInd w:val="0"/>
              <w:snapToGrid w:val="0"/>
              <w:ind w:firstLine="420"/>
              <w:textAlignment w:val="center"/>
              <w:rPr>
                <w:szCs w:val="21"/>
              </w:rPr>
            </w:pPr>
            <w:r>
              <w:rPr>
                <w:rFonts w:hint="eastAsia"/>
                <w:szCs w:val="21"/>
              </w:rPr>
              <w:t>5.内部件处理：采用热镀锌纯彩工艺。</w:t>
            </w:r>
          </w:p>
          <w:p>
            <w:pPr>
              <w:widowControl/>
              <w:adjustRightInd w:val="0"/>
              <w:snapToGrid w:val="0"/>
              <w:ind w:firstLine="420"/>
              <w:textAlignment w:val="center"/>
              <w:rPr>
                <w:szCs w:val="21"/>
              </w:rPr>
            </w:pPr>
            <w:r>
              <w:rPr>
                <w:rFonts w:hint="eastAsia"/>
                <w:szCs w:val="21"/>
              </w:rPr>
              <w:t>6.风机：滚珠轴承轴流风机120×120 ×25 mm，噪声≤34.9dB/A，无故障寿命大于50000小时。</w:t>
            </w:r>
          </w:p>
          <w:p>
            <w:pPr>
              <w:widowControl/>
              <w:adjustRightInd w:val="0"/>
              <w:snapToGrid w:val="0"/>
              <w:ind w:firstLine="420"/>
              <w:textAlignment w:val="center"/>
              <w:rPr>
                <w:szCs w:val="21"/>
              </w:rPr>
            </w:pPr>
            <w:r>
              <w:rPr>
                <w:rFonts w:hint="eastAsia"/>
                <w:szCs w:val="21"/>
              </w:rPr>
              <w:t>7.接地母排：φ5~10接线螺孔20个以上，配齐螺丝。</w:t>
            </w:r>
          </w:p>
          <w:p>
            <w:pPr>
              <w:widowControl/>
              <w:adjustRightInd w:val="0"/>
              <w:snapToGrid w:val="0"/>
              <w:ind w:firstLine="420"/>
              <w:textAlignment w:val="center"/>
              <w:rPr>
                <w:szCs w:val="21"/>
              </w:rPr>
            </w:pPr>
            <w:r>
              <w:rPr>
                <w:rFonts w:hint="eastAsia"/>
                <w:szCs w:val="21"/>
              </w:rPr>
              <w:t>8.门：前门为带锁网孔门，后门为网孔门，侧门为钢制门可拆卸。</w:t>
            </w:r>
          </w:p>
          <w:p>
            <w:pPr>
              <w:widowControl/>
              <w:adjustRightInd w:val="0"/>
              <w:snapToGrid w:val="0"/>
              <w:ind w:firstLine="420"/>
              <w:textAlignment w:val="center"/>
              <w:rPr>
                <w:szCs w:val="21"/>
              </w:rPr>
            </w:pPr>
            <w:r>
              <w:rPr>
                <w:rFonts w:hint="eastAsia"/>
                <w:szCs w:val="21"/>
              </w:rPr>
              <w:t>9.出线方式：机柜顶部和底部预留穿线口，穿线口盖板用螺丝固定。</w:t>
            </w:r>
          </w:p>
          <w:p>
            <w:pPr>
              <w:widowControl/>
              <w:adjustRightInd w:val="0"/>
              <w:snapToGrid w:val="0"/>
              <w:ind w:firstLine="420"/>
              <w:textAlignment w:val="center"/>
              <w:rPr>
                <w:szCs w:val="21"/>
              </w:rPr>
            </w:pPr>
            <w:r>
              <w:rPr>
                <w:rFonts w:hint="eastAsia"/>
                <w:szCs w:val="21"/>
              </w:rPr>
              <w:t>10.综合布线：机柜后方两侧各配置1根100*1800mm扎线板，多孔，横截面为“[”型。配横向的理线架和扎线杆。</w:t>
            </w:r>
          </w:p>
          <w:p>
            <w:pPr>
              <w:widowControl/>
              <w:adjustRightInd w:val="0"/>
              <w:snapToGrid w:val="0"/>
              <w:ind w:firstLine="420"/>
              <w:textAlignment w:val="center"/>
              <w:rPr>
                <w:szCs w:val="21"/>
              </w:rPr>
            </w:pPr>
            <w:r>
              <w:rPr>
                <w:rFonts w:hint="eastAsia"/>
                <w:szCs w:val="21"/>
              </w:rPr>
              <w:t>11.设备安装：配托板和安装角铁。</w:t>
            </w:r>
          </w:p>
          <w:p>
            <w:pPr>
              <w:widowControl/>
              <w:adjustRightInd w:val="0"/>
              <w:snapToGrid w:val="0"/>
              <w:ind w:firstLine="420"/>
              <w:textAlignment w:val="center"/>
              <w:rPr>
                <w:szCs w:val="21"/>
              </w:rPr>
            </w:pPr>
            <w:r>
              <w:rPr>
                <w:rFonts w:hint="eastAsia"/>
                <w:szCs w:val="21"/>
              </w:rPr>
              <w:t>12.排风散热：轴流风机2~4只（顶部靠后安装）。</w:t>
            </w:r>
          </w:p>
          <w:p>
            <w:pPr>
              <w:widowControl/>
              <w:adjustRightInd w:val="0"/>
              <w:snapToGrid w:val="0"/>
              <w:ind w:firstLine="420"/>
              <w:textAlignment w:val="center"/>
              <w:rPr>
                <w:szCs w:val="21"/>
              </w:rPr>
            </w:pPr>
            <w:r>
              <w:rPr>
                <w:rFonts w:hint="eastAsia"/>
                <w:szCs w:val="21"/>
              </w:rPr>
              <w:t>13.维修照明：可移动LED灯，磁吸式固定，锂电池。</w:t>
            </w:r>
          </w:p>
          <w:p>
            <w:pPr>
              <w:adjustRightInd w:val="0"/>
              <w:snapToGrid w:val="0"/>
              <w:ind w:firstLine="420"/>
              <w:rPr>
                <w:bCs/>
                <w:szCs w:val="21"/>
              </w:rPr>
            </w:pPr>
            <w:r>
              <w:rPr>
                <w:rFonts w:hint="eastAsia"/>
                <w:szCs w:val="21"/>
              </w:rPr>
              <w:t>14.配件：6～8位PDU 6排（集成SPD浪涌保护器）,安装托板4块，安装角铁10付，理线架2根，扎线杆5根，维修灯1盏，接地母排1根，风机4个，安装螺丝200套，重型行走脚轮4个，支撑地脚4个。</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1个</w:t>
            </w:r>
          </w:p>
        </w:tc>
      </w:tr>
      <w:tr>
        <w:tblPrEx>
          <w:tblCellMar>
            <w:top w:w="0" w:type="dxa"/>
            <w:left w:w="0" w:type="dxa"/>
            <w:bottom w:w="0" w:type="dxa"/>
            <w:right w:w="0" w:type="dxa"/>
          </w:tblCellMar>
        </w:tblPrEx>
        <w:trPr>
          <w:trHeight w:val="30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w:t>
            </w:r>
            <w:r>
              <w:rPr>
                <w:bCs/>
                <w:szCs w:val="21"/>
              </w:rPr>
              <w:t>9</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县平台环境监控系统</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adjustRightInd w:val="0"/>
              <w:snapToGrid w:val="0"/>
              <w:ind w:firstLine="420"/>
              <w:rPr>
                <w:szCs w:val="21"/>
              </w:rPr>
            </w:pPr>
            <w:r>
              <w:rPr>
                <w:rFonts w:hint="eastAsia"/>
                <w:szCs w:val="21"/>
              </w:rPr>
              <w:t>包括监控摄像头4个、网络硬盘录像机1台、温湿度传感器2个、烟雾传感器2个、浸水传感器2个、明火传感器2个、环境监控采集器1台、环境监控模块软件1套等。</w:t>
            </w:r>
          </w:p>
          <w:p>
            <w:pPr>
              <w:adjustRightInd w:val="0"/>
              <w:snapToGrid w:val="0"/>
              <w:ind w:firstLine="422"/>
              <w:rPr>
                <w:b/>
                <w:bCs/>
                <w:szCs w:val="21"/>
              </w:rPr>
            </w:pPr>
            <w:r>
              <w:rPr>
                <w:rFonts w:hint="eastAsia"/>
                <w:b/>
                <w:bCs/>
                <w:szCs w:val="21"/>
              </w:rPr>
              <w:t>一、监控摄像头</w:t>
            </w:r>
          </w:p>
          <w:p>
            <w:pPr>
              <w:adjustRightInd w:val="0"/>
              <w:snapToGrid w:val="0"/>
              <w:ind w:firstLine="420"/>
              <w:rPr>
                <w:szCs w:val="21"/>
              </w:rPr>
            </w:pPr>
            <w:r>
              <w:rPr>
                <w:rFonts w:hint="eastAsia"/>
                <w:szCs w:val="21"/>
              </w:rPr>
              <w:t>1、300万1/3” CMOS多功能报警网络摄像机；</w:t>
            </w:r>
          </w:p>
          <w:p>
            <w:pPr>
              <w:adjustRightInd w:val="0"/>
              <w:snapToGrid w:val="0"/>
              <w:ind w:firstLine="420"/>
              <w:rPr>
                <w:szCs w:val="21"/>
              </w:rPr>
            </w:pPr>
            <w:r>
              <w:rPr>
                <w:rFonts w:hint="eastAsia"/>
                <w:szCs w:val="21"/>
              </w:rPr>
              <w:t>2、在1920×1080 @ 60fps分辨率下可输出实时图像；</w:t>
            </w:r>
          </w:p>
          <w:p>
            <w:pPr>
              <w:adjustRightInd w:val="0"/>
              <w:snapToGrid w:val="0"/>
              <w:ind w:firstLine="420"/>
              <w:rPr>
                <w:szCs w:val="21"/>
              </w:rPr>
            </w:pPr>
            <w:r>
              <w:rPr>
                <w:rFonts w:hint="eastAsia"/>
                <w:szCs w:val="21"/>
              </w:rPr>
              <w:t>3、配置高效红外灯，照射距离可达10米；</w:t>
            </w:r>
          </w:p>
          <w:p>
            <w:pPr>
              <w:adjustRightInd w:val="0"/>
              <w:snapToGrid w:val="0"/>
              <w:ind w:firstLine="420"/>
              <w:rPr>
                <w:szCs w:val="21"/>
              </w:rPr>
            </w:pPr>
            <w:r>
              <w:rPr>
                <w:rFonts w:hint="eastAsia"/>
                <w:szCs w:val="21"/>
              </w:rPr>
              <w:t>4、内置麦克风和喇叭，支持双向音频；</w:t>
            </w:r>
          </w:p>
          <w:p>
            <w:pPr>
              <w:adjustRightInd w:val="0"/>
              <w:snapToGrid w:val="0"/>
              <w:ind w:firstLine="420"/>
              <w:rPr>
                <w:szCs w:val="21"/>
              </w:rPr>
            </w:pPr>
            <w:r>
              <w:rPr>
                <w:rFonts w:hint="eastAsia"/>
                <w:szCs w:val="21"/>
              </w:rPr>
              <w:t>5、支持PIR人体侦测功能；</w:t>
            </w:r>
          </w:p>
          <w:p>
            <w:pPr>
              <w:adjustRightInd w:val="0"/>
              <w:snapToGrid w:val="0"/>
              <w:ind w:firstLine="420"/>
              <w:rPr>
                <w:szCs w:val="21"/>
              </w:rPr>
            </w:pPr>
            <w:r>
              <w:rPr>
                <w:rFonts w:hint="eastAsia"/>
                <w:szCs w:val="21"/>
              </w:rPr>
              <w:t>6、日夜转换采用 ICR红外滤片式；</w:t>
            </w:r>
          </w:p>
          <w:p>
            <w:pPr>
              <w:adjustRightInd w:val="0"/>
              <w:snapToGrid w:val="0"/>
              <w:ind w:firstLine="420"/>
              <w:rPr>
                <w:szCs w:val="21"/>
              </w:rPr>
            </w:pPr>
            <w:r>
              <w:rPr>
                <w:rFonts w:hint="eastAsia"/>
                <w:szCs w:val="21"/>
              </w:rPr>
              <w:t>7、可支持PoE供电；</w:t>
            </w:r>
          </w:p>
          <w:p>
            <w:pPr>
              <w:adjustRightInd w:val="0"/>
              <w:snapToGrid w:val="0"/>
              <w:ind w:firstLine="420"/>
              <w:rPr>
                <w:szCs w:val="21"/>
              </w:rPr>
            </w:pPr>
            <w:r>
              <w:rPr>
                <w:rFonts w:hint="eastAsia"/>
                <w:szCs w:val="21"/>
              </w:rPr>
              <w:t>8、支持3D数字降噪；</w:t>
            </w:r>
          </w:p>
          <w:p>
            <w:pPr>
              <w:adjustRightInd w:val="0"/>
              <w:snapToGrid w:val="0"/>
              <w:ind w:firstLine="420"/>
              <w:rPr>
                <w:szCs w:val="21"/>
              </w:rPr>
            </w:pPr>
            <w:r>
              <w:rPr>
                <w:rFonts w:hint="eastAsia"/>
                <w:szCs w:val="21"/>
              </w:rPr>
              <w:t>9、支持走廊模式，背光补偿，数字宽动态，适应不同监控环境；</w:t>
            </w:r>
          </w:p>
          <w:p>
            <w:pPr>
              <w:adjustRightInd w:val="0"/>
              <w:snapToGrid w:val="0"/>
              <w:ind w:firstLine="420"/>
              <w:rPr>
                <w:szCs w:val="21"/>
                <w:lang w:val="en-US"/>
              </w:rPr>
            </w:pPr>
            <w:r>
              <w:rPr>
                <w:rFonts w:hint="eastAsia"/>
                <w:szCs w:val="21"/>
                <w:lang w:val="en-US"/>
              </w:rPr>
              <w:t>10</w:t>
            </w:r>
            <w:r>
              <w:rPr>
                <w:rFonts w:hint="eastAsia"/>
                <w:szCs w:val="21"/>
              </w:rPr>
              <w:t>、最小照度</w:t>
            </w:r>
            <w:r>
              <w:rPr>
                <w:rFonts w:hint="eastAsia"/>
                <w:szCs w:val="21"/>
                <w:lang w:val="en-US"/>
              </w:rPr>
              <w:t>：0.02Lux @(F1.2,AGC ON) ，0 Lux with IR；</w:t>
            </w:r>
          </w:p>
          <w:p>
            <w:pPr>
              <w:adjustRightInd w:val="0"/>
              <w:snapToGrid w:val="0"/>
              <w:ind w:firstLine="420"/>
              <w:rPr>
                <w:szCs w:val="21"/>
              </w:rPr>
            </w:pPr>
            <w:r>
              <w:rPr>
                <w:rFonts w:hint="eastAsia"/>
                <w:szCs w:val="21"/>
              </w:rPr>
              <w:t>11、共四个，其中三个镜头焦距根据现场安装环境可选择2.8MM、4MM、6MM，分别安装在指挥中心、机房和走廊；一个为20倍光学变焦，带可360度可控云台，安装在指挥中心大屏正前方。</w:t>
            </w:r>
          </w:p>
          <w:p>
            <w:pPr>
              <w:adjustRightInd w:val="0"/>
              <w:snapToGrid w:val="0"/>
              <w:ind w:firstLine="420"/>
              <w:rPr>
                <w:szCs w:val="21"/>
              </w:rPr>
            </w:pPr>
            <w:r>
              <w:rPr>
                <w:rFonts w:hint="eastAsia"/>
                <w:szCs w:val="21"/>
              </w:rPr>
              <w:t>12、支持数字宽动态；</w:t>
            </w:r>
          </w:p>
          <w:p>
            <w:pPr>
              <w:adjustRightInd w:val="0"/>
              <w:snapToGrid w:val="0"/>
              <w:ind w:firstLine="420"/>
              <w:rPr>
                <w:szCs w:val="21"/>
              </w:rPr>
            </w:pPr>
            <w:r>
              <w:rPr>
                <w:rFonts w:hint="eastAsia"/>
                <w:szCs w:val="21"/>
              </w:rPr>
              <w:t>13、采用H.264/MJPEG视频压缩标准；</w:t>
            </w:r>
          </w:p>
          <w:p>
            <w:pPr>
              <w:adjustRightInd w:val="0"/>
              <w:snapToGrid w:val="0"/>
              <w:ind w:firstLine="420"/>
              <w:rPr>
                <w:szCs w:val="21"/>
              </w:rPr>
            </w:pPr>
            <w:r>
              <w:rPr>
                <w:rFonts w:hint="eastAsia"/>
                <w:szCs w:val="21"/>
              </w:rPr>
              <w:t>14、H.264编码类型：Main Profile；</w:t>
            </w:r>
          </w:p>
          <w:p>
            <w:pPr>
              <w:adjustRightInd w:val="0"/>
              <w:snapToGrid w:val="0"/>
              <w:ind w:firstLine="420"/>
              <w:rPr>
                <w:szCs w:val="21"/>
              </w:rPr>
            </w:pPr>
            <w:r>
              <w:rPr>
                <w:rFonts w:hint="eastAsia"/>
                <w:szCs w:val="21"/>
              </w:rPr>
              <w:t>15、视频压缩码率：32Kbps～16Mbps；</w:t>
            </w:r>
          </w:p>
          <w:p>
            <w:pPr>
              <w:adjustRightInd w:val="0"/>
              <w:snapToGrid w:val="0"/>
              <w:ind w:firstLine="420"/>
              <w:rPr>
                <w:szCs w:val="21"/>
              </w:rPr>
            </w:pPr>
            <w:r>
              <w:rPr>
                <w:rFonts w:hint="eastAsia"/>
                <w:szCs w:val="21"/>
              </w:rPr>
              <w:t>16、音频压缩标准：G.711/G.726；</w:t>
            </w:r>
          </w:p>
          <w:p>
            <w:pPr>
              <w:adjustRightInd w:val="0"/>
              <w:snapToGrid w:val="0"/>
              <w:ind w:firstLine="420"/>
              <w:rPr>
                <w:szCs w:val="21"/>
              </w:rPr>
            </w:pPr>
            <w:r>
              <w:rPr>
                <w:rFonts w:hint="eastAsia"/>
                <w:szCs w:val="21"/>
              </w:rPr>
              <w:t>17、音频压缩码率：64Kbps(G.711)/16Kbps(G.726)；</w:t>
            </w:r>
          </w:p>
          <w:p>
            <w:pPr>
              <w:adjustRightInd w:val="0"/>
              <w:snapToGrid w:val="0"/>
              <w:ind w:firstLine="420"/>
              <w:rPr>
                <w:szCs w:val="21"/>
              </w:rPr>
            </w:pPr>
            <w:r>
              <w:rPr>
                <w:rFonts w:hint="eastAsia"/>
                <w:szCs w:val="21"/>
              </w:rPr>
              <w:t>18、帧率：50Hz：25fps(1280×720)；</w:t>
            </w:r>
          </w:p>
          <w:p>
            <w:pPr>
              <w:adjustRightInd w:val="0"/>
              <w:snapToGrid w:val="0"/>
              <w:ind w:firstLine="420"/>
              <w:rPr>
                <w:szCs w:val="21"/>
              </w:rPr>
            </w:pPr>
            <w:r>
              <w:rPr>
                <w:rFonts w:hint="eastAsia"/>
                <w:szCs w:val="21"/>
              </w:rPr>
              <w:t>19、支持协议：TCP/IP、ICMP、HTTP、HTTPS、FTP、DHCP、DNS、DDNS、RTP、RTSP、RTCP等；</w:t>
            </w:r>
          </w:p>
          <w:p>
            <w:pPr>
              <w:adjustRightInd w:val="0"/>
              <w:snapToGrid w:val="0"/>
              <w:ind w:firstLine="420"/>
              <w:rPr>
                <w:szCs w:val="21"/>
              </w:rPr>
            </w:pPr>
            <w:r>
              <w:rPr>
                <w:rFonts w:hint="eastAsia"/>
                <w:szCs w:val="21"/>
              </w:rPr>
              <w:t>20、1个RJ45 10M/100M自适应以太网口；</w:t>
            </w:r>
          </w:p>
          <w:p>
            <w:pPr>
              <w:adjustRightInd w:val="0"/>
              <w:snapToGrid w:val="0"/>
              <w:ind w:firstLine="420"/>
              <w:rPr>
                <w:szCs w:val="21"/>
              </w:rPr>
            </w:pPr>
            <w:r>
              <w:rPr>
                <w:rFonts w:hint="eastAsia"/>
                <w:szCs w:val="21"/>
              </w:rPr>
              <w:t>21、报警输入：1路；</w:t>
            </w:r>
          </w:p>
          <w:p>
            <w:pPr>
              <w:adjustRightInd w:val="0"/>
              <w:snapToGrid w:val="0"/>
              <w:ind w:firstLine="420"/>
              <w:rPr>
                <w:szCs w:val="21"/>
              </w:rPr>
            </w:pPr>
            <w:r>
              <w:rPr>
                <w:rFonts w:hint="eastAsia"/>
                <w:szCs w:val="21"/>
              </w:rPr>
              <w:t>22、报警输出：1路；</w:t>
            </w:r>
          </w:p>
          <w:p>
            <w:pPr>
              <w:adjustRightInd w:val="0"/>
              <w:snapToGrid w:val="0"/>
              <w:ind w:firstLine="420"/>
              <w:rPr>
                <w:szCs w:val="21"/>
              </w:rPr>
            </w:pPr>
            <w:r>
              <w:rPr>
                <w:rFonts w:hint="eastAsia"/>
                <w:szCs w:val="21"/>
              </w:rPr>
              <w:t>23、工作温度和湿度：-30℃～55℃、湿度小于95%(无凝结)；</w:t>
            </w:r>
          </w:p>
          <w:p>
            <w:pPr>
              <w:adjustRightInd w:val="0"/>
              <w:snapToGrid w:val="0"/>
              <w:ind w:firstLine="420"/>
              <w:rPr>
                <w:szCs w:val="21"/>
              </w:rPr>
            </w:pPr>
            <w:r>
              <w:rPr>
                <w:rFonts w:hint="eastAsia"/>
                <w:szCs w:val="21"/>
              </w:rPr>
              <w:t>24、电源供应：PoE(802.3af)，或DC12V±10% ；</w:t>
            </w:r>
          </w:p>
          <w:p>
            <w:pPr>
              <w:adjustRightInd w:val="0"/>
              <w:snapToGrid w:val="0"/>
              <w:ind w:firstLine="420"/>
              <w:rPr>
                <w:szCs w:val="21"/>
              </w:rPr>
            </w:pPr>
            <w:r>
              <w:rPr>
                <w:rFonts w:hint="eastAsia"/>
                <w:szCs w:val="21"/>
              </w:rPr>
              <w:t>25、一体式安装支架。</w:t>
            </w:r>
          </w:p>
          <w:p>
            <w:pPr>
              <w:adjustRightInd w:val="0"/>
              <w:snapToGrid w:val="0"/>
              <w:ind w:firstLine="422"/>
              <w:rPr>
                <w:b/>
                <w:bCs/>
                <w:szCs w:val="21"/>
              </w:rPr>
            </w:pPr>
            <w:r>
              <w:rPr>
                <w:rFonts w:hint="eastAsia"/>
                <w:b/>
                <w:bCs/>
                <w:szCs w:val="21"/>
              </w:rPr>
              <w:t>二、网络硬盘录像机</w:t>
            </w:r>
          </w:p>
          <w:p>
            <w:pPr>
              <w:adjustRightInd w:val="0"/>
              <w:snapToGrid w:val="0"/>
              <w:ind w:firstLine="420"/>
              <w:rPr>
                <w:szCs w:val="21"/>
              </w:rPr>
            </w:pPr>
            <w:r>
              <w:rPr>
                <w:rFonts w:hint="eastAsia"/>
                <w:szCs w:val="21"/>
              </w:rPr>
              <w:t>1.可接驳符合ONVIF、PSIA、RTSP标准及众多主流厂商的网络摄像机；</w:t>
            </w:r>
          </w:p>
          <w:p>
            <w:pPr>
              <w:adjustRightInd w:val="0"/>
              <w:snapToGrid w:val="0"/>
              <w:ind w:firstLine="420"/>
              <w:rPr>
                <w:szCs w:val="21"/>
              </w:rPr>
            </w:pPr>
            <w:r>
              <w:rPr>
                <w:rFonts w:hint="eastAsia"/>
                <w:szCs w:val="21"/>
              </w:rPr>
              <w:t>2.支持4K高清网络视频的预览、存储与回放；</w:t>
            </w:r>
          </w:p>
          <w:p>
            <w:pPr>
              <w:adjustRightInd w:val="0"/>
              <w:snapToGrid w:val="0"/>
              <w:ind w:firstLine="420"/>
              <w:rPr>
                <w:szCs w:val="21"/>
              </w:rPr>
            </w:pPr>
            <w:r>
              <w:rPr>
                <w:rFonts w:hint="eastAsia"/>
                <w:szCs w:val="21"/>
              </w:rPr>
              <w:t>3.支持HDMI与VGA同源输出，支持4K高清分辨率输出；</w:t>
            </w:r>
          </w:p>
          <w:p>
            <w:pPr>
              <w:adjustRightInd w:val="0"/>
              <w:snapToGrid w:val="0"/>
              <w:ind w:firstLine="420"/>
              <w:rPr>
                <w:szCs w:val="21"/>
              </w:rPr>
            </w:pPr>
            <w:r>
              <w:rPr>
                <w:rFonts w:hint="eastAsia"/>
                <w:szCs w:val="21"/>
              </w:rPr>
              <w:t>4.支持H.265、H.264编码前端自适应接入；</w:t>
            </w:r>
          </w:p>
          <w:p>
            <w:pPr>
              <w:adjustRightInd w:val="0"/>
              <w:snapToGrid w:val="0"/>
              <w:ind w:firstLine="420"/>
              <w:rPr>
                <w:szCs w:val="21"/>
              </w:rPr>
            </w:pPr>
            <w:r>
              <w:rPr>
                <w:rFonts w:hint="eastAsia"/>
                <w:szCs w:val="21"/>
              </w:rPr>
              <w:t>5.支持IPC集中管理，包括IPC参数配置、信息的导入/导出、语音对讲和升级等功能；</w:t>
            </w:r>
          </w:p>
          <w:p>
            <w:pPr>
              <w:adjustRightInd w:val="0"/>
              <w:snapToGrid w:val="0"/>
              <w:ind w:firstLine="420"/>
              <w:rPr>
                <w:szCs w:val="21"/>
              </w:rPr>
            </w:pPr>
            <w:r>
              <w:rPr>
                <w:rFonts w:hint="eastAsia"/>
                <w:szCs w:val="21"/>
              </w:rPr>
              <w:t>6.支持SMART IPC越界、进入区域、离开区域、区域入侵、徘徊、人员聚焦、快速移动、非法停车、物品遗留、物品拿取、人脸、车牌、音频输入异常、声强突变、虚焦以及场景变更等多种智能侦测接入与联动；</w:t>
            </w:r>
          </w:p>
          <w:p>
            <w:pPr>
              <w:adjustRightInd w:val="0"/>
              <w:snapToGrid w:val="0"/>
              <w:ind w:firstLine="420"/>
              <w:rPr>
                <w:szCs w:val="21"/>
              </w:rPr>
            </w:pPr>
            <w:r>
              <w:rPr>
                <w:rFonts w:hint="eastAsia"/>
                <w:szCs w:val="21"/>
              </w:rPr>
              <w:t>7.支持视频摘要回放功能，将不同时间段的多个目标叠加在一个背景上同时回放，跳过无目标的录像时间段，节约回放时间；</w:t>
            </w:r>
          </w:p>
          <w:p>
            <w:pPr>
              <w:adjustRightInd w:val="0"/>
              <w:snapToGrid w:val="0"/>
              <w:ind w:firstLine="420"/>
              <w:rPr>
                <w:szCs w:val="21"/>
              </w:rPr>
            </w:pPr>
            <w:r>
              <w:rPr>
                <w:rFonts w:hint="eastAsia"/>
                <w:szCs w:val="21"/>
              </w:rPr>
              <w:t>8.支持32、64、128、256等超高倍速回放；</w:t>
            </w:r>
          </w:p>
          <w:p>
            <w:pPr>
              <w:adjustRightInd w:val="0"/>
              <w:snapToGrid w:val="0"/>
              <w:ind w:firstLine="420"/>
              <w:rPr>
                <w:szCs w:val="21"/>
              </w:rPr>
            </w:pPr>
            <w:r>
              <w:rPr>
                <w:rFonts w:hint="eastAsia"/>
                <w:szCs w:val="21"/>
              </w:rPr>
              <w:t>9.支持即时回放功能，在预览画面下对指定通道的当前录像进行回放，并且不影响其他通道预览；</w:t>
            </w:r>
          </w:p>
          <w:p>
            <w:pPr>
              <w:adjustRightInd w:val="0"/>
              <w:snapToGrid w:val="0"/>
              <w:ind w:firstLine="420"/>
              <w:rPr>
                <w:szCs w:val="21"/>
              </w:rPr>
            </w:pPr>
            <w:r>
              <w:rPr>
                <w:rFonts w:hint="eastAsia"/>
                <w:szCs w:val="21"/>
              </w:rPr>
              <w:t>10.支持智能搜索、回放及备份功能，有效提高录像检索与回放效率；</w:t>
            </w:r>
          </w:p>
          <w:p>
            <w:pPr>
              <w:adjustRightInd w:val="0"/>
              <w:snapToGrid w:val="0"/>
              <w:ind w:firstLine="420"/>
              <w:rPr>
                <w:szCs w:val="21"/>
              </w:rPr>
            </w:pPr>
            <w:r>
              <w:rPr>
                <w:rFonts w:hint="eastAsia"/>
                <w:szCs w:val="21"/>
              </w:rPr>
              <w:t>11.具有不少于4个硬盘接口；</w:t>
            </w:r>
          </w:p>
          <w:p>
            <w:pPr>
              <w:adjustRightInd w:val="0"/>
              <w:snapToGrid w:val="0"/>
              <w:ind w:firstLine="420"/>
              <w:rPr>
                <w:szCs w:val="21"/>
              </w:rPr>
            </w:pPr>
            <w:r>
              <w:rPr>
                <w:rFonts w:hint="eastAsia"/>
                <w:szCs w:val="21"/>
              </w:rPr>
              <w:t>12.配接有1个不小于4TB容量的3.5英寸监控级硬盘；</w:t>
            </w:r>
          </w:p>
          <w:p>
            <w:pPr>
              <w:adjustRightInd w:val="0"/>
              <w:snapToGrid w:val="0"/>
              <w:ind w:firstLine="420"/>
              <w:rPr>
                <w:szCs w:val="21"/>
              </w:rPr>
            </w:pPr>
            <w:r>
              <w:rPr>
                <w:rFonts w:hint="eastAsia"/>
                <w:szCs w:val="21"/>
              </w:rPr>
              <w:t>13.网络视频输入16路；</w:t>
            </w:r>
          </w:p>
          <w:p>
            <w:pPr>
              <w:adjustRightInd w:val="0"/>
              <w:snapToGrid w:val="0"/>
              <w:ind w:firstLine="420"/>
              <w:rPr>
                <w:szCs w:val="21"/>
              </w:rPr>
            </w:pPr>
            <w:r>
              <w:rPr>
                <w:rFonts w:hint="eastAsia"/>
                <w:szCs w:val="21"/>
              </w:rPr>
              <w:t>14.网络视频输入带宽不小于256Mbps；</w:t>
            </w:r>
          </w:p>
          <w:p>
            <w:pPr>
              <w:adjustRightInd w:val="0"/>
              <w:snapToGrid w:val="0"/>
              <w:ind w:firstLine="420"/>
              <w:rPr>
                <w:szCs w:val="21"/>
              </w:rPr>
            </w:pPr>
            <w:r>
              <w:rPr>
                <w:rFonts w:hint="eastAsia"/>
                <w:szCs w:val="21"/>
              </w:rPr>
              <w:t>15.HDMI输出、VGA输出、音频输出各1路；</w:t>
            </w:r>
          </w:p>
          <w:p>
            <w:pPr>
              <w:adjustRightInd w:val="0"/>
              <w:snapToGrid w:val="0"/>
              <w:ind w:firstLine="420"/>
              <w:rPr>
                <w:szCs w:val="21"/>
              </w:rPr>
            </w:pPr>
            <w:r>
              <w:rPr>
                <w:rFonts w:hint="eastAsia"/>
                <w:szCs w:val="21"/>
              </w:rPr>
              <w:t>16.录像分辨率：12MP/8MP/6MP/5MP/4MP/3MP/1080p/UXGA/720p/VGA/4CIF/DCIF/2CIF/CIF/QCIF；</w:t>
            </w:r>
          </w:p>
          <w:p>
            <w:pPr>
              <w:adjustRightInd w:val="0"/>
              <w:snapToGrid w:val="0"/>
              <w:ind w:firstLine="420"/>
              <w:rPr>
                <w:szCs w:val="21"/>
              </w:rPr>
            </w:pPr>
            <w:r>
              <w:rPr>
                <w:rFonts w:hint="eastAsia"/>
                <w:szCs w:val="21"/>
              </w:rPr>
              <w:t>17.硬盘驱动器每个接口支持容量最大6TB的硬盘；</w:t>
            </w:r>
          </w:p>
          <w:p>
            <w:pPr>
              <w:adjustRightInd w:val="0"/>
              <w:snapToGrid w:val="0"/>
              <w:ind w:firstLine="420"/>
              <w:rPr>
                <w:szCs w:val="21"/>
              </w:rPr>
            </w:pPr>
            <w:r>
              <w:rPr>
                <w:rFonts w:hint="eastAsia"/>
                <w:szCs w:val="21"/>
              </w:rPr>
              <w:t>18.同步回放16路；</w:t>
            </w:r>
          </w:p>
          <w:p>
            <w:pPr>
              <w:adjustRightInd w:val="0"/>
              <w:snapToGrid w:val="0"/>
              <w:ind w:firstLine="420"/>
              <w:rPr>
                <w:szCs w:val="21"/>
              </w:rPr>
            </w:pPr>
            <w:r>
              <w:rPr>
                <w:rFonts w:hint="eastAsia"/>
                <w:szCs w:val="21"/>
              </w:rPr>
              <w:t>19.回放模式：即时回放、常规回放、事件回放、标签回放、智能回放、视频摘要回放、分时段回放、外部文件回放；</w:t>
            </w:r>
          </w:p>
          <w:p>
            <w:pPr>
              <w:adjustRightInd w:val="0"/>
              <w:snapToGrid w:val="0"/>
              <w:ind w:firstLine="420"/>
              <w:rPr>
                <w:szCs w:val="21"/>
              </w:rPr>
            </w:pPr>
            <w:r>
              <w:rPr>
                <w:rFonts w:hint="eastAsia"/>
                <w:szCs w:val="21"/>
              </w:rPr>
              <w:t>20.录像/抓图模式：手动录像、定时录像、事件录像、移动侦测录像、报警录像、动测或报警录像、动测和报警录像；</w:t>
            </w:r>
          </w:p>
          <w:p>
            <w:pPr>
              <w:adjustRightInd w:val="0"/>
              <w:snapToGrid w:val="0"/>
              <w:ind w:firstLine="420"/>
              <w:rPr>
                <w:szCs w:val="21"/>
              </w:rPr>
            </w:pPr>
            <w:r>
              <w:rPr>
                <w:rFonts w:hint="eastAsia"/>
                <w:szCs w:val="21"/>
              </w:rPr>
              <w:t>21.备份模式：常规备份、事件备份、录像剪辑备份；</w:t>
            </w:r>
          </w:p>
          <w:p>
            <w:pPr>
              <w:adjustRightInd w:val="0"/>
              <w:snapToGrid w:val="0"/>
              <w:ind w:firstLine="420"/>
              <w:rPr>
                <w:szCs w:val="21"/>
              </w:rPr>
            </w:pPr>
            <w:r>
              <w:rPr>
                <w:rFonts w:hint="eastAsia"/>
                <w:szCs w:val="21"/>
              </w:rPr>
              <w:t>22.网络协议：UPnP（即插即用）、 SNMP（简单网络管理）、NTP（网络校时）、SADP（自动搜索IP地址）、SMTP（邮件服务）、 NFS（接入NAS）、iSCSI（IP SAN应用）、PPPoE（拨号上网）、DHCP（动态域名解析）；</w:t>
            </w:r>
          </w:p>
          <w:p>
            <w:pPr>
              <w:adjustRightInd w:val="0"/>
              <w:snapToGrid w:val="0"/>
              <w:ind w:firstLine="420"/>
              <w:rPr>
                <w:szCs w:val="21"/>
              </w:rPr>
            </w:pPr>
            <w:r>
              <w:rPr>
                <w:rFonts w:hint="eastAsia"/>
                <w:szCs w:val="21"/>
              </w:rPr>
              <w:t>23.语音对讲输入：1个，RCA接口（电平：2.0Vp-p，阻抗：1kΩ）；</w:t>
            </w:r>
          </w:p>
          <w:p>
            <w:pPr>
              <w:adjustRightInd w:val="0"/>
              <w:snapToGrid w:val="0"/>
              <w:ind w:firstLine="420"/>
              <w:rPr>
                <w:szCs w:val="21"/>
              </w:rPr>
            </w:pPr>
            <w:r>
              <w:rPr>
                <w:rFonts w:hint="eastAsia"/>
                <w:szCs w:val="21"/>
              </w:rPr>
              <w:t>24.16路报警输入接口，4路报警输出接口；</w:t>
            </w:r>
          </w:p>
          <w:p>
            <w:pPr>
              <w:adjustRightInd w:val="0"/>
              <w:snapToGrid w:val="0"/>
              <w:ind w:firstLine="420"/>
              <w:rPr>
                <w:szCs w:val="21"/>
              </w:rPr>
            </w:pPr>
            <w:r>
              <w:rPr>
                <w:rFonts w:hint="eastAsia"/>
                <w:szCs w:val="21"/>
              </w:rPr>
              <w:t>25.1个RJ45 10M/100M/1000M自适应以太网口；</w:t>
            </w:r>
          </w:p>
          <w:p>
            <w:pPr>
              <w:adjustRightInd w:val="0"/>
              <w:snapToGrid w:val="0"/>
              <w:ind w:firstLine="420"/>
              <w:rPr>
                <w:szCs w:val="21"/>
              </w:rPr>
            </w:pPr>
            <w:r>
              <w:rPr>
                <w:rFonts w:hint="eastAsia"/>
                <w:szCs w:val="21"/>
              </w:rPr>
              <w:t>26.USB接口：3个，1个USB 3.0、2个USB 2.0；</w:t>
            </w:r>
          </w:p>
          <w:p>
            <w:pPr>
              <w:adjustRightInd w:val="0"/>
              <w:snapToGrid w:val="0"/>
              <w:ind w:firstLine="420"/>
              <w:rPr>
                <w:szCs w:val="21"/>
              </w:rPr>
            </w:pPr>
            <w:r>
              <w:rPr>
                <w:rFonts w:hint="eastAsia"/>
                <w:szCs w:val="21"/>
              </w:rPr>
              <w:t>27.POE：16个POE接口，IEEE 802.3af/at标准，RJ45 10M/100M自适应以太网口；</w:t>
            </w:r>
          </w:p>
          <w:p>
            <w:pPr>
              <w:adjustRightInd w:val="0"/>
              <w:snapToGrid w:val="0"/>
              <w:ind w:firstLine="422"/>
              <w:rPr>
                <w:b/>
                <w:bCs/>
                <w:szCs w:val="21"/>
              </w:rPr>
            </w:pPr>
            <w:r>
              <w:rPr>
                <w:rFonts w:hint="eastAsia"/>
                <w:b/>
                <w:bCs/>
                <w:szCs w:val="21"/>
              </w:rPr>
              <w:t>三、温湿度传感器</w:t>
            </w:r>
          </w:p>
          <w:p>
            <w:pPr>
              <w:adjustRightInd w:val="0"/>
              <w:snapToGrid w:val="0"/>
              <w:ind w:firstLine="420"/>
              <w:rPr>
                <w:szCs w:val="21"/>
              </w:rPr>
            </w:pPr>
            <w:r>
              <w:rPr>
                <w:rFonts w:hint="eastAsia"/>
                <w:szCs w:val="21"/>
              </w:rPr>
              <w:t>1、功能：将温度、湿度变为电信号；</w:t>
            </w:r>
          </w:p>
          <w:p>
            <w:pPr>
              <w:adjustRightInd w:val="0"/>
              <w:snapToGrid w:val="0"/>
              <w:ind w:firstLine="420"/>
              <w:rPr>
                <w:szCs w:val="21"/>
              </w:rPr>
            </w:pPr>
            <w:r>
              <w:rPr>
                <w:rFonts w:hint="eastAsia"/>
                <w:szCs w:val="21"/>
              </w:rPr>
              <w:t>2、供电：+24VDC；</w:t>
            </w:r>
          </w:p>
          <w:p>
            <w:pPr>
              <w:adjustRightInd w:val="0"/>
              <w:snapToGrid w:val="0"/>
              <w:ind w:firstLine="420"/>
              <w:rPr>
                <w:szCs w:val="21"/>
              </w:rPr>
            </w:pPr>
            <w:r>
              <w:rPr>
                <w:rFonts w:hint="eastAsia"/>
                <w:szCs w:val="21"/>
              </w:rPr>
              <w:t>3、量程：湿度：5%～95%RH；温度：0～50℃；</w:t>
            </w:r>
          </w:p>
          <w:p>
            <w:pPr>
              <w:adjustRightInd w:val="0"/>
              <w:snapToGrid w:val="0"/>
              <w:ind w:firstLine="420"/>
              <w:rPr>
                <w:szCs w:val="21"/>
              </w:rPr>
            </w:pPr>
            <w:r>
              <w:rPr>
                <w:rFonts w:hint="eastAsia"/>
                <w:szCs w:val="21"/>
              </w:rPr>
              <w:t>4、准确度：湿度：±3%RH；温度：±0.5℃；</w:t>
            </w:r>
          </w:p>
          <w:p>
            <w:pPr>
              <w:adjustRightInd w:val="0"/>
              <w:snapToGrid w:val="0"/>
              <w:ind w:firstLine="420"/>
              <w:rPr>
                <w:szCs w:val="21"/>
              </w:rPr>
            </w:pPr>
            <w:r>
              <w:rPr>
                <w:rFonts w:hint="eastAsia"/>
                <w:szCs w:val="21"/>
              </w:rPr>
              <w:t>5、工作温度：-10℃～+60℃；</w:t>
            </w:r>
          </w:p>
          <w:p>
            <w:pPr>
              <w:adjustRightInd w:val="0"/>
              <w:snapToGrid w:val="0"/>
              <w:ind w:firstLine="420"/>
              <w:rPr>
                <w:szCs w:val="21"/>
              </w:rPr>
            </w:pPr>
            <w:r>
              <w:rPr>
                <w:rFonts w:hint="eastAsia"/>
                <w:szCs w:val="21"/>
              </w:rPr>
              <w:t>6、长期稳定性：湿度：&lt;1%RH/年；温度：＜0.1℃/年；</w:t>
            </w:r>
          </w:p>
          <w:p>
            <w:pPr>
              <w:adjustRightInd w:val="0"/>
              <w:snapToGrid w:val="0"/>
              <w:ind w:firstLine="420"/>
              <w:rPr>
                <w:szCs w:val="21"/>
              </w:rPr>
            </w:pPr>
            <w:r>
              <w:rPr>
                <w:rFonts w:hint="eastAsia"/>
                <w:szCs w:val="21"/>
              </w:rPr>
              <w:t>7、响应时间：≤25s（1m/s风速）；</w:t>
            </w:r>
          </w:p>
          <w:p>
            <w:pPr>
              <w:adjustRightInd w:val="0"/>
              <w:snapToGrid w:val="0"/>
              <w:ind w:firstLine="420"/>
              <w:rPr>
                <w:szCs w:val="21"/>
              </w:rPr>
            </w:pPr>
            <w:r>
              <w:rPr>
                <w:rFonts w:hint="eastAsia"/>
                <w:szCs w:val="21"/>
              </w:rPr>
              <w:t>8、输出信号：电流输出，两线制：4～20mA；</w:t>
            </w:r>
          </w:p>
          <w:p>
            <w:pPr>
              <w:adjustRightInd w:val="0"/>
              <w:snapToGrid w:val="0"/>
              <w:ind w:firstLine="420"/>
              <w:rPr>
                <w:szCs w:val="21"/>
              </w:rPr>
            </w:pPr>
            <w:r>
              <w:rPr>
                <w:rFonts w:hint="eastAsia"/>
                <w:szCs w:val="21"/>
              </w:rPr>
              <w:t>9、安装方式：壁挂式；</w:t>
            </w:r>
          </w:p>
          <w:p>
            <w:pPr>
              <w:adjustRightInd w:val="0"/>
              <w:snapToGrid w:val="0"/>
              <w:ind w:firstLine="420"/>
              <w:rPr>
                <w:szCs w:val="21"/>
              </w:rPr>
            </w:pPr>
            <w:r>
              <w:rPr>
                <w:rFonts w:hint="eastAsia"/>
                <w:szCs w:val="21"/>
              </w:rPr>
              <w:t>10、外型：ABS树脂；</w:t>
            </w:r>
          </w:p>
          <w:p>
            <w:pPr>
              <w:adjustRightInd w:val="0"/>
              <w:snapToGrid w:val="0"/>
              <w:ind w:firstLine="420"/>
              <w:rPr>
                <w:szCs w:val="21"/>
              </w:rPr>
            </w:pPr>
            <w:r>
              <w:rPr>
                <w:rFonts w:hint="eastAsia"/>
                <w:szCs w:val="21"/>
              </w:rPr>
              <w:t>11、数字传输（抗干扰性强）：采用信道编码技术使误码率降低，提高传输的可靠性。。</w:t>
            </w:r>
          </w:p>
          <w:p>
            <w:pPr>
              <w:adjustRightInd w:val="0"/>
              <w:snapToGrid w:val="0"/>
              <w:ind w:firstLine="422"/>
              <w:rPr>
                <w:b/>
                <w:bCs/>
                <w:szCs w:val="21"/>
              </w:rPr>
            </w:pPr>
            <w:r>
              <w:rPr>
                <w:rFonts w:hint="eastAsia"/>
                <w:b/>
                <w:bCs/>
                <w:szCs w:val="21"/>
              </w:rPr>
              <w:t>四、烟雾传感器</w:t>
            </w:r>
          </w:p>
          <w:p>
            <w:pPr>
              <w:adjustRightInd w:val="0"/>
              <w:snapToGrid w:val="0"/>
              <w:ind w:firstLine="420"/>
              <w:rPr>
                <w:szCs w:val="21"/>
              </w:rPr>
            </w:pPr>
            <w:r>
              <w:rPr>
                <w:rFonts w:hint="eastAsia"/>
                <w:szCs w:val="21"/>
              </w:rPr>
              <w:t>1.功能：离子感烟报警。</w:t>
            </w:r>
          </w:p>
          <w:p>
            <w:pPr>
              <w:adjustRightInd w:val="0"/>
              <w:snapToGrid w:val="0"/>
              <w:ind w:firstLine="420"/>
              <w:rPr>
                <w:szCs w:val="21"/>
              </w:rPr>
            </w:pPr>
            <w:r>
              <w:rPr>
                <w:rFonts w:hint="eastAsia"/>
                <w:szCs w:val="21"/>
              </w:rPr>
              <w:t>2.供电：+24VDC。</w:t>
            </w:r>
          </w:p>
          <w:p>
            <w:pPr>
              <w:adjustRightInd w:val="0"/>
              <w:snapToGrid w:val="0"/>
              <w:ind w:firstLine="420"/>
              <w:rPr>
                <w:szCs w:val="21"/>
              </w:rPr>
            </w:pPr>
            <w:r>
              <w:rPr>
                <w:rFonts w:hint="eastAsia"/>
                <w:szCs w:val="21"/>
              </w:rPr>
              <w:t>3.工作温度范围：0℃～49℃。</w:t>
            </w:r>
          </w:p>
          <w:p>
            <w:pPr>
              <w:adjustRightInd w:val="0"/>
              <w:snapToGrid w:val="0"/>
              <w:ind w:firstLine="420"/>
              <w:rPr>
                <w:szCs w:val="21"/>
              </w:rPr>
            </w:pPr>
            <w:r>
              <w:rPr>
                <w:rFonts w:hint="eastAsia"/>
                <w:szCs w:val="21"/>
              </w:rPr>
              <w:t>4.工作湿度范围：10％～93％RH。</w:t>
            </w:r>
          </w:p>
          <w:p>
            <w:pPr>
              <w:adjustRightInd w:val="0"/>
              <w:snapToGrid w:val="0"/>
              <w:ind w:firstLine="420"/>
              <w:rPr>
                <w:szCs w:val="21"/>
              </w:rPr>
            </w:pPr>
            <w:r>
              <w:rPr>
                <w:rFonts w:hint="eastAsia"/>
                <w:szCs w:val="21"/>
              </w:rPr>
              <w:t>5.报警输出：正常时继电器断开，报警时继电器吸合。</w:t>
            </w:r>
          </w:p>
          <w:p>
            <w:pPr>
              <w:adjustRightInd w:val="0"/>
              <w:snapToGrid w:val="0"/>
              <w:ind w:firstLine="420"/>
              <w:rPr>
                <w:szCs w:val="21"/>
              </w:rPr>
            </w:pPr>
            <w:r>
              <w:rPr>
                <w:rFonts w:hint="eastAsia"/>
                <w:szCs w:val="21"/>
              </w:rPr>
              <w:t>6.报警指示灯：报警时LED灯光指示，能够记忆报警状态直至复位。</w:t>
            </w:r>
          </w:p>
          <w:p>
            <w:pPr>
              <w:adjustRightInd w:val="0"/>
              <w:snapToGrid w:val="0"/>
              <w:ind w:firstLine="420"/>
              <w:rPr>
                <w:szCs w:val="21"/>
              </w:rPr>
            </w:pPr>
            <w:r>
              <w:rPr>
                <w:rFonts w:hint="eastAsia"/>
                <w:szCs w:val="21"/>
              </w:rPr>
              <w:t>7.报警复位：瞬间断电。</w:t>
            </w:r>
          </w:p>
          <w:p>
            <w:pPr>
              <w:adjustRightInd w:val="0"/>
              <w:snapToGrid w:val="0"/>
              <w:ind w:firstLine="422"/>
              <w:rPr>
                <w:b/>
                <w:bCs/>
                <w:szCs w:val="21"/>
              </w:rPr>
            </w:pPr>
            <w:r>
              <w:rPr>
                <w:rFonts w:hint="eastAsia"/>
                <w:b/>
                <w:bCs/>
                <w:szCs w:val="21"/>
              </w:rPr>
              <w:t>五、浸水传感器</w:t>
            </w:r>
          </w:p>
          <w:p>
            <w:pPr>
              <w:adjustRightInd w:val="0"/>
              <w:snapToGrid w:val="0"/>
              <w:ind w:firstLine="420"/>
              <w:rPr>
                <w:szCs w:val="21"/>
              </w:rPr>
            </w:pPr>
            <w:r>
              <w:rPr>
                <w:rFonts w:hint="eastAsia"/>
                <w:szCs w:val="21"/>
              </w:rPr>
              <w:t>1.功能：浸水探测。</w:t>
            </w:r>
          </w:p>
          <w:p>
            <w:pPr>
              <w:adjustRightInd w:val="0"/>
              <w:snapToGrid w:val="0"/>
              <w:ind w:firstLine="420"/>
              <w:rPr>
                <w:szCs w:val="21"/>
              </w:rPr>
            </w:pPr>
            <w:r>
              <w:rPr>
                <w:rFonts w:hint="eastAsia"/>
                <w:szCs w:val="21"/>
              </w:rPr>
              <w:t>2.供电：+24VDC。</w:t>
            </w:r>
          </w:p>
          <w:p>
            <w:pPr>
              <w:adjustRightInd w:val="0"/>
              <w:snapToGrid w:val="0"/>
              <w:ind w:firstLine="420"/>
              <w:rPr>
                <w:szCs w:val="21"/>
              </w:rPr>
            </w:pPr>
            <w:r>
              <w:rPr>
                <w:rFonts w:hint="eastAsia"/>
                <w:szCs w:val="21"/>
              </w:rPr>
              <w:t>3.报警输出：继电器闭路报警。</w:t>
            </w:r>
          </w:p>
          <w:p>
            <w:pPr>
              <w:adjustRightInd w:val="0"/>
              <w:snapToGrid w:val="0"/>
              <w:ind w:firstLine="420"/>
              <w:rPr>
                <w:szCs w:val="21"/>
              </w:rPr>
            </w:pPr>
            <w:r>
              <w:rPr>
                <w:rFonts w:hint="eastAsia"/>
                <w:szCs w:val="21"/>
              </w:rPr>
              <w:t>4.工作温度：0℃～+50℃。</w:t>
            </w:r>
          </w:p>
          <w:p>
            <w:pPr>
              <w:adjustRightInd w:val="0"/>
              <w:snapToGrid w:val="0"/>
              <w:ind w:firstLine="420"/>
              <w:rPr>
                <w:szCs w:val="21"/>
              </w:rPr>
            </w:pPr>
            <w:r>
              <w:rPr>
                <w:rFonts w:hint="eastAsia"/>
                <w:szCs w:val="21"/>
              </w:rPr>
              <w:t>5.工作湿度：20%～100%RH。</w:t>
            </w:r>
          </w:p>
          <w:p>
            <w:pPr>
              <w:adjustRightInd w:val="0"/>
              <w:snapToGrid w:val="0"/>
              <w:ind w:firstLine="420"/>
              <w:rPr>
                <w:szCs w:val="21"/>
              </w:rPr>
            </w:pPr>
            <w:r>
              <w:rPr>
                <w:rFonts w:hint="eastAsia"/>
                <w:szCs w:val="21"/>
              </w:rPr>
              <w:t>6.误报率：&lt;100ppm。</w:t>
            </w:r>
          </w:p>
          <w:p>
            <w:pPr>
              <w:adjustRightInd w:val="0"/>
              <w:snapToGrid w:val="0"/>
              <w:ind w:firstLine="420"/>
              <w:rPr>
                <w:szCs w:val="21"/>
              </w:rPr>
            </w:pPr>
            <w:r>
              <w:rPr>
                <w:rFonts w:hint="eastAsia"/>
                <w:szCs w:val="21"/>
              </w:rPr>
              <w:t>7.报警功耗最大：≤2W。</w:t>
            </w:r>
          </w:p>
          <w:p>
            <w:pPr>
              <w:adjustRightInd w:val="0"/>
              <w:snapToGrid w:val="0"/>
              <w:ind w:firstLine="420"/>
              <w:rPr>
                <w:szCs w:val="21"/>
              </w:rPr>
            </w:pPr>
            <w:r>
              <w:rPr>
                <w:rFonts w:hint="eastAsia"/>
                <w:szCs w:val="21"/>
              </w:rPr>
              <w:t>8.结构：全密封设计。</w:t>
            </w:r>
          </w:p>
          <w:p>
            <w:pPr>
              <w:adjustRightInd w:val="0"/>
              <w:snapToGrid w:val="0"/>
              <w:ind w:firstLine="420"/>
              <w:rPr>
                <w:szCs w:val="21"/>
              </w:rPr>
            </w:pPr>
            <w:r>
              <w:rPr>
                <w:rFonts w:hint="eastAsia"/>
                <w:szCs w:val="21"/>
              </w:rPr>
              <w:t>9.电源、输入、输出全隔离。</w:t>
            </w:r>
          </w:p>
          <w:p>
            <w:pPr>
              <w:adjustRightInd w:val="0"/>
              <w:snapToGrid w:val="0"/>
              <w:ind w:firstLine="420"/>
              <w:rPr>
                <w:szCs w:val="21"/>
              </w:rPr>
            </w:pPr>
            <w:r>
              <w:rPr>
                <w:rFonts w:hint="eastAsia"/>
                <w:szCs w:val="21"/>
              </w:rPr>
              <w:t>10.数字传输（抗干扰性强）：采用信道编码技术使误码率降低，提高传输的可靠性。</w:t>
            </w:r>
          </w:p>
          <w:p>
            <w:pPr>
              <w:adjustRightInd w:val="0"/>
              <w:snapToGrid w:val="0"/>
              <w:ind w:firstLine="422"/>
              <w:rPr>
                <w:b/>
                <w:bCs/>
                <w:szCs w:val="21"/>
              </w:rPr>
            </w:pPr>
            <w:r>
              <w:rPr>
                <w:rFonts w:hint="eastAsia"/>
                <w:b/>
                <w:bCs/>
                <w:szCs w:val="21"/>
              </w:rPr>
              <w:t>六、明火传感器</w:t>
            </w:r>
          </w:p>
          <w:p>
            <w:pPr>
              <w:adjustRightInd w:val="0"/>
              <w:snapToGrid w:val="0"/>
              <w:ind w:firstLine="420"/>
              <w:rPr>
                <w:szCs w:val="21"/>
              </w:rPr>
            </w:pPr>
            <w:r>
              <w:rPr>
                <w:rFonts w:hint="eastAsia"/>
                <w:szCs w:val="21"/>
              </w:rPr>
              <w:t>1. 功能：紫外线火焰探测。</w:t>
            </w:r>
          </w:p>
          <w:p>
            <w:pPr>
              <w:adjustRightInd w:val="0"/>
              <w:snapToGrid w:val="0"/>
              <w:ind w:firstLine="420"/>
              <w:rPr>
                <w:szCs w:val="21"/>
              </w:rPr>
            </w:pPr>
            <w:r>
              <w:rPr>
                <w:rFonts w:hint="eastAsia"/>
                <w:szCs w:val="21"/>
              </w:rPr>
              <w:t>2. 供电：+24VDC。</w:t>
            </w:r>
          </w:p>
          <w:p>
            <w:pPr>
              <w:adjustRightInd w:val="0"/>
              <w:snapToGrid w:val="0"/>
              <w:ind w:firstLine="420"/>
              <w:rPr>
                <w:szCs w:val="21"/>
              </w:rPr>
            </w:pPr>
            <w:r>
              <w:rPr>
                <w:rFonts w:hint="eastAsia"/>
                <w:szCs w:val="21"/>
              </w:rPr>
              <w:t>3. 探测区域：距离：不小于10m（打火机火焰）；角度：大约为120°圆锥型。</w:t>
            </w:r>
          </w:p>
          <w:p>
            <w:pPr>
              <w:adjustRightInd w:val="0"/>
              <w:snapToGrid w:val="0"/>
              <w:ind w:firstLine="420"/>
              <w:rPr>
                <w:szCs w:val="21"/>
              </w:rPr>
            </w:pPr>
            <w:r>
              <w:rPr>
                <w:rFonts w:hint="eastAsia"/>
                <w:szCs w:val="21"/>
              </w:rPr>
              <w:t>4. 报警输出：正常时继电器断开，报警时继电器吸合，延时约2s。</w:t>
            </w:r>
          </w:p>
          <w:p>
            <w:pPr>
              <w:adjustRightInd w:val="0"/>
              <w:snapToGrid w:val="0"/>
              <w:ind w:firstLine="420"/>
              <w:rPr>
                <w:szCs w:val="21"/>
              </w:rPr>
            </w:pPr>
            <w:r>
              <w:rPr>
                <w:rFonts w:hint="eastAsia"/>
                <w:szCs w:val="21"/>
              </w:rPr>
              <w:t>5. 报警记忆：具有自动重新设置功能，记忆LED闪烁3分钟，然后亮47分钟。</w:t>
            </w:r>
          </w:p>
          <w:p>
            <w:pPr>
              <w:adjustRightInd w:val="0"/>
              <w:snapToGrid w:val="0"/>
              <w:ind w:firstLine="420"/>
              <w:rPr>
                <w:szCs w:val="21"/>
              </w:rPr>
            </w:pPr>
            <w:r>
              <w:rPr>
                <w:rFonts w:hint="eastAsia"/>
                <w:szCs w:val="21"/>
              </w:rPr>
              <w:t>6. LED指示：报警时LED红灯亮灯延时10S，记忆时LED黄灯亮，电源接通时闪烁。</w:t>
            </w:r>
          </w:p>
          <w:p>
            <w:pPr>
              <w:adjustRightInd w:val="0"/>
              <w:snapToGrid w:val="0"/>
              <w:ind w:firstLine="420"/>
              <w:rPr>
                <w:szCs w:val="21"/>
              </w:rPr>
            </w:pPr>
            <w:r>
              <w:rPr>
                <w:rFonts w:hint="eastAsia"/>
                <w:szCs w:val="21"/>
              </w:rPr>
              <w:t>7. 报警声响方式：延迟10秒内发声</w:t>
            </w:r>
          </w:p>
          <w:p>
            <w:pPr>
              <w:adjustRightInd w:val="0"/>
              <w:snapToGrid w:val="0"/>
              <w:ind w:firstLine="420"/>
              <w:rPr>
                <w:szCs w:val="21"/>
              </w:rPr>
            </w:pPr>
            <w:r>
              <w:rPr>
                <w:rFonts w:hint="eastAsia"/>
                <w:szCs w:val="21"/>
              </w:rPr>
              <w:t>8. 报警声音量：≥40 dB</w:t>
            </w:r>
          </w:p>
          <w:p>
            <w:pPr>
              <w:adjustRightInd w:val="0"/>
              <w:snapToGrid w:val="0"/>
              <w:ind w:firstLine="420"/>
              <w:rPr>
                <w:szCs w:val="21"/>
              </w:rPr>
            </w:pPr>
            <w:r>
              <w:rPr>
                <w:rFonts w:hint="eastAsia"/>
                <w:szCs w:val="21"/>
              </w:rPr>
              <w:t>9. 环境温度：-10℃～+60℃无凝结。</w:t>
            </w:r>
          </w:p>
          <w:p>
            <w:pPr>
              <w:adjustRightInd w:val="0"/>
              <w:snapToGrid w:val="0"/>
              <w:ind w:firstLine="420"/>
              <w:rPr>
                <w:szCs w:val="21"/>
              </w:rPr>
            </w:pPr>
            <w:r>
              <w:rPr>
                <w:rFonts w:hint="eastAsia"/>
                <w:szCs w:val="21"/>
              </w:rPr>
              <w:t>10. 安装方式：吸顶式。</w:t>
            </w:r>
          </w:p>
          <w:p>
            <w:pPr>
              <w:adjustRightInd w:val="0"/>
              <w:snapToGrid w:val="0"/>
              <w:ind w:firstLine="420"/>
              <w:rPr>
                <w:szCs w:val="21"/>
              </w:rPr>
            </w:pPr>
            <w:r>
              <w:rPr>
                <w:rFonts w:hint="eastAsia"/>
                <w:szCs w:val="21"/>
              </w:rPr>
              <w:t>11.外型材料：ABS树脂。</w:t>
            </w:r>
          </w:p>
          <w:p>
            <w:pPr>
              <w:adjustRightInd w:val="0"/>
              <w:snapToGrid w:val="0"/>
              <w:ind w:firstLine="422"/>
              <w:rPr>
                <w:b/>
                <w:bCs/>
                <w:szCs w:val="21"/>
              </w:rPr>
            </w:pPr>
            <w:r>
              <w:rPr>
                <w:rFonts w:hint="eastAsia"/>
                <w:b/>
                <w:bCs/>
                <w:szCs w:val="21"/>
              </w:rPr>
              <w:t>七、环境监控采集器</w:t>
            </w:r>
          </w:p>
          <w:p>
            <w:pPr>
              <w:adjustRightInd w:val="0"/>
              <w:snapToGrid w:val="0"/>
              <w:ind w:firstLine="420"/>
              <w:rPr>
                <w:szCs w:val="21"/>
              </w:rPr>
            </w:pPr>
            <w:r>
              <w:rPr>
                <w:rFonts w:hint="eastAsia"/>
                <w:szCs w:val="21"/>
              </w:rPr>
              <w:t>1.支持8路以上开关量输入、8路以上模拟量输入、8路以上开关输出。</w:t>
            </w:r>
          </w:p>
          <w:p>
            <w:pPr>
              <w:adjustRightInd w:val="0"/>
              <w:snapToGrid w:val="0"/>
              <w:ind w:firstLine="420"/>
              <w:rPr>
                <w:szCs w:val="21"/>
              </w:rPr>
            </w:pPr>
            <w:r>
              <w:rPr>
                <w:rFonts w:hint="eastAsia"/>
                <w:szCs w:val="21"/>
              </w:rPr>
              <w:t>2.支持485及网口通信。</w:t>
            </w:r>
          </w:p>
          <w:p>
            <w:pPr>
              <w:adjustRightInd w:val="0"/>
              <w:snapToGrid w:val="0"/>
              <w:ind w:firstLine="420"/>
              <w:rPr>
                <w:szCs w:val="21"/>
              </w:rPr>
            </w:pPr>
            <w:r>
              <w:rPr>
                <w:rFonts w:hint="eastAsia"/>
                <w:szCs w:val="21"/>
              </w:rPr>
              <w:t>3.提供具远程控制协议，可实现远程控。</w:t>
            </w:r>
          </w:p>
          <w:p>
            <w:pPr>
              <w:adjustRightInd w:val="0"/>
              <w:snapToGrid w:val="0"/>
              <w:ind w:firstLine="420"/>
              <w:rPr>
                <w:szCs w:val="21"/>
              </w:rPr>
            </w:pPr>
            <w:r>
              <w:rPr>
                <w:rFonts w:hint="eastAsia"/>
                <w:szCs w:val="21"/>
              </w:rPr>
              <w:t>4.可远程配置参数，可远程升级。</w:t>
            </w:r>
          </w:p>
          <w:p>
            <w:pPr>
              <w:adjustRightInd w:val="0"/>
              <w:snapToGrid w:val="0"/>
              <w:ind w:firstLine="422"/>
              <w:rPr>
                <w:b/>
                <w:bCs/>
                <w:szCs w:val="21"/>
              </w:rPr>
            </w:pPr>
            <w:r>
              <w:rPr>
                <w:rFonts w:hint="eastAsia"/>
                <w:b/>
                <w:bCs/>
                <w:szCs w:val="21"/>
              </w:rPr>
              <w:t>八、环境监控模块软件</w:t>
            </w:r>
          </w:p>
          <w:p>
            <w:pPr>
              <w:adjustRightInd w:val="0"/>
              <w:snapToGrid w:val="0"/>
              <w:ind w:firstLine="420"/>
              <w:rPr>
                <w:szCs w:val="21"/>
              </w:rPr>
            </w:pPr>
            <w:r>
              <w:rPr>
                <w:rFonts w:hint="eastAsia"/>
                <w:szCs w:val="21"/>
              </w:rPr>
              <w:t>嵌入到总平台上。</w:t>
            </w:r>
          </w:p>
          <w:p>
            <w:pPr>
              <w:adjustRightInd w:val="0"/>
              <w:snapToGrid w:val="0"/>
              <w:ind w:firstLine="420"/>
              <w:rPr>
                <w:szCs w:val="21"/>
              </w:rPr>
            </w:pPr>
            <w:r>
              <w:rPr>
                <w:rFonts w:hint="eastAsia"/>
                <w:szCs w:val="21"/>
              </w:rPr>
              <w:t>对机房、监控室温湿度、明火、烟雾、浸水、门禁、视频等采集并实现网络监测。</w:t>
            </w:r>
          </w:p>
          <w:p>
            <w:pPr>
              <w:adjustRightInd w:val="0"/>
              <w:snapToGrid w:val="0"/>
              <w:ind w:firstLine="420"/>
              <w:rPr>
                <w:szCs w:val="21"/>
              </w:rPr>
            </w:pPr>
            <w:r>
              <w:rPr>
                <w:rFonts w:hint="eastAsia"/>
                <w:szCs w:val="21"/>
              </w:rPr>
              <w:t>可产生报警，可对报警阀值进行设置。</w:t>
            </w:r>
          </w:p>
          <w:p>
            <w:pPr>
              <w:adjustRightInd w:val="0"/>
              <w:snapToGrid w:val="0"/>
              <w:ind w:firstLine="420"/>
              <w:rPr>
                <w:bCs/>
                <w:szCs w:val="21"/>
              </w:rPr>
            </w:pPr>
            <w:r>
              <w:rPr>
                <w:rFonts w:hint="eastAsia"/>
                <w:szCs w:val="21"/>
              </w:rPr>
              <w:t>建设完成后提供软件接口通信协议及源代码。</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1套</w:t>
            </w:r>
          </w:p>
        </w:tc>
      </w:tr>
      <w:tr>
        <w:tblPrEx>
          <w:tblCellMar>
            <w:top w:w="0" w:type="dxa"/>
            <w:left w:w="0" w:type="dxa"/>
            <w:bottom w:w="0" w:type="dxa"/>
            <w:right w:w="0" w:type="dxa"/>
          </w:tblCellMar>
        </w:tblPrEx>
        <w:trPr>
          <w:trHeight w:val="9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bCs/>
                <w:szCs w:val="21"/>
              </w:rPr>
              <w:t>20</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县平台机房环境配置</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adjustRightInd w:val="0"/>
              <w:snapToGrid w:val="0"/>
              <w:ind w:firstLine="420"/>
              <w:rPr>
                <w:szCs w:val="21"/>
              </w:rPr>
            </w:pPr>
            <w:r>
              <w:rPr>
                <w:rFonts w:hint="eastAsia"/>
                <w:szCs w:val="21"/>
              </w:rPr>
              <w:t>1.配置市电及电源开关箱，合理布线。</w:t>
            </w:r>
          </w:p>
          <w:p>
            <w:pPr>
              <w:adjustRightInd w:val="0"/>
              <w:snapToGrid w:val="0"/>
              <w:ind w:firstLine="420"/>
              <w:rPr>
                <w:szCs w:val="21"/>
              </w:rPr>
            </w:pPr>
            <w:r>
              <w:rPr>
                <w:rFonts w:hint="eastAsia"/>
                <w:szCs w:val="21"/>
              </w:rPr>
              <w:t>2.机房具有防雷、抗电磁干扰设施。</w:t>
            </w:r>
          </w:p>
          <w:p>
            <w:pPr>
              <w:adjustRightInd w:val="0"/>
              <w:snapToGrid w:val="0"/>
              <w:ind w:firstLine="420"/>
              <w:rPr>
                <w:szCs w:val="21"/>
              </w:rPr>
            </w:pPr>
            <w:r>
              <w:rPr>
                <w:rFonts w:hint="eastAsia"/>
                <w:szCs w:val="21"/>
              </w:rPr>
              <w:t>3.具有消防报警装置。</w:t>
            </w:r>
          </w:p>
          <w:p>
            <w:pPr>
              <w:adjustRightInd w:val="0"/>
              <w:snapToGrid w:val="0"/>
              <w:ind w:firstLine="420"/>
              <w:rPr>
                <w:szCs w:val="21"/>
              </w:rPr>
            </w:pPr>
            <w:r>
              <w:rPr>
                <w:rFonts w:hint="eastAsia"/>
                <w:szCs w:val="21"/>
              </w:rPr>
              <w:t>4.窗帘应采用阻燃面料，燃烧性能等级B1级以上（含）。</w:t>
            </w:r>
          </w:p>
          <w:p>
            <w:pPr>
              <w:adjustRightInd w:val="0"/>
              <w:snapToGrid w:val="0"/>
              <w:ind w:firstLine="420"/>
              <w:rPr>
                <w:szCs w:val="21"/>
              </w:rPr>
            </w:pPr>
            <w:r>
              <w:rPr>
                <w:rFonts w:hint="eastAsia"/>
                <w:szCs w:val="21"/>
              </w:rPr>
              <w:t>5.机房具有良好的散热通风。</w:t>
            </w:r>
          </w:p>
          <w:p>
            <w:pPr>
              <w:adjustRightInd w:val="0"/>
              <w:snapToGrid w:val="0"/>
              <w:ind w:firstLine="420"/>
              <w:rPr>
                <w:szCs w:val="21"/>
              </w:rPr>
            </w:pPr>
            <w:r>
              <w:rPr>
                <w:rFonts w:hint="eastAsia"/>
                <w:szCs w:val="21"/>
              </w:rPr>
              <w:t>6.窗户安装防盗网。</w:t>
            </w:r>
          </w:p>
          <w:p>
            <w:pPr>
              <w:adjustRightInd w:val="0"/>
              <w:snapToGrid w:val="0"/>
              <w:ind w:firstLine="420"/>
              <w:rPr>
                <w:szCs w:val="21"/>
              </w:rPr>
            </w:pPr>
            <w:r>
              <w:rPr>
                <w:rFonts w:hint="eastAsia"/>
                <w:szCs w:val="21"/>
              </w:rPr>
              <w:t>7.机房须具有自闭门。</w:t>
            </w:r>
          </w:p>
          <w:p>
            <w:pPr>
              <w:adjustRightInd w:val="0"/>
              <w:snapToGrid w:val="0"/>
              <w:ind w:firstLine="420"/>
              <w:rPr>
                <w:szCs w:val="21"/>
              </w:rPr>
            </w:pPr>
            <w:r>
              <w:rPr>
                <w:rFonts w:hint="eastAsia"/>
                <w:szCs w:val="21"/>
              </w:rPr>
              <w:t>8.具有刷卡、密码、指纹或人脸识别门禁功能。</w:t>
            </w:r>
          </w:p>
          <w:p>
            <w:pPr>
              <w:adjustRightInd w:val="0"/>
              <w:snapToGrid w:val="0"/>
              <w:ind w:firstLine="420"/>
              <w:rPr>
                <w:szCs w:val="21"/>
              </w:rPr>
            </w:pPr>
            <w:r>
              <w:rPr>
                <w:rFonts w:hint="eastAsia"/>
                <w:szCs w:val="21"/>
              </w:rPr>
              <w:t>9.具有标清以上监控摄像，并具有监控录像存储不小于30天。</w:t>
            </w:r>
          </w:p>
          <w:p>
            <w:pPr>
              <w:adjustRightInd w:val="0"/>
              <w:snapToGrid w:val="0"/>
              <w:ind w:firstLine="420"/>
              <w:rPr>
                <w:bCs/>
                <w:szCs w:val="21"/>
              </w:rPr>
            </w:pPr>
            <w:r>
              <w:rPr>
                <w:rFonts w:hint="eastAsia"/>
                <w:szCs w:val="21"/>
              </w:rPr>
              <w:t>10.机房增加节能空调1台：壁挂式，单冷2匹。</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1项</w:t>
            </w:r>
          </w:p>
        </w:tc>
      </w:tr>
      <w:tr>
        <w:tblPrEx>
          <w:tblCellMar>
            <w:top w:w="0" w:type="dxa"/>
            <w:left w:w="0" w:type="dxa"/>
            <w:bottom w:w="0" w:type="dxa"/>
            <w:right w:w="0" w:type="dxa"/>
          </w:tblCellMar>
        </w:tblPrEx>
        <w:trPr>
          <w:trHeight w:val="300" w:hRule="atLeast"/>
        </w:trPr>
        <w:tc>
          <w:tcPr>
            <w:tcW w:w="562"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center"/>
              <w:textAlignment w:val="center"/>
              <w:rPr>
                <w:bCs/>
                <w:szCs w:val="21"/>
              </w:rPr>
            </w:pPr>
            <w:r>
              <w:rPr>
                <w:bCs/>
                <w:szCs w:val="21"/>
              </w:rPr>
              <w:t>21</w:t>
            </w:r>
          </w:p>
        </w:tc>
        <w:tc>
          <w:tcPr>
            <w:tcW w:w="99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textAlignment w:val="center"/>
              <w:rPr>
                <w:bCs/>
                <w:szCs w:val="21"/>
              </w:rPr>
            </w:pPr>
            <w:r>
              <w:rPr>
                <w:rFonts w:hint="eastAsia"/>
                <w:szCs w:val="21"/>
              </w:rPr>
              <w:t>县平台指挥中心配置</w:t>
            </w:r>
          </w:p>
        </w:tc>
        <w:tc>
          <w:tcPr>
            <w:tcW w:w="7371"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adjustRightInd w:val="0"/>
              <w:snapToGrid w:val="0"/>
              <w:ind w:firstLine="420"/>
              <w:rPr>
                <w:szCs w:val="21"/>
              </w:rPr>
            </w:pPr>
            <w:r>
              <w:rPr>
                <w:rFonts w:hint="eastAsia"/>
                <w:szCs w:val="21"/>
              </w:rPr>
              <w:t>1.合理利用市电及利旧或增加电源开关箱，整合布线。</w:t>
            </w:r>
          </w:p>
          <w:p>
            <w:pPr>
              <w:adjustRightInd w:val="0"/>
              <w:snapToGrid w:val="0"/>
              <w:ind w:firstLine="420"/>
              <w:rPr>
                <w:szCs w:val="21"/>
              </w:rPr>
            </w:pPr>
            <w:r>
              <w:rPr>
                <w:rFonts w:hint="eastAsia"/>
                <w:szCs w:val="21"/>
              </w:rPr>
              <w:t>2.吊顶装修，合理处理，要保持美观。</w:t>
            </w:r>
          </w:p>
          <w:p>
            <w:pPr>
              <w:adjustRightInd w:val="0"/>
              <w:snapToGrid w:val="0"/>
              <w:ind w:firstLine="420"/>
              <w:rPr>
                <w:szCs w:val="21"/>
              </w:rPr>
            </w:pPr>
            <w:r>
              <w:rPr>
                <w:rFonts w:hint="eastAsia"/>
                <w:szCs w:val="21"/>
              </w:rPr>
              <w:t>3.机房具有防雷、抗电磁干扰设施。</w:t>
            </w:r>
          </w:p>
          <w:p>
            <w:pPr>
              <w:adjustRightInd w:val="0"/>
              <w:snapToGrid w:val="0"/>
              <w:ind w:firstLine="420"/>
              <w:rPr>
                <w:szCs w:val="21"/>
              </w:rPr>
            </w:pPr>
            <w:r>
              <w:rPr>
                <w:rFonts w:hint="eastAsia"/>
                <w:szCs w:val="21"/>
              </w:rPr>
              <w:t>4.具有消防报警装置。</w:t>
            </w:r>
          </w:p>
          <w:p>
            <w:pPr>
              <w:adjustRightInd w:val="0"/>
              <w:snapToGrid w:val="0"/>
              <w:ind w:firstLine="420"/>
              <w:rPr>
                <w:szCs w:val="21"/>
              </w:rPr>
            </w:pPr>
            <w:r>
              <w:rPr>
                <w:rFonts w:hint="eastAsia"/>
                <w:szCs w:val="21"/>
              </w:rPr>
              <w:t>5.机房具有良好的散热通风。</w:t>
            </w:r>
          </w:p>
          <w:p>
            <w:pPr>
              <w:adjustRightInd w:val="0"/>
              <w:snapToGrid w:val="0"/>
              <w:ind w:firstLine="420"/>
              <w:rPr>
                <w:szCs w:val="21"/>
              </w:rPr>
            </w:pPr>
            <w:r>
              <w:rPr>
                <w:rFonts w:hint="eastAsia"/>
                <w:szCs w:val="21"/>
              </w:rPr>
              <w:t>6.窗户安装防盗网。</w:t>
            </w:r>
          </w:p>
          <w:p>
            <w:pPr>
              <w:adjustRightInd w:val="0"/>
              <w:snapToGrid w:val="0"/>
              <w:ind w:firstLine="420"/>
              <w:rPr>
                <w:szCs w:val="21"/>
              </w:rPr>
            </w:pPr>
            <w:r>
              <w:rPr>
                <w:rFonts w:hint="eastAsia"/>
                <w:szCs w:val="21"/>
              </w:rPr>
              <w:t>7.须更换自闭防盗门。</w:t>
            </w:r>
          </w:p>
          <w:p>
            <w:pPr>
              <w:adjustRightInd w:val="0"/>
              <w:snapToGrid w:val="0"/>
              <w:ind w:firstLine="420"/>
              <w:rPr>
                <w:szCs w:val="21"/>
              </w:rPr>
            </w:pPr>
            <w:r>
              <w:rPr>
                <w:rFonts w:hint="eastAsia"/>
                <w:szCs w:val="21"/>
              </w:rPr>
              <w:t>8.具有刷卡、密码、指纹或人脸识别门禁功能。</w:t>
            </w:r>
          </w:p>
          <w:p>
            <w:pPr>
              <w:adjustRightInd w:val="0"/>
              <w:snapToGrid w:val="0"/>
              <w:ind w:firstLine="420"/>
              <w:rPr>
                <w:szCs w:val="21"/>
              </w:rPr>
            </w:pPr>
            <w:r>
              <w:rPr>
                <w:rFonts w:hint="eastAsia"/>
                <w:szCs w:val="21"/>
              </w:rPr>
              <w:t>9.具有标清以上监控摄像，并具有监控录像存储不小于30天。</w:t>
            </w:r>
          </w:p>
          <w:p>
            <w:pPr>
              <w:adjustRightInd w:val="0"/>
              <w:snapToGrid w:val="0"/>
              <w:ind w:firstLine="420"/>
              <w:rPr>
                <w:bCs/>
                <w:szCs w:val="21"/>
              </w:rPr>
            </w:pPr>
            <w:r>
              <w:rPr>
                <w:rFonts w:hint="eastAsia"/>
                <w:szCs w:val="21"/>
              </w:rPr>
              <w:t>10.房间增加节能空调：2台，冷暧2匹。</w:t>
            </w:r>
          </w:p>
        </w:tc>
        <w:tc>
          <w:tcPr>
            <w:tcW w:w="1143" w:type="dxa"/>
            <w:tcBorders>
              <w:top w:val="single" w:color="000000" w:sz="4" w:space="0"/>
              <w:left w:val="single" w:color="000000" w:sz="4" w:space="0"/>
              <w:bottom w:val="single" w:color="000000" w:sz="4" w:space="0"/>
              <w:right w:val="single" w:color="000000" w:sz="4" w:space="0"/>
            </w:tcBorders>
            <w:shd w:val="clear" w:color="auto" w:fill="FFFFFF"/>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1项</w:t>
            </w:r>
          </w:p>
        </w:tc>
      </w:tr>
      <w:tr>
        <w:tblPrEx>
          <w:tblCellMar>
            <w:top w:w="0" w:type="dxa"/>
            <w:left w:w="0" w:type="dxa"/>
            <w:bottom w:w="0" w:type="dxa"/>
            <w:right w:w="0" w:type="dxa"/>
          </w:tblCellMar>
        </w:tblPrEx>
        <w:trPr>
          <w:trHeight w:val="90" w:hRule="atLeast"/>
        </w:trPr>
        <w:tc>
          <w:tcPr>
            <w:tcW w:w="10069" w:type="dxa"/>
            <w:gridSpan w:val="4"/>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tabs>
                <w:tab w:val="left" w:pos="2373"/>
              </w:tabs>
              <w:adjustRightInd w:val="0"/>
              <w:snapToGrid w:val="0"/>
              <w:ind w:firstLine="420"/>
              <w:jc w:val="center"/>
              <w:textAlignment w:val="center"/>
              <w:rPr>
                <w:bCs/>
                <w:szCs w:val="21"/>
              </w:rPr>
            </w:pPr>
            <w:r>
              <w:rPr>
                <w:rFonts w:hint="eastAsia"/>
                <w:szCs w:val="21"/>
              </w:rPr>
              <w:t>二、乡镇应急广播平台</w:t>
            </w:r>
          </w:p>
        </w:tc>
      </w:tr>
      <w:tr>
        <w:tblPrEx>
          <w:tblCellMar>
            <w:top w:w="0" w:type="dxa"/>
            <w:left w:w="0" w:type="dxa"/>
            <w:bottom w:w="0" w:type="dxa"/>
            <w:right w:w="0" w:type="dxa"/>
          </w:tblCellMar>
        </w:tblPrEx>
        <w:trPr>
          <w:trHeight w:val="705"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jc w:val="center"/>
              <w:textAlignment w:val="center"/>
              <w:rPr>
                <w:bCs/>
                <w:szCs w:val="21"/>
              </w:rPr>
            </w:pPr>
            <w:r>
              <w:rPr>
                <w:rFonts w:hint="eastAsia"/>
                <w:bCs/>
                <w:szCs w:val="21"/>
              </w:rPr>
              <w:t>1</w:t>
            </w:r>
          </w:p>
        </w:tc>
        <w:tc>
          <w:tcPr>
            <w:tcW w:w="993"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textAlignment w:val="center"/>
              <w:rPr>
                <w:bCs/>
                <w:szCs w:val="21"/>
              </w:rPr>
            </w:pPr>
            <w:r>
              <w:rPr>
                <w:rFonts w:hint="eastAsia"/>
                <w:szCs w:val="21"/>
              </w:rPr>
              <w:t>应急广播适配器</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adjustRightInd w:val="0"/>
              <w:snapToGrid w:val="0"/>
              <w:ind w:firstLine="420"/>
              <w:rPr>
                <w:szCs w:val="21"/>
              </w:rPr>
            </w:pPr>
            <w:r>
              <w:rPr>
                <w:rFonts w:hint="eastAsia"/>
                <w:szCs w:val="21"/>
              </w:rPr>
              <w:t>（一）接口要求与技术指标：</w:t>
            </w:r>
          </w:p>
          <w:tbl>
            <w:tblPr>
              <w:tblStyle w:val="51"/>
              <w:tblW w:w="6846" w:type="dxa"/>
              <w:tblInd w:w="15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45" w:type="dxa"/>
                <w:left w:w="45" w:type="dxa"/>
                <w:bottom w:w="45" w:type="dxa"/>
                <w:right w:w="45" w:type="dxa"/>
              </w:tblCellMar>
            </w:tblPr>
            <w:tblGrid>
              <w:gridCol w:w="855"/>
              <w:gridCol w:w="2580"/>
              <w:gridCol w:w="3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855" w:type="dxa"/>
                  <w:vMerge w:val="restart"/>
                  <w:vAlign w:val="center"/>
                </w:tcPr>
                <w:p>
                  <w:pPr>
                    <w:adjustRightInd w:val="0"/>
                    <w:snapToGrid w:val="0"/>
                    <w:jc w:val="center"/>
                    <w:rPr>
                      <w:szCs w:val="21"/>
                    </w:rPr>
                  </w:pPr>
                  <w:r>
                    <w:rPr>
                      <w:rFonts w:hint="eastAsia"/>
                      <w:szCs w:val="21"/>
                    </w:rPr>
                    <w:t>射频</w:t>
                  </w:r>
                </w:p>
                <w:p>
                  <w:pPr>
                    <w:adjustRightInd w:val="0"/>
                    <w:snapToGrid w:val="0"/>
                    <w:jc w:val="center"/>
                    <w:rPr>
                      <w:szCs w:val="21"/>
                    </w:rPr>
                  </w:pPr>
                  <w:r>
                    <w:rPr>
                      <w:rFonts w:hint="eastAsia"/>
                      <w:szCs w:val="21"/>
                    </w:rPr>
                    <w:t>接口</w:t>
                  </w:r>
                </w:p>
              </w:tc>
              <w:tc>
                <w:tcPr>
                  <w:tcW w:w="2580" w:type="dxa"/>
                  <w:vAlign w:val="center"/>
                </w:tcPr>
                <w:p>
                  <w:pPr>
                    <w:adjustRightInd w:val="0"/>
                    <w:snapToGrid w:val="0"/>
                    <w:ind w:firstLine="420"/>
                    <w:rPr>
                      <w:szCs w:val="21"/>
                    </w:rPr>
                  </w:pPr>
                  <w:r>
                    <w:rPr>
                      <w:rFonts w:hint="eastAsia"/>
                      <w:szCs w:val="21"/>
                    </w:rPr>
                    <w:t>1路DVB-C输入</w:t>
                  </w:r>
                </w:p>
              </w:tc>
              <w:tc>
                <w:tcPr>
                  <w:tcW w:w="3411" w:type="dxa"/>
                  <w:vAlign w:val="center"/>
                </w:tcPr>
                <w:p>
                  <w:pPr>
                    <w:adjustRightInd w:val="0"/>
                    <w:snapToGrid w:val="0"/>
                    <w:ind w:firstLine="420"/>
                    <w:rPr>
                      <w:szCs w:val="21"/>
                    </w:rPr>
                  </w:pPr>
                  <w:r>
                    <w:rPr>
                      <w:rFonts w:hint="eastAsia"/>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86"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ind w:firstLine="420"/>
                    <w:rPr>
                      <w:szCs w:val="21"/>
                    </w:rPr>
                  </w:pPr>
                  <w:r>
                    <w:rPr>
                      <w:rFonts w:hint="eastAsia"/>
                      <w:szCs w:val="21"/>
                    </w:rPr>
                    <w:t>1路DTMB输入</w:t>
                  </w:r>
                </w:p>
              </w:tc>
              <w:tc>
                <w:tcPr>
                  <w:tcW w:w="3411" w:type="dxa"/>
                  <w:vAlign w:val="center"/>
                </w:tcPr>
                <w:p>
                  <w:pPr>
                    <w:adjustRightInd w:val="0"/>
                    <w:snapToGrid w:val="0"/>
                    <w:ind w:firstLine="420"/>
                    <w:rPr>
                      <w:szCs w:val="21"/>
                    </w:rPr>
                  </w:pPr>
                  <w:r>
                    <w:rPr>
                      <w:rFonts w:hint="eastAsia"/>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57"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ind w:firstLine="420"/>
                    <w:rPr>
                      <w:szCs w:val="21"/>
                    </w:rPr>
                  </w:pPr>
                  <w:r>
                    <w:rPr>
                      <w:rFonts w:hint="eastAsia"/>
                      <w:szCs w:val="21"/>
                    </w:rPr>
                    <w:t>2路FM输入</w:t>
                  </w:r>
                </w:p>
              </w:tc>
              <w:tc>
                <w:tcPr>
                  <w:tcW w:w="3411" w:type="dxa"/>
                  <w:vAlign w:val="center"/>
                </w:tcPr>
                <w:p>
                  <w:pPr>
                    <w:adjustRightInd w:val="0"/>
                    <w:snapToGrid w:val="0"/>
                    <w:ind w:firstLine="420"/>
                    <w:rPr>
                      <w:szCs w:val="21"/>
                    </w:rPr>
                  </w:pPr>
                  <w:r>
                    <w:rPr>
                      <w:rFonts w:hint="eastAsia"/>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43"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ind w:firstLine="420"/>
                    <w:rPr>
                      <w:szCs w:val="21"/>
                    </w:rPr>
                  </w:pPr>
                  <w:r>
                    <w:rPr>
                      <w:rFonts w:hint="eastAsia"/>
                      <w:szCs w:val="21"/>
                    </w:rPr>
                    <w:t>1路4G模块</w:t>
                  </w:r>
                </w:p>
              </w:tc>
              <w:tc>
                <w:tcPr>
                  <w:tcW w:w="3411" w:type="dxa"/>
                  <w:vAlign w:val="center"/>
                </w:tcPr>
                <w:p>
                  <w:pPr>
                    <w:adjustRightInd w:val="0"/>
                    <w:snapToGrid w:val="0"/>
                    <w:ind w:firstLine="420"/>
                    <w:rPr>
                      <w:szCs w:val="21"/>
                    </w:rPr>
                  </w:pPr>
                  <w:r>
                    <w:rPr>
                      <w:rFonts w:hint="eastAsia"/>
                      <w:szCs w:val="21"/>
                    </w:rPr>
                    <w:t>SMA母座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472"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1路调频副载波（RDS）输出</w:t>
                  </w:r>
                </w:p>
              </w:tc>
              <w:tc>
                <w:tcPr>
                  <w:tcW w:w="3411" w:type="dxa"/>
                </w:tcPr>
                <w:p>
                  <w:pPr>
                    <w:adjustRightInd w:val="0"/>
                    <w:snapToGrid w:val="0"/>
                    <w:ind w:firstLine="420"/>
                    <w:rPr>
                      <w:szCs w:val="21"/>
                    </w:rPr>
                  </w:pPr>
                  <w:r>
                    <w:rPr>
                      <w:rFonts w:hint="eastAsia"/>
                      <w:szCs w:val="21"/>
                    </w:rPr>
                    <w:t>BNC接口，57KHz。或采用RS232输出（如采用此种方式则要求调频广播发射机RDS编码数据采用RS232输入），DB9公座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67" w:hRule="atLeast"/>
              </w:trPr>
              <w:tc>
                <w:tcPr>
                  <w:tcW w:w="855" w:type="dxa"/>
                  <w:vMerge w:val="restart"/>
                  <w:vAlign w:val="center"/>
                </w:tcPr>
                <w:p>
                  <w:pPr>
                    <w:adjustRightInd w:val="0"/>
                    <w:snapToGrid w:val="0"/>
                    <w:jc w:val="center"/>
                    <w:rPr>
                      <w:szCs w:val="21"/>
                    </w:rPr>
                  </w:pPr>
                  <w:r>
                    <w:rPr>
                      <w:rFonts w:hint="eastAsia"/>
                      <w:szCs w:val="21"/>
                    </w:rPr>
                    <w:t>音频</w:t>
                  </w:r>
                </w:p>
                <w:p>
                  <w:pPr>
                    <w:adjustRightInd w:val="0"/>
                    <w:snapToGrid w:val="0"/>
                    <w:jc w:val="center"/>
                    <w:rPr>
                      <w:szCs w:val="21"/>
                    </w:rPr>
                  </w:pPr>
                  <w:r>
                    <w:rPr>
                      <w:rFonts w:hint="eastAsia"/>
                      <w:szCs w:val="21"/>
                    </w:rPr>
                    <w:t>接口</w:t>
                  </w:r>
                </w:p>
              </w:tc>
              <w:tc>
                <w:tcPr>
                  <w:tcW w:w="2580" w:type="dxa"/>
                  <w:vAlign w:val="center"/>
                </w:tcPr>
                <w:p>
                  <w:pPr>
                    <w:adjustRightInd w:val="0"/>
                    <w:snapToGrid w:val="0"/>
                    <w:rPr>
                      <w:szCs w:val="21"/>
                    </w:rPr>
                  </w:pPr>
                  <w:r>
                    <w:rPr>
                      <w:rFonts w:hint="eastAsia"/>
                      <w:szCs w:val="21"/>
                    </w:rPr>
                    <w:t>1组立体声非平衡模拟音频线路输出</w:t>
                  </w:r>
                </w:p>
              </w:tc>
              <w:tc>
                <w:tcPr>
                  <w:tcW w:w="3411" w:type="dxa"/>
                  <w:vAlign w:val="center"/>
                </w:tcPr>
                <w:p>
                  <w:pPr>
                    <w:adjustRightInd w:val="0"/>
                    <w:snapToGrid w:val="0"/>
                    <w:ind w:firstLine="420"/>
                    <w:rPr>
                      <w:szCs w:val="21"/>
                    </w:rPr>
                  </w:pPr>
                  <w:r>
                    <w:rPr>
                      <w:rFonts w:hint="eastAsia"/>
                      <w:szCs w:val="21"/>
                    </w:rPr>
                    <w:t>RCA莲花母座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10"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1组立体声平衡模拟音频线路输出</w:t>
                  </w:r>
                </w:p>
              </w:tc>
              <w:tc>
                <w:tcPr>
                  <w:tcW w:w="3411" w:type="dxa"/>
                  <w:vAlign w:val="center"/>
                </w:tcPr>
                <w:p>
                  <w:pPr>
                    <w:adjustRightInd w:val="0"/>
                    <w:snapToGrid w:val="0"/>
                    <w:ind w:firstLine="420"/>
                    <w:rPr>
                      <w:szCs w:val="21"/>
                    </w:rPr>
                  </w:pPr>
                  <w:r>
                    <w:rPr>
                      <w:rFonts w:hint="eastAsia"/>
                      <w:szCs w:val="21"/>
                    </w:rPr>
                    <w:t>XLR卡侬公座</w:t>
                  </w:r>
                </w:p>
                <w:p>
                  <w:pPr>
                    <w:adjustRightInd w:val="0"/>
                    <w:snapToGrid w:val="0"/>
                    <w:ind w:firstLine="420"/>
                    <w:rPr>
                      <w:szCs w:val="21"/>
                    </w:rPr>
                  </w:pPr>
                  <w:r>
                    <w:rPr>
                      <w:rFonts w:hint="eastAsia"/>
                      <w:szCs w:val="21"/>
                    </w:rPr>
                    <w:t>（引脚定义：1为GND;2为+;3为-）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06"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ind w:firstLine="420"/>
                    <w:rPr>
                      <w:szCs w:val="21"/>
                    </w:rPr>
                  </w:pPr>
                  <w:r>
                    <w:rPr>
                      <w:rFonts w:hint="eastAsia"/>
                      <w:szCs w:val="21"/>
                    </w:rPr>
                    <w:t>2路话筒输入</w:t>
                  </w:r>
                </w:p>
              </w:tc>
              <w:tc>
                <w:tcPr>
                  <w:tcW w:w="3411" w:type="dxa"/>
                  <w:vAlign w:val="center"/>
                </w:tcPr>
                <w:p>
                  <w:pPr>
                    <w:adjustRightInd w:val="0"/>
                    <w:snapToGrid w:val="0"/>
                    <w:rPr>
                      <w:szCs w:val="21"/>
                    </w:rPr>
                  </w:pPr>
                  <w:r>
                    <w:rPr>
                      <w:rFonts w:hint="eastAsia"/>
                      <w:szCs w:val="21"/>
                    </w:rPr>
                    <w:t>一个6.35mm动圈话筒接口；一个内置话筒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24"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2组立体声非平衡模拟音频线路输入</w:t>
                  </w:r>
                </w:p>
              </w:tc>
              <w:tc>
                <w:tcPr>
                  <w:tcW w:w="3411" w:type="dxa"/>
                  <w:vAlign w:val="center"/>
                </w:tcPr>
                <w:p>
                  <w:pPr>
                    <w:adjustRightInd w:val="0"/>
                    <w:snapToGrid w:val="0"/>
                    <w:ind w:firstLine="420"/>
                    <w:rPr>
                      <w:szCs w:val="21"/>
                    </w:rPr>
                  </w:pPr>
                  <w:r>
                    <w:rPr>
                      <w:rFonts w:hint="eastAsia"/>
                      <w:szCs w:val="21"/>
                    </w:rPr>
                    <w:t>RCA莲花母座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06"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ind w:firstLine="420"/>
                    <w:rPr>
                      <w:szCs w:val="21"/>
                    </w:rPr>
                  </w:pPr>
                  <w:r>
                    <w:rPr>
                      <w:rFonts w:hint="eastAsia"/>
                      <w:szCs w:val="21"/>
                    </w:rPr>
                    <w:t>1个拾音器接口</w:t>
                  </w:r>
                </w:p>
              </w:tc>
              <w:tc>
                <w:tcPr>
                  <w:tcW w:w="3411" w:type="dxa"/>
                  <w:vAlign w:val="center"/>
                </w:tcPr>
                <w:p>
                  <w:pPr>
                    <w:adjustRightInd w:val="0"/>
                    <w:snapToGrid w:val="0"/>
                    <w:ind w:firstLine="420"/>
                    <w:rPr>
                      <w:szCs w:val="21"/>
                    </w:rPr>
                  </w:pPr>
                  <w:r>
                    <w:rPr>
                      <w:rFonts w:hint="eastAsia"/>
                      <w:szCs w:val="21"/>
                    </w:rPr>
                    <w:t>EDG-5.08-3P，引脚间距5.08mm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467"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ind w:firstLine="420"/>
                    <w:rPr>
                      <w:szCs w:val="21"/>
                    </w:rPr>
                  </w:pPr>
                  <w:r>
                    <w:rPr>
                      <w:rFonts w:hint="eastAsia"/>
                      <w:szCs w:val="21"/>
                    </w:rPr>
                    <w:t>1组音频功放输出</w:t>
                  </w:r>
                </w:p>
              </w:tc>
              <w:tc>
                <w:tcPr>
                  <w:tcW w:w="3411" w:type="dxa"/>
                </w:tcPr>
                <w:p>
                  <w:pPr>
                    <w:adjustRightInd w:val="0"/>
                    <w:snapToGrid w:val="0"/>
                    <w:rPr>
                      <w:szCs w:val="21"/>
                    </w:rPr>
                  </w:pPr>
                  <w:r>
                    <w:rPr>
                      <w:rFonts w:hint="eastAsia"/>
                      <w:szCs w:val="21"/>
                    </w:rPr>
                    <w:t>4个纯铜镀金音频功放接线柱，推动4个功率为25W的高清喇叭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29"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1路监听扬声器输出</w:t>
                  </w:r>
                </w:p>
              </w:tc>
              <w:tc>
                <w:tcPr>
                  <w:tcW w:w="3411" w:type="dxa"/>
                  <w:vAlign w:val="center"/>
                </w:tcPr>
                <w:p>
                  <w:pPr>
                    <w:adjustRightInd w:val="0"/>
                    <w:snapToGrid w:val="0"/>
                    <w:ind w:firstLine="420"/>
                    <w:rPr>
                      <w:szCs w:val="21"/>
                    </w:rPr>
                  </w:pPr>
                  <w:r>
                    <w:rPr>
                      <w:rFonts w:hint="eastAsia"/>
                      <w:szCs w:val="21"/>
                    </w:rPr>
                    <w:t>内置，额定输出功率2W或以上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23" w:hRule="atLeast"/>
              </w:trPr>
              <w:tc>
                <w:tcPr>
                  <w:tcW w:w="855" w:type="dxa"/>
                  <w:vMerge w:val="restart"/>
                  <w:vAlign w:val="center"/>
                </w:tcPr>
                <w:p>
                  <w:pPr>
                    <w:adjustRightInd w:val="0"/>
                    <w:snapToGrid w:val="0"/>
                    <w:jc w:val="center"/>
                    <w:rPr>
                      <w:szCs w:val="21"/>
                    </w:rPr>
                  </w:pPr>
                  <w:r>
                    <w:rPr>
                      <w:rFonts w:hint="eastAsia"/>
                      <w:szCs w:val="21"/>
                    </w:rPr>
                    <w:t>数字</w:t>
                  </w:r>
                </w:p>
                <w:p>
                  <w:pPr>
                    <w:adjustRightInd w:val="0"/>
                    <w:snapToGrid w:val="0"/>
                    <w:jc w:val="center"/>
                    <w:rPr>
                      <w:szCs w:val="21"/>
                    </w:rPr>
                  </w:pPr>
                  <w:r>
                    <w:rPr>
                      <w:rFonts w:hint="eastAsia"/>
                      <w:szCs w:val="21"/>
                    </w:rPr>
                    <w:t>接口</w:t>
                  </w:r>
                </w:p>
              </w:tc>
              <w:tc>
                <w:tcPr>
                  <w:tcW w:w="2580" w:type="dxa"/>
                  <w:vAlign w:val="center"/>
                </w:tcPr>
                <w:p>
                  <w:pPr>
                    <w:adjustRightInd w:val="0"/>
                    <w:snapToGrid w:val="0"/>
                    <w:ind w:firstLine="420"/>
                    <w:rPr>
                      <w:szCs w:val="21"/>
                    </w:rPr>
                  </w:pPr>
                  <w:r>
                    <w:rPr>
                      <w:rFonts w:hint="eastAsia"/>
                      <w:szCs w:val="21"/>
                    </w:rPr>
                    <w:t>IP数据口1</w:t>
                  </w:r>
                </w:p>
              </w:tc>
              <w:tc>
                <w:tcPr>
                  <w:tcW w:w="3411" w:type="dxa"/>
                  <w:vAlign w:val="center"/>
                </w:tcPr>
                <w:p>
                  <w:pPr>
                    <w:adjustRightInd w:val="0"/>
                    <w:snapToGrid w:val="0"/>
                    <w:ind w:firstLine="420"/>
                    <w:rPr>
                      <w:szCs w:val="21"/>
                    </w:rPr>
                  </w:pPr>
                  <w:r>
                    <w:rPr>
                      <w:rFonts w:hint="eastAsia"/>
                      <w:szCs w:val="21"/>
                    </w:rPr>
                    <w:t>RJ45,10/100Mbps自适应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00"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ind w:firstLine="420"/>
                    <w:rPr>
                      <w:szCs w:val="21"/>
                    </w:rPr>
                  </w:pPr>
                  <w:r>
                    <w:rPr>
                      <w:rFonts w:hint="eastAsia"/>
                      <w:szCs w:val="21"/>
                    </w:rPr>
                    <w:t>IP数据口2</w:t>
                  </w:r>
                </w:p>
              </w:tc>
              <w:tc>
                <w:tcPr>
                  <w:tcW w:w="3411" w:type="dxa"/>
                  <w:vAlign w:val="center"/>
                </w:tcPr>
                <w:p>
                  <w:pPr>
                    <w:adjustRightInd w:val="0"/>
                    <w:snapToGrid w:val="0"/>
                    <w:ind w:firstLine="420"/>
                    <w:rPr>
                      <w:szCs w:val="21"/>
                    </w:rPr>
                  </w:pPr>
                  <w:r>
                    <w:rPr>
                      <w:rFonts w:hint="eastAsia"/>
                      <w:szCs w:val="21"/>
                    </w:rPr>
                    <w:t>RJ45,10/100Mbps自适应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49"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ind w:firstLine="420"/>
                    <w:rPr>
                      <w:szCs w:val="21"/>
                    </w:rPr>
                  </w:pPr>
                  <w:r>
                    <w:rPr>
                      <w:rFonts w:hint="eastAsia"/>
                      <w:szCs w:val="21"/>
                    </w:rPr>
                    <w:t>2个RS232串口</w:t>
                  </w:r>
                </w:p>
              </w:tc>
              <w:tc>
                <w:tcPr>
                  <w:tcW w:w="3411" w:type="dxa"/>
                  <w:vAlign w:val="center"/>
                </w:tcPr>
                <w:p>
                  <w:pPr>
                    <w:adjustRightInd w:val="0"/>
                    <w:snapToGrid w:val="0"/>
                    <w:ind w:firstLine="420"/>
                    <w:rPr>
                      <w:szCs w:val="21"/>
                    </w:rPr>
                  </w:pPr>
                  <w:r>
                    <w:rPr>
                      <w:rFonts w:hint="eastAsia"/>
                      <w:szCs w:val="21"/>
                    </w:rPr>
                    <w:t>DB9母座(1个)；DB9公座(1个)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510" w:hRule="atLeast"/>
              </w:trPr>
              <w:tc>
                <w:tcPr>
                  <w:tcW w:w="855" w:type="dxa"/>
                  <w:vMerge w:val="restart"/>
                  <w:vAlign w:val="center"/>
                </w:tcPr>
                <w:p>
                  <w:pPr>
                    <w:adjustRightInd w:val="0"/>
                    <w:snapToGrid w:val="0"/>
                    <w:jc w:val="center"/>
                    <w:rPr>
                      <w:szCs w:val="21"/>
                    </w:rPr>
                  </w:pPr>
                  <w:r>
                    <w:rPr>
                      <w:rFonts w:hint="eastAsia"/>
                      <w:szCs w:val="21"/>
                    </w:rPr>
                    <w:t>其他</w:t>
                  </w:r>
                </w:p>
                <w:p>
                  <w:pPr>
                    <w:adjustRightInd w:val="0"/>
                    <w:snapToGrid w:val="0"/>
                    <w:jc w:val="center"/>
                    <w:rPr>
                      <w:szCs w:val="21"/>
                    </w:rPr>
                  </w:pPr>
                  <w:r>
                    <w:rPr>
                      <w:rFonts w:hint="eastAsia"/>
                      <w:szCs w:val="21"/>
                    </w:rPr>
                    <w:t>接口</w:t>
                  </w:r>
                </w:p>
              </w:tc>
              <w:tc>
                <w:tcPr>
                  <w:tcW w:w="2580" w:type="dxa"/>
                  <w:vAlign w:val="center"/>
                </w:tcPr>
                <w:p>
                  <w:pPr>
                    <w:adjustRightInd w:val="0"/>
                    <w:snapToGrid w:val="0"/>
                    <w:ind w:firstLine="420"/>
                    <w:rPr>
                      <w:szCs w:val="21"/>
                    </w:rPr>
                  </w:pPr>
                  <w:r>
                    <w:rPr>
                      <w:rFonts w:hint="eastAsia"/>
                      <w:szCs w:val="21"/>
                    </w:rPr>
                    <w:t>总电源输入</w:t>
                  </w:r>
                </w:p>
              </w:tc>
              <w:tc>
                <w:tcPr>
                  <w:tcW w:w="3411" w:type="dxa"/>
                  <w:vAlign w:val="center"/>
                </w:tcPr>
                <w:p>
                  <w:pPr>
                    <w:adjustRightInd w:val="0"/>
                    <w:snapToGrid w:val="0"/>
                    <w:rPr>
                      <w:szCs w:val="21"/>
                    </w:rPr>
                  </w:pPr>
                  <w:r>
                    <w:rPr>
                      <w:rFonts w:hint="eastAsia"/>
                      <w:szCs w:val="21"/>
                    </w:rPr>
                    <w:t>国标品字三针插座，带保险管（1主1备）和防浪涌电源滤波器</w:t>
                  </w:r>
                  <w:r>
                    <w:rPr>
                      <w:rFonts w:hint="eastAsia"/>
                      <w:szCs w:val="21"/>
                    </w:rPr>
                    <w:tab/>
                  </w:r>
                  <w:r>
                    <w:rPr>
                      <w:rFonts w:hint="eastAsia"/>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00" w:hRule="atLeast"/>
              </w:trPr>
              <w:tc>
                <w:tcPr>
                  <w:tcW w:w="855" w:type="dxa"/>
                  <w:vMerge w:val="continue"/>
                  <w:vAlign w:val="center"/>
                </w:tcPr>
                <w:p>
                  <w:pPr>
                    <w:adjustRightInd w:val="0"/>
                    <w:snapToGrid w:val="0"/>
                    <w:ind w:firstLine="420"/>
                    <w:rPr>
                      <w:szCs w:val="21"/>
                    </w:rPr>
                  </w:pPr>
                </w:p>
              </w:tc>
              <w:tc>
                <w:tcPr>
                  <w:tcW w:w="2580" w:type="dxa"/>
                  <w:vAlign w:val="center"/>
                </w:tcPr>
                <w:p>
                  <w:pPr>
                    <w:adjustRightInd w:val="0"/>
                    <w:snapToGrid w:val="0"/>
                    <w:ind w:firstLine="420"/>
                    <w:rPr>
                      <w:szCs w:val="21"/>
                    </w:rPr>
                  </w:pPr>
                  <w:r>
                    <w:rPr>
                      <w:rFonts w:hint="eastAsia"/>
                      <w:szCs w:val="21"/>
                    </w:rPr>
                    <w:t>受控电源输出</w:t>
                  </w:r>
                </w:p>
              </w:tc>
              <w:tc>
                <w:tcPr>
                  <w:tcW w:w="3411" w:type="dxa"/>
                  <w:vAlign w:val="center"/>
                </w:tcPr>
                <w:p>
                  <w:pPr>
                    <w:adjustRightInd w:val="0"/>
                    <w:snapToGrid w:val="0"/>
                    <w:rPr>
                      <w:szCs w:val="21"/>
                    </w:rPr>
                  </w:pPr>
                  <w:r>
                    <w:rPr>
                      <w:rFonts w:hint="eastAsia"/>
                      <w:szCs w:val="21"/>
                    </w:rPr>
                    <w:t>国标品字三孔插座，220V/10A输出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14" w:hRule="atLeast"/>
              </w:trPr>
              <w:tc>
                <w:tcPr>
                  <w:tcW w:w="855" w:type="dxa"/>
                  <w:vMerge w:val="continue"/>
                  <w:vAlign w:val="center"/>
                </w:tcPr>
                <w:p>
                  <w:pPr>
                    <w:adjustRightInd w:val="0"/>
                    <w:snapToGrid w:val="0"/>
                    <w:ind w:firstLine="420"/>
                    <w:rPr>
                      <w:szCs w:val="21"/>
                    </w:rPr>
                  </w:pPr>
                </w:p>
              </w:tc>
              <w:tc>
                <w:tcPr>
                  <w:tcW w:w="2580" w:type="dxa"/>
                  <w:vAlign w:val="center"/>
                </w:tcPr>
                <w:p>
                  <w:pPr>
                    <w:adjustRightInd w:val="0"/>
                    <w:snapToGrid w:val="0"/>
                    <w:ind w:firstLine="420"/>
                    <w:rPr>
                      <w:szCs w:val="21"/>
                    </w:rPr>
                  </w:pPr>
                  <w:r>
                    <w:rPr>
                      <w:rFonts w:hint="eastAsia"/>
                      <w:szCs w:val="21"/>
                    </w:rPr>
                    <w:t>应急直流电源输入</w:t>
                  </w:r>
                </w:p>
              </w:tc>
              <w:tc>
                <w:tcPr>
                  <w:tcW w:w="3411" w:type="dxa"/>
                  <w:vAlign w:val="center"/>
                </w:tcPr>
                <w:p>
                  <w:pPr>
                    <w:adjustRightInd w:val="0"/>
                    <w:snapToGrid w:val="0"/>
                    <w:ind w:firstLine="420"/>
                    <w:rPr>
                      <w:szCs w:val="21"/>
                    </w:rPr>
                  </w:pPr>
                  <w:r>
                    <w:rPr>
                      <w:rFonts w:hint="eastAsia"/>
                      <w:szCs w:val="21"/>
                    </w:rPr>
                    <w:t>EDG-5.08-2P，引脚间距5.08mm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20" w:hRule="atLeast"/>
              </w:trPr>
              <w:tc>
                <w:tcPr>
                  <w:tcW w:w="855" w:type="dxa"/>
                  <w:vMerge w:val="continue"/>
                  <w:vAlign w:val="center"/>
                </w:tcPr>
                <w:p>
                  <w:pPr>
                    <w:adjustRightInd w:val="0"/>
                    <w:snapToGrid w:val="0"/>
                    <w:ind w:firstLine="420"/>
                    <w:rPr>
                      <w:szCs w:val="21"/>
                    </w:rPr>
                  </w:pPr>
                </w:p>
              </w:tc>
              <w:tc>
                <w:tcPr>
                  <w:tcW w:w="2580" w:type="dxa"/>
                  <w:vAlign w:val="center"/>
                </w:tcPr>
                <w:p>
                  <w:pPr>
                    <w:adjustRightInd w:val="0"/>
                    <w:snapToGrid w:val="0"/>
                    <w:ind w:firstLine="420"/>
                    <w:rPr>
                      <w:szCs w:val="21"/>
                    </w:rPr>
                  </w:pPr>
                  <w:r>
                    <w:rPr>
                      <w:rFonts w:hint="eastAsia"/>
                      <w:szCs w:val="21"/>
                    </w:rPr>
                    <w:t>USB接口</w:t>
                  </w:r>
                </w:p>
              </w:tc>
              <w:tc>
                <w:tcPr>
                  <w:tcW w:w="3411" w:type="dxa"/>
                  <w:vAlign w:val="center"/>
                </w:tcPr>
                <w:p>
                  <w:pPr>
                    <w:adjustRightInd w:val="0"/>
                    <w:snapToGrid w:val="0"/>
                    <w:rPr>
                      <w:szCs w:val="21"/>
                    </w:rPr>
                  </w:pPr>
                  <w:r>
                    <w:rPr>
                      <w:rFonts w:hint="eastAsia"/>
                      <w:szCs w:val="21"/>
                    </w:rPr>
                    <w:t>三个独立接口，USB2.0及以上接口规范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855" w:type="dxa"/>
                  <w:vMerge w:val="continue"/>
                  <w:vAlign w:val="center"/>
                </w:tcPr>
                <w:p>
                  <w:pPr>
                    <w:adjustRightInd w:val="0"/>
                    <w:snapToGrid w:val="0"/>
                    <w:ind w:firstLine="420"/>
                    <w:rPr>
                      <w:szCs w:val="21"/>
                    </w:rPr>
                  </w:pPr>
                </w:p>
              </w:tc>
              <w:tc>
                <w:tcPr>
                  <w:tcW w:w="2580" w:type="dxa"/>
                  <w:vAlign w:val="center"/>
                </w:tcPr>
                <w:p>
                  <w:pPr>
                    <w:adjustRightInd w:val="0"/>
                    <w:snapToGrid w:val="0"/>
                    <w:ind w:firstLine="420"/>
                    <w:rPr>
                      <w:szCs w:val="21"/>
                    </w:rPr>
                  </w:pPr>
                  <w:r>
                    <w:rPr>
                      <w:rFonts w:hint="eastAsia"/>
                      <w:szCs w:val="21"/>
                    </w:rPr>
                    <w:t>HDMI音视频接口</w:t>
                  </w:r>
                </w:p>
              </w:tc>
              <w:tc>
                <w:tcPr>
                  <w:tcW w:w="3411" w:type="dxa"/>
                  <w:vAlign w:val="center"/>
                </w:tcPr>
                <w:p>
                  <w:pPr>
                    <w:adjustRightInd w:val="0"/>
                    <w:snapToGrid w:val="0"/>
                    <w:ind w:firstLine="420"/>
                    <w:rPr>
                      <w:szCs w:val="21"/>
                    </w:rPr>
                  </w:pPr>
                  <w:r>
                    <w:rPr>
                      <w:rFonts w:hint="eastAsia"/>
                      <w:szCs w:val="21"/>
                    </w:rPr>
                    <w:t>1个HDMI音视频输出接口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855" w:type="dxa"/>
                  <w:vMerge w:val="continue"/>
                  <w:vAlign w:val="center"/>
                </w:tcPr>
                <w:p>
                  <w:pPr>
                    <w:adjustRightInd w:val="0"/>
                    <w:snapToGrid w:val="0"/>
                    <w:ind w:firstLine="420"/>
                    <w:rPr>
                      <w:szCs w:val="21"/>
                    </w:rPr>
                  </w:pPr>
                </w:p>
              </w:tc>
              <w:tc>
                <w:tcPr>
                  <w:tcW w:w="2580" w:type="dxa"/>
                  <w:vAlign w:val="center"/>
                </w:tcPr>
                <w:p>
                  <w:pPr>
                    <w:adjustRightInd w:val="0"/>
                    <w:snapToGrid w:val="0"/>
                    <w:ind w:firstLine="420"/>
                    <w:rPr>
                      <w:szCs w:val="21"/>
                    </w:rPr>
                  </w:pPr>
                  <w:r>
                    <w:rPr>
                      <w:rFonts w:hint="eastAsia"/>
                      <w:szCs w:val="21"/>
                    </w:rPr>
                    <w:t>TF卡槽</w:t>
                  </w:r>
                </w:p>
              </w:tc>
              <w:tc>
                <w:tcPr>
                  <w:tcW w:w="3411" w:type="dxa"/>
                  <w:vAlign w:val="center"/>
                </w:tcPr>
                <w:p>
                  <w:pPr>
                    <w:adjustRightInd w:val="0"/>
                    <w:snapToGrid w:val="0"/>
                    <w:ind w:firstLine="420"/>
                    <w:rPr>
                      <w:szCs w:val="21"/>
                    </w:rPr>
                  </w:pPr>
                  <w:r>
                    <w:rPr>
                      <w:rFonts w:hint="eastAsia"/>
                      <w:szCs w:val="21"/>
                    </w:rPr>
                    <w:t>置于设备内部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855" w:type="dxa"/>
                  <w:vMerge w:val="continue"/>
                  <w:vAlign w:val="center"/>
                </w:tcPr>
                <w:p>
                  <w:pPr>
                    <w:adjustRightInd w:val="0"/>
                    <w:snapToGrid w:val="0"/>
                    <w:ind w:firstLine="420"/>
                    <w:rPr>
                      <w:szCs w:val="21"/>
                    </w:rPr>
                  </w:pPr>
                </w:p>
              </w:tc>
              <w:tc>
                <w:tcPr>
                  <w:tcW w:w="2580" w:type="dxa"/>
                  <w:vAlign w:val="center"/>
                </w:tcPr>
                <w:p>
                  <w:pPr>
                    <w:adjustRightInd w:val="0"/>
                    <w:snapToGrid w:val="0"/>
                    <w:ind w:firstLine="420"/>
                    <w:rPr>
                      <w:szCs w:val="21"/>
                    </w:rPr>
                  </w:pPr>
                  <w:r>
                    <w:rPr>
                      <w:rFonts w:hint="eastAsia"/>
                      <w:szCs w:val="21"/>
                    </w:rPr>
                    <w:t>4G手机卡槽</w:t>
                  </w:r>
                </w:p>
              </w:tc>
              <w:tc>
                <w:tcPr>
                  <w:tcW w:w="3411" w:type="dxa"/>
                  <w:vAlign w:val="center"/>
                </w:tcPr>
                <w:p>
                  <w:pPr>
                    <w:adjustRightInd w:val="0"/>
                    <w:snapToGrid w:val="0"/>
                    <w:ind w:firstLine="420"/>
                    <w:rPr>
                      <w:szCs w:val="21"/>
                    </w:rPr>
                  </w:pPr>
                  <w:r>
                    <w:rPr>
                      <w:rFonts w:hint="eastAsia"/>
                      <w:szCs w:val="21"/>
                    </w:rPr>
                    <w:t>配置4G手机卡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10" w:hRule="atLeast"/>
              </w:trPr>
              <w:tc>
                <w:tcPr>
                  <w:tcW w:w="855" w:type="dxa"/>
                  <w:vMerge w:val="restart"/>
                  <w:vAlign w:val="center"/>
                </w:tcPr>
                <w:p>
                  <w:pPr>
                    <w:adjustRightInd w:val="0"/>
                    <w:snapToGrid w:val="0"/>
                    <w:jc w:val="center"/>
                    <w:rPr>
                      <w:szCs w:val="21"/>
                    </w:rPr>
                  </w:pPr>
                  <w:r>
                    <w:rPr>
                      <w:rFonts w:hint="eastAsia"/>
                      <w:szCs w:val="21"/>
                    </w:rPr>
                    <w:t>指标</w:t>
                  </w:r>
                </w:p>
                <w:p>
                  <w:pPr>
                    <w:adjustRightInd w:val="0"/>
                    <w:snapToGrid w:val="0"/>
                    <w:jc w:val="center"/>
                    <w:rPr>
                      <w:szCs w:val="21"/>
                    </w:rPr>
                  </w:pPr>
                  <w:r>
                    <w:rPr>
                      <w:rFonts w:hint="eastAsia"/>
                      <w:szCs w:val="21"/>
                    </w:rPr>
                    <w:t>参数</w:t>
                  </w:r>
                </w:p>
              </w:tc>
              <w:tc>
                <w:tcPr>
                  <w:tcW w:w="2580" w:type="dxa"/>
                  <w:vAlign w:val="center"/>
                </w:tcPr>
                <w:p>
                  <w:pPr>
                    <w:adjustRightInd w:val="0"/>
                    <w:snapToGrid w:val="0"/>
                    <w:ind w:firstLine="420"/>
                    <w:rPr>
                      <w:szCs w:val="21"/>
                    </w:rPr>
                  </w:pPr>
                  <w:r>
                    <w:rPr>
                      <w:rFonts w:hint="eastAsia"/>
                      <w:szCs w:val="21"/>
                    </w:rPr>
                    <w:t>射频接收范围</w:t>
                  </w:r>
                </w:p>
              </w:tc>
              <w:tc>
                <w:tcPr>
                  <w:tcW w:w="3411" w:type="dxa"/>
                  <w:vAlign w:val="center"/>
                </w:tcPr>
                <w:p>
                  <w:pPr>
                    <w:adjustRightInd w:val="0"/>
                    <w:snapToGrid w:val="0"/>
                    <w:ind w:firstLine="420"/>
                    <w:rPr>
                      <w:szCs w:val="21"/>
                    </w:rPr>
                  </w:pPr>
                  <w:r>
                    <w:rPr>
                      <w:rFonts w:hint="eastAsia"/>
                      <w:szCs w:val="21"/>
                    </w:rPr>
                    <w:t>DTMB：47MHz～862MHz</w:t>
                  </w:r>
                </w:p>
                <w:p>
                  <w:pPr>
                    <w:adjustRightInd w:val="0"/>
                    <w:snapToGrid w:val="0"/>
                    <w:ind w:firstLine="420"/>
                    <w:rPr>
                      <w:szCs w:val="21"/>
                    </w:rPr>
                  </w:pPr>
                  <w:r>
                    <w:rPr>
                      <w:rFonts w:hint="eastAsia"/>
                      <w:szCs w:val="21"/>
                    </w:rPr>
                    <w:t>DVB-C：115MHz～858MHz</w:t>
                  </w:r>
                </w:p>
                <w:p>
                  <w:pPr>
                    <w:adjustRightInd w:val="0"/>
                    <w:snapToGrid w:val="0"/>
                    <w:ind w:firstLine="420"/>
                    <w:rPr>
                      <w:szCs w:val="21"/>
                    </w:rPr>
                  </w:pPr>
                  <w:r>
                    <w:rPr>
                      <w:rFonts w:hint="eastAsia"/>
                      <w:szCs w:val="21"/>
                    </w:rPr>
                    <w:t>FM：76MHz～108MHz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调频FM接收灵敏度</w:t>
                  </w:r>
                </w:p>
              </w:tc>
              <w:tc>
                <w:tcPr>
                  <w:tcW w:w="3411" w:type="dxa"/>
                  <w:vAlign w:val="center"/>
                </w:tcPr>
                <w:p>
                  <w:pPr>
                    <w:adjustRightInd w:val="0"/>
                    <w:snapToGrid w:val="0"/>
                    <w:ind w:firstLine="420"/>
                    <w:rPr>
                      <w:szCs w:val="21"/>
                    </w:rPr>
                  </w:pPr>
                  <w:r>
                    <w:rPr>
                      <w:rFonts w:hint="eastAsia"/>
                      <w:szCs w:val="21"/>
                    </w:rPr>
                    <w:t>≤30dB</w:t>
                  </w:r>
                  <w:r>
                    <w:rPr>
                      <w:rFonts w:hint="eastAsia"/>
                      <w:szCs w:val="21"/>
                      <w:lang w:eastAsia="en-US"/>
                    </w:rPr>
                    <w:t>μ</w:t>
                  </w:r>
                  <w:r>
                    <w:rPr>
                      <w:rFonts w:hint="eastAsia"/>
                      <w:szCs w:val="21"/>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63"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音频功放输出阻抗</w:t>
                  </w:r>
                </w:p>
              </w:tc>
              <w:tc>
                <w:tcPr>
                  <w:tcW w:w="3411" w:type="dxa"/>
                  <w:vAlign w:val="center"/>
                </w:tcPr>
                <w:p>
                  <w:pPr>
                    <w:adjustRightInd w:val="0"/>
                    <w:snapToGrid w:val="0"/>
                    <w:ind w:firstLine="420"/>
                    <w:rPr>
                      <w:szCs w:val="21"/>
                    </w:rPr>
                  </w:pPr>
                  <w:r>
                    <w:rPr>
                      <w:rFonts w:hint="eastAsia"/>
                      <w:szCs w:val="21"/>
                    </w:rPr>
                    <w:t>4Ω～8Ω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66"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音频功放额定输出有效值功率</w:t>
                  </w:r>
                </w:p>
              </w:tc>
              <w:tc>
                <w:tcPr>
                  <w:tcW w:w="3411" w:type="dxa"/>
                  <w:vAlign w:val="center"/>
                </w:tcPr>
                <w:p>
                  <w:pPr>
                    <w:adjustRightInd w:val="0"/>
                    <w:snapToGrid w:val="0"/>
                    <w:ind w:firstLine="420"/>
                    <w:rPr>
                      <w:szCs w:val="21"/>
                    </w:rPr>
                  </w:pPr>
                  <w:r>
                    <w:rPr>
                      <w:rFonts w:hint="eastAsia"/>
                      <w:szCs w:val="21"/>
                    </w:rPr>
                    <w:t>≥100W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77"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音频功放信噪比</w:t>
                  </w:r>
                </w:p>
              </w:tc>
              <w:tc>
                <w:tcPr>
                  <w:tcW w:w="3411" w:type="dxa"/>
                  <w:vAlign w:val="center"/>
                </w:tcPr>
                <w:p>
                  <w:pPr>
                    <w:adjustRightInd w:val="0"/>
                    <w:snapToGrid w:val="0"/>
                    <w:ind w:firstLine="420"/>
                    <w:rPr>
                      <w:szCs w:val="21"/>
                    </w:rPr>
                  </w:pPr>
                  <w:r>
                    <w:rPr>
                      <w:rFonts w:hint="eastAsia"/>
                      <w:szCs w:val="21"/>
                    </w:rPr>
                    <w:t>≥60dB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20"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音频功放频率响应</w:t>
                  </w:r>
                </w:p>
              </w:tc>
              <w:tc>
                <w:tcPr>
                  <w:tcW w:w="3411" w:type="dxa"/>
                  <w:vAlign w:val="center"/>
                </w:tcPr>
                <w:p>
                  <w:pPr>
                    <w:adjustRightInd w:val="0"/>
                    <w:snapToGrid w:val="0"/>
                    <w:ind w:firstLine="420"/>
                    <w:rPr>
                      <w:szCs w:val="21"/>
                    </w:rPr>
                  </w:pPr>
                  <w:r>
                    <w:rPr>
                      <w:rFonts w:hint="eastAsia"/>
                      <w:szCs w:val="21"/>
                    </w:rPr>
                    <w:t>±1dB(80Hz～12.5KHz)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音频功放谐波失真</w:t>
                  </w:r>
                </w:p>
              </w:tc>
              <w:tc>
                <w:tcPr>
                  <w:tcW w:w="3411" w:type="dxa"/>
                  <w:vAlign w:val="center"/>
                </w:tcPr>
                <w:p>
                  <w:pPr>
                    <w:adjustRightInd w:val="0"/>
                    <w:snapToGrid w:val="0"/>
                    <w:ind w:firstLine="420"/>
                    <w:rPr>
                      <w:szCs w:val="21"/>
                    </w:rPr>
                  </w:pPr>
                  <w:r>
                    <w:rPr>
                      <w:rFonts w:hint="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24"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音频功放左右声道分离度</w:t>
                  </w:r>
                </w:p>
              </w:tc>
              <w:tc>
                <w:tcPr>
                  <w:tcW w:w="3411" w:type="dxa"/>
                  <w:vAlign w:val="center"/>
                </w:tcPr>
                <w:p>
                  <w:pPr>
                    <w:adjustRightInd w:val="0"/>
                    <w:snapToGrid w:val="0"/>
                    <w:ind w:firstLine="420"/>
                    <w:rPr>
                      <w:szCs w:val="21"/>
                    </w:rPr>
                  </w:pPr>
                  <w:r>
                    <w:rPr>
                      <w:rFonts w:hint="eastAsia"/>
                      <w:szCs w:val="21"/>
                    </w:rPr>
                    <w:t>＞36dB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05"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rPr>
                      <w:szCs w:val="21"/>
                    </w:rPr>
                  </w:pPr>
                  <w:r>
                    <w:rPr>
                      <w:rFonts w:hint="eastAsia"/>
                      <w:szCs w:val="21"/>
                    </w:rPr>
                    <w:t>音频功放左右声道电平差</w:t>
                  </w:r>
                </w:p>
              </w:tc>
              <w:tc>
                <w:tcPr>
                  <w:tcW w:w="3411" w:type="dxa"/>
                  <w:vAlign w:val="center"/>
                </w:tcPr>
                <w:p>
                  <w:pPr>
                    <w:adjustRightInd w:val="0"/>
                    <w:snapToGrid w:val="0"/>
                    <w:ind w:firstLine="420"/>
                    <w:rPr>
                      <w:szCs w:val="21"/>
                    </w:rPr>
                  </w:pPr>
                  <w:r>
                    <w:rPr>
                      <w:rFonts w:hint="eastAsia"/>
                      <w:szCs w:val="21"/>
                    </w:rPr>
                    <w:t>＜1dB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49" w:hRule="atLeast"/>
              </w:trPr>
              <w:tc>
                <w:tcPr>
                  <w:tcW w:w="855" w:type="dxa"/>
                  <w:vMerge w:val="continue"/>
                  <w:vAlign w:val="center"/>
                </w:tcPr>
                <w:p>
                  <w:pPr>
                    <w:adjustRightInd w:val="0"/>
                    <w:snapToGrid w:val="0"/>
                    <w:ind w:firstLine="420"/>
                    <w:jc w:val="center"/>
                    <w:rPr>
                      <w:szCs w:val="21"/>
                    </w:rPr>
                  </w:pPr>
                </w:p>
              </w:tc>
              <w:tc>
                <w:tcPr>
                  <w:tcW w:w="2580" w:type="dxa"/>
                  <w:vAlign w:val="center"/>
                </w:tcPr>
                <w:p>
                  <w:pPr>
                    <w:adjustRightInd w:val="0"/>
                    <w:snapToGrid w:val="0"/>
                    <w:ind w:firstLine="420"/>
                    <w:rPr>
                      <w:szCs w:val="21"/>
                    </w:rPr>
                  </w:pPr>
                  <w:r>
                    <w:rPr>
                      <w:rFonts w:hint="eastAsia"/>
                      <w:szCs w:val="21"/>
                    </w:rPr>
                    <w:t>电源效率</w:t>
                  </w:r>
                </w:p>
              </w:tc>
              <w:tc>
                <w:tcPr>
                  <w:tcW w:w="3411" w:type="dxa"/>
                  <w:vAlign w:val="center"/>
                </w:tcPr>
                <w:p>
                  <w:pPr>
                    <w:adjustRightInd w:val="0"/>
                    <w:snapToGrid w:val="0"/>
                    <w:rPr>
                      <w:szCs w:val="21"/>
                    </w:rPr>
                  </w:pPr>
                  <w:r>
                    <w:rPr>
                      <w:rFonts w:hint="eastAsia"/>
                      <w:szCs w:val="21"/>
                    </w:rPr>
                    <w:t>采用高性能开关电源。输出功率≥250W，效效率≥87%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01" w:hRule="atLeast"/>
              </w:trPr>
              <w:tc>
                <w:tcPr>
                  <w:tcW w:w="855" w:type="dxa"/>
                  <w:vMerge w:val="restart"/>
                  <w:vAlign w:val="center"/>
                </w:tcPr>
                <w:p>
                  <w:pPr>
                    <w:adjustRightInd w:val="0"/>
                    <w:snapToGrid w:val="0"/>
                    <w:jc w:val="center"/>
                    <w:rPr>
                      <w:szCs w:val="21"/>
                    </w:rPr>
                  </w:pPr>
                  <w:r>
                    <w:rPr>
                      <w:rFonts w:hint="eastAsia"/>
                      <w:szCs w:val="21"/>
                    </w:rPr>
                    <w:t>通用</w:t>
                  </w:r>
                </w:p>
                <w:p>
                  <w:pPr>
                    <w:adjustRightInd w:val="0"/>
                    <w:snapToGrid w:val="0"/>
                    <w:jc w:val="center"/>
                    <w:rPr>
                      <w:szCs w:val="21"/>
                    </w:rPr>
                  </w:pPr>
                  <w:r>
                    <w:rPr>
                      <w:rFonts w:hint="eastAsia"/>
                      <w:szCs w:val="21"/>
                    </w:rPr>
                    <w:t>参数</w:t>
                  </w:r>
                </w:p>
              </w:tc>
              <w:tc>
                <w:tcPr>
                  <w:tcW w:w="2580" w:type="dxa"/>
                  <w:vAlign w:val="center"/>
                </w:tcPr>
                <w:p>
                  <w:pPr>
                    <w:adjustRightInd w:val="0"/>
                    <w:snapToGrid w:val="0"/>
                    <w:ind w:firstLine="420"/>
                    <w:rPr>
                      <w:szCs w:val="21"/>
                    </w:rPr>
                  </w:pPr>
                  <w:r>
                    <w:rPr>
                      <w:rFonts w:hint="eastAsia"/>
                      <w:szCs w:val="21"/>
                    </w:rPr>
                    <w:t>工作温度</w:t>
                  </w:r>
                </w:p>
              </w:tc>
              <w:tc>
                <w:tcPr>
                  <w:tcW w:w="3411" w:type="dxa"/>
                  <w:vAlign w:val="center"/>
                </w:tcPr>
                <w:p>
                  <w:pPr>
                    <w:adjustRightInd w:val="0"/>
                    <w:snapToGrid w:val="0"/>
                    <w:ind w:firstLine="420"/>
                    <w:rPr>
                      <w:szCs w:val="21"/>
                    </w:rPr>
                  </w:pPr>
                  <w:r>
                    <w:rPr>
                      <w:rFonts w:hint="eastAsia"/>
                      <w:szCs w:val="21"/>
                    </w:rPr>
                    <w:t>-10℃～60℃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99" w:hRule="atLeast"/>
              </w:trPr>
              <w:tc>
                <w:tcPr>
                  <w:tcW w:w="855" w:type="dxa"/>
                  <w:vMerge w:val="continue"/>
                  <w:vAlign w:val="center"/>
                </w:tcPr>
                <w:p>
                  <w:pPr>
                    <w:adjustRightInd w:val="0"/>
                    <w:snapToGrid w:val="0"/>
                    <w:ind w:firstLine="420"/>
                    <w:rPr>
                      <w:szCs w:val="21"/>
                    </w:rPr>
                  </w:pPr>
                </w:p>
              </w:tc>
              <w:tc>
                <w:tcPr>
                  <w:tcW w:w="2580" w:type="dxa"/>
                  <w:vAlign w:val="center"/>
                </w:tcPr>
                <w:p>
                  <w:pPr>
                    <w:adjustRightInd w:val="0"/>
                    <w:snapToGrid w:val="0"/>
                    <w:ind w:firstLine="420"/>
                    <w:rPr>
                      <w:szCs w:val="21"/>
                    </w:rPr>
                  </w:pPr>
                  <w:r>
                    <w:rPr>
                      <w:rFonts w:hint="eastAsia"/>
                      <w:szCs w:val="21"/>
                    </w:rPr>
                    <w:t>工作电压</w:t>
                  </w:r>
                </w:p>
              </w:tc>
              <w:tc>
                <w:tcPr>
                  <w:tcW w:w="3411" w:type="dxa"/>
                  <w:vAlign w:val="center"/>
                </w:tcPr>
                <w:p>
                  <w:pPr>
                    <w:adjustRightInd w:val="0"/>
                    <w:snapToGrid w:val="0"/>
                    <w:rPr>
                      <w:szCs w:val="21"/>
                    </w:rPr>
                  </w:pPr>
                  <w:r>
                    <w:rPr>
                      <w:rFonts w:hint="eastAsia"/>
                      <w:szCs w:val="21"/>
                    </w:rPr>
                    <w:t>交流90V～AC260V或更宽范围；频率50Hz±5Hz</w:t>
                  </w:r>
                </w:p>
              </w:tc>
            </w:tr>
          </w:tbl>
          <w:p>
            <w:pPr>
              <w:adjustRightInd w:val="0"/>
              <w:snapToGrid w:val="0"/>
              <w:ind w:firstLine="420"/>
              <w:rPr>
                <w:szCs w:val="21"/>
              </w:rPr>
            </w:pPr>
            <w:r>
              <w:rPr>
                <w:rFonts w:hint="eastAsia"/>
                <w:szCs w:val="21"/>
              </w:rPr>
              <w:t>（二）基本功能要求</w:t>
            </w:r>
          </w:p>
          <w:p>
            <w:pPr>
              <w:adjustRightInd w:val="0"/>
              <w:snapToGrid w:val="0"/>
              <w:ind w:firstLine="420"/>
              <w:rPr>
                <w:szCs w:val="21"/>
              </w:rPr>
            </w:pPr>
            <w:r>
              <w:rPr>
                <w:rFonts w:hint="eastAsia"/>
                <w:szCs w:val="21"/>
              </w:rPr>
              <w:t>集接收、转发、编码、解码、播控、管理等功能于一体，要求整机模块化设计，符合指标要求。</w:t>
            </w:r>
          </w:p>
          <w:p>
            <w:pPr>
              <w:adjustRightInd w:val="0"/>
              <w:snapToGrid w:val="0"/>
              <w:ind w:firstLine="420"/>
              <w:rPr>
                <w:szCs w:val="21"/>
              </w:rPr>
            </w:pPr>
            <w:r>
              <w:rPr>
                <w:rFonts w:hint="eastAsia"/>
                <w:szCs w:val="21"/>
              </w:rPr>
              <w:t>具有辖区内接收终端列表，可选择一个或多个接收终端进行广播，可手动切换需要播出的本地信源。操作应急广播适配器进行播发时，播发区域默认为全乡镇（行政村）广播。</w:t>
            </w:r>
          </w:p>
          <w:p>
            <w:pPr>
              <w:adjustRightInd w:val="0"/>
              <w:snapToGrid w:val="0"/>
              <w:ind w:firstLine="420"/>
              <w:rPr>
                <w:szCs w:val="21"/>
              </w:rPr>
            </w:pPr>
            <w:r>
              <w:rPr>
                <w:rFonts w:hint="eastAsia"/>
                <w:szCs w:val="21"/>
              </w:rPr>
              <w:t>具有IP(TS)、DTMB/DVB-C、IP/4G、FM多通道模式同时接收应急广播消息并解析的功能。</w:t>
            </w:r>
          </w:p>
          <w:p>
            <w:pPr>
              <w:adjustRightInd w:val="0"/>
              <w:snapToGrid w:val="0"/>
              <w:ind w:firstLine="420"/>
              <w:rPr>
                <w:szCs w:val="21"/>
              </w:rPr>
            </w:pPr>
            <w:r>
              <w:rPr>
                <w:rFonts w:hint="eastAsia"/>
                <w:szCs w:val="21"/>
              </w:rPr>
              <w:t>内置的所有网卡全面支持IPV4。</w:t>
            </w:r>
          </w:p>
          <w:p>
            <w:pPr>
              <w:adjustRightInd w:val="0"/>
              <w:snapToGrid w:val="0"/>
              <w:ind w:firstLine="420"/>
              <w:rPr>
                <w:szCs w:val="21"/>
              </w:rPr>
            </w:pPr>
            <w:r>
              <w:rPr>
                <w:rFonts w:hint="eastAsia"/>
                <w:szCs w:val="21"/>
              </w:rPr>
              <w:t>（三）配套的触摸显示器控制</w:t>
            </w:r>
          </w:p>
          <w:p>
            <w:pPr>
              <w:adjustRightInd w:val="0"/>
              <w:snapToGrid w:val="0"/>
              <w:ind w:firstLine="420"/>
              <w:rPr>
                <w:szCs w:val="21"/>
              </w:rPr>
            </w:pPr>
            <w:r>
              <w:rPr>
                <w:rFonts w:hint="eastAsia"/>
                <w:szCs w:val="21"/>
              </w:rPr>
              <w:t>应急广播适配器应保留本机播发功能，同时兼顾操作触摸显示器播发，操作触摸显示器只作为适配器扩展功能的便捷操作方式。触摸显示器发生故障时，还可操作适配器直接播发应急广播信息。严禁屏蔽适配器面板的手动操作播发功能。</w:t>
            </w:r>
          </w:p>
          <w:p>
            <w:pPr>
              <w:adjustRightInd w:val="0"/>
              <w:snapToGrid w:val="0"/>
              <w:ind w:firstLine="420"/>
              <w:rPr>
                <w:szCs w:val="21"/>
              </w:rPr>
            </w:pPr>
            <w:r>
              <w:rPr>
                <w:rFonts w:hint="eastAsia"/>
                <w:szCs w:val="21"/>
              </w:rPr>
              <w:t>应急广播适配器采用LINUX或Android嵌入式操作系统，实现嵌入式图文操作界面。通过HDMI接口输出视频到外接的触摸显示器，并采用USB口实现触摸控制。触摸显示器不宜带操作系统，只是带触控功能的通用显示设备，无需任何参数配置，可替换。</w:t>
            </w:r>
          </w:p>
          <w:p>
            <w:pPr>
              <w:adjustRightInd w:val="0"/>
              <w:snapToGrid w:val="0"/>
              <w:ind w:firstLine="420"/>
              <w:rPr>
                <w:szCs w:val="21"/>
              </w:rPr>
            </w:pPr>
            <w:r>
              <w:rPr>
                <w:rFonts w:hint="eastAsia"/>
                <w:szCs w:val="21"/>
              </w:rPr>
              <w:t>触摸显示器无操作30～60分钟，自动进入休眠状态；操作适配器或划动触摸显示器可唤醒。也可在触摸显示器面板配置电源按键，一键休眠/唤醒。</w:t>
            </w:r>
          </w:p>
          <w:p>
            <w:pPr>
              <w:adjustRightInd w:val="0"/>
              <w:snapToGrid w:val="0"/>
              <w:ind w:firstLine="420"/>
              <w:rPr>
                <w:szCs w:val="21"/>
              </w:rPr>
            </w:pPr>
            <w:r>
              <w:rPr>
                <w:rFonts w:hint="eastAsia"/>
                <w:szCs w:val="21"/>
              </w:rPr>
              <w:t>应急广播适配器输出视频页面，须具有“本级播发操作”、“U盘音频文件播放列表”、“查看本乡镇（行政村）所辖区域内设备工作状态”、“地面数字电视DTMB操作和显示”、“调频通道1/2操作”等5个页面，采用“菜单”“返回”2个触控按键实现页面跳转，其中U盘音频文件播放列表页面仅为当前播放通道为U盘时才展现。</w:t>
            </w:r>
          </w:p>
          <w:p>
            <w:pPr>
              <w:adjustRightInd w:val="0"/>
              <w:snapToGrid w:val="0"/>
              <w:ind w:firstLine="420"/>
              <w:rPr>
                <w:szCs w:val="21"/>
              </w:rPr>
            </w:pPr>
            <w:r>
              <w:rPr>
                <w:rFonts w:hint="eastAsia"/>
                <w:szCs w:val="21"/>
              </w:rPr>
              <w:t>本地播发操作页面与应急广播适配器面板操作同步指示，操作方式一致。本地播发操作页面采用双色图标指示按键按下（本地应急播发时为红色，其余为蓝色）或弹起（白色）两种状态。</w:t>
            </w:r>
          </w:p>
          <w:p>
            <w:pPr>
              <w:adjustRightInd w:val="0"/>
              <w:snapToGrid w:val="0"/>
              <w:ind w:firstLine="420"/>
              <w:rPr>
                <w:szCs w:val="21"/>
              </w:rPr>
            </w:pPr>
            <w:r>
              <w:rPr>
                <w:rFonts w:hint="eastAsia"/>
                <w:szCs w:val="21"/>
              </w:rPr>
              <w:t>设备工作状态页面采用4色标识设备工作情况。红色表示设备正在响应上级广播（包括应急和日常两种类型广播）；紫色表示本级广播（包括应急和日常两种类型广播）；黄色表示设备在线；灰色表示设备离线。点击地图上任意设备时，可查看该设备工作状态数据，数据由应急广播适配器通过网管通道采用《广西应急广播终端通信技术规范V1.2》（原《广西应急广播终端数据回传技术规范V1.2》，下同）从县级平台数据库读取，每10秒间隔自动刷新页面更新数据。</w:t>
            </w:r>
          </w:p>
          <w:p>
            <w:pPr>
              <w:adjustRightInd w:val="0"/>
              <w:snapToGrid w:val="0"/>
              <w:ind w:firstLine="420"/>
              <w:rPr>
                <w:szCs w:val="21"/>
              </w:rPr>
            </w:pPr>
            <w:r>
              <w:rPr>
                <w:szCs w:val="21"/>
              </w:rPr>
              <w:drawing>
                <wp:anchor distT="0" distB="0" distL="114300" distR="114300" simplePos="0" relativeHeight="251674624" behindDoc="0" locked="0" layoutInCell="1" allowOverlap="1">
                  <wp:simplePos x="0" y="0"/>
                  <wp:positionH relativeFrom="column">
                    <wp:posOffset>1092200</wp:posOffset>
                  </wp:positionH>
                  <wp:positionV relativeFrom="paragraph">
                    <wp:posOffset>51435</wp:posOffset>
                  </wp:positionV>
                  <wp:extent cx="2667635" cy="2305685"/>
                  <wp:effectExtent l="19050" t="0" r="0" b="0"/>
                  <wp:wrapTopAndBottom/>
                  <wp:docPr id="116" name="对象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对象 4"/>
                          <pic:cNvPicPr>
                            <a:picLocks noChangeAspect="1" noChangeArrowheads="1"/>
                          </pic:cNvPicPr>
                        </pic:nvPicPr>
                        <pic:blipFill>
                          <a:blip r:embed="rId18" cstate="print"/>
                          <a:srcRect/>
                          <a:stretch>
                            <a:fillRect/>
                          </a:stretch>
                        </pic:blipFill>
                        <pic:spPr>
                          <a:xfrm>
                            <a:off x="0" y="0"/>
                            <a:ext cx="2667635" cy="2305685"/>
                          </a:xfrm>
                          <a:prstGeom prst="rect">
                            <a:avLst/>
                          </a:prstGeom>
                          <a:noFill/>
                        </pic:spPr>
                      </pic:pic>
                    </a:graphicData>
                  </a:graphic>
                </wp:anchor>
              </w:drawing>
            </w:r>
          </w:p>
          <w:p>
            <w:pPr>
              <w:adjustRightInd w:val="0"/>
              <w:snapToGrid w:val="0"/>
              <w:ind w:firstLine="420"/>
              <w:rPr>
                <w:szCs w:val="21"/>
              </w:rPr>
            </w:pPr>
            <w:r>
              <w:rPr>
                <w:rFonts w:hint="eastAsia"/>
                <w:szCs w:val="21"/>
              </w:rPr>
              <w:t>应急广播适配器工作状态数据的各项展现不少于上图所示，至少展现图中描述的13项重要参数。</w:t>
            </w:r>
          </w:p>
          <w:p>
            <w:pPr>
              <w:adjustRightInd w:val="0"/>
              <w:snapToGrid w:val="0"/>
              <w:ind w:firstLine="420"/>
              <w:rPr>
                <w:szCs w:val="21"/>
              </w:rPr>
            </w:pPr>
            <w:r>
              <w:rPr>
                <w:rFonts w:hint="eastAsia"/>
                <w:szCs w:val="21"/>
              </w:rPr>
              <w:t>行政区划地图的形成：可采用但不限于列表式地图（例如10*10、15*10的列表），根据乡镇（行政村）所辖的行政村（自然村）的地理位置，在列表上的大概方位标注地名即可。乡镇的地图应分两层显示，双击行政村应弹窗显示下一层自然村的地图。没有安装应急广播设备的自然村也应显示，用方形文本框标记。</w:t>
            </w:r>
          </w:p>
          <w:p>
            <w:pPr>
              <w:adjustRightInd w:val="0"/>
              <w:snapToGrid w:val="0"/>
              <w:ind w:firstLine="420"/>
              <w:rPr>
                <w:szCs w:val="21"/>
              </w:rPr>
            </w:pPr>
            <w:r>
              <w:rPr>
                <w:rFonts w:hint="eastAsia"/>
                <w:szCs w:val="21"/>
              </w:rPr>
              <w:t>地图中的地名样式：设备4色标识+地名。地名包括但不限于县/乡镇/行政村/自然村。</w:t>
            </w:r>
          </w:p>
          <w:p>
            <w:pPr>
              <w:adjustRightInd w:val="0"/>
              <w:snapToGrid w:val="0"/>
              <w:ind w:firstLine="420"/>
              <w:rPr>
                <w:szCs w:val="21"/>
              </w:rPr>
            </w:pPr>
            <w:r>
              <w:rPr>
                <w:rFonts w:hint="eastAsia"/>
                <w:szCs w:val="21"/>
              </w:rPr>
              <w:t>应急广播适配器接收DTMB信号，解调的图像和伴音应能在触摸显示器上播放。DTMB信号调谐、节目选择、伴音回放音量调节等操作可在触摸显示器实现。</w:t>
            </w:r>
          </w:p>
          <w:p>
            <w:pPr>
              <w:adjustRightInd w:val="0"/>
              <w:snapToGrid w:val="0"/>
              <w:ind w:firstLine="420"/>
              <w:rPr>
                <w:szCs w:val="21"/>
              </w:rPr>
            </w:pPr>
            <w:r>
              <w:rPr>
                <w:rFonts w:hint="eastAsia"/>
                <w:szCs w:val="21"/>
              </w:rPr>
              <w:t>应急广播适配器接收FM1、FM2信号，解调出的声音可在触摸屏上播放。FM信号调谐、节目选择、伴音回放音量调节等操作可在触摸显示器实现。</w:t>
            </w:r>
          </w:p>
          <w:p>
            <w:pPr>
              <w:adjustRightInd w:val="0"/>
              <w:snapToGrid w:val="0"/>
              <w:ind w:firstLine="420"/>
              <w:rPr>
                <w:szCs w:val="21"/>
              </w:rPr>
            </w:pPr>
            <w:r>
              <w:rPr>
                <w:rFonts w:hint="eastAsia"/>
                <w:szCs w:val="21"/>
              </w:rPr>
              <w:t>应急广播适配器播发U盘文件，解调出的声音可在触摸显示器上播放。U盘文件选择、伴音回放音量调节等操作可在触摸显示器实现。</w:t>
            </w:r>
          </w:p>
          <w:p>
            <w:pPr>
              <w:adjustRightInd w:val="0"/>
              <w:snapToGrid w:val="0"/>
              <w:ind w:firstLine="420"/>
              <w:rPr>
                <w:szCs w:val="21"/>
              </w:rPr>
            </w:pPr>
            <w:r>
              <w:rPr>
                <w:rFonts w:hint="eastAsia"/>
                <w:szCs w:val="21"/>
              </w:rPr>
              <w:t>应急广播适配器外部输入端口输入的音视频信号可在触摸显示器上播放。伴音回放音量调节可在触摸显示器实现。</w:t>
            </w:r>
          </w:p>
          <w:p>
            <w:pPr>
              <w:adjustRightInd w:val="0"/>
              <w:snapToGrid w:val="0"/>
              <w:ind w:firstLine="420"/>
              <w:rPr>
                <w:szCs w:val="21"/>
              </w:rPr>
            </w:pPr>
            <w:r>
              <w:rPr>
                <w:rFonts w:hint="eastAsia"/>
                <w:szCs w:val="21"/>
              </w:rPr>
              <w:t>应急广播适配器的其它功能和配置也可考虑在触摸显示器上实现操作，方便安装调试。</w:t>
            </w:r>
          </w:p>
          <w:p>
            <w:pPr>
              <w:adjustRightInd w:val="0"/>
              <w:snapToGrid w:val="0"/>
              <w:ind w:firstLine="420"/>
              <w:rPr>
                <w:szCs w:val="21"/>
              </w:rPr>
            </w:pPr>
            <w:r>
              <w:rPr>
                <w:rFonts w:hint="eastAsia"/>
                <w:szCs w:val="21"/>
              </w:rPr>
              <w:t>（四）应急信息播发策略</w:t>
            </w:r>
          </w:p>
          <w:p>
            <w:pPr>
              <w:adjustRightInd w:val="0"/>
              <w:snapToGrid w:val="0"/>
              <w:ind w:firstLine="420"/>
              <w:rPr>
                <w:szCs w:val="21"/>
              </w:rPr>
            </w:pPr>
            <w:r>
              <w:rPr>
                <w:rFonts w:hint="eastAsia"/>
                <w:szCs w:val="21"/>
              </w:rPr>
              <w:t>优先级播出处理规则设置：</w:t>
            </w:r>
          </w:p>
          <w:p>
            <w:pPr>
              <w:adjustRightInd w:val="0"/>
              <w:snapToGrid w:val="0"/>
              <w:ind w:firstLine="420"/>
              <w:rPr>
                <w:szCs w:val="21"/>
              </w:rPr>
            </w:pPr>
            <w:r>
              <w:rPr>
                <w:rFonts w:hint="eastAsia"/>
                <w:szCs w:val="21"/>
              </w:rPr>
              <w:t>（1）应急广播与日常广播此两种不同类型广播，不论级别，应急广播均优先播出，电话及短信插播方式视为应急广播；</w:t>
            </w:r>
          </w:p>
          <w:p>
            <w:pPr>
              <w:adjustRightInd w:val="0"/>
              <w:snapToGrid w:val="0"/>
              <w:ind w:firstLine="420"/>
              <w:rPr>
                <w:szCs w:val="21"/>
              </w:rPr>
            </w:pPr>
            <w:r>
              <w:rPr>
                <w:rFonts w:hint="eastAsia"/>
                <w:szCs w:val="21"/>
              </w:rPr>
              <w:t>（2）相同类型广播，应首先判断广播消息级别，优先级高则优先播出；</w:t>
            </w:r>
          </w:p>
          <w:p>
            <w:pPr>
              <w:adjustRightInd w:val="0"/>
              <w:snapToGrid w:val="0"/>
              <w:ind w:firstLine="420"/>
              <w:rPr>
                <w:szCs w:val="21"/>
              </w:rPr>
            </w:pPr>
            <w:r>
              <w:rPr>
                <w:rFonts w:hint="eastAsia"/>
                <w:szCs w:val="21"/>
              </w:rPr>
              <w:t>（3）广播消息级别相同，如果设备设置为上级优先，则行政级别高优先播出，如果设备设置为下级优先，则行政级别低优先播出；</w:t>
            </w:r>
          </w:p>
          <w:p>
            <w:pPr>
              <w:adjustRightInd w:val="0"/>
              <w:snapToGrid w:val="0"/>
              <w:ind w:firstLine="420"/>
              <w:rPr>
                <w:szCs w:val="21"/>
              </w:rPr>
            </w:pPr>
            <w:r>
              <w:rPr>
                <w:rFonts w:hint="eastAsia"/>
                <w:szCs w:val="21"/>
              </w:rPr>
              <w:t>（4）广播消息级别和行政级别均相同，默认情况下优先播出数字通道（依次为IP(TS)、DTMB/DVB-C、IP/4G），然后为FM通道（如当前通道有广播则不进行通道切换，无广播则按上述次序切换）。</w:t>
            </w:r>
          </w:p>
          <w:p>
            <w:pPr>
              <w:adjustRightInd w:val="0"/>
              <w:snapToGrid w:val="0"/>
              <w:ind w:firstLine="420"/>
              <w:rPr>
                <w:szCs w:val="21"/>
              </w:rPr>
            </w:pPr>
            <w:r>
              <w:rPr>
                <w:rFonts w:hint="eastAsia"/>
                <w:szCs w:val="21"/>
              </w:rPr>
              <w:t>（5）高优先级广播播出完成以后，播放次优先级广播。</w:t>
            </w:r>
          </w:p>
          <w:p>
            <w:pPr>
              <w:adjustRightInd w:val="0"/>
              <w:snapToGrid w:val="0"/>
              <w:ind w:firstLine="420"/>
              <w:rPr>
                <w:szCs w:val="21"/>
              </w:rPr>
            </w:pPr>
            <w:r>
              <w:rPr>
                <w:rFonts w:hint="eastAsia"/>
                <w:szCs w:val="21"/>
              </w:rPr>
              <w:t>具有本地和远程设置应急广播信息上级优先、下级优先播出功能，默认设置为上级优先。</w:t>
            </w:r>
          </w:p>
          <w:p>
            <w:pPr>
              <w:adjustRightInd w:val="0"/>
              <w:snapToGrid w:val="0"/>
              <w:ind w:firstLine="420"/>
              <w:rPr>
                <w:szCs w:val="21"/>
              </w:rPr>
            </w:pPr>
            <w:r>
              <w:rPr>
                <w:rFonts w:hint="eastAsia"/>
                <w:szCs w:val="21"/>
              </w:rPr>
              <w:t>应急广播适配器电话及短信插播视为本地应急广播，默认优先级为2级。当应急广播适配器同时收到电话和短信文转语插播时，电话语音插播优先，可中断短信文转语插播转而播发电话语音。当有电话语音及短信文转语插播时，RDS转发优先级为适配器设定的应急广播消息级别（默认2级）。</w:t>
            </w:r>
          </w:p>
          <w:p>
            <w:pPr>
              <w:adjustRightInd w:val="0"/>
              <w:snapToGrid w:val="0"/>
              <w:ind w:firstLine="420"/>
              <w:rPr>
                <w:szCs w:val="21"/>
              </w:rPr>
            </w:pPr>
            <w:r>
              <w:rPr>
                <w:rFonts w:hint="eastAsia"/>
                <w:szCs w:val="21"/>
              </w:rPr>
              <w:t>接收和转发上级广播时，通道优先级默认优先顺序：IP(TS)、DTMB/DVB-C、IP/4G、FM1、FM2，可本地和远程设置。</w:t>
            </w:r>
          </w:p>
          <w:p>
            <w:pPr>
              <w:adjustRightInd w:val="0"/>
              <w:snapToGrid w:val="0"/>
              <w:ind w:firstLine="420"/>
              <w:rPr>
                <w:szCs w:val="21"/>
              </w:rPr>
            </w:pPr>
            <w:r>
              <w:rPr>
                <w:rFonts w:hint="eastAsia"/>
                <w:szCs w:val="21"/>
              </w:rPr>
              <w:t>IP(TS)、DTMB、DVB-C、IP/4G四种模式传输应急广播信息，要求传输协议采用《广西应急广播TS流传输技术规范》、《广西应急广播IP传输技术规范V1.2》。TS指令数据采用上级平台加密，适配器解密的方式传输，协议采用《广西应急广播系统指令安全保护（数字签名）技术规范》。</w:t>
            </w:r>
          </w:p>
          <w:p>
            <w:pPr>
              <w:adjustRightInd w:val="0"/>
              <w:snapToGrid w:val="0"/>
              <w:ind w:firstLine="420"/>
              <w:rPr>
                <w:szCs w:val="21"/>
              </w:rPr>
            </w:pPr>
            <w:r>
              <w:rPr>
                <w:rFonts w:hint="eastAsia"/>
                <w:szCs w:val="21"/>
              </w:rPr>
              <w:t>要求设备可同时解析两个应急广播控制PID，分别为0x21和0x2x，两个控制PID所在TS流携带的指令表格式参照《广西应急广播TS流传输技术规范》。其中PID=0x21的TS流为县级以上平台下发的应急广播指令，PID=0x2x的TS流为其他平台下发的应急广播指令（保留）。</w:t>
            </w:r>
          </w:p>
          <w:p>
            <w:pPr>
              <w:adjustRightInd w:val="0"/>
              <w:snapToGrid w:val="0"/>
              <w:ind w:firstLine="420"/>
              <w:rPr>
                <w:szCs w:val="21"/>
              </w:rPr>
            </w:pPr>
            <w:r>
              <w:rPr>
                <w:rFonts w:hint="eastAsia"/>
                <w:szCs w:val="21"/>
              </w:rPr>
              <w:t>每个乡镇级平台的应急广播适配器输出组播IP地址及端口由广电网络提供，指令PID统一为0x22。</w:t>
            </w:r>
          </w:p>
          <w:p>
            <w:pPr>
              <w:adjustRightInd w:val="0"/>
              <w:snapToGrid w:val="0"/>
              <w:ind w:firstLine="420"/>
              <w:rPr>
                <w:szCs w:val="21"/>
              </w:rPr>
            </w:pPr>
            <w:r>
              <w:rPr>
                <w:rFonts w:hint="eastAsia"/>
                <w:szCs w:val="21"/>
              </w:rPr>
              <w:t>乡镇级平台的应急广播适配器输出IP(TS)组播直接下行播发到村级平台应急广播适配器，同时在县级平台与乡镇级平台网管通信正常的情况下具有通过网管通道向县级平台申请播发的功能。</w:t>
            </w:r>
          </w:p>
          <w:p>
            <w:pPr>
              <w:adjustRightInd w:val="0"/>
              <w:snapToGrid w:val="0"/>
              <w:ind w:firstLine="420"/>
              <w:rPr>
                <w:szCs w:val="21"/>
              </w:rPr>
            </w:pPr>
            <w:r>
              <w:rPr>
                <w:rFonts w:hint="eastAsia"/>
                <w:szCs w:val="21"/>
              </w:rPr>
              <w:t>应急广播适配器可采用IP、4G、RDS播发应急广播信息，对本级播发的IP/4G广播，当应急广播适配器作为IP终端使用时，应能甄别自身所发出的信息并不予响应。</w:t>
            </w:r>
          </w:p>
          <w:p>
            <w:pPr>
              <w:adjustRightInd w:val="0"/>
              <w:snapToGrid w:val="0"/>
              <w:ind w:firstLine="420"/>
              <w:rPr>
                <w:szCs w:val="21"/>
              </w:rPr>
            </w:pPr>
            <w:r>
              <w:rPr>
                <w:rFonts w:hint="eastAsia"/>
                <w:szCs w:val="21"/>
              </w:rPr>
              <w:t>为了避免应急信息重复、循环、错误播发，乡镇级平台应急广播适配器转发功能应设置：不对县级或其他乡镇发布的IP(TS)、IP/4G应急信息进行转发；本地播发不进行转发。</w:t>
            </w:r>
          </w:p>
          <w:p>
            <w:pPr>
              <w:adjustRightInd w:val="0"/>
              <w:snapToGrid w:val="0"/>
              <w:ind w:firstLine="420"/>
              <w:rPr>
                <w:szCs w:val="21"/>
              </w:rPr>
            </w:pPr>
            <w:r>
              <w:rPr>
                <w:rFonts w:hint="eastAsia"/>
                <w:szCs w:val="21"/>
              </w:rPr>
              <w:t>（五）主要功能要求</w:t>
            </w:r>
          </w:p>
          <w:p>
            <w:pPr>
              <w:adjustRightInd w:val="0"/>
              <w:snapToGrid w:val="0"/>
              <w:ind w:firstLine="420"/>
              <w:rPr>
                <w:szCs w:val="21"/>
              </w:rPr>
            </w:pPr>
            <w:r>
              <w:rPr>
                <w:rFonts w:hint="eastAsia"/>
                <w:szCs w:val="21"/>
              </w:rPr>
              <w:t>采用有线IP和无线4G网络两种方式实现设备状态数据回传，两种回传方式均须实现。可本地和远程设置手动、自动两种状态（默认）。手动状态下可本地和远程手动切换回传方式；自动状态下由设备定时（时长可设置）检测有线IP回传通路情况。设备作为客户端与平台服务器握手通信，已连接则采用有线IP回传，断开连接则选择无线4G网络回传，恢复连接则重新选择有线IP回传。两种回传方式的协议均要求采用《广西应急广播终端数据回传技术规范V1.2》。</w:t>
            </w:r>
          </w:p>
          <w:p>
            <w:pPr>
              <w:adjustRightInd w:val="0"/>
              <w:snapToGrid w:val="0"/>
              <w:ind w:firstLine="420"/>
              <w:rPr>
                <w:szCs w:val="21"/>
              </w:rPr>
            </w:pPr>
            <w:r>
              <w:rPr>
                <w:rFonts w:hint="eastAsia"/>
                <w:szCs w:val="21"/>
              </w:rPr>
              <w:t>具有本级RDS编码加密、接收上级下发的RDS编码并解密的功能，传输协议要求采用《广西应急广播调频副载波（RDS）编码传输技术规范》。两种情况的RDS编码数据输出应根据优先级播出处理规则决定，本级与上级RDS编码数据输出同时只能选择其一。RDS指令数据采用上级平台加密，接收设备解密的方式传输，协议采用《广西应急广播指令安全保护（数字签名）技术规范》。</w:t>
            </w:r>
          </w:p>
          <w:p>
            <w:pPr>
              <w:adjustRightInd w:val="0"/>
              <w:snapToGrid w:val="0"/>
              <w:ind w:firstLine="420"/>
              <w:rPr>
                <w:szCs w:val="21"/>
              </w:rPr>
            </w:pPr>
            <w:r>
              <w:rPr>
                <w:rFonts w:hint="eastAsia"/>
                <w:szCs w:val="21"/>
              </w:rPr>
              <w:t>具有IP广播功能，参照《广西应急广播IP传输技术规范V1.2》。本地播发的同时有IP（TS）广播，也有IP/4G广播，共存并互不影响。当采用IP/4G广播时，IP广播优先，通过有线专网传输应急信息到县级平台，有线专网中断则采用4G广播，有线专网恢复则切换回有线IP广播。</w:t>
            </w:r>
          </w:p>
          <w:p>
            <w:pPr>
              <w:adjustRightInd w:val="0"/>
              <w:snapToGrid w:val="0"/>
              <w:ind w:firstLine="420"/>
              <w:rPr>
                <w:szCs w:val="21"/>
              </w:rPr>
            </w:pPr>
            <w:r>
              <w:rPr>
                <w:rFonts w:hint="eastAsia"/>
                <w:szCs w:val="21"/>
              </w:rPr>
              <w:t>具有远程升级功能，可通过IP（TS）、DTMB/DVB-C、IP/4G通道传输，可采取TS流方式被动升级和HTTP请求方式主动升级两种方式，设备接收完数据并校验通过后自动进行升级。设备软件升级方式参照《广西应急广播终端软件升级技术规范》。</w:t>
            </w:r>
          </w:p>
          <w:p>
            <w:pPr>
              <w:adjustRightInd w:val="0"/>
              <w:snapToGrid w:val="0"/>
              <w:ind w:firstLine="420"/>
              <w:rPr>
                <w:szCs w:val="21"/>
              </w:rPr>
            </w:pPr>
            <w:r>
              <w:rPr>
                <w:rFonts w:hint="eastAsia"/>
                <w:szCs w:val="21"/>
              </w:rPr>
              <w:t>可通过应急广播指令对设备进行管理配置，包括资源编码设置、组播和网管业务参数设置、回传IP地址设置、默认音量设置、自动报文间隔、接收射频频率设置等。</w:t>
            </w:r>
          </w:p>
          <w:p>
            <w:pPr>
              <w:adjustRightInd w:val="0"/>
              <w:snapToGrid w:val="0"/>
              <w:ind w:firstLine="420"/>
              <w:rPr>
                <w:szCs w:val="21"/>
              </w:rPr>
            </w:pPr>
            <w:r>
              <w:rPr>
                <w:rFonts w:hint="eastAsia"/>
                <w:szCs w:val="21"/>
              </w:rPr>
              <w:t>应急广播适配器本地话筒插播时，须检测话筒电平，持续5分钟没有信号，自动退出本次话筒插播，恢复待机状态。采用其他信号进行本地插播时，插播2小时后，如果还没有手动关闭本次广播则自动退出本次插播，恢复待机状态。</w:t>
            </w:r>
          </w:p>
          <w:p>
            <w:pPr>
              <w:adjustRightInd w:val="0"/>
              <w:snapToGrid w:val="0"/>
              <w:ind w:firstLine="420"/>
              <w:rPr>
                <w:szCs w:val="21"/>
              </w:rPr>
            </w:pPr>
            <w:r>
              <w:rPr>
                <w:rFonts w:hint="eastAsia"/>
                <w:szCs w:val="21"/>
              </w:rPr>
              <w:t>应急广播适配器必须具有自动分配网关的功能。有线IP及4G网管通道，数据上行必须绑定出口路由。当使用有线IP网络回传的时候，回传数据自动从广电内网网关出，不能从4G网关出；当切换到4G网络时候，回传数据自动从4G网关出，同时保留内网网关以和县级平台进行通信，当有线IP通道恢复时自动切换回有线IP通道。</w:t>
            </w:r>
          </w:p>
          <w:p>
            <w:pPr>
              <w:adjustRightInd w:val="0"/>
              <w:snapToGrid w:val="0"/>
              <w:ind w:firstLine="420"/>
              <w:rPr>
                <w:szCs w:val="21"/>
              </w:rPr>
            </w:pPr>
            <w:r>
              <w:rPr>
                <w:rFonts w:hint="eastAsia"/>
                <w:szCs w:val="21"/>
              </w:rPr>
              <w:t>具有系统复位按键（参照后面板示意图），长按5秒恢复出厂设置，所有参数恢复到出厂设置状态。支持TELNET远程登录服务标准协议，可由用户远程登录设备嵌入式操作系统，用户名统一为：admin，密码为admin，最大用户权限。用户TENET登录后，可修改默认管理地址（192.168.2.200）和子网掩码（255.255.255.0）等参数。</w:t>
            </w:r>
          </w:p>
          <w:p>
            <w:pPr>
              <w:adjustRightInd w:val="0"/>
              <w:snapToGrid w:val="0"/>
              <w:ind w:firstLine="420"/>
              <w:rPr>
                <w:szCs w:val="21"/>
              </w:rPr>
            </w:pPr>
            <w:r>
              <w:rPr>
                <w:rFonts w:hint="eastAsia"/>
                <w:szCs w:val="21"/>
              </w:rPr>
              <w:t>WEB网管具有系统软重启、恢复出厂设置项，用户可登陆该WEB网管对整个乡镇级适配器进行重启和恢复出厂设置操作。WEB网管用户名统一为：admin，登录密码统一为123456。</w:t>
            </w:r>
          </w:p>
          <w:p>
            <w:pPr>
              <w:adjustRightInd w:val="0"/>
              <w:snapToGrid w:val="0"/>
              <w:ind w:firstLine="420"/>
              <w:rPr>
                <w:szCs w:val="21"/>
              </w:rPr>
            </w:pPr>
            <w:r>
              <w:rPr>
                <w:rFonts w:hint="eastAsia"/>
                <w:szCs w:val="21"/>
              </w:rPr>
              <w:t>应急广播适配器菜单部分主要参数必须输入密码才能修改。如该设备的资源编码（9字节）、FM接收频点、DTMB接收频点、DVB-C接收频点、网管IP地址及端口、4G回传IP地址及端口、组播接收IP地址及端口、转发优先级、上下级优先设定，密码修改等选项，初始密码默认为：123456。</w:t>
            </w:r>
          </w:p>
          <w:p>
            <w:pPr>
              <w:adjustRightInd w:val="0"/>
              <w:snapToGrid w:val="0"/>
              <w:ind w:firstLine="420"/>
              <w:rPr>
                <w:szCs w:val="21"/>
              </w:rPr>
            </w:pPr>
            <w:r>
              <w:rPr>
                <w:rFonts w:hint="eastAsia"/>
                <w:szCs w:val="21"/>
              </w:rPr>
              <w:t>具有4G手机模块并配置4G手机卡，实现电话语音插播、短信文转语插播，终端状态可通过移动通信网络回传。可设置电话白名单至少32组，每组包括一个手机号码和授权广播区域编码，只有白名单上的手机号码可对授权区域进行语音及短信插播。电话语音插播须有语音提示，按下手机“#”号键即可电话语音广播。短信插播格式：播报次数#播报内容（播报次数取值范围1～9）。短信播报内容要求支持300个以上中文字符。</w:t>
            </w:r>
          </w:p>
          <w:p>
            <w:pPr>
              <w:adjustRightInd w:val="0"/>
              <w:snapToGrid w:val="0"/>
              <w:ind w:firstLine="420"/>
              <w:rPr>
                <w:szCs w:val="21"/>
              </w:rPr>
            </w:pPr>
            <w:r>
              <w:rPr>
                <w:rFonts w:hint="eastAsia"/>
                <w:szCs w:val="21"/>
              </w:rPr>
              <w:t>具有日常定时播出功能，每天能设置至少3个时段，时间精确到秒，每个时段均可任意选择6个信源之一播放，分别为:话筒、线路输入1、线路输入2、U盘、FM1、FM2。定时广播属于本地日常广播。定时广播时日常广播对应LED指示灯亮，此时按下日常广播轻触式按键则关闭当前时段定时广播。</w:t>
            </w:r>
          </w:p>
          <w:p>
            <w:pPr>
              <w:adjustRightInd w:val="0"/>
              <w:snapToGrid w:val="0"/>
              <w:ind w:firstLine="420"/>
              <w:rPr>
                <w:szCs w:val="21"/>
              </w:rPr>
            </w:pPr>
            <w:r>
              <w:rPr>
                <w:rFonts w:hint="eastAsia"/>
                <w:szCs w:val="21"/>
              </w:rPr>
              <w:t>具有MPEG1-layer1/2/3、MPEG2-layer1/2/3、AAC，MP3音频格式解码，MP3音频格式编码，解码输出音质清晰、流畅。</w:t>
            </w:r>
          </w:p>
          <w:p>
            <w:pPr>
              <w:adjustRightInd w:val="0"/>
              <w:snapToGrid w:val="0"/>
              <w:ind w:firstLine="420"/>
              <w:rPr>
                <w:szCs w:val="21"/>
              </w:rPr>
            </w:pPr>
            <w:r>
              <w:rPr>
                <w:rFonts w:hint="eastAsia"/>
                <w:szCs w:val="21"/>
              </w:rPr>
              <w:t>MP3格式音频编码封装成TS包并通过IP(TS)组播和RTSP协议（IP广播）输出。乡镇级应急广播适配器音频编码参数共8项。输出模式为CBR（恒定码率）。必须有PMT_PID、PCR_PID、AUDIO_PID、Service_PID(节目号)、Service_Name(节目名称，要求为中文)设置项并可由用户设置和修改。采用立体声编码，音频编码码率为128Kbps，采样码率为48KHz。</w:t>
            </w:r>
          </w:p>
          <w:p>
            <w:pPr>
              <w:adjustRightInd w:val="0"/>
              <w:snapToGrid w:val="0"/>
              <w:ind w:firstLine="420"/>
              <w:rPr>
                <w:szCs w:val="21"/>
              </w:rPr>
            </w:pPr>
            <w:r>
              <w:rPr>
                <w:rFonts w:hint="eastAsia"/>
                <w:szCs w:val="21"/>
              </w:rPr>
              <w:t>采用《广西应急广播终端数据回传技术规范V1.2》，通过串口设置、读取调频发射机参数，再由应急广播适配器把发射机参数回传到县级平台。</w:t>
            </w:r>
          </w:p>
          <w:p>
            <w:pPr>
              <w:adjustRightInd w:val="0"/>
              <w:snapToGrid w:val="0"/>
              <w:ind w:firstLine="420"/>
              <w:rPr>
                <w:szCs w:val="21"/>
              </w:rPr>
            </w:pPr>
            <w:r>
              <w:rPr>
                <w:rFonts w:hint="eastAsia"/>
                <w:szCs w:val="21"/>
              </w:rPr>
              <w:t>具有独立时钟电路，采用高精度实时时钟芯片作为系统时钟，采用锂电池作为实时时钟芯片供电电源，确保设备运行时间准确。可根据上级授时指令对当前实时时钟进行更新授时。（时钟芯片性能不低于DS3231）</w:t>
            </w:r>
          </w:p>
          <w:p>
            <w:pPr>
              <w:adjustRightInd w:val="0"/>
              <w:snapToGrid w:val="0"/>
              <w:ind w:firstLine="420"/>
              <w:rPr>
                <w:szCs w:val="21"/>
              </w:rPr>
            </w:pPr>
            <w:r>
              <w:rPr>
                <w:rFonts w:hint="eastAsia"/>
                <w:szCs w:val="21"/>
              </w:rPr>
              <w:t>具备后备锂电池，可在外电停止后将设备不少于5分钟的状态数据通过4G通道回传给平台服务器。</w:t>
            </w:r>
          </w:p>
          <w:p>
            <w:pPr>
              <w:adjustRightInd w:val="0"/>
              <w:snapToGrid w:val="0"/>
              <w:ind w:firstLine="420"/>
              <w:rPr>
                <w:szCs w:val="21"/>
              </w:rPr>
            </w:pPr>
            <w:r>
              <w:rPr>
                <w:rFonts w:hint="eastAsia"/>
                <w:szCs w:val="21"/>
              </w:rPr>
              <w:t>具有断电记忆功能，设备断电重启后，已保存的参数不丢失。</w:t>
            </w:r>
          </w:p>
          <w:p>
            <w:pPr>
              <w:adjustRightInd w:val="0"/>
              <w:snapToGrid w:val="0"/>
              <w:ind w:firstLine="420"/>
              <w:rPr>
                <w:szCs w:val="21"/>
              </w:rPr>
            </w:pPr>
            <w:r>
              <w:rPr>
                <w:rFonts w:hint="eastAsia"/>
                <w:szCs w:val="21"/>
              </w:rPr>
              <w:t>具有DTMB/DVB-C接收频率、FM接收频率锁定指示（参照后面板示意图），LED指示灯为绿色，建议降低LED亮度，点亮后能分辨颜色即可，以适应长时间持续工作。</w:t>
            </w:r>
          </w:p>
          <w:p>
            <w:pPr>
              <w:adjustRightInd w:val="0"/>
              <w:snapToGrid w:val="0"/>
              <w:ind w:firstLine="420"/>
              <w:rPr>
                <w:szCs w:val="21"/>
              </w:rPr>
            </w:pPr>
            <w:r>
              <w:rPr>
                <w:rFonts w:hint="eastAsia"/>
                <w:szCs w:val="21"/>
              </w:rPr>
              <w:t>应急广播适配器音量调节旋钮（飞梭）应用定义：接收到上级平台广播，如果为应急广播，则设备播放音量自动最大；如果为日常广播，则输出音量=旋钮所调音量×本机默认音量百分比。对于适配器本地插播，如果为应急广播，则设备播放音量自动最大；如果为日常广播，则输出音量=旋钮所调音量×本机默认音量百分比。</w:t>
            </w:r>
          </w:p>
          <w:p>
            <w:pPr>
              <w:adjustRightInd w:val="0"/>
              <w:snapToGrid w:val="0"/>
              <w:ind w:firstLine="420"/>
              <w:rPr>
                <w:szCs w:val="21"/>
              </w:rPr>
            </w:pPr>
            <w:r>
              <w:rPr>
                <w:rFonts w:hint="eastAsia"/>
                <w:szCs w:val="21"/>
              </w:rPr>
              <w:t>前面板前面板要求有IP(TS)、DTMB、DVB-C、IP/4G、FM1、FM2上级平台当前播放通道选择LED(蓝色)指示、OLED当前播放状态同步显示。具有应急广播和日常广播两个轻触式按键，按下此两键之一即开启本地广播，再次按下此键关闭广播。其中本地应急广播可切断本地日常广播，但本地日常广播不能切断本地应急广播，需要关闭本地应急广播才能重新开启本地日常广播。</w:t>
            </w:r>
          </w:p>
          <w:p>
            <w:pPr>
              <w:adjustRightInd w:val="0"/>
              <w:snapToGrid w:val="0"/>
              <w:ind w:firstLine="420"/>
              <w:rPr>
                <w:szCs w:val="21"/>
              </w:rPr>
            </w:pPr>
            <w:r>
              <w:rPr>
                <w:rFonts w:hint="eastAsia"/>
                <w:szCs w:val="21"/>
              </w:rPr>
              <w:t>（1）开启应急广播：按下应急按键，对应LED指示灯亮，默认选择音源为话筒，可通过面板轻触式音源选择按键切换其他音源，如下图所示。切到对应音源则对应LED指示灯亮。如果选择的音源为U盘，可以通过飞梭菜单操作键切换U盘内其他MP3文件播放。</w:t>
            </w:r>
          </w:p>
          <w:p>
            <w:pPr>
              <w:adjustRightInd w:val="0"/>
              <w:snapToGrid w:val="0"/>
              <w:ind w:firstLine="420"/>
              <w:rPr>
                <w:szCs w:val="21"/>
              </w:rPr>
            </w:pPr>
            <w:r>
              <w:rPr>
                <w:rFonts w:hint="eastAsia"/>
                <w:szCs w:val="21"/>
              </w:rPr>
              <w:t>（2）开启日常广播：按下日常按键，对应LED指示灯亮，默认选择音源为话筒，可通过面板轻触式音源选择按键切换其他音源，如下图所示。切到对应音源则对应LED指示灯亮。如果选择的音源为U盘，可以通过飞梭菜单操作键切换U盘内其他MP3文件播放。</w:t>
            </w:r>
          </w:p>
          <w:p>
            <w:pPr>
              <w:adjustRightInd w:val="0"/>
              <w:snapToGrid w:val="0"/>
              <w:ind w:firstLine="420"/>
              <w:rPr>
                <w:szCs w:val="21"/>
              </w:rPr>
            </w:pPr>
            <w:r>
              <w:rPr>
                <w:rFonts w:hint="eastAsia"/>
                <w:szCs w:val="21"/>
              </w:rPr>
              <w:t>（3）应急按键和日常按键应便于识别操作，采用不同颜色、大小的按键或醒目的标记来实现。</w:t>
            </w:r>
          </w:p>
          <w:p>
            <w:pPr>
              <w:adjustRightInd w:val="0"/>
              <w:snapToGrid w:val="0"/>
              <w:ind w:firstLine="420"/>
              <w:rPr>
                <w:szCs w:val="21"/>
              </w:rPr>
            </w:pPr>
            <w:r>
              <w:rPr>
                <w:szCs w:val="21"/>
              </w:rPr>
              <w:drawing>
                <wp:anchor distT="0" distB="0" distL="114300" distR="114300" simplePos="0" relativeHeight="251682816" behindDoc="0" locked="0" layoutInCell="1" allowOverlap="1">
                  <wp:simplePos x="0" y="0"/>
                  <wp:positionH relativeFrom="column">
                    <wp:posOffset>219075</wp:posOffset>
                  </wp:positionH>
                  <wp:positionV relativeFrom="paragraph">
                    <wp:posOffset>1050290</wp:posOffset>
                  </wp:positionV>
                  <wp:extent cx="2419350" cy="589915"/>
                  <wp:effectExtent l="19050" t="0" r="0" b="0"/>
                  <wp:wrapTopAndBottom/>
                  <wp:docPr id="117" name="对象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对象 238"/>
                          <pic:cNvPicPr>
                            <a:picLocks noChangeAspect="1" noChangeArrowheads="1"/>
                          </pic:cNvPicPr>
                        </pic:nvPicPr>
                        <pic:blipFill>
                          <a:blip r:embed="rId25" cstate="print"/>
                          <a:srcRect/>
                          <a:stretch>
                            <a:fillRect/>
                          </a:stretch>
                        </pic:blipFill>
                        <pic:spPr>
                          <a:xfrm>
                            <a:off x="0" y="0"/>
                            <a:ext cx="2419350" cy="589915"/>
                          </a:xfrm>
                          <a:prstGeom prst="rect">
                            <a:avLst/>
                          </a:prstGeom>
                          <a:noFill/>
                        </pic:spPr>
                      </pic:pic>
                    </a:graphicData>
                  </a:graphic>
                </wp:anchor>
              </w:drawing>
            </w:r>
            <w:r>
              <w:rPr>
                <w:rFonts w:hint="eastAsia"/>
                <w:szCs w:val="21"/>
              </w:rPr>
              <w:drawing>
                <wp:anchor distT="0" distB="0" distL="114300" distR="114300" simplePos="0" relativeHeight="251681792" behindDoc="0" locked="0" layoutInCell="1" allowOverlap="1">
                  <wp:simplePos x="0" y="0"/>
                  <wp:positionH relativeFrom="column">
                    <wp:posOffset>238125</wp:posOffset>
                  </wp:positionH>
                  <wp:positionV relativeFrom="paragraph">
                    <wp:posOffset>172085</wp:posOffset>
                  </wp:positionV>
                  <wp:extent cx="2458085" cy="593090"/>
                  <wp:effectExtent l="0" t="0" r="0" b="0"/>
                  <wp:wrapTopAndBottom/>
                  <wp:docPr id="118" name="图片 237" descr="FBBBFEC48E5CB85D877C06B5D002F780"/>
                  <wp:cNvGraphicFramePr/>
                  <a:graphic xmlns:a="http://schemas.openxmlformats.org/drawingml/2006/main">
                    <a:graphicData uri="http://schemas.openxmlformats.org/drawingml/2006/picture">
                      <pic:pic xmlns:pic="http://schemas.openxmlformats.org/drawingml/2006/picture">
                        <pic:nvPicPr>
                          <pic:cNvPr id="118" name="图片 237" descr="FBBBFEC48E5CB85D877C06B5D002F780"/>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458085" cy="593090"/>
                          </a:xfrm>
                          <a:prstGeom prst="rect">
                            <a:avLst/>
                          </a:prstGeom>
                          <a:noFill/>
                          <a:ln>
                            <a:noFill/>
                          </a:ln>
                          <a:effectLst/>
                        </pic:spPr>
                      </pic:pic>
                    </a:graphicData>
                  </a:graphic>
                </wp:anchor>
              </w:drawing>
            </w:r>
            <w:r>
              <w:rPr>
                <w:rFonts w:hint="eastAsia"/>
                <w:szCs w:val="21"/>
              </w:rPr>
              <w:t>应急广播适配器前面板示意图</w:t>
            </w:r>
          </w:p>
          <w:p>
            <w:pPr>
              <w:adjustRightInd w:val="0"/>
              <w:snapToGrid w:val="0"/>
              <w:ind w:firstLine="420"/>
              <w:rPr>
                <w:szCs w:val="21"/>
              </w:rPr>
            </w:pPr>
          </w:p>
          <w:p>
            <w:pPr>
              <w:adjustRightInd w:val="0"/>
              <w:snapToGrid w:val="0"/>
              <w:ind w:firstLine="420"/>
              <w:rPr>
                <w:szCs w:val="21"/>
              </w:rPr>
            </w:pPr>
            <w:r>
              <w:rPr>
                <w:rFonts w:hint="eastAsia"/>
                <w:szCs w:val="21"/>
              </w:rPr>
              <w:t>应急广播适配器后面板示意图</w:t>
            </w:r>
          </w:p>
          <w:p>
            <w:pPr>
              <w:adjustRightInd w:val="0"/>
              <w:snapToGrid w:val="0"/>
              <w:ind w:firstLine="420"/>
              <w:rPr>
                <w:szCs w:val="21"/>
              </w:rPr>
            </w:pPr>
            <w:r>
              <w:rPr>
                <w:rFonts w:hint="eastAsia"/>
                <w:szCs w:val="21"/>
              </w:rPr>
              <w:t>采用液晶屏显示菜单，要求液晶显示屏至少能显示4行中文字符、3吋以上。长时间不操作屏幕会关掉背光，操作即开。长时间不操作菜单长会自动返回主界面，时间长度可设置。采用飞梭操作按钮，操作设备菜单，操作键具有选择，设置，调整三个功能，按下该键表示选择，按下情况下，所选择项进入反显状态，则表示该项已经进入了编辑状态，左右旋转可以改变该项的值。设置或调整数值完成后选择“确定”并按下，可保存并退出。</w:t>
            </w:r>
          </w:p>
          <w:p>
            <w:pPr>
              <w:adjustRightInd w:val="0"/>
              <w:snapToGrid w:val="0"/>
              <w:ind w:firstLine="420"/>
              <w:rPr>
                <w:szCs w:val="21"/>
              </w:rPr>
            </w:pPr>
            <w:r>
              <w:rPr>
                <w:rFonts w:hint="eastAsia"/>
                <w:szCs w:val="21"/>
              </w:rPr>
              <w:t>应急广播适配器OLED显示屏顶端左上角：应有IP（TS）组播接收指示图标，当接收到指定IP地址的组播时（如县级平台组播：239.12.12.12:1212，要求可由用户配置）则显示该图标，未接收到则不显示。应有专网IP网管通道连接正常指示，当应急广播适配器通过有线专网网管通道往县级平台发送主动报文，并收到县级平台回复的应答包时，表示连接正常，则显示该图标，未收到应答包则不显示该图标。应有IP/4G当前在播状态指示，当通过该方式广播时显示该图标，广播结束则不显示该图标。应有4G移动通信网络信号强度指示图标。</w:t>
            </w:r>
          </w:p>
          <w:p>
            <w:pPr>
              <w:adjustRightInd w:val="0"/>
              <w:snapToGrid w:val="0"/>
              <w:ind w:firstLine="420"/>
              <w:rPr>
                <w:szCs w:val="21"/>
              </w:rPr>
            </w:pPr>
            <w:r>
              <w:rPr>
                <w:rFonts w:hint="eastAsia"/>
                <w:szCs w:val="21"/>
              </w:rPr>
              <w:t>应分别有IP、4G当前在播状态指示，当通过该方式广播时显示该图标，广播结束则不显示该图标。应有4G移动通信网络信号强度指示图标。</w:t>
            </w:r>
          </w:p>
          <w:p>
            <w:pPr>
              <w:adjustRightInd w:val="0"/>
              <w:snapToGrid w:val="0"/>
              <w:ind w:firstLine="420"/>
              <w:rPr>
                <w:szCs w:val="21"/>
              </w:rPr>
            </w:pPr>
            <w:r>
              <w:rPr>
                <w:rFonts w:hint="eastAsia"/>
                <w:szCs w:val="21"/>
              </w:rPr>
              <w:t>应急广播适配器本地插播，音源切换到U盘时，配套的触控显示器和应急广播适配器OLED屏能在主页面自动显示音频播放列表，并默认选择当前播放列表第一个音频文件播放，可由用户使用配套的触控显示器和应急广播适配器前面板飞梭操作键选择列表内其他音频文件播放。</w:t>
            </w:r>
          </w:p>
          <w:p>
            <w:pPr>
              <w:adjustRightInd w:val="0"/>
              <w:snapToGrid w:val="0"/>
              <w:ind w:firstLine="420"/>
              <w:rPr>
                <w:szCs w:val="21"/>
              </w:rPr>
            </w:pPr>
            <w:r>
              <w:rPr>
                <w:rFonts w:hint="eastAsia"/>
                <w:szCs w:val="21"/>
              </w:rPr>
              <w:t>应急广播适配器配套的U盘，音频文件应放置在根目录，且适配器能在本地插播时根据用户选择直接读取该U盘所存储的音频文件并播放，不可采用U盘根目录建特定文件夹专门存放音频文件的方式。</w:t>
            </w:r>
          </w:p>
          <w:p>
            <w:pPr>
              <w:adjustRightInd w:val="0"/>
              <w:snapToGrid w:val="0"/>
              <w:ind w:firstLine="420"/>
              <w:rPr>
                <w:szCs w:val="21"/>
              </w:rPr>
            </w:pPr>
            <w:r>
              <w:rPr>
                <w:rFonts w:hint="eastAsia"/>
                <w:szCs w:val="21"/>
              </w:rPr>
              <w:t>具有U盘存储的MP3格式音频文件播放功能,开本级应急广播和日常广播时启用。能显示U盘存储的MP3文件列表，当前所选MP3文件反显。通过飞梭菜单操作键左旋或右旋选择MP3音频文件播出,默认自动播出文件列表第一个音频。</w:t>
            </w:r>
          </w:p>
          <w:p>
            <w:pPr>
              <w:adjustRightInd w:val="0"/>
              <w:snapToGrid w:val="0"/>
              <w:ind w:firstLine="420"/>
              <w:rPr>
                <w:szCs w:val="21"/>
              </w:rPr>
            </w:pPr>
            <w:r>
              <w:rPr>
                <w:rFonts w:hint="eastAsia"/>
                <w:szCs w:val="21"/>
              </w:rPr>
              <w:t>具有6.35mm接口规格动圈话筒、内置话筒输入，应急广播适配器做好输入匹配。内置话筒位于前面板右下方，面板上该话筒位置处开有“*”型多个小孔，便于用户对其喊话。动圈话筒接口要求位于前面板右下方、内置话筒旁边。两个话筒在喊话音量均相同的情况下，要求输出音量趋于一致，相差不可太大。</w:t>
            </w:r>
          </w:p>
          <w:p>
            <w:pPr>
              <w:adjustRightInd w:val="0"/>
              <w:snapToGrid w:val="0"/>
              <w:ind w:firstLine="420"/>
              <w:rPr>
                <w:szCs w:val="21"/>
              </w:rPr>
            </w:pPr>
            <w:r>
              <w:rPr>
                <w:rFonts w:hint="eastAsia"/>
                <w:szCs w:val="21"/>
              </w:rPr>
              <w:t>两个话筒工作逻辑为：插入6.35mm接口规格动圈话筒，内置话筒失效；拔出6.35mm接口规格动圈话筒，内置话筒生效。内置话筒生效的同时要求内置监听扬声器喇叭自动关闭，防止自激产生啸叫声。</w:t>
            </w:r>
          </w:p>
          <w:p>
            <w:pPr>
              <w:adjustRightInd w:val="0"/>
              <w:snapToGrid w:val="0"/>
              <w:ind w:firstLine="420"/>
              <w:rPr>
                <w:szCs w:val="21"/>
              </w:rPr>
            </w:pPr>
            <w:r>
              <w:rPr>
                <w:rFonts w:hint="eastAsia"/>
                <w:szCs w:val="21"/>
              </w:rPr>
              <w:t>具有高保真降噪监控专用拾音器接口，接口为EDG-5.08-3P绿色弯脚插拔式接线端子（引脚间距5.08mm），三个引脚分别为1-+12V电源、2-音频信号、3-公共地；接线方式为“红—+12V，兰—信号，黄—地”，采用3芯RVV电缆，单根线芯要求为99.99%纯无氧铜，单根线芯截面积不小于1.5。</w:t>
            </w:r>
          </w:p>
          <w:p>
            <w:pPr>
              <w:adjustRightInd w:val="0"/>
              <w:snapToGrid w:val="0"/>
              <w:ind w:firstLine="420"/>
              <w:rPr>
                <w:szCs w:val="21"/>
              </w:rPr>
            </w:pPr>
            <w:r>
              <w:rPr>
                <w:rFonts w:hint="eastAsia"/>
                <w:szCs w:val="21"/>
              </w:rPr>
              <w:t>可采集终端应急广播现场发布的声音并以单个文件MP3格式录制存储。当应急广播适配器播出上级播发的应急广播和日常广播时开始录制，其余时间不录制。</w:t>
            </w:r>
          </w:p>
          <w:p>
            <w:pPr>
              <w:adjustRightInd w:val="0"/>
              <w:snapToGrid w:val="0"/>
              <w:ind w:firstLine="420"/>
              <w:rPr>
                <w:szCs w:val="21"/>
              </w:rPr>
            </w:pPr>
            <w:r>
              <w:rPr>
                <w:rFonts w:hint="eastAsia"/>
                <w:szCs w:val="21"/>
              </w:rPr>
              <w:t>文件名为：S+开始录音日期时间+该设备资源编码（9字节BCD码）。可采用有线IP和移动通信网络根据上级指令选择是否回传至上级平台。</w:t>
            </w:r>
          </w:p>
          <w:p>
            <w:pPr>
              <w:adjustRightInd w:val="0"/>
              <w:snapToGrid w:val="0"/>
              <w:ind w:firstLine="420"/>
              <w:rPr>
                <w:szCs w:val="21"/>
              </w:rPr>
            </w:pPr>
            <w:r>
              <w:rPr>
                <w:rFonts w:hint="eastAsia"/>
                <w:szCs w:val="21"/>
              </w:rPr>
              <w:t>内置TF卡或U盘，存储本地广播音频和拾音器音频，循环存储，支持可存储容量为16G以上，可通过设备前面板USB接口将该卡存储的录音文件直接复制到U盘（或通过IP数据口2，利用WEB网管能读取并下载内置TF卡内MP3文件）。该TF卡或U盘置于设备内部PCB板上，如不打开设备机箱则不能取出。</w:t>
            </w:r>
          </w:p>
          <w:p>
            <w:pPr>
              <w:adjustRightInd w:val="0"/>
              <w:snapToGrid w:val="0"/>
              <w:ind w:firstLine="420"/>
              <w:rPr>
                <w:szCs w:val="21"/>
              </w:rPr>
            </w:pPr>
            <w:r>
              <w:rPr>
                <w:rFonts w:hint="eastAsia"/>
                <w:szCs w:val="21"/>
              </w:rPr>
              <w:t>具有本地播出应急、日常音频录音功能，每次录音以单个MP3文件格式存储于TF卡，文件名为：B+开始录音日期时间+该设备资源编码（9字节BCD码），可采用有线IP和移动通信网络方式根据上级指令选择是否回传至上级平台。</w:t>
            </w:r>
          </w:p>
          <w:p>
            <w:pPr>
              <w:adjustRightInd w:val="0"/>
              <w:snapToGrid w:val="0"/>
              <w:ind w:firstLine="420"/>
              <w:rPr>
                <w:szCs w:val="21"/>
              </w:rPr>
            </w:pPr>
            <w:r>
              <w:rPr>
                <w:rFonts w:hint="eastAsia"/>
                <w:szCs w:val="21"/>
              </w:rPr>
              <w:t>（六）接口和配件要求</w:t>
            </w:r>
          </w:p>
          <w:p>
            <w:pPr>
              <w:adjustRightInd w:val="0"/>
              <w:snapToGrid w:val="0"/>
              <w:ind w:firstLine="420"/>
              <w:rPr>
                <w:szCs w:val="21"/>
              </w:rPr>
            </w:pPr>
            <w:r>
              <w:rPr>
                <w:rFonts w:hint="eastAsia"/>
                <w:szCs w:val="21"/>
              </w:rPr>
              <w:t>具有两组立体声非平衡模拟音频线路输入，接口为RCA莲花母座。一组为直播卫星接收机输出音频，另一组为DVD播放机等具有模拟音频输出设备输出的音频。</w:t>
            </w:r>
          </w:p>
          <w:p>
            <w:pPr>
              <w:adjustRightInd w:val="0"/>
              <w:snapToGrid w:val="0"/>
              <w:ind w:firstLine="420"/>
              <w:rPr>
                <w:szCs w:val="21"/>
              </w:rPr>
            </w:pPr>
            <w:r>
              <w:rPr>
                <w:rFonts w:hint="eastAsia"/>
                <w:szCs w:val="21"/>
              </w:rPr>
              <w:t>具有一组立体声平衡模拟音频线路输出，XLR卡侬公座；一组立体声非平衡模拟音频线路输出，RCA莲花母座。</w:t>
            </w:r>
          </w:p>
          <w:p>
            <w:pPr>
              <w:adjustRightInd w:val="0"/>
              <w:snapToGrid w:val="0"/>
              <w:ind w:firstLine="420"/>
              <w:rPr>
                <w:szCs w:val="21"/>
              </w:rPr>
            </w:pPr>
            <w:r>
              <w:rPr>
                <w:rFonts w:hint="eastAsia"/>
                <w:szCs w:val="21"/>
              </w:rPr>
              <w:t>具有额定有效值功率为100W的音频功放定阻输出。总共4个标准音频接线柱，分两组，每组50W，输出阻抗4Ω～8Ω。采用2芯RVV电缆，单根线芯要求为99.99%纯无氧铜，单根线芯截面积不小于1.5。音频功放的输入音频和设备总输出的模拟音频一致。</w:t>
            </w:r>
          </w:p>
          <w:p>
            <w:pPr>
              <w:adjustRightInd w:val="0"/>
              <w:snapToGrid w:val="0"/>
              <w:ind w:firstLine="420"/>
              <w:rPr>
                <w:szCs w:val="21"/>
              </w:rPr>
            </w:pPr>
            <w:r>
              <w:rPr>
                <w:rFonts w:hint="eastAsia"/>
                <w:szCs w:val="21"/>
              </w:rPr>
              <w:t>内置监听扬声器，额定功率2W或以上，可调节监听音量。采用微型不锈钢带灯指示自锁开关，位于前面板，监听可开可关。</w:t>
            </w:r>
          </w:p>
          <w:p>
            <w:pPr>
              <w:adjustRightInd w:val="0"/>
              <w:snapToGrid w:val="0"/>
              <w:ind w:firstLine="420"/>
              <w:rPr>
                <w:szCs w:val="21"/>
              </w:rPr>
            </w:pPr>
            <w:r>
              <w:rPr>
                <w:szCs w:val="21"/>
              </w:rPr>
              <w:drawing>
                <wp:anchor distT="0" distB="0" distL="114300" distR="114300" simplePos="0" relativeHeight="251683840" behindDoc="0" locked="0" layoutInCell="1" allowOverlap="1">
                  <wp:simplePos x="0" y="0"/>
                  <wp:positionH relativeFrom="page">
                    <wp:posOffset>1005840</wp:posOffset>
                  </wp:positionH>
                  <wp:positionV relativeFrom="page">
                    <wp:posOffset>189865</wp:posOffset>
                  </wp:positionV>
                  <wp:extent cx="734695" cy="734695"/>
                  <wp:effectExtent l="19050" t="0" r="8255" b="0"/>
                  <wp:wrapNone/>
                  <wp:docPr id="119" name="对象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对象 88"/>
                          <pic:cNvPicPr>
                            <a:picLocks noChangeAspect="1" noChangeArrowheads="1"/>
                          </pic:cNvPicPr>
                        </pic:nvPicPr>
                        <pic:blipFill>
                          <a:blip r:embed="rId23" cstate="print"/>
                          <a:srcRect/>
                          <a:stretch>
                            <a:fillRect/>
                          </a:stretch>
                        </pic:blipFill>
                        <pic:spPr>
                          <a:xfrm>
                            <a:off x="0" y="0"/>
                            <a:ext cx="734695" cy="734695"/>
                          </a:xfrm>
                          <a:prstGeom prst="rect">
                            <a:avLst/>
                          </a:prstGeom>
                          <a:noFill/>
                        </pic:spPr>
                      </pic:pic>
                    </a:graphicData>
                  </a:graphic>
                </wp:anchor>
              </w:drawing>
            </w:r>
            <w:r>
              <w:rPr>
                <w:rFonts w:hint="eastAsia"/>
                <w:szCs w:val="21"/>
              </w:rPr>
              <w:t>参考样式：</w:t>
            </w:r>
          </w:p>
          <w:p>
            <w:pPr>
              <w:adjustRightInd w:val="0"/>
              <w:snapToGrid w:val="0"/>
              <w:ind w:firstLine="420"/>
              <w:rPr>
                <w:szCs w:val="21"/>
              </w:rPr>
            </w:pPr>
            <w:r>
              <w:rPr>
                <w:rFonts w:hint="eastAsia"/>
                <w:szCs w:val="21"/>
              </w:rPr>
              <w:t>具有一个220V/10A受控电源输出，当有应急广播或日常广播（包括定时广播）时输出自动开启。</w:t>
            </w:r>
          </w:p>
          <w:p>
            <w:pPr>
              <w:adjustRightInd w:val="0"/>
              <w:snapToGrid w:val="0"/>
              <w:ind w:firstLine="420"/>
              <w:rPr>
                <w:szCs w:val="21"/>
              </w:rPr>
            </w:pPr>
            <w:r>
              <w:rPr>
                <w:rFonts w:hint="eastAsia"/>
                <w:szCs w:val="21"/>
              </w:rPr>
              <w:t>具有57KHz调频副载波（RDS）输出，BNC接头，输出幅度连续可调。或采用RS232输出（如采用此种方式则要求调频广播发射机支持RDS编码数据采用RS232输入），DB9公座。</w:t>
            </w:r>
          </w:p>
          <w:p>
            <w:pPr>
              <w:adjustRightInd w:val="0"/>
              <w:snapToGrid w:val="0"/>
              <w:ind w:firstLine="420"/>
              <w:rPr>
                <w:szCs w:val="21"/>
              </w:rPr>
            </w:pPr>
            <w:r>
              <w:rPr>
                <w:rFonts w:hint="eastAsia"/>
                <w:szCs w:val="21"/>
              </w:rPr>
              <w:t>具有2个RS232串口。一个为DB9母座，用于设备控制程序升级、可扩展LED大屏图文显示；另一个为DB9公座，用于RDS编码数据输出和接收调频广播发射机状态数据。</w:t>
            </w:r>
          </w:p>
          <w:p>
            <w:pPr>
              <w:adjustRightInd w:val="0"/>
              <w:snapToGrid w:val="0"/>
              <w:ind w:firstLine="420"/>
              <w:rPr>
                <w:szCs w:val="21"/>
              </w:rPr>
            </w:pPr>
            <w:r>
              <w:rPr>
                <w:rFonts w:hint="eastAsia"/>
                <w:szCs w:val="21"/>
              </w:rPr>
              <w:t>后面板具有1个HDMI音视频输出接口和一个USB接口，用于连接触控显示器，操作/显示应急广播信息播发和控制/显示DTMB信号。</w:t>
            </w:r>
          </w:p>
          <w:p>
            <w:pPr>
              <w:adjustRightInd w:val="0"/>
              <w:snapToGrid w:val="0"/>
              <w:ind w:firstLine="420"/>
              <w:rPr>
                <w:szCs w:val="21"/>
              </w:rPr>
            </w:pPr>
            <w:r>
              <w:rPr>
                <w:rFonts w:hint="eastAsia"/>
                <w:szCs w:val="21"/>
              </w:rPr>
              <w:t>FM接收输入通道设计为一个F头，共用FM接收天线。</w:t>
            </w:r>
          </w:p>
          <w:p>
            <w:pPr>
              <w:adjustRightInd w:val="0"/>
              <w:snapToGrid w:val="0"/>
              <w:ind w:firstLine="420"/>
              <w:rPr>
                <w:szCs w:val="21"/>
              </w:rPr>
            </w:pPr>
            <w:r>
              <w:rPr>
                <w:rFonts w:hint="eastAsia"/>
                <w:szCs w:val="21"/>
              </w:rPr>
              <w:t>两个FM接收模块同时接收。均可接收RDS数据。</w:t>
            </w:r>
          </w:p>
          <w:p>
            <w:pPr>
              <w:adjustRightInd w:val="0"/>
              <w:snapToGrid w:val="0"/>
              <w:ind w:firstLine="420"/>
              <w:rPr>
                <w:szCs w:val="21"/>
              </w:rPr>
            </w:pPr>
            <w:r>
              <w:rPr>
                <w:rFonts w:hint="eastAsia"/>
                <w:szCs w:val="21"/>
              </w:rPr>
              <w:t>具有两个RJ45网口。</w:t>
            </w:r>
          </w:p>
          <w:p>
            <w:pPr>
              <w:adjustRightInd w:val="0"/>
              <w:snapToGrid w:val="0"/>
              <w:ind w:firstLine="420"/>
              <w:rPr>
                <w:szCs w:val="21"/>
              </w:rPr>
            </w:pPr>
            <w:r>
              <w:rPr>
                <w:rFonts w:hint="eastAsia"/>
                <w:szCs w:val="21"/>
              </w:rPr>
              <w:t>网口1：10/100Mbps自适应，IP(TS)信源输入、输出口，可同时接收至少2个或2个以上组播，接收、发送组播IP地址及端口号可本地和远程设置。</w:t>
            </w:r>
          </w:p>
          <w:p>
            <w:pPr>
              <w:adjustRightInd w:val="0"/>
              <w:snapToGrid w:val="0"/>
              <w:ind w:firstLine="420"/>
              <w:rPr>
                <w:szCs w:val="21"/>
              </w:rPr>
            </w:pPr>
            <w:r>
              <w:rPr>
                <w:rFonts w:hint="eastAsia"/>
                <w:szCs w:val="21"/>
              </w:rPr>
              <w:t>网口2：10/100Mbps自适应，作为IP广播、WEB网管、数据回传，对本机详细的参数进行设置、状态查看。回传IP地址及端口号可本地和远程设置，共有四组设置项，分别对应移动通信网络回传方式两组和有线IP回传方式两组，选择任意一种回传方式均可往两个不同的IP地址发送数据。</w:t>
            </w:r>
          </w:p>
          <w:p>
            <w:pPr>
              <w:adjustRightInd w:val="0"/>
              <w:snapToGrid w:val="0"/>
              <w:ind w:firstLine="420"/>
              <w:rPr>
                <w:szCs w:val="21"/>
              </w:rPr>
            </w:pPr>
            <w:r>
              <w:rPr>
                <w:rFonts w:hint="eastAsia"/>
                <w:szCs w:val="21"/>
              </w:rPr>
              <w:t>采用高性能开关电源，效率≥87%，具有短路、过温、过流、过压保护功能，出现保护时关断输出电压，重启时恢复。</w:t>
            </w:r>
          </w:p>
          <w:p>
            <w:pPr>
              <w:adjustRightInd w:val="0"/>
              <w:snapToGrid w:val="0"/>
              <w:ind w:firstLine="420"/>
              <w:rPr>
                <w:szCs w:val="21"/>
              </w:rPr>
            </w:pPr>
            <w:r>
              <w:rPr>
                <w:rFonts w:hint="eastAsia"/>
                <w:szCs w:val="21"/>
              </w:rPr>
              <w:t>设备各个模块要求均采用+24V电压供电，除了开关电源要求具有+24V电压输出外，要求设备后面板具有+24V电源电压输入接口，接口为EDG-5.08-2P绿色弯脚插拔式接线端子（引脚间距5.08mm）两个引脚分别为1-+24V电源、2-公共地；当没有外电或开关电源损坏时，可采用+24V备用电池组给整个设备供电。</w:t>
            </w:r>
          </w:p>
          <w:p>
            <w:pPr>
              <w:adjustRightInd w:val="0"/>
              <w:snapToGrid w:val="0"/>
              <w:ind w:firstLine="420"/>
              <w:rPr>
                <w:szCs w:val="21"/>
              </w:rPr>
            </w:pPr>
            <w:r>
              <w:rPr>
                <w:rFonts w:hint="eastAsia"/>
                <w:szCs w:val="21"/>
              </w:rPr>
              <w:t>设备总电源采用船型开关，置于后面板。电源输入具有防雷设计，具有防浪涌电源滤波器，采用自带保险管（1主1备）电源接口，如下图所示。</w:t>
            </w:r>
          </w:p>
          <w:p>
            <w:pPr>
              <w:adjustRightInd w:val="0"/>
              <w:snapToGrid w:val="0"/>
              <w:ind w:firstLine="420"/>
              <w:rPr>
                <w:szCs w:val="21"/>
              </w:rPr>
            </w:pPr>
            <w:r>
              <w:rPr>
                <w:rFonts w:hint="eastAsia"/>
                <w:szCs w:val="21"/>
              </w:rPr>
              <w:drawing>
                <wp:anchor distT="0" distB="0" distL="114300" distR="114300" simplePos="0" relativeHeight="251684864" behindDoc="0" locked="0" layoutInCell="1" allowOverlap="1">
                  <wp:simplePos x="0" y="0"/>
                  <wp:positionH relativeFrom="page">
                    <wp:posOffset>310515</wp:posOffset>
                  </wp:positionH>
                  <wp:positionV relativeFrom="page">
                    <wp:posOffset>5974715</wp:posOffset>
                  </wp:positionV>
                  <wp:extent cx="1334135" cy="953770"/>
                  <wp:effectExtent l="0" t="0" r="0" b="0"/>
                  <wp:wrapTopAndBottom/>
                  <wp:docPr id="120" name="图片 248" descr="图片1"/>
                  <wp:cNvGraphicFramePr/>
                  <a:graphic xmlns:a="http://schemas.openxmlformats.org/drawingml/2006/main">
                    <a:graphicData uri="http://schemas.openxmlformats.org/drawingml/2006/picture">
                      <pic:pic xmlns:pic="http://schemas.openxmlformats.org/drawingml/2006/picture">
                        <pic:nvPicPr>
                          <pic:cNvPr id="120" name="图片 248" descr="图片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334135" cy="953770"/>
                          </a:xfrm>
                          <a:prstGeom prst="rect">
                            <a:avLst/>
                          </a:prstGeom>
                          <a:noFill/>
                          <a:ln>
                            <a:noFill/>
                          </a:ln>
                          <a:effectLst/>
                        </pic:spPr>
                      </pic:pic>
                    </a:graphicData>
                  </a:graphic>
                </wp:anchor>
              </w:drawing>
            </w:r>
            <w:r>
              <w:rPr>
                <w:rFonts w:hint="eastAsia"/>
                <w:szCs w:val="21"/>
              </w:rPr>
              <w:t>防浪涌电源滤波器示意图</w:t>
            </w:r>
          </w:p>
          <w:p>
            <w:pPr>
              <w:adjustRightInd w:val="0"/>
              <w:snapToGrid w:val="0"/>
              <w:ind w:firstLine="420"/>
              <w:rPr>
                <w:szCs w:val="21"/>
              </w:rPr>
            </w:pPr>
            <w:r>
              <w:rPr>
                <w:rFonts w:hint="eastAsia"/>
                <w:szCs w:val="21"/>
              </w:rPr>
              <w:t>采用三芯电源线，线芯要求为99.99%纯无氧铜，单根线芯截面积不小于1.5。输入火线与零线间并联一个20D561K规格的压敏电阻。</w:t>
            </w:r>
          </w:p>
          <w:p>
            <w:pPr>
              <w:adjustRightInd w:val="0"/>
              <w:snapToGrid w:val="0"/>
              <w:ind w:firstLine="420"/>
              <w:rPr>
                <w:szCs w:val="21"/>
              </w:rPr>
            </w:pPr>
            <w:r>
              <w:rPr>
                <w:rFonts w:hint="eastAsia"/>
                <w:szCs w:val="21"/>
              </w:rPr>
              <w:t>设备具有接地端子，要求设备可靠接地。</w:t>
            </w:r>
          </w:p>
          <w:p>
            <w:pPr>
              <w:adjustRightInd w:val="0"/>
              <w:snapToGrid w:val="0"/>
              <w:ind w:firstLine="420"/>
              <w:rPr>
                <w:szCs w:val="21"/>
              </w:rPr>
            </w:pPr>
            <w:r>
              <w:rPr>
                <w:rFonts w:hint="eastAsia"/>
                <w:szCs w:val="21"/>
              </w:rPr>
              <w:t>设备内部所有PCB电路板要求喷三防漆，射频接口均须考虑防雷性能，接插件要求用硅橡胶固定。</w:t>
            </w:r>
          </w:p>
          <w:p>
            <w:pPr>
              <w:adjustRightInd w:val="0"/>
              <w:snapToGrid w:val="0"/>
              <w:ind w:firstLine="420"/>
              <w:rPr>
                <w:szCs w:val="21"/>
              </w:rPr>
            </w:pPr>
            <w:r>
              <w:rPr>
                <w:rFonts w:hint="eastAsia"/>
                <w:szCs w:val="21"/>
              </w:rPr>
              <w:t>标准19寸2U机架式全铝合金机箱，喷粉防腐设计，深度不超过50cm。颜色为国标色号73-B03，如机箱部分为不锈钢材料则不锈钢部分不用喷粉。</w:t>
            </w:r>
          </w:p>
          <w:p>
            <w:pPr>
              <w:adjustRightInd w:val="0"/>
              <w:snapToGrid w:val="0"/>
              <w:ind w:firstLine="420"/>
              <w:rPr>
                <w:szCs w:val="21"/>
              </w:rPr>
            </w:pPr>
            <w:r>
              <w:rPr>
                <w:rFonts w:hint="eastAsia"/>
                <w:szCs w:val="21"/>
              </w:rPr>
              <w:t>配件：</w:t>
            </w:r>
          </w:p>
          <w:p>
            <w:pPr>
              <w:adjustRightInd w:val="0"/>
              <w:snapToGrid w:val="0"/>
              <w:ind w:firstLine="420"/>
              <w:rPr>
                <w:szCs w:val="21"/>
              </w:rPr>
            </w:pPr>
            <w:r>
              <w:rPr>
                <w:rFonts w:hint="eastAsia"/>
                <w:szCs w:val="21"/>
              </w:rPr>
              <w:t>（1）U盘1个（16G，U盘根目录至少存放3个音频/音乐文件，要求内容积极向上）；</w:t>
            </w:r>
          </w:p>
          <w:p>
            <w:pPr>
              <w:adjustRightInd w:val="0"/>
              <w:snapToGrid w:val="0"/>
              <w:ind w:firstLine="420"/>
              <w:rPr>
                <w:szCs w:val="21"/>
              </w:rPr>
            </w:pPr>
            <w:r>
              <w:rPr>
                <w:rFonts w:hint="eastAsia"/>
                <w:szCs w:val="21"/>
              </w:rPr>
              <w:t>（2）TF卡1个（16G，安装在应急广播适配器内）；</w:t>
            </w:r>
          </w:p>
          <w:p>
            <w:pPr>
              <w:adjustRightInd w:val="0"/>
              <w:snapToGrid w:val="0"/>
              <w:ind w:firstLine="420"/>
              <w:rPr>
                <w:szCs w:val="21"/>
              </w:rPr>
            </w:pPr>
            <w:r>
              <w:rPr>
                <w:rFonts w:hint="eastAsia"/>
                <w:szCs w:val="21"/>
              </w:rPr>
              <w:t>（3）拾音器（监听面积10～70平方米，传输距离≥100米，工作电压+12V DC，)输出阻抗600Ω，信噪比≥60dB，灵敏度≥-34dB，具有雷击保护和电源极性反接保护）；</w:t>
            </w:r>
          </w:p>
          <w:p>
            <w:pPr>
              <w:adjustRightInd w:val="0"/>
              <w:snapToGrid w:val="0"/>
              <w:ind w:firstLine="420"/>
              <w:rPr>
                <w:szCs w:val="21"/>
              </w:rPr>
            </w:pPr>
            <w:r>
              <w:rPr>
                <w:rFonts w:hint="eastAsia"/>
                <w:szCs w:val="21"/>
              </w:rPr>
              <w:t>（4）4G/GSM吸盘天线1副；</w:t>
            </w:r>
          </w:p>
          <w:p>
            <w:pPr>
              <w:adjustRightInd w:val="0"/>
              <w:snapToGrid w:val="0"/>
              <w:ind w:firstLine="420"/>
              <w:rPr>
                <w:szCs w:val="21"/>
              </w:rPr>
            </w:pPr>
            <w:r>
              <w:rPr>
                <w:rFonts w:hint="eastAsia"/>
                <w:szCs w:val="21"/>
              </w:rPr>
              <w:t>（5）动圈话筒1个（配支架）；</w:t>
            </w:r>
          </w:p>
          <w:p>
            <w:pPr>
              <w:adjustRightInd w:val="0"/>
              <w:snapToGrid w:val="0"/>
              <w:ind w:firstLine="420"/>
              <w:rPr>
                <w:szCs w:val="21"/>
              </w:rPr>
            </w:pPr>
            <w:r>
              <w:rPr>
                <w:rFonts w:hint="eastAsia"/>
                <w:szCs w:val="21"/>
              </w:rPr>
              <w:t>（6）2米5类屏蔽成品网线2根；</w:t>
            </w:r>
          </w:p>
          <w:p>
            <w:pPr>
              <w:adjustRightInd w:val="0"/>
              <w:snapToGrid w:val="0"/>
              <w:ind w:firstLine="420"/>
              <w:rPr>
                <w:szCs w:val="21"/>
              </w:rPr>
            </w:pPr>
            <w:r>
              <w:rPr>
                <w:rFonts w:hint="eastAsia"/>
                <w:szCs w:val="21"/>
              </w:rPr>
              <w:t>（7）电源线1根；</w:t>
            </w:r>
          </w:p>
          <w:p>
            <w:pPr>
              <w:adjustRightInd w:val="0"/>
              <w:snapToGrid w:val="0"/>
              <w:ind w:firstLine="420"/>
              <w:rPr>
                <w:szCs w:val="21"/>
              </w:rPr>
            </w:pPr>
            <w:r>
              <w:rPr>
                <w:rFonts w:hint="eastAsia"/>
                <w:szCs w:val="21"/>
              </w:rPr>
              <w:t>（8）防雷警示标贴1张；</w:t>
            </w:r>
          </w:p>
          <w:p>
            <w:pPr>
              <w:adjustRightInd w:val="0"/>
              <w:snapToGrid w:val="0"/>
              <w:ind w:firstLine="420"/>
              <w:rPr>
                <w:szCs w:val="21"/>
              </w:rPr>
            </w:pPr>
            <w:r>
              <w:rPr>
                <w:rFonts w:hint="eastAsia"/>
                <w:szCs w:val="21"/>
              </w:rPr>
              <w:t>（9）说明书、合格证等1份；</w:t>
            </w:r>
          </w:p>
          <w:p>
            <w:pPr>
              <w:adjustRightInd w:val="0"/>
              <w:snapToGrid w:val="0"/>
              <w:ind w:firstLine="420"/>
              <w:rPr>
                <w:szCs w:val="21"/>
              </w:rPr>
            </w:pPr>
            <w:r>
              <w:rPr>
                <w:rFonts w:hint="eastAsia"/>
                <w:szCs w:val="21"/>
              </w:rPr>
              <w:t>（10）简易操作卡1张；</w:t>
            </w:r>
          </w:p>
          <w:p>
            <w:pPr>
              <w:adjustRightInd w:val="0"/>
              <w:snapToGrid w:val="0"/>
              <w:ind w:firstLine="420"/>
              <w:rPr>
                <w:szCs w:val="21"/>
              </w:rPr>
            </w:pPr>
            <w:r>
              <w:rPr>
                <w:rFonts w:hint="eastAsia"/>
                <w:szCs w:val="21"/>
              </w:rPr>
              <w:t>（11）设备重要参数纪录卡1张；</w:t>
            </w:r>
          </w:p>
          <w:p>
            <w:pPr>
              <w:adjustRightInd w:val="0"/>
              <w:snapToGrid w:val="0"/>
              <w:ind w:firstLine="420"/>
              <w:rPr>
                <w:bCs/>
                <w:szCs w:val="21"/>
              </w:rPr>
            </w:pPr>
            <w:r>
              <w:rPr>
                <w:rFonts w:hint="eastAsia"/>
                <w:szCs w:val="21"/>
              </w:rPr>
              <w:t>（12）HDMI线接、USB控制线等其余配件根据使用需求配置。</w:t>
            </w: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w:t>
            </w:r>
            <w:r>
              <w:rPr>
                <w:szCs w:val="21"/>
              </w:rPr>
              <w:t>4</w:t>
            </w:r>
            <w:r>
              <w:rPr>
                <w:rFonts w:hint="eastAsia"/>
                <w:szCs w:val="21"/>
              </w:rPr>
              <w:t>台</w:t>
            </w:r>
          </w:p>
        </w:tc>
      </w:tr>
      <w:tr>
        <w:tblPrEx>
          <w:tblCellMar>
            <w:top w:w="0" w:type="dxa"/>
            <w:left w:w="0" w:type="dxa"/>
            <w:bottom w:w="0" w:type="dxa"/>
            <w:right w:w="0" w:type="dxa"/>
          </w:tblCellMar>
        </w:tblPrEx>
        <w:trPr>
          <w:trHeight w:val="90"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jc w:val="center"/>
              <w:textAlignment w:val="center"/>
              <w:rPr>
                <w:szCs w:val="21"/>
              </w:rPr>
            </w:pPr>
            <w:r>
              <w:rPr>
                <w:rFonts w:hint="eastAsia"/>
                <w:szCs w:val="21"/>
              </w:rPr>
              <w:t>2</w:t>
            </w:r>
          </w:p>
        </w:tc>
        <w:tc>
          <w:tcPr>
            <w:tcW w:w="993"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textAlignment w:val="center"/>
              <w:rPr>
                <w:szCs w:val="21"/>
              </w:rPr>
            </w:pPr>
            <w:r>
              <w:rPr>
                <w:rFonts w:hint="eastAsia"/>
                <w:szCs w:val="21"/>
              </w:rPr>
              <w:t>触摸显示模块</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rStyle w:val="55"/>
              </w:rPr>
            </w:pPr>
            <w:r>
              <w:rPr>
                <w:rFonts w:hint="eastAsia"/>
                <w:szCs w:val="21"/>
              </w:rPr>
              <w:t>触摸显示模块安装</w:t>
            </w:r>
            <w:r>
              <w:rPr>
                <w:rStyle w:val="55"/>
                <w:rFonts w:hint="eastAsia"/>
              </w:rPr>
              <w:t>在乡镇（村）级平台机柜上方，安装位置参见下图。</w:t>
            </w:r>
          </w:p>
          <w:p>
            <w:pPr>
              <w:widowControl/>
              <w:adjustRightInd w:val="0"/>
              <w:snapToGrid w:val="0"/>
              <w:ind w:firstLine="420"/>
              <w:jc w:val="center"/>
              <w:textAlignment w:val="center"/>
              <w:rPr>
                <w:rStyle w:val="55"/>
              </w:rPr>
            </w:pPr>
            <w:r>
              <w:rPr>
                <w:rStyle w:val="55"/>
                <w:rFonts w:hint="eastAsia"/>
              </w:rPr>
              <w:t>机柜结构示意图</w:t>
            </w:r>
          </w:p>
          <w:p>
            <w:pPr>
              <w:adjustRightInd w:val="0"/>
              <w:snapToGrid w:val="0"/>
              <w:ind w:firstLine="660" w:firstLineChars="300"/>
              <w:rPr>
                <w:rStyle w:val="55"/>
              </w:rPr>
            </w:pPr>
            <w:r>
              <w:rPr>
                <w:rStyle w:val="55"/>
                <w:rFonts w:hint="eastAsia"/>
              </w:rPr>
              <w:drawing>
                <wp:anchor distT="0" distB="0" distL="114300" distR="114300" simplePos="0" relativeHeight="251675648" behindDoc="1" locked="0" layoutInCell="1" allowOverlap="1">
                  <wp:simplePos x="0" y="0"/>
                  <wp:positionH relativeFrom="column">
                    <wp:posOffset>-6350</wp:posOffset>
                  </wp:positionH>
                  <wp:positionV relativeFrom="paragraph">
                    <wp:posOffset>75565</wp:posOffset>
                  </wp:positionV>
                  <wp:extent cx="4570730" cy="2868930"/>
                  <wp:effectExtent l="0" t="0" r="0" b="0"/>
                  <wp:wrapTight wrapText="bothSides">
                    <wp:wrapPolygon>
                      <wp:start x="0" y="0"/>
                      <wp:lineTo x="0" y="21514"/>
                      <wp:lineTo x="21546" y="21514"/>
                      <wp:lineTo x="21546" y="0"/>
                      <wp:lineTo x="0" y="0"/>
                    </wp:wrapPolygon>
                  </wp:wrapTight>
                  <wp:docPr id="121" name="图片 218"/>
                  <wp:cNvGraphicFramePr/>
                  <a:graphic xmlns:a="http://schemas.openxmlformats.org/drawingml/2006/main">
                    <a:graphicData uri="http://schemas.openxmlformats.org/drawingml/2006/picture">
                      <pic:pic xmlns:pic="http://schemas.openxmlformats.org/drawingml/2006/picture">
                        <pic:nvPicPr>
                          <pic:cNvPr id="121" name="图片 218"/>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570730" cy="2868930"/>
                          </a:xfrm>
                          <a:prstGeom prst="rect">
                            <a:avLst/>
                          </a:prstGeom>
                          <a:noFill/>
                          <a:ln>
                            <a:noFill/>
                          </a:ln>
                          <a:effectLst/>
                        </pic:spPr>
                      </pic:pic>
                    </a:graphicData>
                  </a:graphic>
                </wp:anchor>
              </w:drawing>
            </w:r>
            <w:r>
              <w:rPr>
                <w:rStyle w:val="55"/>
                <w:rFonts w:hint="eastAsia"/>
              </w:rPr>
              <w:t>1.显示屏尺寸：大于15吋，16：9，分辨率：不小于1366*768</w:t>
            </w:r>
          </w:p>
          <w:p>
            <w:pPr>
              <w:pStyle w:val="62"/>
              <w:adjustRightInd w:val="0"/>
              <w:snapToGrid w:val="0"/>
              <w:ind w:left="0" w:firstLine="660" w:firstLineChars="300"/>
              <w:rPr>
                <w:rStyle w:val="55"/>
              </w:rPr>
            </w:pPr>
            <w:r>
              <w:rPr>
                <w:rStyle w:val="55"/>
                <w:rFonts w:hint="eastAsia"/>
              </w:rPr>
              <w:t>2.触控板为电容式触摸屏，控制接口为USB接口</w:t>
            </w:r>
          </w:p>
          <w:p>
            <w:pPr>
              <w:widowControl/>
              <w:adjustRightInd w:val="0"/>
              <w:snapToGrid w:val="0"/>
              <w:ind w:firstLine="660" w:firstLineChars="300"/>
              <w:rPr>
                <w:rStyle w:val="55"/>
              </w:rPr>
            </w:pPr>
            <w:r>
              <w:rPr>
                <w:rStyle w:val="55"/>
                <w:rFonts w:hint="eastAsia"/>
              </w:rPr>
              <w:t>3.接口：1个HDMI接口，1个USB接口。</w:t>
            </w:r>
          </w:p>
          <w:p>
            <w:pPr>
              <w:widowControl/>
              <w:adjustRightInd w:val="0"/>
              <w:snapToGrid w:val="0"/>
              <w:ind w:firstLine="660" w:firstLineChars="300"/>
              <w:rPr>
                <w:rStyle w:val="55"/>
                <w:lang w:val="en-US"/>
              </w:rPr>
            </w:pPr>
            <w:r>
              <w:rPr>
                <w:rStyle w:val="55"/>
                <w:rFonts w:hint="eastAsia"/>
                <w:lang w:val="en-US"/>
              </w:rPr>
              <w:t>4.</w:t>
            </w:r>
            <w:r>
              <w:rPr>
                <w:rStyle w:val="55"/>
                <w:rFonts w:hint="eastAsia"/>
              </w:rPr>
              <w:t>亮度</w:t>
            </w:r>
            <w:r>
              <w:rPr>
                <w:rStyle w:val="55"/>
                <w:rFonts w:hint="eastAsia"/>
                <w:lang w:val="en-US"/>
              </w:rPr>
              <w:t xml:space="preserve">：≥300 cd/m2 (Typ.) </w:t>
            </w:r>
          </w:p>
          <w:p>
            <w:pPr>
              <w:widowControl/>
              <w:adjustRightInd w:val="0"/>
              <w:snapToGrid w:val="0"/>
              <w:ind w:firstLine="660" w:firstLineChars="300"/>
              <w:rPr>
                <w:rStyle w:val="55"/>
              </w:rPr>
            </w:pPr>
            <w:r>
              <w:rPr>
                <w:rStyle w:val="55"/>
                <w:rFonts w:hint="eastAsia"/>
              </w:rPr>
              <w:t xml:space="preserve">5.透射对比度：≥1000:1 (Typ.) </w:t>
            </w:r>
          </w:p>
          <w:p>
            <w:pPr>
              <w:widowControl/>
              <w:adjustRightInd w:val="0"/>
              <w:snapToGrid w:val="0"/>
              <w:ind w:firstLine="660" w:firstLineChars="300"/>
              <w:rPr>
                <w:rStyle w:val="55"/>
              </w:rPr>
            </w:pPr>
            <w:r>
              <w:rPr>
                <w:rStyle w:val="55"/>
                <w:rFonts w:hint="eastAsia"/>
              </w:rPr>
              <w:t xml:space="preserve">6.显示颜色： 16.7M   </w:t>
            </w:r>
          </w:p>
          <w:p>
            <w:pPr>
              <w:widowControl/>
              <w:adjustRightInd w:val="0"/>
              <w:snapToGrid w:val="0"/>
              <w:ind w:firstLine="660" w:firstLineChars="300"/>
              <w:rPr>
                <w:rStyle w:val="55"/>
              </w:rPr>
            </w:pPr>
            <w:r>
              <w:rPr>
                <w:rStyle w:val="55"/>
                <w:rFonts w:hint="eastAsia"/>
              </w:rPr>
              <w:t xml:space="preserve">7.响应时间： 1.3/3.7(Tr+Td) </w:t>
            </w:r>
          </w:p>
          <w:p>
            <w:pPr>
              <w:widowControl/>
              <w:adjustRightInd w:val="0"/>
              <w:snapToGrid w:val="0"/>
              <w:ind w:firstLine="660" w:firstLineChars="300"/>
              <w:rPr>
                <w:rStyle w:val="55"/>
              </w:rPr>
            </w:pPr>
            <w:r>
              <w:rPr>
                <w:rStyle w:val="55"/>
                <w:rFonts w:hint="eastAsia"/>
              </w:rPr>
              <w:t>8.伴音功率：大于1W</w:t>
            </w:r>
          </w:p>
          <w:p>
            <w:pPr>
              <w:widowControl/>
              <w:adjustRightInd w:val="0"/>
              <w:snapToGrid w:val="0"/>
              <w:ind w:firstLine="660" w:firstLineChars="300"/>
              <w:rPr>
                <w:rStyle w:val="55"/>
              </w:rPr>
            </w:pPr>
            <w:r>
              <w:rPr>
                <w:rStyle w:val="55"/>
                <w:rFonts w:hint="eastAsia"/>
              </w:rPr>
              <w:t xml:space="preserve">9.工作环境： -30～80 ℃ </w:t>
            </w:r>
          </w:p>
          <w:p>
            <w:pPr>
              <w:widowControl/>
              <w:adjustRightInd w:val="0"/>
              <w:snapToGrid w:val="0"/>
              <w:ind w:firstLine="660" w:firstLineChars="300"/>
              <w:rPr>
                <w:rStyle w:val="55"/>
              </w:rPr>
            </w:pPr>
            <w:r>
              <w:rPr>
                <w:rStyle w:val="55"/>
                <w:rFonts w:hint="eastAsia"/>
              </w:rPr>
              <w:t xml:space="preserve">10.功耗： ≤72W </w:t>
            </w:r>
          </w:p>
          <w:p>
            <w:pPr>
              <w:adjustRightInd w:val="0"/>
              <w:snapToGrid w:val="0"/>
              <w:ind w:firstLine="660" w:firstLineChars="300"/>
              <w:rPr>
                <w:szCs w:val="21"/>
              </w:rPr>
            </w:pPr>
            <w:r>
              <w:rPr>
                <w:rFonts w:hint="eastAsia"/>
                <w:szCs w:val="21"/>
              </w:rPr>
              <w:t>11.安装面板：配置6 U大小的面板，嵌入式安装在机柜上部。</w:t>
            </w:r>
          </w:p>
          <w:p>
            <w:pPr>
              <w:adjustRightInd w:val="0"/>
              <w:snapToGrid w:val="0"/>
              <w:ind w:firstLine="660" w:firstLineChars="300"/>
              <w:rPr>
                <w:szCs w:val="21"/>
              </w:rPr>
            </w:pPr>
            <w:r>
              <w:rPr>
                <w:rFonts w:hint="eastAsia"/>
                <w:szCs w:val="21"/>
              </w:rPr>
              <w:t>12.电源按键：实现一键唤醒或休眠触摸显示器。（选配）</w:t>
            </w:r>
          </w:p>
          <w:p>
            <w:pPr>
              <w:adjustRightInd w:val="0"/>
              <w:snapToGrid w:val="0"/>
              <w:ind w:firstLine="660" w:firstLineChars="300"/>
              <w:rPr>
                <w:szCs w:val="21"/>
              </w:rPr>
            </w:pPr>
            <w:r>
              <w:rPr>
                <w:rFonts w:hint="eastAsia"/>
                <w:szCs w:val="21"/>
              </w:rPr>
              <w:t>13.触摸显示模块不宜带操作系统，只是带触控功能的通用显示设备，无需任何参数配置，可替换。</w:t>
            </w:r>
          </w:p>
          <w:p>
            <w:pPr>
              <w:adjustRightInd w:val="0"/>
              <w:snapToGrid w:val="0"/>
              <w:ind w:firstLine="660" w:firstLineChars="300"/>
              <w:rPr>
                <w:szCs w:val="21"/>
              </w:rPr>
            </w:pPr>
            <w:r>
              <w:rPr>
                <w:rFonts w:hint="eastAsia"/>
                <w:szCs w:val="21"/>
              </w:rPr>
              <w:t>14.配件：安装面板1套；屏幕保护膜1张；电源适配器1个等。</w:t>
            </w: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szCs w:val="21"/>
              </w:rPr>
            </w:pPr>
            <w:r>
              <w:rPr>
                <w:rFonts w:hint="eastAsia"/>
                <w:szCs w:val="21"/>
              </w:rPr>
              <w:t>1</w:t>
            </w:r>
            <w:r>
              <w:rPr>
                <w:szCs w:val="21"/>
              </w:rPr>
              <w:t>4</w:t>
            </w:r>
            <w:r>
              <w:rPr>
                <w:rFonts w:hint="eastAsia"/>
                <w:szCs w:val="21"/>
              </w:rPr>
              <w:t>台</w:t>
            </w:r>
          </w:p>
        </w:tc>
      </w:tr>
      <w:tr>
        <w:tblPrEx>
          <w:tblCellMar>
            <w:top w:w="0" w:type="dxa"/>
            <w:left w:w="0" w:type="dxa"/>
            <w:bottom w:w="0" w:type="dxa"/>
            <w:right w:w="0" w:type="dxa"/>
          </w:tblCellMar>
        </w:tblPrEx>
        <w:trPr>
          <w:trHeight w:val="90"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ind w:firstLine="420"/>
              <w:jc w:val="center"/>
              <w:textAlignment w:val="center"/>
              <w:rPr>
                <w:szCs w:val="21"/>
              </w:rPr>
            </w:pPr>
          </w:p>
          <w:p>
            <w:pPr>
              <w:widowControl/>
              <w:adjustRightInd w:val="0"/>
              <w:snapToGrid w:val="0"/>
              <w:ind w:firstLine="420"/>
              <w:jc w:val="center"/>
              <w:textAlignment w:val="center"/>
              <w:rPr>
                <w:szCs w:val="21"/>
              </w:rPr>
            </w:pPr>
          </w:p>
          <w:p>
            <w:pPr>
              <w:widowControl/>
              <w:adjustRightInd w:val="0"/>
              <w:snapToGrid w:val="0"/>
              <w:jc w:val="center"/>
              <w:textAlignment w:val="center"/>
              <w:rPr>
                <w:szCs w:val="21"/>
              </w:rPr>
            </w:pPr>
            <w:r>
              <w:rPr>
                <w:rFonts w:hint="eastAsia"/>
                <w:szCs w:val="21"/>
              </w:rPr>
              <w:t>3</w:t>
            </w:r>
          </w:p>
        </w:tc>
        <w:tc>
          <w:tcPr>
            <w:tcW w:w="993"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p>
          <w:p>
            <w:pPr>
              <w:widowControl/>
              <w:adjustRightInd w:val="0"/>
              <w:snapToGrid w:val="0"/>
              <w:textAlignment w:val="center"/>
              <w:rPr>
                <w:szCs w:val="21"/>
              </w:rPr>
            </w:pPr>
            <w:r>
              <w:rPr>
                <w:rFonts w:hint="eastAsia"/>
                <w:szCs w:val="21"/>
              </w:rPr>
              <w:t>无源音柱</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textAlignment w:val="center"/>
              <w:rPr>
                <w:szCs w:val="21"/>
              </w:rPr>
            </w:pPr>
            <w:r>
              <w:rPr>
                <w:rFonts w:hint="eastAsia"/>
                <w:szCs w:val="21"/>
              </w:rPr>
              <w:t>安装在乡镇平台所在楼宇外部，接应急广播适配器功放输出，声音指向为乡镇政府所在地的大院或办公楼广播，确保大院内或办公楼附近能够听到应急广播。</w:t>
            </w:r>
          </w:p>
          <w:p>
            <w:pPr>
              <w:widowControl/>
              <w:adjustRightInd w:val="0"/>
              <w:snapToGrid w:val="0"/>
              <w:ind w:firstLine="420"/>
              <w:textAlignment w:val="center"/>
              <w:rPr>
                <w:szCs w:val="21"/>
              </w:rPr>
            </w:pPr>
            <w:r>
              <w:rPr>
                <w:rFonts w:hint="eastAsia"/>
                <w:szCs w:val="21"/>
              </w:rPr>
              <w:t>1.室外型，无源音柱1对；</w:t>
            </w:r>
          </w:p>
          <w:p>
            <w:pPr>
              <w:widowControl/>
              <w:adjustRightInd w:val="0"/>
              <w:snapToGrid w:val="0"/>
              <w:ind w:firstLine="420"/>
              <w:textAlignment w:val="center"/>
              <w:rPr>
                <w:szCs w:val="21"/>
              </w:rPr>
            </w:pPr>
            <w:r>
              <w:rPr>
                <w:rFonts w:hint="eastAsia"/>
                <w:szCs w:val="21"/>
              </w:rPr>
              <w:t>2.额定功率50W+50W；</w:t>
            </w:r>
          </w:p>
          <w:p>
            <w:pPr>
              <w:widowControl/>
              <w:adjustRightInd w:val="0"/>
              <w:snapToGrid w:val="0"/>
              <w:ind w:firstLine="420"/>
              <w:textAlignment w:val="center"/>
              <w:rPr>
                <w:szCs w:val="21"/>
              </w:rPr>
            </w:pPr>
            <w:r>
              <w:rPr>
                <w:rFonts w:hint="eastAsia"/>
                <w:szCs w:val="21"/>
              </w:rPr>
              <w:t>3.阻抗4~8欧姆；</w:t>
            </w:r>
          </w:p>
          <w:p>
            <w:pPr>
              <w:widowControl/>
              <w:adjustRightInd w:val="0"/>
              <w:snapToGrid w:val="0"/>
              <w:ind w:firstLine="420"/>
              <w:textAlignment w:val="center"/>
              <w:rPr>
                <w:szCs w:val="21"/>
              </w:rPr>
            </w:pPr>
            <w:r>
              <w:rPr>
                <w:rFonts w:hint="eastAsia"/>
                <w:szCs w:val="21"/>
              </w:rPr>
              <w:t>4.频率响应：20Hz-20KHz。</w:t>
            </w:r>
          </w:p>
          <w:p>
            <w:pPr>
              <w:adjustRightInd w:val="0"/>
              <w:snapToGrid w:val="0"/>
              <w:ind w:firstLine="420"/>
              <w:rPr>
                <w:szCs w:val="21"/>
              </w:rPr>
            </w:pPr>
            <w:r>
              <w:rPr>
                <w:rFonts w:hint="eastAsia"/>
                <w:szCs w:val="21"/>
              </w:rPr>
              <w:t>5.配安装支架。</w:t>
            </w: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420"/>
              <w:jc w:val="center"/>
              <w:textAlignment w:val="center"/>
              <w:rPr>
                <w:szCs w:val="21"/>
              </w:rPr>
            </w:pPr>
          </w:p>
          <w:p>
            <w:pPr>
              <w:widowControl/>
              <w:adjustRightInd w:val="0"/>
              <w:snapToGrid w:val="0"/>
              <w:ind w:firstLine="420"/>
              <w:jc w:val="center"/>
              <w:textAlignment w:val="center"/>
              <w:rPr>
                <w:szCs w:val="21"/>
              </w:rPr>
            </w:pPr>
          </w:p>
          <w:p>
            <w:pPr>
              <w:widowControl/>
              <w:adjustRightInd w:val="0"/>
              <w:snapToGrid w:val="0"/>
              <w:jc w:val="both"/>
              <w:textAlignment w:val="center"/>
              <w:rPr>
                <w:szCs w:val="21"/>
              </w:rPr>
            </w:pPr>
            <w:r>
              <w:rPr>
                <w:rFonts w:hint="eastAsia"/>
                <w:szCs w:val="21"/>
              </w:rPr>
              <w:t>1</w:t>
            </w:r>
            <w:r>
              <w:rPr>
                <w:szCs w:val="21"/>
              </w:rPr>
              <w:t>4</w:t>
            </w:r>
            <w:r>
              <w:rPr>
                <w:rFonts w:hint="eastAsia"/>
                <w:szCs w:val="21"/>
              </w:rPr>
              <w:t>对</w:t>
            </w:r>
          </w:p>
        </w:tc>
      </w:tr>
      <w:tr>
        <w:tblPrEx>
          <w:tblCellMar>
            <w:top w:w="0" w:type="dxa"/>
            <w:left w:w="0" w:type="dxa"/>
            <w:bottom w:w="0" w:type="dxa"/>
            <w:right w:w="0" w:type="dxa"/>
          </w:tblCellMar>
        </w:tblPrEx>
        <w:trPr>
          <w:trHeight w:val="90"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jc w:val="center"/>
              <w:textAlignment w:val="center"/>
              <w:rPr>
                <w:szCs w:val="21"/>
              </w:rPr>
            </w:pPr>
            <w:r>
              <w:rPr>
                <w:rFonts w:hint="eastAsia"/>
                <w:szCs w:val="21"/>
              </w:rPr>
              <w:t>4</w:t>
            </w:r>
          </w:p>
        </w:tc>
        <w:tc>
          <w:tcPr>
            <w:tcW w:w="993"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textAlignment w:val="center"/>
              <w:rPr>
                <w:szCs w:val="21"/>
              </w:rPr>
            </w:pPr>
            <w:r>
              <w:rPr>
                <w:rFonts w:hint="eastAsia"/>
                <w:szCs w:val="21"/>
              </w:rPr>
              <w:t>乡镇平台不间断电源UPS</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ind w:firstLine="501" w:firstLineChars="228"/>
              <w:textAlignment w:val="center"/>
              <w:rPr>
                <w:szCs w:val="21"/>
              </w:rPr>
            </w:pPr>
            <w:r>
              <w:rPr>
                <w:rFonts w:hint="eastAsia"/>
                <w:szCs w:val="21"/>
              </w:rPr>
              <w:t>1.高频后备式，1KVA;</w:t>
            </w:r>
          </w:p>
          <w:p>
            <w:pPr>
              <w:widowControl/>
              <w:adjustRightInd w:val="0"/>
              <w:snapToGrid w:val="0"/>
              <w:ind w:firstLine="501" w:firstLineChars="228"/>
              <w:textAlignment w:val="center"/>
              <w:rPr>
                <w:szCs w:val="21"/>
              </w:rPr>
            </w:pPr>
            <w:r>
              <w:rPr>
                <w:rFonts w:hint="eastAsia"/>
                <w:szCs w:val="21"/>
              </w:rPr>
              <w:t>2.输出电压：220VAC</w:t>
            </w:r>
          </w:p>
          <w:p>
            <w:pPr>
              <w:widowControl/>
              <w:adjustRightInd w:val="0"/>
              <w:snapToGrid w:val="0"/>
              <w:ind w:firstLine="501" w:firstLineChars="228"/>
              <w:textAlignment w:val="center"/>
              <w:rPr>
                <w:szCs w:val="21"/>
              </w:rPr>
            </w:pPr>
            <w:r>
              <w:rPr>
                <w:rFonts w:hint="eastAsia"/>
                <w:szCs w:val="21"/>
              </w:rPr>
              <w:t>3.输入电压：85-300VAC</w:t>
            </w:r>
          </w:p>
          <w:p>
            <w:pPr>
              <w:widowControl/>
              <w:adjustRightInd w:val="0"/>
              <w:snapToGrid w:val="0"/>
              <w:ind w:firstLine="501" w:firstLineChars="228"/>
              <w:textAlignment w:val="center"/>
              <w:rPr>
                <w:szCs w:val="21"/>
              </w:rPr>
            </w:pPr>
            <w:r>
              <w:rPr>
                <w:rFonts w:hint="eastAsia"/>
                <w:szCs w:val="21"/>
              </w:rPr>
              <w:t>4.后备时间：1小时</w:t>
            </w:r>
          </w:p>
          <w:p>
            <w:pPr>
              <w:widowControl/>
              <w:adjustRightInd w:val="0"/>
              <w:snapToGrid w:val="0"/>
              <w:ind w:firstLine="501" w:firstLineChars="228"/>
              <w:textAlignment w:val="center"/>
              <w:rPr>
                <w:szCs w:val="21"/>
              </w:rPr>
            </w:pPr>
            <w:r>
              <w:rPr>
                <w:rFonts w:hint="eastAsia"/>
                <w:szCs w:val="21"/>
              </w:rPr>
              <w:t>5.UPS 主机做成前维护方式，显示和接线必须在一个界面下完成，方便现场操作。</w:t>
            </w:r>
          </w:p>
          <w:p>
            <w:pPr>
              <w:widowControl/>
              <w:adjustRightInd w:val="0"/>
              <w:snapToGrid w:val="0"/>
              <w:ind w:firstLine="501" w:firstLineChars="228"/>
              <w:textAlignment w:val="center"/>
              <w:rPr>
                <w:szCs w:val="21"/>
              </w:rPr>
            </w:pPr>
            <w:r>
              <w:rPr>
                <w:rFonts w:hint="eastAsia"/>
                <w:szCs w:val="21"/>
              </w:rPr>
              <w:t>6.需内置 40KA 放电能力的防雷器件。</w:t>
            </w:r>
          </w:p>
          <w:p>
            <w:pPr>
              <w:widowControl/>
              <w:adjustRightInd w:val="0"/>
              <w:snapToGrid w:val="0"/>
              <w:ind w:firstLine="501" w:firstLineChars="228"/>
              <w:textAlignment w:val="center"/>
              <w:rPr>
                <w:szCs w:val="21"/>
              </w:rPr>
            </w:pPr>
            <w:r>
              <w:rPr>
                <w:rFonts w:hint="eastAsia"/>
                <w:szCs w:val="21"/>
              </w:rPr>
              <w:t>7.UPS 主机与电池箱之间，配快捷接插端子，通过拔插形式完成对接。</w:t>
            </w:r>
          </w:p>
          <w:p>
            <w:pPr>
              <w:adjustRightInd w:val="0"/>
              <w:snapToGrid w:val="0"/>
              <w:ind w:firstLine="420"/>
              <w:rPr>
                <w:szCs w:val="21"/>
              </w:rPr>
            </w:pPr>
            <w:r>
              <w:rPr>
                <w:rFonts w:hint="eastAsia"/>
                <w:szCs w:val="21"/>
              </w:rPr>
              <w:t>8.UPS 内置通信协议的转换卡，实现网管监控。</w:t>
            </w: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szCs w:val="21"/>
              </w:rPr>
            </w:pPr>
            <w:r>
              <w:rPr>
                <w:rFonts w:hint="eastAsia"/>
                <w:szCs w:val="21"/>
              </w:rPr>
              <w:t>1</w:t>
            </w:r>
            <w:r>
              <w:rPr>
                <w:szCs w:val="21"/>
              </w:rPr>
              <w:t>4</w:t>
            </w:r>
            <w:r>
              <w:rPr>
                <w:rFonts w:hint="eastAsia"/>
                <w:szCs w:val="21"/>
              </w:rPr>
              <w:t>台</w:t>
            </w:r>
          </w:p>
        </w:tc>
      </w:tr>
      <w:tr>
        <w:tblPrEx>
          <w:tblCellMar>
            <w:top w:w="0" w:type="dxa"/>
            <w:left w:w="0" w:type="dxa"/>
            <w:bottom w:w="0" w:type="dxa"/>
            <w:right w:w="0" w:type="dxa"/>
          </w:tblCellMar>
        </w:tblPrEx>
        <w:trPr>
          <w:trHeight w:val="90"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jc w:val="center"/>
              <w:textAlignment w:val="center"/>
              <w:rPr>
                <w:bCs/>
                <w:szCs w:val="21"/>
              </w:rPr>
            </w:pPr>
            <w:r>
              <w:rPr>
                <w:rFonts w:hint="eastAsia"/>
                <w:szCs w:val="21"/>
              </w:rPr>
              <w:t>5</w:t>
            </w:r>
          </w:p>
        </w:tc>
        <w:tc>
          <w:tcPr>
            <w:tcW w:w="993"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textAlignment w:val="center"/>
              <w:rPr>
                <w:bCs/>
                <w:szCs w:val="21"/>
              </w:rPr>
            </w:pPr>
            <w:r>
              <w:rPr>
                <w:rFonts w:hint="eastAsia"/>
                <w:szCs w:val="21"/>
              </w:rPr>
              <w:t>乡镇（村）级平台机柜</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numPr>
                <w:ilvl w:val="0"/>
                <w:numId w:val="14"/>
              </w:numPr>
              <w:tabs>
                <w:tab w:val="left" w:pos="544"/>
              </w:tabs>
              <w:autoSpaceDE/>
              <w:autoSpaceDN/>
              <w:adjustRightInd w:val="0"/>
              <w:snapToGrid w:val="0"/>
              <w:rPr>
                <w:szCs w:val="21"/>
              </w:rPr>
            </w:pPr>
            <w:r>
              <w:rPr>
                <w:rFonts w:hint="eastAsia"/>
                <w:szCs w:val="21"/>
              </w:rPr>
              <w:t>要求尺寸：宽度600mm，台面深度400mm，柜体深度700mm，台面高度750mm，整体高度1200mm（含地脚）。该尺寸为要求的最小尺寸，如供货商提供更大尺寸的亦可。整个播控台采用热镀锌钢板焊接而成，整体板厚1.2mm或以上，尺寸如图所示。</w:t>
            </w:r>
          </w:p>
          <w:p>
            <w:pPr>
              <w:numPr>
                <w:ilvl w:val="0"/>
                <w:numId w:val="14"/>
              </w:numPr>
              <w:tabs>
                <w:tab w:val="left" w:pos="544"/>
              </w:tabs>
              <w:autoSpaceDE/>
              <w:autoSpaceDN/>
              <w:adjustRightInd w:val="0"/>
              <w:snapToGrid w:val="0"/>
              <w:rPr>
                <w:szCs w:val="21"/>
              </w:rPr>
            </w:pPr>
            <w:r>
              <w:rPr>
                <w:rFonts w:hint="eastAsia"/>
                <w:szCs w:val="21"/>
              </w:rPr>
              <w:t>颜色：国标色号73-B03，要求静电喷粉设计工艺，表面光滑无毛刺，防腐。</w:t>
            </w:r>
          </w:p>
          <w:p>
            <w:pPr>
              <w:numPr>
                <w:ilvl w:val="0"/>
                <w:numId w:val="14"/>
              </w:numPr>
              <w:tabs>
                <w:tab w:val="left" w:pos="544"/>
              </w:tabs>
              <w:autoSpaceDE/>
              <w:autoSpaceDN/>
              <w:adjustRightInd w:val="0"/>
              <w:snapToGrid w:val="0"/>
              <w:rPr>
                <w:szCs w:val="21"/>
              </w:rPr>
            </w:pPr>
            <w:r>
              <w:rPr>
                <w:rFonts w:hint="eastAsia"/>
                <w:szCs w:val="21"/>
              </w:rPr>
              <w:t>前门为单扇钢制门，后门为抽取式钢制门，前后门均配不锈钢门锁。</w:t>
            </w:r>
          </w:p>
          <w:p>
            <w:pPr>
              <w:numPr>
                <w:ilvl w:val="0"/>
                <w:numId w:val="14"/>
              </w:numPr>
              <w:tabs>
                <w:tab w:val="left" w:pos="544"/>
              </w:tabs>
              <w:autoSpaceDE/>
              <w:autoSpaceDN/>
              <w:adjustRightInd w:val="0"/>
              <w:snapToGrid w:val="0"/>
              <w:rPr>
                <w:szCs w:val="21"/>
              </w:rPr>
            </w:pPr>
            <w:r>
              <w:rPr>
                <w:rFonts w:hint="eastAsia"/>
                <w:szCs w:val="21"/>
              </w:rPr>
              <w:t>机柜底部封底，预留支撑地脚安装孔。</w:t>
            </w:r>
          </w:p>
          <w:p>
            <w:pPr>
              <w:numPr>
                <w:ilvl w:val="0"/>
                <w:numId w:val="14"/>
              </w:numPr>
              <w:tabs>
                <w:tab w:val="left" w:pos="544"/>
              </w:tabs>
              <w:autoSpaceDE/>
              <w:autoSpaceDN/>
              <w:adjustRightInd w:val="0"/>
              <w:snapToGrid w:val="0"/>
              <w:rPr>
                <w:szCs w:val="21"/>
              </w:rPr>
            </w:pPr>
            <w:r>
              <w:rPr>
                <w:rFonts w:hint="eastAsia"/>
                <w:szCs w:val="21"/>
              </w:rPr>
              <w:t>后门门框的下边框预留2个线缆出入预制孔(不可在门上)，机柜两侧后下方预留1个线缆出入预制孔，预制孔直径：50mm。</w:t>
            </w:r>
          </w:p>
          <w:p>
            <w:pPr>
              <w:numPr>
                <w:ilvl w:val="0"/>
                <w:numId w:val="14"/>
              </w:numPr>
              <w:tabs>
                <w:tab w:val="left" w:pos="544"/>
              </w:tabs>
              <w:autoSpaceDE/>
              <w:autoSpaceDN/>
              <w:adjustRightInd w:val="0"/>
              <w:snapToGrid w:val="0"/>
              <w:rPr>
                <w:szCs w:val="21"/>
              </w:rPr>
            </w:pPr>
            <w:r>
              <w:rPr>
                <w:rFonts w:hint="eastAsia"/>
                <w:szCs w:val="21"/>
              </w:rPr>
              <w:t>播控台上部及下部（相对于台面，下同）均为机架式设计，可放置标准19寸设备，上部容量为8U或更大，下部容量为6U或更大。其中上部和下部各配托盘一个，上部配置不少于6块1U空白面板，样式参见参考示意图。</w:t>
            </w:r>
          </w:p>
          <w:p>
            <w:pPr>
              <w:numPr>
                <w:ilvl w:val="0"/>
                <w:numId w:val="14"/>
              </w:numPr>
              <w:tabs>
                <w:tab w:val="left" w:pos="544"/>
              </w:tabs>
              <w:autoSpaceDE/>
              <w:autoSpaceDN/>
              <w:adjustRightInd w:val="0"/>
              <w:snapToGrid w:val="0"/>
              <w:rPr>
                <w:szCs w:val="21"/>
              </w:rPr>
            </w:pPr>
            <w:r>
              <w:rPr>
                <w:rFonts w:hint="eastAsia"/>
                <w:szCs w:val="21"/>
              </w:rPr>
              <w:t>台面配有推拉式抽屉，最右边预留有鼠标线孔（孔位定位见参考示意图），动圈话筒线多余长度可放入该孔进行隐藏，达到美观效果。</w:t>
            </w:r>
          </w:p>
          <w:p>
            <w:pPr>
              <w:numPr>
                <w:ilvl w:val="0"/>
                <w:numId w:val="14"/>
              </w:numPr>
              <w:tabs>
                <w:tab w:val="left" w:pos="544"/>
              </w:tabs>
              <w:autoSpaceDE/>
              <w:autoSpaceDN/>
              <w:adjustRightInd w:val="0"/>
              <w:snapToGrid w:val="0"/>
              <w:rPr>
                <w:szCs w:val="21"/>
              </w:rPr>
            </w:pPr>
            <w:r>
              <w:rPr>
                <w:rFonts w:hint="eastAsia"/>
                <w:szCs w:val="21"/>
              </w:rPr>
              <w:t>后门及两侧预留大面积通风散热小孔或百叶通气槽，可使柜体内部产生循环风而达到散热功能。</w:t>
            </w:r>
          </w:p>
          <w:p>
            <w:pPr>
              <w:numPr>
                <w:ilvl w:val="0"/>
                <w:numId w:val="14"/>
              </w:numPr>
              <w:tabs>
                <w:tab w:val="left" w:pos="544"/>
              </w:tabs>
              <w:autoSpaceDE/>
              <w:autoSpaceDN/>
              <w:adjustRightInd w:val="0"/>
              <w:snapToGrid w:val="0"/>
              <w:rPr>
                <w:szCs w:val="21"/>
              </w:rPr>
            </w:pPr>
            <w:r>
              <w:rPr>
                <w:rFonts w:hint="eastAsia"/>
                <w:szCs w:val="21"/>
              </w:rPr>
              <w:t>配置2个19寸机柜专用带开关6～8位PDU电源插排，要求必须集成浪涌保护器（SPD）。</w:t>
            </w:r>
          </w:p>
          <w:p>
            <w:pPr>
              <w:numPr>
                <w:ilvl w:val="0"/>
                <w:numId w:val="14"/>
              </w:numPr>
              <w:tabs>
                <w:tab w:val="left" w:pos="544"/>
              </w:tabs>
              <w:autoSpaceDE/>
              <w:autoSpaceDN/>
              <w:adjustRightInd w:val="0"/>
              <w:snapToGrid w:val="0"/>
              <w:rPr>
                <w:szCs w:val="21"/>
              </w:rPr>
            </w:pPr>
            <w:r>
              <w:rPr>
                <w:rFonts w:hint="eastAsia"/>
                <w:szCs w:val="21"/>
              </w:rPr>
              <w:t>在播控台上部最上方明显位置喷印“广西广电应急广播”字样，要求为蓝色黑体字，字号大小设计为2米内可清晰辨认即可，以美观醒目为宜。</w:t>
            </w:r>
          </w:p>
          <w:p>
            <w:pPr>
              <w:numPr>
                <w:ilvl w:val="0"/>
                <w:numId w:val="14"/>
              </w:numPr>
              <w:tabs>
                <w:tab w:val="left" w:pos="544"/>
              </w:tabs>
              <w:autoSpaceDE/>
              <w:autoSpaceDN/>
              <w:adjustRightInd w:val="0"/>
              <w:snapToGrid w:val="0"/>
              <w:rPr>
                <w:szCs w:val="21"/>
              </w:rPr>
            </w:pPr>
            <w:r>
              <w:rPr>
                <w:rFonts w:hint="eastAsia"/>
                <w:szCs w:val="21"/>
              </w:rPr>
              <w:t>机柜右上方贴安全操作警示标贴“雷雨天气禁止操作”（黄底黑边框黑体字）。</w:t>
            </w:r>
          </w:p>
          <w:p>
            <w:pPr>
              <w:numPr>
                <w:ilvl w:val="0"/>
                <w:numId w:val="14"/>
              </w:numPr>
              <w:tabs>
                <w:tab w:val="left" w:pos="544"/>
              </w:tabs>
              <w:autoSpaceDE/>
              <w:autoSpaceDN/>
              <w:adjustRightInd w:val="0"/>
              <w:snapToGrid w:val="0"/>
              <w:rPr>
                <w:szCs w:val="21"/>
              </w:rPr>
            </w:pPr>
            <w:r>
              <w:rPr>
                <w:rFonts w:hint="eastAsia"/>
                <w:szCs w:val="21"/>
              </w:rPr>
              <w:t>台面右边的鼠标孔旁边帖供电警示标贴“应急广播 平战结合 保持供电”（黄底黑边框黑体字）；台面左边靠近设备的地方贴简易操作卡（白底黑体字）。</w:t>
            </w:r>
          </w:p>
          <w:p>
            <w:pPr>
              <w:numPr>
                <w:ilvl w:val="0"/>
                <w:numId w:val="14"/>
              </w:numPr>
              <w:tabs>
                <w:tab w:val="left" w:pos="544"/>
              </w:tabs>
              <w:autoSpaceDE/>
              <w:autoSpaceDN/>
              <w:adjustRightInd w:val="0"/>
              <w:snapToGrid w:val="0"/>
              <w:rPr>
                <w:szCs w:val="21"/>
              </w:rPr>
            </w:pPr>
            <w:r>
              <w:rPr>
                <w:rFonts w:hint="eastAsia"/>
                <w:szCs w:val="21"/>
              </w:rPr>
              <w:t>配件：不少于6孔的接地母排1根（配齐螺丝）；1U空白面板6块；托板2块；角铁4对；扎线杆2根；安装螺丝50套；支撑地脚4个。</w:t>
            </w:r>
          </w:p>
          <w:p>
            <w:pPr>
              <w:tabs>
                <w:tab w:val="left" w:pos="544"/>
              </w:tabs>
              <w:adjustRightInd w:val="0"/>
              <w:snapToGrid w:val="0"/>
              <w:ind w:left="400"/>
              <w:rPr>
                <w:szCs w:val="21"/>
              </w:rPr>
            </w:pPr>
            <w:r>
              <w:rPr>
                <w:rFonts w:hint="eastAsia"/>
                <w:szCs w:val="21"/>
              </w:rPr>
              <w:t xml:space="preserve">  机柜（单联播控台）尺寸及参考示意图</w:t>
            </w:r>
          </w:p>
          <w:tbl>
            <w:tblPr>
              <w:tblStyle w:val="51"/>
              <w:tblW w:w="67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12"/>
              <w:gridCol w:w="35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3212" w:type="dxa"/>
                  <w:vAlign w:val="center"/>
                </w:tcPr>
                <w:p>
                  <w:pPr>
                    <w:adjustRightInd w:val="0"/>
                    <w:snapToGrid w:val="0"/>
                    <w:ind w:firstLine="420"/>
                    <w:jc w:val="center"/>
                    <w:rPr>
                      <w:szCs w:val="21"/>
                    </w:rPr>
                  </w:pPr>
                  <w:r>
                    <w:rPr>
                      <w:rFonts w:hint="eastAsia"/>
                      <w:szCs w:val="21"/>
                    </w:rPr>
                    <w:t>尺寸（mm）</w:t>
                  </w:r>
                </w:p>
              </w:tc>
              <w:tc>
                <w:tcPr>
                  <w:tcW w:w="3507" w:type="dxa"/>
                  <w:vAlign w:val="center"/>
                </w:tcPr>
                <w:p>
                  <w:pPr>
                    <w:adjustRightInd w:val="0"/>
                    <w:snapToGrid w:val="0"/>
                    <w:ind w:firstLine="420"/>
                    <w:jc w:val="center"/>
                    <w:rPr>
                      <w:szCs w:val="21"/>
                    </w:rPr>
                  </w:pPr>
                  <w:r>
                    <w:rPr>
                      <w:rFonts w:hint="eastAsia"/>
                      <w:szCs w:val="21"/>
                    </w:rPr>
                    <w:t>参考示意图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4" w:hRule="atLeast"/>
              </w:trPr>
              <w:tc>
                <w:tcPr>
                  <w:tcW w:w="3212" w:type="dxa"/>
                  <w:vAlign w:val="center"/>
                </w:tcPr>
                <w:p>
                  <w:pPr>
                    <w:adjustRightInd w:val="0"/>
                    <w:snapToGrid w:val="0"/>
                    <w:ind w:firstLine="420"/>
                    <w:rPr>
                      <w:szCs w:val="21"/>
                    </w:rPr>
                  </w:pPr>
                  <w:r>
                    <w:rPr>
                      <w:rFonts w:hint="eastAsia"/>
                      <w:szCs w:val="21"/>
                    </w:rPr>
                    <w:drawing>
                      <wp:inline distT="0" distB="0" distL="0" distR="0">
                        <wp:extent cx="1280160" cy="1524000"/>
                        <wp:effectExtent l="0" t="0" r="0" b="0"/>
                        <wp:docPr id="122" name="图片 99" descr="QQ图片20170629151036副本副本"/>
                        <wp:cNvGraphicFramePr/>
                        <a:graphic xmlns:a="http://schemas.openxmlformats.org/drawingml/2006/main">
                          <a:graphicData uri="http://schemas.openxmlformats.org/drawingml/2006/picture">
                            <pic:pic xmlns:pic="http://schemas.openxmlformats.org/drawingml/2006/picture">
                              <pic:nvPicPr>
                                <pic:cNvPr id="122" name="图片 99" descr="QQ图片20170629151036副本副本"/>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280160" cy="1524000"/>
                                </a:xfrm>
                                <a:prstGeom prst="rect">
                                  <a:avLst/>
                                </a:prstGeom>
                                <a:noFill/>
                                <a:ln>
                                  <a:noFill/>
                                </a:ln>
                              </pic:spPr>
                            </pic:pic>
                          </a:graphicData>
                        </a:graphic>
                      </wp:inline>
                    </w:drawing>
                  </w:r>
                  <w:r>
                    <mc:AlternateContent>
                      <mc:Choice Requires="wps">
                        <w:drawing>
                          <wp:anchor distT="0" distB="0" distL="114300" distR="114300" simplePos="0" relativeHeight="251677696" behindDoc="0" locked="0" layoutInCell="1" allowOverlap="1">
                            <wp:simplePos x="0" y="0"/>
                            <wp:positionH relativeFrom="column">
                              <wp:posOffset>636270</wp:posOffset>
                            </wp:positionH>
                            <wp:positionV relativeFrom="paragraph">
                              <wp:posOffset>1068705</wp:posOffset>
                            </wp:positionV>
                            <wp:extent cx="1257300" cy="0"/>
                            <wp:effectExtent l="25400" t="76200" r="0" b="76200"/>
                            <wp:wrapNone/>
                            <wp:docPr id="104" name="直接连接符 80"/>
                            <wp:cNvGraphicFramePr/>
                            <a:graphic xmlns:a="http://schemas.openxmlformats.org/drawingml/2006/main">
                              <a:graphicData uri="http://schemas.microsoft.com/office/word/2010/wordprocessingShape">
                                <wps:wsp>
                                  <wps:cNvCnPr/>
                                  <wps:spPr bwMode="auto">
                                    <a:xfrm>
                                      <a:off x="0" y="0"/>
                                      <a:ext cx="1257300" cy="0"/>
                                    </a:xfrm>
                                    <a:prstGeom prst="line">
                                      <a:avLst/>
                                    </a:prstGeom>
                                    <a:noFill/>
                                    <a:ln w="9525">
                                      <a:solidFill>
                                        <a:srgbClr val="808080"/>
                                      </a:solidFill>
                                      <a:prstDash val="dash"/>
                                      <a:round/>
                                      <a:headEnd type="arrow" w="med" len="med"/>
                                      <a:tailEnd type="arrow" w="med" len="med"/>
                                    </a:ln>
                                  </wps:spPr>
                                  <wps:bodyPr/>
                                </wps:wsp>
                              </a:graphicData>
                            </a:graphic>
                          </wp:anchor>
                        </w:drawing>
                      </mc:Choice>
                      <mc:Fallback>
                        <w:pict>
                          <v:line id="直接连接符 80" o:spid="_x0000_s1026" o:spt="20" style="position:absolute;left:0pt;margin-left:50.1pt;margin-top:84.15pt;height:0pt;width:99pt;z-index:251677696;mso-width-relative:page;mso-height-relative:page;" filled="f" stroked="t" coordsize="21600,21600" o:gfxdata="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AFniV9oAAAALAQAADwAAAAAAAAABACAAAAAiAAAAZHJzL2Rvd25yZXYueG1s&#10;UEsBAhQAFAAAAAgAh07iQNBsJu32AQAA6QMAAA4AAAAAAAAAAQAgAAAAKQEAAGRycy9lMm9Eb2Mu&#10;eG1sUEsFBgAAAAAGAAYAWQEAAJEFAAAAAA==&#10;">
                            <v:fill on="f" focussize="0,0"/>
                            <v:stroke color="#808080" joinstyle="round" dashstyle="dash" startarrow="open" endarrow="open"/>
                            <v:imagedata o:title=""/>
                            <o:lock v:ext="edit" aspectratio="f"/>
                          </v:lin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617220</wp:posOffset>
                            </wp:positionH>
                            <wp:positionV relativeFrom="paragraph">
                              <wp:posOffset>878840</wp:posOffset>
                            </wp:positionV>
                            <wp:extent cx="571500" cy="297180"/>
                            <wp:effectExtent l="0" t="0" r="0" b="0"/>
                            <wp:wrapNone/>
                            <wp:docPr id="105" name="文本框 81"/>
                            <wp:cNvGraphicFramePr/>
                            <a:graphic xmlns:a="http://schemas.openxmlformats.org/drawingml/2006/main">
                              <a:graphicData uri="http://schemas.microsoft.com/office/word/2010/wordprocessingShape">
                                <wps:wsp>
                                  <wps:cNvSpPr txBox="1"/>
                                  <wps:spPr bwMode="auto">
                                    <a:xfrm>
                                      <a:off x="0" y="0"/>
                                      <a:ext cx="571500" cy="297180"/>
                                    </a:xfrm>
                                    <a:prstGeom prst="rect">
                                      <a:avLst/>
                                    </a:prstGeom>
                                    <a:solidFill>
                                      <a:srgbClr val="FFFFFF"/>
                                    </a:solidFill>
                                    <a:ln>
                                      <a:noFill/>
                                    </a:ln>
                                  </wps:spPr>
                                  <wps:txbx>
                                    <w:txbxContent>
                                      <w:p>
                                        <w:pPr>
                                          <w:ind w:firstLine="360"/>
                                          <w:rPr>
                                            <w:sz w:val="18"/>
                                            <w:szCs w:val="18"/>
                                          </w:rPr>
                                        </w:pPr>
                                        <w:r>
                                          <w:rPr>
                                            <w:rFonts w:hint="eastAsia"/>
                                            <w:sz w:val="18"/>
                                            <w:szCs w:val="18"/>
                                          </w:rPr>
                                          <w:t>700</w:t>
                                        </w:r>
                                      </w:p>
                                    </w:txbxContent>
                                  </wps:txbx>
                                  <wps:bodyPr rot="0" vert="horz" wrap="square" lIns="91440" tIns="45720" rIns="91440" bIns="45720" anchor="t" anchorCtr="0" upright="1">
                                    <a:noAutofit/>
                                  </wps:bodyPr>
                                </wps:wsp>
                              </a:graphicData>
                            </a:graphic>
                          </wp:anchor>
                        </w:drawing>
                      </mc:Choice>
                      <mc:Fallback>
                        <w:pict>
                          <v:shape id="文本框 81" o:spid="_x0000_s1026" o:spt="202" type="#_x0000_t202" style="position:absolute;left:0pt;margin-left:48.6pt;margin-top:69.2pt;height:23.4pt;width:45pt;z-index:251676672;mso-width-relative:page;mso-height-relative:page;" fillcolor="#FFFFFF" filled="t" stroked="f" coordsize="21600,21600" o:gfxdata="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9S9odYAAAAKAQAADwAAAAAAAAAB&#10;ACAAAAAiAAAAZHJzL2Rvd25yZXYueG1sUEsBAhQAFAAAAAgAh07iQLnx/A0SAgAAEAQAAA4AAAAA&#10;AAAAAQAgAAAAJQEAAGRycy9lMm9Eb2MueG1sUEsFBgAAAAAGAAYAWQEAAKkFAAAAAA==&#10;">
                            <v:fill on="t" focussize="0,0"/>
                            <v:stroke on="f"/>
                            <v:imagedata o:title=""/>
                            <o:lock v:ext="edit" aspectratio="f"/>
                            <v:textbox>
                              <w:txbxContent>
                                <w:p>
                                  <w:pPr>
                                    <w:ind w:firstLine="360"/>
                                    <w:rPr>
                                      <w:sz w:val="18"/>
                                      <w:szCs w:val="18"/>
                                    </w:rPr>
                                  </w:pPr>
                                  <w:r>
                                    <w:rPr>
                                      <w:rFonts w:hint="eastAsia"/>
                                      <w:sz w:val="18"/>
                                      <w:szCs w:val="18"/>
                                    </w:rPr>
                                    <w:t>700</w:t>
                                  </w:r>
                                </w:p>
                              </w:txbxContent>
                            </v:textbox>
                          </v:shape>
                        </w:pict>
                      </mc:Fallback>
                    </mc:AlternateContent>
                  </w:r>
                </w:p>
              </w:tc>
              <w:tc>
                <w:tcPr>
                  <w:tcW w:w="3507" w:type="dxa"/>
                  <w:vAlign w:val="center"/>
                </w:tcPr>
                <w:p>
                  <w:pPr>
                    <w:adjustRightInd w:val="0"/>
                    <w:snapToGrid w:val="0"/>
                    <w:ind w:firstLine="420"/>
                    <w:jc w:val="center"/>
                    <w:rPr>
                      <w:szCs w:val="21"/>
                    </w:rPr>
                  </w:pPr>
                  <w:r>
                    <w:rPr>
                      <w:rFonts w:hint="eastAsia"/>
                      <w:szCs w:val="21"/>
                    </w:rPr>
                    <w:drawing>
                      <wp:inline distT="0" distB="0" distL="0" distR="0">
                        <wp:extent cx="1300480" cy="1605280"/>
                        <wp:effectExtent l="0" t="0" r="0" b="0"/>
                        <wp:docPr id="123" name="图片 100" descr="QQ图片20170629152828副本"/>
                        <wp:cNvGraphicFramePr/>
                        <a:graphic xmlns:a="http://schemas.openxmlformats.org/drawingml/2006/main">
                          <a:graphicData uri="http://schemas.openxmlformats.org/drawingml/2006/picture">
                            <pic:pic xmlns:pic="http://schemas.openxmlformats.org/drawingml/2006/picture">
                              <pic:nvPicPr>
                                <pic:cNvPr id="123" name="图片 100" descr="QQ图片20170629152828副本"/>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300480" cy="1605280"/>
                                </a:xfrm>
                                <a:prstGeom prst="rect">
                                  <a:avLst/>
                                </a:prstGeom>
                                <a:noFill/>
                                <a:ln>
                                  <a:noFill/>
                                </a:ln>
                              </pic:spPr>
                            </pic:pic>
                          </a:graphicData>
                        </a:graphic>
                      </wp:inline>
                    </w:drawing>
                  </w:r>
                </w:p>
              </w:tc>
            </w:tr>
          </w:tbl>
          <w:p>
            <w:pPr>
              <w:tabs>
                <w:tab w:val="left" w:pos="544"/>
              </w:tabs>
              <w:adjustRightInd w:val="0"/>
              <w:snapToGrid w:val="0"/>
              <w:rPr>
                <w:bCs/>
                <w:szCs w:val="21"/>
              </w:rPr>
            </w:pP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w:t>
            </w:r>
            <w:r>
              <w:rPr>
                <w:szCs w:val="21"/>
              </w:rPr>
              <w:t>4</w:t>
            </w:r>
            <w:r>
              <w:rPr>
                <w:rFonts w:hint="eastAsia"/>
                <w:szCs w:val="21"/>
              </w:rPr>
              <w:t>套</w:t>
            </w:r>
          </w:p>
        </w:tc>
      </w:tr>
      <w:tr>
        <w:tblPrEx>
          <w:tblCellMar>
            <w:top w:w="0" w:type="dxa"/>
            <w:left w:w="0" w:type="dxa"/>
            <w:bottom w:w="0" w:type="dxa"/>
            <w:right w:w="0" w:type="dxa"/>
          </w:tblCellMar>
        </w:tblPrEx>
        <w:trPr>
          <w:trHeight w:val="90" w:hRule="atLeast"/>
        </w:trPr>
        <w:tc>
          <w:tcPr>
            <w:tcW w:w="10069" w:type="dxa"/>
            <w:gridSpan w:val="4"/>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ind w:firstLine="422"/>
              <w:jc w:val="center"/>
              <w:textAlignment w:val="center"/>
              <w:rPr>
                <w:bCs/>
                <w:szCs w:val="21"/>
              </w:rPr>
            </w:pPr>
            <w:r>
              <w:rPr>
                <w:rFonts w:hint="eastAsia"/>
                <w:b/>
                <w:szCs w:val="21"/>
              </w:rPr>
              <w:t>三、村级应急广播平台（行政村、社区）</w:t>
            </w:r>
          </w:p>
        </w:tc>
      </w:tr>
      <w:tr>
        <w:tblPrEx>
          <w:tblCellMar>
            <w:top w:w="0" w:type="dxa"/>
            <w:left w:w="0" w:type="dxa"/>
            <w:bottom w:w="0" w:type="dxa"/>
            <w:right w:w="0" w:type="dxa"/>
          </w:tblCellMar>
        </w:tblPrEx>
        <w:trPr>
          <w:trHeight w:val="581"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jc w:val="center"/>
              <w:textAlignment w:val="center"/>
              <w:rPr>
                <w:bCs/>
                <w:szCs w:val="21"/>
              </w:rPr>
            </w:pPr>
            <w:r>
              <w:rPr>
                <w:rFonts w:hint="eastAsia"/>
                <w:szCs w:val="21"/>
              </w:rPr>
              <w:t>1</w:t>
            </w:r>
          </w:p>
        </w:tc>
        <w:tc>
          <w:tcPr>
            <w:tcW w:w="993"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textAlignment w:val="center"/>
              <w:rPr>
                <w:bCs/>
                <w:szCs w:val="21"/>
              </w:rPr>
            </w:pPr>
            <w:r>
              <w:rPr>
                <w:rFonts w:hint="eastAsia"/>
                <w:szCs w:val="21"/>
              </w:rPr>
              <w:t>应急广播适配器</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adjustRightInd w:val="0"/>
              <w:snapToGrid w:val="0"/>
              <w:ind w:left="10" w:firstLine="424" w:firstLineChars="193"/>
            </w:pPr>
            <w:r>
              <w:rPr>
                <w:rFonts w:hint="eastAsia"/>
              </w:rPr>
              <w:t>（一）接口要求与技术指标：</w:t>
            </w:r>
          </w:p>
          <w:tbl>
            <w:tblPr>
              <w:tblStyle w:val="51"/>
              <w:tblW w:w="67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45" w:type="dxa"/>
                <w:left w:w="45" w:type="dxa"/>
                <w:bottom w:w="45" w:type="dxa"/>
                <w:right w:w="45" w:type="dxa"/>
              </w:tblCellMar>
            </w:tblPr>
            <w:tblGrid>
              <w:gridCol w:w="607"/>
              <w:gridCol w:w="2258"/>
              <w:gridCol w:w="3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restart"/>
                  <w:vAlign w:val="center"/>
                </w:tcPr>
                <w:p>
                  <w:pPr>
                    <w:adjustRightInd w:val="0"/>
                    <w:snapToGrid w:val="0"/>
                    <w:rPr>
                      <w:szCs w:val="21"/>
                    </w:rPr>
                  </w:pPr>
                  <w:r>
                    <w:rPr>
                      <w:rFonts w:hint="eastAsia"/>
                      <w:szCs w:val="21"/>
                    </w:rPr>
                    <w:t>射频接口</w:t>
                  </w:r>
                </w:p>
              </w:tc>
              <w:tc>
                <w:tcPr>
                  <w:tcW w:w="2258" w:type="dxa"/>
                  <w:vAlign w:val="center"/>
                </w:tcPr>
                <w:p>
                  <w:pPr>
                    <w:adjustRightInd w:val="0"/>
                    <w:snapToGrid w:val="0"/>
                    <w:ind w:left="10" w:firstLine="424" w:firstLineChars="193"/>
                    <w:rPr>
                      <w:szCs w:val="21"/>
                    </w:rPr>
                  </w:pPr>
                  <w:r>
                    <w:rPr>
                      <w:rFonts w:hint="eastAsia"/>
                      <w:szCs w:val="21"/>
                    </w:rPr>
                    <w:t>1路DVB-C输入</w:t>
                  </w:r>
                </w:p>
              </w:tc>
              <w:tc>
                <w:tcPr>
                  <w:tcW w:w="3930" w:type="dxa"/>
                  <w:vAlign w:val="center"/>
                </w:tcPr>
                <w:p>
                  <w:pPr>
                    <w:adjustRightInd w:val="0"/>
                    <w:snapToGrid w:val="0"/>
                    <w:ind w:left="10" w:firstLine="424" w:firstLineChars="193"/>
                    <w:rPr>
                      <w:szCs w:val="21"/>
                    </w:rPr>
                  </w:pPr>
                  <w:r>
                    <w:rPr>
                      <w:rFonts w:hint="eastAsia"/>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24" w:hRule="atLeast"/>
              </w:trPr>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1路DTMB输入</w:t>
                  </w:r>
                </w:p>
              </w:tc>
              <w:tc>
                <w:tcPr>
                  <w:tcW w:w="3930" w:type="dxa"/>
                  <w:vAlign w:val="center"/>
                </w:tcPr>
                <w:p>
                  <w:pPr>
                    <w:adjustRightInd w:val="0"/>
                    <w:snapToGrid w:val="0"/>
                    <w:ind w:left="10" w:firstLine="424" w:firstLineChars="193"/>
                    <w:rPr>
                      <w:szCs w:val="21"/>
                    </w:rPr>
                  </w:pPr>
                  <w:r>
                    <w:rPr>
                      <w:rFonts w:hint="eastAsia"/>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24" w:hRule="atLeast"/>
              </w:trPr>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2路FM输入</w:t>
                  </w:r>
                </w:p>
              </w:tc>
              <w:tc>
                <w:tcPr>
                  <w:tcW w:w="3930" w:type="dxa"/>
                  <w:vAlign w:val="center"/>
                </w:tcPr>
                <w:p>
                  <w:pPr>
                    <w:adjustRightInd w:val="0"/>
                    <w:snapToGrid w:val="0"/>
                    <w:ind w:left="10" w:firstLine="424" w:firstLineChars="193"/>
                    <w:rPr>
                      <w:szCs w:val="21"/>
                    </w:rPr>
                  </w:pPr>
                  <w:r>
                    <w:rPr>
                      <w:rFonts w:hint="eastAsia"/>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1路4G模块</w:t>
                  </w:r>
                </w:p>
              </w:tc>
              <w:tc>
                <w:tcPr>
                  <w:tcW w:w="3930" w:type="dxa"/>
                  <w:vAlign w:val="center"/>
                </w:tcPr>
                <w:p>
                  <w:pPr>
                    <w:adjustRightInd w:val="0"/>
                    <w:snapToGrid w:val="0"/>
                    <w:ind w:left="10" w:firstLine="424" w:firstLineChars="193"/>
                    <w:rPr>
                      <w:szCs w:val="21"/>
                    </w:rPr>
                  </w:pPr>
                  <w:r>
                    <w:rPr>
                      <w:rFonts w:hint="eastAsia"/>
                      <w:szCs w:val="21"/>
                    </w:rPr>
                    <w:t>SMA母座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569" w:hRule="atLeast"/>
              </w:trPr>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1路调频副载波（RDS）输出</w:t>
                  </w:r>
                </w:p>
              </w:tc>
              <w:tc>
                <w:tcPr>
                  <w:tcW w:w="3930" w:type="dxa"/>
                </w:tcPr>
                <w:p>
                  <w:pPr>
                    <w:adjustRightInd w:val="0"/>
                    <w:snapToGrid w:val="0"/>
                    <w:ind w:left="10" w:firstLine="424" w:firstLineChars="193"/>
                    <w:rPr>
                      <w:szCs w:val="21"/>
                    </w:rPr>
                  </w:pPr>
                  <w:r>
                    <w:rPr>
                      <w:rFonts w:hint="eastAsia"/>
                      <w:szCs w:val="21"/>
                    </w:rPr>
                    <w:t>BNC接口，57KHz。或采用RS232输出（如采用此种方式则要求调频广播发射机RDS编码数据采用RS232输入），DB9公座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restart"/>
                  <w:vAlign w:val="center"/>
                </w:tcPr>
                <w:p>
                  <w:pPr>
                    <w:adjustRightInd w:val="0"/>
                    <w:snapToGrid w:val="0"/>
                    <w:rPr>
                      <w:szCs w:val="21"/>
                    </w:rPr>
                  </w:pPr>
                  <w:r>
                    <w:rPr>
                      <w:rFonts w:hint="eastAsia"/>
                      <w:szCs w:val="21"/>
                    </w:rPr>
                    <w:t>音频接口</w:t>
                  </w:r>
                </w:p>
              </w:tc>
              <w:tc>
                <w:tcPr>
                  <w:tcW w:w="2258" w:type="dxa"/>
                  <w:vAlign w:val="center"/>
                </w:tcPr>
                <w:p>
                  <w:pPr>
                    <w:adjustRightInd w:val="0"/>
                    <w:snapToGrid w:val="0"/>
                    <w:ind w:left="10" w:firstLine="424" w:firstLineChars="193"/>
                    <w:rPr>
                      <w:szCs w:val="21"/>
                    </w:rPr>
                  </w:pPr>
                  <w:r>
                    <w:rPr>
                      <w:rFonts w:hint="eastAsia"/>
                      <w:szCs w:val="21"/>
                    </w:rPr>
                    <w:t>1组立体声非平衡模拟音频线路输出</w:t>
                  </w:r>
                </w:p>
              </w:tc>
              <w:tc>
                <w:tcPr>
                  <w:tcW w:w="3930" w:type="dxa"/>
                  <w:vAlign w:val="center"/>
                </w:tcPr>
                <w:p>
                  <w:pPr>
                    <w:adjustRightInd w:val="0"/>
                    <w:snapToGrid w:val="0"/>
                    <w:ind w:left="10" w:firstLine="424" w:firstLineChars="193"/>
                    <w:rPr>
                      <w:szCs w:val="21"/>
                    </w:rPr>
                  </w:pPr>
                  <w:r>
                    <w:rPr>
                      <w:rFonts w:hint="eastAsia"/>
                      <w:szCs w:val="21"/>
                    </w:rPr>
                    <w:t>RCA莲花母座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636" w:hRule="atLeast"/>
              </w:trPr>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1组立体声平衡模拟音频线路输出</w:t>
                  </w:r>
                </w:p>
              </w:tc>
              <w:tc>
                <w:tcPr>
                  <w:tcW w:w="3930" w:type="dxa"/>
                  <w:vAlign w:val="center"/>
                </w:tcPr>
                <w:p>
                  <w:pPr>
                    <w:adjustRightInd w:val="0"/>
                    <w:snapToGrid w:val="0"/>
                    <w:ind w:left="10" w:firstLine="424" w:firstLineChars="193"/>
                    <w:rPr>
                      <w:szCs w:val="21"/>
                    </w:rPr>
                  </w:pPr>
                  <w:r>
                    <w:rPr>
                      <w:rFonts w:hint="eastAsia"/>
                      <w:szCs w:val="21"/>
                    </w:rPr>
                    <w:t>XLR卡侬公座</w:t>
                  </w:r>
                </w:p>
                <w:p>
                  <w:pPr>
                    <w:adjustRightInd w:val="0"/>
                    <w:snapToGrid w:val="0"/>
                    <w:ind w:left="10" w:firstLine="424" w:firstLineChars="193"/>
                    <w:rPr>
                      <w:szCs w:val="21"/>
                    </w:rPr>
                  </w:pPr>
                  <w:r>
                    <w:rPr>
                      <w:rFonts w:hint="eastAsia"/>
                      <w:szCs w:val="21"/>
                    </w:rPr>
                    <w:t>（引脚定义：1为GND;2为+;3为-）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94" w:hRule="atLeast"/>
              </w:trPr>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2路话筒输入</w:t>
                  </w:r>
                </w:p>
              </w:tc>
              <w:tc>
                <w:tcPr>
                  <w:tcW w:w="3930" w:type="dxa"/>
                  <w:vAlign w:val="center"/>
                </w:tcPr>
                <w:p>
                  <w:pPr>
                    <w:adjustRightInd w:val="0"/>
                    <w:snapToGrid w:val="0"/>
                    <w:ind w:left="10" w:firstLine="424" w:firstLineChars="193"/>
                    <w:rPr>
                      <w:szCs w:val="21"/>
                    </w:rPr>
                  </w:pPr>
                  <w:r>
                    <w:rPr>
                      <w:rFonts w:hint="eastAsia"/>
                      <w:szCs w:val="21"/>
                    </w:rPr>
                    <w:t>一个6.35mm动圈话筒接口；一个内置话筒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2组立体声非平衡模拟音频线路输入</w:t>
                  </w:r>
                </w:p>
              </w:tc>
              <w:tc>
                <w:tcPr>
                  <w:tcW w:w="3930" w:type="dxa"/>
                  <w:vAlign w:val="center"/>
                </w:tcPr>
                <w:p>
                  <w:pPr>
                    <w:adjustRightInd w:val="0"/>
                    <w:snapToGrid w:val="0"/>
                    <w:ind w:left="10" w:firstLine="424" w:firstLineChars="193"/>
                    <w:rPr>
                      <w:szCs w:val="21"/>
                    </w:rPr>
                  </w:pPr>
                  <w:r>
                    <w:rPr>
                      <w:rFonts w:hint="eastAsia"/>
                      <w:szCs w:val="21"/>
                    </w:rPr>
                    <w:t>RCA莲花母座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1个拾音器接口</w:t>
                  </w:r>
                </w:p>
              </w:tc>
              <w:tc>
                <w:tcPr>
                  <w:tcW w:w="3930" w:type="dxa"/>
                  <w:vAlign w:val="center"/>
                </w:tcPr>
                <w:p>
                  <w:pPr>
                    <w:adjustRightInd w:val="0"/>
                    <w:snapToGrid w:val="0"/>
                    <w:ind w:left="10" w:firstLine="424" w:firstLineChars="193"/>
                    <w:rPr>
                      <w:szCs w:val="21"/>
                    </w:rPr>
                  </w:pPr>
                  <w:r>
                    <w:rPr>
                      <w:rFonts w:hint="eastAsia"/>
                      <w:szCs w:val="21"/>
                    </w:rPr>
                    <w:t>EDG-5.08-3P，引脚间距5.08mm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1组音频功放输出</w:t>
                  </w:r>
                </w:p>
              </w:tc>
              <w:tc>
                <w:tcPr>
                  <w:tcW w:w="3930" w:type="dxa"/>
                </w:tcPr>
                <w:p>
                  <w:pPr>
                    <w:adjustRightInd w:val="0"/>
                    <w:snapToGrid w:val="0"/>
                    <w:ind w:left="10" w:firstLine="424" w:firstLineChars="193"/>
                    <w:rPr>
                      <w:szCs w:val="21"/>
                    </w:rPr>
                  </w:pPr>
                  <w:r>
                    <w:rPr>
                      <w:rFonts w:hint="eastAsia"/>
                      <w:szCs w:val="21"/>
                    </w:rPr>
                    <w:t>4个纯铜镀金音频功放接线柱，推动4个功率为25W的高清喇叭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1路监听扬声器输出</w:t>
                  </w:r>
                </w:p>
              </w:tc>
              <w:tc>
                <w:tcPr>
                  <w:tcW w:w="3930" w:type="dxa"/>
                  <w:vAlign w:val="center"/>
                </w:tcPr>
                <w:p>
                  <w:pPr>
                    <w:adjustRightInd w:val="0"/>
                    <w:snapToGrid w:val="0"/>
                    <w:ind w:left="10" w:firstLine="424" w:firstLineChars="193"/>
                    <w:rPr>
                      <w:szCs w:val="21"/>
                    </w:rPr>
                  </w:pPr>
                  <w:r>
                    <w:rPr>
                      <w:rFonts w:hint="eastAsia"/>
                      <w:szCs w:val="21"/>
                    </w:rPr>
                    <w:t>内置，额定输出功率2W或以上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restart"/>
                  <w:vAlign w:val="center"/>
                </w:tcPr>
                <w:p>
                  <w:pPr>
                    <w:adjustRightInd w:val="0"/>
                    <w:snapToGrid w:val="0"/>
                    <w:rPr>
                      <w:szCs w:val="21"/>
                    </w:rPr>
                  </w:pPr>
                  <w:r>
                    <w:rPr>
                      <w:rFonts w:hint="eastAsia"/>
                      <w:szCs w:val="21"/>
                    </w:rPr>
                    <w:t>数字接口</w:t>
                  </w:r>
                </w:p>
              </w:tc>
              <w:tc>
                <w:tcPr>
                  <w:tcW w:w="2258" w:type="dxa"/>
                  <w:vAlign w:val="center"/>
                </w:tcPr>
                <w:p>
                  <w:pPr>
                    <w:adjustRightInd w:val="0"/>
                    <w:snapToGrid w:val="0"/>
                    <w:ind w:left="10" w:firstLine="424" w:firstLineChars="193"/>
                    <w:rPr>
                      <w:szCs w:val="21"/>
                    </w:rPr>
                  </w:pPr>
                  <w:r>
                    <w:rPr>
                      <w:rFonts w:hint="eastAsia"/>
                      <w:szCs w:val="21"/>
                    </w:rPr>
                    <w:t>IP数据口1</w:t>
                  </w:r>
                </w:p>
              </w:tc>
              <w:tc>
                <w:tcPr>
                  <w:tcW w:w="3930" w:type="dxa"/>
                  <w:vAlign w:val="center"/>
                </w:tcPr>
                <w:p>
                  <w:pPr>
                    <w:adjustRightInd w:val="0"/>
                    <w:snapToGrid w:val="0"/>
                    <w:ind w:left="10" w:firstLine="424" w:firstLineChars="193"/>
                    <w:rPr>
                      <w:szCs w:val="21"/>
                    </w:rPr>
                  </w:pPr>
                  <w:r>
                    <w:rPr>
                      <w:rFonts w:hint="eastAsia"/>
                      <w:szCs w:val="21"/>
                    </w:rPr>
                    <w:t>RJ45,10/100Mbps自适应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IP数据口2</w:t>
                  </w:r>
                </w:p>
              </w:tc>
              <w:tc>
                <w:tcPr>
                  <w:tcW w:w="3930" w:type="dxa"/>
                  <w:vAlign w:val="center"/>
                </w:tcPr>
                <w:p>
                  <w:pPr>
                    <w:adjustRightInd w:val="0"/>
                    <w:snapToGrid w:val="0"/>
                    <w:ind w:left="10" w:firstLine="424" w:firstLineChars="193"/>
                    <w:rPr>
                      <w:szCs w:val="21"/>
                    </w:rPr>
                  </w:pPr>
                  <w:r>
                    <w:rPr>
                      <w:rFonts w:hint="eastAsia"/>
                      <w:szCs w:val="21"/>
                    </w:rPr>
                    <w:t>RJ45,10/100Mbps自适应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2个RS232串口</w:t>
                  </w:r>
                </w:p>
              </w:tc>
              <w:tc>
                <w:tcPr>
                  <w:tcW w:w="3930" w:type="dxa"/>
                  <w:vAlign w:val="center"/>
                </w:tcPr>
                <w:p>
                  <w:pPr>
                    <w:adjustRightInd w:val="0"/>
                    <w:snapToGrid w:val="0"/>
                    <w:ind w:left="10" w:firstLine="424" w:firstLineChars="193"/>
                    <w:rPr>
                      <w:szCs w:val="21"/>
                    </w:rPr>
                  </w:pPr>
                  <w:r>
                    <w:rPr>
                      <w:rFonts w:hint="eastAsia"/>
                      <w:szCs w:val="21"/>
                    </w:rPr>
                    <w:t>DB9母座(1个)；DB9公座(1个)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trPr>
              <w:tc>
                <w:tcPr>
                  <w:tcW w:w="607" w:type="dxa"/>
                  <w:vMerge w:val="restart"/>
                  <w:vAlign w:val="center"/>
                </w:tcPr>
                <w:p>
                  <w:pPr>
                    <w:adjustRightInd w:val="0"/>
                    <w:snapToGrid w:val="0"/>
                    <w:rPr>
                      <w:szCs w:val="21"/>
                    </w:rPr>
                  </w:pPr>
                  <w:r>
                    <w:rPr>
                      <w:rFonts w:hint="eastAsia"/>
                      <w:szCs w:val="21"/>
                    </w:rPr>
                    <w:t>其他接口</w:t>
                  </w:r>
                </w:p>
              </w:tc>
              <w:tc>
                <w:tcPr>
                  <w:tcW w:w="2258" w:type="dxa"/>
                  <w:vAlign w:val="center"/>
                </w:tcPr>
                <w:p>
                  <w:pPr>
                    <w:adjustRightInd w:val="0"/>
                    <w:snapToGrid w:val="0"/>
                    <w:ind w:left="10" w:firstLine="424" w:firstLineChars="193"/>
                    <w:rPr>
                      <w:szCs w:val="21"/>
                    </w:rPr>
                  </w:pPr>
                  <w:r>
                    <w:rPr>
                      <w:rFonts w:hint="eastAsia"/>
                      <w:szCs w:val="21"/>
                    </w:rPr>
                    <w:t>总电源输入</w:t>
                  </w:r>
                </w:p>
              </w:tc>
              <w:tc>
                <w:tcPr>
                  <w:tcW w:w="3930" w:type="dxa"/>
                  <w:vAlign w:val="center"/>
                </w:tcPr>
                <w:p>
                  <w:pPr>
                    <w:adjustRightInd w:val="0"/>
                    <w:snapToGrid w:val="0"/>
                    <w:ind w:left="10" w:firstLine="424" w:firstLineChars="193"/>
                    <w:rPr>
                      <w:szCs w:val="21"/>
                    </w:rPr>
                  </w:pPr>
                  <w:r>
                    <w:rPr>
                      <w:rFonts w:hint="eastAsia"/>
                      <w:szCs w:val="21"/>
                    </w:rPr>
                    <w:t>国标品字三针插座，带保险管（1主1备）和防浪涌电源滤波器</w:t>
                  </w:r>
                  <w:r>
                    <w:rPr>
                      <w:rFonts w:hint="eastAsia"/>
                      <w:szCs w:val="21"/>
                    </w:rPr>
                    <w:tab/>
                  </w:r>
                  <w:r>
                    <w:rPr>
                      <w:rFonts w:hint="eastAsia"/>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受控电源输出</w:t>
                  </w:r>
                </w:p>
              </w:tc>
              <w:tc>
                <w:tcPr>
                  <w:tcW w:w="3930" w:type="dxa"/>
                  <w:vAlign w:val="center"/>
                </w:tcPr>
                <w:p>
                  <w:pPr>
                    <w:adjustRightInd w:val="0"/>
                    <w:snapToGrid w:val="0"/>
                    <w:ind w:left="10" w:firstLine="424" w:firstLineChars="193"/>
                    <w:rPr>
                      <w:szCs w:val="21"/>
                    </w:rPr>
                  </w:pPr>
                  <w:r>
                    <w:rPr>
                      <w:rFonts w:hint="eastAsia"/>
                      <w:szCs w:val="21"/>
                    </w:rPr>
                    <w:t>国标品字三孔插座，220V/10A输出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应急直流电源输入</w:t>
                  </w:r>
                </w:p>
              </w:tc>
              <w:tc>
                <w:tcPr>
                  <w:tcW w:w="3930" w:type="dxa"/>
                  <w:vAlign w:val="center"/>
                </w:tcPr>
                <w:p>
                  <w:pPr>
                    <w:adjustRightInd w:val="0"/>
                    <w:snapToGrid w:val="0"/>
                    <w:ind w:left="10" w:firstLine="424" w:firstLineChars="193"/>
                    <w:rPr>
                      <w:szCs w:val="21"/>
                    </w:rPr>
                  </w:pPr>
                  <w:r>
                    <w:rPr>
                      <w:rFonts w:hint="eastAsia"/>
                      <w:szCs w:val="21"/>
                    </w:rPr>
                    <w:t>EDG-5.08-2P，引脚间距5.08mm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USB接口</w:t>
                  </w:r>
                </w:p>
              </w:tc>
              <w:tc>
                <w:tcPr>
                  <w:tcW w:w="3930" w:type="dxa"/>
                  <w:vAlign w:val="center"/>
                </w:tcPr>
                <w:p>
                  <w:pPr>
                    <w:adjustRightInd w:val="0"/>
                    <w:snapToGrid w:val="0"/>
                    <w:ind w:left="10" w:firstLine="424" w:firstLineChars="193"/>
                    <w:rPr>
                      <w:szCs w:val="21"/>
                    </w:rPr>
                  </w:pPr>
                  <w:r>
                    <w:rPr>
                      <w:rFonts w:hint="eastAsia"/>
                      <w:szCs w:val="21"/>
                    </w:rPr>
                    <w:t>三个独立接口，USB2.0及以上接口规范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HDMI音视频接口</w:t>
                  </w:r>
                </w:p>
              </w:tc>
              <w:tc>
                <w:tcPr>
                  <w:tcW w:w="3930" w:type="dxa"/>
                  <w:vAlign w:val="center"/>
                </w:tcPr>
                <w:p>
                  <w:pPr>
                    <w:adjustRightInd w:val="0"/>
                    <w:snapToGrid w:val="0"/>
                    <w:ind w:left="10" w:firstLine="424" w:firstLineChars="193"/>
                    <w:rPr>
                      <w:szCs w:val="21"/>
                    </w:rPr>
                  </w:pPr>
                  <w:r>
                    <w:rPr>
                      <w:rFonts w:hint="eastAsia"/>
                      <w:szCs w:val="21"/>
                    </w:rPr>
                    <w:t>1个HDMI音视频输出接口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TF卡槽</w:t>
                  </w:r>
                </w:p>
              </w:tc>
              <w:tc>
                <w:tcPr>
                  <w:tcW w:w="3930" w:type="dxa"/>
                  <w:vAlign w:val="center"/>
                </w:tcPr>
                <w:p>
                  <w:pPr>
                    <w:adjustRightInd w:val="0"/>
                    <w:snapToGrid w:val="0"/>
                    <w:ind w:left="10" w:firstLine="424" w:firstLineChars="193"/>
                    <w:rPr>
                      <w:szCs w:val="21"/>
                    </w:rPr>
                  </w:pPr>
                  <w:r>
                    <w:rPr>
                      <w:rFonts w:hint="eastAsia"/>
                      <w:szCs w:val="21"/>
                    </w:rPr>
                    <w:t>置于设备内部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4G手机卡槽</w:t>
                  </w:r>
                </w:p>
              </w:tc>
              <w:tc>
                <w:tcPr>
                  <w:tcW w:w="3930" w:type="dxa"/>
                  <w:vAlign w:val="center"/>
                </w:tcPr>
                <w:p>
                  <w:pPr>
                    <w:adjustRightInd w:val="0"/>
                    <w:snapToGrid w:val="0"/>
                    <w:ind w:left="10" w:firstLine="424" w:firstLineChars="193"/>
                    <w:rPr>
                      <w:szCs w:val="21"/>
                    </w:rPr>
                  </w:pPr>
                  <w:r>
                    <w:rPr>
                      <w:rFonts w:hint="eastAsia"/>
                      <w:szCs w:val="21"/>
                    </w:rPr>
                    <w:t>配置4G手机卡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restart"/>
                  <w:vAlign w:val="center"/>
                </w:tcPr>
                <w:p>
                  <w:pPr>
                    <w:adjustRightInd w:val="0"/>
                    <w:snapToGrid w:val="0"/>
                    <w:rPr>
                      <w:szCs w:val="21"/>
                    </w:rPr>
                  </w:pPr>
                  <w:r>
                    <w:rPr>
                      <w:rFonts w:hint="eastAsia"/>
                      <w:szCs w:val="21"/>
                    </w:rPr>
                    <w:t>指标参数</w:t>
                  </w:r>
                </w:p>
              </w:tc>
              <w:tc>
                <w:tcPr>
                  <w:tcW w:w="2258" w:type="dxa"/>
                  <w:vAlign w:val="center"/>
                </w:tcPr>
                <w:p>
                  <w:pPr>
                    <w:adjustRightInd w:val="0"/>
                    <w:snapToGrid w:val="0"/>
                    <w:ind w:left="10" w:firstLine="424" w:firstLineChars="193"/>
                    <w:rPr>
                      <w:szCs w:val="21"/>
                    </w:rPr>
                  </w:pPr>
                  <w:r>
                    <w:rPr>
                      <w:rFonts w:hint="eastAsia"/>
                      <w:szCs w:val="21"/>
                    </w:rPr>
                    <w:t>射频接收范围</w:t>
                  </w:r>
                </w:p>
              </w:tc>
              <w:tc>
                <w:tcPr>
                  <w:tcW w:w="3930" w:type="dxa"/>
                  <w:vAlign w:val="center"/>
                </w:tcPr>
                <w:p>
                  <w:pPr>
                    <w:adjustRightInd w:val="0"/>
                    <w:snapToGrid w:val="0"/>
                    <w:ind w:left="10" w:firstLine="424" w:firstLineChars="193"/>
                    <w:rPr>
                      <w:szCs w:val="21"/>
                    </w:rPr>
                  </w:pPr>
                  <w:r>
                    <w:rPr>
                      <w:rFonts w:hint="eastAsia"/>
                      <w:szCs w:val="21"/>
                    </w:rPr>
                    <w:t>DTMB：47MHz～862MHz</w:t>
                  </w:r>
                </w:p>
                <w:p>
                  <w:pPr>
                    <w:adjustRightInd w:val="0"/>
                    <w:snapToGrid w:val="0"/>
                    <w:ind w:left="10" w:firstLine="424" w:firstLineChars="193"/>
                    <w:rPr>
                      <w:szCs w:val="21"/>
                    </w:rPr>
                  </w:pPr>
                  <w:r>
                    <w:rPr>
                      <w:rFonts w:hint="eastAsia"/>
                      <w:szCs w:val="21"/>
                    </w:rPr>
                    <w:t>DVB-C：115MHz～858MHz</w:t>
                  </w:r>
                </w:p>
                <w:p>
                  <w:pPr>
                    <w:adjustRightInd w:val="0"/>
                    <w:snapToGrid w:val="0"/>
                    <w:ind w:left="10" w:firstLine="424" w:firstLineChars="193"/>
                    <w:rPr>
                      <w:szCs w:val="21"/>
                    </w:rPr>
                  </w:pPr>
                  <w:r>
                    <w:rPr>
                      <w:rFonts w:hint="eastAsia"/>
                      <w:szCs w:val="21"/>
                    </w:rPr>
                    <w:t>FM：76MHz～108MHz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调频FM接收灵敏度</w:t>
                  </w:r>
                </w:p>
              </w:tc>
              <w:tc>
                <w:tcPr>
                  <w:tcW w:w="3930" w:type="dxa"/>
                  <w:vAlign w:val="center"/>
                </w:tcPr>
                <w:p>
                  <w:pPr>
                    <w:adjustRightInd w:val="0"/>
                    <w:snapToGrid w:val="0"/>
                    <w:ind w:left="10" w:firstLine="424" w:firstLineChars="193"/>
                    <w:rPr>
                      <w:szCs w:val="21"/>
                    </w:rPr>
                  </w:pPr>
                  <w:r>
                    <w:rPr>
                      <w:rFonts w:hint="eastAsia"/>
                      <w:szCs w:val="21"/>
                    </w:rPr>
                    <w:t>≤30dBμV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音频功放输出阻抗</w:t>
                  </w:r>
                </w:p>
              </w:tc>
              <w:tc>
                <w:tcPr>
                  <w:tcW w:w="3930" w:type="dxa"/>
                  <w:vAlign w:val="center"/>
                </w:tcPr>
                <w:p>
                  <w:pPr>
                    <w:adjustRightInd w:val="0"/>
                    <w:snapToGrid w:val="0"/>
                    <w:ind w:left="10" w:firstLine="424" w:firstLineChars="193"/>
                    <w:rPr>
                      <w:szCs w:val="21"/>
                    </w:rPr>
                  </w:pPr>
                  <w:r>
                    <w:rPr>
                      <w:rFonts w:hint="eastAsia"/>
                      <w:szCs w:val="21"/>
                    </w:rPr>
                    <w:t>4Ω～8Ω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音频功放额定输出有效值功率</w:t>
                  </w:r>
                </w:p>
              </w:tc>
              <w:tc>
                <w:tcPr>
                  <w:tcW w:w="3930" w:type="dxa"/>
                  <w:vAlign w:val="center"/>
                </w:tcPr>
                <w:p>
                  <w:pPr>
                    <w:adjustRightInd w:val="0"/>
                    <w:snapToGrid w:val="0"/>
                    <w:ind w:left="10" w:firstLine="424" w:firstLineChars="193"/>
                    <w:rPr>
                      <w:szCs w:val="21"/>
                    </w:rPr>
                  </w:pPr>
                  <w:r>
                    <w:rPr>
                      <w:rFonts w:hint="eastAsia"/>
                      <w:szCs w:val="21"/>
                    </w:rPr>
                    <w:t>≥100W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音频功放信噪比</w:t>
                  </w:r>
                </w:p>
              </w:tc>
              <w:tc>
                <w:tcPr>
                  <w:tcW w:w="3930" w:type="dxa"/>
                  <w:vAlign w:val="center"/>
                </w:tcPr>
                <w:p>
                  <w:pPr>
                    <w:adjustRightInd w:val="0"/>
                    <w:snapToGrid w:val="0"/>
                    <w:ind w:left="10" w:firstLine="424" w:firstLineChars="193"/>
                    <w:rPr>
                      <w:szCs w:val="21"/>
                    </w:rPr>
                  </w:pPr>
                  <w:r>
                    <w:rPr>
                      <w:rFonts w:hint="eastAsia"/>
                      <w:szCs w:val="21"/>
                    </w:rPr>
                    <w:t>≥60dB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音频功放频率响应</w:t>
                  </w:r>
                </w:p>
              </w:tc>
              <w:tc>
                <w:tcPr>
                  <w:tcW w:w="3930" w:type="dxa"/>
                  <w:vAlign w:val="center"/>
                </w:tcPr>
                <w:p>
                  <w:pPr>
                    <w:adjustRightInd w:val="0"/>
                    <w:snapToGrid w:val="0"/>
                    <w:ind w:left="10" w:firstLine="424" w:firstLineChars="193"/>
                    <w:rPr>
                      <w:szCs w:val="21"/>
                    </w:rPr>
                  </w:pPr>
                  <w:r>
                    <w:rPr>
                      <w:rFonts w:hint="eastAsia"/>
                      <w:szCs w:val="21"/>
                    </w:rPr>
                    <w:t>±1dB(80Hz～12.5KHz)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音频功放谐波失真</w:t>
                  </w:r>
                </w:p>
              </w:tc>
              <w:tc>
                <w:tcPr>
                  <w:tcW w:w="3930" w:type="dxa"/>
                  <w:vAlign w:val="center"/>
                </w:tcPr>
                <w:p>
                  <w:pPr>
                    <w:adjustRightInd w:val="0"/>
                    <w:snapToGrid w:val="0"/>
                    <w:ind w:left="10" w:firstLine="424" w:firstLineChars="193"/>
                    <w:rPr>
                      <w:szCs w:val="21"/>
                    </w:rPr>
                  </w:pPr>
                  <w:r>
                    <w:rPr>
                      <w:rFonts w:hint="eastAsia"/>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音频功放左右声道分离度</w:t>
                  </w:r>
                </w:p>
              </w:tc>
              <w:tc>
                <w:tcPr>
                  <w:tcW w:w="3930" w:type="dxa"/>
                  <w:vAlign w:val="center"/>
                </w:tcPr>
                <w:p>
                  <w:pPr>
                    <w:adjustRightInd w:val="0"/>
                    <w:snapToGrid w:val="0"/>
                    <w:ind w:left="10" w:firstLine="424" w:firstLineChars="193"/>
                    <w:rPr>
                      <w:szCs w:val="21"/>
                    </w:rPr>
                  </w:pPr>
                  <w:r>
                    <w:rPr>
                      <w:rFonts w:hint="eastAsia"/>
                      <w:szCs w:val="21"/>
                    </w:rPr>
                    <w:t>＞36dB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音频功放左右声道电平差</w:t>
                  </w:r>
                </w:p>
              </w:tc>
              <w:tc>
                <w:tcPr>
                  <w:tcW w:w="3930" w:type="dxa"/>
                  <w:vAlign w:val="center"/>
                </w:tcPr>
                <w:p>
                  <w:pPr>
                    <w:adjustRightInd w:val="0"/>
                    <w:snapToGrid w:val="0"/>
                    <w:ind w:left="10" w:firstLine="424" w:firstLineChars="193"/>
                    <w:rPr>
                      <w:szCs w:val="21"/>
                    </w:rPr>
                  </w:pPr>
                  <w:r>
                    <w:rPr>
                      <w:rFonts w:hint="eastAsia"/>
                      <w:szCs w:val="21"/>
                    </w:rPr>
                    <w:t>＜1dB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电源效率</w:t>
                  </w:r>
                </w:p>
              </w:tc>
              <w:tc>
                <w:tcPr>
                  <w:tcW w:w="3930" w:type="dxa"/>
                  <w:vAlign w:val="center"/>
                </w:tcPr>
                <w:p>
                  <w:pPr>
                    <w:adjustRightInd w:val="0"/>
                    <w:snapToGrid w:val="0"/>
                    <w:ind w:left="10" w:firstLine="424" w:firstLineChars="193"/>
                    <w:rPr>
                      <w:szCs w:val="21"/>
                    </w:rPr>
                  </w:pPr>
                  <w:r>
                    <w:rPr>
                      <w:rFonts w:hint="eastAsia"/>
                      <w:szCs w:val="21"/>
                    </w:rPr>
                    <w:t>采用高性能开关电源。输出功率≥250W，效效率≥87%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restart"/>
                  <w:vAlign w:val="center"/>
                </w:tcPr>
                <w:p>
                  <w:pPr>
                    <w:adjustRightInd w:val="0"/>
                    <w:snapToGrid w:val="0"/>
                    <w:rPr>
                      <w:szCs w:val="21"/>
                    </w:rPr>
                  </w:pPr>
                  <w:r>
                    <w:rPr>
                      <w:rFonts w:hint="eastAsia"/>
                      <w:szCs w:val="21"/>
                    </w:rPr>
                    <w:t>通用参数</w:t>
                  </w:r>
                </w:p>
              </w:tc>
              <w:tc>
                <w:tcPr>
                  <w:tcW w:w="2258" w:type="dxa"/>
                  <w:vAlign w:val="center"/>
                </w:tcPr>
                <w:p>
                  <w:pPr>
                    <w:adjustRightInd w:val="0"/>
                    <w:snapToGrid w:val="0"/>
                    <w:ind w:left="10" w:firstLine="424" w:firstLineChars="193"/>
                    <w:rPr>
                      <w:szCs w:val="21"/>
                    </w:rPr>
                  </w:pPr>
                  <w:r>
                    <w:rPr>
                      <w:rFonts w:hint="eastAsia"/>
                      <w:szCs w:val="21"/>
                    </w:rPr>
                    <w:t>工作温度</w:t>
                  </w:r>
                </w:p>
              </w:tc>
              <w:tc>
                <w:tcPr>
                  <w:tcW w:w="3930" w:type="dxa"/>
                  <w:vAlign w:val="center"/>
                </w:tcPr>
                <w:p>
                  <w:pPr>
                    <w:adjustRightInd w:val="0"/>
                    <w:snapToGrid w:val="0"/>
                    <w:ind w:left="10" w:firstLine="424" w:firstLineChars="193"/>
                    <w:rPr>
                      <w:szCs w:val="21"/>
                    </w:rPr>
                  </w:pPr>
                  <w:r>
                    <w:rPr>
                      <w:rFonts w:hint="eastAsia"/>
                      <w:szCs w:val="21"/>
                    </w:rPr>
                    <w:t>-10℃～60℃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c>
                <w:tcPr>
                  <w:tcW w:w="607" w:type="dxa"/>
                  <w:vMerge w:val="continue"/>
                  <w:vAlign w:val="center"/>
                </w:tcPr>
                <w:p>
                  <w:pPr>
                    <w:adjustRightInd w:val="0"/>
                    <w:snapToGrid w:val="0"/>
                    <w:rPr>
                      <w:szCs w:val="21"/>
                    </w:rPr>
                  </w:pPr>
                </w:p>
              </w:tc>
              <w:tc>
                <w:tcPr>
                  <w:tcW w:w="2258" w:type="dxa"/>
                  <w:vAlign w:val="center"/>
                </w:tcPr>
                <w:p>
                  <w:pPr>
                    <w:adjustRightInd w:val="0"/>
                    <w:snapToGrid w:val="0"/>
                    <w:ind w:left="10" w:firstLine="424" w:firstLineChars="193"/>
                    <w:rPr>
                      <w:szCs w:val="21"/>
                    </w:rPr>
                  </w:pPr>
                  <w:r>
                    <w:rPr>
                      <w:rFonts w:hint="eastAsia"/>
                      <w:szCs w:val="21"/>
                    </w:rPr>
                    <w:t>工作电压</w:t>
                  </w:r>
                </w:p>
              </w:tc>
              <w:tc>
                <w:tcPr>
                  <w:tcW w:w="3930" w:type="dxa"/>
                  <w:vAlign w:val="center"/>
                </w:tcPr>
                <w:p>
                  <w:pPr>
                    <w:adjustRightInd w:val="0"/>
                    <w:snapToGrid w:val="0"/>
                    <w:ind w:left="10" w:firstLine="424" w:firstLineChars="193"/>
                    <w:rPr>
                      <w:szCs w:val="21"/>
                    </w:rPr>
                  </w:pPr>
                  <w:r>
                    <w:rPr>
                      <w:rFonts w:hint="eastAsia"/>
                      <w:szCs w:val="21"/>
                    </w:rPr>
                    <w:t>交流90V～AC260V或更宽范围；频率50Hz±5Hz</w:t>
                  </w:r>
                </w:p>
              </w:tc>
            </w:tr>
          </w:tbl>
          <w:p>
            <w:pPr>
              <w:adjustRightInd w:val="0"/>
              <w:snapToGrid w:val="0"/>
              <w:ind w:left="10" w:firstLine="424" w:firstLineChars="193"/>
              <w:rPr>
                <w:szCs w:val="21"/>
              </w:rPr>
            </w:pPr>
            <w:r>
              <w:rPr>
                <w:rFonts w:hint="eastAsia"/>
                <w:szCs w:val="21"/>
              </w:rPr>
              <w:t>（二）基本功能要求</w:t>
            </w:r>
          </w:p>
          <w:p>
            <w:pPr>
              <w:numPr>
                <w:ilvl w:val="0"/>
                <w:numId w:val="15"/>
              </w:numPr>
              <w:autoSpaceDE/>
              <w:autoSpaceDN/>
              <w:adjustRightInd w:val="0"/>
              <w:snapToGrid w:val="0"/>
              <w:ind w:left="10" w:firstLine="424" w:firstLineChars="193"/>
              <w:rPr>
                <w:szCs w:val="21"/>
              </w:rPr>
            </w:pPr>
            <w:r>
              <w:rPr>
                <w:rFonts w:hint="eastAsia"/>
                <w:szCs w:val="21"/>
              </w:rPr>
              <w:t>集接收、转发、编码、解码、播控、管理等功能于一体，要求整机模块化设计，符合指标要求。</w:t>
            </w:r>
          </w:p>
          <w:p>
            <w:pPr>
              <w:numPr>
                <w:ilvl w:val="0"/>
                <w:numId w:val="15"/>
              </w:numPr>
              <w:autoSpaceDE/>
              <w:autoSpaceDN/>
              <w:adjustRightInd w:val="0"/>
              <w:snapToGrid w:val="0"/>
              <w:ind w:left="10" w:firstLine="424" w:firstLineChars="193"/>
              <w:rPr>
                <w:szCs w:val="21"/>
              </w:rPr>
            </w:pPr>
            <w:r>
              <w:rPr>
                <w:rFonts w:hint="eastAsia"/>
                <w:szCs w:val="21"/>
              </w:rPr>
              <w:t>具有辖区内接收终端列表，可选择一个或多个接收终端进行广播，可手动切换需要播出的本地信源。操作应急广播适配器进行播发时，播发区域默认为全乡镇（行政村）广播。</w:t>
            </w:r>
          </w:p>
          <w:p>
            <w:pPr>
              <w:numPr>
                <w:ilvl w:val="0"/>
                <w:numId w:val="15"/>
              </w:numPr>
              <w:autoSpaceDE/>
              <w:autoSpaceDN/>
              <w:adjustRightInd w:val="0"/>
              <w:snapToGrid w:val="0"/>
              <w:ind w:left="10" w:firstLine="424" w:firstLineChars="193"/>
              <w:rPr>
                <w:szCs w:val="21"/>
              </w:rPr>
            </w:pPr>
            <w:r>
              <w:rPr>
                <w:rFonts w:hint="eastAsia"/>
                <w:szCs w:val="21"/>
              </w:rPr>
              <w:t>具有IP(TS)、DTMB/DVB-C、IP/4G、FM多通道模式同时接收应急广播消息并解析的功能。</w:t>
            </w:r>
          </w:p>
          <w:p>
            <w:pPr>
              <w:numPr>
                <w:ilvl w:val="0"/>
                <w:numId w:val="15"/>
              </w:numPr>
              <w:autoSpaceDE/>
              <w:autoSpaceDN/>
              <w:adjustRightInd w:val="0"/>
              <w:snapToGrid w:val="0"/>
              <w:ind w:left="10" w:firstLine="424" w:firstLineChars="193"/>
              <w:rPr>
                <w:szCs w:val="21"/>
              </w:rPr>
            </w:pPr>
            <w:r>
              <w:rPr>
                <w:rFonts w:hint="eastAsia"/>
                <w:szCs w:val="21"/>
              </w:rPr>
              <w:t>内置的所有网卡全面支持IPV4。</w:t>
            </w:r>
          </w:p>
          <w:p>
            <w:pPr>
              <w:adjustRightInd w:val="0"/>
              <w:snapToGrid w:val="0"/>
              <w:ind w:left="10" w:firstLine="424" w:firstLineChars="193"/>
              <w:rPr>
                <w:szCs w:val="21"/>
              </w:rPr>
            </w:pPr>
            <w:r>
              <w:rPr>
                <w:rFonts w:hint="eastAsia"/>
                <w:szCs w:val="21"/>
              </w:rPr>
              <w:t>（三）配套的触摸显示器控制</w:t>
            </w:r>
          </w:p>
          <w:p>
            <w:pPr>
              <w:numPr>
                <w:ilvl w:val="0"/>
                <w:numId w:val="16"/>
              </w:numPr>
              <w:autoSpaceDE/>
              <w:autoSpaceDN/>
              <w:adjustRightInd w:val="0"/>
              <w:snapToGrid w:val="0"/>
              <w:ind w:left="10" w:firstLine="424" w:firstLineChars="193"/>
              <w:rPr>
                <w:szCs w:val="21"/>
              </w:rPr>
            </w:pPr>
            <w:r>
              <w:rPr>
                <w:rFonts w:hint="eastAsia"/>
                <w:szCs w:val="21"/>
              </w:rPr>
              <w:t>应急广播适配器应保留本机播发功能，同时兼顾操作触摸显示器播发，操作触摸显示器只作为适配器扩展功能的便捷操作方式。触摸显示器发生故障时，还可操作适配器直接播发应急广播信息。严禁屏蔽适配器面板的手动操作播发功能。</w:t>
            </w:r>
          </w:p>
          <w:p>
            <w:pPr>
              <w:numPr>
                <w:ilvl w:val="0"/>
                <w:numId w:val="16"/>
              </w:numPr>
              <w:autoSpaceDE/>
              <w:autoSpaceDN/>
              <w:adjustRightInd w:val="0"/>
              <w:snapToGrid w:val="0"/>
              <w:ind w:left="10" w:firstLine="424" w:firstLineChars="193"/>
              <w:rPr>
                <w:szCs w:val="21"/>
              </w:rPr>
            </w:pPr>
            <w:r>
              <w:rPr>
                <w:rFonts w:hint="eastAsia"/>
                <w:szCs w:val="21"/>
              </w:rPr>
              <w:t>应急广播适配器采用LINUX或Android嵌入式操作系统，实现嵌入式图文操作界面。通过HDMI接口输出视频到外接的触摸显示器，并采用USB口实现触摸控制。触摸显示器不宜带操作系统，只是带触控功能的通用显示设备，无需任何参数配置，可替换。</w:t>
            </w:r>
          </w:p>
          <w:p>
            <w:pPr>
              <w:numPr>
                <w:ilvl w:val="0"/>
                <w:numId w:val="16"/>
              </w:numPr>
              <w:autoSpaceDE/>
              <w:autoSpaceDN/>
              <w:adjustRightInd w:val="0"/>
              <w:snapToGrid w:val="0"/>
              <w:ind w:left="10" w:firstLine="424" w:firstLineChars="193"/>
              <w:rPr>
                <w:szCs w:val="21"/>
              </w:rPr>
            </w:pPr>
            <w:r>
              <w:rPr>
                <w:rFonts w:hint="eastAsia"/>
                <w:szCs w:val="21"/>
              </w:rPr>
              <w:t>触摸显示器无操作30～60分钟，自动进入休眠状态；操作适配器或划动触摸显示器可唤醒。也可在触摸显示器面板配置电源按键，一键休眠/唤醒。</w:t>
            </w:r>
          </w:p>
          <w:p>
            <w:pPr>
              <w:numPr>
                <w:ilvl w:val="0"/>
                <w:numId w:val="16"/>
              </w:numPr>
              <w:autoSpaceDE/>
              <w:autoSpaceDN/>
              <w:adjustRightInd w:val="0"/>
              <w:snapToGrid w:val="0"/>
              <w:ind w:left="10" w:firstLine="424" w:firstLineChars="193"/>
              <w:rPr>
                <w:szCs w:val="21"/>
              </w:rPr>
            </w:pPr>
            <w:r>
              <w:rPr>
                <w:rFonts w:hint="eastAsia"/>
                <w:szCs w:val="21"/>
              </w:rPr>
              <w:t>应急广播适配器输出视频页面，须具有“本级播发操作”、“U盘音频文件播放列表”、 “查看本乡镇（行政村）所辖区域内设备工作状态”、“地面数字电视DTMB操作和显示”、“调频通道1/2操作”等5个页面，采用“菜单”“返回”2个触控按键实现页面跳转，其中U盘音频文件播放列表页面仅为当前播放通道为U盘时才展现。</w:t>
            </w:r>
          </w:p>
          <w:p>
            <w:pPr>
              <w:adjustRightInd w:val="0"/>
              <w:snapToGrid w:val="0"/>
              <w:ind w:left="10" w:firstLine="424" w:firstLineChars="193"/>
              <w:rPr>
                <w:szCs w:val="21"/>
              </w:rPr>
            </w:pPr>
            <w:r>
              <w:rPr>
                <w:rFonts w:hint="eastAsia"/>
                <w:szCs w:val="21"/>
              </w:rPr>
              <w:t xml:space="preserve">    本地播发操作页面与应急广播适配器面板操作同步指示，操作方式一致。本地播发操作页面采用双色图标指示按键按下（本地应急播发时为红色，其余为蓝色）或弹起（白色）两种状态。</w:t>
            </w:r>
          </w:p>
          <w:p>
            <w:pPr>
              <w:numPr>
                <w:ilvl w:val="0"/>
                <w:numId w:val="16"/>
              </w:numPr>
              <w:autoSpaceDE/>
              <w:autoSpaceDN/>
              <w:adjustRightInd w:val="0"/>
              <w:snapToGrid w:val="0"/>
              <w:ind w:left="10" w:firstLine="424" w:firstLineChars="193"/>
              <w:rPr>
                <w:szCs w:val="21"/>
              </w:rPr>
            </w:pPr>
            <w:r>
              <w:rPr>
                <w:rFonts w:hint="eastAsia"/>
                <w:szCs w:val="21"/>
              </w:rPr>
              <w:t>设备工作状态页面采用4色标识设备工作情况。红色表示设备正在响应上级广播（包括应急和日常两种类型广播）；紫色表示本级广播（包括应急和日常两种类型广播）；黄色表示设备在线；灰色表示设备离线。点击地图上任意设备时，可查看该设备工作状态数据，数据由应急广播适配器通过网管通道采用《广西应急广播终端通信技术规范V1.2》（原《广西应急广播终端数据回传技术规范V1.2》，下同）从县级平台数据库读取，每10秒间隔自动刷新页面更新数据。</w:t>
            </w:r>
          </w:p>
          <w:p>
            <w:pPr>
              <w:adjustRightInd w:val="0"/>
              <w:snapToGrid w:val="0"/>
              <w:ind w:left="10" w:firstLine="424" w:firstLineChars="193"/>
              <w:jc w:val="center"/>
              <w:rPr>
                <w:szCs w:val="21"/>
              </w:rPr>
            </w:pPr>
            <w:r>
              <w:rPr>
                <w:szCs w:val="21"/>
              </w:rPr>
              <w:drawing>
                <wp:anchor distT="0" distB="0" distL="114300" distR="114300" simplePos="0" relativeHeight="251678720" behindDoc="0" locked="0" layoutInCell="1" allowOverlap="1">
                  <wp:simplePos x="0" y="0"/>
                  <wp:positionH relativeFrom="column">
                    <wp:posOffset>1092200</wp:posOffset>
                  </wp:positionH>
                  <wp:positionV relativeFrom="paragraph">
                    <wp:posOffset>51435</wp:posOffset>
                  </wp:positionV>
                  <wp:extent cx="2703830" cy="2336800"/>
                  <wp:effectExtent l="19050" t="0" r="1270" b="0"/>
                  <wp:wrapTopAndBottom/>
                  <wp:docPr id="124" name="对象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对象 6"/>
                          <pic:cNvPicPr>
                            <a:picLocks noChangeAspect="1" noChangeArrowheads="1"/>
                          </pic:cNvPicPr>
                        </pic:nvPicPr>
                        <pic:blipFill>
                          <a:blip r:embed="rId18" cstate="print"/>
                          <a:srcRect/>
                          <a:stretch>
                            <a:fillRect/>
                          </a:stretch>
                        </pic:blipFill>
                        <pic:spPr>
                          <a:xfrm>
                            <a:off x="0" y="0"/>
                            <a:ext cx="2703830" cy="2336800"/>
                          </a:xfrm>
                          <a:prstGeom prst="rect">
                            <a:avLst/>
                          </a:prstGeom>
                          <a:noFill/>
                        </pic:spPr>
                      </pic:pic>
                    </a:graphicData>
                  </a:graphic>
                </wp:anchor>
              </w:drawing>
            </w:r>
          </w:p>
          <w:p>
            <w:pPr>
              <w:adjustRightInd w:val="0"/>
              <w:snapToGrid w:val="0"/>
              <w:ind w:left="10" w:firstLine="424" w:firstLineChars="193"/>
              <w:rPr>
                <w:szCs w:val="21"/>
              </w:rPr>
            </w:pPr>
            <w:r>
              <w:rPr>
                <w:rFonts w:hint="eastAsia"/>
                <w:szCs w:val="21"/>
              </w:rPr>
              <w:t xml:space="preserve">    应急广播适配器工作状态数据的各项展现不少于上图所示，至少展现图中描述的13项重要参数。</w:t>
            </w:r>
          </w:p>
          <w:p>
            <w:pPr>
              <w:numPr>
                <w:ilvl w:val="0"/>
                <w:numId w:val="16"/>
              </w:numPr>
              <w:autoSpaceDE/>
              <w:autoSpaceDN/>
              <w:adjustRightInd w:val="0"/>
              <w:snapToGrid w:val="0"/>
              <w:ind w:left="10" w:firstLine="424" w:firstLineChars="193"/>
              <w:rPr>
                <w:szCs w:val="21"/>
              </w:rPr>
            </w:pPr>
            <w:r>
              <w:rPr>
                <w:rFonts w:hint="eastAsia"/>
                <w:szCs w:val="21"/>
              </w:rPr>
              <w:t>行政区划地图的形成：可采用但不限于列表式地图（例如10*10、15*10的列表），根据乡镇（行政村）所辖的行政村（自然村）的地理位置，在列表上的大概方位标注地名即可。乡镇的地图应分两层显示，双击行政村应弹窗显示下一层自然村的地图。没有安装应急广播设备的自然村也应显示，用方形文本框标记。</w:t>
            </w:r>
          </w:p>
          <w:p>
            <w:pPr>
              <w:adjustRightInd w:val="0"/>
              <w:snapToGrid w:val="0"/>
              <w:ind w:left="10" w:firstLine="424" w:firstLineChars="193"/>
              <w:rPr>
                <w:szCs w:val="21"/>
              </w:rPr>
            </w:pPr>
            <w:r>
              <w:rPr>
                <w:rFonts w:hint="eastAsia"/>
                <w:szCs w:val="21"/>
              </w:rPr>
              <w:t>地图中的地名样式：设备4色标识+地名。地名包括但不限于县/乡镇/行政村/自然村。</w:t>
            </w:r>
          </w:p>
          <w:p>
            <w:pPr>
              <w:numPr>
                <w:ilvl w:val="0"/>
                <w:numId w:val="16"/>
              </w:numPr>
              <w:autoSpaceDE/>
              <w:autoSpaceDN/>
              <w:adjustRightInd w:val="0"/>
              <w:snapToGrid w:val="0"/>
              <w:ind w:left="10" w:firstLine="424" w:firstLineChars="193"/>
              <w:rPr>
                <w:szCs w:val="21"/>
              </w:rPr>
            </w:pPr>
            <w:r>
              <w:rPr>
                <w:rFonts w:hint="eastAsia"/>
                <w:szCs w:val="21"/>
              </w:rPr>
              <w:t>应急广播适配器接收DTMB信号，解调的图像和伴音应能在触摸显示器上播放。DTMB信号调谐、节目选择、伴音回放音量调节等操作可在触摸显示器实现。</w:t>
            </w:r>
          </w:p>
          <w:p>
            <w:pPr>
              <w:numPr>
                <w:ilvl w:val="0"/>
                <w:numId w:val="16"/>
              </w:numPr>
              <w:autoSpaceDE/>
              <w:autoSpaceDN/>
              <w:adjustRightInd w:val="0"/>
              <w:snapToGrid w:val="0"/>
              <w:ind w:left="10" w:firstLine="424" w:firstLineChars="193"/>
              <w:rPr>
                <w:szCs w:val="21"/>
              </w:rPr>
            </w:pPr>
            <w:r>
              <w:rPr>
                <w:rFonts w:hint="eastAsia"/>
                <w:szCs w:val="21"/>
              </w:rPr>
              <w:t>应急广播适配器接收FM1、FM2信号，解调出的声音可在触摸屏上播放。FM信号调谐、节目选择、伴音回放音量调节等操作可在触摸显示器实现。</w:t>
            </w:r>
          </w:p>
          <w:p>
            <w:pPr>
              <w:numPr>
                <w:ilvl w:val="0"/>
                <w:numId w:val="16"/>
              </w:numPr>
              <w:autoSpaceDE/>
              <w:autoSpaceDN/>
              <w:adjustRightInd w:val="0"/>
              <w:snapToGrid w:val="0"/>
              <w:ind w:left="10" w:firstLine="424" w:firstLineChars="193"/>
              <w:rPr>
                <w:szCs w:val="21"/>
              </w:rPr>
            </w:pPr>
            <w:r>
              <w:rPr>
                <w:rFonts w:hint="eastAsia"/>
                <w:szCs w:val="21"/>
              </w:rPr>
              <w:t>应急广播适配器播发U盘文件，解调出的声音可在触摸显示器上播放。U盘文件选择、伴音回放音量调节等操作可在触摸显示器实现。</w:t>
            </w:r>
          </w:p>
          <w:p>
            <w:pPr>
              <w:numPr>
                <w:ilvl w:val="0"/>
                <w:numId w:val="16"/>
              </w:numPr>
              <w:autoSpaceDE/>
              <w:autoSpaceDN/>
              <w:adjustRightInd w:val="0"/>
              <w:snapToGrid w:val="0"/>
              <w:ind w:left="10" w:firstLine="424" w:firstLineChars="193"/>
              <w:rPr>
                <w:szCs w:val="21"/>
              </w:rPr>
            </w:pPr>
            <w:r>
              <w:rPr>
                <w:rFonts w:hint="eastAsia"/>
                <w:szCs w:val="21"/>
              </w:rPr>
              <w:t>应急广播适配器外部输入端口输入的音视频信号可在触摸显示器上播放。伴音回放音量调节可在触摸显示器实现。</w:t>
            </w:r>
          </w:p>
          <w:p>
            <w:pPr>
              <w:numPr>
                <w:ilvl w:val="0"/>
                <w:numId w:val="16"/>
              </w:numPr>
              <w:autoSpaceDE/>
              <w:autoSpaceDN/>
              <w:adjustRightInd w:val="0"/>
              <w:snapToGrid w:val="0"/>
              <w:ind w:left="10" w:firstLine="424" w:firstLineChars="193"/>
              <w:rPr>
                <w:szCs w:val="21"/>
              </w:rPr>
            </w:pPr>
            <w:r>
              <w:rPr>
                <w:rFonts w:hint="eastAsia"/>
                <w:szCs w:val="21"/>
              </w:rPr>
              <w:t>应急广播适配器的其它功能和配置也可考虑在触摸显示器上实现操作，方便安装调试。</w:t>
            </w:r>
          </w:p>
          <w:p>
            <w:pPr>
              <w:adjustRightInd w:val="0"/>
              <w:snapToGrid w:val="0"/>
              <w:ind w:left="10" w:firstLine="424" w:firstLineChars="193"/>
              <w:rPr>
                <w:szCs w:val="21"/>
              </w:rPr>
            </w:pPr>
            <w:r>
              <w:rPr>
                <w:rFonts w:hint="eastAsia"/>
                <w:szCs w:val="21"/>
              </w:rPr>
              <w:t xml:space="preserve">    （四）应急信息播发策略</w:t>
            </w:r>
          </w:p>
          <w:p>
            <w:pPr>
              <w:numPr>
                <w:ilvl w:val="0"/>
                <w:numId w:val="17"/>
              </w:numPr>
              <w:autoSpaceDE/>
              <w:autoSpaceDN/>
              <w:adjustRightInd w:val="0"/>
              <w:snapToGrid w:val="0"/>
              <w:ind w:left="10" w:firstLine="424" w:firstLineChars="193"/>
              <w:rPr>
                <w:szCs w:val="21"/>
              </w:rPr>
            </w:pPr>
            <w:r>
              <w:rPr>
                <w:rFonts w:hint="eastAsia"/>
                <w:szCs w:val="21"/>
              </w:rPr>
              <w:t>优先级播出处理规则设置：</w:t>
            </w:r>
          </w:p>
          <w:p>
            <w:pPr>
              <w:adjustRightInd w:val="0"/>
              <w:snapToGrid w:val="0"/>
              <w:ind w:left="10" w:firstLine="424" w:firstLineChars="193"/>
              <w:rPr>
                <w:szCs w:val="21"/>
              </w:rPr>
            </w:pPr>
            <w:r>
              <w:rPr>
                <w:rFonts w:hint="eastAsia"/>
                <w:szCs w:val="21"/>
              </w:rPr>
              <w:t>（1）应急广播与日常广播此两种不同类型广播，不论级别，应急广播均优先播出，电话及短信插播方式视为应急广播；</w:t>
            </w:r>
          </w:p>
          <w:p>
            <w:pPr>
              <w:adjustRightInd w:val="0"/>
              <w:snapToGrid w:val="0"/>
              <w:ind w:left="10" w:firstLine="424" w:firstLineChars="193"/>
              <w:rPr>
                <w:szCs w:val="21"/>
              </w:rPr>
            </w:pPr>
            <w:r>
              <w:rPr>
                <w:rFonts w:hint="eastAsia"/>
                <w:szCs w:val="21"/>
              </w:rPr>
              <w:t>（2）相同类型广播，应首先判断广播消息级别，优先级高则优先播出；</w:t>
            </w:r>
          </w:p>
          <w:p>
            <w:pPr>
              <w:adjustRightInd w:val="0"/>
              <w:snapToGrid w:val="0"/>
              <w:ind w:left="10" w:firstLine="424" w:firstLineChars="193"/>
              <w:rPr>
                <w:szCs w:val="21"/>
              </w:rPr>
            </w:pPr>
            <w:r>
              <w:rPr>
                <w:rFonts w:hint="eastAsia"/>
                <w:szCs w:val="21"/>
              </w:rPr>
              <w:t>（3）广播消息级别相同，如果设备设置为上级优先，则行政级别高优先播出，如果设备设置为下级优先，则行政级别低优先播出；</w:t>
            </w:r>
          </w:p>
          <w:p>
            <w:pPr>
              <w:adjustRightInd w:val="0"/>
              <w:snapToGrid w:val="0"/>
              <w:ind w:left="10" w:firstLine="424" w:firstLineChars="193"/>
              <w:rPr>
                <w:szCs w:val="21"/>
              </w:rPr>
            </w:pPr>
            <w:r>
              <w:rPr>
                <w:rFonts w:hint="eastAsia"/>
                <w:szCs w:val="21"/>
              </w:rPr>
              <w:t>（4）广播消息级别和行政级别均相同，默认情况下优先播出数字通道（依次为IP(TS)、DTMB/DVB-C、IP/4G），然后为FM通道（如当前通道有广播则不进行通道切换，无广播则按上述次序切换）。</w:t>
            </w:r>
          </w:p>
          <w:p>
            <w:pPr>
              <w:adjustRightInd w:val="0"/>
              <w:snapToGrid w:val="0"/>
              <w:ind w:left="10" w:firstLine="424" w:firstLineChars="193"/>
              <w:rPr>
                <w:szCs w:val="21"/>
              </w:rPr>
            </w:pPr>
            <w:r>
              <w:rPr>
                <w:rFonts w:hint="eastAsia"/>
                <w:szCs w:val="21"/>
              </w:rPr>
              <w:t>（5）高优先级广播播出完成以后，播放次优先级广播。</w:t>
            </w:r>
          </w:p>
          <w:p>
            <w:pPr>
              <w:numPr>
                <w:ilvl w:val="0"/>
                <w:numId w:val="17"/>
              </w:numPr>
              <w:autoSpaceDE/>
              <w:autoSpaceDN/>
              <w:adjustRightInd w:val="0"/>
              <w:snapToGrid w:val="0"/>
              <w:ind w:left="10" w:firstLine="424" w:firstLineChars="193"/>
              <w:rPr>
                <w:szCs w:val="21"/>
              </w:rPr>
            </w:pPr>
            <w:r>
              <w:rPr>
                <w:rFonts w:hint="eastAsia"/>
                <w:szCs w:val="21"/>
              </w:rPr>
              <w:t>具有本地和远程设置应急广播信息上级优先、下级优先播出功能，默认设置为上级优先。</w:t>
            </w:r>
          </w:p>
          <w:p>
            <w:pPr>
              <w:numPr>
                <w:ilvl w:val="0"/>
                <w:numId w:val="17"/>
              </w:numPr>
              <w:autoSpaceDE/>
              <w:autoSpaceDN/>
              <w:adjustRightInd w:val="0"/>
              <w:snapToGrid w:val="0"/>
              <w:ind w:left="10" w:firstLine="424" w:firstLineChars="193"/>
              <w:rPr>
                <w:szCs w:val="21"/>
              </w:rPr>
            </w:pPr>
            <w:r>
              <w:rPr>
                <w:rFonts w:hint="eastAsia"/>
                <w:szCs w:val="21"/>
              </w:rPr>
              <w:t>应急广播适配器电话及短信插播视为本地应急广播，默认优先级为2级。当应急广播适配器同时收到电话和短信文转语插播时，电话语音插播优先，可中断短信文转语插播转而播发电话语音。当有电话语音及短信文转语插播时，RDS转发优先级为适配器设定的应急广播消息级别（默认2级）。</w:t>
            </w:r>
          </w:p>
          <w:p>
            <w:pPr>
              <w:numPr>
                <w:ilvl w:val="0"/>
                <w:numId w:val="17"/>
              </w:numPr>
              <w:autoSpaceDE/>
              <w:autoSpaceDN/>
              <w:adjustRightInd w:val="0"/>
              <w:snapToGrid w:val="0"/>
              <w:ind w:left="10" w:firstLine="424" w:firstLineChars="193"/>
              <w:rPr>
                <w:szCs w:val="21"/>
              </w:rPr>
            </w:pPr>
            <w:r>
              <w:rPr>
                <w:rFonts w:hint="eastAsia"/>
                <w:szCs w:val="21"/>
              </w:rPr>
              <w:t>接收和转发上级广播时，通道优先级默认优先顺序：IP(TS)、DTMB/DVB-C、IP/4G、FM1、FM2，可本地和远程设置。</w:t>
            </w:r>
          </w:p>
          <w:p>
            <w:pPr>
              <w:numPr>
                <w:ilvl w:val="0"/>
                <w:numId w:val="17"/>
              </w:numPr>
              <w:autoSpaceDE/>
              <w:autoSpaceDN/>
              <w:adjustRightInd w:val="0"/>
              <w:snapToGrid w:val="0"/>
              <w:ind w:left="10" w:firstLine="424" w:firstLineChars="193"/>
              <w:rPr>
                <w:szCs w:val="21"/>
              </w:rPr>
            </w:pPr>
            <w:r>
              <w:rPr>
                <w:rFonts w:hint="eastAsia"/>
                <w:szCs w:val="21"/>
              </w:rPr>
              <w:t>IP(TS)、DTMB、DVB-C、IP/4G四种模式传输应急广播信息，要求传输协议采用《广西应急广播TS流传输技术规范》、《广西应急广播IP传输技术规范V1.2》。TS指令数据采用上级平台加密，适配器解密的方式传输，协议采用《广西应急广播系统指令安全保护（数字签名）技术规范》。</w:t>
            </w:r>
          </w:p>
          <w:p>
            <w:pPr>
              <w:numPr>
                <w:ilvl w:val="0"/>
                <w:numId w:val="17"/>
              </w:numPr>
              <w:autoSpaceDE/>
              <w:autoSpaceDN/>
              <w:adjustRightInd w:val="0"/>
              <w:snapToGrid w:val="0"/>
              <w:ind w:left="10" w:firstLine="424" w:firstLineChars="193"/>
              <w:rPr>
                <w:szCs w:val="21"/>
              </w:rPr>
            </w:pPr>
            <w:r>
              <w:rPr>
                <w:rFonts w:hint="eastAsia"/>
                <w:szCs w:val="21"/>
              </w:rPr>
              <w:t>要求设备可同时解析两个应急广播控制PID，分别为0x21和0x2x，两个控制PID所在TS流携带的指令表格式参照《广西应急广播TS流传输技术规范》。其中PID=0x21的TS流为县级以上平台下发的应急广播指令，PID=0x2x的TS流为其他平台下发的应急广播指令（保留）。</w:t>
            </w:r>
          </w:p>
          <w:p>
            <w:pPr>
              <w:numPr>
                <w:ilvl w:val="0"/>
                <w:numId w:val="17"/>
              </w:numPr>
              <w:autoSpaceDE/>
              <w:autoSpaceDN/>
              <w:adjustRightInd w:val="0"/>
              <w:snapToGrid w:val="0"/>
              <w:ind w:left="10" w:firstLine="424" w:firstLineChars="193"/>
              <w:rPr>
                <w:szCs w:val="21"/>
              </w:rPr>
            </w:pPr>
            <w:r>
              <w:rPr>
                <w:rFonts w:hint="eastAsia"/>
                <w:szCs w:val="21"/>
              </w:rPr>
              <w:t>每个乡镇级平台的应急广播适配器输出组播IP地址及端口由广电网络提供，指令PID统一为0x22。</w:t>
            </w:r>
          </w:p>
          <w:p>
            <w:pPr>
              <w:numPr>
                <w:ilvl w:val="0"/>
                <w:numId w:val="17"/>
              </w:numPr>
              <w:autoSpaceDE/>
              <w:autoSpaceDN/>
              <w:adjustRightInd w:val="0"/>
              <w:snapToGrid w:val="0"/>
              <w:ind w:left="10" w:firstLine="424" w:firstLineChars="193"/>
              <w:rPr>
                <w:szCs w:val="21"/>
              </w:rPr>
            </w:pPr>
            <w:r>
              <w:rPr>
                <w:rFonts w:hint="eastAsia"/>
                <w:szCs w:val="21"/>
              </w:rPr>
              <w:t>乡镇级平台的应急广播适配器输出IP(TS)组播直接下行播发到村级平台应急广播适配器，同时在县级平台与乡镇级平台网管通信正常的情况下具有通过网管通道向县级平台申请播发的功能。</w:t>
            </w:r>
          </w:p>
          <w:p>
            <w:pPr>
              <w:numPr>
                <w:ilvl w:val="0"/>
                <w:numId w:val="17"/>
              </w:numPr>
              <w:autoSpaceDE/>
              <w:autoSpaceDN/>
              <w:adjustRightInd w:val="0"/>
              <w:snapToGrid w:val="0"/>
              <w:ind w:left="10" w:firstLine="424" w:firstLineChars="193"/>
              <w:rPr>
                <w:szCs w:val="21"/>
              </w:rPr>
            </w:pPr>
            <w:r>
              <w:rPr>
                <w:rFonts w:hint="eastAsia"/>
                <w:szCs w:val="21"/>
              </w:rPr>
              <w:t>应急广播适配器可采用IP、4G、RDS播发应急广播信息，对本级播发的IP/4G广播，当应急广播适配器作为IP终端使用时，应能甄别自身所发出的信息并不予响应。</w:t>
            </w:r>
          </w:p>
          <w:p>
            <w:pPr>
              <w:adjustRightInd w:val="0"/>
              <w:snapToGrid w:val="0"/>
              <w:ind w:left="10" w:firstLine="424" w:firstLineChars="193"/>
              <w:rPr>
                <w:szCs w:val="21"/>
              </w:rPr>
            </w:pPr>
            <w:r>
              <w:rPr>
                <w:rFonts w:hint="eastAsia"/>
                <w:szCs w:val="21"/>
              </w:rPr>
              <w:t>为了避免应急信息重复、循环、错误播发，乡镇级平台应急广播适配器转发功能应设置：不对县级或其他乡镇发布的IP(TS)、IP/4G应急信息进行转发；本地播发不进行转发。</w:t>
            </w:r>
          </w:p>
          <w:p>
            <w:pPr>
              <w:adjustRightInd w:val="0"/>
              <w:snapToGrid w:val="0"/>
              <w:ind w:left="10" w:firstLine="424" w:firstLineChars="193"/>
              <w:rPr>
                <w:szCs w:val="21"/>
              </w:rPr>
            </w:pPr>
            <w:r>
              <w:rPr>
                <w:rFonts w:hint="eastAsia"/>
                <w:szCs w:val="21"/>
              </w:rPr>
              <w:t>（五）主要功能要求</w:t>
            </w:r>
          </w:p>
          <w:p>
            <w:pPr>
              <w:numPr>
                <w:ilvl w:val="0"/>
                <w:numId w:val="18"/>
              </w:numPr>
              <w:autoSpaceDE/>
              <w:autoSpaceDN/>
              <w:adjustRightInd w:val="0"/>
              <w:snapToGrid w:val="0"/>
              <w:ind w:left="10" w:firstLine="424" w:firstLineChars="193"/>
              <w:rPr>
                <w:szCs w:val="21"/>
              </w:rPr>
            </w:pPr>
            <w:r>
              <w:rPr>
                <w:rFonts w:hint="eastAsia"/>
                <w:szCs w:val="21"/>
              </w:rPr>
              <w:t>采用有线IP和无线4G网络两种方式实现设备状态数据回传，两种回传方式均须实现。可本地和远程设置手动、自动两种状态（默认）。手动状态下可本地和远程手动切换回传方式；自动状态下由设备定时（时长可设置）检测有线IP回传通路情况。设备作为客户端与平台服务器握手通信，已连接则采用有线IP回传，断开连接则选择无线4G网络回传，恢复连接则重新选择有线IP回传。两种回传方式的协议均要求采用《广西应急广播终端数据回传技术规范V1.2》。</w:t>
            </w:r>
          </w:p>
          <w:p>
            <w:pPr>
              <w:numPr>
                <w:ilvl w:val="0"/>
                <w:numId w:val="18"/>
              </w:numPr>
              <w:autoSpaceDE/>
              <w:autoSpaceDN/>
              <w:adjustRightInd w:val="0"/>
              <w:snapToGrid w:val="0"/>
              <w:ind w:left="10" w:firstLine="424" w:firstLineChars="193"/>
              <w:rPr>
                <w:szCs w:val="21"/>
              </w:rPr>
            </w:pPr>
            <w:r>
              <w:rPr>
                <w:rFonts w:hint="eastAsia"/>
                <w:szCs w:val="21"/>
              </w:rPr>
              <w:t>具有本级RDS编码加密、接收上级下发的RDS编码并解密的功能，传输协议要求采用《广西应急广播调频副载波（RDS）编码传输技术规范》。两种情况的RDS编码数据输出应根据优先级播出处理规则决定，本级与上级RDS编码数据输出同时只能选择其一。RDS指令数据采用上级平台加密，接收设备解密的方式传输，协议采用《广西应急广播指令安全保护（数字签名）技术规范》。</w:t>
            </w:r>
          </w:p>
          <w:p>
            <w:pPr>
              <w:numPr>
                <w:ilvl w:val="0"/>
                <w:numId w:val="18"/>
              </w:numPr>
              <w:autoSpaceDE/>
              <w:autoSpaceDN/>
              <w:adjustRightInd w:val="0"/>
              <w:snapToGrid w:val="0"/>
              <w:ind w:left="10" w:firstLine="424" w:firstLineChars="193"/>
              <w:rPr>
                <w:szCs w:val="21"/>
              </w:rPr>
            </w:pPr>
            <w:r>
              <w:rPr>
                <w:rFonts w:hint="eastAsia"/>
                <w:szCs w:val="21"/>
              </w:rPr>
              <w:t>具有IP广播功能，参照《广西应急广播IP传输技术规范V1.2》。本地播发的同时有IP（TS）广播，也有IP/4G广播，共存并互不影响。当采用IP/4G广播时，IP广播优先，通过有线专网传输应急信息到县级平台，有线专网中断则采用4G广播，有线专网恢复则切换回有线IP广播。</w:t>
            </w:r>
          </w:p>
          <w:p>
            <w:pPr>
              <w:numPr>
                <w:ilvl w:val="0"/>
                <w:numId w:val="18"/>
              </w:numPr>
              <w:autoSpaceDE/>
              <w:autoSpaceDN/>
              <w:adjustRightInd w:val="0"/>
              <w:snapToGrid w:val="0"/>
              <w:ind w:left="10" w:firstLine="424" w:firstLineChars="193"/>
              <w:rPr>
                <w:szCs w:val="21"/>
              </w:rPr>
            </w:pPr>
            <w:r>
              <w:rPr>
                <w:rFonts w:hint="eastAsia"/>
                <w:szCs w:val="21"/>
              </w:rPr>
              <w:t>具有远程升级功能，可通过IP（TS）、DTMB/DVB-C、IP/4G通道传输，可采取TS流方式被动升级和HTTP请求方式主动升级两种方式，设备接收完数据并校验通过后自动进行升级。设备软件升级方式参照《广西应急广播终端软件升级技术规范》。</w:t>
            </w:r>
          </w:p>
          <w:p>
            <w:pPr>
              <w:numPr>
                <w:ilvl w:val="0"/>
                <w:numId w:val="18"/>
              </w:numPr>
              <w:autoSpaceDE/>
              <w:autoSpaceDN/>
              <w:adjustRightInd w:val="0"/>
              <w:snapToGrid w:val="0"/>
              <w:ind w:left="10" w:firstLine="424" w:firstLineChars="193"/>
              <w:rPr>
                <w:szCs w:val="21"/>
              </w:rPr>
            </w:pPr>
            <w:r>
              <w:rPr>
                <w:rFonts w:hint="eastAsia"/>
                <w:szCs w:val="21"/>
              </w:rPr>
              <w:t>可通过应急广播指令对设备进行管理配置，包括资源编码设置、组播和网管业务参数设置、回传IP地址设置、默认音量设置、自动报文间隔、接收射频频率设置等。</w:t>
            </w:r>
          </w:p>
          <w:p>
            <w:pPr>
              <w:numPr>
                <w:ilvl w:val="0"/>
                <w:numId w:val="18"/>
              </w:numPr>
              <w:autoSpaceDE/>
              <w:autoSpaceDN/>
              <w:adjustRightInd w:val="0"/>
              <w:snapToGrid w:val="0"/>
              <w:ind w:left="10" w:firstLine="424" w:firstLineChars="193"/>
              <w:rPr>
                <w:szCs w:val="21"/>
              </w:rPr>
            </w:pPr>
            <w:r>
              <w:rPr>
                <w:rFonts w:hint="eastAsia"/>
                <w:szCs w:val="21"/>
              </w:rPr>
              <w:t>应急广播适配器本地话筒插播时，须检测话筒电平，持续5分钟没有信号，自动退出本次话筒插播，恢复待机状态。采用其他信号进行本地插播时，插播2小时后，如果还没有手动关闭本次广播则自动退出本次插播，恢复待机状态。</w:t>
            </w:r>
          </w:p>
          <w:p>
            <w:pPr>
              <w:numPr>
                <w:ilvl w:val="0"/>
                <w:numId w:val="18"/>
              </w:numPr>
              <w:autoSpaceDE/>
              <w:autoSpaceDN/>
              <w:adjustRightInd w:val="0"/>
              <w:snapToGrid w:val="0"/>
              <w:ind w:left="10" w:firstLine="424" w:firstLineChars="193"/>
              <w:rPr>
                <w:szCs w:val="21"/>
              </w:rPr>
            </w:pPr>
            <w:r>
              <w:rPr>
                <w:rFonts w:hint="eastAsia"/>
                <w:szCs w:val="21"/>
              </w:rPr>
              <w:t>应急广播适配器必须具有自动分配网关的功能。有线IP及4G网管通道，数据上行必须绑定出口路由。当使用有线IP网络回传的时候，回传数据自动从广电内网网关出，不能从4G网关出；当切换到4G网络时候，回传数据自动从4G网关出，同时保留内网网关以和县级平台进行通信，当有线IP通道恢复时自动切换回有线IP通道。</w:t>
            </w:r>
          </w:p>
          <w:p>
            <w:pPr>
              <w:numPr>
                <w:ilvl w:val="0"/>
                <w:numId w:val="18"/>
              </w:numPr>
              <w:autoSpaceDE/>
              <w:autoSpaceDN/>
              <w:adjustRightInd w:val="0"/>
              <w:snapToGrid w:val="0"/>
              <w:ind w:left="10" w:firstLine="424" w:firstLineChars="193"/>
              <w:rPr>
                <w:szCs w:val="21"/>
              </w:rPr>
            </w:pPr>
            <w:r>
              <w:rPr>
                <w:rFonts w:hint="eastAsia"/>
                <w:szCs w:val="21"/>
              </w:rPr>
              <w:t>具有系统复位按键（参照后面板示意图），长按5秒恢复出厂设置，所有参数恢复到出厂设置状态。支持TELNET远程登录服务标准协议，可由用户远程登录设备嵌入式操作系统，用户名统一为：admin，密码为admin，最大用户权限。用户TENET登录后，可修改默认管理地址（192.168.2.200）和子网掩码（255.255.255.0）等参数。</w:t>
            </w:r>
          </w:p>
          <w:p>
            <w:pPr>
              <w:numPr>
                <w:ilvl w:val="0"/>
                <w:numId w:val="18"/>
              </w:numPr>
              <w:autoSpaceDE/>
              <w:autoSpaceDN/>
              <w:adjustRightInd w:val="0"/>
              <w:snapToGrid w:val="0"/>
              <w:ind w:left="10" w:firstLine="424" w:firstLineChars="193"/>
              <w:rPr>
                <w:szCs w:val="21"/>
              </w:rPr>
            </w:pPr>
            <w:r>
              <w:rPr>
                <w:rFonts w:hint="eastAsia"/>
                <w:szCs w:val="21"/>
              </w:rPr>
              <w:t>WEB网管具有系统软重启、恢复出厂设置项，用户可登陆该WEB网管对整个乡镇级适配器进行重启和恢复出厂设置操作。WEB网管用户名统一为：admin，登录密码统一为123456。</w:t>
            </w:r>
          </w:p>
          <w:p>
            <w:pPr>
              <w:numPr>
                <w:ilvl w:val="0"/>
                <w:numId w:val="18"/>
              </w:numPr>
              <w:autoSpaceDE/>
              <w:autoSpaceDN/>
              <w:adjustRightInd w:val="0"/>
              <w:snapToGrid w:val="0"/>
              <w:ind w:left="10" w:firstLine="424" w:firstLineChars="193"/>
              <w:rPr>
                <w:szCs w:val="21"/>
              </w:rPr>
            </w:pPr>
            <w:r>
              <w:rPr>
                <w:rFonts w:hint="eastAsia"/>
                <w:szCs w:val="21"/>
              </w:rPr>
              <w:t>应急广播适配器菜单部分主要参数必须输入密码才能修改。如该设备的资源编码（9字节）、FM接收频点、DTMB接收频点、DVB-C接收频点、网管IP地址及端口、4G回传IP地址及端口、组播接收IP地址及端口、转发优先级、上下级优先设定，密码修改等选项，初始密码默认为：123456。</w:t>
            </w:r>
          </w:p>
          <w:p>
            <w:pPr>
              <w:numPr>
                <w:ilvl w:val="0"/>
                <w:numId w:val="18"/>
              </w:numPr>
              <w:autoSpaceDE/>
              <w:autoSpaceDN/>
              <w:adjustRightInd w:val="0"/>
              <w:snapToGrid w:val="0"/>
              <w:ind w:left="10" w:firstLine="424" w:firstLineChars="193"/>
              <w:rPr>
                <w:szCs w:val="21"/>
              </w:rPr>
            </w:pPr>
            <w:r>
              <w:rPr>
                <w:rFonts w:hint="eastAsia"/>
                <w:szCs w:val="21"/>
              </w:rPr>
              <w:t>具有4G手机模块并配置4G手机卡，实现电话语音插播、短信文转语插播，终端状态可通过移动通信网络回传。可设置电话白名单至少32组，每组包括一个手机号码和授权广播区域编码，只有白名单上的手机号码可对授权区域进行语音及短信插播。电话语音插播须有语音提示，按下手机“#”号键即可电话语音广播。短信插播格式：播报次数#播报内容（播报次数取值范围1～9）。短信播报内容要求支持300个以上中文字符。</w:t>
            </w:r>
          </w:p>
          <w:p>
            <w:pPr>
              <w:numPr>
                <w:ilvl w:val="0"/>
                <w:numId w:val="18"/>
              </w:numPr>
              <w:autoSpaceDE/>
              <w:autoSpaceDN/>
              <w:adjustRightInd w:val="0"/>
              <w:snapToGrid w:val="0"/>
              <w:ind w:left="10" w:firstLine="424" w:firstLineChars="193"/>
              <w:rPr>
                <w:szCs w:val="21"/>
              </w:rPr>
            </w:pPr>
            <w:r>
              <w:rPr>
                <w:rFonts w:hint="eastAsia"/>
                <w:szCs w:val="21"/>
              </w:rPr>
              <w:t>具有日常定时播出功能，每天能设置至少3个时段，时间精确到秒，每个时段均可任意选择6个信源之一播放，分别为:话筒、线路输入1、线路输入2、U盘、FM1、FM2。定时广播属于本地日常广播。定时广播时日常广播对应LED指示灯亮，此时按下日常广播轻触式按键则关闭当前时段定时广播。</w:t>
            </w:r>
          </w:p>
          <w:p>
            <w:pPr>
              <w:numPr>
                <w:ilvl w:val="0"/>
                <w:numId w:val="18"/>
              </w:numPr>
              <w:autoSpaceDE/>
              <w:autoSpaceDN/>
              <w:adjustRightInd w:val="0"/>
              <w:snapToGrid w:val="0"/>
              <w:ind w:left="10" w:firstLine="424" w:firstLineChars="193"/>
              <w:rPr>
                <w:szCs w:val="21"/>
              </w:rPr>
            </w:pPr>
            <w:r>
              <w:rPr>
                <w:rFonts w:hint="eastAsia"/>
                <w:szCs w:val="21"/>
              </w:rPr>
              <w:t>具有MPEG1-layer1/2/3、MPEG2-layer1/2/3、AAC，MP3音频格式解码，MP3音频格式编码，解码输出音质清晰、流畅。</w:t>
            </w:r>
          </w:p>
          <w:p>
            <w:pPr>
              <w:numPr>
                <w:ilvl w:val="0"/>
                <w:numId w:val="18"/>
              </w:numPr>
              <w:autoSpaceDE/>
              <w:autoSpaceDN/>
              <w:adjustRightInd w:val="0"/>
              <w:snapToGrid w:val="0"/>
              <w:ind w:left="10" w:firstLine="424" w:firstLineChars="193"/>
              <w:rPr>
                <w:szCs w:val="21"/>
              </w:rPr>
            </w:pPr>
            <w:r>
              <w:rPr>
                <w:rFonts w:hint="eastAsia"/>
                <w:szCs w:val="21"/>
              </w:rPr>
              <w:t>MP3格式音频编码封装成TS包并通过IP(TS)组播和RTSP协议（IP广播）输出。乡镇级应急广播适配器音频编码参数共8项。输出模式为CBR（恒定码率）。必须有PMT_PID、PCR_PID、AUDIO_PID、Service_PID(节目号)、Service_Name(节目名称，要求为中文)设置项并可由用户设置和修改。采用立体声编码，音频编码码率为128Kbps，采样码率为48KHz。</w:t>
            </w:r>
          </w:p>
          <w:p>
            <w:pPr>
              <w:numPr>
                <w:ilvl w:val="0"/>
                <w:numId w:val="18"/>
              </w:numPr>
              <w:autoSpaceDE/>
              <w:autoSpaceDN/>
              <w:adjustRightInd w:val="0"/>
              <w:snapToGrid w:val="0"/>
              <w:ind w:left="10" w:firstLine="424" w:firstLineChars="193"/>
              <w:rPr>
                <w:szCs w:val="21"/>
              </w:rPr>
            </w:pPr>
            <w:r>
              <w:rPr>
                <w:rFonts w:hint="eastAsia"/>
                <w:szCs w:val="21"/>
              </w:rPr>
              <w:t>采用《广西应急广播终端数据回传技术规范V1.2》，通过串口设置、读取调频发射机参数，再由应急广播适配器把发射机参数回传到县级平台。</w:t>
            </w:r>
          </w:p>
          <w:p>
            <w:pPr>
              <w:numPr>
                <w:ilvl w:val="0"/>
                <w:numId w:val="18"/>
              </w:numPr>
              <w:autoSpaceDE/>
              <w:autoSpaceDN/>
              <w:adjustRightInd w:val="0"/>
              <w:snapToGrid w:val="0"/>
              <w:ind w:left="10" w:firstLine="424" w:firstLineChars="193"/>
              <w:rPr>
                <w:szCs w:val="21"/>
              </w:rPr>
            </w:pPr>
            <w:r>
              <w:rPr>
                <w:rFonts w:hint="eastAsia"/>
                <w:szCs w:val="21"/>
              </w:rPr>
              <w:t>具有独立时钟电路，采用高精度实时时钟芯片作为系统时钟，采用锂电池作为实时时钟芯片供电电源，确保设备运行时间准确。可根据上级授时指令对当前实时时钟进行更新授时。（时钟芯片性能不低于DS3231）</w:t>
            </w:r>
          </w:p>
          <w:p>
            <w:pPr>
              <w:numPr>
                <w:ilvl w:val="0"/>
                <w:numId w:val="18"/>
              </w:numPr>
              <w:autoSpaceDE/>
              <w:autoSpaceDN/>
              <w:adjustRightInd w:val="0"/>
              <w:snapToGrid w:val="0"/>
              <w:ind w:left="10" w:firstLine="424" w:firstLineChars="193"/>
              <w:rPr>
                <w:szCs w:val="21"/>
              </w:rPr>
            </w:pPr>
            <w:r>
              <w:rPr>
                <w:rFonts w:hint="eastAsia"/>
                <w:szCs w:val="21"/>
              </w:rPr>
              <w:t>具备后备锂电池，可在外电停止后将设备不少于5分钟的状态数据通过4G通道回传给平台服务器。</w:t>
            </w:r>
          </w:p>
          <w:p>
            <w:pPr>
              <w:numPr>
                <w:ilvl w:val="0"/>
                <w:numId w:val="18"/>
              </w:numPr>
              <w:autoSpaceDE/>
              <w:autoSpaceDN/>
              <w:adjustRightInd w:val="0"/>
              <w:snapToGrid w:val="0"/>
              <w:ind w:left="10" w:firstLine="424" w:firstLineChars="193"/>
              <w:rPr>
                <w:szCs w:val="21"/>
              </w:rPr>
            </w:pPr>
            <w:r>
              <w:rPr>
                <w:rFonts w:hint="eastAsia"/>
                <w:szCs w:val="21"/>
              </w:rPr>
              <w:t>具有断电记忆功能，设备断电重启后，已保存的参数不丢失。</w:t>
            </w:r>
          </w:p>
          <w:p>
            <w:pPr>
              <w:numPr>
                <w:ilvl w:val="0"/>
                <w:numId w:val="18"/>
              </w:numPr>
              <w:autoSpaceDE/>
              <w:autoSpaceDN/>
              <w:adjustRightInd w:val="0"/>
              <w:snapToGrid w:val="0"/>
              <w:ind w:left="10" w:firstLine="424" w:firstLineChars="193"/>
              <w:rPr>
                <w:szCs w:val="21"/>
              </w:rPr>
            </w:pPr>
            <w:r>
              <w:rPr>
                <w:rFonts w:hint="eastAsia"/>
                <w:szCs w:val="21"/>
              </w:rPr>
              <w:t>具有DTMB/DVB-C接收频率、FM接收频率锁定指示（参照后面板示意图），LED指示灯为绿色，建议降低LED亮度，点亮后能分辨颜色即可，以适应长时间持续工作。</w:t>
            </w:r>
          </w:p>
          <w:p>
            <w:pPr>
              <w:numPr>
                <w:ilvl w:val="0"/>
                <w:numId w:val="18"/>
              </w:numPr>
              <w:autoSpaceDE/>
              <w:autoSpaceDN/>
              <w:adjustRightInd w:val="0"/>
              <w:snapToGrid w:val="0"/>
              <w:ind w:left="10" w:firstLine="424" w:firstLineChars="193"/>
              <w:rPr>
                <w:szCs w:val="21"/>
              </w:rPr>
            </w:pPr>
            <w:r>
              <w:rPr>
                <w:rFonts w:hint="eastAsia"/>
                <w:szCs w:val="21"/>
              </w:rPr>
              <w:t>应急广播适配器音量调节旋钮（飞梭）应用定义：接收到上级平台广播，如果为应急广播，则设备播放音量自动最大；如果为日常广播，则输出音量=旋钮所调音量×本机默认音量百分比。对于适配器本地插播，如果为应急广播，则设备播放音量自动最大；如果为日常广播，则输出音量=旋钮所调音量×本机默认音量百分比。</w:t>
            </w:r>
          </w:p>
          <w:p>
            <w:pPr>
              <w:numPr>
                <w:ilvl w:val="0"/>
                <w:numId w:val="18"/>
              </w:numPr>
              <w:autoSpaceDE/>
              <w:autoSpaceDN/>
              <w:adjustRightInd w:val="0"/>
              <w:snapToGrid w:val="0"/>
              <w:ind w:left="10" w:firstLine="424" w:firstLineChars="193"/>
              <w:rPr>
                <w:szCs w:val="21"/>
              </w:rPr>
            </w:pPr>
            <w:r>
              <w:rPr>
                <w:rFonts w:hint="eastAsia"/>
                <w:szCs w:val="21"/>
              </w:rPr>
              <w:t>前面板前面板要求有IP(TS)、DTMB、DVB-C、IP/4G、FM1、FM2上级平台当前播放通道选择LED(蓝色)指示、OLED当前播放状态同步显示。具有应急广播和日常广播两个轻触式按键，按下此两键之一即开启本地广播，再次按下此键关闭广播。其中本地应急广播可切断本地日常广播，但本地日常广播不能切断本地应急广播，需要关闭本地应急广播才能重新开启本地日常广播。</w:t>
            </w:r>
          </w:p>
          <w:p>
            <w:pPr>
              <w:adjustRightInd w:val="0"/>
              <w:snapToGrid w:val="0"/>
              <w:ind w:left="10" w:firstLine="424" w:firstLineChars="193"/>
              <w:rPr>
                <w:szCs w:val="21"/>
              </w:rPr>
            </w:pPr>
            <w:r>
              <w:rPr>
                <w:rFonts w:hint="eastAsia"/>
                <w:szCs w:val="21"/>
              </w:rPr>
              <w:t>（1）开启应急广播：按下应急按键，对应LED指示灯亮，默认选择音源为话筒，可通过面板轻触式音源选择按键切换其他音源，如下图所示。切到对应音源则对应LED指示灯亮。如果选择的音源为U盘，可以通过飞梭菜单操作键切换U盘内其他MP3文件播放。</w:t>
            </w:r>
          </w:p>
          <w:p>
            <w:pPr>
              <w:adjustRightInd w:val="0"/>
              <w:snapToGrid w:val="0"/>
              <w:ind w:left="10" w:firstLine="424" w:firstLineChars="193"/>
              <w:rPr>
                <w:szCs w:val="21"/>
              </w:rPr>
            </w:pPr>
            <w:r>
              <w:rPr>
                <w:rFonts w:hint="eastAsia"/>
                <w:szCs w:val="21"/>
              </w:rPr>
              <w:t>（2）开启日常广播：按下日常按键，对应LED指示灯亮，默认选择音源为话筒，可通过面板轻触式音源选择按键切换其他音源，如下图所示。切到对应音源则对应LED指示灯亮。如果选择的音源为U盘，可以通过飞梭菜单操作键切换U盘内其他MP3文件播放。</w:t>
            </w:r>
          </w:p>
          <w:p>
            <w:pPr>
              <w:adjustRightInd w:val="0"/>
              <w:snapToGrid w:val="0"/>
              <w:ind w:left="10" w:firstLine="424" w:firstLineChars="193"/>
              <w:rPr>
                <w:szCs w:val="21"/>
              </w:rPr>
            </w:pPr>
            <w:r>
              <w:rPr>
                <w:rFonts w:hint="eastAsia"/>
                <w:szCs w:val="21"/>
              </w:rPr>
              <w:t>（3）应急按键和日常按键应便于识别操作，采用不同颜色、大小的按键或醒目的标记来实现。</w:t>
            </w:r>
          </w:p>
          <w:p>
            <w:pPr>
              <w:adjustRightInd w:val="0"/>
              <w:snapToGrid w:val="0"/>
              <w:ind w:left="10" w:firstLine="424" w:firstLineChars="193"/>
              <w:jc w:val="both"/>
              <w:rPr>
                <w:szCs w:val="21"/>
              </w:rPr>
            </w:pPr>
            <w:r>
              <w:rPr>
                <w:rFonts w:hint="eastAsia"/>
                <w:szCs w:val="21"/>
              </w:rPr>
              <w:drawing>
                <wp:inline distT="0" distB="0" distL="0" distR="0">
                  <wp:extent cx="2397760" cy="589280"/>
                  <wp:effectExtent l="0" t="0" r="0" b="0"/>
                  <wp:docPr id="125" name="图片 109" descr="FBBBFEC48E5CB85D877C06B5D002F780"/>
                  <wp:cNvGraphicFramePr/>
                  <a:graphic xmlns:a="http://schemas.openxmlformats.org/drawingml/2006/main">
                    <a:graphicData uri="http://schemas.openxmlformats.org/drawingml/2006/picture">
                      <pic:pic xmlns:pic="http://schemas.openxmlformats.org/drawingml/2006/picture">
                        <pic:nvPicPr>
                          <pic:cNvPr id="125" name="图片 109" descr="FBBBFEC48E5CB85D877C06B5D002F780"/>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397760" cy="589280"/>
                          </a:xfrm>
                          <a:prstGeom prst="rect">
                            <a:avLst/>
                          </a:prstGeom>
                          <a:noFill/>
                          <a:ln>
                            <a:noFill/>
                          </a:ln>
                        </pic:spPr>
                      </pic:pic>
                    </a:graphicData>
                  </a:graphic>
                </wp:inline>
              </w:drawing>
            </w:r>
          </w:p>
          <w:p>
            <w:pPr>
              <w:adjustRightInd w:val="0"/>
              <w:snapToGrid w:val="0"/>
              <w:ind w:left="10" w:firstLine="424" w:firstLineChars="193"/>
              <w:jc w:val="both"/>
              <w:rPr>
                <w:szCs w:val="21"/>
              </w:rPr>
            </w:pPr>
            <w:r>
              <w:rPr>
                <w:rFonts w:hint="eastAsia"/>
                <w:szCs w:val="21"/>
              </w:rPr>
              <w:t>应急广播适配器前面板示意图</w:t>
            </w:r>
          </w:p>
          <w:p>
            <w:pPr>
              <w:adjustRightInd w:val="0"/>
              <w:snapToGrid w:val="0"/>
              <w:ind w:left="10" w:firstLine="424" w:firstLineChars="193"/>
              <w:jc w:val="both"/>
              <w:rPr>
                <w:szCs w:val="21"/>
              </w:rPr>
            </w:pPr>
            <w:r>
              <w:rPr>
                <w:rFonts w:hint="eastAsia"/>
                <w:szCs w:val="21"/>
              </w:rPr>
              <w:object>
                <v:shape id="_x0000_i1027" o:spt="75" type="#_x0000_t75" style="height:46.8pt;width:190.8pt;" o:ole="t" filled="f" o:preferrelative="t" stroked="f" coordsize="21600,21600">
                  <v:path/>
                  <v:fill on="f" focussize="0,0"/>
                  <v:stroke on="f"/>
                  <v:imagedata r:id="rId21" o:title=""/>
                  <o:lock v:ext="edit" aspectratio="t"/>
                  <w10:wrap type="none"/>
                  <w10:anchorlock/>
                </v:shape>
                <o:OLEObject Type="Embed" ProgID="Visio.Drawing.11" ShapeID="_x0000_i1027" DrawAspect="Content" ObjectID="_1468075727" r:id="rId29">
                  <o:LockedField>false</o:LockedField>
                </o:OLEObject>
              </w:object>
            </w:r>
          </w:p>
          <w:p>
            <w:pPr>
              <w:adjustRightInd w:val="0"/>
              <w:snapToGrid w:val="0"/>
              <w:ind w:left="10" w:firstLine="424" w:firstLineChars="193"/>
              <w:jc w:val="both"/>
              <w:rPr>
                <w:szCs w:val="21"/>
              </w:rPr>
            </w:pPr>
            <w:r>
              <w:rPr>
                <w:rFonts w:hint="eastAsia"/>
                <w:szCs w:val="21"/>
              </w:rPr>
              <w:t>应急广播适配器后面板示意图</w:t>
            </w:r>
          </w:p>
          <w:p>
            <w:pPr>
              <w:numPr>
                <w:ilvl w:val="0"/>
                <w:numId w:val="18"/>
              </w:numPr>
              <w:autoSpaceDE/>
              <w:autoSpaceDN/>
              <w:adjustRightInd w:val="0"/>
              <w:snapToGrid w:val="0"/>
              <w:ind w:left="10" w:firstLine="424" w:firstLineChars="193"/>
              <w:rPr>
                <w:szCs w:val="21"/>
              </w:rPr>
            </w:pPr>
            <w:r>
              <w:rPr>
                <w:rFonts w:hint="eastAsia"/>
                <w:szCs w:val="21"/>
              </w:rPr>
              <w:t>采用液晶屏显示菜单，要求液晶显示屏至少能显示4行中文字符、3吋以上。长时间不操作屏幕会关掉背光，操作即开。长时间不操作菜单长会自动返回主界面，时间长度可设置。采用飞梭操作按钮，操作设备菜单，操作键具有选择，设置，调整三个功能，按下该键表示选择，按下情况下，所选择项进入反显状态，则表示该项已经进入了编辑状态，左右旋转可以改变该项的值。设置或调整数值完成后选择“确定”并按下，可保存并退出。</w:t>
            </w:r>
          </w:p>
          <w:p>
            <w:pPr>
              <w:numPr>
                <w:ilvl w:val="0"/>
                <w:numId w:val="18"/>
              </w:numPr>
              <w:autoSpaceDE/>
              <w:autoSpaceDN/>
              <w:adjustRightInd w:val="0"/>
              <w:snapToGrid w:val="0"/>
              <w:ind w:left="10" w:firstLine="424" w:firstLineChars="193"/>
              <w:rPr>
                <w:szCs w:val="21"/>
              </w:rPr>
            </w:pPr>
            <w:r>
              <w:rPr>
                <w:rFonts w:hint="eastAsia"/>
                <w:szCs w:val="21"/>
              </w:rPr>
              <w:t>应急广播适配器OLED显示屏顶端左上角：应有IP（TS）组播接收指示图标，当接收到指定IP地址的组播时（如县级平台组播：239.12.12.12:1212，要求可由用户配置）则显示该图标，未接收到则不显示。应有专网IP网管通道连接正常指示，当应急广播适配器通过有线专网网管通道往县级平台发送主动报文，并收到县级平台回复的应答包时，表示连接正常，则显示该图标，未收到应答包则不显示该图标。应有IP/4G当前在播状态指示，当通过该方式广播时显示该图标，广播结束则不显示该图标。应有4G移动通信网络信号强度指示图标。</w:t>
            </w:r>
          </w:p>
          <w:p>
            <w:pPr>
              <w:numPr>
                <w:ilvl w:val="0"/>
                <w:numId w:val="18"/>
              </w:numPr>
              <w:autoSpaceDE/>
              <w:autoSpaceDN/>
              <w:adjustRightInd w:val="0"/>
              <w:snapToGrid w:val="0"/>
              <w:ind w:left="10" w:firstLine="424" w:firstLineChars="193"/>
              <w:rPr>
                <w:szCs w:val="21"/>
              </w:rPr>
            </w:pPr>
            <w:r>
              <w:rPr>
                <w:rFonts w:hint="eastAsia"/>
                <w:szCs w:val="21"/>
              </w:rPr>
              <w:t>应分别有IP、4G当前在播状态指示，当通过该方式广播时显示该图标，广播结束则不显示该图标。应有4G移动通信网络信号强度指示图标。</w:t>
            </w:r>
          </w:p>
          <w:p>
            <w:pPr>
              <w:numPr>
                <w:ilvl w:val="0"/>
                <w:numId w:val="18"/>
              </w:numPr>
              <w:autoSpaceDE/>
              <w:autoSpaceDN/>
              <w:adjustRightInd w:val="0"/>
              <w:snapToGrid w:val="0"/>
              <w:ind w:left="10" w:firstLine="424" w:firstLineChars="193"/>
              <w:rPr>
                <w:szCs w:val="21"/>
              </w:rPr>
            </w:pPr>
            <w:r>
              <w:rPr>
                <w:rFonts w:hint="eastAsia"/>
                <w:szCs w:val="21"/>
              </w:rPr>
              <w:t>应急广播适配器本地插播，音源切换到U盘时，配套的触控显示器和应急广播适配器OLED屏能在主页面自动显示音频播放列表，并默认选择当前播放列表第一个音频文件播放，可由用户使用配套的触控显示器和应急广播适配器前面板飞梭操作键选择列表内其他音频文件播放。</w:t>
            </w:r>
          </w:p>
          <w:p>
            <w:pPr>
              <w:numPr>
                <w:ilvl w:val="0"/>
                <w:numId w:val="18"/>
              </w:numPr>
              <w:autoSpaceDE/>
              <w:autoSpaceDN/>
              <w:adjustRightInd w:val="0"/>
              <w:snapToGrid w:val="0"/>
              <w:ind w:left="10" w:firstLine="424" w:firstLineChars="193"/>
              <w:rPr>
                <w:szCs w:val="21"/>
              </w:rPr>
            </w:pPr>
            <w:r>
              <w:rPr>
                <w:rFonts w:hint="eastAsia"/>
                <w:szCs w:val="21"/>
              </w:rPr>
              <w:t>应急广播适配器配套的U盘，音频文件应放置在根目录，且适配器能在本地插播时根据用户选择直接读取该U盘所存储的音频文件并播放，不可采用U盘根目录建特定文件夹专门存放音频文件的方式。</w:t>
            </w:r>
          </w:p>
          <w:p>
            <w:pPr>
              <w:numPr>
                <w:ilvl w:val="0"/>
                <w:numId w:val="18"/>
              </w:numPr>
              <w:autoSpaceDE/>
              <w:autoSpaceDN/>
              <w:adjustRightInd w:val="0"/>
              <w:snapToGrid w:val="0"/>
              <w:ind w:left="10" w:firstLine="424" w:firstLineChars="193"/>
              <w:rPr>
                <w:szCs w:val="21"/>
              </w:rPr>
            </w:pPr>
            <w:r>
              <w:rPr>
                <w:rFonts w:hint="eastAsia"/>
                <w:szCs w:val="21"/>
              </w:rPr>
              <w:t>具有U盘存储的MP3格式音频文件播放功能,开本级应急广播和日常广播时启用。能显示U盘存储的MP3文件列表，当前所选MP3文件反显。通过飞梭菜单操作键左旋或右旋选择MP3音频文件播出,默认自动播出文件列表第一个音频。</w:t>
            </w:r>
          </w:p>
          <w:p>
            <w:pPr>
              <w:numPr>
                <w:ilvl w:val="0"/>
                <w:numId w:val="18"/>
              </w:numPr>
              <w:autoSpaceDE/>
              <w:autoSpaceDN/>
              <w:adjustRightInd w:val="0"/>
              <w:snapToGrid w:val="0"/>
              <w:ind w:left="10" w:firstLine="424" w:firstLineChars="193"/>
              <w:rPr>
                <w:szCs w:val="21"/>
              </w:rPr>
            </w:pPr>
            <w:r>
              <w:rPr>
                <w:rFonts w:hint="eastAsia"/>
                <w:szCs w:val="21"/>
              </w:rPr>
              <w:t>具有6.35mm接口规格动圈话筒、内置话筒输入，应急广播适配器做好输入匹配。内置话筒位于前面板右下方，面板上该话筒位置处开有“*”型多个小孔，便于用户对其喊话。动圈话筒接口要求位于前面板右下方、内置话筒旁边。两个话筒在喊话音量均相同的情况下，要求输出音量趋于一致，相差不可太大。</w:t>
            </w:r>
          </w:p>
          <w:p>
            <w:pPr>
              <w:numPr>
                <w:ilvl w:val="0"/>
                <w:numId w:val="18"/>
              </w:numPr>
              <w:autoSpaceDE/>
              <w:autoSpaceDN/>
              <w:adjustRightInd w:val="0"/>
              <w:snapToGrid w:val="0"/>
              <w:ind w:left="10" w:firstLine="424" w:firstLineChars="193"/>
              <w:rPr>
                <w:szCs w:val="21"/>
              </w:rPr>
            </w:pPr>
            <w:r>
              <w:rPr>
                <w:rFonts w:hint="eastAsia"/>
                <w:szCs w:val="21"/>
              </w:rPr>
              <w:t>两个话筒工作逻辑为：插入6.35mm接口规格动圈话筒，内置话筒失效；拔出6.35mm接口规格动圈话筒，内置话筒生效。内置话筒生效的同时要求内置监听扬声器喇叭自动关闭，防止自激产生啸叫声。</w:t>
            </w:r>
          </w:p>
          <w:p>
            <w:pPr>
              <w:numPr>
                <w:ilvl w:val="0"/>
                <w:numId w:val="18"/>
              </w:numPr>
              <w:autoSpaceDE/>
              <w:autoSpaceDN/>
              <w:adjustRightInd w:val="0"/>
              <w:snapToGrid w:val="0"/>
              <w:ind w:left="10" w:firstLine="424" w:firstLineChars="193"/>
              <w:rPr>
                <w:szCs w:val="21"/>
              </w:rPr>
            </w:pPr>
            <w:r>
              <w:rPr>
                <w:rFonts w:hint="eastAsia"/>
                <w:szCs w:val="21"/>
              </w:rPr>
              <w:t>具有高保真降噪监控专用拾音器接口，接口为EDG-5.08-3P绿色弯脚插拔式接线端子（引脚间距5.08mm），三个引脚分别为1-+12V电源、2-音频信号、3-公共地；接线方式为“红—+12V，兰—信号，黄—地”，采用3芯RVV电缆，单根线芯要求为99.99%纯无氧铜，单根线芯截面积不小于1.5。</w:t>
            </w:r>
          </w:p>
          <w:p>
            <w:pPr>
              <w:adjustRightInd w:val="0"/>
              <w:snapToGrid w:val="0"/>
              <w:ind w:left="10" w:firstLine="424" w:firstLineChars="193"/>
              <w:rPr>
                <w:szCs w:val="21"/>
              </w:rPr>
            </w:pPr>
            <w:r>
              <w:rPr>
                <w:rFonts w:hint="eastAsia"/>
                <w:szCs w:val="21"/>
              </w:rPr>
              <w:t>可采集终端应急广播现场发布的声音并以单个文件MP3格式录制存储。当应急广播适配器播出上级播发的应急广播和日常广播时开始录制，其余时间不录制。</w:t>
            </w:r>
          </w:p>
          <w:p>
            <w:pPr>
              <w:adjustRightInd w:val="0"/>
              <w:snapToGrid w:val="0"/>
              <w:ind w:left="10" w:firstLine="424" w:firstLineChars="193"/>
              <w:rPr>
                <w:szCs w:val="21"/>
              </w:rPr>
            </w:pPr>
            <w:r>
              <w:rPr>
                <w:rFonts w:hint="eastAsia"/>
                <w:szCs w:val="21"/>
              </w:rPr>
              <w:t>文件名为：S+开始录音日期时间+该设备资源编码（9字节BCD码）。可采用有线IP和移动通信网络根据上级指令选择是否回传至上级平台。</w:t>
            </w:r>
          </w:p>
          <w:p>
            <w:pPr>
              <w:numPr>
                <w:ilvl w:val="0"/>
                <w:numId w:val="18"/>
              </w:numPr>
              <w:autoSpaceDE/>
              <w:autoSpaceDN/>
              <w:adjustRightInd w:val="0"/>
              <w:snapToGrid w:val="0"/>
              <w:ind w:left="10" w:firstLine="424" w:firstLineChars="193"/>
              <w:rPr>
                <w:szCs w:val="21"/>
              </w:rPr>
            </w:pPr>
            <w:r>
              <w:rPr>
                <w:rFonts w:hint="eastAsia"/>
                <w:szCs w:val="21"/>
              </w:rPr>
              <w:t>内置TF卡或U盘，存储本地广播音频和拾音器音频，循环存储，支持可存储容量为16G以上，可通过设备前面板USB接口将该卡存储的录音文件直接复制到U盘（或通过IP数据口2，利用WEB网管能读取并下载内置TF卡内MP3文件）。该TF卡或U盘置于设备内部PCB板上，如不打开设备机箱则不能取出。</w:t>
            </w:r>
          </w:p>
          <w:p>
            <w:pPr>
              <w:numPr>
                <w:ilvl w:val="0"/>
                <w:numId w:val="18"/>
              </w:numPr>
              <w:autoSpaceDE/>
              <w:autoSpaceDN/>
              <w:adjustRightInd w:val="0"/>
              <w:snapToGrid w:val="0"/>
              <w:ind w:left="10" w:firstLine="424" w:firstLineChars="193"/>
              <w:rPr>
                <w:szCs w:val="21"/>
              </w:rPr>
            </w:pPr>
            <w:r>
              <w:rPr>
                <w:rFonts w:hint="eastAsia"/>
                <w:szCs w:val="21"/>
              </w:rPr>
              <w:t>具有本地播出应急、日常音频录音功能，每次录音以单个MP3文件格式存储于TF卡，文件名为：B+开始录音日期时间+该设备资源编码（9字节BCD码），可采用有线IP和移动通信网络方式根据上级指令选择是否回传至上级平台。</w:t>
            </w:r>
          </w:p>
          <w:p>
            <w:pPr>
              <w:adjustRightInd w:val="0"/>
              <w:snapToGrid w:val="0"/>
              <w:ind w:left="10" w:firstLine="424" w:firstLineChars="193"/>
              <w:rPr>
                <w:szCs w:val="21"/>
              </w:rPr>
            </w:pPr>
            <w:r>
              <w:rPr>
                <w:rFonts w:hint="eastAsia"/>
                <w:szCs w:val="21"/>
              </w:rPr>
              <w:t xml:space="preserve">    （六）接口和配件要求</w:t>
            </w:r>
          </w:p>
          <w:p>
            <w:pPr>
              <w:numPr>
                <w:ilvl w:val="0"/>
                <w:numId w:val="19"/>
              </w:numPr>
              <w:autoSpaceDE/>
              <w:autoSpaceDN/>
              <w:adjustRightInd w:val="0"/>
              <w:snapToGrid w:val="0"/>
              <w:ind w:left="10" w:firstLine="424" w:firstLineChars="193"/>
              <w:rPr>
                <w:szCs w:val="21"/>
              </w:rPr>
            </w:pPr>
            <w:r>
              <w:rPr>
                <w:rFonts w:hint="eastAsia"/>
                <w:szCs w:val="21"/>
              </w:rPr>
              <w:t>具有两组立体声非平衡模拟音频线路输入，接口为RCA莲花母座。一组为直播卫星接收机输出音频，另一组为DVD播放机等具有模拟音频输出设备输出的音频。</w:t>
            </w:r>
          </w:p>
          <w:p>
            <w:pPr>
              <w:numPr>
                <w:ilvl w:val="0"/>
                <w:numId w:val="19"/>
              </w:numPr>
              <w:autoSpaceDE/>
              <w:autoSpaceDN/>
              <w:adjustRightInd w:val="0"/>
              <w:snapToGrid w:val="0"/>
              <w:ind w:left="10" w:firstLine="424" w:firstLineChars="193"/>
              <w:rPr>
                <w:szCs w:val="21"/>
              </w:rPr>
            </w:pPr>
            <w:r>
              <w:rPr>
                <w:rFonts w:hint="eastAsia"/>
                <w:szCs w:val="21"/>
              </w:rPr>
              <w:t>具有一组立体声平衡模拟音频线路输出，XLR卡侬公座；一组立体声非平衡模拟音频线路输出，RCA莲花母座。</w:t>
            </w:r>
          </w:p>
          <w:p>
            <w:pPr>
              <w:numPr>
                <w:ilvl w:val="0"/>
                <w:numId w:val="19"/>
              </w:numPr>
              <w:autoSpaceDE/>
              <w:autoSpaceDN/>
              <w:adjustRightInd w:val="0"/>
              <w:snapToGrid w:val="0"/>
              <w:ind w:left="10" w:firstLine="424" w:firstLineChars="193"/>
              <w:rPr>
                <w:szCs w:val="21"/>
              </w:rPr>
            </w:pPr>
            <w:r>
              <w:rPr>
                <w:rFonts w:hint="eastAsia"/>
                <w:szCs w:val="21"/>
              </w:rPr>
              <w:t>具有额定有效值功率为100W的音频功放定阻输出。总共4个标准音频接线柱，分两组，每组50W，输出阻抗4Ω～8Ω。采用2芯RVV电缆，单根线芯要求为99.99%纯无氧铜，单根线芯截面积不小于1.5。音频功放的输入音频和设备总输出的模拟音频一致。</w:t>
            </w:r>
          </w:p>
          <w:p>
            <w:pPr>
              <w:numPr>
                <w:ilvl w:val="0"/>
                <w:numId w:val="19"/>
              </w:numPr>
              <w:autoSpaceDE/>
              <w:autoSpaceDN/>
              <w:adjustRightInd w:val="0"/>
              <w:snapToGrid w:val="0"/>
              <w:ind w:left="10" w:firstLine="424" w:firstLineChars="193"/>
              <w:rPr>
                <w:szCs w:val="21"/>
              </w:rPr>
            </w:pPr>
            <w:r>
              <w:rPr>
                <w:rFonts w:hint="eastAsia"/>
                <w:szCs w:val="21"/>
              </w:rPr>
              <w:t>内置监听扬声器，额定功率2W或以上，可调节监听音量。采用微型不锈钢带灯指示自锁开关，位于前面板，监听可开可关。</w:t>
            </w:r>
          </w:p>
          <w:p>
            <w:pPr>
              <w:adjustRightInd w:val="0"/>
              <w:snapToGrid w:val="0"/>
              <w:ind w:left="10" w:firstLine="424" w:firstLineChars="193"/>
              <w:rPr>
                <w:szCs w:val="21"/>
              </w:rPr>
            </w:pPr>
            <w:r>
              <w:rPr>
                <w:rFonts w:hint="eastAsia"/>
                <w:szCs w:val="21"/>
              </w:rPr>
              <w:t>参考样式：</w:t>
            </w:r>
            <w:r>
              <w:rPr>
                <w:rFonts w:hint="eastAsia"/>
                <w:szCs w:val="21"/>
              </w:rPr>
              <w:object>
                <v:shape id="_x0000_i1028" o:spt="75" type="#_x0000_t75" style="height:46.8pt;width:45pt;" o:ole="t" filled="f" o:preferrelative="t" stroked="f" coordsize="21600,21600">
                  <v:path/>
                  <v:fill on="f" focussize="0,0"/>
                  <v:stroke on="f"/>
                  <v:imagedata r:id="rId23" o:title=""/>
                  <o:lock v:ext="edit" aspectratio="t"/>
                  <w10:wrap type="none"/>
                  <w10:anchorlock/>
                </v:shape>
                <o:OLEObject Type="Embed" ProgID="Visio.Drawing.11" ShapeID="_x0000_i1028" DrawAspect="Content" ObjectID="_1468075728" r:id="rId30">
                  <o:LockedField>false</o:LockedField>
                </o:OLEObject>
              </w:object>
            </w:r>
          </w:p>
          <w:p>
            <w:pPr>
              <w:numPr>
                <w:ilvl w:val="0"/>
                <w:numId w:val="19"/>
              </w:numPr>
              <w:autoSpaceDE/>
              <w:autoSpaceDN/>
              <w:adjustRightInd w:val="0"/>
              <w:snapToGrid w:val="0"/>
              <w:ind w:left="10" w:firstLine="424" w:firstLineChars="193"/>
              <w:rPr>
                <w:szCs w:val="21"/>
              </w:rPr>
            </w:pPr>
            <w:r>
              <w:rPr>
                <w:rFonts w:hint="eastAsia"/>
                <w:szCs w:val="21"/>
              </w:rPr>
              <w:t>具有一个220V/10A受控电源输出，当有应急广播或日常广播（包括定时广播）时输出自动开启。</w:t>
            </w:r>
          </w:p>
          <w:p>
            <w:pPr>
              <w:numPr>
                <w:ilvl w:val="0"/>
                <w:numId w:val="19"/>
              </w:numPr>
              <w:autoSpaceDE/>
              <w:autoSpaceDN/>
              <w:adjustRightInd w:val="0"/>
              <w:snapToGrid w:val="0"/>
              <w:ind w:left="10" w:firstLine="424" w:firstLineChars="193"/>
              <w:rPr>
                <w:szCs w:val="21"/>
              </w:rPr>
            </w:pPr>
            <w:r>
              <w:rPr>
                <w:rFonts w:hint="eastAsia"/>
                <w:szCs w:val="21"/>
              </w:rPr>
              <w:t>具有57KHz调频副载波（RDS）输出，BNC接头，输出幅度连续可调。或采用RS232输出（如采用此种方式则要求调频广播发射机支持RDS编码数据采用RS232输入），DB9公座。</w:t>
            </w:r>
          </w:p>
          <w:p>
            <w:pPr>
              <w:numPr>
                <w:ilvl w:val="0"/>
                <w:numId w:val="19"/>
              </w:numPr>
              <w:autoSpaceDE/>
              <w:autoSpaceDN/>
              <w:adjustRightInd w:val="0"/>
              <w:snapToGrid w:val="0"/>
              <w:ind w:left="10" w:firstLine="424" w:firstLineChars="193"/>
              <w:rPr>
                <w:szCs w:val="21"/>
              </w:rPr>
            </w:pPr>
            <w:r>
              <w:rPr>
                <w:rFonts w:hint="eastAsia"/>
                <w:szCs w:val="21"/>
              </w:rPr>
              <w:t>具有2个RS232串口。一个为DB9母座，用于设备控制程序升级、可扩展LED大屏图文显示；另一个为DB9公座，用于RDS编码数据输出和接收调频广播发射机状态数据。</w:t>
            </w:r>
          </w:p>
          <w:p>
            <w:pPr>
              <w:numPr>
                <w:ilvl w:val="0"/>
                <w:numId w:val="19"/>
              </w:numPr>
              <w:autoSpaceDE/>
              <w:autoSpaceDN/>
              <w:adjustRightInd w:val="0"/>
              <w:snapToGrid w:val="0"/>
              <w:ind w:left="10" w:firstLine="424" w:firstLineChars="193"/>
              <w:rPr>
                <w:szCs w:val="21"/>
              </w:rPr>
            </w:pPr>
            <w:r>
              <w:rPr>
                <w:rFonts w:hint="eastAsia"/>
                <w:szCs w:val="21"/>
              </w:rPr>
              <w:t>后面板具有1个HDMI音视频输出接口和一个USB接口，用于连接触控显示器，操作/显示应急广播信息播发和控制/显示DTMB信号。</w:t>
            </w:r>
          </w:p>
          <w:p>
            <w:pPr>
              <w:numPr>
                <w:ilvl w:val="0"/>
                <w:numId w:val="19"/>
              </w:numPr>
              <w:autoSpaceDE/>
              <w:autoSpaceDN/>
              <w:adjustRightInd w:val="0"/>
              <w:snapToGrid w:val="0"/>
              <w:ind w:left="10" w:firstLine="424" w:firstLineChars="193"/>
              <w:rPr>
                <w:szCs w:val="21"/>
              </w:rPr>
            </w:pPr>
            <w:r>
              <w:rPr>
                <w:rFonts w:hint="eastAsia"/>
                <w:szCs w:val="21"/>
              </w:rPr>
              <w:t>FM接收输入通道设计为一个F头，共用FM接收天线。</w:t>
            </w:r>
          </w:p>
          <w:p>
            <w:pPr>
              <w:numPr>
                <w:ilvl w:val="0"/>
                <w:numId w:val="19"/>
              </w:numPr>
              <w:autoSpaceDE/>
              <w:autoSpaceDN/>
              <w:adjustRightInd w:val="0"/>
              <w:snapToGrid w:val="0"/>
              <w:ind w:left="10" w:firstLine="424" w:firstLineChars="193"/>
              <w:rPr>
                <w:szCs w:val="21"/>
              </w:rPr>
            </w:pPr>
            <w:r>
              <w:rPr>
                <w:rFonts w:hint="eastAsia"/>
                <w:szCs w:val="21"/>
              </w:rPr>
              <w:t>两个FM接收模块同时接收。均可接收RDS数据。</w:t>
            </w:r>
          </w:p>
          <w:p>
            <w:pPr>
              <w:numPr>
                <w:ilvl w:val="0"/>
                <w:numId w:val="19"/>
              </w:numPr>
              <w:autoSpaceDE/>
              <w:autoSpaceDN/>
              <w:adjustRightInd w:val="0"/>
              <w:snapToGrid w:val="0"/>
              <w:ind w:left="10" w:firstLine="424" w:firstLineChars="193"/>
              <w:rPr>
                <w:szCs w:val="21"/>
              </w:rPr>
            </w:pPr>
            <w:r>
              <w:rPr>
                <w:rFonts w:hint="eastAsia"/>
                <w:szCs w:val="21"/>
              </w:rPr>
              <w:t>具有两个RJ45网口。</w:t>
            </w:r>
          </w:p>
          <w:p>
            <w:pPr>
              <w:adjustRightInd w:val="0"/>
              <w:snapToGrid w:val="0"/>
              <w:ind w:left="10" w:firstLine="424" w:firstLineChars="193"/>
              <w:rPr>
                <w:szCs w:val="21"/>
              </w:rPr>
            </w:pPr>
            <w:r>
              <w:rPr>
                <w:rFonts w:hint="eastAsia"/>
                <w:szCs w:val="21"/>
              </w:rPr>
              <w:t xml:space="preserve">  网口1：10/100Mbps自适应，IP(TS)信源输入、输出口，可同时接收至少2个或2个以上组播，接收、发送组播IP地址及端口号可本地和远程设置。</w:t>
            </w:r>
          </w:p>
          <w:p>
            <w:pPr>
              <w:adjustRightInd w:val="0"/>
              <w:snapToGrid w:val="0"/>
              <w:ind w:left="10" w:firstLine="424" w:firstLineChars="193"/>
              <w:rPr>
                <w:szCs w:val="21"/>
              </w:rPr>
            </w:pPr>
            <w:r>
              <w:rPr>
                <w:rFonts w:hint="eastAsia"/>
                <w:szCs w:val="21"/>
              </w:rPr>
              <w:t xml:space="preserve">  网口2：10/100Mbps自适应，作为IP广播、WEB网管、数据回传，对本机详细的参数进行设置、状态查看。回传IP地址及端口号可本地和远程设置，共有四组设置项，分别对应移动通信网络回传方式两组和有线IP回传方式两组，选择任意一种回传方式均可往两个不同的IP地址发送数据。</w:t>
            </w:r>
          </w:p>
          <w:p>
            <w:pPr>
              <w:numPr>
                <w:ilvl w:val="0"/>
                <w:numId w:val="19"/>
              </w:numPr>
              <w:autoSpaceDE/>
              <w:autoSpaceDN/>
              <w:adjustRightInd w:val="0"/>
              <w:snapToGrid w:val="0"/>
              <w:ind w:left="10" w:firstLine="424" w:firstLineChars="193"/>
              <w:rPr>
                <w:szCs w:val="21"/>
              </w:rPr>
            </w:pPr>
            <w:r>
              <w:rPr>
                <w:rFonts w:hint="eastAsia"/>
                <w:szCs w:val="21"/>
              </w:rPr>
              <w:t>采用高性能开关电源，效率≥87%，具有短路、过温、过流、过压保护功能，出现保护时关断输出电压，重启时恢复。</w:t>
            </w:r>
          </w:p>
          <w:p>
            <w:pPr>
              <w:numPr>
                <w:ilvl w:val="0"/>
                <w:numId w:val="19"/>
              </w:numPr>
              <w:autoSpaceDE/>
              <w:autoSpaceDN/>
              <w:adjustRightInd w:val="0"/>
              <w:snapToGrid w:val="0"/>
              <w:ind w:left="10" w:firstLine="424" w:firstLineChars="193"/>
              <w:rPr>
                <w:szCs w:val="21"/>
              </w:rPr>
            </w:pPr>
            <w:r>
              <w:rPr>
                <w:rFonts w:hint="eastAsia"/>
                <w:szCs w:val="21"/>
              </w:rPr>
              <w:t>设备各个模块要求均采用+24V电压供电，除了开关电源要求具有+24V电压输出外，要求设备后面板具有+24V电源电压输入接口，接口为EDG-5.08-2P绿色弯脚插拔式接线端子（引脚间距5.08mm）两个引脚分别为1-+24V电源、2-公共地；当没有外电或开关电源损坏时，可采用+24V备用电池组给整个设备供电。</w:t>
            </w:r>
          </w:p>
          <w:p>
            <w:pPr>
              <w:numPr>
                <w:ilvl w:val="0"/>
                <w:numId w:val="19"/>
              </w:numPr>
              <w:autoSpaceDE/>
              <w:autoSpaceDN/>
              <w:adjustRightInd w:val="0"/>
              <w:snapToGrid w:val="0"/>
              <w:ind w:left="10" w:firstLine="424" w:firstLineChars="193"/>
              <w:rPr>
                <w:szCs w:val="21"/>
              </w:rPr>
            </w:pPr>
            <w:r>
              <w:rPr>
                <w:rFonts w:hint="eastAsia"/>
                <w:szCs w:val="21"/>
              </w:rPr>
              <w:t>设备总电源采用船型开关，置于后面板。电源输入具有防雷设计，具有防浪涌电源滤波器，采用自带保险管（1主1备）电源接口，如下图所示。</w:t>
            </w:r>
          </w:p>
          <w:p>
            <w:pPr>
              <w:adjustRightInd w:val="0"/>
              <w:snapToGrid w:val="0"/>
              <w:ind w:left="10" w:firstLine="424" w:firstLineChars="193"/>
              <w:jc w:val="center"/>
              <w:rPr>
                <w:szCs w:val="21"/>
              </w:rPr>
            </w:pPr>
            <w:r>
              <w:rPr>
                <w:rFonts w:hint="eastAsia"/>
                <w:szCs w:val="21"/>
              </w:rPr>
              <w:drawing>
                <wp:inline distT="0" distB="0" distL="0" distR="0">
                  <wp:extent cx="1137920" cy="833120"/>
                  <wp:effectExtent l="0" t="0" r="0" b="0"/>
                  <wp:docPr id="192" name="图片 108" descr="图片1"/>
                  <wp:cNvGraphicFramePr/>
                  <a:graphic xmlns:a="http://schemas.openxmlformats.org/drawingml/2006/main">
                    <a:graphicData uri="http://schemas.openxmlformats.org/drawingml/2006/picture">
                      <pic:pic xmlns:pic="http://schemas.openxmlformats.org/drawingml/2006/picture">
                        <pic:nvPicPr>
                          <pic:cNvPr id="192" name="图片 108" descr="图片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137920" cy="833120"/>
                          </a:xfrm>
                          <a:prstGeom prst="rect">
                            <a:avLst/>
                          </a:prstGeom>
                          <a:noFill/>
                          <a:ln>
                            <a:noFill/>
                          </a:ln>
                        </pic:spPr>
                      </pic:pic>
                    </a:graphicData>
                  </a:graphic>
                </wp:inline>
              </w:drawing>
            </w:r>
          </w:p>
          <w:p>
            <w:pPr>
              <w:adjustRightInd w:val="0"/>
              <w:snapToGrid w:val="0"/>
              <w:ind w:left="10" w:firstLine="424" w:firstLineChars="193"/>
              <w:jc w:val="center"/>
              <w:rPr>
                <w:szCs w:val="21"/>
              </w:rPr>
            </w:pPr>
            <w:r>
              <w:rPr>
                <w:rFonts w:hint="eastAsia"/>
                <w:szCs w:val="21"/>
              </w:rPr>
              <w:t>防浪涌电源滤波器示意图</w:t>
            </w:r>
          </w:p>
          <w:p>
            <w:pPr>
              <w:numPr>
                <w:ilvl w:val="0"/>
                <w:numId w:val="19"/>
              </w:numPr>
              <w:autoSpaceDE/>
              <w:autoSpaceDN/>
              <w:adjustRightInd w:val="0"/>
              <w:snapToGrid w:val="0"/>
              <w:ind w:left="10" w:firstLine="424" w:firstLineChars="193"/>
              <w:rPr>
                <w:szCs w:val="21"/>
              </w:rPr>
            </w:pPr>
            <w:r>
              <w:rPr>
                <w:rFonts w:hint="eastAsia"/>
                <w:szCs w:val="21"/>
              </w:rPr>
              <w:t>采用三芯电源线，线芯要求为99.99%纯无氧铜，单根线芯截面积不小于1.5。输入火线与零线间并联一个20D561K规格的压敏电阻。</w:t>
            </w:r>
          </w:p>
          <w:p>
            <w:pPr>
              <w:numPr>
                <w:ilvl w:val="0"/>
                <w:numId w:val="19"/>
              </w:numPr>
              <w:autoSpaceDE/>
              <w:autoSpaceDN/>
              <w:adjustRightInd w:val="0"/>
              <w:snapToGrid w:val="0"/>
              <w:ind w:left="10" w:firstLine="424" w:firstLineChars="193"/>
              <w:rPr>
                <w:szCs w:val="21"/>
              </w:rPr>
            </w:pPr>
            <w:r>
              <w:rPr>
                <w:rFonts w:hint="eastAsia"/>
                <w:szCs w:val="21"/>
              </w:rPr>
              <w:t>设备具有接地端子，要求设备可靠接地。</w:t>
            </w:r>
          </w:p>
          <w:p>
            <w:pPr>
              <w:numPr>
                <w:ilvl w:val="0"/>
                <w:numId w:val="19"/>
              </w:numPr>
              <w:autoSpaceDE/>
              <w:autoSpaceDN/>
              <w:adjustRightInd w:val="0"/>
              <w:snapToGrid w:val="0"/>
              <w:ind w:left="10" w:firstLine="424" w:firstLineChars="193"/>
              <w:rPr>
                <w:szCs w:val="21"/>
              </w:rPr>
            </w:pPr>
            <w:r>
              <w:rPr>
                <w:rFonts w:hint="eastAsia"/>
                <w:szCs w:val="21"/>
              </w:rPr>
              <w:t>设备内部所有PCB电路板要求喷三防漆，射频接口均须考虑防雷性能，接插件要求用硅橡胶固定。</w:t>
            </w:r>
          </w:p>
          <w:p>
            <w:pPr>
              <w:numPr>
                <w:ilvl w:val="0"/>
                <w:numId w:val="19"/>
              </w:numPr>
              <w:autoSpaceDE/>
              <w:autoSpaceDN/>
              <w:adjustRightInd w:val="0"/>
              <w:snapToGrid w:val="0"/>
              <w:ind w:left="10" w:firstLine="424" w:firstLineChars="193"/>
              <w:rPr>
                <w:szCs w:val="21"/>
              </w:rPr>
            </w:pPr>
            <w:r>
              <w:rPr>
                <w:rFonts w:hint="eastAsia"/>
                <w:szCs w:val="21"/>
              </w:rPr>
              <w:t>标准19寸2U机架式全铝合金机箱，喷粉防腐设计，深度不超过50cm。颜色为国标色号73-B03，如机箱部分为不锈钢材料则不锈钢部分不用喷粉。</w:t>
            </w:r>
          </w:p>
          <w:p>
            <w:pPr>
              <w:numPr>
                <w:ilvl w:val="0"/>
                <w:numId w:val="19"/>
              </w:numPr>
              <w:autoSpaceDE/>
              <w:autoSpaceDN/>
              <w:adjustRightInd w:val="0"/>
              <w:snapToGrid w:val="0"/>
              <w:ind w:left="10" w:firstLine="424" w:firstLineChars="193"/>
              <w:rPr>
                <w:szCs w:val="21"/>
              </w:rPr>
            </w:pPr>
            <w:r>
              <w:rPr>
                <w:rFonts w:hint="eastAsia"/>
                <w:szCs w:val="21"/>
              </w:rPr>
              <w:t>配件：</w:t>
            </w:r>
          </w:p>
          <w:p>
            <w:pPr>
              <w:adjustRightInd w:val="0"/>
              <w:snapToGrid w:val="0"/>
              <w:ind w:left="10" w:firstLine="424" w:firstLineChars="193"/>
              <w:rPr>
                <w:szCs w:val="21"/>
              </w:rPr>
            </w:pPr>
            <w:r>
              <w:rPr>
                <w:rFonts w:hint="eastAsia"/>
                <w:szCs w:val="21"/>
              </w:rPr>
              <w:t>（1）U盘1个（16G，U盘根目录至少存放3个音频/音乐文件，要求内容积极向上）；</w:t>
            </w:r>
          </w:p>
          <w:p>
            <w:pPr>
              <w:adjustRightInd w:val="0"/>
              <w:snapToGrid w:val="0"/>
              <w:ind w:left="10" w:firstLine="424" w:firstLineChars="193"/>
              <w:rPr>
                <w:szCs w:val="21"/>
              </w:rPr>
            </w:pPr>
            <w:r>
              <w:rPr>
                <w:rFonts w:hint="eastAsia"/>
                <w:szCs w:val="21"/>
              </w:rPr>
              <w:t>（2）TF卡1个（16G，安装在应急广播适配器内）；</w:t>
            </w:r>
          </w:p>
          <w:p>
            <w:pPr>
              <w:adjustRightInd w:val="0"/>
              <w:snapToGrid w:val="0"/>
              <w:ind w:left="10" w:firstLine="424" w:firstLineChars="193"/>
              <w:rPr>
                <w:szCs w:val="21"/>
              </w:rPr>
            </w:pPr>
            <w:r>
              <w:rPr>
                <w:rFonts w:hint="eastAsia"/>
                <w:szCs w:val="21"/>
              </w:rPr>
              <w:t>（3）拾音器（监听面积10～70平方米，传输距离≥100米，工作电压+12V DC，)输出阻抗600Ω，信噪比≥60dB，灵敏度≥-34dB，具有雷击保护和电源极性反接保护）；</w:t>
            </w:r>
          </w:p>
          <w:p>
            <w:pPr>
              <w:adjustRightInd w:val="0"/>
              <w:snapToGrid w:val="0"/>
              <w:ind w:left="10" w:firstLine="424" w:firstLineChars="193"/>
              <w:rPr>
                <w:szCs w:val="21"/>
              </w:rPr>
            </w:pPr>
            <w:r>
              <w:rPr>
                <w:rFonts w:hint="eastAsia"/>
                <w:szCs w:val="21"/>
              </w:rPr>
              <w:t>（4）4G/GSM吸盘天线1副；</w:t>
            </w:r>
          </w:p>
          <w:p>
            <w:pPr>
              <w:adjustRightInd w:val="0"/>
              <w:snapToGrid w:val="0"/>
              <w:ind w:left="10" w:firstLine="424" w:firstLineChars="193"/>
              <w:rPr>
                <w:szCs w:val="21"/>
              </w:rPr>
            </w:pPr>
            <w:r>
              <w:rPr>
                <w:rFonts w:hint="eastAsia"/>
                <w:szCs w:val="21"/>
              </w:rPr>
              <w:t>（5）动圈话筒1个（配支架）；</w:t>
            </w:r>
          </w:p>
          <w:p>
            <w:pPr>
              <w:adjustRightInd w:val="0"/>
              <w:snapToGrid w:val="0"/>
              <w:ind w:left="10" w:firstLine="424" w:firstLineChars="193"/>
              <w:rPr>
                <w:szCs w:val="21"/>
              </w:rPr>
            </w:pPr>
            <w:r>
              <w:rPr>
                <w:rFonts w:hint="eastAsia"/>
                <w:szCs w:val="21"/>
              </w:rPr>
              <w:t>（6）2米5类屏蔽成品网线2根；</w:t>
            </w:r>
          </w:p>
          <w:p>
            <w:pPr>
              <w:adjustRightInd w:val="0"/>
              <w:snapToGrid w:val="0"/>
              <w:ind w:left="10" w:firstLine="424" w:firstLineChars="193"/>
              <w:rPr>
                <w:szCs w:val="21"/>
              </w:rPr>
            </w:pPr>
            <w:r>
              <w:rPr>
                <w:rFonts w:hint="eastAsia"/>
                <w:szCs w:val="21"/>
              </w:rPr>
              <w:t>（7）电源线1根；</w:t>
            </w:r>
          </w:p>
          <w:p>
            <w:pPr>
              <w:adjustRightInd w:val="0"/>
              <w:snapToGrid w:val="0"/>
              <w:ind w:left="10" w:firstLine="424" w:firstLineChars="193"/>
              <w:rPr>
                <w:szCs w:val="21"/>
              </w:rPr>
            </w:pPr>
            <w:r>
              <w:rPr>
                <w:rFonts w:hint="eastAsia"/>
                <w:szCs w:val="21"/>
              </w:rPr>
              <w:t>（8）防雷警示标贴1张；</w:t>
            </w:r>
          </w:p>
          <w:p>
            <w:pPr>
              <w:adjustRightInd w:val="0"/>
              <w:snapToGrid w:val="0"/>
              <w:ind w:left="10" w:firstLine="424" w:firstLineChars="193"/>
              <w:rPr>
                <w:szCs w:val="21"/>
              </w:rPr>
            </w:pPr>
            <w:r>
              <w:rPr>
                <w:rFonts w:hint="eastAsia"/>
                <w:szCs w:val="21"/>
              </w:rPr>
              <w:t>（9）说明书、合格证等1份；</w:t>
            </w:r>
          </w:p>
          <w:p>
            <w:pPr>
              <w:adjustRightInd w:val="0"/>
              <w:snapToGrid w:val="0"/>
              <w:ind w:left="10" w:firstLine="424" w:firstLineChars="193"/>
              <w:rPr>
                <w:szCs w:val="21"/>
              </w:rPr>
            </w:pPr>
            <w:r>
              <w:rPr>
                <w:rFonts w:hint="eastAsia"/>
                <w:szCs w:val="21"/>
              </w:rPr>
              <w:t>（10）简易操作卡1张；</w:t>
            </w:r>
          </w:p>
          <w:p>
            <w:pPr>
              <w:adjustRightInd w:val="0"/>
              <w:snapToGrid w:val="0"/>
              <w:ind w:left="10" w:firstLine="424" w:firstLineChars="193"/>
              <w:rPr>
                <w:szCs w:val="21"/>
              </w:rPr>
            </w:pPr>
            <w:r>
              <w:rPr>
                <w:rFonts w:hint="eastAsia"/>
                <w:szCs w:val="21"/>
              </w:rPr>
              <w:t>（11）设备重要参数纪录卡1张；</w:t>
            </w:r>
          </w:p>
          <w:p>
            <w:pPr>
              <w:adjustRightInd w:val="0"/>
              <w:snapToGrid w:val="0"/>
              <w:ind w:left="10" w:firstLine="424" w:firstLineChars="193"/>
              <w:rPr>
                <w:szCs w:val="21"/>
              </w:rPr>
            </w:pPr>
            <w:r>
              <w:rPr>
                <w:rFonts w:hint="eastAsia"/>
                <w:szCs w:val="21"/>
              </w:rPr>
              <w:t>（12）HDMI线接、USB控制线等其余配件根据使用需求配置。</w:t>
            </w: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w:t>
            </w:r>
            <w:r>
              <w:rPr>
                <w:szCs w:val="21"/>
              </w:rPr>
              <w:t>50</w:t>
            </w:r>
            <w:r>
              <w:rPr>
                <w:rFonts w:hint="eastAsia"/>
                <w:szCs w:val="21"/>
              </w:rPr>
              <w:t>台</w:t>
            </w:r>
          </w:p>
        </w:tc>
      </w:tr>
      <w:tr>
        <w:tblPrEx>
          <w:tblCellMar>
            <w:top w:w="0" w:type="dxa"/>
            <w:left w:w="0" w:type="dxa"/>
            <w:bottom w:w="0" w:type="dxa"/>
            <w:right w:w="0" w:type="dxa"/>
          </w:tblCellMar>
        </w:tblPrEx>
        <w:trPr>
          <w:trHeight w:val="581"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jc w:val="center"/>
              <w:textAlignment w:val="center"/>
              <w:rPr>
                <w:szCs w:val="21"/>
              </w:rPr>
            </w:pPr>
            <w:r>
              <w:rPr>
                <w:rFonts w:hint="eastAsia"/>
                <w:szCs w:val="21"/>
              </w:rPr>
              <w:t>2</w:t>
            </w:r>
          </w:p>
        </w:tc>
        <w:tc>
          <w:tcPr>
            <w:tcW w:w="993"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textAlignment w:val="center"/>
              <w:rPr>
                <w:szCs w:val="21"/>
              </w:rPr>
            </w:pPr>
            <w:r>
              <w:rPr>
                <w:rFonts w:hint="eastAsia"/>
                <w:szCs w:val="21"/>
              </w:rPr>
              <w:t>触摸显示模块</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adjustRightInd w:val="0"/>
              <w:snapToGrid w:val="0"/>
              <w:ind w:left="10" w:firstLine="424" w:firstLineChars="193"/>
            </w:pPr>
            <w:r>
              <w:rPr>
                <w:rFonts w:hint="eastAsia"/>
                <w:szCs w:val="21"/>
              </w:rPr>
              <w:t>触摸显示模块安装</w:t>
            </w:r>
            <w:r>
              <w:rPr>
                <w:rFonts w:hint="eastAsia"/>
              </w:rPr>
              <w:t>在乡镇（村）级平台机柜上方，安装位置参见下图。</w:t>
            </w:r>
          </w:p>
          <w:p>
            <w:pPr>
              <w:adjustRightInd w:val="0"/>
              <w:snapToGrid w:val="0"/>
              <w:ind w:left="10" w:firstLine="424" w:firstLineChars="193"/>
            </w:pPr>
            <w:r>
              <w:drawing>
                <wp:inline distT="0" distB="0" distL="0" distR="0">
                  <wp:extent cx="3567430" cy="2240915"/>
                  <wp:effectExtent l="0" t="0" r="0" b="0"/>
                  <wp:docPr id="193" name="图片 2"/>
                  <wp:cNvGraphicFramePr/>
                  <a:graphic xmlns:a="http://schemas.openxmlformats.org/drawingml/2006/main">
                    <a:graphicData uri="http://schemas.openxmlformats.org/drawingml/2006/picture">
                      <pic:pic xmlns:pic="http://schemas.openxmlformats.org/drawingml/2006/picture">
                        <pic:nvPicPr>
                          <pic:cNvPr id="193" name="图片 2"/>
                          <pic:cNvPicPr/>
                        </pic:nvPicPr>
                        <pic:blipFill>
                          <a:blip r:embed="rId31" cstate="print"/>
                          <a:stretch>
                            <a:fillRect/>
                          </a:stretch>
                        </pic:blipFill>
                        <pic:spPr>
                          <a:xfrm>
                            <a:off x="0" y="0"/>
                            <a:ext cx="3567430" cy="2240915"/>
                          </a:xfrm>
                          <a:prstGeom prst="rect">
                            <a:avLst/>
                          </a:prstGeom>
                          <a:noFill/>
                          <a:ln w="9525">
                            <a:noFill/>
                            <a:miter/>
                          </a:ln>
                        </pic:spPr>
                      </pic:pic>
                    </a:graphicData>
                  </a:graphic>
                </wp:inline>
              </w:drawing>
            </w:r>
          </w:p>
          <w:p>
            <w:pPr>
              <w:adjustRightInd w:val="0"/>
              <w:snapToGrid w:val="0"/>
              <w:ind w:left="10" w:firstLine="424" w:firstLineChars="193"/>
              <w:jc w:val="center"/>
            </w:pPr>
            <w:r>
              <w:rPr>
                <w:rFonts w:hint="eastAsia"/>
              </w:rPr>
              <w:t>机柜结构示意图</w:t>
            </w:r>
          </w:p>
          <w:p>
            <w:pPr>
              <w:adjustRightInd w:val="0"/>
              <w:snapToGrid w:val="0"/>
              <w:ind w:left="10" w:firstLine="424" w:firstLineChars="193"/>
            </w:pPr>
            <w:r>
              <w:rPr>
                <w:rFonts w:hint="eastAsia"/>
              </w:rPr>
              <w:t>1.显示屏尺寸：大于15吋，16：9，分辨率：不小于1366*768</w:t>
            </w:r>
          </w:p>
          <w:p>
            <w:pPr>
              <w:pStyle w:val="62"/>
              <w:adjustRightInd w:val="0"/>
              <w:snapToGrid w:val="0"/>
              <w:ind w:left="10" w:firstLine="424" w:firstLineChars="193"/>
            </w:pPr>
            <w:r>
              <w:rPr>
                <w:rFonts w:hint="eastAsia"/>
              </w:rPr>
              <w:t>2.触控板为电容式触摸屏，控制接口为USB接口</w:t>
            </w:r>
          </w:p>
          <w:p>
            <w:pPr>
              <w:adjustRightInd w:val="0"/>
              <w:snapToGrid w:val="0"/>
              <w:ind w:left="10" w:firstLine="424" w:firstLineChars="193"/>
            </w:pPr>
            <w:r>
              <w:rPr>
                <w:rFonts w:hint="eastAsia"/>
              </w:rPr>
              <w:t>3.接口：1个HDMI接口，1个USB接口。</w:t>
            </w:r>
          </w:p>
          <w:p>
            <w:pPr>
              <w:adjustRightInd w:val="0"/>
              <w:snapToGrid w:val="0"/>
              <w:ind w:left="10" w:firstLine="424" w:firstLineChars="193"/>
              <w:rPr>
                <w:lang w:val="en-US"/>
              </w:rPr>
            </w:pPr>
            <w:r>
              <w:rPr>
                <w:rFonts w:hint="eastAsia"/>
                <w:lang w:val="en-US"/>
              </w:rPr>
              <w:t>4.</w:t>
            </w:r>
            <w:r>
              <w:rPr>
                <w:rFonts w:hint="eastAsia"/>
              </w:rPr>
              <w:t>亮度</w:t>
            </w:r>
            <w:r>
              <w:rPr>
                <w:rFonts w:hint="eastAsia"/>
                <w:lang w:val="en-US"/>
              </w:rPr>
              <w:t xml:space="preserve">：≥300 cd/m2 (Typ.) </w:t>
            </w:r>
          </w:p>
          <w:p>
            <w:pPr>
              <w:adjustRightInd w:val="0"/>
              <w:snapToGrid w:val="0"/>
              <w:ind w:left="10" w:firstLine="424" w:firstLineChars="193"/>
            </w:pPr>
            <w:r>
              <w:rPr>
                <w:rFonts w:hint="eastAsia"/>
              </w:rPr>
              <w:t xml:space="preserve">5.透射对比度：≥1000:1 (Typ.) </w:t>
            </w:r>
          </w:p>
          <w:p>
            <w:pPr>
              <w:adjustRightInd w:val="0"/>
              <w:snapToGrid w:val="0"/>
              <w:ind w:left="10" w:firstLine="424" w:firstLineChars="193"/>
            </w:pPr>
            <w:r>
              <w:rPr>
                <w:rFonts w:hint="eastAsia"/>
              </w:rPr>
              <w:t xml:space="preserve">6.显示颜色： 16.7M   </w:t>
            </w:r>
          </w:p>
          <w:p>
            <w:pPr>
              <w:adjustRightInd w:val="0"/>
              <w:snapToGrid w:val="0"/>
              <w:ind w:left="10" w:firstLine="424" w:firstLineChars="193"/>
            </w:pPr>
            <w:r>
              <w:rPr>
                <w:rFonts w:hint="eastAsia"/>
              </w:rPr>
              <w:t xml:space="preserve">7.响应时间： 1.3/3.7(Tr+Td) </w:t>
            </w:r>
          </w:p>
          <w:p>
            <w:pPr>
              <w:adjustRightInd w:val="0"/>
              <w:snapToGrid w:val="0"/>
              <w:ind w:left="10" w:firstLine="424" w:firstLineChars="193"/>
            </w:pPr>
            <w:r>
              <w:rPr>
                <w:rFonts w:hint="eastAsia"/>
              </w:rPr>
              <w:t>8.伴音功率：大于1W</w:t>
            </w:r>
          </w:p>
          <w:p>
            <w:pPr>
              <w:adjustRightInd w:val="0"/>
              <w:snapToGrid w:val="0"/>
              <w:ind w:left="10" w:firstLine="424" w:firstLineChars="193"/>
            </w:pPr>
            <w:r>
              <w:rPr>
                <w:rFonts w:hint="eastAsia"/>
              </w:rPr>
              <w:t xml:space="preserve">9.工作环境： -30～80 ℃ </w:t>
            </w:r>
          </w:p>
          <w:p>
            <w:pPr>
              <w:adjustRightInd w:val="0"/>
              <w:snapToGrid w:val="0"/>
              <w:ind w:left="10" w:firstLine="424" w:firstLineChars="193"/>
            </w:pPr>
            <w:r>
              <w:rPr>
                <w:rFonts w:hint="eastAsia"/>
              </w:rPr>
              <w:t xml:space="preserve">10.功耗： ≤72W </w:t>
            </w:r>
          </w:p>
          <w:p>
            <w:pPr>
              <w:adjustRightInd w:val="0"/>
              <w:snapToGrid w:val="0"/>
              <w:ind w:left="10" w:firstLine="424" w:firstLineChars="193"/>
              <w:rPr>
                <w:szCs w:val="21"/>
              </w:rPr>
            </w:pPr>
            <w:r>
              <w:rPr>
                <w:rFonts w:hint="eastAsia"/>
                <w:szCs w:val="21"/>
              </w:rPr>
              <w:t>11.安装面板：配置6 U大小的面板，嵌入式安装在机柜上部。</w:t>
            </w:r>
          </w:p>
          <w:p>
            <w:pPr>
              <w:adjustRightInd w:val="0"/>
              <w:snapToGrid w:val="0"/>
              <w:ind w:left="10" w:firstLine="424" w:firstLineChars="193"/>
              <w:rPr>
                <w:szCs w:val="21"/>
              </w:rPr>
            </w:pPr>
            <w:r>
              <w:rPr>
                <w:rFonts w:hint="eastAsia"/>
                <w:szCs w:val="21"/>
              </w:rPr>
              <w:t>12.电源按键：实现一键唤醒或休眠触摸显示器。（选配）</w:t>
            </w:r>
          </w:p>
          <w:p>
            <w:pPr>
              <w:adjustRightInd w:val="0"/>
              <w:snapToGrid w:val="0"/>
              <w:ind w:left="10" w:firstLine="424" w:firstLineChars="193"/>
              <w:rPr>
                <w:szCs w:val="21"/>
              </w:rPr>
            </w:pPr>
            <w:r>
              <w:rPr>
                <w:rFonts w:hint="eastAsia"/>
                <w:szCs w:val="21"/>
              </w:rPr>
              <w:t>13.触摸显示模块不宜带操作系统，只是带触控功能的通用显示设备，无需任何参数配置，可替换。</w:t>
            </w:r>
          </w:p>
          <w:p>
            <w:pPr>
              <w:adjustRightInd w:val="0"/>
              <w:snapToGrid w:val="0"/>
              <w:ind w:left="10" w:firstLine="424" w:firstLineChars="193"/>
              <w:rPr>
                <w:szCs w:val="21"/>
              </w:rPr>
            </w:pPr>
            <w:r>
              <w:rPr>
                <w:rFonts w:hint="eastAsia"/>
                <w:szCs w:val="21"/>
              </w:rPr>
              <w:t>14.配件：安装面板1套；屏幕保护膜1张；电源适配器1个等。</w:t>
            </w:r>
          </w:p>
          <w:p>
            <w:pPr>
              <w:adjustRightInd w:val="0"/>
              <w:snapToGrid w:val="0"/>
              <w:ind w:left="10" w:firstLine="424" w:firstLineChars="193"/>
            </w:pP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szCs w:val="21"/>
              </w:rPr>
            </w:pPr>
            <w:r>
              <w:rPr>
                <w:szCs w:val="21"/>
              </w:rPr>
              <w:t>150</w:t>
            </w:r>
            <w:r>
              <w:rPr>
                <w:rFonts w:hint="eastAsia"/>
                <w:szCs w:val="21"/>
              </w:rPr>
              <w:t>台</w:t>
            </w:r>
          </w:p>
        </w:tc>
      </w:tr>
      <w:tr>
        <w:tblPrEx>
          <w:tblCellMar>
            <w:top w:w="0" w:type="dxa"/>
            <w:left w:w="0" w:type="dxa"/>
            <w:bottom w:w="0" w:type="dxa"/>
            <w:right w:w="0" w:type="dxa"/>
          </w:tblCellMar>
        </w:tblPrEx>
        <w:trPr>
          <w:trHeight w:val="90"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ind w:firstLine="220" w:firstLineChars="100"/>
              <w:jc w:val="both"/>
              <w:textAlignment w:val="center"/>
              <w:rPr>
                <w:bCs/>
                <w:szCs w:val="21"/>
              </w:rPr>
            </w:pPr>
            <w:r>
              <w:rPr>
                <w:szCs w:val="21"/>
              </w:rPr>
              <w:t>3</w:t>
            </w:r>
          </w:p>
        </w:tc>
        <w:tc>
          <w:tcPr>
            <w:tcW w:w="993"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textAlignment w:val="center"/>
              <w:rPr>
                <w:bCs/>
                <w:szCs w:val="21"/>
              </w:rPr>
            </w:pPr>
            <w:r>
              <w:rPr>
                <w:rFonts w:hint="eastAsia"/>
                <w:szCs w:val="21"/>
              </w:rPr>
              <w:t>村级平台机柜</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numPr>
                <w:ilvl w:val="0"/>
                <w:numId w:val="20"/>
              </w:numPr>
              <w:tabs>
                <w:tab w:val="left" w:pos="544"/>
              </w:tabs>
              <w:autoSpaceDE/>
              <w:autoSpaceDN/>
              <w:adjustRightInd w:val="0"/>
              <w:snapToGrid w:val="0"/>
              <w:rPr>
                <w:szCs w:val="21"/>
              </w:rPr>
            </w:pPr>
            <w:r>
              <w:rPr>
                <w:rFonts w:hint="eastAsia"/>
                <w:szCs w:val="21"/>
              </w:rPr>
              <w:t>要求尺寸：宽度600mm，台面深度400mm，柜体深度700mm，台面高度750mm，整体高度1200mm（含地脚）。该尺寸为要求的最小尺寸，如供货商提供更大尺寸的亦可。整个播控台采用热镀锌钢板焊接而成，整体板厚1.2mm或以上，尺寸如图所示。</w:t>
            </w:r>
          </w:p>
          <w:p>
            <w:pPr>
              <w:numPr>
                <w:ilvl w:val="0"/>
                <w:numId w:val="20"/>
              </w:numPr>
              <w:tabs>
                <w:tab w:val="left" w:pos="544"/>
              </w:tabs>
              <w:autoSpaceDE/>
              <w:autoSpaceDN/>
              <w:adjustRightInd w:val="0"/>
              <w:snapToGrid w:val="0"/>
              <w:rPr>
                <w:szCs w:val="21"/>
              </w:rPr>
            </w:pPr>
            <w:r>
              <w:rPr>
                <w:rFonts w:hint="eastAsia"/>
                <w:szCs w:val="21"/>
              </w:rPr>
              <w:t>颜色：国标色号73-B03，要求静电喷粉设计工艺，表面光滑无毛刺，防腐。</w:t>
            </w:r>
          </w:p>
          <w:p>
            <w:pPr>
              <w:numPr>
                <w:ilvl w:val="0"/>
                <w:numId w:val="20"/>
              </w:numPr>
              <w:tabs>
                <w:tab w:val="left" w:pos="544"/>
              </w:tabs>
              <w:autoSpaceDE/>
              <w:autoSpaceDN/>
              <w:adjustRightInd w:val="0"/>
              <w:snapToGrid w:val="0"/>
              <w:rPr>
                <w:szCs w:val="21"/>
              </w:rPr>
            </w:pPr>
            <w:r>
              <w:rPr>
                <w:rFonts w:hint="eastAsia"/>
                <w:szCs w:val="21"/>
              </w:rPr>
              <w:t>前门为单扇钢制门，后门为抽取式钢制门，前后门均配不锈钢门锁。</w:t>
            </w:r>
          </w:p>
          <w:p>
            <w:pPr>
              <w:numPr>
                <w:ilvl w:val="0"/>
                <w:numId w:val="20"/>
              </w:numPr>
              <w:tabs>
                <w:tab w:val="left" w:pos="544"/>
              </w:tabs>
              <w:autoSpaceDE/>
              <w:autoSpaceDN/>
              <w:adjustRightInd w:val="0"/>
              <w:snapToGrid w:val="0"/>
              <w:rPr>
                <w:szCs w:val="21"/>
              </w:rPr>
            </w:pPr>
            <w:r>
              <w:rPr>
                <w:rFonts w:hint="eastAsia"/>
                <w:szCs w:val="21"/>
              </w:rPr>
              <w:t>机柜底部封底，预留支撑地脚安装孔。</w:t>
            </w:r>
          </w:p>
          <w:p>
            <w:pPr>
              <w:numPr>
                <w:ilvl w:val="0"/>
                <w:numId w:val="20"/>
              </w:numPr>
              <w:tabs>
                <w:tab w:val="left" w:pos="544"/>
              </w:tabs>
              <w:autoSpaceDE/>
              <w:autoSpaceDN/>
              <w:adjustRightInd w:val="0"/>
              <w:snapToGrid w:val="0"/>
              <w:rPr>
                <w:szCs w:val="21"/>
              </w:rPr>
            </w:pPr>
            <w:r>
              <w:rPr>
                <w:rFonts w:hint="eastAsia"/>
                <w:szCs w:val="21"/>
              </w:rPr>
              <w:t>后门门框的下边框预留2个线缆出入预制孔(不可在门上)，机柜两侧后下方预留1个线缆出入预制孔，预制孔直径：50mm。</w:t>
            </w:r>
          </w:p>
          <w:p>
            <w:pPr>
              <w:numPr>
                <w:ilvl w:val="0"/>
                <w:numId w:val="20"/>
              </w:numPr>
              <w:tabs>
                <w:tab w:val="left" w:pos="544"/>
              </w:tabs>
              <w:autoSpaceDE/>
              <w:autoSpaceDN/>
              <w:adjustRightInd w:val="0"/>
              <w:snapToGrid w:val="0"/>
              <w:rPr>
                <w:szCs w:val="21"/>
              </w:rPr>
            </w:pPr>
            <w:r>
              <w:rPr>
                <w:rFonts w:hint="eastAsia"/>
                <w:szCs w:val="21"/>
              </w:rPr>
              <w:t>播控台上部及下部（相对于台面，下同）均为机架式设计，可放置标准19寸设备，上部容量为8U或更大，下部容量为6U或更大。其中上部和下部各配托盘一个，上部配置不少于6块1U空白面板，样式参见参考示意图。</w:t>
            </w:r>
          </w:p>
          <w:p>
            <w:pPr>
              <w:numPr>
                <w:ilvl w:val="0"/>
                <w:numId w:val="20"/>
              </w:numPr>
              <w:tabs>
                <w:tab w:val="left" w:pos="544"/>
              </w:tabs>
              <w:autoSpaceDE/>
              <w:autoSpaceDN/>
              <w:adjustRightInd w:val="0"/>
              <w:snapToGrid w:val="0"/>
              <w:rPr>
                <w:szCs w:val="21"/>
              </w:rPr>
            </w:pPr>
            <w:r>
              <w:rPr>
                <w:rFonts w:hint="eastAsia"/>
                <w:szCs w:val="21"/>
              </w:rPr>
              <w:t>台面配有推拉式抽屉，最右边预留有鼠标线孔（孔位定位见参考示意图），动圈话筒线多余长度可放入该孔进行隐藏，达到美观效果。</w:t>
            </w:r>
          </w:p>
          <w:p>
            <w:pPr>
              <w:numPr>
                <w:ilvl w:val="0"/>
                <w:numId w:val="20"/>
              </w:numPr>
              <w:tabs>
                <w:tab w:val="left" w:pos="544"/>
              </w:tabs>
              <w:autoSpaceDE/>
              <w:autoSpaceDN/>
              <w:adjustRightInd w:val="0"/>
              <w:snapToGrid w:val="0"/>
              <w:rPr>
                <w:szCs w:val="21"/>
              </w:rPr>
            </w:pPr>
            <w:r>
              <w:rPr>
                <w:rFonts w:hint="eastAsia"/>
                <w:szCs w:val="21"/>
              </w:rPr>
              <w:t>后门及两侧预留大面积通风散热小孔或百叶通气槽，可使柜体内部产生循环风而达到散热功能。</w:t>
            </w:r>
          </w:p>
          <w:p>
            <w:pPr>
              <w:numPr>
                <w:ilvl w:val="0"/>
                <w:numId w:val="20"/>
              </w:numPr>
              <w:tabs>
                <w:tab w:val="left" w:pos="544"/>
              </w:tabs>
              <w:autoSpaceDE/>
              <w:autoSpaceDN/>
              <w:adjustRightInd w:val="0"/>
              <w:snapToGrid w:val="0"/>
              <w:rPr>
                <w:szCs w:val="21"/>
              </w:rPr>
            </w:pPr>
            <w:r>
              <w:rPr>
                <w:rFonts w:hint="eastAsia"/>
                <w:szCs w:val="21"/>
              </w:rPr>
              <w:t>配置2个19寸机柜专用带开关6～8位PDU电源插排，要求必须集成浪涌保护器（SPD）。</w:t>
            </w:r>
          </w:p>
          <w:p>
            <w:pPr>
              <w:numPr>
                <w:ilvl w:val="0"/>
                <w:numId w:val="20"/>
              </w:numPr>
              <w:tabs>
                <w:tab w:val="left" w:pos="544"/>
              </w:tabs>
              <w:autoSpaceDE/>
              <w:autoSpaceDN/>
              <w:adjustRightInd w:val="0"/>
              <w:snapToGrid w:val="0"/>
              <w:rPr>
                <w:szCs w:val="21"/>
              </w:rPr>
            </w:pPr>
            <w:r>
              <w:rPr>
                <w:rFonts w:hint="eastAsia"/>
                <w:szCs w:val="21"/>
              </w:rPr>
              <w:t>在播控台上部最上方明显位置喷印“广西广电应急广播”字样，要求为蓝色黑体字，字号大小设计为2米内可清晰辨认即可，以美观醒目为宜。</w:t>
            </w:r>
          </w:p>
          <w:p>
            <w:pPr>
              <w:numPr>
                <w:ilvl w:val="0"/>
                <w:numId w:val="20"/>
              </w:numPr>
              <w:tabs>
                <w:tab w:val="left" w:pos="544"/>
              </w:tabs>
              <w:autoSpaceDE/>
              <w:autoSpaceDN/>
              <w:adjustRightInd w:val="0"/>
              <w:snapToGrid w:val="0"/>
              <w:rPr>
                <w:szCs w:val="21"/>
              </w:rPr>
            </w:pPr>
            <w:r>
              <w:rPr>
                <w:rFonts w:hint="eastAsia"/>
                <w:szCs w:val="21"/>
              </w:rPr>
              <w:t>机柜右上方贴安全操作警示标贴“雷雨天气禁止操作”（黄底黑边框黑体字）。</w:t>
            </w:r>
          </w:p>
          <w:p>
            <w:pPr>
              <w:numPr>
                <w:ilvl w:val="0"/>
                <w:numId w:val="20"/>
              </w:numPr>
              <w:tabs>
                <w:tab w:val="left" w:pos="544"/>
              </w:tabs>
              <w:autoSpaceDE/>
              <w:autoSpaceDN/>
              <w:adjustRightInd w:val="0"/>
              <w:snapToGrid w:val="0"/>
              <w:rPr>
                <w:szCs w:val="21"/>
              </w:rPr>
            </w:pPr>
            <w:r>
              <w:rPr>
                <w:rFonts w:hint="eastAsia"/>
                <w:szCs w:val="21"/>
              </w:rPr>
              <w:t>台面右边的鼠标孔旁边帖供电警示标贴“应急广播 平战结合 保持供电”（黄底黑边框黑体字）；台面左边靠近设备的地方贴简易操作卡（白底黑体字）。</w:t>
            </w:r>
          </w:p>
          <w:p>
            <w:pPr>
              <w:numPr>
                <w:ilvl w:val="0"/>
                <w:numId w:val="20"/>
              </w:numPr>
              <w:tabs>
                <w:tab w:val="left" w:pos="544"/>
              </w:tabs>
              <w:autoSpaceDE/>
              <w:autoSpaceDN/>
              <w:adjustRightInd w:val="0"/>
              <w:snapToGrid w:val="0"/>
              <w:rPr>
                <w:szCs w:val="21"/>
              </w:rPr>
            </w:pPr>
            <w:r>
              <w:rPr>
                <w:rFonts w:hint="eastAsia"/>
                <w:szCs w:val="21"/>
              </w:rPr>
              <w:t>配件：不少于6孔的接地母排1根（配齐螺丝）；1U空白面板6块；托板2块；角铁4对；扎线杆2根；安装螺丝50套；支撑地脚4个。</w:t>
            </w:r>
          </w:p>
          <w:p>
            <w:pPr>
              <w:tabs>
                <w:tab w:val="left" w:pos="544"/>
              </w:tabs>
              <w:adjustRightInd w:val="0"/>
              <w:snapToGrid w:val="0"/>
              <w:ind w:left="400"/>
              <w:rPr>
                <w:szCs w:val="21"/>
              </w:rPr>
            </w:pPr>
            <w:r>
              <w:rPr>
                <w:rFonts w:hint="eastAsia"/>
                <w:szCs w:val="21"/>
              </w:rPr>
              <w:t xml:space="preserve">  机柜（单联播控台）尺寸及参考示意图</w:t>
            </w:r>
          </w:p>
          <w:tbl>
            <w:tblPr>
              <w:tblStyle w:val="51"/>
              <w:tblW w:w="70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37"/>
              <w:gridCol w:w="3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3437" w:type="dxa"/>
                  <w:vAlign w:val="center"/>
                </w:tcPr>
                <w:p>
                  <w:pPr>
                    <w:adjustRightInd w:val="0"/>
                    <w:snapToGrid w:val="0"/>
                    <w:ind w:firstLine="420"/>
                    <w:jc w:val="center"/>
                    <w:rPr>
                      <w:szCs w:val="21"/>
                    </w:rPr>
                  </w:pPr>
                  <w:r>
                    <w:rPr>
                      <w:rFonts w:hint="eastAsia"/>
                      <w:szCs w:val="21"/>
                    </w:rPr>
                    <w:t>尺寸（mm）</w:t>
                  </w:r>
                </w:p>
              </w:tc>
              <w:tc>
                <w:tcPr>
                  <w:tcW w:w="3582" w:type="dxa"/>
                  <w:vAlign w:val="center"/>
                </w:tcPr>
                <w:p>
                  <w:pPr>
                    <w:adjustRightInd w:val="0"/>
                    <w:snapToGrid w:val="0"/>
                    <w:ind w:firstLine="420"/>
                    <w:jc w:val="center"/>
                    <w:rPr>
                      <w:szCs w:val="21"/>
                    </w:rPr>
                  </w:pPr>
                  <w:r>
                    <w:rPr>
                      <w:rFonts w:hint="eastAsia"/>
                      <w:szCs w:val="21"/>
                    </w:rPr>
                    <w:t>参考示意图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1" w:hRule="atLeast"/>
              </w:trPr>
              <w:tc>
                <w:tcPr>
                  <w:tcW w:w="3437" w:type="dxa"/>
                  <w:vAlign w:val="center"/>
                </w:tcPr>
                <w:p>
                  <w:pPr>
                    <w:adjustRightInd w:val="0"/>
                    <w:snapToGrid w:val="0"/>
                    <w:ind w:firstLine="420"/>
                    <w:rPr>
                      <w:szCs w:val="21"/>
                    </w:rPr>
                  </w:pPr>
                  <w:r>
                    <mc:AlternateContent>
                      <mc:Choice Requires="wps">
                        <w:drawing>
                          <wp:anchor distT="0" distB="0" distL="114300" distR="114300" simplePos="0" relativeHeight="251680768" behindDoc="0" locked="0" layoutInCell="1" allowOverlap="1">
                            <wp:simplePos x="0" y="0"/>
                            <wp:positionH relativeFrom="column">
                              <wp:posOffset>312420</wp:posOffset>
                            </wp:positionH>
                            <wp:positionV relativeFrom="paragraph">
                              <wp:posOffset>1097280</wp:posOffset>
                            </wp:positionV>
                            <wp:extent cx="1257300" cy="0"/>
                            <wp:effectExtent l="25400" t="76200" r="0" b="76200"/>
                            <wp:wrapNone/>
                            <wp:docPr id="106" name="Line 43"/>
                            <wp:cNvGraphicFramePr/>
                            <a:graphic xmlns:a="http://schemas.openxmlformats.org/drawingml/2006/main">
                              <a:graphicData uri="http://schemas.microsoft.com/office/word/2010/wordprocessingShape">
                                <wps:wsp>
                                  <wps:cNvCnPr/>
                                  <wps:spPr bwMode="auto">
                                    <a:xfrm>
                                      <a:off x="0" y="0"/>
                                      <a:ext cx="1257300" cy="0"/>
                                    </a:xfrm>
                                    <a:prstGeom prst="line">
                                      <a:avLst/>
                                    </a:prstGeom>
                                    <a:noFill/>
                                    <a:ln w="9525">
                                      <a:solidFill>
                                        <a:srgbClr val="808080"/>
                                      </a:solidFill>
                                      <a:prstDash val="dash"/>
                                      <a:round/>
                                      <a:headEnd type="arrow" w="med" len="med"/>
                                      <a:tailEnd type="arrow" w="med" len="med"/>
                                    </a:ln>
                                  </wps:spPr>
                                  <wps:bodyPr/>
                                </wps:wsp>
                              </a:graphicData>
                            </a:graphic>
                          </wp:anchor>
                        </w:drawing>
                      </mc:Choice>
                      <mc:Fallback>
                        <w:pict>
                          <v:line id="Line 43" o:spid="_x0000_s1026" o:spt="20" style="position:absolute;left:0pt;margin-left:24.6pt;margin-top:86.4pt;height:0pt;width:99pt;z-index:251680768;mso-width-relative:page;mso-height-relative:page;" filled="f" stroked="t" coordsize="21600,21600" o:gfxdata="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CCqCBDZAAAACgEAAA8A&#10;AAAAAAAAAQAgAAAAIgAAAGRycy9kb3ducmV2LnhtbFBLAQIUABQAAAAIAIdO4kCeOiRg3QEAAN4D&#10;AAAOAAAAAAAAAAEAIAAAACgBAABkcnMvZTJvRG9jLnhtbFBLBQYAAAAABgAGAFkBAAB3BQAAAAA=&#10;">
                            <v:fill on="f" focussize="0,0"/>
                            <v:stroke color="#808080" joinstyle="round" dashstyle="dash" startarrow="open" endarrow="open"/>
                            <v:imagedata o:title=""/>
                            <o:lock v:ext="edit" aspectratio="f"/>
                          </v:line>
                        </w:pict>
                      </mc:Fallback>
                    </mc:AlternateContent>
                  </w:r>
                  <w:r>
                    <w:rPr>
                      <w:rFonts w:hint="eastAsia"/>
                      <w:szCs w:val="21"/>
                    </w:rPr>
                    <w:drawing>
                      <wp:inline distT="0" distB="0" distL="0" distR="0">
                        <wp:extent cx="1503680" cy="1808480"/>
                        <wp:effectExtent l="0" t="0" r="0" b="0"/>
                        <wp:docPr id="194" name="图片 112" descr="QQ图片20170629151036副本副本"/>
                        <wp:cNvGraphicFramePr/>
                        <a:graphic xmlns:a="http://schemas.openxmlformats.org/drawingml/2006/main">
                          <a:graphicData uri="http://schemas.openxmlformats.org/drawingml/2006/picture">
                            <pic:pic xmlns:pic="http://schemas.openxmlformats.org/drawingml/2006/picture">
                              <pic:nvPicPr>
                                <pic:cNvPr id="194" name="图片 112" descr="QQ图片20170629151036副本副本"/>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503680" cy="1808480"/>
                                </a:xfrm>
                                <a:prstGeom prst="rect">
                                  <a:avLst/>
                                </a:prstGeom>
                                <a:noFill/>
                                <a:ln>
                                  <a:noFill/>
                                </a:ln>
                                <a:effectLst/>
                              </pic:spPr>
                            </pic:pic>
                          </a:graphicData>
                        </a:graphic>
                      </wp:inline>
                    </w:drawing>
                  </w:r>
                  <w:r>
                    <mc:AlternateContent>
                      <mc:Choice Requires="wps">
                        <w:drawing>
                          <wp:anchor distT="0" distB="0" distL="114300" distR="114300" simplePos="0" relativeHeight="251679744" behindDoc="0" locked="0" layoutInCell="1" allowOverlap="1">
                            <wp:simplePos x="0" y="0"/>
                            <wp:positionH relativeFrom="column">
                              <wp:posOffset>617220</wp:posOffset>
                            </wp:positionH>
                            <wp:positionV relativeFrom="paragraph">
                              <wp:posOffset>878840</wp:posOffset>
                            </wp:positionV>
                            <wp:extent cx="571500" cy="297180"/>
                            <wp:effectExtent l="0" t="0" r="0" b="0"/>
                            <wp:wrapNone/>
                            <wp:docPr id="107" name="Text Box 42"/>
                            <wp:cNvGraphicFramePr/>
                            <a:graphic xmlns:a="http://schemas.openxmlformats.org/drawingml/2006/main">
                              <a:graphicData uri="http://schemas.microsoft.com/office/word/2010/wordprocessingShape">
                                <wps:wsp>
                                  <wps:cNvSpPr txBox="1"/>
                                  <wps:spPr bwMode="auto">
                                    <a:xfrm>
                                      <a:off x="0" y="0"/>
                                      <a:ext cx="571500" cy="297180"/>
                                    </a:xfrm>
                                    <a:prstGeom prst="rect">
                                      <a:avLst/>
                                    </a:prstGeom>
                                    <a:solidFill>
                                      <a:srgbClr val="FFFFFF"/>
                                    </a:solidFill>
                                    <a:ln>
                                      <a:noFill/>
                                    </a:ln>
                                  </wps:spPr>
                                  <wps:txbx>
                                    <w:txbxContent>
                                      <w:p>
                                        <w:pPr>
                                          <w:ind w:firstLine="360"/>
                                          <w:rPr>
                                            <w:sz w:val="18"/>
                                            <w:szCs w:val="18"/>
                                          </w:rPr>
                                        </w:pPr>
                                        <w:r>
                                          <w:rPr>
                                            <w:rFonts w:hint="eastAsia"/>
                                            <w:sz w:val="18"/>
                                            <w:szCs w:val="18"/>
                                          </w:rPr>
                                          <w:t>700</w:t>
                                        </w:r>
                                      </w:p>
                                    </w:txbxContent>
                                  </wps:txbx>
                                  <wps:bodyPr rot="0" vert="horz" wrap="square" lIns="91440" tIns="45720" rIns="91440" bIns="45720" anchor="t" anchorCtr="0" upright="1">
                                    <a:noAutofit/>
                                  </wps:bodyPr>
                                </wps:wsp>
                              </a:graphicData>
                            </a:graphic>
                          </wp:anchor>
                        </w:drawing>
                      </mc:Choice>
                      <mc:Fallback>
                        <w:pict>
                          <v:shape id="Text Box 42" o:spid="_x0000_s1026" o:spt="202" type="#_x0000_t202" style="position:absolute;left:0pt;margin-left:48.6pt;margin-top:69.2pt;height:23.4pt;width:45pt;z-index:251679744;mso-width-relative:page;mso-height-relative:page;" fillcolor="#FFFFFF" filled="t" stroked="f" coordsize="21600,21600" o:gfxdata="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f1L2h1gAAAAoBAAAPAAAAAAAAAAEAIAAAACIAAABkcnMvZG93&#10;bnJldi54bWxQSwECFAAUAAAACACHTuJA2TE/CgICAAAPBAAADgAAAAAAAAABACAAAAAlAQAAZHJz&#10;L2Uyb0RvYy54bWxQSwUGAAAAAAYABgBZAQAAmQUAAAAA&#10;">
                            <v:fill on="t" focussize="0,0"/>
                            <v:stroke on="f"/>
                            <v:imagedata o:title=""/>
                            <o:lock v:ext="edit" aspectratio="f"/>
                            <v:textbox>
                              <w:txbxContent>
                                <w:p>
                                  <w:pPr>
                                    <w:ind w:firstLine="360"/>
                                    <w:rPr>
                                      <w:sz w:val="18"/>
                                      <w:szCs w:val="18"/>
                                    </w:rPr>
                                  </w:pPr>
                                  <w:r>
                                    <w:rPr>
                                      <w:rFonts w:hint="eastAsia"/>
                                      <w:sz w:val="18"/>
                                      <w:szCs w:val="18"/>
                                    </w:rPr>
                                    <w:t>700</w:t>
                                  </w:r>
                                </w:p>
                              </w:txbxContent>
                            </v:textbox>
                          </v:shape>
                        </w:pict>
                      </mc:Fallback>
                    </mc:AlternateContent>
                  </w:r>
                </w:p>
              </w:tc>
              <w:tc>
                <w:tcPr>
                  <w:tcW w:w="3582" w:type="dxa"/>
                  <w:vAlign w:val="center"/>
                </w:tcPr>
                <w:p>
                  <w:pPr>
                    <w:adjustRightInd w:val="0"/>
                    <w:snapToGrid w:val="0"/>
                    <w:ind w:firstLine="420"/>
                    <w:jc w:val="center"/>
                    <w:rPr>
                      <w:szCs w:val="21"/>
                    </w:rPr>
                  </w:pPr>
                  <w:r>
                    <w:rPr>
                      <w:rFonts w:hint="eastAsia"/>
                      <w:szCs w:val="21"/>
                    </w:rPr>
                    <w:drawing>
                      <wp:inline distT="0" distB="0" distL="0" distR="0">
                        <wp:extent cx="1280160" cy="1605280"/>
                        <wp:effectExtent l="0" t="0" r="0" b="0"/>
                        <wp:docPr id="195" name="图片 113" descr="QQ图片20170629152828副本"/>
                        <wp:cNvGraphicFramePr/>
                        <a:graphic xmlns:a="http://schemas.openxmlformats.org/drawingml/2006/main">
                          <a:graphicData uri="http://schemas.openxmlformats.org/drawingml/2006/picture">
                            <pic:pic xmlns:pic="http://schemas.openxmlformats.org/drawingml/2006/picture">
                              <pic:nvPicPr>
                                <pic:cNvPr id="195" name="图片 113" descr="QQ图片20170629152828副本"/>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280160" cy="1605280"/>
                                </a:xfrm>
                                <a:prstGeom prst="rect">
                                  <a:avLst/>
                                </a:prstGeom>
                                <a:noFill/>
                                <a:ln>
                                  <a:noFill/>
                                </a:ln>
                                <a:effectLst/>
                              </pic:spPr>
                            </pic:pic>
                          </a:graphicData>
                        </a:graphic>
                      </wp:inline>
                    </w:drawing>
                  </w:r>
                </w:p>
              </w:tc>
            </w:tr>
          </w:tbl>
          <w:p>
            <w:pPr>
              <w:adjustRightInd w:val="0"/>
              <w:snapToGrid w:val="0"/>
              <w:ind w:firstLine="420"/>
              <w:rPr>
                <w:bCs/>
                <w:szCs w:val="21"/>
              </w:rPr>
            </w:pP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bCs/>
                <w:szCs w:val="21"/>
              </w:rPr>
            </w:pPr>
            <w:r>
              <w:rPr>
                <w:rFonts w:hint="eastAsia"/>
                <w:szCs w:val="21"/>
              </w:rPr>
              <w:t>1</w:t>
            </w:r>
            <w:r>
              <w:rPr>
                <w:szCs w:val="21"/>
              </w:rPr>
              <w:t>50</w:t>
            </w:r>
            <w:r>
              <w:rPr>
                <w:rFonts w:hint="eastAsia"/>
                <w:szCs w:val="21"/>
              </w:rPr>
              <w:t>套</w:t>
            </w:r>
          </w:p>
        </w:tc>
      </w:tr>
      <w:tr>
        <w:tblPrEx>
          <w:tblCellMar>
            <w:top w:w="0" w:type="dxa"/>
            <w:left w:w="0" w:type="dxa"/>
            <w:bottom w:w="0" w:type="dxa"/>
            <w:right w:w="0" w:type="dxa"/>
          </w:tblCellMar>
        </w:tblPrEx>
        <w:trPr>
          <w:trHeight w:val="90" w:hRule="atLeast"/>
        </w:trPr>
        <w:tc>
          <w:tcPr>
            <w:tcW w:w="10069" w:type="dxa"/>
            <w:gridSpan w:val="4"/>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ind w:firstLine="422"/>
              <w:jc w:val="center"/>
              <w:textAlignment w:val="center"/>
              <w:rPr>
                <w:bCs/>
                <w:szCs w:val="21"/>
              </w:rPr>
            </w:pPr>
            <w:r>
              <w:rPr>
                <w:rFonts w:hint="eastAsia"/>
                <w:b/>
                <w:szCs w:val="21"/>
              </w:rPr>
              <w:t>四、村级应急广播终端（自然村）</w:t>
            </w:r>
          </w:p>
        </w:tc>
      </w:tr>
      <w:tr>
        <w:tblPrEx>
          <w:tblCellMar>
            <w:top w:w="0" w:type="dxa"/>
            <w:left w:w="0" w:type="dxa"/>
            <w:bottom w:w="0" w:type="dxa"/>
            <w:right w:w="0" w:type="dxa"/>
          </w:tblCellMar>
        </w:tblPrEx>
        <w:trPr>
          <w:trHeight w:val="90"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jc w:val="center"/>
              <w:textAlignment w:val="center"/>
              <w:rPr>
                <w:szCs w:val="21"/>
              </w:rPr>
            </w:pPr>
            <w:r>
              <w:rPr>
                <w:szCs w:val="21"/>
              </w:rPr>
              <w:t>1</w:t>
            </w:r>
          </w:p>
        </w:tc>
        <w:tc>
          <w:tcPr>
            <w:tcW w:w="993" w:type="dxa"/>
            <w:tcBorders>
              <w:top w:val="single" w:color="auto" w:sz="4" w:space="0"/>
              <w:left w:val="single" w:color="000000" w:sz="4" w:space="0"/>
              <w:bottom w:val="single" w:color="auto" w:sz="4" w:space="0"/>
              <w:right w:val="single" w:color="auto" w:sz="4" w:space="0"/>
            </w:tcBorders>
            <w:tcMar>
              <w:top w:w="10" w:type="dxa"/>
              <w:left w:w="10" w:type="dxa"/>
              <w:right w:w="10" w:type="dxa"/>
            </w:tcMar>
            <w:vAlign w:val="center"/>
          </w:tcPr>
          <w:p>
            <w:pPr>
              <w:widowControl/>
              <w:adjustRightInd w:val="0"/>
              <w:snapToGrid w:val="0"/>
              <w:textAlignment w:val="center"/>
              <w:rPr>
                <w:szCs w:val="21"/>
              </w:rPr>
            </w:pPr>
            <w:r>
              <w:rPr>
                <w:rFonts w:hint="eastAsia"/>
                <w:szCs w:val="21"/>
              </w:rPr>
              <w:t>收扩机</w:t>
            </w:r>
          </w:p>
        </w:tc>
        <w:tc>
          <w:tcPr>
            <w:tcW w:w="7371" w:type="dxa"/>
            <w:tcBorders>
              <w:top w:val="single" w:color="000000" w:sz="4" w:space="0"/>
              <w:left w:val="single" w:color="auto" w:sz="4" w:space="0"/>
              <w:bottom w:val="single" w:color="000000" w:sz="4" w:space="0"/>
              <w:right w:val="single" w:color="auto" w:sz="4" w:space="0"/>
            </w:tcBorders>
            <w:tcMar>
              <w:top w:w="10" w:type="dxa"/>
              <w:left w:w="10" w:type="dxa"/>
              <w:right w:w="10" w:type="dxa"/>
            </w:tcMar>
            <w:vAlign w:val="center"/>
          </w:tcPr>
          <w:p>
            <w:pPr>
              <w:widowControl/>
              <w:adjustRightInd w:val="0"/>
              <w:snapToGrid w:val="0"/>
              <w:ind w:firstLine="422"/>
              <w:rPr>
                <w:b/>
                <w:bCs/>
                <w:szCs w:val="21"/>
              </w:rPr>
            </w:pPr>
            <w:r>
              <w:rPr>
                <w:rFonts w:hint="eastAsia"/>
                <w:b/>
                <w:bCs/>
                <w:szCs w:val="21"/>
              </w:rPr>
              <w:t>（一）接口要求与技术指标</w:t>
            </w:r>
          </w:p>
          <w:tbl>
            <w:tblPr>
              <w:tblStyle w:val="51"/>
              <w:tblW w:w="65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45" w:type="dxa"/>
                <w:left w:w="45" w:type="dxa"/>
                <w:bottom w:w="45" w:type="dxa"/>
                <w:right w:w="45" w:type="dxa"/>
              </w:tblCellMar>
            </w:tblPr>
            <w:tblGrid>
              <w:gridCol w:w="607"/>
              <w:gridCol w:w="2473"/>
              <w:gridCol w:w="34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33" w:hRule="atLeast"/>
                <w:jc w:val="center"/>
              </w:trPr>
              <w:tc>
                <w:tcPr>
                  <w:tcW w:w="607" w:type="dxa"/>
                  <w:vMerge w:val="restart"/>
                  <w:vAlign w:val="center"/>
                </w:tcPr>
                <w:p>
                  <w:pPr>
                    <w:adjustRightInd w:val="0"/>
                    <w:snapToGrid w:val="0"/>
                    <w:jc w:val="both"/>
                    <w:rPr>
                      <w:b/>
                      <w:bCs/>
                      <w:szCs w:val="21"/>
                    </w:rPr>
                  </w:pPr>
                  <w:r>
                    <w:rPr>
                      <w:rFonts w:hint="eastAsia"/>
                      <w:b/>
                      <w:bCs/>
                      <w:szCs w:val="21"/>
                    </w:rPr>
                    <w:t>射频接口</w:t>
                  </w:r>
                </w:p>
              </w:tc>
              <w:tc>
                <w:tcPr>
                  <w:tcW w:w="2473" w:type="dxa"/>
                  <w:vAlign w:val="center"/>
                </w:tcPr>
                <w:p>
                  <w:pPr>
                    <w:adjustRightInd w:val="0"/>
                    <w:snapToGrid w:val="0"/>
                    <w:rPr>
                      <w:spacing w:val="6"/>
                      <w:szCs w:val="21"/>
                    </w:rPr>
                  </w:pPr>
                  <w:r>
                    <w:rPr>
                      <w:rFonts w:hint="eastAsia"/>
                      <w:spacing w:val="6"/>
                      <w:szCs w:val="21"/>
                    </w:rPr>
                    <w:t>1路DTMB/DVB-C输入</w:t>
                  </w:r>
                </w:p>
              </w:tc>
              <w:tc>
                <w:tcPr>
                  <w:tcW w:w="3478" w:type="dxa"/>
                  <w:vAlign w:val="center"/>
                </w:tcPr>
                <w:p>
                  <w:pPr>
                    <w:adjustRightInd w:val="0"/>
                    <w:snapToGrid w:val="0"/>
                    <w:ind w:firstLine="420"/>
                    <w:rPr>
                      <w:spacing w:val="6"/>
                      <w:szCs w:val="21"/>
                    </w:rPr>
                  </w:pPr>
                  <w:r>
                    <w:rPr>
                      <w:rFonts w:hint="eastAsia"/>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596"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1路FM1、FM2输入</w:t>
                  </w:r>
                </w:p>
              </w:tc>
              <w:tc>
                <w:tcPr>
                  <w:tcW w:w="3478" w:type="dxa"/>
                  <w:vAlign w:val="center"/>
                </w:tcPr>
                <w:p>
                  <w:pPr>
                    <w:adjustRightInd w:val="0"/>
                    <w:snapToGrid w:val="0"/>
                    <w:ind w:firstLine="444"/>
                    <w:rPr>
                      <w:spacing w:val="6"/>
                      <w:szCs w:val="21"/>
                    </w:rPr>
                  </w:pPr>
                  <w:r>
                    <w:rPr>
                      <w:rFonts w:hint="eastAsia"/>
                      <w:spacing w:val="6"/>
                      <w:szCs w:val="21"/>
                    </w:rPr>
                    <w:t>F座（</w:t>
                  </w:r>
                  <w:r>
                    <w:rPr>
                      <w:rFonts w:hint="eastAsia"/>
                      <w:szCs w:val="21"/>
                    </w:rPr>
                    <w:t>公制</w:t>
                  </w:r>
                  <w:r>
                    <w:rPr>
                      <w:rFonts w:hint="eastAsia"/>
                      <w:spacing w:val="6"/>
                      <w:szCs w:val="21"/>
                    </w:rPr>
                    <w:t>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90"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1路4G手机模块</w:t>
                  </w:r>
                </w:p>
              </w:tc>
              <w:tc>
                <w:tcPr>
                  <w:tcW w:w="3478" w:type="dxa"/>
                  <w:vAlign w:val="center"/>
                </w:tcPr>
                <w:p>
                  <w:pPr>
                    <w:adjustRightInd w:val="0"/>
                    <w:snapToGrid w:val="0"/>
                    <w:ind w:firstLine="444"/>
                    <w:rPr>
                      <w:spacing w:val="6"/>
                      <w:szCs w:val="21"/>
                    </w:rPr>
                  </w:pPr>
                  <w:r>
                    <w:rPr>
                      <w:rFonts w:hint="eastAsia"/>
                      <w:spacing w:val="6"/>
                      <w:szCs w:val="21"/>
                    </w:rPr>
                    <w:t>SMA母座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649" w:hRule="atLeast"/>
                <w:jc w:val="center"/>
              </w:trPr>
              <w:tc>
                <w:tcPr>
                  <w:tcW w:w="607" w:type="dxa"/>
                  <w:vMerge w:val="restart"/>
                  <w:vAlign w:val="center"/>
                </w:tcPr>
                <w:p>
                  <w:pPr>
                    <w:adjustRightInd w:val="0"/>
                    <w:snapToGrid w:val="0"/>
                    <w:jc w:val="both"/>
                    <w:rPr>
                      <w:b/>
                      <w:bCs/>
                      <w:szCs w:val="21"/>
                    </w:rPr>
                  </w:pPr>
                  <w:r>
                    <w:rPr>
                      <w:rFonts w:hint="eastAsia"/>
                      <w:b/>
                      <w:bCs/>
                      <w:szCs w:val="21"/>
                    </w:rPr>
                    <w:t>数字接口</w:t>
                  </w:r>
                </w:p>
              </w:tc>
              <w:tc>
                <w:tcPr>
                  <w:tcW w:w="2473" w:type="dxa"/>
                  <w:vAlign w:val="center"/>
                </w:tcPr>
                <w:p>
                  <w:pPr>
                    <w:adjustRightInd w:val="0"/>
                    <w:snapToGrid w:val="0"/>
                    <w:ind w:firstLine="444"/>
                    <w:rPr>
                      <w:spacing w:val="6"/>
                      <w:szCs w:val="21"/>
                    </w:rPr>
                  </w:pPr>
                  <w:r>
                    <w:rPr>
                      <w:rFonts w:hint="eastAsia"/>
                      <w:spacing w:val="6"/>
                      <w:szCs w:val="21"/>
                    </w:rPr>
                    <w:t>IP数据口</w:t>
                  </w:r>
                </w:p>
              </w:tc>
              <w:tc>
                <w:tcPr>
                  <w:tcW w:w="3478" w:type="dxa"/>
                  <w:vAlign w:val="center"/>
                </w:tcPr>
                <w:p>
                  <w:pPr>
                    <w:adjustRightInd w:val="0"/>
                    <w:snapToGrid w:val="0"/>
                    <w:ind w:firstLine="444"/>
                    <w:rPr>
                      <w:spacing w:val="6"/>
                      <w:szCs w:val="21"/>
                    </w:rPr>
                  </w:pPr>
                  <w:r>
                    <w:rPr>
                      <w:rFonts w:hint="eastAsia"/>
                      <w:spacing w:val="6"/>
                      <w:szCs w:val="21"/>
                    </w:rPr>
                    <w:t>RJ45，10/100Mbps自适应(配一个硅胶防尘塞)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76"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RS232串口</w:t>
                  </w:r>
                </w:p>
              </w:tc>
              <w:tc>
                <w:tcPr>
                  <w:tcW w:w="3478" w:type="dxa"/>
                  <w:vAlign w:val="center"/>
                </w:tcPr>
                <w:p>
                  <w:pPr>
                    <w:adjustRightInd w:val="0"/>
                    <w:snapToGrid w:val="0"/>
                    <w:ind w:firstLine="444"/>
                    <w:rPr>
                      <w:spacing w:val="6"/>
                      <w:szCs w:val="21"/>
                    </w:rPr>
                  </w:pPr>
                  <w:r>
                    <w:rPr>
                      <w:rFonts w:hint="eastAsia"/>
                      <w:spacing w:val="6"/>
                      <w:szCs w:val="21"/>
                    </w:rPr>
                    <w:t>DB9母座（配一个硅胶盖）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596" w:hRule="atLeast"/>
                <w:jc w:val="center"/>
              </w:trPr>
              <w:tc>
                <w:tcPr>
                  <w:tcW w:w="607" w:type="dxa"/>
                  <w:vMerge w:val="restart"/>
                  <w:vAlign w:val="center"/>
                </w:tcPr>
                <w:p>
                  <w:pPr>
                    <w:adjustRightInd w:val="0"/>
                    <w:snapToGrid w:val="0"/>
                    <w:jc w:val="both"/>
                    <w:rPr>
                      <w:b/>
                      <w:bCs/>
                      <w:szCs w:val="21"/>
                    </w:rPr>
                  </w:pPr>
                  <w:r>
                    <w:rPr>
                      <w:rFonts w:hint="eastAsia"/>
                      <w:b/>
                      <w:bCs/>
                      <w:szCs w:val="21"/>
                    </w:rPr>
                    <w:t>其他接口</w:t>
                  </w:r>
                </w:p>
              </w:tc>
              <w:tc>
                <w:tcPr>
                  <w:tcW w:w="2473" w:type="dxa"/>
                  <w:vAlign w:val="center"/>
                </w:tcPr>
                <w:p>
                  <w:pPr>
                    <w:adjustRightInd w:val="0"/>
                    <w:snapToGrid w:val="0"/>
                    <w:ind w:firstLine="444"/>
                    <w:rPr>
                      <w:spacing w:val="6"/>
                      <w:szCs w:val="21"/>
                    </w:rPr>
                  </w:pPr>
                  <w:r>
                    <w:rPr>
                      <w:rFonts w:hint="eastAsia"/>
                      <w:spacing w:val="6"/>
                      <w:szCs w:val="21"/>
                    </w:rPr>
                    <w:t>总电源输入</w:t>
                  </w:r>
                </w:p>
              </w:tc>
              <w:tc>
                <w:tcPr>
                  <w:tcW w:w="3478" w:type="dxa"/>
                  <w:vAlign w:val="center"/>
                </w:tcPr>
                <w:p>
                  <w:pPr>
                    <w:adjustRightInd w:val="0"/>
                    <w:snapToGrid w:val="0"/>
                    <w:ind w:firstLine="444"/>
                    <w:rPr>
                      <w:spacing w:val="6"/>
                      <w:szCs w:val="21"/>
                    </w:rPr>
                  </w:pPr>
                  <w:r>
                    <w:rPr>
                      <w:rFonts w:hint="eastAsia"/>
                      <w:spacing w:val="6"/>
                      <w:szCs w:val="21"/>
                    </w:rPr>
                    <w:t>带保险管和防浪涌电源滤波器的国标电源座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90"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手机卡槽</w:t>
                  </w:r>
                </w:p>
              </w:tc>
              <w:tc>
                <w:tcPr>
                  <w:tcW w:w="3478" w:type="dxa"/>
                  <w:vAlign w:val="center"/>
                </w:tcPr>
                <w:p>
                  <w:pPr>
                    <w:adjustRightInd w:val="0"/>
                    <w:snapToGrid w:val="0"/>
                    <w:ind w:firstLine="444"/>
                    <w:rPr>
                      <w:spacing w:val="6"/>
                      <w:szCs w:val="21"/>
                    </w:rPr>
                  </w:pPr>
                  <w:r>
                    <w:rPr>
                      <w:rFonts w:hint="eastAsia"/>
                      <w:spacing w:val="6"/>
                      <w:szCs w:val="21"/>
                    </w:rPr>
                    <w:t>手机卡，做好防尘防水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54"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音频功放输出</w:t>
                  </w:r>
                </w:p>
              </w:tc>
              <w:tc>
                <w:tcPr>
                  <w:tcW w:w="3478" w:type="dxa"/>
                  <w:vAlign w:val="center"/>
                </w:tcPr>
                <w:p>
                  <w:pPr>
                    <w:adjustRightInd w:val="0"/>
                    <w:snapToGrid w:val="0"/>
                    <w:rPr>
                      <w:spacing w:val="6"/>
                      <w:szCs w:val="21"/>
                    </w:rPr>
                  </w:pPr>
                  <w:r>
                    <w:rPr>
                      <w:rFonts w:hint="eastAsia"/>
                      <w:spacing w:val="6"/>
                      <w:szCs w:val="21"/>
                    </w:rPr>
                    <w:t>2个或4个纯铜镀金音频功放接线柱，推动2个功率为25W的高清喇叭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76"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话筒接口</w:t>
                  </w:r>
                </w:p>
              </w:tc>
              <w:tc>
                <w:tcPr>
                  <w:tcW w:w="3478" w:type="dxa"/>
                  <w:vAlign w:val="center"/>
                </w:tcPr>
                <w:p>
                  <w:pPr>
                    <w:adjustRightInd w:val="0"/>
                    <w:snapToGrid w:val="0"/>
                    <w:ind w:firstLine="444"/>
                    <w:rPr>
                      <w:spacing w:val="6"/>
                      <w:szCs w:val="21"/>
                    </w:rPr>
                  </w:pPr>
                  <w:r>
                    <w:rPr>
                      <w:rFonts w:hint="eastAsia"/>
                      <w:spacing w:val="6"/>
                      <w:szCs w:val="21"/>
                    </w:rPr>
                    <w:t>6.35mm动圈话筒接口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92"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USB接口</w:t>
                  </w:r>
                </w:p>
              </w:tc>
              <w:tc>
                <w:tcPr>
                  <w:tcW w:w="3478" w:type="dxa"/>
                  <w:vAlign w:val="center"/>
                </w:tcPr>
                <w:p>
                  <w:pPr>
                    <w:adjustRightInd w:val="0"/>
                    <w:snapToGrid w:val="0"/>
                    <w:ind w:firstLine="444"/>
                    <w:rPr>
                      <w:spacing w:val="6"/>
                      <w:szCs w:val="21"/>
                    </w:rPr>
                  </w:pPr>
                  <w:r>
                    <w:rPr>
                      <w:rFonts w:hint="eastAsia"/>
                      <w:spacing w:val="6"/>
                      <w:szCs w:val="21"/>
                    </w:rPr>
                    <w:t>USB2.0或以上接口规范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685" w:hRule="atLeast"/>
                <w:jc w:val="center"/>
              </w:trPr>
              <w:tc>
                <w:tcPr>
                  <w:tcW w:w="607" w:type="dxa"/>
                  <w:vMerge w:val="restart"/>
                  <w:vAlign w:val="center"/>
                </w:tcPr>
                <w:p>
                  <w:pPr>
                    <w:adjustRightInd w:val="0"/>
                    <w:snapToGrid w:val="0"/>
                    <w:jc w:val="both"/>
                    <w:rPr>
                      <w:b/>
                      <w:bCs/>
                      <w:szCs w:val="21"/>
                    </w:rPr>
                  </w:pPr>
                  <w:r>
                    <w:rPr>
                      <w:rFonts w:hint="eastAsia"/>
                      <w:b/>
                      <w:bCs/>
                      <w:szCs w:val="21"/>
                    </w:rPr>
                    <w:t>指标参数</w:t>
                  </w:r>
                </w:p>
              </w:tc>
              <w:tc>
                <w:tcPr>
                  <w:tcW w:w="2473" w:type="dxa"/>
                  <w:vAlign w:val="center"/>
                </w:tcPr>
                <w:p>
                  <w:pPr>
                    <w:adjustRightInd w:val="0"/>
                    <w:snapToGrid w:val="0"/>
                    <w:ind w:firstLine="444"/>
                    <w:rPr>
                      <w:spacing w:val="6"/>
                      <w:szCs w:val="21"/>
                    </w:rPr>
                  </w:pPr>
                  <w:r>
                    <w:rPr>
                      <w:rFonts w:hint="eastAsia"/>
                      <w:spacing w:val="6"/>
                      <w:szCs w:val="21"/>
                    </w:rPr>
                    <w:t>射频接收范围</w:t>
                  </w:r>
                </w:p>
              </w:tc>
              <w:tc>
                <w:tcPr>
                  <w:tcW w:w="3478" w:type="dxa"/>
                  <w:vAlign w:val="center"/>
                </w:tcPr>
                <w:p>
                  <w:pPr>
                    <w:adjustRightInd w:val="0"/>
                    <w:snapToGrid w:val="0"/>
                    <w:ind w:firstLine="444"/>
                    <w:rPr>
                      <w:spacing w:val="6"/>
                      <w:szCs w:val="21"/>
                    </w:rPr>
                  </w:pPr>
                  <w:r>
                    <w:rPr>
                      <w:rFonts w:hint="eastAsia"/>
                      <w:spacing w:val="6"/>
                      <w:szCs w:val="21"/>
                    </w:rPr>
                    <w:t>DTMB：47MHz</w:t>
                  </w:r>
                  <w:r>
                    <w:rPr>
                      <w:rFonts w:hint="eastAsia"/>
                      <w:szCs w:val="21"/>
                    </w:rPr>
                    <w:t>～</w:t>
                  </w:r>
                  <w:r>
                    <w:rPr>
                      <w:rFonts w:hint="eastAsia"/>
                      <w:spacing w:val="6"/>
                      <w:szCs w:val="21"/>
                    </w:rPr>
                    <w:t>862MHz</w:t>
                  </w:r>
                </w:p>
                <w:p>
                  <w:pPr>
                    <w:adjustRightInd w:val="0"/>
                    <w:snapToGrid w:val="0"/>
                    <w:ind w:firstLine="444"/>
                    <w:rPr>
                      <w:spacing w:val="6"/>
                      <w:szCs w:val="21"/>
                    </w:rPr>
                  </w:pPr>
                  <w:r>
                    <w:rPr>
                      <w:rFonts w:hint="eastAsia"/>
                      <w:spacing w:val="6"/>
                      <w:szCs w:val="21"/>
                    </w:rPr>
                    <w:t>DVB-C：115MHz</w:t>
                  </w:r>
                  <w:r>
                    <w:rPr>
                      <w:rFonts w:hint="eastAsia"/>
                      <w:szCs w:val="21"/>
                    </w:rPr>
                    <w:t>～</w:t>
                  </w:r>
                  <w:r>
                    <w:rPr>
                      <w:rFonts w:hint="eastAsia"/>
                      <w:spacing w:val="6"/>
                      <w:szCs w:val="21"/>
                    </w:rPr>
                    <w:t>858MHz</w:t>
                  </w:r>
                </w:p>
                <w:p>
                  <w:pPr>
                    <w:adjustRightInd w:val="0"/>
                    <w:snapToGrid w:val="0"/>
                    <w:ind w:firstLine="444"/>
                    <w:rPr>
                      <w:spacing w:val="6"/>
                      <w:szCs w:val="21"/>
                    </w:rPr>
                  </w:pPr>
                  <w:r>
                    <w:rPr>
                      <w:rFonts w:hint="eastAsia"/>
                      <w:spacing w:val="6"/>
                      <w:szCs w:val="21"/>
                    </w:rPr>
                    <w:t>FM：76MHz</w:t>
                  </w:r>
                  <w:r>
                    <w:rPr>
                      <w:rFonts w:hint="eastAsia"/>
                      <w:szCs w:val="21"/>
                    </w:rPr>
                    <w:t>～</w:t>
                  </w:r>
                  <w:r>
                    <w:rPr>
                      <w:rFonts w:hint="eastAsia"/>
                      <w:spacing w:val="6"/>
                      <w:szCs w:val="21"/>
                    </w:rPr>
                    <w:t xml:space="preserve">108MHz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252"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FM接收带通滤波器</w:t>
                  </w:r>
                </w:p>
              </w:tc>
              <w:tc>
                <w:tcPr>
                  <w:tcW w:w="3478" w:type="dxa"/>
                  <w:vAlign w:val="center"/>
                </w:tcPr>
                <w:p>
                  <w:pPr>
                    <w:adjustRightInd w:val="0"/>
                    <w:snapToGrid w:val="0"/>
                    <w:ind w:firstLine="444"/>
                    <w:rPr>
                      <w:spacing w:val="6"/>
                      <w:szCs w:val="21"/>
                    </w:rPr>
                  </w:pPr>
                  <w:r>
                    <w:rPr>
                      <w:rFonts w:hint="eastAsia"/>
                      <w:spacing w:val="6"/>
                      <w:szCs w:val="21"/>
                    </w:rPr>
                    <w:t>通带：76MHz</w:t>
                  </w:r>
                  <w:r>
                    <w:rPr>
                      <w:rFonts w:hint="eastAsia"/>
                      <w:szCs w:val="21"/>
                    </w:rPr>
                    <w:t>～</w:t>
                  </w:r>
                  <w:r>
                    <w:rPr>
                      <w:rFonts w:hint="eastAsia"/>
                      <w:spacing w:val="6"/>
                      <w:szCs w:val="21"/>
                    </w:rPr>
                    <w:t>108MHz</w:t>
                  </w:r>
                </w:p>
                <w:p>
                  <w:pPr>
                    <w:adjustRightInd w:val="0"/>
                    <w:snapToGrid w:val="0"/>
                    <w:ind w:firstLine="444"/>
                    <w:rPr>
                      <w:spacing w:val="6"/>
                      <w:szCs w:val="21"/>
                    </w:rPr>
                  </w:pPr>
                  <w:r>
                    <w:rPr>
                      <w:rFonts w:hint="eastAsia"/>
                      <w:spacing w:val="6"/>
                      <w:szCs w:val="21"/>
                    </w:rPr>
                    <w:t>插损：≤3dB</w:t>
                  </w:r>
                </w:p>
                <w:p>
                  <w:pPr>
                    <w:adjustRightInd w:val="0"/>
                    <w:snapToGrid w:val="0"/>
                    <w:ind w:firstLine="444"/>
                    <w:rPr>
                      <w:spacing w:val="6"/>
                      <w:szCs w:val="21"/>
                    </w:rPr>
                  </w:pPr>
                  <w:r>
                    <w:rPr>
                      <w:rFonts w:hint="eastAsia"/>
                      <w:spacing w:val="6"/>
                      <w:szCs w:val="21"/>
                    </w:rPr>
                    <w:t>带外抑制：</w:t>
                  </w:r>
                </w:p>
                <w:p>
                  <w:pPr>
                    <w:adjustRightInd w:val="0"/>
                    <w:snapToGrid w:val="0"/>
                    <w:ind w:firstLine="444"/>
                    <w:rPr>
                      <w:spacing w:val="6"/>
                      <w:szCs w:val="21"/>
                    </w:rPr>
                  </w:pPr>
                  <w:r>
                    <w:rPr>
                      <w:rFonts w:hint="eastAsia"/>
                      <w:spacing w:val="6"/>
                      <w:szCs w:val="21"/>
                    </w:rPr>
                    <w:t>小于</w:t>
                  </w:r>
                  <w:r>
                    <w:rPr>
                      <w:rFonts w:hint="eastAsia"/>
                      <w:szCs w:val="21"/>
                    </w:rPr>
                    <w:t>30</w:t>
                  </w:r>
                  <w:r>
                    <w:rPr>
                      <w:rFonts w:hint="eastAsia"/>
                      <w:spacing w:val="6"/>
                      <w:szCs w:val="21"/>
                    </w:rPr>
                    <w:t>MHz，≥20dB</w:t>
                  </w:r>
                </w:p>
                <w:p>
                  <w:pPr>
                    <w:adjustRightInd w:val="0"/>
                    <w:snapToGrid w:val="0"/>
                    <w:ind w:firstLine="444"/>
                    <w:rPr>
                      <w:spacing w:val="6"/>
                      <w:szCs w:val="21"/>
                    </w:rPr>
                  </w:pPr>
                  <w:r>
                    <w:rPr>
                      <w:rFonts w:hint="eastAsia"/>
                      <w:spacing w:val="6"/>
                      <w:szCs w:val="21"/>
                    </w:rPr>
                    <w:t>大于150 MHz，≥20dB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56"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调频FM接收灵敏度</w:t>
                  </w:r>
                </w:p>
              </w:tc>
              <w:tc>
                <w:tcPr>
                  <w:tcW w:w="3478" w:type="dxa"/>
                  <w:vAlign w:val="center"/>
                </w:tcPr>
                <w:p>
                  <w:pPr>
                    <w:adjustRightInd w:val="0"/>
                    <w:snapToGrid w:val="0"/>
                    <w:ind w:firstLine="444"/>
                    <w:rPr>
                      <w:spacing w:val="6"/>
                      <w:szCs w:val="21"/>
                    </w:rPr>
                  </w:pPr>
                  <w:r>
                    <w:rPr>
                      <w:rFonts w:hint="eastAsia"/>
                      <w:spacing w:val="6"/>
                      <w:szCs w:val="21"/>
                    </w:rPr>
                    <w:t>≤30dB</w:t>
                  </w:r>
                  <w:r>
                    <w:rPr>
                      <w:rFonts w:hint="eastAsia"/>
                      <w:szCs w:val="21"/>
                      <w:lang w:eastAsia="en-US"/>
                    </w:rPr>
                    <w:t>μ</w:t>
                  </w:r>
                  <w:r>
                    <w:rPr>
                      <w:rFonts w:hint="eastAsia"/>
                      <w:szCs w:val="21"/>
                    </w:rPr>
                    <w:t>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90"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音频功放输出阻抗</w:t>
                  </w:r>
                </w:p>
              </w:tc>
              <w:tc>
                <w:tcPr>
                  <w:tcW w:w="3478" w:type="dxa"/>
                  <w:vAlign w:val="center"/>
                </w:tcPr>
                <w:p>
                  <w:pPr>
                    <w:adjustRightInd w:val="0"/>
                    <w:snapToGrid w:val="0"/>
                    <w:ind w:firstLine="444"/>
                    <w:rPr>
                      <w:spacing w:val="6"/>
                      <w:szCs w:val="21"/>
                    </w:rPr>
                  </w:pPr>
                  <w:r>
                    <w:rPr>
                      <w:rFonts w:hint="eastAsia"/>
                      <w:spacing w:val="6"/>
                      <w:szCs w:val="21"/>
                    </w:rPr>
                    <w:t>8Ω</w:t>
                  </w:r>
                  <w:r>
                    <w:rPr>
                      <w:rFonts w:hint="eastAsia"/>
                      <w:szCs w:val="21"/>
                    </w:rPr>
                    <w:t>～</w:t>
                  </w:r>
                  <w:r>
                    <w:rPr>
                      <w:rFonts w:hint="eastAsia"/>
                      <w:spacing w:val="6"/>
                      <w:szCs w:val="21"/>
                    </w:rPr>
                    <w:t>16Ω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22"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音频功放额定输出有效值功率</w:t>
                  </w:r>
                </w:p>
              </w:tc>
              <w:tc>
                <w:tcPr>
                  <w:tcW w:w="3478" w:type="dxa"/>
                  <w:vAlign w:val="center"/>
                </w:tcPr>
                <w:p>
                  <w:pPr>
                    <w:adjustRightInd w:val="0"/>
                    <w:snapToGrid w:val="0"/>
                    <w:ind w:firstLine="444"/>
                    <w:rPr>
                      <w:spacing w:val="6"/>
                      <w:szCs w:val="21"/>
                    </w:rPr>
                  </w:pPr>
                  <w:r>
                    <w:rPr>
                      <w:rFonts w:hint="eastAsia"/>
                      <w:spacing w:val="6"/>
                      <w:szCs w:val="21"/>
                    </w:rPr>
                    <w:t>≥50W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28"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音频功放频率响应</w:t>
                  </w:r>
                </w:p>
              </w:tc>
              <w:tc>
                <w:tcPr>
                  <w:tcW w:w="3478" w:type="dxa"/>
                  <w:vAlign w:val="center"/>
                </w:tcPr>
                <w:p>
                  <w:pPr>
                    <w:adjustRightInd w:val="0"/>
                    <w:snapToGrid w:val="0"/>
                    <w:ind w:firstLine="444"/>
                    <w:rPr>
                      <w:spacing w:val="6"/>
                      <w:szCs w:val="21"/>
                    </w:rPr>
                  </w:pPr>
                  <w:r>
                    <w:rPr>
                      <w:rFonts w:hint="eastAsia"/>
                      <w:spacing w:val="6"/>
                      <w:szCs w:val="21"/>
                    </w:rPr>
                    <w:t>±1dB(80Hz</w:t>
                  </w:r>
                  <w:r>
                    <w:rPr>
                      <w:rFonts w:hint="eastAsia"/>
                      <w:szCs w:val="21"/>
                    </w:rPr>
                    <w:t>～</w:t>
                  </w:r>
                  <w:r>
                    <w:rPr>
                      <w:rFonts w:hint="eastAsia"/>
                      <w:spacing w:val="6"/>
                      <w:szCs w:val="21"/>
                    </w:rPr>
                    <w:t>12.5KHz)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57"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音频功放谐波失真</w:t>
                  </w:r>
                </w:p>
              </w:tc>
              <w:tc>
                <w:tcPr>
                  <w:tcW w:w="3478" w:type="dxa"/>
                  <w:vAlign w:val="center"/>
                </w:tcPr>
                <w:p>
                  <w:pPr>
                    <w:adjustRightInd w:val="0"/>
                    <w:snapToGrid w:val="0"/>
                    <w:ind w:firstLine="444"/>
                    <w:rPr>
                      <w:spacing w:val="6"/>
                      <w:szCs w:val="21"/>
                    </w:rPr>
                  </w:pPr>
                  <w:r>
                    <w:rPr>
                      <w:rFonts w:hint="eastAsia"/>
                      <w:spacing w:val="6"/>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333"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音频功放信噪比</w:t>
                  </w:r>
                </w:p>
              </w:tc>
              <w:tc>
                <w:tcPr>
                  <w:tcW w:w="3478" w:type="dxa"/>
                  <w:vAlign w:val="center"/>
                </w:tcPr>
                <w:p>
                  <w:pPr>
                    <w:adjustRightInd w:val="0"/>
                    <w:snapToGrid w:val="0"/>
                    <w:ind w:firstLine="444"/>
                    <w:rPr>
                      <w:spacing w:val="6"/>
                      <w:szCs w:val="21"/>
                    </w:rPr>
                  </w:pPr>
                  <w:r>
                    <w:rPr>
                      <w:rFonts w:hint="eastAsia"/>
                      <w:spacing w:val="6"/>
                      <w:szCs w:val="21"/>
                    </w:rPr>
                    <w:t>≥60dB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428" w:hRule="atLeast"/>
                <w:jc w:val="center"/>
              </w:trPr>
              <w:tc>
                <w:tcPr>
                  <w:tcW w:w="607" w:type="dxa"/>
                  <w:vMerge w:val="continue"/>
                  <w:vAlign w:val="center"/>
                </w:tcPr>
                <w:p>
                  <w:pPr>
                    <w:adjustRightInd w:val="0"/>
                    <w:snapToGrid w:val="0"/>
                    <w:ind w:firstLine="422"/>
                    <w:jc w:val="center"/>
                    <w:rPr>
                      <w:b/>
                      <w:bCs/>
                      <w:szCs w:val="21"/>
                    </w:rPr>
                  </w:pPr>
                </w:p>
              </w:tc>
              <w:tc>
                <w:tcPr>
                  <w:tcW w:w="2473" w:type="dxa"/>
                  <w:vAlign w:val="center"/>
                </w:tcPr>
                <w:p>
                  <w:pPr>
                    <w:adjustRightInd w:val="0"/>
                    <w:snapToGrid w:val="0"/>
                    <w:ind w:firstLine="444"/>
                    <w:rPr>
                      <w:spacing w:val="6"/>
                      <w:szCs w:val="21"/>
                    </w:rPr>
                  </w:pPr>
                  <w:r>
                    <w:rPr>
                      <w:rFonts w:hint="eastAsia"/>
                      <w:spacing w:val="6"/>
                      <w:szCs w:val="21"/>
                    </w:rPr>
                    <w:t>电源效率</w:t>
                  </w:r>
                </w:p>
              </w:tc>
              <w:tc>
                <w:tcPr>
                  <w:tcW w:w="3478" w:type="dxa"/>
                  <w:vAlign w:val="center"/>
                </w:tcPr>
                <w:p>
                  <w:pPr>
                    <w:adjustRightInd w:val="0"/>
                    <w:snapToGrid w:val="0"/>
                    <w:ind w:firstLine="444"/>
                    <w:rPr>
                      <w:spacing w:val="6"/>
                      <w:szCs w:val="21"/>
                    </w:rPr>
                  </w:pPr>
                  <w:r>
                    <w:rPr>
                      <w:rFonts w:hint="eastAsia"/>
                      <w:spacing w:val="6"/>
                      <w:szCs w:val="21"/>
                    </w:rPr>
                    <w:t>≥90%（采用开关电源）</w:t>
                  </w:r>
                </w:p>
                <w:p>
                  <w:pPr>
                    <w:adjustRightInd w:val="0"/>
                    <w:snapToGrid w:val="0"/>
                    <w:ind w:firstLine="444"/>
                    <w:rPr>
                      <w:spacing w:val="6"/>
                      <w:szCs w:val="21"/>
                    </w:rPr>
                  </w:pPr>
                  <w:r>
                    <w:rPr>
                      <w:rFonts w:hint="eastAsia"/>
                      <w:spacing w:val="6"/>
                      <w:szCs w:val="21"/>
                    </w:rPr>
                    <w:t>或≥50%（采用线性电源）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299" w:hRule="atLeast"/>
                <w:jc w:val="center"/>
              </w:trPr>
              <w:tc>
                <w:tcPr>
                  <w:tcW w:w="607" w:type="dxa"/>
                  <w:vMerge w:val="restart"/>
                  <w:vAlign w:val="center"/>
                </w:tcPr>
                <w:p>
                  <w:pPr>
                    <w:adjustRightInd w:val="0"/>
                    <w:snapToGrid w:val="0"/>
                    <w:jc w:val="both"/>
                    <w:rPr>
                      <w:b/>
                      <w:bCs/>
                      <w:szCs w:val="21"/>
                    </w:rPr>
                  </w:pPr>
                  <w:r>
                    <w:rPr>
                      <w:rFonts w:hint="eastAsia"/>
                      <w:b/>
                      <w:bCs/>
                      <w:szCs w:val="21"/>
                    </w:rPr>
                    <w:t>通用参数</w:t>
                  </w:r>
                </w:p>
              </w:tc>
              <w:tc>
                <w:tcPr>
                  <w:tcW w:w="2473" w:type="dxa"/>
                  <w:vAlign w:val="center"/>
                </w:tcPr>
                <w:p>
                  <w:pPr>
                    <w:adjustRightInd w:val="0"/>
                    <w:snapToGrid w:val="0"/>
                    <w:ind w:firstLine="444"/>
                    <w:rPr>
                      <w:spacing w:val="6"/>
                      <w:szCs w:val="21"/>
                    </w:rPr>
                  </w:pPr>
                  <w:r>
                    <w:rPr>
                      <w:rFonts w:hint="eastAsia"/>
                      <w:spacing w:val="6"/>
                      <w:szCs w:val="21"/>
                    </w:rPr>
                    <w:t>温度范围</w:t>
                  </w:r>
                </w:p>
              </w:tc>
              <w:tc>
                <w:tcPr>
                  <w:tcW w:w="3478" w:type="dxa"/>
                  <w:vAlign w:val="center"/>
                </w:tcPr>
                <w:p>
                  <w:pPr>
                    <w:adjustRightInd w:val="0"/>
                    <w:snapToGrid w:val="0"/>
                    <w:ind w:firstLine="444"/>
                    <w:rPr>
                      <w:spacing w:val="6"/>
                      <w:szCs w:val="21"/>
                    </w:rPr>
                  </w:pPr>
                  <w:r>
                    <w:rPr>
                      <w:rFonts w:hint="eastAsia"/>
                      <w:spacing w:val="6"/>
                      <w:szCs w:val="21"/>
                    </w:rPr>
                    <w:t>-10℃</w:t>
                  </w:r>
                  <w:r>
                    <w:rPr>
                      <w:rFonts w:hint="eastAsia"/>
                      <w:szCs w:val="21"/>
                    </w:rPr>
                    <w:t>～</w:t>
                  </w:r>
                  <w:r>
                    <w:rPr>
                      <w:rFonts w:hint="eastAsia"/>
                      <w:spacing w:val="6"/>
                      <w:szCs w:val="21"/>
                    </w:rPr>
                    <w:t xml:space="preserve">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trHeight w:val="1654" w:hRule="atLeast"/>
                <w:jc w:val="center"/>
              </w:trPr>
              <w:tc>
                <w:tcPr>
                  <w:tcW w:w="607" w:type="dxa"/>
                  <w:vMerge w:val="continue"/>
                  <w:vAlign w:val="center"/>
                </w:tcPr>
                <w:p>
                  <w:pPr>
                    <w:adjustRightInd w:val="0"/>
                    <w:snapToGrid w:val="0"/>
                    <w:ind w:firstLine="420"/>
                    <w:rPr>
                      <w:szCs w:val="21"/>
                    </w:rPr>
                  </w:pPr>
                </w:p>
              </w:tc>
              <w:tc>
                <w:tcPr>
                  <w:tcW w:w="2473" w:type="dxa"/>
                  <w:vAlign w:val="center"/>
                </w:tcPr>
                <w:p>
                  <w:pPr>
                    <w:adjustRightInd w:val="0"/>
                    <w:snapToGrid w:val="0"/>
                    <w:ind w:firstLine="444"/>
                    <w:rPr>
                      <w:spacing w:val="6"/>
                      <w:szCs w:val="21"/>
                    </w:rPr>
                  </w:pPr>
                  <w:r>
                    <w:rPr>
                      <w:rFonts w:hint="eastAsia"/>
                      <w:spacing w:val="6"/>
                      <w:szCs w:val="21"/>
                    </w:rPr>
                    <w:t>工作电压</w:t>
                  </w:r>
                </w:p>
              </w:tc>
              <w:tc>
                <w:tcPr>
                  <w:tcW w:w="3478" w:type="dxa"/>
                  <w:vAlign w:val="center"/>
                </w:tcPr>
                <w:p>
                  <w:pPr>
                    <w:adjustRightInd w:val="0"/>
                    <w:snapToGrid w:val="0"/>
                    <w:rPr>
                      <w:spacing w:val="6"/>
                      <w:szCs w:val="21"/>
                    </w:rPr>
                  </w:pPr>
                  <w:r>
                    <w:rPr>
                      <w:rFonts w:hint="eastAsia"/>
                      <w:spacing w:val="6"/>
                      <w:szCs w:val="21"/>
                    </w:rPr>
                    <w:t>（1）采用开关电源：交流90V</w:t>
                  </w:r>
                  <w:r>
                    <w:rPr>
                      <w:rFonts w:hint="eastAsia"/>
                      <w:szCs w:val="21"/>
                    </w:rPr>
                    <w:t>～</w:t>
                  </w:r>
                  <w:r>
                    <w:rPr>
                      <w:rFonts w:hint="eastAsia"/>
                      <w:spacing w:val="6"/>
                      <w:szCs w:val="21"/>
                    </w:rPr>
                    <w:t>264V或更宽范围，50Hz±5Hz</w:t>
                  </w:r>
                </w:p>
                <w:p>
                  <w:pPr>
                    <w:adjustRightInd w:val="0"/>
                    <w:snapToGrid w:val="0"/>
                    <w:rPr>
                      <w:spacing w:val="6"/>
                      <w:szCs w:val="21"/>
                    </w:rPr>
                  </w:pPr>
                  <w:r>
                    <w:rPr>
                      <w:rFonts w:hint="eastAsia"/>
                      <w:spacing w:val="6"/>
                      <w:szCs w:val="21"/>
                    </w:rPr>
                    <w:t>（2）或采用线性电源：交流220V±15%或更宽范围，50Hz±5Hz</w:t>
                  </w:r>
                </w:p>
                <w:p>
                  <w:pPr>
                    <w:adjustRightInd w:val="0"/>
                    <w:snapToGrid w:val="0"/>
                    <w:rPr>
                      <w:spacing w:val="6"/>
                      <w:szCs w:val="21"/>
                    </w:rPr>
                  </w:pPr>
                  <w:r>
                    <w:rPr>
                      <w:rFonts w:hint="eastAsia"/>
                      <w:spacing w:val="6"/>
                      <w:szCs w:val="21"/>
                    </w:rPr>
                    <w:t>（3）具有防浪涌电源滤波器（带保险管，保险管1主1备）。</w:t>
                  </w:r>
                </w:p>
              </w:tc>
            </w:tr>
          </w:tbl>
          <w:p>
            <w:pPr>
              <w:widowControl/>
              <w:adjustRightInd w:val="0"/>
              <w:snapToGrid w:val="0"/>
              <w:rPr>
                <w:szCs w:val="21"/>
              </w:rPr>
            </w:pPr>
            <w:r>
              <w:rPr>
                <w:rFonts w:hint="eastAsia"/>
                <w:szCs w:val="21"/>
              </w:rPr>
              <w:t xml:space="preserve">    </w:t>
            </w:r>
            <w:r>
              <w:rPr>
                <w:rFonts w:hint="eastAsia"/>
                <w:b/>
                <w:bCs/>
                <w:szCs w:val="21"/>
              </w:rPr>
              <w:t>（二）功能要求：</w:t>
            </w:r>
          </w:p>
          <w:p>
            <w:pPr>
              <w:numPr>
                <w:ilvl w:val="0"/>
                <w:numId w:val="21"/>
              </w:numPr>
              <w:tabs>
                <w:tab w:val="left" w:pos="0"/>
              </w:tabs>
              <w:autoSpaceDE/>
              <w:autoSpaceDN/>
              <w:adjustRightInd w:val="0"/>
              <w:snapToGrid w:val="0"/>
              <w:ind w:left="0"/>
              <w:rPr>
                <w:szCs w:val="21"/>
              </w:rPr>
            </w:pPr>
            <w:r>
              <w:rPr>
                <w:rFonts w:hint="eastAsia"/>
                <w:szCs w:val="21"/>
              </w:rPr>
              <w:t>集接收、解码、播控等功能于一体，要求整机模块化设计，符合指标要求。接口如下图所示。</w:t>
            </w:r>
          </w:p>
          <w:p>
            <w:pPr>
              <w:adjustRightInd w:val="0"/>
              <w:snapToGrid w:val="0"/>
              <w:ind w:left="400"/>
              <w:jc w:val="center"/>
              <w:rPr>
                <w:szCs w:val="21"/>
              </w:rPr>
            </w:pPr>
            <w:r>
              <w:rPr>
                <w:rFonts w:hint="eastAsia"/>
                <w:szCs w:val="21"/>
              </w:rPr>
              <w:object>
                <v:shape id="_x0000_i1029" o:spt="75" type="#_x0000_t75" style="height:158.4pt;width:187.2pt;" o:ole="t" filled="f" o:preferrelative="t" stroked="f" coordsize="21600,21600">
                  <v:path/>
                  <v:fill on="f" focussize="0,0"/>
                  <v:stroke on="f" joinstyle="miter"/>
                  <v:imagedata r:id="rId33" o:title=""/>
                  <o:lock v:ext="edit" aspectratio="t"/>
                  <w10:wrap type="none"/>
                  <w10:anchorlock/>
                </v:shape>
                <o:OLEObject Type="Embed" ProgID="Visio.Drawing.11" ShapeID="_x0000_i1029" DrawAspect="Content" ObjectID="_1468075729" r:id="rId32">
                  <o:LockedField>false</o:LockedField>
                </o:OLEObject>
              </w:object>
            </w:r>
          </w:p>
          <w:p>
            <w:pPr>
              <w:pStyle w:val="62"/>
              <w:adjustRightInd w:val="0"/>
              <w:snapToGrid w:val="0"/>
              <w:ind w:left="400" w:firstLine="0"/>
              <w:jc w:val="center"/>
              <w:rPr>
                <w:szCs w:val="21"/>
              </w:rPr>
            </w:pPr>
            <w:r>
              <w:rPr>
                <w:rFonts w:hint="eastAsia"/>
                <w:szCs w:val="21"/>
              </w:rPr>
              <w:t>收扩机接口示意图（前面板和底部）</w:t>
            </w:r>
          </w:p>
          <w:p>
            <w:pPr>
              <w:numPr>
                <w:ilvl w:val="0"/>
                <w:numId w:val="21"/>
              </w:numPr>
              <w:tabs>
                <w:tab w:val="left" w:pos="0"/>
              </w:tabs>
              <w:autoSpaceDE/>
              <w:autoSpaceDN/>
              <w:adjustRightInd w:val="0"/>
              <w:snapToGrid w:val="0"/>
              <w:ind w:left="0"/>
              <w:rPr>
                <w:szCs w:val="21"/>
              </w:rPr>
            </w:pPr>
            <w:r>
              <w:rPr>
                <w:rFonts w:hint="eastAsia"/>
                <w:szCs w:val="21"/>
              </w:rPr>
              <w:t>收扩机内置的所有网卡全面支持IPV4。</w:t>
            </w:r>
          </w:p>
          <w:p>
            <w:pPr>
              <w:numPr>
                <w:ilvl w:val="0"/>
                <w:numId w:val="21"/>
              </w:numPr>
              <w:tabs>
                <w:tab w:val="left" w:pos="0"/>
              </w:tabs>
              <w:autoSpaceDE/>
              <w:autoSpaceDN/>
              <w:adjustRightInd w:val="0"/>
              <w:snapToGrid w:val="0"/>
              <w:ind w:left="0"/>
              <w:rPr>
                <w:szCs w:val="21"/>
              </w:rPr>
            </w:pPr>
            <w:r>
              <w:rPr>
                <w:rFonts w:hint="eastAsia"/>
                <w:szCs w:val="21"/>
              </w:rPr>
              <w:t>优先级播出处理规则设置：应急广播与日常广播此两种不同类型广播，不论级别，应急广播均优先播出，电话及短信插播方式视为应急广播；相同类型广播，应首先判断广播消息级别，优先级高则优先播出；广播消息级别相同，如果设备设置为上级优先，则行政级别高优先播出，如果设备设置为下级优先，则行政级别低优先播出；广播消息级别和行政级别均相同，默认情况下优先播出数字通道（DTMB/DVB-C、IP/4G），然后为FM通道；高优先级广播播出完成以后，播放次优先级广播。</w:t>
            </w:r>
          </w:p>
          <w:p>
            <w:pPr>
              <w:numPr>
                <w:ilvl w:val="0"/>
                <w:numId w:val="21"/>
              </w:numPr>
              <w:tabs>
                <w:tab w:val="left" w:pos="0"/>
              </w:tabs>
              <w:autoSpaceDE/>
              <w:autoSpaceDN/>
              <w:adjustRightInd w:val="0"/>
              <w:snapToGrid w:val="0"/>
              <w:ind w:left="0"/>
              <w:rPr>
                <w:szCs w:val="21"/>
              </w:rPr>
            </w:pPr>
            <w:r>
              <w:rPr>
                <w:rFonts w:hint="eastAsia"/>
                <w:szCs w:val="21"/>
              </w:rPr>
              <w:t>具有本地和远程设置应急广播消息上级优先、下级优先播出功能，默认设置为上级优先。</w:t>
            </w:r>
          </w:p>
          <w:p>
            <w:pPr>
              <w:numPr>
                <w:ilvl w:val="0"/>
                <w:numId w:val="21"/>
              </w:numPr>
              <w:tabs>
                <w:tab w:val="left" w:pos="0"/>
              </w:tabs>
              <w:autoSpaceDE/>
              <w:autoSpaceDN/>
              <w:adjustRightInd w:val="0"/>
              <w:snapToGrid w:val="0"/>
              <w:ind w:left="0"/>
              <w:rPr>
                <w:szCs w:val="21"/>
              </w:rPr>
            </w:pPr>
            <w:r>
              <w:rPr>
                <w:rFonts w:hint="eastAsia"/>
                <w:szCs w:val="21"/>
              </w:rPr>
              <w:t>具有DTMB/DVB-C、FM、IP/4G多通道模式同时接收应急广播消息并解析的功能。具有4G模块（支持中国移动、中国电信、中国联通公司网络）。接收上级广播时，通道优先级默认优先顺序：DTMB、DVB-C、IP/4G、FM1、FM2，可本地和远程设置。</w:t>
            </w:r>
          </w:p>
          <w:p>
            <w:pPr>
              <w:numPr>
                <w:ilvl w:val="0"/>
                <w:numId w:val="21"/>
              </w:numPr>
              <w:tabs>
                <w:tab w:val="left" w:pos="0"/>
              </w:tabs>
              <w:autoSpaceDE/>
              <w:autoSpaceDN/>
              <w:adjustRightInd w:val="0"/>
              <w:snapToGrid w:val="0"/>
              <w:ind w:left="0"/>
              <w:rPr>
                <w:szCs w:val="21"/>
              </w:rPr>
            </w:pPr>
            <w:r>
              <w:rPr>
                <w:rFonts w:hint="eastAsia"/>
                <w:szCs w:val="21"/>
              </w:rPr>
              <w:t>采用有线IP和移动通信网络两种方式实现设备状态数据回传，两种回传方式均须实现。可本地和远程设置手动、自动两种状态（默认）。手动状态下可本地和远程手动切换回传方式；自动状态下由设备定时（时长可设置）检测有线IP回传通路情况。设备作为客户端与平台服务器握手通信，已连接则采用有线IP回传，断开连接则选择移动通信网络回传，恢复连接则重新选择有线IP方式回传。两种回传方式的协议均要求采用《广西应急广播终端数据回传技术规范V1.2》。</w:t>
            </w:r>
          </w:p>
          <w:p>
            <w:pPr>
              <w:numPr>
                <w:ilvl w:val="0"/>
                <w:numId w:val="21"/>
              </w:numPr>
              <w:tabs>
                <w:tab w:val="left" w:pos="0"/>
              </w:tabs>
              <w:autoSpaceDE/>
              <w:autoSpaceDN/>
              <w:adjustRightInd w:val="0"/>
              <w:snapToGrid w:val="0"/>
              <w:ind w:left="0"/>
              <w:rPr>
                <w:szCs w:val="21"/>
              </w:rPr>
            </w:pPr>
            <w:r>
              <w:rPr>
                <w:rFonts w:hint="eastAsia"/>
                <w:szCs w:val="21"/>
              </w:rPr>
              <w:t>可通过应急广播指令对设备进行管理配置，包括资源编码设置、网管业务参数设置、回传IP地址设置、默认音量设置、自动报文间隔、接收射频频率设置等。</w:t>
            </w:r>
          </w:p>
          <w:p>
            <w:pPr>
              <w:numPr>
                <w:ilvl w:val="0"/>
                <w:numId w:val="21"/>
              </w:numPr>
              <w:tabs>
                <w:tab w:val="left" w:pos="0"/>
              </w:tabs>
              <w:autoSpaceDE/>
              <w:autoSpaceDN/>
              <w:adjustRightInd w:val="0"/>
              <w:snapToGrid w:val="0"/>
              <w:ind w:left="0"/>
              <w:rPr>
                <w:bCs/>
                <w:szCs w:val="21"/>
              </w:rPr>
            </w:pPr>
            <w:r>
              <w:rPr>
                <w:rFonts w:hint="eastAsia"/>
                <w:szCs w:val="21"/>
              </w:rPr>
              <w:t>具有远程升级功能，升级方式参照</w:t>
            </w:r>
            <w:r>
              <w:rPr>
                <w:rFonts w:hint="eastAsia"/>
                <w:bCs/>
                <w:szCs w:val="21"/>
              </w:rPr>
              <w:t>《广西应急广播终端软件升级技术规范》，采用接收TS流方式被动升级和采用HTTP请求方式主动升级两种方式，通过DTMB/DVB-C、IP/4G通道传输升级数据，设备接收完数据并校验通过后自动进行升级。</w:t>
            </w:r>
          </w:p>
          <w:p>
            <w:pPr>
              <w:numPr>
                <w:ilvl w:val="0"/>
                <w:numId w:val="21"/>
              </w:numPr>
              <w:tabs>
                <w:tab w:val="left" w:pos="0"/>
              </w:tabs>
              <w:autoSpaceDE/>
              <w:autoSpaceDN/>
              <w:adjustRightInd w:val="0"/>
              <w:snapToGrid w:val="0"/>
              <w:ind w:left="0"/>
              <w:rPr>
                <w:szCs w:val="21"/>
              </w:rPr>
            </w:pPr>
            <w:r>
              <w:rPr>
                <w:rFonts w:hint="eastAsia"/>
                <w:szCs w:val="21"/>
              </w:rPr>
              <w:t>要求收扩机可同时解析两个应急广播控制PID，分别为0x21和0x22，两个控制PID所在TS流携带的指令表格式参照</w:t>
            </w:r>
            <w:r>
              <w:rPr>
                <w:rFonts w:hint="eastAsia"/>
                <w:bCs/>
                <w:szCs w:val="21"/>
              </w:rPr>
              <w:t>《广西应急广播TS流传输技术规范》</w:t>
            </w:r>
            <w:r>
              <w:rPr>
                <w:rFonts w:hint="eastAsia"/>
                <w:szCs w:val="21"/>
              </w:rPr>
              <w:t>。其中PID=0x21的TS流为县级以上平台下发的应急广播指令，PID=0x22的TS流为乡镇平台下发的应急广播指令。</w:t>
            </w:r>
          </w:p>
          <w:p>
            <w:pPr>
              <w:numPr>
                <w:ilvl w:val="0"/>
                <w:numId w:val="21"/>
              </w:numPr>
              <w:tabs>
                <w:tab w:val="left" w:pos="0"/>
              </w:tabs>
              <w:autoSpaceDE/>
              <w:autoSpaceDN/>
              <w:adjustRightInd w:val="0"/>
              <w:snapToGrid w:val="0"/>
              <w:ind w:left="0"/>
              <w:rPr>
                <w:szCs w:val="21"/>
              </w:rPr>
            </w:pPr>
            <w:r>
              <w:rPr>
                <w:rFonts w:hint="eastAsia"/>
                <w:bCs/>
                <w:szCs w:val="21"/>
              </w:rPr>
              <w:t>调频副载波(RDS)接收及解析协议采用《广西调频副载波(RDS)编码传输技术规范》，RDS编码指令数据采用上级平台加密，终端解密方式传输，协议采用《广西应急广播系统指令安全保护（数字签名）技术规范》。</w:t>
            </w:r>
          </w:p>
          <w:p>
            <w:pPr>
              <w:numPr>
                <w:ilvl w:val="0"/>
                <w:numId w:val="21"/>
              </w:numPr>
              <w:tabs>
                <w:tab w:val="left" w:pos="0"/>
              </w:tabs>
              <w:autoSpaceDE/>
              <w:autoSpaceDN/>
              <w:adjustRightInd w:val="0"/>
              <w:snapToGrid w:val="0"/>
              <w:ind w:left="0"/>
              <w:rPr>
                <w:bCs/>
                <w:szCs w:val="21"/>
              </w:rPr>
            </w:pPr>
            <w:r>
              <w:rPr>
                <w:rFonts w:hint="eastAsia"/>
                <w:bCs/>
                <w:szCs w:val="21"/>
              </w:rPr>
              <w:t>收扩机接收DTMB、DVB-C两种模式传输应急广播消息，要求协议采用《广西应急广播TS流传输技术规范》。TS指令数据采用上级平台加密，终端解密方式传输，协议采用《广西应急广播指令安全保护（数字签名）技术规范》。采用IP、4G模式接收应急广播消息时，采用《广西应急广播IP传输技术规范V1.2》。</w:t>
            </w:r>
          </w:p>
          <w:p>
            <w:pPr>
              <w:numPr>
                <w:ilvl w:val="0"/>
                <w:numId w:val="21"/>
              </w:numPr>
              <w:tabs>
                <w:tab w:val="left" w:pos="0"/>
              </w:tabs>
              <w:autoSpaceDE/>
              <w:autoSpaceDN/>
              <w:adjustRightInd w:val="0"/>
              <w:snapToGrid w:val="0"/>
              <w:ind w:left="0"/>
              <w:rPr>
                <w:bCs/>
                <w:szCs w:val="21"/>
              </w:rPr>
            </w:pPr>
            <w:r>
              <w:rPr>
                <w:rFonts w:hint="eastAsia"/>
                <w:szCs w:val="21"/>
              </w:rPr>
              <w:t>收扩机必须具有自动分配网关的功能。有线IP及4G网管通道，数据上行必须绑定出口路由。当使用有线IP网络回传的时候，回传数据自动从广电内网网关出，不能从4G网关出；当切换到4G网络时候，回传数据自动从4G网关出，同时保留内网网关以和县级平台进行通信。</w:t>
            </w:r>
          </w:p>
          <w:p>
            <w:pPr>
              <w:numPr>
                <w:ilvl w:val="0"/>
                <w:numId w:val="21"/>
              </w:numPr>
              <w:tabs>
                <w:tab w:val="left" w:pos="0"/>
              </w:tabs>
              <w:autoSpaceDE/>
              <w:autoSpaceDN/>
              <w:adjustRightInd w:val="0"/>
              <w:snapToGrid w:val="0"/>
              <w:ind w:left="0"/>
              <w:rPr>
                <w:szCs w:val="21"/>
              </w:rPr>
            </w:pPr>
            <w:r>
              <w:rPr>
                <w:rFonts w:hint="eastAsia"/>
                <w:szCs w:val="21"/>
              </w:rPr>
              <w:t>具有系统复位按键（参照收扩机接口示意图），长按5秒恢复出厂设置，所有参数恢复到出厂设置状态。支持TELNET远程登录服务标准协议，可由用户远程登录设备嵌入式LINUX操作系统，用户名统一为：admin，密码为admin，最大用户权限。用户TENET登录后，可修改默认管理地址（192.168.2.200）和子网掩码（255.255.255.0）等参数。</w:t>
            </w:r>
          </w:p>
          <w:p>
            <w:pPr>
              <w:numPr>
                <w:ilvl w:val="0"/>
                <w:numId w:val="21"/>
              </w:numPr>
              <w:tabs>
                <w:tab w:val="left" w:pos="0"/>
              </w:tabs>
              <w:autoSpaceDE/>
              <w:autoSpaceDN/>
              <w:adjustRightInd w:val="0"/>
              <w:snapToGrid w:val="0"/>
              <w:ind w:left="0"/>
              <w:rPr>
                <w:szCs w:val="21"/>
              </w:rPr>
            </w:pPr>
            <w:r>
              <w:rPr>
                <w:rFonts w:hint="eastAsia"/>
                <w:szCs w:val="21"/>
              </w:rPr>
              <w:t>WEB网管具有系统软重启、恢复出厂设置项，用户可登陆该WEB网管对整个收扩机进行重启和恢复出厂设置操作。WEB网管用户名统一为：admin，登录密码统一为123456。</w:t>
            </w:r>
          </w:p>
          <w:p>
            <w:pPr>
              <w:numPr>
                <w:ilvl w:val="0"/>
                <w:numId w:val="21"/>
              </w:numPr>
              <w:tabs>
                <w:tab w:val="left" w:pos="0"/>
              </w:tabs>
              <w:autoSpaceDE/>
              <w:autoSpaceDN/>
              <w:adjustRightInd w:val="0"/>
              <w:snapToGrid w:val="0"/>
              <w:ind w:left="0"/>
              <w:rPr>
                <w:szCs w:val="21"/>
              </w:rPr>
            </w:pPr>
            <w:r>
              <w:rPr>
                <w:rFonts w:hint="eastAsia"/>
                <w:szCs w:val="21"/>
              </w:rPr>
              <w:t>具有独立时钟电路，采用高精度实时时钟芯片作为系统时钟，采用锂电池作为实时时钟芯片供电电源，确保设备运行时间准确。可根据上级授时指令对当前实时时钟进行更新授时。（时钟芯片性能不低于DS3231）</w:t>
            </w:r>
          </w:p>
          <w:p>
            <w:pPr>
              <w:numPr>
                <w:ilvl w:val="0"/>
                <w:numId w:val="21"/>
              </w:numPr>
              <w:tabs>
                <w:tab w:val="left" w:pos="0"/>
              </w:tabs>
              <w:autoSpaceDE/>
              <w:autoSpaceDN/>
              <w:adjustRightInd w:val="0"/>
              <w:snapToGrid w:val="0"/>
              <w:ind w:left="0"/>
              <w:rPr>
                <w:szCs w:val="21"/>
              </w:rPr>
            </w:pPr>
            <w:r>
              <w:rPr>
                <w:rFonts w:hint="eastAsia"/>
                <w:szCs w:val="21"/>
              </w:rPr>
              <w:t>具有断电记忆功能，设备重启后，已保存的参数不丢失。</w:t>
            </w:r>
          </w:p>
          <w:p>
            <w:pPr>
              <w:numPr>
                <w:ilvl w:val="0"/>
                <w:numId w:val="21"/>
              </w:numPr>
              <w:tabs>
                <w:tab w:val="left" w:pos="0"/>
              </w:tabs>
              <w:autoSpaceDE/>
              <w:autoSpaceDN/>
              <w:adjustRightInd w:val="0"/>
              <w:snapToGrid w:val="0"/>
              <w:ind w:left="0"/>
              <w:rPr>
                <w:szCs w:val="21"/>
              </w:rPr>
            </w:pPr>
            <w:r>
              <w:rPr>
                <w:rFonts w:hint="eastAsia"/>
                <w:szCs w:val="21"/>
              </w:rPr>
              <w:t>收扩机正面，靠近最底端有3个轻触式操作按键及LED指示灯。底部具有话筒及U盘等本地音源接口。</w:t>
            </w:r>
          </w:p>
          <w:p>
            <w:pPr>
              <w:numPr>
                <w:ilvl w:val="0"/>
                <w:numId w:val="21"/>
              </w:numPr>
              <w:tabs>
                <w:tab w:val="left" w:pos="0"/>
              </w:tabs>
              <w:autoSpaceDE/>
              <w:autoSpaceDN/>
              <w:adjustRightInd w:val="0"/>
              <w:snapToGrid w:val="0"/>
              <w:ind w:left="0"/>
              <w:rPr>
                <w:szCs w:val="21"/>
              </w:rPr>
            </w:pPr>
            <w:r>
              <w:rPr>
                <w:rFonts w:hint="eastAsia"/>
                <w:szCs w:val="21"/>
              </w:rPr>
              <w:t>收扩机操作方式和应急广播适配器基本一致，只有应急开播键以及话筒、U盘两个音源切换按键，按键均为防水型轻触式按键。开播均为应急广播，没有日常广播，本地插播优先级默认2级，上级优先。上级平台只有2级以上应急广播才能切断收扩机本地插播。上级平台日常广播无论级别，均不能切断村收扩机本地插播。</w:t>
            </w:r>
          </w:p>
          <w:p>
            <w:pPr>
              <w:numPr>
                <w:ilvl w:val="0"/>
                <w:numId w:val="21"/>
              </w:numPr>
              <w:tabs>
                <w:tab w:val="left" w:pos="0"/>
              </w:tabs>
              <w:autoSpaceDE/>
              <w:autoSpaceDN/>
              <w:adjustRightInd w:val="0"/>
              <w:snapToGrid w:val="0"/>
              <w:ind w:left="0"/>
              <w:rPr>
                <w:szCs w:val="21"/>
              </w:rPr>
            </w:pPr>
            <w:r>
              <w:rPr>
                <w:rFonts w:hint="eastAsia"/>
                <w:szCs w:val="21"/>
              </w:rPr>
              <w:t>收扩机本地话筒插播时，须检测话筒电平，持续5分钟没有信号，自动退出本次话筒插播，恢复待机状态。采用U盘进行本地插播时，插播2小时后，如果还没有手动关闭本次广播则自动退出本次插播，恢复待机状态。</w:t>
            </w:r>
          </w:p>
          <w:p>
            <w:pPr>
              <w:numPr>
                <w:ilvl w:val="0"/>
                <w:numId w:val="21"/>
              </w:numPr>
              <w:tabs>
                <w:tab w:val="left" w:pos="0"/>
              </w:tabs>
              <w:autoSpaceDE/>
              <w:autoSpaceDN/>
              <w:adjustRightInd w:val="0"/>
              <w:snapToGrid w:val="0"/>
              <w:ind w:left="0"/>
              <w:rPr>
                <w:szCs w:val="21"/>
              </w:rPr>
            </w:pPr>
            <w:r>
              <w:rPr>
                <w:rFonts w:hint="eastAsia"/>
                <w:spacing w:val="6"/>
                <w:szCs w:val="21"/>
              </w:rPr>
              <w:t>具有一</w:t>
            </w:r>
            <w:r>
              <w:rPr>
                <w:rFonts w:hint="eastAsia"/>
                <w:bCs/>
                <w:szCs w:val="21"/>
              </w:rPr>
              <w:t>个FM射频接口，</w:t>
            </w:r>
            <w:r>
              <w:rPr>
                <w:rFonts w:hint="eastAsia"/>
                <w:spacing w:val="6"/>
                <w:szCs w:val="21"/>
              </w:rPr>
              <w:t>双FM接收芯片，可同时接收两个调频频率，同时处理两路RDS数据</w:t>
            </w:r>
            <w:r>
              <w:rPr>
                <w:rFonts w:hint="eastAsia"/>
                <w:szCs w:val="21"/>
              </w:rPr>
              <w:t>。一个频</w:t>
            </w:r>
            <w:r>
              <w:rPr>
                <w:rFonts w:hint="eastAsia"/>
                <w:spacing w:val="6"/>
                <w:szCs w:val="21"/>
              </w:rPr>
              <w:t>率</w:t>
            </w:r>
            <w:r>
              <w:rPr>
                <w:rFonts w:hint="eastAsia"/>
                <w:szCs w:val="21"/>
              </w:rPr>
              <w:t>为乡镇台站应急</w:t>
            </w:r>
            <w:r>
              <w:rPr>
                <w:rFonts w:hint="eastAsia"/>
                <w:spacing w:val="6"/>
                <w:szCs w:val="21"/>
              </w:rPr>
              <w:t>频率</w:t>
            </w:r>
            <w:r>
              <w:rPr>
                <w:rFonts w:hint="eastAsia"/>
                <w:szCs w:val="21"/>
              </w:rPr>
              <w:t>，另一个</w:t>
            </w:r>
            <w:r>
              <w:rPr>
                <w:rFonts w:hint="eastAsia"/>
                <w:spacing w:val="6"/>
                <w:szCs w:val="21"/>
              </w:rPr>
              <w:t>频率</w:t>
            </w:r>
            <w:r>
              <w:rPr>
                <w:rFonts w:hint="eastAsia"/>
                <w:szCs w:val="21"/>
              </w:rPr>
              <w:t>为村级发射机应急</w:t>
            </w:r>
            <w:r>
              <w:rPr>
                <w:rFonts w:hint="eastAsia"/>
                <w:spacing w:val="6"/>
                <w:szCs w:val="21"/>
              </w:rPr>
              <w:t>频率</w:t>
            </w:r>
            <w:r>
              <w:rPr>
                <w:rFonts w:hint="eastAsia"/>
                <w:szCs w:val="21"/>
              </w:rPr>
              <w:t>。射频接收设计有带通滤波器，带宽为</w:t>
            </w:r>
            <w:r>
              <w:rPr>
                <w:rFonts w:hint="eastAsia"/>
                <w:spacing w:val="6"/>
                <w:szCs w:val="21"/>
              </w:rPr>
              <w:t>76MHz</w:t>
            </w:r>
            <w:r>
              <w:rPr>
                <w:rFonts w:hint="eastAsia"/>
                <w:szCs w:val="21"/>
              </w:rPr>
              <w:t>～</w:t>
            </w:r>
            <w:r>
              <w:rPr>
                <w:rFonts w:hint="eastAsia"/>
                <w:spacing w:val="6"/>
                <w:szCs w:val="21"/>
              </w:rPr>
              <w:t>108MHz。</w:t>
            </w:r>
          </w:p>
          <w:p>
            <w:pPr>
              <w:numPr>
                <w:ilvl w:val="0"/>
                <w:numId w:val="21"/>
              </w:numPr>
              <w:tabs>
                <w:tab w:val="left" w:pos="0"/>
              </w:tabs>
              <w:autoSpaceDE/>
              <w:autoSpaceDN/>
              <w:adjustRightInd w:val="0"/>
              <w:snapToGrid w:val="0"/>
              <w:ind w:left="0"/>
              <w:rPr>
                <w:szCs w:val="21"/>
              </w:rPr>
            </w:pPr>
            <w:r>
              <w:rPr>
                <w:rFonts w:hint="eastAsia"/>
                <w:szCs w:val="21"/>
              </w:rPr>
              <w:t>具有DTMB/DVB-C接收频率、FM接收频率锁定LED指示，具有IP/4G广播LED指示（参照接口示意图）。当锁定接收频率和IP/4G通道当前在播时，LED指示灯为绿色。LED指示灯为绿色，建议降低LED亮度，点亮后能分辨颜色即可，以适应长时间持续工作。</w:t>
            </w:r>
          </w:p>
          <w:p>
            <w:pPr>
              <w:numPr>
                <w:ilvl w:val="0"/>
                <w:numId w:val="21"/>
              </w:numPr>
              <w:tabs>
                <w:tab w:val="left" w:pos="0"/>
              </w:tabs>
              <w:autoSpaceDE/>
              <w:autoSpaceDN/>
              <w:adjustRightInd w:val="0"/>
              <w:snapToGrid w:val="0"/>
              <w:ind w:left="0"/>
              <w:rPr>
                <w:szCs w:val="21"/>
              </w:rPr>
            </w:pPr>
            <w:r>
              <w:rPr>
                <w:rFonts w:hint="eastAsia"/>
                <w:szCs w:val="21"/>
              </w:rPr>
              <w:t>具有1个RJ45网口。</w:t>
            </w:r>
            <w:r>
              <w:rPr>
                <w:rFonts w:hint="eastAsia"/>
                <w:spacing w:val="6"/>
                <w:szCs w:val="21"/>
              </w:rPr>
              <w:t>10/100Mbps自适应，</w:t>
            </w:r>
            <w:r>
              <w:rPr>
                <w:rFonts w:hint="eastAsia"/>
                <w:szCs w:val="21"/>
              </w:rPr>
              <w:t>作为IP广播、WEB网管和数据回传，通过WEB网管可对本机详细的参数进行设置、状态查看。回传IP地址及端口号可本地和远程设置，共有4组设置项，分别对应移动通信网络回传方式2组和有线IP回传方式2组，选择任意1种回传方式均可往2个不同的IP地址发送数据。要求网口做好防尘防水，配套防尘塞。</w:t>
            </w:r>
          </w:p>
          <w:p>
            <w:pPr>
              <w:numPr>
                <w:ilvl w:val="0"/>
                <w:numId w:val="21"/>
              </w:numPr>
              <w:tabs>
                <w:tab w:val="left" w:pos="0"/>
              </w:tabs>
              <w:autoSpaceDE/>
              <w:autoSpaceDN/>
              <w:adjustRightInd w:val="0"/>
              <w:snapToGrid w:val="0"/>
              <w:ind w:left="0"/>
              <w:rPr>
                <w:bCs/>
                <w:szCs w:val="21"/>
              </w:rPr>
            </w:pPr>
            <w:r>
              <w:rPr>
                <w:rFonts w:hint="eastAsia"/>
                <w:szCs w:val="21"/>
              </w:rPr>
              <w:t>收扩机配套的U盘，音频文件应放置在根目录，且收扩机能在本地插播时能根据用户选择直接读取该U盘所存储的音频文件并播放，不可采用U盘根目录建特定文件夹专门存放音频文件的方式。</w:t>
            </w:r>
          </w:p>
          <w:p>
            <w:pPr>
              <w:numPr>
                <w:ilvl w:val="0"/>
                <w:numId w:val="21"/>
              </w:numPr>
              <w:tabs>
                <w:tab w:val="left" w:pos="0"/>
              </w:tabs>
              <w:autoSpaceDE/>
              <w:autoSpaceDN/>
              <w:adjustRightInd w:val="0"/>
              <w:snapToGrid w:val="0"/>
              <w:ind w:left="0"/>
              <w:rPr>
                <w:bCs/>
                <w:szCs w:val="21"/>
              </w:rPr>
            </w:pPr>
            <w:r>
              <w:rPr>
                <w:rFonts w:hint="eastAsia"/>
                <w:bCs/>
                <w:szCs w:val="21"/>
              </w:rPr>
              <w:t>具有MPEG1-layer1/2/3、MPEG2-layer1/2/3、AAC、MP3音频解码功能</w:t>
            </w:r>
            <w:r>
              <w:rPr>
                <w:rFonts w:hint="eastAsia"/>
                <w:szCs w:val="21"/>
                <w:lang w:val="zh-TW"/>
              </w:rPr>
              <w:t>，</w:t>
            </w:r>
            <w:r>
              <w:rPr>
                <w:rFonts w:hint="eastAsia"/>
                <w:szCs w:val="21"/>
                <w:lang w:val="zh-TW" w:eastAsia="zh-TW"/>
              </w:rPr>
              <w:t>解码输出音质清晰、流畅</w:t>
            </w:r>
            <w:r>
              <w:rPr>
                <w:rFonts w:hint="eastAsia"/>
                <w:bCs/>
                <w:szCs w:val="21"/>
              </w:rPr>
              <w:t>。</w:t>
            </w:r>
          </w:p>
          <w:p>
            <w:pPr>
              <w:numPr>
                <w:ilvl w:val="0"/>
                <w:numId w:val="21"/>
              </w:numPr>
              <w:tabs>
                <w:tab w:val="left" w:pos="0"/>
              </w:tabs>
              <w:autoSpaceDE/>
              <w:autoSpaceDN/>
              <w:adjustRightInd w:val="0"/>
              <w:snapToGrid w:val="0"/>
              <w:ind w:left="0"/>
              <w:rPr>
                <w:bCs/>
                <w:szCs w:val="21"/>
              </w:rPr>
            </w:pPr>
            <w:r>
              <w:rPr>
                <w:rFonts w:hint="eastAsia"/>
                <w:bCs/>
                <w:szCs w:val="21"/>
              </w:rPr>
              <w:t>具有额定有效值功率为50W或以上的音频功放定阻输出，采用2个标准</w:t>
            </w:r>
            <w:r>
              <w:rPr>
                <w:rFonts w:hint="eastAsia"/>
                <w:spacing w:val="6"/>
                <w:szCs w:val="21"/>
              </w:rPr>
              <w:t>音频接线柱，推动</w:t>
            </w:r>
            <w:r>
              <w:rPr>
                <w:rFonts w:hint="eastAsia"/>
                <w:szCs w:val="21"/>
              </w:rPr>
              <w:t>两个25W高清喇叭，</w:t>
            </w:r>
            <w:r>
              <w:rPr>
                <w:rFonts w:hint="eastAsia"/>
                <w:spacing w:val="6"/>
                <w:szCs w:val="21"/>
              </w:rPr>
              <w:t>输出</w:t>
            </w:r>
            <w:r>
              <w:rPr>
                <w:rFonts w:hint="eastAsia"/>
                <w:bCs/>
                <w:szCs w:val="21"/>
              </w:rPr>
              <w:t>阻抗</w:t>
            </w:r>
            <w:r>
              <w:rPr>
                <w:rFonts w:hint="eastAsia"/>
                <w:spacing w:val="6"/>
                <w:szCs w:val="21"/>
              </w:rPr>
              <w:t>4Ω</w:t>
            </w:r>
            <w:r>
              <w:rPr>
                <w:rFonts w:hint="eastAsia"/>
                <w:szCs w:val="21"/>
              </w:rPr>
              <w:t>～</w:t>
            </w:r>
            <w:r>
              <w:rPr>
                <w:rFonts w:hint="eastAsia"/>
                <w:spacing w:val="6"/>
                <w:szCs w:val="21"/>
              </w:rPr>
              <w:t>8Ω。</w:t>
            </w:r>
            <w:r>
              <w:rPr>
                <w:rFonts w:hint="eastAsia"/>
                <w:szCs w:val="21"/>
              </w:rPr>
              <w:t>采用2芯单芯截面积不小于1.5</w:t>
            </w:r>
            <w:r>
              <w:rPr>
                <w:rFonts w:hint="eastAsia"/>
                <w:position w:val="-4"/>
                <w:szCs w:val="21"/>
              </w:rPr>
              <w:object>
                <v:shape id="_x0000_i1030" o:spt="75" type="#_x0000_t75" style="height:16.2pt;width:20.7pt;" o:ole="t" filled="f" o:preferrelative="t" stroked="f" coordsize="21600,21600">
                  <v:path/>
                  <v:fill on="f" focussize="0,0"/>
                  <v:stroke on="f" joinstyle="miter"/>
                  <v:imagedata r:id="rId35" o:title=""/>
                  <o:lock v:ext="edit" aspectratio="t"/>
                  <w10:wrap type="none"/>
                  <w10:anchorlock/>
                </v:shape>
                <o:OLEObject Type="Embed" ProgID="Equation.3" ShapeID="_x0000_i1030" DrawAspect="Content" ObjectID="_1468075730" r:id="rId34">
                  <o:LockedField>false</o:LockedField>
                </o:OLEObject>
              </w:object>
            </w:r>
            <w:r>
              <w:rPr>
                <w:rFonts w:hint="eastAsia"/>
                <w:szCs w:val="21"/>
              </w:rPr>
              <w:t>的国标RVV纯无氧铜软护套电缆作为喇叭线。</w:t>
            </w:r>
          </w:p>
          <w:p>
            <w:pPr>
              <w:numPr>
                <w:ilvl w:val="0"/>
                <w:numId w:val="21"/>
              </w:numPr>
              <w:tabs>
                <w:tab w:val="left" w:pos="0"/>
              </w:tabs>
              <w:autoSpaceDE/>
              <w:autoSpaceDN/>
              <w:adjustRightInd w:val="0"/>
              <w:snapToGrid w:val="0"/>
              <w:ind w:left="0"/>
              <w:rPr>
                <w:bCs/>
                <w:szCs w:val="21"/>
              </w:rPr>
            </w:pPr>
            <w:r>
              <w:rPr>
                <w:rFonts w:hint="eastAsia"/>
                <w:szCs w:val="21"/>
              </w:rPr>
              <w:t>收扩机音量调节旋钮应用定义：接收到上级平台广播，如果为应急广播，则设备播放音量自动最大；如果为日常广播，则输出音量=旋钮所调音量×本机默认音量百分比。对于收扩机本地插播，如果为应急广播，则设备播放音量自动最大；如果为日常广播，则输出音量=旋钮所调音量×本机默认音量百分比。</w:t>
            </w:r>
          </w:p>
          <w:p>
            <w:pPr>
              <w:numPr>
                <w:ilvl w:val="0"/>
                <w:numId w:val="21"/>
              </w:numPr>
              <w:tabs>
                <w:tab w:val="left" w:pos="0"/>
              </w:tabs>
              <w:autoSpaceDE/>
              <w:autoSpaceDN/>
              <w:adjustRightInd w:val="0"/>
              <w:snapToGrid w:val="0"/>
              <w:ind w:left="0"/>
              <w:rPr>
                <w:bCs/>
                <w:szCs w:val="21"/>
              </w:rPr>
            </w:pPr>
            <w:r>
              <w:rPr>
                <w:rFonts w:hint="eastAsia"/>
                <w:szCs w:val="21"/>
              </w:rPr>
              <w:t>配置高清喇叭，播发音频时具有淡入功能，要求音质优美，无明显人耳能分辨的杂音。</w:t>
            </w:r>
          </w:p>
          <w:p>
            <w:pPr>
              <w:numPr>
                <w:ilvl w:val="0"/>
                <w:numId w:val="21"/>
              </w:numPr>
              <w:tabs>
                <w:tab w:val="left" w:pos="0"/>
              </w:tabs>
              <w:autoSpaceDE/>
              <w:autoSpaceDN/>
              <w:adjustRightInd w:val="0"/>
              <w:snapToGrid w:val="0"/>
              <w:ind w:left="0"/>
              <w:rPr>
                <w:bCs/>
                <w:szCs w:val="21"/>
              </w:rPr>
            </w:pPr>
            <w:r>
              <w:rPr>
                <w:rFonts w:hint="eastAsia"/>
                <w:szCs w:val="21"/>
              </w:rPr>
              <w:t>具有一个RS232串口，可本地升级设备控制程序，</w:t>
            </w:r>
            <w:r>
              <w:rPr>
                <w:rFonts w:hint="eastAsia"/>
                <w:spacing w:val="6"/>
                <w:szCs w:val="21"/>
              </w:rPr>
              <w:t>可扩展LED大屏图文显示</w:t>
            </w:r>
            <w:r>
              <w:rPr>
                <w:rFonts w:hint="eastAsia"/>
                <w:szCs w:val="21"/>
              </w:rPr>
              <w:t>。</w:t>
            </w:r>
            <w:r>
              <w:rPr>
                <w:rFonts w:hint="eastAsia"/>
                <w:spacing w:val="6"/>
                <w:szCs w:val="21"/>
              </w:rPr>
              <w:t>要求串口做好防尘防水</w:t>
            </w:r>
            <w:r>
              <w:rPr>
                <w:rFonts w:hint="eastAsia"/>
                <w:szCs w:val="21"/>
              </w:rPr>
              <w:t>。</w:t>
            </w:r>
          </w:p>
          <w:p>
            <w:pPr>
              <w:numPr>
                <w:ilvl w:val="0"/>
                <w:numId w:val="21"/>
              </w:numPr>
              <w:tabs>
                <w:tab w:val="left" w:pos="0"/>
              </w:tabs>
              <w:autoSpaceDE/>
              <w:autoSpaceDN/>
              <w:adjustRightInd w:val="0"/>
              <w:snapToGrid w:val="0"/>
              <w:ind w:left="0"/>
              <w:rPr>
                <w:szCs w:val="21"/>
              </w:rPr>
            </w:pPr>
            <w:r>
              <w:rPr>
                <w:rFonts w:hint="eastAsia"/>
                <w:bCs/>
                <w:szCs w:val="21"/>
              </w:rPr>
              <w:t>电源输入具有防雷设计，采用带保险管（1主1备）的</w:t>
            </w:r>
            <w:r>
              <w:rPr>
                <w:rFonts w:hint="eastAsia"/>
                <w:szCs w:val="21"/>
              </w:rPr>
              <w:t>防浪涌电源滤波器（带保险管），如下图所示</w:t>
            </w:r>
            <w:r>
              <w:rPr>
                <w:rFonts w:hint="eastAsia"/>
                <w:bCs/>
                <w:szCs w:val="21"/>
              </w:rPr>
              <w:t>。可</w:t>
            </w:r>
            <w:r>
              <w:rPr>
                <w:rFonts w:hint="eastAsia"/>
                <w:szCs w:val="21"/>
              </w:rPr>
              <w:t>采用抽屉式绕线变压器或环形变压器设计线性电源，也可采用高品质开关电源，并有相应防雷保护。设备电源接口必须采用防尘防水设计，公母对接可拔插，采用三芯电源线，线芯为99.99%纯无氧铜，单根芯线截面积不小于1.5</w:t>
            </w:r>
            <w:r>
              <w:rPr>
                <w:rFonts w:hint="eastAsia"/>
                <w:position w:val="-4"/>
                <w:szCs w:val="21"/>
              </w:rPr>
              <w:object>
                <v:shape id="_x0000_i1031" o:spt="75" type="#_x0000_t75" style="height:16.2pt;width:20.7pt;" o:ole="t" filled="f" o:preferrelative="t" stroked="f" coordsize="21600,21600">
                  <v:path/>
                  <v:fill on="f" focussize="0,0"/>
                  <v:stroke on="f" joinstyle="miter"/>
                  <v:imagedata r:id="rId35" o:title=""/>
                  <o:lock v:ext="edit" aspectratio="t"/>
                  <w10:wrap type="none"/>
                  <w10:anchorlock/>
                </v:shape>
                <o:OLEObject Type="Embed" ProgID="Equation.3" ShapeID="_x0000_i1031" DrawAspect="Content" ObjectID="_1468075731" r:id="rId36">
                  <o:LockedField>false</o:LockedField>
                </o:OLEObject>
              </w:object>
            </w:r>
            <w:r>
              <w:rPr>
                <w:rFonts w:hint="eastAsia"/>
                <w:szCs w:val="21"/>
              </w:rPr>
              <w:t>。</w:t>
            </w:r>
            <w:r>
              <w:rPr>
                <w:rFonts w:hint="eastAsia"/>
                <w:bCs/>
                <w:szCs w:val="21"/>
              </w:rPr>
              <w:t>输入火线与零线间要求并联一个20D561K规格的压敏电阻。</w:t>
            </w:r>
          </w:p>
          <w:p>
            <w:pPr>
              <w:adjustRightInd w:val="0"/>
              <w:snapToGrid w:val="0"/>
              <w:ind w:left="400"/>
              <w:jc w:val="center"/>
              <w:rPr>
                <w:szCs w:val="21"/>
              </w:rPr>
            </w:pPr>
            <w:r>
              <w:rPr>
                <w:rFonts w:hint="eastAsia"/>
                <w:szCs w:val="21"/>
              </w:rPr>
              <w:drawing>
                <wp:inline distT="0" distB="0" distL="0" distR="0">
                  <wp:extent cx="1605280" cy="1137920"/>
                  <wp:effectExtent l="0" t="0" r="0" b="0"/>
                  <wp:docPr id="227" name="图片 121" descr="QQ图片20190111150333"/>
                  <wp:cNvGraphicFramePr/>
                  <a:graphic xmlns:a="http://schemas.openxmlformats.org/drawingml/2006/main">
                    <a:graphicData uri="http://schemas.openxmlformats.org/drawingml/2006/picture">
                      <pic:pic xmlns:pic="http://schemas.openxmlformats.org/drawingml/2006/picture">
                        <pic:nvPicPr>
                          <pic:cNvPr id="227" name="图片 121" descr="QQ图片20190111150333"/>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1605280" cy="1137920"/>
                          </a:xfrm>
                          <a:prstGeom prst="rect">
                            <a:avLst/>
                          </a:prstGeom>
                          <a:noFill/>
                          <a:ln>
                            <a:noFill/>
                          </a:ln>
                        </pic:spPr>
                      </pic:pic>
                    </a:graphicData>
                  </a:graphic>
                </wp:inline>
              </w:drawing>
            </w:r>
          </w:p>
          <w:p>
            <w:pPr>
              <w:adjustRightInd w:val="0"/>
              <w:snapToGrid w:val="0"/>
              <w:ind w:left="400"/>
              <w:jc w:val="center"/>
              <w:rPr>
                <w:szCs w:val="21"/>
              </w:rPr>
            </w:pPr>
            <w:r>
              <w:rPr>
                <w:rFonts w:hint="eastAsia"/>
                <w:szCs w:val="21"/>
              </w:rPr>
              <w:t>防浪涌电源滤波器示意图</w:t>
            </w:r>
          </w:p>
          <w:p>
            <w:pPr>
              <w:numPr>
                <w:ilvl w:val="0"/>
                <w:numId w:val="21"/>
              </w:numPr>
              <w:tabs>
                <w:tab w:val="left" w:pos="0"/>
              </w:tabs>
              <w:autoSpaceDE/>
              <w:autoSpaceDN/>
              <w:adjustRightInd w:val="0"/>
              <w:snapToGrid w:val="0"/>
              <w:ind w:left="0"/>
              <w:rPr>
                <w:szCs w:val="21"/>
              </w:rPr>
            </w:pPr>
            <w:r>
              <w:rPr>
                <w:rFonts w:hint="eastAsia"/>
                <w:szCs w:val="21"/>
              </w:rPr>
              <w:t>设备PCB电路板要求喷三防漆，射频接口均须考虑防雷性能，接插件要求用硅橡胶固定，核心控制板电源模块采用压敏电阻和自恢复保险丝设计。</w:t>
            </w:r>
          </w:p>
          <w:p>
            <w:pPr>
              <w:numPr>
                <w:ilvl w:val="0"/>
                <w:numId w:val="21"/>
              </w:numPr>
              <w:tabs>
                <w:tab w:val="left" w:pos="0"/>
              </w:tabs>
              <w:autoSpaceDE/>
              <w:autoSpaceDN/>
              <w:adjustRightInd w:val="0"/>
              <w:snapToGrid w:val="0"/>
              <w:ind w:left="0"/>
              <w:rPr>
                <w:szCs w:val="21"/>
              </w:rPr>
            </w:pPr>
            <w:r>
              <w:rPr>
                <w:rFonts w:hint="eastAsia"/>
                <w:szCs w:val="21"/>
              </w:rPr>
              <w:t>防尘防水等级达到IP65以上，要求做好收扩机所有接口的防尘防水处理。</w:t>
            </w:r>
          </w:p>
          <w:p>
            <w:pPr>
              <w:numPr>
                <w:ilvl w:val="0"/>
                <w:numId w:val="21"/>
              </w:numPr>
              <w:tabs>
                <w:tab w:val="left" w:pos="0"/>
              </w:tabs>
              <w:autoSpaceDE/>
              <w:autoSpaceDN/>
              <w:adjustRightInd w:val="0"/>
              <w:snapToGrid w:val="0"/>
              <w:ind w:left="0"/>
              <w:rPr>
                <w:szCs w:val="21"/>
              </w:rPr>
            </w:pPr>
            <w:r>
              <w:rPr>
                <w:rFonts w:hint="eastAsia"/>
                <w:szCs w:val="21"/>
              </w:rPr>
              <w:t>全铝合金室外形机箱（或箱体顶盖与底盖为ABS工程塑料，喷粉防腐设计，颜色为国标色号73-B03，四周及内部固定件为全铝合金），形状可参考音柱，但外观不可和音柱完全一致，以方便辨识此两种不同类型设备为宜。收扩机可设计为柱形，或方型。机箱周围无散热孔，接线全在机箱底部，可采用多种方式安装固定，固定部分亦为铝合金，整机安装螺丝采用不锈钢。箱体金属部分喷粉防腐设计。颜色为国标色号73-B03。</w:t>
            </w:r>
          </w:p>
          <w:p>
            <w:pPr>
              <w:numPr>
                <w:ilvl w:val="0"/>
                <w:numId w:val="21"/>
              </w:numPr>
              <w:tabs>
                <w:tab w:val="left" w:pos="0"/>
              </w:tabs>
              <w:autoSpaceDE/>
              <w:autoSpaceDN/>
              <w:adjustRightInd w:val="0"/>
              <w:snapToGrid w:val="0"/>
              <w:ind w:left="0"/>
              <w:rPr>
                <w:szCs w:val="21"/>
              </w:rPr>
            </w:pPr>
            <w:r>
              <w:rPr>
                <w:rFonts w:hint="eastAsia"/>
                <w:bCs/>
                <w:szCs w:val="21"/>
              </w:rPr>
              <w:t>设备具有接地端子，要求设备能可靠接地。</w:t>
            </w:r>
          </w:p>
          <w:p>
            <w:pPr>
              <w:numPr>
                <w:ilvl w:val="0"/>
                <w:numId w:val="21"/>
              </w:numPr>
              <w:tabs>
                <w:tab w:val="left" w:pos="0"/>
              </w:tabs>
              <w:autoSpaceDE/>
              <w:autoSpaceDN/>
              <w:adjustRightInd w:val="0"/>
              <w:snapToGrid w:val="0"/>
              <w:ind w:left="0"/>
              <w:rPr>
                <w:bCs/>
                <w:szCs w:val="21"/>
              </w:rPr>
            </w:pPr>
            <w:r>
              <w:rPr>
                <w:rFonts w:hint="eastAsia"/>
                <w:szCs w:val="21"/>
              </w:rPr>
              <w:t>机壳正面下方空白处增加“广西广电应急广播”，字色为蓝色（色号083/#0000CD）；字体为黑体字；字号为1号字以上。</w:t>
            </w:r>
          </w:p>
          <w:p>
            <w:pPr>
              <w:numPr>
                <w:ilvl w:val="0"/>
                <w:numId w:val="21"/>
              </w:numPr>
              <w:tabs>
                <w:tab w:val="left" w:pos="0"/>
              </w:tabs>
              <w:autoSpaceDE/>
              <w:autoSpaceDN/>
              <w:adjustRightInd w:val="0"/>
              <w:snapToGrid w:val="0"/>
              <w:ind w:left="0"/>
              <w:rPr>
                <w:szCs w:val="21"/>
              </w:rPr>
            </w:pPr>
            <w:r>
              <w:rPr>
                <w:rFonts w:hint="eastAsia"/>
                <w:szCs w:val="21"/>
              </w:rPr>
              <w:t>配件：</w:t>
            </w:r>
          </w:p>
          <w:p>
            <w:pPr>
              <w:tabs>
                <w:tab w:val="left" w:pos="0"/>
              </w:tabs>
              <w:adjustRightInd w:val="0"/>
              <w:snapToGrid w:val="0"/>
              <w:ind w:left="400"/>
              <w:rPr>
                <w:szCs w:val="21"/>
              </w:rPr>
            </w:pPr>
            <w:r>
              <w:rPr>
                <w:rFonts w:hint="eastAsia"/>
                <w:szCs w:val="21"/>
              </w:rPr>
              <w:t>（1）4G/GSM模块天线（折叠）1副；</w:t>
            </w:r>
          </w:p>
          <w:p>
            <w:pPr>
              <w:tabs>
                <w:tab w:val="left" w:pos="0"/>
              </w:tabs>
              <w:adjustRightInd w:val="0"/>
              <w:snapToGrid w:val="0"/>
              <w:rPr>
                <w:szCs w:val="21"/>
              </w:rPr>
            </w:pPr>
            <w:r>
              <w:rPr>
                <w:rFonts w:hint="eastAsia"/>
                <w:szCs w:val="21"/>
              </w:rPr>
              <w:t xml:space="preserve">    （2）电源线1根；</w:t>
            </w:r>
          </w:p>
          <w:p>
            <w:pPr>
              <w:tabs>
                <w:tab w:val="left" w:pos="0"/>
              </w:tabs>
              <w:adjustRightInd w:val="0"/>
              <w:snapToGrid w:val="0"/>
              <w:rPr>
                <w:szCs w:val="21"/>
              </w:rPr>
            </w:pPr>
            <w:r>
              <w:rPr>
                <w:rFonts w:hint="eastAsia"/>
                <w:szCs w:val="21"/>
              </w:rPr>
              <w:t xml:space="preserve">    （3）防雷警示标贴1张；</w:t>
            </w:r>
          </w:p>
          <w:p>
            <w:pPr>
              <w:tabs>
                <w:tab w:val="left" w:pos="0"/>
              </w:tabs>
              <w:adjustRightInd w:val="0"/>
              <w:snapToGrid w:val="0"/>
              <w:ind w:firstLine="420"/>
              <w:rPr>
                <w:szCs w:val="21"/>
              </w:rPr>
            </w:pPr>
            <w:r>
              <w:rPr>
                <w:rFonts w:hint="eastAsia"/>
                <w:szCs w:val="21"/>
              </w:rPr>
              <w:t>（4）说明书、合格证等1份；</w:t>
            </w:r>
          </w:p>
          <w:p>
            <w:pPr>
              <w:tabs>
                <w:tab w:val="left" w:pos="0"/>
              </w:tabs>
              <w:adjustRightInd w:val="0"/>
              <w:snapToGrid w:val="0"/>
              <w:ind w:firstLine="420"/>
              <w:rPr>
                <w:szCs w:val="21"/>
              </w:rPr>
            </w:pPr>
            <w:r>
              <w:rPr>
                <w:rFonts w:hint="eastAsia"/>
                <w:szCs w:val="21"/>
              </w:rPr>
              <w:t>（5）设备重要参数纪录卡1张；</w:t>
            </w:r>
          </w:p>
          <w:p>
            <w:pPr>
              <w:tabs>
                <w:tab w:val="left" w:pos="0"/>
              </w:tabs>
              <w:adjustRightInd w:val="0"/>
              <w:snapToGrid w:val="0"/>
              <w:ind w:firstLine="420"/>
              <w:rPr>
                <w:szCs w:val="21"/>
              </w:rPr>
            </w:pPr>
            <w:r>
              <w:rPr>
                <w:rFonts w:hint="eastAsia"/>
                <w:szCs w:val="21"/>
              </w:rPr>
              <w:t>（6）接收天线等其余配件根据使用需求配置。</w:t>
            </w:r>
          </w:p>
          <w:p>
            <w:pPr>
              <w:tabs>
                <w:tab w:val="left" w:pos="0"/>
              </w:tabs>
              <w:adjustRightInd w:val="0"/>
              <w:snapToGrid w:val="0"/>
              <w:ind w:firstLine="420"/>
              <w:rPr>
                <w:szCs w:val="21"/>
              </w:rPr>
            </w:pPr>
            <w:r>
              <w:rPr>
                <w:rFonts w:hint="eastAsia"/>
                <w:szCs w:val="21"/>
              </w:rPr>
              <w:t>*3</w:t>
            </w:r>
            <w:r>
              <w:rPr>
                <w:szCs w:val="21"/>
              </w:rPr>
              <w:t>6</w:t>
            </w:r>
            <w:r>
              <w:rPr>
                <w:rFonts w:hint="eastAsia"/>
                <w:szCs w:val="21"/>
              </w:rPr>
              <w:t>.基站定位功能：IP/4G模式下实现基站自动定位，可以直接在平台GIS地图上显示位置信息。（提供国家广电总局直属机构检测报告证明，复印件加盖投标人公章）</w:t>
            </w:r>
          </w:p>
          <w:p>
            <w:pPr>
              <w:tabs>
                <w:tab w:val="left" w:pos="0"/>
              </w:tabs>
              <w:adjustRightInd w:val="0"/>
              <w:snapToGrid w:val="0"/>
              <w:ind w:firstLine="420"/>
              <w:rPr>
                <w:szCs w:val="21"/>
              </w:rPr>
            </w:pPr>
            <w:r>
              <w:rPr>
                <w:rFonts w:hint="eastAsia"/>
                <w:szCs w:val="21"/>
              </w:rPr>
              <w:t>*3</w:t>
            </w:r>
            <w:r>
              <w:rPr>
                <w:szCs w:val="21"/>
              </w:rPr>
              <w:t>7</w:t>
            </w:r>
            <w:r>
              <w:rPr>
                <w:rFonts w:hint="eastAsia"/>
                <w:szCs w:val="21"/>
              </w:rPr>
              <w:t>.可扩展北斗信号处理：可接收上级北斗信号进行处理，接收北斗文本信号转语音及控制信号，做出相应的播发/停止动作，并支持北斗定位等功能。（提供国家广电总局直属机构检测报告证明，复印件加盖投标人公章）</w:t>
            </w:r>
          </w:p>
          <w:p>
            <w:pPr>
              <w:tabs>
                <w:tab w:val="left" w:pos="0"/>
              </w:tabs>
              <w:adjustRightInd w:val="0"/>
              <w:snapToGrid w:val="0"/>
              <w:ind w:firstLine="420"/>
              <w:rPr>
                <w:szCs w:val="21"/>
              </w:rPr>
            </w:pPr>
            <w:r>
              <w:rPr>
                <w:rFonts w:hint="eastAsia"/>
                <w:szCs w:val="21"/>
              </w:rPr>
              <w:t>*3</w:t>
            </w:r>
            <w:r>
              <w:rPr>
                <w:szCs w:val="21"/>
              </w:rPr>
              <w:t>8</w:t>
            </w:r>
            <w:r>
              <w:rPr>
                <w:rFonts w:hint="eastAsia"/>
                <w:szCs w:val="21"/>
              </w:rPr>
              <w:t>.通过手机APP软件扫描设备二维码，实现巡更打卡功能，可将巡更点的经纬度、设备现场照片上传至上级平台。（提供国家广电总局直属机构检测报告证明，复印件加盖投标人公章）</w:t>
            </w:r>
          </w:p>
          <w:p>
            <w:pPr>
              <w:tabs>
                <w:tab w:val="left" w:pos="0"/>
              </w:tabs>
              <w:adjustRightInd w:val="0"/>
              <w:snapToGrid w:val="0"/>
              <w:ind w:firstLine="420"/>
              <w:rPr>
                <w:szCs w:val="21"/>
              </w:rPr>
            </w:pPr>
            <w:r>
              <w:rPr>
                <w:rFonts w:hint="eastAsia"/>
                <w:szCs w:val="21"/>
              </w:rPr>
              <w:t>*3</w:t>
            </w:r>
            <w:r>
              <w:rPr>
                <w:szCs w:val="21"/>
              </w:rPr>
              <w:t>9</w:t>
            </w:r>
            <w:r>
              <w:rPr>
                <w:rFonts w:hint="eastAsia"/>
                <w:szCs w:val="21"/>
              </w:rPr>
              <w:t>.可扩展支持与气象采集设备协同工作，实现外部环境的实时监测，并能展示到LED屏及回传至平台显示。（提供国家广电总局直属机构检测报告证明，复印件加盖制投标人公章）</w:t>
            </w:r>
          </w:p>
          <w:p>
            <w:pPr>
              <w:tabs>
                <w:tab w:val="left" w:pos="0"/>
              </w:tabs>
              <w:adjustRightInd w:val="0"/>
              <w:snapToGrid w:val="0"/>
              <w:ind w:firstLine="420"/>
            </w:pPr>
            <w:r>
              <w:rPr>
                <w:rFonts w:hint="eastAsia"/>
                <w:szCs w:val="21"/>
              </w:rPr>
              <w:t>*</w:t>
            </w:r>
            <w:r>
              <w:rPr>
                <w:szCs w:val="21"/>
              </w:rPr>
              <w:t>40</w:t>
            </w:r>
            <w:r>
              <w:rPr>
                <w:rFonts w:hint="eastAsia"/>
                <w:szCs w:val="21"/>
              </w:rPr>
              <w:t>.可扩展支持多服务器适配：能自动检测≥5个服务器连接，并能自动切换到高级别服务器工作。（提供国家广电总局直属机构检测报告证明，复印件加盖投标人公章）</w:t>
            </w:r>
          </w:p>
        </w:tc>
        <w:tc>
          <w:tcPr>
            <w:tcW w:w="1143" w:type="dxa"/>
            <w:tcBorders>
              <w:top w:val="single" w:color="000000" w:sz="4" w:space="0"/>
              <w:left w:val="single" w:color="auto"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szCs w:val="21"/>
              </w:rPr>
            </w:pPr>
            <w:r>
              <w:rPr>
                <w:szCs w:val="21"/>
              </w:rPr>
              <w:t>238</w:t>
            </w:r>
            <w:r>
              <w:rPr>
                <w:rFonts w:hint="eastAsia"/>
                <w:szCs w:val="21"/>
              </w:rPr>
              <w:t>台</w:t>
            </w:r>
          </w:p>
        </w:tc>
      </w:tr>
      <w:tr>
        <w:tblPrEx>
          <w:tblCellMar>
            <w:top w:w="0" w:type="dxa"/>
            <w:left w:w="0" w:type="dxa"/>
            <w:bottom w:w="0" w:type="dxa"/>
            <w:right w:w="0" w:type="dxa"/>
          </w:tblCellMar>
        </w:tblPrEx>
        <w:trPr>
          <w:trHeight w:val="90" w:hRule="atLeast"/>
        </w:trPr>
        <w:tc>
          <w:tcPr>
            <w:tcW w:w="10069" w:type="dxa"/>
            <w:gridSpan w:val="4"/>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tabs>
                <w:tab w:val="left" w:pos="4473"/>
              </w:tabs>
              <w:adjustRightInd w:val="0"/>
              <w:snapToGrid w:val="0"/>
              <w:ind w:firstLine="422"/>
              <w:jc w:val="center"/>
              <w:textAlignment w:val="center"/>
              <w:rPr>
                <w:bCs/>
                <w:szCs w:val="21"/>
              </w:rPr>
            </w:pPr>
            <w:r>
              <w:rPr>
                <w:rFonts w:hint="eastAsia"/>
                <w:b/>
                <w:szCs w:val="21"/>
              </w:rPr>
              <w:t>五、景区、广场应急广播终端</w:t>
            </w:r>
          </w:p>
        </w:tc>
      </w:tr>
      <w:tr>
        <w:tblPrEx>
          <w:tblCellMar>
            <w:top w:w="0" w:type="dxa"/>
            <w:left w:w="0" w:type="dxa"/>
            <w:bottom w:w="0" w:type="dxa"/>
            <w:right w:w="0" w:type="dxa"/>
          </w:tblCellMar>
        </w:tblPrEx>
        <w:trPr>
          <w:trHeight w:val="90" w:hRule="atLeast"/>
        </w:trPr>
        <w:tc>
          <w:tcPr>
            <w:tcW w:w="562"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jc w:val="center"/>
              <w:textAlignment w:val="center"/>
              <w:rPr>
                <w:bCs/>
                <w:szCs w:val="21"/>
              </w:rPr>
            </w:pPr>
            <w:r>
              <w:rPr>
                <w:szCs w:val="21"/>
              </w:rPr>
              <w:t>1</w:t>
            </w:r>
          </w:p>
        </w:tc>
        <w:tc>
          <w:tcPr>
            <w:tcW w:w="993" w:type="dxa"/>
            <w:tcBorders>
              <w:top w:val="single" w:color="auto" w:sz="4" w:space="0"/>
              <w:left w:val="single" w:color="000000" w:sz="4" w:space="0"/>
              <w:bottom w:val="single" w:color="auto" w:sz="4" w:space="0"/>
              <w:right w:val="single" w:color="000000" w:sz="4" w:space="0"/>
            </w:tcBorders>
            <w:tcMar>
              <w:top w:w="10" w:type="dxa"/>
              <w:left w:w="10" w:type="dxa"/>
              <w:right w:w="10" w:type="dxa"/>
            </w:tcMar>
            <w:vAlign w:val="center"/>
          </w:tcPr>
          <w:p>
            <w:pPr>
              <w:widowControl/>
              <w:adjustRightInd w:val="0"/>
              <w:snapToGrid w:val="0"/>
              <w:textAlignment w:val="center"/>
              <w:rPr>
                <w:bCs/>
                <w:szCs w:val="21"/>
              </w:rPr>
            </w:pPr>
            <w:r>
              <w:rPr>
                <w:rFonts w:hint="eastAsia"/>
                <w:szCs w:val="21"/>
              </w:rPr>
              <w:t>音柱</w:t>
            </w:r>
          </w:p>
        </w:tc>
        <w:tc>
          <w:tcPr>
            <w:tcW w:w="7371"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ind w:firstLine="444"/>
              <w:rPr>
                <w:rFonts w:cs="仿宋"/>
                <w:spacing w:val="6"/>
                <w:szCs w:val="21"/>
              </w:rPr>
            </w:pPr>
            <w:r>
              <w:rPr>
                <w:rFonts w:hint="eastAsia" w:cs="仿宋"/>
                <w:spacing w:val="6"/>
                <w:szCs w:val="21"/>
              </w:rPr>
              <w:t>（一）接口要求与技术指标</w:t>
            </w:r>
          </w:p>
          <w:p>
            <w:pPr>
              <w:widowControl/>
              <w:ind w:firstLine="444"/>
              <w:rPr>
                <w:rFonts w:cs="仿宋"/>
                <w:spacing w:val="6"/>
                <w:szCs w:val="21"/>
              </w:rPr>
            </w:pPr>
          </w:p>
          <w:tbl>
            <w:tblPr>
              <w:tblStyle w:val="51"/>
              <w:tblW w:w="6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45" w:type="dxa"/>
                <w:left w:w="45" w:type="dxa"/>
                <w:bottom w:w="45" w:type="dxa"/>
                <w:right w:w="45" w:type="dxa"/>
              </w:tblCellMar>
            </w:tblPr>
            <w:tblGrid>
              <w:gridCol w:w="773"/>
              <w:gridCol w:w="1425"/>
              <w:gridCol w:w="3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restart"/>
                  <w:vAlign w:val="center"/>
                </w:tcPr>
                <w:p>
                  <w:pPr>
                    <w:jc w:val="center"/>
                    <w:rPr>
                      <w:rFonts w:cs="仿宋"/>
                      <w:spacing w:val="6"/>
                      <w:szCs w:val="21"/>
                    </w:rPr>
                  </w:pPr>
                  <w:r>
                    <w:rPr>
                      <w:rFonts w:hint="eastAsia" w:cs="仿宋"/>
                      <w:spacing w:val="6"/>
                      <w:szCs w:val="21"/>
                    </w:rPr>
                    <w:t>射频接口</w:t>
                  </w:r>
                </w:p>
              </w:tc>
              <w:tc>
                <w:tcPr>
                  <w:tcW w:w="1425" w:type="dxa"/>
                  <w:vAlign w:val="center"/>
                </w:tcPr>
                <w:p>
                  <w:pPr>
                    <w:rPr>
                      <w:rFonts w:cs="仿宋"/>
                      <w:spacing w:val="6"/>
                      <w:szCs w:val="21"/>
                    </w:rPr>
                  </w:pPr>
                  <w:r>
                    <w:rPr>
                      <w:rFonts w:hint="eastAsia" w:cs="仿宋"/>
                      <w:spacing w:val="6"/>
                      <w:szCs w:val="21"/>
                    </w:rPr>
                    <w:t>1路DTMB/DVB-C输入</w:t>
                  </w:r>
                </w:p>
              </w:tc>
              <w:tc>
                <w:tcPr>
                  <w:tcW w:w="3960" w:type="dxa"/>
                  <w:vAlign w:val="center"/>
                </w:tcPr>
                <w:p>
                  <w:pPr>
                    <w:rPr>
                      <w:rFonts w:cs="仿宋"/>
                      <w:spacing w:val="6"/>
                      <w:szCs w:val="21"/>
                    </w:rPr>
                  </w:pPr>
                  <w:r>
                    <w:rPr>
                      <w:rFonts w:hint="eastAsia" w:cs="仿宋"/>
                      <w:spacing w:val="6"/>
                      <w:szCs w:val="21"/>
                    </w:rPr>
                    <w:t>F座（公制75Ω）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1路FM1、FM2输入</w:t>
                  </w:r>
                </w:p>
              </w:tc>
              <w:tc>
                <w:tcPr>
                  <w:tcW w:w="3960" w:type="dxa"/>
                  <w:vAlign w:val="center"/>
                </w:tcPr>
                <w:p>
                  <w:pPr>
                    <w:rPr>
                      <w:rFonts w:cs="仿宋"/>
                      <w:spacing w:val="6"/>
                      <w:szCs w:val="21"/>
                    </w:rPr>
                  </w:pPr>
                  <w:r>
                    <w:rPr>
                      <w:rFonts w:hint="eastAsia" w:cs="仿宋"/>
                      <w:spacing w:val="6"/>
                      <w:szCs w:val="21"/>
                    </w:rPr>
                    <w:t>F座（公制75Ω）（可与DTMB/DVB-C输入共用一个输入接口）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1路4G手机模块</w:t>
                  </w:r>
                </w:p>
              </w:tc>
              <w:tc>
                <w:tcPr>
                  <w:tcW w:w="3960" w:type="dxa"/>
                  <w:vAlign w:val="center"/>
                </w:tcPr>
                <w:p>
                  <w:pPr>
                    <w:rPr>
                      <w:rFonts w:cs="仿宋"/>
                      <w:spacing w:val="6"/>
                      <w:szCs w:val="21"/>
                    </w:rPr>
                  </w:pPr>
                  <w:r>
                    <w:rPr>
                      <w:rFonts w:hint="eastAsia" w:cs="仿宋"/>
                      <w:spacing w:val="6"/>
                      <w:szCs w:val="21"/>
                    </w:rPr>
                    <w:t>SMA母座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73" w:type="dxa"/>
                  <w:vMerge w:val="restart"/>
                  <w:vAlign w:val="center"/>
                </w:tcPr>
                <w:p>
                  <w:pPr>
                    <w:jc w:val="center"/>
                    <w:rPr>
                      <w:rFonts w:cs="仿宋"/>
                      <w:spacing w:val="6"/>
                      <w:szCs w:val="21"/>
                    </w:rPr>
                  </w:pPr>
                  <w:r>
                    <w:rPr>
                      <w:rFonts w:hint="eastAsia" w:cs="仿宋"/>
                      <w:spacing w:val="6"/>
                      <w:szCs w:val="21"/>
                    </w:rPr>
                    <w:t>数字接口</w:t>
                  </w:r>
                </w:p>
              </w:tc>
              <w:tc>
                <w:tcPr>
                  <w:tcW w:w="1425" w:type="dxa"/>
                  <w:vAlign w:val="center"/>
                </w:tcPr>
                <w:p>
                  <w:pPr>
                    <w:rPr>
                      <w:rFonts w:cs="仿宋"/>
                      <w:spacing w:val="6"/>
                      <w:szCs w:val="21"/>
                    </w:rPr>
                  </w:pPr>
                  <w:r>
                    <w:rPr>
                      <w:rFonts w:hint="eastAsia" w:cs="仿宋"/>
                      <w:spacing w:val="6"/>
                      <w:szCs w:val="21"/>
                    </w:rPr>
                    <w:t>IP数据口</w:t>
                  </w:r>
                </w:p>
              </w:tc>
              <w:tc>
                <w:tcPr>
                  <w:tcW w:w="3960" w:type="dxa"/>
                  <w:vAlign w:val="center"/>
                </w:tcPr>
                <w:p>
                  <w:pPr>
                    <w:rPr>
                      <w:rFonts w:cs="仿宋"/>
                      <w:spacing w:val="6"/>
                      <w:szCs w:val="21"/>
                    </w:rPr>
                  </w:pPr>
                  <w:r>
                    <w:rPr>
                      <w:rFonts w:hint="eastAsia" w:cs="仿宋"/>
                      <w:spacing w:val="6"/>
                      <w:szCs w:val="21"/>
                    </w:rPr>
                    <w:t>RJ45，10/100Mbps自适应(配一个硅胶防尘塞)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RS232串口</w:t>
                  </w:r>
                </w:p>
              </w:tc>
              <w:tc>
                <w:tcPr>
                  <w:tcW w:w="3960" w:type="dxa"/>
                  <w:vAlign w:val="center"/>
                </w:tcPr>
                <w:p>
                  <w:pPr>
                    <w:rPr>
                      <w:rFonts w:cs="仿宋"/>
                      <w:spacing w:val="6"/>
                      <w:szCs w:val="21"/>
                    </w:rPr>
                  </w:pPr>
                  <w:r>
                    <w:rPr>
                      <w:rFonts w:hint="eastAsia" w:cs="仿宋"/>
                      <w:spacing w:val="6"/>
                      <w:szCs w:val="21"/>
                    </w:rPr>
                    <w:t>DB9母座（配一个硅胶防尘盖）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restart"/>
                  <w:vAlign w:val="center"/>
                </w:tcPr>
                <w:p>
                  <w:pPr>
                    <w:jc w:val="center"/>
                    <w:rPr>
                      <w:rFonts w:cs="仿宋"/>
                      <w:spacing w:val="6"/>
                      <w:szCs w:val="21"/>
                    </w:rPr>
                  </w:pPr>
                  <w:r>
                    <w:rPr>
                      <w:rFonts w:hint="eastAsia" w:cs="仿宋"/>
                      <w:spacing w:val="6"/>
                      <w:szCs w:val="21"/>
                    </w:rPr>
                    <w:t>其他接口</w:t>
                  </w:r>
                </w:p>
              </w:tc>
              <w:tc>
                <w:tcPr>
                  <w:tcW w:w="1425" w:type="dxa"/>
                  <w:vAlign w:val="center"/>
                </w:tcPr>
                <w:p>
                  <w:pPr>
                    <w:rPr>
                      <w:rFonts w:cs="仿宋"/>
                      <w:spacing w:val="6"/>
                      <w:szCs w:val="21"/>
                    </w:rPr>
                  </w:pPr>
                  <w:r>
                    <w:rPr>
                      <w:rFonts w:hint="eastAsia" w:cs="仿宋"/>
                      <w:spacing w:val="6"/>
                      <w:szCs w:val="21"/>
                    </w:rPr>
                    <w:t>总电源输入</w:t>
                  </w:r>
                </w:p>
              </w:tc>
              <w:tc>
                <w:tcPr>
                  <w:tcW w:w="3960" w:type="dxa"/>
                  <w:vAlign w:val="center"/>
                </w:tcPr>
                <w:p>
                  <w:pPr>
                    <w:rPr>
                      <w:rFonts w:cs="仿宋"/>
                      <w:spacing w:val="6"/>
                      <w:szCs w:val="21"/>
                    </w:rPr>
                  </w:pPr>
                  <w:r>
                    <w:rPr>
                      <w:rFonts w:hint="eastAsia" w:cs="仿宋"/>
                      <w:spacing w:val="6"/>
                      <w:szCs w:val="21"/>
                    </w:rPr>
                    <w:t>带保险管和防浪涌电源滤波器的国标电源座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手机卡槽</w:t>
                  </w:r>
                </w:p>
              </w:tc>
              <w:tc>
                <w:tcPr>
                  <w:tcW w:w="3960" w:type="dxa"/>
                  <w:vAlign w:val="center"/>
                </w:tcPr>
                <w:p>
                  <w:pPr>
                    <w:rPr>
                      <w:rFonts w:cs="仿宋"/>
                      <w:spacing w:val="6"/>
                      <w:szCs w:val="21"/>
                    </w:rPr>
                  </w:pPr>
                  <w:r>
                    <w:rPr>
                      <w:rFonts w:hint="eastAsia" w:cs="仿宋"/>
                      <w:spacing w:val="6"/>
                      <w:szCs w:val="21"/>
                    </w:rPr>
                    <w:t>手机卡，做好防尘防水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73" w:type="dxa"/>
                  <w:vMerge w:val="restart"/>
                  <w:vAlign w:val="center"/>
                </w:tcPr>
                <w:p>
                  <w:pPr>
                    <w:jc w:val="center"/>
                    <w:rPr>
                      <w:rFonts w:cs="仿宋"/>
                      <w:spacing w:val="6"/>
                      <w:szCs w:val="21"/>
                    </w:rPr>
                  </w:pPr>
                  <w:r>
                    <w:rPr>
                      <w:rFonts w:hint="eastAsia" w:cs="仿宋"/>
                      <w:spacing w:val="6"/>
                      <w:szCs w:val="21"/>
                    </w:rPr>
                    <w:t>指标参数</w:t>
                  </w:r>
                </w:p>
              </w:tc>
              <w:tc>
                <w:tcPr>
                  <w:tcW w:w="1425" w:type="dxa"/>
                  <w:vAlign w:val="center"/>
                </w:tcPr>
                <w:p>
                  <w:pPr>
                    <w:rPr>
                      <w:rFonts w:cs="仿宋"/>
                      <w:spacing w:val="6"/>
                      <w:szCs w:val="21"/>
                    </w:rPr>
                  </w:pPr>
                  <w:r>
                    <w:rPr>
                      <w:rFonts w:hint="eastAsia" w:cs="仿宋"/>
                      <w:spacing w:val="6"/>
                      <w:szCs w:val="21"/>
                    </w:rPr>
                    <w:t>射频接收范围</w:t>
                  </w:r>
                </w:p>
              </w:tc>
              <w:tc>
                <w:tcPr>
                  <w:tcW w:w="3960" w:type="dxa"/>
                  <w:vAlign w:val="center"/>
                </w:tcPr>
                <w:p>
                  <w:pPr>
                    <w:rPr>
                      <w:rFonts w:cs="仿宋"/>
                      <w:spacing w:val="6"/>
                      <w:szCs w:val="21"/>
                    </w:rPr>
                  </w:pPr>
                  <w:r>
                    <w:rPr>
                      <w:rFonts w:hint="eastAsia" w:cs="仿宋"/>
                      <w:spacing w:val="6"/>
                      <w:szCs w:val="21"/>
                    </w:rPr>
                    <w:t>DTMB：47MHz～862MHz</w:t>
                  </w:r>
                </w:p>
                <w:p>
                  <w:pPr>
                    <w:rPr>
                      <w:rFonts w:cs="仿宋"/>
                      <w:spacing w:val="6"/>
                      <w:szCs w:val="21"/>
                    </w:rPr>
                  </w:pPr>
                  <w:r>
                    <w:rPr>
                      <w:rFonts w:hint="eastAsia" w:cs="仿宋"/>
                      <w:spacing w:val="6"/>
                      <w:szCs w:val="21"/>
                    </w:rPr>
                    <w:t>DVB-C：115MHz～858MHz</w:t>
                  </w:r>
                </w:p>
                <w:p>
                  <w:pPr>
                    <w:rPr>
                      <w:rFonts w:cs="仿宋"/>
                      <w:spacing w:val="6"/>
                      <w:szCs w:val="21"/>
                    </w:rPr>
                  </w:pPr>
                  <w:r>
                    <w:rPr>
                      <w:rFonts w:hint="eastAsia" w:cs="仿宋"/>
                      <w:spacing w:val="6"/>
                      <w:szCs w:val="21"/>
                    </w:rPr>
                    <w:t xml:space="preserve">FM：76MHz～108MHz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FM接收带通滤波器</w:t>
                  </w:r>
                </w:p>
              </w:tc>
              <w:tc>
                <w:tcPr>
                  <w:tcW w:w="3960" w:type="dxa"/>
                  <w:vAlign w:val="center"/>
                </w:tcPr>
                <w:p>
                  <w:pPr>
                    <w:rPr>
                      <w:rFonts w:cs="仿宋"/>
                      <w:spacing w:val="6"/>
                      <w:szCs w:val="21"/>
                    </w:rPr>
                  </w:pPr>
                  <w:r>
                    <w:rPr>
                      <w:rFonts w:hint="eastAsia" w:cs="仿宋"/>
                      <w:spacing w:val="6"/>
                      <w:szCs w:val="21"/>
                    </w:rPr>
                    <w:t>通带：76MHz～108MHz</w:t>
                  </w:r>
                </w:p>
                <w:p>
                  <w:pPr>
                    <w:rPr>
                      <w:rFonts w:cs="仿宋"/>
                      <w:spacing w:val="6"/>
                      <w:szCs w:val="21"/>
                    </w:rPr>
                  </w:pPr>
                  <w:r>
                    <w:rPr>
                      <w:rFonts w:hint="eastAsia" w:cs="仿宋"/>
                      <w:spacing w:val="6"/>
                      <w:szCs w:val="21"/>
                    </w:rPr>
                    <w:t>插损：≤3dB</w:t>
                  </w:r>
                </w:p>
                <w:p>
                  <w:pPr>
                    <w:rPr>
                      <w:rFonts w:cs="仿宋"/>
                      <w:spacing w:val="6"/>
                      <w:szCs w:val="21"/>
                    </w:rPr>
                  </w:pPr>
                  <w:r>
                    <w:rPr>
                      <w:rFonts w:hint="eastAsia" w:cs="仿宋"/>
                      <w:spacing w:val="6"/>
                      <w:szCs w:val="21"/>
                    </w:rPr>
                    <w:t>带外抑制：小于30MHz，≥20dB</w:t>
                  </w:r>
                </w:p>
                <w:p>
                  <w:pPr>
                    <w:rPr>
                      <w:rFonts w:cs="仿宋"/>
                      <w:spacing w:val="6"/>
                      <w:szCs w:val="21"/>
                    </w:rPr>
                  </w:pPr>
                  <w:r>
                    <w:rPr>
                      <w:rFonts w:hint="eastAsia" w:cs="仿宋"/>
                      <w:spacing w:val="6"/>
                      <w:szCs w:val="21"/>
                    </w:rPr>
                    <w:t>大于150 MHz，≥20dB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调频FM接收灵敏度</w:t>
                  </w:r>
                </w:p>
              </w:tc>
              <w:tc>
                <w:tcPr>
                  <w:tcW w:w="3960" w:type="dxa"/>
                  <w:vAlign w:val="center"/>
                </w:tcPr>
                <w:p>
                  <w:pPr>
                    <w:rPr>
                      <w:rFonts w:cs="仿宋"/>
                      <w:spacing w:val="6"/>
                      <w:szCs w:val="21"/>
                    </w:rPr>
                  </w:pPr>
                  <w:r>
                    <w:rPr>
                      <w:rFonts w:hint="eastAsia" w:cs="仿宋"/>
                      <w:spacing w:val="6"/>
                      <w:szCs w:val="21"/>
                    </w:rPr>
                    <w:t>优于30dBμV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音频功放输出阻抗</w:t>
                  </w:r>
                </w:p>
              </w:tc>
              <w:tc>
                <w:tcPr>
                  <w:tcW w:w="3960" w:type="dxa"/>
                  <w:vAlign w:val="center"/>
                </w:tcPr>
                <w:p>
                  <w:pPr>
                    <w:rPr>
                      <w:rFonts w:cs="仿宋"/>
                      <w:spacing w:val="6"/>
                      <w:szCs w:val="21"/>
                    </w:rPr>
                  </w:pPr>
                  <w:r>
                    <w:rPr>
                      <w:rFonts w:hint="eastAsia" w:cs="仿宋"/>
                      <w:spacing w:val="6"/>
                      <w:szCs w:val="21"/>
                    </w:rPr>
                    <w:t>8Ω～16Ω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音频功放额定输出有效值功率</w:t>
                  </w:r>
                </w:p>
              </w:tc>
              <w:tc>
                <w:tcPr>
                  <w:tcW w:w="3960" w:type="dxa"/>
                  <w:vAlign w:val="center"/>
                </w:tcPr>
                <w:p>
                  <w:pPr>
                    <w:rPr>
                      <w:rFonts w:cs="仿宋"/>
                      <w:spacing w:val="6"/>
                      <w:szCs w:val="21"/>
                    </w:rPr>
                  </w:pPr>
                  <w:r>
                    <w:rPr>
                      <w:rFonts w:hint="eastAsia" w:cs="仿宋"/>
                      <w:spacing w:val="6"/>
                      <w:szCs w:val="21"/>
                    </w:rPr>
                    <w:t>≥25W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音频功放频率响应</w:t>
                  </w:r>
                </w:p>
              </w:tc>
              <w:tc>
                <w:tcPr>
                  <w:tcW w:w="3960" w:type="dxa"/>
                  <w:vAlign w:val="center"/>
                </w:tcPr>
                <w:p>
                  <w:pPr>
                    <w:rPr>
                      <w:rFonts w:cs="仿宋"/>
                      <w:spacing w:val="6"/>
                      <w:szCs w:val="21"/>
                    </w:rPr>
                  </w:pPr>
                  <w:r>
                    <w:rPr>
                      <w:rFonts w:hint="eastAsia" w:cs="仿宋"/>
                      <w:spacing w:val="6"/>
                      <w:szCs w:val="21"/>
                    </w:rPr>
                    <w:t>±1dB(80Hz～12.5KHz)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音频功放谐波失真</w:t>
                  </w:r>
                </w:p>
              </w:tc>
              <w:tc>
                <w:tcPr>
                  <w:tcW w:w="3960" w:type="dxa"/>
                  <w:vAlign w:val="center"/>
                </w:tcPr>
                <w:p>
                  <w:pPr>
                    <w:rPr>
                      <w:rFonts w:cs="仿宋"/>
                      <w:spacing w:val="6"/>
                      <w:szCs w:val="21"/>
                    </w:rPr>
                  </w:pPr>
                  <w:r>
                    <w:rPr>
                      <w:rFonts w:hint="eastAsia" w:cs="仿宋"/>
                      <w:spacing w:val="6"/>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音频功放信噪比</w:t>
                  </w:r>
                </w:p>
              </w:tc>
              <w:tc>
                <w:tcPr>
                  <w:tcW w:w="3960" w:type="dxa"/>
                  <w:vAlign w:val="center"/>
                </w:tcPr>
                <w:p>
                  <w:pPr>
                    <w:rPr>
                      <w:rFonts w:cs="仿宋"/>
                      <w:spacing w:val="6"/>
                      <w:szCs w:val="21"/>
                    </w:rPr>
                  </w:pPr>
                  <w:r>
                    <w:rPr>
                      <w:rFonts w:hint="eastAsia" w:cs="仿宋"/>
                      <w:spacing w:val="6"/>
                      <w:szCs w:val="21"/>
                    </w:rPr>
                    <w:t>≥60dB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773" w:type="dxa"/>
                  <w:vMerge w:val="continue"/>
                  <w:vAlign w:val="center"/>
                </w:tcPr>
                <w:p>
                  <w:pPr>
                    <w:jc w:val="center"/>
                    <w:rPr>
                      <w:rFonts w:cs="仿宋"/>
                      <w:spacing w:val="6"/>
                      <w:szCs w:val="21"/>
                    </w:rPr>
                  </w:pPr>
                </w:p>
              </w:tc>
              <w:tc>
                <w:tcPr>
                  <w:tcW w:w="1425" w:type="dxa"/>
                  <w:vAlign w:val="center"/>
                </w:tcPr>
                <w:p>
                  <w:pPr>
                    <w:rPr>
                      <w:rFonts w:cs="仿宋"/>
                      <w:spacing w:val="6"/>
                      <w:szCs w:val="21"/>
                    </w:rPr>
                  </w:pPr>
                  <w:r>
                    <w:rPr>
                      <w:rFonts w:hint="eastAsia" w:cs="仿宋"/>
                      <w:spacing w:val="6"/>
                      <w:szCs w:val="21"/>
                    </w:rPr>
                    <w:t>电源效率</w:t>
                  </w:r>
                </w:p>
              </w:tc>
              <w:tc>
                <w:tcPr>
                  <w:tcW w:w="3960" w:type="dxa"/>
                  <w:vAlign w:val="center"/>
                </w:tcPr>
                <w:p>
                  <w:pPr>
                    <w:numPr>
                      <w:ilvl w:val="0"/>
                      <w:numId w:val="22"/>
                    </w:numPr>
                    <w:autoSpaceDE/>
                    <w:ind w:left="0" w:firstLine="0"/>
                    <w:rPr>
                      <w:rFonts w:cs="仿宋"/>
                      <w:spacing w:val="6"/>
                      <w:szCs w:val="21"/>
                    </w:rPr>
                  </w:pPr>
                  <w:r>
                    <w:rPr>
                      <w:rFonts w:hint="eastAsia" w:cs="仿宋"/>
                      <w:spacing w:val="6"/>
                      <w:szCs w:val="21"/>
                    </w:rPr>
                    <w:t>≥90%（采用开关电源）</w:t>
                  </w:r>
                </w:p>
                <w:p>
                  <w:pPr>
                    <w:numPr>
                      <w:ilvl w:val="0"/>
                      <w:numId w:val="22"/>
                    </w:numPr>
                    <w:autoSpaceDE/>
                    <w:ind w:left="0" w:firstLine="0"/>
                    <w:rPr>
                      <w:rFonts w:cs="仿宋"/>
                      <w:spacing w:val="6"/>
                      <w:szCs w:val="21"/>
                    </w:rPr>
                  </w:pPr>
                  <w:r>
                    <w:rPr>
                      <w:rFonts w:hint="eastAsia" w:cs="仿宋"/>
                      <w:spacing w:val="6"/>
                      <w:szCs w:val="21"/>
                    </w:rPr>
                    <w:t>或≥50%（采用线性电源）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restart"/>
                  <w:vAlign w:val="center"/>
                </w:tcPr>
                <w:p>
                  <w:pPr>
                    <w:jc w:val="center"/>
                    <w:rPr>
                      <w:rFonts w:cs="仿宋"/>
                      <w:spacing w:val="6"/>
                      <w:szCs w:val="21"/>
                    </w:rPr>
                  </w:pPr>
                  <w:r>
                    <w:rPr>
                      <w:rFonts w:hint="eastAsia" w:cs="仿宋"/>
                      <w:spacing w:val="6"/>
                      <w:szCs w:val="21"/>
                    </w:rPr>
                    <w:t>通用参数</w:t>
                  </w:r>
                </w:p>
              </w:tc>
              <w:tc>
                <w:tcPr>
                  <w:tcW w:w="1425" w:type="dxa"/>
                  <w:vAlign w:val="center"/>
                </w:tcPr>
                <w:p>
                  <w:pPr>
                    <w:rPr>
                      <w:rFonts w:cs="仿宋"/>
                      <w:spacing w:val="6"/>
                      <w:szCs w:val="21"/>
                    </w:rPr>
                  </w:pPr>
                  <w:r>
                    <w:rPr>
                      <w:rFonts w:hint="eastAsia" w:cs="仿宋"/>
                      <w:spacing w:val="6"/>
                      <w:szCs w:val="21"/>
                    </w:rPr>
                    <w:t>温度范围</w:t>
                  </w:r>
                </w:p>
              </w:tc>
              <w:tc>
                <w:tcPr>
                  <w:tcW w:w="3960" w:type="dxa"/>
                  <w:vAlign w:val="center"/>
                </w:tcPr>
                <w:p>
                  <w:pPr>
                    <w:rPr>
                      <w:rFonts w:cs="仿宋"/>
                      <w:spacing w:val="6"/>
                      <w:szCs w:val="21"/>
                    </w:rPr>
                  </w:pPr>
                  <w:r>
                    <w:rPr>
                      <w:rFonts w:hint="eastAsia" w:cs="仿宋"/>
                      <w:spacing w:val="6"/>
                      <w:szCs w:val="21"/>
                    </w:rPr>
                    <w:t xml:space="preserve">-10℃～60℃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45" w:type="dxa"/>
                  <w:left w:w="45" w:type="dxa"/>
                  <w:bottom w:w="45" w:type="dxa"/>
                  <w:right w:w="45" w:type="dxa"/>
                </w:tblCellMar>
              </w:tblPrEx>
              <w:trPr>
                <w:jc w:val="center"/>
              </w:trPr>
              <w:tc>
                <w:tcPr>
                  <w:tcW w:w="773" w:type="dxa"/>
                  <w:vMerge w:val="continue"/>
                  <w:vAlign w:val="center"/>
                </w:tcPr>
                <w:p>
                  <w:pPr>
                    <w:rPr>
                      <w:rFonts w:cs="仿宋"/>
                      <w:spacing w:val="6"/>
                      <w:szCs w:val="21"/>
                    </w:rPr>
                  </w:pPr>
                </w:p>
              </w:tc>
              <w:tc>
                <w:tcPr>
                  <w:tcW w:w="1425" w:type="dxa"/>
                  <w:vAlign w:val="center"/>
                </w:tcPr>
                <w:p>
                  <w:pPr>
                    <w:rPr>
                      <w:rFonts w:cs="仿宋"/>
                      <w:spacing w:val="6"/>
                      <w:szCs w:val="21"/>
                    </w:rPr>
                  </w:pPr>
                  <w:r>
                    <w:rPr>
                      <w:rFonts w:hint="eastAsia" w:cs="仿宋"/>
                      <w:spacing w:val="6"/>
                      <w:szCs w:val="21"/>
                    </w:rPr>
                    <w:t>工作电压</w:t>
                  </w:r>
                </w:p>
              </w:tc>
              <w:tc>
                <w:tcPr>
                  <w:tcW w:w="3960" w:type="dxa"/>
                  <w:vAlign w:val="center"/>
                </w:tcPr>
                <w:p>
                  <w:pPr>
                    <w:numPr>
                      <w:ilvl w:val="0"/>
                      <w:numId w:val="23"/>
                    </w:numPr>
                    <w:autoSpaceDE/>
                    <w:ind w:left="0" w:firstLine="0"/>
                    <w:rPr>
                      <w:rFonts w:cs="仿宋"/>
                      <w:spacing w:val="6"/>
                      <w:szCs w:val="21"/>
                    </w:rPr>
                  </w:pPr>
                  <w:r>
                    <w:rPr>
                      <w:rFonts w:hint="eastAsia" w:cs="仿宋"/>
                      <w:spacing w:val="6"/>
                      <w:szCs w:val="21"/>
                    </w:rPr>
                    <w:t>采用开关电源：交流90V～264V或更宽范围，50Hz±5Hz</w:t>
                  </w:r>
                </w:p>
                <w:p>
                  <w:pPr>
                    <w:numPr>
                      <w:ilvl w:val="0"/>
                      <w:numId w:val="23"/>
                    </w:numPr>
                    <w:autoSpaceDE/>
                    <w:ind w:left="0" w:firstLine="0"/>
                    <w:rPr>
                      <w:rFonts w:cs="仿宋"/>
                      <w:spacing w:val="6"/>
                      <w:szCs w:val="21"/>
                    </w:rPr>
                  </w:pPr>
                  <w:r>
                    <w:rPr>
                      <w:rFonts w:hint="eastAsia" w:cs="仿宋"/>
                      <w:spacing w:val="6"/>
                      <w:szCs w:val="21"/>
                    </w:rPr>
                    <w:t>或采用线性电源：交流220V±15%或更宽范围，50Hz±5Hz</w:t>
                  </w:r>
                </w:p>
              </w:tc>
            </w:tr>
          </w:tbl>
          <w:p>
            <w:pPr>
              <w:widowControl/>
              <w:tabs>
                <w:tab w:val="left" w:pos="0"/>
              </w:tabs>
              <w:rPr>
                <w:rFonts w:cs="仿宋"/>
                <w:spacing w:val="6"/>
                <w:szCs w:val="21"/>
              </w:rPr>
            </w:pPr>
            <w:r>
              <w:rPr>
                <w:rFonts w:hint="eastAsia" w:cs="仿宋"/>
                <w:spacing w:val="6"/>
                <w:szCs w:val="21"/>
              </w:rPr>
              <w:t xml:space="preserve">    （二）功能要求：</w:t>
            </w:r>
          </w:p>
          <w:p>
            <w:pPr>
              <w:numPr>
                <w:ilvl w:val="0"/>
                <w:numId w:val="24"/>
              </w:numPr>
              <w:tabs>
                <w:tab w:val="left" w:pos="0"/>
              </w:tabs>
              <w:autoSpaceDE/>
              <w:autoSpaceDN/>
              <w:jc w:val="both"/>
              <w:rPr>
                <w:rFonts w:cs="仿宋"/>
                <w:spacing w:val="6"/>
                <w:szCs w:val="21"/>
              </w:rPr>
            </w:pPr>
            <w:r>
              <w:rPr>
                <w:rFonts w:hint="eastAsia" w:cs="仿宋"/>
                <w:spacing w:val="6"/>
                <w:szCs w:val="21"/>
              </w:rPr>
              <w:t>集接收、解码等功能于一体，要求整机模块化设计，符合指标要求。接口如下图所示。</w:t>
            </w:r>
          </w:p>
          <w:p>
            <w:pPr>
              <w:jc w:val="center"/>
              <w:rPr>
                <w:rFonts w:cs="仿宋"/>
                <w:spacing w:val="6"/>
                <w:szCs w:val="21"/>
              </w:rPr>
            </w:pPr>
            <w:r>
              <w:rPr>
                <w:rFonts w:cs="仿宋"/>
                <w:spacing w:val="6"/>
                <w:szCs w:val="21"/>
              </w:rPr>
              <w:object>
                <v:shape id="_x0000_i1032" o:spt="75" type="#_x0000_t75" style="height:101.7pt;width:286.2pt;" o:ole="t" filled="f" o:preferrelative="t" stroked="f" coordsize="21600,21600">
                  <v:path/>
                  <v:fill on="f" focussize="0,0"/>
                  <v:stroke on="f"/>
                  <v:imagedata r:id="rId39" o:title=""/>
                  <o:lock v:ext="edit" aspectratio="t"/>
                  <w10:wrap type="none"/>
                  <w10:anchorlock/>
                </v:shape>
                <o:OLEObject Type="Embed" ProgID="Visio.Drawing.11" ShapeID="_x0000_i1032" DrawAspect="Content" ObjectID="_1468075732" r:id="rId38">
                  <o:LockedField>false</o:LockedField>
                </o:OLEObject>
              </w:object>
            </w:r>
          </w:p>
          <w:p>
            <w:pPr>
              <w:ind w:left="400"/>
              <w:jc w:val="center"/>
              <w:rPr>
                <w:rFonts w:cs="仿宋"/>
                <w:spacing w:val="6"/>
                <w:szCs w:val="21"/>
              </w:rPr>
            </w:pPr>
            <w:r>
              <w:rPr>
                <w:rFonts w:hint="eastAsia" w:cs="仿宋"/>
                <w:spacing w:val="6"/>
                <w:szCs w:val="21"/>
              </w:rPr>
              <w:t>音柱底部示意图</w:t>
            </w:r>
          </w:p>
          <w:p>
            <w:pPr>
              <w:numPr>
                <w:ilvl w:val="0"/>
                <w:numId w:val="24"/>
              </w:numPr>
              <w:tabs>
                <w:tab w:val="left" w:pos="0"/>
              </w:tabs>
              <w:autoSpaceDE/>
              <w:autoSpaceDN/>
              <w:jc w:val="both"/>
              <w:rPr>
                <w:rFonts w:cs="仿宋"/>
                <w:spacing w:val="6"/>
                <w:szCs w:val="21"/>
              </w:rPr>
            </w:pPr>
            <w:r>
              <w:rPr>
                <w:rFonts w:hint="eastAsia" w:cs="仿宋"/>
                <w:spacing w:val="6"/>
                <w:szCs w:val="21"/>
              </w:rPr>
              <w:t>音柱内置的所有网卡全面支持IPV6,兼容IPV4。</w:t>
            </w:r>
          </w:p>
          <w:p>
            <w:pPr>
              <w:numPr>
                <w:ilvl w:val="0"/>
                <w:numId w:val="24"/>
              </w:numPr>
              <w:tabs>
                <w:tab w:val="left" w:pos="0"/>
              </w:tabs>
              <w:autoSpaceDE/>
              <w:autoSpaceDN/>
              <w:jc w:val="both"/>
              <w:rPr>
                <w:rFonts w:cs="仿宋"/>
                <w:spacing w:val="6"/>
                <w:szCs w:val="21"/>
              </w:rPr>
            </w:pPr>
            <w:r>
              <w:rPr>
                <w:rFonts w:hint="eastAsia" w:cs="仿宋"/>
                <w:spacing w:val="6"/>
                <w:szCs w:val="21"/>
              </w:rPr>
              <w:t>优先级播出处理规则设置：应急广播与日常广播此两种不同类型广播，不论级别，应急广播均优先播出，电话及短信插播方式视为应急广播；相同类型广播，应首先判断广播消息级别，优先级高则优先播出；广播消息级别相同，如果设备设置为上级优先，则行政级别高优先播出，如果设备设置为下级优先，则行政级别低优先播出；广播消息级别和行政级别均相同，默认情况下优先播出数字通道（DTMB/DVB-C、IP/4G），然后为FM通道。高优先级广播播出完成以后，播放次优先级广播。</w:t>
            </w:r>
          </w:p>
          <w:p>
            <w:pPr>
              <w:numPr>
                <w:ilvl w:val="0"/>
                <w:numId w:val="24"/>
              </w:numPr>
              <w:tabs>
                <w:tab w:val="left" w:pos="0"/>
              </w:tabs>
              <w:autoSpaceDE/>
              <w:autoSpaceDN/>
              <w:jc w:val="both"/>
              <w:rPr>
                <w:rFonts w:cs="仿宋"/>
                <w:spacing w:val="6"/>
                <w:szCs w:val="21"/>
              </w:rPr>
            </w:pPr>
            <w:r>
              <w:rPr>
                <w:rFonts w:hint="eastAsia" w:cs="仿宋"/>
                <w:spacing w:val="6"/>
                <w:szCs w:val="21"/>
              </w:rPr>
              <w:t>具有应急广播信息上级优先播出、下级优先播出设置功能，默认设置为上级优先，可本地和远程更改设置。</w:t>
            </w:r>
          </w:p>
          <w:p>
            <w:pPr>
              <w:numPr>
                <w:ilvl w:val="0"/>
                <w:numId w:val="24"/>
              </w:numPr>
              <w:tabs>
                <w:tab w:val="left" w:pos="0"/>
              </w:tabs>
              <w:autoSpaceDE/>
              <w:autoSpaceDN/>
              <w:jc w:val="both"/>
              <w:rPr>
                <w:rFonts w:cs="仿宋"/>
                <w:spacing w:val="6"/>
                <w:szCs w:val="21"/>
              </w:rPr>
            </w:pPr>
            <w:r>
              <w:rPr>
                <w:rFonts w:hint="eastAsia" w:cs="仿宋"/>
                <w:spacing w:val="6"/>
                <w:szCs w:val="21"/>
              </w:rPr>
              <w:t>具有DTMB/DVB-C、FM、IP/4G多通道模式同时接收应急广播消息并解析的功能。具有4G模块（支持中国移动公司网络）。接收上级广播时，通道优先级默认优先顺序：DTMB/DVB-C、IP/4G、FM1、FM2，可本地和远程设置。</w:t>
            </w:r>
          </w:p>
          <w:p>
            <w:pPr>
              <w:numPr>
                <w:ilvl w:val="0"/>
                <w:numId w:val="24"/>
              </w:numPr>
              <w:tabs>
                <w:tab w:val="left" w:pos="0"/>
              </w:tabs>
              <w:autoSpaceDE/>
              <w:autoSpaceDN/>
              <w:jc w:val="both"/>
              <w:rPr>
                <w:rFonts w:cs="仿宋"/>
                <w:spacing w:val="6"/>
                <w:szCs w:val="21"/>
              </w:rPr>
            </w:pPr>
            <w:r>
              <w:rPr>
                <w:rFonts w:hint="eastAsia" w:cs="仿宋"/>
                <w:spacing w:val="6"/>
                <w:szCs w:val="21"/>
              </w:rPr>
              <w:t>采用有线IP和移动通信网络两种方式实现设备状态数据回传，两种回传方式均须实现。可本地和远程设置手动、自动两种状态（默认）。手动状态下可本地和远程手动切换回传方式；自动状态下由设备定时（时长可设置）检测有线IP回传通路情况。设备作为客户端与平台服务器握手通信，已连接则采用有线IP回传，断开连接则选择移动通信网络回传，恢复连接则重新选择有线IP方式回传。两种回传方式的协议均要求采用《广西应急广播终端数据回传技术规范V1.2》。</w:t>
            </w:r>
          </w:p>
          <w:p>
            <w:pPr>
              <w:numPr>
                <w:ilvl w:val="0"/>
                <w:numId w:val="24"/>
              </w:numPr>
              <w:tabs>
                <w:tab w:val="left" w:pos="0"/>
              </w:tabs>
              <w:autoSpaceDE/>
              <w:autoSpaceDN/>
              <w:jc w:val="both"/>
              <w:rPr>
                <w:rFonts w:cs="仿宋"/>
                <w:spacing w:val="6"/>
                <w:szCs w:val="21"/>
              </w:rPr>
            </w:pPr>
            <w:r>
              <w:rPr>
                <w:rFonts w:hint="eastAsia" w:cs="仿宋"/>
                <w:spacing w:val="6"/>
                <w:szCs w:val="21"/>
              </w:rPr>
              <w:t>可通过应急广播指令对设备进行管理配置，包括资源编码设置、网管业务参数设置、回传IP地址设置、默认音量设置、自动报文间隔、接收射频频率设置等。</w:t>
            </w:r>
          </w:p>
          <w:p>
            <w:pPr>
              <w:numPr>
                <w:ilvl w:val="0"/>
                <w:numId w:val="24"/>
              </w:numPr>
              <w:tabs>
                <w:tab w:val="left" w:pos="0"/>
              </w:tabs>
              <w:autoSpaceDE/>
              <w:autoSpaceDN/>
              <w:jc w:val="both"/>
              <w:rPr>
                <w:rFonts w:cs="仿宋"/>
                <w:spacing w:val="6"/>
                <w:szCs w:val="21"/>
              </w:rPr>
            </w:pPr>
            <w:r>
              <w:rPr>
                <w:rFonts w:hint="eastAsia" w:cs="仿宋"/>
                <w:spacing w:val="6"/>
                <w:szCs w:val="21"/>
              </w:rPr>
              <w:t>具有远程升级功能，升级方式参照《广西应急广播终端软件升级技术规范》，采用接收TS流方式被动升级和采用HTTP请求方式主动升级两种方式，通过DTMB/DVB-C、IP/4G通道传输升级数据，设备接收完数据并校验通过后自动进行升级。</w:t>
            </w:r>
          </w:p>
          <w:p>
            <w:pPr>
              <w:numPr>
                <w:ilvl w:val="0"/>
                <w:numId w:val="24"/>
              </w:numPr>
              <w:tabs>
                <w:tab w:val="left" w:pos="0"/>
              </w:tabs>
              <w:autoSpaceDE/>
              <w:autoSpaceDN/>
              <w:jc w:val="both"/>
              <w:rPr>
                <w:rFonts w:cs="仿宋"/>
                <w:spacing w:val="6"/>
                <w:szCs w:val="21"/>
              </w:rPr>
            </w:pPr>
            <w:r>
              <w:rPr>
                <w:rFonts w:hint="eastAsia" w:cs="仿宋"/>
                <w:spacing w:val="6"/>
                <w:szCs w:val="21"/>
              </w:rPr>
              <w:t>要求音柱可同时解析两个应急广播控制PID，分别为0x21和0x22，两个控制PID所在TS流携带的指令表格式参照《广西应急广播TS流传输技术规范》。其中PID=0x21的TS流为县级以上平台下发的应急广播指令，PID=0x22的TS流为乡镇平台下发的应急广播指令。</w:t>
            </w:r>
          </w:p>
          <w:p>
            <w:pPr>
              <w:numPr>
                <w:ilvl w:val="0"/>
                <w:numId w:val="24"/>
              </w:numPr>
              <w:tabs>
                <w:tab w:val="left" w:pos="0"/>
              </w:tabs>
              <w:autoSpaceDE/>
              <w:autoSpaceDN/>
              <w:jc w:val="both"/>
              <w:rPr>
                <w:rFonts w:cs="仿宋"/>
                <w:spacing w:val="6"/>
                <w:szCs w:val="21"/>
              </w:rPr>
            </w:pPr>
            <w:r>
              <w:rPr>
                <w:rFonts w:hint="eastAsia" w:cs="仿宋"/>
                <w:spacing w:val="6"/>
                <w:szCs w:val="21"/>
              </w:rPr>
              <w:t>调频副载波(RDS)接收及解析协议采用《广西调频副载波(RDS)编码传输技术规范》。RDS编码指令数据采用上级平台加密，终端解密方式传输，协议采用《广西应急广播系统指令安全保护（数字签名）技术规范》。</w:t>
            </w:r>
          </w:p>
          <w:p>
            <w:pPr>
              <w:numPr>
                <w:ilvl w:val="0"/>
                <w:numId w:val="24"/>
              </w:numPr>
              <w:tabs>
                <w:tab w:val="left" w:pos="0"/>
              </w:tabs>
              <w:autoSpaceDE/>
              <w:autoSpaceDN/>
              <w:jc w:val="both"/>
              <w:rPr>
                <w:rFonts w:cs="仿宋"/>
                <w:spacing w:val="6"/>
                <w:szCs w:val="21"/>
              </w:rPr>
            </w:pPr>
            <w:r>
              <w:rPr>
                <w:rFonts w:hint="eastAsia" w:cs="仿宋"/>
                <w:spacing w:val="6"/>
                <w:szCs w:val="21"/>
              </w:rPr>
              <w:t>音柱接收DTMB、DVB-C两种模式传输的应急广播消息，要求协议采用《广西应急广播TS流传输技术规范》。TS指令数据采用上级平台加密，终端解密方式传输，协议采用《广西应急广播指令安全保护（数字签名）技术规范》。采用IP、4G模式接收应急广播消息时，采用《广西应急广播IP传输技术规范V1.2》。</w:t>
            </w:r>
          </w:p>
          <w:p>
            <w:pPr>
              <w:numPr>
                <w:ilvl w:val="0"/>
                <w:numId w:val="24"/>
              </w:numPr>
              <w:tabs>
                <w:tab w:val="left" w:pos="0"/>
              </w:tabs>
              <w:autoSpaceDE/>
              <w:autoSpaceDN/>
              <w:jc w:val="both"/>
              <w:rPr>
                <w:rFonts w:cs="仿宋"/>
                <w:spacing w:val="6"/>
                <w:szCs w:val="21"/>
              </w:rPr>
            </w:pPr>
            <w:r>
              <w:rPr>
                <w:rFonts w:hint="eastAsia" w:cs="仿宋"/>
                <w:spacing w:val="6"/>
                <w:szCs w:val="21"/>
              </w:rPr>
              <w:t>音柱必须具有自动分配网关的功能。有线IP及4G网管通道，数据上行必须绑定出口路由。当使用有线IP网络回传的时候，回传数据自动从内网网关（广西提供，下同）出，不能从4G网关出；当切换到4G网络时候，回传数据自动从4G网关出，同时保留内网网关以和县级平台进行通信。</w:t>
            </w:r>
          </w:p>
          <w:p>
            <w:pPr>
              <w:numPr>
                <w:ilvl w:val="0"/>
                <w:numId w:val="24"/>
              </w:numPr>
              <w:tabs>
                <w:tab w:val="left" w:pos="0"/>
              </w:tabs>
              <w:autoSpaceDE/>
              <w:autoSpaceDN/>
              <w:jc w:val="both"/>
              <w:rPr>
                <w:rFonts w:cs="仿宋"/>
                <w:spacing w:val="6"/>
                <w:szCs w:val="21"/>
              </w:rPr>
            </w:pPr>
            <w:r>
              <w:rPr>
                <w:rFonts w:hint="eastAsia" w:cs="仿宋"/>
                <w:spacing w:val="6"/>
                <w:szCs w:val="21"/>
              </w:rPr>
              <w:t>具有系统复位按键（参照音柱接口示意图），长按5秒恢复出厂设置，所有参数恢复到出厂设置状态。支持TELNET远程登录服务标准协议，可由用户远程登录设备嵌入式LINUX操作系统，用户名统一为：admin，密码为admin，最大用户权限。用户TENET登录后，可修改默认管理地址（192.168.2.200）和子网掩码（255.255.255.0）等参数。</w:t>
            </w:r>
          </w:p>
          <w:p>
            <w:pPr>
              <w:numPr>
                <w:ilvl w:val="0"/>
                <w:numId w:val="24"/>
              </w:numPr>
              <w:tabs>
                <w:tab w:val="left" w:pos="0"/>
              </w:tabs>
              <w:autoSpaceDE/>
              <w:autoSpaceDN/>
              <w:jc w:val="both"/>
              <w:rPr>
                <w:rFonts w:cs="仿宋"/>
                <w:spacing w:val="6"/>
                <w:szCs w:val="21"/>
              </w:rPr>
            </w:pPr>
            <w:r>
              <w:rPr>
                <w:rFonts w:hint="eastAsia" w:cs="仿宋"/>
                <w:spacing w:val="6"/>
                <w:szCs w:val="21"/>
              </w:rPr>
              <w:t>WEB网管具有系统软重启、恢复出厂设置项，用户可登陆该WEB网管对整个音柱进行重启和恢复出厂设置操作。WEB网管用户名统一为：admin，登录密码统一为123456。</w:t>
            </w:r>
          </w:p>
          <w:p>
            <w:pPr>
              <w:numPr>
                <w:ilvl w:val="0"/>
                <w:numId w:val="24"/>
              </w:numPr>
              <w:tabs>
                <w:tab w:val="left" w:pos="0"/>
              </w:tabs>
              <w:autoSpaceDE/>
              <w:autoSpaceDN/>
              <w:jc w:val="both"/>
              <w:rPr>
                <w:rFonts w:cs="仿宋"/>
                <w:spacing w:val="6"/>
                <w:szCs w:val="21"/>
              </w:rPr>
            </w:pPr>
            <w:r>
              <w:rPr>
                <w:rFonts w:hint="eastAsia" w:cs="仿宋"/>
                <w:spacing w:val="6"/>
                <w:szCs w:val="21"/>
              </w:rPr>
              <w:t>具有独立时钟电路，采用高精度实时时钟芯片作为系统时钟，采用锂电池作为实时时钟芯片供电电源，确保设备运行时间准确。可根据上级授时指令对当前实时时钟进行更新授时。（时钟芯片性能不低于DS3231）</w:t>
            </w:r>
          </w:p>
          <w:p>
            <w:pPr>
              <w:numPr>
                <w:ilvl w:val="0"/>
                <w:numId w:val="24"/>
              </w:numPr>
              <w:tabs>
                <w:tab w:val="left" w:pos="0"/>
              </w:tabs>
              <w:autoSpaceDE/>
              <w:autoSpaceDN/>
              <w:jc w:val="both"/>
              <w:rPr>
                <w:rFonts w:cs="仿宋"/>
                <w:spacing w:val="6"/>
                <w:szCs w:val="21"/>
              </w:rPr>
            </w:pPr>
            <w:r>
              <w:rPr>
                <w:rFonts w:hint="eastAsia" w:cs="仿宋"/>
                <w:spacing w:val="6"/>
                <w:szCs w:val="21"/>
              </w:rPr>
              <w:t>具有断电记忆功能，设备重启后，已保存的参数不丢失。</w:t>
            </w:r>
          </w:p>
          <w:p>
            <w:pPr>
              <w:numPr>
                <w:ilvl w:val="0"/>
                <w:numId w:val="24"/>
              </w:numPr>
              <w:tabs>
                <w:tab w:val="left" w:pos="0"/>
              </w:tabs>
              <w:autoSpaceDE/>
              <w:autoSpaceDN/>
              <w:jc w:val="both"/>
              <w:rPr>
                <w:rFonts w:cs="仿宋"/>
                <w:spacing w:val="6"/>
                <w:szCs w:val="21"/>
              </w:rPr>
            </w:pPr>
            <w:r>
              <w:rPr>
                <w:rFonts w:hint="eastAsia" w:cs="仿宋"/>
                <w:spacing w:val="6"/>
                <w:szCs w:val="21"/>
              </w:rPr>
              <w:t>具有一个FM射频接口，双FM接收芯片，可同时接收两个调频频率，同时处理两路RDS数据。一个频率为乡镇台站应急频率，另一个频率为村级发射机应急频率。射频接收设计有带通滤波器，带宽为76MHz～108MHz。</w:t>
            </w:r>
          </w:p>
          <w:p>
            <w:pPr>
              <w:numPr>
                <w:ilvl w:val="0"/>
                <w:numId w:val="24"/>
              </w:numPr>
              <w:tabs>
                <w:tab w:val="left" w:pos="0"/>
              </w:tabs>
              <w:autoSpaceDE/>
              <w:autoSpaceDN/>
              <w:jc w:val="both"/>
              <w:rPr>
                <w:rFonts w:cs="仿宋"/>
                <w:spacing w:val="6"/>
                <w:szCs w:val="21"/>
              </w:rPr>
            </w:pPr>
            <w:r>
              <w:rPr>
                <w:rFonts w:hint="eastAsia" w:cs="仿宋"/>
                <w:spacing w:val="6"/>
                <w:szCs w:val="21"/>
              </w:rPr>
              <w:t>具有DTMB/DVB-C接收频率、FM接收频率锁定LED指示，具有IP/4G广播LED指示（参照接口示意图）。当锁定接收频率和IP/4G通道当前在播时，LED指示灯为绿色。建议降低LED亮度，点亮后能分辨颜色即可，以适应长时间持续工作。</w:t>
            </w:r>
          </w:p>
          <w:p>
            <w:pPr>
              <w:numPr>
                <w:ilvl w:val="0"/>
                <w:numId w:val="24"/>
              </w:numPr>
              <w:tabs>
                <w:tab w:val="left" w:pos="0"/>
              </w:tabs>
              <w:autoSpaceDE/>
              <w:autoSpaceDN/>
              <w:jc w:val="both"/>
              <w:rPr>
                <w:rFonts w:cs="仿宋"/>
                <w:spacing w:val="6"/>
                <w:szCs w:val="21"/>
              </w:rPr>
            </w:pPr>
            <w:r>
              <w:rPr>
                <w:rFonts w:hint="eastAsia" w:cs="仿宋"/>
                <w:spacing w:val="6"/>
                <w:szCs w:val="21"/>
              </w:rPr>
              <w:t>具有一个RJ45网口，10/100Mbps自适应，作为IP广播、WEB网管和数据回传，通过WEB网管可对本机进行参数设置、状态查看。回传IP地址及端口号可本地和远程设置，共有4组设置项，分别对应移动通信网络回传方式2组和有线IP回传方式2组，选择任意1种回传方式均可往2个不同的IP地址发送数据。要求网口做好防尘防水，配套防尘塞。</w:t>
            </w:r>
          </w:p>
          <w:p>
            <w:pPr>
              <w:numPr>
                <w:ilvl w:val="0"/>
                <w:numId w:val="24"/>
              </w:numPr>
              <w:tabs>
                <w:tab w:val="left" w:pos="0"/>
              </w:tabs>
              <w:autoSpaceDE/>
              <w:autoSpaceDN/>
              <w:jc w:val="both"/>
              <w:rPr>
                <w:rFonts w:cs="仿宋"/>
                <w:spacing w:val="6"/>
                <w:szCs w:val="21"/>
              </w:rPr>
            </w:pPr>
            <w:r>
              <w:rPr>
                <w:rFonts w:hint="eastAsia" w:cs="仿宋"/>
                <w:spacing w:val="6"/>
                <w:szCs w:val="21"/>
              </w:rPr>
              <w:t>具有MPEG1-layer1/2/3、MPEG2-layer1/2/3、AAC、MP3音频解码功能，解码输出音质清晰、流畅。</w:t>
            </w:r>
          </w:p>
          <w:p>
            <w:pPr>
              <w:numPr>
                <w:ilvl w:val="0"/>
                <w:numId w:val="24"/>
              </w:numPr>
              <w:tabs>
                <w:tab w:val="left" w:pos="0"/>
              </w:tabs>
              <w:autoSpaceDE/>
              <w:autoSpaceDN/>
              <w:jc w:val="both"/>
              <w:rPr>
                <w:rFonts w:cs="仿宋"/>
                <w:spacing w:val="6"/>
                <w:szCs w:val="21"/>
              </w:rPr>
            </w:pPr>
            <w:r>
              <w:rPr>
                <w:rFonts w:hint="eastAsia" w:cs="仿宋"/>
                <w:spacing w:val="6"/>
                <w:szCs w:val="21"/>
              </w:rPr>
              <w:t>具有额定有效值功率为25W或以上的音频功放定阻输出，输出阻抗4Ω～8Ω。内置高清扬声器，播发音频时具有淡入功能，要求音质优美，无明显人耳能分辨的杂音。</w:t>
            </w:r>
          </w:p>
          <w:p>
            <w:pPr>
              <w:numPr>
                <w:ilvl w:val="0"/>
                <w:numId w:val="24"/>
              </w:numPr>
              <w:tabs>
                <w:tab w:val="left" w:pos="0"/>
              </w:tabs>
              <w:autoSpaceDE/>
              <w:autoSpaceDN/>
              <w:jc w:val="both"/>
              <w:rPr>
                <w:rFonts w:cs="仿宋"/>
                <w:spacing w:val="6"/>
                <w:szCs w:val="21"/>
              </w:rPr>
            </w:pPr>
            <w:r>
              <w:rPr>
                <w:rFonts w:hint="eastAsia" w:cs="仿宋"/>
                <w:spacing w:val="6"/>
                <w:szCs w:val="21"/>
              </w:rPr>
              <w:t>音柱音量调节旋钮应用定义：接收到上级平台广播，如果为应急广播，则设备播放音量自动最大，调节该旋钮无效；如果为日常广播，则输出音量=旋钮所调音量×本机默认音量百分比。</w:t>
            </w:r>
          </w:p>
          <w:p>
            <w:pPr>
              <w:numPr>
                <w:ilvl w:val="0"/>
                <w:numId w:val="24"/>
              </w:numPr>
              <w:tabs>
                <w:tab w:val="left" w:pos="0"/>
              </w:tabs>
              <w:autoSpaceDE/>
              <w:autoSpaceDN/>
              <w:jc w:val="both"/>
              <w:rPr>
                <w:rFonts w:cs="仿宋"/>
                <w:spacing w:val="6"/>
                <w:szCs w:val="21"/>
              </w:rPr>
            </w:pPr>
            <w:r>
              <w:rPr>
                <w:rFonts w:hint="eastAsia" w:cs="仿宋"/>
                <w:spacing w:val="6"/>
                <w:szCs w:val="21"/>
              </w:rPr>
              <w:t>具有一个RS232串口，可本地升级设备控制程序，可扩展LED大屏图文显示，要求RS232串口做好防尘防水。</w:t>
            </w:r>
          </w:p>
          <w:p>
            <w:pPr>
              <w:numPr>
                <w:ilvl w:val="0"/>
                <w:numId w:val="24"/>
              </w:numPr>
              <w:tabs>
                <w:tab w:val="left" w:pos="0"/>
              </w:tabs>
              <w:autoSpaceDE/>
              <w:autoSpaceDN/>
              <w:jc w:val="both"/>
              <w:rPr>
                <w:rFonts w:cs="仿宋"/>
                <w:spacing w:val="6"/>
                <w:szCs w:val="21"/>
              </w:rPr>
            </w:pPr>
            <w:r>
              <w:rPr>
                <w:rFonts w:hint="eastAsia" w:cs="仿宋"/>
                <w:spacing w:val="6"/>
                <w:szCs w:val="21"/>
              </w:rPr>
              <w:t>电源输入具有防雷设计，采用带保险管（1主1备）的防浪涌电源滤波器，如下图所示。可采用抽屉式绕线变压器或环形变压器设计线性电源，也可采用高品质开关电源，并有相应防雷保护。设备电源接口必须采用防尘防水设计，公母对接可拔插，采用三芯电源线，线芯为99.99%纯无氧铜，单根芯线截面积不小于1.5</w:t>
            </w:r>
            <w:r>
              <w:rPr>
                <w:rFonts w:hint="eastAsia" w:cs="仿宋"/>
                <w:spacing w:val="6"/>
                <w:szCs w:val="21"/>
              </w:rPr>
              <w:object>
                <v:shape id="_x0000_i1033" o:spt="75" type="#_x0000_t75" style="height:16.2pt;width:20.7pt;" o:ole="t" filled="f" o:preferrelative="t" stroked="f" coordsize="21600,21600">
                  <v:path/>
                  <v:fill on="f" focussize="0,0"/>
                  <v:stroke on="f" joinstyle="miter"/>
                  <v:imagedata r:id="rId35" o:title=""/>
                  <o:lock v:ext="edit" aspectratio="t"/>
                  <w10:wrap type="none"/>
                  <w10:anchorlock/>
                </v:shape>
                <o:OLEObject Type="Embed" ProgID="Equation.3" ShapeID="_x0000_i1033" DrawAspect="Content" ObjectID="_1468075733" r:id="rId40">
                  <o:LockedField>false</o:LockedField>
                </o:OLEObject>
              </w:object>
            </w:r>
            <w:r>
              <w:rPr>
                <w:rFonts w:hint="eastAsia" w:cs="仿宋"/>
                <w:spacing w:val="6"/>
                <w:szCs w:val="21"/>
              </w:rPr>
              <w:t>。输入火线与零线间要求并联一个20D561K规格的压敏电阻。</w:t>
            </w:r>
          </w:p>
          <w:p>
            <w:pPr>
              <w:jc w:val="center"/>
              <w:rPr>
                <w:rFonts w:cs="仿宋"/>
                <w:spacing w:val="6"/>
                <w:szCs w:val="21"/>
              </w:rPr>
            </w:pPr>
            <w:r>
              <w:rPr>
                <w:rFonts w:hint="eastAsia" w:cs="仿宋"/>
                <w:spacing w:val="6"/>
                <w:szCs w:val="21"/>
              </w:rPr>
              <w:drawing>
                <wp:inline distT="0" distB="0" distL="0" distR="0">
                  <wp:extent cx="1167130" cy="861695"/>
                  <wp:effectExtent l="19050" t="0" r="0" b="0"/>
                  <wp:docPr id="200" name="图片 7" descr="QQ图片20190111150333"/>
                  <wp:cNvGraphicFramePr/>
                  <a:graphic xmlns:a="http://schemas.openxmlformats.org/drawingml/2006/main">
                    <a:graphicData uri="http://schemas.openxmlformats.org/drawingml/2006/picture">
                      <pic:pic xmlns:pic="http://schemas.openxmlformats.org/drawingml/2006/picture">
                        <pic:nvPicPr>
                          <pic:cNvPr id="200" name="图片 7" descr="QQ图片20190111150333"/>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166075" cy="861027"/>
                          </a:xfrm>
                          <a:prstGeom prst="rect">
                            <a:avLst/>
                          </a:prstGeom>
                          <a:noFill/>
                          <a:ln>
                            <a:noFill/>
                          </a:ln>
                        </pic:spPr>
                      </pic:pic>
                    </a:graphicData>
                  </a:graphic>
                </wp:inline>
              </w:drawing>
            </w:r>
          </w:p>
          <w:p>
            <w:pPr>
              <w:ind w:left="400"/>
              <w:jc w:val="center"/>
              <w:rPr>
                <w:rFonts w:cs="仿宋"/>
                <w:spacing w:val="6"/>
                <w:szCs w:val="21"/>
              </w:rPr>
            </w:pPr>
            <w:r>
              <w:rPr>
                <w:rFonts w:hint="eastAsia" w:cs="仿宋"/>
                <w:spacing w:val="6"/>
                <w:szCs w:val="21"/>
              </w:rPr>
              <w:t>防浪涌电源滤波器示意图</w:t>
            </w:r>
          </w:p>
          <w:p>
            <w:pPr>
              <w:numPr>
                <w:ilvl w:val="0"/>
                <w:numId w:val="24"/>
              </w:numPr>
              <w:tabs>
                <w:tab w:val="left" w:pos="0"/>
              </w:tabs>
              <w:autoSpaceDE/>
              <w:autoSpaceDN/>
              <w:jc w:val="both"/>
              <w:rPr>
                <w:rFonts w:cs="仿宋"/>
                <w:spacing w:val="6"/>
                <w:szCs w:val="21"/>
              </w:rPr>
            </w:pPr>
            <w:r>
              <w:rPr>
                <w:rFonts w:hint="eastAsia" w:cs="仿宋"/>
                <w:spacing w:val="6"/>
                <w:szCs w:val="21"/>
              </w:rPr>
              <w:t>设备PCB电路板要求喷三防漆，射频接口均须考虑防雷性能，接插件要求用硅橡胶固定，核心控制板电源模块采用压敏电阻和自恢复保险丝设计。</w:t>
            </w:r>
          </w:p>
          <w:p>
            <w:pPr>
              <w:numPr>
                <w:ilvl w:val="0"/>
                <w:numId w:val="24"/>
              </w:numPr>
              <w:tabs>
                <w:tab w:val="left" w:pos="0"/>
              </w:tabs>
              <w:autoSpaceDE/>
              <w:autoSpaceDN/>
              <w:jc w:val="both"/>
              <w:rPr>
                <w:rFonts w:cs="仿宋"/>
                <w:spacing w:val="6"/>
                <w:szCs w:val="21"/>
              </w:rPr>
            </w:pPr>
            <w:r>
              <w:rPr>
                <w:rFonts w:hint="eastAsia" w:cs="仿宋"/>
                <w:spacing w:val="6"/>
                <w:szCs w:val="21"/>
              </w:rPr>
              <w:t>防尘防水等级达到IP65以上，要求做好音柱所有对外接口的防尘防水。</w:t>
            </w:r>
          </w:p>
          <w:p>
            <w:pPr>
              <w:numPr>
                <w:ilvl w:val="0"/>
                <w:numId w:val="24"/>
              </w:numPr>
              <w:tabs>
                <w:tab w:val="left" w:pos="0"/>
              </w:tabs>
              <w:autoSpaceDE/>
              <w:autoSpaceDN/>
              <w:jc w:val="both"/>
              <w:rPr>
                <w:rFonts w:cs="仿宋"/>
                <w:spacing w:val="6"/>
                <w:szCs w:val="21"/>
              </w:rPr>
            </w:pPr>
            <w:r>
              <w:rPr>
                <w:rFonts w:hint="eastAsia" w:cs="仿宋"/>
                <w:spacing w:val="6"/>
                <w:szCs w:val="21"/>
              </w:rPr>
              <w:t>全铝合金室外形机箱（或箱体顶盖与底盖为ABS工程塑料，喷粉防腐设计，颜色为国标色号73-B03，四周及内部固定件为全铝合金），柱形设计。接线全在机箱底部，可采用多种方式安装固定，固定部分亦为铝合金，整机安装螺丝采用不锈钢。箱体金属部分喷粉防腐设计。</w:t>
            </w:r>
          </w:p>
          <w:p>
            <w:pPr>
              <w:numPr>
                <w:ilvl w:val="0"/>
                <w:numId w:val="24"/>
              </w:numPr>
              <w:tabs>
                <w:tab w:val="left" w:pos="0"/>
              </w:tabs>
              <w:autoSpaceDE/>
              <w:autoSpaceDN/>
              <w:jc w:val="both"/>
              <w:rPr>
                <w:rFonts w:cs="仿宋"/>
                <w:spacing w:val="6"/>
                <w:szCs w:val="21"/>
              </w:rPr>
            </w:pPr>
            <w:r>
              <w:rPr>
                <w:rFonts w:hint="eastAsia" w:cs="仿宋"/>
                <w:spacing w:val="6"/>
                <w:szCs w:val="21"/>
              </w:rPr>
              <w:t>设备具有接地端子，要求设备能可靠接地。</w:t>
            </w:r>
          </w:p>
          <w:p>
            <w:pPr>
              <w:numPr>
                <w:ilvl w:val="0"/>
                <w:numId w:val="24"/>
              </w:numPr>
              <w:tabs>
                <w:tab w:val="left" w:pos="0"/>
              </w:tabs>
              <w:autoSpaceDE/>
              <w:autoSpaceDN/>
              <w:jc w:val="both"/>
              <w:rPr>
                <w:rFonts w:cs="仿宋"/>
                <w:spacing w:val="6"/>
                <w:szCs w:val="21"/>
              </w:rPr>
            </w:pPr>
            <w:r>
              <w:rPr>
                <w:rFonts w:hint="eastAsia" w:cs="仿宋"/>
                <w:spacing w:val="6"/>
                <w:szCs w:val="21"/>
              </w:rPr>
              <w:t>机壳正面下方空白处增加“广西广电应急广播”，字色为蓝色（色号083/#0000CD）；字体为黑体字；字号为1号字以上。</w:t>
            </w:r>
          </w:p>
          <w:p>
            <w:pPr>
              <w:numPr>
                <w:ilvl w:val="0"/>
                <w:numId w:val="24"/>
              </w:numPr>
              <w:tabs>
                <w:tab w:val="left" w:pos="0"/>
              </w:tabs>
              <w:autoSpaceDE/>
              <w:autoSpaceDN/>
              <w:jc w:val="both"/>
              <w:rPr>
                <w:rFonts w:cs="仿宋"/>
                <w:spacing w:val="6"/>
                <w:szCs w:val="21"/>
              </w:rPr>
            </w:pPr>
            <w:r>
              <w:rPr>
                <w:rFonts w:hint="eastAsia" w:cs="仿宋"/>
                <w:spacing w:val="6"/>
                <w:szCs w:val="21"/>
              </w:rPr>
              <w:t>配件：</w:t>
            </w:r>
          </w:p>
          <w:p>
            <w:pPr>
              <w:tabs>
                <w:tab w:val="left" w:pos="0"/>
              </w:tabs>
              <w:ind w:left="400"/>
              <w:rPr>
                <w:rFonts w:cs="仿宋"/>
                <w:spacing w:val="6"/>
                <w:szCs w:val="21"/>
              </w:rPr>
            </w:pPr>
            <w:r>
              <w:rPr>
                <w:rFonts w:hint="eastAsia" w:cs="仿宋"/>
                <w:spacing w:val="6"/>
                <w:szCs w:val="21"/>
              </w:rPr>
              <w:t>（1）4G/GSM模块天线（折叠）1根；</w:t>
            </w:r>
          </w:p>
          <w:p>
            <w:pPr>
              <w:tabs>
                <w:tab w:val="left" w:pos="0"/>
              </w:tabs>
              <w:rPr>
                <w:rFonts w:cs="仿宋"/>
                <w:spacing w:val="6"/>
                <w:szCs w:val="21"/>
              </w:rPr>
            </w:pPr>
            <w:r>
              <w:rPr>
                <w:rFonts w:hint="eastAsia" w:cs="仿宋"/>
                <w:spacing w:val="6"/>
                <w:szCs w:val="21"/>
              </w:rPr>
              <w:t xml:space="preserve">    （2）DTMB接收天线1副（拉杆天线，公制F头）；</w:t>
            </w:r>
          </w:p>
          <w:p>
            <w:pPr>
              <w:tabs>
                <w:tab w:val="left" w:pos="0"/>
              </w:tabs>
              <w:ind w:firstLine="444"/>
              <w:rPr>
                <w:rFonts w:cs="仿宋"/>
                <w:spacing w:val="6"/>
                <w:szCs w:val="21"/>
              </w:rPr>
            </w:pPr>
            <w:r>
              <w:rPr>
                <w:rFonts w:hint="eastAsia" w:cs="仿宋"/>
                <w:spacing w:val="6"/>
                <w:szCs w:val="21"/>
              </w:rPr>
              <w:t>（3）FM接收天线1副（拉杆天线，公制F头）；</w:t>
            </w:r>
          </w:p>
          <w:p>
            <w:pPr>
              <w:tabs>
                <w:tab w:val="left" w:pos="0"/>
              </w:tabs>
              <w:ind w:firstLine="444"/>
              <w:rPr>
                <w:rFonts w:cs="仿宋"/>
                <w:spacing w:val="6"/>
                <w:szCs w:val="21"/>
              </w:rPr>
            </w:pPr>
            <w:r>
              <w:rPr>
                <w:rFonts w:hint="eastAsia" w:cs="仿宋"/>
                <w:spacing w:val="6"/>
                <w:szCs w:val="21"/>
              </w:rPr>
              <w:t>（4）音柱安装支架1套；</w:t>
            </w:r>
          </w:p>
          <w:p>
            <w:pPr>
              <w:tabs>
                <w:tab w:val="left" w:pos="0"/>
              </w:tabs>
              <w:ind w:firstLine="444"/>
              <w:rPr>
                <w:rFonts w:cs="仿宋"/>
                <w:spacing w:val="6"/>
                <w:szCs w:val="21"/>
              </w:rPr>
            </w:pPr>
            <w:r>
              <w:rPr>
                <w:rFonts w:hint="eastAsia" w:cs="仿宋"/>
                <w:spacing w:val="6"/>
                <w:szCs w:val="21"/>
              </w:rPr>
              <w:t>（5）电源线1根；</w:t>
            </w:r>
          </w:p>
          <w:p>
            <w:pPr>
              <w:tabs>
                <w:tab w:val="left" w:pos="0"/>
              </w:tabs>
              <w:ind w:firstLine="444"/>
              <w:rPr>
                <w:rFonts w:cs="仿宋"/>
                <w:spacing w:val="6"/>
                <w:szCs w:val="21"/>
              </w:rPr>
            </w:pPr>
            <w:r>
              <w:rPr>
                <w:rFonts w:hint="eastAsia" w:cs="仿宋"/>
                <w:spacing w:val="6"/>
                <w:szCs w:val="21"/>
              </w:rPr>
              <w:t>（6）防雷警示标贴1张</w:t>
            </w:r>
          </w:p>
          <w:p>
            <w:pPr>
              <w:tabs>
                <w:tab w:val="left" w:pos="0"/>
              </w:tabs>
              <w:ind w:firstLine="444"/>
              <w:rPr>
                <w:rFonts w:cs="仿宋"/>
                <w:spacing w:val="6"/>
                <w:szCs w:val="21"/>
              </w:rPr>
            </w:pPr>
            <w:r>
              <w:rPr>
                <w:rFonts w:hint="eastAsia" w:cs="仿宋"/>
                <w:spacing w:val="6"/>
                <w:szCs w:val="21"/>
              </w:rPr>
              <w:t>（7）说明书、合格证等1份；</w:t>
            </w:r>
          </w:p>
          <w:p>
            <w:pPr>
              <w:tabs>
                <w:tab w:val="left" w:pos="0"/>
              </w:tabs>
              <w:ind w:firstLine="444"/>
              <w:rPr>
                <w:rFonts w:cs="仿宋"/>
                <w:spacing w:val="6"/>
                <w:szCs w:val="21"/>
              </w:rPr>
            </w:pPr>
            <w:r>
              <w:rPr>
                <w:rFonts w:hint="eastAsia" w:cs="仿宋"/>
                <w:spacing w:val="6"/>
                <w:szCs w:val="21"/>
              </w:rPr>
              <w:t>（8）设备重要参数纪录卡1张。</w:t>
            </w:r>
          </w:p>
          <w:p>
            <w:pPr>
              <w:tabs>
                <w:tab w:val="left" w:pos="0"/>
              </w:tabs>
              <w:ind w:left="400"/>
              <w:jc w:val="both"/>
              <w:rPr>
                <w:rFonts w:cs="仿宋"/>
                <w:spacing w:val="6"/>
                <w:szCs w:val="21"/>
              </w:rPr>
            </w:pPr>
            <w:r>
              <w:rPr>
                <w:rFonts w:hint="eastAsia" w:cs="仿宋"/>
                <w:spacing w:val="6"/>
                <w:szCs w:val="21"/>
              </w:rPr>
              <w:t>*31.基站定位功能：IP/4G模式下实现基站自动定位，可以直接在平台GIS地图上显示位置信息。（提供国家广电总局直属机构检测报告证明，复印件加盖投标人公章）</w:t>
            </w:r>
          </w:p>
          <w:p>
            <w:pPr>
              <w:tabs>
                <w:tab w:val="left" w:pos="0"/>
              </w:tabs>
              <w:ind w:left="400"/>
              <w:jc w:val="both"/>
              <w:rPr>
                <w:rFonts w:cs="仿宋"/>
                <w:spacing w:val="6"/>
                <w:szCs w:val="21"/>
              </w:rPr>
            </w:pPr>
            <w:r>
              <w:rPr>
                <w:rFonts w:hint="eastAsia" w:cs="仿宋"/>
                <w:spacing w:val="6"/>
                <w:szCs w:val="21"/>
              </w:rPr>
              <w:t>*32.可扩展为接收上级北斗信号进行处理，接收北斗文本信号转语音及控制信号，做出相应的播发/停止动作，并支持北斗定位等功能。（提供国家广电总局直属机构检测报告证明，复印件加盖投标人公章）</w:t>
            </w:r>
          </w:p>
          <w:p>
            <w:pPr>
              <w:tabs>
                <w:tab w:val="left" w:pos="0"/>
              </w:tabs>
              <w:ind w:left="400"/>
              <w:jc w:val="both"/>
              <w:rPr>
                <w:rFonts w:cs="仿宋"/>
                <w:spacing w:val="6"/>
                <w:szCs w:val="21"/>
              </w:rPr>
            </w:pPr>
            <w:r>
              <w:rPr>
                <w:rFonts w:hint="eastAsia" w:cs="仿宋"/>
                <w:spacing w:val="6"/>
                <w:szCs w:val="21"/>
              </w:rPr>
              <w:t>*33.通过手机APP软件扫描设备二维码，实现巡更打卡功能，可将巡更点的经纬度、设备现场照片上传至上级平台。（提供国家广电总局直属机构检测报告证明，复印件加盖投标人公章）</w:t>
            </w:r>
          </w:p>
          <w:p>
            <w:pPr>
              <w:tabs>
                <w:tab w:val="left" w:pos="0"/>
              </w:tabs>
              <w:ind w:left="400"/>
              <w:jc w:val="both"/>
              <w:rPr>
                <w:rFonts w:cs="仿宋"/>
                <w:spacing w:val="6"/>
                <w:szCs w:val="21"/>
              </w:rPr>
            </w:pPr>
            <w:r>
              <w:rPr>
                <w:rFonts w:hint="eastAsia" w:cs="仿宋"/>
                <w:spacing w:val="6"/>
                <w:szCs w:val="21"/>
              </w:rPr>
              <w:t>*34.可扩展支持与气象采集设备协同工作，实现外部环境的实时监测，并能展示到LED屏及回传至平台显示。（提供国家广电总局直属机构检测报告证明，复印件加盖投标人公章）</w:t>
            </w:r>
          </w:p>
          <w:p>
            <w:pPr>
              <w:tabs>
                <w:tab w:val="left" w:pos="0"/>
              </w:tabs>
              <w:ind w:left="400"/>
              <w:jc w:val="both"/>
              <w:rPr>
                <w:szCs w:val="21"/>
              </w:rPr>
            </w:pPr>
            <w:r>
              <w:rPr>
                <w:rFonts w:hint="eastAsia" w:cs="仿宋"/>
                <w:spacing w:val="6"/>
                <w:szCs w:val="21"/>
              </w:rPr>
              <w:t>*35.可扩展支持多服务器适配：能自动检测≥5个服务器连接，并能自动切换到高级别服务器工作。（提供国家广电总局直属机构检测报告证明，复印件加盖投标人公章）</w:t>
            </w:r>
          </w:p>
        </w:tc>
        <w:tc>
          <w:tcPr>
            <w:tcW w:w="1143" w:type="dxa"/>
            <w:tcBorders>
              <w:top w:val="single" w:color="000000" w:sz="4" w:space="0"/>
              <w:left w:val="single" w:color="000000" w:sz="4" w:space="0"/>
              <w:bottom w:val="single" w:color="000000" w:sz="4" w:space="0"/>
              <w:right w:val="single" w:color="000000" w:sz="4" w:space="0"/>
            </w:tcBorders>
            <w:tcMar>
              <w:top w:w="10" w:type="dxa"/>
              <w:left w:w="10" w:type="dxa"/>
              <w:right w:w="10" w:type="dxa"/>
            </w:tcMar>
            <w:vAlign w:val="center"/>
          </w:tcPr>
          <w:p>
            <w:pPr>
              <w:widowControl/>
              <w:adjustRightInd w:val="0"/>
              <w:snapToGrid w:val="0"/>
              <w:jc w:val="both"/>
              <w:textAlignment w:val="center"/>
              <w:rPr>
                <w:bCs/>
                <w:szCs w:val="21"/>
              </w:rPr>
            </w:pPr>
            <w:r>
              <w:rPr>
                <w:szCs w:val="21"/>
              </w:rPr>
              <w:t>12</w:t>
            </w:r>
            <w:r>
              <w:rPr>
                <w:rFonts w:hint="eastAsia"/>
                <w:szCs w:val="21"/>
              </w:rPr>
              <w:t>台</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5" w:hRule="atLeast"/>
          <w:jc w:val="center"/>
        </w:trPr>
        <w:tc>
          <w:tcPr>
            <w:tcW w:w="10069" w:type="dxa"/>
            <w:gridSpan w:val="4"/>
            <w:tcBorders>
              <w:top w:val="single" w:color="auto" w:sz="4" w:space="0"/>
              <w:left w:val="single" w:color="auto" w:sz="4" w:space="0"/>
              <w:bottom w:val="single" w:color="auto" w:sz="4" w:space="0"/>
              <w:right w:val="single" w:color="auto" w:sz="4" w:space="0"/>
            </w:tcBorders>
            <w:vAlign w:val="center"/>
          </w:tcPr>
          <w:p>
            <w:pPr>
              <w:spacing w:line="340" w:lineRule="exact"/>
              <w:rPr>
                <w:color w:val="000000"/>
                <w:szCs w:val="21"/>
              </w:rPr>
            </w:pPr>
            <w:r>
              <w:rPr>
                <w:rFonts w:hint="eastAsia"/>
                <w:color w:val="000000"/>
                <w:szCs w:val="21"/>
              </w:rPr>
              <w:t>▲一、</w:t>
            </w:r>
            <w:r>
              <w:rPr>
                <w:rFonts w:hint="eastAsia"/>
                <w:b/>
                <w:color w:val="000000"/>
                <w:szCs w:val="21"/>
              </w:rPr>
              <w:t>商务条款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555"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color w:val="000000"/>
              </w:rPr>
            </w:pPr>
            <w:r>
              <w:rPr>
                <w:rFonts w:hint="eastAsia" w:cs="Arial"/>
                <w:color w:val="000000"/>
              </w:rPr>
              <w:t>规范标准</w:t>
            </w:r>
          </w:p>
        </w:tc>
        <w:tc>
          <w:tcPr>
            <w:tcW w:w="8514"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ind w:firstLine="440"/>
              <w:rPr>
                <w:color w:val="000000"/>
              </w:rPr>
            </w:pPr>
            <w:r>
              <w:rPr>
                <w:rFonts w:hint="eastAsia" w:cs="Arial"/>
                <w:color w:val="000000"/>
              </w:rPr>
              <w:t>采购标的需按照技术参数要求执行国家标准、行业标准、地方标准或者其他标准、规范。</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555"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color w:val="000000"/>
              </w:rPr>
            </w:pPr>
            <w:r>
              <w:rPr>
                <w:rFonts w:hint="eastAsia"/>
                <w:bCs/>
              </w:rPr>
              <w:t>投标报价要求</w:t>
            </w:r>
          </w:p>
        </w:tc>
        <w:tc>
          <w:tcPr>
            <w:tcW w:w="8514" w:type="dxa"/>
            <w:gridSpan w:val="2"/>
            <w:tcBorders>
              <w:top w:val="single" w:color="auto" w:sz="4" w:space="0"/>
              <w:left w:val="single" w:color="auto" w:sz="4" w:space="0"/>
              <w:bottom w:val="single" w:color="auto" w:sz="4" w:space="0"/>
              <w:right w:val="single" w:color="auto" w:sz="4" w:space="0"/>
            </w:tcBorders>
          </w:tcPr>
          <w:p>
            <w:pPr>
              <w:spacing w:line="360" w:lineRule="auto"/>
            </w:pPr>
            <w:r>
              <w:rPr>
                <w:rFonts w:hint="eastAsia"/>
              </w:rPr>
              <w:t>1、本项目实行总承包报价。</w:t>
            </w:r>
          </w:p>
          <w:p>
            <w:pPr>
              <w:spacing w:line="360" w:lineRule="auto"/>
              <w:ind w:firstLine="440"/>
            </w:pPr>
            <w:r>
              <w:rPr>
                <w:rFonts w:hint="eastAsia"/>
              </w:rPr>
              <w:t>包括软件开发、货物采购、运输安装（含仓储、运输和调试费）、厂验、验收、培训等各种费用和售后服务、税金及其它所有成本费用的总和。</w:t>
            </w:r>
          </w:p>
          <w:p>
            <w:pPr>
              <w:spacing w:line="360" w:lineRule="auto"/>
              <w:rPr>
                <w:color w:val="000000"/>
              </w:rPr>
            </w:pPr>
            <w:r>
              <w:rPr>
                <w:rFonts w:hint="eastAsia"/>
              </w:rPr>
              <w:t>2、投标人应充分考虑施工期间各类材料的市场价格变化和可能的国家政策性调整，确定风险系数，对本项目的所有内容范围的设备及施工进行总承包报价。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555"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color w:val="000000"/>
              </w:rPr>
            </w:pPr>
            <w:r>
              <w:rPr>
                <w:rFonts w:hint="eastAsia"/>
                <w:bCs/>
              </w:rPr>
              <w:t>质保要求</w:t>
            </w:r>
          </w:p>
        </w:tc>
        <w:tc>
          <w:tcPr>
            <w:tcW w:w="8514" w:type="dxa"/>
            <w:gridSpan w:val="2"/>
            <w:tcBorders>
              <w:top w:val="single" w:color="auto" w:sz="4" w:space="0"/>
              <w:left w:val="single" w:color="auto" w:sz="4" w:space="0"/>
              <w:bottom w:val="single" w:color="auto" w:sz="4" w:space="0"/>
              <w:right w:val="single" w:color="auto" w:sz="4" w:space="0"/>
            </w:tcBorders>
          </w:tcPr>
          <w:p>
            <w:pPr>
              <w:spacing w:line="360" w:lineRule="auto"/>
            </w:pPr>
            <w:r>
              <w:rPr>
                <w:rFonts w:hint="eastAsia"/>
              </w:rPr>
              <w:t>1、在本项目质量保证期为</w:t>
            </w:r>
            <w:r>
              <w:rPr>
                <w:rFonts w:hint="eastAsia"/>
                <w:b/>
                <w:bCs/>
              </w:rPr>
              <w:t>从验收合格之日</w:t>
            </w:r>
            <w:r>
              <w:rPr>
                <w:rFonts w:hint="eastAsia"/>
              </w:rPr>
              <w:t>起</w:t>
            </w:r>
            <w:r>
              <w:rPr>
                <w:b/>
                <w:bCs/>
              </w:rPr>
              <w:t>24</w:t>
            </w:r>
            <w:r>
              <w:rPr>
                <w:rFonts w:hint="eastAsia"/>
                <w:b/>
                <w:bCs/>
              </w:rPr>
              <w:t>个月</w:t>
            </w:r>
            <w:r>
              <w:rPr>
                <w:rFonts w:hint="eastAsia"/>
              </w:rPr>
              <w:t>。</w:t>
            </w:r>
          </w:p>
          <w:p>
            <w:pPr>
              <w:spacing w:line="360" w:lineRule="auto"/>
              <w:rPr>
                <w:color w:val="000000"/>
              </w:rPr>
            </w:pPr>
            <w:r>
              <w:rPr>
                <w:rFonts w:hint="eastAsia"/>
              </w:rPr>
              <w:t>2、在质量保证期内，出现质量问题，中标方免费包换或保修（运输、材料、维修等费用由中标人负责）。在质量保证期内，出现故障或技术问题，中标人在接到用户的通知后24小时内派技术人员到达现场处理；十年保证配件的供货。</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555"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color w:val="000000"/>
              </w:rPr>
            </w:pPr>
            <w:r>
              <w:rPr>
                <w:rFonts w:hint="eastAsia"/>
                <w:bCs/>
              </w:rPr>
              <w:t>售后技术要求</w:t>
            </w:r>
          </w:p>
        </w:tc>
        <w:tc>
          <w:tcPr>
            <w:tcW w:w="8514" w:type="dxa"/>
            <w:gridSpan w:val="2"/>
            <w:tcBorders>
              <w:top w:val="single" w:color="auto" w:sz="4" w:space="0"/>
              <w:left w:val="single" w:color="auto" w:sz="4" w:space="0"/>
              <w:bottom w:val="single" w:color="auto" w:sz="4" w:space="0"/>
              <w:right w:val="single" w:color="auto" w:sz="4" w:space="0"/>
            </w:tcBorders>
          </w:tcPr>
          <w:p>
            <w:pPr>
              <w:spacing w:line="360" w:lineRule="auto"/>
              <w:ind w:firstLine="440"/>
            </w:pPr>
            <w:r>
              <w:rPr>
                <w:rFonts w:hint="eastAsia"/>
              </w:rPr>
              <w:t>1、中标供应商负责对采购单位指定的技术人员免费进行技术培训（要求16个学时），培训内容包含：系统工作原理、安装与维护规范，日常维护操作和其他采购单位要求的内容，采购单位指定的技术人员经培训对设备能熟练使用和进行日常运行维护工作。</w:t>
            </w:r>
          </w:p>
          <w:p>
            <w:pPr>
              <w:spacing w:line="360" w:lineRule="auto"/>
              <w:ind w:firstLine="440"/>
            </w:pPr>
            <w:r>
              <w:rPr>
                <w:rFonts w:hint="eastAsia"/>
              </w:rPr>
              <w:t>2、中标人免费为采购人提供县及乡镇平台软件可编译执行并可正常使用的源代码，编译环境。</w:t>
            </w:r>
          </w:p>
          <w:p>
            <w:pPr>
              <w:spacing w:line="360" w:lineRule="auto"/>
              <w:ind w:firstLine="440"/>
            </w:pPr>
            <w:r>
              <w:rPr>
                <w:rFonts w:hint="eastAsia"/>
              </w:rPr>
              <w:t>3、中标人免费为采购人提供适配器、收扩机、音柱及IP话筒设备原理图、PCB图、可编译执行并可正常使用的源代码，编译环境。</w:t>
            </w:r>
          </w:p>
          <w:p>
            <w:pPr>
              <w:spacing w:line="360" w:lineRule="auto"/>
              <w:ind w:firstLine="440"/>
            </w:pPr>
            <w:r>
              <w:rPr>
                <w:rFonts w:hint="eastAsia"/>
              </w:rPr>
              <w:t>4、中标人免费为采购人提供进行系统二次开发的技术支持。</w:t>
            </w:r>
          </w:p>
          <w:p>
            <w:pPr>
              <w:spacing w:line="360" w:lineRule="auto"/>
              <w:ind w:firstLine="440"/>
            </w:pPr>
            <w:r>
              <w:rPr>
                <w:rFonts w:hint="eastAsia"/>
              </w:rPr>
              <w:t>5、中标人</w:t>
            </w:r>
            <w:r>
              <w:t>要求提供的嵌入式软件能在本次招标设备中稳定运行并由采购人调试通过，实现合同中所有功能要求</w:t>
            </w:r>
            <w:r>
              <w:rPr>
                <w:rFonts w:hint="eastAsia"/>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555"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color w:val="000000"/>
              </w:rPr>
            </w:pPr>
            <w:r>
              <w:rPr>
                <w:rFonts w:hint="eastAsia"/>
              </w:rPr>
              <w:t>工程完成时间及地点</w:t>
            </w:r>
          </w:p>
        </w:tc>
        <w:tc>
          <w:tcPr>
            <w:tcW w:w="8514"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ind w:firstLine="440"/>
            </w:pPr>
            <w:r>
              <w:rPr>
                <w:rFonts w:hint="eastAsia"/>
              </w:rPr>
              <w:t>工程完成时间：合同签订后90个日历日完成。</w:t>
            </w:r>
          </w:p>
          <w:p>
            <w:pPr>
              <w:spacing w:line="360" w:lineRule="auto"/>
              <w:ind w:firstLine="440"/>
              <w:rPr>
                <w:color w:val="000000"/>
              </w:rPr>
            </w:pPr>
            <w:r>
              <w:rPr>
                <w:rFonts w:hint="eastAsia"/>
              </w:rPr>
              <w:t>地点：广西区内采购人指定地点。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1555" w:type="dxa"/>
            <w:gridSpan w:val="2"/>
            <w:tcBorders>
              <w:top w:val="single" w:color="auto" w:sz="4" w:space="0"/>
              <w:left w:val="single" w:color="auto" w:sz="4" w:space="0"/>
              <w:bottom w:val="single" w:color="auto" w:sz="4" w:space="0"/>
              <w:right w:val="single" w:color="auto" w:sz="4" w:space="0"/>
            </w:tcBorders>
            <w:vAlign w:val="center"/>
          </w:tcPr>
          <w:p>
            <w:pPr>
              <w:rPr>
                <w:color w:val="000000"/>
              </w:rPr>
            </w:pPr>
            <w:r>
              <w:rPr>
                <w:rFonts w:hint="eastAsia"/>
              </w:rPr>
              <w:t>付款条件</w:t>
            </w:r>
          </w:p>
        </w:tc>
        <w:tc>
          <w:tcPr>
            <w:tcW w:w="8514" w:type="dxa"/>
            <w:gridSpan w:val="2"/>
            <w:tcBorders>
              <w:top w:val="single" w:color="auto" w:sz="4" w:space="0"/>
              <w:left w:val="single" w:color="auto" w:sz="4" w:space="0"/>
              <w:bottom w:val="single" w:color="auto" w:sz="4" w:space="0"/>
              <w:right w:val="single" w:color="auto" w:sz="4" w:space="0"/>
            </w:tcBorders>
          </w:tcPr>
          <w:p>
            <w:pPr>
              <w:spacing w:line="360" w:lineRule="auto"/>
              <w:ind w:firstLine="440" w:firstLineChars="200"/>
              <w:rPr>
                <w:rFonts w:hint="eastAsia"/>
              </w:rPr>
            </w:pPr>
            <w:r>
              <w:rPr>
                <w:rFonts w:hint="eastAsia"/>
              </w:rPr>
              <w:t>1、第一次付款：合同签订生效后，中标人凭付款申请书、中标通知书、合同金额30%的正式发票，向采购人申请支付30%的合同款。</w:t>
            </w:r>
          </w:p>
          <w:p>
            <w:pPr>
              <w:spacing w:line="360" w:lineRule="auto"/>
              <w:ind w:firstLine="440" w:firstLineChars="200"/>
              <w:rPr>
                <w:rFonts w:hint="eastAsia"/>
              </w:rPr>
            </w:pPr>
            <w:r>
              <w:rPr>
                <w:rFonts w:hint="eastAsia"/>
              </w:rPr>
              <w:t>2、第二次付款：设备全部到货并经</w:t>
            </w:r>
            <w:r>
              <w:rPr>
                <w:rFonts w:hint="eastAsia"/>
                <w:lang w:eastAsia="zh-CN"/>
              </w:rPr>
              <w:t>大新</w:t>
            </w:r>
            <w:r>
              <w:rPr>
                <w:rFonts w:hint="eastAsia"/>
              </w:rPr>
              <w:t>县广电局抽验合格后，中标人凭付款申请书、合同金额50%的正式发票、设备签收单（复印件，格式自拟）、抽验合格证明向采购人申请支付50%的合同款。</w:t>
            </w:r>
          </w:p>
          <w:p>
            <w:pPr>
              <w:spacing w:line="360" w:lineRule="auto"/>
              <w:ind w:firstLine="440" w:firstLineChars="200"/>
              <w:rPr>
                <w:color w:val="000000"/>
              </w:rPr>
            </w:pPr>
            <w:r>
              <w:rPr>
                <w:rFonts w:hint="eastAsia"/>
              </w:rPr>
              <w:t>3、第三次付款：设备安装调试完毕后，经采购人验收合格并签署合同验收书，中标人凭付款申请书、合同金额20%的正式发票、合同验收书向采购人申请支付20%的合同款。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555"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rPr>
                <w:color w:val="000000"/>
              </w:rPr>
            </w:pPr>
            <w:r>
              <w:rPr>
                <w:rFonts w:hint="eastAsia"/>
              </w:rPr>
              <w:t>设备的安装、调试和验收</w:t>
            </w:r>
          </w:p>
        </w:tc>
        <w:tc>
          <w:tcPr>
            <w:tcW w:w="8514"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ind w:firstLine="440"/>
            </w:pPr>
            <w:r>
              <w:rPr>
                <w:rFonts w:hint="eastAsia"/>
              </w:rPr>
              <w:t>1、安装、调试与培训</w:t>
            </w:r>
          </w:p>
          <w:p>
            <w:pPr>
              <w:spacing w:line="360" w:lineRule="auto"/>
              <w:ind w:firstLine="440"/>
            </w:pPr>
            <w:r>
              <w:rPr>
                <w:rFonts w:hint="eastAsia"/>
              </w:rPr>
              <w:t>中标人负责县级平台的安装调试；须对安装乡镇平台和终端设备的技术人员提供集中培训，确保其掌握设备的性能、安装、调试及使用；安排专人在县级平台跟踪、协调乡镇平台和终端设备的安装调试事宜，及时提供技术支持。</w:t>
            </w:r>
          </w:p>
          <w:p>
            <w:pPr>
              <w:spacing w:line="360" w:lineRule="auto"/>
              <w:ind w:firstLine="440"/>
            </w:pPr>
            <w:r>
              <w:rPr>
                <w:rFonts w:hint="eastAsia"/>
              </w:rPr>
              <w:t>中标人负责对采购单位指定的技术人员免费进行技术培训（要求16个学时），培训内容包含：系统工作原理、安装与维护规范，日常维护操作和其他采购单位要求的内容，采购单位指定的技术人员经培训对设备能熟练使用和进行日常运行维护工作。</w:t>
            </w:r>
          </w:p>
          <w:p>
            <w:pPr>
              <w:spacing w:line="360" w:lineRule="auto"/>
              <w:ind w:firstLine="440"/>
            </w:pPr>
            <w:r>
              <w:rPr>
                <w:rFonts w:hint="eastAsia"/>
              </w:rPr>
              <w:t>中标人负责编制县级平台操作手册和系统说明书，培训平台操作人员。</w:t>
            </w:r>
          </w:p>
          <w:p>
            <w:pPr>
              <w:spacing w:line="360" w:lineRule="auto"/>
              <w:ind w:firstLine="440"/>
            </w:pPr>
            <w:r>
              <w:rPr>
                <w:rFonts w:hint="eastAsia"/>
              </w:rPr>
              <w:t>中标人负责编制乡镇平台和村级终端操作手册，以便于现场培训乡、村操作人员。</w:t>
            </w:r>
          </w:p>
          <w:p>
            <w:pPr>
              <w:spacing w:line="360" w:lineRule="auto"/>
              <w:ind w:firstLine="440"/>
            </w:pPr>
            <w:r>
              <w:rPr>
                <w:rFonts w:hint="eastAsia"/>
              </w:rPr>
              <w:t>乡镇平台和村级终端的设备运输至甲方所在县城指定位置。</w:t>
            </w:r>
          </w:p>
          <w:p>
            <w:pPr>
              <w:spacing w:line="360" w:lineRule="auto"/>
              <w:ind w:firstLine="440"/>
            </w:pPr>
            <w:r>
              <w:rPr>
                <w:rFonts w:hint="eastAsia"/>
              </w:rPr>
              <w:t>2、货物验收</w:t>
            </w:r>
          </w:p>
          <w:p>
            <w:pPr>
              <w:spacing w:line="360" w:lineRule="auto"/>
              <w:ind w:firstLine="440"/>
            </w:pPr>
            <w:r>
              <w:rPr>
                <w:rFonts w:hint="eastAsia"/>
              </w:rPr>
              <w:t>采购人按照合同规定的技术服务、安全标准,组织对中标人履行情况进行验收，并出具验收报告。验收报告应当包括每一项技术服务、安全标准的履约情况。</w:t>
            </w:r>
          </w:p>
          <w:p>
            <w:pPr>
              <w:spacing w:line="360" w:lineRule="auto"/>
              <w:ind w:firstLine="440"/>
            </w:pPr>
            <w:r>
              <w:rPr>
                <w:rFonts w:hint="eastAsia"/>
              </w:rPr>
              <w:t>初步验收：每个建设点建设完成后立即进行初步验收，填写初步验收表。（设备类分标中标人负责县级平台初验）</w:t>
            </w:r>
          </w:p>
          <w:p>
            <w:pPr>
              <w:spacing w:line="360" w:lineRule="auto"/>
              <w:ind w:firstLine="440"/>
            </w:pPr>
            <w:r>
              <w:rPr>
                <w:rFonts w:hint="eastAsia"/>
              </w:rPr>
              <w:t>整体验收：设备全部安装调试后，采购人按照投标承诺进行验收（分县级平台软件核验、县级平台设备核验、乡镇平台和行政村终端抽验初步验收表三个部分），验收合格后签署合同验收书。验收方法由采购人按合同要求进行，具体方法在签订合同时约定。</w:t>
            </w:r>
          </w:p>
          <w:p>
            <w:pPr>
              <w:spacing w:line="360" w:lineRule="auto"/>
              <w:ind w:firstLine="440"/>
            </w:pPr>
            <w:r>
              <w:rPr>
                <w:rFonts w:hint="eastAsia"/>
              </w:rPr>
              <w:t>验收过程中，若发现设备有短缺、损坏或不符合合同条款和质量标准的情况，中标人将负责补齐、更换，由此引起一切费用由中标人承担。</w:t>
            </w:r>
          </w:p>
          <w:p>
            <w:pPr>
              <w:spacing w:line="360" w:lineRule="auto"/>
              <w:ind w:firstLine="440"/>
            </w:pPr>
            <w:r>
              <w:rPr>
                <w:rFonts w:hint="eastAsia"/>
              </w:rPr>
              <w:t>在货物验收时由采购单位对照招标文件的功能目标及技术指标全面核对检验，对所有要求出具的证明文件的原件进行核查，如不符合招标文件的技术需求及要求以及提供虚假承诺的，按相关规定做退货处理及违约处理，中标人承担所有责任和费用，采购人保留进一步追究责任的权利。</w:t>
            </w:r>
          </w:p>
          <w:p>
            <w:pPr>
              <w:spacing w:line="360" w:lineRule="auto"/>
              <w:ind w:firstLine="440"/>
            </w:pPr>
            <w:r>
              <w:rPr>
                <w:rFonts w:hint="eastAsia"/>
              </w:rPr>
              <w:t>验收过程中所产生的一切费用均由中标人承担。报价时应考虑相关费用。</w:t>
            </w:r>
          </w:p>
          <w:p>
            <w:pPr>
              <w:spacing w:line="360" w:lineRule="auto"/>
              <w:ind w:firstLine="440"/>
            </w:pPr>
            <w:r>
              <w:rPr>
                <w:rFonts w:hint="eastAsia"/>
              </w:rPr>
              <w:t>3、验收争议处理：</w:t>
            </w:r>
          </w:p>
          <w:p>
            <w:pPr>
              <w:spacing w:line="360" w:lineRule="auto"/>
              <w:ind w:firstLine="440"/>
              <w:rPr>
                <w:color w:val="000000"/>
              </w:rPr>
            </w:pPr>
            <w:r>
              <w:rPr>
                <w:rFonts w:hint="eastAsia"/>
              </w:rPr>
              <w:t>因货物质量问题发生争议的，由采购人委托具有合法资质的质量检测机构对货物质量进行鉴定。货物符合标准的，鉴定费由采购人承担；货物不符合标准的，鉴定费由中标人承担。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1555"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ind w:firstLine="440"/>
              <w:rPr>
                <w:color w:val="000000"/>
              </w:rPr>
            </w:pPr>
            <w:r>
              <w:rPr>
                <w:rFonts w:hint="eastAsia"/>
              </w:rPr>
              <w:t>设备检测</w:t>
            </w:r>
          </w:p>
        </w:tc>
        <w:tc>
          <w:tcPr>
            <w:tcW w:w="8514" w:type="dxa"/>
            <w:gridSpan w:val="2"/>
            <w:tcBorders>
              <w:top w:val="single" w:color="auto" w:sz="4" w:space="0"/>
              <w:left w:val="single" w:color="auto" w:sz="4" w:space="0"/>
              <w:bottom w:val="single" w:color="auto" w:sz="4" w:space="0"/>
              <w:right w:val="single" w:color="auto" w:sz="4" w:space="0"/>
            </w:tcBorders>
            <w:vAlign w:val="center"/>
          </w:tcPr>
          <w:p>
            <w:pPr>
              <w:spacing w:line="360" w:lineRule="auto"/>
              <w:ind w:firstLine="440"/>
            </w:pPr>
            <w:r>
              <w:rPr>
                <w:rFonts w:hint="eastAsia"/>
              </w:rPr>
              <w:t>1、如有，请提供本次招标采购的县级应急广播平台系统、应急广播终端设备（应急广播适配器、音柱、收扩机、IP话筒）和调频广播发射机的第三方检测报告，其中第三方是指具备本项目招标设备国家级检测资质的检测机构。检测内容见附件《广西2021年县级应急广播平台系统及设备技术测试方案》。</w:t>
            </w:r>
          </w:p>
          <w:p>
            <w:pPr>
              <w:spacing w:line="360" w:lineRule="auto"/>
            </w:pPr>
            <w:r>
              <w:rPr>
                <w:rFonts w:hint="eastAsia"/>
              </w:rPr>
              <w:t>在投标文件中如有请提供第三方检测报告复印件并加盖投标单位公章，原件备查。</w:t>
            </w:r>
          </w:p>
          <w:p>
            <w:pPr>
              <w:spacing w:line="360" w:lineRule="auto"/>
              <w:ind w:firstLine="440"/>
            </w:pPr>
            <w:r>
              <w:rPr>
                <w:rFonts w:hint="eastAsia"/>
              </w:rPr>
              <w:t>2、投标人中标后，须与采购人进行技术对接，双方对设备物理尺寸、接口、通信协议等进行优化确认后方能投入生产。</w:t>
            </w:r>
          </w:p>
        </w:tc>
      </w:tr>
    </w:tbl>
    <w:p>
      <w:pPr>
        <w:rPr>
          <w:rFonts w:hint="eastAsia"/>
        </w:rPr>
        <w:sectPr>
          <w:pgSz w:w="11910" w:h="16840"/>
          <w:pgMar w:top="1120" w:right="720" w:bottom="1300" w:left="720" w:header="0" w:footer="1120" w:gutter="0"/>
          <w:pgNumType w:fmt="decimal"/>
          <w:cols w:space="720" w:num="1"/>
        </w:sectPr>
      </w:pPr>
    </w:p>
    <w:p>
      <w:pPr>
        <w:pStyle w:val="19"/>
        <w:rPr>
          <w:b/>
          <w:sz w:val="20"/>
        </w:rPr>
      </w:pPr>
    </w:p>
    <w:p>
      <w:pPr>
        <w:jc w:val="center"/>
        <w:outlineLvl w:val="0"/>
        <w:rPr>
          <w:b/>
          <w:bCs/>
          <w:sz w:val="44"/>
          <w:szCs w:val="44"/>
        </w:rPr>
      </w:pPr>
      <w:bookmarkStart w:id="14" w:name="_Toc25777"/>
      <w:r>
        <w:rPr>
          <w:b/>
          <w:bCs/>
          <w:sz w:val="44"/>
          <w:szCs w:val="44"/>
        </w:rPr>
        <w:t>第三章</w:t>
      </w:r>
      <w:r>
        <w:rPr>
          <w:b/>
          <w:bCs/>
          <w:sz w:val="44"/>
          <w:szCs w:val="44"/>
        </w:rPr>
        <w:tab/>
      </w:r>
      <w:r>
        <w:rPr>
          <w:b/>
          <w:bCs/>
          <w:sz w:val="44"/>
          <w:szCs w:val="44"/>
        </w:rPr>
        <w:t>投标人须知</w:t>
      </w:r>
      <w:bookmarkEnd w:id="14"/>
    </w:p>
    <w:p>
      <w:pPr>
        <w:pStyle w:val="19"/>
        <w:spacing w:before="2"/>
        <w:rPr>
          <w:b/>
          <w:sz w:val="39"/>
        </w:rPr>
      </w:pPr>
    </w:p>
    <w:p>
      <w:pPr>
        <w:pStyle w:val="7"/>
        <w:spacing w:after="4"/>
        <w:rPr>
          <w:rFonts w:ascii="宋体" w:eastAsia="宋体"/>
        </w:rPr>
      </w:pPr>
      <w:r>
        <w:rPr>
          <w:rFonts w:hint="eastAsia" w:ascii="宋体" w:eastAsia="宋体"/>
        </w:rPr>
        <w:t>投标人须知前附表</w:t>
      </w:r>
    </w:p>
    <w:tbl>
      <w:tblPr>
        <w:tblStyle w:val="51"/>
        <w:tblW w:w="9850"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44"/>
        <w:gridCol w:w="88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044" w:type="dxa"/>
          </w:tcPr>
          <w:p>
            <w:pPr>
              <w:pStyle w:val="63"/>
              <w:spacing w:before="100"/>
              <w:ind w:left="88" w:right="186"/>
              <w:jc w:val="center"/>
              <w:rPr>
                <w:sz w:val="24"/>
              </w:rPr>
            </w:pPr>
            <w:r>
              <w:rPr>
                <w:sz w:val="24"/>
              </w:rPr>
              <w:t>条款号</w:t>
            </w:r>
          </w:p>
        </w:tc>
        <w:tc>
          <w:tcPr>
            <w:tcW w:w="8806" w:type="dxa"/>
          </w:tcPr>
          <w:p>
            <w:pPr>
              <w:pStyle w:val="63"/>
              <w:spacing w:before="100"/>
              <w:ind w:left="3902" w:right="3893"/>
              <w:jc w:val="center"/>
              <w:rPr>
                <w:sz w:val="24"/>
              </w:rPr>
            </w:pPr>
            <w:r>
              <w:rPr>
                <w:sz w:val="24"/>
              </w:rPr>
              <w:t>编列内容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1044" w:type="dxa"/>
          </w:tcPr>
          <w:p>
            <w:pPr>
              <w:pStyle w:val="63"/>
              <w:rPr>
                <w:sz w:val="16"/>
              </w:rPr>
            </w:pPr>
          </w:p>
          <w:p>
            <w:pPr>
              <w:pStyle w:val="63"/>
              <w:spacing w:before="1"/>
              <w:ind w:left="8"/>
              <w:jc w:val="center"/>
              <w:rPr>
                <w:sz w:val="21"/>
              </w:rPr>
            </w:pPr>
            <w:r>
              <w:rPr>
                <w:w w:val="99"/>
                <w:sz w:val="21"/>
              </w:rPr>
              <w:t>3</w:t>
            </w:r>
          </w:p>
        </w:tc>
        <w:tc>
          <w:tcPr>
            <w:tcW w:w="8806" w:type="dxa"/>
          </w:tcPr>
          <w:p>
            <w:pPr>
              <w:pStyle w:val="63"/>
              <w:rPr>
                <w:sz w:val="16"/>
              </w:rPr>
            </w:pPr>
          </w:p>
          <w:p>
            <w:pPr>
              <w:pStyle w:val="63"/>
              <w:spacing w:before="1"/>
              <w:ind w:left="106"/>
              <w:rPr>
                <w:sz w:val="21"/>
              </w:rPr>
            </w:pPr>
            <w:r>
              <w:rPr>
                <w:sz w:val="21"/>
              </w:rPr>
              <w:t>投标人的资格要求详见“招标公告”。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1044" w:type="dxa"/>
          </w:tcPr>
          <w:p>
            <w:pPr>
              <w:pStyle w:val="63"/>
              <w:spacing w:before="1"/>
              <w:rPr>
                <w:sz w:val="16"/>
              </w:rPr>
            </w:pPr>
          </w:p>
          <w:p>
            <w:pPr>
              <w:pStyle w:val="63"/>
              <w:ind w:left="88" w:right="80"/>
              <w:jc w:val="center"/>
              <w:rPr>
                <w:sz w:val="21"/>
              </w:rPr>
            </w:pPr>
            <w:bookmarkStart w:id="15" w:name="_bookmark2"/>
            <w:bookmarkEnd w:id="15"/>
            <w:r>
              <w:rPr>
                <w:sz w:val="21"/>
              </w:rPr>
              <w:t>6.1</w:t>
            </w:r>
          </w:p>
        </w:tc>
        <w:tc>
          <w:tcPr>
            <w:tcW w:w="8806" w:type="dxa"/>
          </w:tcPr>
          <w:p>
            <w:pPr>
              <w:pStyle w:val="63"/>
              <w:spacing w:before="1"/>
              <w:rPr>
                <w:sz w:val="16"/>
              </w:rPr>
            </w:pPr>
          </w:p>
          <w:p>
            <w:pPr>
              <w:pStyle w:val="63"/>
              <w:ind w:left="106"/>
              <w:rPr>
                <w:sz w:val="21"/>
              </w:rPr>
            </w:pPr>
            <w:r>
              <w:rPr>
                <w:sz w:val="21"/>
              </w:rPr>
              <w:t>本项目是否接受联合体投标：详见招标公告。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1044" w:type="dxa"/>
          </w:tcPr>
          <w:p>
            <w:pPr>
              <w:pStyle w:val="63"/>
              <w:spacing w:before="12"/>
              <w:rPr>
                <w:sz w:val="15"/>
              </w:rPr>
            </w:pPr>
          </w:p>
          <w:p>
            <w:pPr>
              <w:pStyle w:val="63"/>
              <w:ind w:left="88" w:right="80"/>
              <w:jc w:val="center"/>
              <w:rPr>
                <w:sz w:val="21"/>
              </w:rPr>
            </w:pPr>
            <w:r>
              <w:rPr>
                <w:sz w:val="21"/>
              </w:rPr>
              <w:t>6.2</w:t>
            </w:r>
          </w:p>
        </w:tc>
        <w:tc>
          <w:tcPr>
            <w:tcW w:w="8806" w:type="dxa"/>
          </w:tcPr>
          <w:p>
            <w:pPr>
              <w:pStyle w:val="63"/>
              <w:spacing w:before="12"/>
              <w:rPr>
                <w:sz w:val="15"/>
              </w:rPr>
            </w:pPr>
          </w:p>
          <w:p>
            <w:pPr>
              <w:pStyle w:val="63"/>
              <w:ind w:left="106"/>
              <w:rPr>
                <w:sz w:val="21"/>
              </w:rPr>
            </w:pPr>
            <w:r>
              <w:rPr>
                <w:sz w:val="21"/>
              </w:rPr>
              <w:t>如接受联合体投标，联合体投标要求如下：无</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1044" w:type="dxa"/>
          </w:tcPr>
          <w:p>
            <w:pPr>
              <w:pStyle w:val="63"/>
              <w:spacing w:before="12"/>
              <w:rPr>
                <w:sz w:val="15"/>
              </w:rPr>
            </w:pPr>
          </w:p>
          <w:p>
            <w:pPr>
              <w:pStyle w:val="63"/>
              <w:ind w:left="88" w:right="80"/>
              <w:jc w:val="center"/>
              <w:rPr>
                <w:sz w:val="21"/>
              </w:rPr>
            </w:pPr>
            <w:r>
              <w:rPr>
                <w:sz w:val="21"/>
              </w:rPr>
              <w:t>7.2</w:t>
            </w:r>
          </w:p>
        </w:tc>
        <w:tc>
          <w:tcPr>
            <w:tcW w:w="8806" w:type="dxa"/>
          </w:tcPr>
          <w:p>
            <w:pPr>
              <w:pStyle w:val="63"/>
              <w:spacing w:before="12"/>
              <w:rPr>
                <w:sz w:val="15"/>
              </w:rPr>
            </w:pPr>
          </w:p>
          <w:p>
            <w:pPr>
              <w:pStyle w:val="63"/>
              <w:ind w:left="106"/>
              <w:rPr>
                <w:sz w:val="21"/>
              </w:rPr>
            </w:pPr>
            <w:r>
              <w:rPr>
                <w:sz w:val="21"/>
              </w:rPr>
              <w:t>允许分包，经招标人同意可进行合理分包。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0" w:hRule="atLeast"/>
        </w:trPr>
        <w:tc>
          <w:tcPr>
            <w:tcW w:w="1044" w:type="dxa"/>
          </w:tcPr>
          <w:p>
            <w:pPr>
              <w:pStyle w:val="63"/>
              <w:rPr>
                <w:sz w:val="20"/>
              </w:rPr>
            </w:pPr>
          </w:p>
          <w:p>
            <w:pPr>
              <w:pStyle w:val="63"/>
              <w:spacing w:before="2"/>
              <w:rPr>
                <w:sz w:val="16"/>
              </w:rPr>
            </w:pPr>
          </w:p>
          <w:p>
            <w:pPr>
              <w:pStyle w:val="63"/>
              <w:spacing w:before="1"/>
              <w:ind w:left="88" w:right="80"/>
              <w:jc w:val="center"/>
              <w:rPr>
                <w:sz w:val="21"/>
              </w:rPr>
            </w:pPr>
            <w:r>
              <w:rPr>
                <w:sz w:val="21"/>
              </w:rPr>
              <w:t>11.2</w:t>
            </w:r>
          </w:p>
        </w:tc>
        <w:tc>
          <w:tcPr>
            <w:tcW w:w="8806" w:type="dxa"/>
          </w:tcPr>
          <w:p>
            <w:pPr>
              <w:pStyle w:val="63"/>
              <w:rPr>
                <w:sz w:val="16"/>
              </w:rPr>
            </w:pPr>
          </w:p>
          <w:p>
            <w:pPr>
              <w:pStyle w:val="63"/>
              <w:ind w:left="106"/>
              <w:rPr>
                <w:sz w:val="21"/>
              </w:rPr>
            </w:pPr>
            <w:r>
              <w:rPr>
                <w:sz w:val="21"/>
              </w:rPr>
              <w:t>不组织现场考察</w:t>
            </w:r>
          </w:p>
          <w:p>
            <w:pPr>
              <w:pStyle w:val="63"/>
              <w:spacing w:before="8"/>
              <w:rPr>
                <w:sz w:val="19"/>
              </w:rPr>
            </w:pPr>
          </w:p>
          <w:p>
            <w:pPr>
              <w:pStyle w:val="63"/>
              <w:ind w:left="106"/>
              <w:rPr>
                <w:sz w:val="21"/>
              </w:rPr>
            </w:pPr>
            <w:r>
              <w:rPr>
                <w:sz w:val="21"/>
              </w:rPr>
              <w:t>不组织召开开标前答疑会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0" w:hRule="atLeast"/>
        </w:trPr>
        <w:tc>
          <w:tcPr>
            <w:tcW w:w="1044" w:type="dxa"/>
            <w:vMerge w:val="restart"/>
          </w:tcPr>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spacing w:before="11"/>
              <w:rPr>
                <w:sz w:val="20"/>
              </w:rPr>
            </w:pPr>
          </w:p>
          <w:p>
            <w:pPr>
              <w:pStyle w:val="63"/>
              <w:ind w:left="310"/>
              <w:rPr>
                <w:sz w:val="21"/>
              </w:rPr>
            </w:pPr>
            <w:r>
              <w:rPr>
                <w:sz w:val="21"/>
              </w:rPr>
              <w:t>13.1</w:t>
            </w:r>
          </w:p>
        </w:tc>
        <w:tc>
          <w:tcPr>
            <w:tcW w:w="8806" w:type="dxa"/>
          </w:tcPr>
          <w:p>
            <w:pPr>
              <w:pStyle w:val="63"/>
              <w:spacing w:before="1"/>
              <w:rPr>
                <w:sz w:val="16"/>
              </w:rPr>
            </w:pPr>
          </w:p>
          <w:p>
            <w:pPr>
              <w:pStyle w:val="63"/>
              <w:ind w:left="106"/>
              <w:rPr>
                <w:b/>
                <w:sz w:val="21"/>
              </w:rPr>
            </w:pPr>
            <w:r>
              <w:rPr>
                <w:b/>
                <w:sz w:val="21"/>
              </w:rPr>
              <w:t>报价文件：</w:t>
            </w:r>
          </w:p>
          <w:p>
            <w:pPr>
              <w:pStyle w:val="63"/>
              <w:spacing w:before="6"/>
              <w:rPr>
                <w:sz w:val="19"/>
              </w:rPr>
            </w:pPr>
          </w:p>
          <w:p>
            <w:pPr>
              <w:pStyle w:val="63"/>
              <w:numPr>
                <w:ilvl w:val="0"/>
                <w:numId w:val="25"/>
              </w:numPr>
              <w:tabs>
                <w:tab w:val="left" w:pos="738"/>
              </w:tabs>
              <w:rPr>
                <w:b/>
                <w:sz w:val="21"/>
              </w:rPr>
            </w:pPr>
            <w:r>
              <w:rPr>
                <w:rFonts w:ascii="宋体" w:hAnsi="宋体" w:eastAsia="宋体" w:cs="宋体"/>
                <w:sz w:val="21"/>
              </w:rPr>
              <w:t>投标函（格式后附）</w:t>
            </w:r>
            <w:r>
              <w:rPr>
                <w:sz w:val="21"/>
              </w:rPr>
              <w:t>；</w:t>
            </w:r>
            <w:r>
              <w:rPr>
                <w:b/>
                <w:sz w:val="21"/>
              </w:rPr>
              <w:t>（必须提供，否则作无效投标处理）</w:t>
            </w:r>
          </w:p>
          <w:p>
            <w:pPr>
              <w:pStyle w:val="63"/>
              <w:spacing w:before="8"/>
              <w:rPr>
                <w:sz w:val="19"/>
              </w:rPr>
            </w:pPr>
          </w:p>
          <w:p>
            <w:pPr>
              <w:pStyle w:val="63"/>
              <w:numPr>
                <w:ilvl w:val="0"/>
                <w:numId w:val="25"/>
              </w:numPr>
              <w:tabs>
                <w:tab w:val="left" w:pos="738"/>
              </w:tabs>
              <w:rPr>
                <w:sz w:val="21"/>
              </w:rPr>
            </w:pPr>
            <w:r>
              <w:rPr>
                <w:sz w:val="21"/>
              </w:rPr>
              <w:t>开标一览表（格式后附）；（</w:t>
            </w:r>
            <w:r>
              <w:rPr>
                <w:b/>
                <w:sz w:val="21"/>
              </w:rPr>
              <w:t>必须提供，否则作无效投标处理</w:t>
            </w:r>
            <w:r>
              <w:rPr>
                <w:sz w:val="21"/>
              </w:rPr>
              <w:t>）</w:t>
            </w:r>
          </w:p>
          <w:p>
            <w:pPr>
              <w:pStyle w:val="63"/>
              <w:spacing w:before="8"/>
              <w:rPr>
                <w:sz w:val="19"/>
              </w:rPr>
            </w:pPr>
          </w:p>
          <w:p>
            <w:pPr>
              <w:pStyle w:val="63"/>
              <w:numPr>
                <w:ilvl w:val="0"/>
                <w:numId w:val="25"/>
              </w:numPr>
              <w:tabs>
                <w:tab w:val="left" w:pos="738"/>
              </w:tabs>
              <w:rPr>
                <w:sz w:val="21"/>
              </w:rPr>
            </w:pPr>
            <w:r>
              <w:rPr>
                <w:sz w:val="21"/>
              </w:rPr>
              <w:t>投标人针对报价需要说明的其他文件和说明（格式自拟）。</w:t>
            </w:r>
          </w:p>
          <w:p>
            <w:pPr>
              <w:pStyle w:val="63"/>
              <w:spacing w:before="44" w:line="520" w:lineRule="exact"/>
              <w:ind w:left="106" w:right="100" w:firstLine="420"/>
              <w:rPr>
                <w:b/>
                <w:sz w:val="21"/>
              </w:rPr>
            </w:pPr>
            <w:r>
              <w:rPr>
                <w:rFonts w:ascii="宋体" w:hAnsi="宋体" w:eastAsia="宋体" w:cs="宋体"/>
                <w:b/>
                <w:sz w:val="21"/>
              </w:rPr>
              <w:t>注：投标函、开标一览表必须由法定代表人或者委托代理人在规定签章处逐一签字并加盖投标人公章，否则作无效投标处理。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98" w:hRule="atLeast"/>
        </w:trPr>
        <w:tc>
          <w:tcPr>
            <w:tcW w:w="1044" w:type="dxa"/>
            <w:vMerge w:val="continue"/>
            <w:tcBorders>
              <w:top w:val="nil"/>
            </w:tcBorders>
          </w:tcPr>
          <w:p>
            <w:pPr>
              <w:rPr>
                <w:sz w:val="2"/>
                <w:szCs w:val="2"/>
              </w:rPr>
            </w:pPr>
          </w:p>
        </w:tc>
        <w:tc>
          <w:tcPr>
            <w:tcW w:w="8806" w:type="dxa"/>
          </w:tcPr>
          <w:p>
            <w:pPr>
              <w:pStyle w:val="63"/>
              <w:rPr>
                <w:sz w:val="16"/>
              </w:rPr>
            </w:pPr>
          </w:p>
          <w:p>
            <w:pPr>
              <w:pStyle w:val="63"/>
              <w:spacing w:before="1"/>
              <w:ind w:left="106"/>
              <w:rPr>
                <w:b/>
                <w:sz w:val="21"/>
              </w:rPr>
            </w:pPr>
            <w:r>
              <w:rPr>
                <w:b/>
                <w:sz w:val="21"/>
              </w:rPr>
              <w:t>资格证明文件</w:t>
            </w:r>
          </w:p>
          <w:p>
            <w:pPr>
              <w:pStyle w:val="63"/>
              <w:spacing w:before="5"/>
              <w:rPr>
                <w:sz w:val="19"/>
              </w:rPr>
            </w:pPr>
          </w:p>
          <w:p>
            <w:pPr>
              <w:pStyle w:val="63"/>
              <w:numPr>
                <w:ilvl w:val="0"/>
                <w:numId w:val="26"/>
              </w:numPr>
              <w:tabs>
                <w:tab w:val="left" w:pos="738"/>
              </w:tabs>
              <w:spacing w:line="465" w:lineRule="auto"/>
              <w:ind w:right="97" w:firstLine="420"/>
              <w:rPr>
                <w:sz w:val="21"/>
              </w:rPr>
            </w:pPr>
            <w:r>
              <w:rPr>
                <w:rFonts w:ascii="宋体" w:hAnsi="宋体" w:eastAsia="宋体" w:cs="宋体"/>
                <w:sz w:val="21"/>
              </w:rPr>
              <w:t>投标人为法人或者其他组织的，提供营业执照等证明文件（如营业执照或者事业单位法</w:t>
            </w:r>
            <w:r>
              <w:rPr>
                <w:sz w:val="21"/>
              </w:rPr>
              <w:t>人证书或者执业许可证等）；（</w:t>
            </w:r>
            <w:r>
              <w:rPr>
                <w:b/>
                <w:sz w:val="21"/>
              </w:rPr>
              <w:t>必须提供，否则作无效投标处理</w:t>
            </w:r>
            <w:r>
              <w:rPr>
                <w:sz w:val="21"/>
              </w:rPr>
              <w:t>）</w:t>
            </w:r>
          </w:p>
          <w:p>
            <w:pPr>
              <w:pStyle w:val="63"/>
              <w:numPr>
                <w:ilvl w:val="0"/>
                <w:numId w:val="26"/>
              </w:numPr>
              <w:tabs>
                <w:tab w:val="left" w:pos="738"/>
              </w:tabs>
              <w:spacing w:line="463" w:lineRule="auto"/>
              <w:ind w:right="97" w:firstLine="420"/>
              <w:jc w:val="both"/>
              <w:rPr>
                <w:sz w:val="21"/>
              </w:rPr>
            </w:pPr>
            <w:r>
              <w:rPr>
                <w:sz w:val="21"/>
              </w:rPr>
              <w:t>投标人依法缴纳税收的相关材料（</w:t>
            </w:r>
            <w:r>
              <w:rPr>
                <w:sz w:val="21"/>
                <w:u w:val="single"/>
              </w:rPr>
              <w:t>2021</w:t>
            </w:r>
            <w:r>
              <w:rPr>
                <w:spacing w:val="-37"/>
                <w:sz w:val="21"/>
              </w:rPr>
              <w:t xml:space="preserve"> 年 </w:t>
            </w:r>
            <w:r>
              <w:rPr>
                <w:rFonts w:hint="eastAsia"/>
                <w:sz w:val="21"/>
                <w:u w:val="single"/>
                <w:lang w:val="en-US"/>
              </w:rPr>
              <w:t>6</w:t>
            </w:r>
            <w:r>
              <w:rPr>
                <w:spacing w:val="-28"/>
                <w:sz w:val="21"/>
              </w:rPr>
              <w:t xml:space="preserve"> 月至 </w:t>
            </w:r>
            <w:r>
              <w:rPr>
                <w:sz w:val="21"/>
                <w:u w:val="single"/>
              </w:rPr>
              <w:t>2021</w:t>
            </w:r>
            <w:r>
              <w:rPr>
                <w:spacing w:val="-37"/>
                <w:sz w:val="21"/>
              </w:rPr>
              <w:t xml:space="preserve"> 年 </w:t>
            </w:r>
            <w:r>
              <w:rPr>
                <w:rFonts w:hint="eastAsia"/>
                <w:sz w:val="21"/>
                <w:u w:val="single"/>
                <w:lang w:val="en-US"/>
              </w:rPr>
              <w:t>8</w:t>
            </w:r>
            <w:r>
              <w:rPr>
                <w:spacing w:val="-19"/>
                <w:sz w:val="21"/>
              </w:rPr>
              <w:t xml:space="preserve"> 月内连续 </w:t>
            </w:r>
            <w:r>
              <w:rPr>
                <w:sz w:val="21"/>
                <w:u w:val="single"/>
              </w:rPr>
              <w:t>3</w:t>
            </w:r>
            <w:r>
              <w:rPr>
                <w:spacing w:val="-8"/>
                <w:sz w:val="21"/>
              </w:rPr>
              <w:t xml:space="preserve"> 个月的依法缴纳</w:t>
            </w:r>
            <w:r>
              <w:rPr>
                <w:rFonts w:ascii="宋体" w:hAnsi="宋体" w:eastAsia="宋体" w:cs="宋体"/>
                <w:sz w:val="21"/>
              </w:rPr>
              <w:t>税收的凭据复印件；依法免税的供应商</w:t>
            </w:r>
            <w:r>
              <w:rPr>
                <w:spacing w:val="-8"/>
                <w:w w:val="95"/>
                <w:sz w:val="21"/>
              </w:rPr>
              <w:t>，</w:t>
            </w:r>
            <w:r>
              <w:rPr>
                <w:rFonts w:ascii="宋体" w:hAnsi="宋体" w:eastAsia="宋体" w:cs="宋体"/>
                <w:sz w:val="21"/>
              </w:rPr>
              <w:t>必须提供相应文件证明其依法免税。从取得营业执照</w:t>
            </w:r>
            <w:r>
              <w:rPr>
                <w:spacing w:val="-8"/>
                <w:w w:val="95"/>
                <w:sz w:val="21"/>
              </w:rPr>
              <w:t xml:space="preserve">   </w:t>
            </w:r>
            <w:r>
              <w:rPr>
                <w:rFonts w:ascii="宋体" w:hAnsi="宋体" w:eastAsia="宋体" w:cs="宋体"/>
                <w:sz w:val="21"/>
              </w:rPr>
              <w:t>时间起到投标文件提交截止时间为止不足要求月数的，只需提供从取得营业执照起的依法缴纳</w:t>
            </w:r>
            <w:r>
              <w:rPr>
                <w:spacing w:val="-9"/>
                <w:sz w:val="21"/>
              </w:rPr>
              <w:t>税收相应证明文件）；（</w:t>
            </w:r>
            <w:r>
              <w:rPr>
                <w:b/>
                <w:spacing w:val="-9"/>
                <w:sz w:val="21"/>
              </w:rPr>
              <w:t>必须提供，否则作无效投标处理</w:t>
            </w:r>
            <w:r>
              <w:rPr>
                <w:spacing w:val="-9"/>
                <w:sz w:val="21"/>
              </w:rPr>
              <w:t>）</w:t>
            </w:r>
          </w:p>
          <w:p>
            <w:pPr>
              <w:pStyle w:val="63"/>
              <w:numPr>
                <w:ilvl w:val="0"/>
                <w:numId w:val="26"/>
              </w:numPr>
              <w:tabs>
                <w:tab w:val="left" w:pos="738"/>
              </w:tabs>
              <w:spacing w:line="465" w:lineRule="auto"/>
              <w:ind w:right="97" w:firstLine="420"/>
              <w:jc w:val="both"/>
              <w:rPr>
                <w:sz w:val="21"/>
              </w:rPr>
            </w:pPr>
            <w:r>
              <w:rPr>
                <w:sz w:val="21"/>
              </w:rPr>
              <w:t>投标人依法缴纳社会保障资金的相关材料[</w:t>
            </w:r>
            <w:r>
              <w:rPr>
                <w:sz w:val="21"/>
                <w:u w:val="single"/>
              </w:rPr>
              <w:t>2021</w:t>
            </w:r>
            <w:r>
              <w:rPr>
                <w:spacing w:val="-42"/>
                <w:sz w:val="21"/>
              </w:rPr>
              <w:t xml:space="preserve"> 年 </w:t>
            </w:r>
            <w:r>
              <w:rPr>
                <w:rFonts w:hint="eastAsia"/>
                <w:sz w:val="21"/>
                <w:u w:val="single"/>
                <w:lang w:val="en-US"/>
              </w:rPr>
              <w:t>6</w:t>
            </w:r>
            <w:r>
              <w:rPr>
                <w:spacing w:val="-32"/>
                <w:sz w:val="21"/>
              </w:rPr>
              <w:t xml:space="preserve"> 月至 </w:t>
            </w:r>
            <w:r>
              <w:rPr>
                <w:sz w:val="21"/>
                <w:u w:val="single"/>
              </w:rPr>
              <w:t>2021</w:t>
            </w:r>
            <w:r>
              <w:rPr>
                <w:spacing w:val="-42"/>
                <w:sz w:val="21"/>
              </w:rPr>
              <w:t xml:space="preserve"> 年 </w:t>
            </w:r>
            <w:r>
              <w:rPr>
                <w:rFonts w:hint="eastAsia"/>
                <w:sz w:val="21"/>
                <w:u w:val="single"/>
                <w:lang w:val="en-US"/>
              </w:rPr>
              <w:t>8</w:t>
            </w:r>
            <w:r>
              <w:rPr>
                <w:spacing w:val="-26"/>
                <w:sz w:val="21"/>
              </w:rPr>
              <w:t xml:space="preserve"> 月连续 </w:t>
            </w:r>
            <w:r>
              <w:rPr>
                <w:sz w:val="21"/>
                <w:u w:val="single"/>
              </w:rPr>
              <w:t>3</w:t>
            </w:r>
            <w:r>
              <w:rPr>
                <w:spacing w:val="-12"/>
                <w:sz w:val="21"/>
              </w:rPr>
              <w:t xml:space="preserve"> 个月的依法</w:t>
            </w:r>
            <w:r>
              <w:rPr>
                <w:spacing w:val="-12"/>
                <w:w w:val="95"/>
                <w:sz w:val="21"/>
              </w:rPr>
              <w:t>缴纳社会保障资金的缴费凭证</w:t>
            </w:r>
            <w:r>
              <w:rPr>
                <w:rFonts w:ascii="宋体" w:hAnsi="宋体" w:eastAsia="宋体" w:cs="宋体"/>
                <w:sz w:val="21"/>
              </w:rPr>
              <w:t>（专用收据或者社会保险缴纳清单）复印件</w:t>
            </w:r>
            <w:r>
              <w:rPr>
                <w:spacing w:val="-2"/>
                <w:w w:val="95"/>
                <w:sz w:val="21"/>
              </w:rPr>
              <w:t>；</w:t>
            </w:r>
            <w:r>
              <w:rPr>
                <w:rFonts w:ascii="宋体" w:hAnsi="宋体" w:eastAsia="宋体" w:cs="宋体"/>
                <w:sz w:val="21"/>
              </w:rPr>
              <w:t>依法不需要缴纳社</w:t>
            </w:r>
            <w:r>
              <w:rPr>
                <w:sz w:val="21"/>
              </w:rPr>
              <w:t>会保障资金的供应商，必须提供相应文件证明不需要缴纳社会保障资金。从取得营业执照时间</w:t>
            </w:r>
          </w:p>
        </w:tc>
      </w:tr>
    </w:tbl>
    <w:p>
      <w:pPr>
        <w:spacing w:line="267" w:lineRule="exact"/>
        <w:rPr>
          <w:sz w:val="21"/>
        </w:rPr>
        <w:sectPr>
          <w:footerReference r:id="rId4" w:type="default"/>
          <w:pgSz w:w="11910" w:h="16840"/>
          <w:pgMar w:top="1340" w:right="720" w:bottom="1300" w:left="720" w:header="0" w:footer="1120" w:gutter="0"/>
          <w:pgNumType w:fmt="decimal"/>
          <w:cols w:space="720" w:num="1"/>
        </w:sectPr>
      </w:pPr>
    </w:p>
    <w:tbl>
      <w:tblPr>
        <w:tblStyle w:val="51"/>
        <w:tblW w:w="9850"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44"/>
        <w:gridCol w:w="88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80" w:hRule="atLeast"/>
        </w:trPr>
        <w:tc>
          <w:tcPr>
            <w:tcW w:w="1044" w:type="dxa"/>
            <w:vMerge w:val="restart"/>
          </w:tcPr>
          <w:p>
            <w:pPr>
              <w:pStyle w:val="63"/>
              <w:rPr>
                <w:rFonts w:ascii="Times New Roman"/>
                <w:sz w:val="20"/>
              </w:rPr>
            </w:pPr>
          </w:p>
        </w:tc>
        <w:tc>
          <w:tcPr>
            <w:tcW w:w="8806" w:type="dxa"/>
          </w:tcPr>
          <w:p>
            <w:pPr>
              <w:pStyle w:val="63"/>
              <w:spacing w:line="463" w:lineRule="auto"/>
              <w:ind w:right="289"/>
              <w:rPr>
                <w:sz w:val="21"/>
              </w:rPr>
            </w:pPr>
            <w:r>
              <w:rPr>
                <w:rFonts w:ascii="宋体" w:hAnsi="宋体" w:eastAsia="宋体" w:cs="宋体"/>
                <w:sz w:val="21"/>
              </w:rPr>
              <w:t xml:space="preserve">起到投标文件提交截止时间为止不足要求月数的只需提供从取得营业执照起的依法缴纳社会 </w:t>
            </w:r>
            <w:r>
              <w:rPr>
                <w:w w:val="95"/>
                <w:sz w:val="21"/>
              </w:rPr>
              <w:t xml:space="preserve">  </w:t>
            </w:r>
            <w:r>
              <w:rPr>
                <w:sz w:val="21"/>
              </w:rPr>
              <w:t>保障资金的相应证明文件]；（</w:t>
            </w:r>
            <w:r>
              <w:rPr>
                <w:b/>
                <w:sz w:val="21"/>
              </w:rPr>
              <w:t>必须提供，否则作无效投标处理</w:t>
            </w:r>
            <w:r>
              <w:rPr>
                <w:sz w:val="21"/>
              </w:rPr>
              <w:t>）</w:t>
            </w:r>
          </w:p>
          <w:p>
            <w:pPr>
              <w:pStyle w:val="63"/>
              <w:numPr>
                <w:ilvl w:val="0"/>
                <w:numId w:val="27"/>
              </w:numPr>
              <w:tabs>
                <w:tab w:val="left" w:pos="738"/>
              </w:tabs>
              <w:rPr>
                <w:sz w:val="21"/>
              </w:rPr>
            </w:pPr>
            <w:r>
              <w:rPr>
                <w:spacing w:val="-14"/>
                <w:sz w:val="21"/>
              </w:rPr>
              <w:t xml:space="preserve">投标人 </w:t>
            </w:r>
            <w:r>
              <w:rPr>
                <w:sz w:val="21"/>
                <w:u w:val="single"/>
              </w:rPr>
              <w:t>2020</w:t>
            </w:r>
            <w:r>
              <w:rPr>
                <w:spacing w:val="-8"/>
                <w:sz w:val="21"/>
              </w:rPr>
              <w:t xml:space="preserve"> 年财务状况报告；</w:t>
            </w:r>
            <w:r>
              <w:rPr>
                <w:sz w:val="21"/>
              </w:rPr>
              <w:t>（</w:t>
            </w:r>
            <w:r>
              <w:rPr>
                <w:b/>
                <w:sz w:val="21"/>
              </w:rPr>
              <w:t>必须提供，否则作无效投标处理</w:t>
            </w:r>
            <w:r>
              <w:rPr>
                <w:sz w:val="21"/>
              </w:rPr>
              <w:t>）</w:t>
            </w:r>
          </w:p>
          <w:p>
            <w:pPr>
              <w:pStyle w:val="63"/>
              <w:spacing w:before="8"/>
              <w:rPr>
                <w:sz w:val="19"/>
              </w:rPr>
            </w:pPr>
          </w:p>
          <w:p>
            <w:pPr>
              <w:pStyle w:val="63"/>
              <w:numPr>
                <w:ilvl w:val="0"/>
                <w:numId w:val="27"/>
              </w:numPr>
              <w:tabs>
                <w:tab w:val="left" w:pos="738"/>
              </w:tabs>
              <w:spacing w:before="1"/>
              <w:rPr>
                <w:sz w:val="21"/>
              </w:rPr>
            </w:pPr>
            <w:r>
              <w:rPr>
                <w:sz w:val="21"/>
              </w:rPr>
              <w:t>投标声明（格式后附）；（</w:t>
            </w:r>
            <w:r>
              <w:rPr>
                <w:b/>
                <w:sz w:val="21"/>
              </w:rPr>
              <w:t>必须提供，否则作无效投标处理</w:t>
            </w:r>
            <w:r>
              <w:rPr>
                <w:sz w:val="21"/>
              </w:rPr>
              <w:t>）</w:t>
            </w:r>
          </w:p>
          <w:p>
            <w:pPr>
              <w:pStyle w:val="63"/>
              <w:spacing w:before="5"/>
              <w:rPr>
                <w:sz w:val="19"/>
              </w:rPr>
            </w:pPr>
          </w:p>
          <w:p>
            <w:pPr>
              <w:pStyle w:val="63"/>
              <w:numPr>
                <w:ilvl w:val="0"/>
                <w:numId w:val="27"/>
              </w:numPr>
              <w:tabs>
                <w:tab w:val="left" w:pos="738"/>
              </w:tabs>
              <w:spacing w:before="1"/>
              <w:rPr>
                <w:sz w:val="21"/>
              </w:rPr>
            </w:pPr>
            <w:r>
              <w:rPr>
                <w:sz w:val="21"/>
              </w:rPr>
              <w:t>中小企业声明函；【</w:t>
            </w:r>
            <w:r>
              <w:rPr>
                <w:b/>
                <w:sz w:val="21"/>
              </w:rPr>
              <w:t>如有，请提供</w:t>
            </w:r>
            <w:r>
              <w:rPr>
                <w:sz w:val="21"/>
              </w:rPr>
              <w:t>】</w:t>
            </w:r>
          </w:p>
          <w:p>
            <w:pPr>
              <w:pStyle w:val="63"/>
              <w:spacing w:before="8"/>
              <w:rPr>
                <w:sz w:val="19"/>
              </w:rPr>
            </w:pPr>
          </w:p>
          <w:p>
            <w:pPr>
              <w:pStyle w:val="63"/>
              <w:numPr>
                <w:ilvl w:val="0"/>
                <w:numId w:val="27"/>
              </w:numPr>
              <w:tabs>
                <w:tab w:val="left" w:pos="738"/>
              </w:tabs>
              <w:spacing w:line="465" w:lineRule="auto"/>
              <w:ind w:left="106" w:right="1547" w:firstLine="420"/>
              <w:rPr>
                <w:b/>
                <w:sz w:val="21"/>
              </w:rPr>
            </w:pPr>
            <w:r>
              <w:rPr>
                <w:rFonts w:ascii="宋体" w:hAnsi="宋体" w:eastAsia="宋体" w:cs="宋体"/>
                <w:sz w:val="21"/>
              </w:rPr>
              <w:t xml:space="preserve">除招标文件规定必须提供以外，投标人认为需要提供的其他证明材料。  </w:t>
            </w:r>
            <w:r>
              <w:rPr>
                <w:b/>
                <w:sz w:val="21"/>
              </w:rPr>
              <w:t>注：</w:t>
            </w:r>
          </w:p>
          <w:p>
            <w:pPr>
              <w:pStyle w:val="63"/>
              <w:numPr>
                <w:ilvl w:val="0"/>
                <w:numId w:val="28"/>
              </w:numPr>
              <w:tabs>
                <w:tab w:val="left" w:pos="424"/>
              </w:tabs>
              <w:spacing w:line="264" w:lineRule="exact"/>
              <w:ind w:right="-15" w:hanging="318"/>
              <w:rPr>
                <w:b/>
                <w:sz w:val="21"/>
              </w:rPr>
            </w:pPr>
            <w:r>
              <w:rPr>
                <w:b/>
                <w:spacing w:val="-7"/>
                <w:w w:val="95"/>
                <w:sz w:val="21"/>
              </w:rPr>
              <w:t>以上标明“必须提供”的材料属于复印件的，必须加盖投标人公章，否则作无效投标处理。</w:t>
            </w:r>
          </w:p>
          <w:p>
            <w:pPr>
              <w:pStyle w:val="63"/>
              <w:spacing w:before="8"/>
              <w:rPr>
                <w:sz w:val="19"/>
              </w:rPr>
            </w:pPr>
          </w:p>
          <w:p>
            <w:pPr>
              <w:pStyle w:val="63"/>
              <w:numPr>
                <w:ilvl w:val="0"/>
                <w:numId w:val="28"/>
              </w:numPr>
              <w:tabs>
                <w:tab w:val="left" w:pos="321"/>
              </w:tabs>
              <w:ind w:left="320" w:hanging="215"/>
              <w:rPr>
                <w:b/>
                <w:sz w:val="21"/>
              </w:rPr>
            </w:pPr>
            <w:r>
              <w:rPr>
                <w:b/>
                <w:sz w:val="21"/>
              </w:rPr>
              <w:t>投标声明必须由法定代表人在规定签章处签字并加盖投标人公章，否则作无效投标处理。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00" w:hRule="atLeast"/>
        </w:trPr>
        <w:tc>
          <w:tcPr>
            <w:tcW w:w="1044" w:type="dxa"/>
            <w:vMerge w:val="continue"/>
            <w:tcBorders>
              <w:top w:val="nil"/>
            </w:tcBorders>
          </w:tcPr>
          <w:p>
            <w:pPr>
              <w:rPr>
                <w:sz w:val="2"/>
                <w:szCs w:val="2"/>
              </w:rPr>
            </w:pPr>
          </w:p>
        </w:tc>
        <w:tc>
          <w:tcPr>
            <w:tcW w:w="8806" w:type="dxa"/>
          </w:tcPr>
          <w:p>
            <w:pPr>
              <w:pStyle w:val="63"/>
              <w:spacing w:before="10"/>
              <w:rPr>
                <w:sz w:val="15"/>
              </w:rPr>
            </w:pPr>
          </w:p>
          <w:p>
            <w:pPr>
              <w:pStyle w:val="63"/>
              <w:ind w:left="106"/>
              <w:rPr>
                <w:b/>
                <w:sz w:val="21"/>
              </w:rPr>
            </w:pPr>
            <w:r>
              <w:rPr>
                <w:b/>
                <w:sz w:val="21"/>
              </w:rPr>
              <w:t>商务文件：</w:t>
            </w:r>
          </w:p>
          <w:p>
            <w:pPr>
              <w:pStyle w:val="63"/>
              <w:spacing w:before="6"/>
              <w:rPr>
                <w:sz w:val="19"/>
              </w:rPr>
            </w:pPr>
          </w:p>
          <w:p>
            <w:pPr>
              <w:pStyle w:val="63"/>
              <w:numPr>
                <w:ilvl w:val="0"/>
                <w:numId w:val="29"/>
              </w:numPr>
              <w:tabs>
                <w:tab w:val="left" w:pos="318"/>
              </w:tabs>
              <w:rPr>
                <w:sz w:val="21"/>
              </w:rPr>
            </w:pPr>
            <w:r>
              <w:rPr>
                <w:sz w:val="21"/>
              </w:rPr>
              <w:t>无串通投标行为的承诺函（格式后附）；（</w:t>
            </w:r>
            <w:r>
              <w:rPr>
                <w:b/>
                <w:sz w:val="21"/>
              </w:rPr>
              <w:t>必须提供，否则作无效投标处理</w:t>
            </w:r>
            <w:r>
              <w:rPr>
                <w:sz w:val="21"/>
              </w:rPr>
              <w:t>）</w:t>
            </w:r>
          </w:p>
          <w:p>
            <w:pPr>
              <w:pStyle w:val="63"/>
              <w:spacing w:before="8"/>
              <w:rPr>
                <w:sz w:val="19"/>
              </w:rPr>
            </w:pPr>
          </w:p>
          <w:p>
            <w:pPr>
              <w:pStyle w:val="63"/>
              <w:numPr>
                <w:ilvl w:val="0"/>
                <w:numId w:val="29"/>
              </w:numPr>
              <w:tabs>
                <w:tab w:val="left" w:pos="318"/>
              </w:tabs>
              <w:spacing w:before="1" w:line="465" w:lineRule="auto"/>
              <w:ind w:left="106" w:right="97" w:firstLine="0"/>
              <w:rPr>
                <w:sz w:val="21"/>
              </w:rPr>
            </w:pPr>
            <w:r>
              <w:rPr>
                <w:rFonts w:ascii="宋体" w:hAnsi="宋体" w:eastAsia="宋体" w:cs="宋体"/>
                <w:sz w:val="21"/>
              </w:rPr>
              <w:t>法定代表人身份证明及法定代表人有效身份证正反面复印件（格式后附）</w:t>
            </w:r>
            <w:r>
              <w:rPr>
                <w:spacing w:val="-4"/>
                <w:w w:val="95"/>
                <w:sz w:val="21"/>
              </w:rPr>
              <w:t>；（</w:t>
            </w:r>
            <w:r>
              <w:rPr>
                <w:b/>
                <w:spacing w:val="-1"/>
                <w:w w:val="95"/>
                <w:sz w:val="21"/>
              </w:rPr>
              <w:t xml:space="preserve">必须提供，否   </w:t>
            </w:r>
            <w:r>
              <w:rPr>
                <w:b/>
                <w:spacing w:val="-1"/>
                <w:sz w:val="21"/>
              </w:rPr>
              <w:t>则作无效投标处理</w:t>
            </w:r>
            <w:r>
              <w:rPr>
                <w:spacing w:val="-1"/>
                <w:sz w:val="21"/>
              </w:rPr>
              <w:t>）</w:t>
            </w:r>
          </w:p>
          <w:p>
            <w:pPr>
              <w:pStyle w:val="63"/>
              <w:numPr>
                <w:ilvl w:val="0"/>
                <w:numId w:val="29"/>
              </w:numPr>
              <w:tabs>
                <w:tab w:val="left" w:pos="318"/>
              </w:tabs>
              <w:spacing w:line="465" w:lineRule="auto"/>
              <w:ind w:left="106" w:right="100" w:firstLine="0"/>
              <w:rPr>
                <w:sz w:val="21"/>
              </w:rPr>
            </w:pPr>
            <w:r>
              <w:rPr>
                <w:rFonts w:ascii="宋体" w:hAnsi="宋体" w:eastAsia="宋体" w:cs="宋体"/>
                <w:sz w:val="21"/>
              </w:rPr>
              <w:t>法定代表人授权委托书及委托代理人有效身份证正反面复印件（格式后附）</w:t>
            </w:r>
            <w:r>
              <w:rPr>
                <w:spacing w:val="-6"/>
                <w:w w:val="95"/>
                <w:sz w:val="21"/>
              </w:rPr>
              <w:t>；（</w:t>
            </w:r>
            <w:r>
              <w:rPr>
                <w:b/>
                <w:w w:val="95"/>
                <w:sz w:val="21"/>
              </w:rPr>
              <w:t xml:space="preserve">委托时必须   </w:t>
            </w:r>
            <w:r>
              <w:rPr>
                <w:b/>
                <w:sz w:val="21"/>
              </w:rPr>
              <w:t>提供，否则作无效投标处理</w:t>
            </w:r>
            <w:r>
              <w:rPr>
                <w:sz w:val="21"/>
              </w:rPr>
              <w:t>）</w:t>
            </w:r>
          </w:p>
          <w:p>
            <w:pPr>
              <w:pStyle w:val="63"/>
              <w:numPr>
                <w:ilvl w:val="0"/>
                <w:numId w:val="29"/>
              </w:numPr>
              <w:tabs>
                <w:tab w:val="left" w:pos="318"/>
              </w:tabs>
              <w:spacing w:line="267" w:lineRule="exact"/>
              <w:rPr>
                <w:sz w:val="21"/>
              </w:rPr>
            </w:pPr>
            <w:r>
              <w:rPr>
                <w:sz w:val="21"/>
              </w:rPr>
              <w:t>商务条款偏离表（格式后附）；（</w:t>
            </w:r>
            <w:r>
              <w:rPr>
                <w:b/>
                <w:sz w:val="21"/>
              </w:rPr>
              <w:t>必须提供，否则作无效投标处理</w:t>
            </w:r>
            <w:r>
              <w:rPr>
                <w:sz w:val="21"/>
              </w:rPr>
              <w:t>）</w:t>
            </w:r>
          </w:p>
          <w:p>
            <w:pPr>
              <w:pStyle w:val="63"/>
              <w:rPr>
                <w:sz w:val="19"/>
              </w:rPr>
            </w:pPr>
          </w:p>
          <w:p>
            <w:pPr>
              <w:pStyle w:val="63"/>
              <w:numPr>
                <w:ilvl w:val="0"/>
                <w:numId w:val="29"/>
              </w:numPr>
              <w:tabs>
                <w:tab w:val="left" w:pos="318"/>
              </w:tabs>
              <w:spacing w:before="1"/>
              <w:rPr>
                <w:sz w:val="21"/>
              </w:rPr>
            </w:pPr>
            <w:r>
              <w:rPr>
                <w:sz w:val="21"/>
              </w:rPr>
              <w:t>售后服务承诺（格式自拟）；（</w:t>
            </w:r>
            <w:r>
              <w:rPr>
                <w:b/>
                <w:sz w:val="21"/>
              </w:rPr>
              <w:t>必须提供，否则作无效投标处理</w:t>
            </w:r>
            <w:r>
              <w:rPr>
                <w:sz w:val="21"/>
              </w:rPr>
              <w:t>）</w:t>
            </w:r>
          </w:p>
          <w:p>
            <w:pPr>
              <w:pStyle w:val="63"/>
              <w:spacing w:before="8"/>
              <w:rPr>
                <w:sz w:val="19"/>
              </w:rPr>
            </w:pPr>
          </w:p>
          <w:p>
            <w:pPr>
              <w:pStyle w:val="63"/>
              <w:numPr>
                <w:ilvl w:val="0"/>
                <w:numId w:val="29"/>
              </w:numPr>
              <w:tabs>
                <w:tab w:val="left" w:pos="318"/>
              </w:tabs>
              <w:rPr>
                <w:sz w:val="21"/>
              </w:rPr>
            </w:pPr>
            <w:r>
              <w:rPr>
                <w:sz w:val="21"/>
              </w:rPr>
              <w:t>投标人情况介绍（格式自拟）；</w:t>
            </w:r>
          </w:p>
          <w:p>
            <w:pPr>
              <w:pStyle w:val="63"/>
              <w:spacing w:before="8"/>
              <w:rPr>
                <w:sz w:val="19"/>
              </w:rPr>
            </w:pPr>
          </w:p>
          <w:p>
            <w:pPr>
              <w:pStyle w:val="63"/>
              <w:numPr>
                <w:ilvl w:val="0"/>
                <w:numId w:val="29"/>
              </w:numPr>
              <w:tabs>
                <w:tab w:val="left" w:pos="318"/>
              </w:tabs>
              <w:spacing w:line="463" w:lineRule="auto"/>
              <w:ind w:left="106" w:right="97" w:firstLine="0"/>
              <w:rPr>
                <w:sz w:val="21"/>
              </w:rPr>
            </w:pPr>
            <w:r>
              <w:rPr>
                <w:rFonts w:ascii="宋体" w:hAnsi="宋体" w:eastAsia="宋体" w:cs="宋体"/>
                <w:sz w:val="21"/>
              </w:rPr>
              <w:t>除招标文件规定必须提供以外，投标人认为需要提供的其他证明材料（格式自拟）</w:t>
            </w:r>
            <w:r>
              <w:rPr>
                <w:spacing w:val="-8"/>
                <w:w w:val="95"/>
                <w:sz w:val="21"/>
              </w:rPr>
              <w:t>。</w:t>
            </w:r>
            <w:r>
              <w:rPr>
                <w:w w:val="95"/>
                <w:sz w:val="21"/>
              </w:rPr>
              <w:t xml:space="preserve">（投标   </w:t>
            </w:r>
            <w:r>
              <w:rPr>
                <w:spacing w:val="-2"/>
                <w:sz w:val="21"/>
              </w:rPr>
              <w:t>人根据“第二章 采购需求”及“第四章 评标方法及评标标准”提供有关证明材料</w:t>
            </w:r>
            <w:r>
              <w:rPr>
                <w:sz w:val="21"/>
              </w:rPr>
              <w:t>）。</w:t>
            </w:r>
          </w:p>
          <w:p>
            <w:pPr>
              <w:pStyle w:val="63"/>
              <w:spacing w:before="1"/>
              <w:ind w:left="106"/>
              <w:rPr>
                <w:b/>
                <w:sz w:val="21"/>
              </w:rPr>
            </w:pPr>
            <w:r>
              <w:rPr>
                <w:b/>
                <w:sz w:val="21"/>
              </w:rPr>
              <w:t>注：</w:t>
            </w:r>
          </w:p>
          <w:p>
            <w:pPr>
              <w:pStyle w:val="63"/>
              <w:spacing w:before="8"/>
              <w:rPr>
                <w:sz w:val="19"/>
              </w:rPr>
            </w:pPr>
          </w:p>
          <w:p>
            <w:pPr>
              <w:pStyle w:val="63"/>
              <w:numPr>
                <w:ilvl w:val="0"/>
                <w:numId w:val="30"/>
              </w:numPr>
              <w:tabs>
                <w:tab w:val="left" w:pos="321"/>
              </w:tabs>
              <w:spacing w:line="463" w:lineRule="auto"/>
              <w:ind w:right="97" w:firstLine="0"/>
              <w:rPr>
                <w:b/>
                <w:sz w:val="21"/>
              </w:rPr>
            </w:pPr>
            <w:r>
              <w:rPr>
                <w:rFonts w:ascii="宋体" w:hAnsi="宋体" w:eastAsia="宋体" w:cs="宋体"/>
                <w:b/>
                <w:sz w:val="21"/>
              </w:rPr>
              <w:t>法定代表人授权委托书必须由法定代表人及委托代理人签字，并加盖投标人公章，否则作无</w:t>
            </w:r>
            <w:r>
              <w:rPr>
                <w:b/>
                <w:spacing w:val="-2"/>
                <w:sz w:val="21"/>
              </w:rPr>
              <w:t>效投标处理。</w:t>
            </w:r>
          </w:p>
          <w:p>
            <w:pPr>
              <w:pStyle w:val="63"/>
              <w:numPr>
                <w:ilvl w:val="0"/>
                <w:numId w:val="30"/>
              </w:numPr>
              <w:tabs>
                <w:tab w:val="left" w:pos="424"/>
              </w:tabs>
              <w:spacing w:before="1"/>
              <w:ind w:left="423" w:right="-15" w:hanging="318"/>
              <w:rPr>
                <w:b/>
                <w:sz w:val="21"/>
              </w:rPr>
            </w:pPr>
            <w:r>
              <w:rPr>
                <w:rFonts w:ascii="宋体" w:hAnsi="宋体" w:eastAsia="宋体" w:cs="宋体"/>
                <w:b/>
                <w:sz w:val="21"/>
              </w:rPr>
              <w:t>以上标明“必须提供”的材料属于复印件的，必须加盖投标人公章，否则作无效投标处理。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57" w:hRule="atLeast"/>
        </w:trPr>
        <w:tc>
          <w:tcPr>
            <w:tcW w:w="1044" w:type="dxa"/>
            <w:vMerge w:val="continue"/>
            <w:tcBorders>
              <w:top w:val="nil"/>
            </w:tcBorders>
          </w:tcPr>
          <w:p>
            <w:pPr>
              <w:rPr>
                <w:sz w:val="2"/>
                <w:szCs w:val="2"/>
              </w:rPr>
            </w:pPr>
          </w:p>
        </w:tc>
        <w:tc>
          <w:tcPr>
            <w:tcW w:w="8806" w:type="dxa"/>
          </w:tcPr>
          <w:p>
            <w:pPr>
              <w:pStyle w:val="63"/>
              <w:spacing w:before="10"/>
              <w:rPr>
                <w:sz w:val="15"/>
              </w:rPr>
            </w:pPr>
          </w:p>
          <w:p>
            <w:pPr>
              <w:pStyle w:val="63"/>
              <w:ind w:left="106"/>
              <w:rPr>
                <w:b/>
                <w:sz w:val="21"/>
              </w:rPr>
            </w:pPr>
            <w:r>
              <w:rPr>
                <w:b/>
                <w:sz w:val="21"/>
              </w:rPr>
              <w:t>技术文件：</w:t>
            </w:r>
          </w:p>
          <w:p>
            <w:pPr>
              <w:pStyle w:val="63"/>
              <w:spacing w:before="8"/>
              <w:rPr>
                <w:sz w:val="19"/>
              </w:rPr>
            </w:pPr>
          </w:p>
          <w:p>
            <w:pPr>
              <w:pStyle w:val="63"/>
              <w:numPr>
                <w:ilvl w:val="0"/>
                <w:numId w:val="31"/>
              </w:numPr>
              <w:tabs>
                <w:tab w:val="left" w:pos="321"/>
              </w:tabs>
              <w:ind w:hanging="215"/>
              <w:rPr>
                <w:b/>
                <w:sz w:val="21"/>
              </w:rPr>
            </w:pPr>
            <w:r>
              <w:rPr>
                <w:b w:val="0"/>
                <w:bCs/>
                <w:sz w:val="21"/>
              </w:rPr>
              <w:t>设备性能配置清单（格式后附）；</w:t>
            </w:r>
            <w:r>
              <w:rPr>
                <w:b/>
                <w:sz w:val="21"/>
              </w:rPr>
              <w:t>（必须提供，否则作无效投标处理）</w:t>
            </w:r>
          </w:p>
          <w:p>
            <w:pPr>
              <w:pStyle w:val="63"/>
              <w:spacing w:before="6"/>
              <w:rPr>
                <w:sz w:val="19"/>
              </w:rPr>
            </w:pPr>
          </w:p>
          <w:p>
            <w:pPr>
              <w:pStyle w:val="63"/>
              <w:numPr>
                <w:ilvl w:val="0"/>
                <w:numId w:val="31"/>
              </w:numPr>
              <w:tabs>
                <w:tab w:val="left" w:pos="321"/>
              </w:tabs>
              <w:ind w:hanging="215"/>
              <w:rPr>
                <w:b/>
                <w:sz w:val="21"/>
              </w:rPr>
            </w:pPr>
            <w:r>
              <w:rPr>
                <w:b w:val="0"/>
                <w:bCs/>
                <w:sz w:val="21"/>
              </w:rPr>
              <w:t>技术偏离表（格式后附</w:t>
            </w:r>
            <w:r>
              <w:rPr>
                <w:b w:val="0"/>
                <w:bCs/>
                <w:spacing w:val="2"/>
                <w:sz w:val="21"/>
              </w:rPr>
              <w:t>）；</w:t>
            </w:r>
            <w:r>
              <w:rPr>
                <w:b/>
                <w:spacing w:val="2"/>
                <w:sz w:val="21"/>
              </w:rPr>
              <w:t>（</w:t>
            </w:r>
            <w:r>
              <w:rPr>
                <w:b/>
                <w:sz w:val="21"/>
              </w:rPr>
              <w:t>必须提供，否则作无效投标处理）</w:t>
            </w:r>
          </w:p>
        </w:tc>
      </w:tr>
    </w:tbl>
    <w:p>
      <w:pPr>
        <w:rPr>
          <w:sz w:val="21"/>
        </w:rPr>
        <w:sectPr>
          <w:pgSz w:w="11910" w:h="16840"/>
          <w:pgMar w:top="1120" w:right="720" w:bottom="1300" w:left="720" w:header="0" w:footer="1120" w:gutter="0"/>
          <w:pgNumType w:fmt="decimal"/>
          <w:cols w:space="720" w:num="1"/>
        </w:sectPr>
      </w:pPr>
    </w:p>
    <w:tbl>
      <w:tblPr>
        <w:tblStyle w:val="51"/>
        <w:tblW w:w="9850"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44"/>
        <w:gridCol w:w="88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30" w:hRule="atLeast"/>
        </w:trPr>
        <w:tc>
          <w:tcPr>
            <w:tcW w:w="1044" w:type="dxa"/>
          </w:tcPr>
          <w:p>
            <w:pPr>
              <w:pStyle w:val="63"/>
              <w:rPr>
                <w:rFonts w:ascii="Times New Roman"/>
                <w:sz w:val="20"/>
              </w:rPr>
            </w:pPr>
          </w:p>
        </w:tc>
        <w:tc>
          <w:tcPr>
            <w:tcW w:w="8806" w:type="dxa"/>
          </w:tcPr>
          <w:p>
            <w:pPr>
              <w:pStyle w:val="63"/>
              <w:spacing w:before="11"/>
              <w:rPr>
                <w:sz w:val="15"/>
              </w:rPr>
            </w:pPr>
          </w:p>
          <w:p>
            <w:pPr>
              <w:pStyle w:val="63"/>
              <w:numPr>
                <w:ilvl w:val="0"/>
                <w:numId w:val="32"/>
              </w:numPr>
              <w:tabs>
                <w:tab w:val="left" w:pos="321"/>
              </w:tabs>
              <w:ind w:hanging="215"/>
              <w:rPr>
                <w:b/>
                <w:sz w:val="21"/>
              </w:rPr>
            </w:pPr>
            <w:r>
              <w:rPr>
                <w:b w:val="0"/>
                <w:bCs/>
                <w:sz w:val="21"/>
              </w:rPr>
              <w:t>项目实施方案（格式自拟</w:t>
            </w:r>
            <w:r>
              <w:rPr>
                <w:b w:val="0"/>
                <w:bCs/>
                <w:spacing w:val="2"/>
                <w:sz w:val="21"/>
              </w:rPr>
              <w:t>）；</w:t>
            </w:r>
            <w:r>
              <w:rPr>
                <w:b/>
                <w:spacing w:val="2"/>
                <w:sz w:val="21"/>
              </w:rPr>
              <w:t>（</w:t>
            </w:r>
            <w:r>
              <w:rPr>
                <w:b/>
                <w:sz w:val="21"/>
              </w:rPr>
              <w:t>必须提供，否则作无效投标处理）</w:t>
            </w:r>
          </w:p>
          <w:p>
            <w:pPr>
              <w:pStyle w:val="63"/>
              <w:spacing w:before="6"/>
              <w:rPr>
                <w:sz w:val="21"/>
              </w:rPr>
            </w:pPr>
          </w:p>
          <w:p>
            <w:pPr>
              <w:pStyle w:val="63"/>
              <w:numPr>
                <w:ilvl w:val="0"/>
                <w:numId w:val="32"/>
              </w:numPr>
              <w:tabs>
                <w:tab w:val="left" w:pos="321"/>
              </w:tabs>
              <w:ind w:hanging="215"/>
              <w:rPr>
                <w:b/>
                <w:sz w:val="21"/>
              </w:rPr>
            </w:pPr>
            <w:r>
              <w:rPr>
                <w:b w:val="0"/>
                <w:bCs/>
                <w:sz w:val="21"/>
              </w:rPr>
              <w:t>售后服务方案（</w:t>
            </w:r>
            <w:r>
              <w:rPr>
                <w:b w:val="0"/>
                <w:bCs/>
                <w:spacing w:val="-1"/>
                <w:sz w:val="21"/>
              </w:rPr>
              <w:t xml:space="preserve"> 格式自拟</w:t>
            </w:r>
            <w:r>
              <w:rPr>
                <w:b w:val="0"/>
                <w:bCs/>
                <w:spacing w:val="14"/>
                <w:sz w:val="21"/>
              </w:rPr>
              <w:t>）；</w:t>
            </w:r>
            <w:r>
              <w:rPr>
                <w:b/>
                <w:spacing w:val="14"/>
                <w:sz w:val="21"/>
              </w:rPr>
              <w:t>（</w:t>
            </w:r>
            <w:r>
              <w:rPr>
                <w:b/>
                <w:spacing w:val="3"/>
                <w:sz w:val="21"/>
              </w:rPr>
              <w:t xml:space="preserve"> 必须提供，否则作无效投标处理</w:t>
            </w:r>
            <w:r>
              <w:rPr>
                <w:b/>
                <w:sz w:val="21"/>
              </w:rPr>
              <w:t>）</w:t>
            </w:r>
          </w:p>
          <w:p>
            <w:pPr>
              <w:pStyle w:val="63"/>
              <w:spacing w:before="7"/>
              <w:rPr>
                <w:sz w:val="21"/>
              </w:rPr>
            </w:pPr>
          </w:p>
          <w:p>
            <w:pPr>
              <w:pStyle w:val="63"/>
              <w:numPr>
                <w:ilvl w:val="0"/>
                <w:numId w:val="32"/>
              </w:numPr>
              <w:tabs>
                <w:tab w:val="left" w:pos="318"/>
              </w:tabs>
              <w:ind w:left="317" w:hanging="212"/>
              <w:rPr>
                <w:b/>
                <w:sz w:val="21"/>
              </w:rPr>
            </w:pPr>
            <w:r>
              <w:rPr>
                <w:b w:val="0"/>
                <w:bCs/>
                <w:sz w:val="21"/>
              </w:rPr>
              <w:t>除招标文件规定必须提供以外，投标人需要说明的其他文件和说明</w:t>
            </w:r>
            <w:r>
              <w:rPr>
                <w:b/>
                <w:sz w:val="21"/>
              </w:rPr>
              <w:t>（格式自拟）。</w:t>
            </w:r>
          </w:p>
          <w:p>
            <w:pPr>
              <w:pStyle w:val="63"/>
              <w:spacing w:before="6"/>
              <w:rPr>
                <w:sz w:val="19"/>
              </w:rPr>
            </w:pPr>
          </w:p>
          <w:p>
            <w:pPr>
              <w:pStyle w:val="63"/>
              <w:ind w:left="106" w:right="-15"/>
              <w:rPr>
                <w:b/>
                <w:sz w:val="21"/>
              </w:rPr>
            </w:pPr>
            <w:r>
              <w:rPr>
                <w:b/>
                <w:spacing w:val="-13"/>
                <w:w w:val="95"/>
                <w:sz w:val="21"/>
              </w:rPr>
              <w:t>注：以上标明“必须提供”的材料属于复印件的，必须加盖投标人公章，否则作无效投标处理。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0" w:hRule="atLeast"/>
        </w:trPr>
        <w:tc>
          <w:tcPr>
            <w:tcW w:w="1044" w:type="dxa"/>
          </w:tcPr>
          <w:p>
            <w:pPr>
              <w:pStyle w:val="63"/>
              <w:rPr>
                <w:sz w:val="20"/>
              </w:rPr>
            </w:pPr>
          </w:p>
          <w:p>
            <w:pPr>
              <w:pStyle w:val="63"/>
              <w:rPr>
                <w:sz w:val="20"/>
              </w:rPr>
            </w:pPr>
          </w:p>
          <w:p>
            <w:pPr>
              <w:pStyle w:val="63"/>
              <w:rPr>
                <w:sz w:val="20"/>
              </w:rPr>
            </w:pPr>
          </w:p>
          <w:p>
            <w:pPr>
              <w:pStyle w:val="63"/>
              <w:rPr>
                <w:sz w:val="20"/>
              </w:rPr>
            </w:pPr>
          </w:p>
          <w:p>
            <w:pPr>
              <w:pStyle w:val="63"/>
              <w:rPr>
                <w:sz w:val="17"/>
              </w:rPr>
            </w:pPr>
          </w:p>
          <w:p>
            <w:pPr>
              <w:pStyle w:val="63"/>
              <w:ind w:left="88" w:right="80"/>
              <w:jc w:val="center"/>
              <w:rPr>
                <w:sz w:val="21"/>
              </w:rPr>
            </w:pPr>
            <w:r>
              <w:rPr>
                <w:sz w:val="21"/>
              </w:rPr>
              <w:t>13.2</w:t>
            </w:r>
          </w:p>
        </w:tc>
        <w:tc>
          <w:tcPr>
            <w:tcW w:w="8806" w:type="dxa"/>
          </w:tcPr>
          <w:p>
            <w:pPr>
              <w:pStyle w:val="63"/>
              <w:spacing w:before="9"/>
              <w:rPr>
                <w:sz w:val="15"/>
              </w:rPr>
            </w:pPr>
          </w:p>
          <w:p>
            <w:pPr>
              <w:pStyle w:val="63"/>
              <w:spacing w:line="465" w:lineRule="auto"/>
              <w:ind w:left="106" w:right="1969"/>
              <w:rPr>
                <w:sz w:val="21"/>
              </w:rPr>
            </w:pPr>
            <w:r>
              <w:rPr>
                <w:rFonts w:ascii="宋体" w:hAnsi="宋体" w:eastAsia="宋体" w:cs="宋体"/>
                <w:sz w:val="21"/>
              </w:rPr>
              <w:t xml:space="preserve">投标文件电子版。投标人在递交投标文件时，同时递交投标文件电子版。  </w:t>
            </w:r>
            <w:r>
              <w:rPr>
                <w:sz w:val="21"/>
              </w:rPr>
              <w:t>1.投标文件电子版内容：与纸质投标文件全部内容一致。</w:t>
            </w:r>
          </w:p>
          <w:p>
            <w:pPr>
              <w:pStyle w:val="63"/>
              <w:numPr>
                <w:ilvl w:val="0"/>
                <w:numId w:val="33"/>
              </w:numPr>
              <w:tabs>
                <w:tab w:val="left" w:pos="318"/>
              </w:tabs>
              <w:spacing w:line="267" w:lineRule="exact"/>
              <w:rPr>
                <w:sz w:val="21"/>
              </w:rPr>
            </w:pPr>
            <w:r>
              <w:rPr>
                <w:spacing w:val="-4"/>
                <w:sz w:val="21"/>
              </w:rPr>
              <w:t xml:space="preserve">投标文件电子版形式：可编辑的 </w:t>
            </w:r>
            <w:r>
              <w:rPr>
                <w:sz w:val="21"/>
              </w:rPr>
              <w:t>word</w:t>
            </w:r>
            <w:r>
              <w:rPr>
                <w:spacing w:val="-19"/>
                <w:sz w:val="21"/>
              </w:rPr>
              <w:t xml:space="preserve"> 文档格式 </w:t>
            </w:r>
            <w:r>
              <w:rPr>
                <w:sz w:val="21"/>
              </w:rPr>
              <w:t>1</w:t>
            </w:r>
            <w:r>
              <w:rPr>
                <w:spacing w:val="-18"/>
                <w:sz w:val="21"/>
              </w:rPr>
              <w:t xml:space="preserve"> 份。</w:t>
            </w:r>
          </w:p>
          <w:p>
            <w:pPr>
              <w:pStyle w:val="63"/>
              <w:numPr>
                <w:ilvl w:val="0"/>
                <w:numId w:val="33"/>
              </w:numPr>
              <w:tabs>
                <w:tab w:val="left" w:pos="318"/>
              </w:tabs>
              <w:spacing w:before="43" w:line="520" w:lineRule="exact"/>
              <w:ind w:left="106" w:right="97" w:firstLine="0"/>
              <w:rPr>
                <w:sz w:val="21"/>
              </w:rPr>
            </w:pPr>
            <w:r>
              <w:rPr>
                <w:spacing w:val="-2"/>
                <w:sz w:val="21"/>
              </w:rPr>
              <w:t>投标文件电子版密封方式：投标文件电子版光盘</w:t>
            </w:r>
            <w:r>
              <w:rPr>
                <w:sz w:val="21"/>
              </w:rPr>
              <w:t>（</w:t>
            </w:r>
            <w:r>
              <w:rPr>
                <w:spacing w:val="-21"/>
                <w:sz w:val="21"/>
              </w:rPr>
              <w:t xml:space="preserve">或者 </w:t>
            </w:r>
            <w:r>
              <w:rPr>
                <w:sz w:val="21"/>
              </w:rPr>
              <w:t>U</w:t>
            </w:r>
            <w:r>
              <w:rPr>
                <w:spacing w:val="-32"/>
                <w:sz w:val="21"/>
              </w:rPr>
              <w:t xml:space="preserve"> 盘</w:t>
            </w:r>
            <w:r>
              <w:rPr>
                <w:spacing w:val="-5"/>
                <w:sz w:val="21"/>
              </w:rPr>
              <w:t>）</w:t>
            </w:r>
            <w:r>
              <w:rPr>
                <w:sz w:val="21"/>
              </w:rPr>
              <w:t>与纸质版投标文件一并装入投标文件袋中。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96" w:hRule="atLeast"/>
        </w:trPr>
        <w:tc>
          <w:tcPr>
            <w:tcW w:w="1044" w:type="dxa"/>
          </w:tcPr>
          <w:p>
            <w:pPr>
              <w:pStyle w:val="63"/>
              <w:rPr>
                <w:sz w:val="20"/>
              </w:rPr>
            </w:pPr>
          </w:p>
          <w:p>
            <w:pPr>
              <w:pStyle w:val="63"/>
              <w:rPr>
                <w:sz w:val="20"/>
              </w:rPr>
            </w:pPr>
          </w:p>
          <w:p>
            <w:pPr>
              <w:pStyle w:val="63"/>
              <w:spacing w:before="3"/>
              <w:rPr>
                <w:sz w:val="16"/>
              </w:rPr>
            </w:pPr>
          </w:p>
          <w:p>
            <w:pPr>
              <w:pStyle w:val="63"/>
              <w:ind w:left="88" w:right="80"/>
              <w:jc w:val="center"/>
              <w:rPr>
                <w:sz w:val="21"/>
              </w:rPr>
            </w:pPr>
            <w:r>
              <w:rPr>
                <w:sz w:val="21"/>
              </w:rPr>
              <w:t>16.2</w:t>
            </w:r>
          </w:p>
        </w:tc>
        <w:tc>
          <w:tcPr>
            <w:tcW w:w="8806" w:type="dxa"/>
          </w:tcPr>
          <w:p>
            <w:pPr>
              <w:pStyle w:val="63"/>
              <w:spacing w:before="10"/>
              <w:rPr>
                <w:sz w:val="15"/>
              </w:rPr>
            </w:pPr>
          </w:p>
          <w:p>
            <w:pPr>
              <w:pStyle w:val="63"/>
              <w:spacing w:line="360" w:lineRule="auto"/>
              <w:ind w:left="0" w:right="0" w:firstLine="420" w:firstLineChars="200"/>
              <w:rPr>
                <w:sz w:val="21"/>
              </w:rPr>
            </w:pPr>
            <w:r>
              <w:rPr>
                <w:rFonts w:ascii="宋体" w:hAnsi="宋体" w:eastAsia="宋体" w:cs="宋体"/>
                <w:sz w:val="21"/>
              </w:rPr>
              <w:t>投标报价是履行合同的最终价格，投标货物（包括备品备件、专用工具等）的价格已包含投标 货物运输（含保险）、安装（如有）、调试、检验、技术服务、验收费用、培训和招标文件要求提供的所有伴随服务、工程等费用和税费。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1044" w:type="dxa"/>
          </w:tcPr>
          <w:p>
            <w:pPr>
              <w:pStyle w:val="63"/>
              <w:spacing w:before="10"/>
              <w:rPr>
                <w:sz w:val="15"/>
              </w:rPr>
            </w:pPr>
          </w:p>
          <w:p>
            <w:pPr>
              <w:pStyle w:val="63"/>
              <w:ind w:left="88" w:right="80"/>
              <w:jc w:val="center"/>
              <w:rPr>
                <w:sz w:val="21"/>
              </w:rPr>
            </w:pPr>
            <w:r>
              <w:rPr>
                <w:sz w:val="21"/>
              </w:rPr>
              <w:t>17.2</w:t>
            </w:r>
          </w:p>
        </w:tc>
        <w:tc>
          <w:tcPr>
            <w:tcW w:w="8806" w:type="dxa"/>
          </w:tcPr>
          <w:p>
            <w:pPr>
              <w:pStyle w:val="63"/>
              <w:spacing w:before="10"/>
              <w:rPr>
                <w:sz w:val="15"/>
              </w:rPr>
            </w:pPr>
          </w:p>
          <w:p>
            <w:pPr>
              <w:pStyle w:val="63"/>
              <w:ind w:left="106"/>
              <w:rPr>
                <w:sz w:val="21"/>
              </w:rPr>
            </w:pPr>
            <w:r>
              <w:rPr>
                <w:sz w:val="21"/>
              </w:rPr>
              <w:t xml:space="preserve">投标有效期：自投标截止之日起 </w:t>
            </w:r>
            <w:r>
              <w:rPr>
                <w:sz w:val="21"/>
                <w:u w:val="single"/>
              </w:rPr>
              <w:t>60</w:t>
            </w:r>
            <w:r>
              <w:rPr>
                <w:sz w:val="21"/>
              </w:rPr>
              <w:t xml:space="preserve"> 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1044" w:type="dxa"/>
          </w:tcPr>
          <w:p>
            <w:pPr>
              <w:pStyle w:val="63"/>
              <w:spacing w:before="10"/>
              <w:rPr>
                <w:sz w:val="15"/>
              </w:rPr>
            </w:pPr>
          </w:p>
          <w:p>
            <w:pPr>
              <w:pStyle w:val="63"/>
              <w:ind w:left="88" w:right="80"/>
              <w:jc w:val="center"/>
              <w:rPr>
                <w:sz w:val="21"/>
              </w:rPr>
            </w:pPr>
            <w:r>
              <w:rPr>
                <w:sz w:val="21"/>
              </w:rPr>
              <w:t>18.1</w:t>
            </w:r>
          </w:p>
        </w:tc>
        <w:tc>
          <w:tcPr>
            <w:tcW w:w="8806" w:type="dxa"/>
          </w:tcPr>
          <w:p>
            <w:pPr>
              <w:pStyle w:val="63"/>
              <w:spacing w:before="10"/>
              <w:rPr>
                <w:sz w:val="15"/>
              </w:rPr>
            </w:pPr>
          </w:p>
          <w:p>
            <w:pPr>
              <w:pStyle w:val="62"/>
              <w:keepNext w:val="0"/>
              <w:keepLines w:val="0"/>
              <w:pageBreakBefore w:val="0"/>
              <w:widowControl w:val="0"/>
              <w:numPr>
                <w:ilvl w:val="0"/>
                <w:numId w:val="0"/>
              </w:numPr>
              <w:tabs>
                <w:tab w:val="left" w:pos="941"/>
              </w:tabs>
              <w:kinsoku/>
              <w:wordWrap/>
              <w:overflowPunct/>
              <w:topLinePunct w:val="0"/>
              <w:autoSpaceDE w:val="0"/>
              <w:autoSpaceDN w:val="0"/>
              <w:bidi w:val="0"/>
              <w:adjustRightInd/>
              <w:snapToGrid/>
              <w:spacing w:line="360" w:lineRule="auto"/>
              <w:textAlignment w:val="auto"/>
              <w:outlineLvl w:val="9"/>
              <w:rPr>
                <w:sz w:val="21"/>
              </w:rPr>
            </w:pPr>
            <w:r>
              <w:rPr>
                <w:sz w:val="21"/>
              </w:rPr>
              <w:t>投标保证金</w:t>
            </w:r>
            <w:r>
              <w:rPr>
                <w:rFonts w:hint="eastAsia"/>
                <w:sz w:val="21"/>
                <w:lang w:eastAsia="zh-CN"/>
              </w:rPr>
              <w:t xml:space="preserve">：保证金人民币 </w:t>
            </w:r>
            <w:r>
              <w:rPr>
                <w:rFonts w:hint="eastAsia"/>
                <w:sz w:val="21"/>
                <w:u w:val="single"/>
                <w:lang w:eastAsia="zh-CN"/>
              </w:rPr>
              <w:t>30000.00</w:t>
            </w:r>
            <w:r>
              <w:rPr>
                <w:rFonts w:hint="eastAsia"/>
                <w:sz w:val="21"/>
                <w:lang w:eastAsia="zh-CN"/>
              </w:rPr>
              <w:t>元。</w:t>
            </w:r>
          </w:p>
          <w:p>
            <w:pPr>
              <w:pStyle w:val="19"/>
              <w:keepNext w:val="0"/>
              <w:keepLines w:val="0"/>
              <w:pageBreakBefore w:val="0"/>
              <w:widowControl w:val="0"/>
              <w:kinsoku/>
              <w:wordWrap/>
              <w:overflowPunct/>
              <w:topLinePunct w:val="0"/>
              <w:autoSpaceDE w:val="0"/>
              <w:autoSpaceDN w:val="0"/>
              <w:bidi w:val="0"/>
              <w:adjustRightInd/>
              <w:snapToGrid/>
              <w:spacing w:line="360" w:lineRule="auto"/>
              <w:ind w:right="412"/>
              <w:textAlignment w:val="auto"/>
              <w:outlineLvl w:val="9"/>
              <w:rPr>
                <w:sz w:val="21"/>
              </w:rPr>
            </w:pPr>
            <w:r>
              <w:rPr>
                <w:rFonts w:hint="eastAsia"/>
                <w:spacing w:val="-5"/>
              </w:rPr>
              <w:t>保证金的交纳方式：银行转账、支票、汇票、本票或者金融、担保机构出具的保函，禁止采用现钞方式。采用银行转账方式的，在首次响应文件提交截止时间前交至采购代理机构指定账户并且到账（开户银行：</w:t>
            </w:r>
            <w:r>
              <w:rPr>
                <w:rFonts w:hint="eastAsia"/>
                <w:spacing w:val="-5"/>
                <w:u w:val="single"/>
                <w:lang w:val="en-US" w:eastAsia="zh-CN"/>
              </w:rPr>
              <w:t>崇左市公共资源交易中心</w:t>
            </w:r>
            <w:r>
              <w:rPr>
                <w:rFonts w:hint="eastAsia"/>
                <w:spacing w:val="-5"/>
              </w:rPr>
              <w:t>，开户名称：</w:t>
            </w:r>
            <w:r>
              <w:rPr>
                <w:rFonts w:hint="eastAsia"/>
                <w:spacing w:val="-5"/>
                <w:u w:val="single"/>
                <w:lang w:val="en-US" w:eastAsia="zh-CN"/>
              </w:rPr>
              <w:t>中国建设银行股份有限公司崇左友谊大道支行</w:t>
            </w:r>
            <w:r>
              <w:rPr>
                <w:rFonts w:hint="eastAsia"/>
                <w:spacing w:val="-5"/>
              </w:rPr>
              <w:t>，银行账号：</w:t>
            </w:r>
            <w:r>
              <w:rPr>
                <w:rFonts w:hint="eastAsia"/>
                <w:spacing w:val="-5"/>
                <w:u w:val="single"/>
                <w:lang w:val="en-US" w:eastAsia="zh-CN"/>
              </w:rPr>
              <w:t>45001598054059556677-0918</w:t>
            </w:r>
            <w:r>
              <w:rPr>
                <w:rFonts w:hint="eastAsia"/>
                <w:spacing w:val="-5"/>
              </w:rPr>
              <w:t>）；采用支票、汇票、本票或者保函等方式的，在首次响应文件提交截止时间前，供应商必须提交单独密封的支票、汇票、本票或者保函原件。否则视为无效</w:t>
            </w:r>
            <w:r>
              <w:rPr>
                <w:rFonts w:hint="eastAsia"/>
                <w:spacing w:val="-5"/>
                <w:lang w:eastAsia="zh-CN"/>
              </w:rPr>
              <w:t>投标</w:t>
            </w:r>
            <w:r>
              <w:rPr>
                <w:rFonts w:hint="eastAsia"/>
                <w:spacing w:val="-5"/>
              </w:rPr>
              <w:t>保证金。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80" w:hRule="atLeast"/>
        </w:trPr>
        <w:tc>
          <w:tcPr>
            <w:tcW w:w="1044" w:type="dxa"/>
          </w:tcPr>
          <w:p>
            <w:pPr>
              <w:pStyle w:val="63"/>
              <w:rPr>
                <w:sz w:val="20"/>
              </w:rPr>
            </w:pPr>
          </w:p>
          <w:p>
            <w:pPr>
              <w:pStyle w:val="63"/>
              <w:rPr>
                <w:sz w:val="20"/>
              </w:rPr>
            </w:pPr>
          </w:p>
          <w:p>
            <w:pPr>
              <w:pStyle w:val="63"/>
              <w:rPr>
                <w:sz w:val="20"/>
              </w:rPr>
            </w:pPr>
          </w:p>
          <w:p>
            <w:pPr>
              <w:pStyle w:val="63"/>
              <w:spacing w:before="9"/>
              <w:rPr>
                <w:sz w:val="16"/>
              </w:rPr>
            </w:pPr>
          </w:p>
          <w:p>
            <w:pPr>
              <w:pStyle w:val="63"/>
              <w:ind w:left="88" w:right="80"/>
              <w:jc w:val="center"/>
              <w:rPr>
                <w:sz w:val="21"/>
              </w:rPr>
            </w:pPr>
            <w:r>
              <w:rPr>
                <w:sz w:val="21"/>
              </w:rPr>
              <w:t>19.2</w:t>
            </w:r>
          </w:p>
        </w:tc>
        <w:tc>
          <w:tcPr>
            <w:tcW w:w="8806" w:type="dxa"/>
          </w:tcPr>
          <w:p>
            <w:pPr>
              <w:pStyle w:val="63"/>
              <w:spacing w:before="11"/>
              <w:rPr>
                <w:sz w:val="15"/>
              </w:rPr>
            </w:pPr>
          </w:p>
          <w:p>
            <w:pPr>
              <w:pStyle w:val="63"/>
              <w:ind w:left="106"/>
              <w:rPr>
                <w:sz w:val="21"/>
              </w:rPr>
            </w:pPr>
            <w:r>
              <w:rPr>
                <w:sz w:val="21"/>
              </w:rPr>
              <w:t>投标文件正副本份数：</w:t>
            </w:r>
          </w:p>
          <w:p>
            <w:pPr>
              <w:pStyle w:val="63"/>
              <w:spacing w:before="5"/>
              <w:rPr>
                <w:sz w:val="19"/>
              </w:rPr>
            </w:pPr>
          </w:p>
          <w:p>
            <w:pPr>
              <w:pStyle w:val="63"/>
              <w:spacing w:before="1"/>
              <w:ind w:left="106"/>
              <w:rPr>
                <w:sz w:val="21"/>
              </w:rPr>
            </w:pPr>
            <w:r>
              <w:rPr>
                <w:sz w:val="21"/>
              </w:rPr>
              <w:t>报价文件正本</w:t>
            </w:r>
            <w:r>
              <w:rPr>
                <w:sz w:val="21"/>
                <w:u w:val="single"/>
              </w:rPr>
              <w:t xml:space="preserve"> 一</w:t>
            </w:r>
            <w:r>
              <w:rPr>
                <w:sz w:val="21"/>
              </w:rPr>
              <w:t>份、副本四份；</w:t>
            </w:r>
          </w:p>
          <w:p>
            <w:pPr>
              <w:pStyle w:val="63"/>
              <w:spacing w:before="8"/>
              <w:rPr>
                <w:sz w:val="19"/>
              </w:rPr>
            </w:pPr>
          </w:p>
          <w:p>
            <w:pPr>
              <w:pStyle w:val="63"/>
              <w:ind w:left="106"/>
              <w:rPr>
                <w:sz w:val="21"/>
              </w:rPr>
            </w:pPr>
            <w:r>
              <w:rPr>
                <w:sz w:val="21"/>
              </w:rPr>
              <w:t>资格证明文件正本</w:t>
            </w:r>
            <w:r>
              <w:rPr>
                <w:sz w:val="21"/>
                <w:u w:val="single"/>
              </w:rPr>
              <w:t>一</w:t>
            </w:r>
            <w:r>
              <w:rPr>
                <w:sz w:val="21"/>
              </w:rPr>
              <w:t>份、副本四份；</w:t>
            </w:r>
          </w:p>
          <w:p>
            <w:pPr>
              <w:pStyle w:val="63"/>
              <w:spacing w:before="8"/>
              <w:rPr>
                <w:sz w:val="19"/>
              </w:rPr>
            </w:pPr>
          </w:p>
          <w:p>
            <w:pPr>
              <w:pStyle w:val="63"/>
              <w:ind w:left="106"/>
              <w:rPr>
                <w:sz w:val="21"/>
              </w:rPr>
            </w:pPr>
            <w:r>
              <w:rPr>
                <w:sz w:val="21"/>
              </w:rPr>
              <w:t>商务文件和技术文件合并装订成册，正本</w:t>
            </w:r>
            <w:r>
              <w:rPr>
                <w:sz w:val="21"/>
                <w:u w:val="single"/>
              </w:rPr>
              <w:t>一</w:t>
            </w:r>
            <w:r>
              <w:rPr>
                <w:sz w:val="21"/>
              </w:rPr>
              <w:t>份、副本四份；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1044" w:type="dxa"/>
          </w:tcPr>
          <w:p>
            <w:pPr>
              <w:pStyle w:val="63"/>
              <w:rPr>
                <w:sz w:val="20"/>
              </w:rPr>
            </w:pPr>
          </w:p>
          <w:p>
            <w:pPr>
              <w:pStyle w:val="63"/>
              <w:rPr>
                <w:sz w:val="20"/>
              </w:rPr>
            </w:pPr>
          </w:p>
          <w:p>
            <w:pPr>
              <w:pStyle w:val="63"/>
              <w:spacing w:before="4"/>
              <w:rPr>
                <w:sz w:val="16"/>
              </w:rPr>
            </w:pPr>
          </w:p>
          <w:p>
            <w:pPr>
              <w:pStyle w:val="63"/>
              <w:ind w:left="88" w:right="80"/>
              <w:jc w:val="center"/>
              <w:rPr>
                <w:sz w:val="21"/>
              </w:rPr>
            </w:pPr>
            <w:r>
              <w:rPr>
                <w:sz w:val="21"/>
              </w:rPr>
              <w:t>21.1</w:t>
            </w:r>
          </w:p>
        </w:tc>
        <w:tc>
          <w:tcPr>
            <w:tcW w:w="8806" w:type="dxa"/>
          </w:tcPr>
          <w:p>
            <w:pPr>
              <w:pStyle w:val="63"/>
              <w:spacing w:before="9"/>
              <w:rPr>
                <w:sz w:val="15"/>
              </w:rPr>
            </w:pPr>
          </w:p>
          <w:p>
            <w:pPr>
              <w:pStyle w:val="63"/>
              <w:numPr>
                <w:ilvl w:val="0"/>
                <w:numId w:val="34"/>
              </w:numPr>
              <w:tabs>
                <w:tab w:val="left" w:pos="318"/>
              </w:tabs>
              <w:rPr>
                <w:sz w:val="21"/>
              </w:rPr>
            </w:pPr>
            <w:r>
              <w:rPr>
                <w:sz w:val="21"/>
              </w:rPr>
              <w:t>投标截止时间：详见招标公告</w:t>
            </w:r>
          </w:p>
          <w:p>
            <w:pPr>
              <w:pStyle w:val="63"/>
              <w:spacing w:before="8"/>
              <w:rPr>
                <w:sz w:val="19"/>
              </w:rPr>
            </w:pPr>
          </w:p>
          <w:p>
            <w:pPr>
              <w:pStyle w:val="63"/>
              <w:numPr>
                <w:ilvl w:val="0"/>
                <w:numId w:val="34"/>
              </w:numPr>
              <w:tabs>
                <w:tab w:val="left" w:pos="318"/>
              </w:tabs>
              <w:rPr>
                <w:sz w:val="21"/>
              </w:rPr>
            </w:pPr>
            <w:r>
              <w:rPr>
                <w:sz w:val="21"/>
              </w:rPr>
              <w:t>投标文件提交起止时间：详见招标公告</w:t>
            </w:r>
          </w:p>
          <w:p>
            <w:pPr>
              <w:pStyle w:val="63"/>
              <w:spacing w:before="8"/>
              <w:rPr>
                <w:sz w:val="19"/>
              </w:rPr>
            </w:pPr>
          </w:p>
          <w:p>
            <w:pPr>
              <w:pStyle w:val="63"/>
              <w:numPr>
                <w:ilvl w:val="0"/>
                <w:numId w:val="34"/>
              </w:numPr>
              <w:tabs>
                <w:tab w:val="left" w:pos="318"/>
              </w:tabs>
              <w:rPr>
                <w:sz w:val="21"/>
              </w:rPr>
            </w:pPr>
            <w:r>
              <w:rPr>
                <w:sz w:val="21"/>
              </w:rPr>
              <w:t>投标地点：详见招标公告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0" w:hRule="atLeast"/>
        </w:trPr>
        <w:tc>
          <w:tcPr>
            <w:tcW w:w="1044" w:type="dxa"/>
          </w:tcPr>
          <w:p>
            <w:pPr>
              <w:pStyle w:val="63"/>
              <w:rPr>
                <w:sz w:val="20"/>
              </w:rPr>
            </w:pPr>
          </w:p>
          <w:p>
            <w:pPr>
              <w:pStyle w:val="63"/>
              <w:spacing w:before="1"/>
              <w:rPr>
                <w:sz w:val="16"/>
              </w:rPr>
            </w:pPr>
          </w:p>
          <w:p>
            <w:pPr>
              <w:pStyle w:val="63"/>
              <w:ind w:left="88" w:right="80"/>
              <w:jc w:val="center"/>
              <w:rPr>
                <w:sz w:val="21"/>
              </w:rPr>
            </w:pPr>
            <w:r>
              <w:rPr>
                <w:sz w:val="21"/>
              </w:rPr>
              <w:t>23</w:t>
            </w:r>
          </w:p>
        </w:tc>
        <w:tc>
          <w:tcPr>
            <w:tcW w:w="8806" w:type="dxa"/>
          </w:tcPr>
          <w:p>
            <w:pPr>
              <w:pStyle w:val="63"/>
              <w:spacing w:before="11"/>
              <w:rPr>
                <w:sz w:val="15"/>
              </w:rPr>
            </w:pPr>
          </w:p>
          <w:p>
            <w:pPr>
              <w:pStyle w:val="63"/>
              <w:numPr>
                <w:ilvl w:val="0"/>
                <w:numId w:val="35"/>
              </w:numPr>
              <w:tabs>
                <w:tab w:val="left" w:pos="318"/>
              </w:tabs>
              <w:rPr>
                <w:rFonts w:ascii="宋体" w:hAnsi="宋体" w:eastAsia="宋体" w:cs="宋体"/>
                <w:sz w:val="21"/>
              </w:rPr>
            </w:pPr>
            <w:r>
              <w:rPr>
                <w:rFonts w:ascii="宋体" w:hAnsi="宋体" w:eastAsia="宋体" w:cs="宋体"/>
                <w:sz w:val="21"/>
              </w:rPr>
              <w:t>开标时间</w:t>
            </w:r>
            <w:r>
              <w:rPr>
                <w:w w:val="95"/>
                <w:sz w:val="21"/>
              </w:rPr>
              <w:t>：</w:t>
            </w:r>
            <w:r>
              <w:rPr>
                <w:rFonts w:ascii="宋体" w:hAnsi="宋体" w:eastAsia="宋体" w:cs="宋体"/>
                <w:sz w:val="21"/>
              </w:rPr>
              <w:t>详见招标公告</w:t>
            </w:r>
          </w:p>
          <w:p>
            <w:pPr>
              <w:pStyle w:val="63"/>
              <w:spacing w:before="5"/>
              <w:rPr>
                <w:sz w:val="19"/>
              </w:rPr>
            </w:pPr>
          </w:p>
          <w:p>
            <w:pPr>
              <w:pStyle w:val="63"/>
              <w:numPr>
                <w:ilvl w:val="0"/>
                <w:numId w:val="35"/>
              </w:numPr>
              <w:tabs>
                <w:tab w:val="left" w:pos="318"/>
              </w:tabs>
              <w:spacing w:before="1"/>
              <w:rPr>
                <w:sz w:val="21"/>
              </w:rPr>
            </w:pPr>
            <w:r>
              <w:rPr>
                <w:rFonts w:ascii="宋体" w:hAnsi="宋体" w:eastAsia="宋体" w:cs="宋体"/>
                <w:sz w:val="21"/>
              </w:rPr>
              <w:t>开标地点</w:t>
            </w:r>
            <w:r>
              <w:rPr>
                <w:w w:val="95"/>
                <w:sz w:val="21"/>
              </w:rPr>
              <w:t>：</w:t>
            </w:r>
            <w:r>
              <w:rPr>
                <w:rFonts w:ascii="宋体" w:hAnsi="宋体" w:eastAsia="宋体" w:cs="宋体"/>
                <w:sz w:val="21"/>
              </w:rPr>
              <w:t>详见招标公告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77" w:hRule="atLeast"/>
        </w:trPr>
        <w:tc>
          <w:tcPr>
            <w:tcW w:w="1044" w:type="dxa"/>
          </w:tcPr>
          <w:p>
            <w:pPr>
              <w:pStyle w:val="63"/>
              <w:rPr>
                <w:sz w:val="20"/>
              </w:rPr>
            </w:pPr>
          </w:p>
          <w:p>
            <w:pPr>
              <w:pStyle w:val="63"/>
              <w:rPr>
                <w:sz w:val="20"/>
              </w:rPr>
            </w:pPr>
          </w:p>
          <w:p>
            <w:pPr>
              <w:pStyle w:val="63"/>
              <w:rPr>
                <w:sz w:val="20"/>
              </w:rPr>
            </w:pPr>
          </w:p>
          <w:p>
            <w:pPr>
              <w:pStyle w:val="63"/>
              <w:spacing w:before="8"/>
              <w:rPr>
                <w:sz w:val="16"/>
              </w:rPr>
            </w:pPr>
          </w:p>
          <w:p>
            <w:pPr>
              <w:pStyle w:val="63"/>
              <w:ind w:left="106" w:right="-15"/>
              <w:jc w:val="center"/>
              <w:rPr>
                <w:sz w:val="21"/>
              </w:rPr>
            </w:pPr>
            <w:r>
              <w:rPr>
                <w:spacing w:val="-1"/>
                <w:w w:val="95"/>
                <w:sz w:val="21"/>
              </w:rPr>
              <w:t>25.3（2）</w:t>
            </w:r>
          </w:p>
        </w:tc>
        <w:tc>
          <w:tcPr>
            <w:tcW w:w="8806" w:type="dxa"/>
          </w:tcPr>
          <w:p>
            <w:pPr>
              <w:pStyle w:val="63"/>
              <w:spacing w:before="9"/>
              <w:rPr>
                <w:sz w:val="15"/>
              </w:rPr>
            </w:pPr>
          </w:p>
          <w:p>
            <w:pPr>
              <w:pStyle w:val="63"/>
              <w:spacing w:before="1"/>
              <w:ind w:left="106"/>
              <w:rPr>
                <w:sz w:val="21"/>
              </w:rPr>
            </w:pPr>
            <w:r>
              <w:rPr>
                <w:sz w:val="21"/>
              </w:rPr>
              <w:t>采购人或者采购代理机构在资格审查结束前，对投标人进行信用查询。</w:t>
            </w:r>
          </w:p>
          <w:p>
            <w:pPr>
              <w:pStyle w:val="63"/>
              <w:spacing w:before="8"/>
              <w:rPr>
                <w:sz w:val="19"/>
              </w:rPr>
            </w:pPr>
          </w:p>
          <w:p>
            <w:pPr>
              <w:pStyle w:val="63"/>
              <w:spacing w:line="463" w:lineRule="auto"/>
              <w:ind w:left="106" w:right="1652"/>
              <w:rPr>
                <w:sz w:val="21"/>
              </w:rPr>
            </w:pPr>
            <w:r>
              <w:rPr>
                <w:sz w:val="21"/>
              </w:rPr>
              <w:t>查询渠道：“信用中国”网站(www.creditchina.gov.cn) 、中国政府采购网(www.ccgp.gov.cn)》。</w:t>
            </w:r>
          </w:p>
          <w:p>
            <w:pPr>
              <w:pStyle w:val="63"/>
              <w:ind w:left="106"/>
              <w:rPr>
                <w:sz w:val="21"/>
              </w:rPr>
            </w:pPr>
            <w:r>
              <w:rPr>
                <w:sz w:val="21"/>
              </w:rPr>
              <w:t>信用查询截止时点：资格审查结束前</w:t>
            </w:r>
          </w:p>
        </w:tc>
      </w:tr>
    </w:tbl>
    <w:p>
      <w:pPr>
        <w:rPr>
          <w:sz w:val="21"/>
        </w:rPr>
        <w:sectPr>
          <w:footerReference r:id="rId5" w:type="default"/>
          <w:pgSz w:w="11910" w:h="16840"/>
          <w:pgMar w:top="1120" w:right="720" w:bottom="1300" w:left="720" w:header="0" w:footer="1120" w:gutter="0"/>
          <w:pgNumType w:fmt="decimal"/>
          <w:cols w:space="720" w:num="1"/>
        </w:sectPr>
      </w:pPr>
    </w:p>
    <w:tbl>
      <w:tblPr>
        <w:tblStyle w:val="51"/>
        <w:tblW w:w="9850"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44"/>
        <w:gridCol w:w="88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8" w:hRule="atLeast"/>
        </w:trPr>
        <w:tc>
          <w:tcPr>
            <w:tcW w:w="1044" w:type="dxa"/>
          </w:tcPr>
          <w:p>
            <w:pPr>
              <w:pStyle w:val="63"/>
              <w:rPr>
                <w:rFonts w:ascii="Times New Roman"/>
                <w:sz w:val="20"/>
              </w:rPr>
            </w:pPr>
          </w:p>
        </w:tc>
        <w:tc>
          <w:tcPr>
            <w:tcW w:w="8806" w:type="dxa"/>
          </w:tcPr>
          <w:p>
            <w:pPr>
              <w:pStyle w:val="63"/>
              <w:spacing w:before="11"/>
              <w:rPr>
                <w:sz w:val="15"/>
              </w:rPr>
            </w:pPr>
          </w:p>
          <w:p>
            <w:pPr>
              <w:pStyle w:val="63"/>
              <w:spacing w:line="463" w:lineRule="auto"/>
              <w:ind w:left="106" w:right="-15"/>
              <w:rPr>
                <w:sz w:val="21"/>
              </w:rPr>
            </w:pPr>
            <w:r>
              <w:rPr>
                <w:sz w:val="21"/>
              </w:rPr>
              <w:t>查询记录和证据留存方式：在查询网站中直接打印查询记录，打印材料作为评审资料保存。 信用信息使用规则：对在“信用中国”网站(www.creditchina.gov.cn</w:t>
            </w:r>
            <w:r>
              <w:rPr>
                <w:spacing w:val="-2"/>
                <w:sz w:val="21"/>
              </w:rPr>
              <w:t>) 、中国政府采购网(www.ccgp.gov.cn)被列入失信被执行人、重大税收违法案件当事人名单、</w:t>
            </w:r>
            <w:r>
              <w:rPr>
                <w:rFonts w:ascii="宋体" w:hAnsi="宋体" w:eastAsia="宋体" w:cs="宋体"/>
                <w:spacing w:val="-2"/>
                <w:sz w:val="21"/>
              </w:rPr>
              <w:t>政府采购严重违法 失信行为记录名单及其他不符合《中华人民共和国政府采购法》第二十二条规定条件的供应商，</w:t>
            </w:r>
            <w:r>
              <w:rPr>
                <w:sz w:val="21"/>
              </w:rPr>
              <w:t>采购人或者采购代理机构应当拒绝其参与政府采购活动。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044" w:type="dxa"/>
          </w:tcPr>
          <w:p>
            <w:pPr>
              <w:pStyle w:val="63"/>
              <w:spacing w:before="115"/>
              <w:ind w:left="88" w:right="80"/>
              <w:jc w:val="center"/>
              <w:rPr>
                <w:sz w:val="21"/>
              </w:rPr>
            </w:pPr>
            <w:r>
              <w:rPr>
                <w:sz w:val="21"/>
              </w:rPr>
              <w:t>26</w:t>
            </w:r>
          </w:p>
        </w:tc>
        <w:tc>
          <w:tcPr>
            <w:tcW w:w="8806" w:type="dxa"/>
          </w:tcPr>
          <w:p>
            <w:pPr>
              <w:pStyle w:val="63"/>
              <w:spacing w:before="115"/>
              <w:ind w:left="106"/>
              <w:rPr>
                <w:sz w:val="21"/>
              </w:rPr>
            </w:pPr>
            <w:r>
              <w:rPr>
                <w:sz w:val="21"/>
              </w:rPr>
              <w:t>评标委员会的人数：</w:t>
            </w:r>
            <w:r>
              <w:rPr>
                <w:sz w:val="21"/>
                <w:u w:val="single"/>
              </w:rPr>
              <w:t>5</w:t>
            </w:r>
            <w:r>
              <w:rPr>
                <w:sz w:val="21"/>
              </w:rPr>
              <w:t xml:space="preserve"> 人。(其中：采购人代表 1 人，专家 4 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atLeast"/>
        </w:trPr>
        <w:tc>
          <w:tcPr>
            <w:tcW w:w="1044" w:type="dxa"/>
          </w:tcPr>
          <w:p>
            <w:pPr>
              <w:pStyle w:val="63"/>
              <w:spacing w:before="114"/>
              <w:ind w:left="88" w:right="80"/>
              <w:jc w:val="center"/>
              <w:rPr>
                <w:sz w:val="21"/>
              </w:rPr>
            </w:pPr>
            <w:r>
              <w:rPr>
                <w:sz w:val="21"/>
              </w:rPr>
              <w:t>29.1</w:t>
            </w:r>
          </w:p>
        </w:tc>
        <w:tc>
          <w:tcPr>
            <w:tcW w:w="8806" w:type="dxa"/>
          </w:tcPr>
          <w:p>
            <w:pPr>
              <w:pStyle w:val="63"/>
              <w:spacing w:before="114"/>
              <w:ind w:left="106"/>
              <w:rPr>
                <w:sz w:val="21"/>
              </w:rPr>
            </w:pPr>
            <w:r>
              <w:rPr>
                <w:sz w:val="21"/>
              </w:rPr>
              <w:t>评标方法：综合评分法</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trPr>
        <w:tc>
          <w:tcPr>
            <w:tcW w:w="1044" w:type="dxa"/>
          </w:tcPr>
          <w:p>
            <w:pPr>
              <w:pStyle w:val="63"/>
              <w:rPr>
                <w:sz w:val="20"/>
              </w:rPr>
            </w:pPr>
          </w:p>
          <w:p>
            <w:pPr>
              <w:pStyle w:val="63"/>
              <w:rPr>
                <w:sz w:val="20"/>
              </w:rPr>
            </w:pPr>
          </w:p>
          <w:p>
            <w:pPr>
              <w:pStyle w:val="63"/>
              <w:spacing w:before="4"/>
              <w:rPr>
                <w:sz w:val="16"/>
              </w:rPr>
            </w:pPr>
          </w:p>
          <w:p>
            <w:pPr>
              <w:pStyle w:val="63"/>
              <w:ind w:left="88" w:right="80"/>
              <w:jc w:val="center"/>
              <w:rPr>
                <w:sz w:val="21"/>
              </w:rPr>
            </w:pPr>
            <w:r>
              <w:rPr>
                <w:sz w:val="21"/>
              </w:rPr>
              <w:t>30.1</w:t>
            </w:r>
          </w:p>
        </w:tc>
        <w:tc>
          <w:tcPr>
            <w:tcW w:w="8806" w:type="dxa"/>
          </w:tcPr>
          <w:p>
            <w:pPr>
              <w:pStyle w:val="63"/>
              <w:spacing w:before="9"/>
              <w:rPr>
                <w:sz w:val="15"/>
              </w:rPr>
            </w:pPr>
          </w:p>
          <w:p>
            <w:pPr>
              <w:pStyle w:val="63"/>
              <w:ind w:left="106"/>
              <w:rPr>
                <w:sz w:val="21"/>
              </w:rPr>
            </w:pPr>
            <w:r>
              <w:rPr>
                <w:sz w:val="21"/>
              </w:rPr>
              <w:t>采购人确定中标人时，出现中标候选人并列的情形，采购人按以下的方式确定中标人：技术评</w:t>
            </w:r>
          </w:p>
          <w:p>
            <w:pPr>
              <w:pStyle w:val="63"/>
              <w:spacing w:before="1" w:line="520" w:lineRule="atLeast"/>
              <w:ind w:left="106" w:right="97"/>
              <w:rPr>
                <w:sz w:val="21"/>
              </w:rPr>
            </w:pPr>
            <w:r>
              <w:rPr>
                <w:rFonts w:ascii="宋体" w:hAnsi="宋体" w:eastAsia="宋体" w:cs="宋体"/>
                <w:sz w:val="21"/>
              </w:rPr>
              <w:t>分高的优先、商务评分高的优先、项目质保期长优先、交货期短优先、故障响应时间短优先的</w:t>
            </w:r>
            <w:r>
              <w:rPr>
                <w:spacing w:val="-3"/>
                <w:sz w:val="21"/>
              </w:rPr>
              <w:t>顺序。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1044" w:type="dxa"/>
          </w:tcPr>
          <w:p>
            <w:pPr>
              <w:pStyle w:val="63"/>
              <w:spacing w:before="11"/>
              <w:rPr>
                <w:sz w:val="15"/>
              </w:rPr>
            </w:pPr>
          </w:p>
          <w:p>
            <w:pPr>
              <w:pStyle w:val="63"/>
              <w:ind w:left="88" w:right="80"/>
              <w:jc w:val="center"/>
              <w:rPr>
                <w:sz w:val="21"/>
              </w:rPr>
            </w:pPr>
            <w:r>
              <w:rPr>
                <w:sz w:val="21"/>
              </w:rPr>
              <w:t>35.1</w:t>
            </w:r>
          </w:p>
        </w:tc>
        <w:tc>
          <w:tcPr>
            <w:tcW w:w="8806" w:type="dxa"/>
          </w:tcPr>
          <w:p>
            <w:pPr>
              <w:pStyle w:val="63"/>
              <w:spacing w:before="11"/>
              <w:rPr>
                <w:sz w:val="15"/>
              </w:rPr>
            </w:pPr>
          </w:p>
          <w:p>
            <w:pPr>
              <w:pStyle w:val="63"/>
              <w:ind w:left="106"/>
              <w:rPr>
                <w:sz w:val="21"/>
              </w:rPr>
            </w:pPr>
            <w:r>
              <w:rPr>
                <w:sz w:val="21"/>
              </w:rPr>
              <w:t>履约保证金金额：0 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36" w:hRule="atLeast"/>
        </w:trPr>
        <w:tc>
          <w:tcPr>
            <w:tcW w:w="1044" w:type="dxa"/>
          </w:tcPr>
          <w:p>
            <w:pPr>
              <w:pStyle w:val="63"/>
              <w:rPr>
                <w:sz w:val="20"/>
              </w:rPr>
            </w:pPr>
          </w:p>
          <w:p>
            <w:pPr>
              <w:pStyle w:val="63"/>
              <w:rPr>
                <w:sz w:val="20"/>
              </w:rPr>
            </w:pPr>
          </w:p>
          <w:p>
            <w:pPr>
              <w:pStyle w:val="63"/>
              <w:rPr>
                <w:sz w:val="20"/>
              </w:rPr>
            </w:pPr>
          </w:p>
          <w:p>
            <w:pPr>
              <w:pStyle w:val="63"/>
              <w:rPr>
                <w:sz w:val="20"/>
              </w:rPr>
            </w:pPr>
          </w:p>
          <w:p>
            <w:pPr>
              <w:pStyle w:val="63"/>
              <w:spacing w:before="12"/>
              <w:rPr>
                <w:sz w:val="16"/>
              </w:rPr>
            </w:pPr>
          </w:p>
          <w:p>
            <w:pPr>
              <w:pStyle w:val="63"/>
              <w:spacing w:before="1"/>
              <w:ind w:left="88" w:right="80"/>
              <w:jc w:val="center"/>
              <w:rPr>
                <w:sz w:val="21"/>
              </w:rPr>
            </w:pPr>
            <w:r>
              <w:rPr>
                <w:sz w:val="21"/>
              </w:rPr>
              <w:t>36.1</w:t>
            </w:r>
          </w:p>
        </w:tc>
        <w:tc>
          <w:tcPr>
            <w:tcW w:w="8806" w:type="dxa"/>
          </w:tcPr>
          <w:p>
            <w:pPr>
              <w:pStyle w:val="63"/>
              <w:spacing w:before="9"/>
              <w:rPr>
                <w:sz w:val="15"/>
              </w:rPr>
            </w:pPr>
          </w:p>
          <w:p>
            <w:pPr>
              <w:pStyle w:val="63"/>
              <w:ind w:left="106"/>
              <w:rPr>
                <w:sz w:val="21"/>
              </w:rPr>
            </w:pPr>
            <w:r>
              <w:rPr>
                <w:sz w:val="21"/>
              </w:rPr>
              <w:t>签订合同携带的证明材料：</w:t>
            </w:r>
          </w:p>
          <w:p>
            <w:pPr>
              <w:pStyle w:val="63"/>
              <w:spacing w:before="8"/>
              <w:rPr>
                <w:sz w:val="19"/>
              </w:rPr>
            </w:pPr>
          </w:p>
          <w:p>
            <w:pPr>
              <w:pStyle w:val="63"/>
              <w:ind w:firstLine="210" w:firstLineChars="100"/>
              <w:rPr>
                <w:sz w:val="21"/>
              </w:rPr>
            </w:pPr>
            <w:r>
              <w:rPr>
                <w:sz w:val="21"/>
              </w:rPr>
              <w:t>委托代理人负责签订合同的，须携带授权委托书及委托代理人身份证原件等其他资格证件。</w:t>
            </w:r>
          </w:p>
          <w:p>
            <w:pPr>
              <w:pStyle w:val="63"/>
              <w:spacing w:before="6"/>
              <w:rPr>
                <w:sz w:val="19"/>
              </w:rPr>
            </w:pPr>
          </w:p>
          <w:p>
            <w:pPr>
              <w:pStyle w:val="63"/>
              <w:ind w:firstLine="210" w:firstLineChars="100"/>
              <w:rPr>
                <w:sz w:val="21"/>
              </w:rPr>
            </w:pPr>
            <w:r>
              <w:rPr>
                <w:sz w:val="21"/>
              </w:rPr>
              <w:t>法定代表人负责签订合同的，须携带法定代表人身份证明原件及身份证原件等其他证明材料。</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00" w:hRule="atLeast"/>
        </w:trPr>
        <w:tc>
          <w:tcPr>
            <w:tcW w:w="1044" w:type="dxa"/>
          </w:tcPr>
          <w:p>
            <w:pPr>
              <w:pStyle w:val="63"/>
              <w:rPr>
                <w:sz w:val="20"/>
              </w:rPr>
            </w:pPr>
          </w:p>
          <w:p>
            <w:pPr>
              <w:pStyle w:val="63"/>
              <w:rPr>
                <w:sz w:val="20"/>
              </w:rPr>
            </w:pPr>
          </w:p>
          <w:p>
            <w:pPr>
              <w:pStyle w:val="63"/>
              <w:rPr>
                <w:sz w:val="20"/>
              </w:rPr>
            </w:pPr>
          </w:p>
          <w:p>
            <w:pPr>
              <w:pStyle w:val="63"/>
              <w:rPr>
                <w:sz w:val="20"/>
              </w:rPr>
            </w:pPr>
          </w:p>
          <w:p>
            <w:pPr>
              <w:pStyle w:val="63"/>
              <w:spacing w:before="11"/>
              <w:rPr>
                <w:sz w:val="16"/>
              </w:rPr>
            </w:pPr>
          </w:p>
          <w:p>
            <w:pPr>
              <w:pStyle w:val="63"/>
              <w:ind w:left="88" w:right="80"/>
              <w:jc w:val="center"/>
              <w:rPr>
                <w:sz w:val="21"/>
              </w:rPr>
            </w:pPr>
            <w:r>
              <w:rPr>
                <w:sz w:val="21"/>
              </w:rPr>
              <w:t>38.2</w:t>
            </w:r>
          </w:p>
        </w:tc>
        <w:tc>
          <w:tcPr>
            <w:tcW w:w="8806" w:type="dxa"/>
          </w:tcPr>
          <w:p>
            <w:pPr>
              <w:pStyle w:val="63"/>
              <w:spacing w:before="10"/>
              <w:rPr>
                <w:sz w:val="15"/>
              </w:rPr>
            </w:pPr>
          </w:p>
          <w:p>
            <w:pPr>
              <w:pStyle w:val="63"/>
              <w:ind w:left="106"/>
              <w:rPr>
                <w:sz w:val="21"/>
              </w:rPr>
            </w:pPr>
            <w:r>
              <w:rPr>
                <w:sz w:val="21"/>
              </w:rPr>
              <w:t>接收质疑函方式：以书面形式</w:t>
            </w:r>
          </w:p>
          <w:p>
            <w:pPr>
              <w:pStyle w:val="63"/>
              <w:spacing w:before="8"/>
              <w:rPr>
                <w:sz w:val="19"/>
              </w:rPr>
            </w:pPr>
          </w:p>
          <w:p>
            <w:pPr>
              <w:pStyle w:val="63"/>
              <w:spacing w:line="463" w:lineRule="auto"/>
              <w:ind w:left="106" w:right="-15"/>
              <w:rPr>
                <w:rFonts w:hint="eastAsia" w:ascii="宋体" w:hAnsi="宋体" w:eastAsia="宋体" w:cs="宋体"/>
                <w:spacing w:val="-4"/>
                <w:sz w:val="21"/>
              </w:rPr>
            </w:pPr>
            <w:r>
              <w:rPr>
                <w:rFonts w:hint="eastAsia" w:ascii="宋体" w:hAnsi="宋体" w:eastAsia="宋体" w:cs="宋体"/>
                <w:spacing w:val="-4"/>
                <w:sz w:val="21"/>
              </w:rPr>
              <w:t>质疑联系部门及联系方式：广西国兴项目管理有限公司招标部，联系电话</w:t>
            </w:r>
            <w:r>
              <w:rPr>
                <w:rFonts w:hint="eastAsia" w:ascii="宋体" w:hAnsi="宋体" w:eastAsia="宋体" w:cs="宋体"/>
                <w:spacing w:val="-4"/>
                <w:sz w:val="21"/>
                <w:lang w:eastAsia="zh-CN"/>
              </w:rPr>
              <w:t>：</w:t>
            </w:r>
            <w:r>
              <w:rPr>
                <w:rFonts w:hint="eastAsia" w:ascii="宋体" w:hAnsi="宋体" w:eastAsia="宋体" w:cs="宋体"/>
                <w:spacing w:val="-4"/>
                <w:sz w:val="21"/>
              </w:rPr>
              <w:t>（ 0771-</w:t>
            </w:r>
            <w:r>
              <w:rPr>
                <w:rFonts w:hint="eastAsia" w:ascii="宋体" w:hAnsi="宋体" w:eastAsia="宋体" w:cs="宋体"/>
                <w:spacing w:val="-4"/>
                <w:sz w:val="21"/>
                <w:lang w:val="en-US"/>
              </w:rPr>
              <w:t>5789574</w:t>
            </w:r>
            <w:r>
              <w:rPr>
                <w:rFonts w:hint="eastAsia" w:ascii="宋体" w:hAnsi="宋体" w:eastAsia="宋体" w:cs="宋体"/>
                <w:spacing w:val="-4"/>
                <w:sz w:val="21"/>
              </w:rPr>
              <w:t>，通讯地址：南宁市良庆区体强路19号阳光城</w:t>
            </w:r>
            <w:r>
              <w:rPr>
                <w:rFonts w:hint="eastAsia" w:cs="宋体"/>
                <w:spacing w:val="-4"/>
                <w:sz w:val="21"/>
                <w:lang w:val="en-US" w:eastAsia="zh-CN"/>
              </w:rPr>
              <w:t>·</w:t>
            </w:r>
            <w:r>
              <w:rPr>
                <w:rFonts w:hint="eastAsia" w:ascii="宋体" w:hAnsi="宋体" w:eastAsia="宋体" w:cs="宋体"/>
                <w:spacing w:val="-4"/>
                <w:sz w:val="21"/>
              </w:rPr>
              <w:t>时代中心B座2220。</w:t>
            </w:r>
          </w:p>
          <w:p>
            <w:pPr>
              <w:pStyle w:val="63"/>
              <w:spacing w:before="1"/>
              <w:ind w:left="106"/>
              <w:rPr>
                <w:sz w:val="21"/>
              </w:rPr>
            </w:pPr>
            <w:r>
              <w:rPr>
                <w:spacing w:val="-4"/>
                <w:sz w:val="21"/>
              </w:rPr>
              <w:t xml:space="preserve">现场提交质疑办理业务时间：每天 </w:t>
            </w:r>
            <w:r>
              <w:rPr>
                <w:rFonts w:hint="eastAsia"/>
                <w:sz w:val="21"/>
                <w:lang w:val="en-US"/>
              </w:rPr>
              <w:t>9</w:t>
            </w:r>
            <w:r>
              <w:rPr>
                <w:spacing w:val="-36"/>
                <w:sz w:val="21"/>
              </w:rPr>
              <w:t xml:space="preserve">时 </w:t>
            </w:r>
            <w:r>
              <w:rPr>
                <w:sz w:val="21"/>
              </w:rPr>
              <w:t>00</w:t>
            </w:r>
            <w:r>
              <w:rPr>
                <w:spacing w:val="-28"/>
                <w:sz w:val="21"/>
              </w:rPr>
              <w:t xml:space="preserve"> 分到 </w:t>
            </w:r>
            <w:r>
              <w:rPr>
                <w:sz w:val="21"/>
              </w:rPr>
              <w:t>12</w:t>
            </w:r>
            <w:r>
              <w:rPr>
                <w:spacing w:val="-36"/>
                <w:sz w:val="21"/>
              </w:rPr>
              <w:t xml:space="preserve"> 时 </w:t>
            </w:r>
            <w:r>
              <w:rPr>
                <w:sz w:val="21"/>
              </w:rPr>
              <w:t>00</w:t>
            </w:r>
            <w:r>
              <w:rPr>
                <w:spacing w:val="-19"/>
                <w:sz w:val="21"/>
              </w:rPr>
              <w:t xml:space="preserve"> 分，</w:t>
            </w:r>
            <w:r>
              <w:rPr>
                <w:sz w:val="21"/>
              </w:rPr>
              <w:t>15</w:t>
            </w:r>
            <w:r>
              <w:rPr>
                <w:spacing w:val="-36"/>
                <w:sz w:val="21"/>
              </w:rPr>
              <w:t xml:space="preserve"> 时 </w:t>
            </w:r>
            <w:r>
              <w:rPr>
                <w:sz w:val="21"/>
              </w:rPr>
              <w:t>00</w:t>
            </w:r>
            <w:r>
              <w:rPr>
                <w:spacing w:val="-28"/>
                <w:sz w:val="21"/>
              </w:rPr>
              <w:t xml:space="preserve"> 分到 </w:t>
            </w:r>
            <w:r>
              <w:rPr>
                <w:sz w:val="21"/>
              </w:rPr>
              <w:t>1</w:t>
            </w:r>
            <w:r>
              <w:rPr>
                <w:rFonts w:hint="eastAsia"/>
                <w:sz w:val="21"/>
                <w:lang w:val="en-US"/>
              </w:rPr>
              <w:t>7</w:t>
            </w:r>
            <w:r>
              <w:rPr>
                <w:spacing w:val="-19"/>
                <w:sz w:val="21"/>
              </w:rPr>
              <w:t xml:space="preserve"> 时 </w:t>
            </w:r>
            <w:r>
              <w:rPr>
                <w:rFonts w:hint="eastAsia"/>
                <w:sz w:val="21"/>
                <w:lang w:val="en-US"/>
              </w:rPr>
              <w:t>3</w:t>
            </w:r>
            <w:r>
              <w:rPr>
                <w:sz w:val="21"/>
              </w:rPr>
              <w:t>0</w:t>
            </w:r>
            <w:r>
              <w:rPr>
                <w:spacing w:val="-12"/>
                <w:sz w:val="21"/>
              </w:rPr>
              <w:t xml:space="preserve"> 分，业务</w:t>
            </w:r>
          </w:p>
          <w:p>
            <w:pPr>
              <w:pStyle w:val="63"/>
              <w:spacing w:before="8"/>
              <w:rPr>
                <w:sz w:val="19"/>
              </w:rPr>
            </w:pPr>
          </w:p>
          <w:p>
            <w:pPr>
              <w:pStyle w:val="63"/>
              <w:ind w:left="106"/>
              <w:rPr>
                <w:sz w:val="21"/>
              </w:rPr>
            </w:pPr>
            <w:r>
              <w:rPr>
                <w:sz w:val="21"/>
              </w:rPr>
              <w:t>时间以外、双休日和法定节假日不办理业务。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48" w:hRule="atLeast"/>
        </w:trPr>
        <w:tc>
          <w:tcPr>
            <w:tcW w:w="1044" w:type="dxa"/>
          </w:tcPr>
          <w:p>
            <w:pPr>
              <w:pStyle w:val="63"/>
              <w:rPr>
                <w:sz w:val="20"/>
              </w:rPr>
            </w:pPr>
          </w:p>
          <w:p>
            <w:pPr>
              <w:pStyle w:val="63"/>
              <w:rPr>
                <w:sz w:val="20"/>
              </w:rPr>
            </w:pPr>
          </w:p>
          <w:p>
            <w:pPr>
              <w:pStyle w:val="63"/>
              <w:rPr>
                <w:sz w:val="20"/>
              </w:rPr>
            </w:pPr>
          </w:p>
          <w:p>
            <w:pPr>
              <w:pStyle w:val="63"/>
              <w:rPr>
                <w:sz w:val="20"/>
              </w:rPr>
            </w:pPr>
          </w:p>
          <w:p>
            <w:pPr>
              <w:pStyle w:val="63"/>
              <w:spacing w:before="12"/>
              <w:rPr>
                <w:sz w:val="16"/>
              </w:rPr>
            </w:pPr>
          </w:p>
          <w:p>
            <w:pPr>
              <w:pStyle w:val="63"/>
              <w:spacing w:before="1"/>
              <w:ind w:left="88" w:right="80"/>
              <w:jc w:val="center"/>
              <w:rPr>
                <w:sz w:val="21"/>
              </w:rPr>
            </w:pPr>
            <w:r>
              <w:rPr>
                <w:sz w:val="21"/>
              </w:rPr>
              <w:t>39.1</w:t>
            </w:r>
          </w:p>
        </w:tc>
        <w:tc>
          <w:tcPr>
            <w:tcW w:w="8806" w:type="dxa"/>
          </w:tcPr>
          <w:p>
            <w:pPr>
              <w:pStyle w:val="63"/>
              <w:spacing w:before="9"/>
              <w:rPr>
                <w:sz w:val="15"/>
              </w:rPr>
            </w:pPr>
          </w:p>
          <w:p>
            <w:pPr>
              <w:pStyle w:val="63"/>
              <w:ind w:left="106"/>
              <w:rPr>
                <w:sz w:val="21"/>
              </w:rPr>
            </w:pPr>
            <w:r>
              <w:rPr>
                <w:w w:val="95"/>
                <w:sz w:val="21"/>
              </w:rPr>
              <w:t>1.</w:t>
            </w:r>
            <w:r>
              <w:rPr>
                <w:rFonts w:hint="eastAsia" w:ascii="宋体" w:hAnsi="宋体" w:eastAsia="宋体" w:cs="宋体"/>
                <w:spacing w:val="-4"/>
                <w:sz w:val="21"/>
              </w:rPr>
              <w:t>采购代理费支付方式：</w:t>
            </w:r>
          </w:p>
          <w:p>
            <w:pPr>
              <w:pStyle w:val="63"/>
              <w:spacing w:before="8"/>
              <w:rPr>
                <w:sz w:val="19"/>
              </w:rPr>
            </w:pPr>
          </w:p>
          <w:p>
            <w:pPr>
              <w:pStyle w:val="63"/>
              <w:spacing w:line="465" w:lineRule="auto"/>
              <w:ind w:left="106" w:right="1338"/>
              <w:rPr>
                <w:sz w:val="21"/>
              </w:rPr>
            </w:pPr>
            <w:r>
              <w:rPr>
                <w:rFonts w:hint="eastAsia" w:ascii="宋体" w:hAnsi="宋体" w:eastAsia="宋体" w:cs="宋体"/>
                <w:spacing w:val="-4"/>
                <w:sz w:val="21"/>
              </w:rPr>
              <w:t>本项目代理服务费由</w:t>
            </w:r>
            <w:r>
              <w:rPr>
                <w:rFonts w:hint="eastAsia" w:ascii="宋体" w:hAnsi="宋体" w:eastAsia="宋体" w:cs="宋体"/>
                <w:spacing w:val="-4"/>
                <w:sz w:val="21"/>
                <w:u w:val="single"/>
              </w:rPr>
              <w:t>中标人</w:t>
            </w:r>
            <w:r>
              <w:rPr>
                <w:rFonts w:hint="eastAsia" w:ascii="宋体" w:hAnsi="宋体" w:eastAsia="宋体" w:cs="宋体"/>
                <w:spacing w:val="-4"/>
                <w:sz w:val="21"/>
              </w:rPr>
              <w:t xml:space="preserve">在领取中标通知书前，一次性向采购代理机构支付。 </w:t>
            </w:r>
            <w:r>
              <w:rPr>
                <w:w w:val="95"/>
                <w:sz w:val="21"/>
              </w:rPr>
              <w:t xml:space="preserve"> </w:t>
            </w:r>
            <w:r>
              <w:rPr>
                <w:sz w:val="21"/>
              </w:rPr>
              <w:t>2.采购代理费收取标准：</w:t>
            </w:r>
          </w:p>
          <w:p>
            <w:pPr>
              <w:pStyle w:val="63"/>
              <w:spacing w:line="264" w:lineRule="exact"/>
              <w:ind w:left="106"/>
              <w:rPr>
                <w:sz w:val="21"/>
              </w:rPr>
            </w:pPr>
            <w:r>
              <w:rPr>
                <w:sz w:val="21"/>
              </w:rPr>
              <w:t>以中标金额为计费额，按本须知正文第 39.2 条规定的收费计算标准货物招标采用差额定率累</w:t>
            </w:r>
          </w:p>
          <w:p>
            <w:pPr>
              <w:pStyle w:val="63"/>
              <w:spacing w:before="8"/>
              <w:rPr>
                <w:sz w:val="19"/>
              </w:rPr>
            </w:pPr>
          </w:p>
          <w:p>
            <w:pPr>
              <w:pStyle w:val="63"/>
              <w:ind w:left="106"/>
              <w:rPr>
                <w:sz w:val="21"/>
              </w:rPr>
            </w:pPr>
            <w:r>
              <w:rPr>
                <w:sz w:val="21"/>
              </w:rPr>
              <w:t>进法计算出收费基准价格，采购代理收费以收费基准价格收取。</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1044" w:type="dxa"/>
          </w:tcPr>
          <w:p>
            <w:pPr>
              <w:pStyle w:val="63"/>
              <w:spacing w:before="10"/>
              <w:rPr>
                <w:sz w:val="15"/>
              </w:rPr>
            </w:pPr>
          </w:p>
          <w:p>
            <w:pPr>
              <w:pStyle w:val="63"/>
              <w:ind w:left="88" w:right="80"/>
              <w:jc w:val="center"/>
              <w:rPr>
                <w:sz w:val="21"/>
              </w:rPr>
            </w:pPr>
            <w:r>
              <w:rPr>
                <w:sz w:val="21"/>
              </w:rPr>
              <w:t>40.1</w:t>
            </w:r>
          </w:p>
        </w:tc>
        <w:tc>
          <w:tcPr>
            <w:tcW w:w="8806" w:type="dxa"/>
          </w:tcPr>
          <w:p>
            <w:pPr>
              <w:pStyle w:val="63"/>
              <w:spacing w:before="10"/>
              <w:rPr>
                <w:sz w:val="15"/>
              </w:rPr>
            </w:pPr>
          </w:p>
          <w:p>
            <w:pPr>
              <w:pStyle w:val="63"/>
              <w:ind w:left="106"/>
              <w:rPr>
                <w:sz w:val="21"/>
              </w:rPr>
            </w:pPr>
            <w:r>
              <w:rPr>
                <w:sz w:val="21"/>
              </w:rPr>
              <w:t>解释：构成本招标文件的各个组成文件应互为解释，互为说明；除招标文件中有特别规定外，</w:t>
            </w:r>
          </w:p>
        </w:tc>
      </w:tr>
    </w:tbl>
    <w:p>
      <w:pPr>
        <w:rPr>
          <w:sz w:val="21"/>
        </w:rPr>
        <w:sectPr>
          <w:pgSz w:w="11910" w:h="16840"/>
          <w:pgMar w:top="1120" w:right="720" w:bottom="1300" w:left="720" w:header="0" w:footer="1120" w:gutter="0"/>
          <w:pgNumType w:fmt="decimal"/>
          <w:cols w:space="720" w:num="1"/>
        </w:sectPr>
      </w:pPr>
    </w:p>
    <w:tbl>
      <w:tblPr>
        <w:tblStyle w:val="51"/>
        <w:tblW w:w="9850"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44"/>
        <w:gridCol w:w="880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20" w:hRule="atLeast"/>
        </w:trPr>
        <w:tc>
          <w:tcPr>
            <w:tcW w:w="1044" w:type="dxa"/>
          </w:tcPr>
          <w:p>
            <w:pPr>
              <w:pStyle w:val="63"/>
              <w:rPr>
                <w:rFonts w:ascii="Times New Roman"/>
                <w:sz w:val="20"/>
              </w:rPr>
            </w:pPr>
          </w:p>
        </w:tc>
        <w:tc>
          <w:tcPr>
            <w:tcW w:w="8806" w:type="dxa"/>
          </w:tcPr>
          <w:p>
            <w:pPr>
              <w:pStyle w:val="63"/>
              <w:spacing w:before="11"/>
              <w:rPr>
                <w:sz w:val="15"/>
              </w:rPr>
            </w:pPr>
          </w:p>
          <w:p>
            <w:pPr>
              <w:pStyle w:val="63"/>
              <w:spacing w:line="463" w:lineRule="auto"/>
              <w:ind w:left="106" w:right="-15"/>
              <w:rPr>
                <w:sz w:val="21"/>
              </w:rPr>
            </w:pPr>
            <w:r>
              <w:rPr>
                <w:rFonts w:ascii="宋体" w:hAnsi="宋体" w:eastAsia="宋体" w:cs="宋体"/>
                <w:sz w:val="21"/>
              </w:rPr>
              <w:t>仅适用于招标投标阶段的规定，按更正公告（澄清公告）、招标公告、采购需求、投标人须知</w:t>
            </w:r>
            <w:r>
              <w:rPr>
                <w:spacing w:val="-9"/>
                <w:w w:val="95"/>
                <w:sz w:val="21"/>
              </w:rPr>
              <w:t>、</w:t>
            </w:r>
            <w:r>
              <w:rPr>
                <w:spacing w:val="-9"/>
                <w:sz w:val="21"/>
              </w:rPr>
              <w:t>评标方法及评标标准、拟签订的合同文本、投标文件格式的先后顺序解释；同一组成文件中就</w:t>
            </w:r>
            <w:r>
              <w:rPr>
                <w:spacing w:val="-10"/>
                <w:sz w:val="21"/>
              </w:rPr>
              <w:t>同一事项的规定或者约定不一致的，以编排顺序在后者为准；同一组成文件不同版本之间有不</w:t>
            </w:r>
            <w:r>
              <w:rPr>
                <w:spacing w:val="-6"/>
                <w:sz w:val="21"/>
              </w:rPr>
              <w:t>一致的，以形成时间在后者为准；更正公告</w:t>
            </w:r>
            <w:r>
              <w:rPr>
                <w:sz w:val="21"/>
              </w:rPr>
              <w:t>（澄清公告</w:t>
            </w:r>
            <w:r>
              <w:rPr>
                <w:spacing w:val="-3"/>
                <w:sz w:val="21"/>
              </w:rPr>
              <w:t>）</w:t>
            </w:r>
            <w:r>
              <w:rPr>
                <w:sz w:val="21"/>
              </w:rPr>
              <w:t>与同步更新的招标文件不一致时以更</w:t>
            </w:r>
            <w:r>
              <w:rPr>
                <w:spacing w:val="-1"/>
                <w:sz w:val="21"/>
              </w:rPr>
              <w:t>正公告</w:t>
            </w:r>
            <w:r>
              <w:rPr>
                <w:sz w:val="21"/>
              </w:rPr>
              <w:t>（澄清公告</w:t>
            </w:r>
            <w:r>
              <w:rPr>
                <w:spacing w:val="-3"/>
                <w:sz w:val="21"/>
              </w:rPr>
              <w:t>）为准。按本款前述规定仍不能形成结论的，由采购人或者采购代理机构负</w:t>
            </w:r>
          </w:p>
          <w:p>
            <w:pPr>
              <w:pStyle w:val="63"/>
              <w:spacing w:before="2"/>
              <w:ind w:left="106"/>
              <w:rPr>
                <w:sz w:val="21"/>
              </w:rPr>
            </w:pPr>
            <w:r>
              <w:rPr>
                <w:sz w:val="21"/>
              </w:rPr>
              <w:t>责解释。</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15" w:hRule="atLeast"/>
        </w:trPr>
        <w:tc>
          <w:tcPr>
            <w:tcW w:w="1044" w:type="dxa"/>
          </w:tcPr>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rPr>
                <w:sz w:val="20"/>
              </w:rPr>
            </w:pPr>
          </w:p>
          <w:p>
            <w:pPr>
              <w:pStyle w:val="63"/>
              <w:spacing w:before="8"/>
              <w:rPr>
                <w:sz w:val="18"/>
              </w:rPr>
            </w:pPr>
          </w:p>
          <w:p>
            <w:pPr>
              <w:pStyle w:val="63"/>
              <w:spacing w:before="1"/>
              <w:ind w:left="310"/>
              <w:rPr>
                <w:sz w:val="21"/>
              </w:rPr>
            </w:pPr>
            <w:r>
              <w:rPr>
                <w:sz w:val="21"/>
              </w:rPr>
              <w:t>40.2</w:t>
            </w:r>
          </w:p>
        </w:tc>
        <w:tc>
          <w:tcPr>
            <w:tcW w:w="8806" w:type="dxa"/>
          </w:tcPr>
          <w:p>
            <w:pPr>
              <w:pStyle w:val="63"/>
              <w:spacing w:before="10"/>
              <w:rPr>
                <w:sz w:val="15"/>
              </w:rPr>
            </w:pPr>
          </w:p>
          <w:p>
            <w:pPr>
              <w:pStyle w:val="63"/>
              <w:spacing w:line="463" w:lineRule="auto"/>
              <w:ind w:left="106" w:right="-15"/>
              <w:rPr>
                <w:spacing w:val="-10"/>
                <w:sz w:val="21"/>
              </w:rPr>
            </w:pPr>
            <w:r>
              <w:rPr>
                <w:rFonts w:hint="eastAsia"/>
                <w:spacing w:val="-10"/>
                <w:sz w:val="21"/>
                <w:lang w:val="en-US" w:eastAsia="zh-CN"/>
              </w:rPr>
              <w:t>1、</w:t>
            </w:r>
            <w:r>
              <w:rPr>
                <w:spacing w:val="-10"/>
                <w:sz w:val="21"/>
              </w:rPr>
              <w:t>本招标文件中描述投标人的“公章”是指根据我国对公章的管理规定，用投标人法定主体行为名称制作的印章，除本招标文件有特殊规定外，投标人的财务章、部门章、分公司章、工会章、合同章、投标专用章、业务专用章及银行的转账章、现金收讫章、现金付讫章等其他形式印章均不能代替公章。</w:t>
            </w:r>
          </w:p>
          <w:p>
            <w:pPr>
              <w:pStyle w:val="63"/>
              <w:numPr>
                <w:ilvl w:val="0"/>
                <w:numId w:val="0"/>
              </w:numPr>
              <w:tabs>
                <w:tab w:val="left" w:pos="318"/>
              </w:tabs>
              <w:spacing w:before="2" w:line="465" w:lineRule="auto"/>
              <w:ind w:left="106" w:leftChars="0" w:right="97" w:rightChars="0"/>
              <w:rPr>
                <w:spacing w:val="-10"/>
                <w:sz w:val="21"/>
              </w:rPr>
            </w:pPr>
            <w:r>
              <w:rPr>
                <w:rFonts w:hint="eastAsia"/>
                <w:spacing w:val="-2"/>
                <w:w w:val="95"/>
                <w:sz w:val="21"/>
                <w:lang w:val="en-US" w:eastAsia="zh-CN"/>
              </w:rPr>
              <w:t>2、</w:t>
            </w:r>
            <w:r>
              <w:rPr>
                <w:spacing w:val="-10"/>
                <w:sz w:val="21"/>
              </w:rPr>
              <w:t>投标人为其他组织时，本招标文件规定的法定代表人指负责人。本招标文件所称负责人是指参加投标的其他组织营业执照上的负责人。</w:t>
            </w:r>
          </w:p>
          <w:p>
            <w:pPr>
              <w:pStyle w:val="63"/>
              <w:numPr>
                <w:ilvl w:val="0"/>
                <w:numId w:val="0"/>
              </w:numPr>
              <w:tabs>
                <w:tab w:val="left" w:pos="318"/>
              </w:tabs>
              <w:spacing w:before="2" w:line="465" w:lineRule="auto"/>
              <w:ind w:left="106" w:leftChars="0" w:right="97" w:rightChars="0"/>
              <w:rPr>
                <w:spacing w:val="-10"/>
                <w:sz w:val="21"/>
              </w:rPr>
            </w:pPr>
            <w:r>
              <w:rPr>
                <w:rFonts w:hint="eastAsia"/>
                <w:spacing w:val="-2"/>
                <w:w w:val="95"/>
                <w:sz w:val="21"/>
                <w:lang w:val="en-US" w:eastAsia="zh-CN"/>
              </w:rPr>
              <w:t>3、</w:t>
            </w:r>
            <w:r>
              <w:rPr>
                <w:spacing w:val="-10"/>
                <w:sz w:val="21"/>
              </w:rPr>
              <w:t>本招标文件中描述投标人的“签字”是指投标人的法定代表人或者委托代理人亲自在文件规定签署处亲笔写上个人的名字的行为，私章、签字章、印鉴、影印等其他形式均不能代替亲笔字。</w:t>
            </w:r>
          </w:p>
          <w:p>
            <w:pPr>
              <w:pStyle w:val="63"/>
              <w:numPr>
                <w:ilvl w:val="0"/>
                <w:numId w:val="0"/>
              </w:numPr>
              <w:tabs>
                <w:tab w:val="left" w:pos="318"/>
              </w:tabs>
              <w:spacing w:before="2" w:line="465" w:lineRule="auto"/>
              <w:ind w:left="106" w:leftChars="0" w:right="97" w:rightChars="0"/>
              <w:rPr>
                <w:spacing w:val="-10"/>
                <w:sz w:val="21"/>
              </w:rPr>
            </w:pPr>
            <w:r>
              <w:rPr>
                <w:rFonts w:hint="eastAsia"/>
                <w:spacing w:val="-10"/>
                <w:sz w:val="21"/>
                <w:lang w:val="en-US" w:eastAsia="zh-CN"/>
              </w:rPr>
              <w:t>4、</w:t>
            </w:r>
            <w:r>
              <w:rPr>
                <w:spacing w:val="-10"/>
                <w:sz w:val="21"/>
              </w:rPr>
              <w:t>本招标文件所称的“以上”“以下”“以内”“届满”，包括本数；所称的“不满”“超过”</w:t>
            </w:r>
          </w:p>
          <w:p>
            <w:pPr>
              <w:pStyle w:val="63"/>
              <w:numPr>
                <w:ilvl w:val="0"/>
                <w:numId w:val="0"/>
              </w:numPr>
              <w:tabs>
                <w:tab w:val="left" w:pos="318"/>
              </w:tabs>
              <w:spacing w:before="2" w:line="465" w:lineRule="auto"/>
              <w:ind w:left="106" w:leftChars="0" w:right="97" w:rightChars="0"/>
              <w:rPr>
                <w:sz w:val="21"/>
              </w:rPr>
            </w:pPr>
            <w:r>
              <w:rPr>
                <w:spacing w:val="-10"/>
                <w:sz w:val="21"/>
              </w:rPr>
              <w:t>“以外”，不包括本数。</w:t>
            </w:r>
          </w:p>
        </w:tc>
      </w:tr>
    </w:tbl>
    <w:p>
      <w:pPr>
        <w:rPr>
          <w:sz w:val="21"/>
        </w:rPr>
        <w:sectPr>
          <w:pgSz w:w="11910" w:h="16840"/>
          <w:pgMar w:top="1120" w:right="720" w:bottom="1300" w:left="720" w:header="0" w:footer="1120" w:gutter="0"/>
          <w:pgNumType w:fmt="decimal"/>
          <w:cols w:space="720" w:num="1"/>
        </w:sectPr>
      </w:pPr>
    </w:p>
    <w:p>
      <w:pPr>
        <w:pStyle w:val="8"/>
        <w:spacing w:before="39"/>
      </w:pPr>
      <w:r>
        <w:t>投标人须知正文</w:t>
      </w:r>
    </w:p>
    <w:p>
      <w:pPr>
        <w:pStyle w:val="19"/>
        <w:rPr>
          <w:b/>
          <w:sz w:val="32"/>
        </w:rPr>
      </w:pPr>
    </w:p>
    <w:p>
      <w:pPr>
        <w:pStyle w:val="19"/>
        <w:spacing w:before="4"/>
        <w:rPr>
          <w:b/>
          <w:sz w:val="28"/>
        </w:rPr>
      </w:pPr>
    </w:p>
    <w:p>
      <w:pPr>
        <w:tabs>
          <w:tab w:val="left" w:pos="845"/>
        </w:tabs>
        <w:ind w:left="2"/>
        <w:jc w:val="center"/>
        <w:outlineLvl w:val="1"/>
        <w:rPr>
          <w:b/>
          <w:sz w:val="21"/>
        </w:rPr>
      </w:pPr>
      <w:bookmarkStart w:id="16" w:name="_Toc11251"/>
      <w:r>
        <w:rPr>
          <w:b/>
          <w:sz w:val="21"/>
        </w:rPr>
        <w:t>一、总</w:t>
      </w:r>
      <w:r>
        <w:rPr>
          <w:b/>
          <w:sz w:val="21"/>
        </w:rPr>
        <w:tab/>
      </w:r>
      <w:r>
        <w:rPr>
          <w:b/>
          <w:sz w:val="21"/>
        </w:rPr>
        <w:t>则</w:t>
      </w:r>
      <w:bookmarkEnd w:id="16"/>
    </w:p>
    <w:p>
      <w:pPr>
        <w:pStyle w:val="19"/>
        <w:rPr>
          <w:b/>
          <w:sz w:val="20"/>
        </w:rPr>
      </w:pPr>
    </w:p>
    <w:p>
      <w:pPr>
        <w:pStyle w:val="19"/>
        <w:spacing w:before="5"/>
        <w:rPr>
          <w:b/>
          <w:sz w:val="14"/>
        </w:rPr>
      </w:pPr>
    </w:p>
    <w:p>
      <w:pPr>
        <w:numPr>
          <w:ilvl w:val="0"/>
          <w:numId w:val="36"/>
        </w:numPr>
        <w:tabs>
          <w:tab w:val="left" w:pos="627"/>
        </w:tabs>
        <w:spacing w:before="70"/>
        <w:ind w:hanging="215"/>
        <w:outlineLvl w:val="2"/>
        <w:rPr>
          <w:b/>
          <w:sz w:val="21"/>
        </w:rPr>
      </w:pPr>
      <w:bookmarkStart w:id="17" w:name="_Toc10720"/>
      <w:r>
        <w:rPr>
          <w:b/>
          <w:sz w:val="21"/>
        </w:rPr>
        <w:t>适用范围</w:t>
      </w:r>
      <w:bookmarkEnd w:id="17"/>
    </w:p>
    <w:p>
      <w:pPr>
        <w:pStyle w:val="19"/>
        <w:spacing w:before="6"/>
        <w:rPr>
          <w:b/>
          <w:sz w:val="19"/>
        </w:rPr>
      </w:pPr>
    </w:p>
    <w:p>
      <w:pPr>
        <w:pStyle w:val="62"/>
        <w:numPr>
          <w:ilvl w:val="1"/>
          <w:numId w:val="36"/>
        </w:numPr>
        <w:tabs>
          <w:tab w:val="left" w:pos="1203"/>
        </w:tabs>
        <w:spacing w:line="465" w:lineRule="auto"/>
        <w:ind w:right="392" w:firstLine="420"/>
        <w:jc w:val="both"/>
        <w:rPr>
          <w:sz w:val="21"/>
        </w:rPr>
      </w:pPr>
      <w:r>
        <w:rPr>
          <w:sz w:val="21"/>
        </w:rPr>
        <w:t>适用法律：本项目采购人、采购代理机构、投标人、评标委员会的相关行为均受《中华人民共和</w:t>
      </w:r>
      <w:r>
        <w:rPr>
          <w:rFonts w:ascii="宋体" w:hAnsi="宋体" w:eastAsia="宋体" w:cs="宋体"/>
          <w:sz w:val="21"/>
        </w:rPr>
        <w:t>国政府采购法》、《中华人民共和国政府采购法实施条例》</w:t>
      </w:r>
      <w:r>
        <w:rPr>
          <w:rFonts w:hint="eastAsia" w:ascii="宋体" w:hAnsi="宋体" w:eastAsia="宋体" w:cs="宋体"/>
          <w:sz w:val="21"/>
        </w:rPr>
        <w:t>、</w:t>
      </w:r>
      <w:r>
        <w:rPr>
          <w:rFonts w:ascii="宋体" w:hAnsi="宋体" w:eastAsia="宋体" w:cs="宋体"/>
          <w:sz w:val="21"/>
        </w:rPr>
        <w:t>《政府采购货物和服务招标投标管理办法》</w:t>
      </w:r>
      <w:r>
        <w:rPr>
          <w:sz w:val="21"/>
        </w:rPr>
        <w:t>及本项目本级和上级财政部门政府采购有关规定的约束和保护。</w:t>
      </w:r>
    </w:p>
    <w:p>
      <w:pPr>
        <w:pStyle w:val="62"/>
        <w:numPr>
          <w:ilvl w:val="1"/>
          <w:numId w:val="36"/>
        </w:numPr>
        <w:tabs>
          <w:tab w:val="left" w:pos="1203"/>
        </w:tabs>
        <w:spacing w:line="465" w:lineRule="auto"/>
        <w:ind w:right="392" w:firstLine="420"/>
        <w:jc w:val="both"/>
        <w:rPr>
          <w:rFonts w:ascii="宋体" w:hAnsi="宋体" w:eastAsia="宋体" w:cs="宋体"/>
          <w:sz w:val="21"/>
        </w:rPr>
      </w:pPr>
      <w:r>
        <w:rPr>
          <w:rFonts w:ascii="宋体" w:hAnsi="宋体" w:eastAsia="宋体" w:cs="宋体"/>
          <w:sz w:val="21"/>
        </w:rPr>
        <w:t xml:space="preserve">本招标文件适用于本项目的所有采购程序和环节（法律、法规另有规定的，从其规定）。 </w:t>
      </w:r>
    </w:p>
    <w:p>
      <w:pPr>
        <w:pStyle w:val="62"/>
        <w:numPr>
          <w:ilvl w:val="0"/>
          <w:numId w:val="0"/>
        </w:numPr>
        <w:tabs>
          <w:tab w:val="left" w:pos="1200"/>
        </w:tabs>
        <w:spacing w:line="465" w:lineRule="auto"/>
        <w:ind w:left="832" w:leftChars="0" w:right="1471" w:rightChars="0"/>
        <w:outlineLvl w:val="2"/>
        <w:rPr>
          <w:b/>
          <w:sz w:val="21"/>
        </w:rPr>
      </w:pPr>
      <w:r>
        <w:rPr>
          <w:w w:val="95"/>
          <w:sz w:val="21"/>
        </w:rPr>
        <w:t xml:space="preserve"> </w:t>
      </w:r>
      <w:bookmarkStart w:id="18" w:name="_Toc11309"/>
      <w:r>
        <w:rPr>
          <w:b/>
          <w:sz w:val="21"/>
        </w:rPr>
        <w:t>2.定义</w:t>
      </w:r>
      <w:bookmarkEnd w:id="18"/>
    </w:p>
    <w:p>
      <w:pPr>
        <w:pStyle w:val="62"/>
        <w:numPr>
          <w:ilvl w:val="1"/>
          <w:numId w:val="37"/>
        </w:numPr>
        <w:tabs>
          <w:tab w:val="left" w:pos="1150"/>
        </w:tabs>
        <w:spacing w:line="267" w:lineRule="exact"/>
        <w:ind w:hanging="318"/>
        <w:rPr>
          <w:sz w:val="21"/>
        </w:rPr>
      </w:pPr>
      <w:r>
        <w:rPr>
          <w:sz w:val="21"/>
        </w:rPr>
        <w:t>“采购人”是指依法进行政府采购的国家机关、事业单位、团体组织。</w:t>
      </w:r>
    </w:p>
    <w:p>
      <w:pPr>
        <w:pStyle w:val="19"/>
        <w:rPr>
          <w:sz w:val="19"/>
        </w:rPr>
      </w:pPr>
    </w:p>
    <w:p>
      <w:pPr>
        <w:pStyle w:val="62"/>
        <w:numPr>
          <w:ilvl w:val="1"/>
          <w:numId w:val="37"/>
        </w:numPr>
        <w:tabs>
          <w:tab w:val="left" w:pos="1150"/>
        </w:tabs>
        <w:spacing w:line="465" w:lineRule="auto"/>
        <w:ind w:left="412" w:right="412" w:firstLine="420"/>
        <w:rPr>
          <w:sz w:val="21"/>
        </w:rPr>
      </w:pPr>
      <w:r>
        <w:rPr>
          <w:sz w:val="21"/>
        </w:rPr>
        <w:t>“采购代理机构”是指政府采购代理机构</w:t>
      </w:r>
      <w:r>
        <w:rPr>
          <w:spacing w:val="4"/>
          <w:sz w:val="21"/>
        </w:rPr>
        <w:t>（</w:t>
      </w:r>
      <w:r>
        <w:rPr>
          <w:sz w:val="21"/>
        </w:rPr>
        <w:t>以下简称采购代理机构）是指集中采购机构以外、受采购人委托从事政府采购代理业务的社会中介机构。</w:t>
      </w:r>
    </w:p>
    <w:p>
      <w:pPr>
        <w:pStyle w:val="62"/>
        <w:numPr>
          <w:ilvl w:val="1"/>
          <w:numId w:val="37"/>
        </w:numPr>
        <w:tabs>
          <w:tab w:val="left" w:pos="1150"/>
        </w:tabs>
        <w:spacing w:line="267" w:lineRule="exact"/>
        <w:ind w:hanging="318"/>
        <w:rPr>
          <w:sz w:val="21"/>
        </w:rPr>
      </w:pPr>
      <w:r>
        <w:rPr>
          <w:sz w:val="21"/>
        </w:rPr>
        <w:t>“供应商”是指向采购人提供货物、工程或者服务的法人、其他组织。</w:t>
      </w:r>
    </w:p>
    <w:p>
      <w:pPr>
        <w:pStyle w:val="19"/>
        <w:spacing w:before="6"/>
        <w:rPr>
          <w:sz w:val="19"/>
        </w:rPr>
      </w:pPr>
    </w:p>
    <w:p>
      <w:pPr>
        <w:pStyle w:val="62"/>
        <w:numPr>
          <w:ilvl w:val="1"/>
          <w:numId w:val="37"/>
        </w:numPr>
        <w:tabs>
          <w:tab w:val="left" w:pos="1150"/>
        </w:tabs>
        <w:ind w:hanging="318"/>
        <w:rPr>
          <w:sz w:val="21"/>
        </w:rPr>
      </w:pPr>
      <w:r>
        <w:rPr>
          <w:sz w:val="21"/>
        </w:rPr>
        <w:t>“投标人”是指响应招标、参加投标竞争的法人、非法人组织。</w:t>
      </w:r>
    </w:p>
    <w:p>
      <w:pPr>
        <w:pStyle w:val="19"/>
        <w:spacing w:before="8"/>
        <w:rPr>
          <w:sz w:val="19"/>
        </w:rPr>
      </w:pPr>
    </w:p>
    <w:p>
      <w:pPr>
        <w:pStyle w:val="62"/>
        <w:numPr>
          <w:ilvl w:val="1"/>
          <w:numId w:val="37"/>
        </w:numPr>
        <w:tabs>
          <w:tab w:val="left" w:pos="1150"/>
        </w:tabs>
        <w:ind w:hanging="318"/>
        <w:rPr>
          <w:sz w:val="21"/>
        </w:rPr>
      </w:pPr>
      <w:r>
        <w:rPr>
          <w:sz w:val="21"/>
        </w:rPr>
        <w:t>“货物”是指各种形态和种类的物品，包括原材料、燃料、设备、产品等。</w:t>
      </w:r>
    </w:p>
    <w:p>
      <w:pPr>
        <w:pStyle w:val="19"/>
        <w:spacing w:before="8"/>
        <w:rPr>
          <w:sz w:val="19"/>
        </w:rPr>
      </w:pPr>
    </w:p>
    <w:p>
      <w:pPr>
        <w:pStyle w:val="62"/>
        <w:numPr>
          <w:ilvl w:val="1"/>
          <w:numId w:val="37"/>
        </w:numPr>
        <w:tabs>
          <w:tab w:val="left" w:pos="1150"/>
        </w:tabs>
        <w:spacing w:line="463" w:lineRule="auto"/>
        <w:ind w:left="412" w:right="410" w:firstLine="420"/>
        <w:rPr>
          <w:sz w:val="21"/>
        </w:rPr>
      </w:pPr>
      <w:r>
        <w:rPr>
          <w:spacing w:val="-5"/>
          <w:sz w:val="21"/>
        </w:rPr>
        <w:t>“售后服务” 是指商品出售以后所提供的各种服务，包含但不限于投标人须承担的备品备件、包装、运输、装卸、保险、货到就位以及安装、调试、培训、保修以及其他各种服务。</w:t>
      </w:r>
    </w:p>
    <w:p>
      <w:pPr>
        <w:pStyle w:val="62"/>
        <w:numPr>
          <w:ilvl w:val="1"/>
          <w:numId w:val="37"/>
        </w:numPr>
        <w:tabs>
          <w:tab w:val="left" w:pos="1150"/>
        </w:tabs>
        <w:spacing w:before="1" w:line="465" w:lineRule="auto"/>
        <w:ind w:left="412" w:right="302" w:firstLine="420"/>
        <w:rPr>
          <w:sz w:val="21"/>
        </w:rPr>
      </w:pPr>
      <w:r>
        <w:rPr>
          <w:spacing w:val="-2"/>
          <w:w w:val="95"/>
          <w:sz w:val="21"/>
        </w:rPr>
        <w:t>“</w:t>
      </w:r>
      <w:r>
        <w:rPr>
          <w:rFonts w:ascii="宋体" w:hAnsi="宋体" w:eastAsia="宋体" w:cs="宋体"/>
          <w:spacing w:val="-5"/>
          <w:sz w:val="21"/>
        </w:rPr>
        <w:t>书面形式”是指合同书、信件和数据电文（包括电报、电传、传真、电子数据交换和电子邮件）</w:t>
      </w:r>
      <w:r>
        <w:rPr>
          <w:sz w:val="21"/>
        </w:rPr>
        <w:t>等可以有形地表现所载内容的形式。</w:t>
      </w:r>
    </w:p>
    <w:p>
      <w:pPr>
        <w:pStyle w:val="62"/>
        <w:numPr>
          <w:ilvl w:val="1"/>
          <w:numId w:val="37"/>
        </w:numPr>
        <w:tabs>
          <w:tab w:val="left" w:pos="1150"/>
        </w:tabs>
        <w:spacing w:line="465" w:lineRule="auto"/>
        <w:ind w:left="412" w:right="415" w:firstLine="420"/>
        <w:rPr>
          <w:sz w:val="21"/>
        </w:rPr>
      </w:pPr>
      <w:r>
        <w:rPr>
          <w:sz w:val="21"/>
        </w:rPr>
        <w:t>“实质性要求”是指招标文件中已经指明不满足则投标无效的条款，或者不能负偏离的条款，或者采购需求中带“▲”的条款。</w:t>
      </w:r>
    </w:p>
    <w:p>
      <w:pPr>
        <w:pStyle w:val="62"/>
        <w:numPr>
          <w:ilvl w:val="1"/>
          <w:numId w:val="37"/>
        </w:numPr>
        <w:tabs>
          <w:tab w:val="left" w:pos="1251"/>
        </w:tabs>
        <w:spacing w:line="463" w:lineRule="auto"/>
        <w:ind w:left="412" w:right="410" w:firstLine="420"/>
        <w:rPr>
          <w:sz w:val="21"/>
        </w:rPr>
      </w:pPr>
      <w:r>
        <w:rPr>
          <w:rFonts w:ascii="宋体" w:hAnsi="宋体" w:eastAsia="宋体" w:cs="宋体"/>
          <w:sz w:val="21"/>
        </w:rPr>
        <w:t>“正偏离”，是指投标文件对招标文件“采购需求”中有关条款作出的响应优于条款要求并有利于采购</w:t>
      </w:r>
      <w:r>
        <w:rPr>
          <w:spacing w:val="-4"/>
          <w:sz w:val="21"/>
        </w:rPr>
        <w:t>人的情形。</w:t>
      </w:r>
    </w:p>
    <w:p>
      <w:pPr>
        <w:pStyle w:val="62"/>
        <w:numPr>
          <w:ilvl w:val="1"/>
          <w:numId w:val="37"/>
        </w:numPr>
        <w:tabs>
          <w:tab w:val="left" w:pos="1256"/>
        </w:tabs>
        <w:spacing w:line="465" w:lineRule="auto"/>
        <w:ind w:left="412" w:right="410" w:firstLine="420"/>
        <w:rPr>
          <w:sz w:val="21"/>
        </w:rPr>
      </w:pPr>
      <w:r>
        <w:rPr>
          <w:rFonts w:ascii="宋体" w:hAnsi="宋体" w:eastAsia="宋体" w:cs="宋体"/>
          <w:sz w:val="21"/>
        </w:rPr>
        <w:t>“负偏离”，是指投标文件对招标文件“采购需求”中有关条款作出的响应不满足条款要求</w:t>
      </w:r>
      <w:r>
        <w:rPr>
          <w:spacing w:val="-4"/>
          <w:w w:val="95"/>
          <w:sz w:val="21"/>
        </w:rPr>
        <w:t>，导</w:t>
      </w:r>
      <w:r>
        <w:rPr>
          <w:spacing w:val="-4"/>
          <w:sz w:val="21"/>
        </w:rPr>
        <w:t>致采购人要求不能得到满足的情形。</w:t>
      </w:r>
    </w:p>
    <w:p>
      <w:pPr>
        <w:pStyle w:val="62"/>
        <w:numPr>
          <w:ilvl w:val="1"/>
          <w:numId w:val="37"/>
        </w:numPr>
        <w:tabs>
          <w:tab w:val="left" w:pos="1256"/>
        </w:tabs>
        <w:spacing w:line="264" w:lineRule="exact"/>
        <w:ind w:left="1255" w:hanging="424"/>
        <w:rPr>
          <w:sz w:val="21"/>
        </w:rPr>
      </w:pPr>
      <w:r>
        <w:rPr>
          <w:sz w:val="21"/>
        </w:rPr>
        <w:t>“允许负偏离的条款”是指采购需求中的不属于“实质性要求”的条款。</w:t>
      </w:r>
    </w:p>
    <w:p>
      <w:pPr>
        <w:spacing w:line="264" w:lineRule="exact"/>
        <w:rPr>
          <w:sz w:val="21"/>
        </w:rPr>
        <w:sectPr>
          <w:pgSz w:w="11910" w:h="16840"/>
          <w:pgMar w:top="1340" w:right="720" w:bottom="1300" w:left="720" w:header="0" w:footer="1120" w:gutter="0"/>
          <w:pgNumType w:fmt="decimal"/>
          <w:cols w:space="720" w:num="1"/>
        </w:sectPr>
      </w:pPr>
    </w:p>
    <w:p>
      <w:pPr>
        <w:spacing w:before="41"/>
        <w:ind w:left="412"/>
        <w:outlineLvl w:val="2"/>
        <w:rPr>
          <w:b/>
          <w:sz w:val="21"/>
        </w:rPr>
      </w:pPr>
      <w:bookmarkStart w:id="19" w:name="_Toc2938"/>
      <w:r>
        <w:rPr>
          <w:b/>
          <w:sz w:val="21"/>
        </w:rPr>
        <w:t>3.投标人的资格要求</w:t>
      </w:r>
      <w:bookmarkEnd w:id="19"/>
    </w:p>
    <w:p>
      <w:pPr>
        <w:pStyle w:val="19"/>
        <w:spacing w:before="8"/>
        <w:rPr>
          <w:b/>
          <w:sz w:val="19"/>
        </w:rPr>
      </w:pPr>
    </w:p>
    <w:p>
      <w:pPr>
        <w:spacing w:line="465" w:lineRule="auto"/>
        <w:ind w:left="412" w:right="5222" w:firstLine="420"/>
        <w:rPr>
          <w:b/>
          <w:sz w:val="21"/>
        </w:rPr>
      </w:pPr>
      <w:r>
        <w:rPr>
          <w:sz w:val="21"/>
        </w:rPr>
        <w:t>投标人的资格要求详见“投标人须知前附表”。</w:t>
      </w:r>
      <w:r>
        <w:rPr>
          <w:b/>
          <w:sz w:val="21"/>
        </w:rPr>
        <w:t>4.投标委托</w:t>
      </w:r>
    </w:p>
    <w:p>
      <w:pPr>
        <w:pStyle w:val="19"/>
        <w:spacing w:line="465" w:lineRule="auto"/>
        <w:ind w:left="412" w:right="341" w:firstLine="420"/>
      </w:pPr>
      <w:r>
        <w:rPr>
          <w:rFonts w:ascii="宋体" w:hAnsi="宋体" w:eastAsia="宋体" w:cs="宋体"/>
          <w:sz w:val="21"/>
          <w:szCs w:val="22"/>
          <w:lang w:val="zh-CN" w:eastAsia="zh-CN" w:bidi="zh-CN"/>
        </w:rPr>
        <w:t>投标人代表参加投标活动过程中必须携带个人有效身份证件。如投标人代表不是法定代表人</w:t>
      </w:r>
      <w:r>
        <w:rPr>
          <w:w w:val="95"/>
        </w:rPr>
        <w:t>，须持有</w:t>
      </w:r>
      <w:r>
        <w:t>法定代表人授权委托书（正本用原件，副本用复印件，按第六章要求格式填写）。</w:t>
      </w:r>
    </w:p>
    <w:p>
      <w:pPr>
        <w:numPr>
          <w:ilvl w:val="0"/>
          <w:numId w:val="38"/>
        </w:numPr>
        <w:tabs>
          <w:tab w:val="left" w:pos="627"/>
        </w:tabs>
        <w:spacing w:line="267" w:lineRule="exact"/>
        <w:ind w:hanging="215"/>
        <w:rPr>
          <w:b/>
          <w:sz w:val="21"/>
        </w:rPr>
      </w:pPr>
      <w:r>
        <w:rPr>
          <w:b/>
          <w:sz w:val="21"/>
        </w:rPr>
        <w:t>投标费用</w:t>
      </w:r>
    </w:p>
    <w:p>
      <w:pPr>
        <w:pStyle w:val="19"/>
        <w:spacing w:before="1"/>
        <w:rPr>
          <w:b/>
          <w:sz w:val="19"/>
        </w:rPr>
      </w:pPr>
    </w:p>
    <w:p>
      <w:pPr>
        <w:pStyle w:val="19"/>
        <w:spacing w:line="465" w:lineRule="auto"/>
        <w:ind w:left="412" w:right="308" w:firstLine="420"/>
      </w:pPr>
      <w:r>
        <w:rPr>
          <w:rFonts w:ascii="宋体" w:hAnsi="宋体" w:eastAsia="宋体" w:cs="宋体"/>
          <w:sz w:val="21"/>
          <w:szCs w:val="22"/>
          <w:lang w:val="zh-CN" w:eastAsia="zh-CN" w:bidi="zh-CN"/>
        </w:rPr>
        <w:t>投标费用：投标人应承担参与本次采购活动有关的所有费用，包括但不限于获取招标文件、勘查现场</w:t>
      </w:r>
      <w:r>
        <w:rPr>
          <w:spacing w:val="-10"/>
          <w:w w:val="95"/>
        </w:rPr>
        <w:t>、</w:t>
      </w:r>
      <w:r>
        <w:rPr>
          <w:spacing w:val="-10"/>
        </w:rPr>
        <w:t>编制和提交投标文件、参加澄清说明、签订合同等，不论投标结果如何，均应自行承担。</w:t>
      </w:r>
    </w:p>
    <w:p>
      <w:pPr>
        <w:numPr>
          <w:ilvl w:val="0"/>
          <w:numId w:val="38"/>
        </w:numPr>
        <w:tabs>
          <w:tab w:val="left" w:pos="627"/>
        </w:tabs>
        <w:spacing w:line="267" w:lineRule="exact"/>
        <w:ind w:hanging="215"/>
        <w:rPr>
          <w:b/>
          <w:sz w:val="21"/>
        </w:rPr>
      </w:pPr>
      <w:r>
        <w:rPr>
          <w:b/>
          <w:sz w:val="21"/>
        </w:rPr>
        <w:t>联合体投标</w:t>
      </w:r>
    </w:p>
    <w:p>
      <w:pPr>
        <w:pStyle w:val="19"/>
        <w:spacing w:before="6"/>
        <w:rPr>
          <w:b/>
          <w:sz w:val="19"/>
        </w:rPr>
      </w:pPr>
    </w:p>
    <w:p>
      <w:pPr>
        <w:pStyle w:val="62"/>
        <w:numPr>
          <w:ilvl w:val="1"/>
          <w:numId w:val="38"/>
        </w:numPr>
        <w:tabs>
          <w:tab w:val="left" w:pos="1200"/>
        </w:tabs>
        <w:rPr>
          <w:sz w:val="21"/>
        </w:rPr>
      </w:pPr>
      <w:r>
        <w:rPr>
          <w:sz w:val="21"/>
        </w:rPr>
        <w:t>本项目是否接受联合体投标，详见“投标人须知前附表”。</w:t>
      </w:r>
    </w:p>
    <w:p>
      <w:pPr>
        <w:pStyle w:val="19"/>
        <w:spacing w:before="8"/>
        <w:rPr>
          <w:sz w:val="19"/>
        </w:rPr>
      </w:pPr>
    </w:p>
    <w:p>
      <w:pPr>
        <w:pStyle w:val="62"/>
        <w:numPr>
          <w:ilvl w:val="1"/>
          <w:numId w:val="38"/>
        </w:numPr>
        <w:tabs>
          <w:tab w:val="left" w:pos="1200"/>
        </w:tabs>
        <w:spacing w:line="465" w:lineRule="auto"/>
        <w:ind w:left="412" w:right="3176" w:firstLine="420"/>
        <w:rPr>
          <w:b/>
          <w:sz w:val="21"/>
        </w:rPr>
      </w:pPr>
      <w:r>
        <w:rPr>
          <w:rFonts w:ascii="宋体" w:hAnsi="宋体" w:eastAsia="宋体" w:cs="宋体"/>
          <w:sz w:val="21"/>
          <w:szCs w:val="22"/>
          <w:lang w:val="zh-CN" w:eastAsia="zh-CN" w:bidi="zh-CN"/>
        </w:rPr>
        <w:t>如接受联合体投标，</w:t>
      </w:r>
      <w:r>
        <w:rPr>
          <w:rFonts w:ascii="宋体" w:hAnsi="宋体" w:eastAsia="宋体" w:cs="宋体"/>
          <w:sz w:val="21"/>
          <w:lang w:val="zh-CN" w:eastAsia="zh-CN"/>
        </w:rPr>
        <w:t>联合体投标要求详见</w:t>
      </w:r>
      <w:r>
        <w:rPr>
          <w:rFonts w:ascii="宋体" w:hAnsi="宋体" w:eastAsia="宋体" w:cs="宋体"/>
          <w:sz w:val="21"/>
        </w:rPr>
        <w:t>“投标人须知前附表”。</w:t>
      </w:r>
      <w:r>
        <w:rPr>
          <w:w w:val="95"/>
          <w:sz w:val="21"/>
        </w:rPr>
        <w:t xml:space="preserve"> </w:t>
      </w:r>
      <w:r>
        <w:rPr>
          <w:b/>
          <w:sz w:val="21"/>
        </w:rPr>
        <w:t>7.转包与分包</w:t>
      </w:r>
    </w:p>
    <w:p>
      <w:pPr>
        <w:pStyle w:val="62"/>
        <w:numPr>
          <w:ilvl w:val="1"/>
          <w:numId w:val="39"/>
        </w:numPr>
        <w:tabs>
          <w:tab w:val="left" w:pos="1200"/>
        </w:tabs>
        <w:spacing w:line="264" w:lineRule="exact"/>
        <w:rPr>
          <w:sz w:val="21"/>
        </w:rPr>
      </w:pPr>
      <w:r>
        <w:rPr>
          <w:sz w:val="21"/>
        </w:rPr>
        <w:t>本项目不允许转包。</w:t>
      </w:r>
    </w:p>
    <w:p>
      <w:pPr>
        <w:pStyle w:val="19"/>
        <w:spacing w:before="8"/>
        <w:rPr>
          <w:sz w:val="19"/>
        </w:rPr>
      </w:pPr>
    </w:p>
    <w:p>
      <w:pPr>
        <w:pStyle w:val="62"/>
        <w:numPr>
          <w:ilvl w:val="1"/>
          <w:numId w:val="39"/>
        </w:numPr>
        <w:tabs>
          <w:tab w:val="left" w:pos="1203"/>
        </w:tabs>
        <w:spacing w:before="1" w:line="463" w:lineRule="auto"/>
        <w:ind w:left="412" w:right="412" w:firstLine="420"/>
        <w:jc w:val="both"/>
        <w:rPr>
          <w:sz w:val="21"/>
        </w:rPr>
      </w:pPr>
      <w:r>
        <w:rPr>
          <w:sz w:val="21"/>
        </w:rPr>
        <w:t>本项目是否允许分包详见“投标人须知前附表”，本项目不允许违法分包。投标人根据招标文件</w:t>
      </w:r>
      <w:r>
        <w:rPr>
          <w:rFonts w:ascii="宋体" w:hAnsi="宋体" w:eastAsia="宋体" w:cs="宋体"/>
          <w:sz w:val="21"/>
        </w:rPr>
        <w:t>的规定和采购项目的实际情况</w:t>
      </w:r>
      <w:r>
        <w:rPr>
          <w:spacing w:val="-2"/>
          <w:w w:val="95"/>
          <w:sz w:val="21"/>
        </w:rPr>
        <w:t>，</w:t>
      </w:r>
      <w:r>
        <w:rPr>
          <w:rFonts w:ascii="宋体" w:hAnsi="宋体" w:eastAsia="宋体" w:cs="宋体"/>
          <w:sz w:val="21"/>
        </w:rPr>
        <w:t>经招标人同意可合理分包，分包承担主体应当具备相应资质条件且不得再次分包</w:t>
      </w:r>
      <w:r>
        <w:rPr>
          <w:spacing w:val="-2"/>
          <w:sz w:val="21"/>
        </w:rPr>
        <w:t>。</w:t>
      </w:r>
    </w:p>
    <w:p>
      <w:pPr>
        <w:numPr>
          <w:ilvl w:val="0"/>
          <w:numId w:val="40"/>
        </w:numPr>
        <w:tabs>
          <w:tab w:val="left" w:pos="627"/>
        </w:tabs>
        <w:spacing w:before="2"/>
        <w:ind w:hanging="215"/>
        <w:rPr>
          <w:b/>
          <w:sz w:val="21"/>
        </w:rPr>
      </w:pPr>
      <w:r>
        <w:rPr>
          <w:b/>
          <w:sz w:val="21"/>
        </w:rPr>
        <w:t>特别说明：</w:t>
      </w:r>
    </w:p>
    <w:p>
      <w:pPr>
        <w:pStyle w:val="19"/>
        <w:spacing w:before="8"/>
        <w:rPr>
          <w:b/>
          <w:sz w:val="19"/>
        </w:rPr>
      </w:pPr>
    </w:p>
    <w:p>
      <w:pPr>
        <w:pStyle w:val="62"/>
        <w:numPr>
          <w:ilvl w:val="1"/>
          <w:numId w:val="40"/>
        </w:numPr>
        <w:tabs>
          <w:tab w:val="left" w:pos="1203"/>
        </w:tabs>
        <w:spacing w:line="463" w:lineRule="auto"/>
        <w:ind w:right="410" w:firstLine="420"/>
        <w:jc w:val="both"/>
        <w:rPr>
          <w:sz w:val="19"/>
        </w:rPr>
      </w:pPr>
      <w:r>
        <w:rPr>
          <w:sz w:val="21"/>
        </w:rPr>
        <w:t>提供相同品牌产品且通过资格审查、符合性审查的不同投标人参加同一合同项下投标的，按一家</w:t>
      </w:r>
      <w:r>
        <w:rPr>
          <w:rFonts w:ascii="宋体" w:hAnsi="宋体" w:eastAsia="宋体" w:cs="宋体"/>
          <w:sz w:val="21"/>
        </w:rPr>
        <w:t>投标人计算，评审后得分最高的同品牌投标人获得中标人推荐资格；评审得分相同的，由采购人或者采购人委托评标委员会采取随机抽取的方式确定一个投标人获得中标人推荐资格，其他同品牌投标人不作为中标候选人。</w:t>
      </w:r>
      <w:r>
        <w:t>非单一产品采购项目，多家投标人提供的核心产品品牌相同的，按前款规定处理。</w:t>
      </w:r>
    </w:p>
    <w:p>
      <w:pPr>
        <w:pStyle w:val="62"/>
        <w:numPr>
          <w:ilvl w:val="1"/>
          <w:numId w:val="40"/>
        </w:numPr>
        <w:tabs>
          <w:tab w:val="left" w:pos="1203"/>
        </w:tabs>
        <w:spacing w:before="1" w:line="465" w:lineRule="auto"/>
        <w:ind w:right="413" w:firstLine="420"/>
        <w:rPr>
          <w:sz w:val="21"/>
        </w:rPr>
      </w:pPr>
      <w:r>
        <w:rPr>
          <w:sz w:val="21"/>
        </w:rPr>
        <w:t>如果本招标文件要求投标人提供资格、信誉、荣誉、业绩与企业认证等材料的，则投标人所提供的以上材料必须为投标人所拥有。</w:t>
      </w:r>
    </w:p>
    <w:p>
      <w:pPr>
        <w:pStyle w:val="62"/>
        <w:numPr>
          <w:ilvl w:val="1"/>
          <w:numId w:val="40"/>
        </w:numPr>
        <w:tabs>
          <w:tab w:val="left" w:pos="1203"/>
        </w:tabs>
        <w:spacing w:line="465" w:lineRule="auto"/>
        <w:ind w:right="413" w:firstLine="420"/>
        <w:rPr>
          <w:sz w:val="21"/>
        </w:rPr>
      </w:pPr>
      <w:r>
        <w:rPr>
          <w:sz w:val="21"/>
        </w:rPr>
        <w:t>投标人应仔细阅读招标文件的所有内容，按照招标文件的要求提交投标文件，并对所提供的全部资料的真实性承担法律责任。</w:t>
      </w:r>
    </w:p>
    <w:p>
      <w:pPr>
        <w:pStyle w:val="62"/>
        <w:numPr>
          <w:ilvl w:val="1"/>
          <w:numId w:val="40"/>
        </w:numPr>
        <w:tabs>
          <w:tab w:val="left" w:pos="1203"/>
        </w:tabs>
        <w:spacing w:line="267" w:lineRule="exact"/>
        <w:ind w:left="1202" w:hanging="371"/>
        <w:rPr>
          <w:sz w:val="21"/>
        </w:rPr>
      </w:pPr>
      <w:r>
        <w:rPr>
          <w:sz w:val="21"/>
        </w:rPr>
        <w:t>投标人在投标活动中提供任何虚假材料，将报监管部门查处；中标后发现的，中标人须依照《中</w:t>
      </w:r>
    </w:p>
    <w:p>
      <w:pPr>
        <w:spacing w:line="267" w:lineRule="exact"/>
        <w:rPr>
          <w:sz w:val="21"/>
        </w:rPr>
        <w:sectPr>
          <w:pgSz w:w="11910" w:h="16840"/>
          <w:pgMar w:top="1280" w:right="720" w:bottom="1380" w:left="720" w:header="0" w:footer="1120" w:gutter="0"/>
          <w:pgNumType w:fmt="decimal"/>
          <w:cols w:space="720" w:num="1"/>
        </w:sectPr>
      </w:pPr>
    </w:p>
    <w:p>
      <w:pPr>
        <w:pStyle w:val="19"/>
        <w:spacing w:before="41" w:line="465" w:lineRule="auto"/>
        <w:ind w:left="412" w:right="392"/>
        <w:rPr>
          <w:w w:val="95"/>
        </w:rPr>
      </w:pPr>
      <w:r>
        <w:rPr>
          <w:rFonts w:ascii="宋体" w:hAnsi="宋体" w:eastAsia="宋体" w:cs="宋体"/>
          <w:sz w:val="21"/>
          <w:szCs w:val="22"/>
          <w:lang w:val="zh-CN" w:eastAsia="zh-CN" w:bidi="zh-CN"/>
        </w:rPr>
        <w:t>华人民共和国消费者权益保护法》规定赔偿采购人，且民事赔偿并不免除违法投标人的行政与刑事责任。</w:t>
      </w:r>
      <w:r>
        <w:rPr>
          <w:w w:val="95"/>
        </w:rPr>
        <w:t xml:space="preserve">   </w:t>
      </w:r>
    </w:p>
    <w:p>
      <w:pPr>
        <w:pStyle w:val="19"/>
        <w:spacing w:before="41" w:line="465" w:lineRule="auto"/>
        <w:ind w:left="412" w:right="392"/>
      </w:pPr>
      <w:r>
        <w:t>9.回避与串通投标</w:t>
      </w:r>
    </w:p>
    <w:p>
      <w:pPr>
        <w:pStyle w:val="62"/>
        <w:numPr>
          <w:ilvl w:val="1"/>
          <w:numId w:val="41"/>
        </w:numPr>
        <w:tabs>
          <w:tab w:val="left" w:pos="1200"/>
        </w:tabs>
        <w:spacing w:line="267" w:lineRule="exact"/>
        <w:jc w:val="left"/>
        <w:rPr>
          <w:sz w:val="21"/>
        </w:rPr>
      </w:pPr>
      <w:r>
        <w:rPr>
          <w:sz w:val="21"/>
        </w:rPr>
        <w:t>在政府采购活动中，采购人员及相关人员与供应商有下列利害关系之一的，应当回避：</w:t>
      </w:r>
    </w:p>
    <w:p>
      <w:pPr>
        <w:pStyle w:val="19"/>
        <w:spacing w:before="5"/>
        <w:rPr>
          <w:sz w:val="19"/>
        </w:rPr>
      </w:pPr>
    </w:p>
    <w:p>
      <w:pPr>
        <w:pStyle w:val="62"/>
        <w:numPr>
          <w:ilvl w:val="0"/>
          <w:numId w:val="42"/>
        </w:numPr>
        <w:tabs>
          <w:tab w:val="left" w:pos="1362"/>
        </w:tabs>
        <w:spacing w:before="1"/>
        <w:rPr>
          <w:sz w:val="21"/>
        </w:rPr>
      </w:pPr>
      <w:r>
        <w:rPr>
          <w:spacing w:val="-7"/>
          <w:sz w:val="21"/>
        </w:rPr>
        <w:t xml:space="preserve">参加采购活动前 </w:t>
      </w:r>
      <w:r>
        <w:rPr>
          <w:sz w:val="21"/>
        </w:rPr>
        <w:t>3</w:t>
      </w:r>
      <w:r>
        <w:rPr>
          <w:spacing w:val="-8"/>
          <w:sz w:val="21"/>
        </w:rPr>
        <w:t xml:space="preserve"> 年内与供应商存在劳动关系；</w:t>
      </w:r>
    </w:p>
    <w:p>
      <w:pPr>
        <w:pStyle w:val="19"/>
        <w:spacing w:before="8"/>
        <w:rPr>
          <w:sz w:val="19"/>
        </w:rPr>
      </w:pPr>
    </w:p>
    <w:p>
      <w:pPr>
        <w:pStyle w:val="62"/>
        <w:numPr>
          <w:ilvl w:val="0"/>
          <w:numId w:val="42"/>
        </w:numPr>
        <w:tabs>
          <w:tab w:val="left" w:pos="1362"/>
        </w:tabs>
        <w:rPr>
          <w:sz w:val="21"/>
        </w:rPr>
      </w:pPr>
      <w:r>
        <w:rPr>
          <w:spacing w:val="-7"/>
          <w:sz w:val="21"/>
        </w:rPr>
        <w:t xml:space="preserve">参加采购活动前 </w:t>
      </w:r>
      <w:r>
        <w:rPr>
          <w:sz w:val="21"/>
        </w:rPr>
        <w:t>3</w:t>
      </w:r>
      <w:r>
        <w:rPr>
          <w:spacing w:val="-8"/>
          <w:sz w:val="21"/>
        </w:rPr>
        <w:t xml:space="preserve"> 年内担任供应商的董事、监事；</w:t>
      </w:r>
    </w:p>
    <w:p>
      <w:pPr>
        <w:pStyle w:val="19"/>
        <w:spacing w:before="8"/>
        <w:rPr>
          <w:sz w:val="19"/>
        </w:rPr>
      </w:pPr>
    </w:p>
    <w:p>
      <w:pPr>
        <w:pStyle w:val="62"/>
        <w:numPr>
          <w:ilvl w:val="0"/>
          <w:numId w:val="42"/>
        </w:numPr>
        <w:tabs>
          <w:tab w:val="left" w:pos="1362"/>
        </w:tabs>
        <w:rPr>
          <w:sz w:val="21"/>
        </w:rPr>
      </w:pPr>
      <w:r>
        <w:rPr>
          <w:spacing w:val="-7"/>
          <w:sz w:val="21"/>
        </w:rPr>
        <w:t xml:space="preserve">参加采购活动前 </w:t>
      </w:r>
      <w:r>
        <w:rPr>
          <w:sz w:val="21"/>
        </w:rPr>
        <w:t>3</w:t>
      </w:r>
      <w:r>
        <w:rPr>
          <w:spacing w:val="-8"/>
          <w:sz w:val="21"/>
        </w:rPr>
        <w:t xml:space="preserve"> 年内是供应商的控股股东或者实际控制人；</w:t>
      </w:r>
    </w:p>
    <w:p>
      <w:pPr>
        <w:pStyle w:val="19"/>
        <w:spacing w:before="6"/>
        <w:rPr>
          <w:sz w:val="19"/>
        </w:rPr>
      </w:pPr>
    </w:p>
    <w:p>
      <w:pPr>
        <w:pStyle w:val="62"/>
        <w:numPr>
          <w:ilvl w:val="0"/>
          <w:numId w:val="42"/>
        </w:numPr>
        <w:tabs>
          <w:tab w:val="left" w:pos="1362"/>
        </w:tabs>
        <w:rPr>
          <w:sz w:val="21"/>
        </w:rPr>
      </w:pPr>
      <w:r>
        <w:rPr>
          <w:sz w:val="21"/>
        </w:rPr>
        <w:t>与供应商的法定代表人或者负责人有夫妻、直系血亲、三代以内旁系血亲或者近姻亲关系；</w:t>
      </w:r>
    </w:p>
    <w:p>
      <w:pPr>
        <w:pStyle w:val="19"/>
        <w:spacing w:before="8"/>
        <w:rPr>
          <w:sz w:val="19"/>
        </w:rPr>
      </w:pPr>
    </w:p>
    <w:p>
      <w:pPr>
        <w:pStyle w:val="62"/>
        <w:numPr>
          <w:ilvl w:val="0"/>
          <w:numId w:val="42"/>
        </w:numPr>
        <w:tabs>
          <w:tab w:val="left" w:pos="1362"/>
        </w:tabs>
        <w:rPr>
          <w:sz w:val="21"/>
        </w:rPr>
      </w:pPr>
      <w:r>
        <w:rPr>
          <w:sz w:val="21"/>
        </w:rPr>
        <w:t>与供应商有其他可能影响政府采购活动公平、公正进行的关系。</w:t>
      </w:r>
    </w:p>
    <w:p>
      <w:pPr>
        <w:pStyle w:val="19"/>
        <w:spacing w:before="9"/>
        <w:rPr>
          <w:sz w:val="19"/>
        </w:rPr>
      </w:pPr>
    </w:p>
    <w:p>
      <w:pPr>
        <w:pStyle w:val="19"/>
        <w:spacing w:line="463" w:lineRule="auto"/>
        <w:ind w:left="415" w:right="412" w:firstLine="420"/>
        <w:jc w:val="both"/>
      </w:pPr>
      <w:r>
        <w:rPr>
          <w:rFonts w:ascii="宋体" w:hAnsi="宋体" w:eastAsia="宋体" w:cs="宋体"/>
          <w:sz w:val="21"/>
          <w:szCs w:val="22"/>
          <w:lang w:val="zh-CN" w:eastAsia="zh-CN" w:bidi="zh-CN"/>
        </w:rPr>
        <w:t>供应商认为采购人员及相关人员与其他供应商有利害关系的，可以向采购人或者采购代理机构书面提出回避申请，并说明理由。采购人或者采购代理机构应当及时询问被申请回避人员，有利害关系的被申请回</w:t>
      </w:r>
      <w:r>
        <w:rPr>
          <w:spacing w:val="-5"/>
        </w:rPr>
        <w:t>避人员应当回避。</w:t>
      </w:r>
    </w:p>
    <w:p>
      <w:pPr>
        <w:pStyle w:val="62"/>
        <w:numPr>
          <w:ilvl w:val="1"/>
          <w:numId w:val="41"/>
        </w:numPr>
        <w:tabs>
          <w:tab w:val="left" w:pos="1620"/>
        </w:tabs>
        <w:spacing w:before="2"/>
        <w:ind w:left="1620"/>
        <w:jc w:val="both"/>
        <w:rPr>
          <w:sz w:val="21"/>
        </w:rPr>
      </w:pPr>
      <w:r>
        <w:rPr>
          <w:sz w:val="21"/>
        </w:rPr>
        <w:t>有下列情形之一的视为投标人相互串通投标，投标文件将被视为无效：</w:t>
      </w:r>
    </w:p>
    <w:p>
      <w:pPr>
        <w:pStyle w:val="19"/>
        <w:spacing w:before="6"/>
        <w:rPr>
          <w:sz w:val="19"/>
        </w:rPr>
      </w:pPr>
    </w:p>
    <w:p>
      <w:pPr>
        <w:pStyle w:val="62"/>
        <w:numPr>
          <w:ilvl w:val="0"/>
          <w:numId w:val="43"/>
        </w:numPr>
        <w:tabs>
          <w:tab w:val="left" w:pos="1362"/>
        </w:tabs>
        <w:rPr>
          <w:sz w:val="21"/>
        </w:rPr>
      </w:pPr>
      <w:r>
        <w:rPr>
          <w:spacing w:val="-2"/>
          <w:sz w:val="21"/>
        </w:rPr>
        <w:t xml:space="preserve">不同投标人的投标文件由同一单位或者个人编制；或者不同投标人报名的 </w:t>
      </w:r>
      <w:r>
        <w:rPr>
          <w:sz w:val="21"/>
        </w:rPr>
        <w:t>IP</w:t>
      </w:r>
      <w:r>
        <w:rPr>
          <w:spacing w:val="-9"/>
          <w:sz w:val="21"/>
        </w:rPr>
        <w:t xml:space="preserve"> 地址一致的；</w:t>
      </w:r>
    </w:p>
    <w:p>
      <w:pPr>
        <w:pStyle w:val="19"/>
        <w:spacing w:before="8"/>
        <w:rPr>
          <w:sz w:val="19"/>
        </w:rPr>
      </w:pPr>
    </w:p>
    <w:p>
      <w:pPr>
        <w:pStyle w:val="62"/>
        <w:numPr>
          <w:ilvl w:val="0"/>
          <w:numId w:val="43"/>
        </w:numPr>
        <w:tabs>
          <w:tab w:val="left" w:pos="1362"/>
        </w:tabs>
        <w:rPr>
          <w:sz w:val="21"/>
        </w:rPr>
      </w:pPr>
      <w:r>
        <w:rPr>
          <w:sz w:val="21"/>
        </w:rPr>
        <w:t>不同投标人委托同一单位或者个人办理投标事宜；</w:t>
      </w:r>
    </w:p>
    <w:p>
      <w:pPr>
        <w:pStyle w:val="19"/>
        <w:spacing w:before="8"/>
        <w:rPr>
          <w:sz w:val="19"/>
        </w:rPr>
      </w:pPr>
    </w:p>
    <w:p>
      <w:pPr>
        <w:pStyle w:val="62"/>
        <w:numPr>
          <w:ilvl w:val="0"/>
          <w:numId w:val="43"/>
        </w:numPr>
        <w:tabs>
          <w:tab w:val="left" w:pos="1362"/>
        </w:tabs>
        <w:rPr>
          <w:sz w:val="21"/>
        </w:rPr>
      </w:pPr>
      <w:r>
        <w:rPr>
          <w:sz w:val="21"/>
        </w:rPr>
        <w:t>不同的投标人的投标文件载明的项目管理员为同一个人；</w:t>
      </w:r>
    </w:p>
    <w:p>
      <w:pPr>
        <w:pStyle w:val="19"/>
        <w:spacing w:before="6"/>
        <w:rPr>
          <w:sz w:val="19"/>
        </w:rPr>
      </w:pPr>
    </w:p>
    <w:p>
      <w:pPr>
        <w:pStyle w:val="62"/>
        <w:numPr>
          <w:ilvl w:val="0"/>
          <w:numId w:val="43"/>
        </w:numPr>
        <w:tabs>
          <w:tab w:val="left" w:pos="1362"/>
        </w:tabs>
        <w:rPr>
          <w:sz w:val="21"/>
        </w:rPr>
      </w:pPr>
      <w:r>
        <w:rPr>
          <w:sz w:val="21"/>
        </w:rPr>
        <w:t>不同投标人的投标文件异常一致或者投标报价呈规律性差异；</w:t>
      </w:r>
    </w:p>
    <w:p>
      <w:pPr>
        <w:pStyle w:val="19"/>
        <w:spacing w:before="8"/>
        <w:rPr>
          <w:sz w:val="19"/>
        </w:rPr>
      </w:pPr>
    </w:p>
    <w:p>
      <w:pPr>
        <w:pStyle w:val="62"/>
        <w:numPr>
          <w:ilvl w:val="0"/>
          <w:numId w:val="43"/>
        </w:numPr>
        <w:tabs>
          <w:tab w:val="left" w:pos="1362"/>
        </w:tabs>
        <w:spacing w:before="1"/>
        <w:rPr>
          <w:sz w:val="21"/>
        </w:rPr>
      </w:pPr>
      <w:r>
        <w:rPr>
          <w:sz w:val="21"/>
        </w:rPr>
        <w:t>不同投标人的投标文件相互混装；</w:t>
      </w:r>
    </w:p>
    <w:p>
      <w:pPr>
        <w:pStyle w:val="19"/>
        <w:spacing w:before="8"/>
        <w:rPr>
          <w:sz w:val="19"/>
        </w:rPr>
      </w:pPr>
    </w:p>
    <w:p>
      <w:pPr>
        <w:pStyle w:val="62"/>
        <w:numPr>
          <w:ilvl w:val="1"/>
          <w:numId w:val="41"/>
        </w:numPr>
        <w:tabs>
          <w:tab w:val="left" w:pos="1620"/>
        </w:tabs>
        <w:ind w:left="1620"/>
        <w:jc w:val="left"/>
        <w:rPr>
          <w:sz w:val="21"/>
        </w:rPr>
      </w:pPr>
      <w:r>
        <w:rPr>
          <w:sz w:val="21"/>
        </w:rPr>
        <w:t>供应商有下列情形之一的，属于恶意串通行为，将报同级监督管理部门：</w:t>
      </w:r>
    </w:p>
    <w:p>
      <w:pPr>
        <w:pStyle w:val="19"/>
        <w:spacing w:before="6"/>
        <w:rPr>
          <w:sz w:val="19"/>
        </w:rPr>
      </w:pPr>
    </w:p>
    <w:p>
      <w:pPr>
        <w:pStyle w:val="62"/>
        <w:numPr>
          <w:ilvl w:val="0"/>
          <w:numId w:val="44"/>
        </w:numPr>
        <w:tabs>
          <w:tab w:val="left" w:pos="1366"/>
        </w:tabs>
        <w:spacing w:line="465" w:lineRule="auto"/>
        <w:ind w:right="413" w:firstLine="420"/>
        <w:rPr>
          <w:sz w:val="21"/>
        </w:rPr>
      </w:pPr>
      <w:r>
        <w:rPr>
          <w:sz w:val="21"/>
        </w:rPr>
        <w:t>供应商直接或者间接从采购人或者采购代理机构处获得其他供应商的相关信息并修改其投标文件或者响应文件；</w:t>
      </w:r>
    </w:p>
    <w:p>
      <w:pPr>
        <w:pStyle w:val="62"/>
        <w:numPr>
          <w:ilvl w:val="0"/>
          <w:numId w:val="44"/>
        </w:numPr>
        <w:tabs>
          <w:tab w:val="left" w:pos="1362"/>
        </w:tabs>
        <w:spacing w:line="267" w:lineRule="exact"/>
        <w:ind w:left="1362" w:hanging="527"/>
        <w:rPr>
          <w:sz w:val="21"/>
        </w:rPr>
      </w:pPr>
      <w:r>
        <w:rPr>
          <w:sz w:val="21"/>
        </w:rPr>
        <w:t>供应商按照采购人或者采购代理机构的授意撤换、修改投标文件或者响应文件；</w:t>
      </w:r>
    </w:p>
    <w:p>
      <w:pPr>
        <w:pStyle w:val="19"/>
        <w:spacing w:before="5"/>
        <w:rPr>
          <w:sz w:val="19"/>
        </w:rPr>
      </w:pPr>
    </w:p>
    <w:p>
      <w:pPr>
        <w:pStyle w:val="62"/>
        <w:numPr>
          <w:ilvl w:val="0"/>
          <w:numId w:val="44"/>
        </w:numPr>
        <w:tabs>
          <w:tab w:val="left" w:pos="1362"/>
        </w:tabs>
        <w:spacing w:before="1"/>
        <w:ind w:left="1362" w:hanging="527"/>
        <w:rPr>
          <w:sz w:val="21"/>
        </w:rPr>
      </w:pPr>
      <w:r>
        <w:rPr>
          <w:sz w:val="21"/>
        </w:rPr>
        <w:t>供应商之间协商报价、技术方案等投标文件或者响应文件的实质性内容；</w:t>
      </w:r>
    </w:p>
    <w:p>
      <w:pPr>
        <w:pStyle w:val="19"/>
        <w:spacing w:before="8"/>
        <w:rPr>
          <w:sz w:val="19"/>
        </w:rPr>
      </w:pPr>
    </w:p>
    <w:p>
      <w:pPr>
        <w:pStyle w:val="62"/>
        <w:numPr>
          <w:ilvl w:val="0"/>
          <w:numId w:val="44"/>
        </w:numPr>
        <w:tabs>
          <w:tab w:val="left" w:pos="1362"/>
        </w:tabs>
        <w:ind w:left="1362" w:hanging="527"/>
        <w:rPr>
          <w:sz w:val="21"/>
        </w:rPr>
      </w:pPr>
      <w:r>
        <w:rPr>
          <w:sz w:val="21"/>
        </w:rPr>
        <w:t>属于同一集团、协会、商会等组织成员的供应商按照该组织要求协同参加政府采购活动；</w:t>
      </w:r>
    </w:p>
    <w:p>
      <w:pPr>
        <w:pStyle w:val="19"/>
        <w:spacing w:before="8"/>
        <w:rPr>
          <w:sz w:val="19"/>
        </w:rPr>
      </w:pPr>
    </w:p>
    <w:p>
      <w:pPr>
        <w:pStyle w:val="62"/>
        <w:numPr>
          <w:ilvl w:val="0"/>
          <w:numId w:val="44"/>
        </w:numPr>
        <w:tabs>
          <w:tab w:val="left" w:pos="1366"/>
        </w:tabs>
        <w:spacing w:line="463" w:lineRule="auto"/>
        <w:ind w:right="413" w:firstLine="420"/>
        <w:rPr>
          <w:sz w:val="21"/>
        </w:rPr>
      </w:pPr>
      <w:r>
        <w:rPr>
          <w:sz w:val="21"/>
        </w:rPr>
        <w:t>供应商之间事先约定一致抬高或者压低投标报价，或者在招标项目中事先约定轮流以高价位或者低价位中标，或者事先约定由某一特定供应商中标，然后再参加投标；</w:t>
      </w:r>
    </w:p>
    <w:p>
      <w:pPr>
        <w:pStyle w:val="62"/>
        <w:numPr>
          <w:ilvl w:val="0"/>
          <w:numId w:val="44"/>
        </w:numPr>
        <w:tabs>
          <w:tab w:val="left" w:pos="1362"/>
        </w:tabs>
        <w:spacing w:before="1"/>
        <w:ind w:left="1362" w:hanging="527"/>
        <w:rPr>
          <w:sz w:val="21"/>
        </w:rPr>
      </w:pPr>
      <w:r>
        <w:rPr>
          <w:sz w:val="21"/>
        </w:rPr>
        <w:t>供应商之间商定部分供应商放弃参加政府采购活动或者放弃中标；</w:t>
      </w:r>
    </w:p>
    <w:p>
      <w:pPr>
        <w:pStyle w:val="19"/>
        <w:spacing w:before="8"/>
        <w:rPr>
          <w:sz w:val="19"/>
        </w:rPr>
      </w:pPr>
    </w:p>
    <w:p>
      <w:pPr>
        <w:pStyle w:val="62"/>
        <w:numPr>
          <w:ilvl w:val="0"/>
          <w:numId w:val="44"/>
        </w:numPr>
        <w:tabs>
          <w:tab w:val="left" w:pos="1366"/>
        </w:tabs>
        <w:ind w:left="1365"/>
        <w:rPr>
          <w:sz w:val="21"/>
        </w:rPr>
      </w:pPr>
      <w:r>
        <w:rPr>
          <w:sz w:val="21"/>
        </w:rPr>
        <w:t>供应商与采购人或者采购代理机构之间、供应商相互之间，为谋求特定供应商中标或者排斥其</w:t>
      </w:r>
    </w:p>
    <w:p>
      <w:pPr>
        <w:rPr>
          <w:sz w:val="21"/>
        </w:rPr>
        <w:sectPr>
          <w:pgSz w:w="11910" w:h="16840"/>
          <w:pgMar w:top="1280" w:right="720" w:bottom="1380" w:left="720" w:header="0" w:footer="1120" w:gutter="0"/>
          <w:pgNumType w:fmt="decimal"/>
          <w:cols w:space="720" w:num="1"/>
        </w:sectPr>
      </w:pPr>
    </w:p>
    <w:p>
      <w:pPr>
        <w:pStyle w:val="19"/>
        <w:spacing w:before="41"/>
        <w:ind w:left="415"/>
      </w:pPr>
      <w:r>
        <w:t>他供应商的其他串通行为。</w:t>
      </w:r>
    </w:p>
    <w:p>
      <w:pPr>
        <w:pStyle w:val="19"/>
        <w:rPr>
          <w:sz w:val="20"/>
        </w:rPr>
      </w:pPr>
    </w:p>
    <w:p>
      <w:pPr>
        <w:pStyle w:val="19"/>
        <w:spacing w:before="5"/>
        <w:rPr>
          <w:sz w:val="14"/>
        </w:rPr>
      </w:pPr>
    </w:p>
    <w:p>
      <w:pPr>
        <w:spacing w:before="70"/>
        <w:ind w:left="421" w:right="1"/>
        <w:jc w:val="center"/>
        <w:outlineLvl w:val="1"/>
        <w:rPr>
          <w:b/>
          <w:sz w:val="21"/>
        </w:rPr>
      </w:pPr>
      <w:bookmarkStart w:id="20" w:name="_Toc27559"/>
      <w:r>
        <w:rPr>
          <w:b/>
          <w:sz w:val="21"/>
        </w:rPr>
        <w:t>二、招标文件</w:t>
      </w:r>
      <w:bookmarkEnd w:id="20"/>
    </w:p>
    <w:p>
      <w:pPr>
        <w:pStyle w:val="19"/>
        <w:rPr>
          <w:b/>
          <w:sz w:val="20"/>
        </w:rPr>
      </w:pPr>
    </w:p>
    <w:p>
      <w:pPr>
        <w:pStyle w:val="19"/>
        <w:spacing w:before="6"/>
        <w:rPr>
          <w:b/>
          <w:sz w:val="14"/>
        </w:rPr>
      </w:pPr>
    </w:p>
    <w:p>
      <w:pPr>
        <w:numPr>
          <w:ilvl w:val="0"/>
          <w:numId w:val="45"/>
        </w:numPr>
        <w:tabs>
          <w:tab w:val="left" w:pos="732"/>
        </w:tabs>
        <w:spacing w:before="69"/>
        <w:rPr>
          <w:b/>
          <w:sz w:val="21"/>
        </w:rPr>
      </w:pPr>
      <w:r>
        <w:rPr>
          <w:b/>
          <w:sz w:val="21"/>
        </w:rPr>
        <w:t>招标文件的组成</w:t>
      </w:r>
    </w:p>
    <w:p>
      <w:pPr>
        <w:pStyle w:val="19"/>
        <w:spacing w:before="8"/>
        <w:rPr>
          <w:b/>
          <w:sz w:val="19"/>
        </w:rPr>
      </w:pPr>
    </w:p>
    <w:p>
      <w:pPr>
        <w:pStyle w:val="62"/>
        <w:numPr>
          <w:ilvl w:val="1"/>
          <w:numId w:val="45"/>
        </w:numPr>
        <w:tabs>
          <w:tab w:val="left" w:pos="1360"/>
        </w:tabs>
        <w:spacing w:before="1"/>
        <w:ind w:hanging="528"/>
        <w:rPr>
          <w:sz w:val="21"/>
        </w:rPr>
      </w:pPr>
      <w:r>
        <w:rPr>
          <w:rFonts w:ascii="宋体" w:hAnsi="宋体" w:eastAsia="宋体" w:cs="宋体"/>
          <w:sz w:val="21"/>
        </w:rPr>
        <w:t>招标公告</w:t>
      </w:r>
      <w:r>
        <w:rPr>
          <w:w w:val="95"/>
          <w:sz w:val="21"/>
        </w:rPr>
        <w:t>；</w:t>
      </w:r>
    </w:p>
    <w:p>
      <w:pPr>
        <w:pStyle w:val="19"/>
        <w:spacing w:before="8"/>
        <w:rPr>
          <w:sz w:val="19"/>
        </w:rPr>
      </w:pPr>
    </w:p>
    <w:p>
      <w:pPr>
        <w:pStyle w:val="62"/>
        <w:numPr>
          <w:ilvl w:val="1"/>
          <w:numId w:val="45"/>
        </w:numPr>
        <w:tabs>
          <w:tab w:val="left" w:pos="1360"/>
        </w:tabs>
        <w:ind w:hanging="528"/>
        <w:rPr>
          <w:sz w:val="21"/>
        </w:rPr>
      </w:pPr>
      <w:r>
        <w:rPr>
          <w:rFonts w:ascii="宋体" w:hAnsi="宋体" w:eastAsia="宋体" w:cs="宋体"/>
          <w:sz w:val="21"/>
        </w:rPr>
        <w:t>采购需求</w:t>
      </w:r>
      <w:r>
        <w:rPr>
          <w:w w:val="95"/>
          <w:sz w:val="21"/>
        </w:rPr>
        <w:t>；</w:t>
      </w:r>
    </w:p>
    <w:p>
      <w:pPr>
        <w:pStyle w:val="19"/>
        <w:spacing w:before="6"/>
        <w:rPr>
          <w:sz w:val="19"/>
        </w:rPr>
      </w:pPr>
    </w:p>
    <w:p>
      <w:pPr>
        <w:pStyle w:val="62"/>
        <w:numPr>
          <w:ilvl w:val="1"/>
          <w:numId w:val="45"/>
        </w:numPr>
        <w:tabs>
          <w:tab w:val="left" w:pos="1360"/>
        </w:tabs>
        <w:ind w:hanging="528"/>
        <w:rPr>
          <w:sz w:val="21"/>
        </w:rPr>
      </w:pPr>
      <w:r>
        <w:rPr>
          <w:sz w:val="21"/>
        </w:rPr>
        <w:t>投标人须知；</w:t>
      </w:r>
    </w:p>
    <w:p>
      <w:pPr>
        <w:pStyle w:val="19"/>
        <w:spacing w:before="8"/>
        <w:rPr>
          <w:sz w:val="19"/>
        </w:rPr>
      </w:pPr>
    </w:p>
    <w:p>
      <w:pPr>
        <w:pStyle w:val="62"/>
        <w:numPr>
          <w:ilvl w:val="1"/>
          <w:numId w:val="45"/>
        </w:numPr>
        <w:tabs>
          <w:tab w:val="left" w:pos="1360"/>
        </w:tabs>
        <w:ind w:hanging="528"/>
        <w:rPr>
          <w:sz w:val="21"/>
        </w:rPr>
      </w:pPr>
      <w:r>
        <w:rPr>
          <w:sz w:val="21"/>
        </w:rPr>
        <w:t>评标方法及评标标准；</w:t>
      </w:r>
    </w:p>
    <w:p>
      <w:pPr>
        <w:pStyle w:val="19"/>
        <w:spacing w:before="8"/>
        <w:rPr>
          <w:sz w:val="19"/>
        </w:rPr>
      </w:pPr>
    </w:p>
    <w:p>
      <w:pPr>
        <w:pStyle w:val="62"/>
        <w:numPr>
          <w:ilvl w:val="1"/>
          <w:numId w:val="45"/>
        </w:numPr>
        <w:tabs>
          <w:tab w:val="left" w:pos="1360"/>
        </w:tabs>
        <w:ind w:hanging="528"/>
        <w:rPr>
          <w:sz w:val="21"/>
        </w:rPr>
      </w:pPr>
      <w:r>
        <w:rPr>
          <w:sz w:val="21"/>
        </w:rPr>
        <w:t>拟签订的合同文本；</w:t>
      </w:r>
    </w:p>
    <w:p>
      <w:pPr>
        <w:pStyle w:val="19"/>
        <w:spacing w:before="6"/>
        <w:rPr>
          <w:sz w:val="19"/>
        </w:rPr>
      </w:pPr>
    </w:p>
    <w:p>
      <w:pPr>
        <w:pStyle w:val="62"/>
        <w:numPr>
          <w:ilvl w:val="1"/>
          <w:numId w:val="45"/>
        </w:numPr>
        <w:tabs>
          <w:tab w:val="left" w:pos="1360"/>
        </w:tabs>
        <w:ind w:hanging="528"/>
        <w:rPr>
          <w:sz w:val="21"/>
        </w:rPr>
      </w:pPr>
      <w:r>
        <w:rPr>
          <w:sz w:val="21"/>
        </w:rPr>
        <w:t>投标文件格式。</w:t>
      </w:r>
    </w:p>
    <w:p>
      <w:pPr>
        <w:pStyle w:val="19"/>
        <w:spacing w:before="8"/>
        <w:rPr>
          <w:sz w:val="19"/>
        </w:rPr>
      </w:pPr>
    </w:p>
    <w:p>
      <w:pPr>
        <w:numPr>
          <w:ilvl w:val="0"/>
          <w:numId w:val="45"/>
        </w:numPr>
        <w:tabs>
          <w:tab w:val="left" w:pos="732"/>
        </w:tabs>
        <w:spacing w:before="1"/>
        <w:jc w:val="both"/>
        <w:rPr>
          <w:b/>
          <w:sz w:val="21"/>
        </w:rPr>
      </w:pPr>
      <w:r>
        <w:rPr>
          <w:b/>
          <w:spacing w:val="-1"/>
          <w:sz w:val="21"/>
        </w:rPr>
        <w:t>招标文件的澄清、修改 、现场考察和答疑会</w:t>
      </w:r>
    </w:p>
    <w:p>
      <w:pPr>
        <w:pStyle w:val="19"/>
        <w:spacing w:before="8"/>
        <w:rPr>
          <w:b/>
          <w:sz w:val="19"/>
        </w:rPr>
      </w:pPr>
    </w:p>
    <w:p>
      <w:pPr>
        <w:pStyle w:val="62"/>
        <w:numPr>
          <w:ilvl w:val="1"/>
          <w:numId w:val="46"/>
        </w:numPr>
        <w:tabs>
          <w:tab w:val="left" w:pos="1412"/>
        </w:tabs>
        <w:spacing w:line="463" w:lineRule="auto"/>
        <w:ind w:right="413" w:firstLine="525"/>
        <w:jc w:val="both"/>
        <w:rPr>
          <w:rFonts w:ascii="宋体" w:hAnsi="宋体" w:eastAsia="宋体" w:cs="宋体"/>
          <w:sz w:val="21"/>
        </w:rPr>
      </w:pPr>
      <w:r>
        <w:rPr>
          <w:sz w:val="21"/>
        </w:rPr>
        <w:t>采购人或者采购代理机构可以对已发出的招标文件进行必要的澄清或者修改，但不得改变采购</w:t>
      </w:r>
      <w:r>
        <w:rPr>
          <w:rFonts w:ascii="宋体" w:hAnsi="宋体" w:eastAsia="宋体" w:cs="宋体"/>
          <w:sz w:val="21"/>
        </w:rPr>
        <w:t>标的和资格条件。澄清或者修改应当在原公告发布媒体上发布澄清公告。澄清或者修改的内容为招标文件的组成部分。</w:t>
      </w:r>
    </w:p>
    <w:p>
      <w:pPr>
        <w:pStyle w:val="19"/>
        <w:spacing w:before="2"/>
        <w:ind w:left="832"/>
        <w:jc w:val="both"/>
      </w:pPr>
      <w:r>
        <w:t>澄清或者修改的内容可能影响投标文件编制的，采购人或者采购代理机构应当在投标截止时间至少 15</w:t>
      </w:r>
    </w:p>
    <w:p>
      <w:pPr>
        <w:pStyle w:val="19"/>
        <w:spacing w:before="6"/>
        <w:rPr>
          <w:sz w:val="19"/>
        </w:rPr>
      </w:pPr>
    </w:p>
    <w:p>
      <w:pPr>
        <w:pStyle w:val="19"/>
        <w:spacing w:line="465" w:lineRule="auto"/>
        <w:ind w:left="412" w:right="412"/>
        <w:jc w:val="both"/>
      </w:pPr>
      <w:r>
        <w:rPr>
          <w:spacing w:val="-2"/>
        </w:rPr>
        <w:t>日前，以书面形式通知所有获取招标文件的潜在投标人；不足</w:t>
      </w:r>
      <w:r>
        <w:t>15</w:t>
      </w:r>
      <w:r>
        <w:rPr>
          <w:spacing w:val="-6"/>
        </w:rPr>
        <w:t>日的，采购人或者采购代理机构应当顺</w:t>
      </w:r>
      <w:r>
        <w:rPr>
          <w:spacing w:val="-8"/>
        </w:rPr>
        <w:t>延提交投标文件的截止时间。投标人应当按照桂财采【</w:t>
      </w:r>
      <w:r>
        <w:t>2007</w:t>
      </w:r>
      <w:r>
        <w:rPr>
          <w:spacing w:val="-17"/>
        </w:rPr>
        <w:t>】</w:t>
      </w:r>
      <w:r>
        <w:t>65</w:t>
      </w:r>
      <w:r>
        <w:rPr>
          <w:spacing w:val="-10"/>
        </w:rPr>
        <w:t xml:space="preserve"> 号文件第二十九条规定，在澄清或者修改</w:t>
      </w:r>
      <w:r>
        <w:rPr>
          <w:spacing w:val="-18"/>
        </w:rPr>
        <w:t xml:space="preserve">通知发出后 </w:t>
      </w:r>
      <w:r>
        <w:t>24</w:t>
      </w:r>
      <w:r>
        <w:rPr>
          <w:spacing w:val="-8"/>
        </w:rPr>
        <w:t xml:space="preserve"> 小时内以书面形式进行确认</w:t>
      </w:r>
      <w:r>
        <w:t>（采用网上下载招标文件形式的除外），否则视为已经收到。</w:t>
      </w:r>
    </w:p>
    <w:p>
      <w:pPr>
        <w:pStyle w:val="62"/>
        <w:numPr>
          <w:ilvl w:val="1"/>
          <w:numId w:val="46"/>
        </w:numPr>
        <w:tabs>
          <w:tab w:val="left" w:pos="1306"/>
        </w:tabs>
        <w:spacing w:line="465" w:lineRule="auto"/>
        <w:ind w:right="412" w:firstLine="420"/>
        <w:jc w:val="both"/>
        <w:rPr>
          <w:sz w:val="21"/>
        </w:rPr>
      </w:pPr>
      <w:r>
        <w:rPr>
          <w:rFonts w:ascii="宋体" w:hAnsi="宋体" w:eastAsia="宋体" w:cs="宋体"/>
          <w:spacing w:val="-8"/>
          <w:sz w:val="21"/>
          <w:szCs w:val="21"/>
          <w:lang w:val="zh-CN" w:eastAsia="zh-CN" w:bidi="zh-CN"/>
        </w:rPr>
        <w:t>采购人或者采购代理机构可以在招标文件提供期限截止后，组织已获取招标文件的潜在投标人现场</w:t>
      </w:r>
      <w:r>
        <w:rPr>
          <w:spacing w:val="-3"/>
          <w:sz w:val="21"/>
        </w:rPr>
        <w:t>考察或者召开开标前答疑会，具体详见“投标人须知前附表”。</w:t>
      </w:r>
    </w:p>
    <w:p>
      <w:pPr>
        <w:pStyle w:val="19"/>
        <w:spacing w:before="7"/>
        <w:rPr>
          <w:sz w:val="19"/>
        </w:rPr>
      </w:pPr>
    </w:p>
    <w:p>
      <w:pPr>
        <w:ind w:left="8" w:right="1"/>
        <w:jc w:val="center"/>
        <w:outlineLvl w:val="1"/>
        <w:rPr>
          <w:b/>
          <w:sz w:val="21"/>
        </w:rPr>
      </w:pPr>
      <w:bookmarkStart w:id="21" w:name="_Toc32471"/>
      <w:r>
        <w:rPr>
          <w:b/>
          <w:sz w:val="21"/>
        </w:rPr>
        <w:t>三、投标文件的编制</w:t>
      </w:r>
      <w:bookmarkEnd w:id="21"/>
    </w:p>
    <w:p>
      <w:pPr>
        <w:pStyle w:val="19"/>
        <w:rPr>
          <w:b/>
          <w:sz w:val="20"/>
        </w:rPr>
      </w:pPr>
    </w:p>
    <w:p>
      <w:pPr>
        <w:pStyle w:val="19"/>
        <w:spacing w:before="11"/>
        <w:rPr>
          <w:b/>
          <w:sz w:val="19"/>
        </w:rPr>
      </w:pPr>
    </w:p>
    <w:p>
      <w:pPr>
        <w:numPr>
          <w:ilvl w:val="0"/>
          <w:numId w:val="45"/>
        </w:numPr>
        <w:tabs>
          <w:tab w:val="left" w:pos="732"/>
        </w:tabs>
        <w:spacing w:before="1"/>
        <w:rPr>
          <w:b/>
          <w:sz w:val="21"/>
        </w:rPr>
      </w:pPr>
      <w:r>
        <w:rPr>
          <w:b/>
          <w:sz w:val="21"/>
        </w:rPr>
        <w:t>投标文件的编制原则</w:t>
      </w:r>
    </w:p>
    <w:p>
      <w:pPr>
        <w:pStyle w:val="19"/>
        <w:spacing w:before="8"/>
        <w:rPr>
          <w:b/>
          <w:sz w:val="19"/>
        </w:rPr>
      </w:pPr>
    </w:p>
    <w:p>
      <w:pPr>
        <w:pStyle w:val="19"/>
        <w:spacing w:line="463" w:lineRule="auto"/>
        <w:ind w:left="412" w:right="412" w:firstLine="420"/>
        <w:rPr>
          <w:rFonts w:ascii="宋体" w:hAnsi="宋体" w:eastAsia="宋体" w:cs="宋体"/>
          <w:spacing w:val="-3"/>
          <w:sz w:val="21"/>
          <w:szCs w:val="22"/>
          <w:lang w:val="zh-CN" w:eastAsia="zh-CN" w:bidi="zh-CN"/>
        </w:rPr>
      </w:pPr>
      <w:r>
        <w:rPr>
          <w:rFonts w:ascii="宋体" w:hAnsi="宋体" w:eastAsia="宋体" w:cs="宋体"/>
          <w:spacing w:val="-3"/>
          <w:sz w:val="21"/>
          <w:szCs w:val="22"/>
          <w:lang w:val="zh-CN" w:eastAsia="zh-CN" w:bidi="zh-CN"/>
        </w:rPr>
        <w:t>投标人必须按照招标文件的要求编制投标文件。投标文件必须对招标文件提出的要求和条件作出明确响应。</w:t>
      </w:r>
    </w:p>
    <w:p>
      <w:pPr>
        <w:numPr>
          <w:ilvl w:val="0"/>
          <w:numId w:val="45"/>
        </w:numPr>
        <w:tabs>
          <w:tab w:val="left" w:pos="732"/>
        </w:tabs>
        <w:spacing w:before="1"/>
        <w:rPr>
          <w:b/>
          <w:sz w:val="21"/>
        </w:rPr>
      </w:pPr>
      <w:r>
        <w:rPr>
          <w:b/>
          <w:sz w:val="21"/>
        </w:rPr>
        <w:t>投标文件的组成</w:t>
      </w:r>
    </w:p>
    <w:p>
      <w:pPr>
        <w:pStyle w:val="19"/>
        <w:spacing w:before="8"/>
        <w:rPr>
          <w:b/>
          <w:sz w:val="19"/>
        </w:rPr>
      </w:pPr>
    </w:p>
    <w:p>
      <w:pPr>
        <w:pStyle w:val="62"/>
        <w:numPr>
          <w:ilvl w:val="1"/>
          <w:numId w:val="47"/>
        </w:numPr>
        <w:tabs>
          <w:tab w:val="left" w:pos="1306"/>
        </w:tabs>
        <w:ind w:hanging="474"/>
        <w:rPr>
          <w:sz w:val="21"/>
        </w:rPr>
      </w:pPr>
      <w:r>
        <w:rPr>
          <w:sz w:val="21"/>
        </w:rPr>
        <w:t>投标文件由报价文件、资格证明文件、商务文件、技术文件四部分组成。</w:t>
      </w:r>
    </w:p>
    <w:p>
      <w:pPr>
        <w:rPr>
          <w:sz w:val="21"/>
        </w:rPr>
        <w:sectPr>
          <w:pgSz w:w="11910" w:h="16840"/>
          <w:pgMar w:top="1280" w:right="720" w:bottom="1380" w:left="720" w:header="0" w:footer="1120" w:gutter="0"/>
          <w:pgNumType w:fmt="decimal"/>
          <w:cols w:space="720" w:num="1"/>
        </w:sectPr>
      </w:pPr>
    </w:p>
    <w:p>
      <w:pPr>
        <w:pStyle w:val="62"/>
        <w:numPr>
          <w:ilvl w:val="0"/>
          <w:numId w:val="48"/>
        </w:numPr>
        <w:tabs>
          <w:tab w:val="left" w:pos="1360"/>
        </w:tabs>
        <w:spacing w:before="41"/>
        <w:ind w:hanging="528"/>
        <w:rPr>
          <w:sz w:val="21"/>
        </w:rPr>
      </w:pPr>
      <w:r>
        <w:rPr>
          <w:spacing w:val="-1"/>
          <w:sz w:val="21"/>
        </w:rPr>
        <w:t>报价文件： 具体材料见“投标人须知前附表”。</w:t>
      </w:r>
    </w:p>
    <w:p>
      <w:pPr>
        <w:pStyle w:val="19"/>
        <w:spacing w:before="8"/>
        <w:rPr>
          <w:sz w:val="19"/>
        </w:rPr>
      </w:pPr>
    </w:p>
    <w:p>
      <w:pPr>
        <w:pStyle w:val="62"/>
        <w:numPr>
          <w:ilvl w:val="0"/>
          <w:numId w:val="48"/>
        </w:numPr>
        <w:tabs>
          <w:tab w:val="left" w:pos="1360"/>
        </w:tabs>
        <w:ind w:hanging="528"/>
        <w:rPr>
          <w:sz w:val="21"/>
        </w:rPr>
      </w:pPr>
      <w:r>
        <w:rPr>
          <w:sz w:val="21"/>
        </w:rPr>
        <w:t>资格证明文件：具体材料见“投标人须知前附表”。</w:t>
      </w:r>
    </w:p>
    <w:p>
      <w:pPr>
        <w:pStyle w:val="19"/>
        <w:spacing w:before="8"/>
        <w:rPr>
          <w:sz w:val="19"/>
        </w:rPr>
      </w:pPr>
    </w:p>
    <w:p>
      <w:pPr>
        <w:pStyle w:val="62"/>
        <w:numPr>
          <w:ilvl w:val="0"/>
          <w:numId w:val="48"/>
        </w:numPr>
        <w:tabs>
          <w:tab w:val="left" w:pos="1360"/>
        </w:tabs>
        <w:ind w:hanging="528"/>
        <w:rPr>
          <w:rFonts w:ascii="宋体" w:hAnsi="宋体" w:eastAsia="宋体" w:cs="宋体"/>
          <w:sz w:val="21"/>
        </w:rPr>
      </w:pPr>
      <w:r>
        <w:rPr>
          <w:rFonts w:ascii="宋体" w:hAnsi="宋体" w:eastAsia="宋体" w:cs="宋体"/>
          <w:sz w:val="21"/>
        </w:rPr>
        <w:t>商务文件：具体材料见“投标人须知前附表”。</w:t>
      </w:r>
    </w:p>
    <w:p>
      <w:pPr>
        <w:pStyle w:val="19"/>
        <w:spacing w:before="6"/>
        <w:rPr>
          <w:sz w:val="19"/>
        </w:rPr>
      </w:pPr>
    </w:p>
    <w:p>
      <w:pPr>
        <w:pStyle w:val="62"/>
        <w:numPr>
          <w:ilvl w:val="0"/>
          <w:numId w:val="48"/>
        </w:numPr>
        <w:tabs>
          <w:tab w:val="left" w:pos="1360"/>
        </w:tabs>
        <w:ind w:hanging="528"/>
        <w:rPr>
          <w:rFonts w:ascii="宋体" w:hAnsi="宋体" w:eastAsia="宋体" w:cs="宋体"/>
          <w:sz w:val="21"/>
        </w:rPr>
      </w:pPr>
      <w:r>
        <w:rPr>
          <w:rFonts w:ascii="宋体" w:hAnsi="宋体" w:eastAsia="宋体" w:cs="宋体"/>
          <w:sz w:val="21"/>
        </w:rPr>
        <w:t>技术文件：具体材料见“投标人须知前附表”。</w:t>
      </w:r>
    </w:p>
    <w:p>
      <w:pPr>
        <w:pStyle w:val="19"/>
        <w:spacing w:before="8"/>
        <w:rPr>
          <w:sz w:val="19"/>
        </w:rPr>
      </w:pPr>
    </w:p>
    <w:p>
      <w:pPr>
        <w:pStyle w:val="62"/>
        <w:numPr>
          <w:ilvl w:val="1"/>
          <w:numId w:val="47"/>
        </w:numPr>
        <w:tabs>
          <w:tab w:val="left" w:pos="1306"/>
        </w:tabs>
        <w:spacing w:before="1" w:line="465" w:lineRule="auto"/>
        <w:ind w:left="412" w:right="4118" w:firstLine="420"/>
        <w:rPr>
          <w:b/>
          <w:sz w:val="21"/>
        </w:rPr>
      </w:pPr>
      <w:r>
        <w:rPr>
          <w:sz w:val="21"/>
        </w:rPr>
        <w:t>投标文件电子版：具体要求见“投标人须知前附表”。</w:t>
      </w:r>
      <w:r>
        <w:rPr>
          <w:b/>
          <w:sz w:val="21"/>
        </w:rPr>
        <w:t>14.投标文件的语言及计量</w:t>
      </w:r>
    </w:p>
    <w:p>
      <w:pPr>
        <w:pStyle w:val="62"/>
        <w:numPr>
          <w:ilvl w:val="1"/>
          <w:numId w:val="49"/>
        </w:numPr>
        <w:tabs>
          <w:tab w:val="left" w:pos="1306"/>
        </w:tabs>
        <w:spacing w:line="264" w:lineRule="exact"/>
        <w:ind w:hanging="474"/>
        <w:rPr>
          <w:sz w:val="21"/>
        </w:rPr>
      </w:pPr>
      <w:r>
        <w:rPr>
          <w:sz w:val="21"/>
        </w:rPr>
        <w:t>语言文字</w:t>
      </w:r>
    </w:p>
    <w:p>
      <w:pPr>
        <w:pStyle w:val="19"/>
        <w:spacing w:before="8"/>
        <w:rPr>
          <w:sz w:val="19"/>
        </w:rPr>
      </w:pPr>
    </w:p>
    <w:p>
      <w:pPr>
        <w:pStyle w:val="19"/>
        <w:spacing w:line="463" w:lineRule="auto"/>
        <w:ind w:left="412" w:right="410" w:firstLine="420"/>
        <w:jc w:val="both"/>
      </w:pPr>
      <w:r>
        <w:rPr>
          <w:rFonts w:ascii="宋体" w:hAnsi="宋体" w:eastAsia="宋体" w:cs="宋体"/>
          <w:sz w:val="21"/>
          <w:szCs w:val="22"/>
          <w:lang w:val="zh-CN" w:eastAsia="zh-CN" w:bidi="zh-CN"/>
        </w:rPr>
        <w:t>投标文件以及投标人与采购人就有关投标事宜的所有来往函电，均应以中文书写（除专用术语外，与招标投标有关的语言均使用中文。必要时专用术语应附有中文注释）</w:t>
      </w:r>
      <w:r>
        <w:rPr>
          <w:spacing w:val="-3"/>
          <w:w w:val="95"/>
        </w:rPr>
        <w:t>。</w:t>
      </w:r>
      <w:r>
        <w:rPr>
          <w:rFonts w:ascii="宋体" w:hAnsi="宋体" w:eastAsia="宋体" w:cs="宋体"/>
          <w:sz w:val="21"/>
          <w:szCs w:val="22"/>
          <w:lang w:val="zh-CN" w:eastAsia="zh-CN" w:bidi="zh-CN"/>
        </w:rPr>
        <w:t>投标人提交的支持文件和印刷的文献可以使用别的语言，但其相应内容应同时附中文翻译文本，在解释投标文件时以中文翻译文本为主。</w:t>
      </w:r>
      <w:r>
        <w:rPr>
          <w:spacing w:val="-5"/>
          <w:w w:val="95"/>
        </w:rPr>
        <w:t>对</w:t>
      </w:r>
      <w:r>
        <w:rPr>
          <w:spacing w:val="-5"/>
        </w:rPr>
        <w:t>不同文字文本投标文件的解释发生异议的，以中文文本为准。</w:t>
      </w:r>
    </w:p>
    <w:p>
      <w:pPr>
        <w:pStyle w:val="62"/>
        <w:numPr>
          <w:ilvl w:val="1"/>
          <w:numId w:val="49"/>
        </w:numPr>
        <w:tabs>
          <w:tab w:val="left" w:pos="1306"/>
        </w:tabs>
        <w:spacing w:before="3"/>
        <w:ind w:hanging="474"/>
        <w:jc w:val="both"/>
        <w:rPr>
          <w:sz w:val="21"/>
        </w:rPr>
      </w:pPr>
      <w:r>
        <w:rPr>
          <w:sz w:val="21"/>
        </w:rPr>
        <w:t>投标计量单位</w:t>
      </w:r>
    </w:p>
    <w:p>
      <w:pPr>
        <w:pStyle w:val="19"/>
        <w:spacing w:before="6"/>
        <w:rPr>
          <w:sz w:val="19"/>
        </w:rPr>
      </w:pPr>
    </w:p>
    <w:p>
      <w:pPr>
        <w:pStyle w:val="19"/>
        <w:spacing w:line="465" w:lineRule="auto"/>
        <w:ind w:left="412" w:right="340" w:firstLine="420"/>
      </w:pPr>
      <w:r>
        <w:rPr>
          <w:rFonts w:ascii="宋体" w:hAnsi="宋体" w:eastAsia="宋体" w:cs="宋体"/>
          <w:spacing w:val="-5"/>
        </w:rPr>
        <w:t>招标文件已有明确规定的，使用招标文件规定的计量单位；招标文件没有规定的，应采用中华人民共和国法</w:t>
      </w:r>
      <w:r>
        <w:t>定计量单位，货币种类为人民币，否则视同未响应。</w:t>
      </w:r>
    </w:p>
    <w:p>
      <w:pPr>
        <w:numPr>
          <w:ilvl w:val="0"/>
          <w:numId w:val="50"/>
        </w:numPr>
        <w:tabs>
          <w:tab w:val="left" w:pos="732"/>
        </w:tabs>
        <w:spacing w:line="267" w:lineRule="exact"/>
        <w:rPr>
          <w:b/>
          <w:sz w:val="21"/>
        </w:rPr>
      </w:pPr>
      <w:r>
        <w:rPr>
          <w:b/>
          <w:sz w:val="21"/>
        </w:rPr>
        <w:t>投标的风险</w:t>
      </w:r>
    </w:p>
    <w:p>
      <w:pPr>
        <w:pStyle w:val="19"/>
        <w:spacing w:before="6"/>
        <w:rPr>
          <w:b/>
          <w:sz w:val="19"/>
        </w:rPr>
      </w:pPr>
    </w:p>
    <w:p>
      <w:pPr>
        <w:pStyle w:val="19"/>
        <w:spacing w:line="465" w:lineRule="auto"/>
        <w:ind w:left="412" w:right="340" w:firstLine="420"/>
        <w:rPr>
          <w:rFonts w:ascii="宋体" w:hAnsi="宋体" w:eastAsia="宋体" w:cs="宋体"/>
          <w:spacing w:val="-5"/>
        </w:rPr>
      </w:pPr>
      <w:r>
        <w:rPr>
          <w:rFonts w:ascii="宋体" w:hAnsi="宋体" w:eastAsia="宋体" w:cs="宋体"/>
          <w:spacing w:val="-5"/>
        </w:rPr>
        <w:t>投标人没有按照招标文件要求提供全部资料，或者投标人没有对招标文件作出实质性响应是投标人的风险，并可能导致其投标被拒绝。</w:t>
      </w:r>
    </w:p>
    <w:p>
      <w:pPr>
        <w:numPr>
          <w:ilvl w:val="0"/>
          <w:numId w:val="50"/>
        </w:numPr>
        <w:tabs>
          <w:tab w:val="left" w:pos="732"/>
        </w:tabs>
        <w:spacing w:line="267" w:lineRule="exact"/>
        <w:rPr>
          <w:b/>
          <w:sz w:val="21"/>
        </w:rPr>
      </w:pPr>
      <w:r>
        <w:rPr>
          <w:b/>
          <w:sz w:val="21"/>
        </w:rPr>
        <w:t>投标报价</w:t>
      </w:r>
    </w:p>
    <w:p>
      <w:pPr>
        <w:pStyle w:val="19"/>
        <w:spacing w:before="6"/>
        <w:rPr>
          <w:b/>
          <w:sz w:val="19"/>
        </w:rPr>
      </w:pPr>
    </w:p>
    <w:p>
      <w:pPr>
        <w:pStyle w:val="62"/>
        <w:numPr>
          <w:ilvl w:val="1"/>
          <w:numId w:val="50"/>
        </w:numPr>
        <w:tabs>
          <w:tab w:val="left" w:pos="1306"/>
        </w:tabs>
        <w:ind w:hanging="474"/>
        <w:jc w:val="both"/>
        <w:rPr>
          <w:sz w:val="21"/>
        </w:rPr>
      </w:pPr>
      <w:r>
        <w:rPr>
          <w:sz w:val="21"/>
        </w:rPr>
        <w:t>投标报价应按“第六章 投标文件格式”中“开标一览表”格式填写。</w:t>
      </w:r>
    </w:p>
    <w:p>
      <w:pPr>
        <w:pStyle w:val="19"/>
        <w:spacing w:before="8"/>
        <w:rPr>
          <w:sz w:val="19"/>
        </w:rPr>
      </w:pPr>
    </w:p>
    <w:p>
      <w:pPr>
        <w:pStyle w:val="62"/>
        <w:numPr>
          <w:ilvl w:val="1"/>
          <w:numId w:val="50"/>
        </w:numPr>
        <w:tabs>
          <w:tab w:val="left" w:pos="1306"/>
        </w:tabs>
        <w:ind w:hanging="474"/>
        <w:rPr>
          <w:sz w:val="21"/>
        </w:rPr>
      </w:pPr>
      <w:r>
        <w:rPr>
          <w:sz w:val="21"/>
        </w:rPr>
        <w:t>投标报价具体包括内容详见“投标人须知前附表”。</w:t>
      </w:r>
    </w:p>
    <w:p>
      <w:pPr>
        <w:pStyle w:val="19"/>
        <w:spacing w:before="9"/>
        <w:rPr>
          <w:sz w:val="19"/>
        </w:rPr>
      </w:pPr>
    </w:p>
    <w:p>
      <w:pPr>
        <w:pStyle w:val="62"/>
        <w:numPr>
          <w:ilvl w:val="1"/>
          <w:numId w:val="50"/>
        </w:numPr>
        <w:tabs>
          <w:tab w:val="left" w:pos="1306"/>
        </w:tabs>
        <w:spacing w:line="463" w:lineRule="auto"/>
        <w:ind w:left="412" w:right="410" w:firstLine="420"/>
        <w:rPr>
          <w:sz w:val="21"/>
        </w:rPr>
      </w:pPr>
      <w:r>
        <w:rPr>
          <w:spacing w:val="-4"/>
          <w:sz w:val="21"/>
        </w:rPr>
        <w:t>投标人必须就所投的全部内容分别作完整唯一总价报价，不得存在漏项报价；投标人必须就所投的单项内容作唯一报价。</w:t>
      </w:r>
    </w:p>
    <w:p>
      <w:pPr>
        <w:numPr>
          <w:ilvl w:val="0"/>
          <w:numId w:val="50"/>
        </w:numPr>
        <w:tabs>
          <w:tab w:val="left" w:pos="732"/>
        </w:tabs>
        <w:rPr>
          <w:b/>
          <w:sz w:val="21"/>
        </w:rPr>
      </w:pPr>
      <w:r>
        <w:rPr>
          <w:b/>
          <w:sz w:val="21"/>
        </w:rPr>
        <w:t>投标有效期</w:t>
      </w:r>
    </w:p>
    <w:p>
      <w:pPr>
        <w:pStyle w:val="19"/>
        <w:spacing w:before="8"/>
        <w:rPr>
          <w:b/>
          <w:sz w:val="19"/>
        </w:rPr>
      </w:pPr>
    </w:p>
    <w:p>
      <w:pPr>
        <w:pStyle w:val="62"/>
        <w:numPr>
          <w:ilvl w:val="1"/>
          <w:numId w:val="50"/>
        </w:numPr>
        <w:tabs>
          <w:tab w:val="left" w:pos="1306"/>
        </w:tabs>
        <w:spacing w:before="1" w:line="463" w:lineRule="auto"/>
        <w:ind w:left="412" w:right="412" w:firstLine="420"/>
        <w:rPr>
          <w:sz w:val="21"/>
        </w:rPr>
      </w:pPr>
      <w:r>
        <w:rPr>
          <w:rFonts w:ascii="宋体" w:hAnsi="宋体" w:eastAsia="宋体" w:cs="宋体"/>
          <w:spacing w:val="-4"/>
          <w:sz w:val="21"/>
        </w:rPr>
        <w:t>投标有效期是指为保证采购人有足够的时间在开标后完成评标、定标、合同签订等工作而要求投标人</w:t>
      </w:r>
      <w:r>
        <w:rPr>
          <w:spacing w:val="-4"/>
          <w:sz w:val="21"/>
        </w:rPr>
        <w:t>提交的投标文件在一定时间内保持有效的期限。</w:t>
      </w:r>
    </w:p>
    <w:p>
      <w:pPr>
        <w:pStyle w:val="62"/>
        <w:numPr>
          <w:ilvl w:val="1"/>
          <w:numId w:val="50"/>
        </w:numPr>
        <w:tabs>
          <w:tab w:val="left" w:pos="1359"/>
        </w:tabs>
        <w:ind w:left="1358" w:hanging="527"/>
        <w:rPr>
          <w:sz w:val="21"/>
        </w:rPr>
      </w:pPr>
      <w:r>
        <w:rPr>
          <w:sz w:val="21"/>
        </w:rPr>
        <w:t>投标有效期应按规定的期限作出承诺，具体详见“投标人须知前附表”。</w:t>
      </w:r>
    </w:p>
    <w:p>
      <w:pPr>
        <w:pStyle w:val="19"/>
        <w:spacing w:before="8"/>
        <w:rPr>
          <w:sz w:val="19"/>
        </w:rPr>
      </w:pPr>
    </w:p>
    <w:p>
      <w:pPr>
        <w:pStyle w:val="62"/>
        <w:numPr>
          <w:ilvl w:val="1"/>
          <w:numId w:val="50"/>
        </w:numPr>
        <w:tabs>
          <w:tab w:val="left" w:pos="1306"/>
        </w:tabs>
        <w:spacing w:before="1"/>
        <w:ind w:hanging="474"/>
        <w:rPr>
          <w:sz w:val="21"/>
        </w:rPr>
      </w:pPr>
      <w:r>
        <w:rPr>
          <w:sz w:val="21"/>
        </w:rPr>
        <w:t>投标人的投标文件在投标有效期内均保持有效。</w:t>
      </w:r>
    </w:p>
    <w:p>
      <w:pPr>
        <w:rPr>
          <w:sz w:val="21"/>
        </w:rPr>
        <w:sectPr>
          <w:pgSz w:w="11910" w:h="16840"/>
          <w:pgMar w:top="1280" w:right="720" w:bottom="1380" w:left="720" w:header="0" w:footer="1120" w:gutter="0"/>
          <w:pgNumType w:fmt="decimal"/>
          <w:cols w:space="720" w:num="1"/>
        </w:sectPr>
      </w:pPr>
    </w:p>
    <w:p>
      <w:pPr>
        <w:numPr>
          <w:ilvl w:val="0"/>
          <w:numId w:val="50"/>
        </w:numPr>
        <w:tabs>
          <w:tab w:val="left" w:pos="732"/>
        </w:tabs>
        <w:spacing w:before="41"/>
        <w:rPr>
          <w:b/>
          <w:sz w:val="21"/>
        </w:rPr>
      </w:pPr>
      <w:r>
        <w:rPr>
          <w:b/>
          <w:sz w:val="21"/>
        </w:rPr>
        <w:t>投标保证金</w:t>
      </w:r>
    </w:p>
    <w:p>
      <w:pPr>
        <w:pStyle w:val="19"/>
        <w:spacing w:before="8"/>
        <w:rPr>
          <w:b/>
          <w:sz w:val="19"/>
        </w:rPr>
      </w:pPr>
    </w:p>
    <w:p>
      <w:pPr>
        <w:pStyle w:val="62"/>
        <w:numPr>
          <w:ilvl w:val="1"/>
          <w:numId w:val="50"/>
        </w:numPr>
        <w:tabs>
          <w:tab w:val="left" w:pos="1306"/>
        </w:tabs>
        <w:spacing w:line="465" w:lineRule="auto"/>
        <w:ind w:left="412" w:right="3596" w:firstLine="420"/>
        <w:rPr>
          <w:b/>
          <w:sz w:val="21"/>
        </w:rPr>
      </w:pPr>
      <w:r>
        <w:rPr>
          <w:spacing w:val="-1"/>
          <w:sz w:val="21"/>
        </w:rPr>
        <w:t>投标人须按“投标人须知前附表” 的规定提交投标保证金。</w:t>
      </w:r>
      <w:r>
        <w:rPr>
          <w:b/>
          <w:spacing w:val="-1"/>
          <w:sz w:val="21"/>
        </w:rPr>
        <w:t>19.投标文件的编制</w:t>
      </w:r>
    </w:p>
    <w:p>
      <w:pPr>
        <w:pStyle w:val="62"/>
        <w:numPr>
          <w:ilvl w:val="1"/>
          <w:numId w:val="51"/>
        </w:numPr>
        <w:tabs>
          <w:tab w:val="left" w:pos="1412"/>
        </w:tabs>
        <w:spacing w:line="465" w:lineRule="auto"/>
        <w:ind w:right="413" w:firstLine="525"/>
        <w:jc w:val="both"/>
        <w:rPr>
          <w:sz w:val="21"/>
        </w:rPr>
      </w:pPr>
      <w:r>
        <w:rPr>
          <w:sz w:val="21"/>
        </w:rPr>
        <w:t>投标人应按本招标文件规定的格式和顺序编制、装订投标文件并标注页码，投标文件内容不完整、编排混乱导致投标文件被误读、漏读或者查找不到相关内容的，由此引发的后果由投标人承担。</w:t>
      </w:r>
    </w:p>
    <w:p>
      <w:pPr>
        <w:pStyle w:val="62"/>
        <w:numPr>
          <w:ilvl w:val="1"/>
          <w:numId w:val="51"/>
        </w:numPr>
        <w:tabs>
          <w:tab w:val="left" w:pos="1412"/>
        </w:tabs>
        <w:spacing w:line="463" w:lineRule="auto"/>
        <w:ind w:right="410" w:firstLine="525"/>
        <w:jc w:val="both"/>
        <w:rPr>
          <w:rFonts w:ascii="宋体" w:hAnsi="宋体" w:eastAsia="宋体" w:cs="宋体"/>
          <w:sz w:val="21"/>
        </w:rPr>
      </w:pPr>
      <w:r>
        <w:rPr>
          <w:sz w:val="21"/>
        </w:rPr>
        <w:t>投标文件应按报价文件、资格证明文件、商务文件、技术文件分别编制，报价文件、资格证明</w:t>
      </w:r>
      <w:r>
        <w:rPr>
          <w:rFonts w:ascii="宋体" w:hAnsi="宋体" w:eastAsia="宋体" w:cs="宋体"/>
          <w:sz w:val="21"/>
        </w:rPr>
        <w:t>文件分别装订成册，商务文件和技术文件按顺序装订成册。投标文件正本一份，副本份数详见“投标人须知前附表”，投标文件的封面应注明“正本”、“副本”字样。由于投标文件装订松散而造成的丢失或者其他后果由投标人自行承担。</w:t>
      </w:r>
    </w:p>
    <w:p>
      <w:pPr>
        <w:pStyle w:val="62"/>
        <w:numPr>
          <w:ilvl w:val="1"/>
          <w:numId w:val="51"/>
        </w:numPr>
        <w:tabs>
          <w:tab w:val="left" w:pos="1412"/>
        </w:tabs>
        <w:spacing w:line="465" w:lineRule="auto"/>
        <w:ind w:right="410" w:firstLine="525"/>
        <w:jc w:val="both"/>
        <w:rPr>
          <w:rFonts w:ascii="宋体" w:hAnsi="宋体" w:eastAsia="宋体" w:cs="宋体"/>
          <w:sz w:val="21"/>
        </w:rPr>
      </w:pPr>
      <w:r>
        <w:rPr>
          <w:sz w:val="21"/>
        </w:rPr>
        <w:t>投标文件的正本应用不褪色的材料书写或者打印，投标文件正本除本“投标人须知”中规定的</w:t>
      </w:r>
      <w:r>
        <w:rPr>
          <w:rFonts w:ascii="宋体" w:hAnsi="宋体" w:eastAsia="宋体" w:cs="宋体"/>
          <w:sz w:val="21"/>
        </w:rPr>
        <w:t>可提供复印件外均须提供原件，副本可为正本签字、盖章后的复印件，当副本和正本不一致时，以正本为   准。</w:t>
      </w:r>
    </w:p>
    <w:p>
      <w:pPr>
        <w:pStyle w:val="62"/>
        <w:numPr>
          <w:ilvl w:val="1"/>
          <w:numId w:val="51"/>
        </w:numPr>
        <w:tabs>
          <w:tab w:val="left" w:pos="1412"/>
        </w:tabs>
        <w:spacing w:line="465" w:lineRule="auto"/>
        <w:ind w:right="407" w:firstLine="525"/>
        <w:jc w:val="both"/>
        <w:rPr>
          <w:sz w:val="21"/>
        </w:rPr>
      </w:pPr>
      <w:r>
        <w:rPr>
          <w:sz w:val="21"/>
        </w:rPr>
        <w:t>投标文件须由投标人在规定位置盖公章并由法定代表人或者委托代理人签字，</w:t>
      </w:r>
      <w:r>
        <w:rPr>
          <w:b/>
          <w:sz w:val="21"/>
        </w:rPr>
        <w:t>否则作无效投标处理。</w:t>
      </w:r>
      <w:r>
        <w:rPr>
          <w:sz w:val="21"/>
        </w:rPr>
        <w:t>骑缝盖公章不视为在规定位置盖章。</w:t>
      </w:r>
    </w:p>
    <w:p>
      <w:pPr>
        <w:pStyle w:val="62"/>
        <w:numPr>
          <w:ilvl w:val="1"/>
          <w:numId w:val="51"/>
        </w:numPr>
        <w:tabs>
          <w:tab w:val="left" w:pos="1412"/>
        </w:tabs>
        <w:spacing w:line="463" w:lineRule="auto"/>
        <w:ind w:right="413" w:firstLine="525"/>
        <w:jc w:val="both"/>
        <w:rPr>
          <w:sz w:val="21"/>
        </w:rPr>
      </w:pPr>
      <w:r>
        <w:rPr>
          <w:sz w:val="21"/>
        </w:rPr>
        <w:t>投标文件中标注的投标人名称应与主体资格证明（如营业执照、事业单位法人证书、执业许可证等）及公章一致，</w:t>
      </w:r>
      <w:r>
        <w:rPr>
          <w:b/>
          <w:sz w:val="21"/>
        </w:rPr>
        <w:t>否则作无效投标处理</w:t>
      </w:r>
      <w:r>
        <w:rPr>
          <w:sz w:val="21"/>
        </w:rPr>
        <w:t>。</w:t>
      </w:r>
    </w:p>
    <w:p>
      <w:pPr>
        <w:pStyle w:val="62"/>
        <w:numPr>
          <w:ilvl w:val="1"/>
          <w:numId w:val="51"/>
        </w:numPr>
        <w:tabs>
          <w:tab w:val="left" w:pos="1412"/>
        </w:tabs>
        <w:spacing w:line="463" w:lineRule="auto"/>
        <w:ind w:right="412" w:firstLine="525"/>
        <w:jc w:val="both"/>
        <w:rPr>
          <w:rFonts w:ascii="宋体" w:hAnsi="宋体" w:eastAsia="宋体" w:cs="宋体"/>
          <w:sz w:val="21"/>
        </w:rPr>
      </w:pPr>
      <w:r>
        <w:rPr>
          <w:sz w:val="21"/>
        </w:rPr>
        <w:t>投标文件应尽量避免涂改、行间插字或者删除。如果出现上述情况，改动之处应由投标人的法</w:t>
      </w:r>
      <w:r>
        <w:rPr>
          <w:rFonts w:ascii="宋体" w:hAnsi="宋体" w:eastAsia="宋体" w:cs="宋体"/>
          <w:sz w:val="21"/>
        </w:rPr>
        <w:t>定代表人或者其委托代理人签字或者加盖公章。投标文件因字迹潦草或者表达不清所引起的后果由投标人承担。</w:t>
      </w:r>
    </w:p>
    <w:p>
      <w:pPr>
        <w:numPr>
          <w:ilvl w:val="0"/>
          <w:numId w:val="52"/>
        </w:numPr>
        <w:tabs>
          <w:tab w:val="left" w:pos="732"/>
        </w:tabs>
        <w:rPr>
          <w:b/>
          <w:sz w:val="21"/>
        </w:rPr>
      </w:pPr>
      <w:r>
        <w:rPr>
          <w:b/>
          <w:sz w:val="21"/>
        </w:rPr>
        <w:t>投标文件的密封</w:t>
      </w:r>
    </w:p>
    <w:p>
      <w:pPr>
        <w:pStyle w:val="19"/>
        <w:spacing w:before="9"/>
        <w:rPr>
          <w:b/>
          <w:sz w:val="18"/>
        </w:rPr>
      </w:pPr>
    </w:p>
    <w:p>
      <w:pPr>
        <w:pStyle w:val="62"/>
        <w:numPr>
          <w:ilvl w:val="1"/>
          <w:numId w:val="52"/>
        </w:numPr>
        <w:tabs>
          <w:tab w:val="left" w:pos="1412"/>
        </w:tabs>
        <w:spacing w:before="1" w:line="463" w:lineRule="auto"/>
        <w:ind w:right="338" w:firstLine="525"/>
        <w:jc w:val="left"/>
        <w:rPr>
          <w:sz w:val="21"/>
        </w:rPr>
      </w:pPr>
      <w:r>
        <w:rPr>
          <w:rFonts w:ascii="宋体" w:hAnsi="宋体" w:eastAsia="宋体" w:cs="宋体"/>
          <w:sz w:val="21"/>
        </w:rPr>
        <w:t xml:space="preserve">投标文件正、副本全部装入一个或者多个包封袋/箱（投标文件的补充、修改可另行单独递交）   </w:t>
      </w:r>
      <w:r>
        <w:rPr>
          <w:sz w:val="21"/>
        </w:rPr>
        <w:t>中并加以密封，封口处必须加盖投标人公章或者法定代表人签字或者委托代理人签字，以示密封。</w:t>
      </w:r>
    </w:p>
    <w:p>
      <w:pPr>
        <w:pStyle w:val="62"/>
        <w:numPr>
          <w:ilvl w:val="1"/>
          <w:numId w:val="52"/>
        </w:numPr>
        <w:tabs>
          <w:tab w:val="left" w:pos="1412"/>
        </w:tabs>
        <w:spacing w:line="465" w:lineRule="auto"/>
        <w:ind w:right="415" w:firstLine="525"/>
        <w:jc w:val="left"/>
        <w:rPr>
          <w:sz w:val="21"/>
        </w:rPr>
      </w:pPr>
      <w:r>
        <w:rPr>
          <w:sz w:val="21"/>
        </w:rPr>
        <w:t>投标文件外层包装封面上应写明“投标人名称、投标人地址、项目名称、项目编号及投标截止时间前不得启封”字样。</w:t>
      </w:r>
    </w:p>
    <w:p>
      <w:pPr>
        <w:pStyle w:val="62"/>
        <w:numPr>
          <w:ilvl w:val="1"/>
          <w:numId w:val="52"/>
        </w:numPr>
        <w:tabs>
          <w:tab w:val="left" w:pos="1306"/>
        </w:tabs>
        <w:spacing w:line="465" w:lineRule="auto"/>
        <w:ind w:right="5380" w:firstLine="420"/>
        <w:jc w:val="left"/>
        <w:rPr>
          <w:b/>
          <w:sz w:val="21"/>
        </w:rPr>
      </w:pPr>
      <w:r>
        <w:rPr>
          <w:rFonts w:ascii="宋体" w:hAnsi="宋体" w:eastAsia="宋体" w:cs="宋体"/>
          <w:sz w:val="21"/>
        </w:rPr>
        <w:t>未按上述规定密封的投标文件将被拒收。</w:t>
      </w:r>
      <w:r>
        <w:rPr>
          <w:b/>
          <w:sz w:val="21"/>
        </w:rPr>
        <w:t>21.投标文件的提交</w:t>
      </w:r>
    </w:p>
    <w:p>
      <w:pPr>
        <w:pStyle w:val="62"/>
        <w:numPr>
          <w:ilvl w:val="1"/>
          <w:numId w:val="53"/>
        </w:numPr>
        <w:tabs>
          <w:tab w:val="left" w:pos="1306"/>
        </w:tabs>
        <w:spacing w:line="267" w:lineRule="exact"/>
        <w:ind w:hanging="474"/>
        <w:rPr>
          <w:sz w:val="21"/>
        </w:rPr>
      </w:pPr>
      <w:r>
        <w:rPr>
          <w:sz w:val="21"/>
        </w:rPr>
        <w:t>投标人必须在“投标人须知前附表”规定的投标文件接收时间和投标地点提交投标文件。</w:t>
      </w:r>
    </w:p>
    <w:p>
      <w:pPr>
        <w:spacing w:line="267" w:lineRule="exact"/>
        <w:rPr>
          <w:sz w:val="21"/>
        </w:rPr>
        <w:sectPr>
          <w:pgSz w:w="11910" w:h="16840"/>
          <w:pgMar w:top="1280" w:right="720" w:bottom="1380" w:left="720" w:header="0" w:footer="1120" w:gutter="0"/>
          <w:pgNumType w:fmt="decimal"/>
          <w:cols w:space="720" w:num="1"/>
        </w:sectPr>
      </w:pPr>
    </w:p>
    <w:p>
      <w:pPr>
        <w:pStyle w:val="62"/>
        <w:numPr>
          <w:ilvl w:val="1"/>
          <w:numId w:val="53"/>
        </w:numPr>
        <w:tabs>
          <w:tab w:val="left" w:pos="1306"/>
        </w:tabs>
        <w:spacing w:before="41" w:line="465" w:lineRule="auto"/>
        <w:ind w:left="412" w:right="412" w:firstLine="420"/>
        <w:jc w:val="both"/>
        <w:rPr>
          <w:sz w:val="21"/>
        </w:rPr>
      </w:pPr>
      <w:r>
        <w:rPr>
          <w:spacing w:val="-4"/>
          <w:sz w:val="21"/>
        </w:rPr>
        <w:t>采购代理机构工作人员收到投标文件后，应当如实记载投标文件的送达时间和密封情况，签收保存，并向投标人出具签收回执。</w:t>
      </w:r>
    </w:p>
    <w:p>
      <w:pPr>
        <w:pStyle w:val="62"/>
        <w:numPr>
          <w:ilvl w:val="1"/>
          <w:numId w:val="53"/>
        </w:numPr>
        <w:tabs>
          <w:tab w:val="left" w:pos="1308"/>
        </w:tabs>
        <w:spacing w:line="267" w:lineRule="exact"/>
        <w:ind w:left="1308" w:hanging="476"/>
        <w:jc w:val="both"/>
        <w:rPr>
          <w:sz w:val="21"/>
        </w:rPr>
      </w:pPr>
      <w:r>
        <w:rPr>
          <w:sz w:val="21"/>
        </w:rPr>
        <w:t>未在规定时间内送达或者未按照招标文件要求密封或者标记的投标文件，采购代理机构必须拒</w:t>
      </w:r>
    </w:p>
    <w:p>
      <w:pPr>
        <w:pStyle w:val="19"/>
        <w:spacing w:before="5"/>
        <w:rPr>
          <w:sz w:val="19"/>
        </w:rPr>
      </w:pPr>
    </w:p>
    <w:p>
      <w:pPr>
        <w:pStyle w:val="19"/>
        <w:spacing w:before="1"/>
        <w:ind w:left="412"/>
      </w:pPr>
      <w:r>
        <w:t>收。</w:t>
      </w:r>
    </w:p>
    <w:p>
      <w:pPr>
        <w:pStyle w:val="19"/>
        <w:spacing w:before="8"/>
        <w:rPr>
          <w:sz w:val="19"/>
        </w:rPr>
      </w:pPr>
    </w:p>
    <w:p>
      <w:pPr>
        <w:numPr>
          <w:ilvl w:val="0"/>
          <w:numId w:val="54"/>
        </w:numPr>
        <w:tabs>
          <w:tab w:val="left" w:pos="836"/>
        </w:tabs>
        <w:ind w:hanging="424"/>
        <w:jc w:val="both"/>
        <w:rPr>
          <w:b/>
          <w:sz w:val="21"/>
        </w:rPr>
      </w:pPr>
      <w:r>
        <w:rPr>
          <w:b/>
          <w:sz w:val="21"/>
        </w:rPr>
        <w:t>投标文件的补充、修改、撤回与退回</w:t>
      </w:r>
    </w:p>
    <w:p>
      <w:pPr>
        <w:pStyle w:val="19"/>
        <w:spacing w:before="8"/>
        <w:rPr>
          <w:b/>
          <w:sz w:val="19"/>
        </w:rPr>
      </w:pPr>
    </w:p>
    <w:p>
      <w:pPr>
        <w:pStyle w:val="62"/>
        <w:numPr>
          <w:ilvl w:val="1"/>
          <w:numId w:val="54"/>
        </w:numPr>
        <w:tabs>
          <w:tab w:val="left" w:pos="1306"/>
        </w:tabs>
        <w:spacing w:line="463" w:lineRule="auto"/>
        <w:ind w:left="412" w:right="412" w:firstLine="420"/>
        <w:jc w:val="both"/>
        <w:rPr>
          <w:b/>
          <w:sz w:val="21"/>
        </w:rPr>
      </w:pPr>
      <w:r>
        <w:rPr>
          <w:rFonts w:ascii="宋体" w:hAnsi="宋体" w:eastAsia="宋体" w:cs="宋体"/>
          <w:sz w:val="21"/>
        </w:rPr>
        <w:t>投标人在投标截止时间之前，可以对已提交的投标文件进行补充、修改或者撤回</w:t>
      </w:r>
      <w:r>
        <w:rPr>
          <w:spacing w:val="-4"/>
          <w:w w:val="95"/>
          <w:sz w:val="21"/>
        </w:rPr>
        <w:t>，并书面通知采</w:t>
      </w:r>
      <w:r>
        <w:rPr>
          <w:spacing w:val="-2"/>
          <w:sz w:val="21"/>
        </w:rPr>
        <w:t xml:space="preserve">购人或者采购代理机构。补充、修改的内容必须按照本须知前附表第 </w:t>
      </w:r>
      <w:r>
        <w:rPr>
          <w:sz w:val="21"/>
        </w:rPr>
        <w:t>40.2</w:t>
      </w:r>
      <w:r>
        <w:rPr>
          <w:spacing w:val="-6"/>
          <w:sz w:val="21"/>
        </w:rPr>
        <w:t xml:space="preserve"> 条签署、盖章，并按照本须知</w:t>
      </w:r>
      <w:r>
        <w:rPr>
          <w:spacing w:val="-18"/>
          <w:sz w:val="21"/>
        </w:rPr>
        <w:t xml:space="preserve">正文第 </w:t>
      </w:r>
      <w:r>
        <w:rPr>
          <w:sz w:val="21"/>
        </w:rPr>
        <w:t>20</w:t>
      </w:r>
      <w:r>
        <w:rPr>
          <w:spacing w:val="-8"/>
          <w:sz w:val="21"/>
        </w:rPr>
        <w:t xml:space="preserve"> 条密封后，作为投标文件的组成部分</w:t>
      </w:r>
      <w:r>
        <w:rPr>
          <w:b/>
          <w:sz w:val="21"/>
        </w:rPr>
        <w:t>。</w:t>
      </w:r>
    </w:p>
    <w:p>
      <w:pPr>
        <w:pStyle w:val="62"/>
        <w:numPr>
          <w:ilvl w:val="1"/>
          <w:numId w:val="54"/>
        </w:numPr>
        <w:tabs>
          <w:tab w:val="left" w:pos="1306"/>
        </w:tabs>
        <w:spacing w:before="2" w:line="463" w:lineRule="auto"/>
        <w:ind w:left="412" w:right="410" w:firstLine="420"/>
        <w:jc w:val="both"/>
        <w:rPr>
          <w:sz w:val="21"/>
        </w:rPr>
      </w:pPr>
      <w:r>
        <w:rPr>
          <w:spacing w:val="-3"/>
          <w:sz w:val="21"/>
        </w:rPr>
        <w:t xml:space="preserve">在投标截止时间止提交投标文件的投标人不足 </w:t>
      </w:r>
      <w:r>
        <w:rPr>
          <w:sz w:val="21"/>
        </w:rPr>
        <w:t>3</w:t>
      </w:r>
      <w:r>
        <w:rPr>
          <w:spacing w:val="-13"/>
          <w:sz w:val="21"/>
        </w:rPr>
        <w:t xml:space="preserve"> 家时，应当由投标人签字领回投标文件，除此之外采购人和采购代理机构对已提交的投标文件概不退回。</w:t>
      </w:r>
    </w:p>
    <w:p>
      <w:pPr>
        <w:pStyle w:val="62"/>
        <w:numPr>
          <w:ilvl w:val="1"/>
          <w:numId w:val="54"/>
        </w:numPr>
        <w:tabs>
          <w:tab w:val="left" w:pos="1359"/>
        </w:tabs>
        <w:spacing w:before="1"/>
        <w:ind w:left="1358" w:hanging="527"/>
        <w:jc w:val="both"/>
        <w:rPr>
          <w:sz w:val="21"/>
        </w:rPr>
      </w:pPr>
      <w:r>
        <w:rPr>
          <w:sz w:val="21"/>
        </w:rPr>
        <w:t>投标人在投标截止时间后不得向采购人、采购代理机构书面申请撤回投标文件的。</w:t>
      </w:r>
    </w:p>
    <w:p>
      <w:pPr>
        <w:pStyle w:val="19"/>
        <w:rPr>
          <w:sz w:val="20"/>
        </w:rPr>
      </w:pPr>
    </w:p>
    <w:p>
      <w:pPr>
        <w:pStyle w:val="19"/>
        <w:spacing w:before="11"/>
        <w:rPr>
          <w:sz w:val="19"/>
        </w:rPr>
      </w:pPr>
    </w:p>
    <w:p>
      <w:pPr>
        <w:tabs>
          <w:tab w:val="left" w:pos="1056"/>
        </w:tabs>
        <w:ind w:left="2"/>
        <w:jc w:val="center"/>
        <w:outlineLvl w:val="1"/>
        <w:rPr>
          <w:b/>
          <w:sz w:val="21"/>
        </w:rPr>
      </w:pPr>
      <w:bookmarkStart w:id="22" w:name="_Toc24654"/>
      <w:r>
        <w:rPr>
          <w:b/>
          <w:sz w:val="21"/>
        </w:rPr>
        <w:t>四、开</w:t>
      </w:r>
      <w:r>
        <w:rPr>
          <w:b/>
          <w:sz w:val="21"/>
        </w:rPr>
        <w:tab/>
      </w:r>
      <w:r>
        <w:rPr>
          <w:b/>
          <w:sz w:val="21"/>
        </w:rPr>
        <w:t>标</w:t>
      </w:r>
      <w:bookmarkEnd w:id="22"/>
    </w:p>
    <w:p>
      <w:pPr>
        <w:pStyle w:val="19"/>
        <w:rPr>
          <w:b/>
          <w:sz w:val="20"/>
        </w:rPr>
      </w:pPr>
    </w:p>
    <w:p>
      <w:pPr>
        <w:pStyle w:val="19"/>
        <w:spacing w:before="11"/>
        <w:rPr>
          <w:b/>
          <w:sz w:val="19"/>
        </w:rPr>
      </w:pPr>
    </w:p>
    <w:p>
      <w:pPr>
        <w:numPr>
          <w:ilvl w:val="0"/>
          <w:numId w:val="54"/>
        </w:numPr>
        <w:tabs>
          <w:tab w:val="left" w:pos="732"/>
        </w:tabs>
        <w:ind w:left="732" w:hanging="320"/>
        <w:rPr>
          <w:b/>
          <w:sz w:val="21"/>
        </w:rPr>
      </w:pPr>
      <w:r>
        <w:rPr>
          <w:b/>
          <w:sz w:val="21"/>
        </w:rPr>
        <w:t>开标时间和地点</w:t>
      </w:r>
    </w:p>
    <w:p>
      <w:pPr>
        <w:pStyle w:val="19"/>
        <w:spacing w:before="9"/>
        <w:rPr>
          <w:b/>
          <w:sz w:val="19"/>
        </w:rPr>
      </w:pPr>
    </w:p>
    <w:p>
      <w:pPr>
        <w:pStyle w:val="19"/>
        <w:spacing w:line="463" w:lineRule="auto"/>
        <w:ind w:left="412" w:right="343" w:firstLine="420"/>
      </w:pPr>
      <w:r>
        <w:rPr>
          <w:rFonts w:ascii="宋体" w:hAnsi="宋体" w:eastAsia="宋体" w:cs="宋体"/>
          <w:sz w:val="21"/>
          <w:szCs w:val="22"/>
          <w:lang w:val="zh-CN" w:eastAsia="zh-CN" w:bidi="zh-CN"/>
        </w:rPr>
        <w:t>采购代理机构将在“投标人须知前附表”规定的时间和地点进行开标，投标人未参加开标的</w:t>
      </w:r>
      <w:r>
        <w:rPr>
          <w:w w:val="95"/>
        </w:rPr>
        <w:t>，视同认</w:t>
      </w:r>
      <w:r>
        <w:t>可开标过程和结果。本项目开标过程实行全程录音、录像监控。</w:t>
      </w:r>
    </w:p>
    <w:p>
      <w:pPr>
        <w:numPr>
          <w:ilvl w:val="0"/>
          <w:numId w:val="54"/>
        </w:numPr>
        <w:tabs>
          <w:tab w:val="left" w:pos="732"/>
        </w:tabs>
        <w:ind w:left="732" w:hanging="320"/>
        <w:rPr>
          <w:b/>
          <w:sz w:val="21"/>
        </w:rPr>
      </w:pPr>
      <w:r>
        <w:rPr>
          <w:b/>
          <w:sz w:val="21"/>
        </w:rPr>
        <w:t>开标程序</w:t>
      </w:r>
    </w:p>
    <w:p>
      <w:pPr>
        <w:pStyle w:val="19"/>
        <w:spacing w:before="8"/>
        <w:rPr>
          <w:b/>
          <w:sz w:val="19"/>
        </w:rPr>
      </w:pPr>
    </w:p>
    <w:p>
      <w:pPr>
        <w:pStyle w:val="19"/>
        <w:spacing w:before="1"/>
        <w:ind w:left="832"/>
      </w:pPr>
      <w:r>
        <w:t>主持人按以下程序进行开标：</w:t>
      </w:r>
    </w:p>
    <w:p>
      <w:pPr>
        <w:pStyle w:val="19"/>
        <w:spacing w:before="5"/>
        <w:rPr>
          <w:sz w:val="19"/>
        </w:rPr>
      </w:pPr>
    </w:p>
    <w:p>
      <w:pPr>
        <w:pStyle w:val="62"/>
        <w:numPr>
          <w:ilvl w:val="0"/>
          <w:numId w:val="55"/>
        </w:numPr>
        <w:tabs>
          <w:tab w:val="left" w:pos="1360"/>
        </w:tabs>
        <w:spacing w:before="1"/>
        <w:ind w:hanging="528"/>
        <w:rPr>
          <w:sz w:val="21"/>
        </w:rPr>
      </w:pPr>
      <w:r>
        <w:rPr>
          <w:sz w:val="21"/>
        </w:rPr>
        <w:t>宣布开标：开标会由采购代理机构主持，主持人宣布开标开始；</w:t>
      </w:r>
    </w:p>
    <w:p>
      <w:pPr>
        <w:pStyle w:val="19"/>
        <w:spacing w:before="8"/>
        <w:rPr>
          <w:sz w:val="19"/>
        </w:rPr>
      </w:pPr>
    </w:p>
    <w:p>
      <w:pPr>
        <w:pStyle w:val="62"/>
        <w:numPr>
          <w:ilvl w:val="0"/>
          <w:numId w:val="55"/>
        </w:numPr>
        <w:tabs>
          <w:tab w:val="left" w:pos="1360"/>
        </w:tabs>
        <w:ind w:hanging="528"/>
        <w:rPr>
          <w:sz w:val="21"/>
        </w:rPr>
      </w:pPr>
      <w:r>
        <w:rPr>
          <w:sz w:val="21"/>
        </w:rPr>
        <w:t>主持人介绍参加开标会的人员名单；</w:t>
      </w:r>
    </w:p>
    <w:p>
      <w:pPr>
        <w:pStyle w:val="19"/>
        <w:spacing w:before="8"/>
        <w:rPr>
          <w:sz w:val="19"/>
        </w:rPr>
      </w:pPr>
    </w:p>
    <w:p>
      <w:pPr>
        <w:pStyle w:val="62"/>
        <w:numPr>
          <w:ilvl w:val="0"/>
          <w:numId w:val="55"/>
        </w:numPr>
        <w:tabs>
          <w:tab w:val="left" w:pos="1360"/>
        </w:tabs>
        <w:ind w:hanging="528"/>
        <w:rPr>
          <w:sz w:val="21"/>
        </w:rPr>
      </w:pPr>
      <w:r>
        <w:rPr>
          <w:sz w:val="21"/>
        </w:rPr>
        <w:t>主持人宣布开标纪律；</w:t>
      </w:r>
    </w:p>
    <w:p>
      <w:pPr>
        <w:pStyle w:val="19"/>
        <w:spacing w:before="6"/>
        <w:rPr>
          <w:sz w:val="19"/>
        </w:rPr>
      </w:pPr>
    </w:p>
    <w:p>
      <w:pPr>
        <w:pStyle w:val="62"/>
        <w:numPr>
          <w:ilvl w:val="0"/>
          <w:numId w:val="55"/>
        </w:numPr>
        <w:tabs>
          <w:tab w:val="left" w:pos="1360"/>
        </w:tabs>
        <w:ind w:hanging="528"/>
        <w:rPr>
          <w:sz w:val="21"/>
        </w:rPr>
      </w:pPr>
      <w:r>
        <w:rPr>
          <w:sz w:val="21"/>
        </w:rPr>
        <w:t>检查文件：由各投标人检查各自的投标文件密封情况并签字确认。</w:t>
      </w:r>
    </w:p>
    <w:p>
      <w:pPr>
        <w:pStyle w:val="19"/>
        <w:spacing w:before="8"/>
        <w:rPr>
          <w:sz w:val="19"/>
        </w:rPr>
      </w:pPr>
    </w:p>
    <w:p>
      <w:pPr>
        <w:pStyle w:val="62"/>
        <w:numPr>
          <w:ilvl w:val="0"/>
          <w:numId w:val="55"/>
        </w:numPr>
        <w:tabs>
          <w:tab w:val="left" w:pos="1364"/>
        </w:tabs>
        <w:spacing w:line="465" w:lineRule="auto"/>
        <w:ind w:left="412" w:right="415" w:firstLine="420"/>
        <w:rPr>
          <w:sz w:val="21"/>
        </w:rPr>
      </w:pPr>
      <w:r>
        <w:rPr>
          <w:sz w:val="21"/>
        </w:rPr>
        <w:t>唱标：经投标人确认各自投标文件密封无误后，由采购代理机构工作当众拆封，宣布投标人名称、投标价格和其他需要宣布的内容。</w:t>
      </w:r>
    </w:p>
    <w:p>
      <w:pPr>
        <w:pStyle w:val="62"/>
        <w:numPr>
          <w:ilvl w:val="0"/>
          <w:numId w:val="55"/>
        </w:numPr>
        <w:tabs>
          <w:tab w:val="left" w:pos="1364"/>
        </w:tabs>
        <w:spacing w:line="465" w:lineRule="auto"/>
        <w:ind w:left="412" w:right="415" w:firstLine="420"/>
        <w:rPr>
          <w:sz w:val="21"/>
        </w:rPr>
      </w:pPr>
      <w:r>
        <w:rPr>
          <w:sz w:val="21"/>
        </w:rPr>
        <w:t>开标过程由采购代理机构如实记录，由参加开标的各投标人代表对开标记录进行当场校核及勘误，并签字确认。投标人代表未到场签字确认或者拒绝签字确认的，视同认可开标结果；</w:t>
      </w:r>
    </w:p>
    <w:p>
      <w:pPr>
        <w:pStyle w:val="62"/>
        <w:numPr>
          <w:ilvl w:val="0"/>
          <w:numId w:val="55"/>
        </w:numPr>
        <w:tabs>
          <w:tab w:val="left" w:pos="1364"/>
        </w:tabs>
        <w:spacing w:line="267" w:lineRule="exact"/>
        <w:ind w:left="1363" w:hanging="532"/>
        <w:rPr>
          <w:sz w:val="21"/>
        </w:rPr>
      </w:pPr>
      <w:r>
        <w:rPr>
          <w:sz w:val="21"/>
        </w:rPr>
        <w:t>投标人代表对开标过程和开标记录有疑义，以及认为采购人、采购代理机构相关工作人员有需</w:t>
      </w:r>
    </w:p>
    <w:p>
      <w:pPr>
        <w:spacing w:line="267" w:lineRule="exact"/>
        <w:rPr>
          <w:sz w:val="21"/>
        </w:rPr>
        <w:sectPr>
          <w:pgSz w:w="11910" w:h="16840"/>
          <w:pgMar w:top="1280" w:right="720" w:bottom="1380" w:left="720" w:header="0" w:footer="1120" w:gutter="0"/>
          <w:pgNumType w:fmt="decimal"/>
          <w:cols w:space="720" w:num="1"/>
        </w:sectPr>
      </w:pPr>
    </w:p>
    <w:p>
      <w:pPr>
        <w:pStyle w:val="19"/>
        <w:spacing w:before="41" w:line="465" w:lineRule="auto"/>
        <w:ind w:left="412" w:right="350"/>
      </w:pPr>
      <w:r>
        <w:rPr>
          <w:rFonts w:ascii="宋体" w:hAnsi="宋体" w:eastAsia="宋体" w:cs="宋体"/>
          <w:sz w:val="21"/>
          <w:szCs w:val="22"/>
          <w:lang w:val="zh-CN" w:eastAsia="zh-CN" w:bidi="zh-CN"/>
        </w:rPr>
        <w:t>要回避的情形的，应当场提出询问或者回避申请。采购人、采购代理机构对投标人代表提出的询问或者回避申</w:t>
      </w:r>
      <w:r>
        <w:t>请应当及时处理；</w:t>
      </w:r>
    </w:p>
    <w:p>
      <w:pPr>
        <w:pStyle w:val="62"/>
        <w:numPr>
          <w:ilvl w:val="0"/>
          <w:numId w:val="55"/>
        </w:numPr>
        <w:tabs>
          <w:tab w:val="left" w:pos="1360"/>
        </w:tabs>
        <w:spacing w:line="267" w:lineRule="exact"/>
        <w:ind w:hanging="528"/>
        <w:rPr>
          <w:sz w:val="21"/>
        </w:rPr>
      </w:pPr>
      <w:r>
        <w:rPr>
          <w:sz w:val="21"/>
        </w:rPr>
        <w:t>开标结束。</w:t>
      </w:r>
    </w:p>
    <w:p>
      <w:pPr>
        <w:pStyle w:val="19"/>
        <w:rPr>
          <w:sz w:val="20"/>
        </w:rPr>
      </w:pPr>
    </w:p>
    <w:p>
      <w:pPr>
        <w:pStyle w:val="19"/>
        <w:spacing w:before="11"/>
        <w:rPr>
          <w:sz w:val="19"/>
        </w:rPr>
      </w:pPr>
    </w:p>
    <w:p>
      <w:pPr>
        <w:ind w:left="3" w:right="1"/>
        <w:jc w:val="center"/>
        <w:outlineLvl w:val="1"/>
        <w:rPr>
          <w:b/>
          <w:sz w:val="21"/>
        </w:rPr>
      </w:pPr>
      <w:bookmarkStart w:id="23" w:name="_Toc2112"/>
      <w:r>
        <w:rPr>
          <w:b/>
          <w:sz w:val="21"/>
        </w:rPr>
        <w:t>五、资格审查</w:t>
      </w:r>
      <w:bookmarkEnd w:id="23"/>
    </w:p>
    <w:p>
      <w:pPr>
        <w:pStyle w:val="19"/>
        <w:rPr>
          <w:b/>
          <w:sz w:val="20"/>
        </w:rPr>
      </w:pPr>
    </w:p>
    <w:p>
      <w:pPr>
        <w:pStyle w:val="19"/>
        <w:spacing w:before="11"/>
        <w:rPr>
          <w:b/>
          <w:sz w:val="19"/>
        </w:rPr>
      </w:pPr>
    </w:p>
    <w:p>
      <w:pPr>
        <w:numPr>
          <w:ilvl w:val="0"/>
          <w:numId w:val="54"/>
        </w:numPr>
        <w:tabs>
          <w:tab w:val="left" w:pos="732"/>
        </w:tabs>
        <w:ind w:left="732" w:hanging="320"/>
        <w:rPr>
          <w:b/>
          <w:sz w:val="21"/>
        </w:rPr>
      </w:pPr>
      <w:r>
        <w:rPr>
          <w:b/>
          <w:sz w:val="21"/>
        </w:rPr>
        <w:t>资格审查</w:t>
      </w:r>
    </w:p>
    <w:p>
      <w:pPr>
        <w:pStyle w:val="19"/>
        <w:spacing w:before="6"/>
        <w:rPr>
          <w:b/>
          <w:sz w:val="19"/>
        </w:rPr>
      </w:pPr>
    </w:p>
    <w:p>
      <w:pPr>
        <w:pStyle w:val="62"/>
        <w:numPr>
          <w:ilvl w:val="1"/>
          <w:numId w:val="54"/>
        </w:numPr>
        <w:tabs>
          <w:tab w:val="left" w:pos="1306"/>
        </w:tabs>
        <w:ind w:hanging="474"/>
        <w:rPr>
          <w:sz w:val="21"/>
        </w:rPr>
      </w:pPr>
      <w:r>
        <w:rPr>
          <w:sz w:val="21"/>
        </w:rPr>
        <w:t>开标结束后，采购人或者采购代理机构依法对投标人的资格进行审查。</w:t>
      </w:r>
    </w:p>
    <w:p>
      <w:pPr>
        <w:pStyle w:val="19"/>
        <w:spacing w:before="8"/>
        <w:rPr>
          <w:sz w:val="19"/>
        </w:rPr>
      </w:pPr>
    </w:p>
    <w:p>
      <w:pPr>
        <w:pStyle w:val="62"/>
        <w:numPr>
          <w:ilvl w:val="1"/>
          <w:numId w:val="54"/>
        </w:numPr>
        <w:tabs>
          <w:tab w:val="left" w:pos="1306"/>
        </w:tabs>
        <w:spacing w:line="465" w:lineRule="auto"/>
        <w:ind w:left="412" w:right="410" w:firstLine="420"/>
        <w:rPr>
          <w:sz w:val="21"/>
        </w:rPr>
      </w:pPr>
      <w:r>
        <w:rPr>
          <w:spacing w:val="-3"/>
          <w:sz w:val="21"/>
        </w:rPr>
        <w:t>资格审查标准为本招标文件中载明对投标人资格要求的条件。本项目资格审查采用合格制，凡符合招标文件规定的投标人资格要求的投标人均通过资格审查。</w:t>
      </w:r>
    </w:p>
    <w:p>
      <w:pPr>
        <w:numPr>
          <w:ilvl w:val="1"/>
          <w:numId w:val="54"/>
        </w:numPr>
        <w:tabs>
          <w:tab w:val="left" w:pos="1361"/>
        </w:tabs>
        <w:spacing w:line="264" w:lineRule="exact"/>
        <w:ind w:left="1360" w:hanging="529"/>
        <w:rPr>
          <w:b/>
          <w:sz w:val="21"/>
        </w:rPr>
      </w:pPr>
      <w:r>
        <w:rPr>
          <w:b/>
          <w:sz w:val="21"/>
        </w:rPr>
        <w:t>投标人有下列情形之一的，资格审查不通过，作无效投标处理：</w:t>
      </w:r>
    </w:p>
    <w:p>
      <w:pPr>
        <w:pStyle w:val="19"/>
        <w:spacing w:before="9"/>
        <w:rPr>
          <w:b/>
          <w:sz w:val="19"/>
        </w:rPr>
      </w:pPr>
    </w:p>
    <w:p>
      <w:pPr>
        <w:numPr>
          <w:ilvl w:val="0"/>
          <w:numId w:val="56"/>
        </w:numPr>
        <w:tabs>
          <w:tab w:val="left" w:pos="1361"/>
        </w:tabs>
        <w:ind w:hanging="529"/>
        <w:rPr>
          <w:b/>
          <w:sz w:val="21"/>
        </w:rPr>
      </w:pPr>
      <w:r>
        <w:rPr>
          <w:b/>
          <w:sz w:val="21"/>
        </w:rPr>
        <w:t>未按招标文件规定的方式获取本招标文件的投标人；</w:t>
      </w:r>
    </w:p>
    <w:p>
      <w:pPr>
        <w:pStyle w:val="19"/>
        <w:spacing w:before="8"/>
        <w:rPr>
          <w:b/>
          <w:sz w:val="19"/>
        </w:rPr>
      </w:pPr>
    </w:p>
    <w:p>
      <w:pPr>
        <w:numPr>
          <w:ilvl w:val="0"/>
          <w:numId w:val="56"/>
        </w:numPr>
        <w:tabs>
          <w:tab w:val="left" w:pos="1361"/>
        </w:tabs>
        <w:ind w:hanging="529"/>
        <w:rPr>
          <w:b/>
          <w:sz w:val="21"/>
        </w:rPr>
      </w:pPr>
      <w:r>
        <w:rPr>
          <w:b/>
          <w:sz w:val="21"/>
        </w:rPr>
        <w:t>不具备招标文件中规定的资格要求的；（注：其中信用查询规则见“投标人须知前附表”）</w:t>
      </w:r>
    </w:p>
    <w:p>
      <w:pPr>
        <w:pStyle w:val="19"/>
        <w:spacing w:before="6"/>
        <w:rPr>
          <w:b/>
          <w:sz w:val="19"/>
        </w:rPr>
      </w:pPr>
    </w:p>
    <w:p>
      <w:pPr>
        <w:numPr>
          <w:ilvl w:val="0"/>
          <w:numId w:val="56"/>
        </w:numPr>
        <w:tabs>
          <w:tab w:val="left" w:pos="1360"/>
        </w:tabs>
        <w:ind w:left="1359"/>
        <w:rPr>
          <w:b/>
          <w:sz w:val="21"/>
        </w:rPr>
      </w:pPr>
      <w:r>
        <w:rPr>
          <w:b/>
          <w:spacing w:val="-4"/>
          <w:sz w:val="21"/>
        </w:rPr>
        <w:t>投标文件未提供任一项“投标人须知前附表”资格证明文件规定的“必须提供”的文件资料的；</w:t>
      </w:r>
    </w:p>
    <w:p>
      <w:pPr>
        <w:pStyle w:val="19"/>
        <w:spacing w:before="8"/>
        <w:rPr>
          <w:b/>
          <w:sz w:val="19"/>
        </w:rPr>
      </w:pPr>
    </w:p>
    <w:p>
      <w:pPr>
        <w:numPr>
          <w:ilvl w:val="0"/>
          <w:numId w:val="56"/>
        </w:numPr>
        <w:tabs>
          <w:tab w:val="left" w:pos="1362"/>
        </w:tabs>
        <w:spacing w:line="465" w:lineRule="auto"/>
        <w:ind w:left="412" w:right="376" w:firstLine="420"/>
        <w:rPr>
          <w:b/>
          <w:sz w:val="21"/>
        </w:rPr>
      </w:pPr>
      <w:r>
        <w:rPr>
          <w:b/>
          <w:spacing w:val="-5"/>
          <w:sz w:val="21"/>
        </w:rPr>
        <w:t>投标文件提供的资格证明文件出现任一项不符合“投标人须知前附表”资格证明文件规定的“ 必须提供”的文件资料要求或者无效的。</w:t>
      </w:r>
    </w:p>
    <w:p>
      <w:pPr>
        <w:numPr>
          <w:ilvl w:val="1"/>
          <w:numId w:val="54"/>
        </w:numPr>
        <w:tabs>
          <w:tab w:val="left" w:pos="1308"/>
        </w:tabs>
        <w:spacing w:line="264" w:lineRule="exact"/>
        <w:ind w:left="1308" w:hanging="476"/>
        <w:rPr>
          <w:b/>
          <w:sz w:val="21"/>
        </w:rPr>
      </w:pPr>
      <w:r>
        <w:rPr>
          <w:b/>
          <w:spacing w:val="-4"/>
          <w:sz w:val="21"/>
        </w:rPr>
        <w:t xml:space="preserve">资格审查的合格投标人不足 </w:t>
      </w:r>
      <w:r>
        <w:rPr>
          <w:b/>
          <w:sz w:val="21"/>
        </w:rPr>
        <w:t>3</w:t>
      </w:r>
      <w:r>
        <w:rPr>
          <w:b/>
          <w:spacing w:val="-8"/>
          <w:sz w:val="21"/>
        </w:rPr>
        <w:t xml:space="preserve"> 家的，不得评标。</w:t>
      </w:r>
    </w:p>
    <w:p>
      <w:pPr>
        <w:pStyle w:val="19"/>
        <w:rPr>
          <w:b/>
          <w:sz w:val="20"/>
        </w:rPr>
      </w:pPr>
    </w:p>
    <w:p>
      <w:pPr>
        <w:pStyle w:val="19"/>
        <w:spacing w:before="11"/>
        <w:rPr>
          <w:b/>
          <w:sz w:val="19"/>
        </w:rPr>
      </w:pPr>
    </w:p>
    <w:p>
      <w:pPr>
        <w:tabs>
          <w:tab w:val="left" w:pos="950"/>
        </w:tabs>
        <w:ind w:left="3"/>
        <w:jc w:val="center"/>
        <w:outlineLvl w:val="1"/>
        <w:rPr>
          <w:b/>
          <w:sz w:val="21"/>
        </w:rPr>
      </w:pPr>
      <w:bookmarkStart w:id="24" w:name="_Toc4889"/>
      <w:r>
        <w:rPr>
          <w:b/>
          <w:sz w:val="21"/>
        </w:rPr>
        <w:t>六、评</w:t>
      </w:r>
      <w:r>
        <w:rPr>
          <w:b/>
          <w:sz w:val="21"/>
        </w:rPr>
        <w:tab/>
      </w:r>
      <w:r>
        <w:rPr>
          <w:b/>
          <w:sz w:val="21"/>
        </w:rPr>
        <w:t>标</w:t>
      </w:r>
      <w:bookmarkEnd w:id="24"/>
    </w:p>
    <w:p>
      <w:pPr>
        <w:pStyle w:val="19"/>
        <w:rPr>
          <w:b/>
          <w:sz w:val="20"/>
        </w:rPr>
      </w:pPr>
    </w:p>
    <w:p>
      <w:pPr>
        <w:pStyle w:val="19"/>
        <w:spacing w:before="12"/>
        <w:rPr>
          <w:b/>
          <w:sz w:val="19"/>
        </w:rPr>
      </w:pPr>
    </w:p>
    <w:p>
      <w:pPr>
        <w:numPr>
          <w:ilvl w:val="0"/>
          <w:numId w:val="54"/>
        </w:numPr>
        <w:tabs>
          <w:tab w:val="left" w:pos="732"/>
        </w:tabs>
        <w:ind w:left="732" w:hanging="320"/>
        <w:rPr>
          <w:b/>
          <w:sz w:val="21"/>
        </w:rPr>
      </w:pPr>
      <w:r>
        <w:rPr>
          <w:b/>
          <w:w w:val="95"/>
          <w:sz w:val="21"/>
        </w:rPr>
        <w:t>组建评标委员会</w:t>
      </w:r>
    </w:p>
    <w:p>
      <w:pPr>
        <w:pStyle w:val="19"/>
        <w:spacing w:before="8"/>
        <w:rPr>
          <w:b/>
          <w:sz w:val="19"/>
        </w:rPr>
      </w:pPr>
    </w:p>
    <w:p>
      <w:pPr>
        <w:pStyle w:val="19"/>
        <w:spacing w:line="465" w:lineRule="auto"/>
        <w:ind w:left="412" w:right="410" w:firstLine="420"/>
      </w:pPr>
      <w:r>
        <w:rPr>
          <w:rFonts w:ascii="宋体" w:hAnsi="宋体" w:eastAsia="宋体" w:cs="宋体"/>
        </w:rPr>
        <w:t>评标委员会由采购人代表和评审专家组成，具体人数详见“投标人须知前附表”，其中评审专家不得</w:t>
      </w:r>
      <w:r>
        <w:rPr>
          <w:spacing w:val="-4"/>
        </w:rPr>
        <w:t>少于成员总数的三分之二。</w:t>
      </w:r>
    </w:p>
    <w:p>
      <w:pPr>
        <w:pStyle w:val="19"/>
        <w:spacing w:line="465" w:lineRule="auto"/>
        <w:ind w:left="412" w:right="2911" w:firstLine="422"/>
        <w:rPr>
          <w:w w:val="95"/>
        </w:rPr>
      </w:pPr>
      <w:r>
        <w:rPr>
          <w:rFonts w:ascii="宋体" w:hAnsi="宋体" w:eastAsia="宋体" w:cs="宋体"/>
          <w:b w:val="0"/>
          <w:bCs/>
          <w:sz w:val="19"/>
        </w:rPr>
        <w:t>参加过采购项目前期咨询论证的专家，不得参加该采购项目的评审活动。</w:t>
      </w:r>
      <w:r>
        <w:rPr>
          <w:w w:val="95"/>
        </w:rPr>
        <w:t xml:space="preserve"> </w:t>
      </w:r>
    </w:p>
    <w:p>
      <w:pPr>
        <w:pStyle w:val="19"/>
        <w:spacing w:line="465" w:lineRule="auto"/>
        <w:ind w:left="412" w:right="2911" w:firstLine="422"/>
        <w:rPr>
          <w:b/>
        </w:rPr>
      </w:pPr>
      <w:r>
        <w:rPr>
          <w:b/>
        </w:rPr>
        <w:t>27.评标的依据</w:t>
      </w:r>
    </w:p>
    <w:p>
      <w:pPr>
        <w:pStyle w:val="19"/>
        <w:spacing w:line="463" w:lineRule="auto"/>
        <w:ind w:left="412" w:right="412" w:firstLine="420"/>
      </w:pPr>
      <w:r>
        <w:t>评标委员会以招标文件为依据对投标文件进行评审，“第四章 评标方法和评标标准”没有规定的方法、评审因素和标准，不作为评标依据。</w:t>
      </w:r>
    </w:p>
    <w:p>
      <w:pPr>
        <w:numPr>
          <w:ilvl w:val="0"/>
          <w:numId w:val="57"/>
        </w:numPr>
        <w:tabs>
          <w:tab w:val="left" w:pos="732"/>
        </w:tabs>
        <w:rPr>
          <w:b/>
          <w:sz w:val="21"/>
        </w:rPr>
      </w:pPr>
      <w:r>
        <w:rPr>
          <w:b/>
          <w:sz w:val="21"/>
        </w:rPr>
        <w:t>评标原则</w:t>
      </w:r>
    </w:p>
    <w:p>
      <w:pPr>
        <w:pStyle w:val="19"/>
        <w:spacing w:before="2"/>
        <w:rPr>
          <w:b/>
          <w:sz w:val="19"/>
        </w:rPr>
      </w:pPr>
    </w:p>
    <w:p>
      <w:pPr>
        <w:pStyle w:val="62"/>
        <w:numPr>
          <w:ilvl w:val="1"/>
          <w:numId w:val="57"/>
        </w:numPr>
        <w:tabs>
          <w:tab w:val="left" w:pos="1306"/>
        </w:tabs>
        <w:ind w:hanging="474"/>
        <w:rPr>
          <w:sz w:val="21"/>
        </w:rPr>
      </w:pPr>
      <w:r>
        <w:rPr>
          <w:spacing w:val="-7"/>
          <w:sz w:val="21"/>
        </w:rPr>
        <w:t>评标原则。评标委员会评标时必须公平、公正、客观，不带任何倾向性和启发性；不得向外界透</w:t>
      </w:r>
    </w:p>
    <w:p>
      <w:pPr>
        <w:rPr>
          <w:sz w:val="21"/>
        </w:rPr>
        <w:sectPr>
          <w:footerReference r:id="rId6" w:type="default"/>
          <w:pgSz w:w="11910" w:h="16840"/>
          <w:pgMar w:top="1280" w:right="720" w:bottom="1380" w:left="720" w:header="0" w:footer="1200" w:gutter="0"/>
          <w:pgNumType w:fmt="decimal"/>
          <w:cols w:space="720" w:num="1"/>
        </w:sectPr>
      </w:pPr>
    </w:p>
    <w:p>
      <w:pPr>
        <w:pStyle w:val="19"/>
        <w:spacing w:before="41" w:line="465" w:lineRule="auto"/>
        <w:ind w:left="412" w:right="350"/>
      </w:pPr>
      <w:r>
        <w:rPr>
          <w:rFonts w:ascii="宋体" w:hAnsi="宋体" w:eastAsia="宋体" w:cs="宋体"/>
          <w:spacing w:val="-7"/>
          <w:sz w:val="21"/>
          <w:szCs w:val="22"/>
          <w:lang w:val="zh-CN" w:eastAsia="zh-CN" w:bidi="zh-CN"/>
        </w:rPr>
        <w:t>露任何与评标有关的内容；任何单位和个人不得干扰、影响评标的正常进行；评标委员会及有关工作人员</w:t>
      </w:r>
      <w:r>
        <w:t>不得私下与投标人接触，不得收受利害关系人的财物或者其他好处。</w:t>
      </w:r>
    </w:p>
    <w:p>
      <w:pPr>
        <w:pStyle w:val="62"/>
        <w:numPr>
          <w:ilvl w:val="1"/>
          <w:numId w:val="57"/>
        </w:numPr>
        <w:tabs>
          <w:tab w:val="left" w:pos="1306"/>
        </w:tabs>
        <w:spacing w:line="463" w:lineRule="auto"/>
        <w:ind w:left="412" w:right="410" w:firstLine="420"/>
        <w:jc w:val="both"/>
        <w:rPr>
          <w:sz w:val="21"/>
        </w:rPr>
      </w:pPr>
      <w:r>
        <w:rPr>
          <w:spacing w:val="-7"/>
          <w:sz w:val="21"/>
        </w:rPr>
        <w:t>评委表决。在评标过程中出现法律法规和招标文件均没有明确规定的情形时，由评标委员会现场协商解决，协商不一致的，由全体评委投票表决，以得票率二分之一以上专家的意见为准。</w:t>
      </w:r>
    </w:p>
    <w:p>
      <w:pPr>
        <w:pStyle w:val="62"/>
        <w:numPr>
          <w:ilvl w:val="1"/>
          <w:numId w:val="57"/>
        </w:numPr>
        <w:tabs>
          <w:tab w:val="left" w:pos="1306"/>
        </w:tabs>
        <w:spacing w:line="463" w:lineRule="auto"/>
        <w:ind w:left="412" w:right="412" w:firstLine="420"/>
        <w:jc w:val="both"/>
        <w:rPr>
          <w:sz w:val="21"/>
        </w:rPr>
      </w:pPr>
      <w:r>
        <w:rPr>
          <w:rFonts w:ascii="宋体" w:hAnsi="宋体" w:eastAsia="宋体" w:cs="宋体"/>
          <w:spacing w:val="-7"/>
          <w:sz w:val="21"/>
        </w:rPr>
        <w:t>评标的保密。采购人、采购代理机构应当采取必要措施，保证评标在严格保密（封闭式评标）的</w:t>
      </w:r>
      <w:r>
        <w:rPr>
          <w:spacing w:val="-4"/>
          <w:sz w:val="21"/>
        </w:rPr>
        <w:t>情况下进行。除采购人代表、评标现场组织人员外，采购人的其他工作人员以及与评标工作无关的人员不得进入评标现场。有关人员对评标情况以及在评标过程中获悉的国家秘密、商业秘密负有保密责任。</w:t>
      </w:r>
    </w:p>
    <w:p>
      <w:pPr>
        <w:pStyle w:val="62"/>
        <w:numPr>
          <w:ilvl w:val="1"/>
          <w:numId w:val="57"/>
        </w:numPr>
        <w:tabs>
          <w:tab w:val="left" w:pos="1306"/>
        </w:tabs>
        <w:spacing w:line="465" w:lineRule="auto"/>
        <w:ind w:left="412" w:right="412" w:firstLine="420"/>
        <w:jc w:val="both"/>
        <w:rPr>
          <w:sz w:val="21"/>
        </w:rPr>
      </w:pPr>
      <w:r>
        <w:rPr>
          <w:rFonts w:ascii="宋体" w:hAnsi="宋体" w:eastAsia="宋体" w:cs="宋体"/>
          <w:spacing w:val="-4"/>
          <w:sz w:val="21"/>
        </w:rPr>
        <w:t>评标过程的监控。本项目评标过程实行全程录音、录像监控，投标人在评标过程中所进行的试图</w:t>
      </w:r>
      <w:r>
        <w:rPr>
          <w:spacing w:val="-6"/>
          <w:sz w:val="21"/>
        </w:rPr>
        <w:t>影响评标结果的不公正活动，可能导致其投标按无效处理。</w:t>
      </w:r>
    </w:p>
    <w:p>
      <w:pPr>
        <w:numPr>
          <w:ilvl w:val="0"/>
          <w:numId w:val="57"/>
        </w:numPr>
        <w:tabs>
          <w:tab w:val="left" w:pos="732"/>
        </w:tabs>
        <w:spacing w:line="264" w:lineRule="exact"/>
        <w:rPr>
          <w:b/>
          <w:sz w:val="21"/>
        </w:rPr>
      </w:pPr>
      <w:r>
        <w:rPr>
          <w:b/>
          <w:sz w:val="21"/>
        </w:rPr>
        <w:t>评标方法及评标标准</w:t>
      </w:r>
    </w:p>
    <w:p>
      <w:pPr>
        <w:pStyle w:val="19"/>
        <w:spacing w:before="8"/>
        <w:rPr>
          <w:b/>
          <w:sz w:val="19"/>
        </w:rPr>
      </w:pPr>
    </w:p>
    <w:p>
      <w:pPr>
        <w:pStyle w:val="62"/>
        <w:numPr>
          <w:ilvl w:val="1"/>
          <w:numId w:val="57"/>
        </w:numPr>
        <w:tabs>
          <w:tab w:val="left" w:pos="1306"/>
        </w:tabs>
        <w:ind w:hanging="474"/>
        <w:rPr>
          <w:sz w:val="21"/>
        </w:rPr>
      </w:pPr>
      <w:r>
        <w:rPr>
          <w:sz w:val="21"/>
        </w:rPr>
        <w:t>本项目的评标方法详见“投标人须知前附表”。</w:t>
      </w:r>
    </w:p>
    <w:p>
      <w:pPr>
        <w:pStyle w:val="19"/>
        <w:spacing w:before="8"/>
        <w:rPr>
          <w:sz w:val="19"/>
        </w:rPr>
      </w:pPr>
    </w:p>
    <w:p>
      <w:pPr>
        <w:pStyle w:val="62"/>
        <w:numPr>
          <w:ilvl w:val="1"/>
          <w:numId w:val="57"/>
        </w:numPr>
        <w:tabs>
          <w:tab w:val="left" w:pos="1359"/>
        </w:tabs>
        <w:spacing w:before="1" w:line="463" w:lineRule="auto"/>
        <w:ind w:left="412" w:right="412" w:firstLine="420"/>
        <w:jc w:val="both"/>
        <w:rPr>
          <w:sz w:val="21"/>
        </w:rPr>
      </w:pPr>
      <w:r>
        <w:rPr>
          <w:spacing w:val="-5"/>
          <w:sz w:val="21"/>
        </w:rPr>
        <w:t>评标委员会按照“第四章 评标方法和评标标准”规定的方法、评审因素、标准和程序对投标文件进行评审。</w:t>
      </w:r>
    </w:p>
    <w:p>
      <w:pPr>
        <w:pStyle w:val="19"/>
        <w:spacing w:before="3"/>
        <w:rPr>
          <w:sz w:val="20"/>
        </w:rPr>
      </w:pPr>
    </w:p>
    <w:p>
      <w:pPr>
        <w:ind w:left="3" w:right="1"/>
        <w:jc w:val="center"/>
        <w:outlineLvl w:val="1"/>
        <w:rPr>
          <w:b/>
          <w:sz w:val="21"/>
        </w:rPr>
      </w:pPr>
      <w:bookmarkStart w:id="25" w:name="_Toc29557"/>
      <w:r>
        <w:rPr>
          <w:b/>
          <w:sz w:val="21"/>
        </w:rPr>
        <w:t>七、中标和合同</w:t>
      </w:r>
      <w:bookmarkEnd w:id="25"/>
    </w:p>
    <w:p>
      <w:pPr>
        <w:pStyle w:val="19"/>
        <w:rPr>
          <w:b/>
          <w:sz w:val="20"/>
        </w:rPr>
      </w:pPr>
    </w:p>
    <w:p>
      <w:pPr>
        <w:pStyle w:val="19"/>
        <w:spacing w:before="11"/>
        <w:rPr>
          <w:b/>
          <w:sz w:val="19"/>
        </w:rPr>
      </w:pPr>
    </w:p>
    <w:p>
      <w:pPr>
        <w:numPr>
          <w:ilvl w:val="0"/>
          <w:numId w:val="58"/>
        </w:numPr>
        <w:tabs>
          <w:tab w:val="left" w:pos="732"/>
        </w:tabs>
        <w:spacing w:before="1"/>
        <w:jc w:val="both"/>
        <w:rPr>
          <w:b/>
          <w:sz w:val="21"/>
        </w:rPr>
      </w:pPr>
      <w:r>
        <w:rPr>
          <w:b/>
          <w:sz w:val="21"/>
        </w:rPr>
        <w:t>确定中标人</w:t>
      </w:r>
    </w:p>
    <w:p>
      <w:pPr>
        <w:pStyle w:val="19"/>
        <w:spacing w:before="8"/>
        <w:rPr>
          <w:b/>
          <w:sz w:val="19"/>
        </w:rPr>
      </w:pPr>
    </w:p>
    <w:p>
      <w:pPr>
        <w:pStyle w:val="62"/>
        <w:numPr>
          <w:ilvl w:val="1"/>
          <w:numId w:val="58"/>
        </w:numPr>
        <w:tabs>
          <w:tab w:val="left" w:pos="1306"/>
        </w:tabs>
        <w:spacing w:line="463" w:lineRule="auto"/>
        <w:ind w:right="410" w:firstLine="420"/>
        <w:jc w:val="both"/>
        <w:rPr>
          <w:sz w:val="21"/>
        </w:rPr>
      </w:pPr>
      <w:r>
        <w:rPr>
          <w:spacing w:val="-5"/>
          <w:sz w:val="21"/>
        </w:rPr>
        <w:t xml:space="preserve">采购代理机构在评标结束之日起 </w:t>
      </w:r>
      <w:r>
        <w:rPr>
          <w:sz w:val="21"/>
        </w:rPr>
        <w:t>2</w:t>
      </w:r>
      <w:r>
        <w:rPr>
          <w:spacing w:val="-13"/>
          <w:sz w:val="21"/>
        </w:rPr>
        <w:t xml:space="preserve"> 个工作日内将评标报告送采购人，采购人在收到评标报告之日</w:t>
      </w:r>
      <w:r>
        <w:rPr>
          <w:spacing w:val="-36"/>
          <w:sz w:val="21"/>
        </w:rPr>
        <w:t xml:space="preserve">起 </w:t>
      </w:r>
      <w:r>
        <w:rPr>
          <w:sz w:val="21"/>
        </w:rPr>
        <w:t>5</w:t>
      </w:r>
      <w:r>
        <w:rPr>
          <w:spacing w:val="-9"/>
          <w:sz w:val="21"/>
        </w:rPr>
        <w:t xml:space="preserve"> 个工作日内，在评标报告确定的中标候选人名单中按顺序确定中标人。中标候选人并列的，按照“投标人须知前附表”规定的方式确定中标人。采购人也可以事先授权评标委员会直接确定中标人。</w:t>
      </w:r>
    </w:p>
    <w:p>
      <w:pPr>
        <w:pStyle w:val="62"/>
        <w:numPr>
          <w:ilvl w:val="1"/>
          <w:numId w:val="58"/>
        </w:numPr>
        <w:tabs>
          <w:tab w:val="left" w:pos="1306"/>
        </w:tabs>
        <w:spacing w:before="2" w:line="465" w:lineRule="auto"/>
        <w:ind w:right="410" w:firstLine="420"/>
        <w:jc w:val="both"/>
        <w:rPr>
          <w:sz w:val="21"/>
        </w:rPr>
      </w:pPr>
      <w:r>
        <w:rPr>
          <w:spacing w:val="-6"/>
          <w:sz w:val="21"/>
        </w:rPr>
        <w:t xml:space="preserve">采购人在收到评标报告 </w:t>
      </w:r>
      <w:r>
        <w:rPr>
          <w:sz w:val="21"/>
        </w:rPr>
        <w:t>5</w:t>
      </w:r>
      <w:r>
        <w:rPr>
          <w:spacing w:val="-11"/>
          <w:sz w:val="21"/>
        </w:rPr>
        <w:t xml:space="preserve"> 个工作日内未按评标报告推荐的中标候选人顺序确定中标人，又不能说明合法理由的，视同按评标报告推荐的顺序确定排名第一的中标候选人为中标人。</w:t>
      </w:r>
    </w:p>
    <w:p>
      <w:pPr>
        <w:pStyle w:val="62"/>
        <w:numPr>
          <w:ilvl w:val="1"/>
          <w:numId w:val="58"/>
        </w:numPr>
        <w:tabs>
          <w:tab w:val="left" w:pos="1306"/>
        </w:tabs>
        <w:spacing w:line="465" w:lineRule="auto"/>
        <w:ind w:right="412" w:firstLine="420"/>
        <w:jc w:val="both"/>
        <w:rPr>
          <w:sz w:val="21"/>
        </w:rPr>
      </w:pPr>
      <w:r>
        <w:rPr>
          <w:rFonts w:ascii="宋体" w:hAnsi="宋体" w:eastAsia="宋体" w:cs="宋体"/>
          <w:spacing w:val="-11"/>
          <w:sz w:val="21"/>
        </w:rPr>
        <w:t>采购人、采购代理机构认为供应商对采购过程、中标结果提出的质疑成立且影响或者可能影响中标结果的，合格供应商符合法定数量时，可以从合格的中标候选人中另行确定中标人的，应当依法另行确定</w:t>
      </w:r>
      <w:r>
        <w:rPr>
          <w:spacing w:val="-7"/>
          <w:sz w:val="21"/>
        </w:rPr>
        <w:t>中标人；否则应当重新开展采购活动。</w:t>
      </w:r>
    </w:p>
    <w:p>
      <w:pPr>
        <w:pStyle w:val="62"/>
        <w:numPr>
          <w:ilvl w:val="1"/>
          <w:numId w:val="58"/>
        </w:numPr>
        <w:tabs>
          <w:tab w:val="left" w:pos="1306"/>
        </w:tabs>
        <w:spacing w:line="465" w:lineRule="auto"/>
        <w:ind w:right="412" w:firstLine="420"/>
        <w:jc w:val="both"/>
        <w:rPr>
          <w:sz w:val="21"/>
        </w:rPr>
      </w:pPr>
      <w:r>
        <w:rPr>
          <w:rFonts w:ascii="宋体" w:hAnsi="宋体" w:eastAsia="宋体" w:cs="宋体"/>
          <w:spacing w:val="-11"/>
          <w:sz w:val="21"/>
        </w:rPr>
        <w:t>排名第一的中标候选人放弃中标、因不可抗力提出不能履行合同，采购人可以确定排名第二的中标候选人为中标人。排名第二的中标候选人因前款规定的同样原因不能签订合同的，采购人可以确定排名第</w:t>
      </w:r>
      <w:r>
        <w:rPr>
          <w:spacing w:val="-7"/>
          <w:sz w:val="21"/>
        </w:rPr>
        <w:t>三的中标候选人为中标人，以此类推。</w:t>
      </w:r>
    </w:p>
    <w:p>
      <w:pPr>
        <w:spacing w:line="465" w:lineRule="auto"/>
        <w:jc w:val="both"/>
        <w:rPr>
          <w:sz w:val="21"/>
        </w:rPr>
        <w:sectPr>
          <w:pgSz w:w="11910" w:h="16840"/>
          <w:pgMar w:top="1280" w:right="720" w:bottom="1380" w:left="720" w:header="0" w:footer="1200" w:gutter="0"/>
          <w:pgNumType w:fmt="decimal"/>
          <w:cols w:space="720" w:num="1"/>
        </w:sectPr>
      </w:pPr>
    </w:p>
    <w:p>
      <w:pPr>
        <w:numPr>
          <w:ilvl w:val="0"/>
          <w:numId w:val="59"/>
        </w:numPr>
        <w:tabs>
          <w:tab w:val="left" w:pos="836"/>
        </w:tabs>
        <w:spacing w:before="41"/>
        <w:ind w:hanging="424"/>
        <w:jc w:val="both"/>
        <w:rPr>
          <w:b/>
          <w:sz w:val="21"/>
        </w:rPr>
      </w:pPr>
      <w:r>
        <w:rPr>
          <w:b/>
          <w:sz w:val="21"/>
        </w:rPr>
        <w:t>结果公告</w:t>
      </w:r>
    </w:p>
    <w:p>
      <w:pPr>
        <w:pStyle w:val="19"/>
        <w:spacing w:before="8"/>
        <w:rPr>
          <w:b/>
          <w:sz w:val="19"/>
        </w:rPr>
      </w:pPr>
    </w:p>
    <w:p>
      <w:pPr>
        <w:pStyle w:val="62"/>
        <w:numPr>
          <w:ilvl w:val="1"/>
          <w:numId w:val="59"/>
        </w:numPr>
        <w:tabs>
          <w:tab w:val="left" w:pos="1306"/>
        </w:tabs>
        <w:spacing w:line="463" w:lineRule="auto"/>
        <w:ind w:right="410" w:firstLine="420"/>
        <w:jc w:val="both"/>
        <w:rPr>
          <w:sz w:val="21"/>
        </w:rPr>
      </w:pPr>
      <w:r>
        <w:rPr>
          <w:spacing w:val="-8"/>
          <w:sz w:val="21"/>
        </w:rPr>
        <w:t xml:space="preserve">中标人确定后，于中标人确定之日起 </w:t>
      </w:r>
      <w:r>
        <w:rPr>
          <w:sz w:val="21"/>
        </w:rPr>
        <w:t>2</w:t>
      </w:r>
      <w:r>
        <w:rPr>
          <w:spacing w:val="-11"/>
          <w:sz w:val="21"/>
        </w:rPr>
        <w:t xml:space="preserve"> 个工作日内，</w:t>
      </w:r>
      <w:r>
        <w:rPr>
          <w:rFonts w:ascii="宋体" w:hAnsi="宋体" w:eastAsia="宋体" w:cs="宋体"/>
          <w:spacing w:val="-8"/>
          <w:sz w:val="21"/>
        </w:rPr>
        <w:t>中标结果将在招标公告发布媒体上公告。采购人或者采购代理发出中标通知书前，应当对中标人信用进行查询，对列入失信被执行人、重大税收违法案件当事人名单、政府采购严重违法失信行为记录名单及其他不符合《中华人民共和国政府采购法》第二十二条规定条件的投</w:t>
      </w:r>
      <w:r>
        <w:rPr>
          <w:spacing w:val="-9"/>
          <w:sz w:val="21"/>
        </w:rPr>
        <w:t>标人，取消其中标资格，并确定排名第二的中标候选人为中标人。</w:t>
      </w:r>
    </w:p>
    <w:p>
      <w:pPr>
        <w:pStyle w:val="19"/>
        <w:spacing w:before="4" w:line="463" w:lineRule="auto"/>
        <w:ind w:left="412" w:right="412" w:firstLine="420"/>
        <w:rPr>
          <w:rFonts w:ascii="宋体" w:hAnsi="宋体" w:eastAsia="宋体" w:cs="宋体"/>
          <w:spacing w:val="-8"/>
          <w:sz w:val="21"/>
          <w:szCs w:val="22"/>
          <w:lang w:val="zh-CN" w:eastAsia="zh-CN" w:bidi="zh-CN"/>
        </w:rPr>
      </w:pPr>
      <w:r>
        <w:rPr>
          <w:rFonts w:ascii="宋体" w:hAnsi="宋体" w:eastAsia="宋体" w:cs="宋体"/>
          <w:spacing w:val="-8"/>
          <w:sz w:val="21"/>
          <w:szCs w:val="22"/>
          <w:lang w:val="zh-CN" w:eastAsia="zh-CN" w:bidi="zh-CN"/>
        </w:rPr>
        <w:t>排名第二的中标候选人因前款规定的同样原因被取消中标资格的，采购人可以确定排名第三的中标候选人为中标人，以此类推。</w:t>
      </w:r>
    </w:p>
    <w:p>
      <w:pPr>
        <w:pStyle w:val="19"/>
        <w:ind w:left="832"/>
      </w:pPr>
      <w:r>
        <w:t>以上信息查询记录及相关证据与采购文件一并保存。</w:t>
      </w:r>
    </w:p>
    <w:p>
      <w:pPr>
        <w:pStyle w:val="19"/>
        <w:spacing w:before="8"/>
        <w:rPr>
          <w:sz w:val="19"/>
        </w:rPr>
      </w:pPr>
    </w:p>
    <w:p>
      <w:pPr>
        <w:pStyle w:val="19"/>
        <w:spacing w:before="4" w:line="463" w:lineRule="auto"/>
        <w:ind w:left="412" w:right="412" w:firstLine="420"/>
        <w:rPr>
          <w:rFonts w:ascii="宋体" w:hAnsi="宋体" w:eastAsia="宋体" w:cs="宋体"/>
          <w:spacing w:val="-8"/>
          <w:sz w:val="21"/>
          <w:szCs w:val="22"/>
          <w:lang w:val="zh-CN" w:eastAsia="zh-CN" w:bidi="zh-CN"/>
        </w:rPr>
      </w:pPr>
      <w:r>
        <w:rPr>
          <w:rFonts w:ascii="宋体" w:hAnsi="宋体" w:eastAsia="宋体" w:cs="宋体"/>
          <w:spacing w:val="-8"/>
          <w:sz w:val="21"/>
          <w:szCs w:val="22"/>
          <w:lang w:val="zh-CN" w:eastAsia="zh-CN" w:bidi="zh-CN"/>
        </w:rPr>
        <w:t>中小企业在政府采购活动过程中，请根据企业的真实情况出具《中小企业声明函》。依法享受中小企业优惠政策的，采购人或者采购代理机构在公告中标结果时，同时公告其《中小企业声明函》，接受社会监督。</w:t>
      </w:r>
    </w:p>
    <w:p>
      <w:pPr>
        <w:numPr>
          <w:ilvl w:val="0"/>
          <w:numId w:val="59"/>
        </w:numPr>
        <w:tabs>
          <w:tab w:val="left" w:pos="732"/>
        </w:tabs>
        <w:spacing w:before="2"/>
        <w:ind w:left="732" w:hanging="320"/>
        <w:jc w:val="left"/>
        <w:rPr>
          <w:b/>
          <w:sz w:val="19"/>
        </w:rPr>
      </w:pPr>
      <w:r>
        <w:rPr>
          <w:b/>
          <w:sz w:val="21"/>
        </w:rPr>
        <w:t>发出中标通知书</w:t>
      </w:r>
    </w:p>
    <w:p>
      <w:pPr>
        <w:pStyle w:val="19"/>
        <w:spacing w:before="5"/>
        <w:rPr>
          <w:b/>
          <w:sz w:val="19"/>
        </w:rPr>
      </w:pPr>
    </w:p>
    <w:p>
      <w:pPr>
        <w:pStyle w:val="19"/>
        <w:spacing w:before="1" w:line="465" w:lineRule="auto"/>
        <w:ind w:left="412" w:right="364" w:firstLine="420"/>
      </w:pPr>
      <w:r>
        <w:t>在发布中标公告的同时，采购代理机构向中标人发出中标通知书。对未通过资格审查的投标人，应当告知其未通过的原因；采用综合评分办法评审的，还应当告知未中标人本人的评审得分与排序。</w:t>
      </w:r>
    </w:p>
    <w:p>
      <w:pPr>
        <w:pStyle w:val="62"/>
        <w:numPr>
          <w:ilvl w:val="0"/>
          <w:numId w:val="59"/>
        </w:numPr>
        <w:tabs>
          <w:tab w:val="left" w:pos="1253"/>
        </w:tabs>
        <w:spacing w:line="267" w:lineRule="exact"/>
        <w:ind w:left="1252" w:hanging="421"/>
        <w:jc w:val="left"/>
        <w:rPr>
          <w:sz w:val="21"/>
        </w:rPr>
      </w:pPr>
      <w:r>
        <w:rPr>
          <w:sz w:val="21"/>
        </w:rPr>
        <w:t>无义务解释未中标原因</w:t>
      </w:r>
    </w:p>
    <w:p>
      <w:pPr>
        <w:pStyle w:val="19"/>
        <w:spacing w:before="5"/>
        <w:rPr>
          <w:sz w:val="19"/>
        </w:rPr>
      </w:pPr>
    </w:p>
    <w:p>
      <w:pPr>
        <w:pStyle w:val="19"/>
        <w:spacing w:before="4" w:line="463" w:lineRule="auto"/>
        <w:ind w:left="412" w:right="412" w:firstLine="420"/>
        <w:rPr>
          <w:rFonts w:ascii="宋体" w:hAnsi="宋体" w:eastAsia="宋体" w:cs="宋体"/>
          <w:spacing w:val="-8"/>
          <w:sz w:val="21"/>
          <w:szCs w:val="22"/>
          <w:lang w:val="zh-CN" w:eastAsia="zh-CN" w:bidi="zh-CN"/>
        </w:rPr>
      </w:pPr>
      <w:r>
        <w:rPr>
          <w:rFonts w:ascii="宋体" w:hAnsi="宋体" w:eastAsia="宋体" w:cs="宋体"/>
          <w:spacing w:val="-8"/>
          <w:sz w:val="21"/>
          <w:szCs w:val="22"/>
          <w:lang w:val="zh-CN" w:eastAsia="zh-CN" w:bidi="zh-CN"/>
        </w:rPr>
        <w:t xml:space="preserve">采购代理机构无义务向未中标的投标人解释未中标原因和退还投标文件。 </w:t>
      </w:r>
    </w:p>
    <w:p>
      <w:pPr>
        <w:spacing w:line="465" w:lineRule="auto"/>
        <w:ind w:left="412" w:right="2913" w:firstLine="420"/>
        <w:rPr>
          <w:b/>
          <w:sz w:val="21"/>
        </w:rPr>
      </w:pPr>
      <w:r>
        <w:rPr>
          <w:b/>
          <w:sz w:val="21"/>
        </w:rPr>
        <w:t>34.合同授予标准</w:t>
      </w:r>
    </w:p>
    <w:p>
      <w:pPr>
        <w:pStyle w:val="19"/>
        <w:spacing w:before="4" w:line="463" w:lineRule="auto"/>
        <w:ind w:left="412" w:right="412" w:firstLine="420"/>
        <w:rPr>
          <w:rFonts w:ascii="宋体" w:hAnsi="宋体" w:eastAsia="宋体" w:cs="宋体"/>
          <w:spacing w:val="-8"/>
          <w:sz w:val="21"/>
          <w:szCs w:val="22"/>
          <w:lang w:val="zh-CN" w:eastAsia="zh-CN" w:bidi="zh-CN"/>
        </w:rPr>
      </w:pPr>
      <w:r>
        <w:rPr>
          <w:rFonts w:ascii="宋体" w:hAnsi="宋体" w:eastAsia="宋体" w:cs="宋体"/>
          <w:spacing w:val="-8"/>
          <w:sz w:val="21"/>
          <w:szCs w:val="22"/>
          <w:lang w:val="zh-CN" w:eastAsia="zh-CN" w:bidi="zh-CN"/>
        </w:rPr>
        <w:t>合同将授予被确定实质上响应招标文件要求，具备履行合同能力的中标人（招标文件另有约定多名中标人的除外）。</w:t>
      </w:r>
    </w:p>
    <w:p>
      <w:pPr>
        <w:numPr>
          <w:ilvl w:val="0"/>
          <w:numId w:val="60"/>
        </w:numPr>
        <w:tabs>
          <w:tab w:val="left" w:pos="732"/>
        </w:tabs>
        <w:rPr>
          <w:b/>
          <w:sz w:val="21"/>
        </w:rPr>
      </w:pPr>
      <w:r>
        <w:rPr>
          <w:b/>
          <w:sz w:val="21"/>
        </w:rPr>
        <w:t>履约保证金</w:t>
      </w:r>
    </w:p>
    <w:p>
      <w:pPr>
        <w:pStyle w:val="19"/>
        <w:spacing w:before="7"/>
        <w:rPr>
          <w:b/>
          <w:sz w:val="19"/>
        </w:rPr>
      </w:pPr>
    </w:p>
    <w:p>
      <w:pPr>
        <w:pStyle w:val="62"/>
        <w:numPr>
          <w:ilvl w:val="1"/>
          <w:numId w:val="60"/>
        </w:numPr>
        <w:tabs>
          <w:tab w:val="left" w:pos="1467"/>
        </w:tabs>
        <w:spacing w:line="463" w:lineRule="auto"/>
        <w:ind w:left="412" w:right="412" w:firstLine="525"/>
        <w:jc w:val="both"/>
        <w:rPr>
          <w:sz w:val="21"/>
        </w:rPr>
      </w:pPr>
      <w:r>
        <w:rPr>
          <w:sz w:val="21"/>
        </w:rPr>
        <w:t>履约保证金的金额、提交方式、退付的时间和条件详见 “投标人须知前附表”。中标人未按</w:t>
      </w:r>
      <w:r>
        <w:rPr>
          <w:rFonts w:ascii="宋体" w:hAnsi="宋体" w:eastAsia="宋体" w:cs="宋体"/>
          <w:spacing w:val="-8"/>
          <w:sz w:val="21"/>
          <w:szCs w:val="22"/>
          <w:lang w:val="zh-CN" w:eastAsia="zh-CN" w:bidi="zh-CN"/>
        </w:rPr>
        <w:t>规定提交履约保证金的，视为拒绝与采购人签订合同，采购人可以按照评标报告推荐的中标候选人名单排</w:t>
      </w:r>
      <w:r>
        <w:rPr>
          <w:spacing w:val="-2"/>
          <w:w w:val="95"/>
          <w:sz w:val="21"/>
        </w:rPr>
        <w:t xml:space="preserve">   </w:t>
      </w:r>
      <w:r>
        <w:rPr>
          <w:spacing w:val="-2"/>
          <w:sz w:val="21"/>
        </w:rPr>
        <w:t>序，确定下一候选人为中标人，也可以重新开展政府采购活动。</w:t>
      </w:r>
    </w:p>
    <w:p>
      <w:pPr>
        <w:pStyle w:val="62"/>
        <w:numPr>
          <w:ilvl w:val="1"/>
          <w:numId w:val="60"/>
        </w:numPr>
        <w:tabs>
          <w:tab w:val="left" w:pos="1412"/>
        </w:tabs>
        <w:spacing w:before="2" w:line="463" w:lineRule="auto"/>
        <w:ind w:left="412" w:right="412" w:firstLine="525"/>
        <w:jc w:val="both"/>
        <w:rPr>
          <w:sz w:val="21"/>
        </w:rPr>
      </w:pPr>
      <w:r>
        <w:rPr>
          <w:sz w:val="21"/>
        </w:rPr>
        <w:t>签订合同后，如中标人不按双方签订的合同规定履约，则没收其全部履约保证金，履约保证金不足以赔偿损失的，按实际损失赔偿。</w:t>
      </w:r>
    </w:p>
    <w:p>
      <w:pPr>
        <w:pStyle w:val="62"/>
        <w:numPr>
          <w:ilvl w:val="1"/>
          <w:numId w:val="60"/>
        </w:numPr>
        <w:tabs>
          <w:tab w:val="left" w:pos="1306"/>
        </w:tabs>
        <w:spacing w:before="1" w:line="465" w:lineRule="auto"/>
        <w:ind w:left="412" w:right="410" w:firstLine="420"/>
        <w:jc w:val="both"/>
        <w:rPr>
          <w:sz w:val="21"/>
        </w:rPr>
      </w:pPr>
      <w:r>
        <w:rPr>
          <w:rFonts w:ascii="宋体" w:hAnsi="宋体" w:eastAsia="宋体" w:cs="宋体"/>
          <w:spacing w:val="-8"/>
          <w:sz w:val="21"/>
          <w:szCs w:val="22"/>
          <w:lang w:val="zh-CN" w:eastAsia="zh-CN" w:bidi="zh-CN"/>
        </w:rPr>
        <w:t>在履约保证金退还日期前，若中标人的开户名称、开户银行、帐号有变动的，请以书面形式通知履约保</w:t>
      </w:r>
      <w:r>
        <w:rPr>
          <w:spacing w:val="-5"/>
          <w:sz w:val="21"/>
        </w:rPr>
        <w:t>证金收取单位，否则由此产生的后果由中标人自行承担。</w:t>
      </w:r>
    </w:p>
    <w:p>
      <w:pPr>
        <w:spacing w:line="465" w:lineRule="auto"/>
        <w:jc w:val="both"/>
        <w:rPr>
          <w:sz w:val="21"/>
        </w:rPr>
        <w:sectPr>
          <w:pgSz w:w="11910" w:h="16840"/>
          <w:pgMar w:top="1280" w:right="720" w:bottom="1380" w:left="720" w:header="0" w:footer="1200" w:gutter="0"/>
          <w:pgNumType w:fmt="decimal"/>
          <w:cols w:space="720" w:num="1"/>
        </w:sectPr>
      </w:pPr>
    </w:p>
    <w:p>
      <w:pPr>
        <w:numPr>
          <w:ilvl w:val="0"/>
          <w:numId w:val="60"/>
        </w:numPr>
        <w:tabs>
          <w:tab w:val="left" w:pos="732"/>
        </w:tabs>
        <w:spacing w:before="41"/>
        <w:rPr>
          <w:b/>
          <w:sz w:val="21"/>
        </w:rPr>
      </w:pPr>
      <w:r>
        <w:rPr>
          <w:b/>
          <w:sz w:val="21"/>
        </w:rPr>
        <w:t>签订合同</w:t>
      </w:r>
    </w:p>
    <w:p>
      <w:pPr>
        <w:pStyle w:val="19"/>
        <w:spacing w:before="8"/>
        <w:rPr>
          <w:b/>
          <w:sz w:val="19"/>
        </w:rPr>
      </w:pPr>
    </w:p>
    <w:p>
      <w:pPr>
        <w:pStyle w:val="62"/>
        <w:numPr>
          <w:ilvl w:val="1"/>
          <w:numId w:val="60"/>
        </w:numPr>
        <w:tabs>
          <w:tab w:val="left" w:pos="1306"/>
        </w:tabs>
        <w:spacing w:line="465" w:lineRule="auto"/>
        <w:ind w:left="412" w:right="410" w:firstLine="420"/>
        <w:rPr>
          <w:sz w:val="21"/>
        </w:rPr>
      </w:pPr>
      <w:r>
        <w:rPr>
          <w:rFonts w:ascii="宋体" w:hAnsi="宋体" w:eastAsia="宋体" w:cs="宋体"/>
          <w:spacing w:val="-8"/>
          <w:sz w:val="21"/>
          <w:szCs w:val="22"/>
          <w:lang w:val="zh-CN" w:eastAsia="zh-CN" w:bidi="zh-CN"/>
        </w:rPr>
        <w:t>投标人领取中标通知书后，按“投标人须知前附表”规定向采购人出示相关证明材料，经采购人核</w:t>
      </w:r>
      <w:r>
        <w:rPr>
          <w:spacing w:val="-6"/>
          <w:sz w:val="21"/>
        </w:rPr>
        <w:t>验合格后方可签订合同。</w:t>
      </w:r>
    </w:p>
    <w:p>
      <w:pPr>
        <w:pStyle w:val="62"/>
        <w:numPr>
          <w:ilvl w:val="1"/>
          <w:numId w:val="60"/>
        </w:numPr>
        <w:tabs>
          <w:tab w:val="left" w:pos="1306"/>
        </w:tabs>
        <w:spacing w:line="264" w:lineRule="exact"/>
        <w:ind w:hanging="474"/>
        <w:rPr>
          <w:sz w:val="21"/>
        </w:rPr>
      </w:pPr>
      <w:r>
        <w:rPr>
          <w:sz w:val="21"/>
        </w:rPr>
        <w:t>签订合同时间：按中标通知书规定的时间与采购人签订合同。</w:t>
      </w:r>
    </w:p>
    <w:p>
      <w:pPr>
        <w:pStyle w:val="19"/>
        <w:spacing w:before="8"/>
        <w:rPr>
          <w:sz w:val="19"/>
        </w:rPr>
      </w:pPr>
    </w:p>
    <w:p>
      <w:pPr>
        <w:pStyle w:val="62"/>
        <w:numPr>
          <w:ilvl w:val="1"/>
          <w:numId w:val="60"/>
        </w:numPr>
        <w:tabs>
          <w:tab w:val="left" w:pos="1306"/>
        </w:tabs>
        <w:spacing w:line="465" w:lineRule="auto"/>
        <w:ind w:left="412" w:right="412" w:firstLine="420"/>
        <w:rPr>
          <w:sz w:val="21"/>
        </w:rPr>
      </w:pPr>
      <w:r>
        <w:rPr>
          <w:spacing w:val="-4"/>
          <w:sz w:val="21"/>
        </w:rPr>
        <w:t>中标人拒绝与采购人签订合同的，采购人可以按照评审报告推荐的中标候选人名单排序，确定下一候选人为中标人，也可以重新开展政府采购活动。</w:t>
      </w:r>
    </w:p>
    <w:p>
      <w:pPr>
        <w:numPr>
          <w:ilvl w:val="0"/>
          <w:numId w:val="60"/>
        </w:numPr>
        <w:tabs>
          <w:tab w:val="left" w:pos="732"/>
        </w:tabs>
        <w:spacing w:line="264" w:lineRule="exact"/>
        <w:rPr>
          <w:b/>
          <w:sz w:val="21"/>
        </w:rPr>
      </w:pPr>
      <w:r>
        <w:rPr>
          <w:b/>
          <w:sz w:val="21"/>
        </w:rPr>
        <w:t>政府采购合同公告</w:t>
      </w:r>
    </w:p>
    <w:p>
      <w:pPr>
        <w:pStyle w:val="19"/>
        <w:spacing w:before="8"/>
        <w:rPr>
          <w:b/>
          <w:sz w:val="19"/>
        </w:rPr>
      </w:pPr>
    </w:p>
    <w:p>
      <w:pPr>
        <w:pStyle w:val="19"/>
        <w:spacing w:before="1" w:line="465" w:lineRule="auto"/>
        <w:ind w:left="412" w:right="412" w:firstLine="420"/>
      </w:pPr>
      <w:r>
        <w:rPr>
          <w:spacing w:val="-3"/>
        </w:rPr>
        <w:t xml:space="preserve">采购人或者受托采购代理机构应当自政府采购合同签订之日起 </w:t>
      </w:r>
      <w:r>
        <w:t>2</w:t>
      </w:r>
      <w:r>
        <w:rPr>
          <w:spacing w:val="-10"/>
        </w:rPr>
        <w:t xml:space="preserve"> 个工作日内，将政府采购合同在省级以上人民政府财政部门指定的媒体上公告，但政府采购合同中涉及国家秘密、商业秘密的内容除外。</w:t>
      </w:r>
    </w:p>
    <w:p>
      <w:pPr>
        <w:numPr>
          <w:ilvl w:val="0"/>
          <w:numId w:val="60"/>
        </w:numPr>
        <w:tabs>
          <w:tab w:val="left" w:pos="836"/>
        </w:tabs>
        <w:spacing w:line="264" w:lineRule="exact"/>
        <w:ind w:left="835" w:hanging="424"/>
        <w:rPr>
          <w:b/>
          <w:sz w:val="21"/>
        </w:rPr>
      </w:pPr>
      <w:r>
        <w:rPr>
          <w:b/>
          <w:sz w:val="21"/>
        </w:rPr>
        <w:t>询问、质疑和投诉</w:t>
      </w:r>
    </w:p>
    <w:p>
      <w:pPr>
        <w:pStyle w:val="19"/>
        <w:spacing w:before="8"/>
        <w:rPr>
          <w:b/>
          <w:sz w:val="19"/>
        </w:rPr>
      </w:pPr>
    </w:p>
    <w:p>
      <w:pPr>
        <w:pStyle w:val="62"/>
        <w:numPr>
          <w:ilvl w:val="1"/>
          <w:numId w:val="60"/>
        </w:numPr>
        <w:tabs>
          <w:tab w:val="left" w:pos="1306"/>
        </w:tabs>
        <w:spacing w:line="465" w:lineRule="auto"/>
        <w:ind w:left="412" w:right="412" w:firstLine="420"/>
        <w:rPr>
          <w:sz w:val="21"/>
        </w:rPr>
      </w:pPr>
      <w:r>
        <w:rPr>
          <w:rFonts w:ascii="宋体" w:hAnsi="宋体" w:eastAsia="宋体" w:cs="宋体"/>
          <w:sz w:val="21"/>
        </w:rPr>
        <w:t>供应商对政府采购活动事项有疑问的，可以向采购人提出询问，采购人应当及时作出答复，但答复</w:t>
      </w:r>
      <w:r>
        <w:rPr>
          <w:spacing w:val="-4"/>
          <w:sz w:val="21"/>
        </w:rPr>
        <w:t>的内容不得涉及商业秘密。</w:t>
      </w:r>
    </w:p>
    <w:p>
      <w:pPr>
        <w:pStyle w:val="62"/>
        <w:numPr>
          <w:ilvl w:val="1"/>
          <w:numId w:val="60"/>
        </w:numPr>
        <w:tabs>
          <w:tab w:val="left" w:pos="1412"/>
        </w:tabs>
        <w:spacing w:line="463" w:lineRule="auto"/>
        <w:ind w:left="412" w:right="410" w:firstLine="525"/>
        <w:jc w:val="both"/>
        <w:rPr>
          <w:sz w:val="21"/>
        </w:rPr>
      </w:pPr>
      <w:r>
        <w:rPr>
          <w:sz w:val="21"/>
        </w:rPr>
        <w:t>供应商认为招标文件、采购过程或者中标结果使自己的合法权益受到损害的，必须在知道或者</w:t>
      </w:r>
      <w:r>
        <w:rPr>
          <w:spacing w:val="-5"/>
          <w:sz w:val="21"/>
        </w:rPr>
        <w:t xml:space="preserve">应知其权益受到损害之日起 </w:t>
      </w:r>
      <w:r>
        <w:rPr>
          <w:sz w:val="21"/>
        </w:rPr>
        <w:t>7</w:t>
      </w:r>
      <w:r>
        <w:rPr>
          <w:spacing w:val="-9"/>
          <w:sz w:val="21"/>
        </w:rPr>
        <w:t xml:space="preserve"> 个工作日内，以书面形式向采购人、采购代理机构提出质疑。采购人、采购</w:t>
      </w:r>
      <w:r>
        <w:rPr>
          <w:spacing w:val="-9"/>
          <w:w w:val="95"/>
          <w:sz w:val="21"/>
        </w:rPr>
        <w:t>代</w:t>
      </w:r>
      <w:r>
        <w:rPr>
          <w:rFonts w:ascii="宋体" w:hAnsi="宋体" w:eastAsia="宋体" w:cs="宋体"/>
          <w:sz w:val="21"/>
        </w:rPr>
        <w:t>理机构接收质疑函的方式、联系部门、联系电话和通讯地址等信息详见“投标人须知前附表”。具体质   疑</w:t>
      </w:r>
      <w:r>
        <w:rPr>
          <w:spacing w:val="-9"/>
          <w:sz w:val="21"/>
        </w:rPr>
        <w:t>起算时间如下：</w:t>
      </w:r>
    </w:p>
    <w:p>
      <w:pPr>
        <w:pStyle w:val="62"/>
        <w:numPr>
          <w:ilvl w:val="0"/>
          <w:numId w:val="61"/>
        </w:numPr>
        <w:tabs>
          <w:tab w:val="left" w:pos="1360"/>
        </w:tabs>
        <w:ind w:hanging="528"/>
        <w:rPr>
          <w:sz w:val="21"/>
        </w:rPr>
      </w:pPr>
      <w:r>
        <w:rPr>
          <w:sz w:val="21"/>
        </w:rPr>
        <w:t>对可以质疑的招标文件提出质疑的，为收到招标文件之日或者招标文件公告期限届满之日；</w:t>
      </w:r>
    </w:p>
    <w:p>
      <w:pPr>
        <w:pStyle w:val="19"/>
        <w:spacing w:before="7"/>
        <w:rPr>
          <w:sz w:val="19"/>
        </w:rPr>
      </w:pPr>
    </w:p>
    <w:p>
      <w:pPr>
        <w:pStyle w:val="62"/>
        <w:numPr>
          <w:ilvl w:val="0"/>
          <w:numId w:val="61"/>
        </w:numPr>
        <w:tabs>
          <w:tab w:val="left" w:pos="1360"/>
        </w:tabs>
        <w:ind w:hanging="528"/>
        <w:rPr>
          <w:sz w:val="21"/>
        </w:rPr>
      </w:pPr>
      <w:r>
        <w:rPr>
          <w:sz w:val="21"/>
        </w:rPr>
        <w:t>对采购过程提出质疑的，为各采购程序环节结束之日；</w:t>
      </w:r>
    </w:p>
    <w:p>
      <w:pPr>
        <w:pStyle w:val="19"/>
        <w:spacing w:before="6"/>
        <w:rPr>
          <w:sz w:val="19"/>
        </w:rPr>
      </w:pPr>
    </w:p>
    <w:p>
      <w:pPr>
        <w:pStyle w:val="62"/>
        <w:numPr>
          <w:ilvl w:val="0"/>
          <w:numId w:val="61"/>
        </w:numPr>
        <w:tabs>
          <w:tab w:val="left" w:pos="1360"/>
        </w:tabs>
        <w:ind w:hanging="528"/>
        <w:rPr>
          <w:sz w:val="21"/>
        </w:rPr>
      </w:pPr>
      <w:r>
        <w:rPr>
          <w:sz w:val="21"/>
        </w:rPr>
        <w:t>对中标结果提出质疑的，为中标结果公告期限届满之日。</w:t>
      </w:r>
    </w:p>
    <w:p>
      <w:pPr>
        <w:pStyle w:val="19"/>
        <w:spacing w:before="8"/>
        <w:rPr>
          <w:sz w:val="19"/>
        </w:rPr>
      </w:pPr>
    </w:p>
    <w:p>
      <w:pPr>
        <w:pStyle w:val="19"/>
        <w:spacing w:line="465" w:lineRule="auto"/>
        <w:ind w:left="412" w:right="341" w:firstLine="420"/>
      </w:pPr>
      <w:r>
        <w:rPr>
          <w:rFonts w:ascii="宋体" w:hAnsi="宋体" w:eastAsia="宋体" w:cs="宋体"/>
          <w:sz w:val="21"/>
          <w:szCs w:val="22"/>
          <w:lang w:val="zh-CN" w:eastAsia="zh-CN" w:bidi="zh-CN"/>
        </w:rPr>
        <w:t>供应商对采购人、采购代理机构的质疑答复不满意，或者采购人、采购代理机构未在规定时间内作出</w:t>
      </w:r>
      <w:r>
        <w:t>答复的，可以在答复期满后十五个工作日内向同级政府采购监管部门投诉。</w:t>
      </w:r>
    </w:p>
    <w:p>
      <w:pPr>
        <w:numPr>
          <w:ilvl w:val="1"/>
          <w:numId w:val="60"/>
        </w:numPr>
        <w:tabs>
          <w:tab w:val="left" w:pos="1464"/>
        </w:tabs>
        <w:spacing w:line="465" w:lineRule="auto"/>
        <w:ind w:left="412" w:right="381" w:firstLine="525"/>
        <w:rPr>
          <w:b/>
          <w:sz w:val="21"/>
        </w:rPr>
      </w:pPr>
      <w:r>
        <w:rPr>
          <w:b/>
          <w:spacing w:val="-3"/>
          <w:sz w:val="21"/>
        </w:rPr>
        <w:t>供应商提出质疑应当提交质疑函和必要的证明材料，针对同一采购程序环节的质疑必须在法定质疑期内一次性提出。质疑函应当包括下列内容（质疑函格式后附）：</w:t>
      </w:r>
    </w:p>
    <w:p>
      <w:pPr>
        <w:pStyle w:val="62"/>
        <w:numPr>
          <w:ilvl w:val="0"/>
          <w:numId w:val="62"/>
        </w:numPr>
        <w:tabs>
          <w:tab w:val="left" w:pos="1360"/>
        </w:tabs>
        <w:spacing w:line="267" w:lineRule="exact"/>
        <w:ind w:hanging="528"/>
        <w:rPr>
          <w:sz w:val="21"/>
        </w:rPr>
      </w:pPr>
      <w:r>
        <w:rPr>
          <w:sz w:val="21"/>
        </w:rPr>
        <w:t>供应商的姓名或者名称、地址、邮编、联系人及联系电话；</w:t>
      </w:r>
    </w:p>
    <w:p>
      <w:pPr>
        <w:pStyle w:val="19"/>
        <w:spacing w:before="1"/>
        <w:rPr>
          <w:sz w:val="19"/>
        </w:rPr>
      </w:pPr>
    </w:p>
    <w:p>
      <w:pPr>
        <w:pStyle w:val="62"/>
        <w:numPr>
          <w:ilvl w:val="0"/>
          <w:numId w:val="62"/>
        </w:numPr>
        <w:tabs>
          <w:tab w:val="left" w:pos="1360"/>
        </w:tabs>
        <w:ind w:hanging="528"/>
        <w:rPr>
          <w:sz w:val="21"/>
        </w:rPr>
      </w:pPr>
      <w:r>
        <w:rPr>
          <w:sz w:val="21"/>
        </w:rPr>
        <w:t>质疑项目的名称、编号；</w:t>
      </w:r>
    </w:p>
    <w:p>
      <w:pPr>
        <w:pStyle w:val="19"/>
        <w:spacing w:before="9"/>
        <w:rPr>
          <w:sz w:val="19"/>
        </w:rPr>
      </w:pPr>
    </w:p>
    <w:p>
      <w:pPr>
        <w:pStyle w:val="62"/>
        <w:numPr>
          <w:ilvl w:val="0"/>
          <w:numId w:val="62"/>
        </w:numPr>
        <w:tabs>
          <w:tab w:val="left" w:pos="1360"/>
        </w:tabs>
        <w:ind w:hanging="528"/>
        <w:rPr>
          <w:sz w:val="21"/>
        </w:rPr>
      </w:pPr>
      <w:r>
        <w:rPr>
          <w:sz w:val="21"/>
        </w:rPr>
        <w:t>具体、明确的质疑事项和与质疑事项相关的请求；</w:t>
      </w:r>
    </w:p>
    <w:p>
      <w:pPr>
        <w:pStyle w:val="19"/>
        <w:spacing w:before="8"/>
        <w:rPr>
          <w:sz w:val="19"/>
        </w:rPr>
      </w:pPr>
    </w:p>
    <w:p>
      <w:pPr>
        <w:pStyle w:val="62"/>
        <w:numPr>
          <w:ilvl w:val="0"/>
          <w:numId w:val="62"/>
        </w:numPr>
        <w:tabs>
          <w:tab w:val="left" w:pos="1360"/>
        </w:tabs>
        <w:ind w:hanging="528"/>
        <w:rPr>
          <w:sz w:val="21"/>
        </w:rPr>
      </w:pPr>
      <w:r>
        <w:rPr>
          <w:sz w:val="21"/>
        </w:rPr>
        <w:t>事实依据；</w:t>
      </w:r>
    </w:p>
    <w:p>
      <w:pPr>
        <w:rPr>
          <w:sz w:val="21"/>
        </w:rPr>
        <w:sectPr>
          <w:pgSz w:w="11910" w:h="16840"/>
          <w:pgMar w:top="1280" w:right="720" w:bottom="1380" w:left="720" w:header="0" w:footer="1200" w:gutter="0"/>
          <w:pgNumType w:fmt="decimal"/>
          <w:cols w:space="720" w:num="1"/>
        </w:sectPr>
      </w:pPr>
    </w:p>
    <w:p>
      <w:pPr>
        <w:pStyle w:val="62"/>
        <w:numPr>
          <w:ilvl w:val="0"/>
          <w:numId w:val="62"/>
        </w:numPr>
        <w:tabs>
          <w:tab w:val="left" w:pos="1360"/>
        </w:tabs>
        <w:spacing w:before="41"/>
        <w:ind w:hanging="528"/>
        <w:rPr>
          <w:sz w:val="21"/>
        </w:rPr>
      </w:pPr>
      <w:r>
        <w:rPr>
          <w:rFonts w:ascii="宋体" w:hAnsi="宋体" w:eastAsia="宋体" w:cs="宋体"/>
          <w:sz w:val="21"/>
        </w:rPr>
        <w:t>必要的法律依据</w:t>
      </w:r>
      <w:r>
        <w:rPr>
          <w:w w:val="95"/>
          <w:sz w:val="21"/>
        </w:rPr>
        <w:t>；</w:t>
      </w:r>
    </w:p>
    <w:p>
      <w:pPr>
        <w:pStyle w:val="19"/>
        <w:spacing w:before="8"/>
        <w:rPr>
          <w:sz w:val="19"/>
        </w:rPr>
      </w:pPr>
    </w:p>
    <w:p>
      <w:pPr>
        <w:pStyle w:val="62"/>
        <w:numPr>
          <w:ilvl w:val="0"/>
          <w:numId w:val="62"/>
        </w:numPr>
        <w:tabs>
          <w:tab w:val="left" w:pos="1360"/>
        </w:tabs>
        <w:ind w:hanging="528"/>
        <w:rPr>
          <w:sz w:val="21"/>
        </w:rPr>
      </w:pPr>
      <w:r>
        <w:rPr>
          <w:rFonts w:ascii="宋体" w:hAnsi="宋体" w:eastAsia="宋体" w:cs="宋体"/>
          <w:sz w:val="21"/>
        </w:rPr>
        <w:t>提出质疑的日期</w:t>
      </w:r>
      <w:r>
        <w:rPr>
          <w:w w:val="95"/>
          <w:sz w:val="21"/>
        </w:rPr>
        <w:t>。</w:t>
      </w:r>
    </w:p>
    <w:p>
      <w:pPr>
        <w:pStyle w:val="19"/>
        <w:spacing w:before="8"/>
        <w:rPr>
          <w:sz w:val="19"/>
        </w:rPr>
      </w:pPr>
    </w:p>
    <w:p>
      <w:pPr>
        <w:pStyle w:val="19"/>
        <w:spacing w:line="463" w:lineRule="auto"/>
        <w:ind w:left="412" w:right="392" w:firstLine="420"/>
        <w:rPr>
          <w:rFonts w:ascii="宋体" w:hAnsi="宋体" w:eastAsia="宋体" w:cs="宋体"/>
          <w:sz w:val="21"/>
          <w:szCs w:val="22"/>
          <w:lang w:val="zh-CN" w:eastAsia="zh-CN" w:bidi="zh-CN"/>
        </w:rPr>
      </w:pPr>
      <w:r>
        <w:rPr>
          <w:rFonts w:ascii="宋体" w:hAnsi="宋体" w:eastAsia="宋体" w:cs="宋体"/>
          <w:sz w:val="21"/>
          <w:szCs w:val="22"/>
          <w:lang w:val="zh-CN" w:eastAsia="zh-CN" w:bidi="zh-CN"/>
        </w:rPr>
        <w:t>供应商为法人或者其他组织的，应当由法定代表人、主要负责人，或者其委托代理人签字或者盖章，   并加盖公章。</w:t>
      </w:r>
    </w:p>
    <w:p>
      <w:pPr>
        <w:numPr>
          <w:ilvl w:val="1"/>
          <w:numId w:val="60"/>
        </w:numPr>
        <w:tabs>
          <w:tab w:val="left" w:pos="1313"/>
        </w:tabs>
        <w:spacing w:before="1" w:line="465" w:lineRule="auto"/>
        <w:ind w:left="412" w:right="376" w:firstLine="420"/>
        <w:rPr>
          <w:b/>
          <w:sz w:val="21"/>
        </w:rPr>
      </w:pPr>
      <w:r>
        <w:rPr>
          <w:b/>
          <w:spacing w:val="3"/>
          <w:w w:val="95"/>
          <w:sz w:val="21"/>
        </w:rPr>
        <w:t xml:space="preserve">采购人、采购代理机构认为供应商质疑不成立，或者成立但未对中标结果构成影响的，继续开  </w:t>
      </w:r>
      <w:r>
        <w:rPr>
          <w:b/>
          <w:spacing w:val="3"/>
          <w:sz w:val="21"/>
        </w:rPr>
        <w:t>展采购活动；认为供应商质疑成立且影响或者可能影响中标结果的，按照下列情况处理：</w:t>
      </w:r>
    </w:p>
    <w:p>
      <w:pPr>
        <w:pStyle w:val="19"/>
        <w:spacing w:line="465" w:lineRule="auto"/>
        <w:ind w:left="412" w:right="340" w:firstLine="420"/>
      </w:pPr>
      <w:r>
        <w:rPr>
          <w:w w:val="95"/>
        </w:rPr>
        <w:t>（一）</w:t>
      </w:r>
      <w:r>
        <w:rPr>
          <w:rFonts w:ascii="宋体" w:hAnsi="宋体" w:eastAsia="宋体" w:cs="宋体"/>
          <w:sz w:val="21"/>
          <w:szCs w:val="22"/>
          <w:lang w:val="zh-CN" w:eastAsia="zh-CN" w:bidi="zh-CN"/>
        </w:rPr>
        <w:t>对招标文件提出的质疑，依法通过澄清或者修改可以继续开展采购活动的，澄清或者修改招标</w:t>
      </w:r>
      <w:r>
        <w:t>文件后继续开展采购活动；否则应当修改招标文件后重新开展采购活动。</w:t>
      </w:r>
    </w:p>
    <w:p>
      <w:pPr>
        <w:pStyle w:val="19"/>
        <w:spacing w:line="463" w:lineRule="auto"/>
        <w:ind w:left="412" w:right="340" w:firstLine="420"/>
      </w:pPr>
      <w:r>
        <w:rPr>
          <w:w w:val="95"/>
        </w:rPr>
        <w:t>（二）</w:t>
      </w:r>
      <w:r>
        <w:rPr>
          <w:rFonts w:ascii="宋体" w:hAnsi="宋体" w:eastAsia="宋体" w:cs="宋体"/>
        </w:rPr>
        <w:t>对采购过程、中标结果提出的质疑，合格供应商符合法定数量时，可以从合格的中标候选人中</w:t>
      </w:r>
      <w:r>
        <w:t>另行确定中标供应商的，应当依法另行确定中标供应商；否则应当重新开展采购活动。</w:t>
      </w:r>
    </w:p>
    <w:p>
      <w:pPr>
        <w:pStyle w:val="19"/>
        <w:ind w:left="832"/>
      </w:pPr>
      <w:r>
        <w:t>质疑答复导致中标结果改变的，采购人或者采购代理机构应当将有关情况书面报告本级财政部门。</w:t>
      </w:r>
    </w:p>
    <w:p>
      <w:pPr>
        <w:pStyle w:val="19"/>
        <w:spacing w:before="2"/>
        <w:rPr>
          <w:sz w:val="19"/>
        </w:rPr>
      </w:pPr>
    </w:p>
    <w:p>
      <w:pPr>
        <w:numPr>
          <w:ilvl w:val="1"/>
          <w:numId w:val="60"/>
        </w:numPr>
        <w:tabs>
          <w:tab w:val="left" w:pos="1308"/>
        </w:tabs>
        <w:spacing w:line="463" w:lineRule="auto"/>
        <w:ind w:left="412" w:right="376" w:firstLine="420"/>
        <w:jc w:val="both"/>
        <w:rPr>
          <w:b/>
          <w:sz w:val="21"/>
        </w:rPr>
      </w:pPr>
      <w:r>
        <w:rPr>
          <w:rFonts w:ascii="宋体" w:hAnsi="宋体" w:eastAsia="宋体" w:cs="宋体"/>
          <w:b/>
          <w:sz w:val="21"/>
        </w:rPr>
        <w:t>投诉的权利。质疑供应商对采购人、采购代理机构的答复不满意，或者采购</w:t>
      </w:r>
      <w:r>
        <w:rPr>
          <w:b/>
          <w:spacing w:val="3"/>
          <w:w w:val="95"/>
          <w:sz w:val="21"/>
        </w:rPr>
        <w:t>人、</w:t>
      </w:r>
      <w:r>
        <w:rPr>
          <w:rFonts w:ascii="宋体" w:hAnsi="宋体" w:eastAsia="宋体" w:cs="宋体"/>
          <w:b/>
          <w:sz w:val="21"/>
        </w:rPr>
        <w:t>采购代理机构</w:t>
      </w:r>
      <w:r>
        <w:rPr>
          <w:b/>
          <w:spacing w:val="-4"/>
          <w:sz w:val="21"/>
        </w:rPr>
        <w:t xml:space="preserve">未在规定时间内作出答复的，可以在答复期满后 </w:t>
      </w:r>
      <w:r>
        <w:rPr>
          <w:b/>
          <w:sz w:val="21"/>
        </w:rPr>
        <w:t>15</w:t>
      </w:r>
      <w:r>
        <w:rPr>
          <w:b/>
          <w:spacing w:val="-6"/>
          <w:sz w:val="21"/>
        </w:rPr>
        <w:t xml:space="preserve"> 个工作日内向《政府采购质疑和投诉办法》</w:t>
      </w:r>
      <w:r>
        <w:rPr>
          <w:b/>
          <w:sz w:val="21"/>
        </w:rPr>
        <w:t>（</w:t>
      </w:r>
      <w:r>
        <w:rPr>
          <w:b/>
          <w:spacing w:val="2"/>
          <w:sz w:val="21"/>
        </w:rPr>
        <w:t>财政部</w:t>
      </w:r>
      <w:r>
        <w:rPr>
          <w:b/>
          <w:spacing w:val="-16"/>
          <w:sz w:val="21"/>
        </w:rPr>
        <w:t xml:space="preserve">令第 </w:t>
      </w:r>
      <w:r>
        <w:rPr>
          <w:b/>
          <w:sz w:val="21"/>
        </w:rPr>
        <w:t>94</w:t>
      </w:r>
      <w:r>
        <w:rPr>
          <w:b/>
          <w:spacing w:val="-28"/>
          <w:sz w:val="21"/>
        </w:rPr>
        <w:t xml:space="preserve"> 号</w:t>
      </w:r>
      <w:r>
        <w:rPr>
          <w:b/>
          <w:sz w:val="21"/>
        </w:rPr>
        <w:t>）第六条规定的财政部门提起投诉（投诉书格式后附）。</w:t>
      </w:r>
    </w:p>
    <w:p>
      <w:pPr>
        <w:pStyle w:val="19"/>
        <w:spacing w:before="5"/>
        <w:rPr>
          <w:b/>
          <w:sz w:val="20"/>
        </w:rPr>
      </w:pPr>
    </w:p>
    <w:p>
      <w:pPr>
        <w:ind w:left="3" w:right="1"/>
        <w:jc w:val="center"/>
        <w:outlineLvl w:val="1"/>
        <w:rPr>
          <w:b/>
          <w:sz w:val="21"/>
        </w:rPr>
      </w:pPr>
      <w:bookmarkStart w:id="26" w:name="_Toc29914"/>
      <w:r>
        <w:rPr>
          <w:b/>
          <w:sz w:val="21"/>
        </w:rPr>
        <w:t>八、其他事项</w:t>
      </w:r>
      <w:bookmarkEnd w:id="26"/>
    </w:p>
    <w:p>
      <w:pPr>
        <w:pStyle w:val="19"/>
        <w:rPr>
          <w:b/>
          <w:sz w:val="20"/>
        </w:rPr>
      </w:pPr>
    </w:p>
    <w:p>
      <w:pPr>
        <w:pStyle w:val="19"/>
        <w:spacing w:before="11"/>
        <w:rPr>
          <w:b/>
          <w:sz w:val="19"/>
        </w:rPr>
      </w:pPr>
    </w:p>
    <w:p>
      <w:pPr>
        <w:numPr>
          <w:ilvl w:val="0"/>
          <w:numId w:val="60"/>
        </w:numPr>
        <w:tabs>
          <w:tab w:val="left" w:pos="732"/>
        </w:tabs>
        <w:rPr>
          <w:b/>
          <w:sz w:val="21"/>
        </w:rPr>
      </w:pPr>
      <w:r>
        <w:rPr>
          <w:b/>
          <w:sz w:val="21"/>
        </w:rPr>
        <w:t>代理服务费</w:t>
      </w:r>
    </w:p>
    <w:p>
      <w:pPr>
        <w:pStyle w:val="19"/>
        <w:spacing w:before="8"/>
        <w:rPr>
          <w:b/>
          <w:sz w:val="19"/>
        </w:rPr>
      </w:pPr>
    </w:p>
    <w:p>
      <w:pPr>
        <w:pStyle w:val="62"/>
        <w:numPr>
          <w:ilvl w:val="1"/>
          <w:numId w:val="60"/>
        </w:numPr>
        <w:tabs>
          <w:tab w:val="left" w:pos="1306"/>
        </w:tabs>
        <w:ind w:hanging="474"/>
        <w:rPr>
          <w:sz w:val="21"/>
        </w:rPr>
      </w:pPr>
      <w:r>
        <w:rPr>
          <w:sz w:val="21"/>
        </w:rPr>
        <w:t>代理服务收费标准及缴费账户详见“投标人须知前附表”。</w:t>
      </w:r>
    </w:p>
    <w:p>
      <w:pPr>
        <w:pStyle w:val="19"/>
        <w:spacing w:before="6"/>
        <w:rPr>
          <w:sz w:val="19"/>
        </w:rPr>
      </w:pPr>
    </w:p>
    <w:p>
      <w:pPr>
        <w:pStyle w:val="62"/>
        <w:numPr>
          <w:ilvl w:val="1"/>
          <w:numId w:val="60"/>
        </w:numPr>
        <w:tabs>
          <w:tab w:val="left" w:pos="1306"/>
        </w:tabs>
        <w:spacing w:after="46"/>
        <w:ind w:hanging="474"/>
        <w:rPr>
          <w:sz w:val="21"/>
        </w:rPr>
      </w:pPr>
      <w:r>
        <mc:AlternateContent>
          <mc:Choice Requires="wps">
            <w:drawing>
              <wp:anchor distT="0" distB="0" distL="114300" distR="114300" simplePos="0" relativeHeight="251670528" behindDoc="1" locked="0" layoutInCell="1" allowOverlap="1">
                <wp:simplePos x="0" y="0"/>
                <wp:positionH relativeFrom="page">
                  <wp:posOffset>653415</wp:posOffset>
                </wp:positionH>
                <wp:positionV relativeFrom="paragraph">
                  <wp:posOffset>205105</wp:posOffset>
                </wp:positionV>
                <wp:extent cx="2558415" cy="663575"/>
                <wp:effectExtent l="1270" t="4445" r="5715" b="5080"/>
                <wp:wrapNone/>
                <wp:docPr id="46" name="直线 29"/>
                <wp:cNvGraphicFramePr/>
                <a:graphic xmlns:a="http://schemas.openxmlformats.org/drawingml/2006/main">
                  <a:graphicData uri="http://schemas.microsoft.com/office/word/2010/wordprocessingShape">
                    <wps:wsp>
                      <wps:cNvCnPr/>
                      <wps:spPr>
                        <a:xfrm>
                          <a:off x="0" y="0"/>
                          <a:ext cx="2558415" cy="663575"/>
                        </a:xfrm>
                        <a:prstGeom prst="line">
                          <a:avLst/>
                        </a:prstGeom>
                        <a:ln w="6350" cap="flat" cmpd="sng">
                          <a:solidFill>
                            <a:srgbClr val="000000"/>
                          </a:solidFill>
                          <a:prstDash val="solid"/>
                          <a:headEnd type="none" w="med" len="med"/>
                          <a:tailEnd type="none" w="med" len="med"/>
                        </a:ln>
                      </wps:spPr>
                      <wps:bodyPr/>
                    </wps:wsp>
                  </a:graphicData>
                </a:graphic>
              </wp:anchor>
            </w:drawing>
          </mc:Choice>
          <mc:Fallback>
            <w:pict>
              <v:line id="直线 29" o:spid="_x0000_s1026" o:spt="20" style="position:absolute;left:0pt;margin-left:51.45pt;margin-top:16.15pt;height:52.25pt;width:201.45pt;mso-position-horizontal-relative:page;z-index:-251645952;mso-width-relative:page;mso-height-relative:page;" filled="f" stroked="t" coordsize="21600,21600" o:gfxdata="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2lvnk1QAAAAoB&#10;AAAPAAAAAAAAAAEAIAAAACIAAABkcnMvZG93bnJldi54bWxQSwECFAAUAAAACACHTuJAFQGvcOUB&#10;AADWAwAADgAAAAAAAAABACAAAAAkAQAAZHJzL2Uyb0RvYy54bWxQSwUGAAAAAAYABgBZAQAAewUA&#10;AAAA&#10;">
                <v:fill on="f" focussize="0,0"/>
                <v:stroke weight="0.5pt" color="#000000" joinstyle="round"/>
                <v:imagedata o:title=""/>
                <o:lock v:ext="edit" aspectratio="f"/>
              </v:line>
            </w:pict>
          </mc:Fallback>
        </mc:AlternateContent>
      </w:r>
      <w:r>
        <w:rPr>
          <w:sz w:val="21"/>
        </w:rPr>
        <w:t>代理服务收费标准：</w:t>
      </w:r>
    </w:p>
    <w:tbl>
      <w:tblPr>
        <w:tblStyle w:val="51"/>
        <w:tblW w:w="9850"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35"/>
        <w:gridCol w:w="1927"/>
        <w:gridCol w:w="1961"/>
        <w:gridCol w:w="19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0" w:hRule="atLeast"/>
        </w:trPr>
        <w:tc>
          <w:tcPr>
            <w:tcW w:w="4035" w:type="dxa"/>
          </w:tcPr>
          <w:p>
            <w:pPr>
              <w:pStyle w:val="63"/>
              <w:rPr>
                <w:sz w:val="16"/>
              </w:rPr>
            </w:pPr>
          </w:p>
          <w:p>
            <w:pPr>
              <w:pStyle w:val="63"/>
              <w:ind w:left="2082" w:right="1483"/>
              <w:jc w:val="center"/>
              <w:rPr>
                <w:sz w:val="21"/>
              </w:rPr>
            </w:pPr>
            <w:r>
              <w:rPr>
                <w:sz w:val="21"/>
              </w:rPr>
              <w:t>费率</w:t>
            </w:r>
          </w:p>
          <w:p>
            <w:pPr>
              <w:pStyle w:val="63"/>
              <w:spacing w:before="8"/>
              <w:rPr>
                <w:sz w:val="19"/>
              </w:rPr>
            </w:pPr>
          </w:p>
          <w:p>
            <w:pPr>
              <w:pStyle w:val="63"/>
              <w:spacing w:before="1"/>
              <w:ind w:left="526"/>
              <w:rPr>
                <w:sz w:val="21"/>
              </w:rPr>
            </w:pPr>
            <w:r>
              <w:rPr>
                <w:sz w:val="21"/>
              </w:rPr>
              <w:t>中标金额</w:t>
            </w:r>
          </w:p>
        </w:tc>
        <w:tc>
          <w:tcPr>
            <w:tcW w:w="1927" w:type="dxa"/>
          </w:tcPr>
          <w:p>
            <w:pPr>
              <w:pStyle w:val="63"/>
              <w:rPr>
                <w:sz w:val="20"/>
              </w:rPr>
            </w:pPr>
          </w:p>
          <w:p>
            <w:pPr>
              <w:pStyle w:val="63"/>
              <w:spacing w:before="5"/>
              <w:rPr>
                <w:sz w:val="16"/>
              </w:rPr>
            </w:pPr>
          </w:p>
          <w:p>
            <w:pPr>
              <w:pStyle w:val="63"/>
              <w:spacing w:before="1"/>
              <w:ind w:left="528"/>
              <w:rPr>
                <w:sz w:val="21"/>
              </w:rPr>
            </w:pPr>
            <w:r>
              <w:rPr>
                <w:sz w:val="21"/>
              </w:rPr>
              <w:t>货物招标</w:t>
            </w:r>
          </w:p>
        </w:tc>
        <w:tc>
          <w:tcPr>
            <w:tcW w:w="1961" w:type="dxa"/>
          </w:tcPr>
          <w:p>
            <w:pPr>
              <w:pStyle w:val="63"/>
              <w:rPr>
                <w:sz w:val="20"/>
              </w:rPr>
            </w:pPr>
          </w:p>
          <w:p>
            <w:pPr>
              <w:pStyle w:val="63"/>
              <w:spacing w:before="5"/>
              <w:rPr>
                <w:sz w:val="16"/>
              </w:rPr>
            </w:pPr>
          </w:p>
          <w:p>
            <w:pPr>
              <w:pStyle w:val="63"/>
              <w:spacing w:before="1"/>
              <w:ind w:left="528"/>
              <w:rPr>
                <w:sz w:val="21"/>
              </w:rPr>
            </w:pPr>
            <w:r>
              <w:rPr>
                <w:sz w:val="21"/>
              </w:rPr>
              <w:t>服务招标</w:t>
            </w:r>
          </w:p>
        </w:tc>
        <w:tc>
          <w:tcPr>
            <w:tcW w:w="1927" w:type="dxa"/>
          </w:tcPr>
          <w:p>
            <w:pPr>
              <w:pStyle w:val="63"/>
              <w:rPr>
                <w:sz w:val="20"/>
              </w:rPr>
            </w:pPr>
          </w:p>
          <w:p>
            <w:pPr>
              <w:pStyle w:val="63"/>
              <w:spacing w:before="5"/>
              <w:rPr>
                <w:sz w:val="16"/>
              </w:rPr>
            </w:pPr>
          </w:p>
          <w:p>
            <w:pPr>
              <w:pStyle w:val="63"/>
              <w:spacing w:before="1"/>
              <w:ind w:left="528"/>
              <w:rPr>
                <w:sz w:val="21"/>
              </w:rPr>
            </w:pPr>
            <w:r>
              <w:rPr>
                <w:sz w:val="21"/>
              </w:rPr>
              <w:t>工程招标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4035" w:type="dxa"/>
          </w:tcPr>
          <w:p>
            <w:pPr>
              <w:pStyle w:val="63"/>
              <w:spacing w:before="1"/>
              <w:rPr>
                <w:sz w:val="16"/>
              </w:rPr>
            </w:pPr>
          </w:p>
          <w:p>
            <w:pPr>
              <w:pStyle w:val="63"/>
              <w:spacing w:before="1"/>
              <w:ind w:left="526"/>
              <w:rPr>
                <w:sz w:val="21"/>
              </w:rPr>
            </w:pPr>
            <w:r>
              <w:rPr>
                <w:sz w:val="21"/>
              </w:rPr>
              <w:t>100 万元以下</w:t>
            </w:r>
          </w:p>
        </w:tc>
        <w:tc>
          <w:tcPr>
            <w:tcW w:w="1927" w:type="dxa"/>
          </w:tcPr>
          <w:p>
            <w:pPr>
              <w:pStyle w:val="63"/>
              <w:spacing w:before="1"/>
              <w:rPr>
                <w:sz w:val="16"/>
              </w:rPr>
            </w:pPr>
          </w:p>
          <w:p>
            <w:pPr>
              <w:pStyle w:val="63"/>
              <w:spacing w:before="1"/>
              <w:ind w:left="528"/>
              <w:rPr>
                <w:sz w:val="21"/>
              </w:rPr>
            </w:pPr>
            <w:r>
              <w:rPr>
                <w:sz w:val="21"/>
              </w:rPr>
              <w:t>1.5%</w:t>
            </w:r>
          </w:p>
        </w:tc>
        <w:tc>
          <w:tcPr>
            <w:tcW w:w="1961" w:type="dxa"/>
          </w:tcPr>
          <w:p>
            <w:pPr>
              <w:pStyle w:val="63"/>
              <w:spacing w:before="1"/>
              <w:rPr>
                <w:sz w:val="16"/>
              </w:rPr>
            </w:pPr>
          </w:p>
          <w:p>
            <w:pPr>
              <w:pStyle w:val="63"/>
              <w:spacing w:before="1"/>
              <w:ind w:left="528"/>
              <w:rPr>
                <w:sz w:val="21"/>
              </w:rPr>
            </w:pPr>
            <w:r>
              <w:rPr>
                <w:sz w:val="21"/>
              </w:rPr>
              <w:t>1.5%</w:t>
            </w:r>
          </w:p>
        </w:tc>
        <w:tc>
          <w:tcPr>
            <w:tcW w:w="1927" w:type="dxa"/>
          </w:tcPr>
          <w:p>
            <w:pPr>
              <w:pStyle w:val="63"/>
              <w:spacing w:before="1"/>
              <w:rPr>
                <w:sz w:val="16"/>
              </w:rPr>
            </w:pPr>
          </w:p>
          <w:p>
            <w:pPr>
              <w:pStyle w:val="63"/>
              <w:spacing w:before="1"/>
              <w:ind w:left="528"/>
              <w:rPr>
                <w:sz w:val="21"/>
              </w:rPr>
            </w:pPr>
            <w:r>
              <w:rPr>
                <w:sz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4035" w:type="dxa"/>
          </w:tcPr>
          <w:p>
            <w:pPr>
              <w:pStyle w:val="63"/>
              <w:spacing w:before="2"/>
              <w:rPr>
                <w:sz w:val="16"/>
              </w:rPr>
            </w:pPr>
          </w:p>
          <w:p>
            <w:pPr>
              <w:pStyle w:val="63"/>
              <w:ind w:left="526"/>
              <w:rPr>
                <w:sz w:val="21"/>
              </w:rPr>
            </w:pPr>
            <w:r>
              <w:rPr>
                <w:sz w:val="21"/>
              </w:rPr>
              <w:t>100～500 万元</w:t>
            </w:r>
          </w:p>
        </w:tc>
        <w:tc>
          <w:tcPr>
            <w:tcW w:w="1927" w:type="dxa"/>
          </w:tcPr>
          <w:p>
            <w:pPr>
              <w:pStyle w:val="63"/>
              <w:spacing w:before="2"/>
              <w:rPr>
                <w:sz w:val="16"/>
              </w:rPr>
            </w:pPr>
          </w:p>
          <w:p>
            <w:pPr>
              <w:pStyle w:val="63"/>
              <w:ind w:left="528"/>
              <w:rPr>
                <w:sz w:val="21"/>
              </w:rPr>
            </w:pPr>
            <w:r>
              <w:rPr>
                <w:sz w:val="21"/>
              </w:rPr>
              <w:t>1.1%</w:t>
            </w:r>
          </w:p>
        </w:tc>
        <w:tc>
          <w:tcPr>
            <w:tcW w:w="1961" w:type="dxa"/>
          </w:tcPr>
          <w:p>
            <w:pPr>
              <w:pStyle w:val="63"/>
              <w:spacing w:before="2"/>
              <w:rPr>
                <w:sz w:val="16"/>
              </w:rPr>
            </w:pPr>
          </w:p>
          <w:p>
            <w:pPr>
              <w:pStyle w:val="63"/>
              <w:ind w:left="528"/>
              <w:rPr>
                <w:sz w:val="21"/>
              </w:rPr>
            </w:pPr>
            <w:r>
              <w:rPr>
                <w:sz w:val="21"/>
              </w:rPr>
              <w:t>0.8%</w:t>
            </w:r>
          </w:p>
        </w:tc>
        <w:tc>
          <w:tcPr>
            <w:tcW w:w="1927" w:type="dxa"/>
          </w:tcPr>
          <w:p>
            <w:pPr>
              <w:pStyle w:val="63"/>
              <w:spacing w:before="2"/>
              <w:rPr>
                <w:sz w:val="16"/>
              </w:rPr>
            </w:pPr>
          </w:p>
          <w:p>
            <w:pPr>
              <w:pStyle w:val="63"/>
              <w:ind w:left="528"/>
              <w:rPr>
                <w:sz w:val="21"/>
              </w:rPr>
            </w:pPr>
            <w:r>
              <w:rPr>
                <w:sz w:val="21"/>
              </w:rPr>
              <w:t>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4035" w:type="dxa"/>
          </w:tcPr>
          <w:p>
            <w:pPr>
              <w:pStyle w:val="63"/>
              <w:rPr>
                <w:sz w:val="16"/>
              </w:rPr>
            </w:pPr>
          </w:p>
          <w:p>
            <w:pPr>
              <w:pStyle w:val="63"/>
              <w:ind w:left="526"/>
              <w:rPr>
                <w:sz w:val="21"/>
              </w:rPr>
            </w:pPr>
            <w:r>
              <w:rPr>
                <w:sz w:val="21"/>
              </w:rPr>
              <w:t>500～1000 万元</w:t>
            </w:r>
          </w:p>
        </w:tc>
        <w:tc>
          <w:tcPr>
            <w:tcW w:w="1927" w:type="dxa"/>
          </w:tcPr>
          <w:p>
            <w:pPr>
              <w:pStyle w:val="63"/>
              <w:rPr>
                <w:sz w:val="16"/>
              </w:rPr>
            </w:pPr>
          </w:p>
          <w:p>
            <w:pPr>
              <w:pStyle w:val="63"/>
              <w:ind w:left="528"/>
              <w:rPr>
                <w:sz w:val="21"/>
              </w:rPr>
            </w:pPr>
            <w:r>
              <w:rPr>
                <w:sz w:val="21"/>
              </w:rPr>
              <w:t>0.8%</w:t>
            </w:r>
          </w:p>
        </w:tc>
        <w:tc>
          <w:tcPr>
            <w:tcW w:w="1961" w:type="dxa"/>
          </w:tcPr>
          <w:p>
            <w:pPr>
              <w:pStyle w:val="63"/>
              <w:rPr>
                <w:sz w:val="16"/>
              </w:rPr>
            </w:pPr>
          </w:p>
          <w:p>
            <w:pPr>
              <w:pStyle w:val="63"/>
              <w:ind w:left="528"/>
              <w:rPr>
                <w:sz w:val="21"/>
              </w:rPr>
            </w:pPr>
            <w:r>
              <w:rPr>
                <w:sz w:val="21"/>
              </w:rPr>
              <w:t>0.45%</w:t>
            </w:r>
          </w:p>
        </w:tc>
        <w:tc>
          <w:tcPr>
            <w:tcW w:w="1927" w:type="dxa"/>
          </w:tcPr>
          <w:p>
            <w:pPr>
              <w:pStyle w:val="63"/>
              <w:rPr>
                <w:sz w:val="16"/>
              </w:rPr>
            </w:pPr>
          </w:p>
          <w:p>
            <w:pPr>
              <w:pStyle w:val="63"/>
              <w:ind w:left="528"/>
              <w:rPr>
                <w:sz w:val="21"/>
              </w:rPr>
            </w:pPr>
            <w:r>
              <w:rPr>
                <w:sz w:val="21"/>
              </w:rPr>
              <w:t>0.55%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4035" w:type="dxa"/>
          </w:tcPr>
          <w:p>
            <w:pPr>
              <w:pStyle w:val="63"/>
              <w:rPr>
                <w:sz w:val="16"/>
              </w:rPr>
            </w:pPr>
          </w:p>
          <w:p>
            <w:pPr>
              <w:pStyle w:val="63"/>
              <w:ind w:left="526"/>
              <w:rPr>
                <w:sz w:val="21"/>
              </w:rPr>
            </w:pPr>
            <w:r>
              <w:rPr>
                <w:sz w:val="21"/>
              </w:rPr>
              <w:t>1000～5000 万元</w:t>
            </w:r>
          </w:p>
        </w:tc>
        <w:tc>
          <w:tcPr>
            <w:tcW w:w="1927" w:type="dxa"/>
          </w:tcPr>
          <w:p>
            <w:pPr>
              <w:pStyle w:val="63"/>
              <w:rPr>
                <w:sz w:val="16"/>
              </w:rPr>
            </w:pPr>
          </w:p>
          <w:p>
            <w:pPr>
              <w:pStyle w:val="63"/>
              <w:ind w:left="528"/>
              <w:rPr>
                <w:sz w:val="21"/>
              </w:rPr>
            </w:pPr>
            <w:r>
              <w:rPr>
                <w:sz w:val="21"/>
              </w:rPr>
              <w:t>0.5%</w:t>
            </w:r>
          </w:p>
        </w:tc>
        <w:tc>
          <w:tcPr>
            <w:tcW w:w="1961" w:type="dxa"/>
          </w:tcPr>
          <w:p>
            <w:pPr>
              <w:pStyle w:val="63"/>
              <w:rPr>
                <w:sz w:val="16"/>
              </w:rPr>
            </w:pPr>
          </w:p>
          <w:p>
            <w:pPr>
              <w:pStyle w:val="63"/>
              <w:ind w:left="528"/>
              <w:rPr>
                <w:sz w:val="21"/>
              </w:rPr>
            </w:pPr>
            <w:r>
              <w:rPr>
                <w:sz w:val="21"/>
              </w:rPr>
              <w:t>0.25%</w:t>
            </w:r>
          </w:p>
        </w:tc>
        <w:tc>
          <w:tcPr>
            <w:tcW w:w="1927" w:type="dxa"/>
          </w:tcPr>
          <w:p>
            <w:pPr>
              <w:pStyle w:val="63"/>
              <w:rPr>
                <w:sz w:val="16"/>
              </w:rPr>
            </w:pPr>
          </w:p>
          <w:p>
            <w:pPr>
              <w:pStyle w:val="63"/>
              <w:ind w:left="528"/>
              <w:rPr>
                <w:sz w:val="21"/>
              </w:rPr>
            </w:pPr>
            <w:r>
              <w:rPr>
                <w:sz w:val="21"/>
              </w:rPr>
              <w:t>0.35%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4035" w:type="dxa"/>
          </w:tcPr>
          <w:p>
            <w:pPr>
              <w:pStyle w:val="63"/>
              <w:spacing w:before="1"/>
              <w:rPr>
                <w:sz w:val="16"/>
              </w:rPr>
            </w:pPr>
          </w:p>
          <w:p>
            <w:pPr>
              <w:pStyle w:val="63"/>
              <w:ind w:left="526"/>
              <w:rPr>
                <w:sz w:val="21"/>
              </w:rPr>
            </w:pPr>
            <w:r>
              <w:rPr>
                <w:sz w:val="21"/>
              </w:rPr>
              <w:t>5000 万元～1 亿元</w:t>
            </w:r>
          </w:p>
        </w:tc>
        <w:tc>
          <w:tcPr>
            <w:tcW w:w="1927" w:type="dxa"/>
          </w:tcPr>
          <w:p>
            <w:pPr>
              <w:pStyle w:val="63"/>
              <w:spacing w:before="1"/>
              <w:rPr>
                <w:sz w:val="16"/>
              </w:rPr>
            </w:pPr>
          </w:p>
          <w:p>
            <w:pPr>
              <w:pStyle w:val="63"/>
              <w:ind w:left="528"/>
              <w:rPr>
                <w:sz w:val="21"/>
              </w:rPr>
            </w:pPr>
            <w:r>
              <w:rPr>
                <w:sz w:val="21"/>
              </w:rPr>
              <w:t>0.25%</w:t>
            </w:r>
          </w:p>
        </w:tc>
        <w:tc>
          <w:tcPr>
            <w:tcW w:w="1961" w:type="dxa"/>
          </w:tcPr>
          <w:p>
            <w:pPr>
              <w:pStyle w:val="63"/>
              <w:spacing w:before="1"/>
              <w:rPr>
                <w:sz w:val="16"/>
              </w:rPr>
            </w:pPr>
          </w:p>
          <w:p>
            <w:pPr>
              <w:pStyle w:val="63"/>
              <w:ind w:left="528"/>
              <w:rPr>
                <w:sz w:val="21"/>
              </w:rPr>
            </w:pPr>
            <w:r>
              <w:rPr>
                <w:sz w:val="21"/>
              </w:rPr>
              <w:t>0.1%</w:t>
            </w:r>
          </w:p>
        </w:tc>
        <w:tc>
          <w:tcPr>
            <w:tcW w:w="1927" w:type="dxa"/>
          </w:tcPr>
          <w:p>
            <w:pPr>
              <w:pStyle w:val="63"/>
              <w:spacing w:before="1"/>
              <w:rPr>
                <w:sz w:val="16"/>
              </w:rPr>
            </w:pPr>
          </w:p>
          <w:p>
            <w:pPr>
              <w:pStyle w:val="63"/>
              <w:ind w:left="528"/>
              <w:rPr>
                <w:sz w:val="21"/>
              </w:rPr>
            </w:pPr>
            <w:r>
              <w:rPr>
                <w:sz w:val="21"/>
              </w:rPr>
              <w:t>0.2%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7" w:hRule="atLeast"/>
        </w:trPr>
        <w:tc>
          <w:tcPr>
            <w:tcW w:w="4035" w:type="dxa"/>
          </w:tcPr>
          <w:p>
            <w:pPr>
              <w:pStyle w:val="63"/>
              <w:spacing w:before="1"/>
              <w:rPr>
                <w:sz w:val="16"/>
              </w:rPr>
            </w:pPr>
          </w:p>
          <w:p>
            <w:pPr>
              <w:pStyle w:val="63"/>
              <w:ind w:left="526"/>
              <w:rPr>
                <w:sz w:val="21"/>
              </w:rPr>
            </w:pPr>
            <w:r>
              <w:rPr>
                <w:sz w:val="21"/>
              </w:rPr>
              <w:t>1～5 亿元</w:t>
            </w:r>
          </w:p>
        </w:tc>
        <w:tc>
          <w:tcPr>
            <w:tcW w:w="1927" w:type="dxa"/>
          </w:tcPr>
          <w:p>
            <w:pPr>
              <w:pStyle w:val="63"/>
              <w:spacing w:before="1"/>
              <w:rPr>
                <w:sz w:val="16"/>
              </w:rPr>
            </w:pPr>
          </w:p>
          <w:p>
            <w:pPr>
              <w:pStyle w:val="63"/>
              <w:ind w:left="528"/>
              <w:rPr>
                <w:sz w:val="21"/>
              </w:rPr>
            </w:pPr>
            <w:r>
              <w:rPr>
                <w:sz w:val="21"/>
              </w:rPr>
              <w:t>0.05%</w:t>
            </w:r>
          </w:p>
        </w:tc>
        <w:tc>
          <w:tcPr>
            <w:tcW w:w="1961" w:type="dxa"/>
          </w:tcPr>
          <w:p>
            <w:pPr>
              <w:pStyle w:val="63"/>
              <w:spacing w:before="1"/>
              <w:rPr>
                <w:sz w:val="16"/>
              </w:rPr>
            </w:pPr>
          </w:p>
          <w:p>
            <w:pPr>
              <w:pStyle w:val="63"/>
              <w:ind w:left="528"/>
              <w:rPr>
                <w:sz w:val="21"/>
              </w:rPr>
            </w:pPr>
            <w:r>
              <w:rPr>
                <w:sz w:val="21"/>
              </w:rPr>
              <w:t>0.05%</w:t>
            </w:r>
          </w:p>
        </w:tc>
        <w:tc>
          <w:tcPr>
            <w:tcW w:w="1927" w:type="dxa"/>
          </w:tcPr>
          <w:p>
            <w:pPr>
              <w:pStyle w:val="63"/>
              <w:spacing w:before="1"/>
              <w:rPr>
                <w:sz w:val="16"/>
              </w:rPr>
            </w:pPr>
          </w:p>
          <w:p>
            <w:pPr>
              <w:pStyle w:val="63"/>
              <w:ind w:left="528"/>
              <w:rPr>
                <w:sz w:val="21"/>
              </w:rPr>
            </w:pPr>
            <w:r>
              <w:rPr>
                <w:sz w:val="21"/>
              </w:rPr>
              <w:t>0.05%</w:t>
            </w:r>
          </w:p>
        </w:tc>
      </w:tr>
    </w:tbl>
    <w:p>
      <w:pPr>
        <w:rPr>
          <w:sz w:val="21"/>
        </w:rPr>
        <w:sectPr>
          <w:pgSz w:w="11910" w:h="16840"/>
          <w:pgMar w:top="1280" w:right="720" w:bottom="1380" w:left="720" w:header="0" w:footer="1200" w:gutter="0"/>
          <w:pgNumType w:fmt="decimal"/>
          <w:cols w:space="720" w:num="1"/>
        </w:sectPr>
      </w:pPr>
    </w:p>
    <w:tbl>
      <w:tblPr>
        <w:tblStyle w:val="51"/>
        <w:tblW w:w="9850"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35"/>
        <w:gridCol w:w="1927"/>
        <w:gridCol w:w="1961"/>
        <w:gridCol w:w="19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4035" w:type="dxa"/>
          </w:tcPr>
          <w:p>
            <w:pPr>
              <w:pStyle w:val="63"/>
              <w:spacing w:before="11"/>
              <w:rPr>
                <w:sz w:val="15"/>
              </w:rPr>
            </w:pPr>
          </w:p>
          <w:p>
            <w:pPr>
              <w:pStyle w:val="63"/>
              <w:ind w:left="526"/>
              <w:rPr>
                <w:sz w:val="21"/>
              </w:rPr>
            </w:pPr>
            <w:r>
              <w:rPr>
                <w:sz w:val="21"/>
              </w:rPr>
              <w:t>5～10 亿元</w:t>
            </w:r>
          </w:p>
        </w:tc>
        <w:tc>
          <w:tcPr>
            <w:tcW w:w="1927" w:type="dxa"/>
          </w:tcPr>
          <w:p>
            <w:pPr>
              <w:pStyle w:val="63"/>
              <w:spacing w:before="11"/>
              <w:rPr>
                <w:sz w:val="15"/>
              </w:rPr>
            </w:pPr>
          </w:p>
          <w:p>
            <w:pPr>
              <w:pStyle w:val="63"/>
              <w:ind w:left="528"/>
              <w:rPr>
                <w:sz w:val="21"/>
              </w:rPr>
            </w:pPr>
            <w:r>
              <w:rPr>
                <w:sz w:val="21"/>
              </w:rPr>
              <w:t>0.035%</w:t>
            </w:r>
          </w:p>
        </w:tc>
        <w:tc>
          <w:tcPr>
            <w:tcW w:w="1961" w:type="dxa"/>
          </w:tcPr>
          <w:p>
            <w:pPr>
              <w:pStyle w:val="63"/>
              <w:spacing w:before="11"/>
              <w:rPr>
                <w:sz w:val="15"/>
              </w:rPr>
            </w:pPr>
          </w:p>
          <w:p>
            <w:pPr>
              <w:pStyle w:val="63"/>
              <w:ind w:left="528"/>
              <w:rPr>
                <w:sz w:val="21"/>
              </w:rPr>
            </w:pPr>
            <w:r>
              <w:rPr>
                <w:sz w:val="21"/>
              </w:rPr>
              <w:t>0.035%</w:t>
            </w:r>
          </w:p>
        </w:tc>
        <w:tc>
          <w:tcPr>
            <w:tcW w:w="1927" w:type="dxa"/>
          </w:tcPr>
          <w:p>
            <w:pPr>
              <w:pStyle w:val="63"/>
              <w:spacing w:before="11"/>
              <w:rPr>
                <w:sz w:val="15"/>
              </w:rPr>
            </w:pPr>
          </w:p>
          <w:p>
            <w:pPr>
              <w:pStyle w:val="63"/>
              <w:ind w:left="528"/>
              <w:rPr>
                <w:sz w:val="21"/>
              </w:rPr>
            </w:pPr>
            <w:r>
              <w:rPr>
                <w:sz w:val="21"/>
              </w:rPr>
              <w:t>0.035%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4035" w:type="dxa"/>
          </w:tcPr>
          <w:p>
            <w:pPr>
              <w:pStyle w:val="63"/>
              <w:spacing w:before="9"/>
              <w:rPr>
                <w:sz w:val="15"/>
              </w:rPr>
            </w:pPr>
          </w:p>
          <w:p>
            <w:pPr>
              <w:pStyle w:val="63"/>
              <w:ind w:left="526"/>
              <w:rPr>
                <w:sz w:val="21"/>
              </w:rPr>
            </w:pPr>
            <w:r>
              <w:rPr>
                <w:sz w:val="21"/>
              </w:rPr>
              <w:t>10～50 亿元</w:t>
            </w:r>
          </w:p>
        </w:tc>
        <w:tc>
          <w:tcPr>
            <w:tcW w:w="1927" w:type="dxa"/>
          </w:tcPr>
          <w:p>
            <w:pPr>
              <w:pStyle w:val="63"/>
              <w:spacing w:before="9"/>
              <w:rPr>
                <w:sz w:val="15"/>
              </w:rPr>
            </w:pPr>
          </w:p>
          <w:p>
            <w:pPr>
              <w:pStyle w:val="63"/>
              <w:ind w:left="528"/>
              <w:rPr>
                <w:sz w:val="21"/>
              </w:rPr>
            </w:pPr>
            <w:r>
              <w:rPr>
                <w:sz w:val="21"/>
              </w:rPr>
              <w:t>0.008%</w:t>
            </w:r>
          </w:p>
        </w:tc>
        <w:tc>
          <w:tcPr>
            <w:tcW w:w="1961" w:type="dxa"/>
          </w:tcPr>
          <w:p>
            <w:pPr>
              <w:pStyle w:val="63"/>
              <w:spacing w:before="9"/>
              <w:rPr>
                <w:sz w:val="15"/>
              </w:rPr>
            </w:pPr>
          </w:p>
          <w:p>
            <w:pPr>
              <w:pStyle w:val="63"/>
              <w:ind w:left="528"/>
              <w:rPr>
                <w:sz w:val="21"/>
              </w:rPr>
            </w:pPr>
            <w:r>
              <w:rPr>
                <w:sz w:val="21"/>
              </w:rPr>
              <w:t>0.008%</w:t>
            </w:r>
          </w:p>
        </w:tc>
        <w:tc>
          <w:tcPr>
            <w:tcW w:w="1927" w:type="dxa"/>
          </w:tcPr>
          <w:p>
            <w:pPr>
              <w:pStyle w:val="63"/>
              <w:spacing w:before="9"/>
              <w:rPr>
                <w:sz w:val="15"/>
              </w:rPr>
            </w:pPr>
          </w:p>
          <w:p>
            <w:pPr>
              <w:pStyle w:val="63"/>
              <w:ind w:left="528"/>
              <w:rPr>
                <w:sz w:val="21"/>
              </w:rPr>
            </w:pPr>
            <w:r>
              <w:rPr>
                <w:sz w:val="21"/>
              </w:rPr>
              <w:t>0.008%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4035" w:type="dxa"/>
          </w:tcPr>
          <w:p>
            <w:pPr>
              <w:pStyle w:val="63"/>
              <w:spacing w:before="9"/>
              <w:rPr>
                <w:sz w:val="15"/>
              </w:rPr>
            </w:pPr>
          </w:p>
          <w:p>
            <w:pPr>
              <w:pStyle w:val="63"/>
              <w:ind w:left="526"/>
              <w:rPr>
                <w:sz w:val="21"/>
              </w:rPr>
            </w:pPr>
            <w:r>
              <w:rPr>
                <w:sz w:val="21"/>
              </w:rPr>
              <w:t>50～100 亿元</w:t>
            </w:r>
          </w:p>
        </w:tc>
        <w:tc>
          <w:tcPr>
            <w:tcW w:w="1927" w:type="dxa"/>
          </w:tcPr>
          <w:p>
            <w:pPr>
              <w:pStyle w:val="63"/>
              <w:spacing w:before="9"/>
              <w:rPr>
                <w:sz w:val="15"/>
              </w:rPr>
            </w:pPr>
          </w:p>
          <w:p>
            <w:pPr>
              <w:pStyle w:val="63"/>
              <w:ind w:left="528"/>
              <w:rPr>
                <w:sz w:val="21"/>
              </w:rPr>
            </w:pPr>
            <w:r>
              <w:rPr>
                <w:sz w:val="21"/>
              </w:rPr>
              <w:t>0.006%</w:t>
            </w:r>
          </w:p>
        </w:tc>
        <w:tc>
          <w:tcPr>
            <w:tcW w:w="1961" w:type="dxa"/>
          </w:tcPr>
          <w:p>
            <w:pPr>
              <w:pStyle w:val="63"/>
              <w:spacing w:before="9"/>
              <w:rPr>
                <w:sz w:val="15"/>
              </w:rPr>
            </w:pPr>
          </w:p>
          <w:p>
            <w:pPr>
              <w:pStyle w:val="63"/>
              <w:ind w:left="528"/>
              <w:rPr>
                <w:sz w:val="21"/>
              </w:rPr>
            </w:pPr>
            <w:r>
              <w:rPr>
                <w:sz w:val="21"/>
              </w:rPr>
              <w:t>0.006%</w:t>
            </w:r>
          </w:p>
        </w:tc>
        <w:tc>
          <w:tcPr>
            <w:tcW w:w="1927" w:type="dxa"/>
          </w:tcPr>
          <w:p>
            <w:pPr>
              <w:pStyle w:val="63"/>
              <w:spacing w:before="9"/>
              <w:rPr>
                <w:sz w:val="15"/>
              </w:rPr>
            </w:pPr>
          </w:p>
          <w:p>
            <w:pPr>
              <w:pStyle w:val="63"/>
              <w:ind w:left="528"/>
              <w:rPr>
                <w:sz w:val="21"/>
              </w:rPr>
            </w:pPr>
            <w:r>
              <w:rPr>
                <w:sz w:val="21"/>
              </w:rPr>
              <w:t>0.006%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0" w:hRule="atLeast"/>
        </w:trPr>
        <w:tc>
          <w:tcPr>
            <w:tcW w:w="4035" w:type="dxa"/>
          </w:tcPr>
          <w:p>
            <w:pPr>
              <w:pStyle w:val="63"/>
              <w:spacing w:before="9"/>
              <w:rPr>
                <w:sz w:val="15"/>
              </w:rPr>
            </w:pPr>
          </w:p>
          <w:p>
            <w:pPr>
              <w:pStyle w:val="63"/>
              <w:spacing w:before="1"/>
              <w:ind w:left="526"/>
              <w:rPr>
                <w:sz w:val="21"/>
              </w:rPr>
            </w:pPr>
            <w:r>
              <w:rPr>
                <w:sz w:val="21"/>
              </w:rPr>
              <w:t>100 亿以上</w:t>
            </w:r>
          </w:p>
        </w:tc>
        <w:tc>
          <w:tcPr>
            <w:tcW w:w="1927" w:type="dxa"/>
          </w:tcPr>
          <w:p>
            <w:pPr>
              <w:pStyle w:val="63"/>
              <w:spacing w:before="9"/>
              <w:rPr>
                <w:sz w:val="15"/>
              </w:rPr>
            </w:pPr>
          </w:p>
          <w:p>
            <w:pPr>
              <w:pStyle w:val="63"/>
              <w:spacing w:before="1"/>
              <w:ind w:left="528"/>
              <w:rPr>
                <w:sz w:val="21"/>
              </w:rPr>
            </w:pPr>
            <w:r>
              <w:rPr>
                <w:sz w:val="21"/>
              </w:rPr>
              <w:t>0.004%</w:t>
            </w:r>
          </w:p>
        </w:tc>
        <w:tc>
          <w:tcPr>
            <w:tcW w:w="1961" w:type="dxa"/>
          </w:tcPr>
          <w:p>
            <w:pPr>
              <w:pStyle w:val="63"/>
              <w:spacing w:before="9"/>
              <w:rPr>
                <w:sz w:val="15"/>
              </w:rPr>
            </w:pPr>
          </w:p>
          <w:p>
            <w:pPr>
              <w:pStyle w:val="63"/>
              <w:spacing w:before="1"/>
              <w:ind w:left="528"/>
              <w:rPr>
                <w:sz w:val="21"/>
              </w:rPr>
            </w:pPr>
            <w:r>
              <w:rPr>
                <w:sz w:val="21"/>
              </w:rPr>
              <w:t>0.004%</w:t>
            </w:r>
          </w:p>
        </w:tc>
        <w:tc>
          <w:tcPr>
            <w:tcW w:w="1927" w:type="dxa"/>
          </w:tcPr>
          <w:p>
            <w:pPr>
              <w:pStyle w:val="63"/>
              <w:spacing w:before="9"/>
              <w:rPr>
                <w:sz w:val="15"/>
              </w:rPr>
            </w:pPr>
          </w:p>
          <w:p>
            <w:pPr>
              <w:pStyle w:val="63"/>
              <w:spacing w:before="1"/>
              <w:ind w:left="528"/>
              <w:rPr>
                <w:sz w:val="21"/>
              </w:rPr>
            </w:pPr>
            <w:r>
              <w:rPr>
                <w:sz w:val="21"/>
              </w:rPr>
              <w:t>0.004%</w:t>
            </w:r>
          </w:p>
        </w:tc>
      </w:tr>
    </w:tbl>
    <w:p>
      <w:pPr>
        <w:pStyle w:val="19"/>
        <w:spacing w:before="4"/>
        <w:rPr>
          <w:sz w:val="10"/>
        </w:rPr>
      </w:pPr>
    </w:p>
    <w:p>
      <w:pPr>
        <w:pStyle w:val="19"/>
        <w:spacing w:before="70"/>
        <w:ind w:left="832"/>
      </w:pPr>
      <w:r>
        <w:t>注:</w:t>
      </w:r>
    </w:p>
    <w:p>
      <w:pPr>
        <w:pStyle w:val="19"/>
        <w:spacing w:before="4"/>
        <w:rPr>
          <w:sz w:val="18"/>
        </w:rPr>
      </w:pPr>
    </w:p>
    <w:p>
      <w:pPr>
        <w:pStyle w:val="62"/>
        <w:numPr>
          <w:ilvl w:val="0"/>
          <w:numId w:val="63"/>
        </w:numPr>
        <w:tabs>
          <w:tab w:val="left" w:pos="1360"/>
        </w:tabs>
        <w:ind w:hanging="528"/>
        <w:rPr>
          <w:sz w:val="21"/>
        </w:rPr>
      </w:pPr>
      <w:r>
        <w:rPr>
          <w:sz w:val="21"/>
        </w:rPr>
        <w:t>按本表费率计算的收费为采购代理的收费基准价格；</w:t>
      </w:r>
    </w:p>
    <w:p>
      <w:pPr>
        <w:pStyle w:val="19"/>
        <w:rPr>
          <w:sz w:val="18"/>
        </w:rPr>
      </w:pPr>
    </w:p>
    <w:p>
      <w:pPr>
        <w:pStyle w:val="62"/>
        <w:numPr>
          <w:ilvl w:val="0"/>
          <w:numId w:val="63"/>
        </w:numPr>
        <w:tabs>
          <w:tab w:val="left" w:pos="1360"/>
        </w:tabs>
        <w:ind w:hanging="528"/>
        <w:rPr>
          <w:sz w:val="21"/>
        </w:rPr>
      </w:pPr>
      <w:r>
        <w:rPr>
          <w:sz w:val="21"/>
        </w:rPr>
        <w:t>采购代理收费按差额定率累进法计算。</w:t>
      </w:r>
    </w:p>
    <w:p>
      <w:pPr>
        <w:pStyle w:val="19"/>
        <w:spacing w:before="2"/>
        <w:rPr>
          <w:sz w:val="18"/>
        </w:rPr>
      </w:pPr>
    </w:p>
    <w:p>
      <w:pPr>
        <w:pStyle w:val="19"/>
        <w:ind w:left="832"/>
      </w:pPr>
      <w:r>
        <w:t>例如：某货物采购代理业务中标金额或者暂定价为 200 万元，计算采购代理收费额如下：</w:t>
      </w:r>
    </w:p>
    <w:p>
      <w:pPr>
        <w:pStyle w:val="19"/>
        <w:spacing w:before="12"/>
        <w:rPr>
          <w:sz w:val="17"/>
        </w:rPr>
      </w:pPr>
    </w:p>
    <w:p>
      <w:pPr>
        <w:pStyle w:val="19"/>
        <w:ind w:left="832"/>
      </w:pPr>
      <w:r>
        <w:t>100 万元×l.5 ％＝ 1.5 万元</w:t>
      </w:r>
    </w:p>
    <w:p>
      <w:pPr>
        <w:pStyle w:val="19"/>
        <w:rPr>
          <w:sz w:val="18"/>
        </w:rPr>
      </w:pPr>
    </w:p>
    <w:p>
      <w:pPr>
        <w:pStyle w:val="19"/>
        <w:spacing w:line="554" w:lineRule="auto"/>
        <w:ind w:left="832" w:right="5631"/>
      </w:pPr>
      <w:r>
        <w:t>（ 200 － 100 ）万元 ×1.1％＝1.1 万元合计收费＝ 1.5+1.1＝ 2.6 （万元）</w:t>
      </w:r>
    </w:p>
    <w:p>
      <w:pPr>
        <w:numPr>
          <w:ilvl w:val="0"/>
          <w:numId w:val="60"/>
        </w:numPr>
        <w:tabs>
          <w:tab w:val="left" w:pos="836"/>
        </w:tabs>
        <w:spacing w:line="267" w:lineRule="exact"/>
        <w:ind w:left="835" w:hanging="424"/>
        <w:rPr>
          <w:b/>
          <w:sz w:val="21"/>
        </w:rPr>
      </w:pPr>
      <w:r>
        <w:rPr>
          <w:b/>
          <w:sz w:val="21"/>
        </w:rPr>
        <w:t>需要补充的其他内容</w:t>
      </w:r>
    </w:p>
    <w:p>
      <w:pPr>
        <w:pStyle w:val="19"/>
        <w:spacing w:before="4"/>
        <w:rPr>
          <w:b/>
          <w:sz w:val="27"/>
        </w:rPr>
      </w:pPr>
    </w:p>
    <w:p>
      <w:pPr>
        <w:pStyle w:val="62"/>
        <w:numPr>
          <w:ilvl w:val="1"/>
          <w:numId w:val="60"/>
        </w:numPr>
        <w:tabs>
          <w:tab w:val="left" w:pos="1306"/>
        </w:tabs>
        <w:ind w:hanging="474"/>
        <w:rPr>
          <w:sz w:val="21"/>
        </w:rPr>
      </w:pPr>
      <w:r>
        <w:rPr>
          <w:sz w:val="21"/>
        </w:rPr>
        <w:t>本招标文件解释规则详见“投标人须知前附表”。</w:t>
      </w:r>
    </w:p>
    <w:p>
      <w:pPr>
        <w:pStyle w:val="19"/>
        <w:spacing w:before="6"/>
        <w:rPr>
          <w:sz w:val="27"/>
        </w:rPr>
      </w:pPr>
    </w:p>
    <w:p>
      <w:pPr>
        <w:pStyle w:val="62"/>
        <w:numPr>
          <w:ilvl w:val="1"/>
          <w:numId w:val="60"/>
        </w:numPr>
        <w:tabs>
          <w:tab w:val="left" w:pos="1359"/>
        </w:tabs>
        <w:spacing w:before="1"/>
        <w:ind w:left="1358" w:hanging="527"/>
        <w:rPr>
          <w:sz w:val="21"/>
        </w:rPr>
      </w:pPr>
      <w:r>
        <w:rPr>
          <w:sz w:val="21"/>
        </w:rPr>
        <w:t>其他事项详见“投标人须知前附表”。</w:t>
      </w:r>
    </w:p>
    <w:p>
      <w:pPr>
        <w:rPr>
          <w:sz w:val="21"/>
        </w:rPr>
        <w:sectPr>
          <w:pgSz w:w="11910" w:h="16840"/>
          <w:pgMar w:top="1120" w:right="720" w:bottom="1380" w:left="720" w:header="0" w:footer="1200" w:gutter="0"/>
          <w:pgNumType w:fmt="decimal"/>
          <w:cols w:space="720" w:num="1"/>
        </w:sectPr>
      </w:pPr>
    </w:p>
    <w:p>
      <w:pPr>
        <w:pStyle w:val="3"/>
        <w:tabs>
          <w:tab w:val="left" w:pos="1771"/>
        </w:tabs>
        <w:ind w:left="4"/>
      </w:pPr>
      <w:bookmarkStart w:id="27" w:name="_Toc22960"/>
      <w:r>
        <w:t>第四章</w:t>
      </w:r>
      <w:r>
        <w:tab/>
      </w:r>
      <w:r>
        <w:t>评标方法及评标标准</w:t>
      </w:r>
      <w:bookmarkEnd w:id="27"/>
    </w:p>
    <w:p>
      <w:pPr>
        <w:pStyle w:val="19"/>
        <w:spacing w:before="5"/>
        <w:rPr>
          <w:b/>
          <w:sz w:val="53"/>
        </w:rPr>
      </w:pPr>
    </w:p>
    <w:p>
      <w:pPr>
        <w:pStyle w:val="8"/>
        <w:outlineLvl w:val="1"/>
      </w:pPr>
      <w:bookmarkStart w:id="28" w:name="_Toc16082"/>
      <w:r>
        <w:t>一、评标程序</w:t>
      </w:r>
      <w:bookmarkEnd w:id="28"/>
    </w:p>
    <w:p>
      <w:pPr>
        <w:pStyle w:val="19"/>
        <w:rPr>
          <w:b/>
          <w:sz w:val="20"/>
        </w:rPr>
      </w:pPr>
    </w:p>
    <w:p>
      <w:pPr>
        <w:pStyle w:val="19"/>
        <w:spacing w:before="1"/>
        <w:rPr>
          <w:b/>
          <w:sz w:val="17"/>
        </w:rPr>
      </w:pPr>
    </w:p>
    <w:p>
      <w:pPr>
        <w:numPr>
          <w:ilvl w:val="0"/>
          <w:numId w:val="64"/>
        </w:numPr>
        <w:tabs>
          <w:tab w:val="left" w:pos="627"/>
        </w:tabs>
        <w:spacing w:before="70"/>
        <w:ind w:hanging="215"/>
        <w:outlineLvl w:val="2"/>
        <w:rPr>
          <w:b/>
          <w:sz w:val="19"/>
        </w:rPr>
      </w:pPr>
      <w:bookmarkStart w:id="29" w:name="_Toc10349"/>
      <w:r>
        <w:rPr>
          <w:b/>
          <w:sz w:val="21"/>
        </w:rPr>
        <w:t>符合性审查</w:t>
      </w:r>
      <w:bookmarkEnd w:id="29"/>
    </w:p>
    <w:p>
      <w:pPr>
        <w:pStyle w:val="19"/>
        <w:spacing w:before="8"/>
        <w:rPr>
          <w:b/>
          <w:sz w:val="22"/>
        </w:rPr>
      </w:pPr>
    </w:p>
    <w:p>
      <w:pPr>
        <w:pStyle w:val="19"/>
        <w:spacing w:line="501" w:lineRule="auto"/>
        <w:ind w:left="415" w:right="308" w:firstLine="420"/>
      </w:pPr>
      <w:r>
        <w:rPr>
          <w:rFonts w:ascii="宋体" w:hAnsi="宋体" w:eastAsia="宋体" w:cs="宋体"/>
          <w:sz w:val="21"/>
          <w:szCs w:val="22"/>
          <w:lang w:val="zh-CN" w:eastAsia="zh-CN" w:bidi="zh-CN"/>
        </w:rPr>
        <w:t>评标委员会应当对符合资格的投标人的投标文件进行投标报价、商务、技术等实质性内容符合</w:t>
      </w:r>
      <w:r>
        <w:rPr>
          <w:spacing w:val="-5"/>
          <w:w w:val="95"/>
        </w:rPr>
        <w:t>性审查，</w:t>
      </w:r>
      <w:r>
        <w:rPr>
          <w:spacing w:val="-5"/>
        </w:rPr>
        <w:t>以确定其是否满足招标文件的实质性要求。</w:t>
      </w:r>
    </w:p>
    <w:p>
      <w:pPr>
        <w:pStyle w:val="62"/>
        <w:numPr>
          <w:ilvl w:val="0"/>
          <w:numId w:val="64"/>
        </w:numPr>
        <w:tabs>
          <w:tab w:val="left" w:pos="624"/>
        </w:tabs>
        <w:spacing w:line="265" w:lineRule="exact"/>
        <w:ind w:left="624" w:hanging="212"/>
        <w:outlineLvl w:val="2"/>
        <w:rPr>
          <w:sz w:val="19"/>
        </w:rPr>
      </w:pPr>
      <w:bookmarkStart w:id="30" w:name="_Toc25796"/>
      <w:r>
        <w:rPr>
          <w:sz w:val="21"/>
        </w:rPr>
        <w:t>符合性审查不通过而导致投标无效的情形</w:t>
      </w:r>
      <w:bookmarkEnd w:id="30"/>
    </w:p>
    <w:p>
      <w:pPr>
        <w:pStyle w:val="19"/>
        <w:spacing w:before="8"/>
        <w:rPr>
          <w:sz w:val="22"/>
        </w:rPr>
      </w:pPr>
    </w:p>
    <w:p>
      <w:pPr>
        <w:pStyle w:val="19"/>
        <w:ind w:left="832"/>
      </w:pPr>
      <w:r>
        <w:t>投标人的投标文件中存在对招标文件的任何实质性要求和条件的负偏离，将被视为投标无效。</w:t>
      </w:r>
    </w:p>
    <w:p>
      <w:pPr>
        <w:pStyle w:val="19"/>
        <w:spacing w:before="11"/>
        <w:rPr>
          <w:sz w:val="22"/>
        </w:rPr>
      </w:pPr>
    </w:p>
    <w:p>
      <w:pPr>
        <w:pStyle w:val="62"/>
        <w:numPr>
          <w:ilvl w:val="1"/>
          <w:numId w:val="64"/>
        </w:numPr>
        <w:tabs>
          <w:tab w:val="left" w:pos="1200"/>
        </w:tabs>
        <w:rPr>
          <w:sz w:val="21"/>
        </w:rPr>
      </w:pPr>
      <w:r>
        <w:rPr>
          <w:sz w:val="21"/>
        </w:rPr>
        <w:t>在报价评审时，如发现下列情形之一的，将被视为投标无效：</w:t>
      </w:r>
    </w:p>
    <w:p>
      <w:pPr>
        <w:pStyle w:val="19"/>
        <w:spacing w:before="8"/>
        <w:rPr>
          <w:sz w:val="22"/>
        </w:rPr>
      </w:pPr>
    </w:p>
    <w:p>
      <w:pPr>
        <w:pStyle w:val="62"/>
        <w:numPr>
          <w:ilvl w:val="0"/>
          <w:numId w:val="65"/>
        </w:numPr>
        <w:tabs>
          <w:tab w:val="left" w:pos="1360"/>
        </w:tabs>
        <w:ind w:hanging="528"/>
        <w:rPr>
          <w:sz w:val="21"/>
        </w:rPr>
      </w:pPr>
      <w:r>
        <w:rPr>
          <w:spacing w:val="-3"/>
          <w:sz w:val="21"/>
        </w:rPr>
        <w:t xml:space="preserve">投标文件未提供“投标人须知前附表”第 </w:t>
      </w:r>
      <w:r>
        <w:rPr>
          <w:sz w:val="21"/>
        </w:rPr>
        <w:t>13.1</w:t>
      </w:r>
      <w:r>
        <w:rPr>
          <w:spacing w:val="-8"/>
          <w:sz w:val="21"/>
        </w:rPr>
        <w:t xml:space="preserve"> 条规定中“必须提供”的文件资料的;</w:t>
      </w:r>
    </w:p>
    <w:p>
      <w:pPr>
        <w:pStyle w:val="19"/>
        <w:spacing w:before="8"/>
        <w:rPr>
          <w:sz w:val="22"/>
        </w:rPr>
      </w:pPr>
    </w:p>
    <w:p>
      <w:pPr>
        <w:pStyle w:val="62"/>
        <w:numPr>
          <w:ilvl w:val="0"/>
          <w:numId w:val="65"/>
        </w:numPr>
        <w:tabs>
          <w:tab w:val="left" w:pos="1360"/>
        </w:tabs>
        <w:ind w:hanging="528"/>
        <w:rPr>
          <w:sz w:val="21"/>
        </w:rPr>
      </w:pPr>
      <w:r>
        <w:rPr>
          <w:sz w:val="21"/>
        </w:rPr>
        <w:t>未采用人民币报价或者未按照招标文件标明的币种报价的；</w:t>
      </w:r>
    </w:p>
    <w:p>
      <w:pPr>
        <w:pStyle w:val="19"/>
        <w:spacing w:before="11"/>
        <w:rPr>
          <w:sz w:val="22"/>
        </w:rPr>
      </w:pPr>
    </w:p>
    <w:p>
      <w:pPr>
        <w:pStyle w:val="62"/>
        <w:numPr>
          <w:ilvl w:val="0"/>
          <w:numId w:val="65"/>
        </w:numPr>
        <w:tabs>
          <w:tab w:val="left" w:pos="1360"/>
        </w:tabs>
        <w:ind w:hanging="528"/>
        <w:rPr>
          <w:sz w:val="21"/>
        </w:rPr>
      </w:pPr>
      <w:r>
        <w:rPr>
          <w:sz w:val="21"/>
        </w:rPr>
        <w:t>报价超出招标文件规定最高限价，或者超出采购预算金额的；</w:t>
      </w:r>
    </w:p>
    <w:p>
      <w:pPr>
        <w:pStyle w:val="19"/>
        <w:spacing w:before="8"/>
        <w:rPr>
          <w:sz w:val="22"/>
        </w:rPr>
      </w:pPr>
    </w:p>
    <w:p>
      <w:pPr>
        <w:pStyle w:val="62"/>
        <w:numPr>
          <w:ilvl w:val="0"/>
          <w:numId w:val="65"/>
        </w:numPr>
        <w:tabs>
          <w:tab w:val="left" w:pos="1360"/>
        </w:tabs>
        <w:spacing w:line="499" w:lineRule="auto"/>
        <w:ind w:left="412" w:right="308" w:firstLine="420"/>
        <w:rPr>
          <w:sz w:val="21"/>
        </w:rPr>
      </w:pPr>
      <w:r>
        <w:rPr>
          <w:sz w:val="21"/>
        </w:rPr>
        <w:t>投标人未就所投项目进行报价或者存在漏项报价；投标人未就所投项目的单项内容作唯一报价</w:t>
      </w:r>
      <w:r>
        <w:rPr>
          <w:spacing w:val="-1"/>
          <w:w w:val="95"/>
          <w:sz w:val="21"/>
        </w:rPr>
        <w:t>；</w:t>
      </w:r>
      <w:r>
        <w:rPr>
          <w:spacing w:val="-4"/>
          <w:sz w:val="21"/>
        </w:rPr>
        <w:t>投标人未就所投项目的全部内容作唯一总价报价；存在有选择、有条件报价的</w:t>
      </w:r>
      <w:r>
        <w:rPr>
          <w:sz w:val="21"/>
        </w:rPr>
        <w:t>（招标文件允许有备选方案或者其他约定的除外）；</w:t>
      </w:r>
    </w:p>
    <w:p>
      <w:pPr>
        <w:pStyle w:val="62"/>
        <w:numPr>
          <w:ilvl w:val="0"/>
          <w:numId w:val="65"/>
        </w:numPr>
        <w:tabs>
          <w:tab w:val="left" w:pos="1360"/>
        </w:tabs>
        <w:spacing w:before="1"/>
        <w:ind w:hanging="528"/>
        <w:rPr>
          <w:sz w:val="21"/>
        </w:rPr>
      </w:pPr>
      <w:r>
        <w:rPr>
          <w:sz w:val="21"/>
        </w:rPr>
        <w:t>修正后的报价，投标人不确认的；</w:t>
      </w:r>
    </w:p>
    <w:p>
      <w:pPr>
        <w:pStyle w:val="19"/>
        <w:spacing w:before="8"/>
        <w:rPr>
          <w:sz w:val="22"/>
        </w:rPr>
      </w:pPr>
    </w:p>
    <w:p>
      <w:pPr>
        <w:pStyle w:val="62"/>
        <w:numPr>
          <w:ilvl w:val="0"/>
          <w:numId w:val="65"/>
        </w:numPr>
        <w:tabs>
          <w:tab w:val="left" w:pos="1360"/>
        </w:tabs>
        <w:spacing w:before="1"/>
        <w:ind w:hanging="528"/>
        <w:rPr>
          <w:sz w:val="21"/>
        </w:rPr>
      </w:pPr>
      <w:r>
        <w:rPr>
          <w:spacing w:val="-6"/>
          <w:sz w:val="21"/>
        </w:rPr>
        <w:t xml:space="preserve">投标人属于本章第 </w:t>
      </w:r>
      <w:r>
        <w:rPr>
          <w:sz w:val="21"/>
        </w:rPr>
        <w:t>5</w:t>
      </w:r>
      <w:r>
        <w:rPr>
          <w:spacing w:val="-18"/>
          <w:sz w:val="21"/>
        </w:rPr>
        <w:t xml:space="preserve"> 条第</w:t>
      </w:r>
      <w:r>
        <w:rPr>
          <w:sz w:val="21"/>
        </w:rPr>
        <w:t>（2）项情形的。</w:t>
      </w:r>
    </w:p>
    <w:p>
      <w:pPr>
        <w:pStyle w:val="19"/>
        <w:spacing w:before="10"/>
        <w:rPr>
          <w:sz w:val="22"/>
        </w:rPr>
      </w:pPr>
    </w:p>
    <w:p>
      <w:pPr>
        <w:pStyle w:val="62"/>
        <w:numPr>
          <w:ilvl w:val="1"/>
          <w:numId w:val="64"/>
        </w:numPr>
        <w:tabs>
          <w:tab w:val="left" w:pos="1200"/>
        </w:tabs>
        <w:rPr>
          <w:sz w:val="21"/>
        </w:rPr>
      </w:pPr>
      <w:r>
        <w:rPr>
          <w:sz w:val="21"/>
        </w:rPr>
        <w:t>在商务评审时，如发现下列情形之一的，将被视为投标无效：</w:t>
      </w:r>
    </w:p>
    <w:p>
      <w:pPr>
        <w:pStyle w:val="19"/>
        <w:spacing w:before="8"/>
        <w:rPr>
          <w:sz w:val="22"/>
        </w:rPr>
      </w:pPr>
    </w:p>
    <w:p>
      <w:pPr>
        <w:pStyle w:val="62"/>
        <w:numPr>
          <w:ilvl w:val="0"/>
          <w:numId w:val="66"/>
        </w:numPr>
        <w:tabs>
          <w:tab w:val="left" w:pos="1360"/>
        </w:tabs>
        <w:ind w:hanging="528"/>
        <w:rPr>
          <w:sz w:val="21"/>
        </w:rPr>
      </w:pPr>
      <w:r>
        <w:rPr>
          <w:sz w:val="21"/>
        </w:rPr>
        <w:t>投标文件未按招标文件要求签署、盖章的；</w:t>
      </w:r>
    </w:p>
    <w:p>
      <w:pPr>
        <w:pStyle w:val="19"/>
        <w:spacing w:before="9"/>
        <w:rPr>
          <w:sz w:val="22"/>
        </w:rPr>
      </w:pPr>
    </w:p>
    <w:p>
      <w:pPr>
        <w:pStyle w:val="62"/>
        <w:numPr>
          <w:ilvl w:val="0"/>
          <w:numId w:val="66"/>
        </w:numPr>
        <w:tabs>
          <w:tab w:val="left" w:pos="1360"/>
        </w:tabs>
        <w:ind w:hanging="528"/>
        <w:rPr>
          <w:sz w:val="21"/>
        </w:rPr>
      </w:pPr>
      <w:r>
        <w:rPr>
          <w:sz w:val="21"/>
        </w:rPr>
        <w:t>委托代理人未能出具有效身份证明或者出具的身份证明与授权委托书中的信息不符的；</w:t>
      </w:r>
    </w:p>
    <w:p>
      <w:pPr>
        <w:pStyle w:val="19"/>
        <w:spacing w:before="10"/>
        <w:rPr>
          <w:sz w:val="22"/>
        </w:rPr>
      </w:pPr>
    </w:p>
    <w:p>
      <w:pPr>
        <w:pStyle w:val="62"/>
        <w:numPr>
          <w:ilvl w:val="0"/>
          <w:numId w:val="66"/>
        </w:numPr>
        <w:tabs>
          <w:tab w:val="left" w:pos="1360"/>
        </w:tabs>
        <w:spacing w:line="499" w:lineRule="auto"/>
        <w:ind w:left="412" w:right="392" w:firstLine="420"/>
        <w:rPr>
          <w:sz w:val="21"/>
        </w:rPr>
      </w:pPr>
      <w:r>
        <w:rPr>
          <w:spacing w:val="-4"/>
          <w:sz w:val="21"/>
        </w:rPr>
        <w:t xml:space="preserve">投标文件未提供“投标人须知前附表”第 </w:t>
      </w:r>
      <w:r>
        <w:rPr>
          <w:sz w:val="21"/>
        </w:rPr>
        <w:t>13.1</w:t>
      </w:r>
      <w:r>
        <w:rPr>
          <w:spacing w:val="-8"/>
          <w:sz w:val="21"/>
        </w:rPr>
        <w:t xml:space="preserve"> 条规定中“必须提供”或者“委托时必须提供” 的文件资料的;</w:t>
      </w:r>
    </w:p>
    <w:p>
      <w:pPr>
        <w:pStyle w:val="62"/>
        <w:numPr>
          <w:ilvl w:val="0"/>
          <w:numId w:val="66"/>
        </w:numPr>
        <w:tabs>
          <w:tab w:val="left" w:pos="1360"/>
        </w:tabs>
        <w:spacing w:line="501" w:lineRule="auto"/>
        <w:ind w:left="412" w:right="412" w:firstLine="420"/>
        <w:rPr>
          <w:sz w:val="21"/>
        </w:rPr>
      </w:pPr>
      <w:r>
        <w:rPr>
          <w:sz w:val="21"/>
        </w:rPr>
        <w:t>投标有效期、项目完成时间</w:t>
      </w:r>
      <w:r>
        <w:rPr>
          <w:spacing w:val="4"/>
          <w:sz w:val="21"/>
        </w:rPr>
        <w:t>（</w:t>
      </w:r>
      <w:r>
        <w:rPr>
          <w:sz w:val="21"/>
        </w:rPr>
        <w:t>交货时间、服务完成时间或者服务期等）、质保期、售后服务等招标文件中标“▲”的商务条款发生负偏离的；</w:t>
      </w:r>
    </w:p>
    <w:p>
      <w:pPr>
        <w:spacing w:line="501" w:lineRule="auto"/>
        <w:rPr>
          <w:sz w:val="21"/>
        </w:rPr>
        <w:sectPr>
          <w:pgSz w:w="11910" w:h="16840"/>
          <w:pgMar w:top="1360" w:right="720" w:bottom="1380" w:left="720" w:header="0" w:footer="1200" w:gutter="0"/>
          <w:pgNumType w:fmt="decimal"/>
          <w:cols w:space="720" w:num="1"/>
        </w:sectPr>
      </w:pPr>
    </w:p>
    <w:p>
      <w:pPr>
        <w:pStyle w:val="62"/>
        <w:numPr>
          <w:ilvl w:val="0"/>
          <w:numId w:val="66"/>
        </w:numPr>
        <w:tabs>
          <w:tab w:val="left" w:pos="1360"/>
        </w:tabs>
        <w:spacing w:before="54"/>
        <w:ind w:hanging="528"/>
        <w:rPr>
          <w:sz w:val="21"/>
        </w:rPr>
      </w:pPr>
      <w:r>
        <w:rPr>
          <w:sz w:val="21"/>
        </w:rPr>
        <w:t>投标文件的实质性内容未使用中文表述、使用计量单位不符合招标文件要求的；</w:t>
      </w:r>
    </w:p>
    <w:p>
      <w:pPr>
        <w:pStyle w:val="19"/>
        <w:spacing w:before="8"/>
        <w:rPr>
          <w:sz w:val="22"/>
        </w:rPr>
      </w:pPr>
    </w:p>
    <w:p>
      <w:pPr>
        <w:pStyle w:val="62"/>
        <w:numPr>
          <w:ilvl w:val="0"/>
          <w:numId w:val="66"/>
        </w:numPr>
        <w:tabs>
          <w:tab w:val="left" w:pos="1360"/>
        </w:tabs>
        <w:spacing w:before="1" w:line="499" w:lineRule="auto"/>
        <w:ind w:left="412" w:right="412" w:firstLine="420"/>
        <w:rPr>
          <w:sz w:val="21"/>
        </w:rPr>
      </w:pPr>
      <w:r>
        <w:rPr>
          <w:sz w:val="21"/>
        </w:rPr>
        <w:t>投标文件中的文件资料因填写不齐全或者内容虚假或者出现其他情形而导致被评标委员会认定无效的；</w:t>
      </w:r>
    </w:p>
    <w:p>
      <w:pPr>
        <w:pStyle w:val="62"/>
        <w:numPr>
          <w:ilvl w:val="0"/>
          <w:numId w:val="66"/>
        </w:numPr>
        <w:tabs>
          <w:tab w:val="left" w:pos="1360"/>
        </w:tabs>
        <w:spacing w:before="1"/>
        <w:ind w:hanging="528"/>
        <w:rPr>
          <w:sz w:val="21"/>
        </w:rPr>
      </w:pPr>
      <w:r>
        <w:rPr>
          <w:sz w:val="21"/>
        </w:rPr>
        <w:t>投标文件含有采购人不能接受的附加条件的；</w:t>
      </w:r>
    </w:p>
    <w:p>
      <w:pPr>
        <w:pStyle w:val="19"/>
        <w:spacing w:before="8"/>
        <w:rPr>
          <w:sz w:val="22"/>
        </w:rPr>
      </w:pPr>
    </w:p>
    <w:p>
      <w:pPr>
        <w:pStyle w:val="62"/>
        <w:numPr>
          <w:ilvl w:val="0"/>
          <w:numId w:val="66"/>
        </w:numPr>
        <w:tabs>
          <w:tab w:val="left" w:pos="1360"/>
        </w:tabs>
        <w:ind w:hanging="528"/>
        <w:rPr>
          <w:sz w:val="21"/>
        </w:rPr>
      </w:pPr>
      <w:r>
        <w:rPr>
          <w:sz w:val="21"/>
        </w:rPr>
        <w:t>未响应招标文件实质性要求的；</w:t>
      </w:r>
    </w:p>
    <w:p>
      <w:pPr>
        <w:pStyle w:val="19"/>
        <w:spacing w:before="8"/>
        <w:rPr>
          <w:sz w:val="22"/>
        </w:rPr>
      </w:pPr>
    </w:p>
    <w:p>
      <w:pPr>
        <w:pStyle w:val="62"/>
        <w:numPr>
          <w:ilvl w:val="0"/>
          <w:numId w:val="66"/>
        </w:numPr>
        <w:tabs>
          <w:tab w:val="left" w:pos="1360"/>
        </w:tabs>
        <w:spacing w:before="1"/>
        <w:ind w:hanging="528"/>
        <w:rPr>
          <w:sz w:val="21"/>
        </w:rPr>
      </w:pPr>
      <w:r>
        <w:rPr>
          <w:spacing w:val="-5"/>
          <w:sz w:val="21"/>
        </w:rPr>
        <w:t xml:space="preserve">属于投标人须知正文第 </w:t>
      </w:r>
      <w:r>
        <w:rPr>
          <w:sz w:val="21"/>
        </w:rPr>
        <w:t>9.2</w:t>
      </w:r>
      <w:r>
        <w:rPr>
          <w:spacing w:val="-10"/>
          <w:sz w:val="21"/>
        </w:rPr>
        <w:t xml:space="preserve"> 条情形的；</w:t>
      </w:r>
    </w:p>
    <w:p>
      <w:pPr>
        <w:pStyle w:val="19"/>
        <w:spacing w:before="10"/>
        <w:rPr>
          <w:sz w:val="22"/>
        </w:rPr>
      </w:pPr>
    </w:p>
    <w:p>
      <w:pPr>
        <w:pStyle w:val="62"/>
        <w:numPr>
          <w:ilvl w:val="0"/>
          <w:numId w:val="66"/>
        </w:numPr>
        <w:tabs>
          <w:tab w:val="left" w:pos="1464"/>
        </w:tabs>
        <w:ind w:left="1464" w:hanging="632"/>
        <w:rPr>
          <w:sz w:val="21"/>
        </w:rPr>
      </w:pPr>
      <w:r>
        <w:rPr>
          <w:sz w:val="21"/>
        </w:rPr>
        <w:t>法律、法规和招标文件规定的其他无效情形。</w:t>
      </w:r>
    </w:p>
    <w:p>
      <w:pPr>
        <w:pStyle w:val="19"/>
        <w:spacing w:before="8"/>
        <w:rPr>
          <w:sz w:val="22"/>
        </w:rPr>
      </w:pPr>
    </w:p>
    <w:p>
      <w:pPr>
        <w:pStyle w:val="62"/>
        <w:numPr>
          <w:ilvl w:val="1"/>
          <w:numId w:val="64"/>
        </w:numPr>
        <w:tabs>
          <w:tab w:val="left" w:pos="1200"/>
        </w:tabs>
        <w:spacing w:before="1"/>
        <w:rPr>
          <w:sz w:val="21"/>
        </w:rPr>
      </w:pPr>
      <w:r>
        <w:rPr>
          <w:sz w:val="21"/>
        </w:rPr>
        <w:t>在技术评审时，如发现下列情形之一的，将被视为投标无效：</w:t>
      </w:r>
    </w:p>
    <w:p>
      <w:pPr>
        <w:pStyle w:val="19"/>
        <w:spacing w:before="8"/>
        <w:rPr>
          <w:sz w:val="22"/>
        </w:rPr>
      </w:pPr>
    </w:p>
    <w:p>
      <w:pPr>
        <w:pStyle w:val="62"/>
        <w:numPr>
          <w:ilvl w:val="0"/>
          <w:numId w:val="67"/>
        </w:numPr>
        <w:tabs>
          <w:tab w:val="left" w:pos="1350"/>
        </w:tabs>
        <w:rPr>
          <w:sz w:val="21"/>
        </w:rPr>
      </w:pPr>
      <w:r>
        <w:rPr>
          <w:spacing w:val="-3"/>
          <w:sz w:val="21"/>
        </w:rPr>
        <w:t xml:space="preserve">投标文件未提供“投标人须知前附表”第 </w:t>
      </w:r>
      <w:r>
        <w:rPr>
          <w:sz w:val="21"/>
        </w:rPr>
        <w:t>13.1</w:t>
      </w:r>
      <w:r>
        <w:rPr>
          <w:spacing w:val="-8"/>
          <w:sz w:val="21"/>
        </w:rPr>
        <w:t xml:space="preserve"> 条规定中“必须提供”的文件资料的;</w:t>
      </w:r>
    </w:p>
    <w:p>
      <w:pPr>
        <w:pStyle w:val="19"/>
        <w:spacing w:before="10"/>
        <w:rPr>
          <w:sz w:val="22"/>
        </w:rPr>
      </w:pPr>
    </w:p>
    <w:p>
      <w:pPr>
        <w:pStyle w:val="62"/>
        <w:numPr>
          <w:ilvl w:val="0"/>
          <w:numId w:val="67"/>
        </w:numPr>
        <w:tabs>
          <w:tab w:val="left" w:pos="1350"/>
        </w:tabs>
        <w:rPr>
          <w:sz w:val="21"/>
        </w:rPr>
      </w:pPr>
      <w:r>
        <w:rPr>
          <w:sz w:val="21"/>
        </w:rPr>
        <w:t>虚假投标，或者出现其他情形而导致被评标委员会认定无效的；</w:t>
      </w:r>
    </w:p>
    <w:p>
      <w:pPr>
        <w:pStyle w:val="19"/>
        <w:spacing w:before="9"/>
        <w:rPr>
          <w:sz w:val="22"/>
        </w:rPr>
      </w:pPr>
    </w:p>
    <w:p>
      <w:pPr>
        <w:pStyle w:val="62"/>
        <w:numPr>
          <w:ilvl w:val="0"/>
          <w:numId w:val="67"/>
        </w:numPr>
        <w:tabs>
          <w:tab w:val="left" w:pos="1350"/>
        </w:tabs>
        <w:spacing w:line="499" w:lineRule="auto"/>
        <w:ind w:left="412" w:right="716" w:firstLine="412"/>
        <w:rPr>
          <w:b/>
          <w:sz w:val="21"/>
        </w:rPr>
      </w:pPr>
      <w:r>
        <w:rPr>
          <w:rFonts w:ascii="宋体" w:hAnsi="宋体" w:eastAsia="宋体" w:cs="宋体"/>
          <w:sz w:val="21"/>
        </w:rPr>
        <w:t>投标技术方案不明确，招标文件未允许但存在一个或者一个以上备选（替代）投标方案的</w:t>
      </w:r>
      <w:r>
        <w:rPr>
          <w:b/>
          <w:w w:val="95"/>
          <w:sz w:val="21"/>
        </w:rPr>
        <w:t xml:space="preserve">。   </w:t>
      </w:r>
    </w:p>
    <w:p>
      <w:pPr>
        <w:pStyle w:val="62"/>
        <w:tabs>
          <w:tab w:val="left" w:pos="1350"/>
        </w:tabs>
        <w:spacing w:line="499" w:lineRule="auto"/>
        <w:ind w:left="824" w:right="716" w:firstLine="0"/>
        <w:outlineLvl w:val="2"/>
        <w:rPr>
          <w:b/>
          <w:sz w:val="21"/>
        </w:rPr>
      </w:pPr>
      <w:bookmarkStart w:id="31" w:name="_Toc14269"/>
      <w:r>
        <w:rPr>
          <w:b/>
          <w:sz w:val="21"/>
        </w:rPr>
        <w:t>3.澄清补正</w:t>
      </w:r>
      <w:bookmarkEnd w:id="31"/>
    </w:p>
    <w:p>
      <w:pPr>
        <w:pStyle w:val="19"/>
        <w:spacing w:before="1" w:line="499" w:lineRule="auto"/>
        <w:ind w:left="412" w:right="410" w:firstLine="420"/>
        <w:jc w:val="both"/>
      </w:pPr>
      <w:r>
        <w:rPr>
          <w:rFonts w:ascii="宋体" w:hAnsi="宋体" w:eastAsia="宋体" w:cs="宋体"/>
          <w:sz w:val="21"/>
          <w:szCs w:val="22"/>
          <w:lang w:val="zh-CN" w:eastAsia="zh-CN" w:bidi="zh-CN"/>
        </w:rPr>
        <w:t>对投标文件中含义不明确、同类问题表述不一致或者有明显文字和计算错误的内容，评标委员会以书面形式要求投标人在规定时间内作出必要的澄清、说明或者纠正。投标人的澄清、说明或者补正必须采用书面形式</w:t>
      </w:r>
      <w:r>
        <w:rPr>
          <w:spacing w:val="-6"/>
          <w:w w:val="95"/>
        </w:rPr>
        <w:t>，</w:t>
      </w:r>
      <w:r>
        <w:rPr>
          <w:rFonts w:ascii="宋体" w:hAnsi="宋体" w:eastAsia="宋体" w:cs="宋体"/>
          <w:sz w:val="21"/>
          <w:szCs w:val="22"/>
          <w:lang w:val="zh-CN" w:eastAsia="zh-CN" w:bidi="zh-CN"/>
        </w:rPr>
        <w:t>并加盖公章。投标人的澄清</w:t>
      </w:r>
      <w:r>
        <w:rPr>
          <w:spacing w:val="-6"/>
          <w:w w:val="95"/>
        </w:rPr>
        <w:t>、说明或者补正不得超</w:t>
      </w:r>
      <w:r>
        <w:rPr>
          <w:spacing w:val="-6"/>
        </w:rPr>
        <w:t>出投标文件的范围或者改变投标文件的实质性内容。</w:t>
      </w:r>
    </w:p>
    <w:p>
      <w:pPr>
        <w:numPr>
          <w:ilvl w:val="0"/>
          <w:numId w:val="68"/>
        </w:numPr>
        <w:tabs>
          <w:tab w:val="left" w:pos="627"/>
        </w:tabs>
        <w:spacing w:before="1"/>
        <w:ind w:hanging="215"/>
        <w:outlineLvl w:val="2"/>
        <w:rPr>
          <w:b/>
          <w:sz w:val="21"/>
        </w:rPr>
      </w:pPr>
      <w:bookmarkStart w:id="32" w:name="_Toc3207"/>
      <w:r>
        <w:rPr>
          <w:b/>
          <w:sz w:val="21"/>
        </w:rPr>
        <w:t>投标文件修正</w:t>
      </w:r>
      <w:bookmarkEnd w:id="32"/>
    </w:p>
    <w:p>
      <w:pPr>
        <w:pStyle w:val="19"/>
        <w:spacing w:before="8"/>
        <w:rPr>
          <w:b/>
          <w:sz w:val="22"/>
        </w:rPr>
      </w:pPr>
    </w:p>
    <w:p>
      <w:pPr>
        <w:pStyle w:val="62"/>
        <w:numPr>
          <w:ilvl w:val="1"/>
          <w:numId w:val="68"/>
        </w:numPr>
        <w:tabs>
          <w:tab w:val="left" w:pos="1200"/>
        </w:tabs>
        <w:rPr>
          <w:sz w:val="21"/>
        </w:rPr>
      </w:pPr>
      <w:r>
        <w:rPr>
          <w:sz w:val="21"/>
        </w:rPr>
        <w:t>投标文件报价出现前后不一致的，按照下列规定修正：</w:t>
      </w:r>
    </w:p>
    <w:p>
      <w:pPr>
        <w:pStyle w:val="19"/>
        <w:spacing w:before="11"/>
        <w:rPr>
          <w:sz w:val="22"/>
        </w:rPr>
      </w:pPr>
    </w:p>
    <w:p>
      <w:pPr>
        <w:pStyle w:val="62"/>
        <w:numPr>
          <w:ilvl w:val="0"/>
          <w:numId w:val="69"/>
        </w:numPr>
        <w:tabs>
          <w:tab w:val="left" w:pos="1364"/>
        </w:tabs>
        <w:spacing w:line="499" w:lineRule="auto"/>
        <w:ind w:right="415" w:firstLine="420"/>
        <w:rPr>
          <w:sz w:val="21"/>
        </w:rPr>
      </w:pPr>
      <w:r>
        <w:rPr>
          <w:sz w:val="21"/>
        </w:rPr>
        <w:t>投标文件中开标一览表</w:t>
      </w:r>
      <w:r>
        <w:rPr>
          <w:spacing w:val="4"/>
          <w:sz w:val="21"/>
        </w:rPr>
        <w:t>（</w:t>
      </w:r>
      <w:r>
        <w:rPr>
          <w:spacing w:val="1"/>
          <w:sz w:val="21"/>
        </w:rPr>
        <w:t>报价表</w:t>
      </w:r>
      <w:r>
        <w:rPr>
          <w:sz w:val="21"/>
        </w:rPr>
        <w:t>）内容与投标文件中相应内容不一致的，以开标一览表（报价表）为准；</w:t>
      </w:r>
    </w:p>
    <w:p>
      <w:pPr>
        <w:pStyle w:val="62"/>
        <w:numPr>
          <w:ilvl w:val="0"/>
          <w:numId w:val="69"/>
        </w:numPr>
        <w:tabs>
          <w:tab w:val="left" w:pos="1360"/>
        </w:tabs>
        <w:spacing w:line="268" w:lineRule="exact"/>
        <w:ind w:left="1359" w:hanging="528"/>
        <w:rPr>
          <w:sz w:val="21"/>
        </w:rPr>
      </w:pPr>
      <w:r>
        <w:rPr>
          <w:sz w:val="21"/>
        </w:rPr>
        <w:t>大写金额和小写金额不一致的，以大写金额为准；</w:t>
      </w:r>
    </w:p>
    <w:p>
      <w:pPr>
        <w:pStyle w:val="19"/>
        <w:spacing w:before="10"/>
        <w:rPr>
          <w:sz w:val="22"/>
        </w:rPr>
      </w:pPr>
    </w:p>
    <w:p>
      <w:pPr>
        <w:pStyle w:val="62"/>
        <w:numPr>
          <w:ilvl w:val="0"/>
          <w:numId w:val="69"/>
        </w:numPr>
        <w:tabs>
          <w:tab w:val="left" w:pos="1360"/>
        </w:tabs>
        <w:ind w:left="1359" w:hanging="528"/>
        <w:rPr>
          <w:sz w:val="21"/>
        </w:rPr>
      </w:pPr>
      <w:r>
        <w:rPr>
          <w:sz w:val="21"/>
        </w:rPr>
        <w:t>单价金额小数点或者百分比有明显错位的，以开标一览表的总价为准，并修改单价；</w:t>
      </w:r>
    </w:p>
    <w:p>
      <w:pPr>
        <w:pStyle w:val="19"/>
        <w:spacing w:before="8"/>
        <w:rPr>
          <w:sz w:val="22"/>
        </w:rPr>
      </w:pPr>
    </w:p>
    <w:p>
      <w:pPr>
        <w:pStyle w:val="62"/>
        <w:numPr>
          <w:ilvl w:val="0"/>
          <w:numId w:val="69"/>
        </w:numPr>
        <w:tabs>
          <w:tab w:val="left" w:pos="1360"/>
        </w:tabs>
        <w:spacing w:before="1"/>
        <w:ind w:left="1359" w:hanging="528"/>
        <w:rPr>
          <w:sz w:val="21"/>
        </w:rPr>
      </w:pPr>
      <w:r>
        <w:rPr>
          <w:sz w:val="21"/>
        </w:rPr>
        <w:t>总价金额与按单价汇总金额不一致的，以单价金额计算结果为准。</w:t>
      </w:r>
    </w:p>
    <w:p>
      <w:pPr>
        <w:pStyle w:val="19"/>
        <w:spacing w:before="8"/>
        <w:rPr>
          <w:sz w:val="22"/>
        </w:rPr>
      </w:pPr>
    </w:p>
    <w:p>
      <w:pPr>
        <w:pStyle w:val="19"/>
        <w:spacing w:line="501" w:lineRule="auto"/>
        <w:ind w:left="412" w:right="412" w:firstLine="420"/>
      </w:pPr>
      <w:r>
        <w:t>同时出现两种以上不一致的，按照以上（1）-（4）规定的顺序修正。修正后的报价经投标人确认后产生约束力，投标人不确认的，其投标无效。</w:t>
      </w:r>
    </w:p>
    <w:p>
      <w:pPr>
        <w:spacing w:line="501" w:lineRule="auto"/>
        <w:sectPr>
          <w:pgSz w:w="11910" w:h="16840"/>
          <w:pgMar w:top="1300" w:right="720" w:bottom="1380" w:left="720" w:header="0" w:footer="1200" w:gutter="0"/>
          <w:pgNumType w:fmt="decimal"/>
          <w:cols w:space="720" w:num="1"/>
        </w:sectPr>
      </w:pPr>
    </w:p>
    <w:p>
      <w:pPr>
        <w:pStyle w:val="62"/>
        <w:numPr>
          <w:ilvl w:val="1"/>
          <w:numId w:val="68"/>
        </w:numPr>
        <w:tabs>
          <w:tab w:val="left" w:pos="1203"/>
        </w:tabs>
        <w:spacing w:before="54"/>
        <w:ind w:left="1202" w:hanging="371"/>
        <w:rPr>
          <w:sz w:val="21"/>
        </w:rPr>
      </w:pPr>
      <w:r>
        <w:rPr>
          <w:sz w:val="21"/>
        </w:rPr>
        <w:t>经投标人确认修正后的报价若超过采购预算金额或者最高限价，投标人的投标文件作无效投标处</w:t>
      </w:r>
    </w:p>
    <w:p>
      <w:pPr>
        <w:pStyle w:val="19"/>
        <w:spacing w:before="3"/>
        <w:rPr>
          <w:sz w:val="17"/>
        </w:rPr>
      </w:pPr>
    </w:p>
    <w:p>
      <w:pPr>
        <w:pStyle w:val="19"/>
        <w:spacing w:before="70"/>
        <w:ind w:left="412"/>
      </w:pPr>
      <w:r>
        <w:t>理。</w:t>
      </w:r>
    </w:p>
    <w:p>
      <w:pPr>
        <w:pStyle w:val="19"/>
        <w:spacing w:before="2"/>
        <w:rPr>
          <w:sz w:val="17"/>
        </w:rPr>
      </w:pPr>
    </w:p>
    <w:p>
      <w:pPr>
        <w:pStyle w:val="62"/>
        <w:numPr>
          <w:ilvl w:val="1"/>
          <w:numId w:val="68"/>
        </w:numPr>
        <w:tabs>
          <w:tab w:val="left" w:pos="1203"/>
        </w:tabs>
        <w:spacing w:before="54"/>
        <w:ind w:left="1202" w:hanging="371"/>
        <w:rPr>
          <w:rFonts w:ascii="宋体" w:hAnsi="宋体" w:eastAsia="宋体" w:cs="宋体"/>
          <w:sz w:val="21"/>
        </w:rPr>
      </w:pPr>
      <w:r>
        <w:rPr>
          <w:rFonts w:ascii="宋体" w:hAnsi="宋体" w:eastAsia="宋体" w:cs="宋体"/>
          <w:sz w:val="21"/>
        </w:rPr>
        <w:t xml:space="preserve">经投标人确认修正后的报价作为签订合同的依据，并以此报价计算价格分。  </w:t>
      </w:r>
    </w:p>
    <w:p>
      <w:pPr>
        <w:pStyle w:val="62"/>
        <w:numPr>
          <w:ilvl w:val="0"/>
          <w:numId w:val="0"/>
        </w:numPr>
        <w:tabs>
          <w:tab w:val="left" w:pos="1200"/>
        </w:tabs>
        <w:spacing w:before="70" w:line="501" w:lineRule="auto"/>
        <w:ind w:left="832" w:leftChars="0" w:right="2335" w:rightChars="0"/>
        <w:outlineLvl w:val="2"/>
        <w:rPr>
          <w:b/>
          <w:sz w:val="21"/>
        </w:rPr>
      </w:pPr>
      <w:bookmarkStart w:id="33" w:name="_Toc13300"/>
      <w:r>
        <w:rPr>
          <w:b/>
          <w:sz w:val="21"/>
        </w:rPr>
        <w:t>5.比较与评价</w:t>
      </w:r>
      <w:bookmarkEnd w:id="33"/>
    </w:p>
    <w:p>
      <w:pPr>
        <w:pStyle w:val="62"/>
        <w:numPr>
          <w:ilvl w:val="0"/>
          <w:numId w:val="70"/>
        </w:numPr>
        <w:tabs>
          <w:tab w:val="left" w:pos="1364"/>
        </w:tabs>
        <w:spacing w:line="499" w:lineRule="auto"/>
        <w:ind w:right="415" w:firstLine="420"/>
        <w:rPr>
          <w:sz w:val="21"/>
        </w:rPr>
      </w:pPr>
      <w:r>
        <w:rPr>
          <w:sz w:val="21"/>
        </w:rPr>
        <w:t>评标委员会按照招标文件中规定的评标方法和评标标准，对符合性审查合格的投标文件进行商务和技术评估，综合比较与评价。</w:t>
      </w:r>
    </w:p>
    <w:p>
      <w:pPr>
        <w:pStyle w:val="62"/>
        <w:numPr>
          <w:ilvl w:val="0"/>
          <w:numId w:val="70"/>
        </w:numPr>
        <w:tabs>
          <w:tab w:val="left" w:pos="1360"/>
        </w:tabs>
        <w:ind w:left="1359" w:hanging="528"/>
        <w:rPr>
          <w:sz w:val="21"/>
        </w:rPr>
      </w:pPr>
      <w:r>
        <w:rPr>
          <w:sz w:val="21"/>
        </w:rPr>
        <w:t>评标委员会独立对每个投标人的投标文件进行评价，并汇总每个投标人的得分。</w:t>
      </w:r>
    </w:p>
    <w:p>
      <w:pPr>
        <w:pStyle w:val="19"/>
        <w:spacing w:before="6"/>
        <w:rPr>
          <w:sz w:val="22"/>
        </w:rPr>
      </w:pPr>
    </w:p>
    <w:p>
      <w:pPr>
        <w:pStyle w:val="19"/>
        <w:spacing w:line="499" w:lineRule="auto"/>
        <w:ind w:left="412" w:right="412" w:firstLine="420"/>
        <w:jc w:val="both"/>
      </w:pPr>
      <w:r>
        <w:rPr>
          <w:rFonts w:ascii="宋体" w:hAnsi="宋体" w:eastAsia="宋体" w:cs="宋体"/>
          <w:sz w:val="21"/>
          <w:szCs w:val="22"/>
          <w:lang w:val="zh-CN" w:eastAsia="zh-CN" w:bidi="zh-CN"/>
        </w:rPr>
        <w:t>评标委员会认为投标人的报价明显低于其他通过符合性审查投标人的报价，有可能影响产品质量或者不能诚信履约的，应当要求其在评标现场合理的时间内提供书面说明，必要时提交相关证明材料；</w:t>
      </w:r>
      <w:r>
        <w:rPr>
          <w:spacing w:val="-4"/>
          <w:w w:val="95"/>
        </w:rPr>
        <w:t>投标人</w:t>
      </w:r>
      <w:r>
        <w:rPr>
          <w:spacing w:val="-4"/>
        </w:rPr>
        <w:t>不能证明其报价合理性的，</w:t>
      </w:r>
      <w:r>
        <w:rPr>
          <w:b/>
          <w:spacing w:val="-4"/>
        </w:rPr>
        <w:t>评标委员会将其作为无效投标处理</w:t>
      </w:r>
      <w:r>
        <w:rPr>
          <w:spacing w:val="-4"/>
        </w:rPr>
        <w:t>。</w:t>
      </w:r>
    </w:p>
    <w:p>
      <w:pPr>
        <w:pStyle w:val="62"/>
        <w:numPr>
          <w:ilvl w:val="0"/>
          <w:numId w:val="70"/>
        </w:numPr>
        <w:tabs>
          <w:tab w:val="left" w:pos="1364"/>
        </w:tabs>
        <w:spacing w:before="1" w:line="499" w:lineRule="auto"/>
        <w:ind w:right="415" w:firstLine="420"/>
        <w:rPr>
          <w:sz w:val="21"/>
        </w:rPr>
      </w:pPr>
      <w:r>
        <w:rPr>
          <w:sz w:val="21"/>
        </w:rPr>
        <w:t>评标委员会按照招标文件中规定的评标方法和标准计算各投标人的报价得分。在计算过程中， 不得去掉最高报价或者最低报价。</w:t>
      </w:r>
    </w:p>
    <w:p>
      <w:pPr>
        <w:pStyle w:val="62"/>
        <w:numPr>
          <w:ilvl w:val="0"/>
          <w:numId w:val="70"/>
        </w:numPr>
        <w:tabs>
          <w:tab w:val="left" w:pos="1360"/>
        </w:tabs>
        <w:spacing w:before="1"/>
        <w:ind w:left="1359" w:hanging="528"/>
        <w:rPr>
          <w:sz w:val="21"/>
        </w:rPr>
      </w:pPr>
      <w:r>
        <w:rPr>
          <w:sz w:val="21"/>
        </w:rPr>
        <w:t>各投标人的得分为所有评委的有效评分的算术平均数。</w:t>
      </w:r>
    </w:p>
    <w:p>
      <w:pPr>
        <w:pStyle w:val="19"/>
        <w:spacing w:before="8"/>
        <w:rPr>
          <w:sz w:val="22"/>
        </w:rPr>
      </w:pPr>
    </w:p>
    <w:p>
      <w:pPr>
        <w:pStyle w:val="62"/>
        <w:numPr>
          <w:ilvl w:val="0"/>
          <w:numId w:val="70"/>
        </w:numPr>
        <w:tabs>
          <w:tab w:val="left" w:pos="1360"/>
        </w:tabs>
        <w:spacing w:before="1"/>
        <w:ind w:left="1359" w:hanging="528"/>
        <w:rPr>
          <w:sz w:val="21"/>
        </w:rPr>
      </w:pPr>
      <w:r>
        <w:rPr>
          <w:sz w:val="21"/>
        </w:rPr>
        <w:t>评标委员会按照招标文件中的规定推荐中标候选人。</w:t>
      </w:r>
    </w:p>
    <w:p>
      <w:pPr>
        <w:pStyle w:val="19"/>
        <w:spacing w:before="8"/>
        <w:rPr>
          <w:sz w:val="22"/>
        </w:rPr>
      </w:pPr>
    </w:p>
    <w:p>
      <w:pPr>
        <w:pStyle w:val="62"/>
        <w:numPr>
          <w:ilvl w:val="0"/>
          <w:numId w:val="70"/>
        </w:numPr>
        <w:tabs>
          <w:tab w:val="left" w:pos="1364"/>
        </w:tabs>
        <w:spacing w:line="499" w:lineRule="auto"/>
        <w:ind w:right="410" w:firstLine="420"/>
        <w:jc w:val="both"/>
        <w:rPr>
          <w:rFonts w:ascii="宋体" w:hAnsi="宋体" w:eastAsia="宋体" w:cs="宋体"/>
          <w:sz w:val="21"/>
        </w:rPr>
      </w:pPr>
      <w:r>
        <w:rPr>
          <w:sz w:val="21"/>
        </w:rPr>
        <w:t>起草并签署评标报告。评标委员会根据评标委员会成员签字的原始评标记录和评标结果编写评</w:t>
      </w:r>
      <w:r>
        <w:rPr>
          <w:rFonts w:ascii="宋体" w:hAnsi="宋体" w:eastAsia="宋体" w:cs="宋体"/>
          <w:sz w:val="21"/>
        </w:rPr>
        <w:t>标报告。评标委员会成员均应当在评标报告上签字，对自己的评标意见承担法律责任。对评标过程中需要共同认定的事项存在争议的，应当按照少数服从多数的原则做出结论。持不同意见的评标委员会应当在评标报告上签署不同意见及理由，否则视为同意评标报告。</w:t>
      </w:r>
    </w:p>
    <w:p>
      <w:pPr>
        <w:pStyle w:val="62"/>
        <w:numPr>
          <w:ilvl w:val="0"/>
          <w:numId w:val="70"/>
        </w:numPr>
        <w:tabs>
          <w:tab w:val="left" w:pos="1364"/>
        </w:tabs>
        <w:spacing w:line="499" w:lineRule="auto"/>
        <w:ind w:right="410" w:firstLine="420"/>
        <w:jc w:val="both"/>
        <w:rPr>
          <w:rFonts w:ascii="宋体" w:hAnsi="宋体" w:eastAsia="宋体" w:cs="宋体"/>
          <w:sz w:val="21"/>
        </w:rPr>
        <w:sectPr>
          <w:footerReference r:id="rId7" w:type="default"/>
          <w:pgSz w:w="11910" w:h="16840"/>
          <w:pgMar w:top="1300" w:right="720" w:bottom="1300" w:left="720" w:header="0" w:footer="1120" w:gutter="0"/>
          <w:pgNumType w:fmt="decimal"/>
          <w:cols w:space="720" w:num="1"/>
        </w:sectPr>
      </w:pPr>
    </w:p>
    <w:p>
      <w:pPr>
        <w:pStyle w:val="8"/>
        <w:outlineLvl w:val="1"/>
      </w:pPr>
      <w:bookmarkStart w:id="34" w:name="_Toc24444"/>
      <w:r>
        <w:rPr>
          <w:rFonts w:hint="eastAsia"/>
        </w:rPr>
        <w:t>二、评标标准</w:t>
      </w:r>
      <w:bookmarkEnd w:id="34"/>
    </w:p>
    <w:p>
      <w:pPr>
        <w:pStyle w:val="5"/>
        <w:snapToGrid w:val="0"/>
        <w:spacing w:before="0"/>
        <w:rPr>
          <w:color w:val="000000"/>
          <w:sz w:val="24"/>
          <w:szCs w:val="24"/>
        </w:rPr>
      </w:pPr>
      <w:bookmarkStart w:id="35" w:name="_Toc32232"/>
      <w:r>
        <w:rPr>
          <w:rFonts w:hint="eastAsia"/>
          <w:color w:val="000000"/>
          <w:sz w:val="24"/>
          <w:szCs w:val="24"/>
        </w:rPr>
        <w:t>（综合评分法，计分方法按四舍五入取至百分位）</w:t>
      </w:r>
      <w:bookmarkEnd w:id="35"/>
    </w:p>
    <w:tbl>
      <w:tblPr>
        <w:tblStyle w:val="51"/>
        <w:tblW w:w="108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99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6" w:type="dxa"/>
            <w:vAlign w:val="center"/>
          </w:tcPr>
          <w:p>
            <w:pPr>
              <w:adjustRightInd w:val="0"/>
              <w:spacing w:line="440" w:lineRule="exact"/>
              <w:jc w:val="center"/>
              <w:textAlignment w:val="baseline"/>
              <w:rPr>
                <w:color w:val="000000"/>
                <w:sz w:val="24"/>
              </w:rPr>
            </w:pPr>
            <w:r>
              <w:rPr>
                <w:rFonts w:hint="eastAsia"/>
                <w:b/>
                <w:color w:val="000000"/>
                <w:sz w:val="24"/>
              </w:rPr>
              <w:t>序号</w:t>
            </w:r>
          </w:p>
        </w:tc>
        <w:tc>
          <w:tcPr>
            <w:tcW w:w="9996" w:type="dxa"/>
            <w:vAlign w:val="center"/>
          </w:tcPr>
          <w:p>
            <w:pPr>
              <w:adjustRightInd w:val="0"/>
              <w:spacing w:line="440" w:lineRule="exact"/>
              <w:jc w:val="center"/>
              <w:textAlignment w:val="baseline"/>
              <w:rPr>
                <w:color w:val="000000"/>
                <w:sz w:val="24"/>
              </w:rPr>
            </w:pPr>
            <w:r>
              <w:rPr>
                <w:rFonts w:hint="eastAsia"/>
                <w:b/>
                <w:bCs/>
                <w:color w:val="000000"/>
                <w:sz w:val="24"/>
              </w:rPr>
              <w:t>评审因素具体内容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76" w:type="dxa"/>
            <w:vAlign w:val="center"/>
          </w:tcPr>
          <w:p>
            <w:pPr>
              <w:adjustRightInd w:val="0"/>
              <w:spacing w:line="440" w:lineRule="exact"/>
              <w:jc w:val="center"/>
              <w:textAlignment w:val="baseline"/>
              <w:rPr>
                <w:b/>
                <w:color w:val="000000"/>
                <w:sz w:val="24"/>
              </w:rPr>
            </w:pPr>
            <w:r>
              <w:rPr>
                <w:rFonts w:hint="eastAsia"/>
                <w:b/>
                <w:color w:val="000000"/>
                <w:sz w:val="24"/>
              </w:rPr>
              <w:t>1</w:t>
            </w:r>
          </w:p>
        </w:tc>
        <w:tc>
          <w:tcPr>
            <w:tcW w:w="9996" w:type="dxa"/>
            <w:vAlign w:val="center"/>
          </w:tcPr>
          <w:p>
            <w:pPr>
              <w:adjustRightInd w:val="0"/>
              <w:spacing w:line="440" w:lineRule="exact"/>
              <w:jc w:val="center"/>
              <w:textAlignment w:val="baseline"/>
              <w:rPr>
                <w:b/>
                <w:color w:val="000000"/>
                <w:sz w:val="24"/>
              </w:rPr>
            </w:pPr>
            <w:r>
              <w:rPr>
                <w:rFonts w:hint="eastAsia"/>
                <w:b/>
                <w:color w:val="000000"/>
                <w:sz w:val="24"/>
              </w:rPr>
              <w:t>价格分（满分30分）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6" w:type="dxa"/>
            <w:vAlign w:val="center"/>
          </w:tcPr>
          <w:p>
            <w:pPr>
              <w:adjustRightInd w:val="0"/>
              <w:spacing w:line="440" w:lineRule="exact"/>
              <w:jc w:val="center"/>
              <w:textAlignment w:val="baseline"/>
              <w:rPr>
                <w:b/>
                <w:color w:val="000000"/>
                <w:sz w:val="24"/>
              </w:rPr>
            </w:pPr>
            <w:r>
              <w:rPr>
                <w:rFonts w:hint="eastAsia"/>
                <w:b/>
                <w:color w:val="000000"/>
                <w:sz w:val="24"/>
              </w:rPr>
              <w:t>1.1</w:t>
            </w:r>
          </w:p>
        </w:tc>
        <w:tc>
          <w:tcPr>
            <w:tcW w:w="9996" w:type="dxa"/>
            <w:vAlign w:val="center"/>
          </w:tcPr>
          <w:p>
            <w:pPr>
              <w:adjustRightInd w:val="0"/>
              <w:snapToGrid w:val="0"/>
              <w:spacing w:line="440" w:lineRule="exact"/>
              <w:ind w:firstLine="220" w:firstLineChars="100"/>
              <w:rPr>
                <w:szCs w:val="21"/>
              </w:rPr>
            </w:pPr>
            <w:r>
              <w:rPr>
                <w:rFonts w:hint="eastAsia"/>
                <w:szCs w:val="21"/>
              </w:rPr>
              <w:t>1.评审价为供应商的最后报价进行政策性扣除后的价格，评审价只是作为评审时使用。最终成交供应商的成交金额等于最后报价（如有修正，以确认修正后的最后报价为准）。</w:t>
            </w:r>
          </w:p>
          <w:p>
            <w:pPr>
              <w:adjustRightInd w:val="0"/>
              <w:snapToGrid w:val="0"/>
              <w:spacing w:line="440" w:lineRule="exact"/>
              <w:ind w:firstLine="220" w:firstLineChars="100"/>
              <w:rPr>
                <w:szCs w:val="21"/>
              </w:rPr>
            </w:pPr>
            <w:r>
              <w:rPr>
                <w:rFonts w:hint="eastAsia"/>
                <w:szCs w:val="21"/>
              </w:rPr>
              <w:t>2.政府采购政策性扣除计算方法</w:t>
            </w:r>
          </w:p>
          <w:p>
            <w:pPr>
              <w:adjustRightInd w:val="0"/>
              <w:snapToGrid w:val="0"/>
              <w:spacing w:line="440" w:lineRule="exact"/>
              <w:ind w:firstLine="440" w:firstLineChars="200"/>
              <w:rPr>
                <w:szCs w:val="21"/>
              </w:rPr>
            </w:pPr>
            <w:r>
              <w:rPr>
                <w:rFonts w:hint="eastAsia"/>
                <w:szCs w:val="21"/>
              </w:rPr>
              <w:t>（1）按照《政府采购促进中小企业发展管理办法》（财库(2020 ) 46号）的规定，供应商为小型和微型企业，并在其响应文件中提供按</w:t>
            </w:r>
            <w:r>
              <w:rPr>
                <w:rFonts w:hint="eastAsia"/>
                <w:szCs w:val="21"/>
                <w:lang w:eastAsia="zh-CN"/>
              </w:rPr>
              <w:t>招标</w:t>
            </w:r>
            <w:r>
              <w:rPr>
                <w:rFonts w:hint="eastAsia"/>
                <w:szCs w:val="21"/>
              </w:rPr>
              <w:t>文件要求提供的《中小企业声明函》为评分依据，对其最后报价给予10%的扣除。</w:t>
            </w:r>
          </w:p>
          <w:p>
            <w:pPr>
              <w:adjustRightInd w:val="0"/>
              <w:snapToGrid w:val="0"/>
              <w:spacing w:line="440" w:lineRule="exact"/>
              <w:ind w:firstLine="440" w:firstLineChars="200"/>
              <w:rPr>
                <w:szCs w:val="21"/>
              </w:rPr>
            </w:pPr>
            <w:r>
              <w:rPr>
                <w:rFonts w:hint="eastAsia"/>
                <w:szCs w:val="21"/>
              </w:rPr>
              <w:t>（2）按照《财政部、司法部关于政府采购支持监狱企业发展有关问题的通知》（财库〔2014〕68号）的规定，监狱企业视同小型、微型企业，享受预留份额、评审中价格扣除等促进中小企业发展的政府采购政策。监狱企业参加政府采购活动时，应当提供由省级以上监狱管理局、戒毒管理局(含新疆生产建设兵团)出具的属于监狱企业的证明文件。不重复享受政策。</w:t>
            </w:r>
          </w:p>
          <w:p>
            <w:pPr>
              <w:adjustRightInd w:val="0"/>
              <w:snapToGrid w:val="0"/>
              <w:spacing w:line="440" w:lineRule="exact"/>
              <w:ind w:firstLine="440" w:firstLineChars="200"/>
              <w:rPr>
                <w:szCs w:val="21"/>
              </w:rPr>
            </w:pPr>
            <w:r>
              <w:rPr>
                <w:rFonts w:hint="eastAsia"/>
                <w:szCs w:val="21"/>
              </w:rPr>
              <w:t>（3）按照《关于促进残疾人就业政府采购政策的通知》（财库〔2017〕141号）的规定，残疾人福利性单位视同小型、微型企业，享受预留份额、评审中价格扣除等促进中小企业发展的政府采购政策。残疾人福利性单位参加政府采购活动时，应当提供该通知规定的《残疾人福利性单位声明函》，并对声明的真实性负责。残疾人福利性单位属于小型、微型企业的，不重复享受政策。</w:t>
            </w:r>
          </w:p>
          <w:p>
            <w:pPr>
              <w:adjustRightInd w:val="0"/>
              <w:snapToGrid w:val="0"/>
              <w:spacing w:line="440" w:lineRule="exact"/>
              <w:ind w:firstLine="440" w:firstLineChars="200"/>
              <w:rPr>
                <w:szCs w:val="21"/>
              </w:rPr>
            </w:pPr>
            <w:r>
              <w:rPr>
                <w:rFonts w:hint="eastAsia"/>
                <w:szCs w:val="21"/>
              </w:rPr>
              <w:t>（4）政策性扣除计算方法。</w:t>
            </w:r>
          </w:p>
          <w:p>
            <w:pPr>
              <w:adjustRightInd w:val="0"/>
              <w:snapToGrid w:val="0"/>
              <w:spacing w:line="440" w:lineRule="exact"/>
              <w:ind w:firstLine="440" w:firstLineChars="200"/>
              <w:rPr>
                <w:szCs w:val="21"/>
              </w:rPr>
            </w:pPr>
            <w:r>
              <w:rPr>
                <w:rFonts w:hint="eastAsia"/>
                <w:szCs w:val="21"/>
              </w:rPr>
              <w:t>供应商被评定为监狱企业或者残疾人福利性单位或者小型和微型企业，该供应商的最后报价给予10%的扣除，扣除后的价格为评审价，即评审价=最后报价×（1-10%）；如接受大中型企业与小微型企业组成联合体或者允许大中型企业向一家或者多家小微企业分包的采购项目，对于联合体协议或者分包意向协议约定小微企业的合同份额占到合同总金额30%以上的，联合体最后报价给予2%的扣除，扣除后的价格为评审价，即评审价=最后报价×（1- 2%）；除上述情况外，评审价=最后报价。</w:t>
            </w:r>
          </w:p>
          <w:p>
            <w:pPr>
              <w:adjustRightInd w:val="0"/>
              <w:snapToGrid w:val="0"/>
              <w:spacing w:line="440" w:lineRule="exact"/>
              <w:ind w:firstLine="440" w:firstLineChars="200"/>
              <w:rPr>
                <w:szCs w:val="21"/>
              </w:rPr>
            </w:pPr>
            <w:r>
              <w:rPr>
                <w:rFonts w:hint="eastAsia"/>
                <w:szCs w:val="21"/>
              </w:rPr>
              <w:t>（5）除上述情况外，评审价＝最后报价。</w:t>
            </w:r>
          </w:p>
          <w:p>
            <w:pPr>
              <w:adjustRightInd w:val="0"/>
              <w:snapToGrid w:val="0"/>
              <w:spacing w:line="440" w:lineRule="exact"/>
              <w:ind w:firstLine="440" w:firstLineChars="200"/>
              <w:rPr>
                <w:szCs w:val="21"/>
              </w:rPr>
            </w:pPr>
            <w:r>
              <w:rPr>
                <w:rFonts w:hint="eastAsia"/>
                <w:szCs w:val="21"/>
              </w:rPr>
              <w:t>（6）以进入比较与评价环节的最低的评审价为基准价，基准价得分为30分。</w:t>
            </w:r>
          </w:p>
          <w:p>
            <w:pPr>
              <w:adjustRightInd w:val="0"/>
              <w:snapToGrid w:val="0"/>
              <w:spacing w:line="440" w:lineRule="exact"/>
              <w:ind w:firstLine="440" w:firstLineChars="200"/>
              <w:rPr>
                <w:szCs w:val="21"/>
              </w:rPr>
            </w:pPr>
            <w:r>
              <w:rPr>
                <w:rFonts w:hint="eastAsia"/>
                <w:szCs w:val="21"/>
              </w:rPr>
              <w:t>（7）价格分计算公式：</w:t>
            </w:r>
            <w:r>
              <w:rPr>
                <w:rFonts w:hint="eastAsia"/>
              </w:rPr>
              <w:t>报价得分=（基准价/最后报价）×30分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6" w:type="dxa"/>
            <w:vAlign w:val="center"/>
          </w:tcPr>
          <w:p>
            <w:pPr>
              <w:adjustRightInd w:val="0"/>
              <w:spacing w:line="440" w:lineRule="exact"/>
              <w:jc w:val="center"/>
              <w:textAlignment w:val="baseline"/>
              <w:rPr>
                <w:b/>
                <w:color w:val="000000"/>
                <w:sz w:val="24"/>
              </w:rPr>
            </w:pPr>
            <w:r>
              <w:rPr>
                <w:rFonts w:hint="eastAsia"/>
                <w:b/>
                <w:color w:val="000000"/>
                <w:sz w:val="24"/>
              </w:rPr>
              <w:t>2</w:t>
            </w:r>
          </w:p>
        </w:tc>
        <w:tc>
          <w:tcPr>
            <w:tcW w:w="9996" w:type="dxa"/>
            <w:vAlign w:val="center"/>
          </w:tcPr>
          <w:p>
            <w:pPr>
              <w:adjustRightInd w:val="0"/>
              <w:snapToGrid w:val="0"/>
              <w:spacing w:line="440" w:lineRule="exact"/>
              <w:jc w:val="center"/>
              <w:rPr>
                <w:b/>
                <w:color w:val="000000"/>
                <w:sz w:val="24"/>
              </w:rPr>
            </w:pPr>
            <w:r>
              <w:rPr>
                <w:rFonts w:hint="eastAsia"/>
                <w:b/>
                <w:color w:val="000000"/>
                <w:sz w:val="24"/>
              </w:rPr>
              <w:t>设备技术性能分（满分25分）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6" w:type="dxa"/>
            <w:vAlign w:val="center"/>
          </w:tcPr>
          <w:p>
            <w:pPr>
              <w:adjustRightInd w:val="0"/>
              <w:spacing w:line="440" w:lineRule="exact"/>
              <w:jc w:val="center"/>
              <w:textAlignment w:val="baseline"/>
              <w:rPr>
                <w:b/>
                <w:color w:val="000000"/>
                <w:szCs w:val="21"/>
              </w:rPr>
            </w:pPr>
            <w:r>
              <w:rPr>
                <w:rFonts w:hint="eastAsia"/>
                <w:b/>
                <w:color w:val="000000"/>
                <w:szCs w:val="21"/>
              </w:rPr>
              <w:t>2</w:t>
            </w:r>
            <w:r>
              <w:rPr>
                <w:b/>
                <w:color w:val="000000"/>
                <w:szCs w:val="21"/>
              </w:rPr>
              <w:t>.1</w:t>
            </w:r>
          </w:p>
        </w:tc>
        <w:tc>
          <w:tcPr>
            <w:tcW w:w="9996" w:type="dxa"/>
          </w:tcPr>
          <w:p>
            <w:pPr>
              <w:spacing w:line="440" w:lineRule="exact"/>
              <w:rPr>
                <w:bCs/>
                <w:szCs w:val="21"/>
              </w:rPr>
            </w:pPr>
            <w:r>
              <w:rPr>
                <w:rFonts w:hint="eastAsia"/>
                <w:bCs/>
                <w:szCs w:val="21"/>
              </w:rPr>
              <w:t>（1）根据第三方按照《广西2021年县级应急广播平台系统及设备技术测试方案》出具的检测报告：“平台基本功能和基本性能”、“终端设备基本功能和基本性能”进行评分；依据广电总局直属检测机构出具的第三方检测报告中的测试结果对其他性能、功能项进行比较评分。</w:t>
            </w:r>
          </w:p>
          <w:p>
            <w:pPr>
              <w:spacing w:line="380" w:lineRule="exact"/>
              <w:rPr>
                <w:bCs/>
                <w:szCs w:val="21"/>
              </w:rPr>
            </w:pPr>
            <w:r>
              <w:rPr>
                <w:rFonts w:hint="eastAsia"/>
                <w:bCs/>
                <w:szCs w:val="21"/>
              </w:rPr>
              <w:t>（2）凡有以下</w:t>
            </w:r>
            <w:r>
              <w:rPr>
                <w:rFonts w:hint="eastAsia"/>
                <w:bCs/>
                <w:color w:val="000000"/>
                <w:szCs w:val="21"/>
              </w:rPr>
              <w:t>3个</w:t>
            </w:r>
            <w:r>
              <w:rPr>
                <w:rFonts w:hint="eastAsia"/>
                <w:bCs/>
                <w:szCs w:val="21"/>
              </w:rPr>
              <w:t>情形之一，则</w:t>
            </w:r>
            <w:r>
              <w:rPr>
                <w:rFonts w:hint="eastAsia"/>
                <w:bCs/>
                <w:color w:val="000000"/>
                <w:szCs w:val="21"/>
              </w:rPr>
              <w:t>设备技术性能</w:t>
            </w:r>
            <w:r>
              <w:rPr>
                <w:rFonts w:hint="eastAsia"/>
                <w:bCs/>
                <w:szCs w:val="21"/>
              </w:rPr>
              <w:t>分得0分。</w:t>
            </w:r>
          </w:p>
          <w:p>
            <w:pPr>
              <w:pStyle w:val="62"/>
              <w:spacing w:line="440" w:lineRule="exact"/>
              <w:ind w:left="210"/>
              <w:rPr>
                <w:bCs/>
                <w:szCs w:val="21"/>
              </w:rPr>
            </w:pPr>
            <w:r>
              <w:rPr>
                <w:rFonts w:hint="eastAsia"/>
                <w:bCs/>
                <w:szCs w:val="21"/>
              </w:rPr>
              <w:t>①依据“广西2021年县级应急广播平台系统及设备技术测试方案”第三方检测报告中“平台基本功能和基本性能”及“终端设备基本功能和基本性能”测试结果存在不合格项。</w:t>
            </w:r>
          </w:p>
          <w:p>
            <w:pPr>
              <w:spacing w:line="440" w:lineRule="exact"/>
              <w:ind w:firstLine="660" w:firstLineChars="300"/>
              <w:rPr>
                <w:bCs/>
                <w:szCs w:val="21"/>
              </w:rPr>
            </w:pPr>
            <w:r>
              <w:rPr>
                <w:rFonts w:hint="eastAsia"/>
                <w:bCs/>
                <w:szCs w:val="21"/>
              </w:rPr>
              <w:t>②未响应招标文件中技术参数指标及功能要求</w:t>
            </w:r>
            <w:r>
              <w:rPr>
                <w:rStyle w:val="60"/>
                <w:rFonts w:hint="eastAsia"/>
                <w:bCs/>
              </w:rPr>
              <w:t>（负偏离3项（含）以上）</w:t>
            </w:r>
            <w:r>
              <w:rPr>
                <w:rFonts w:hint="eastAsia"/>
                <w:bCs/>
                <w:szCs w:val="21"/>
              </w:rPr>
              <w:t>，</w:t>
            </w:r>
            <w:r>
              <w:rPr>
                <w:bCs/>
                <w:szCs w:val="21"/>
              </w:rPr>
              <w:t>根据要求需要提供</w:t>
            </w:r>
            <w:r>
              <w:rPr>
                <w:rFonts w:hint="eastAsia"/>
                <w:bCs/>
                <w:szCs w:val="21"/>
              </w:rPr>
              <w:t>第三方</w:t>
            </w:r>
            <w:r>
              <w:rPr>
                <w:bCs/>
                <w:szCs w:val="21"/>
              </w:rPr>
              <w:t>检测报告、证书</w:t>
            </w:r>
            <w:r>
              <w:rPr>
                <w:rFonts w:hint="eastAsia"/>
                <w:bCs/>
                <w:szCs w:val="21"/>
              </w:rPr>
              <w:t>等</w:t>
            </w:r>
            <w:r>
              <w:rPr>
                <w:bCs/>
                <w:szCs w:val="21"/>
              </w:rPr>
              <w:t>佐证</w:t>
            </w:r>
            <w:r>
              <w:rPr>
                <w:rFonts w:hint="eastAsia"/>
                <w:bCs/>
                <w:szCs w:val="21"/>
              </w:rPr>
              <w:t>材料</w:t>
            </w:r>
            <w:r>
              <w:rPr>
                <w:bCs/>
                <w:szCs w:val="21"/>
              </w:rPr>
              <w:t>（凡发现提供虚假的材料，视为无效投标，并按《政府采购法》第七十七条规定处理）。</w:t>
            </w:r>
          </w:p>
          <w:p>
            <w:pPr>
              <w:pStyle w:val="62"/>
              <w:spacing w:line="440" w:lineRule="exact"/>
              <w:ind w:left="210"/>
              <w:rPr>
                <w:bCs/>
                <w:szCs w:val="21"/>
              </w:rPr>
            </w:pPr>
            <w:r>
              <w:rPr>
                <w:rFonts w:hint="eastAsia"/>
                <w:bCs/>
                <w:szCs w:val="21"/>
              </w:rPr>
              <w:t>③招标文件采购需求中的货物的技术参数及性能（配置）要求中带“*”星号条款不满足的。</w:t>
            </w:r>
          </w:p>
          <w:p>
            <w:pPr>
              <w:spacing w:line="440" w:lineRule="exact"/>
              <w:rPr>
                <w:bCs/>
                <w:szCs w:val="21"/>
              </w:rPr>
            </w:pPr>
            <w:r>
              <w:rPr>
                <w:rFonts w:hint="eastAsia"/>
                <w:bCs/>
                <w:szCs w:val="21"/>
              </w:rPr>
              <w:t>（3）基本功能指标和基本性能分  （满分</w:t>
            </w:r>
            <w:r>
              <w:rPr>
                <w:bCs/>
                <w:szCs w:val="21"/>
              </w:rPr>
              <w:t>10</w:t>
            </w:r>
            <w:r>
              <w:rPr>
                <w:rFonts w:hint="eastAsia"/>
                <w:bCs/>
                <w:szCs w:val="21"/>
              </w:rPr>
              <w:t>分）</w:t>
            </w:r>
          </w:p>
          <w:p>
            <w:pPr>
              <w:spacing w:line="440" w:lineRule="exact"/>
              <w:ind w:firstLine="440" w:firstLineChars="200"/>
              <w:rPr>
                <w:bCs/>
                <w:szCs w:val="21"/>
              </w:rPr>
            </w:pPr>
            <w:r>
              <w:rPr>
                <w:rFonts w:hint="eastAsia"/>
                <w:bCs/>
                <w:szCs w:val="21"/>
              </w:rPr>
              <w:t>依据“广西2021年县级应急广播平台系统及设备技术测试方案”出具的第三方检测报告中“平台基本功能和基本性能”、“终端设备基本功能和基本性能”指标测试结果全部合格的，得1</w:t>
            </w:r>
            <w:r>
              <w:rPr>
                <w:bCs/>
                <w:szCs w:val="21"/>
              </w:rPr>
              <w:t>0</w:t>
            </w:r>
            <w:r>
              <w:rPr>
                <w:rFonts w:hint="eastAsia"/>
                <w:bCs/>
                <w:szCs w:val="21"/>
              </w:rPr>
              <w:t>分。（原件备查）</w:t>
            </w:r>
          </w:p>
          <w:p>
            <w:pPr>
              <w:spacing w:line="440" w:lineRule="exact"/>
              <w:rPr>
                <w:rFonts w:cs="Courier New"/>
                <w:bCs/>
                <w:szCs w:val="21"/>
              </w:rPr>
            </w:pPr>
            <w:r>
              <w:rPr>
                <w:rFonts w:hint="eastAsia" w:cs="Courier New"/>
                <w:bCs/>
                <w:szCs w:val="21"/>
              </w:rPr>
              <w:t>（4）其他性能、功能指标分 （满分15分）</w:t>
            </w:r>
          </w:p>
          <w:p>
            <w:pPr>
              <w:spacing w:line="440" w:lineRule="exact"/>
              <w:ind w:firstLine="440" w:firstLineChars="200"/>
              <w:rPr>
                <w:bCs/>
                <w:szCs w:val="21"/>
              </w:rPr>
            </w:pPr>
            <w:r>
              <w:rPr>
                <w:rFonts w:hint="eastAsia"/>
                <w:bCs/>
                <w:szCs w:val="21"/>
              </w:rPr>
              <w:t>依据广电总局直属检测机构出具的第三方检测报告中的测试结果对其他功能项进行比较评分。（原件备查）</w:t>
            </w:r>
          </w:p>
          <w:tbl>
            <w:tblPr>
              <w:tblStyle w:val="51"/>
              <w:tblW w:w="9165" w:type="dxa"/>
              <w:tblInd w:w="0" w:type="dxa"/>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336"/>
              <w:gridCol w:w="6102"/>
              <w:gridCol w:w="727"/>
            </w:tblGrid>
            <w:tr>
              <w:tblPrEx>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trPr>
              <w:tc>
                <w:tcPr>
                  <w:tcW w:w="2336" w:type="dxa"/>
                  <w:vAlign w:val="center"/>
                </w:tcPr>
                <w:p>
                  <w:pPr>
                    <w:spacing w:line="440" w:lineRule="exact"/>
                    <w:rPr>
                      <w:bCs/>
                      <w:szCs w:val="21"/>
                    </w:rPr>
                  </w:pPr>
                  <w:r>
                    <w:rPr>
                      <w:rFonts w:hint="eastAsia"/>
                      <w:bCs/>
                      <w:szCs w:val="21"/>
                    </w:rPr>
                    <w:t>应急广播适配器具有多服务器适配功能</w:t>
                  </w:r>
                </w:p>
              </w:tc>
              <w:tc>
                <w:tcPr>
                  <w:tcW w:w="6102" w:type="dxa"/>
                  <w:vAlign w:val="center"/>
                </w:tcPr>
                <w:p>
                  <w:pPr>
                    <w:spacing w:line="440" w:lineRule="exact"/>
                    <w:rPr>
                      <w:bCs/>
                    </w:rPr>
                  </w:pPr>
                  <w:r>
                    <w:rPr>
                      <w:rFonts w:hint="eastAsia"/>
                      <w:bCs/>
                    </w:rPr>
                    <w:t>支持自动检测</w:t>
                  </w:r>
                  <w:r>
                    <w:rPr>
                      <w:bCs/>
                      <w:szCs w:val="21"/>
                    </w:rPr>
                    <w:t>≥</w:t>
                  </w:r>
                  <w:r>
                    <w:rPr>
                      <w:rFonts w:hint="eastAsia"/>
                      <w:bCs/>
                    </w:rPr>
                    <w:t>5个服务器连接，支持自动切换到高级别服务器工作。</w:t>
                  </w:r>
                </w:p>
              </w:tc>
              <w:tc>
                <w:tcPr>
                  <w:tcW w:w="727" w:type="dxa"/>
                  <w:vAlign w:val="center"/>
                </w:tcPr>
                <w:p>
                  <w:pPr>
                    <w:spacing w:line="440" w:lineRule="exact"/>
                    <w:jc w:val="center"/>
                    <w:rPr>
                      <w:bCs/>
                      <w:szCs w:val="21"/>
                    </w:rPr>
                  </w:pPr>
                  <w:r>
                    <w:rPr>
                      <w:bCs/>
                      <w:szCs w:val="21"/>
                    </w:rPr>
                    <w:t>2</w:t>
                  </w:r>
                  <w:r>
                    <w:rPr>
                      <w:rFonts w:hint="eastAsia"/>
                      <w:bCs/>
                      <w:szCs w:val="21"/>
                    </w:rPr>
                    <w:t>分</w:t>
                  </w:r>
                </w:p>
              </w:tc>
            </w:tr>
            <w:tr>
              <w:tblPrEx>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trPr>
              <w:tc>
                <w:tcPr>
                  <w:tcW w:w="2336" w:type="dxa"/>
                  <w:vAlign w:val="center"/>
                </w:tcPr>
                <w:p>
                  <w:pPr>
                    <w:spacing w:line="440" w:lineRule="exact"/>
                    <w:rPr>
                      <w:bCs/>
                    </w:rPr>
                  </w:pPr>
                  <w:r>
                    <w:rPr>
                      <w:rFonts w:hint="eastAsia"/>
                      <w:bCs/>
                    </w:rPr>
                    <w:t>乡镇级（村级）应急广播适配器</w:t>
                  </w:r>
                </w:p>
              </w:tc>
              <w:tc>
                <w:tcPr>
                  <w:tcW w:w="6102" w:type="dxa"/>
                  <w:vAlign w:val="center"/>
                </w:tcPr>
                <w:p>
                  <w:pPr>
                    <w:spacing w:line="440" w:lineRule="exact"/>
                    <w:rPr>
                      <w:bCs/>
                    </w:rPr>
                  </w:pPr>
                  <w:r>
                    <w:rPr>
                      <w:rFonts w:hint="eastAsia"/>
                      <w:bCs/>
                    </w:rPr>
                    <w:t>乡镇级（村级）应急广播适配器在上级平台或上级网络中断的情况下，可实现本级IP广播，并支持≥100个IP终端（音柱、收扩机）</w:t>
                  </w:r>
                </w:p>
              </w:tc>
              <w:tc>
                <w:tcPr>
                  <w:tcW w:w="727" w:type="dxa"/>
                  <w:vAlign w:val="center"/>
                </w:tcPr>
                <w:p>
                  <w:pPr>
                    <w:spacing w:line="440" w:lineRule="exact"/>
                    <w:jc w:val="center"/>
                    <w:rPr>
                      <w:bCs/>
                      <w:szCs w:val="21"/>
                    </w:rPr>
                  </w:pPr>
                  <w:r>
                    <w:rPr>
                      <w:rFonts w:hint="eastAsia"/>
                      <w:bCs/>
                      <w:szCs w:val="21"/>
                    </w:rPr>
                    <w:t>2分</w:t>
                  </w:r>
                </w:p>
              </w:tc>
            </w:tr>
            <w:tr>
              <w:tblPrEx>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trPr>
              <w:tc>
                <w:tcPr>
                  <w:tcW w:w="2336" w:type="dxa"/>
                  <w:vAlign w:val="center"/>
                </w:tcPr>
                <w:p>
                  <w:pPr>
                    <w:spacing w:line="440" w:lineRule="exact"/>
                    <w:rPr>
                      <w:bCs/>
                      <w:szCs w:val="21"/>
                    </w:rPr>
                  </w:pPr>
                  <w:r>
                    <w:rPr>
                      <w:rFonts w:hint="eastAsia"/>
                      <w:bCs/>
                    </w:rPr>
                    <w:t>音柱、收扩机具有实时对讲与短信转语音功能</w:t>
                  </w:r>
                </w:p>
              </w:tc>
              <w:tc>
                <w:tcPr>
                  <w:tcW w:w="6102" w:type="dxa"/>
                  <w:vAlign w:val="center"/>
                </w:tcPr>
                <w:p>
                  <w:pPr>
                    <w:spacing w:line="440" w:lineRule="exact"/>
                    <w:rPr>
                      <w:bCs/>
                    </w:rPr>
                  </w:pPr>
                  <w:r>
                    <w:rPr>
                      <w:rFonts w:hint="eastAsia"/>
                      <w:bCs/>
                    </w:rPr>
                    <w:t>可拨打终端内电话号码进行实时对讲，支持自动接听授权电话和短信转语音功能。</w:t>
                  </w:r>
                </w:p>
              </w:tc>
              <w:tc>
                <w:tcPr>
                  <w:tcW w:w="727" w:type="dxa"/>
                  <w:vAlign w:val="center"/>
                </w:tcPr>
                <w:p>
                  <w:pPr>
                    <w:spacing w:line="440" w:lineRule="exact"/>
                    <w:jc w:val="center"/>
                    <w:rPr>
                      <w:bCs/>
                      <w:szCs w:val="21"/>
                    </w:rPr>
                  </w:pPr>
                  <w:r>
                    <w:rPr>
                      <w:rFonts w:hint="eastAsia"/>
                      <w:bCs/>
                      <w:szCs w:val="21"/>
                    </w:rPr>
                    <w:t>2分</w:t>
                  </w:r>
                </w:p>
              </w:tc>
            </w:tr>
            <w:tr>
              <w:tblPrEx>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trPr>
              <w:tc>
                <w:tcPr>
                  <w:tcW w:w="2336" w:type="dxa"/>
                  <w:vAlign w:val="center"/>
                </w:tcPr>
                <w:p>
                  <w:pPr>
                    <w:spacing w:line="440" w:lineRule="exact"/>
                    <w:rPr>
                      <w:bCs/>
                    </w:rPr>
                  </w:pPr>
                  <w:r>
                    <w:rPr>
                      <w:rFonts w:hint="eastAsia"/>
                      <w:bCs/>
                      <w:szCs w:val="21"/>
                    </w:rPr>
                    <w:t>音柱、收扩机具有扫码注册功能</w:t>
                  </w:r>
                </w:p>
              </w:tc>
              <w:tc>
                <w:tcPr>
                  <w:tcW w:w="6102" w:type="dxa"/>
                  <w:vAlign w:val="center"/>
                </w:tcPr>
                <w:p>
                  <w:pPr>
                    <w:spacing w:line="440" w:lineRule="exact"/>
                    <w:rPr>
                      <w:bCs/>
                    </w:rPr>
                  </w:pPr>
                  <w:r>
                    <w:rPr>
                      <w:rFonts w:hint="eastAsia"/>
                      <w:bCs/>
                    </w:rPr>
                    <w:t>支持通过扫描设备二维码将本机注册到应急广播管理平台。</w:t>
                  </w:r>
                </w:p>
              </w:tc>
              <w:tc>
                <w:tcPr>
                  <w:tcW w:w="727" w:type="dxa"/>
                  <w:vAlign w:val="center"/>
                </w:tcPr>
                <w:p>
                  <w:pPr>
                    <w:spacing w:line="440" w:lineRule="exact"/>
                    <w:jc w:val="center"/>
                    <w:rPr>
                      <w:bCs/>
                      <w:szCs w:val="21"/>
                    </w:rPr>
                  </w:pPr>
                  <w:r>
                    <w:rPr>
                      <w:rFonts w:hint="eastAsia"/>
                      <w:bCs/>
                      <w:szCs w:val="21"/>
                    </w:rPr>
                    <w:t>2分</w:t>
                  </w:r>
                </w:p>
              </w:tc>
            </w:tr>
            <w:tr>
              <w:tblPrEx>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trPr>
              <w:tc>
                <w:tcPr>
                  <w:tcW w:w="2336" w:type="dxa"/>
                  <w:vAlign w:val="center"/>
                </w:tcPr>
                <w:p>
                  <w:pPr>
                    <w:spacing w:line="440" w:lineRule="exact"/>
                    <w:rPr>
                      <w:bCs/>
                      <w:szCs w:val="21"/>
                    </w:rPr>
                  </w:pPr>
                  <w:r>
                    <w:rPr>
                      <w:rFonts w:hint="eastAsia"/>
                      <w:bCs/>
                      <w:szCs w:val="21"/>
                    </w:rPr>
                    <w:t>音柱、收扩机具有北斗信号处理功能</w:t>
                  </w:r>
                </w:p>
              </w:tc>
              <w:tc>
                <w:tcPr>
                  <w:tcW w:w="6102" w:type="dxa"/>
                  <w:vAlign w:val="center"/>
                </w:tcPr>
                <w:p>
                  <w:pPr>
                    <w:spacing w:line="440" w:lineRule="exact"/>
                    <w:rPr>
                      <w:bCs/>
                    </w:rPr>
                  </w:pPr>
                  <w:r>
                    <w:rPr>
                      <w:rFonts w:hint="eastAsia"/>
                      <w:bCs/>
                    </w:rPr>
                    <w:t>可接收上级北斗</w:t>
                  </w:r>
                  <w:r>
                    <w:rPr>
                      <w:bCs/>
                    </w:rPr>
                    <w:t>信号进行处理，</w:t>
                  </w:r>
                  <w:r>
                    <w:rPr>
                      <w:rFonts w:hint="eastAsia"/>
                      <w:bCs/>
                    </w:rPr>
                    <w:t>接收北斗文本信号转语音及控制信号</w:t>
                  </w:r>
                  <w:r>
                    <w:rPr>
                      <w:bCs/>
                    </w:rPr>
                    <w:t>，做出相应的播发/停止动作</w:t>
                  </w:r>
                  <w:r>
                    <w:rPr>
                      <w:rFonts w:hint="eastAsia"/>
                      <w:bCs/>
                    </w:rPr>
                    <w:t>，并支持北斗定位等功能。</w:t>
                  </w:r>
                </w:p>
              </w:tc>
              <w:tc>
                <w:tcPr>
                  <w:tcW w:w="727" w:type="dxa"/>
                  <w:vAlign w:val="center"/>
                </w:tcPr>
                <w:p>
                  <w:pPr>
                    <w:spacing w:line="440" w:lineRule="exact"/>
                    <w:jc w:val="center"/>
                    <w:rPr>
                      <w:bCs/>
                      <w:szCs w:val="21"/>
                    </w:rPr>
                  </w:pPr>
                  <w:r>
                    <w:rPr>
                      <w:rFonts w:hint="eastAsia"/>
                      <w:bCs/>
                      <w:szCs w:val="21"/>
                    </w:rPr>
                    <w:t>2分</w:t>
                  </w:r>
                </w:p>
              </w:tc>
            </w:tr>
            <w:tr>
              <w:tblPrEx>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trPr>
              <w:tc>
                <w:tcPr>
                  <w:tcW w:w="2336" w:type="dxa"/>
                  <w:vAlign w:val="center"/>
                </w:tcPr>
                <w:p>
                  <w:pPr>
                    <w:spacing w:line="440" w:lineRule="exact"/>
                    <w:rPr>
                      <w:bCs/>
                      <w:szCs w:val="21"/>
                    </w:rPr>
                  </w:pPr>
                  <w:r>
                    <w:rPr>
                      <w:rFonts w:hint="eastAsia"/>
                      <w:bCs/>
                      <w:szCs w:val="21"/>
                    </w:rPr>
                    <w:t>音柱、收扩机具有气象数据监测功能</w:t>
                  </w:r>
                </w:p>
              </w:tc>
              <w:tc>
                <w:tcPr>
                  <w:tcW w:w="6102" w:type="dxa"/>
                  <w:vAlign w:val="center"/>
                </w:tcPr>
                <w:p>
                  <w:pPr>
                    <w:spacing w:line="440" w:lineRule="exact"/>
                    <w:rPr>
                      <w:bCs/>
                    </w:rPr>
                  </w:pPr>
                  <w:r>
                    <w:rPr>
                      <w:rFonts w:hint="eastAsia"/>
                      <w:bCs/>
                    </w:rPr>
                    <w:t>支持与气象采集设备协同工作，实现外部环境的实时监测，并能展示到LED屏及回传至平台显示。</w:t>
                  </w:r>
                </w:p>
              </w:tc>
              <w:tc>
                <w:tcPr>
                  <w:tcW w:w="727" w:type="dxa"/>
                  <w:vAlign w:val="center"/>
                </w:tcPr>
                <w:p>
                  <w:pPr>
                    <w:spacing w:line="440" w:lineRule="exact"/>
                    <w:jc w:val="center"/>
                    <w:rPr>
                      <w:bCs/>
                      <w:szCs w:val="21"/>
                    </w:rPr>
                  </w:pPr>
                  <w:r>
                    <w:rPr>
                      <w:rFonts w:hint="eastAsia"/>
                      <w:bCs/>
                      <w:szCs w:val="21"/>
                    </w:rPr>
                    <w:t>1分</w:t>
                  </w:r>
                </w:p>
              </w:tc>
            </w:tr>
            <w:tr>
              <w:tblPrEx>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trPr>
              <w:tc>
                <w:tcPr>
                  <w:tcW w:w="2336" w:type="dxa"/>
                  <w:vAlign w:val="center"/>
                </w:tcPr>
                <w:p>
                  <w:pPr>
                    <w:spacing w:line="440" w:lineRule="exact"/>
                    <w:rPr>
                      <w:bCs/>
                      <w:szCs w:val="21"/>
                    </w:rPr>
                  </w:pPr>
                  <w:r>
                    <w:rPr>
                      <w:rFonts w:hint="eastAsia"/>
                    </w:rPr>
                    <w:t>收扩机具有节能模式</w:t>
                  </w:r>
                </w:p>
              </w:tc>
              <w:tc>
                <w:tcPr>
                  <w:tcW w:w="6102" w:type="dxa"/>
                  <w:vAlign w:val="center"/>
                </w:tcPr>
                <w:p>
                  <w:pPr>
                    <w:spacing w:line="440" w:lineRule="exact"/>
                    <w:rPr>
                      <w:bCs/>
                    </w:rPr>
                  </w:pPr>
                  <w:r>
                    <w:rPr>
                      <w:rFonts w:hint="eastAsia"/>
                    </w:rPr>
                    <w:t>具备自动检测广播信号，5分钟内没有广播信号，也没有收到关机指令，自动进入待机状态。</w:t>
                  </w:r>
                </w:p>
              </w:tc>
              <w:tc>
                <w:tcPr>
                  <w:tcW w:w="727" w:type="dxa"/>
                  <w:vAlign w:val="center"/>
                </w:tcPr>
                <w:p>
                  <w:pPr>
                    <w:spacing w:line="440" w:lineRule="exact"/>
                    <w:jc w:val="center"/>
                    <w:rPr>
                      <w:bCs/>
                      <w:szCs w:val="21"/>
                    </w:rPr>
                  </w:pPr>
                  <w:r>
                    <w:t>1</w:t>
                  </w:r>
                  <w:r>
                    <w:rPr>
                      <w:rFonts w:hint="eastAsia"/>
                    </w:rPr>
                    <w:t>分</w:t>
                  </w:r>
                </w:p>
              </w:tc>
            </w:tr>
            <w:tr>
              <w:tblPrEx>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trPr>
              <w:tc>
                <w:tcPr>
                  <w:tcW w:w="2336" w:type="dxa"/>
                  <w:vAlign w:val="center"/>
                </w:tcPr>
                <w:p>
                  <w:pPr>
                    <w:spacing w:line="440" w:lineRule="exact"/>
                    <w:rPr>
                      <w:bCs/>
                      <w:szCs w:val="21"/>
                    </w:rPr>
                  </w:pPr>
                  <w:r>
                    <w:rPr>
                      <w:rFonts w:hint="eastAsia"/>
                    </w:rPr>
                    <w:t>收扩机具有巡更打卡功能</w:t>
                  </w:r>
                </w:p>
              </w:tc>
              <w:tc>
                <w:tcPr>
                  <w:tcW w:w="6102" w:type="dxa"/>
                  <w:vAlign w:val="center"/>
                </w:tcPr>
                <w:p>
                  <w:pPr>
                    <w:spacing w:line="440" w:lineRule="exact"/>
                    <w:rPr>
                      <w:bCs/>
                    </w:rPr>
                  </w:pPr>
                  <w:r>
                    <w:rPr>
                      <w:rFonts w:hint="eastAsia"/>
                    </w:rPr>
                    <w:t>通过手机APP软件扫描设备二维码，实现巡更打卡功能，可将巡更点的经纬度、设备现场照片上传至上级平台。</w:t>
                  </w:r>
                </w:p>
              </w:tc>
              <w:tc>
                <w:tcPr>
                  <w:tcW w:w="727" w:type="dxa"/>
                  <w:vAlign w:val="center"/>
                </w:tcPr>
                <w:p>
                  <w:pPr>
                    <w:spacing w:line="440" w:lineRule="exact"/>
                    <w:jc w:val="center"/>
                    <w:rPr>
                      <w:bCs/>
                      <w:szCs w:val="21"/>
                    </w:rPr>
                  </w:pPr>
                  <w:r>
                    <w:t>1</w:t>
                  </w:r>
                  <w:r>
                    <w:rPr>
                      <w:rFonts w:hint="eastAsia"/>
                    </w:rPr>
                    <w:t>分</w:t>
                  </w:r>
                </w:p>
              </w:tc>
            </w:tr>
            <w:tr>
              <w:tblPrEx>
                <w:tblBorders>
                  <w:top w:val="single" w:color="auto" w:sz="6" w:space="0"/>
                  <w:left w:val="single" w:color="auto" w:sz="6" w:space="0"/>
                  <w:bottom w:val="single" w:color="auto" w:sz="4"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516" w:hRule="atLeast"/>
              </w:trPr>
              <w:tc>
                <w:tcPr>
                  <w:tcW w:w="2336" w:type="dxa"/>
                  <w:vAlign w:val="center"/>
                </w:tcPr>
                <w:p>
                  <w:pPr>
                    <w:spacing w:line="440" w:lineRule="exact"/>
                    <w:rPr>
                      <w:bCs/>
                      <w:szCs w:val="21"/>
                    </w:rPr>
                  </w:pPr>
                  <w:r>
                    <w:rPr>
                      <w:rFonts w:hint="eastAsia"/>
                      <w:bCs/>
                      <w:szCs w:val="21"/>
                    </w:rPr>
                    <w:t>音柱、收扩机具有多服务器适配功能</w:t>
                  </w:r>
                </w:p>
              </w:tc>
              <w:tc>
                <w:tcPr>
                  <w:tcW w:w="6102" w:type="dxa"/>
                  <w:vAlign w:val="center"/>
                </w:tcPr>
                <w:p>
                  <w:pPr>
                    <w:spacing w:line="440" w:lineRule="exact"/>
                    <w:rPr>
                      <w:bCs/>
                    </w:rPr>
                  </w:pPr>
                  <w:r>
                    <w:rPr>
                      <w:rFonts w:hint="eastAsia"/>
                      <w:bCs/>
                    </w:rPr>
                    <w:t>能自动检测</w:t>
                  </w:r>
                  <w:r>
                    <w:rPr>
                      <w:bCs/>
                      <w:szCs w:val="21"/>
                    </w:rPr>
                    <w:t>≥</w:t>
                  </w:r>
                  <w:r>
                    <w:rPr>
                      <w:rFonts w:hint="eastAsia"/>
                      <w:bCs/>
                    </w:rPr>
                    <w:t>5个服务器连接，并能自动切换到高级别服务器工作。</w:t>
                  </w:r>
                </w:p>
              </w:tc>
              <w:tc>
                <w:tcPr>
                  <w:tcW w:w="727" w:type="dxa"/>
                  <w:vAlign w:val="center"/>
                </w:tcPr>
                <w:p>
                  <w:pPr>
                    <w:spacing w:line="440" w:lineRule="exact"/>
                    <w:jc w:val="center"/>
                    <w:rPr>
                      <w:bCs/>
                      <w:szCs w:val="21"/>
                    </w:rPr>
                  </w:pPr>
                  <w:r>
                    <w:rPr>
                      <w:bCs/>
                      <w:szCs w:val="21"/>
                    </w:rPr>
                    <w:t>2</w:t>
                  </w:r>
                  <w:r>
                    <w:rPr>
                      <w:rFonts w:hint="eastAsia"/>
                      <w:bCs/>
                      <w:szCs w:val="21"/>
                    </w:rPr>
                    <w:t>分</w:t>
                  </w:r>
                </w:p>
              </w:tc>
            </w:tr>
          </w:tbl>
          <w:p>
            <w:pPr>
              <w:adjustRightInd w:val="0"/>
              <w:snapToGrid w:val="0"/>
              <w:spacing w:line="440" w:lineRule="exact"/>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6" w:type="dxa"/>
            <w:vAlign w:val="center"/>
          </w:tcPr>
          <w:p>
            <w:pPr>
              <w:adjustRightInd w:val="0"/>
              <w:spacing w:line="440" w:lineRule="exact"/>
              <w:jc w:val="center"/>
              <w:textAlignment w:val="baseline"/>
              <w:rPr>
                <w:b/>
                <w:color w:val="000000"/>
                <w:sz w:val="24"/>
              </w:rPr>
            </w:pPr>
            <w:r>
              <w:rPr>
                <w:rFonts w:hint="eastAsia"/>
                <w:b/>
                <w:color w:val="000000"/>
                <w:sz w:val="24"/>
              </w:rPr>
              <w:t>3</w:t>
            </w:r>
          </w:p>
        </w:tc>
        <w:tc>
          <w:tcPr>
            <w:tcW w:w="9996" w:type="dxa"/>
          </w:tcPr>
          <w:p>
            <w:pPr>
              <w:spacing w:line="440" w:lineRule="exact"/>
              <w:jc w:val="center"/>
              <w:rPr>
                <w:b/>
                <w:color w:val="000000"/>
                <w:sz w:val="24"/>
              </w:rPr>
            </w:pPr>
            <w:r>
              <w:rPr>
                <w:rFonts w:hint="eastAsia"/>
                <w:b/>
                <w:color w:val="000000"/>
                <w:sz w:val="24"/>
              </w:rPr>
              <w:t>实施方案（满分12分）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6" w:type="dxa"/>
            <w:vAlign w:val="center"/>
          </w:tcPr>
          <w:p>
            <w:pPr>
              <w:adjustRightInd w:val="0"/>
              <w:spacing w:line="440" w:lineRule="exact"/>
              <w:jc w:val="center"/>
              <w:textAlignment w:val="baseline"/>
              <w:rPr>
                <w:b/>
                <w:color w:val="000000"/>
                <w:szCs w:val="21"/>
              </w:rPr>
            </w:pPr>
            <w:r>
              <w:rPr>
                <w:rFonts w:hint="eastAsia"/>
                <w:b/>
                <w:color w:val="000000"/>
                <w:szCs w:val="21"/>
              </w:rPr>
              <w:t>3</w:t>
            </w:r>
            <w:r>
              <w:rPr>
                <w:b/>
                <w:color w:val="000000"/>
                <w:szCs w:val="21"/>
              </w:rPr>
              <w:t>.1</w:t>
            </w:r>
          </w:p>
        </w:tc>
        <w:tc>
          <w:tcPr>
            <w:tcW w:w="9996" w:type="dxa"/>
          </w:tcPr>
          <w:p>
            <w:pPr>
              <w:pStyle w:val="27"/>
              <w:wordWrap w:val="0"/>
              <w:spacing w:line="360" w:lineRule="auto"/>
              <w:ind w:firstLine="425"/>
              <w:rPr>
                <w:rFonts w:hAnsi="宋体"/>
                <w:bCs/>
                <w:sz w:val="22"/>
              </w:rPr>
            </w:pPr>
            <w:r>
              <w:rPr>
                <w:rFonts w:hint="eastAsia" w:hAnsi="宋体"/>
                <w:bCs/>
                <w:sz w:val="22"/>
              </w:rPr>
              <w:t>评标委员会根据投标人投标文件提供的安装施工方案内容：施工组织机构、人员配备，施工机械、检测设备，施工进度计划及保证工期、质量的技术措施，安全、文明施工措施、设备的安装调试等方面，由各评委独立打分。</w:t>
            </w:r>
          </w:p>
          <w:p>
            <w:pPr>
              <w:pStyle w:val="27"/>
              <w:wordWrap w:val="0"/>
              <w:spacing w:line="360" w:lineRule="auto"/>
              <w:ind w:firstLine="425"/>
              <w:rPr>
                <w:rFonts w:hAnsi="宋体"/>
                <w:sz w:val="22"/>
              </w:rPr>
            </w:pPr>
            <w:r>
              <w:rPr>
                <w:rFonts w:hint="eastAsia" w:hAnsi="宋体"/>
                <w:sz w:val="22"/>
              </w:rPr>
              <w:t>一档（4分）：安装施工方案基本可行，内容简单，针对性不强，施工组织机构、人员配备、施工机械、检测设备、施工进度计划及保证工期、质量的技术措施及安全、文明施工措施、设备的安装调试等方面满足基本要求。</w:t>
            </w:r>
          </w:p>
          <w:p>
            <w:pPr>
              <w:pStyle w:val="27"/>
              <w:wordWrap w:val="0"/>
              <w:spacing w:line="360" w:lineRule="auto"/>
              <w:ind w:firstLine="425"/>
              <w:rPr>
                <w:rFonts w:hAnsi="宋体"/>
                <w:sz w:val="22"/>
              </w:rPr>
            </w:pPr>
            <w:r>
              <w:rPr>
                <w:rFonts w:hint="eastAsia" w:hAnsi="宋体"/>
                <w:sz w:val="22"/>
              </w:rPr>
              <w:t>二档（8分）：安装施工方案可行，比较合理，施工组织机构、人员配备、施工机械、检测设备、施工进度计划及保证工期、质量的技术措施及安全、文明施工措施、设备的安装调试等方面方案较好。</w:t>
            </w:r>
          </w:p>
          <w:p>
            <w:pPr>
              <w:pStyle w:val="27"/>
              <w:wordWrap w:val="0"/>
              <w:spacing w:line="340" w:lineRule="exact"/>
              <w:ind w:firstLine="425"/>
              <w:rPr>
                <w:rFonts w:hAnsi="宋体"/>
                <w:spacing w:val="3"/>
              </w:rPr>
            </w:pPr>
            <w:r>
              <w:rPr>
                <w:rFonts w:hint="eastAsia" w:hAnsi="宋体"/>
                <w:sz w:val="22"/>
              </w:rPr>
              <w:t>三档（12分）：安装施工方案可行，且先进、科学、合理，保障性强，施工组织机构、人员配备、施工机械、检测</w:t>
            </w:r>
            <w:r>
              <w:rPr>
                <w:rFonts w:hint="eastAsia" w:hAnsi="宋体"/>
                <w:bCs/>
                <w:sz w:val="22"/>
              </w:rPr>
              <w:t>设备、施工进度计划及保证工期、质量的技术措施及安全、文明施工措施、设备的安装调试等方面</w:t>
            </w:r>
            <w:r>
              <w:rPr>
                <w:rFonts w:hint="eastAsia" w:hAnsi="宋体"/>
                <w:sz w:val="22"/>
              </w:rPr>
              <w:t>方案</w:t>
            </w:r>
            <w:r>
              <w:rPr>
                <w:rFonts w:hint="eastAsia" w:hAnsi="宋体"/>
                <w:bCs/>
                <w:sz w:val="22"/>
              </w:rPr>
              <w:t>优秀。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6" w:type="dxa"/>
            <w:vAlign w:val="center"/>
          </w:tcPr>
          <w:p>
            <w:pPr>
              <w:adjustRightInd w:val="0"/>
              <w:spacing w:line="440" w:lineRule="exact"/>
              <w:jc w:val="center"/>
              <w:textAlignment w:val="baseline"/>
              <w:rPr>
                <w:b/>
                <w:color w:val="000000"/>
                <w:sz w:val="24"/>
              </w:rPr>
            </w:pPr>
            <w:r>
              <w:rPr>
                <w:rFonts w:hint="eastAsia"/>
                <w:b/>
                <w:color w:val="000000"/>
                <w:sz w:val="24"/>
              </w:rPr>
              <w:t>4</w:t>
            </w:r>
          </w:p>
        </w:tc>
        <w:tc>
          <w:tcPr>
            <w:tcW w:w="9996" w:type="dxa"/>
            <w:vAlign w:val="center"/>
          </w:tcPr>
          <w:p>
            <w:pPr>
              <w:spacing w:line="440" w:lineRule="exact"/>
              <w:jc w:val="center"/>
              <w:rPr>
                <w:b/>
                <w:color w:val="000000"/>
                <w:sz w:val="24"/>
              </w:rPr>
            </w:pPr>
            <w:r>
              <w:rPr>
                <w:rFonts w:hint="eastAsia"/>
                <w:b/>
                <w:color w:val="000000"/>
                <w:sz w:val="24"/>
              </w:rPr>
              <w:t>售后服务（满分10分）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6" w:type="dxa"/>
            <w:vAlign w:val="center"/>
          </w:tcPr>
          <w:p>
            <w:pPr>
              <w:adjustRightInd w:val="0"/>
              <w:spacing w:line="440" w:lineRule="exact"/>
              <w:jc w:val="center"/>
              <w:textAlignment w:val="baseline"/>
              <w:rPr>
                <w:b/>
                <w:color w:val="000000"/>
                <w:szCs w:val="21"/>
              </w:rPr>
            </w:pPr>
            <w:r>
              <w:rPr>
                <w:rFonts w:hint="eastAsia"/>
                <w:b/>
                <w:color w:val="000000"/>
                <w:szCs w:val="21"/>
              </w:rPr>
              <w:t>4</w:t>
            </w:r>
            <w:r>
              <w:rPr>
                <w:b/>
                <w:color w:val="000000"/>
                <w:szCs w:val="21"/>
              </w:rPr>
              <w:t>.1</w:t>
            </w:r>
          </w:p>
        </w:tc>
        <w:tc>
          <w:tcPr>
            <w:tcW w:w="9996" w:type="dxa"/>
            <w:vAlign w:val="center"/>
          </w:tcPr>
          <w:p>
            <w:pPr>
              <w:spacing w:line="440" w:lineRule="exact"/>
              <w:ind w:firstLine="440" w:firstLineChars="200"/>
            </w:pPr>
            <w:r>
              <w:rPr>
                <w:rFonts w:hint="eastAsia"/>
              </w:rPr>
              <w:t>由评委对投标人针对投标项目的质量服务体系设置情况，对采购单位的响应程度，以及售后服务机构设置、服务内容、服务承诺、保障措施和优惠条件等因素进行评审,分三档：</w:t>
            </w:r>
          </w:p>
          <w:p>
            <w:pPr>
              <w:spacing w:line="440" w:lineRule="exact"/>
              <w:ind w:firstLine="440" w:firstLineChars="200"/>
            </w:pPr>
            <w:r>
              <w:rPr>
                <w:rFonts w:hint="eastAsia"/>
              </w:rPr>
              <w:t>一档（2分)：投标人的售后服务方案简单、可行；</w:t>
            </w:r>
            <w:bookmarkStart w:id="39" w:name="_GoBack"/>
            <w:bookmarkEnd w:id="39"/>
          </w:p>
          <w:p>
            <w:pPr>
              <w:spacing w:line="440" w:lineRule="exact"/>
              <w:ind w:firstLine="440" w:firstLineChars="200"/>
            </w:pPr>
            <w:r>
              <w:rPr>
                <w:rFonts w:hint="eastAsia"/>
              </w:rPr>
              <w:t>二档（5分)：投标人的售后服务方案完整、全面；</w:t>
            </w:r>
          </w:p>
          <w:p>
            <w:pPr>
              <w:spacing w:line="440" w:lineRule="exact"/>
              <w:ind w:firstLine="440" w:firstLineChars="200"/>
              <w:rPr>
                <w:szCs w:val="21"/>
              </w:rPr>
            </w:pPr>
            <w:r>
              <w:rPr>
                <w:rFonts w:hint="eastAsia"/>
              </w:rPr>
              <w:t>三档（10分)：投标人的售后服务方案详细、针对性强、全面合理、有较大保障优惠措施，能够提供完善的本地化服务。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6" w:type="dxa"/>
            <w:vAlign w:val="center"/>
          </w:tcPr>
          <w:p>
            <w:pPr>
              <w:adjustRightInd w:val="0"/>
              <w:spacing w:line="440" w:lineRule="exact"/>
              <w:jc w:val="center"/>
              <w:textAlignment w:val="baseline"/>
              <w:rPr>
                <w:b/>
                <w:color w:val="000000"/>
                <w:szCs w:val="21"/>
              </w:rPr>
            </w:pPr>
            <w:r>
              <w:rPr>
                <w:rFonts w:hint="eastAsia"/>
                <w:b/>
                <w:color w:val="000000"/>
                <w:szCs w:val="21"/>
              </w:rPr>
              <w:t>5</w:t>
            </w:r>
          </w:p>
        </w:tc>
        <w:tc>
          <w:tcPr>
            <w:tcW w:w="9996" w:type="dxa"/>
            <w:vAlign w:val="center"/>
          </w:tcPr>
          <w:p>
            <w:pPr>
              <w:spacing w:line="440" w:lineRule="exact"/>
              <w:jc w:val="center"/>
              <w:rPr>
                <w:bCs/>
                <w:color w:val="000000"/>
                <w:szCs w:val="21"/>
              </w:rPr>
            </w:pPr>
            <w:r>
              <w:rPr>
                <w:rFonts w:hint="eastAsia"/>
                <w:b/>
              </w:rPr>
              <w:t>信誉及综合能力（满分23分）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8" w:hRule="atLeast"/>
          <w:jc w:val="center"/>
        </w:trPr>
        <w:tc>
          <w:tcPr>
            <w:tcW w:w="876" w:type="dxa"/>
            <w:vAlign w:val="center"/>
          </w:tcPr>
          <w:p>
            <w:pPr>
              <w:adjustRightInd w:val="0"/>
              <w:spacing w:line="440" w:lineRule="exact"/>
              <w:jc w:val="center"/>
              <w:textAlignment w:val="baseline"/>
              <w:rPr>
                <w:b/>
                <w:color w:val="000000"/>
                <w:szCs w:val="21"/>
              </w:rPr>
            </w:pPr>
            <w:r>
              <w:rPr>
                <w:rFonts w:hint="eastAsia"/>
                <w:b/>
                <w:color w:val="000000"/>
                <w:szCs w:val="21"/>
              </w:rPr>
              <w:t>5.1</w:t>
            </w:r>
          </w:p>
        </w:tc>
        <w:tc>
          <w:tcPr>
            <w:tcW w:w="9996" w:type="dxa"/>
            <w:vAlign w:val="center"/>
          </w:tcPr>
          <w:p>
            <w:pPr>
              <w:spacing w:line="440" w:lineRule="exact"/>
            </w:pPr>
            <w:r>
              <w:rPr>
                <w:rFonts w:hint="eastAsia"/>
              </w:rPr>
              <w:t>（1）投标人所投应急广播设备通过节能环保测试，并获得了“绿色环保节能产品证书”（范围包含应急广播设备）的；所投应急广播设备获得“中国绿色环保产品证书”。每提供一项得4分，满分8分。（提供有效证书复印件，否则不得分，原件备查）</w:t>
            </w:r>
          </w:p>
          <w:p>
            <w:pPr>
              <w:spacing w:line="440" w:lineRule="exact"/>
            </w:pPr>
            <w:r>
              <w:rPr>
                <w:rFonts w:hint="eastAsia"/>
              </w:rPr>
              <w:t>（2）投标人具备ISO20000-1信息技术服务管理体系证书、ISO27001信息安全管理体系证书、GB/T31950-2015企业诚信管理体系证书、两化融合管理体系证书、GB/T29490-2013企业知识产权管理体系认证、ITSS信息技术服务运行维护标准（三级）的得</w:t>
            </w:r>
            <w:r>
              <w:t>1</w:t>
            </w:r>
            <w:r>
              <w:rPr>
                <w:rFonts w:hint="eastAsia"/>
              </w:rPr>
              <w:t>分，缺项不得分。（提供有效证书复印件，否则不得分）</w:t>
            </w:r>
          </w:p>
          <w:p>
            <w:pPr>
              <w:spacing w:line="440" w:lineRule="exact"/>
            </w:pPr>
            <w:r>
              <w:rPr>
                <w:rFonts w:hint="eastAsia"/>
              </w:rPr>
              <w:t>（3）投标人2018年以来曾获得中国广播电视设备行业科技创新奖（科技创新产品奖、科技创新企业奖）的，提供一项得4分，满分8分。（提供有效证书复印件，否则不得分）</w:t>
            </w:r>
          </w:p>
          <w:p>
            <w:pPr>
              <w:spacing w:line="440" w:lineRule="exact"/>
            </w:pPr>
            <w:r>
              <w:rPr>
                <w:rFonts w:hint="eastAsia"/>
              </w:rPr>
              <w:t>（4）投标人参与“GD/J 081-2018 应急广播安全保护技术规范 数字签名”、“GD/J 086-2018 有线数字电视应急广播技术规范”、“GD/J 089-2018 应急广播大喇叭系统技术规范”技术文件起草的，参与一项技术起草得1分，满分3分。（提供国家广电总局网站“应急广播安全保护技术规范、有线数字电视应急广播技术规范、应急广播大喇叭系统技术规范”封面和起草单位页截图，否则不得分）</w:t>
            </w:r>
          </w:p>
          <w:p>
            <w:pPr>
              <w:spacing w:line="440" w:lineRule="exact"/>
            </w:pPr>
            <w:r>
              <w:rPr>
                <w:rFonts w:hint="eastAsia"/>
              </w:rPr>
              <w:t>（5）投标人能提供国家广电总局应急广播技术研究仿真验证平台建设项目合同（以中标通知书及签订的合同为准）。（提供得3分，不能提供者不得分）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10872" w:type="dxa"/>
            <w:gridSpan w:val="2"/>
            <w:vAlign w:val="center"/>
          </w:tcPr>
          <w:p>
            <w:pPr>
              <w:spacing w:line="440" w:lineRule="exact"/>
              <w:rPr>
                <w:b/>
                <w:bCs/>
              </w:rPr>
            </w:pPr>
            <w:r>
              <w:rPr>
                <w:rFonts w:hint="eastAsia"/>
                <w:b/>
                <w:bCs/>
              </w:rPr>
              <w:t>总得分</w:t>
            </w:r>
            <w:r>
              <w:rPr>
                <w:b/>
                <w:bCs/>
              </w:rPr>
              <w:t>=1</w:t>
            </w:r>
            <w:r>
              <w:rPr>
                <w:rFonts w:hint="eastAsia"/>
                <w:b/>
                <w:bCs/>
              </w:rPr>
              <w:t>+</w:t>
            </w:r>
            <w:r>
              <w:rPr>
                <w:b/>
                <w:bCs/>
              </w:rPr>
              <w:t>2</w:t>
            </w:r>
            <w:r>
              <w:rPr>
                <w:rFonts w:hint="eastAsia"/>
                <w:b/>
                <w:bCs/>
              </w:rPr>
              <w:t>+</w:t>
            </w:r>
            <w:r>
              <w:rPr>
                <w:b/>
                <w:bCs/>
              </w:rPr>
              <w:t>3</w:t>
            </w:r>
            <w:r>
              <w:rPr>
                <w:rFonts w:hint="eastAsia"/>
                <w:b/>
                <w:bCs/>
              </w:rPr>
              <w:t>+</w:t>
            </w:r>
            <w:r>
              <w:rPr>
                <w:b/>
                <w:bCs/>
              </w:rPr>
              <w:t>4</w:t>
            </w:r>
            <w:r>
              <w:rPr>
                <w:rFonts w:hint="eastAsia"/>
                <w:b/>
                <w:bCs/>
              </w:rPr>
              <w:t>+</w:t>
            </w:r>
            <w:r>
              <w:rPr>
                <w:b/>
                <w:bCs/>
              </w:rPr>
              <w:t>5</w:t>
            </w:r>
          </w:p>
        </w:tc>
      </w:tr>
    </w:tbl>
    <w:p>
      <w:pPr>
        <w:spacing w:line="440" w:lineRule="exact"/>
      </w:pPr>
      <w:r>
        <w:rPr>
          <w:rFonts w:hint="eastAsia"/>
          <w:bCs/>
        </w:rPr>
        <w:t>（一）评标委员会将根据得分由高到低排列次序（得分相同时，</w:t>
      </w:r>
      <w:r>
        <w:rPr>
          <w:rFonts w:hint="eastAsia"/>
        </w:rPr>
        <w:t>以投标报价由低到高顺序排列。得分相同且投标报价相同的并列，投标文件满足招标文件全部实质性要求，且按照评审因素的量化指标评审得分最高的投标人为排名第一的中标候选人。</w:t>
      </w:r>
    </w:p>
    <w:p/>
    <w:p>
      <w:pPr>
        <w:pStyle w:val="2"/>
        <w:sectPr>
          <w:pgSz w:w="11910" w:h="16840"/>
          <w:pgMar w:top="1120" w:right="720" w:bottom="1300" w:left="720" w:header="0" w:footer="1120" w:gutter="0"/>
          <w:pgNumType w:fmt="decimal"/>
          <w:cols w:space="720" w:num="1"/>
        </w:sectPr>
      </w:pPr>
    </w:p>
    <w:p>
      <w:pPr>
        <w:jc w:val="center"/>
        <w:outlineLvl w:val="0"/>
        <w:rPr>
          <w:sz w:val="44"/>
        </w:rPr>
      </w:pPr>
      <w:bookmarkStart w:id="36" w:name="_Toc27721"/>
      <w:r>
        <w:rPr>
          <w:b w:val="0"/>
          <w:bCs/>
          <w:sz w:val="44"/>
        </w:rPr>
        <w:t>第五章</w:t>
      </w:r>
      <w:r>
        <w:rPr>
          <w:b w:val="0"/>
          <w:bCs/>
          <w:sz w:val="44"/>
        </w:rPr>
        <w:tab/>
      </w:r>
      <w:r>
        <w:rPr>
          <w:sz w:val="44"/>
        </w:rPr>
        <w:t>拟签订的合同文本</w:t>
      </w:r>
      <w:bookmarkEnd w:id="36"/>
    </w:p>
    <w:p>
      <w:pPr>
        <w:pStyle w:val="19"/>
        <w:spacing w:before="10"/>
        <w:rPr>
          <w:sz w:val="61"/>
        </w:rPr>
      </w:pPr>
    </w:p>
    <w:p>
      <w:pPr>
        <w:pStyle w:val="19"/>
        <w:ind w:left="1911" w:right="1"/>
        <w:jc w:val="center"/>
      </w:pPr>
      <w:r>
        <w:t>合同编号：</w:t>
      </w:r>
    </w:p>
    <w:p>
      <w:pPr>
        <w:pStyle w:val="19"/>
        <w:spacing w:before="10"/>
        <w:rPr>
          <w:sz w:val="29"/>
        </w:rPr>
      </w:pPr>
    </w:p>
    <w:p>
      <w:pPr>
        <w:pStyle w:val="19"/>
        <w:tabs>
          <w:tab w:val="left" w:pos="4663"/>
          <w:tab w:val="left" w:pos="7519"/>
          <w:tab w:val="left" w:pos="7560"/>
        </w:tabs>
        <w:spacing w:line="364" w:lineRule="auto"/>
        <w:ind w:left="412" w:right="2861"/>
        <w:jc w:val="both"/>
        <w:rPr>
          <w:rFonts w:ascii="Times New Roman" w:eastAsia="Times New Roman"/>
        </w:rPr>
      </w:pPr>
      <w:r>
        <w:t>采购人（甲方）</w:t>
      </w:r>
      <w:r>
        <w:rPr>
          <w:u w:val="single"/>
        </w:rPr>
        <w:t xml:space="preserve"> </w:t>
      </w:r>
      <w:r>
        <w:rPr>
          <w:u w:val="single"/>
        </w:rPr>
        <w:tab/>
      </w:r>
      <w:r>
        <w:rPr>
          <w:spacing w:val="26"/>
          <w:w w:val="95"/>
        </w:rPr>
        <w:t>采购计划</w:t>
      </w:r>
      <w:r>
        <w:rPr>
          <w:spacing w:val="-39"/>
          <w:w w:val="95"/>
        </w:rPr>
        <w:t>号</w:t>
      </w:r>
      <w:r>
        <w:rPr>
          <w:spacing w:val="-39"/>
          <w:w w:val="95"/>
          <w:u w:val="single"/>
        </w:rPr>
        <w:tab/>
      </w:r>
      <w:r>
        <w:rPr>
          <w:spacing w:val="-39"/>
          <w:w w:val="95"/>
          <w:u w:val="single"/>
        </w:rPr>
        <w:tab/>
      </w:r>
      <w:r>
        <w:rPr>
          <w:w w:val="95"/>
          <w:u w:val="single"/>
        </w:rPr>
        <w:t xml:space="preserve"> </w:t>
      </w:r>
      <w:r>
        <w:t>供 应</w:t>
      </w:r>
      <w:r>
        <w:rPr>
          <w:spacing w:val="-2"/>
        </w:rPr>
        <w:t xml:space="preserve"> </w:t>
      </w:r>
      <w:r>
        <w:t>商（乙方）</w:t>
      </w:r>
      <w:r>
        <w:rPr>
          <w:u w:val="single"/>
        </w:rPr>
        <w:t xml:space="preserve"> </w:t>
      </w:r>
      <w:r>
        <w:rPr>
          <w:u w:val="single"/>
        </w:rPr>
        <w:tab/>
      </w:r>
      <w:r>
        <w:t>招 标</w:t>
      </w:r>
      <w:r>
        <w:rPr>
          <w:spacing w:val="-31"/>
        </w:rPr>
        <w:t xml:space="preserve"> </w:t>
      </w:r>
      <w:r>
        <w:t>编</w:t>
      </w:r>
      <w:r>
        <w:rPr>
          <w:spacing w:val="-15"/>
        </w:rPr>
        <w:t xml:space="preserve"> </w:t>
      </w:r>
      <w:r>
        <w:rPr>
          <w:spacing w:val="-39"/>
        </w:rPr>
        <w:t>号</w:t>
      </w:r>
      <w:r>
        <w:rPr>
          <w:rFonts w:ascii="Times New Roman" w:eastAsia="Times New Roman"/>
          <w:w w:val="99"/>
          <w:u w:val="single"/>
        </w:rPr>
        <w:t xml:space="preserve"> </w:t>
      </w:r>
      <w:r>
        <w:rPr>
          <w:rFonts w:ascii="Times New Roman" w:eastAsia="Times New Roman"/>
          <w:u w:val="single"/>
        </w:rPr>
        <w:tab/>
      </w:r>
      <w:r>
        <w:rPr>
          <w:rFonts w:ascii="Times New Roman" w:eastAsia="Times New Roman"/>
          <w:u w:val="single"/>
        </w:rPr>
        <w:t xml:space="preserve"> </w:t>
      </w:r>
      <w:r>
        <w:t>签  订</w:t>
      </w:r>
      <w:r>
        <w:rPr>
          <w:spacing w:val="104"/>
        </w:rPr>
        <w:t xml:space="preserve"> </w:t>
      </w:r>
      <w:r>
        <w:t>地  点</w:t>
      </w:r>
      <w:r>
        <w:rPr>
          <w:u w:val="single"/>
        </w:rPr>
        <w:t xml:space="preserve"> </w:t>
      </w:r>
      <w:r>
        <w:rPr>
          <w:u w:val="single"/>
        </w:rPr>
        <w:tab/>
      </w:r>
      <w:r>
        <w:t>签 订 时</w:t>
      </w:r>
      <w:r>
        <w:rPr>
          <w:spacing w:val="-1"/>
        </w:rPr>
        <w:t xml:space="preserve"> </w:t>
      </w:r>
      <w:r>
        <w:t>间</w:t>
      </w:r>
      <w:r>
        <w:rPr>
          <w:rFonts w:ascii="Times New Roman" w:eastAsia="Times New Roman"/>
          <w:u w:val="single"/>
        </w:rPr>
        <w:t xml:space="preserve"> </w:t>
      </w:r>
      <w:r>
        <w:rPr>
          <w:rFonts w:ascii="Times New Roman" w:eastAsia="Times New Roman"/>
          <w:u w:val="single"/>
        </w:rPr>
        <w:tab/>
      </w:r>
      <w:r>
        <w:rPr>
          <w:rFonts w:ascii="Times New Roman" w:eastAsia="Times New Roman"/>
          <w:u w:val="single"/>
        </w:rPr>
        <w:tab/>
      </w:r>
      <w:r>
        <w:rPr>
          <w:rFonts w:ascii="Times New Roman" w:eastAsia="Times New Roman"/>
          <w:w w:val="47"/>
          <w:u w:val="single"/>
        </w:rPr>
        <w:t xml:space="preserve"> </w:t>
      </w:r>
    </w:p>
    <w:p>
      <w:pPr>
        <w:pStyle w:val="19"/>
        <w:rPr>
          <w:rFonts w:ascii="Times New Roman"/>
          <w:sz w:val="20"/>
        </w:rPr>
      </w:pPr>
    </w:p>
    <w:p>
      <w:pPr>
        <w:pStyle w:val="19"/>
        <w:rPr>
          <w:rFonts w:ascii="Times New Roman"/>
          <w:sz w:val="20"/>
        </w:rPr>
      </w:pPr>
    </w:p>
    <w:p>
      <w:pPr>
        <w:pStyle w:val="19"/>
        <w:spacing w:before="1"/>
        <w:rPr>
          <w:rFonts w:ascii="Times New Roman"/>
        </w:rPr>
      </w:pPr>
    </w:p>
    <w:p>
      <w:pPr>
        <w:pStyle w:val="19"/>
        <w:ind w:left="832"/>
      </w:pPr>
      <w:r>
        <w:t>根据《中华人民共和国政府采购法》、《中华人民共和国合同法》等法律、法规规定，按照招标文件</w:t>
      </w:r>
    </w:p>
    <w:p>
      <w:pPr>
        <w:pStyle w:val="19"/>
        <w:spacing w:before="8"/>
        <w:rPr>
          <w:sz w:val="22"/>
        </w:rPr>
      </w:pPr>
    </w:p>
    <w:p>
      <w:pPr>
        <w:pStyle w:val="19"/>
        <w:tabs>
          <w:tab w:val="left" w:pos="1257"/>
        </w:tabs>
        <w:spacing w:line="501" w:lineRule="auto"/>
        <w:ind w:left="412" w:right="3122"/>
        <w:rPr>
          <w:b/>
        </w:rPr>
      </w:pPr>
      <w:r>
        <w:t xml:space="preserve">（采购文件）规定条款和中标（成交）供应商承诺，甲乙双方签订本合同。  </w:t>
      </w:r>
      <w:r>
        <w:rPr>
          <w:b/>
        </w:rPr>
        <w:t>第一条</w:t>
      </w:r>
      <w:r>
        <w:rPr>
          <w:b/>
        </w:rPr>
        <w:tab/>
      </w:r>
      <w:r>
        <w:rPr>
          <w:b/>
        </w:rPr>
        <w:t>合同标的</w:t>
      </w:r>
    </w:p>
    <w:p>
      <w:pPr>
        <w:pStyle w:val="62"/>
        <w:numPr>
          <w:ilvl w:val="0"/>
          <w:numId w:val="71"/>
        </w:numPr>
        <w:tabs>
          <w:tab w:val="left" w:pos="212"/>
        </w:tabs>
        <w:spacing w:after="55" w:line="265" w:lineRule="exact"/>
        <w:ind w:right="8371" w:hanging="1044"/>
        <w:jc w:val="right"/>
        <w:rPr>
          <w:sz w:val="21"/>
        </w:rPr>
      </w:pPr>
      <w:r>
        <w:rPr>
          <w:w w:val="95"/>
          <w:sz w:val="21"/>
        </w:rPr>
        <w:t>供货一览表</w:t>
      </w:r>
    </w:p>
    <w:tbl>
      <w:tblPr>
        <w:tblStyle w:val="51"/>
        <w:tblW w:w="9840"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55"/>
        <w:gridCol w:w="1321"/>
        <w:gridCol w:w="1132"/>
        <w:gridCol w:w="1116"/>
        <w:gridCol w:w="1202"/>
        <w:gridCol w:w="966"/>
        <w:gridCol w:w="771"/>
        <w:gridCol w:w="1256"/>
        <w:gridCol w:w="13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0" w:hRule="atLeast"/>
        </w:trPr>
        <w:tc>
          <w:tcPr>
            <w:tcW w:w="755" w:type="dxa"/>
          </w:tcPr>
          <w:p>
            <w:pPr>
              <w:pStyle w:val="63"/>
              <w:spacing w:before="8"/>
              <w:rPr>
                <w:sz w:val="28"/>
              </w:rPr>
            </w:pPr>
          </w:p>
          <w:p>
            <w:pPr>
              <w:pStyle w:val="63"/>
              <w:spacing w:before="1"/>
              <w:ind w:left="145" w:right="140"/>
              <w:jc w:val="center"/>
              <w:rPr>
                <w:sz w:val="21"/>
              </w:rPr>
            </w:pPr>
            <w:r>
              <w:rPr>
                <w:sz w:val="21"/>
              </w:rPr>
              <w:t>序号</w:t>
            </w:r>
          </w:p>
        </w:tc>
        <w:tc>
          <w:tcPr>
            <w:tcW w:w="1321" w:type="dxa"/>
          </w:tcPr>
          <w:p>
            <w:pPr>
              <w:pStyle w:val="63"/>
              <w:spacing w:before="8"/>
              <w:rPr>
                <w:sz w:val="28"/>
              </w:rPr>
            </w:pPr>
          </w:p>
          <w:p>
            <w:pPr>
              <w:pStyle w:val="63"/>
              <w:spacing w:before="1"/>
              <w:ind w:left="239"/>
              <w:rPr>
                <w:sz w:val="21"/>
              </w:rPr>
            </w:pPr>
            <w:r>
              <w:rPr>
                <w:sz w:val="21"/>
              </w:rPr>
              <w:t>产品名称</w:t>
            </w:r>
          </w:p>
        </w:tc>
        <w:tc>
          <w:tcPr>
            <w:tcW w:w="1132" w:type="dxa"/>
          </w:tcPr>
          <w:p>
            <w:pPr>
              <w:pStyle w:val="63"/>
              <w:spacing w:before="8"/>
              <w:rPr>
                <w:sz w:val="28"/>
              </w:rPr>
            </w:pPr>
          </w:p>
          <w:p>
            <w:pPr>
              <w:pStyle w:val="63"/>
              <w:spacing w:before="1"/>
              <w:ind w:left="144"/>
              <w:rPr>
                <w:sz w:val="21"/>
              </w:rPr>
            </w:pPr>
            <w:r>
              <w:rPr>
                <w:sz w:val="21"/>
              </w:rPr>
              <w:t>商标品牌</w:t>
            </w:r>
          </w:p>
        </w:tc>
        <w:tc>
          <w:tcPr>
            <w:tcW w:w="1116" w:type="dxa"/>
          </w:tcPr>
          <w:p>
            <w:pPr>
              <w:pStyle w:val="63"/>
              <w:spacing w:before="8"/>
              <w:rPr>
                <w:sz w:val="28"/>
              </w:rPr>
            </w:pPr>
          </w:p>
          <w:p>
            <w:pPr>
              <w:pStyle w:val="63"/>
              <w:spacing w:before="1"/>
              <w:ind w:left="138"/>
              <w:rPr>
                <w:sz w:val="21"/>
              </w:rPr>
            </w:pPr>
            <w:r>
              <w:rPr>
                <w:sz w:val="21"/>
              </w:rPr>
              <w:t>规格型号</w:t>
            </w:r>
          </w:p>
        </w:tc>
        <w:tc>
          <w:tcPr>
            <w:tcW w:w="1202" w:type="dxa"/>
          </w:tcPr>
          <w:p>
            <w:pPr>
              <w:pStyle w:val="63"/>
              <w:spacing w:before="8"/>
              <w:rPr>
                <w:sz w:val="28"/>
              </w:rPr>
            </w:pPr>
          </w:p>
          <w:p>
            <w:pPr>
              <w:pStyle w:val="63"/>
              <w:spacing w:before="1"/>
              <w:ind w:left="181"/>
              <w:rPr>
                <w:sz w:val="21"/>
              </w:rPr>
            </w:pPr>
            <w:r>
              <w:rPr>
                <w:sz w:val="21"/>
              </w:rPr>
              <w:t>生产厂家</w:t>
            </w:r>
          </w:p>
        </w:tc>
        <w:tc>
          <w:tcPr>
            <w:tcW w:w="966" w:type="dxa"/>
          </w:tcPr>
          <w:p>
            <w:pPr>
              <w:pStyle w:val="63"/>
              <w:spacing w:before="8"/>
              <w:rPr>
                <w:sz w:val="28"/>
              </w:rPr>
            </w:pPr>
          </w:p>
          <w:p>
            <w:pPr>
              <w:pStyle w:val="63"/>
              <w:tabs>
                <w:tab w:val="left" w:pos="587"/>
              </w:tabs>
              <w:spacing w:before="1"/>
              <w:ind w:left="167"/>
              <w:rPr>
                <w:sz w:val="21"/>
              </w:rPr>
            </w:pPr>
            <w:r>
              <w:rPr>
                <w:sz w:val="21"/>
              </w:rPr>
              <w:t>数</w:t>
            </w:r>
            <w:r>
              <w:rPr>
                <w:sz w:val="21"/>
              </w:rPr>
              <w:tab/>
            </w:r>
            <w:r>
              <w:rPr>
                <w:sz w:val="21"/>
              </w:rPr>
              <w:t>量</w:t>
            </w:r>
          </w:p>
        </w:tc>
        <w:tc>
          <w:tcPr>
            <w:tcW w:w="771" w:type="dxa"/>
          </w:tcPr>
          <w:p>
            <w:pPr>
              <w:pStyle w:val="63"/>
              <w:spacing w:before="8"/>
              <w:rPr>
                <w:sz w:val="28"/>
              </w:rPr>
            </w:pPr>
          </w:p>
          <w:p>
            <w:pPr>
              <w:pStyle w:val="63"/>
              <w:spacing w:before="1"/>
              <w:ind w:left="173"/>
              <w:rPr>
                <w:sz w:val="21"/>
              </w:rPr>
            </w:pPr>
            <w:r>
              <w:rPr>
                <w:sz w:val="21"/>
              </w:rPr>
              <w:t>单位</w:t>
            </w:r>
          </w:p>
        </w:tc>
        <w:tc>
          <w:tcPr>
            <w:tcW w:w="1256" w:type="dxa"/>
          </w:tcPr>
          <w:p>
            <w:pPr>
              <w:pStyle w:val="63"/>
              <w:spacing w:before="4"/>
              <w:rPr>
                <w:sz w:val="21"/>
              </w:rPr>
            </w:pPr>
          </w:p>
          <w:p>
            <w:pPr>
              <w:pStyle w:val="63"/>
              <w:spacing w:before="1"/>
              <w:ind w:left="108"/>
              <w:rPr>
                <w:sz w:val="21"/>
              </w:rPr>
            </w:pPr>
            <w:r>
              <w:rPr>
                <w:sz w:val="21"/>
              </w:rPr>
              <w:t>单价（元）</w:t>
            </w:r>
          </w:p>
        </w:tc>
        <w:tc>
          <w:tcPr>
            <w:tcW w:w="1321" w:type="dxa"/>
          </w:tcPr>
          <w:p>
            <w:pPr>
              <w:pStyle w:val="63"/>
              <w:spacing w:before="8"/>
              <w:rPr>
                <w:sz w:val="28"/>
              </w:rPr>
            </w:pPr>
          </w:p>
          <w:p>
            <w:pPr>
              <w:pStyle w:val="63"/>
              <w:spacing w:before="1"/>
              <w:ind w:left="107"/>
              <w:rPr>
                <w:sz w:val="21"/>
              </w:rPr>
            </w:pPr>
            <w:r>
              <w:rPr>
                <w:sz w:val="21"/>
              </w:rPr>
              <w:t>金额（元）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0" w:hRule="atLeast"/>
        </w:trPr>
        <w:tc>
          <w:tcPr>
            <w:tcW w:w="755" w:type="dxa"/>
          </w:tcPr>
          <w:p>
            <w:pPr>
              <w:pStyle w:val="63"/>
              <w:spacing w:before="5"/>
              <w:rPr>
                <w:sz w:val="18"/>
              </w:rPr>
            </w:pPr>
          </w:p>
          <w:p>
            <w:pPr>
              <w:pStyle w:val="63"/>
              <w:ind w:left="9"/>
              <w:jc w:val="center"/>
              <w:rPr>
                <w:sz w:val="21"/>
              </w:rPr>
            </w:pPr>
            <w:r>
              <w:rPr>
                <w:w w:val="99"/>
                <w:sz w:val="21"/>
              </w:rPr>
              <w:t>1</w:t>
            </w:r>
          </w:p>
        </w:tc>
        <w:tc>
          <w:tcPr>
            <w:tcW w:w="1321" w:type="dxa"/>
          </w:tcPr>
          <w:p>
            <w:pPr>
              <w:pStyle w:val="63"/>
              <w:rPr>
                <w:rFonts w:ascii="Times New Roman"/>
                <w:sz w:val="20"/>
              </w:rPr>
            </w:pPr>
          </w:p>
        </w:tc>
        <w:tc>
          <w:tcPr>
            <w:tcW w:w="1132" w:type="dxa"/>
          </w:tcPr>
          <w:p>
            <w:pPr>
              <w:pStyle w:val="63"/>
              <w:rPr>
                <w:rFonts w:ascii="Times New Roman"/>
                <w:sz w:val="20"/>
              </w:rPr>
            </w:pPr>
          </w:p>
        </w:tc>
        <w:tc>
          <w:tcPr>
            <w:tcW w:w="1116" w:type="dxa"/>
          </w:tcPr>
          <w:p>
            <w:pPr>
              <w:pStyle w:val="63"/>
              <w:rPr>
                <w:rFonts w:ascii="Times New Roman"/>
                <w:sz w:val="20"/>
              </w:rPr>
            </w:pPr>
          </w:p>
        </w:tc>
        <w:tc>
          <w:tcPr>
            <w:tcW w:w="1202" w:type="dxa"/>
          </w:tcPr>
          <w:p>
            <w:pPr>
              <w:pStyle w:val="63"/>
              <w:rPr>
                <w:rFonts w:ascii="Times New Roman"/>
                <w:sz w:val="20"/>
              </w:rPr>
            </w:pPr>
          </w:p>
        </w:tc>
        <w:tc>
          <w:tcPr>
            <w:tcW w:w="966" w:type="dxa"/>
          </w:tcPr>
          <w:p>
            <w:pPr>
              <w:pStyle w:val="63"/>
              <w:rPr>
                <w:rFonts w:ascii="Times New Roman"/>
                <w:sz w:val="20"/>
              </w:rPr>
            </w:pPr>
          </w:p>
        </w:tc>
        <w:tc>
          <w:tcPr>
            <w:tcW w:w="771" w:type="dxa"/>
          </w:tcPr>
          <w:p>
            <w:pPr>
              <w:pStyle w:val="63"/>
              <w:rPr>
                <w:rFonts w:ascii="Times New Roman"/>
                <w:sz w:val="20"/>
              </w:rPr>
            </w:pPr>
          </w:p>
        </w:tc>
        <w:tc>
          <w:tcPr>
            <w:tcW w:w="1256" w:type="dxa"/>
          </w:tcPr>
          <w:p>
            <w:pPr>
              <w:pStyle w:val="63"/>
              <w:rPr>
                <w:rFonts w:ascii="Times New Roman"/>
                <w:sz w:val="20"/>
              </w:rPr>
            </w:pPr>
          </w:p>
        </w:tc>
        <w:tc>
          <w:tcPr>
            <w:tcW w:w="1321" w:type="dxa"/>
          </w:tcPr>
          <w:p>
            <w:pPr>
              <w:pStyle w:val="63"/>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0" w:hRule="atLeast"/>
        </w:trPr>
        <w:tc>
          <w:tcPr>
            <w:tcW w:w="755" w:type="dxa"/>
          </w:tcPr>
          <w:p>
            <w:pPr>
              <w:pStyle w:val="63"/>
              <w:spacing w:before="6"/>
              <w:rPr>
                <w:sz w:val="18"/>
              </w:rPr>
            </w:pPr>
          </w:p>
          <w:p>
            <w:pPr>
              <w:pStyle w:val="63"/>
              <w:ind w:left="9"/>
              <w:jc w:val="center"/>
              <w:rPr>
                <w:sz w:val="21"/>
              </w:rPr>
            </w:pPr>
            <w:r>
              <w:rPr>
                <w:w w:val="99"/>
                <w:sz w:val="21"/>
              </w:rPr>
              <w:t>2</w:t>
            </w:r>
          </w:p>
        </w:tc>
        <w:tc>
          <w:tcPr>
            <w:tcW w:w="1321" w:type="dxa"/>
          </w:tcPr>
          <w:p>
            <w:pPr>
              <w:pStyle w:val="63"/>
              <w:rPr>
                <w:rFonts w:ascii="Times New Roman"/>
                <w:sz w:val="20"/>
              </w:rPr>
            </w:pPr>
          </w:p>
        </w:tc>
        <w:tc>
          <w:tcPr>
            <w:tcW w:w="1132" w:type="dxa"/>
          </w:tcPr>
          <w:p>
            <w:pPr>
              <w:pStyle w:val="63"/>
              <w:rPr>
                <w:rFonts w:ascii="Times New Roman"/>
                <w:sz w:val="20"/>
              </w:rPr>
            </w:pPr>
          </w:p>
        </w:tc>
        <w:tc>
          <w:tcPr>
            <w:tcW w:w="1116" w:type="dxa"/>
          </w:tcPr>
          <w:p>
            <w:pPr>
              <w:pStyle w:val="63"/>
              <w:rPr>
                <w:rFonts w:ascii="Times New Roman"/>
                <w:sz w:val="20"/>
              </w:rPr>
            </w:pPr>
          </w:p>
        </w:tc>
        <w:tc>
          <w:tcPr>
            <w:tcW w:w="1202" w:type="dxa"/>
          </w:tcPr>
          <w:p>
            <w:pPr>
              <w:pStyle w:val="63"/>
              <w:rPr>
                <w:rFonts w:ascii="Times New Roman"/>
                <w:sz w:val="20"/>
              </w:rPr>
            </w:pPr>
          </w:p>
        </w:tc>
        <w:tc>
          <w:tcPr>
            <w:tcW w:w="966" w:type="dxa"/>
          </w:tcPr>
          <w:p>
            <w:pPr>
              <w:pStyle w:val="63"/>
              <w:rPr>
                <w:rFonts w:ascii="Times New Roman"/>
                <w:sz w:val="20"/>
              </w:rPr>
            </w:pPr>
          </w:p>
        </w:tc>
        <w:tc>
          <w:tcPr>
            <w:tcW w:w="771" w:type="dxa"/>
          </w:tcPr>
          <w:p>
            <w:pPr>
              <w:pStyle w:val="63"/>
              <w:rPr>
                <w:rFonts w:ascii="Times New Roman"/>
                <w:sz w:val="20"/>
              </w:rPr>
            </w:pPr>
          </w:p>
        </w:tc>
        <w:tc>
          <w:tcPr>
            <w:tcW w:w="1256" w:type="dxa"/>
          </w:tcPr>
          <w:p>
            <w:pPr>
              <w:pStyle w:val="63"/>
              <w:rPr>
                <w:rFonts w:ascii="Times New Roman"/>
                <w:sz w:val="20"/>
              </w:rPr>
            </w:pPr>
          </w:p>
        </w:tc>
        <w:tc>
          <w:tcPr>
            <w:tcW w:w="1321" w:type="dxa"/>
          </w:tcPr>
          <w:p>
            <w:pPr>
              <w:pStyle w:val="63"/>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0" w:hRule="atLeast"/>
        </w:trPr>
        <w:tc>
          <w:tcPr>
            <w:tcW w:w="755" w:type="dxa"/>
          </w:tcPr>
          <w:p>
            <w:pPr>
              <w:pStyle w:val="63"/>
              <w:spacing w:before="5"/>
              <w:rPr>
                <w:sz w:val="18"/>
              </w:rPr>
            </w:pPr>
          </w:p>
          <w:p>
            <w:pPr>
              <w:pStyle w:val="63"/>
              <w:ind w:left="9"/>
              <w:jc w:val="center"/>
              <w:rPr>
                <w:sz w:val="21"/>
              </w:rPr>
            </w:pPr>
            <w:r>
              <w:rPr>
                <w:w w:val="99"/>
                <w:sz w:val="21"/>
              </w:rPr>
              <w:t>3</w:t>
            </w:r>
          </w:p>
        </w:tc>
        <w:tc>
          <w:tcPr>
            <w:tcW w:w="1321" w:type="dxa"/>
          </w:tcPr>
          <w:p>
            <w:pPr>
              <w:pStyle w:val="63"/>
              <w:rPr>
                <w:rFonts w:ascii="Times New Roman"/>
                <w:sz w:val="20"/>
              </w:rPr>
            </w:pPr>
          </w:p>
        </w:tc>
        <w:tc>
          <w:tcPr>
            <w:tcW w:w="1132" w:type="dxa"/>
          </w:tcPr>
          <w:p>
            <w:pPr>
              <w:pStyle w:val="63"/>
              <w:rPr>
                <w:rFonts w:ascii="Times New Roman"/>
                <w:sz w:val="20"/>
              </w:rPr>
            </w:pPr>
          </w:p>
        </w:tc>
        <w:tc>
          <w:tcPr>
            <w:tcW w:w="1116" w:type="dxa"/>
          </w:tcPr>
          <w:p>
            <w:pPr>
              <w:pStyle w:val="63"/>
              <w:rPr>
                <w:rFonts w:ascii="Times New Roman"/>
                <w:sz w:val="20"/>
              </w:rPr>
            </w:pPr>
          </w:p>
        </w:tc>
        <w:tc>
          <w:tcPr>
            <w:tcW w:w="1202" w:type="dxa"/>
          </w:tcPr>
          <w:p>
            <w:pPr>
              <w:pStyle w:val="63"/>
              <w:rPr>
                <w:rFonts w:ascii="Times New Roman"/>
                <w:sz w:val="20"/>
              </w:rPr>
            </w:pPr>
          </w:p>
        </w:tc>
        <w:tc>
          <w:tcPr>
            <w:tcW w:w="966" w:type="dxa"/>
          </w:tcPr>
          <w:p>
            <w:pPr>
              <w:pStyle w:val="63"/>
              <w:rPr>
                <w:rFonts w:ascii="Times New Roman"/>
                <w:sz w:val="20"/>
              </w:rPr>
            </w:pPr>
          </w:p>
        </w:tc>
        <w:tc>
          <w:tcPr>
            <w:tcW w:w="771" w:type="dxa"/>
          </w:tcPr>
          <w:p>
            <w:pPr>
              <w:pStyle w:val="63"/>
              <w:rPr>
                <w:rFonts w:ascii="Times New Roman"/>
                <w:sz w:val="20"/>
              </w:rPr>
            </w:pPr>
          </w:p>
        </w:tc>
        <w:tc>
          <w:tcPr>
            <w:tcW w:w="1256" w:type="dxa"/>
          </w:tcPr>
          <w:p>
            <w:pPr>
              <w:pStyle w:val="63"/>
              <w:rPr>
                <w:rFonts w:ascii="Times New Roman"/>
                <w:sz w:val="20"/>
              </w:rPr>
            </w:pPr>
          </w:p>
        </w:tc>
        <w:tc>
          <w:tcPr>
            <w:tcW w:w="1321" w:type="dxa"/>
          </w:tcPr>
          <w:p>
            <w:pPr>
              <w:pStyle w:val="63"/>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59" w:hRule="atLeast"/>
        </w:trPr>
        <w:tc>
          <w:tcPr>
            <w:tcW w:w="9840" w:type="dxa"/>
            <w:gridSpan w:val="9"/>
          </w:tcPr>
          <w:p>
            <w:pPr>
              <w:pStyle w:val="63"/>
              <w:spacing w:before="6"/>
              <w:rPr>
                <w:sz w:val="18"/>
              </w:rPr>
            </w:pPr>
          </w:p>
          <w:p>
            <w:pPr>
              <w:pStyle w:val="63"/>
              <w:tabs>
                <w:tab w:val="left" w:pos="5146"/>
              </w:tabs>
              <w:ind w:left="106"/>
              <w:rPr>
                <w:sz w:val="21"/>
              </w:rPr>
            </w:pPr>
            <w:r>
              <w:rPr>
                <w:sz w:val="21"/>
              </w:rPr>
              <w:t>人民币合计金额（大写）</w:t>
            </w:r>
            <w:r>
              <w:rPr>
                <w:sz w:val="21"/>
              </w:rPr>
              <w:tab/>
            </w:r>
            <w:r>
              <w:rPr>
                <w:sz w:val="21"/>
              </w:rPr>
              <w:t>（小写）</w:t>
            </w:r>
          </w:p>
        </w:tc>
      </w:tr>
    </w:tbl>
    <w:p>
      <w:pPr>
        <w:pStyle w:val="19"/>
        <w:spacing w:before="5"/>
        <w:rPr>
          <w:sz w:val="18"/>
        </w:rPr>
      </w:pPr>
    </w:p>
    <w:p>
      <w:pPr>
        <w:pStyle w:val="62"/>
        <w:numPr>
          <w:ilvl w:val="0"/>
          <w:numId w:val="71"/>
        </w:numPr>
        <w:tabs>
          <w:tab w:val="left" w:pos="1044"/>
        </w:tabs>
        <w:spacing w:line="501" w:lineRule="auto"/>
        <w:ind w:left="412" w:right="832" w:firstLine="420"/>
        <w:rPr>
          <w:sz w:val="21"/>
        </w:rPr>
      </w:pPr>
      <w:r>
        <w:rPr>
          <w:rFonts w:ascii="宋体" w:hAnsi="宋体" w:eastAsia="宋体" w:cs="宋体"/>
          <w:sz w:val="21"/>
          <w:szCs w:val="21"/>
          <w:lang w:val="zh-CN" w:eastAsia="zh-CN" w:bidi="zh-CN"/>
        </w:rPr>
        <w:t>合同合计金额包括货物价款，备件、专用工具、安装、调试、检验、技术培训及技术资料和包</w:t>
      </w:r>
      <w:r>
        <w:rPr>
          <w:spacing w:val="-3"/>
          <w:sz w:val="21"/>
        </w:rPr>
        <w:t>装、运输等全部费用。</w:t>
      </w:r>
    </w:p>
    <w:p>
      <w:pPr>
        <w:tabs>
          <w:tab w:val="left" w:pos="844"/>
        </w:tabs>
        <w:spacing w:line="265" w:lineRule="exact"/>
        <w:ind w:right="8363"/>
        <w:jc w:val="right"/>
        <w:rPr>
          <w:b/>
          <w:sz w:val="21"/>
        </w:rPr>
      </w:pPr>
      <w:r>
        <w:rPr>
          <w:b/>
          <w:sz w:val="21"/>
        </w:rPr>
        <w:t>第二条</w:t>
      </w:r>
      <w:r>
        <w:rPr>
          <w:b/>
          <w:sz w:val="21"/>
        </w:rPr>
        <w:tab/>
      </w:r>
      <w:r>
        <w:rPr>
          <w:b/>
          <w:w w:val="95"/>
          <w:sz w:val="21"/>
        </w:rPr>
        <w:t>质量要求</w:t>
      </w:r>
    </w:p>
    <w:p>
      <w:pPr>
        <w:pStyle w:val="19"/>
        <w:spacing w:before="8"/>
        <w:rPr>
          <w:b/>
          <w:sz w:val="22"/>
        </w:rPr>
      </w:pPr>
    </w:p>
    <w:p>
      <w:pPr>
        <w:pStyle w:val="62"/>
        <w:numPr>
          <w:ilvl w:val="0"/>
          <w:numId w:val="72"/>
        </w:numPr>
        <w:tabs>
          <w:tab w:val="left" w:pos="1044"/>
        </w:tabs>
        <w:spacing w:before="1" w:line="501" w:lineRule="auto"/>
        <w:ind w:right="412" w:firstLine="420"/>
        <w:rPr>
          <w:sz w:val="21"/>
        </w:rPr>
      </w:pPr>
      <w:r>
        <w:rPr>
          <w:rFonts w:ascii="宋体" w:hAnsi="宋体" w:eastAsia="宋体" w:cs="宋体"/>
          <w:sz w:val="21"/>
          <w:szCs w:val="21"/>
          <w:lang w:val="zh-CN" w:eastAsia="zh-CN" w:bidi="zh-CN"/>
        </w:rPr>
        <w:t>乙方所提供的产品名称、商标品牌、生产厂家、规格型号、技术参数等质量必须与招标文件规定及投</w:t>
      </w:r>
      <w:r>
        <w:rPr>
          <w:spacing w:val="-4"/>
          <w:sz w:val="21"/>
        </w:rPr>
        <w:t>标文件承诺相一致。乙方提供的节能和环保产品必须是列入政府采购品目清单的产品。</w:t>
      </w:r>
    </w:p>
    <w:p>
      <w:pPr>
        <w:pStyle w:val="62"/>
        <w:numPr>
          <w:ilvl w:val="0"/>
          <w:numId w:val="72"/>
        </w:numPr>
        <w:tabs>
          <w:tab w:val="left" w:pos="1044"/>
        </w:tabs>
        <w:spacing w:line="499" w:lineRule="auto"/>
        <w:ind w:right="410" w:firstLine="420"/>
        <w:rPr>
          <w:sz w:val="21"/>
        </w:rPr>
      </w:pPr>
      <w:r>
        <w:rPr>
          <w:rFonts w:ascii="宋体" w:hAnsi="宋体" w:eastAsia="宋体" w:cs="宋体"/>
          <w:sz w:val="21"/>
          <w:szCs w:val="21"/>
          <w:lang w:val="zh-CN" w:eastAsia="zh-CN" w:bidi="zh-CN"/>
        </w:rPr>
        <w:t>乙方所提供的货物必须是全新、未使用的原装产品，且在正常安装、使用和保养条件下，其使用寿命期内</w:t>
      </w:r>
      <w:r>
        <w:rPr>
          <w:spacing w:val="-4"/>
          <w:sz w:val="21"/>
        </w:rPr>
        <w:t>各项指标均达到招标文件规定或者投标文件承诺的质量要求。</w:t>
      </w:r>
    </w:p>
    <w:p>
      <w:pPr>
        <w:tabs>
          <w:tab w:val="left" w:pos="1257"/>
        </w:tabs>
        <w:ind w:left="412"/>
        <w:rPr>
          <w:b/>
          <w:sz w:val="21"/>
        </w:rPr>
      </w:pPr>
      <w:r>
        <w:rPr>
          <w:b/>
          <w:sz w:val="21"/>
        </w:rPr>
        <w:t>第三条</w:t>
      </w:r>
      <w:r>
        <w:rPr>
          <w:b/>
          <w:sz w:val="21"/>
        </w:rPr>
        <w:tab/>
      </w:r>
      <w:r>
        <w:rPr>
          <w:b/>
          <w:sz w:val="21"/>
        </w:rPr>
        <w:t>权利保证</w:t>
      </w:r>
    </w:p>
    <w:p>
      <w:pPr>
        <w:rPr>
          <w:sz w:val="21"/>
        </w:rPr>
        <w:sectPr>
          <w:pgSz w:w="11910" w:h="16840"/>
          <w:pgMar w:top="1360" w:right="720" w:bottom="1380" w:left="720" w:header="0" w:footer="1120" w:gutter="0"/>
          <w:pgNumType w:fmt="decimal"/>
          <w:cols w:space="720" w:num="1"/>
        </w:sectPr>
      </w:pPr>
    </w:p>
    <w:p>
      <w:pPr>
        <w:pStyle w:val="62"/>
        <w:numPr>
          <w:ilvl w:val="0"/>
          <w:numId w:val="73"/>
        </w:numPr>
        <w:tabs>
          <w:tab w:val="left" w:pos="1044"/>
        </w:tabs>
        <w:spacing w:before="54"/>
        <w:rPr>
          <w:sz w:val="21"/>
        </w:rPr>
      </w:pPr>
      <w:r>
        <w:rPr>
          <w:spacing w:val="-5"/>
          <w:sz w:val="21"/>
        </w:rPr>
        <w:t>乙方应保证所提供货物在使用时不会侵犯任何第三方的专利权、商标权、工业设计权或者其他权利。</w:t>
      </w:r>
    </w:p>
    <w:p>
      <w:pPr>
        <w:pStyle w:val="19"/>
        <w:spacing w:before="8"/>
        <w:rPr>
          <w:sz w:val="22"/>
        </w:rPr>
      </w:pPr>
    </w:p>
    <w:p>
      <w:pPr>
        <w:pStyle w:val="62"/>
        <w:numPr>
          <w:ilvl w:val="0"/>
          <w:numId w:val="73"/>
        </w:numPr>
        <w:tabs>
          <w:tab w:val="left" w:pos="1044"/>
        </w:tabs>
        <w:spacing w:before="1"/>
        <w:rPr>
          <w:sz w:val="21"/>
        </w:rPr>
      </w:pPr>
      <w:r>
        <w:rPr>
          <w:sz w:val="21"/>
        </w:rPr>
        <w:t>乙方应按招标文件规定或者投标文件承诺的时间向甲方提供使用货物的有关技术资料。</w:t>
      </w:r>
    </w:p>
    <w:p>
      <w:pPr>
        <w:pStyle w:val="19"/>
        <w:spacing w:before="8"/>
        <w:rPr>
          <w:sz w:val="22"/>
        </w:rPr>
      </w:pPr>
    </w:p>
    <w:p>
      <w:pPr>
        <w:pStyle w:val="62"/>
        <w:numPr>
          <w:ilvl w:val="0"/>
          <w:numId w:val="73"/>
        </w:numPr>
        <w:tabs>
          <w:tab w:val="left" w:pos="1044"/>
        </w:tabs>
        <w:spacing w:line="499" w:lineRule="auto"/>
        <w:ind w:left="412" w:right="308" w:firstLine="420"/>
        <w:rPr>
          <w:sz w:val="21"/>
        </w:rPr>
      </w:pPr>
      <w:r>
        <w:rPr>
          <w:sz w:val="21"/>
        </w:rPr>
        <w:t>没有甲方事先书面同意，乙方不得将由甲方提供的有关合同或者任何合同条文、规格、计划、图纸、</w:t>
      </w:r>
      <w:r>
        <w:rPr>
          <w:spacing w:val="-8"/>
          <w:sz w:val="21"/>
        </w:rPr>
        <w:t>样品或者资料提供给与履行本合同无关的任何其他人。即使向履行本合同有关的人员提供，也应注意保密并限于履行合同的必需范围。</w:t>
      </w:r>
    </w:p>
    <w:p>
      <w:pPr>
        <w:pStyle w:val="62"/>
        <w:numPr>
          <w:ilvl w:val="0"/>
          <w:numId w:val="73"/>
        </w:numPr>
        <w:tabs>
          <w:tab w:val="left" w:pos="1044"/>
          <w:tab w:val="left" w:pos="1257"/>
        </w:tabs>
        <w:spacing w:before="1" w:line="501" w:lineRule="auto"/>
        <w:ind w:left="412" w:right="1231" w:firstLine="420"/>
        <w:rPr>
          <w:b/>
          <w:sz w:val="21"/>
        </w:rPr>
      </w:pPr>
      <w:r>
        <w:rPr>
          <w:spacing w:val="-8"/>
          <w:sz w:val="21"/>
        </w:rPr>
        <w:t>乙方保证将要交付的货物的所有权完全属于乙方且无任何抵押、质押、查封等产权瑕疵。</w:t>
      </w:r>
      <w:r>
        <w:rPr>
          <w:w w:val="95"/>
          <w:sz w:val="21"/>
        </w:rPr>
        <w:t xml:space="preserve">   </w:t>
      </w:r>
      <w:r>
        <w:rPr>
          <w:b/>
          <w:w w:val="95"/>
          <w:sz w:val="21"/>
        </w:rPr>
        <w:t>第四条</w:t>
      </w:r>
      <w:r>
        <w:rPr>
          <w:b/>
          <w:w w:val="95"/>
          <w:sz w:val="21"/>
        </w:rPr>
        <w:tab/>
      </w:r>
      <w:r>
        <w:rPr>
          <w:b/>
          <w:sz w:val="21"/>
        </w:rPr>
        <w:t>包装和运输</w:t>
      </w:r>
    </w:p>
    <w:p>
      <w:pPr>
        <w:pStyle w:val="62"/>
        <w:numPr>
          <w:ilvl w:val="0"/>
          <w:numId w:val="74"/>
        </w:numPr>
        <w:tabs>
          <w:tab w:val="left" w:pos="1044"/>
        </w:tabs>
        <w:spacing w:line="499" w:lineRule="auto"/>
        <w:ind w:right="412" w:firstLine="420"/>
        <w:rPr>
          <w:sz w:val="21"/>
        </w:rPr>
      </w:pPr>
      <w:r>
        <w:rPr>
          <w:spacing w:val="-8"/>
          <w:sz w:val="21"/>
        </w:rPr>
        <w:t>乙方提供的货物均应按招标文件规定或者投标文件承诺的要求的包装材料、包装标准、包装方式进行</w:t>
      </w:r>
      <w:r>
        <w:rPr>
          <w:spacing w:val="-2"/>
          <w:sz w:val="21"/>
        </w:rPr>
        <w:t>包装，每一包装单元内应附详细的装箱单和质量合格证。</w:t>
      </w:r>
    </w:p>
    <w:p>
      <w:pPr>
        <w:pStyle w:val="62"/>
        <w:numPr>
          <w:ilvl w:val="0"/>
          <w:numId w:val="74"/>
        </w:numPr>
        <w:tabs>
          <w:tab w:val="left" w:pos="1044"/>
          <w:tab w:val="left" w:pos="4089"/>
        </w:tabs>
        <w:ind w:left="1044"/>
        <w:rPr>
          <w:sz w:val="21"/>
        </w:rPr>
      </w:pPr>
      <w:r>
        <w:rPr>
          <w:sz w:val="21"/>
        </w:rPr>
        <w:t>货物的运输方式：</w:t>
      </w:r>
      <w:r>
        <w:rPr>
          <w:sz w:val="21"/>
          <w:u w:val="single"/>
        </w:rPr>
        <w:t xml:space="preserve"> </w:t>
      </w:r>
      <w:r>
        <w:rPr>
          <w:sz w:val="21"/>
          <w:u w:val="single"/>
        </w:rPr>
        <w:tab/>
      </w:r>
      <w:r>
        <w:rPr>
          <w:sz w:val="21"/>
          <w:u w:val="single"/>
        </w:rPr>
        <w:t>。</w:t>
      </w:r>
    </w:p>
    <w:p>
      <w:pPr>
        <w:pStyle w:val="19"/>
        <w:spacing w:before="6"/>
        <w:rPr>
          <w:sz w:val="16"/>
        </w:rPr>
      </w:pPr>
    </w:p>
    <w:p>
      <w:pPr>
        <w:pStyle w:val="62"/>
        <w:numPr>
          <w:ilvl w:val="0"/>
          <w:numId w:val="74"/>
        </w:numPr>
        <w:tabs>
          <w:tab w:val="left" w:pos="1044"/>
          <w:tab w:val="left" w:pos="7658"/>
        </w:tabs>
        <w:spacing w:before="77"/>
        <w:ind w:left="1044"/>
        <w:rPr>
          <w:sz w:val="21"/>
        </w:rPr>
      </w:pPr>
      <w:r>
        <w:rPr>
          <w:sz w:val="21"/>
        </w:rPr>
        <w:t>乙方负责货物运输，货物运输合理损耗及计算方法：</w:t>
      </w:r>
      <w:r>
        <w:rPr>
          <w:sz w:val="21"/>
          <w:u w:val="single"/>
        </w:rPr>
        <w:t xml:space="preserve"> </w:t>
      </w:r>
      <w:r>
        <w:rPr>
          <w:sz w:val="21"/>
          <w:u w:val="single"/>
        </w:rPr>
        <w:tab/>
      </w:r>
      <w:r>
        <w:rPr>
          <w:sz w:val="21"/>
          <w:u w:val="single"/>
        </w:rPr>
        <w:t>。</w:t>
      </w:r>
    </w:p>
    <w:p>
      <w:pPr>
        <w:pStyle w:val="19"/>
        <w:spacing w:before="2"/>
        <w:rPr>
          <w:sz w:val="17"/>
        </w:rPr>
      </w:pPr>
    </w:p>
    <w:p>
      <w:pPr>
        <w:tabs>
          <w:tab w:val="left" w:pos="1257"/>
        </w:tabs>
        <w:spacing w:before="70"/>
        <w:ind w:left="412"/>
        <w:rPr>
          <w:b/>
          <w:sz w:val="21"/>
        </w:rPr>
      </w:pPr>
      <w:r>
        <w:rPr>
          <w:b/>
          <w:sz w:val="21"/>
        </w:rPr>
        <w:t>第五条</w:t>
      </w:r>
      <w:r>
        <w:rPr>
          <w:b/>
          <w:sz w:val="21"/>
        </w:rPr>
        <w:tab/>
      </w:r>
      <w:r>
        <w:rPr>
          <w:b/>
          <w:sz w:val="21"/>
        </w:rPr>
        <w:t>交付和验收</w:t>
      </w:r>
    </w:p>
    <w:p>
      <w:pPr>
        <w:pStyle w:val="19"/>
        <w:spacing w:before="10"/>
        <w:rPr>
          <w:b/>
          <w:sz w:val="22"/>
        </w:rPr>
      </w:pPr>
    </w:p>
    <w:p>
      <w:pPr>
        <w:pStyle w:val="62"/>
        <w:numPr>
          <w:ilvl w:val="0"/>
          <w:numId w:val="75"/>
        </w:numPr>
        <w:tabs>
          <w:tab w:val="left" w:pos="1044"/>
          <w:tab w:val="left" w:pos="3878"/>
          <w:tab w:val="left" w:pos="7869"/>
        </w:tabs>
        <w:spacing w:before="1"/>
        <w:rPr>
          <w:sz w:val="21"/>
        </w:rPr>
      </w:pPr>
      <w:r>
        <w:rPr>
          <w:sz w:val="21"/>
        </w:rPr>
        <w:t>交付时间：</w:t>
      </w:r>
      <w:r>
        <w:rPr>
          <w:sz w:val="21"/>
          <w:u w:val="single"/>
        </w:rPr>
        <w:t xml:space="preserve"> </w:t>
      </w:r>
      <w:r>
        <w:rPr>
          <w:sz w:val="21"/>
          <w:u w:val="single"/>
        </w:rPr>
        <w:tab/>
      </w:r>
      <w:r>
        <w:rPr>
          <w:sz w:val="21"/>
        </w:rPr>
        <w:t>；交付地点：</w:t>
      </w:r>
      <w:r>
        <w:rPr>
          <w:sz w:val="21"/>
          <w:u w:val="single"/>
        </w:rPr>
        <w:t xml:space="preserve"> </w:t>
      </w:r>
      <w:r>
        <w:rPr>
          <w:sz w:val="21"/>
          <w:u w:val="single"/>
        </w:rPr>
        <w:tab/>
      </w:r>
      <w:r>
        <w:rPr>
          <w:sz w:val="21"/>
        </w:rPr>
        <w:t>。</w:t>
      </w:r>
    </w:p>
    <w:p>
      <w:pPr>
        <w:pStyle w:val="19"/>
        <w:spacing w:before="8"/>
        <w:rPr>
          <w:sz w:val="22"/>
        </w:rPr>
      </w:pPr>
    </w:p>
    <w:p>
      <w:pPr>
        <w:pStyle w:val="62"/>
        <w:numPr>
          <w:ilvl w:val="0"/>
          <w:numId w:val="75"/>
        </w:numPr>
        <w:tabs>
          <w:tab w:val="left" w:pos="1044"/>
        </w:tabs>
        <w:rPr>
          <w:sz w:val="21"/>
        </w:rPr>
      </w:pPr>
      <w:r>
        <w:rPr>
          <w:sz w:val="21"/>
        </w:rPr>
        <w:t>乙方提供不符合招标文件规定或者投标文件承诺的和本合同规定的货物，甲方有权拒绝接受。</w:t>
      </w:r>
    </w:p>
    <w:p>
      <w:pPr>
        <w:pStyle w:val="19"/>
        <w:spacing w:before="8"/>
        <w:rPr>
          <w:sz w:val="22"/>
        </w:rPr>
      </w:pPr>
    </w:p>
    <w:p>
      <w:pPr>
        <w:pStyle w:val="62"/>
        <w:numPr>
          <w:ilvl w:val="0"/>
          <w:numId w:val="75"/>
        </w:numPr>
        <w:tabs>
          <w:tab w:val="left" w:pos="1044"/>
        </w:tabs>
        <w:spacing w:line="499" w:lineRule="auto"/>
        <w:ind w:left="412" w:right="392" w:firstLine="420"/>
        <w:jc w:val="both"/>
        <w:rPr>
          <w:sz w:val="21"/>
        </w:rPr>
      </w:pPr>
      <w:r>
        <w:rPr>
          <w:spacing w:val="-3"/>
          <w:sz w:val="21"/>
        </w:rPr>
        <w:t>乙方应将所提供货物的装箱清单、用户手册、原厂保修卡、随机资料、工具和备品、备件等交付给甲方，货物属于进口产品的，供货时应同时附上中文使用说明书，如有缺失应在合理的规定时间内补齐，否则视为逾期交货。</w:t>
      </w:r>
    </w:p>
    <w:p>
      <w:pPr>
        <w:pStyle w:val="62"/>
        <w:numPr>
          <w:ilvl w:val="0"/>
          <w:numId w:val="75"/>
        </w:numPr>
        <w:tabs>
          <w:tab w:val="left" w:pos="1044"/>
        </w:tabs>
        <w:spacing w:before="1" w:line="501" w:lineRule="auto"/>
        <w:ind w:left="412" w:right="304" w:firstLine="420"/>
        <w:rPr>
          <w:sz w:val="21"/>
        </w:rPr>
      </w:pPr>
      <w:r>
        <w:rPr>
          <w:spacing w:val="-3"/>
          <w:sz w:val="21"/>
        </w:rPr>
        <w:t>甲方应当在到货（安装、调试完）后七个工作日内进行验收，逾期不验收的，乙方可视同验收合格。</w:t>
      </w:r>
      <w:r>
        <w:rPr>
          <w:spacing w:val="-5"/>
          <w:sz w:val="21"/>
        </w:rPr>
        <w:t>验收合格后由甲乙双方签署货物验收单并加盖采购人公章，甲乙双方各执一份。</w:t>
      </w:r>
    </w:p>
    <w:p>
      <w:pPr>
        <w:pStyle w:val="62"/>
        <w:numPr>
          <w:ilvl w:val="0"/>
          <w:numId w:val="75"/>
        </w:numPr>
        <w:tabs>
          <w:tab w:val="left" w:pos="1044"/>
        </w:tabs>
        <w:spacing w:line="499" w:lineRule="auto"/>
        <w:ind w:left="412" w:right="412" w:firstLine="420"/>
        <w:jc w:val="both"/>
        <w:rPr>
          <w:sz w:val="21"/>
        </w:rPr>
      </w:pPr>
      <w:r>
        <w:rPr>
          <w:spacing w:val="-3"/>
          <w:sz w:val="21"/>
        </w:rPr>
        <w:t>甲方委托采购代理机构组织的验收项目，其验收时间以该项目验收方案确定的验收时间为准，验收结果以该项目验收报告结论为准。在验收过程中发现乙方有违约问题，可暂缓资金结算，待违约问题解决</w:t>
      </w:r>
      <w:r>
        <w:rPr>
          <w:spacing w:val="-5"/>
          <w:sz w:val="21"/>
        </w:rPr>
        <w:t>后，方可办理资金结算事宜。</w:t>
      </w:r>
    </w:p>
    <w:p>
      <w:pPr>
        <w:pStyle w:val="62"/>
        <w:numPr>
          <w:ilvl w:val="0"/>
          <w:numId w:val="75"/>
        </w:numPr>
        <w:tabs>
          <w:tab w:val="left" w:pos="1043"/>
          <w:tab w:val="left" w:pos="1044"/>
        </w:tabs>
        <w:spacing w:line="499" w:lineRule="auto"/>
        <w:ind w:left="412" w:right="415" w:firstLine="420"/>
        <w:rPr>
          <w:sz w:val="21"/>
        </w:rPr>
      </w:pPr>
      <w:r>
        <w:rPr>
          <w:spacing w:val="-3"/>
          <w:sz w:val="21"/>
        </w:rPr>
        <w:t xml:space="preserve">甲方对验收有异议的，在验收后五个工作日内以书面形式向乙方提出，乙方应自收到甲方书面异议 </w:t>
      </w:r>
      <w:r>
        <w:rPr>
          <w:w w:val="95"/>
          <w:sz w:val="21"/>
        </w:rPr>
        <w:t xml:space="preserve">  </w:t>
      </w:r>
      <w:r>
        <w:rPr>
          <w:sz w:val="21"/>
        </w:rPr>
        <w:t>后</w:t>
      </w:r>
      <w:r>
        <w:rPr>
          <w:sz w:val="21"/>
          <w:u w:val="single"/>
        </w:rPr>
        <w:t xml:space="preserve"> </w:t>
      </w:r>
      <w:r>
        <w:rPr>
          <w:sz w:val="21"/>
          <w:u w:val="single"/>
        </w:rPr>
        <w:tab/>
      </w:r>
      <w:r>
        <w:rPr>
          <w:sz w:val="21"/>
        </w:rPr>
        <w:t>日内及时予以解决。</w:t>
      </w:r>
    </w:p>
    <w:p>
      <w:pPr>
        <w:tabs>
          <w:tab w:val="left" w:pos="1257"/>
        </w:tabs>
        <w:ind w:left="412"/>
        <w:rPr>
          <w:b/>
          <w:sz w:val="21"/>
        </w:rPr>
      </w:pPr>
      <w:r>
        <w:rPr>
          <w:b/>
          <w:sz w:val="21"/>
        </w:rPr>
        <w:t>第六条</w:t>
      </w:r>
      <w:r>
        <w:rPr>
          <w:b/>
          <w:sz w:val="21"/>
        </w:rPr>
        <w:tab/>
      </w:r>
      <w:r>
        <w:rPr>
          <w:b/>
          <w:sz w:val="21"/>
        </w:rPr>
        <w:t>安装和培训</w:t>
      </w:r>
    </w:p>
    <w:p>
      <w:pPr>
        <w:rPr>
          <w:sz w:val="21"/>
        </w:rPr>
        <w:sectPr>
          <w:pgSz w:w="11910" w:h="16840"/>
          <w:pgMar w:top="1300" w:right="720" w:bottom="1380" w:left="720" w:header="0" w:footer="1120" w:gutter="0"/>
          <w:pgNumType w:fmt="decimal"/>
          <w:cols w:space="720" w:num="1"/>
        </w:sectPr>
      </w:pPr>
    </w:p>
    <w:p>
      <w:pPr>
        <w:pStyle w:val="62"/>
        <w:numPr>
          <w:ilvl w:val="0"/>
          <w:numId w:val="76"/>
        </w:numPr>
        <w:tabs>
          <w:tab w:val="left" w:pos="1044"/>
        </w:tabs>
        <w:spacing w:before="54"/>
        <w:rPr>
          <w:sz w:val="21"/>
        </w:rPr>
      </w:pPr>
      <w:r>
        <w:rPr>
          <w:sz w:val="21"/>
        </w:rPr>
        <w:t>甲方应提供必要安装条件（如场地、电源、水源等）。</w:t>
      </w:r>
    </w:p>
    <w:p>
      <w:pPr>
        <w:pStyle w:val="19"/>
        <w:spacing w:before="8"/>
        <w:rPr>
          <w:sz w:val="22"/>
        </w:rPr>
      </w:pPr>
    </w:p>
    <w:p>
      <w:pPr>
        <w:pStyle w:val="62"/>
        <w:numPr>
          <w:ilvl w:val="0"/>
          <w:numId w:val="76"/>
        </w:numPr>
        <w:tabs>
          <w:tab w:val="left" w:pos="1044"/>
          <w:tab w:val="left" w:pos="8918"/>
        </w:tabs>
        <w:spacing w:before="1"/>
        <w:rPr>
          <w:sz w:val="21"/>
        </w:rPr>
      </w:pPr>
      <w:r>
        <w:rPr>
          <w:sz w:val="21"/>
        </w:rPr>
        <w:t>乙方投标文件承诺负责甲方有关人员的培训。培训时间、地点：</w:t>
      </w:r>
      <w:r>
        <w:rPr>
          <w:sz w:val="21"/>
          <w:u w:val="single"/>
        </w:rPr>
        <w:t xml:space="preserve"> </w:t>
      </w:r>
      <w:r>
        <w:rPr>
          <w:sz w:val="21"/>
          <w:u w:val="single"/>
        </w:rPr>
        <w:tab/>
      </w:r>
      <w:r>
        <w:rPr>
          <w:sz w:val="21"/>
          <w:u w:val="single"/>
        </w:rPr>
        <w:t>。</w:t>
      </w:r>
    </w:p>
    <w:p>
      <w:pPr>
        <w:pStyle w:val="19"/>
        <w:spacing w:before="2"/>
        <w:rPr>
          <w:sz w:val="17"/>
        </w:rPr>
      </w:pPr>
    </w:p>
    <w:p>
      <w:pPr>
        <w:tabs>
          <w:tab w:val="left" w:pos="1257"/>
        </w:tabs>
        <w:spacing w:before="70"/>
        <w:ind w:left="412"/>
        <w:rPr>
          <w:b/>
          <w:sz w:val="21"/>
        </w:rPr>
      </w:pPr>
      <w:r>
        <w:rPr>
          <w:b/>
          <w:sz w:val="21"/>
        </w:rPr>
        <w:t>第七条</w:t>
      </w:r>
      <w:r>
        <w:rPr>
          <w:b/>
          <w:sz w:val="21"/>
        </w:rPr>
        <w:tab/>
      </w:r>
      <w:r>
        <w:rPr>
          <w:b/>
          <w:sz w:val="21"/>
        </w:rPr>
        <w:t>售后服务、质保期</w:t>
      </w:r>
    </w:p>
    <w:p>
      <w:pPr>
        <w:pStyle w:val="19"/>
        <w:spacing w:before="10"/>
        <w:rPr>
          <w:b/>
          <w:sz w:val="22"/>
        </w:rPr>
      </w:pPr>
    </w:p>
    <w:p>
      <w:pPr>
        <w:pStyle w:val="62"/>
        <w:numPr>
          <w:ilvl w:val="0"/>
          <w:numId w:val="77"/>
        </w:numPr>
        <w:tabs>
          <w:tab w:val="left" w:pos="1044"/>
        </w:tabs>
        <w:spacing w:before="1"/>
        <w:rPr>
          <w:sz w:val="21"/>
        </w:rPr>
      </w:pPr>
      <w:r>
        <w:rPr>
          <w:spacing w:val="-4"/>
          <w:sz w:val="21"/>
        </w:rPr>
        <w:t>乙方应按照国家有关法律法规和“三包”规定以及本合同所附的《服务承诺》，为甲方提供售后服</w:t>
      </w:r>
    </w:p>
    <w:p>
      <w:pPr>
        <w:pStyle w:val="19"/>
        <w:spacing w:before="8"/>
        <w:rPr>
          <w:sz w:val="22"/>
        </w:rPr>
      </w:pPr>
    </w:p>
    <w:p>
      <w:pPr>
        <w:pStyle w:val="19"/>
        <w:ind w:left="412"/>
      </w:pPr>
      <w:r>
        <w:t>务。</w:t>
      </w:r>
    </w:p>
    <w:p>
      <w:pPr>
        <w:pStyle w:val="19"/>
        <w:spacing w:before="8"/>
        <w:rPr>
          <w:sz w:val="22"/>
        </w:rPr>
      </w:pPr>
    </w:p>
    <w:p>
      <w:pPr>
        <w:pStyle w:val="62"/>
        <w:numPr>
          <w:ilvl w:val="0"/>
          <w:numId w:val="77"/>
        </w:numPr>
        <w:tabs>
          <w:tab w:val="left" w:pos="1044"/>
          <w:tab w:val="left" w:pos="6712"/>
        </w:tabs>
        <w:rPr>
          <w:sz w:val="21"/>
        </w:rPr>
      </w:pPr>
      <w:r>
        <w:rPr>
          <w:sz w:val="21"/>
        </w:rPr>
        <w:t>货物质保期：</w:t>
      </w:r>
      <w:r>
        <w:rPr>
          <w:sz w:val="21"/>
          <w:u w:val="single"/>
        </w:rPr>
        <w:t xml:space="preserve"> </w:t>
      </w:r>
      <w:r>
        <w:rPr>
          <w:sz w:val="21"/>
          <w:u w:val="single"/>
        </w:rPr>
        <w:tab/>
      </w:r>
      <w:r>
        <w:rPr>
          <w:sz w:val="21"/>
          <w:u w:val="single"/>
        </w:rPr>
        <w:t>。</w:t>
      </w:r>
    </w:p>
    <w:p>
      <w:pPr>
        <w:pStyle w:val="19"/>
        <w:spacing w:before="5"/>
        <w:rPr>
          <w:sz w:val="17"/>
        </w:rPr>
      </w:pPr>
    </w:p>
    <w:p>
      <w:pPr>
        <w:pStyle w:val="62"/>
        <w:numPr>
          <w:ilvl w:val="0"/>
          <w:numId w:val="77"/>
        </w:numPr>
        <w:tabs>
          <w:tab w:val="left" w:pos="1044"/>
          <w:tab w:val="left" w:pos="1257"/>
        </w:tabs>
        <w:spacing w:before="70" w:line="499" w:lineRule="auto"/>
        <w:ind w:left="412" w:right="1651" w:firstLine="420"/>
        <w:rPr>
          <w:b/>
          <w:sz w:val="21"/>
        </w:rPr>
      </w:pPr>
      <w:r>
        <w:rPr>
          <w:spacing w:val="-4"/>
          <w:sz w:val="21"/>
        </w:rPr>
        <w:t xml:space="preserve">乙方提供的服务承诺和售后服务及保修期责任等其它具体约定事项。（见合同附件） </w:t>
      </w:r>
      <w:r>
        <w:rPr>
          <w:w w:val="95"/>
          <w:sz w:val="21"/>
        </w:rPr>
        <w:t xml:space="preserve"> </w:t>
      </w:r>
    </w:p>
    <w:p>
      <w:pPr>
        <w:pStyle w:val="62"/>
        <w:numPr>
          <w:ilvl w:val="0"/>
          <w:numId w:val="0"/>
        </w:numPr>
        <w:tabs>
          <w:tab w:val="left" w:pos="1044"/>
          <w:tab w:val="left" w:pos="1257"/>
        </w:tabs>
        <w:spacing w:before="70" w:line="499" w:lineRule="auto"/>
        <w:ind w:left="832" w:leftChars="0" w:right="1651" w:rightChars="0"/>
        <w:rPr>
          <w:b/>
          <w:sz w:val="21"/>
        </w:rPr>
      </w:pPr>
      <w:r>
        <w:rPr>
          <w:b/>
          <w:w w:val="95"/>
          <w:sz w:val="21"/>
        </w:rPr>
        <w:t>第八条</w:t>
      </w:r>
      <w:r>
        <w:rPr>
          <w:b/>
          <w:w w:val="95"/>
          <w:sz w:val="21"/>
        </w:rPr>
        <w:tab/>
      </w:r>
      <w:r>
        <w:rPr>
          <w:b/>
          <w:sz w:val="21"/>
        </w:rPr>
        <w:t>付款方式</w:t>
      </w:r>
    </w:p>
    <w:p>
      <w:pPr>
        <w:pStyle w:val="62"/>
        <w:numPr>
          <w:ilvl w:val="0"/>
          <w:numId w:val="78"/>
        </w:numPr>
        <w:tabs>
          <w:tab w:val="left" w:pos="1044"/>
        </w:tabs>
        <w:spacing w:line="501" w:lineRule="auto"/>
        <w:ind w:right="412" w:firstLine="420"/>
        <w:rPr>
          <w:sz w:val="21"/>
        </w:rPr>
      </w:pPr>
      <w:r>
        <w:rPr>
          <w:spacing w:val="-2"/>
          <w:sz w:val="21"/>
        </w:rPr>
        <w:t>当采购数量与实际使用数量不一致时，乙方应根据实际使用量供货</w:t>
      </w:r>
      <w:r>
        <w:rPr>
          <w:spacing w:val="-2"/>
          <w:w w:val="95"/>
          <w:sz w:val="21"/>
        </w:rPr>
        <w:t>，</w:t>
      </w:r>
      <w:r>
        <w:rPr>
          <w:spacing w:val="-2"/>
          <w:sz w:val="21"/>
        </w:rPr>
        <w:t>合同的最终结算金额按实际使用</w:t>
      </w:r>
      <w:r>
        <w:rPr>
          <w:spacing w:val="-5"/>
          <w:sz w:val="21"/>
        </w:rPr>
        <w:t xml:space="preserve">量乘以成交单价进行计算，但不得超出合同价的 </w:t>
      </w:r>
      <w:r>
        <w:rPr>
          <w:sz w:val="21"/>
        </w:rPr>
        <w:t>10%。</w:t>
      </w:r>
    </w:p>
    <w:p>
      <w:pPr>
        <w:pStyle w:val="62"/>
        <w:numPr>
          <w:ilvl w:val="0"/>
          <w:numId w:val="78"/>
        </w:numPr>
        <w:tabs>
          <w:tab w:val="left" w:pos="1044"/>
        </w:tabs>
        <w:spacing w:line="265" w:lineRule="exact"/>
        <w:ind w:left="1044"/>
        <w:rPr>
          <w:sz w:val="21"/>
        </w:rPr>
      </w:pPr>
      <w:r>
        <w:rPr>
          <w:sz w:val="21"/>
        </w:rPr>
        <w:t>付款方式：</w:t>
      </w:r>
    </w:p>
    <w:p>
      <w:pPr>
        <w:pStyle w:val="19"/>
        <w:spacing w:before="7"/>
        <w:rPr>
          <w:sz w:val="22"/>
        </w:rPr>
      </w:pPr>
    </w:p>
    <w:p>
      <w:pPr>
        <w:pStyle w:val="62"/>
        <w:numPr>
          <w:ilvl w:val="1"/>
          <w:numId w:val="78"/>
        </w:numPr>
        <w:tabs>
          <w:tab w:val="left" w:pos="1253"/>
        </w:tabs>
        <w:spacing w:line="501" w:lineRule="auto"/>
        <w:ind w:right="412" w:firstLine="420"/>
        <w:rPr>
          <w:sz w:val="21"/>
        </w:rPr>
      </w:pPr>
      <w:r>
        <w:rPr>
          <w:spacing w:val="-2"/>
          <w:sz w:val="21"/>
        </w:rPr>
        <w:t xml:space="preserve">第一次付款：合同签订生效后，中标人凭付款申请书、中标通知书、合同金额 </w:t>
      </w:r>
      <w:r>
        <w:rPr>
          <w:sz w:val="21"/>
        </w:rPr>
        <w:t xml:space="preserve">30%的正式发票， </w:t>
      </w:r>
      <w:r>
        <w:rPr>
          <w:spacing w:val="-6"/>
          <w:sz w:val="21"/>
        </w:rPr>
        <w:t xml:space="preserve">向采购人申请支付 </w:t>
      </w:r>
      <w:r>
        <w:rPr>
          <w:sz w:val="21"/>
        </w:rPr>
        <w:t>30%的合同款。</w:t>
      </w:r>
    </w:p>
    <w:p>
      <w:pPr>
        <w:pStyle w:val="62"/>
        <w:numPr>
          <w:ilvl w:val="1"/>
          <w:numId w:val="78"/>
        </w:numPr>
        <w:tabs>
          <w:tab w:val="left" w:pos="1253"/>
        </w:tabs>
        <w:spacing w:line="499" w:lineRule="auto"/>
        <w:ind w:right="411" w:firstLine="420"/>
        <w:rPr>
          <w:sz w:val="21"/>
        </w:rPr>
      </w:pPr>
      <w:r>
        <w:rPr>
          <w:spacing w:val="-1"/>
          <w:sz w:val="21"/>
        </w:rPr>
        <w:t>第二次付款：设备全部到货并经</w:t>
      </w:r>
      <w:r>
        <w:rPr>
          <w:rFonts w:hint="eastAsia"/>
          <w:spacing w:val="-1"/>
          <w:sz w:val="21"/>
          <w:lang w:val="en-US"/>
        </w:rPr>
        <w:t>大新</w:t>
      </w:r>
      <w:r>
        <w:rPr>
          <w:spacing w:val="-1"/>
          <w:sz w:val="21"/>
        </w:rPr>
        <w:t>县广电局抽验合格后，中标人凭付款申请书、合同金额</w:t>
      </w:r>
      <w:r>
        <w:rPr>
          <w:sz w:val="21"/>
        </w:rPr>
        <w:t>50% 的正式发票、设备签收单（复印件，格式自拟）</w:t>
      </w:r>
      <w:r>
        <w:rPr>
          <w:spacing w:val="-4"/>
          <w:sz w:val="21"/>
        </w:rPr>
        <w:t xml:space="preserve">、抽验合格证明向采购人申请支付 </w:t>
      </w:r>
      <w:r>
        <w:rPr>
          <w:sz w:val="21"/>
        </w:rPr>
        <w:t>50%的合同款。</w:t>
      </w:r>
    </w:p>
    <w:p>
      <w:pPr>
        <w:pStyle w:val="19"/>
        <w:spacing w:line="499" w:lineRule="auto"/>
        <w:ind w:left="412" w:right="308" w:firstLine="420"/>
      </w:pPr>
      <w:r>
        <w:t>3.2</w:t>
      </w:r>
      <w:r>
        <w:rPr>
          <w:spacing w:val="-12"/>
        </w:rPr>
        <w:t xml:space="preserve"> 第三次付款：设备安装调试完毕后，经采购人验收合格并签署合同验收书，中标人凭付款申请书、</w:t>
      </w:r>
      <w:r>
        <w:rPr>
          <w:spacing w:val="-20"/>
        </w:rPr>
        <w:t xml:space="preserve">合同金额 </w:t>
      </w:r>
      <w:r>
        <w:t>20</w:t>
      </w:r>
      <w:r>
        <w:rPr>
          <w:spacing w:val="-3"/>
        </w:rPr>
        <w:t xml:space="preserve">%的正式发票、合同验收书向采购人申请支付 </w:t>
      </w:r>
      <w:r>
        <w:t>20%的合同款。</w:t>
      </w:r>
    </w:p>
    <w:p>
      <w:pPr>
        <w:tabs>
          <w:tab w:val="left" w:pos="1257"/>
        </w:tabs>
        <w:spacing w:line="268" w:lineRule="exact"/>
        <w:ind w:left="412"/>
        <w:rPr>
          <w:b/>
          <w:sz w:val="21"/>
        </w:rPr>
      </w:pPr>
      <w:r>
        <w:rPr>
          <w:b/>
          <w:sz w:val="21"/>
        </w:rPr>
        <w:t>第九条</w:t>
      </w:r>
      <w:r>
        <w:rPr>
          <w:b/>
          <w:sz w:val="21"/>
        </w:rPr>
        <w:tab/>
      </w:r>
      <w:r>
        <w:rPr>
          <w:b/>
          <w:sz w:val="21"/>
        </w:rPr>
        <w:t>履约保证金</w:t>
      </w:r>
    </w:p>
    <w:p>
      <w:pPr>
        <w:pStyle w:val="19"/>
        <w:spacing w:before="12"/>
        <w:rPr>
          <w:b/>
          <w:sz w:val="20"/>
        </w:rPr>
      </w:pPr>
    </w:p>
    <w:p>
      <w:pPr>
        <w:tabs>
          <w:tab w:val="left" w:pos="1257"/>
        </w:tabs>
        <w:spacing w:line="518" w:lineRule="auto"/>
        <w:ind w:left="412" w:right="7424" w:firstLine="424"/>
        <w:rPr>
          <w:b/>
          <w:sz w:val="21"/>
        </w:rPr>
      </w:pPr>
      <w:r>
        <w:rPr>
          <w:sz w:val="21"/>
        </w:rPr>
        <w:t>履约保证金金额：0元</w:t>
      </w:r>
      <w:r>
        <w:rPr>
          <w:spacing w:val="-13"/>
          <w:sz w:val="21"/>
        </w:rPr>
        <w:t>。</w:t>
      </w:r>
      <w:r>
        <w:rPr>
          <w:b/>
          <w:sz w:val="21"/>
        </w:rPr>
        <w:t>第十条</w:t>
      </w:r>
      <w:r>
        <w:rPr>
          <w:b/>
          <w:sz w:val="21"/>
        </w:rPr>
        <w:tab/>
      </w:r>
      <w:r>
        <w:rPr>
          <w:b/>
          <w:sz w:val="21"/>
        </w:rPr>
        <w:t>税费</w:t>
      </w:r>
    </w:p>
    <w:p>
      <w:pPr>
        <w:pStyle w:val="19"/>
        <w:spacing w:line="247" w:lineRule="exact"/>
        <w:ind w:left="866"/>
      </w:pPr>
      <w:r>
        <w:t>本合同执行中相关的一切税费均由乙方负担，合同另有约定的除外。</w:t>
      </w:r>
    </w:p>
    <w:p>
      <w:pPr>
        <w:pStyle w:val="19"/>
        <w:spacing w:before="11"/>
        <w:rPr>
          <w:sz w:val="22"/>
        </w:rPr>
      </w:pPr>
    </w:p>
    <w:p>
      <w:pPr>
        <w:tabs>
          <w:tab w:val="left" w:pos="1468"/>
        </w:tabs>
        <w:ind w:left="412"/>
        <w:rPr>
          <w:b/>
          <w:sz w:val="21"/>
        </w:rPr>
      </w:pPr>
      <w:r>
        <w:rPr>
          <w:b/>
          <w:sz w:val="21"/>
        </w:rPr>
        <w:t>第十一条</w:t>
      </w:r>
      <w:r>
        <w:rPr>
          <w:b/>
          <w:sz w:val="21"/>
        </w:rPr>
        <w:tab/>
      </w:r>
      <w:r>
        <w:rPr>
          <w:b/>
          <w:sz w:val="21"/>
        </w:rPr>
        <w:t>质量保证及售后服务</w:t>
      </w:r>
    </w:p>
    <w:p>
      <w:pPr>
        <w:pStyle w:val="19"/>
        <w:spacing w:before="8"/>
        <w:rPr>
          <w:b/>
          <w:sz w:val="22"/>
        </w:rPr>
      </w:pPr>
    </w:p>
    <w:p>
      <w:pPr>
        <w:pStyle w:val="62"/>
        <w:numPr>
          <w:ilvl w:val="0"/>
          <w:numId w:val="79"/>
        </w:numPr>
        <w:tabs>
          <w:tab w:val="left" w:pos="1044"/>
        </w:tabs>
        <w:spacing w:line="499" w:lineRule="auto"/>
        <w:ind w:right="410" w:firstLine="420"/>
        <w:rPr>
          <w:sz w:val="21"/>
        </w:rPr>
      </w:pPr>
      <w:r>
        <w:rPr>
          <w:rFonts w:ascii="宋体" w:hAnsi="宋体" w:eastAsia="宋体" w:cs="宋体"/>
          <w:spacing w:val="-2"/>
          <w:sz w:val="21"/>
          <w:szCs w:val="22"/>
          <w:lang w:val="zh-CN" w:eastAsia="zh-CN" w:bidi="zh-CN"/>
        </w:rPr>
        <w:t>乙方应按招标文件规定的产品名称、商标品牌、生产厂家、规格型号、技术参数、质量标准向甲方提供未经使用的全新产品。不符合要求的，根据实际情况，经双方协商，可按以下办法处理</w:t>
      </w:r>
      <w:r>
        <w:rPr>
          <w:spacing w:val="-3"/>
          <w:sz w:val="21"/>
        </w:rPr>
        <w:t>：</w:t>
      </w:r>
    </w:p>
    <w:p>
      <w:pPr>
        <w:pStyle w:val="19"/>
        <w:spacing w:before="2"/>
        <w:ind w:left="832"/>
      </w:pPr>
      <w:r>
        <w:t>⑴更换：由乙方承担所发生的全部费用。</w:t>
      </w:r>
    </w:p>
    <w:p>
      <w:pPr>
        <w:sectPr>
          <w:pgSz w:w="11910" w:h="16840"/>
          <w:pgMar w:top="1300" w:right="720" w:bottom="1380" w:left="720" w:header="0" w:footer="1120" w:gutter="0"/>
          <w:pgNumType w:fmt="decimal"/>
          <w:cols w:space="720" w:num="1"/>
        </w:sectPr>
      </w:pPr>
    </w:p>
    <w:p>
      <w:pPr>
        <w:pStyle w:val="19"/>
        <w:spacing w:before="54"/>
        <w:ind w:left="832"/>
      </w:pPr>
      <w:r>
        <w:t>⑵</w:t>
      </w:r>
      <w:r>
        <w:rPr>
          <w:rFonts w:ascii="宋体" w:hAnsi="宋体" w:eastAsia="宋体" w:cs="宋体"/>
          <w:spacing w:val="-2"/>
          <w:sz w:val="21"/>
          <w:szCs w:val="22"/>
          <w:lang w:val="zh-CN" w:eastAsia="zh-CN" w:bidi="zh-CN"/>
        </w:rPr>
        <w:t>贬值处理：</w:t>
      </w:r>
      <w:r>
        <w:t>由甲乙双方合议定价。</w:t>
      </w:r>
    </w:p>
    <w:p>
      <w:pPr>
        <w:pStyle w:val="19"/>
        <w:spacing w:before="8"/>
        <w:rPr>
          <w:sz w:val="22"/>
        </w:rPr>
      </w:pPr>
    </w:p>
    <w:p>
      <w:pPr>
        <w:pStyle w:val="19"/>
        <w:spacing w:before="1" w:line="499" w:lineRule="auto"/>
        <w:ind w:left="412" w:right="602" w:firstLine="420"/>
        <w:rPr>
          <w:rFonts w:ascii="宋体" w:hAnsi="宋体" w:eastAsia="宋体" w:cs="宋体"/>
          <w:spacing w:val="-2"/>
          <w:sz w:val="21"/>
          <w:szCs w:val="22"/>
          <w:lang w:val="zh-CN" w:eastAsia="zh-CN" w:bidi="zh-CN"/>
        </w:rPr>
      </w:pPr>
      <w:r>
        <w:rPr>
          <w:w w:val="95"/>
        </w:rPr>
        <w:t>⑶</w:t>
      </w:r>
      <w:r>
        <w:rPr>
          <w:rFonts w:ascii="宋体" w:hAnsi="宋体" w:eastAsia="宋体" w:cs="宋体"/>
          <w:spacing w:val="-2"/>
          <w:sz w:val="21"/>
          <w:szCs w:val="22"/>
          <w:lang w:val="zh-CN" w:eastAsia="zh-CN" w:bidi="zh-CN"/>
        </w:rPr>
        <w:t>退货处理：乙方应退还甲方支付的合同款，同时应承担该货物的直接费用（运输、保险、检验、   货款利息及银行手续费等）。</w:t>
      </w:r>
    </w:p>
    <w:p>
      <w:pPr>
        <w:pStyle w:val="62"/>
        <w:numPr>
          <w:ilvl w:val="0"/>
          <w:numId w:val="79"/>
        </w:numPr>
        <w:tabs>
          <w:tab w:val="left" w:pos="1044"/>
        </w:tabs>
        <w:spacing w:before="1"/>
        <w:ind w:left="1044"/>
        <w:rPr>
          <w:sz w:val="21"/>
        </w:rPr>
      </w:pPr>
      <w:r>
        <w:rPr>
          <w:spacing w:val="-2"/>
          <w:sz w:val="21"/>
        </w:rPr>
        <w:t>如在使用过程中发生质量问题，乙方在接到甲方通知后到达甲方现场处理的时间</w:t>
      </w:r>
      <w:r>
        <w:rPr>
          <w:sz w:val="21"/>
        </w:rPr>
        <w:t>（</w:t>
      </w:r>
      <w:r>
        <w:rPr>
          <w:sz w:val="21"/>
          <w:u w:val="single"/>
        </w:rPr>
        <w:t>按投标文件承诺</w:t>
      </w:r>
    </w:p>
    <w:p>
      <w:pPr>
        <w:pStyle w:val="19"/>
        <w:spacing w:before="3"/>
        <w:rPr>
          <w:sz w:val="17"/>
        </w:rPr>
      </w:pPr>
    </w:p>
    <w:p>
      <w:pPr>
        <w:pStyle w:val="19"/>
        <w:spacing w:before="69"/>
        <w:ind w:left="412"/>
      </w:pPr>
      <w:r>
        <w:rPr>
          <w:u w:val="single"/>
        </w:rPr>
        <w:t>的数据填写</w:t>
      </w:r>
      <w:r>
        <w:t>）小时内。</w:t>
      </w:r>
    </w:p>
    <w:p>
      <w:pPr>
        <w:pStyle w:val="19"/>
        <w:spacing w:before="8"/>
        <w:rPr>
          <w:sz w:val="22"/>
        </w:rPr>
      </w:pPr>
    </w:p>
    <w:p>
      <w:pPr>
        <w:pStyle w:val="62"/>
        <w:numPr>
          <w:ilvl w:val="0"/>
          <w:numId w:val="79"/>
        </w:numPr>
        <w:tabs>
          <w:tab w:val="left" w:pos="1044"/>
        </w:tabs>
        <w:spacing w:before="1"/>
        <w:ind w:left="1044"/>
        <w:rPr>
          <w:sz w:val="21"/>
        </w:rPr>
      </w:pPr>
      <w:r>
        <w:rPr>
          <w:sz w:val="21"/>
        </w:rPr>
        <w:t>在质保期内，乙方应对货物出现的质量及安全问题负责处理解决并承担一切费用。</w:t>
      </w:r>
    </w:p>
    <w:p>
      <w:pPr>
        <w:pStyle w:val="19"/>
        <w:spacing w:before="10"/>
        <w:rPr>
          <w:sz w:val="22"/>
        </w:rPr>
      </w:pPr>
    </w:p>
    <w:p>
      <w:pPr>
        <w:pStyle w:val="62"/>
        <w:numPr>
          <w:ilvl w:val="0"/>
          <w:numId w:val="79"/>
        </w:numPr>
        <w:tabs>
          <w:tab w:val="left" w:pos="1044"/>
          <w:tab w:val="left" w:pos="3484"/>
        </w:tabs>
        <w:spacing w:line="499" w:lineRule="auto"/>
        <w:ind w:right="415" w:firstLine="420"/>
        <w:rPr>
          <w:sz w:val="21"/>
        </w:rPr>
      </w:pPr>
      <w:r>
        <w:rPr>
          <w:sz w:val="21"/>
        </w:rPr>
        <w:t>上</w:t>
      </w:r>
      <w:r>
        <w:rPr>
          <w:spacing w:val="4"/>
          <w:sz w:val="21"/>
        </w:rPr>
        <w:t>述</w:t>
      </w:r>
      <w:r>
        <w:rPr>
          <w:sz w:val="21"/>
        </w:rPr>
        <w:t>的货物</w:t>
      </w:r>
      <w:r>
        <w:rPr>
          <w:spacing w:val="4"/>
          <w:sz w:val="21"/>
        </w:rPr>
        <w:t>质</w:t>
      </w:r>
      <w:r>
        <w:rPr>
          <w:sz w:val="21"/>
        </w:rPr>
        <w:t>保期</w:t>
      </w:r>
      <w:r>
        <w:rPr>
          <w:spacing w:val="4"/>
          <w:sz w:val="21"/>
        </w:rPr>
        <w:t>为</w:t>
      </w:r>
      <w:r>
        <w:rPr>
          <w:spacing w:val="4"/>
          <w:sz w:val="21"/>
          <w:u w:val="single"/>
        </w:rPr>
        <w:t xml:space="preserve"> </w:t>
      </w:r>
      <w:r>
        <w:rPr>
          <w:spacing w:val="4"/>
          <w:sz w:val="21"/>
          <w:u w:val="single"/>
        </w:rPr>
        <w:tab/>
      </w:r>
      <w:r>
        <w:rPr>
          <w:sz w:val="21"/>
        </w:rPr>
        <w:t>年</w:t>
      </w:r>
      <w:r>
        <w:rPr>
          <w:spacing w:val="4"/>
          <w:sz w:val="21"/>
        </w:rPr>
        <w:t>，</w:t>
      </w:r>
      <w:r>
        <w:rPr>
          <w:sz w:val="21"/>
        </w:rPr>
        <w:t>因人为</w:t>
      </w:r>
      <w:r>
        <w:rPr>
          <w:spacing w:val="4"/>
          <w:sz w:val="21"/>
        </w:rPr>
        <w:t>因</w:t>
      </w:r>
      <w:r>
        <w:rPr>
          <w:sz w:val="21"/>
        </w:rPr>
        <w:t>素出现</w:t>
      </w:r>
      <w:r>
        <w:rPr>
          <w:spacing w:val="4"/>
          <w:sz w:val="21"/>
        </w:rPr>
        <w:t>的</w:t>
      </w:r>
      <w:r>
        <w:rPr>
          <w:sz w:val="21"/>
        </w:rPr>
        <w:t>故障不</w:t>
      </w:r>
      <w:r>
        <w:rPr>
          <w:spacing w:val="4"/>
          <w:sz w:val="21"/>
        </w:rPr>
        <w:t>在</w:t>
      </w:r>
      <w:r>
        <w:rPr>
          <w:sz w:val="21"/>
        </w:rPr>
        <w:t>免费</w:t>
      </w:r>
      <w:r>
        <w:rPr>
          <w:spacing w:val="4"/>
          <w:sz w:val="21"/>
        </w:rPr>
        <w:t>保</w:t>
      </w:r>
      <w:r>
        <w:rPr>
          <w:sz w:val="21"/>
        </w:rPr>
        <w:t>修范围</w:t>
      </w:r>
      <w:r>
        <w:rPr>
          <w:spacing w:val="4"/>
          <w:sz w:val="21"/>
        </w:rPr>
        <w:t>内</w:t>
      </w:r>
      <w:r>
        <w:rPr>
          <w:sz w:val="21"/>
        </w:rPr>
        <w:t>。超过</w:t>
      </w:r>
      <w:r>
        <w:rPr>
          <w:spacing w:val="4"/>
          <w:sz w:val="21"/>
        </w:rPr>
        <w:t>保</w:t>
      </w:r>
      <w:r>
        <w:rPr>
          <w:sz w:val="21"/>
        </w:rPr>
        <w:t>修期</w:t>
      </w:r>
      <w:r>
        <w:rPr>
          <w:spacing w:val="4"/>
          <w:sz w:val="21"/>
        </w:rPr>
        <w:t>的</w:t>
      </w:r>
      <w:r>
        <w:rPr>
          <w:sz w:val="21"/>
        </w:rPr>
        <w:t>机器设备，终生维修，维修时只收部件成本费。</w:t>
      </w:r>
    </w:p>
    <w:p>
      <w:pPr>
        <w:tabs>
          <w:tab w:val="left" w:pos="1468"/>
        </w:tabs>
        <w:spacing w:line="268" w:lineRule="exact"/>
        <w:ind w:left="412"/>
        <w:rPr>
          <w:b/>
          <w:sz w:val="21"/>
        </w:rPr>
      </w:pPr>
      <w:r>
        <w:rPr>
          <w:b/>
          <w:sz w:val="21"/>
        </w:rPr>
        <w:t>第十二条</w:t>
      </w:r>
      <w:r>
        <w:rPr>
          <w:b/>
          <w:sz w:val="21"/>
        </w:rPr>
        <w:tab/>
      </w:r>
      <w:r>
        <w:rPr>
          <w:b/>
          <w:sz w:val="21"/>
        </w:rPr>
        <w:t>调试和验收</w:t>
      </w:r>
    </w:p>
    <w:p>
      <w:pPr>
        <w:pStyle w:val="19"/>
        <w:spacing w:before="11"/>
        <w:rPr>
          <w:b/>
          <w:sz w:val="22"/>
        </w:rPr>
      </w:pPr>
    </w:p>
    <w:p>
      <w:pPr>
        <w:pStyle w:val="62"/>
        <w:numPr>
          <w:ilvl w:val="0"/>
          <w:numId w:val="80"/>
        </w:numPr>
        <w:tabs>
          <w:tab w:val="left" w:pos="1044"/>
        </w:tabs>
        <w:spacing w:line="499" w:lineRule="auto"/>
        <w:ind w:right="412" w:firstLine="420"/>
        <w:rPr>
          <w:sz w:val="22"/>
        </w:rPr>
      </w:pPr>
      <w:r>
        <w:rPr>
          <w:rFonts w:ascii="宋体" w:hAnsi="宋体" w:eastAsia="宋体" w:cs="宋体"/>
          <w:spacing w:val="-2"/>
          <w:sz w:val="21"/>
          <w:szCs w:val="22"/>
          <w:lang w:val="zh-CN" w:eastAsia="zh-CN" w:bidi="zh-CN"/>
        </w:rPr>
        <w:t>甲方对乙方提交的货物依据招标文件上的技术规格要求和国家有关质量标准进行现场初步验收</w:t>
      </w:r>
      <w:r>
        <w:rPr>
          <w:sz w:val="21"/>
        </w:rPr>
        <w:t>，外观、说明书符合招标文件技术要求的，给予签收，初步验收不合格的不予签收。货到后，甲方应当在到货（安装、调试完）</w:t>
      </w:r>
      <w:r>
        <w:t>后七个工作日内进行验收。</w:t>
      </w:r>
    </w:p>
    <w:p>
      <w:pPr>
        <w:pStyle w:val="62"/>
        <w:numPr>
          <w:ilvl w:val="0"/>
          <w:numId w:val="80"/>
        </w:numPr>
        <w:tabs>
          <w:tab w:val="left" w:pos="1044"/>
        </w:tabs>
        <w:spacing w:before="1" w:line="499" w:lineRule="auto"/>
        <w:ind w:right="412" w:firstLine="420"/>
        <w:rPr>
          <w:sz w:val="21"/>
        </w:rPr>
      </w:pPr>
      <w:r>
        <w:rPr>
          <w:rFonts w:ascii="宋体" w:hAnsi="宋体" w:eastAsia="宋体" w:cs="宋体"/>
          <w:spacing w:val="-2"/>
          <w:sz w:val="21"/>
          <w:szCs w:val="22"/>
          <w:lang w:val="zh-CN" w:eastAsia="zh-CN" w:bidi="zh-CN"/>
        </w:rPr>
        <w:t>乙方交货前应对产品作出全面检查和对验收文件进行整理</w:t>
      </w:r>
      <w:r>
        <w:rPr>
          <w:spacing w:val="-2"/>
          <w:w w:val="95"/>
          <w:sz w:val="21"/>
        </w:rPr>
        <w:t>，</w:t>
      </w:r>
      <w:r>
        <w:rPr>
          <w:rFonts w:ascii="宋体" w:hAnsi="宋体" w:eastAsia="宋体" w:cs="宋体"/>
          <w:spacing w:val="-2"/>
          <w:sz w:val="21"/>
          <w:szCs w:val="22"/>
          <w:lang w:val="zh-CN" w:eastAsia="zh-CN" w:bidi="zh-CN"/>
        </w:rPr>
        <w:t>并列出清单，作为甲方收货验收和使用的技术条件依据，检验的结果应随货物交甲方</w:t>
      </w:r>
      <w:r>
        <w:rPr>
          <w:spacing w:val="-2"/>
          <w:sz w:val="21"/>
        </w:rPr>
        <w:t>。</w:t>
      </w:r>
    </w:p>
    <w:p>
      <w:pPr>
        <w:pStyle w:val="62"/>
        <w:numPr>
          <w:ilvl w:val="0"/>
          <w:numId w:val="80"/>
        </w:numPr>
        <w:tabs>
          <w:tab w:val="left" w:pos="1044"/>
        </w:tabs>
        <w:spacing w:line="501" w:lineRule="auto"/>
        <w:ind w:right="412" w:firstLine="420"/>
        <w:rPr>
          <w:sz w:val="21"/>
        </w:rPr>
      </w:pPr>
      <w:r>
        <w:rPr>
          <w:rFonts w:ascii="宋体" w:hAnsi="宋体" w:eastAsia="宋体" w:cs="宋体"/>
          <w:spacing w:val="-2"/>
          <w:sz w:val="21"/>
          <w:szCs w:val="22"/>
          <w:lang w:val="zh-CN" w:eastAsia="zh-CN" w:bidi="zh-CN"/>
        </w:rPr>
        <w:t>甲方对乙方提供的货物在使用前进行调试时</w:t>
      </w:r>
      <w:r>
        <w:rPr>
          <w:spacing w:val="-2"/>
          <w:w w:val="95"/>
          <w:sz w:val="21"/>
        </w:rPr>
        <w:t>，</w:t>
      </w:r>
      <w:r>
        <w:rPr>
          <w:rFonts w:ascii="宋体" w:hAnsi="宋体" w:eastAsia="宋体" w:cs="宋体"/>
          <w:spacing w:val="-2"/>
          <w:sz w:val="21"/>
          <w:szCs w:val="22"/>
          <w:lang w:val="zh-CN" w:eastAsia="zh-CN" w:bidi="zh-CN"/>
        </w:rPr>
        <w:t>乙方需负责安装并培训甲方的使用操作人员，并协助</w:t>
      </w:r>
      <w:r>
        <w:rPr>
          <w:spacing w:val="-2"/>
          <w:w w:val="95"/>
          <w:sz w:val="21"/>
        </w:rPr>
        <w:t xml:space="preserve">   </w:t>
      </w:r>
      <w:r>
        <w:rPr>
          <w:rFonts w:ascii="宋体" w:hAnsi="宋体" w:eastAsia="宋体" w:cs="宋体"/>
          <w:spacing w:val="-2"/>
          <w:sz w:val="21"/>
          <w:szCs w:val="22"/>
          <w:lang w:val="zh-CN" w:eastAsia="zh-CN" w:bidi="zh-CN"/>
        </w:rPr>
        <w:t>甲方一起调试，直到符合技术要求，甲方才做最终验收。</w:t>
      </w:r>
    </w:p>
    <w:p>
      <w:pPr>
        <w:pStyle w:val="62"/>
        <w:numPr>
          <w:ilvl w:val="0"/>
          <w:numId w:val="80"/>
        </w:numPr>
        <w:tabs>
          <w:tab w:val="left" w:pos="1044"/>
        </w:tabs>
        <w:spacing w:line="499" w:lineRule="auto"/>
        <w:ind w:right="412" w:firstLine="420"/>
        <w:rPr>
          <w:sz w:val="21"/>
        </w:rPr>
      </w:pPr>
      <w:r>
        <w:rPr>
          <w:rFonts w:ascii="宋体" w:hAnsi="宋体" w:eastAsia="宋体" w:cs="宋体"/>
          <w:spacing w:val="-2"/>
          <w:sz w:val="21"/>
          <w:szCs w:val="22"/>
          <w:lang w:val="zh-CN" w:eastAsia="zh-CN" w:bidi="zh-CN"/>
        </w:rPr>
        <w:t>对技术复杂的货物，甲方应请国家认可的专业检测机构参与初步验收及最终验收</w:t>
      </w:r>
      <w:r>
        <w:rPr>
          <w:spacing w:val="-3"/>
          <w:w w:val="95"/>
          <w:sz w:val="21"/>
        </w:rPr>
        <w:t xml:space="preserve">，并由其出具质量   </w:t>
      </w:r>
      <w:r>
        <w:rPr>
          <w:spacing w:val="-3"/>
          <w:sz w:val="21"/>
        </w:rPr>
        <w:t>检测报告。</w:t>
      </w:r>
    </w:p>
    <w:p>
      <w:pPr>
        <w:pStyle w:val="62"/>
        <w:numPr>
          <w:ilvl w:val="0"/>
          <w:numId w:val="80"/>
        </w:numPr>
        <w:tabs>
          <w:tab w:val="left" w:pos="1078"/>
          <w:tab w:val="left" w:pos="1468"/>
        </w:tabs>
        <w:spacing w:line="499" w:lineRule="auto"/>
        <w:ind w:right="568" w:firstLine="453"/>
        <w:rPr>
          <w:b/>
          <w:sz w:val="21"/>
        </w:rPr>
      </w:pPr>
      <w:r>
        <w:rPr>
          <w:rFonts w:ascii="宋体" w:hAnsi="宋体" w:eastAsia="宋体" w:cs="宋体"/>
          <w:spacing w:val="-2"/>
          <w:sz w:val="21"/>
          <w:szCs w:val="22"/>
          <w:lang w:val="zh-CN" w:eastAsia="zh-CN" w:bidi="zh-CN"/>
        </w:rPr>
        <w:t>验收时乙方必须在现场，验收完毕后作出验收结果报告；验收费用按招标文件约定承担方负责</w:t>
      </w:r>
      <w:r>
        <w:rPr>
          <w:w w:val="95"/>
          <w:sz w:val="21"/>
        </w:rPr>
        <w:t xml:space="preserve">。   </w:t>
      </w:r>
      <w:r>
        <w:rPr>
          <w:b/>
          <w:sz w:val="21"/>
        </w:rPr>
        <w:t>第十三条</w:t>
      </w:r>
      <w:r>
        <w:rPr>
          <w:b/>
          <w:sz w:val="21"/>
        </w:rPr>
        <w:tab/>
      </w:r>
      <w:r>
        <w:rPr>
          <w:b/>
          <w:sz w:val="21"/>
        </w:rPr>
        <w:t>货物包装、发运及运输</w:t>
      </w:r>
    </w:p>
    <w:p>
      <w:pPr>
        <w:pStyle w:val="62"/>
        <w:numPr>
          <w:ilvl w:val="0"/>
          <w:numId w:val="81"/>
        </w:numPr>
        <w:tabs>
          <w:tab w:val="left" w:pos="1044"/>
        </w:tabs>
        <w:spacing w:line="501" w:lineRule="auto"/>
        <w:ind w:right="412" w:firstLine="420"/>
        <w:rPr>
          <w:sz w:val="21"/>
        </w:rPr>
      </w:pPr>
      <w:r>
        <w:rPr>
          <w:rFonts w:ascii="宋体" w:hAnsi="宋体" w:eastAsia="宋体" w:cs="宋体"/>
          <w:spacing w:val="-2"/>
          <w:sz w:val="21"/>
          <w:szCs w:val="22"/>
          <w:lang w:val="zh-CN" w:eastAsia="zh-CN" w:bidi="zh-CN"/>
        </w:rPr>
        <w:t>乙方应在货物发运前对其进行满足运输距离、防潮、防震、防锈和防破损装卸等要求包装，以保证</w:t>
      </w:r>
      <w:r>
        <w:rPr>
          <w:spacing w:val="-4"/>
          <w:w w:val="95"/>
          <w:sz w:val="21"/>
        </w:rPr>
        <w:t xml:space="preserve">   </w:t>
      </w:r>
      <w:r>
        <w:rPr>
          <w:spacing w:val="-4"/>
          <w:sz w:val="21"/>
        </w:rPr>
        <w:t>货物安全运达甲方指定地点。</w:t>
      </w:r>
    </w:p>
    <w:p>
      <w:pPr>
        <w:pStyle w:val="62"/>
        <w:numPr>
          <w:ilvl w:val="0"/>
          <w:numId w:val="81"/>
        </w:numPr>
        <w:tabs>
          <w:tab w:val="left" w:pos="1150"/>
        </w:tabs>
        <w:spacing w:line="499" w:lineRule="auto"/>
        <w:ind w:right="415" w:firstLine="420"/>
        <w:rPr>
          <w:sz w:val="21"/>
        </w:rPr>
      </w:pPr>
      <w:r>
        <w:rPr>
          <w:sz w:val="21"/>
        </w:rPr>
        <w:t>使用说明书（货物属于进口产品的，供货时应同时附上中文使用说明书）、质量检验证明书、随配附件和工具以及清单一并附于货物内。</w:t>
      </w:r>
    </w:p>
    <w:p>
      <w:pPr>
        <w:pStyle w:val="62"/>
        <w:numPr>
          <w:ilvl w:val="0"/>
          <w:numId w:val="81"/>
        </w:numPr>
        <w:tabs>
          <w:tab w:val="left" w:pos="1044"/>
        </w:tabs>
        <w:ind w:left="1044"/>
        <w:rPr>
          <w:sz w:val="21"/>
        </w:rPr>
      </w:pPr>
      <w:r>
        <w:rPr>
          <w:sz w:val="21"/>
        </w:rPr>
        <w:t>乙方在货物发运手续办理完毕后二十四小时内或者货到甲方四十八小时前通知甲方，以准备接货。</w:t>
      </w:r>
    </w:p>
    <w:p>
      <w:pPr>
        <w:rPr>
          <w:sz w:val="21"/>
        </w:rPr>
        <w:sectPr>
          <w:pgSz w:w="11910" w:h="16840"/>
          <w:pgMar w:top="1300" w:right="720" w:bottom="1380" w:left="720" w:header="0" w:footer="1120" w:gutter="0"/>
          <w:pgNumType w:fmt="decimal"/>
          <w:cols w:space="720" w:num="1"/>
        </w:sectPr>
      </w:pPr>
    </w:p>
    <w:p>
      <w:pPr>
        <w:pStyle w:val="62"/>
        <w:numPr>
          <w:ilvl w:val="0"/>
          <w:numId w:val="81"/>
        </w:numPr>
        <w:tabs>
          <w:tab w:val="left" w:pos="1044"/>
        </w:tabs>
        <w:spacing w:before="54"/>
        <w:ind w:left="1044"/>
        <w:rPr>
          <w:sz w:val="21"/>
        </w:rPr>
      </w:pPr>
      <w:r>
        <w:rPr>
          <w:sz w:val="21"/>
        </w:rPr>
        <w:t>货物在交付甲方前发生的风险均由乙方负责。</w:t>
      </w:r>
    </w:p>
    <w:p>
      <w:pPr>
        <w:pStyle w:val="19"/>
        <w:spacing w:before="8"/>
        <w:rPr>
          <w:sz w:val="22"/>
        </w:rPr>
      </w:pPr>
    </w:p>
    <w:p>
      <w:pPr>
        <w:pStyle w:val="62"/>
        <w:numPr>
          <w:ilvl w:val="0"/>
          <w:numId w:val="81"/>
        </w:numPr>
        <w:tabs>
          <w:tab w:val="left" w:pos="1044"/>
          <w:tab w:val="left" w:pos="1468"/>
        </w:tabs>
        <w:spacing w:before="1" w:line="499" w:lineRule="auto"/>
        <w:ind w:right="998" w:firstLine="420"/>
        <w:rPr>
          <w:b/>
          <w:sz w:val="21"/>
        </w:rPr>
      </w:pPr>
      <w:r>
        <w:rPr>
          <w:spacing w:val="-4"/>
          <w:sz w:val="21"/>
        </w:rPr>
        <w:t>货物在规定的交付期限内由乙方送达甲方指定的地点视为交付，乙方同时需通知甲方货物已送达。</w:t>
      </w:r>
      <w:r>
        <w:rPr>
          <w:w w:val="95"/>
          <w:sz w:val="21"/>
        </w:rPr>
        <w:t xml:space="preserve">   </w:t>
      </w:r>
    </w:p>
    <w:p>
      <w:pPr>
        <w:pStyle w:val="62"/>
        <w:numPr>
          <w:ilvl w:val="0"/>
          <w:numId w:val="0"/>
        </w:numPr>
        <w:tabs>
          <w:tab w:val="left" w:pos="1044"/>
          <w:tab w:val="left" w:pos="1468"/>
        </w:tabs>
        <w:spacing w:before="1" w:line="499" w:lineRule="auto"/>
        <w:ind w:left="832" w:leftChars="0" w:right="998" w:rightChars="0"/>
        <w:rPr>
          <w:b/>
          <w:sz w:val="21"/>
        </w:rPr>
      </w:pPr>
      <w:r>
        <w:rPr>
          <w:b/>
          <w:sz w:val="21"/>
        </w:rPr>
        <w:t>第十四条</w:t>
      </w:r>
      <w:r>
        <w:rPr>
          <w:rFonts w:hint="eastAsia"/>
          <w:b/>
          <w:sz w:val="21"/>
          <w:lang w:val="en-US" w:eastAsia="zh-CN"/>
        </w:rPr>
        <w:t xml:space="preserve">  </w:t>
      </w:r>
      <w:r>
        <w:rPr>
          <w:b/>
          <w:sz w:val="21"/>
        </w:rPr>
        <w:t>违约责任</w:t>
      </w:r>
    </w:p>
    <w:p>
      <w:pPr>
        <w:pStyle w:val="62"/>
        <w:numPr>
          <w:ilvl w:val="0"/>
          <w:numId w:val="82"/>
        </w:numPr>
        <w:tabs>
          <w:tab w:val="left" w:pos="1044"/>
        </w:tabs>
        <w:spacing w:before="1" w:line="499" w:lineRule="auto"/>
        <w:ind w:right="304" w:firstLine="420"/>
        <w:rPr>
          <w:sz w:val="21"/>
        </w:rPr>
      </w:pPr>
      <w:r>
        <w:rPr>
          <w:spacing w:val="-10"/>
          <w:sz w:val="21"/>
        </w:rPr>
        <w:t>乙方所提供的产品名称、商标品牌、生产厂家、规格型号、技术参数等质量不合格的，应及时更换</w:t>
      </w:r>
      <w:r>
        <w:rPr>
          <w:rFonts w:hint="eastAsia"/>
          <w:spacing w:val="-10"/>
          <w:sz w:val="21"/>
          <w:lang w:eastAsia="zh-CN"/>
        </w:rPr>
        <w:t>，</w:t>
      </w:r>
      <w:r>
        <w:rPr>
          <w:spacing w:val="-10"/>
          <w:sz w:val="21"/>
        </w:rPr>
        <w:t>更换不及时的按逾期交货处罚；因质量问题甲方不同意接收的或者特殊情况甲方同意接收的，乙方应向甲</w:t>
      </w:r>
      <w:r>
        <w:rPr>
          <w:spacing w:val="-9"/>
          <w:sz w:val="21"/>
        </w:rPr>
        <w:t xml:space="preserve">方支付违约货款额 </w:t>
      </w:r>
      <w:r>
        <w:rPr>
          <w:sz w:val="21"/>
        </w:rPr>
        <w:t>5%违约金并赔偿甲方经济损失。</w:t>
      </w:r>
    </w:p>
    <w:p>
      <w:pPr>
        <w:pStyle w:val="62"/>
        <w:numPr>
          <w:ilvl w:val="0"/>
          <w:numId w:val="82"/>
        </w:numPr>
        <w:tabs>
          <w:tab w:val="left" w:pos="1044"/>
        </w:tabs>
        <w:spacing w:before="1" w:line="499" w:lineRule="auto"/>
        <w:ind w:right="415" w:firstLine="420"/>
        <w:rPr>
          <w:sz w:val="21"/>
        </w:rPr>
      </w:pPr>
      <w:r>
        <w:rPr>
          <w:spacing w:val="-10"/>
          <w:sz w:val="21"/>
        </w:rPr>
        <w:t>乙方提供的货物如侵犯了第三方合法权益而引发的任何纠纷或者诉讼，均由乙方负责交涉并承担全</w:t>
      </w:r>
      <w:r>
        <w:rPr>
          <w:spacing w:val="-1"/>
          <w:sz w:val="21"/>
        </w:rPr>
        <w:t>部责任。</w:t>
      </w:r>
    </w:p>
    <w:p>
      <w:pPr>
        <w:pStyle w:val="62"/>
        <w:numPr>
          <w:ilvl w:val="0"/>
          <w:numId w:val="82"/>
        </w:numPr>
        <w:tabs>
          <w:tab w:val="left" w:pos="1044"/>
        </w:tabs>
        <w:spacing w:line="268" w:lineRule="exact"/>
        <w:ind w:left="1044"/>
        <w:rPr>
          <w:sz w:val="21"/>
        </w:rPr>
      </w:pPr>
      <w:r>
        <w:rPr>
          <w:sz w:val="21"/>
        </w:rPr>
        <w:t>因包装、运输引起的货物损坏，按质量不合格处罚。</w:t>
      </w:r>
    </w:p>
    <w:p>
      <w:pPr>
        <w:pStyle w:val="19"/>
        <w:spacing w:before="11"/>
        <w:rPr>
          <w:sz w:val="22"/>
        </w:rPr>
      </w:pPr>
    </w:p>
    <w:p>
      <w:pPr>
        <w:pStyle w:val="62"/>
        <w:numPr>
          <w:ilvl w:val="0"/>
          <w:numId w:val="82"/>
        </w:numPr>
        <w:tabs>
          <w:tab w:val="left" w:pos="1044"/>
        </w:tabs>
        <w:spacing w:line="499" w:lineRule="auto"/>
        <w:ind w:right="410" w:firstLine="420"/>
        <w:jc w:val="both"/>
        <w:rPr>
          <w:sz w:val="21"/>
        </w:rPr>
      </w:pPr>
      <w:r>
        <w:rPr>
          <w:spacing w:val="-2"/>
          <w:sz w:val="21"/>
        </w:rPr>
        <w:t xml:space="preserve">甲方无故延期接收货物、乙方逾期交货的，每天向对方偿付违约货款额 </w:t>
      </w:r>
      <w:r>
        <w:rPr>
          <w:sz w:val="21"/>
        </w:rPr>
        <w:t>3‰违约金，但违约金累计</w:t>
      </w:r>
      <w:r>
        <w:rPr>
          <w:spacing w:val="-5"/>
          <w:sz w:val="21"/>
        </w:rPr>
        <w:t xml:space="preserve">不得超过违约货款额 </w:t>
      </w:r>
      <w:r>
        <w:rPr>
          <w:sz w:val="21"/>
        </w:rPr>
        <w:t>5%，超过</w:t>
      </w:r>
      <w:r>
        <w:rPr>
          <w:sz w:val="21"/>
          <w:u w:val="single"/>
        </w:rPr>
        <w:t xml:space="preserve"> </w:t>
      </w:r>
      <w:r>
        <w:rPr>
          <w:sz w:val="21"/>
        </w:rPr>
        <w:t xml:space="preserve"> 天对方有权解除合同，违约方承担因此给对方造成经济损失；甲方延期</w:t>
      </w:r>
      <w:r>
        <w:rPr>
          <w:spacing w:val="-5"/>
          <w:sz w:val="21"/>
        </w:rPr>
        <w:t xml:space="preserve">付货款的，每天向乙方偿付延期货款额 </w:t>
      </w:r>
      <w:r>
        <w:rPr>
          <w:sz w:val="21"/>
        </w:rPr>
        <w:t>3</w:t>
      </w:r>
      <w:r>
        <w:rPr>
          <w:spacing w:val="-5"/>
          <w:sz w:val="21"/>
        </w:rPr>
        <w:t xml:space="preserve">‰滞纳金，但滞纳金累计不得超过延期货款额 </w:t>
      </w:r>
      <w:r>
        <w:rPr>
          <w:sz w:val="21"/>
        </w:rPr>
        <w:t>5</w:t>
      </w:r>
      <w:r>
        <w:rPr>
          <w:spacing w:val="-3"/>
          <w:sz w:val="21"/>
        </w:rPr>
        <w:t>%。甲方无故延期</w:t>
      </w:r>
      <w:r>
        <w:rPr>
          <w:spacing w:val="-6"/>
          <w:sz w:val="21"/>
        </w:rPr>
        <w:t xml:space="preserve">退付履约保证金的，每天向对方偿付未退付履约保证金 </w:t>
      </w:r>
      <w:r>
        <w:rPr>
          <w:sz w:val="21"/>
        </w:rPr>
        <w:t>3‰的违约金。</w:t>
      </w:r>
    </w:p>
    <w:p>
      <w:pPr>
        <w:pStyle w:val="62"/>
        <w:numPr>
          <w:ilvl w:val="0"/>
          <w:numId w:val="82"/>
        </w:numPr>
        <w:tabs>
          <w:tab w:val="left" w:pos="1044"/>
        </w:tabs>
        <w:spacing w:line="499" w:lineRule="auto"/>
        <w:ind w:right="415" w:firstLine="420"/>
        <w:jc w:val="both"/>
        <w:rPr>
          <w:sz w:val="21"/>
        </w:rPr>
      </w:pPr>
      <w:r>
        <w:rPr>
          <w:sz w:val="21"/>
        </w:rPr>
        <w:t>乙方未按本合同和投标文件中规定的服务承诺提供售后服务的，乙方应按本合同合计金额 5%向甲方支付违约金。</w:t>
      </w:r>
    </w:p>
    <w:p>
      <w:pPr>
        <w:pStyle w:val="62"/>
        <w:numPr>
          <w:ilvl w:val="0"/>
          <w:numId w:val="82"/>
        </w:numPr>
        <w:tabs>
          <w:tab w:val="left" w:pos="1044"/>
        </w:tabs>
        <w:spacing w:before="2" w:line="499" w:lineRule="auto"/>
        <w:ind w:right="410" w:firstLine="420"/>
        <w:rPr>
          <w:sz w:val="21"/>
        </w:rPr>
      </w:pPr>
      <w:r>
        <w:rPr>
          <w:sz w:val="21"/>
        </w:rPr>
        <w:t>乙方提供的货物在质量保证期内，因设计、工艺或者材料的缺陷和其它质量原因造成的问题</w:t>
      </w:r>
      <w:r>
        <w:rPr>
          <w:spacing w:val="-3"/>
          <w:w w:val="95"/>
          <w:sz w:val="21"/>
        </w:rPr>
        <w:t>，</w:t>
      </w:r>
      <w:r>
        <w:rPr>
          <w:sz w:val="21"/>
        </w:rPr>
        <w:t>由乙方负责，费用从余款或者履约保证金中</w:t>
      </w:r>
      <w:r>
        <w:rPr>
          <w:spacing w:val="-3"/>
          <w:sz w:val="21"/>
        </w:rPr>
        <w:t>扣除，不足另补。</w:t>
      </w:r>
    </w:p>
    <w:p>
      <w:pPr>
        <w:pStyle w:val="62"/>
        <w:numPr>
          <w:ilvl w:val="0"/>
          <w:numId w:val="82"/>
        </w:numPr>
        <w:tabs>
          <w:tab w:val="left" w:pos="1044"/>
        </w:tabs>
        <w:spacing w:line="501" w:lineRule="auto"/>
        <w:ind w:right="412" w:firstLine="420"/>
        <w:rPr>
          <w:sz w:val="21"/>
        </w:rPr>
      </w:pPr>
      <w:r>
        <w:rPr>
          <w:spacing w:val="-5"/>
          <w:sz w:val="21"/>
        </w:rPr>
        <w:t xml:space="preserve">甲乙双方有其它违约行为的，由违约方向对方支付违约内容涉及货款额的 </w:t>
      </w:r>
      <w:r>
        <w:rPr>
          <w:spacing w:val="-13"/>
          <w:sz w:val="21"/>
        </w:rPr>
        <w:t>5</w:t>
      </w:r>
      <w:r>
        <w:rPr>
          <w:spacing w:val="-5"/>
          <w:sz w:val="21"/>
        </w:rPr>
        <w:t>%，违约内容涉及货款额</w:t>
      </w:r>
      <w:r>
        <w:rPr>
          <w:spacing w:val="-28"/>
          <w:sz w:val="21"/>
        </w:rPr>
        <w:t xml:space="preserve">的 </w:t>
      </w:r>
      <w:r>
        <w:rPr>
          <w:sz w:val="21"/>
        </w:rPr>
        <w:t>5%不足以赔偿经济损失的按实际赔偿。</w:t>
      </w:r>
    </w:p>
    <w:p>
      <w:pPr>
        <w:tabs>
          <w:tab w:val="left" w:pos="1468"/>
        </w:tabs>
        <w:spacing w:line="265" w:lineRule="exact"/>
        <w:ind w:left="412"/>
        <w:rPr>
          <w:b/>
          <w:sz w:val="21"/>
        </w:rPr>
      </w:pPr>
      <w:r>
        <w:rPr>
          <w:b/>
          <w:sz w:val="21"/>
        </w:rPr>
        <w:t>第十五条</w:t>
      </w:r>
      <w:r>
        <w:rPr>
          <w:b/>
          <w:sz w:val="21"/>
        </w:rPr>
        <w:tab/>
      </w:r>
      <w:r>
        <w:rPr>
          <w:b/>
          <w:sz w:val="21"/>
        </w:rPr>
        <w:t>不可抗力事件处理</w:t>
      </w:r>
    </w:p>
    <w:p>
      <w:pPr>
        <w:pStyle w:val="19"/>
        <w:spacing w:before="7"/>
        <w:rPr>
          <w:b/>
          <w:sz w:val="22"/>
        </w:rPr>
      </w:pPr>
    </w:p>
    <w:p>
      <w:pPr>
        <w:pStyle w:val="62"/>
        <w:numPr>
          <w:ilvl w:val="0"/>
          <w:numId w:val="83"/>
        </w:numPr>
        <w:tabs>
          <w:tab w:val="left" w:pos="1044"/>
        </w:tabs>
        <w:spacing w:line="501" w:lineRule="auto"/>
        <w:ind w:right="412" w:firstLine="420"/>
        <w:rPr>
          <w:sz w:val="21"/>
        </w:rPr>
      </w:pPr>
      <w:r>
        <w:rPr>
          <w:sz w:val="21"/>
        </w:rPr>
        <w:t>在合同有效期内，任何一方因不可抗力事件导致不能履行合同，则合同履行期可延长，其延长期与</w:t>
      </w:r>
      <w:r>
        <w:rPr>
          <w:spacing w:val="-3"/>
          <w:sz w:val="21"/>
        </w:rPr>
        <w:t>不可抗力影响期相同。</w:t>
      </w:r>
    </w:p>
    <w:p>
      <w:pPr>
        <w:pStyle w:val="62"/>
        <w:numPr>
          <w:ilvl w:val="0"/>
          <w:numId w:val="83"/>
        </w:numPr>
        <w:tabs>
          <w:tab w:val="left" w:pos="1044"/>
        </w:tabs>
        <w:spacing w:line="265" w:lineRule="exact"/>
        <w:ind w:left="1044"/>
        <w:rPr>
          <w:sz w:val="21"/>
        </w:rPr>
      </w:pPr>
      <w:r>
        <w:rPr>
          <w:sz w:val="21"/>
        </w:rPr>
        <w:t>不可抗力事件发生后，应立即通知对方，并寄送有关权威机构出具的证明。</w:t>
      </w:r>
    </w:p>
    <w:p>
      <w:pPr>
        <w:pStyle w:val="19"/>
        <w:spacing w:before="8"/>
        <w:rPr>
          <w:sz w:val="22"/>
        </w:rPr>
      </w:pPr>
    </w:p>
    <w:p>
      <w:pPr>
        <w:pStyle w:val="62"/>
        <w:numPr>
          <w:ilvl w:val="0"/>
          <w:numId w:val="83"/>
        </w:numPr>
        <w:tabs>
          <w:tab w:val="left" w:pos="1044"/>
          <w:tab w:val="left" w:pos="1468"/>
        </w:tabs>
        <w:spacing w:line="501" w:lineRule="auto"/>
        <w:ind w:right="1651" w:firstLine="420"/>
        <w:rPr>
          <w:b/>
          <w:sz w:val="21"/>
        </w:rPr>
      </w:pPr>
      <w:r>
        <w:rPr>
          <w:sz w:val="21"/>
        </w:rPr>
        <w:t>不可抗力事件延续一百二十天以上，双方应通过友好协商，确定是否继续履行合同。</w:t>
      </w:r>
      <w:r>
        <w:rPr>
          <w:w w:val="95"/>
          <w:sz w:val="21"/>
        </w:rPr>
        <w:t xml:space="preserve">  </w:t>
      </w:r>
    </w:p>
    <w:p>
      <w:pPr>
        <w:pStyle w:val="62"/>
        <w:numPr>
          <w:ilvl w:val="0"/>
          <w:numId w:val="0"/>
        </w:numPr>
        <w:tabs>
          <w:tab w:val="left" w:pos="1044"/>
          <w:tab w:val="left" w:pos="1468"/>
        </w:tabs>
        <w:spacing w:line="501" w:lineRule="auto"/>
        <w:ind w:left="832" w:leftChars="0" w:right="1651" w:rightChars="0"/>
        <w:rPr>
          <w:sz w:val="21"/>
        </w:rPr>
      </w:pPr>
      <w:r>
        <w:rPr>
          <w:b/>
          <w:sz w:val="21"/>
        </w:rPr>
        <w:t>第十六条</w:t>
      </w:r>
      <w:r>
        <w:rPr>
          <w:rFonts w:hint="eastAsia"/>
          <w:b/>
          <w:sz w:val="21"/>
          <w:lang w:val="en-US" w:eastAsia="zh-CN"/>
        </w:rPr>
        <w:t xml:space="preserve">  </w:t>
      </w:r>
      <w:r>
        <w:rPr>
          <w:b/>
          <w:sz w:val="21"/>
        </w:rPr>
        <w:t>合同争议解决</w:t>
      </w:r>
    </w:p>
    <w:p>
      <w:pPr>
        <w:pStyle w:val="62"/>
        <w:numPr>
          <w:ilvl w:val="0"/>
          <w:numId w:val="84"/>
        </w:numPr>
        <w:tabs>
          <w:tab w:val="left" w:pos="1044"/>
        </w:tabs>
        <w:spacing w:before="54" w:line="499" w:lineRule="auto"/>
        <w:ind w:right="415" w:firstLine="420"/>
        <w:rPr>
          <w:sz w:val="21"/>
        </w:rPr>
      </w:pPr>
      <w:r>
        <w:rPr>
          <w:spacing w:val="-2"/>
          <w:sz w:val="21"/>
        </w:rPr>
        <w:t>因货物质量问题发生争议的，应邀请国家认可的质量检测机构对货物质量进行鉴定。货物符合标准</w:t>
      </w:r>
      <w:r>
        <w:rPr>
          <w:spacing w:val="-2"/>
          <w:w w:val="95"/>
          <w:sz w:val="21"/>
        </w:rPr>
        <w:t xml:space="preserve"> </w:t>
      </w:r>
      <w:r>
        <w:rPr>
          <w:spacing w:val="-2"/>
          <w:sz w:val="21"/>
        </w:rPr>
        <w:t>的，鉴定费由甲方承担；货物不符合标准的，鉴定费由乙方承担。</w:t>
      </w:r>
    </w:p>
    <w:p>
      <w:pPr>
        <w:pStyle w:val="62"/>
        <w:numPr>
          <w:ilvl w:val="0"/>
          <w:numId w:val="84"/>
        </w:numPr>
        <w:tabs>
          <w:tab w:val="left" w:pos="1044"/>
        </w:tabs>
        <w:spacing w:line="501" w:lineRule="auto"/>
        <w:ind w:right="415" w:firstLine="420"/>
        <w:rPr>
          <w:sz w:val="21"/>
        </w:rPr>
      </w:pPr>
      <w:r>
        <w:rPr>
          <w:spacing w:val="-2"/>
          <w:sz w:val="21"/>
        </w:rPr>
        <w:t>因履行本合同引起的或者与本合同有关的争议，甲乙双方应首先通过友好协商解决，如果协商不能</w:t>
      </w:r>
      <w:r>
        <w:rPr>
          <w:spacing w:val="-2"/>
          <w:w w:val="95"/>
          <w:sz w:val="21"/>
        </w:rPr>
        <w:t xml:space="preserve">   </w:t>
      </w:r>
      <w:r>
        <w:rPr>
          <w:spacing w:val="-2"/>
          <w:sz w:val="21"/>
        </w:rPr>
        <w:t>解决，可向甲方所在地有管辖权的人民法院提起诉讼。</w:t>
      </w:r>
    </w:p>
    <w:p>
      <w:pPr>
        <w:pStyle w:val="2"/>
        <w:rPr>
          <w:rFonts w:hint="eastAsia"/>
          <w:sz w:val="21"/>
          <w:lang w:eastAsia="zh-CN"/>
        </w:rPr>
      </w:pPr>
      <w:r>
        <w:rPr>
          <w:sz w:val="21"/>
        </w:rPr>
        <w:t>诉讼期间，本合同继续履行</w:t>
      </w:r>
      <w:r>
        <w:rPr>
          <w:rFonts w:hint="eastAsia"/>
          <w:sz w:val="21"/>
          <w:lang w:eastAsia="zh-CN"/>
        </w:rPr>
        <w:t>。</w:t>
      </w:r>
    </w:p>
    <w:p>
      <w:pPr>
        <w:pStyle w:val="2"/>
        <w:rPr>
          <w:rFonts w:hint="eastAsia"/>
          <w:sz w:val="21"/>
          <w:lang w:eastAsia="zh-CN"/>
        </w:rPr>
      </w:pPr>
    </w:p>
    <w:p>
      <w:pPr>
        <w:pStyle w:val="62"/>
        <w:numPr>
          <w:ilvl w:val="0"/>
          <w:numId w:val="0"/>
        </w:numPr>
        <w:tabs>
          <w:tab w:val="left" w:pos="1078"/>
          <w:tab w:val="left" w:pos="1468"/>
        </w:tabs>
        <w:spacing w:line="499" w:lineRule="auto"/>
        <w:ind w:right="6657" w:rightChars="0" w:firstLine="843" w:firstLineChars="400"/>
        <w:rPr>
          <w:b/>
          <w:sz w:val="21"/>
        </w:rPr>
      </w:pPr>
      <w:r>
        <w:rPr>
          <w:b/>
          <w:sz w:val="21"/>
        </w:rPr>
        <w:t>第十七条</w:t>
      </w:r>
      <w:r>
        <w:rPr>
          <w:rFonts w:hint="eastAsia"/>
          <w:b/>
          <w:sz w:val="21"/>
          <w:lang w:val="en-US" w:eastAsia="zh-CN"/>
        </w:rPr>
        <w:t xml:space="preserve">  </w:t>
      </w:r>
      <w:r>
        <w:rPr>
          <w:b/>
          <w:sz w:val="21"/>
        </w:rPr>
        <w:t>合同生效及其它</w:t>
      </w:r>
    </w:p>
    <w:p>
      <w:pPr>
        <w:pStyle w:val="62"/>
        <w:numPr>
          <w:ilvl w:val="0"/>
          <w:numId w:val="85"/>
        </w:numPr>
        <w:tabs>
          <w:tab w:val="left" w:pos="1044"/>
        </w:tabs>
        <w:spacing w:line="499" w:lineRule="auto"/>
        <w:ind w:right="412" w:firstLine="420"/>
        <w:rPr>
          <w:sz w:val="19"/>
        </w:rPr>
      </w:pPr>
      <w:r>
        <w:rPr>
          <w:spacing w:val="-2"/>
          <w:sz w:val="21"/>
        </w:rPr>
        <w:t>合同经双方法定代表人或者委托代理人签字并加盖单位公章后生效（委托代理人签字的需后附法定</w:t>
      </w:r>
      <w:r>
        <w:rPr>
          <w:w w:val="95"/>
          <w:sz w:val="21"/>
        </w:rPr>
        <w:t xml:space="preserve">   </w:t>
      </w:r>
      <w:r>
        <w:rPr>
          <w:sz w:val="21"/>
        </w:rPr>
        <w:t>代表人授权委托书，格式自拟）。</w:t>
      </w:r>
    </w:p>
    <w:p>
      <w:pPr>
        <w:pStyle w:val="62"/>
        <w:numPr>
          <w:ilvl w:val="0"/>
          <w:numId w:val="85"/>
        </w:numPr>
        <w:tabs>
          <w:tab w:val="left" w:pos="1044"/>
        </w:tabs>
        <w:spacing w:line="501" w:lineRule="auto"/>
        <w:ind w:right="415" w:firstLine="420"/>
        <w:rPr>
          <w:sz w:val="19"/>
        </w:rPr>
      </w:pPr>
      <w:r>
        <w:rPr>
          <w:spacing w:val="-2"/>
          <w:sz w:val="21"/>
        </w:rPr>
        <w:t>合同执行中涉及采购资金和采购内容修改或者补充的，须经财政部门审批，并签书面补充协议报财</w:t>
      </w:r>
      <w:r>
        <w:rPr>
          <w:spacing w:val="-2"/>
          <w:w w:val="95"/>
          <w:sz w:val="21"/>
        </w:rPr>
        <w:t xml:space="preserve">   </w:t>
      </w:r>
      <w:r>
        <w:rPr>
          <w:spacing w:val="-2"/>
          <w:sz w:val="21"/>
        </w:rPr>
        <w:t>政部门备案，方可作为主合同不可分割的一部分。</w:t>
      </w:r>
    </w:p>
    <w:p>
      <w:pPr>
        <w:pStyle w:val="62"/>
        <w:numPr>
          <w:ilvl w:val="0"/>
          <w:numId w:val="85"/>
        </w:numPr>
        <w:tabs>
          <w:tab w:val="left" w:pos="1044"/>
          <w:tab w:val="left" w:pos="1468"/>
        </w:tabs>
        <w:spacing w:line="499" w:lineRule="auto"/>
        <w:ind w:right="4802" w:firstLine="420"/>
        <w:rPr>
          <w:b/>
          <w:sz w:val="19"/>
        </w:rPr>
      </w:pPr>
      <w:r>
        <w:rPr>
          <w:spacing w:val="-2"/>
          <w:sz w:val="21"/>
        </w:rPr>
        <w:t xml:space="preserve">本合同未尽事宜，遵照国家及地方有关条文执行。 </w:t>
      </w:r>
      <w:r>
        <w:rPr>
          <w:b/>
          <w:sz w:val="21"/>
        </w:rPr>
        <w:t>第十八条</w:t>
      </w:r>
      <w:r>
        <w:rPr>
          <w:b/>
          <w:sz w:val="21"/>
        </w:rPr>
        <w:tab/>
      </w:r>
      <w:r>
        <w:rPr>
          <w:b/>
          <w:sz w:val="21"/>
        </w:rPr>
        <w:t>合同的变更、终止与转让</w:t>
      </w:r>
    </w:p>
    <w:p>
      <w:pPr>
        <w:pStyle w:val="62"/>
        <w:numPr>
          <w:ilvl w:val="0"/>
          <w:numId w:val="86"/>
        </w:numPr>
        <w:tabs>
          <w:tab w:val="left" w:pos="1150"/>
        </w:tabs>
        <w:spacing w:line="499" w:lineRule="auto"/>
        <w:ind w:right="415" w:firstLine="420"/>
        <w:rPr>
          <w:sz w:val="21"/>
        </w:rPr>
      </w:pPr>
      <w:r>
        <w:rPr>
          <w:sz w:val="21"/>
        </w:rPr>
        <w:t>除《中华人民共和国政府采购法》第五十条规定的情形外，本合同一经签订，甲乙双方不得擅自变更、中止或者终止。</w:t>
      </w:r>
    </w:p>
    <w:p>
      <w:pPr>
        <w:pStyle w:val="62"/>
        <w:numPr>
          <w:ilvl w:val="0"/>
          <w:numId w:val="86"/>
        </w:numPr>
        <w:tabs>
          <w:tab w:val="left" w:pos="1181"/>
          <w:tab w:val="left" w:pos="1468"/>
        </w:tabs>
        <w:spacing w:line="501" w:lineRule="auto"/>
        <w:ind w:right="5456" w:firstLine="453"/>
        <w:rPr>
          <w:sz w:val="21"/>
        </w:rPr>
      </w:pPr>
      <w:r>
        <w:rPr>
          <w:sz w:val="21"/>
        </w:rPr>
        <w:t>乙方不得擅自转让其应履行的合同义务。</w:t>
      </w:r>
      <w:r>
        <w:rPr>
          <w:b/>
          <w:sz w:val="21"/>
        </w:rPr>
        <w:t>第十九条</w:t>
      </w:r>
      <w:r>
        <w:rPr>
          <w:b/>
          <w:sz w:val="21"/>
        </w:rPr>
        <w:tab/>
      </w:r>
      <w:r>
        <w:rPr>
          <w:spacing w:val="-5"/>
          <w:sz w:val="21"/>
        </w:rPr>
        <w:t>本</w:t>
      </w:r>
      <w:r>
        <w:rPr>
          <w:sz w:val="21"/>
        </w:rPr>
        <w:t>合同书</w:t>
      </w:r>
      <w:r>
        <w:rPr>
          <w:spacing w:val="-3"/>
          <w:sz w:val="21"/>
        </w:rPr>
        <w:t>与</w:t>
      </w:r>
      <w:r>
        <w:rPr>
          <w:sz w:val="21"/>
        </w:rPr>
        <w:t>下</w:t>
      </w:r>
      <w:r>
        <w:rPr>
          <w:spacing w:val="-3"/>
          <w:sz w:val="21"/>
        </w:rPr>
        <w:t>列</w:t>
      </w:r>
      <w:r>
        <w:rPr>
          <w:sz w:val="21"/>
        </w:rPr>
        <w:t>文</w:t>
      </w:r>
      <w:r>
        <w:rPr>
          <w:spacing w:val="-3"/>
          <w:sz w:val="21"/>
        </w:rPr>
        <w:t>件</w:t>
      </w:r>
      <w:r>
        <w:rPr>
          <w:spacing w:val="-6"/>
          <w:sz w:val="21"/>
        </w:rPr>
        <w:t>一</w:t>
      </w:r>
      <w:r>
        <w:rPr>
          <w:sz w:val="21"/>
        </w:rPr>
        <w:t>起构</w:t>
      </w:r>
      <w:r>
        <w:rPr>
          <w:spacing w:val="-3"/>
          <w:sz w:val="21"/>
        </w:rPr>
        <w:t>成</w:t>
      </w:r>
      <w:r>
        <w:rPr>
          <w:sz w:val="21"/>
        </w:rPr>
        <w:t>合</w:t>
      </w:r>
      <w:r>
        <w:rPr>
          <w:spacing w:val="-5"/>
          <w:sz w:val="21"/>
        </w:rPr>
        <w:t>同</w:t>
      </w:r>
      <w:r>
        <w:rPr>
          <w:sz w:val="21"/>
        </w:rPr>
        <w:t>文</w:t>
      </w:r>
      <w:r>
        <w:rPr>
          <w:spacing w:val="-12"/>
          <w:sz w:val="21"/>
        </w:rPr>
        <w:t>件</w:t>
      </w:r>
    </w:p>
    <w:p>
      <w:pPr>
        <w:pStyle w:val="62"/>
        <w:numPr>
          <w:ilvl w:val="0"/>
          <w:numId w:val="87"/>
        </w:numPr>
        <w:tabs>
          <w:tab w:val="left" w:pos="1044"/>
        </w:tabs>
        <w:spacing w:line="265" w:lineRule="exact"/>
        <w:rPr>
          <w:sz w:val="21"/>
        </w:rPr>
      </w:pPr>
      <w:r>
        <w:rPr>
          <w:sz w:val="21"/>
        </w:rPr>
        <w:t>中标通知书；</w:t>
      </w:r>
    </w:p>
    <w:p>
      <w:pPr>
        <w:pStyle w:val="19"/>
        <w:spacing w:before="1"/>
        <w:rPr>
          <w:sz w:val="22"/>
        </w:rPr>
      </w:pPr>
    </w:p>
    <w:p>
      <w:pPr>
        <w:pStyle w:val="62"/>
        <w:numPr>
          <w:ilvl w:val="0"/>
          <w:numId w:val="87"/>
        </w:numPr>
        <w:tabs>
          <w:tab w:val="left" w:pos="1044"/>
        </w:tabs>
        <w:rPr>
          <w:sz w:val="21"/>
        </w:rPr>
      </w:pPr>
      <w:r>
        <w:rPr>
          <w:sz w:val="21"/>
        </w:rPr>
        <w:t>投标函；</w:t>
      </w:r>
    </w:p>
    <w:p>
      <w:pPr>
        <w:pStyle w:val="19"/>
        <w:spacing w:before="11"/>
        <w:rPr>
          <w:sz w:val="22"/>
        </w:rPr>
      </w:pPr>
    </w:p>
    <w:p>
      <w:pPr>
        <w:pStyle w:val="62"/>
        <w:numPr>
          <w:ilvl w:val="0"/>
          <w:numId w:val="87"/>
        </w:numPr>
        <w:tabs>
          <w:tab w:val="left" w:pos="1044"/>
        </w:tabs>
        <w:rPr>
          <w:sz w:val="21"/>
        </w:rPr>
      </w:pPr>
      <w:r>
        <w:rPr>
          <w:sz w:val="21"/>
        </w:rPr>
        <w:t>商务条款偏离表和技术偏离表；</w:t>
      </w:r>
    </w:p>
    <w:p>
      <w:pPr>
        <w:pStyle w:val="19"/>
        <w:spacing w:before="8"/>
        <w:rPr>
          <w:sz w:val="22"/>
        </w:rPr>
      </w:pPr>
    </w:p>
    <w:p>
      <w:pPr>
        <w:pStyle w:val="62"/>
        <w:numPr>
          <w:ilvl w:val="0"/>
          <w:numId w:val="87"/>
        </w:numPr>
        <w:tabs>
          <w:tab w:val="left" w:pos="1044"/>
        </w:tabs>
        <w:rPr>
          <w:sz w:val="21"/>
        </w:rPr>
      </w:pPr>
      <w:r>
        <w:rPr>
          <w:sz w:val="21"/>
        </w:rPr>
        <w:t>采购需求；</w:t>
      </w:r>
    </w:p>
    <w:p>
      <w:pPr>
        <w:pStyle w:val="19"/>
        <w:spacing w:before="8"/>
        <w:rPr>
          <w:sz w:val="22"/>
        </w:rPr>
      </w:pPr>
    </w:p>
    <w:p>
      <w:pPr>
        <w:pStyle w:val="62"/>
        <w:numPr>
          <w:ilvl w:val="0"/>
          <w:numId w:val="87"/>
        </w:numPr>
        <w:tabs>
          <w:tab w:val="left" w:pos="1044"/>
        </w:tabs>
        <w:rPr>
          <w:sz w:val="21"/>
        </w:rPr>
      </w:pPr>
      <w:r>
        <w:rPr>
          <w:sz w:val="21"/>
        </w:rPr>
        <w:t>开标一览表；</w:t>
      </w:r>
    </w:p>
    <w:p>
      <w:pPr>
        <w:pStyle w:val="19"/>
        <w:spacing w:before="11"/>
        <w:rPr>
          <w:sz w:val="22"/>
        </w:rPr>
      </w:pPr>
    </w:p>
    <w:p>
      <w:pPr>
        <w:pStyle w:val="62"/>
        <w:numPr>
          <w:ilvl w:val="0"/>
          <w:numId w:val="87"/>
        </w:numPr>
        <w:tabs>
          <w:tab w:val="left" w:pos="1044"/>
        </w:tabs>
        <w:rPr>
          <w:sz w:val="21"/>
        </w:rPr>
      </w:pPr>
      <w:r>
        <w:rPr>
          <w:sz w:val="21"/>
        </w:rPr>
        <w:t>设备性能配置清单；</w:t>
      </w:r>
    </w:p>
    <w:p>
      <w:pPr>
        <w:pStyle w:val="19"/>
        <w:spacing w:before="8"/>
        <w:rPr>
          <w:sz w:val="22"/>
        </w:rPr>
      </w:pPr>
    </w:p>
    <w:p>
      <w:pPr>
        <w:pStyle w:val="19"/>
        <w:ind w:left="832"/>
      </w:pPr>
      <w:r>
        <w:t>7.……；</w:t>
      </w:r>
    </w:p>
    <w:p>
      <w:pPr>
        <w:pStyle w:val="19"/>
        <w:spacing w:before="8"/>
        <w:rPr>
          <w:sz w:val="22"/>
        </w:rPr>
      </w:pPr>
    </w:p>
    <w:p>
      <w:pPr>
        <w:pStyle w:val="62"/>
        <w:numPr>
          <w:ilvl w:val="0"/>
          <w:numId w:val="88"/>
        </w:numPr>
        <w:tabs>
          <w:tab w:val="left" w:pos="1044"/>
        </w:tabs>
        <w:rPr>
          <w:sz w:val="21"/>
        </w:rPr>
      </w:pPr>
      <w:r>
        <w:rPr>
          <w:sz w:val="21"/>
        </w:rPr>
        <w:t>其他合同文件。</w:t>
      </w:r>
    </w:p>
    <w:p>
      <w:pPr>
        <w:pStyle w:val="19"/>
        <w:spacing w:before="11"/>
        <w:rPr>
          <w:sz w:val="22"/>
        </w:rPr>
      </w:pPr>
    </w:p>
    <w:p>
      <w:pPr>
        <w:pStyle w:val="19"/>
        <w:spacing w:before="54"/>
        <w:ind w:left="832"/>
      </w:pPr>
      <w:r>
        <w:rPr>
          <w:sz w:val="21"/>
        </w:rPr>
        <w:t>上述合同文件互相补充和解释。如果合同文件之间存在矛盾或者不一致之处，以上述文件 的排列</w:t>
      </w:r>
      <w:r>
        <w:t>顺序在先者为准。</w:t>
      </w:r>
    </w:p>
    <w:p>
      <w:pPr>
        <w:pStyle w:val="2"/>
        <w:rPr>
          <w:rFonts w:hint="eastAsia"/>
          <w:sz w:val="21"/>
          <w:lang w:eastAsia="zh-CN"/>
        </w:rPr>
      </w:pPr>
    </w:p>
    <w:p>
      <w:pPr>
        <w:pStyle w:val="19"/>
        <w:tabs>
          <w:tab w:val="left" w:pos="1468"/>
        </w:tabs>
        <w:spacing w:before="1" w:line="499" w:lineRule="auto"/>
        <w:ind w:left="412" w:right="302" w:firstLine="211" w:firstLineChars="100"/>
        <w:rPr>
          <w:b/>
        </w:rPr>
      </w:pPr>
      <w:r>
        <w:rPr>
          <w:b/>
        </w:rPr>
        <w:t>第二十条</w:t>
      </w:r>
      <w:r>
        <w:rPr>
          <w:b/>
        </w:rPr>
        <w:tab/>
      </w:r>
    </w:p>
    <w:p>
      <w:pPr>
        <w:pStyle w:val="19"/>
        <w:tabs>
          <w:tab w:val="left" w:pos="1468"/>
        </w:tabs>
        <w:spacing w:before="1" w:line="499" w:lineRule="auto"/>
        <w:ind w:left="412" w:right="302" w:firstLine="210" w:firstLineChars="100"/>
      </w:pPr>
      <w:r>
        <w:t>本合同一式四份</w:t>
      </w:r>
      <w:r>
        <w:rPr>
          <w:spacing w:val="-25"/>
        </w:rPr>
        <w:t>，</w:t>
      </w:r>
      <w:r>
        <w:t>具有同等法律效力</w:t>
      </w:r>
      <w:r>
        <w:rPr>
          <w:spacing w:val="-25"/>
        </w:rPr>
        <w:t>，</w:t>
      </w:r>
      <w:r>
        <w:t>财政部</w:t>
      </w:r>
      <w:r>
        <w:rPr>
          <w:spacing w:val="-27"/>
        </w:rPr>
        <w:t>门</w:t>
      </w:r>
      <w:r>
        <w:t>（政府采购监管部门</w:t>
      </w:r>
      <w:r>
        <w:rPr>
          <w:spacing w:val="-25"/>
        </w:rPr>
        <w:t>）、</w:t>
      </w:r>
      <w:r>
        <w:t>采购代理机构各一</w:t>
      </w:r>
      <w:r>
        <w:rPr>
          <w:spacing w:val="-3"/>
        </w:rPr>
        <w:t>份</w:t>
      </w:r>
      <w:r>
        <w:t>， 甲乙双方各一份。</w:t>
      </w:r>
    </w:p>
    <w:p>
      <w:pPr>
        <w:pStyle w:val="19"/>
        <w:spacing w:before="1" w:line="499" w:lineRule="auto"/>
        <w:ind w:left="352" w:right="412" w:firstLine="513"/>
      </w:pPr>
      <w:r>
        <w:t>本合同甲乙双方签字盖章后生效，自签订之日起七个工作日内，甲方应当将合同副本报同级财政部门</w:t>
      </w:r>
      <w:r>
        <w:rPr>
          <w:spacing w:val="-3"/>
          <w:w w:val="95"/>
        </w:rPr>
        <w:t xml:space="preserve"> </w:t>
      </w:r>
      <w:r>
        <w:rPr>
          <w:spacing w:val="-3"/>
        </w:rPr>
        <w:t>备案。</w:t>
      </w:r>
    </w:p>
    <w:p>
      <w:pPr>
        <w:pStyle w:val="19"/>
        <w:spacing w:line="268" w:lineRule="exact"/>
        <w:ind w:firstLine="420" w:firstLineChars="200"/>
      </w:pPr>
      <w:r>
        <w:t>本合同自签订之日起 2 个工作日内，甲方应当将采购合同在广西壮族自治区财政厅指定的媒体上公告。</w:t>
      </w:r>
    </w:p>
    <w:p>
      <w:pPr>
        <w:pStyle w:val="19"/>
        <w:rPr>
          <w:sz w:val="20"/>
        </w:rPr>
      </w:pPr>
    </w:p>
    <w:p>
      <w:pPr>
        <w:pStyle w:val="19"/>
        <w:spacing w:before="2"/>
        <w:rPr>
          <w:sz w:val="16"/>
        </w:rPr>
      </w:pPr>
    </w:p>
    <w:tbl>
      <w:tblPr>
        <w:tblStyle w:val="51"/>
        <w:tblW w:w="9852"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25"/>
        <w:gridCol w:w="49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5" w:hRule="atLeast"/>
        </w:trPr>
        <w:tc>
          <w:tcPr>
            <w:tcW w:w="4925" w:type="dxa"/>
          </w:tcPr>
          <w:p>
            <w:pPr>
              <w:pStyle w:val="63"/>
              <w:spacing w:line="269" w:lineRule="exact"/>
              <w:ind w:left="106"/>
              <w:rPr>
                <w:sz w:val="21"/>
              </w:rPr>
            </w:pPr>
            <w:r>
              <w:rPr>
                <w:sz w:val="21"/>
              </w:rPr>
              <w:t>甲方（章）</w:t>
            </w:r>
          </w:p>
          <w:p>
            <w:pPr>
              <w:pStyle w:val="63"/>
              <w:rPr>
                <w:sz w:val="20"/>
              </w:rPr>
            </w:pPr>
          </w:p>
          <w:p>
            <w:pPr>
              <w:pStyle w:val="63"/>
              <w:spacing w:before="11"/>
            </w:pPr>
          </w:p>
          <w:p>
            <w:pPr>
              <w:pStyle w:val="63"/>
              <w:tabs>
                <w:tab w:val="left" w:pos="523"/>
                <w:tab w:val="left" w:pos="1048"/>
              </w:tabs>
              <w:ind w:right="97"/>
              <w:jc w:val="right"/>
              <w:rPr>
                <w:sz w:val="21"/>
              </w:rPr>
            </w:pPr>
            <w:r>
              <w:rPr>
                <w:sz w:val="21"/>
              </w:rPr>
              <w:t>年</w:t>
            </w:r>
            <w:r>
              <w:rPr>
                <w:sz w:val="21"/>
              </w:rPr>
              <w:tab/>
            </w:r>
            <w:r>
              <w:rPr>
                <w:sz w:val="21"/>
              </w:rPr>
              <w:t>月</w:t>
            </w:r>
            <w:r>
              <w:rPr>
                <w:sz w:val="21"/>
              </w:rPr>
              <w:tab/>
            </w:r>
            <w:r>
              <w:rPr>
                <w:w w:val="95"/>
                <w:sz w:val="21"/>
              </w:rPr>
              <w:t>日</w:t>
            </w:r>
          </w:p>
        </w:tc>
        <w:tc>
          <w:tcPr>
            <w:tcW w:w="4927" w:type="dxa"/>
          </w:tcPr>
          <w:p>
            <w:pPr>
              <w:pStyle w:val="63"/>
              <w:spacing w:line="269" w:lineRule="exact"/>
              <w:ind w:left="108"/>
              <w:rPr>
                <w:sz w:val="21"/>
              </w:rPr>
            </w:pPr>
            <w:r>
              <w:rPr>
                <w:sz w:val="21"/>
              </w:rPr>
              <w:t>乙方（章）</w:t>
            </w:r>
          </w:p>
          <w:p>
            <w:pPr>
              <w:pStyle w:val="63"/>
              <w:rPr>
                <w:sz w:val="20"/>
              </w:rPr>
            </w:pPr>
          </w:p>
          <w:p>
            <w:pPr>
              <w:pStyle w:val="63"/>
              <w:spacing w:before="11"/>
            </w:pPr>
          </w:p>
          <w:p>
            <w:pPr>
              <w:pStyle w:val="63"/>
              <w:tabs>
                <w:tab w:val="left" w:pos="525"/>
                <w:tab w:val="left" w:pos="1051"/>
              </w:tabs>
              <w:ind w:right="97"/>
              <w:jc w:val="right"/>
              <w:rPr>
                <w:sz w:val="21"/>
              </w:rPr>
            </w:pPr>
            <w:r>
              <w:rPr>
                <w:sz w:val="21"/>
              </w:rPr>
              <w:t>年</w:t>
            </w:r>
            <w:r>
              <w:rPr>
                <w:sz w:val="21"/>
              </w:rPr>
              <w:tab/>
            </w:r>
            <w:r>
              <w:rPr>
                <w:sz w:val="21"/>
              </w:rPr>
              <w:t>月</w:t>
            </w:r>
            <w:r>
              <w:rPr>
                <w:sz w:val="21"/>
              </w:rPr>
              <w:tab/>
            </w:r>
            <w:r>
              <w:rPr>
                <w:w w:val="95"/>
                <w:sz w:val="21"/>
              </w:rPr>
              <w:t>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3" w:hRule="atLeast"/>
        </w:trPr>
        <w:tc>
          <w:tcPr>
            <w:tcW w:w="4925" w:type="dxa"/>
          </w:tcPr>
          <w:p>
            <w:pPr>
              <w:pStyle w:val="63"/>
              <w:spacing w:before="87"/>
              <w:ind w:left="106"/>
              <w:rPr>
                <w:sz w:val="21"/>
              </w:rPr>
            </w:pPr>
            <w:r>
              <w:rPr>
                <w:sz w:val="21"/>
              </w:rPr>
              <w:t>单位地址：</w:t>
            </w:r>
          </w:p>
        </w:tc>
        <w:tc>
          <w:tcPr>
            <w:tcW w:w="4927" w:type="dxa"/>
          </w:tcPr>
          <w:p>
            <w:pPr>
              <w:pStyle w:val="63"/>
              <w:spacing w:before="87"/>
              <w:ind w:left="108"/>
              <w:rPr>
                <w:sz w:val="21"/>
              </w:rPr>
            </w:pPr>
            <w:r>
              <w:rPr>
                <w:sz w:val="21"/>
              </w:rPr>
              <w:t>单位地址：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59" w:hRule="atLeast"/>
        </w:trPr>
        <w:tc>
          <w:tcPr>
            <w:tcW w:w="4925" w:type="dxa"/>
          </w:tcPr>
          <w:p>
            <w:pPr>
              <w:pStyle w:val="63"/>
              <w:spacing w:before="5"/>
              <w:rPr>
                <w:sz w:val="21"/>
              </w:rPr>
            </w:pPr>
          </w:p>
          <w:p>
            <w:pPr>
              <w:pStyle w:val="63"/>
              <w:spacing w:before="1"/>
              <w:ind w:left="106"/>
              <w:rPr>
                <w:sz w:val="21"/>
              </w:rPr>
            </w:pPr>
            <w:r>
              <w:rPr>
                <w:sz w:val="21"/>
              </w:rPr>
              <w:t>法定代表人或者委托代理人：</w:t>
            </w:r>
          </w:p>
        </w:tc>
        <w:tc>
          <w:tcPr>
            <w:tcW w:w="4927" w:type="dxa"/>
          </w:tcPr>
          <w:p>
            <w:pPr>
              <w:pStyle w:val="63"/>
              <w:spacing w:before="5"/>
              <w:rPr>
                <w:sz w:val="21"/>
              </w:rPr>
            </w:pPr>
          </w:p>
          <w:p>
            <w:pPr>
              <w:pStyle w:val="63"/>
              <w:spacing w:before="1"/>
              <w:ind w:left="108"/>
              <w:rPr>
                <w:sz w:val="21"/>
              </w:rPr>
            </w:pPr>
            <w:r>
              <w:rPr>
                <w:sz w:val="21"/>
              </w:rPr>
              <w:t>法定代表人或者委托代理人：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2" w:hRule="atLeast"/>
        </w:trPr>
        <w:tc>
          <w:tcPr>
            <w:tcW w:w="4925" w:type="dxa"/>
          </w:tcPr>
          <w:p>
            <w:pPr>
              <w:pStyle w:val="63"/>
              <w:spacing w:before="92"/>
              <w:ind w:left="106"/>
              <w:rPr>
                <w:sz w:val="21"/>
              </w:rPr>
            </w:pPr>
            <w:r>
              <w:rPr>
                <w:sz w:val="21"/>
              </w:rPr>
              <w:t>电话：</w:t>
            </w:r>
          </w:p>
        </w:tc>
        <w:tc>
          <w:tcPr>
            <w:tcW w:w="4927" w:type="dxa"/>
          </w:tcPr>
          <w:p>
            <w:pPr>
              <w:pStyle w:val="63"/>
              <w:spacing w:before="92"/>
              <w:ind w:left="108"/>
              <w:rPr>
                <w:sz w:val="21"/>
              </w:rPr>
            </w:pPr>
            <w:r>
              <w:rPr>
                <w:sz w:val="21"/>
              </w:rPr>
              <w:t>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7" w:hRule="atLeast"/>
        </w:trPr>
        <w:tc>
          <w:tcPr>
            <w:tcW w:w="4925" w:type="dxa"/>
          </w:tcPr>
          <w:p>
            <w:pPr>
              <w:pStyle w:val="63"/>
              <w:spacing w:before="68"/>
              <w:ind w:left="106"/>
              <w:rPr>
                <w:sz w:val="21"/>
              </w:rPr>
            </w:pPr>
            <w:r>
              <w:rPr>
                <w:sz w:val="21"/>
              </w:rPr>
              <w:t>电子邮箱：</w:t>
            </w:r>
          </w:p>
        </w:tc>
        <w:tc>
          <w:tcPr>
            <w:tcW w:w="4927" w:type="dxa"/>
          </w:tcPr>
          <w:p>
            <w:pPr>
              <w:pStyle w:val="63"/>
              <w:spacing w:before="68"/>
              <w:ind w:left="108"/>
              <w:rPr>
                <w:sz w:val="21"/>
              </w:rPr>
            </w:pPr>
            <w:r>
              <w:rPr>
                <w:sz w:val="21"/>
              </w:rPr>
              <w:t>电子邮箱：</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0" w:hRule="atLeast"/>
        </w:trPr>
        <w:tc>
          <w:tcPr>
            <w:tcW w:w="4925" w:type="dxa"/>
          </w:tcPr>
          <w:p>
            <w:pPr>
              <w:pStyle w:val="63"/>
              <w:spacing w:before="179"/>
              <w:ind w:left="106"/>
              <w:rPr>
                <w:sz w:val="21"/>
              </w:rPr>
            </w:pPr>
            <w:r>
              <w:rPr>
                <w:sz w:val="21"/>
              </w:rPr>
              <w:t>开户银行：</w:t>
            </w:r>
          </w:p>
        </w:tc>
        <w:tc>
          <w:tcPr>
            <w:tcW w:w="4927" w:type="dxa"/>
          </w:tcPr>
          <w:p>
            <w:pPr>
              <w:pStyle w:val="63"/>
              <w:spacing w:before="179"/>
              <w:ind w:left="108"/>
              <w:rPr>
                <w:sz w:val="21"/>
              </w:rPr>
            </w:pPr>
            <w:r>
              <w:rPr>
                <w:sz w:val="21"/>
              </w:rPr>
              <w:t>开户银行：</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4925" w:type="dxa"/>
          </w:tcPr>
          <w:p>
            <w:pPr>
              <w:pStyle w:val="63"/>
              <w:spacing w:before="55"/>
              <w:ind w:left="106"/>
              <w:rPr>
                <w:sz w:val="21"/>
              </w:rPr>
            </w:pPr>
            <w:r>
              <w:rPr>
                <w:sz w:val="21"/>
              </w:rPr>
              <w:t>账号：</w:t>
            </w:r>
          </w:p>
        </w:tc>
        <w:tc>
          <w:tcPr>
            <w:tcW w:w="4927" w:type="dxa"/>
          </w:tcPr>
          <w:p>
            <w:pPr>
              <w:pStyle w:val="63"/>
              <w:spacing w:before="55"/>
              <w:ind w:left="108"/>
              <w:rPr>
                <w:sz w:val="21"/>
              </w:rPr>
            </w:pPr>
            <w:r>
              <w:rPr>
                <w:sz w:val="21"/>
              </w:rPr>
              <w:t>账号：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8" w:hRule="atLeast"/>
        </w:trPr>
        <w:tc>
          <w:tcPr>
            <w:tcW w:w="4925" w:type="dxa"/>
          </w:tcPr>
          <w:p>
            <w:pPr>
              <w:pStyle w:val="63"/>
              <w:spacing w:before="122"/>
              <w:ind w:left="106"/>
              <w:rPr>
                <w:sz w:val="21"/>
              </w:rPr>
            </w:pPr>
            <w:r>
              <w:rPr>
                <w:sz w:val="21"/>
              </w:rPr>
              <w:t>邮政编码：</w:t>
            </w:r>
          </w:p>
        </w:tc>
        <w:tc>
          <w:tcPr>
            <w:tcW w:w="4927" w:type="dxa"/>
          </w:tcPr>
          <w:p>
            <w:pPr>
              <w:pStyle w:val="63"/>
              <w:spacing w:before="122"/>
              <w:ind w:left="108"/>
              <w:rPr>
                <w:sz w:val="21"/>
              </w:rPr>
            </w:pPr>
            <w:r>
              <w:rPr>
                <w:sz w:val="21"/>
              </w:rPr>
              <w:t>邮政编码：</w:t>
            </w:r>
          </w:p>
        </w:tc>
      </w:tr>
    </w:tbl>
    <w:p>
      <w:pPr>
        <w:pStyle w:val="2"/>
        <w:rPr>
          <w:rFonts w:hint="eastAsia"/>
          <w:sz w:val="21"/>
          <w:lang w:eastAsia="zh-CN"/>
        </w:rPr>
        <w:sectPr>
          <w:pgSz w:w="11910" w:h="16840"/>
          <w:pgMar w:top="1300" w:right="720" w:bottom="1380" w:left="720" w:header="0" w:footer="1120" w:gutter="0"/>
          <w:pgNumType w:fmt="decimal"/>
          <w:cols w:space="720" w:num="1"/>
        </w:sectPr>
      </w:pPr>
    </w:p>
    <w:p>
      <w:pPr>
        <w:pStyle w:val="3"/>
        <w:tabs>
          <w:tab w:val="left" w:pos="1766"/>
        </w:tabs>
      </w:pPr>
      <w:bookmarkStart w:id="37" w:name="_Toc32294"/>
      <w:r>
        <w:t>第六章</w:t>
      </w:r>
      <w:r>
        <w:tab/>
      </w:r>
      <w:r>
        <w:t>投标文件格式</w:t>
      </w:r>
      <w:bookmarkEnd w:id="37"/>
    </w:p>
    <w:p>
      <w:pPr>
        <w:pStyle w:val="19"/>
        <w:spacing w:before="6"/>
        <w:rPr>
          <w:b/>
          <w:sz w:val="53"/>
        </w:rPr>
      </w:pPr>
    </w:p>
    <w:p>
      <w:pPr>
        <w:pStyle w:val="11"/>
        <w:spacing w:before="0"/>
      </w:pPr>
      <w:r>
        <w:t>一、投标文件外层包装封面格式</w:t>
      </w:r>
    </w:p>
    <w:p>
      <w:pPr>
        <w:pStyle w:val="19"/>
        <w:rPr>
          <w:b/>
          <w:sz w:val="28"/>
        </w:rPr>
      </w:pPr>
    </w:p>
    <w:p>
      <w:pPr>
        <w:pStyle w:val="19"/>
        <w:rPr>
          <w:b/>
          <w:sz w:val="28"/>
        </w:rPr>
      </w:pPr>
    </w:p>
    <w:p>
      <w:pPr>
        <w:pStyle w:val="19"/>
        <w:spacing w:before="5"/>
        <w:rPr>
          <w:b/>
        </w:rPr>
      </w:pPr>
    </w:p>
    <w:p>
      <w:pPr>
        <w:tabs>
          <w:tab w:val="left" w:pos="1439"/>
          <w:tab w:val="left" w:pos="2879"/>
          <w:tab w:val="left" w:pos="4319"/>
        </w:tabs>
        <w:spacing w:before="1"/>
        <w:ind w:right="1"/>
        <w:jc w:val="center"/>
        <w:rPr>
          <w:sz w:val="96"/>
        </w:rPr>
      </w:pPr>
      <w:r>
        <w:rPr>
          <w:sz w:val="96"/>
        </w:rPr>
        <w:t>投</w:t>
      </w:r>
      <w:r>
        <w:rPr>
          <w:sz w:val="96"/>
        </w:rPr>
        <w:tab/>
      </w:r>
      <w:r>
        <w:rPr>
          <w:sz w:val="96"/>
        </w:rPr>
        <w:t>标</w:t>
      </w:r>
      <w:r>
        <w:rPr>
          <w:sz w:val="96"/>
        </w:rPr>
        <w:tab/>
      </w:r>
      <w:r>
        <w:rPr>
          <w:sz w:val="96"/>
        </w:rPr>
        <w:t>文</w:t>
      </w:r>
      <w:r>
        <w:rPr>
          <w:sz w:val="96"/>
        </w:rPr>
        <w:tab/>
      </w:r>
      <w:r>
        <w:rPr>
          <w:sz w:val="96"/>
        </w:rPr>
        <w:t>件</w:t>
      </w:r>
    </w:p>
    <w:p>
      <w:pPr>
        <w:pStyle w:val="19"/>
        <w:rPr>
          <w:sz w:val="96"/>
        </w:rPr>
      </w:pPr>
    </w:p>
    <w:p>
      <w:pPr>
        <w:pStyle w:val="19"/>
        <w:rPr>
          <w:sz w:val="96"/>
        </w:rPr>
      </w:pPr>
    </w:p>
    <w:p>
      <w:pPr>
        <w:pStyle w:val="19"/>
        <w:rPr>
          <w:sz w:val="96"/>
        </w:rPr>
      </w:pPr>
    </w:p>
    <w:p>
      <w:pPr>
        <w:pStyle w:val="19"/>
        <w:spacing w:before="4"/>
        <w:rPr>
          <w:sz w:val="83"/>
        </w:rPr>
      </w:pPr>
    </w:p>
    <w:p>
      <w:pPr>
        <w:tabs>
          <w:tab w:val="left" w:pos="6352"/>
        </w:tabs>
        <w:ind w:left="772"/>
        <w:rPr>
          <w:rFonts w:ascii="Times New Roman" w:eastAsia="Times New Roman"/>
          <w:sz w:val="24"/>
        </w:rPr>
      </w:pPr>
      <w:r>
        <w:rPr>
          <w:sz w:val="24"/>
        </w:rPr>
        <w:t>项目名称：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7"/>
        <w:ind w:left="772"/>
        <w:rPr>
          <w:rFonts w:ascii="Times New Roman" w:eastAsia="Times New Roman"/>
          <w:sz w:val="24"/>
        </w:rPr>
      </w:pPr>
      <w:r>
        <w:rPr>
          <w:sz w:val="24"/>
        </w:rPr>
        <w:t>项目编号：</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4"/>
        <w:ind w:left="772"/>
        <w:rPr>
          <w:rFonts w:ascii="Times New Roman" w:eastAsia="Times New Roman"/>
          <w:sz w:val="24"/>
        </w:rPr>
      </w:pPr>
      <w:r>
        <w:rPr>
          <w:sz w:val="24"/>
        </w:rPr>
        <w:t>投标人名称：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4"/>
        <w:ind w:left="772"/>
        <w:rPr>
          <w:rFonts w:ascii="Times New Roman" w:eastAsia="Times New Roman"/>
          <w:sz w:val="24"/>
        </w:rPr>
      </w:pPr>
      <w:r>
        <w:rPr>
          <w:sz w:val="24"/>
        </w:rPr>
        <w:t>投标人地址：</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pStyle w:val="19"/>
        <w:rPr>
          <w:rFonts w:ascii="Times New Roman"/>
          <w:sz w:val="20"/>
        </w:rPr>
      </w:pPr>
    </w:p>
    <w:p>
      <w:pPr>
        <w:pStyle w:val="19"/>
        <w:spacing w:before="6"/>
        <w:rPr>
          <w:rFonts w:ascii="Times New Roman"/>
          <w:sz w:val="29"/>
        </w:rPr>
      </w:pPr>
    </w:p>
    <w:p>
      <w:pPr>
        <w:tabs>
          <w:tab w:val="left" w:pos="4567"/>
          <w:tab w:val="left" w:pos="5287"/>
        </w:tabs>
        <w:spacing w:before="67" w:line="674" w:lineRule="auto"/>
        <w:ind w:left="3307" w:right="3733" w:firstLine="784"/>
        <w:rPr>
          <w:sz w:val="24"/>
        </w:rPr>
      </w:pPr>
      <w:r>
        <w:rPr>
          <w:sz w:val="24"/>
        </w:rPr>
        <w:t>投标截止时间前不得启</w:t>
      </w:r>
      <w:r>
        <w:rPr>
          <w:spacing w:val="-18"/>
          <w:sz w:val="24"/>
        </w:rPr>
        <w:t>封</w:t>
      </w:r>
      <w:r>
        <w:rPr>
          <w:sz w:val="24"/>
        </w:rPr>
        <w:t>2021</w:t>
      </w:r>
      <w:r>
        <w:rPr>
          <w:spacing w:val="-60"/>
          <w:sz w:val="24"/>
        </w:rPr>
        <w:t xml:space="preserve"> </w:t>
      </w:r>
      <w:r>
        <w:rPr>
          <w:sz w:val="24"/>
        </w:rPr>
        <w:t>年</w:t>
      </w:r>
      <w:r>
        <w:rPr>
          <w:sz w:val="24"/>
        </w:rPr>
        <w:tab/>
      </w:r>
      <w:r>
        <w:rPr>
          <w:sz w:val="24"/>
        </w:rPr>
        <w:t>月</w:t>
      </w:r>
      <w:r>
        <w:rPr>
          <w:sz w:val="24"/>
        </w:rPr>
        <w:tab/>
      </w:r>
      <w:r>
        <w:rPr>
          <w:sz w:val="24"/>
        </w:rPr>
        <w:t>日</w:t>
      </w:r>
    </w:p>
    <w:p>
      <w:pPr>
        <w:spacing w:line="674" w:lineRule="auto"/>
        <w:rPr>
          <w:sz w:val="24"/>
        </w:rPr>
        <w:sectPr>
          <w:footerReference r:id="rId8" w:type="default"/>
          <w:pgSz w:w="11910" w:h="16840"/>
          <w:pgMar w:top="1360" w:right="720" w:bottom="1380" w:left="720" w:header="0" w:footer="1200" w:gutter="0"/>
          <w:pgNumType w:fmt="decimal"/>
          <w:cols w:space="720" w:num="1"/>
        </w:sectPr>
      </w:pPr>
    </w:p>
    <w:p>
      <w:pPr>
        <w:pStyle w:val="11"/>
        <w:spacing w:before="48"/>
      </w:pPr>
      <w:r>
        <w:t>二、报价文件格式</w:t>
      </w:r>
    </w:p>
    <w:p>
      <w:pPr>
        <w:pStyle w:val="19"/>
        <w:spacing w:before="11"/>
        <w:rPr>
          <w:b/>
          <w:sz w:val="23"/>
        </w:rPr>
      </w:pPr>
    </w:p>
    <w:p>
      <w:pPr>
        <w:numPr>
          <w:ilvl w:val="0"/>
          <w:numId w:val="89"/>
        </w:numPr>
        <w:tabs>
          <w:tab w:val="left" w:pos="917"/>
        </w:tabs>
        <w:ind w:hanging="361"/>
        <w:jc w:val="left"/>
        <w:rPr>
          <w:b/>
          <w:sz w:val="24"/>
        </w:rPr>
      </w:pPr>
      <w:r>
        <w:rPr>
          <w:b/>
          <w:sz w:val="24"/>
        </w:rPr>
        <w:t>报价文件封面格式：</w:t>
      </w:r>
    </w:p>
    <w:p>
      <w:pPr>
        <w:pStyle w:val="19"/>
        <w:spacing w:before="10"/>
        <w:rPr>
          <w:b/>
          <w:sz w:val="24"/>
        </w:rPr>
      </w:pPr>
    </w:p>
    <w:p>
      <w:pPr>
        <w:pStyle w:val="19"/>
        <w:spacing w:before="70"/>
        <w:ind w:left="6652"/>
      </w:pPr>
      <w:r>
        <w:t>正本/或者副本</w:t>
      </w:r>
    </w:p>
    <w:p>
      <w:pPr>
        <w:pStyle w:val="19"/>
        <w:rPr>
          <w:sz w:val="20"/>
        </w:rPr>
      </w:pPr>
    </w:p>
    <w:p>
      <w:pPr>
        <w:pStyle w:val="19"/>
        <w:rPr>
          <w:sz w:val="20"/>
        </w:rPr>
      </w:pPr>
    </w:p>
    <w:p>
      <w:pPr>
        <w:spacing w:before="155"/>
        <w:ind w:right="1"/>
        <w:jc w:val="center"/>
        <w:rPr>
          <w:sz w:val="96"/>
        </w:rPr>
      </w:pPr>
      <w:r>
        <w:rPr>
          <w:sz w:val="96"/>
        </w:rPr>
        <w:t>报价文件</w:t>
      </w:r>
    </w:p>
    <w:p>
      <w:pPr>
        <w:pStyle w:val="19"/>
        <w:rPr>
          <w:sz w:val="96"/>
        </w:rPr>
      </w:pPr>
    </w:p>
    <w:p>
      <w:pPr>
        <w:pStyle w:val="19"/>
        <w:rPr>
          <w:sz w:val="96"/>
        </w:rPr>
      </w:pPr>
    </w:p>
    <w:p>
      <w:pPr>
        <w:pStyle w:val="19"/>
        <w:rPr>
          <w:sz w:val="96"/>
        </w:rPr>
      </w:pPr>
    </w:p>
    <w:p>
      <w:pPr>
        <w:pStyle w:val="19"/>
        <w:spacing w:before="1"/>
        <w:rPr>
          <w:sz w:val="141"/>
        </w:rPr>
      </w:pPr>
    </w:p>
    <w:p>
      <w:pPr>
        <w:tabs>
          <w:tab w:val="left" w:pos="6352"/>
        </w:tabs>
        <w:ind w:left="772"/>
        <w:rPr>
          <w:rFonts w:ascii="Times New Roman" w:eastAsia="Times New Roman"/>
          <w:sz w:val="24"/>
        </w:rPr>
      </w:pPr>
      <w:r>
        <w:rPr>
          <w:sz w:val="24"/>
        </w:rPr>
        <w:t>项目名称：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4"/>
        <w:ind w:left="772"/>
        <w:rPr>
          <w:rFonts w:ascii="Times New Roman" w:eastAsia="Times New Roman"/>
          <w:sz w:val="24"/>
        </w:rPr>
      </w:pPr>
      <w:r>
        <w:rPr>
          <w:sz w:val="24"/>
        </w:rPr>
        <w:t>项目编号：</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7"/>
        <w:ind w:left="772"/>
        <w:rPr>
          <w:rFonts w:ascii="Times New Roman" w:eastAsia="Times New Roman"/>
          <w:sz w:val="24"/>
        </w:rPr>
      </w:pPr>
      <w:r>
        <w:rPr>
          <w:sz w:val="24"/>
        </w:rPr>
        <w:t>投标人名称：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4"/>
        <w:ind w:left="772"/>
        <w:rPr>
          <w:rFonts w:ascii="Times New Roman" w:eastAsia="Times New Roman"/>
          <w:sz w:val="24"/>
        </w:rPr>
      </w:pPr>
      <w:r>
        <w:rPr>
          <w:sz w:val="24"/>
        </w:rPr>
        <w:t>投标人地址：</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pStyle w:val="19"/>
        <w:rPr>
          <w:rFonts w:ascii="Times New Roman"/>
          <w:sz w:val="20"/>
        </w:rPr>
      </w:pPr>
    </w:p>
    <w:p>
      <w:pPr>
        <w:pStyle w:val="19"/>
        <w:rPr>
          <w:rFonts w:ascii="Times New Roman"/>
          <w:sz w:val="20"/>
        </w:rPr>
      </w:pPr>
    </w:p>
    <w:p>
      <w:pPr>
        <w:pStyle w:val="19"/>
        <w:spacing w:before="1"/>
        <w:rPr>
          <w:rFonts w:ascii="Times New Roman"/>
          <w:sz w:val="18"/>
        </w:rPr>
      </w:pPr>
    </w:p>
    <w:p>
      <w:pPr>
        <w:tabs>
          <w:tab w:val="left" w:pos="1999"/>
          <w:tab w:val="left" w:pos="2479"/>
        </w:tabs>
        <w:spacing w:before="66"/>
        <w:ind w:left="739"/>
        <w:jc w:val="center"/>
        <w:rPr>
          <w:sz w:val="24"/>
        </w:rPr>
      </w:pPr>
      <w:r>
        <w:rPr>
          <w:sz w:val="24"/>
        </w:rPr>
        <w:t>2021</w:t>
      </w:r>
      <w:r>
        <w:rPr>
          <w:spacing w:val="-60"/>
          <w:sz w:val="24"/>
        </w:rPr>
        <w:t xml:space="preserve"> </w:t>
      </w:r>
      <w:r>
        <w:rPr>
          <w:sz w:val="24"/>
        </w:rPr>
        <w:t>年</w:t>
      </w:r>
      <w:r>
        <w:rPr>
          <w:sz w:val="24"/>
        </w:rPr>
        <w:tab/>
      </w:r>
      <w:r>
        <w:rPr>
          <w:sz w:val="24"/>
        </w:rPr>
        <w:t>月</w:t>
      </w:r>
      <w:r>
        <w:rPr>
          <w:sz w:val="24"/>
        </w:rPr>
        <w:tab/>
      </w:r>
      <w:r>
        <w:rPr>
          <w:sz w:val="24"/>
        </w:rPr>
        <w:t>日</w:t>
      </w:r>
    </w:p>
    <w:p>
      <w:pPr>
        <w:jc w:val="center"/>
        <w:rPr>
          <w:sz w:val="24"/>
        </w:rPr>
        <w:sectPr>
          <w:pgSz w:w="11910" w:h="16840"/>
          <w:pgMar w:top="1140" w:right="720" w:bottom="1380" w:left="720" w:header="0" w:footer="1200" w:gutter="0"/>
          <w:pgNumType w:fmt="decimal"/>
          <w:cols w:space="720" w:num="1"/>
        </w:sectPr>
      </w:pPr>
    </w:p>
    <w:p>
      <w:pPr>
        <w:numPr>
          <w:ilvl w:val="0"/>
          <w:numId w:val="89"/>
        </w:numPr>
        <w:tabs>
          <w:tab w:val="left" w:pos="657"/>
        </w:tabs>
        <w:spacing w:before="48"/>
        <w:ind w:left="656" w:hanging="245"/>
        <w:jc w:val="left"/>
        <w:rPr>
          <w:b/>
          <w:sz w:val="24"/>
        </w:rPr>
      </w:pPr>
      <w:r>
        <w:rPr>
          <w:b/>
          <w:sz w:val="24"/>
        </w:rPr>
        <w:t>报价文件目录</w:t>
      </w:r>
    </w:p>
    <w:p>
      <w:pPr>
        <w:pStyle w:val="19"/>
        <w:spacing w:before="207"/>
        <w:ind w:left="412"/>
      </w:pPr>
      <w:r>
        <w:t>根据招标文件规定及投标人提供的材料自行编写目录</w:t>
      </w:r>
    </w:p>
    <w:p>
      <w:pPr>
        <w:pStyle w:val="19"/>
        <w:spacing w:before="207"/>
        <w:ind w:left="412"/>
      </w:pPr>
      <w:r>
        <w:br w:type="page"/>
      </w:r>
    </w:p>
    <w:p>
      <w:pPr>
        <w:snapToGrid w:val="0"/>
        <w:spacing w:before="120" w:beforeLines="50" w:after="50"/>
        <w:ind w:left="142"/>
        <w:jc w:val="left"/>
        <w:rPr>
          <w:rFonts w:hint="eastAsia" w:ascii="宋体" w:hAnsi="宋体"/>
          <w:b/>
          <w:color w:val="auto"/>
          <w:sz w:val="24"/>
          <w:highlight w:val="none"/>
        </w:rPr>
      </w:pPr>
      <w:r>
        <w:rPr>
          <w:rFonts w:hint="eastAsia" w:ascii="宋体" w:hAnsi="宋体"/>
          <w:b/>
          <w:color w:val="auto"/>
          <w:sz w:val="24"/>
          <w:highlight w:val="none"/>
        </w:rPr>
        <w:t>3. 投标函格式：</w:t>
      </w:r>
    </w:p>
    <w:p>
      <w:pPr>
        <w:snapToGrid w:val="0"/>
        <w:spacing w:before="120" w:beforeLines="50" w:after="50" w:line="320" w:lineRule="exact"/>
        <w:jc w:val="center"/>
        <w:rPr>
          <w:rFonts w:hint="eastAsia" w:ascii="宋体" w:hAnsi="宋体"/>
          <w:b/>
          <w:color w:val="auto"/>
          <w:sz w:val="32"/>
          <w:szCs w:val="32"/>
          <w:highlight w:val="none"/>
        </w:rPr>
      </w:pPr>
      <w:r>
        <w:rPr>
          <w:rFonts w:hint="eastAsia" w:ascii="宋体" w:hAnsi="宋体"/>
          <w:b/>
          <w:color w:val="auto"/>
          <w:sz w:val="32"/>
          <w:szCs w:val="32"/>
          <w:highlight w:val="none"/>
        </w:rPr>
        <w:t>投 标 函</w:t>
      </w:r>
    </w:p>
    <w:p>
      <w:pPr>
        <w:pStyle w:val="19"/>
        <w:spacing w:before="207"/>
      </w:pPr>
    </w:p>
    <w:p>
      <w:pPr>
        <w:snapToGrid w:val="0"/>
        <w:spacing w:line="360" w:lineRule="auto"/>
        <w:rPr>
          <w:rFonts w:hint="eastAsia" w:ascii="宋体" w:hAnsi="宋体"/>
          <w:color w:val="auto"/>
          <w:sz w:val="24"/>
          <w:highlight w:val="none"/>
        </w:rPr>
      </w:pPr>
      <w:r>
        <w:rPr>
          <w:rFonts w:hint="eastAsia" w:ascii="宋体" w:hAnsi="宋体"/>
          <w:color w:val="auto"/>
          <w:sz w:val="24"/>
          <w:highlight w:val="none"/>
        </w:rPr>
        <w:t>致：</w:t>
      </w:r>
      <w:r>
        <w:rPr>
          <w:rFonts w:hint="eastAsia" w:ascii="宋体" w:hAnsi="宋体"/>
          <w:color w:val="auto"/>
          <w:sz w:val="24"/>
          <w:highlight w:val="none"/>
          <w:u w:val="single"/>
        </w:rPr>
        <w:t>采购人名称</w:t>
      </w:r>
      <w:r>
        <w:rPr>
          <w:rFonts w:hint="eastAsia" w:ascii="宋体" w:hAnsi="宋体"/>
          <w:color w:val="auto"/>
          <w:sz w:val="24"/>
          <w:highlight w:val="none"/>
        </w:rPr>
        <w:t>：</w:t>
      </w:r>
    </w:p>
    <w:p>
      <w:pPr>
        <w:snapToGrid w:val="0"/>
        <w:spacing w:line="360" w:lineRule="auto"/>
        <w:ind w:firstLine="480"/>
        <w:rPr>
          <w:rFonts w:hint="eastAsia" w:ascii="宋体" w:hAnsi="宋体"/>
          <w:color w:val="auto"/>
          <w:sz w:val="24"/>
          <w:highlight w:val="none"/>
        </w:rPr>
      </w:pPr>
      <w:r>
        <w:rPr>
          <w:rFonts w:hint="eastAsia" w:ascii="宋体" w:hAnsi="宋体"/>
          <w:color w:val="auto"/>
          <w:sz w:val="24"/>
          <w:highlight w:val="none"/>
        </w:rPr>
        <w:t>根据贵方</w:t>
      </w:r>
      <w:r>
        <w:rPr>
          <w:rFonts w:hint="eastAsia" w:ascii="宋体" w:hAnsi="宋体"/>
          <w:color w:val="auto"/>
          <w:sz w:val="24"/>
          <w:highlight w:val="none"/>
          <w:u w:val="single"/>
        </w:rPr>
        <w:t xml:space="preserve"> 项目名称</w:t>
      </w:r>
      <w:r>
        <w:rPr>
          <w:rFonts w:hint="eastAsia" w:ascii="宋体" w:hAnsi="宋体"/>
          <w:color w:val="auto"/>
          <w:sz w:val="24"/>
          <w:highlight w:val="none"/>
        </w:rPr>
        <w:t>（项目编号：</w:t>
      </w:r>
      <w:r>
        <w:rPr>
          <w:rFonts w:hint="eastAsia" w:ascii="宋体" w:hAnsi="宋体"/>
          <w:color w:val="auto"/>
          <w:sz w:val="24"/>
          <w:highlight w:val="none"/>
          <w:u w:val="single"/>
        </w:rPr>
        <w:t xml:space="preserve">             </w:t>
      </w:r>
      <w:r>
        <w:rPr>
          <w:rFonts w:hint="eastAsia" w:ascii="宋体" w:hAnsi="宋体"/>
          <w:color w:val="auto"/>
          <w:sz w:val="24"/>
          <w:highlight w:val="none"/>
        </w:rPr>
        <w:t>）的招标公告，签字代表______</w:t>
      </w:r>
      <w:r>
        <w:rPr>
          <w:rFonts w:hint="eastAsia" w:ascii="宋体" w:hAnsi="宋体"/>
          <w:color w:val="auto"/>
          <w:sz w:val="24"/>
          <w:highlight w:val="none"/>
          <w:u w:val="single"/>
        </w:rPr>
        <w:t xml:space="preserve">     </w:t>
      </w:r>
      <w:r>
        <w:rPr>
          <w:rFonts w:hint="eastAsia" w:ascii="宋体" w:hAnsi="宋体"/>
          <w:color w:val="auto"/>
          <w:sz w:val="24"/>
          <w:highlight w:val="none"/>
        </w:rPr>
        <w:t>（姓名）经正式授权并代表投标人</w:t>
      </w:r>
      <w:r>
        <w:rPr>
          <w:rFonts w:hint="eastAsia" w:ascii="宋体" w:hAnsi="宋体"/>
          <w:color w:val="auto"/>
          <w:sz w:val="24"/>
          <w:highlight w:val="none"/>
          <w:u w:val="single"/>
        </w:rPr>
        <w:t xml:space="preserve">              </w:t>
      </w:r>
      <w:r>
        <w:rPr>
          <w:rFonts w:hint="eastAsia" w:ascii="宋体" w:hAnsi="宋体"/>
          <w:color w:val="auto"/>
          <w:sz w:val="24"/>
          <w:highlight w:val="none"/>
        </w:rPr>
        <w:t>（投标人名称）提交投标文件。</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据此函，我方宣布同意如下：</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1.我方已详细审查全部“招标文件”，包括修改文件（如有的话）以及全部参考资料和有关附件，已经了解我方对于招标文件、采购过程、采购结果有依法进行询问、质疑、投诉的权利及相关渠道和要求。</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2.我方在投标之前已经完全理解并接受招标文件的各项规定和要求，对招标文件的合理性、合法性不再有异议。</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3.本投标有效期自投标截止之日起</w:t>
      </w:r>
      <w:r>
        <w:rPr>
          <w:rFonts w:ascii="宋体" w:hAnsi="宋体"/>
          <w:color w:val="auto"/>
          <w:sz w:val="24"/>
          <w:highlight w:val="none"/>
          <w:u w:val="single"/>
        </w:rPr>
        <w:t xml:space="preserve">    </w:t>
      </w:r>
      <w:r>
        <w:rPr>
          <w:rFonts w:hint="eastAsia" w:ascii="宋体" w:hAnsi="宋体"/>
          <w:color w:val="auto"/>
          <w:sz w:val="24"/>
          <w:highlight w:val="none"/>
        </w:rPr>
        <w:t>日。</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4.如中标，本投标文件至本项目合同履行完毕止均保持有效，我方将按“招标文件”及政府采购法律、法规的规定履行合同责任和义务。</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5.我方同意按照贵方要求提供与投标有关的一切数据或者资料。</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6.我方向贵方提交的所有投标文件、资料都是准确的和真实的。</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7.以上事项如有虚假或者隐瞒，我方愿意承担一切后果，并不再寻求任何旨在减轻或者免除法律责任的辩解。</w:t>
      </w:r>
    </w:p>
    <w:p>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8.根据</w:t>
      </w:r>
      <w:r>
        <w:rPr>
          <w:rFonts w:ascii="宋体" w:hAnsi="宋体"/>
          <w:color w:val="auto"/>
          <w:sz w:val="24"/>
          <w:highlight w:val="none"/>
        </w:rPr>
        <w:t>《中华人民共和国政府采购法实施条例》第五十条要求对政府采购合同进行公告</w:t>
      </w:r>
      <w:r>
        <w:rPr>
          <w:rFonts w:hint="eastAsia" w:ascii="宋体" w:hAnsi="宋体"/>
          <w:color w:val="auto"/>
          <w:sz w:val="24"/>
          <w:highlight w:val="none"/>
        </w:rPr>
        <w:t>，</w:t>
      </w:r>
      <w:r>
        <w:rPr>
          <w:rFonts w:ascii="宋体" w:hAnsi="宋体"/>
          <w:color w:val="auto"/>
          <w:sz w:val="24"/>
          <w:highlight w:val="none"/>
        </w:rPr>
        <w:t>但政府采购合同中涉及国家秘密、商业秘密的内容除外。</w:t>
      </w:r>
      <w:r>
        <w:rPr>
          <w:rFonts w:hint="eastAsia" w:ascii="宋体" w:hAnsi="宋体"/>
          <w:color w:val="auto"/>
          <w:sz w:val="24"/>
          <w:highlight w:val="none"/>
        </w:rPr>
        <w:t>我方就对本次投标文件进行注明如下：（两项内容中必须选择一项）</w:t>
      </w:r>
    </w:p>
    <w:p>
      <w:pPr>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□我方本次投标文件</w:t>
      </w:r>
      <w:r>
        <w:rPr>
          <w:rFonts w:ascii="宋体" w:hAnsi="宋体" w:cs="宋体"/>
          <w:color w:val="auto"/>
          <w:kern w:val="0"/>
          <w:sz w:val="24"/>
          <w:highlight w:val="none"/>
        </w:rPr>
        <w:t>内容中</w:t>
      </w:r>
      <w:r>
        <w:rPr>
          <w:rFonts w:hint="eastAsia" w:ascii="宋体" w:hAnsi="宋体"/>
          <w:color w:val="auto"/>
          <w:sz w:val="24"/>
          <w:highlight w:val="none"/>
        </w:rPr>
        <w:t>未</w:t>
      </w:r>
      <w:r>
        <w:rPr>
          <w:rFonts w:ascii="宋体" w:hAnsi="宋体" w:cs="宋体"/>
          <w:color w:val="auto"/>
          <w:kern w:val="0"/>
          <w:sz w:val="24"/>
          <w:highlight w:val="none"/>
        </w:rPr>
        <w:t>涉及商业秘密</w:t>
      </w:r>
      <w:r>
        <w:rPr>
          <w:rFonts w:hint="eastAsia" w:ascii="宋体" w:hAnsi="宋体" w:cs="宋体"/>
          <w:color w:val="auto"/>
          <w:kern w:val="0"/>
          <w:sz w:val="24"/>
          <w:highlight w:val="none"/>
        </w:rPr>
        <w:t>；</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□我方本次投标文件</w:t>
      </w:r>
      <w:r>
        <w:rPr>
          <w:rFonts w:ascii="宋体" w:hAnsi="宋体" w:cs="宋体"/>
          <w:color w:val="auto"/>
          <w:kern w:val="0"/>
          <w:sz w:val="24"/>
          <w:highlight w:val="none"/>
        </w:rPr>
        <w:t>涉及商业秘密</w:t>
      </w:r>
      <w:r>
        <w:rPr>
          <w:rFonts w:hint="eastAsia" w:ascii="宋体" w:hAnsi="宋体" w:cs="宋体"/>
          <w:color w:val="auto"/>
          <w:kern w:val="0"/>
          <w:sz w:val="24"/>
          <w:highlight w:val="none"/>
        </w:rPr>
        <w:t>的</w:t>
      </w:r>
      <w:r>
        <w:rPr>
          <w:rFonts w:ascii="宋体" w:hAnsi="宋体" w:cs="宋体"/>
          <w:color w:val="auto"/>
          <w:kern w:val="0"/>
          <w:sz w:val="24"/>
          <w:highlight w:val="none"/>
        </w:rPr>
        <w:t>内容</w:t>
      </w:r>
      <w:r>
        <w:rPr>
          <w:rFonts w:hint="eastAsia" w:ascii="宋体" w:hAnsi="宋体" w:cs="宋体"/>
          <w:color w:val="auto"/>
          <w:kern w:val="0"/>
          <w:sz w:val="24"/>
          <w:highlight w:val="none"/>
        </w:rPr>
        <w:t>有：</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w:t>
      </w:r>
    </w:p>
    <w:p>
      <w:pPr>
        <w:snapToGrid w:val="0"/>
        <w:spacing w:line="360" w:lineRule="auto"/>
        <w:ind w:firstLine="480" w:firstLineChars="200"/>
        <w:rPr>
          <w:rFonts w:hint="eastAsia" w:ascii="宋体" w:hAnsi="宋体"/>
          <w:color w:val="auto"/>
          <w:sz w:val="24"/>
          <w:highlight w:val="none"/>
        </w:rPr>
      </w:pPr>
      <w:r>
        <w:rPr>
          <w:rFonts w:hint="eastAsia" w:ascii="宋体" w:hAnsi="宋体"/>
          <w:color w:val="auto"/>
          <w:sz w:val="24"/>
          <w:highlight w:val="none"/>
        </w:rPr>
        <w:t>9.与本投标有关的一切正式往来信函请寄：</w:t>
      </w:r>
    </w:p>
    <w:p>
      <w:pPr>
        <w:snapToGrid w:val="0"/>
        <w:spacing w:line="360" w:lineRule="auto"/>
        <w:rPr>
          <w:rFonts w:hint="eastAsia" w:ascii="宋体" w:hAnsi="宋体"/>
          <w:color w:val="auto"/>
          <w:sz w:val="24"/>
          <w:highlight w:val="none"/>
          <w:u w:val="single"/>
        </w:rPr>
      </w:pPr>
      <w:r>
        <w:rPr>
          <w:rFonts w:hint="eastAsia" w:ascii="宋体" w:hAnsi="宋体"/>
          <w:color w:val="auto"/>
          <w:sz w:val="24"/>
          <w:highlight w:val="none"/>
        </w:rPr>
        <w:t>地址：</w:t>
      </w:r>
      <w:r>
        <w:rPr>
          <w:rFonts w:hint="eastAsia" w:ascii="宋体" w:hAnsi="宋体"/>
          <w:color w:val="auto"/>
          <w:sz w:val="24"/>
          <w:highlight w:val="none"/>
          <w:u w:val="single"/>
        </w:rPr>
        <w:t xml:space="preserve">          </w:t>
      </w:r>
      <w:r>
        <w:rPr>
          <w:rFonts w:hint="eastAsia" w:ascii="宋体" w:hAnsi="宋体"/>
          <w:color w:val="auto"/>
          <w:sz w:val="24"/>
          <w:highlight w:val="none"/>
        </w:rPr>
        <w:t>邮编：</w:t>
      </w:r>
      <w:r>
        <w:rPr>
          <w:rFonts w:hint="eastAsia" w:ascii="宋体" w:hAnsi="宋体"/>
          <w:color w:val="auto"/>
          <w:sz w:val="24"/>
          <w:highlight w:val="none"/>
          <w:u w:val="single"/>
        </w:rPr>
        <w:t xml:space="preserve">            </w:t>
      </w:r>
    </w:p>
    <w:p>
      <w:pPr>
        <w:snapToGrid w:val="0"/>
        <w:spacing w:line="360" w:lineRule="auto"/>
        <w:rPr>
          <w:rFonts w:hint="eastAsia" w:ascii="宋体" w:hAnsi="宋体"/>
          <w:color w:val="auto"/>
          <w:sz w:val="24"/>
          <w:highlight w:val="none"/>
        </w:rPr>
      </w:pPr>
      <w:r>
        <w:rPr>
          <w:rFonts w:hint="eastAsia" w:ascii="宋体" w:hAnsi="宋体"/>
          <w:color w:val="auto"/>
          <w:sz w:val="24"/>
          <w:highlight w:val="none"/>
        </w:rPr>
        <w:t>电话：</w:t>
      </w:r>
      <w:r>
        <w:rPr>
          <w:rFonts w:hint="eastAsia" w:ascii="宋体" w:hAnsi="宋体"/>
          <w:color w:val="auto"/>
          <w:sz w:val="24"/>
          <w:highlight w:val="none"/>
          <w:u w:val="single"/>
        </w:rPr>
        <w:t xml:space="preserve">        </w:t>
      </w:r>
      <w:r>
        <w:rPr>
          <w:rFonts w:hint="eastAsia" w:ascii="宋体" w:hAnsi="宋体"/>
          <w:color w:val="auto"/>
          <w:sz w:val="24"/>
          <w:highlight w:val="none"/>
        </w:rPr>
        <w:t>传真：</w:t>
      </w:r>
      <w:r>
        <w:rPr>
          <w:rFonts w:hint="eastAsia" w:ascii="宋体" w:hAnsi="宋体"/>
          <w:color w:val="auto"/>
          <w:sz w:val="24"/>
          <w:highlight w:val="none"/>
          <w:u w:val="single"/>
        </w:rPr>
        <w:t xml:space="preserve">          </w:t>
      </w:r>
    </w:p>
    <w:p>
      <w:pPr>
        <w:snapToGrid w:val="0"/>
        <w:spacing w:line="360" w:lineRule="auto"/>
        <w:rPr>
          <w:rFonts w:hint="eastAsia" w:ascii="宋体" w:hAnsi="宋体"/>
          <w:color w:val="auto"/>
          <w:sz w:val="24"/>
          <w:highlight w:val="none"/>
        </w:rPr>
      </w:pPr>
      <w:r>
        <w:rPr>
          <w:rFonts w:hint="eastAsia" w:ascii="宋体" w:hAnsi="宋体"/>
          <w:color w:val="auto"/>
          <w:sz w:val="24"/>
          <w:highlight w:val="none"/>
        </w:rPr>
        <w:t>投标人名称:</w:t>
      </w:r>
      <w:r>
        <w:rPr>
          <w:rFonts w:hint="eastAsia" w:ascii="宋体" w:hAnsi="宋体"/>
          <w:color w:val="auto"/>
          <w:sz w:val="24"/>
          <w:highlight w:val="none"/>
          <w:u w:val="single"/>
        </w:rPr>
        <w:t xml:space="preserve">                </w:t>
      </w:r>
    </w:p>
    <w:p>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开户银行：</w:t>
      </w:r>
      <w:r>
        <w:rPr>
          <w:rFonts w:hint="eastAsia" w:ascii="宋体" w:hAnsi="宋体"/>
          <w:color w:val="auto"/>
          <w:sz w:val="24"/>
          <w:highlight w:val="none"/>
          <w:u w:val="single"/>
        </w:rPr>
        <w:t xml:space="preserve">                      </w:t>
      </w:r>
      <w:r>
        <w:rPr>
          <w:rFonts w:hint="eastAsia" w:ascii="宋体" w:hAnsi="宋体"/>
          <w:color w:val="auto"/>
          <w:sz w:val="24"/>
          <w:highlight w:val="none"/>
        </w:rPr>
        <w:t xml:space="preserve">   银行帐号：</w:t>
      </w:r>
      <w:r>
        <w:rPr>
          <w:rFonts w:hint="eastAsia" w:ascii="宋体" w:hAnsi="宋体"/>
          <w:color w:val="auto"/>
          <w:sz w:val="24"/>
          <w:highlight w:val="none"/>
          <w:u w:val="single"/>
        </w:rPr>
        <w:t xml:space="preserve">                    </w:t>
      </w:r>
      <w:r>
        <w:rPr>
          <w:rFonts w:hint="eastAsia" w:ascii="宋体" w:hAnsi="宋体"/>
          <w:color w:val="auto"/>
          <w:sz w:val="24"/>
          <w:highlight w:val="none"/>
        </w:rPr>
        <w:t xml:space="preserve"> </w:t>
      </w:r>
    </w:p>
    <w:p>
      <w:pPr>
        <w:snapToGrid w:val="0"/>
        <w:spacing w:line="360" w:lineRule="auto"/>
        <w:jc w:val="left"/>
        <w:rPr>
          <w:rFonts w:hint="eastAsia" w:ascii="宋体" w:hAnsi="宋体"/>
          <w:color w:val="auto"/>
          <w:sz w:val="24"/>
          <w:highlight w:val="none"/>
        </w:rPr>
      </w:pPr>
      <w:r>
        <w:rPr>
          <w:rFonts w:hint="eastAsia" w:ascii="宋体" w:hAnsi="宋体"/>
          <w:color w:val="auto"/>
          <w:sz w:val="24"/>
          <w:highlight w:val="none"/>
        </w:rPr>
        <w:t xml:space="preserve">法定代表人或者委托代理人（签字）:___________ </w:t>
      </w:r>
    </w:p>
    <w:p>
      <w:pPr>
        <w:pStyle w:val="27"/>
        <w:snapToGrid w:val="0"/>
        <w:spacing w:before="295" w:after="295" w:line="360" w:lineRule="auto"/>
        <w:jc w:val="center"/>
        <w:rPr>
          <w:rFonts w:hint="eastAsia" w:hAnsi="宋体"/>
          <w:color w:val="auto"/>
          <w:sz w:val="24"/>
          <w:szCs w:val="24"/>
          <w:highlight w:val="none"/>
          <w:u w:val="single"/>
        </w:rPr>
      </w:pPr>
      <w:r>
        <w:rPr>
          <w:rFonts w:hint="eastAsia" w:hAnsi="宋体"/>
          <w:color w:val="auto"/>
          <w:sz w:val="24"/>
          <w:highlight w:val="none"/>
        </w:rPr>
        <w:t xml:space="preserve"> </w:t>
      </w:r>
      <w:r>
        <w:rPr>
          <w:rFonts w:hAnsi="宋体"/>
          <w:color w:val="auto"/>
          <w:sz w:val="24"/>
          <w:highlight w:val="none"/>
        </w:rPr>
        <w:t xml:space="preserve">                                   </w:t>
      </w:r>
      <w:r>
        <w:rPr>
          <w:rFonts w:hint="eastAsia" w:hAnsi="宋体"/>
          <w:color w:val="auto"/>
          <w:sz w:val="24"/>
          <w:highlight w:val="none"/>
        </w:rPr>
        <w:t>投标人（盖公章）：</w:t>
      </w:r>
    </w:p>
    <w:p>
      <w:pPr>
        <w:pStyle w:val="27"/>
        <w:snapToGrid w:val="0"/>
        <w:spacing w:before="295" w:after="295" w:line="360" w:lineRule="auto"/>
        <w:rPr>
          <w:rFonts w:hint="eastAsia" w:hAnsi="宋体"/>
          <w:color w:val="auto"/>
          <w:sz w:val="24"/>
          <w:highlight w:val="none"/>
        </w:rPr>
      </w:pPr>
      <w:r>
        <w:rPr>
          <w:rFonts w:hint="eastAsia" w:hAnsi="宋体"/>
          <w:color w:val="auto"/>
          <w:sz w:val="24"/>
          <w:szCs w:val="24"/>
          <w:highlight w:val="none"/>
        </w:rPr>
        <w:t xml:space="preserve">                                                </w:t>
      </w:r>
      <w:r>
        <w:rPr>
          <w:rFonts w:hint="eastAsia" w:hAnsi="宋体"/>
          <w:color w:val="auto"/>
          <w:sz w:val="24"/>
          <w:szCs w:val="24"/>
          <w:highlight w:val="none"/>
          <w:u w:val="single"/>
        </w:rPr>
        <w:t xml:space="preserve">      </w:t>
      </w:r>
      <w:r>
        <w:rPr>
          <w:rFonts w:hint="eastAsia" w:hAnsi="宋体"/>
          <w:color w:val="auto"/>
          <w:sz w:val="24"/>
          <w:szCs w:val="24"/>
          <w:highlight w:val="none"/>
        </w:rPr>
        <w:t>年</w:t>
      </w:r>
      <w:r>
        <w:rPr>
          <w:rFonts w:hint="eastAsia" w:hAnsi="宋体"/>
          <w:color w:val="auto"/>
          <w:sz w:val="24"/>
          <w:szCs w:val="24"/>
          <w:highlight w:val="none"/>
          <w:u w:val="single"/>
        </w:rPr>
        <w:t xml:space="preserve">    </w:t>
      </w:r>
      <w:r>
        <w:rPr>
          <w:rFonts w:hint="eastAsia" w:hAnsi="宋体"/>
          <w:color w:val="auto"/>
          <w:sz w:val="24"/>
          <w:szCs w:val="24"/>
          <w:highlight w:val="none"/>
        </w:rPr>
        <w:t>月</w:t>
      </w:r>
      <w:r>
        <w:rPr>
          <w:rFonts w:hint="eastAsia" w:hAnsi="宋体"/>
          <w:color w:val="auto"/>
          <w:sz w:val="24"/>
          <w:szCs w:val="24"/>
          <w:highlight w:val="none"/>
          <w:u w:val="single"/>
        </w:rPr>
        <w:t xml:space="preserve">     </w:t>
      </w:r>
      <w:r>
        <w:rPr>
          <w:rFonts w:hint="eastAsia" w:hAnsi="宋体"/>
          <w:color w:val="auto"/>
          <w:sz w:val="24"/>
          <w:szCs w:val="24"/>
          <w:highlight w:val="none"/>
        </w:rPr>
        <w:t>日</w:t>
      </w:r>
    </w:p>
    <w:p>
      <w:pPr>
        <w:pStyle w:val="19"/>
        <w:spacing w:before="207"/>
        <w:ind w:left="412"/>
        <w:sectPr>
          <w:pgSz w:w="11910" w:h="16840"/>
          <w:pgMar w:top="1140" w:right="720" w:bottom="1380" w:left="720" w:header="0" w:footer="1200" w:gutter="0"/>
          <w:pgNumType w:fmt="decimal"/>
          <w:cols w:space="720" w:num="1"/>
        </w:sectPr>
      </w:pPr>
    </w:p>
    <w:p>
      <w:pPr>
        <w:pStyle w:val="19"/>
        <w:rPr>
          <w:b/>
          <w:sz w:val="20"/>
        </w:rPr>
      </w:pPr>
    </w:p>
    <w:p>
      <w:pPr>
        <w:pStyle w:val="19"/>
        <w:rPr>
          <w:b/>
          <w:sz w:val="20"/>
        </w:rPr>
      </w:pPr>
    </w:p>
    <w:p>
      <w:pPr>
        <w:pStyle w:val="19"/>
        <w:spacing w:before="4"/>
        <w:rPr>
          <w:b/>
          <w:sz w:val="27"/>
        </w:rPr>
      </w:pPr>
    </w:p>
    <w:p>
      <w:pPr>
        <w:numPr>
          <w:ilvl w:val="0"/>
          <w:numId w:val="90"/>
        </w:numPr>
        <w:tabs>
          <w:tab w:val="left" w:pos="776"/>
        </w:tabs>
        <w:spacing w:before="38"/>
        <w:ind w:hanging="364"/>
        <w:rPr>
          <w:b/>
          <w:sz w:val="24"/>
        </w:rPr>
      </w:pPr>
      <w:r>
        <w:rPr>
          <w:b/>
          <w:sz w:val="24"/>
        </w:rPr>
        <w:t>开标一览表</w:t>
      </w:r>
    </w:p>
    <w:p>
      <w:pPr>
        <w:pStyle w:val="19"/>
        <w:spacing w:before="3"/>
        <w:rPr>
          <w:b/>
          <w:sz w:val="31"/>
        </w:rPr>
      </w:pPr>
      <w:r>
        <w:br w:type="column"/>
      </w:r>
    </w:p>
    <w:p>
      <w:pPr>
        <w:pStyle w:val="10"/>
      </w:pPr>
      <w:r>
        <w:t>开标一览表</w:t>
      </w:r>
    </w:p>
    <w:p>
      <w:pPr>
        <w:sectPr>
          <w:pgSz w:w="11910" w:h="16840"/>
          <w:pgMar w:top="1080" w:right="720" w:bottom="1380" w:left="720" w:header="0" w:footer="1200" w:gutter="0"/>
          <w:pgNumType w:fmt="decimal"/>
          <w:cols w:equalWidth="0" w:num="2">
            <w:col w:w="2020" w:space="2048"/>
            <w:col w:w="6402"/>
          </w:cols>
        </w:sectPr>
      </w:pPr>
    </w:p>
    <w:p>
      <w:pPr>
        <w:pStyle w:val="19"/>
        <w:rPr>
          <w:b/>
          <w:sz w:val="20"/>
        </w:rPr>
      </w:pPr>
    </w:p>
    <w:p>
      <w:pPr>
        <w:pStyle w:val="19"/>
        <w:spacing w:before="5"/>
        <w:rPr>
          <w:b/>
          <w:sz w:val="18"/>
        </w:rPr>
      </w:pPr>
    </w:p>
    <w:p>
      <w:pPr>
        <w:tabs>
          <w:tab w:val="left" w:pos="2991"/>
          <w:tab w:val="left" w:pos="4012"/>
          <w:tab w:val="left" w:pos="6711"/>
        </w:tabs>
        <w:ind w:left="412"/>
        <w:rPr>
          <w:rFonts w:ascii="Times New Roman" w:eastAsia="Times New Roman"/>
          <w:sz w:val="24"/>
        </w:rPr>
      </w:pPr>
      <w:r>
        <w:rPr>
          <w:sz w:val="24"/>
        </w:rPr>
        <w:t>项目名称：</w:t>
      </w:r>
      <w:r>
        <w:rPr>
          <w:sz w:val="24"/>
          <w:u w:val="single"/>
        </w:rPr>
        <w:t xml:space="preserve"> </w:t>
      </w:r>
      <w:r>
        <w:rPr>
          <w:sz w:val="24"/>
          <w:u w:val="single"/>
        </w:rPr>
        <w:tab/>
      </w:r>
      <w:r>
        <w:rPr>
          <w:sz w:val="24"/>
        </w:rPr>
        <w:tab/>
      </w:r>
      <w:r>
        <w:rPr>
          <w:spacing w:val="-1"/>
          <w:sz w:val="24"/>
        </w:rPr>
        <w:t>项</w:t>
      </w:r>
      <w:r>
        <w:rPr>
          <w:sz w:val="24"/>
        </w:rPr>
        <w:t>目编号：</w:t>
      </w:r>
      <w:r>
        <w:rPr>
          <w:rFonts w:ascii="Times New Roman" w:eastAsia="Times New Roman"/>
          <w:sz w:val="24"/>
          <w:u w:val="single"/>
        </w:rPr>
        <w:t xml:space="preserve"> </w:t>
      </w:r>
      <w:r>
        <w:rPr>
          <w:rFonts w:ascii="Times New Roman" w:eastAsia="Times New Roman"/>
          <w:sz w:val="24"/>
          <w:u w:val="single"/>
        </w:rPr>
        <w:tab/>
      </w:r>
    </w:p>
    <w:p>
      <w:pPr>
        <w:pStyle w:val="19"/>
        <w:spacing w:before="10"/>
        <w:rPr>
          <w:rFonts w:ascii="Times New Roman"/>
          <w:sz w:val="11"/>
        </w:rPr>
      </w:pPr>
    </w:p>
    <w:p>
      <w:pPr>
        <w:tabs>
          <w:tab w:val="left" w:pos="4431"/>
          <w:tab w:val="left" w:pos="7132"/>
        </w:tabs>
        <w:spacing w:before="74"/>
        <w:ind w:left="412"/>
        <w:rPr>
          <w:sz w:val="24"/>
        </w:rPr>
      </w:pPr>
      <w:r>
        <w:rPr>
          <w:sz w:val="24"/>
        </w:rPr>
        <w:t>投标人名称：</w:t>
      </w:r>
      <w:r>
        <w:rPr>
          <w:sz w:val="24"/>
          <w:u w:val="single"/>
        </w:rPr>
        <w:t xml:space="preserve"> </w:t>
      </w:r>
      <w:r>
        <w:rPr>
          <w:sz w:val="24"/>
          <w:u w:val="single"/>
        </w:rPr>
        <w:tab/>
      </w:r>
      <w:r>
        <w:rPr>
          <w:sz w:val="24"/>
        </w:rPr>
        <w:tab/>
      </w:r>
      <w:r>
        <w:rPr>
          <w:sz w:val="24"/>
        </w:rPr>
        <w:t>单位：元</w:t>
      </w:r>
    </w:p>
    <w:p>
      <w:pPr>
        <w:pStyle w:val="19"/>
        <w:spacing w:before="2"/>
        <w:rPr>
          <w:sz w:val="16"/>
        </w:rPr>
      </w:pPr>
    </w:p>
    <w:tbl>
      <w:tblPr>
        <w:tblStyle w:val="51"/>
        <w:tblW w:w="9854"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77"/>
        <w:gridCol w:w="2581"/>
        <w:gridCol w:w="1124"/>
        <w:gridCol w:w="1678"/>
        <w:gridCol w:w="1217"/>
        <w:gridCol w:w="24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5" w:hRule="atLeast"/>
        </w:trPr>
        <w:tc>
          <w:tcPr>
            <w:tcW w:w="777" w:type="dxa"/>
          </w:tcPr>
          <w:p>
            <w:pPr>
              <w:pStyle w:val="63"/>
              <w:spacing w:before="129"/>
              <w:ind w:left="48" w:right="119"/>
              <w:jc w:val="center"/>
              <w:rPr>
                <w:b/>
                <w:sz w:val="24"/>
              </w:rPr>
            </w:pPr>
            <w:r>
              <w:rPr>
                <w:b/>
                <w:sz w:val="24"/>
              </w:rPr>
              <w:t>序号</w:t>
            </w:r>
          </w:p>
        </w:tc>
        <w:tc>
          <w:tcPr>
            <w:tcW w:w="2581" w:type="dxa"/>
          </w:tcPr>
          <w:p>
            <w:pPr>
              <w:pStyle w:val="63"/>
              <w:spacing w:before="129"/>
              <w:ind w:left="789" w:right="777"/>
              <w:jc w:val="center"/>
              <w:rPr>
                <w:b/>
                <w:sz w:val="24"/>
              </w:rPr>
            </w:pPr>
            <w:r>
              <w:rPr>
                <w:b/>
                <w:sz w:val="24"/>
              </w:rPr>
              <w:t>货物名称</w:t>
            </w:r>
          </w:p>
        </w:tc>
        <w:tc>
          <w:tcPr>
            <w:tcW w:w="1124" w:type="dxa"/>
          </w:tcPr>
          <w:p>
            <w:pPr>
              <w:pStyle w:val="63"/>
              <w:spacing w:before="129"/>
              <w:ind w:left="322"/>
              <w:rPr>
                <w:b/>
                <w:sz w:val="24"/>
              </w:rPr>
            </w:pPr>
            <w:r>
              <w:rPr>
                <w:b/>
                <w:sz w:val="24"/>
              </w:rPr>
              <w:t>品牌</w:t>
            </w:r>
          </w:p>
        </w:tc>
        <w:tc>
          <w:tcPr>
            <w:tcW w:w="1678" w:type="dxa"/>
          </w:tcPr>
          <w:p>
            <w:pPr>
              <w:pStyle w:val="63"/>
              <w:spacing w:before="129"/>
              <w:ind w:left="119"/>
              <w:rPr>
                <w:b/>
                <w:sz w:val="24"/>
              </w:rPr>
            </w:pPr>
            <w:r>
              <w:rPr>
                <w:b/>
                <w:sz w:val="24"/>
              </w:rPr>
              <w:t>数量及单位①</w:t>
            </w:r>
          </w:p>
        </w:tc>
        <w:tc>
          <w:tcPr>
            <w:tcW w:w="1217" w:type="dxa"/>
          </w:tcPr>
          <w:p>
            <w:pPr>
              <w:pStyle w:val="63"/>
              <w:spacing w:before="129"/>
              <w:ind w:left="246"/>
              <w:rPr>
                <w:b/>
                <w:sz w:val="24"/>
              </w:rPr>
            </w:pPr>
            <w:r>
              <w:rPr>
                <w:b/>
                <w:sz w:val="24"/>
              </w:rPr>
              <w:t>单价②</w:t>
            </w:r>
          </w:p>
        </w:tc>
        <w:tc>
          <w:tcPr>
            <w:tcW w:w="2477" w:type="dxa"/>
          </w:tcPr>
          <w:p>
            <w:pPr>
              <w:pStyle w:val="63"/>
              <w:spacing w:before="129"/>
              <w:ind w:left="217"/>
              <w:rPr>
                <w:b/>
                <w:sz w:val="24"/>
              </w:rPr>
            </w:pPr>
            <w:r>
              <w:rPr>
                <w:b/>
                <w:sz w:val="24"/>
              </w:rPr>
              <w:t>投标报价③=①×②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777" w:type="dxa"/>
          </w:tcPr>
          <w:p>
            <w:pPr>
              <w:pStyle w:val="63"/>
              <w:spacing w:before="52"/>
              <w:ind w:left="7"/>
              <w:jc w:val="center"/>
              <w:rPr>
                <w:b/>
                <w:sz w:val="24"/>
              </w:rPr>
            </w:pPr>
            <w:r>
              <w:rPr>
                <w:b/>
                <w:w w:val="99"/>
                <w:sz w:val="24"/>
              </w:rPr>
              <w:t>1</w:t>
            </w:r>
          </w:p>
        </w:tc>
        <w:tc>
          <w:tcPr>
            <w:tcW w:w="2581" w:type="dxa"/>
          </w:tcPr>
          <w:p>
            <w:pPr>
              <w:pStyle w:val="63"/>
              <w:rPr>
                <w:rFonts w:ascii="Times New Roman"/>
                <w:sz w:val="20"/>
              </w:rPr>
            </w:pPr>
          </w:p>
        </w:tc>
        <w:tc>
          <w:tcPr>
            <w:tcW w:w="1124" w:type="dxa"/>
          </w:tcPr>
          <w:p>
            <w:pPr>
              <w:pStyle w:val="63"/>
              <w:rPr>
                <w:rFonts w:ascii="Times New Roman"/>
                <w:sz w:val="20"/>
              </w:rPr>
            </w:pPr>
          </w:p>
        </w:tc>
        <w:tc>
          <w:tcPr>
            <w:tcW w:w="1678" w:type="dxa"/>
          </w:tcPr>
          <w:p>
            <w:pPr>
              <w:pStyle w:val="63"/>
              <w:rPr>
                <w:rFonts w:ascii="Times New Roman"/>
                <w:sz w:val="20"/>
              </w:rPr>
            </w:pPr>
          </w:p>
        </w:tc>
        <w:tc>
          <w:tcPr>
            <w:tcW w:w="1217" w:type="dxa"/>
          </w:tcPr>
          <w:p>
            <w:pPr>
              <w:pStyle w:val="63"/>
              <w:rPr>
                <w:rFonts w:ascii="Times New Roman"/>
                <w:sz w:val="20"/>
              </w:rPr>
            </w:pPr>
          </w:p>
        </w:tc>
        <w:tc>
          <w:tcPr>
            <w:tcW w:w="2477" w:type="dxa"/>
          </w:tcPr>
          <w:p>
            <w:pPr>
              <w:pStyle w:val="63"/>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trPr>
        <w:tc>
          <w:tcPr>
            <w:tcW w:w="777" w:type="dxa"/>
          </w:tcPr>
          <w:p>
            <w:pPr>
              <w:pStyle w:val="63"/>
              <w:spacing w:before="51"/>
              <w:ind w:left="7"/>
              <w:jc w:val="center"/>
              <w:rPr>
                <w:b/>
                <w:sz w:val="24"/>
              </w:rPr>
            </w:pPr>
            <w:r>
              <w:rPr>
                <w:b/>
                <w:w w:val="99"/>
                <w:sz w:val="24"/>
              </w:rPr>
              <w:t>2</w:t>
            </w:r>
          </w:p>
        </w:tc>
        <w:tc>
          <w:tcPr>
            <w:tcW w:w="2581" w:type="dxa"/>
          </w:tcPr>
          <w:p>
            <w:pPr>
              <w:pStyle w:val="63"/>
              <w:rPr>
                <w:rFonts w:ascii="Times New Roman"/>
                <w:sz w:val="20"/>
              </w:rPr>
            </w:pPr>
          </w:p>
        </w:tc>
        <w:tc>
          <w:tcPr>
            <w:tcW w:w="1124" w:type="dxa"/>
          </w:tcPr>
          <w:p>
            <w:pPr>
              <w:pStyle w:val="63"/>
              <w:rPr>
                <w:rFonts w:ascii="Times New Roman"/>
                <w:sz w:val="20"/>
              </w:rPr>
            </w:pPr>
          </w:p>
        </w:tc>
        <w:tc>
          <w:tcPr>
            <w:tcW w:w="1678" w:type="dxa"/>
          </w:tcPr>
          <w:p>
            <w:pPr>
              <w:pStyle w:val="63"/>
              <w:rPr>
                <w:rFonts w:ascii="Times New Roman"/>
                <w:sz w:val="20"/>
              </w:rPr>
            </w:pPr>
          </w:p>
        </w:tc>
        <w:tc>
          <w:tcPr>
            <w:tcW w:w="1217" w:type="dxa"/>
          </w:tcPr>
          <w:p>
            <w:pPr>
              <w:pStyle w:val="63"/>
              <w:rPr>
                <w:rFonts w:ascii="Times New Roman"/>
                <w:sz w:val="20"/>
              </w:rPr>
            </w:pPr>
          </w:p>
        </w:tc>
        <w:tc>
          <w:tcPr>
            <w:tcW w:w="2477" w:type="dxa"/>
          </w:tcPr>
          <w:p>
            <w:pPr>
              <w:pStyle w:val="63"/>
              <w:rPr>
                <w:rFonts w:ascii="Times New Roman"/>
                <w:sz w:val="20"/>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6" w:hRule="atLeast"/>
        </w:trPr>
        <w:tc>
          <w:tcPr>
            <w:tcW w:w="777" w:type="dxa"/>
          </w:tcPr>
          <w:p>
            <w:pPr>
              <w:pStyle w:val="63"/>
              <w:spacing w:before="50"/>
              <w:ind w:left="87" w:right="80"/>
              <w:jc w:val="center"/>
              <w:rPr>
                <w:b/>
                <w:sz w:val="24"/>
              </w:rPr>
            </w:pPr>
            <w:r>
              <w:rPr>
                <w:b/>
                <w:sz w:val="24"/>
              </w:rPr>
              <w:t>……</w:t>
            </w:r>
          </w:p>
        </w:tc>
        <w:tc>
          <w:tcPr>
            <w:tcW w:w="2581" w:type="dxa"/>
          </w:tcPr>
          <w:p>
            <w:pPr>
              <w:pStyle w:val="63"/>
              <w:spacing w:before="50"/>
              <w:ind w:left="786" w:right="777"/>
              <w:jc w:val="center"/>
              <w:rPr>
                <w:b/>
                <w:sz w:val="24"/>
              </w:rPr>
            </w:pPr>
            <w:r>
              <w:rPr>
                <w:b/>
                <w:sz w:val="24"/>
              </w:rPr>
              <w:t>……</w:t>
            </w:r>
          </w:p>
        </w:tc>
        <w:tc>
          <w:tcPr>
            <w:tcW w:w="1124" w:type="dxa"/>
          </w:tcPr>
          <w:p>
            <w:pPr>
              <w:pStyle w:val="63"/>
              <w:rPr>
                <w:rFonts w:ascii="Times New Roman"/>
                <w:sz w:val="20"/>
              </w:rPr>
            </w:pPr>
          </w:p>
        </w:tc>
        <w:tc>
          <w:tcPr>
            <w:tcW w:w="1678" w:type="dxa"/>
          </w:tcPr>
          <w:p>
            <w:pPr>
              <w:pStyle w:val="63"/>
              <w:rPr>
                <w:rFonts w:ascii="Times New Roman"/>
                <w:sz w:val="20"/>
              </w:rPr>
            </w:pPr>
          </w:p>
        </w:tc>
        <w:tc>
          <w:tcPr>
            <w:tcW w:w="1217" w:type="dxa"/>
          </w:tcPr>
          <w:p>
            <w:pPr>
              <w:pStyle w:val="63"/>
              <w:rPr>
                <w:rFonts w:ascii="Times New Roman"/>
                <w:sz w:val="20"/>
              </w:rPr>
            </w:pPr>
          </w:p>
        </w:tc>
        <w:tc>
          <w:tcPr>
            <w:tcW w:w="2477" w:type="dxa"/>
          </w:tcPr>
          <w:p>
            <w:pPr>
              <w:pStyle w:val="63"/>
              <w:rPr>
                <w:rFonts w:ascii="Times New Roman"/>
                <w:sz w:val="20"/>
              </w:rPr>
            </w:pPr>
          </w:p>
        </w:tc>
      </w:tr>
    </w:tbl>
    <w:p>
      <w:pPr>
        <w:spacing w:before="51"/>
        <w:ind w:left="412"/>
        <w:rPr>
          <w:sz w:val="24"/>
        </w:rPr>
      </w:pPr>
      <w:r>
        <w:rPr>
          <w:sz w:val="24"/>
        </w:rPr>
        <w:t>注:</w:t>
      </w:r>
    </w:p>
    <w:p>
      <w:pPr>
        <w:pStyle w:val="62"/>
        <w:numPr>
          <w:ilvl w:val="1"/>
          <w:numId w:val="90"/>
        </w:numPr>
        <w:tabs>
          <w:tab w:val="left" w:pos="1044"/>
        </w:tabs>
        <w:spacing w:before="208" w:line="367" w:lineRule="auto"/>
        <w:ind w:right="415" w:firstLine="420"/>
        <w:rPr>
          <w:sz w:val="21"/>
        </w:rPr>
      </w:pPr>
      <w:r>
        <w:rPr>
          <w:sz w:val="21"/>
        </w:rPr>
        <w:t>投标人的开标一览表必须加盖投标人公章并由法定代表人或者委托代理人签字</w:t>
      </w:r>
      <w:r>
        <w:rPr>
          <w:spacing w:val="-1"/>
          <w:w w:val="95"/>
          <w:sz w:val="21"/>
        </w:rPr>
        <w:t>，</w:t>
      </w:r>
      <w:r>
        <w:rPr>
          <w:b/>
          <w:w w:val="95"/>
          <w:sz w:val="21"/>
        </w:rPr>
        <w:t xml:space="preserve">否则其投标作无效   </w:t>
      </w:r>
      <w:r>
        <w:rPr>
          <w:b/>
          <w:sz w:val="21"/>
        </w:rPr>
        <w:t>标处理</w:t>
      </w:r>
      <w:r>
        <w:rPr>
          <w:sz w:val="21"/>
        </w:rPr>
        <w:t>。</w:t>
      </w:r>
    </w:p>
    <w:p>
      <w:pPr>
        <w:pStyle w:val="62"/>
        <w:numPr>
          <w:ilvl w:val="1"/>
          <w:numId w:val="90"/>
        </w:numPr>
        <w:tabs>
          <w:tab w:val="left" w:pos="1044"/>
        </w:tabs>
        <w:spacing w:before="45" w:line="364" w:lineRule="auto"/>
        <w:ind w:right="415" w:firstLine="420"/>
        <w:rPr>
          <w:b/>
          <w:sz w:val="21"/>
        </w:rPr>
      </w:pPr>
      <w:r>
        <w:rPr>
          <w:sz w:val="21"/>
        </w:rPr>
        <w:t>报价一经涂改，应在涂改处加盖投标人公章或者由法定代表人或者授权委托人签字或者盖章</w:t>
      </w:r>
      <w:r>
        <w:rPr>
          <w:b/>
          <w:spacing w:val="-5"/>
          <w:w w:val="95"/>
          <w:sz w:val="21"/>
        </w:rPr>
        <w:t xml:space="preserve">，否则   </w:t>
      </w:r>
      <w:r>
        <w:rPr>
          <w:b/>
          <w:spacing w:val="-5"/>
          <w:sz w:val="21"/>
        </w:rPr>
        <w:t>其投标作无效标处理。</w:t>
      </w:r>
    </w:p>
    <w:p>
      <w:pPr>
        <w:pStyle w:val="62"/>
        <w:numPr>
          <w:ilvl w:val="1"/>
          <w:numId w:val="90"/>
        </w:numPr>
        <w:tabs>
          <w:tab w:val="left" w:pos="1044"/>
        </w:tabs>
        <w:spacing w:before="49"/>
        <w:ind w:left="1044"/>
        <w:rPr>
          <w:sz w:val="21"/>
        </w:rPr>
      </w:pPr>
      <w:r>
        <w:rPr>
          <w:sz w:val="21"/>
        </w:rPr>
        <w:t>招标文件中列明采购专用耗材的，应按招标文件规定的耗材量或者按耗材的常规试用量提供报价。</w:t>
      </w:r>
    </w:p>
    <w:p>
      <w:pPr>
        <w:pStyle w:val="19"/>
        <w:rPr>
          <w:sz w:val="20"/>
        </w:rPr>
      </w:pPr>
    </w:p>
    <w:p>
      <w:pPr>
        <w:pStyle w:val="19"/>
        <w:rPr>
          <w:sz w:val="20"/>
        </w:rPr>
      </w:pPr>
    </w:p>
    <w:p>
      <w:pPr>
        <w:pStyle w:val="19"/>
        <w:rPr>
          <w:sz w:val="20"/>
        </w:rPr>
      </w:pPr>
    </w:p>
    <w:p>
      <w:pPr>
        <w:pStyle w:val="19"/>
        <w:rPr>
          <w:sz w:val="20"/>
        </w:rPr>
      </w:pPr>
    </w:p>
    <w:p>
      <w:pPr>
        <w:pStyle w:val="19"/>
        <w:spacing w:before="4"/>
        <w:rPr>
          <w:sz w:val="15"/>
        </w:rPr>
      </w:pPr>
    </w:p>
    <w:p>
      <w:pPr>
        <w:pStyle w:val="19"/>
        <w:tabs>
          <w:tab w:val="left" w:pos="10334"/>
        </w:tabs>
        <w:ind w:left="4612"/>
        <w:rPr>
          <w:rFonts w:ascii="Times New Roman" w:eastAsia="Times New Roman"/>
        </w:rPr>
      </w:pPr>
      <w:r>
        <w:rPr>
          <w:rFonts w:ascii="宋体" w:hAnsi="宋体" w:eastAsia="宋体" w:cs="宋体"/>
          <w:sz w:val="21"/>
          <w:szCs w:val="22"/>
          <w:lang w:val="zh-CN" w:eastAsia="zh-CN" w:bidi="zh-CN"/>
        </w:rPr>
        <w:t>法定代表人或者委托代理人（签字）</w:t>
      </w:r>
      <w:r>
        <w:rPr>
          <w:w w:val="95"/>
        </w:rPr>
        <w:t>：</w:t>
      </w:r>
      <w:r>
        <w:rPr>
          <w:rFonts w:ascii="Times New Roman" w:eastAsia="Times New Roman"/>
          <w:w w:val="95"/>
          <w:u w:val="single"/>
        </w:rPr>
        <w:t xml:space="preserve"> </w:t>
      </w:r>
      <w:r>
        <w:rPr>
          <w:rFonts w:ascii="Times New Roman" w:eastAsia="Times New Roman"/>
          <w:u w:val="single"/>
        </w:rPr>
        <w:tab/>
      </w:r>
    </w:p>
    <w:p>
      <w:pPr>
        <w:pStyle w:val="19"/>
        <w:rPr>
          <w:rFonts w:ascii="Times New Roman"/>
          <w:sz w:val="20"/>
        </w:rPr>
      </w:pPr>
    </w:p>
    <w:p>
      <w:pPr>
        <w:pStyle w:val="19"/>
        <w:spacing w:before="10"/>
        <w:rPr>
          <w:rFonts w:ascii="Times New Roman"/>
          <w:sz w:val="29"/>
        </w:rPr>
      </w:pPr>
    </w:p>
    <w:p>
      <w:pPr>
        <w:pStyle w:val="19"/>
        <w:tabs>
          <w:tab w:val="left" w:pos="10305"/>
        </w:tabs>
        <w:spacing w:before="77"/>
        <w:ind w:left="4584"/>
        <w:rPr>
          <w:rFonts w:ascii="Times New Roman" w:eastAsia="Times New Roman"/>
        </w:rPr>
      </w:pPr>
      <w:r>
        <w:rPr>
          <w:rFonts w:ascii="宋体" w:hAnsi="宋体" w:eastAsia="宋体" w:cs="宋体"/>
          <w:sz w:val="21"/>
          <w:szCs w:val="22"/>
          <w:lang w:val="zh-CN" w:eastAsia="zh-CN" w:bidi="zh-CN"/>
        </w:rPr>
        <w:t>投标人（盖公章）</w:t>
      </w:r>
      <w:r>
        <w:rPr>
          <w:w w:val="95"/>
        </w:rPr>
        <w:t>：</w:t>
      </w:r>
      <w:r>
        <w:rPr>
          <w:rFonts w:ascii="Times New Roman" w:eastAsia="Times New Roman"/>
          <w:w w:val="95"/>
          <w:u w:val="single"/>
        </w:rPr>
        <w:t xml:space="preserve"> </w:t>
      </w:r>
      <w:r>
        <w:rPr>
          <w:rFonts w:ascii="Times New Roman" w:eastAsia="Times New Roman"/>
          <w:u w:val="single"/>
        </w:rPr>
        <w:tab/>
      </w:r>
    </w:p>
    <w:p>
      <w:pPr>
        <w:pStyle w:val="19"/>
        <w:rPr>
          <w:rFonts w:ascii="Times New Roman"/>
          <w:sz w:val="20"/>
        </w:rPr>
      </w:pPr>
    </w:p>
    <w:p>
      <w:pPr>
        <w:pStyle w:val="19"/>
        <w:rPr>
          <w:rFonts w:ascii="Times New Roman"/>
          <w:sz w:val="20"/>
        </w:rPr>
      </w:pPr>
    </w:p>
    <w:p>
      <w:pPr>
        <w:pStyle w:val="19"/>
        <w:spacing w:before="3"/>
        <w:rPr>
          <w:rFonts w:ascii="Times New Roman"/>
          <w:sz w:val="16"/>
        </w:rPr>
      </w:pPr>
    </w:p>
    <w:p>
      <w:pPr>
        <w:pStyle w:val="19"/>
        <w:tabs>
          <w:tab w:val="left" w:pos="2059"/>
          <w:tab w:val="left" w:pos="2585"/>
          <w:tab w:val="left" w:pos="3110"/>
        </w:tabs>
        <w:ind w:left="1011"/>
        <w:jc w:val="center"/>
      </w:pPr>
      <w:r>
        <w:t>日期：</w:t>
      </w:r>
      <w:r>
        <w:tab/>
      </w:r>
      <w:r>
        <w:t>年</w:t>
      </w:r>
      <w:r>
        <w:tab/>
      </w:r>
      <w:r>
        <w:t>月</w:t>
      </w:r>
      <w:r>
        <w:tab/>
      </w:r>
      <w:r>
        <w:t>日</w:t>
      </w:r>
    </w:p>
    <w:p>
      <w:pPr>
        <w:jc w:val="center"/>
        <w:sectPr>
          <w:type w:val="continuous"/>
          <w:pgSz w:w="11910" w:h="16840"/>
          <w:pgMar w:top="1240" w:right="720" w:bottom="280" w:left="720" w:header="720" w:footer="720" w:gutter="0"/>
          <w:pgNumType w:fmt="decimal"/>
          <w:cols w:space="720" w:num="1"/>
        </w:sectPr>
      </w:pPr>
    </w:p>
    <w:p>
      <w:pPr>
        <w:pStyle w:val="11"/>
        <w:spacing w:before="48"/>
      </w:pPr>
      <w:r>
        <w:t>三、资格证明文件格式</w:t>
      </w:r>
    </w:p>
    <w:p>
      <w:pPr>
        <w:pStyle w:val="19"/>
        <w:spacing w:before="11"/>
        <w:rPr>
          <w:b/>
          <w:sz w:val="23"/>
        </w:rPr>
      </w:pPr>
    </w:p>
    <w:p>
      <w:pPr>
        <w:numPr>
          <w:ilvl w:val="0"/>
          <w:numId w:val="91"/>
        </w:numPr>
        <w:tabs>
          <w:tab w:val="left" w:pos="833"/>
        </w:tabs>
        <w:ind w:hanging="421"/>
        <w:rPr>
          <w:b/>
          <w:sz w:val="24"/>
        </w:rPr>
      </w:pPr>
      <w:r>
        <w:rPr>
          <w:b/>
          <w:sz w:val="24"/>
        </w:rPr>
        <w:t>资格证明文件封面格式：</w:t>
      </w:r>
    </w:p>
    <w:p>
      <w:pPr>
        <w:pStyle w:val="19"/>
        <w:spacing w:before="8"/>
        <w:rPr>
          <w:b/>
        </w:rPr>
      </w:pPr>
    </w:p>
    <w:p>
      <w:pPr>
        <w:pStyle w:val="19"/>
        <w:ind w:left="6652"/>
      </w:pPr>
      <w:r>
        <w:t>正本/副本</w:t>
      </w:r>
    </w:p>
    <w:p>
      <w:pPr>
        <w:pStyle w:val="19"/>
        <w:rPr>
          <w:sz w:val="20"/>
        </w:rPr>
      </w:pPr>
    </w:p>
    <w:p>
      <w:pPr>
        <w:pStyle w:val="19"/>
        <w:spacing w:before="11"/>
        <w:rPr>
          <w:sz w:val="23"/>
        </w:rPr>
      </w:pPr>
    </w:p>
    <w:p>
      <w:pPr>
        <w:ind w:right="1"/>
        <w:jc w:val="center"/>
        <w:rPr>
          <w:sz w:val="96"/>
        </w:rPr>
      </w:pPr>
      <w:r>
        <w:rPr>
          <w:sz w:val="96"/>
        </w:rPr>
        <w:t>资格证明文件</w:t>
      </w:r>
    </w:p>
    <w:p>
      <w:pPr>
        <w:pStyle w:val="19"/>
        <w:rPr>
          <w:sz w:val="96"/>
        </w:rPr>
      </w:pPr>
    </w:p>
    <w:p>
      <w:pPr>
        <w:pStyle w:val="19"/>
        <w:rPr>
          <w:sz w:val="96"/>
        </w:rPr>
      </w:pPr>
    </w:p>
    <w:p>
      <w:pPr>
        <w:pStyle w:val="19"/>
        <w:rPr>
          <w:sz w:val="96"/>
        </w:rPr>
      </w:pPr>
    </w:p>
    <w:p>
      <w:pPr>
        <w:pStyle w:val="19"/>
        <w:spacing w:before="4"/>
        <w:rPr>
          <w:sz w:val="143"/>
        </w:rPr>
      </w:pPr>
    </w:p>
    <w:p>
      <w:pPr>
        <w:tabs>
          <w:tab w:val="left" w:pos="6352"/>
        </w:tabs>
        <w:ind w:left="772"/>
        <w:rPr>
          <w:rFonts w:ascii="Times New Roman" w:eastAsia="Times New Roman"/>
          <w:sz w:val="24"/>
        </w:rPr>
      </w:pPr>
      <w:r>
        <w:rPr>
          <w:sz w:val="24"/>
        </w:rPr>
        <w:t>项目名称：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7"/>
        <w:ind w:left="772"/>
        <w:rPr>
          <w:rFonts w:ascii="Times New Roman" w:eastAsia="Times New Roman"/>
          <w:sz w:val="24"/>
        </w:rPr>
      </w:pPr>
      <w:r>
        <w:rPr>
          <w:sz w:val="24"/>
        </w:rPr>
        <w:t>项目编号：</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4"/>
        <w:ind w:left="772"/>
        <w:rPr>
          <w:rFonts w:ascii="Times New Roman" w:eastAsia="Times New Roman"/>
          <w:sz w:val="24"/>
        </w:rPr>
      </w:pPr>
      <w:r>
        <w:rPr>
          <w:sz w:val="24"/>
        </w:rPr>
        <w:t>投标人名称：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4"/>
        <w:ind w:left="772"/>
        <w:rPr>
          <w:rFonts w:ascii="Times New Roman" w:eastAsia="Times New Roman"/>
          <w:sz w:val="24"/>
        </w:rPr>
      </w:pPr>
      <w:r>
        <w:rPr>
          <w:sz w:val="24"/>
        </w:rPr>
        <w:t>投标人地址：</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pStyle w:val="19"/>
        <w:rPr>
          <w:rFonts w:ascii="Times New Roman"/>
          <w:sz w:val="20"/>
        </w:rPr>
      </w:pPr>
    </w:p>
    <w:p>
      <w:pPr>
        <w:pStyle w:val="19"/>
        <w:rPr>
          <w:rFonts w:ascii="Times New Roman"/>
          <w:sz w:val="20"/>
        </w:rPr>
      </w:pPr>
    </w:p>
    <w:p>
      <w:pPr>
        <w:pStyle w:val="19"/>
        <w:spacing w:before="1"/>
        <w:rPr>
          <w:rFonts w:ascii="Times New Roman"/>
          <w:sz w:val="18"/>
        </w:rPr>
      </w:pPr>
    </w:p>
    <w:p>
      <w:pPr>
        <w:tabs>
          <w:tab w:val="left" w:pos="1999"/>
          <w:tab w:val="left" w:pos="2479"/>
        </w:tabs>
        <w:spacing w:before="66"/>
        <w:ind w:left="739"/>
        <w:jc w:val="center"/>
        <w:rPr>
          <w:sz w:val="24"/>
        </w:rPr>
      </w:pPr>
      <w:r>
        <w:rPr>
          <w:sz w:val="24"/>
        </w:rPr>
        <w:t>2021</w:t>
      </w:r>
      <w:r>
        <w:rPr>
          <w:spacing w:val="-60"/>
          <w:sz w:val="24"/>
        </w:rPr>
        <w:t xml:space="preserve"> </w:t>
      </w:r>
      <w:r>
        <w:rPr>
          <w:sz w:val="24"/>
        </w:rPr>
        <w:t>年</w:t>
      </w:r>
      <w:r>
        <w:rPr>
          <w:sz w:val="24"/>
        </w:rPr>
        <w:tab/>
      </w:r>
      <w:r>
        <w:rPr>
          <w:sz w:val="24"/>
        </w:rPr>
        <w:t>月</w:t>
      </w:r>
      <w:r>
        <w:rPr>
          <w:sz w:val="24"/>
        </w:rPr>
        <w:tab/>
      </w:r>
      <w:r>
        <w:rPr>
          <w:sz w:val="24"/>
        </w:rPr>
        <w:t>日</w:t>
      </w:r>
    </w:p>
    <w:p>
      <w:pPr>
        <w:jc w:val="center"/>
        <w:rPr>
          <w:sz w:val="24"/>
        </w:rPr>
        <w:sectPr>
          <w:pgSz w:w="11910" w:h="16840"/>
          <w:pgMar w:top="1140" w:right="720" w:bottom="1380" w:left="720" w:header="0" w:footer="1200" w:gutter="0"/>
          <w:pgNumType w:fmt="decimal"/>
          <w:cols w:space="720" w:num="1"/>
        </w:sectPr>
      </w:pPr>
    </w:p>
    <w:p>
      <w:pPr>
        <w:numPr>
          <w:ilvl w:val="0"/>
          <w:numId w:val="91"/>
        </w:numPr>
        <w:tabs>
          <w:tab w:val="left" w:pos="833"/>
        </w:tabs>
        <w:spacing w:before="48"/>
        <w:ind w:hanging="421"/>
        <w:rPr>
          <w:b/>
          <w:sz w:val="24"/>
        </w:rPr>
      </w:pPr>
      <w:r>
        <w:rPr>
          <w:b/>
          <w:sz w:val="24"/>
        </w:rPr>
        <w:t>资格证明文件目录</w:t>
      </w:r>
    </w:p>
    <w:p>
      <w:pPr>
        <w:spacing w:before="208"/>
        <w:ind w:left="892"/>
        <w:rPr>
          <w:sz w:val="24"/>
        </w:rPr>
      </w:pPr>
      <w:r>
        <w:rPr>
          <w:sz w:val="24"/>
        </w:rPr>
        <w:t>根据招标文件规定及投标人提供的材料自行编写目录。</w:t>
      </w:r>
    </w:p>
    <w:p>
      <w:pPr>
        <w:rPr>
          <w:sz w:val="24"/>
        </w:rPr>
        <w:sectPr>
          <w:footerReference r:id="rId9" w:type="default"/>
          <w:pgSz w:w="11910" w:h="16840"/>
          <w:pgMar w:top="1140" w:right="720" w:bottom="1380" w:left="720" w:header="0" w:footer="1200" w:gutter="0"/>
          <w:pgNumType w:fmt="decimal"/>
          <w:cols w:space="720" w:num="1"/>
        </w:sectPr>
      </w:pPr>
    </w:p>
    <w:p>
      <w:pPr>
        <w:numPr>
          <w:ilvl w:val="0"/>
          <w:numId w:val="91"/>
        </w:numPr>
        <w:tabs>
          <w:tab w:val="left" w:pos="833"/>
        </w:tabs>
        <w:spacing w:before="40"/>
        <w:ind w:hanging="421"/>
        <w:rPr>
          <w:b/>
          <w:sz w:val="24"/>
        </w:rPr>
      </w:pPr>
      <w:r>
        <w:rPr>
          <w:b/>
          <w:sz w:val="24"/>
        </w:rPr>
        <w:t>投标声明</w:t>
      </w:r>
    </w:p>
    <w:p>
      <w:pPr>
        <w:pStyle w:val="19"/>
        <w:rPr>
          <w:b/>
          <w:sz w:val="20"/>
        </w:rPr>
      </w:pPr>
    </w:p>
    <w:p>
      <w:pPr>
        <w:pStyle w:val="8"/>
        <w:spacing w:before="192"/>
      </w:pPr>
      <w:r>
        <w:t>投标声明</w:t>
      </w:r>
    </w:p>
    <w:p>
      <w:pPr>
        <w:pStyle w:val="19"/>
        <w:rPr>
          <w:b/>
          <w:sz w:val="20"/>
        </w:rPr>
      </w:pPr>
    </w:p>
    <w:p>
      <w:pPr>
        <w:pStyle w:val="19"/>
        <w:rPr>
          <w:b/>
          <w:sz w:val="20"/>
        </w:rPr>
      </w:pPr>
    </w:p>
    <w:p>
      <w:pPr>
        <w:pStyle w:val="19"/>
        <w:spacing w:before="3"/>
        <w:rPr>
          <w:b/>
          <w:sz w:val="18"/>
        </w:rPr>
      </w:pPr>
    </w:p>
    <w:p>
      <w:pPr>
        <w:spacing w:before="66"/>
        <w:ind w:left="412"/>
        <w:rPr>
          <w:sz w:val="24"/>
        </w:rPr>
      </w:pPr>
      <w:r>
        <w:rPr>
          <w:sz w:val="24"/>
        </w:rPr>
        <w:t>（采购人名称）：</w:t>
      </w:r>
    </w:p>
    <w:p>
      <w:pPr>
        <w:pStyle w:val="19"/>
        <w:spacing w:before="2"/>
        <w:rPr>
          <w:sz w:val="29"/>
        </w:rPr>
      </w:pPr>
    </w:p>
    <w:p>
      <w:pPr>
        <w:tabs>
          <w:tab w:val="left" w:pos="4538"/>
          <w:tab w:val="left" w:pos="7298"/>
        </w:tabs>
        <w:spacing w:before="1" w:line="436" w:lineRule="auto"/>
        <w:ind w:left="412" w:right="525" w:firstLine="405"/>
        <w:rPr>
          <w:sz w:val="24"/>
        </w:rPr>
      </w:pPr>
      <w:r>
        <w:rPr>
          <w:sz w:val="24"/>
        </w:rPr>
        <w:t>我方参加贵单位组织</w:t>
      </w:r>
      <w:r>
        <w:rPr>
          <w:sz w:val="24"/>
          <w:u w:val="single"/>
        </w:rPr>
        <w:t xml:space="preserve"> </w:t>
      </w:r>
      <w:r>
        <w:rPr>
          <w:sz w:val="24"/>
          <w:u w:val="single"/>
        </w:rPr>
        <w:tab/>
      </w:r>
      <w:r>
        <w:rPr>
          <w:sz w:val="24"/>
        </w:rPr>
        <w:t>项目（项目编号：</w:t>
      </w:r>
      <w:r>
        <w:rPr>
          <w:sz w:val="24"/>
          <w:u w:val="single"/>
        </w:rPr>
        <w:t xml:space="preserve"> </w:t>
      </w:r>
      <w:r>
        <w:rPr>
          <w:sz w:val="24"/>
          <w:u w:val="single"/>
        </w:rPr>
        <w:tab/>
      </w:r>
      <w:r>
        <w:rPr>
          <w:sz w:val="24"/>
        </w:rPr>
        <w:t>）的政府采购活动。我</w:t>
      </w:r>
      <w:r>
        <w:rPr>
          <w:spacing w:val="-17"/>
          <w:sz w:val="24"/>
        </w:rPr>
        <w:t>方</w:t>
      </w:r>
      <w:r>
        <w:rPr>
          <w:sz w:val="24"/>
        </w:rPr>
        <w:t>在此郑重声明：</w:t>
      </w:r>
    </w:p>
    <w:p>
      <w:pPr>
        <w:numPr>
          <w:ilvl w:val="1"/>
          <w:numId w:val="91"/>
        </w:numPr>
        <w:tabs>
          <w:tab w:val="left" w:pos="1134"/>
        </w:tabs>
        <w:spacing w:before="119" w:line="436" w:lineRule="auto"/>
        <w:ind w:right="451" w:firstLine="480"/>
        <w:jc w:val="both"/>
        <w:rPr>
          <w:sz w:val="24"/>
        </w:rPr>
      </w:pPr>
      <w:r>
        <w:rPr>
          <w:sz w:val="24"/>
        </w:rPr>
        <w:t>我方参加本项目的政府采购活动前三年内在经营活动中没有重大违法记录（</w:t>
      </w:r>
      <w:r>
        <w:rPr>
          <w:spacing w:val="-5"/>
          <w:sz w:val="24"/>
        </w:rPr>
        <w:t>重大违法</w:t>
      </w:r>
      <w:r>
        <w:rPr>
          <w:spacing w:val="-1"/>
          <w:sz w:val="24"/>
        </w:rPr>
        <w:t>记录是指供应商因违法经营受到刑事处罚或者责令停产停业、吊销许可证或者执照、较大数</w:t>
      </w:r>
      <w:r>
        <w:rPr>
          <w:sz w:val="24"/>
        </w:rPr>
        <w:t>额罚款等行政处罚），</w:t>
      </w:r>
      <w:r>
        <w:rPr>
          <w:spacing w:val="-1"/>
          <w:sz w:val="24"/>
        </w:rPr>
        <w:t>未被列入失信被执行人、重大税收违法案件当事人名单、政府采购严重违法失信行为记录名单，完全符合《中华人民共和国政府采购法》第二十二条规定的供应</w:t>
      </w:r>
      <w:r>
        <w:rPr>
          <w:sz w:val="24"/>
        </w:rPr>
        <w:t>商资格条件，我方对此声明负全部法律责任。</w:t>
      </w:r>
    </w:p>
    <w:p>
      <w:pPr>
        <w:numPr>
          <w:ilvl w:val="1"/>
          <w:numId w:val="91"/>
        </w:numPr>
        <w:tabs>
          <w:tab w:val="left" w:pos="1253"/>
        </w:tabs>
        <w:spacing w:before="122" w:line="436" w:lineRule="auto"/>
        <w:ind w:right="412" w:firstLine="480"/>
        <w:jc w:val="both"/>
        <w:rPr>
          <w:sz w:val="24"/>
        </w:rPr>
      </w:pPr>
      <w:r>
        <w:rPr>
          <w:spacing w:val="-7"/>
          <w:sz w:val="24"/>
        </w:rPr>
        <w:t>我方不是采购人的附属机构；不是为本次采购项目提供整体设计、规范编制或者项目</w:t>
      </w:r>
      <w:r>
        <w:rPr>
          <w:sz w:val="24"/>
        </w:rPr>
        <w:t>管理、监理、检测等服务的供应商；在获知本项目采购信息后，与采购人聘请的为此项目提供咨询服务的公司及其附属机构没有任何联系。</w:t>
      </w:r>
    </w:p>
    <w:p>
      <w:pPr>
        <w:numPr>
          <w:ilvl w:val="1"/>
          <w:numId w:val="91"/>
        </w:numPr>
        <w:tabs>
          <w:tab w:val="left" w:pos="1253"/>
        </w:tabs>
        <w:spacing w:before="121"/>
        <w:ind w:left="1252" w:hanging="361"/>
        <w:jc w:val="both"/>
        <w:rPr>
          <w:sz w:val="24"/>
        </w:rPr>
      </w:pPr>
      <w:r>
        <w:rPr>
          <w:sz w:val="24"/>
        </w:rPr>
        <w:t>我方承诺符合《中华人民共和国政府采购法》第二十二条规定：</w:t>
      </w:r>
    </w:p>
    <w:p>
      <w:pPr>
        <w:pStyle w:val="19"/>
        <w:rPr>
          <w:sz w:val="29"/>
        </w:rPr>
      </w:pPr>
    </w:p>
    <w:p>
      <w:pPr>
        <w:ind w:left="892"/>
        <w:rPr>
          <w:sz w:val="24"/>
        </w:rPr>
      </w:pPr>
      <w:r>
        <w:rPr>
          <w:sz w:val="24"/>
        </w:rPr>
        <w:t>（一）具有独立承担民事责任的能力；</w:t>
      </w:r>
    </w:p>
    <w:p>
      <w:pPr>
        <w:pStyle w:val="19"/>
        <w:spacing w:before="3"/>
        <w:rPr>
          <w:sz w:val="29"/>
        </w:rPr>
      </w:pPr>
    </w:p>
    <w:p>
      <w:pPr>
        <w:ind w:left="892"/>
        <w:rPr>
          <w:sz w:val="24"/>
        </w:rPr>
      </w:pPr>
      <w:r>
        <w:rPr>
          <w:sz w:val="24"/>
        </w:rPr>
        <w:t>（二）具有良好的商业信誉和健全的财务会计制度；</w:t>
      </w:r>
    </w:p>
    <w:p>
      <w:pPr>
        <w:pStyle w:val="19"/>
        <w:rPr>
          <w:sz w:val="29"/>
        </w:rPr>
      </w:pPr>
    </w:p>
    <w:p>
      <w:pPr>
        <w:ind w:left="892"/>
        <w:rPr>
          <w:sz w:val="24"/>
        </w:rPr>
      </w:pPr>
      <w:r>
        <w:rPr>
          <w:sz w:val="24"/>
        </w:rPr>
        <w:t>（三）具有履行合同所必需的设备和专业技术能力；</w:t>
      </w:r>
    </w:p>
    <w:p>
      <w:pPr>
        <w:pStyle w:val="19"/>
        <w:rPr>
          <w:sz w:val="29"/>
        </w:rPr>
      </w:pPr>
    </w:p>
    <w:p>
      <w:pPr>
        <w:ind w:left="892"/>
        <w:rPr>
          <w:sz w:val="24"/>
        </w:rPr>
      </w:pPr>
      <w:r>
        <w:rPr>
          <w:sz w:val="24"/>
        </w:rPr>
        <w:t>（四）有依法缴纳税收和社会保障资金的良好记录；</w:t>
      </w:r>
    </w:p>
    <w:p>
      <w:pPr>
        <w:pStyle w:val="19"/>
        <w:spacing w:before="3"/>
        <w:rPr>
          <w:sz w:val="29"/>
        </w:rPr>
      </w:pPr>
    </w:p>
    <w:p>
      <w:pPr>
        <w:ind w:left="892"/>
        <w:rPr>
          <w:sz w:val="24"/>
        </w:rPr>
      </w:pPr>
      <w:r>
        <w:rPr>
          <w:sz w:val="24"/>
        </w:rPr>
        <w:t>（五）参加政府采购活动前三年内，在经营活动中没有重大违法记录；</w:t>
      </w:r>
    </w:p>
    <w:p>
      <w:pPr>
        <w:pStyle w:val="19"/>
        <w:rPr>
          <w:sz w:val="29"/>
        </w:rPr>
      </w:pPr>
    </w:p>
    <w:p>
      <w:pPr>
        <w:ind w:left="892"/>
        <w:rPr>
          <w:sz w:val="24"/>
        </w:rPr>
      </w:pPr>
      <w:r>
        <w:rPr>
          <w:sz w:val="24"/>
        </w:rPr>
        <w:t>（六）法律、行政法规规定的其他条件。</w:t>
      </w:r>
    </w:p>
    <w:p>
      <w:pPr>
        <w:pStyle w:val="19"/>
        <w:rPr>
          <w:sz w:val="29"/>
        </w:rPr>
      </w:pPr>
    </w:p>
    <w:p>
      <w:pPr>
        <w:numPr>
          <w:ilvl w:val="1"/>
          <w:numId w:val="91"/>
        </w:numPr>
        <w:tabs>
          <w:tab w:val="left" w:pos="1134"/>
        </w:tabs>
        <w:ind w:left="1133" w:hanging="242"/>
        <w:rPr>
          <w:sz w:val="24"/>
        </w:rPr>
      </w:pPr>
      <w:r>
        <w:rPr>
          <w:sz w:val="24"/>
        </w:rPr>
        <w:t>以上事项如有虚假或者隐瞒，我方愿意承担一切后果，并不再寻求任何旨在减轻或者</w:t>
      </w:r>
    </w:p>
    <w:p>
      <w:pPr>
        <w:rPr>
          <w:sz w:val="24"/>
        </w:rPr>
        <w:sectPr>
          <w:pgSz w:w="11910" w:h="16840"/>
          <w:pgMar w:top="1560" w:right="720" w:bottom="1380" w:left="720" w:header="0" w:footer="1200" w:gutter="0"/>
          <w:pgNumType w:fmt="decimal"/>
          <w:cols w:space="720" w:num="1"/>
        </w:sectPr>
      </w:pPr>
    </w:p>
    <w:p>
      <w:pPr>
        <w:spacing w:before="44" w:line="530" w:lineRule="auto"/>
        <w:ind w:left="892" w:right="7651" w:hanging="480"/>
        <w:rPr>
          <w:sz w:val="24"/>
        </w:rPr>
      </w:pPr>
      <w:r>
        <w:rPr>
          <w:sz w:val="24"/>
        </w:rPr>
        <w:t>免除法律责任的辩解。特此承诺。</w:t>
      </w:r>
    </w:p>
    <w:p>
      <w:pPr>
        <w:tabs>
          <w:tab w:val="left" w:pos="8991"/>
        </w:tabs>
        <w:spacing w:before="2"/>
        <w:ind w:left="5452"/>
        <w:rPr>
          <w:rFonts w:ascii="Times New Roman" w:eastAsia="Times New Roman"/>
          <w:sz w:val="24"/>
        </w:rPr>
      </w:pPr>
      <w:r>
        <w:rPr>
          <w:spacing w:val="-1"/>
          <w:sz w:val="24"/>
        </w:rPr>
        <w:t>法</w:t>
      </w:r>
      <w:r>
        <w:rPr>
          <w:sz w:val="24"/>
        </w:rPr>
        <w:t>定代表人签字：</w:t>
      </w:r>
      <w:r>
        <w:rPr>
          <w:rFonts w:ascii="Times New Roman" w:eastAsia="Times New Roman"/>
          <w:sz w:val="24"/>
          <w:u w:val="single"/>
        </w:rPr>
        <w:t xml:space="preserve"> </w:t>
      </w:r>
      <w:r>
        <w:rPr>
          <w:rFonts w:ascii="Times New Roman" w:eastAsia="Times New Roman"/>
          <w:sz w:val="24"/>
          <w:u w:val="single"/>
        </w:rPr>
        <w:tab/>
      </w:r>
    </w:p>
    <w:p>
      <w:pPr>
        <w:pStyle w:val="19"/>
        <w:spacing w:before="10"/>
        <w:rPr>
          <w:rFonts w:ascii="Times New Roman"/>
          <w:sz w:val="25"/>
        </w:rPr>
      </w:pPr>
    </w:p>
    <w:p>
      <w:pPr>
        <w:tabs>
          <w:tab w:val="left" w:pos="9711"/>
        </w:tabs>
        <w:spacing w:before="74"/>
        <w:ind w:left="5452"/>
        <w:rPr>
          <w:rFonts w:ascii="Times New Roman" w:eastAsia="Times New Roman"/>
          <w:sz w:val="24"/>
        </w:rPr>
      </w:pPr>
      <w:r>
        <w:rPr>
          <w:spacing w:val="-1"/>
          <w:sz w:val="24"/>
        </w:rPr>
        <w:t>投</w:t>
      </w:r>
      <w:r>
        <w:rPr>
          <w:sz w:val="24"/>
        </w:rPr>
        <w:t>标人（盖公章）：</w:t>
      </w:r>
      <w:r>
        <w:rPr>
          <w:rFonts w:ascii="Times New Roman" w:eastAsia="Times New Roman"/>
          <w:sz w:val="24"/>
          <w:u w:val="single"/>
        </w:rPr>
        <w:t xml:space="preserve"> </w:t>
      </w:r>
      <w:r>
        <w:rPr>
          <w:rFonts w:ascii="Times New Roman" w:eastAsia="Times New Roman"/>
          <w:sz w:val="24"/>
          <w:u w:val="single"/>
        </w:rPr>
        <w:tab/>
      </w:r>
    </w:p>
    <w:p>
      <w:pPr>
        <w:pStyle w:val="19"/>
        <w:spacing w:before="6"/>
        <w:rPr>
          <w:rFonts w:ascii="Times New Roman"/>
          <w:sz w:val="26"/>
        </w:rPr>
      </w:pPr>
    </w:p>
    <w:p>
      <w:pPr>
        <w:tabs>
          <w:tab w:val="left" w:pos="7132"/>
          <w:tab w:val="left" w:pos="7852"/>
        </w:tabs>
        <w:spacing w:before="67"/>
        <w:ind w:left="6412"/>
        <w:rPr>
          <w:sz w:val="24"/>
        </w:rPr>
      </w:pPr>
      <w:r>
        <w:rPr>
          <w:sz w:val="24"/>
        </w:rPr>
        <w:t>年</w:t>
      </w:r>
      <w:r>
        <w:rPr>
          <w:sz w:val="24"/>
        </w:rPr>
        <w:tab/>
      </w:r>
      <w:r>
        <w:rPr>
          <w:sz w:val="24"/>
        </w:rPr>
        <w:t>月</w:t>
      </w:r>
      <w:r>
        <w:rPr>
          <w:sz w:val="24"/>
        </w:rPr>
        <w:tab/>
      </w:r>
      <w:r>
        <w:rPr>
          <w:sz w:val="24"/>
        </w:rPr>
        <w:t>日</w:t>
      </w:r>
    </w:p>
    <w:p>
      <w:pPr>
        <w:rPr>
          <w:sz w:val="24"/>
        </w:rPr>
        <w:sectPr>
          <w:pgSz w:w="11910" w:h="16840"/>
          <w:pgMar w:top="1280" w:right="720" w:bottom="1380" w:left="720" w:header="0" w:footer="1200" w:gutter="0"/>
          <w:pgNumType w:fmt="decimal"/>
          <w:cols w:space="720" w:num="1"/>
        </w:sectPr>
      </w:pPr>
    </w:p>
    <w:p>
      <w:pPr>
        <w:pStyle w:val="11"/>
      </w:pPr>
      <w:r>
        <w:t>四、商务文件格式</w:t>
      </w:r>
    </w:p>
    <w:p>
      <w:pPr>
        <w:pStyle w:val="19"/>
        <w:spacing w:before="10"/>
        <w:rPr>
          <w:b/>
          <w:sz w:val="23"/>
        </w:rPr>
      </w:pPr>
    </w:p>
    <w:p>
      <w:pPr>
        <w:numPr>
          <w:ilvl w:val="0"/>
          <w:numId w:val="92"/>
        </w:numPr>
        <w:tabs>
          <w:tab w:val="left" w:pos="657"/>
        </w:tabs>
        <w:ind w:hanging="245"/>
        <w:rPr>
          <w:b/>
        </w:rPr>
      </w:pPr>
      <w:r>
        <w:rPr>
          <w:b/>
          <w:sz w:val="24"/>
        </w:rPr>
        <w:t>商务文件封面格式：</w:t>
      </w:r>
    </w:p>
    <w:p>
      <w:pPr>
        <w:pStyle w:val="19"/>
        <w:spacing w:before="2"/>
        <w:rPr>
          <w:b/>
          <w:sz w:val="16"/>
        </w:rPr>
      </w:pPr>
    </w:p>
    <w:p>
      <w:pPr>
        <w:pStyle w:val="19"/>
        <w:spacing w:before="70"/>
        <w:ind w:left="6652"/>
      </w:pPr>
      <w:r>
        <w:t>正本/副本</w:t>
      </w:r>
    </w:p>
    <w:p>
      <w:pPr>
        <w:pStyle w:val="19"/>
        <w:rPr>
          <w:sz w:val="20"/>
        </w:rPr>
      </w:pPr>
    </w:p>
    <w:p>
      <w:pPr>
        <w:pStyle w:val="19"/>
        <w:spacing w:before="12"/>
        <w:rPr>
          <w:sz w:val="23"/>
        </w:rPr>
      </w:pPr>
    </w:p>
    <w:p>
      <w:pPr>
        <w:ind w:right="1"/>
        <w:jc w:val="center"/>
        <w:rPr>
          <w:sz w:val="96"/>
        </w:rPr>
      </w:pPr>
      <w:r>
        <w:rPr>
          <w:sz w:val="96"/>
        </w:rPr>
        <w:t>商务文件</w:t>
      </w:r>
    </w:p>
    <w:p>
      <w:pPr>
        <w:pStyle w:val="19"/>
        <w:rPr>
          <w:sz w:val="96"/>
        </w:rPr>
      </w:pPr>
    </w:p>
    <w:p>
      <w:pPr>
        <w:pStyle w:val="19"/>
        <w:rPr>
          <w:sz w:val="96"/>
        </w:rPr>
      </w:pPr>
    </w:p>
    <w:p>
      <w:pPr>
        <w:pStyle w:val="19"/>
        <w:rPr>
          <w:sz w:val="96"/>
        </w:rPr>
      </w:pPr>
    </w:p>
    <w:p>
      <w:pPr>
        <w:pStyle w:val="19"/>
        <w:spacing w:before="9"/>
        <w:rPr>
          <w:sz w:val="98"/>
        </w:rPr>
      </w:pPr>
    </w:p>
    <w:p>
      <w:pPr>
        <w:tabs>
          <w:tab w:val="left" w:pos="6352"/>
        </w:tabs>
        <w:ind w:left="772"/>
        <w:rPr>
          <w:rFonts w:ascii="Times New Roman" w:eastAsia="Times New Roman"/>
          <w:sz w:val="24"/>
        </w:rPr>
      </w:pPr>
      <w:r>
        <w:rPr>
          <w:sz w:val="24"/>
        </w:rPr>
        <w:t>项目名称：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6"/>
        <w:ind w:left="772"/>
        <w:rPr>
          <w:rFonts w:ascii="Times New Roman" w:eastAsia="Times New Roman"/>
          <w:sz w:val="24"/>
        </w:rPr>
      </w:pPr>
      <w:r>
        <w:rPr>
          <w:sz w:val="24"/>
        </w:rPr>
        <w:t>项目编号：</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5"/>
        <w:ind w:left="772"/>
        <w:rPr>
          <w:rFonts w:ascii="Times New Roman" w:eastAsia="Times New Roman"/>
          <w:sz w:val="24"/>
        </w:rPr>
      </w:pPr>
      <w:r>
        <w:rPr>
          <w:sz w:val="24"/>
        </w:rPr>
        <w:t>投标人名称：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6"/>
        <w:ind w:left="772"/>
        <w:rPr>
          <w:rFonts w:ascii="Times New Roman" w:eastAsia="Times New Roman"/>
          <w:sz w:val="24"/>
        </w:rPr>
      </w:pPr>
      <w:r>
        <w:rPr>
          <w:sz w:val="24"/>
        </w:rPr>
        <w:t>投标人地址：</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pStyle w:val="19"/>
        <w:rPr>
          <w:rFonts w:ascii="Times New Roman"/>
          <w:sz w:val="20"/>
        </w:rPr>
      </w:pPr>
    </w:p>
    <w:p>
      <w:pPr>
        <w:pStyle w:val="19"/>
        <w:rPr>
          <w:rFonts w:ascii="Times New Roman"/>
          <w:sz w:val="20"/>
        </w:rPr>
      </w:pPr>
    </w:p>
    <w:p>
      <w:pPr>
        <w:pStyle w:val="19"/>
        <w:spacing w:before="10"/>
        <w:rPr>
          <w:rFonts w:ascii="Times New Roman"/>
          <w:sz w:val="17"/>
        </w:rPr>
      </w:pPr>
    </w:p>
    <w:p>
      <w:pPr>
        <w:tabs>
          <w:tab w:val="left" w:pos="1999"/>
          <w:tab w:val="left" w:pos="2479"/>
        </w:tabs>
        <w:spacing w:before="67"/>
        <w:ind w:left="739"/>
        <w:jc w:val="center"/>
        <w:rPr>
          <w:sz w:val="24"/>
        </w:rPr>
      </w:pPr>
      <w:r>
        <w:rPr>
          <w:sz w:val="24"/>
        </w:rPr>
        <w:t>2021</w:t>
      </w:r>
      <w:r>
        <w:rPr>
          <w:spacing w:val="-60"/>
          <w:sz w:val="24"/>
        </w:rPr>
        <w:t xml:space="preserve"> </w:t>
      </w:r>
      <w:r>
        <w:rPr>
          <w:sz w:val="24"/>
        </w:rPr>
        <w:t>年</w:t>
      </w:r>
      <w:r>
        <w:rPr>
          <w:sz w:val="24"/>
        </w:rPr>
        <w:tab/>
      </w:r>
      <w:r>
        <w:rPr>
          <w:sz w:val="24"/>
        </w:rPr>
        <w:t>月</w:t>
      </w:r>
      <w:r>
        <w:rPr>
          <w:sz w:val="24"/>
        </w:rPr>
        <w:tab/>
      </w:r>
      <w:r>
        <w:rPr>
          <w:sz w:val="24"/>
        </w:rPr>
        <w:t>日</w:t>
      </w:r>
    </w:p>
    <w:p>
      <w:pPr>
        <w:jc w:val="center"/>
        <w:rPr>
          <w:sz w:val="24"/>
        </w:rPr>
        <w:sectPr>
          <w:pgSz w:w="11910" w:h="16840"/>
          <w:pgMar w:top="1080" w:right="720" w:bottom="1380" w:left="720" w:header="0" w:footer="1200" w:gutter="0"/>
          <w:pgNumType w:fmt="decimal"/>
          <w:cols w:space="720" w:num="1"/>
        </w:sectPr>
      </w:pPr>
    </w:p>
    <w:p>
      <w:pPr>
        <w:pStyle w:val="11"/>
        <w:numPr>
          <w:ilvl w:val="0"/>
          <w:numId w:val="92"/>
        </w:numPr>
        <w:tabs>
          <w:tab w:val="left" w:pos="696"/>
        </w:tabs>
        <w:ind w:left="696" w:hanging="284"/>
        <w:rPr>
          <w:sz w:val="26"/>
        </w:rPr>
      </w:pPr>
      <w:r>
        <w:t>商务文件目录</w:t>
      </w:r>
    </w:p>
    <w:p>
      <w:pPr>
        <w:spacing w:before="233"/>
        <w:ind w:left="412"/>
        <w:rPr>
          <w:sz w:val="24"/>
        </w:rPr>
      </w:pPr>
      <w:r>
        <w:rPr>
          <w:sz w:val="24"/>
        </w:rPr>
        <w:t>根据招标文件规定及投标人提供的材料自行编写目录。</w:t>
      </w:r>
    </w:p>
    <w:p>
      <w:pPr>
        <w:rPr>
          <w:sz w:val="24"/>
        </w:rPr>
        <w:sectPr>
          <w:pgSz w:w="11910" w:h="16840"/>
          <w:pgMar w:top="1080" w:right="720" w:bottom="1380" w:left="720" w:header="0" w:footer="1200" w:gutter="0"/>
          <w:pgNumType w:fmt="decimal"/>
          <w:cols w:space="720" w:num="1"/>
        </w:sectPr>
      </w:pPr>
    </w:p>
    <w:p>
      <w:pPr>
        <w:numPr>
          <w:ilvl w:val="0"/>
          <w:numId w:val="92"/>
        </w:numPr>
        <w:tabs>
          <w:tab w:val="left" w:pos="657"/>
        </w:tabs>
        <w:spacing w:before="38"/>
        <w:ind w:hanging="245"/>
        <w:rPr>
          <w:b/>
        </w:rPr>
      </w:pPr>
      <w:r>
        <w:rPr>
          <w:b/>
          <w:sz w:val="24"/>
        </w:rPr>
        <w:t>投标人参加本项目无围标串标行为的承诺</w:t>
      </w:r>
    </w:p>
    <w:p>
      <w:pPr>
        <w:pStyle w:val="19"/>
        <w:rPr>
          <w:b/>
          <w:sz w:val="24"/>
        </w:rPr>
      </w:pPr>
    </w:p>
    <w:p>
      <w:pPr>
        <w:pStyle w:val="19"/>
        <w:rPr>
          <w:b/>
          <w:sz w:val="24"/>
        </w:rPr>
      </w:pPr>
    </w:p>
    <w:p>
      <w:pPr>
        <w:pStyle w:val="19"/>
        <w:spacing w:before="11"/>
        <w:rPr>
          <w:b/>
          <w:sz w:val="28"/>
        </w:rPr>
      </w:pPr>
    </w:p>
    <w:p>
      <w:pPr>
        <w:pStyle w:val="8"/>
        <w:ind w:left="421" w:right="1"/>
      </w:pPr>
      <w:r>
        <w:t>投标人参加本项目无围标串标行为的承诺函</w:t>
      </w:r>
    </w:p>
    <w:p>
      <w:pPr>
        <w:pStyle w:val="19"/>
        <w:spacing w:before="7"/>
        <w:rPr>
          <w:b/>
          <w:sz w:val="43"/>
        </w:rPr>
      </w:pPr>
    </w:p>
    <w:p>
      <w:pPr>
        <w:spacing w:before="1"/>
        <w:ind w:left="412"/>
        <w:rPr>
          <w:b/>
          <w:sz w:val="24"/>
        </w:rPr>
      </w:pPr>
      <w:r>
        <w:rPr>
          <w:b/>
          <w:sz w:val="24"/>
        </w:rPr>
        <w:t>一、我方承诺无下列相互串通投标的情形：</w:t>
      </w:r>
    </w:p>
    <w:p>
      <w:pPr>
        <w:pStyle w:val="19"/>
        <w:spacing w:before="8"/>
        <w:rPr>
          <w:b/>
        </w:rPr>
      </w:pPr>
    </w:p>
    <w:p>
      <w:pPr>
        <w:numPr>
          <w:ilvl w:val="1"/>
          <w:numId w:val="92"/>
        </w:numPr>
        <w:tabs>
          <w:tab w:val="left" w:pos="1125"/>
        </w:tabs>
        <w:spacing w:before="1" w:line="362" w:lineRule="auto"/>
        <w:ind w:right="412" w:firstLine="470"/>
        <w:rPr>
          <w:sz w:val="24"/>
        </w:rPr>
      </w:pPr>
      <w:r>
        <w:rPr>
          <w:spacing w:val="-6"/>
          <w:sz w:val="24"/>
        </w:rPr>
        <w:t xml:space="preserve">不同投标人的投标文件由同一单位或者个人编制；或者不同投标人报名的 </w:t>
      </w:r>
      <w:r>
        <w:rPr>
          <w:sz w:val="24"/>
        </w:rPr>
        <w:t>IP</w:t>
      </w:r>
      <w:r>
        <w:rPr>
          <w:spacing w:val="-16"/>
          <w:sz w:val="24"/>
        </w:rPr>
        <w:t xml:space="preserve"> 地址一致</w:t>
      </w:r>
      <w:r>
        <w:rPr>
          <w:sz w:val="24"/>
        </w:rPr>
        <w:t>的；</w:t>
      </w:r>
    </w:p>
    <w:p>
      <w:pPr>
        <w:numPr>
          <w:ilvl w:val="1"/>
          <w:numId w:val="92"/>
        </w:numPr>
        <w:tabs>
          <w:tab w:val="left" w:pos="1125"/>
        </w:tabs>
        <w:spacing w:before="124"/>
        <w:ind w:left="1124" w:hanging="242"/>
        <w:rPr>
          <w:sz w:val="24"/>
        </w:rPr>
      </w:pPr>
      <w:r>
        <w:rPr>
          <w:sz w:val="24"/>
        </w:rPr>
        <w:t>不同投标人委托同一单位或者个人办理投标事宜；</w:t>
      </w:r>
    </w:p>
    <w:p>
      <w:pPr>
        <w:pStyle w:val="19"/>
        <w:spacing w:before="9"/>
      </w:pPr>
    </w:p>
    <w:p>
      <w:pPr>
        <w:numPr>
          <w:ilvl w:val="1"/>
          <w:numId w:val="92"/>
        </w:numPr>
        <w:tabs>
          <w:tab w:val="left" w:pos="1125"/>
        </w:tabs>
        <w:spacing w:before="1"/>
        <w:ind w:left="1124" w:hanging="242"/>
        <w:rPr>
          <w:sz w:val="24"/>
        </w:rPr>
      </w:pPr>
      <w:r>
        <w:rPr>
          <w:sz w:val="24"/>
        </w:rPr>
        <w:t>不同的投标人的投标文件载明的项目管理员为同一个人；</w:t>
      </w:r>
    </w:p>
    <w:p>
      <w:pPr>
        <w:pStyle w:val="19"/>
        <w:spacing w:before="11"/>
      </w:pPr>
    </w:p>
    <w:p>
      <w:pPr>
        <w:numPr>
          <w:ilvl w:val="1"/>
          <w:numId w:val="92"/>
        </w:numPr>
        <w:tabs>
          <w:tab w:val="left" w:pos="1125"/>
        </w:tabs>
        <w:ind w:left="1124" w:hanging="242"/>
        <w:rPr>
          <w:sz w:val="24"/>
        </w:rPr>
      </w:pPr>
      <w:r>
        <w:rPr>
          <w:sz w:val="24"/>
        </w:rPr>
        <w:t>不同投标人的投标文件异常一致或者投标报价呈规律性差异；</w:t>
      </w:r>
    </w:p>
    <w:p>
      <w:pPr>
        <w:pStyle w:val="19"/>
        <w:spacing w:before="11"/>
      </w:pPr>
    </w:p>
    <w:p>
      <w:pPr>
        <w:pStyle w:val="62"/>
        <w:numPr>
          <w:ilvl w:val="1"/>
          <w:numId w:val="92"/>
        </w:numPr>
        <w:tabs>
          <w:tab w:val="left" w:pos="1125"/>
        </w:tabs>
        <w:spacing w:line="456" w:lineRule="auto"/>
        <w:ind w:right="5740" w:firstLine="470"/>
        <w:rPr>
          <w:b/>
          <w:sz w:val="24"/>
        </w:rPr>
      </w:pPr>
      <w:r>
        <w:rPr>
          <w:spacing w:val="-2"/>
          <w:sz w:val="24"/>
        </w:rPr>
        <w:t xml:space="preserve">不同投标人的投标文件相互混装； </w:t>
      </w:r>
      <w:r>
        <w:rPr>
          <w:b/>
          <w:sz w:val="24"/>
        </w:rPr>
        <w:t>二、我方承诺无下列恶意串通的情形：</w:t>
      </w:r>
    </w:p>
    <w:p>
      <w:pPr>
        <w:numPr>
          <w:ilvl w:val="0"/>
          <w:numId w:val="93"/>
        </w:numPr>
        <w:tabs>
          <w:tab w:val="left" w:pos="1126"/>
        </w:tabs>
        <w:spacing w:before="5" w:line="362" w:lineRule="auto"/>
        <w:ind w:right="412" w:firstLine="470"/>
        <w:rPr>
          <w:sz w:val="24"/>
        </w:rPr>
      </w:pPr>
      <w:r>
        <w:rPr>
          <w:sz w:val="24"/>
        </w:rPr>
        <w:t>投标人直接或者间接从采购人或者采购代理机构处获得其他投标人的相关信息并修改其投标文件或者响应文件；</w:t>
      </w:r>
    </w:p>
    <w:p>
      <w:pPr>
        <w:numPr>
          <w:ilvl w:val="0"/>
          <w:numId w:val="93"/>
        </w:numPr>
        <w:tabs>
          <w:tab w:val="left" w:pos="1125"/>
        </w:tabs>
        <w:spacing w:before="125"/>
        <w:ind w:left="1124" w:hanging="242"/>
        <w:rPr>
          <w:sz w:val="24"/>
        </w:rPr>
      </w:pPr>
      <w:r>
        <w:rPr>
          <w:sz w:val="24"/>
        </w:rPr>
        <w:t>投标人按照采购人或者采购代理机构的授意撤换、修改投标文件或者响应文件；</w:t>
      </w:r>
    </w:p>
    <w:p>
      <w:pPr>
        <w:pStyle w:val="19"/>
        <w:spacing w:before="9"/>
      </w:pPr>
    </w:p>
    <w:p>
      <w:pPr>
        <w:numPr>
          <w:ilvl w:val="0"/>
          <w:numId w:val="93"/>
        </w:numPr>
        <w:tabs>
          <w:tab w:val="left" w:pos="1125"/>
        </w:tabs>
        <w:spacing w:before="1"/>
        <w:ind w:left="1124" w:hanging="242"/>
        <w:rPr>
          <w:sz w:val="24"/>
        </w:rPr>
      </w:pPr>
      <w:r>
        <w:rPr>
          <w:sz w:val="24"/>
        </w:rPr>
        <w:t>投标人之间协商报价、技术方案等投标文件或者响应文件的实质性内容；</w:t>
      </w:r>
    </w:p>
    <w:p>
      <w:pPr>
        <w:pStyle w:val="19"/>
        <w:spacing w:before="11"/>
      </w:pPr>
    </w:p>
    <w:p>
      <w:pPr>
        <w:numPr>
          <w:ilvl w:val="0"/>
          <w:numId w:val="93"/>
        </w:numPr>
        <w:tabs>
          <w:tab w:val="left" w:pos="1126"/>
        </w:tabs>
        <w:spacing w:line="362" w:lineRule="auto"/>
        <w:ind w:right="412" w:firstLine="470"/>
        <w:rPr>
          <w:sz w:val="24"/>
        </w:rPr>
      </w:pPr>
      <w:r>
        <w:rPr>
          <w:sz w:val="24"/>
        </w:rPr>
        <w:t>属于同一集团、协会、商会等组织成员的投标人按照该组织要求协同参加政府采购活动；</w:t>
      </w:r>
    </w:p>
    <w:p>
      <w:pPr>
        <w:numPr>
          <w:ilvl w:val="0"/>
          <w:numId w:val="93"/>
        </w:numPr>
        <w:tabs>
          <w:tab w:val="left" w:pos="1126"/>
        </w:tabs>
        <w:spacing w:before="125" w:line="362" w:lineRule="auto"/>
        <w:ind w:right="412" w:firstLine="470"/>
        <w:rPr>
          <w:sz w:val="24"/>
        </w:rPr>
      </w:pPr>
      <w:r>
        <w:rPr>
          <w:sz w:val="24"/>
        </w:rPr>
        <w:t>投标人之间事先约定一致抬高或者压低投标报价，或者在招标项目中事先约定轮流以高价位或者低价位中标，或者事先约定由某一特定投标人中标，然后再参加投标；</w:t>
      </w:r>
    </w:p>
    <w:p>
      <w:pPr>
        <w:numPr>
          <w:ilvl w:val="0"/>
          <w:numId w:val="93"/>
        </w:numPr>
        <w:tabs>
          <w:tab w:val="left" w:pos="1125"/>
        </w:tabs>
        <w:spacing w:before="125"/>
        <w:ind w:left="1124" w:hanging="242"/>
        <w:rPr>
          <w:sz w:val="24"/>
        </w:rPr>
      </w:pPr>
      <w:r>
        <w:rPr>
          <w:sz w:val="24"/>
        </w:rPr>
        <w:t>投标人之间商定部分投标人放弃参加政府采购活动或者放弃中标；</w:t>
      </w:r>
    </w:p>
    <w:p>
      <w:pPr>
        <w:pStyle w:val="19"/>
        <w:spacing w:before="9"/>
      </w:pPr>
    </w:p>
    <w:p>
      <w:pPr>
        <w:numPr>
          <w:ilvl w:val="0"/>
          <w:numId w:val="93"/>
        </w:numPr>
        <w:tabs>
          <w:tab w:val="left" w:pos="1126"/>
        </w:tabs>
        <w:spacing w:line="364" w:lineRule="auto"/>
        <w:ind w:right="412" w:firstLine="470"/>
        <w:rPr>
          <w:sz w:val="24"/>
        </w:rPr>
      </w:pPr>
      <w:r>
        <w:rPr>
          <w:sz w:val="24"/>
        </w:rPr>
        <w:t>投标人与采购人或者采购代理机构之间、投标人相互之间，为谋求特定投标人中标或者排斥其他投标人的其他串通行为。</w:t>
      </w:r>
    </w:p>
    <w:p>
      <w:pPr>
        <w:pStyle w:val="19"/>
        <w:rPr>
          <w:sz w:val="24"/>
        </w:rPr>
      </w:pPr>
    </w:p>
    <w:p>
      <w:pPr>
        <w:pStyle w:val="19"/>
        <w:spacing w:before="2"/>
        <w:rPr>
          <w:sz w:val="31"/>
        </w:rPr>
      </w:pPr>
    </w:p>
    <w:p>
      <w:pPr>
        <w:spacing w:line="364" w:lineRule="auto"/>
        <w:ind w:left="412" w:right="379" w:firstLine="470"/>
        <w:rPr>
          <w:b/>
          <w:sz w:val="24"/>
        </w:rPr>
      </w:pPr>
      <w:r>
        <w:rPr>
          <w:b/>
          <w:sz w:val="24"/>
        </w:rPr>
        <w:t>以上情形一经核查属实，我方愿意承担一切后果，并不再寻求任何旨在减轻或者免除法律责任的辩解。</w:t>
      </w:r>
    </w:p>
    <w:p>
      <w:pPr>
        <w:spacing w:line="364" w:lineRule="auto"/>
        <w:rPr>
          <w:sz w:val="24"/>
        </w:rPr>
        <w:sectPr>
          <w:pgSz w:w="11910" w:h="16840"/>
          <w:pgMar w:top="1080" w:right="720" w:bottom="1380" w:left="720" w:header="0" w:footer="1200" w:gutter="0"/>
          <w:pgNumType w:fmt="decimal"/>
          <w:cols w:space="720" w:num="1"/>
        </w:sectPr>
      </w:pPr>
    </w:p>
    <w:p>
      <w:pPr>
        <w:pStyle w:val="19"/>
        <w:rPr>
          <w:b/>
          <w:sz w:val="20"/>
        </w:rPr>
      </w:pPr>
    </w:p>
    <w:p>
      <w:pPr>
        <w:pStyle w:val="19"/>
        <w:rPr>
          <w:b/>
          <w:sz w:val="20"/>
        </w:rPr>
      </w:pPr>
    </w:p>
    <w:p>
      <w:pPr>
        <w:pStyle w:val="19"/>
        <w:rPr>
          <w:b/>
          <w:sz w:val="20"/>
        </w:rPr>
      </w:pPr>
    </w:p>
    <w:p>
      <w:pPr>
        <w:pStyle w:val="19"/>
        <w:spacing w:before="12"/>
        <w:rPr>
          <w:b/>
          <w:sz w:val="16"/>
        </w:rPr>
      </w:pPr>
    </w:p>
    <w:p>
      <w:pPr>
        <w:tabs>
          <w:tab w:val="left" w:pos="7943"/>
        </w:tabs>
        <w:spacing w:before="74"/>
        <w:ind w:left="3564"/>
        <w:rPr>
          <w:rFonts w:ascii="Times New Roman" w:eastAsia="Times New Roman"/>
          <w:sz w:val="24"/>
        </w:rPr>
      </w:pPr>
      <w:r>
        <w:rPr>
          <w:sz w:val="24"/>
        </w:rPr>
        <w:t>投标人名称（公章）:</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923"/>
          <w:tab w:val="left" w:pos="7763"/>
        </w:tabs>
        <w:spacing w:before="225"/>
        <w:ind w:left="5664"/>
        <w:rPr>
          <w:sz w:val="24"/>
        </w:rPr>
      </w:pPr>
      <w:r>
        <w:rPr>
          <w:sz w:val="24"/>
        </w:rPr>
        <w:t>2021</w:t>
      </w:r>
      <w:r>
        <w:rPr>
          <w:spacing w:val="-60"/>
          <w:sz w:val="24"/>
        </w:rPr>
        <w:t xml:space="preserve"> </w:t>
      </w:r>
      <w:r>
        <w:rPr>
          <w:sz w:val="24"/>
        </w:rPr>
        <w:t>年</w:t>
      </w:r>
      <w:r>
        <w:rPr>
          <w:sz w:val="24"/>
          <w:u w:val="single"/>
        </w:rPr>
        <w:t xml:space="preserve"> </w:t>
      </w:r>
      <w:r>
        <w:rPr>
          <w:sz w:val="24"/>
          <w:u w:val="single"/>
        </w:rPr>
        <w:tab/>
      </w:r>
      <w:r>
        <w:rPr>
          <w:sz w:val="24"/>
        </w:rPr>
        <w:t>月</w:t>
      </w:r>
      <w:r>
        <w:rPr>
          <w:sz w:val="24"/>
          <w:u w:val="single"/>
        </w:rPr>
        <w:t xml:space="preserve"> </w:t>
      </w:r>
      <w:r>
        <w:rPr>
          <w:sz w:val="24"/>
          <w:u w:val="single"/>
        </w:rPr>
        <w:tab/>
      </w:r>
      <w:r>
        <w:rPr>
          <w:sz w:val="24"/>
        </w:rPr>
        <w:t>日</w:t>
      </w:r>
    </w:p>
    <w:p>
      <w:pPr>
        <w:rPr>
          <w:sz w:val="24"/>
        </w:rPr>
        <w:sectPr>
          <w:pgSz w:w="11910" w:h="16840"/>
          <w:pgMar w:top="1580" w:right="720" w:bottom="1380" w:left="720" w:header="0" w:footer="1200" w:gutter="0"/>
          <w:pgNumType w:fmt="decimal"/>
          <w:cols w:space="720" w:num="1"/>
        </w:sectPr>
      </w:pPr>
    </w:p>
    <w:p>
      <w:pPr>
        <w:numPr>
          <w:ilvl w:val="0"/>
          <w:numId w:val="94"/>
        </w:numPr>
        <w:tabs>
          <w:tab w:val="left" w:pos="656"/>
        </w:tabs>
        <w:spacing w:before="38"/>
        <w:ind w:hanging="244"/>
        <w:rPr>
          <w:b/>
          <w:sz w:val="24"/>
        </w:rPr>
      </w:pPr>
      <w:r>
        <w:rPr>
          <w:b/>
          <w:sz w:val="24"/>
        </w:rPr>
        <w:t>法定代表人身份证明</w:t>
      </w:r>
    </w:p>
    <w:p>
      <w:pPr>
        <w:pStyle w:val="19"/>
        <w:rPr>
          <w:b/>
          <w:sz w:val="20"/>
        </w:rPr>
      </w:pPr>
    </w:p>
    <w:p>
      <w:pPr>
        <w:pStyle w:val="19"/>
        <w:rPr>
          <w:b/>
          <w:sz w:val="20"/>
        </w:rPr>
      </w:pPr>
    </w:p>
    <w:p>
      <w:pPr>
        <w:pStyle w:val="19"/>
        <w:spacing w:before="12"/>
        <w:rPr>
          <w:b/>
          <w:sz w:val="25"/>
        </w:rPr>
      </w:pPr>
    </w:p>
    <w:p>
      <w:pPr>
        <w:pStyle w:val="8"/>
        <w:spacing w:before="54"/>
        <w:ind w:left="541" w:right="1"/>
      </w:pPr>
      <w:r>
        <w:t>法定代表人身份证明</w:t>
      </w:r>
    </w:p>
    <w:p>
      <w:pPr>
        <w:tabs>
          <w:tab w:val="left" w:pos="8931"/>
        </w:tabs>
        <w:spacing w:before="284"/>
        <w:ind w:left="952"/>
        <w:rPr>
          <w:rFonts w:ascii="Times New Roman" w:eastAsia="Times New Roman"/>
          <w:sz w:val="24"/>
        </w:rPr>
      </w:pPr>
      <w:r>
        <w:rPr>
          <w:sz w:val="24"/>
        </w:rPr>
        <w:t>投</w:t>
      </w:r>
      <w:r>
        <w:rPr>
          <w:spacing w:val="-1"/>
          <w:sz w:val="24"/>
        </w:rPr>
        <w:t xml:space="preserve"> </w:t>
      </w:r>
      <w:r>
        <w:rPr>
          <w:sz w:val="24"/>
        </w:rPr>
        <w:t>标 人：</w:t>
      </w:r>
      <w:r>
        <w:rPr>
          <w:rFonts w:ascii="Times New Roman" w:eastAsia="Times New Roman"/>
          <w:sz w:val="24"/>
          <w:u w:val="single"/>
        </w:rPr>
        <w:t xml:space="preserve"> </w:t>
      </w:r>
      <w:r>
        <w:rPr>
          <w:rFonts w:ascii="Times New Roman" w:eastAsia="Times New Roman"/>
          <w:sz w:val="24"/>
          <w:u w:val="single"/>
        </w:rPr>
        <w:tab/>
      </w:r>
    </w:p>
    <w:p>
      <w:pPr>
        <w:pStyle w:val="19"/>
        <w:spacing w:before="3"/>
        <w:rPr>
          <w:rFonts w:ascii="Times New Roman"/>
          <w:sz w:val="10"/>
        </w:rPr>
      </w:pPr>
    </w:p>
    <w:p>
      <w:pPr>
        <w:tabs>
          <w:tab w:val="left" w:pos="1672"/>
          <w:tab w:val="left" w:pos="8931"/>
        </w:tabs>
        <w:spacing w:before="74"/>
        <w:ind w:left="952"/>
        <w:rPr>
          <w:rFonts w:ascii="Times New Roman" w:eastAsia="Times New Roman"/>
          <w:sz w:val="24"/>
        </w:rPr>
      </w:pPr>
      <w:r>
        <w:rPr>
          <w:sz w:val="24"/>
        </w:rPr>
        <w:t>地</w:t>
      </w:r>
      <w:r>
        <w:rPr>
          <w:sz w:val="24"/>
        </w:rPr>
        <w:tab/>
      </w:r>
      <w:r>
        <w:rPr>
          <w:spacing w:val="-1"/>
          <w:sz w:val="24"/>
        </w:rPr>
        <w:t>址</w:t>
      </w:r>
      <w:r>
        <w:rPr>
          <w:sz w:val="24"/>
        </w:rPr>
        <w:t>：</w:t>
      </w:r>
      <w:r>
        <w:rPr>
          <w:rFonts w:ascii="Times New Roman" w:eastAsia="Times New Roman"/>
          <w:sz w:val="24"/>
          <w:u w:val="single"/>
        </w:rPr>
        <w:t xml:space="preserve"> </w:t>
      </w:r>
      <w:r>
        <w:rPr>
          <w:rFonts w:ascii="Times New Roman" w:eastAsia="Times New Roman"/>
          <w:sz w:val="24"/>
          <w:u w:val="single"/>
        </w:rPr>
        <w:tab/>
      </w:r>
    </w:p>
    <w:p>
      <w:pPr>
        <w:pStyle w:val="19"/>
        <w:spacing w:before="3"/>
        <w:rPr>
          <w:rFonts w:ascii="Times New Roman"/>
          <w:sz w:val="10"/>
        </w:rPr>
      </w:pPr>
    </w:p>
    <w:p>
      <w:pPr>
        <w:tabs>
          <w:tab w:val="left" w:pos="1672"/>
          <w:tab w:val="left" w:pos="5272"/>
          <w:tab w:val="left" w:pos="6232"/>
          <w:tab w:val="left" w:pos="8691"/>
        </w:tabs>
        <w:spacing w:before="74"/>
        <w:ind w:left="952"/>
        <w:rPr>
          <w:rFonts w:ascii="Times New Roman" w:eastAsia="Times New Roman"/>
          <w:sz w:val="24"/>
        </w:rPr>
      </w:pPr>
      <w:r>
        <w:rPr>
          <w:sz w:val="24"/>
        </w:rPr>
        <w:t>姓</w:t>
      </w:r>
      <w:r>
        <w:rPr>
          <w:sz w:val="24"/>
        </w:rPr>
        <w:tab/>
      </w:r>
      <w:r>
        <w:rPr>
          <w:sz w:val="24"/>
        </w:rPr>
        <w:t>名：</w:t>
      </w:r>
      <w:r>
        <w:rPr>
          <w:sz w:val="24"/>
          <w:u w:val="single"/>
        </w:rPr>
        <w:t xml:space="preserve"> </w:t>
      </w:r>
      <w:r>
        <w:rPr>
          <w:sz w:val="24"/>
          <w:u w:val="single"/>
        </w:rPr>
        <w:tab/>
      </w:r>
      <w:r>
        <w:rPr>
          <w:sz w:val="24"/>
        </w:rPr>
        <w:t>性</w:t>
      </w:r>
      <w:r>
        <w:rPr>
          <w:sz w:val="24"/>
        </w:rPr>
        <w:tab/>
      </w:r>
      <w:r>
        <w:rPr>
          <w:spacing w:val="-1"/>
          <w:sz w:val="24"/>
        </w:rPr>
        <w:t>别</w:t>
      </w:r>
      <w:r>
        <w:rPr>
          <w:sz w:val="24"/>
        </w:rPr>
        <w:t>：</w:t>
      </w:r>
      <w:r>
        <w:rPr>
          <w:rFonts w:ascii="Times New Roman" w:eastAsia="Times New Roman"/>
          <w:sz w:val="24"/>
          <w:u w:val="single"/>
        </w:rPr>
        <w:t xml:space="preserve"> </w:t>
      </w:r>
      <w:r>
        <w:rPr>
          <w:rFonts w:ascii="Times New Roman" w:eastAsia="Times New Roman"/>
          <w:sz w:val="24"/>
          <w:u w:val="single"/>
        </w:rPr>
        <w:tab/>
      </w:r>
    </w:p>
    <w:p>
      <w:pPr>
        <w:pStyle w:val="19"/>
        <w:spacing w:before="5"/>
        <w:rPr>
          <w:rFonts w:ascii="Times New Roman"/>
          <w:sz w:val="10"/>
        </w:rPr>
      </w:pPr>
    </w:p>
    <w:p>
      <w:pPr>
        <w:tabs>
          <w:tab w:val="left" w:pos="1672"/>
          <w:tab w:val="left" w:pos="5272"/>
          <w:tab w:val="left" w:pos="6232"/>
          <w:tab w:val="left" w:pos="8691"/>
        </w:tabs>
        <w:spacing w:before="74"/>
        <w:ind w:left="952"/>
        <w:rPr>
          <w:rFonts w:ascii="Times New Roman" w:eastAsia="Times New Roman"/>
          <w:sz w:val="24"/>
        </w:rPr>
      </w:pPr>
      <w:r>
        <w:rPr>
          <w:sz w:val="24"/>
        </w:rPr>
        <w:t>年</w:t>
      </w:r>
      <w:r>
        <w:rPr>
          <w:sz w:val="24"/>
        </w:rPr>
        <w:tab/>
      </w:r>
      <w:r>
        <w:rPr>
          <w:sz w:val="24"/>
        </w:rPr>
        <w:t>龄：</w:t>
      </w:r>
      <w:r>
        <w:rPr>
          <w:sz w:val="24"/>
          <w:u w:val="single"/>
        </w:rPr>
        <w:t xml:space="preserve"> </w:t>
      </w:r>
      <w:r>
        <w:rPr>
          <w:sz w:val="24"/>
          <w:u w:val="single"/>
        </w:rPr>
        <w:tab/>
      </w:r>
      <w:r>
        <w:rPr>
          <w:sz w:val="24"/>
        </w:rPr>
        <w:t>职</w:t>
      </w:r>
      <w:r>
        <w:rPr>
          <w:sz w:val="24"/>
        </w:rPr>
        <w:tab/>
      </w:r>
      <w:r>
        <w:rPr>
          <w:spacing w:val="-1"/>
          <w:sz w:val="24"/>
        </w:rPr>
        <w:t>务</w:t>
      </w:r>
      <w:r>
        <w:rPr>
          <w:sz w:val="24"/>
        </w:rPr>
        <w:t>：</w:t>
      </w:r>
      <w:r>
        <w:rPr>
          <w:rFonts w:ascii="Times New Roman" w:eastAsia="Times New Roman"/>
          <w:sz w:val="24"/>
          <w:u w:val="single"/>
        </w:rPr>
        <w:t xml:space="preserve"> </w:t>
      </w:r>
      <w:r>
        <w:rPr>
          <w:rFonts w:ascii="Times New Roman" w:eastAsia="Times New Roman"/>
          <w:sz w:val="24"/>
          <w:u w:val="single"/>
        </w:rPr>
        <w:tab/>
      </w:r>
    </w:p>
    <w:p>
      <w:pPr>
        <w:pStyle w:val="19"/>
        <w:spacing w:before="3"/>
        <w:rPr>
          <w:rFonts w:ascii="Times New Roman"/>
          <w:sz w:val="10"/>
        </w:rPr>
      </w:pPr>
    </w:p>
    <w:p>
      <w:pPr>
        <w:tabs>
          <w:tab w:val="left" w:pos="6411"/>
        </w:tabs>
        <w:spacing w:before="74"/>
        <w:ind w:left="952"/>
        <w:rPr>
          <w:rFonts w:ascii="Times New Roman" w:eastAsia="Times New Roman"/>
          <w:sz w:val="24"/>
        </w:rPr>
      </w:pPr>
      <w:r>
        <w:rPr>
          <w:spacing w:val="-1"/>
          <w:sz w:val="24"/>
        </w:rPr>
        <w:t>身</w:t>
      </w:r>
      <w:r>
        <w:rPr>
          <w:sz w:val="24"/>
        </w:rPr>
        <w:t>份证号码：</w:t>
      </w:r>
      <w:r>
        <w:rPr>
          <w:rFonts w:ascii="Times New Roman" w:eastAsia="Times New Roman"/>
          <w:sz w:val="24"/>
          <w:u w:val="single"/>
        </w:rPr>
        <w:t xml:space="preserve"> </w:t>
      </w:r>
      <w:r>
        <w:rPr>
          <w:rFonts w:ascii="Times New Roman" w:eastAsia="Times New Roman"/>
          <w:sz w:val="24"/>
          <w:u w:val="single"/>
        </w:rPr>
        <w:tab/>
      </w:r>
    </w:p>
    <w:p>
      <w:pPr>
        <w:pStyle w:val="19"/>
        <w:spacing w:before="2"/>
        <w:rPr>
          <w:rFonts w:ascii="Times New Roman"/>
          <w:sz w:val="10"/>
        </w:rPr>
      </w:pPr>
    </w:p>
    <w:p>
      <w:pPr>
        <w:tabs>
          <w:tab w:val="left" w:pos="2632"/>
          <w:tab w:val="left" w:pos="5991"/>
        </w:tabs>
        <w:spacing w:before="74" w:line="391" w:lineRule="auto"/>
        <w:ind w:left="952" w:right="2791"/>
        <w:rPr>
          <w:sz w:val="24"/>
        </w:rPr>
      </w:pPr>
      <w:r>
        <w:rPr>
          <w:sz w:val="24"/>
        </w:rPr>
        <w:t>系</w:t>
      </w:r>
      <w:r>
        <w:rPr>
          <w:sz w:val="24"/>
          <w:u w:val="single"/>
        </w:rPr>
        <w:t xml:space="preserve"> </w:t>
      </w:r>
      <w:r>
        <w:rPr>
          <w:sz w:val="24"/>
          <w:u w:val="single"/>
        </w:rPr>
        <w:tab/>
      </w:r>
      <w:r>
        <w:rPr>
          <w:sz w:val="24"/>
          <w:u w:val="single"/>
        </w:rPr>
        <w:t>（投标人名称）</w:t>
      </w:r>
      <w:r>
        <w:rPr>
          <w:sz w:val="24"/>
          <w:u w:val="single"/>
        </w:rPr>
        <w:tab/>
      </w:r>
      <w:r>
        <w:rPr>
          <w:sz w:val="24"/>
        </w:rPr>
        <w:t>的法定代表人</w:t>
      </w:r>
      <w:r>
        <w:rPr>
          <w:spacing w:val="-16"/>
          <w:sz w:val="24"/>
        </w:rPr>
        <w:t>。</w:t>
      </w:r>
      <w:r>
        <w:rPr>
          <w:sz w:val="24"/>
        </w:rPr>
        <w:t>特此证明。</w:t>
      </w:r>
    </w:p>
    <w:p>
      <w:pPr>
        <w:pStyle w:val="19"/>
        <w:rPr>
          <w:sz w:val="24"/>
        </w:rPr>
      </w:pPr>
    </w:p>
    <w:p>
      <w:pPr>
        <w:pStyle w:val="19"/>
        <w:rPr>
          <w:sz w:val="24"/>
        </w:rPr>
      </w:pPr>
    </w:p>
    <w:p>
      <w:pPr>
        <w:pStyle w:val="19"/>
        <w:rPr>
          <w:sz w:val="30"/>
        </w:rPr>
      </w:pPr>
    </w:p>
    <w:p>
      <w:pPr>
        <w:ind w:left="952"/>
        <w:rPr>
          <w:sz w:val="24"/>
        </w:rPr>
      </w:pPr>
      <w:r>
        <w:rPr>
          <w:sz w:val="24"/>
        </w:rPr>
        <w:t>附件：法定代表人有效身份证正反面复印件</w:t>
      </w:r>
    </w:p>
    <w:p>
      <w:pPr>
        <w:pStyle w:val="19"/>
        <w:rPr>
          <w:sz w:val="24"/>
        </w:rPr>
      </w:pPr>
    </w:p>
    <w:p>
      <w:pPr>
        <w:pStyle w:val="19"/>
        <w:rPr>
          <w:sz w:val="24"/>
        </w:rPr>
      </w:pPr>
    </w:p>
    <w:p>
      <w:pPr>
        <w:pStyle w:val="19"/>
        <w:rPr>
          <w:sz w:val="24"/>
        </w:rPr>
      </w:pPr>
    </w:p>
    <w:p>
      <w:pPr>
        <w:pStyle w:val="19"/>
        <w:rPr>
          <w:sz w:val="24"/>
        </w:rPr>
      </w:pPr>
    </w:p>
    <w:p>
      <w:pPr>
        <w:tabs>
          <w:tab w:val="left" w:pos="8572"/>
        </w:tabs>
        <w:spacing w:before="159"/>
        <w:ind w:left="3352"/>
        <w:rPr>
          <w:rFonts w:ascii="Times New Roman" w:eastAsia="Times New Roman"/>
          <w:sz w:val="24"/>
        </w:rPr>
      </w:pPr>
      <w:r>
        <w:rPr>
          <w:sz w:val="24"/>
        </w:rPr>
        <w:t>投标人名称（公章）:</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pStyle w:val="19"/>
        <w:rPr>
          <w:rFonts w:ascii="Times New Roman"/>
          <w:sz w:val="20"/>
        </w:rPr>
      </w:pPr>
    </w:p>
    <w:p>
      <w:pPr>
        <w:tabs>
          <w:tab w:val="left" w:pos="6983"/>
          <w:tab w:val="left" w:pos="8183"/>
        </w:tabs>
        <w:spacing w:before="193"/>
        <w:ind w:left="5244"/>
        <w:rPr>
          <w:sz w:val="24"/>
        </w:rPr>
      </w:pPr>
      <w:r>
        <w:rPr>
          <w:rFonts w:hint="eastAsia"/>
          <w:sz w:val="24"/>
          <w:u w:val="single"/>
          <w:lang w:val="en-US" w:eastAsia="zh-CN"/>
        </w:rPr>
        <w:t xml:space="preserve">      </w:t>
      </w:r>
      <w:r>
        <w:rPr>
          <w:spacing w:val="-60"/>
          <w:sz w:val="24"/>
        </w:rPr>
        <w:t xml:space="preserve"> </w:t>
      </w:r>
      <w:r>
        <w:rPr>
          <w:sz w:val="24"/>
        </w:rPr>
        <w:t>年</w:t>
      </w:r>
      <w:r>
        <w:rPr>
          <w:sz w:val="24"/>
          <w:u w:val="single"/>
        </w:rPr>
        <w:t xml:space="preserve"> </w:t>
      </w:r>
      <w:r>
        <w:rPr>
          <w:sz w:val="24"/>
          <w:u w:val="single"/>
        </w:rPr>
        <w:tab/>
      </w:r>
      <w:r>
        <w:rPr>
          <w:sz w:val="24"/>
        </w:rPr>
        <w:t>月</w:t>
      </w:r>
      <w:r>
        <w:rPr>
          <w:sz w:val="24"/>
          <w:u w:val="single"/>
        </w:rPr>
        <w:t xml:space="preserve"> </w:t>
      </w:r>
      <w:r>
        <w:rPr>
          <w:sz w:val="24"/>
          <w:u w:val="single"/>
        </w:rPr>
        <w:tab/>
      </w:r>
      <w:r>
        <w:rPr>
          <w:sz w:val="24"/>
        </w:rPr>
        <w:t>日</w:t>
      </w:r>
    </w:p>
    <w:p>
      <w:pPr>
        <w:rPr>
          <w:sz w:val="24"/>
        </w:rPr>
        <w:sectPr>
          <w:pgSz w:w="11910" w:h="16840"/>
          <w:pgMar w:top="1080" w:right="720" w:bottom="1380" w:left="720" w:header="0" w:footer="1200" w:gutter="0"/>
          <w:pgNumType w:fmt="decimal"/>
          <w:cols w:space="720" w:num="1"/>
        </w:sectPr>
      </w:pPr>
    </w:p>
    <w:p>
      <w:pPr>
        <w:numPr>
          <w:ilvl w:val="0"/>
          <w:numId w:val="94"/>
        </w:numPr>
        <w:tabs>
          <w:tab w:val="left" w:pos="656"/>
        </w:tabs>
        <w:spacing w:before="48"/>
        <w:ind w:hanging="244"/>
        <w:rPr>
          <w:b/>
          <w:sz w:val="24"/>
        </w:rPr>
      </w:pPr>
      <w:r>
        <w:rPr>
          <w:b/>
          <w:spacing w:val="-2"/>
          <w:sz w:val="24"/>
        </w:rPr>
        <w:t>法定代表人授权委托书格式</w:t>
      </w:r>
    </w:p>
    <w:p>
      <w:pPr>
        <w:pStyle w:val="19"/>
        <w:spacing w:before="4"/>
        <w:rPr>
          <w:b/>
          <w:sz w:val="37"/>
        </w:rPr>
      </w:pPr>
      <w:r>
        <w:br w:type="column"/>
      </w:r>
    </w:p>
    <w:p>
      <w:pPr>
        <w:pStyle w:val="8"/>
        <w:spacing w:before="1"/>
        <w:ind w:left="26" w:right="3606"/>
      </w:pPr>
      <w:r>
        <w:t>法定代表人授权委托书</w:t>
      </w:r>
    </w:p>
    <w:p>
      <w:pPr>
        <w:pStyle w:val="8"/>
        <w:spacing w:before="125"/>
        <w:ind w:left="22" w:right="3606"/>
      </w:pPr>
      <w:r>
        <w:t>（如有委托时）</w:t>
      </w:r>
    </w:p>
    <w:p>
      <w:pPr>
        <w:sectPr>
          <w:pgSz w:w="11910" w:h="16840"/>
          <w:pgMar w:top="1140" w:right="720" w:bottom="1380" w:left="720" w:header="0" w:footer="1200" w:gutter="0"/>
          <w:pgNumType w:fmt="decimal"/>
          <w:cols w:equalWidth="0" w:num="2">
            <w:col w:w="3545" w:space="40"/>
            <w:col w:w="6885"/>
          </w:cols>
        </w:sectPr>
      </w:pPr>
    </w:p>
    <w:p>
      <w:pPr>
        <w:pStyle w:val="19"/>
        <w:rPr>
          <w:b/>
          <w:sz w:val="20"/>
        </w:rPr>
      </w:pPr>
    </w:p>
    <w:p>
      <w:pPr>
        <w:pStyle w:val="19"/>
        <w:rPr>
          <w:b/>
          <w:sz w:val="20"/>
        </w:rPr>
      </w:pPr>
    </w:p>
    <w:p>
      <w:pPr>
        <w:pStyle w:val="19"/>
        <w:spacing w:before="4"/>
        <w:rPr>
          <w:b/>
          <w:sz w:val="14"/>
        </w:rPr>
      </w:pPr>
    </w:p>
    <w:p>
      <w:pPr>
        <w:spacing w:before="66"/>
        <w:ind w:left="412"/>
        <w:rPr>
          <w:sz w:val="24"/>
        </w:rPr>
      </w:pPr>
      <w:r>
        <w:rPr>
          <w:sz w:val="24"/>
          <w:u w:val="single"/>
        </w:rPr>
        <w:t>致：采购人名称：</w:t>
      </w:r>
    </w:p>
    <w:p>
      <w:pPr>
        <w:pStyle w:val="19"/>
        <w:spacing w:before="5"/>
        <w:rPr>
          <w:sz w:val="23"/>
        </w:rPr>
      </w:pPr>
    </w:p>
    <w:p>
      <w:pPr>
        <w:tabs>
          <w:tab w:val="left" w:pos="1948"/>
          <w:tab w:val="left" w:pos="4511"/>
          <w:tab w:val="left" w:pos="9575"/>
        </w:tabs>
        <w:spacing w:before="74" w:line="436" w:lineRule="auto"/>
        <w:ind w:left="412" w:right="409" w:firstLine="566"/>
        <w:jc w:val="both"/>
        <w:rPr>
          <w:sz w:val="24"/>
        </w:rPr>
      </w:pPr>
      <w:r>
        <w:rPr>
          <w:sz w:val="24"/>
        </w:rPr>
        <w:t>我</w:t>
      </w:r>
      <w:r>
        <w:rPr>
          <w:sz w:val="24"/>
          <w:u w:val="single"/>
        </w:rPr>
        <w:t xml:space="preserve"> </w:t>
      </w:r>
      <w:r>
        <w:rPr>
          <w:sz w:val="24"/>
          <w:u w:val="single"/>
        </w:rPr>
        <w:tab/>
      </w:r>
      <w:r>
        <w:rPr>
          <w:sz w:val="24"/>
          <w:u w:val="single"/>
        </w:rPr>
        <w:t>（姓名</w:t>
      </w:r>
      <w:r>
        <w:rPr>
          <w:spacing w:val="-111"/>
          <w:sz w:val="24"/>
          <w:u w:val="single"/>
        </w:rPr>
        <w:t>）</w:t>
      </w:r>
      <w:r>
        <w:rPr>
          <w:sz w:val="24"/>
        </w:rPr>
        <w:t>系</w:t>
      </w:r>
      <w:r>
        <w:rPr>
          <w:sz w:val="24"/>
          <w:u w:val="single"/>
        </w:rPr>
        <w:t xml:space="preserve">    </w:t>
      </w:r>
      <w:r>
        <w:rPr>
          <w:spacing w:val="9"/>
          <w:sz w:val="24"/>
          <w:u w:val="single"/>
        </w:rPr>
        <w:t xml:space="preserve"> </w:t>
      </w:r>
      <w:r>
        <w:rPr>
          <w:sz w:val="24"/>
          <w:u w:val="single"/>
        </w:rPr>
        <w:t>（投标人名称</w:t>
      </w:r>
      <w:r>
        <w:rPr>
          <w:spacing w:val="-111"/>
          <w:sz w:val="24"/>
          <w:u w:val="single"/>
        </w:rPr>
        <w:t>）</w:t>
      </w:r>
      <w:r>
        <w:rPr>
          <w:sz w:val="24"/>
        </w:rPr>
        <w:t>的法定代表人</w:t>
      </w:r>
      <w:r>
        <w:rPr>
          <w:spacing w:val="-111"/>
          <w:sz w:val="24"/>
        </w:rPr>
        <w:t>，</w:t>
      </w:r>
      <w:r>
        <w:rPr>
          <w:sz w:val="24"/>
        </w:rPr>
        <w:t>现授权委托</w:t>
      </w:r>
      <w:r>
        <w:rPr>
          <w:sz w:val="24"/>
          <w:u w:val="single"/>
        </w:rPr>
        <w:t xml:space="preserve"> </w:t>
      </w:r>
      <w:r>
        <w:rPr>
          <w:sz w:val="24"/>
          <w:u w:val="single"/>
        </w:rPr>
        <w:tab/>
      </w:r>
      <w:r>
        <w:rPr>
          <w:sz w:val="24"/>
        </w:rPr>
        <w:t>（</w:t>
      </w:r>
      <w:r>
        <w:rPr>
          <w:spacing w:val="-18"/>
          <w:sz w:val="24"/>
        </w:rPr>
        <w:t>姓</w:t>
      </w:r>
      <w:r>
        <w:rPr>
          <w:sz w:val="24"/>
        </w:rPr>
        <w:t>名）以我方的名义参加</w:t>
      </w:r>
      <w:r>
        <w:rPr>
          <w:sz w:val="24"/>
          <w:u w:val="single"/>
        </w:rPr>
        <w:t xml:space="preserve"> </w:t>
      </w:r>
      <w:r>
        <w:rPr>
          <w:sz w:val="24"/>
          <w:u w:val="single"/>
        </w:rPr>
        <w:tab/>
      </w:r>
      <w:r>
        <w:rPr>
          <w:sz w:val="24"/>
          <w:u w:val="single"/>
        </w:rPr>
        <w:t>项目</w:t>
      </w:r>
      <w:r>
        <w:rPr>
          <w:sz w:val="24"/>
        </w:rPr>
        <w:t>的投标活动，并代表我方全权办理针对上述项</w:t>
      </w:r>
      <w:r>
        <w:rPr>
          <w:spacing w:val="-10"/>
          <w:sz w:val="24"/>
        </w:rPr>
        <w:t>目</w:t>
      </w:r>
      <w:r>
        <w:rPr>
          <w:sz w:val="24"/>
        </w:rPr>
        <w:t>的所有采购程序和环节的具体事务和签署相关文件。</w:t>
      </w:r>
    </w:p>
    <w:p>
      <w:pPr>
        <w:spacing w:before="121"/>
        <w:ind w:left="892"/>
        <w:rPr>
          <w:sz w:val="24"/>
        </w:rPr>
      </w:pPr>
      <w:r>
        <w:rPr>
          <w:sz w:val="24"/>
        </w:rPr>
        <w:t>我方对委托代理人的签字事项负全部责任。</w:t>
      </w:r>
    </w:p>
    <w:p>
      <w:pPr>
        <w:pStyle w:val="19"/>
        <w:rPr>
          <w:sz w:val="29"/>
        </w:rPr>
      </w:pPr>
    </w:p>
    <w:p>
      <w:pPr>
        <w:spacing w:before="1" w:line="436" w:lineRule="auto"/>
        <w:ind w:left="412" w:right="412" w:firstLine="480"/>
        <w:rPr>
          <w:sz w:val="24"/>
        </w:rPr>
      </w:pPr>
      <w:r>
        <w:rPr>
          <w:sz w:val="24"/>
        </w:rPr>
        <w:t>本授权书自签署之日起生效，在撤销授权的书面通知以前，本授权书一直有效。委托代理人在授权书有效期内签署的所有文件不因授权的撤销而失效。</w:t>
      </w:r>
    </w:p>
    <w:p>
      <w:pPr>
        <w:spacing w:before="121"/>
        <w:ind w:left="892"/>
        <w:rPr>
          <w:sz w:val="24"/>
        </w:rPr>
      </w:pPr>
      <w:r>
        <w:rPr>
          <w:sz w:val="24"/>
        </w:rPr>
        <w:t>委托代理人无转委托权，特此委托。</w:t>
      </w:r>
    </w:p>
    <w:p>
      <w:pPr>
        <w:pStyle w:val="19"/>
        <w:rPr>
          <w:sz w:val="29"/>
        </w:rPr>
      </w:pPr>
    </w:p>
    <w:p>
      <w:pPr>
        <w:ind w:left="892"/>
        <w:rPr>
          <w:sz w:val="24"/>
        </w:rPr>
      </w:pPr>
      <w:r>
        <w:rPr>
          <w:sz w:val="24"/>
        </w:rPr>
        <w:t>附：法定代表人身份证明及委托代理人有效身份证正反面复印件</w:t>
      </w:r>
    </w:p>
    <w:p>
      <w:pPr>
        <w:pStyle w:val="19"/>
        <w:rPr>
          <w:sz w:val="24"/>
        </w:rPr>
      </w:pPr>
    </w:p>
    <w:p>
      <w:pPr>
        <w:pStyle w:val="19"/>
        <w:rPr>
          <w:sz w:val="24"/>
        </w:rPr>
      </w:pPr>
    </w:p>
    <w:p>
      <w:pPr>
        <w:pStyle w:val="19"/>
        <w:spacing w:before="3"/>
        <w:rPr>
          <w:sz w:val="34"/>
        </w:rPr>
      </w:pPr>
    </w:p>
    <w:p>
      <w:pPr>
        <w:tabs>
          <w:tab w:val="left" w:pos="4972"/>
          <w:tab w:val="left" w:pos="8632"/>
        </w:tabs>
        <w:ind w:left="412"/>
        <w:rPr>
          <w:rFonts w:ascii="Times New Roman" w:eastAsia="Times New Roman"/>
          <w:sz w:val="24"/>
        </w:rPr>
      </w:pPr>
      <w:r>
        <w:rPr>
          <w:sz w:val="24"/>
        </w:rPr>
        <w:t>委托代理人签字：</w:t>
      </w:r>
      <w:r>
        <w:rPr>
          <w:sz w:val="24"/>
          <w:u w:val="single"/>
        </w:rPr>
        <w:t xml:space="preserve"> </w:t>
      </w:r>
      <w:r>
        <w:rPr>
          <w:sz w:val="24"/>
          <w:u w:val="single"/>
        </w:rPr>
        <w:tab/>
      </w:r>
      <w:r>
        <w:rPr>
          <w:sz w:val="24"/>
        </w:rPr>
        <w:t>法定代表人签字：</w:t>
      </w:r>
      <w:r>
        <w:rPr>
          <w:rFonts w:ascii="Times New Roman" w:eastAsia="Times New Roman"/>
          <w:sz w:val="24"/>
          <w:u w:val="single"/>
        </w:rPr>
        <w:t xml:space="preserve"> </w:t>
      </w:r>
      <w:r>
        <w:rPr>
          <w:rFonts w:ascii="Times New Roman" w:eastAsia="Times New Roman"/>
          <w:sz w:val="24"/>
          <w:u w:val="single"/>
        </w:rPr>
        <w:tab/>
      </w:r>
    </w:p>
    <w:p>
      <w:pPr>
        <w:pStyle w:val="19"/>
        <w:spacing w:before="10"/>
        <w:rPr>
          <w:rFonts w:ascii="Times New Roman"/>
          <w:sz w:val="25"/>
        </w:rPr>
      </w:pPr>
    </w:p>
    <w:p>
      <w:pPr>
        <w:tabs>
          <w:tab w:val="left" w:pos="5092"/>
          <w:tab w:val="left" w:pos="8632"/>
        </w:tabs>
        <w:spacing w:before="74"/>
        <w:ind w:left="412"/>
        <w:rPr>
          <w:rFonts w:ascii="Times New Roman" w:eastAsia="Times New Roman"/>
          <w:sz w:val="24"/>
        </w:rPr>
      </w:pPr>
      <w:r>
        <w:rPr>
          <w:sz w:val="24"/>
        </w:rPr>
        <w:t>所在部门职务：</w:t>
      </w:r>
      <w:r>
        <w:rPr>
          <w:sz w:val="24"/>
          <w:u w:val="single"/>
        </w:rPr>
        <w:t xml:space="preserve"> </w:t>
      </w:r>
      <w:r>
        <w:rPr>
          <w:sz w:val="24"/>
          <w:u w:val="single"/>
        </w:rPr>
        <w:tab/>
      </w:r>
      <w:r>
        <w:rPr>
          <w:sz w:val="24"/>
        </w:rPr>
        <w:t>职务：</w:t>
      </w:r>
      <w:r>
        <w:rPr>
          <w:rFonts w:ascii="Times New Roman" w:eastAsia="Times New Roman"/>
          <w:sz w:val="24"/>
          <w:u w:val="single"/>
        </w:rPr>
        <w:t xml:space="preserve"> </w:t>
      </w:r>
      <w:r>
        <w:rPr>
          <w:rFonts w:ascii="Times New Roman" w:eastAsia="Times New Roman"/>
          <w:sz w:val="24"/>
          <w:u w:val="single"/>
        </w:rPr>
        <w:tab/>
      </w:r>
    </w:p>
    <w:p>
      <w:pPr>
        <w:pStyle w:val="19"/>
        <w:spacing w:before="10"/>
        <w:rPr>
          <w:rFonts w:ascii="Times New Roman"/>
          <w:sz w:val="25"/>
        </w:rPr>
      </w:pPr>
    </w:p>
    <w:p>
      <w:pPr>
        <w:tabs>
          <w:tab w:val="left" w:pos="5151"/>
        </w:tabs>
        <w:spacing w:before="74"/>
        <w:ind w:left="412"/>
        <w:rPr>
          <w:rFonts w:ascii="Times New Roman" w:eastAsia="Times New Roman"/>
          <w:sz w:val="24"/>
        </w:rPr>
      </w:pPr>
      <w:r>
        <w:rPr>
          <w:spacing w:val="-1"/>
          <w:sz w:val="24"/>
        </w:rPr>
        <w:t>委</w:t>
      </w:r>
      <w:r>
        <w:rPr>
          <w:sz w:val="24"/>
        </w:rPr>
        <w:t>托代理人身份证号码：</w:t>
      </w:r>
      <w:r>
        <w:rPr>
          <w:rFonts w:ascii="Times New Roman" w:eastAsia="Times New Roman"/>
          <w:sz w:val="24"/>
          <w:u w:val="single"/>
        </w:rPr>
        <w:t xml:space="preserve"> </w:t>
      </w:r>
      <w:r>
        <w:rPr>
          <w:rFonts w:ascii="Times New Roman" w:eastAsia="Times New Roman"/>
          <w:sz w:val="24"/>
          <w:u w:val="single"/>
        </w:rPr>
        <w:tab/>
      </w:r>
    </w:p>
    <w:p>
      <w:pPr>
        <w:pStyle w:val="19"/>
        <w:spacing w:before="1"/>
        <w:rPr>
          <w:rFonts w:ascii="Times New Roman"/>
          <w:sz w:val="26"/>
        </w:rPr>
      </w:pPr>
    </w:p>
    <w:p>
      <w:pPr>
        <w:tabs>
          <w:tab w:val="left" w:pos="5272"/>
        </w:tabs>
        <w:spacing w:before="74"/>
        <w:ind w:left="412"/>
        <w:rPr>
          <w:rFonts w:ascii="Times New Roman" w:eastAsia="Times New Roman"/>
          <w:sz w:val="24"/>
        </w:rPr>
      </w:pPr>
      <w:r>
        <w:rPr>
          <w:sz w:val="24"/>
        </w:rPr>
        <w:t>投标人（盖公章）：</w:t>
      </w:r>
      <w:r>
        <w:rPr>
          <w:rFonts w:ascii="Times New Roman" w:eastAsia="Times New Roman"/>
          <w:sz w:val="24"/>
          <w:u w:val="single"/>
        </w:rPr>
        <w:t xml:space="preserve"> </w:t>
      </w:r>
      <w:r>
        <w:rPr>
          <w:rFonts w:ascii="Times New Roman" w:eastAsia="Times New Roman"/>
          <w:sz w:val="24"/>
          <w:u w:val="single"/>
        </w:rPr>
        <w:tab/>
      </w:r>
    </w:p>
    <w:p>
      <w:pPr>
        <w:pStyle w:val="19"/>
        <w:spacing w:before="7"/>
        <w:rPr>
          <w:rFonts w:ascii="Times New Roman"/>
          <w:sz w:val="26"/>
        </w:rPr>
      </w:pPr>
    </w:p>
    <w:p>
      <w:pPr>
        <w:tabs>
          <w:tab w:val="left" w:pos="1672"/>
          <w:tab w:val="left" w:pos="2392"/>
        </w:tabs>
        <w:spacing w:before="66"/>
        <w:ind w:left="412"/>
        <w:rPr>
          <w:sz w:val="24"/>
        </w:rPr>
      </w:pPr>
      <w:r>
        <w:rPr>
          <w:sz w:val="24"/>
        </w:rPr>
        <w:t>2021</w:t>
      </w:r>
      <w:r>
        <w:rPr>
          <w:spacing w:val="-60"/>
          <w:sz w:val="24"/>
        </w:rPr>
        <w:t xml:space="preserve"> </w:t>
      </w:r>
      <w:r>
        <w:rPr>
          <w:sz w:val="24"/>
        </w:rPr>
        <w:t>年</w:t>
      </w:r>
      <w:r>
        <w:rPr>
          <w:sz w:val="24"/>
        </w:rPr>
        <w:tab/>
      </w:r>
      <w:r>
        <w:rPr>
          <w:sz w:val="24"/>
        </w:rPr>
        <w:t>月</w:t>
      </w:r>
      <w:r>
        <w:rPr>
          <w:sz w:val="24"/>
        </w:rPr>
        <w:tab/>
      </w:r>
      <w:r>
        <w:rPr>
          <w:sz w:val="24"/>
        </w:rPr>
        <w:t>日</w:t>
      </w:r>
    </w:p>
    <w:p>
      <w:pPr>
        <w:spacing w:before="96" w:line="362" w:lineRule="auto"/>
        <w:ind w:left="412" w:right="412"/>
        <w:rPr>
          <w:rFonts w:ascii="仿宋" w:eastAsia="仿宋"/>
          <w:sz w:val="24"/>
        </w:rPr>
      </w:pPr>
      <w:r>
        <w:rPr>
          <w:rFonts w:hint="eastAsia" w:ascii="仿宋" w:eastAsia="仿宋"/>
          <w:sz w:val="24"/>
        </w:rPr>
        <w:t>注：1.法定代表人和委托代理人必须在授权委托书上亲笔签名，不得使用印章、签名章或者其他电子制版签名代替，</w:t>
      </w:r>
      <w:r>
        <w:rPr>
          <w:rFonts w:hint="eastAsia" w:ascii="仿宋" w:eastAsia="仿宋"/>
          <w:b/>
          <w:sz w:val="24"/>
        </w:rPr>
        <w:t>否则作无效投标处理</w:t>
      </w:r>
      <w:r>
        <w:rPr>
          <w:rFonts w:hint="eastAsia" w:ascii="仿宋" w:eastAsia="仿宋"/>
          <w:sz w:val="24"/>
        </w:rPr>
        <w:t>；</w:t>
      </w:r>
    </w:p>
    <w:p>
      <w:pPr>
        <w:spacing w:before="55" w:line="362" w:lineRule="auto"/>
        <w:ind w:left="412" w:right="412" w:firstLine="480"/>
        <w:rPr>
          <w:rFonts w:ascii="仿宋" w:eastAsia="仿宋"/>
          <w:sz w:val="24"/>
        </w:rPr>
      </w:pPr>
      <w:r>
        <w:rPr>
          <w:rFonts w:hint="eastAsia" w:ascii="仿宋" w:eastAsia="仿宋"/>
          <w:sz w:val="24"/>
        </w:rPr>
        <w:t>2.</w:t>
      </w:r>
      <w:r>
        <w:rPr>
          <w:rFonts w:hint="eastAsia" w:ascii="仿宋" w:eastAsia="仿宋"/>
          <w:spacing w:val="-7"/>
          <w:sz w:val="24"/>
        </w:rPr>
        <w:t xml:space="preserve"> 供应商为其他组织时，本招标文件规定的法定代表人指负责人。本招标文件所称负责</w:t>
      </w:r>
      <w:r>
        <w:rPr>
          <w:rFonts w:hint="eastAsia" w:ascii="仿宋" w:eastAsia="仿宋"/>
          <w:sz w:val="24"/>
        </w:rPr>
        <w:t>人是指参加投标的其他组织营业执照上的负责人。</w:t>
      </w:r>
    </w:p>
    <w:p>
      <w:pPr>
        <w:spacing w:line="362" w:lineRule="auto"/>
        <w:rPr>
          <w:rFonts w:ascii="仿宋" w:eastAsia="仿宋"/>
          <w:sz w:val="24"/>
        </w:rPr>
        <w:sectPr>
          <w:type w:val="continuous"/>
          <w:pgSz w:w="11910" w:h="16840"/>
          <w:pgMar w:top="1240" w:right="720" w:bottom="280" w:left="720" w:header="720" w:footer="720" w:gutter="0"/>
          <w:pgNumType w:fmt="decimal"/>
          <w:cols w:space="720" w:num="1"/>
        </w:sectPr>
      </w:pPr>
    </w:p>
    <w:p>
      <w:pPr>
        <w:numPr>
          <w:ilvl w:val="0"/>
          <w:numId w:val="94"/>
        </w:numPr>
        <w:tabs>
          <w:tab w:val="left" w:pos="656"/>
        </w:tabs>
        <w:spacing w:before="38"/>
        <w:ind w:hanging="244"/>
        <w:rPr>
          <w:b/>
          <w:sz w:val="24"/>
        </w:rPr>
      </w:pPr>
      <w:r>
        <w:rPr>
          <w:b/>
          <w:sz w:val="24"/>
        </w:rPr>
        <w:t>商务条款偏离表格式</w:t>
      </w:r>
    </w:p>
    <w:tbl>
      <w:tblPr>
        <w:tblStyle w:val="51"/>
        <w:tblW w:w="9850"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641"/>
        <w:gridCol w:w="3181"/>
        <w:gridCol w:w="2087"/>
        <w:gridCol w:w="194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2641" w:type="dxa"/>
          </w:tcPr>
          <w:p>
            <w:pPr>
              <w:pStyle w:val="63"/>
              <w:spacing w:before="123"/>
              <w:ind w:left="638" w:right="632"/>
              <w:jc w:val="center"/>
              <w:rPr>
                <w:sz w:val="24"/>
              </w:rPr>
            </w:pPr>
            <w:r>
              <w:rPr>
                <w:sz w:val="24"/>
              </w:rPr>
              <w:t>项目</w:t>
            </w:r>
          </w:p>
        </w:tc>
        <w:tc>
          <w:tcPr>
            <w:tcW w:w="3181" w:type="dxa"/>
          </w:tcPr>
          <w:p>
            <w:pPr>
              <w:pStyle w:val="63"/>
              <w:spacing w:before="123"/>
              <w:ind w:left="388"/>
              <w:rPr>
                <w:sz w:val="24"/>
              </w:rPr>
            </w:pPr>
            <w:r>
              <w:rPr>
                <w:sz w:val="24"/>
              </w:rPr>
              <w:t>招标文件商务条款要求</w:t>
            </w:r>
          </w:p>
        </w:tc>
        <w:tc>
          <w:tcPr>
            <w:tcW w:w="2087" w:type="dxa"/>
          </w:tcPr>
          <w:p>
            <w:pPr>
              <w:pStyle w:val="63"/>
              <w:spacing w:before="123"/>
              <w:ind w:left="322"/>
              <w:rPr>
                <w:sz w:val="24"/>
              </w:rPr>
            </w:pPr>
            <w:r>
              <w:rPr>
                <w:sz w:val="24"/>
              </w:rPr>
              <w:t>投标人的承诺</w:t>
            </w:r>
          </w:p>
        </w:tc>
        <w:tc>
          <w:tcPr>
            <w:tcW w:w="1941" w:type="dxa"/>
          </w:tcPr>
          <w:p>
            <w:pPr>
              <w:pStyle w:val="63"/>
              <w:spacing w:before="123"/>
              <w:ind w:left="489"/>
              <w:rPr>
                <w:sz w:val="24"/>
              </w:rPr>
            </w:pPr>
            <w:r>
              <w:rPr>
                <w:sz w:val="24"/>
              </w:rPr>
              <w:t>偏离说明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2641" w:type="dxa"/>
          </w:tcPr>
          <w:p>
            <w:pPr>
              <w:pStyle w:val="63"/>
              <w:spacing w:before="6"/>
              <w:rPr>
                <w:b/>
                <w:sz w:val="15"/>
              </w:rPr>
            </w:pPr>
          </w:p>
          <w:p>
            <w:pPr>
              <w:pStyle w:val="63"/>
              <w:spacing w:before="1"/>
              <w:ind w:left="638" w:right="630"/>
              <w:jc w:val="center"/>
            </w:pPr>
            <w:r>
              <w:t>规范标准</w:t>
            </w:r>
          </w:p>
        </w:tc>
        <w:tc>
          <w:tcPr>
            <w:tcW w:w="3181" w:type="dxa"/>
          </w:tcPr>
          <w:p>
            <w:pPr>
              <w:pStyle w:val="63"/>
              <w:rPr>
                <w:rFonts w:ascii="Times New Roman"/>
              </w:rPr>
            </w:pPr>
          </w:p>
        </w:tc>
        <w:tc>
          <w:tcPr>
            <w:tcW w:w="2087" w:type="dxa"/>
          </w:tcPr>
          <w:p>
            <w:pPr>
              <w:pStyle w:val="63"/>
              <w:rPr>
                <w:rFonts w:ascii="Times New Roman"/>
              </w:rPr>
            </w:pPr>
          </w:p>
        </w:tc>
        <w:tc>
          <w:tcPr>
            <w:tcW w:w="1941" w:type="dxa"/>
          </w:tcPr>
          <w:p>
            <w:pPr>
              <w:pStyle w:val="63"/>
              <w:rPr>
                <w:rFonts w:asci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2641" w:type="dxa"/>
          </w:tcPr>
          <w:p>
            <w:pPr>
              <w:pStyle w:val="63"/>
              <w:spacing w:before="8"/>
              <w:rPr>
                <w:b/>
                <w:sz w:val="15"/>
              </w:rPr>
            </w:pPr>
          </w:p>
          <w:p>
            <w:pPr>
              <w:pStyle w:val="63"/>
              <w:ind w:left="638" w:right="632"/>
              <w:jc w:val="center"/>
            </w:pPr>
            <w:r>
              <w:t>投标报价要求</w:t>
            </w:r>
          </w:p>
        </w:tc>
        <w:tc>
          <w:tcPr>
            <w:tcW w:w="3181" w:type="dxa"/>
          </w:tcPr>
          <w:p>
            <w:pPr>
              <w:pStyle w:val="63"/>
              <w:rPr>
                <w:rFonts w:ascii="Times New Roman"/>
              </w:rPr>
            </w:pPr>
          </w:p>
        </w:tc>
        <w:tc>
          <w:tcPr>
            <w:tcW w:w="2087" w:type="dxa"/>
          </w:tcPr>
          <w:p>
            <w:pPr>
              <w:pStyle w:val="63"/>
              <w:rPr>
                <w:rFonts w:ascii="Times New Roman"/>
              </w:rPr>
            </w:pPr>
          </w:p>
        </w:tc>
        <w:tc>
          <w:tcPr>
            <w:tcW w:w="1941" w:type="dxa"/>
          </w:tcPr>
          <w:p>
            <w:pPr>
              <w:pStyle w:val="63"/>
              <w:rPr>
                <w:rFonts w:asci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2641" w:type="dxa"/>
          </w:tcPr>
          <w:p>
            <w:pPr>
              <w:pStyle w:val="63"/>
              <w:spacing w:before="6"/>
              <w:rPr>
                <w:b/>
                <w:sz w:val="15"/>
              </w:rPr>
            </w:pPr>
          </w:p>
          <w:p>
            <w:pPr>
              <w:pStyle w:val="63"/>
              <w:spacing w:before="1"/>
              <w:ind w:left="638" w:right="630"/>
              <w:jc w:val="center"/>
            </w:pPr>
            <w:r>
              <w:t>质保要求</w:t>
            </w:r>
          </w:p>
        </w:tc>
        <w:tc>
          <w:tcPr>
            <w:tcW w:w="3181" w:type="dxa"/>
          </w:tcPr>
          <w:p>
            <w:pPr>
              <w:pStyle w:val="63"/>
              <w:rPr>
                <w:rFonts w:ascii="Times New Roman"/>
              </w:rPr>
            </w:pPr>
          </w:p>
        </w:tc>
        <w:tc>
          <w:tcPr>
            <w:tcW w:w="2087" w:type="dxa"/>
          </w:tcPr>
          <w:p>
            <w:pPr>
              <w:pStyle w:val="63"/>
              <w:rPr>
                <w:rFonts w:ascii="Times New Roman"/>
              </w:rPr>
            </w:pPr>
          </w:p>
        </w:tc>
        <w:tc>
          <w:tcPr>
            <w:tcW w:w="1941" w:type="dxa"/>
          </w:tcPr>
          <w:p>
            <w:pPr>
              <w:pStyle w:val="63"/>
              <w:rPr>
                <w:rFonts w:asci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2641" w:type="dxa"/>
          </w:tcPr>
          <w:p>
            <w:pPr>
              <w:pStyle w:val="63"/>
              <w:spacing w:before="3"/>
              <w:rPr>
                <w:b/>
                <w:sz w:val="20"/>
              </w:rPr>
            </w:pPr>
          </w:p>
          <w:p>
            <w:pPr>
              <w:pStyle w:val="63"/>
              <w:spacing w:before="1"/>
              <w:ind w:left="638" w:right="632"/>
              <w:jc w:val="center"/>
            </w:pPr>
            <w:r>
              <w:t>售后技术要求</w:t>
            </w:r>
          </w:p>
        </w:tc>
        <w:tc>
          <w:tcPr>
            <w:tcW w:w="3181" w:type="dxa"/>
          </w:tcPr>
          <w:p>
            <w:pPr>
              <w:pStyle w:val="63"/>
              <w:rPr>
                <w:rFonts w:ascii="Times New Roman"/>
              </w:rPr>
            </w:pPr>
          </w:p>
        </w:tc>
        <w:tc>
          <w:tcPr>
            <w:tcW w:w="2087" w:type="dxa"/>
          </w:tcPr>
          <w:p>
            <w:pPr>
              <w:pStyle w:val="63"/>
              <w:rPr>
                <w:rFonts w:ascii="Times New Roman"/>
              </w:rPr>
            </w:pPr>
          </w:p>
        </w:tc>
        <w:tc>
          <w:tcPr>
            <w:tcW w:w="1941" w:type="dxa"/>
          </w:tcPr>
          <w:p>
            <w:pPr>
              <w:pStyle w:val="63"/>
              <w:rPr>
                <w:rFonts w:asci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2641" w:type="dxa"/>
          </w:tcPr>
          <w:p>
            <w:pPr>
              <w:pStyle w:val="63"/>
              <w:spacing w:before="2"/>
              <w:rPr>
                <w:b/>
                <w:sz w:val="19"/>
              </w:rPr>
            </w:pPr>
          </w:p>
          <w:p>
            <w:pPr>
              <w:pStyle w:val="63"/>
              <w:ind w:left="638" w:right="632"/>
              <w:jc w:val="center"/>
              <w:rPr>
                <w:sz w:val="24"/>
              </w:rPr>
            </w:pPr>
            <w:r>
              <w:rPr>
                <w:sz w:val="24"/>
              </w:rPr>
              <w:t>......</w:t>
            </w:r>
          </w:p>
        </w:tc>
        <w:tc>
          <w:tcPr>
            <w:tcW w:w="3181" w:type="dxa"/>
          </w:tcPr>
          <w:p>
            <w:pPr>
              <w:pStyle w:val="63"/>
              <w:rPr>
                <w:rFonts w:ascii="Times New Roman"/>
              </w:rPr>
            </w:pPr>
          </w:p>
        </w:tc>
        <w:tc>
          <w:tcPr>
            <w:tcW w:w="2087" w:type="dxa"/>
          </w:tcPr>
          <w:p>
            <w:pPr>
              <w:pStyle w:val="63"/>
              <w:rPr>
                <w:rFonts w:ascii="Times New Roman"/>
              </w:rPr>
            </w:pPr>
          </w:p>
        </w:tc>
        <w:tc>
          <w:tcPr>
            <w:tcW w:w="1941" w:type="dxa"/>
          </w:tcPr>
          <w:p>
            <w:pPr>
              <w:pStyle w:val="63"/>
              <w:rPr>
                <w:rFonts w:asci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2641" w:type="dxa"/>
          </w:tcPr>
          <w:p>
            <w:pPr>
              <w:pStyle w:val="63"/>
              <w:rPr>
                <w:rFonts w:ascii="Times New Roman"/>
              </w:rPr>
            </w:pPr>
          </w:p>
        </w:tc>
        <w:tc>
          <w:tcPr>
            <w:tcW w:w="3181" w:type="dxa"/>
          </w:tcPr>
          <w:p>
            <w:pPr>
              <w:pStyle w:val="63"/>
              <w:rPr>
                <w:rFonts w:ascii="Times New Roman"/>
              </w:rPr>
            </w:pPr>
          </w:p>
        </w:tc>
        <w:tc>
          <w:tcPr>
            <w:tcW w:w="2087" w:type="dxa"/>
          </w:tcPr>
          <w:p>
            <w:pPr>
              <w:pStyle w:val="63"/>
              <w:rPr>
                <w:rFonts w:ascii="Times New Roman"/>
              </w:rPr>
            </w:pPr>
          </w:p>
        </w:tc>
        <w:tc>
          <w:tcPr>
            <w:tcW w:w="1941" w:type="dxa"/>
          </w:tcPr>
          <w:p>
            <w:pPr>
              <w:pStyle w:val="63"/>
              <w:rPr>
                <w:rFonts w:ascii="Times New Roman"/>
              </w:rPr>
            </w:pPr>
          </w:p>
        </w:tc>
      </w:tr>
    </w:tbl>
    <w:p>
      <w:pPr>
        <w:spacing w:before="162"/>
        <w:ind w:left="412"/>
        <w:rPr>
          <w:b/>
          <w:sz w:val="24"/>
        </w:rPr>
      </w:pPr>
      <w:r>
        <w:rPr>
          <w:b/>
          <w:w w:val="95"/>
          <w:sz w:val="24"/>
        </w:rPr>
        <w:t>注：</w:t>
      </w:r>
    </w:p>
    <w:p>
      <w:pPr>
        <w:numPr>
          <w:ilvl w:val="0"/>
          <w:numId w:val="95"/>
        </w:numPr>
        <w:tabs>
          <w:tab w:val="left" w:pos="773"/>
        </w:tabs>
        <w:spacing w:before="209" w:line="405" w:lineRule="auto"/>
        <w:ind w:right="412" w:firstLine="0"/>
        <w:rPr>
          <w:sz w:val="24"/>
        </w:rPr>
      </w:pPr>
      <w:r>
        <w:rPr>
          <w:spacing w:val="-1"/>
          <w:sz w:val="24"/>
        </w:rPr>
        <w:t>说明：应对照招标文件“第二章 采购需求”中的商务条款逐条实质性响应，并作出偏离</w:t>
      </w:r>
      <w:r>
        <w:rPr>
          <w:sz w:val="24"/>
        </w:rPr>
        <w:t>说明。</w:t>
      </w:r>
    </w:p>
    <w:p>
      <w:pPr>
        <w:numPr>
          <w:ilvl w:val="0"/>
          <w:numId w:val="95"/>
        </w:numPr>
        <w:tabs>
          <w:tab w:val="left" w:pos="654"/>
        </w:tabs>
        <w:spacing w:line="291" w:lineRule="exact"/>
        <w:ind w:left="653" w:hanging="242"/>
        <w:rPr>
          <w:b/>
          <w:sz w:val="24"/>
        </w:rPr>
      </w:pPr>
      <w:r>
        <w:rPr>
          <w:sz w:val="24"/>
        </w:rPr>
        <w:t>投标人应根据自身的承诺，对照招标文件要求在“偏离说明”中注明“</w:t>
      </w:r>
      <w:r>
        <w:rPr>
          <w:b/>
          <w:sz w:val="24"/>
        </w:rPr>
        <w:t>正偏离</w:t>
      </w:r>
      <w:r>
        <w:rPr>
          <w:sz w:val="24"/>
        </w:rPr>
        <w:t>”、“</w:t>
      </w:r>
      <w:r>
        <w:rPr>
          <w:b/>
          <w:sz w:val="24"/>
        </w:rPr>
        <w:t>负偏</w:t>
      </w:r>
    </w:p>
    <w:p>
      <w:pPr>
        <w:spacing w:before="194"/>
        <w:ind w:left="412"/>
        <w:rPr>
          <w:sz w:val="24"/>
        </w:rPr>
      </w:pPr>
      <w:r>
        <w:rPr>
          <w:b/>
          <w:sz w:val="24"/>
        </w:rPr>
        <w:t>离</w:t>
      </w:r>
      <w:r>
        <w:rPr>
          <w:sz w:val="24"/>
        </w:rPr>
        <w:t>”或者“</w:t>
      </w:r>
      <w:r>
        <w:rPr>
          <w:b/>
          <w:sz w:val="24"/>
        </w:rPr>
        <w:t>无偏离</w:t>
      </w:r>
      <w:r>
        <w:rPr>
          <w:sz w:val="24"/>
        </w:rPr>
        <w:t>”。既不属于“</w:t>
      </w:r>
      <w:r>
        <w:rPr>
          <w:b/>
          <w:sz w:val="24"/>
        </w:rPr>
        <w:t>正偏离</w:t>
      </w:r>
      <w:r>
        <w:rPr>
          <w:sz w:val="24"/>
        </w:rPr>
        <w:t>”也不属于“</w:t>
      </w:r>
      <w:r>
        <w:rPr>
          <w:b/>
          <w:sz w:val="24"/>
        </w:rPr>
        <w:t>负偏离</w:t>
      </w:r>
      <w:r>
        <w:rPr>
          <w:sz w:val="24"/>
        </w:rPr>
        <w:t>”即为“</w:t>
      </w:r>
      <w:r>
        <w:rPr>
          <w:b/>
          <w:sz w:val="24"/>
        </w:rPr>
        <w:t>无偏离</w:t>
      </w:r>
      <w:r>
        <w:rPr>
          <w:sz w:val="24"/>
        </w:rPr>
        <w:t>”。</w:t>
      </w:r>
    </w:p>
    <w:p>
      <w:pPr>
        <w:pStyle w:val="19"/>
        <w:rPr>
          <w:sz w:val="24"/>
        </w:rPr>
      </w:pPr>
    </w:p>
    <w:p>
      <w:pPr>
        <w:pStyle w:val="19"/>
        <w:rPr>
          <w:sz w:val="24"/>
        </w:rPr>
      </w:pPr>
    </w:p>
    <w:p>
      <w:pPr>
        <w:pStyle w:val="19"/>
        <w:rPr>
          <w:sz w:val="24"/>
        </w:rPr>
      </w:pPr>
    </w:p>
    <w:p>
      <w:pPr>
        <w:pStyle w:val="19"/>
        <w:spacing w:before="1"/>
        <w:rPr>
          <w:sz w:val="17"/>
        </w:rPr>
      </w:pPr>
    </w:p>
    <w:p>
      <w:pPr>
        <w:ind w:left="412"/>
        <w:rPr>
          <w:sz w:val="24"/>
        </w:rPr>
      </w:pPr>
      <w:r>
        <w:rPr>
          <w:sz w:val="24"/>
        </w:rPr>
        <w:t>法定代表人或者委托代理人签字:_____________________</w:t>
      </w:r>
    </w:p>
    <w:p>
      <w:pPr>
        <w:pStyle w:val="19"/>
        <w:spacing w:before="9"/>
      </w:pPr>
    </w:p>
    <w:p>
      <w:pPr>
        <w:tabs>
          <w:tab w:val="left" w:pos="2253"/>
        </w:tabs>
        <w:spacing w:before="1"/>
        <w:ind w:left="412"/>
        <w:rPr>
          <w:sz w:val="24"/>
        </w:rPr>
      </w:pPr>
      <w:r>
        <w:rPr>
          <w:spacing w:val="40"/>
          <w:sz w:val="24"/>
        </w:rPr>
        <w:t>投</w:t>
      </w:r>
      <w:r>
        <w:rPr>
          <w:spacing w:val="38"/>
          <w:sz w:val="24"/>
        </w:rPr>
        <w:t>标</w:t>
      </w:r>
      <w:r>
        <w:rPr>
          <w:spacing w:val="40"/>
          <w:sz w:val="24"/>
        </w:rPr>
        <w:t>人盖</w:t>
      </w:r>
      <w:r>
        <w:rPr>
          <w:spacing w:val="38"/>
          <w:sz w:val="24"/>
        </w:rPr>
        <w:t>公</w:t>
      </w:r>
      <w:r>
        <w:rPr>
          <w:sz w:val="24"/>
        </w:rPr>
        <w:t>章</w:t>
      </w:r>
      <w:r>
        <w:rPr>
          <w:sz w:val="24"/>
        </w:rPr>
        <w:tab/>
      </w:r>
      <w:r>
        <w:rPr>
          <w:spacing w:val="18"/>
          <w:sz w:val="24"/>
        </w:rPr>
        <w:t>:________________________________</w:t>
      </w:r>
    </w:p>
    <w:p>
      <w:pPr>
        <w:pStyle w:val="19"/>
        <w:spacing w:before="8"/>
      </w:pPr>
    </w:p>
    <w:p>
      <w:pPr>
        <w:tabs>
          <w:tab w:val="left" w:pos="1012"/>
        </w:tabs>
        <w:spacing w:before="1"/>
        <w:ind w:left="412"/>
        <w:rPr>
          <w:sz w:val="24"/>
        </w:rPr>
      </w:pPr>
      <w:r>
        <w:rPr>
          <w:sz w:val="24"/>
        </w:rPr>
        <w:t>日</w:t>
      </w:r>
      <w:r>
        <w:rPr>
          <w:sz w:val="24"/>
        </w:rPr>
        <w:tab/>
      </w:r>
      <w:r>
        <w:rPr>
          <w:spacing w:val="40"/>
          <w:sz w:val="24"/>
        </w:rPr>
        <w:t>期</w:t>
      </w:r>
      <w:r>
        <w:rPr>
          <w:sz w:val="24"/>
        </w:rPr>
        <w:t>：</w:t>
      </w:r>
      <w:r>
        <w:rPr>
          <w:spacing w:val="-78"/>
          <w:sz w:val="24"/>
        </w:rPr>
        <w:t xml:space="preserve"> </w:t>
      </w:r>
      <w:r>
        <w:rPr>
          <w:spacing w:val="19"/>
          <w:sz w:val="24"/>
        </w:rPr>
        <w:t>______________________________________</w:t>
      </w:r>
    </w:p>
    <w:p>
      <w:pPr>
        <w:rPr>
          <w:sz w:val="24"/>
        </w:rPr>
        <w:sectPr>
          <w:pgSz w:w="11910" w:h="16840"/>
          <w:pgMar w:top="1080" w:right="720" w:bottom="1380" w:left="720" w:header="0" w:footer="1200" w:gutter="0"/>
          <w:pgNumType w:fmt="decimal"/>
          <w:cols w:space="720" w:num="1"/>
        </w:sectPr>
      </w:pPr>
    </w:p>
    <w:p>
      <w:pPr>
        <w:numPr>
          <w:ilvl w:val="0"/>
          <w:numId w:val="96"/>
        </w:numPr>
        <w:tabs>
          <w:tab w:val="left" w:pos="656"/>
        </w:tabs>
        <w:spacing w:before="48"/>
        <w:ind w:hanging="244"/>
        <w:rPr>
          <w:b/>
          <w:sz w:val="24"/>
        </w:rPr>
      </w:pPr>
      <w:r>
        <w:rPr>
          <w:b/>
          <w:sz w:val="24"/>
        </w:rPr>
        <w:t>投标人类似的业绩证明文件</w:t>
      </w:r>
    </w:p>
    <w:p>
      <w:pPr>
        <w:pStyle w:val="19"/>
        <w:spacing w:before="4"/>
        <w:rPr>
          <w:b/>
          <w:sz w:val="28"/>
        </w:rPr>
      </w:pPr>
    </w:p>
    <w:tbl>
      <w:tblPr>
        <w:tblStyle w:val="51"/>
        <w:tblW w:w="9832" w:type="dxa"/>
        <w:tblInd w:w="31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33"/>
        <w:gridCol w:w="1802"/>
        <w:gridCol w:w="2071"/>
        <w:gridCol w:w="3173"/>
        <w:gridCol w:w="105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2" w:hRule="atLeast"/>
        </w:trPr>
        <w:tc>
          <w:tcPr>
            <w:tcW w:w="1733" w:type="dxa"/>
          </w:tcPr>
          <w:p>
            <w:pPr>
              <w:pStyle w:val="63"/>
              <w:rPr>
                <w:b/>
                <w:sz w:val="24"/>
              </w:rPr>
            </w:pPr>
          </w:p>
          <w:p>
            <w:pPr>
              <w:pStyle w:val="63"/>
              <w:spacing w:before="175"/>
              <w:ind w:left="264"/>
              <w:rPr>
                <w:sz w:val="24"/>
              </w:rPr>
            </w:pPr>
            <w:r>
              <w:rPr>
                <w:sz w:val="24"/>
              </w:rPr>
              <w:t>采购人名称</w:t>
            </w:r>
          </w:p>
        </w:tc>
        <w:tc>
          <w:tcPr>
            <w:tcW w:w="1802" w:type="dxa"/>
          </w:tcPr>
          <w:p>
            <w:pPr>
              <w:pStyle w:val="63"/>
              <w:rPr>
                <w:b/>
                <w:sz w:val="24"/>
              </w:rPr>
            </w:pPr>
          </w:p>
          <w:p>
            <w:pPr>
              <w:pStyle w:val="63"/>
              <w:spacing w:before="175"/>
              <w:ind w:left="420"/>
              <w:rPr>
                <w:sz w:val="24"/>
              </w:rPr>
            </w:pPr>
            <w:r>
              <w:rPr>
                <w:sz w:val="24"/>
              </w:rPr>
              <w:t>项目名称</w:t>
            </w:r>
          </w:p>
        </w:tc>
        <w:tc>
          <w:tcPr>
            <w:tcW w:w="2071" w:type="dxa"/>
          </w:tcPr>
          <w:p>
            <w:pPr>
              <w:pStyle w:val="63"/>
              <w:rPr>
                <w:b/>
                <w:sz w:val="24"/>
              </w:rPr>
            </w:pPr>
          </w:p>
          <w:p>
            <w:pPr>
              <w:pStyle w:val="63"/>
              <w:spacing w:before="175"/>
              <w:ind w:left="106"/>
              <w:rPr>
                <w:sz w:val="24"/>
              </w:rPr>
            </w:pPr>
            <w:r>
              <w:rPr>
                <w:sz w:val="24"/>
              </w:rPr>
              <w:t>合同金额（万元）</w:t>
            </w:r>
          </w:p>
        </w:tc>
        <w:tc>
          <w:tcPr>
            <w:tcW w:w="3173" w:type="dxa"/>
          </w:tcPr>
          <w:p>
            <w:pPr>
              <w:pStyle w:val="63"/>
              <w:rPr>
                <w:b/>
                <w:sz w:val="24"/>
              </w:rPr>
            </w:pPr>
          </w:p>
          <w:p>
            <w:pPr>
              <w:pStyle w:val="63"/>
              <w:spacing w:before="175"/>
              <w:ind w:left="265"/>
              <w:rPr>
                <w:sz w:val="24"/>
              </w:rPr>
            </w:pPr>
            <w:r>
              <w:rPr>
                <w:sz w:val="24"/>
              </w:rPr>
              <w:t>采购人联系人及联系电话</w:t>
            </w:r>
          </w:p>
        </w:tc>
        <w:tc>
          <w:tcPr>
            <w:tcW w:w="1053" w:type="dxa"/>
          </w:tcPr>
          <w:p>
            <w:pPr>
              <w:pStyle w:val="63"/>
              <w:rPr>
                <w:b/>
                <w:sz w:val="24"/>
              </w:rPr>
            </w:pPr>
          </w:p>
          <w:p>
            <w:pPr>
              <w:pStyle w:val="63"/>
              <w:spacing w:before="175"/>
              <w:ind w:left="286"/>
              <w:rPr>
                <w:sz w:val="24"/>
              </w:rPr>
            </w:pPr>
            <w:r>
              <w:rPr>
                <w:sz w:val="24"/>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8" w:hRule="atLeast"/>
        </w:trPr>
        <w:tc>
          <w:tcPr>
            <w:tcW w:w="1733" w:type="dxa"/>
          </w:tcPr>
          <w:p>
            <w:pPr>
              <w:pStyle w:val="63"/>
              <w:rPr>
                <w:rFonts w:ascii="Times New Roman"/>
              </w:rPr>
            </w:pPr>
          </w:p>
        </w:tc>
        <w:tc>
          <w:tcPr>
            <w:tcW w:w="1802" w:type="dxa"/>
          </w:tcPr>
          <w:p>
            <w:pPr>
              <w:pStyle w:val="63"/>
              <w:rPr>
                <w:rFonts w:ascii="Times New Roman"/>
              </w:rPr>
            </w:pPr>
          </w:p>
        </w:tc>
        <w:tc>
          <w:tcPr>
            <w:tcW w:w="2071" w:type="dxa"/>
          </w:tcPr>
          <w:p>
            <w:pPr>
              <w:pStyle w:val="63"/>
              <w:rPr>
                <w:rFonts w:ascii="Times New Roman"/>
              </w:rPr>
            </w:pPr>
          </w:p>
        </w:tc>
        <w:tc>
          <w:tcPr>
            <w:tcW w:w="3173" w:type="dxa"/>
          </w:tcPr>
          <w:p>
            <w:pPr>
              <w:pStyle w:val="63"/>
              <w:rPr>
                <w:rFonts w:ascii="Times New Roman"/>
              </w:rPr>
            </w:pPr>
          </w:p>
        </w:tc>
        <w:tc>
          <w:tcPr>
            <w:tcW w:w="1053" w:type="dxa"/>
          </w:tcPr>
          <w:p>
            <w:pPr>
              <w:pStyle w:val="63"/>
              <w:rPr>
                <w:rFonts w:asci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trPr>
        <w:tc>
          <w:tcPr>
            <w:tcW w:w="1733" w:type="dxa"/>
          </w:tcPr>
          <w:p>
            <w:pPr>
              <w:pStyle w:val="63"/>
              <w:rPr>
                <w:rFonts w:ascii="Times New Roman"/>
              </w:rPr>
            </w:pPr>
          </w:p>
        </w:tc>
        <w:tc>
          <w:tcPr>
            <w:tcW w:w="1802" w:type="dxa"/>
          </w:tcPr>
          <w:p>
            <w:pPr>
              <w:pStyle w:val="63"/>
              <w:rPr>
                <w:rFonts w:ascii="Times New Roman"/>
              </w:rPr>
            </w:pPr>
          </w:p>
        </w:tc>
        <w:tc>
          <w:tcPr>
            <w:tcW w:w="2071" w:type="dxa"/>
          </w:tcPr>
          <w:p>
            <w:pPr>
              <w:pStyle w:val="63"/>
              <w:rPr>
                <w:rFonts w:ascii="Times New Roman"/>
              </w:rPr>
            </w:pPr>
          </w:p>
        </w:tc>
        <w:tc>
          <w:tcPr>
            <w:tcW w:w="3173" w:type="dxa"/>
          </w:tcPr>
          <w:p>
            <w:pPr>
              <w:pStyle w:val="63"/>
              <w:rPr>
                <w:rFonts w:ascii="Times New Roman"/>
              </w:rPr>
            </w:pPr>
          </w:p>
        </w:tc>
        <w:tc>
          <w:tcPr>
            <w:tcW w:w="1053" w:type="dxa"/>
          </w:tcPr>
          <w:p>
            <w:pPr>
              <w:pStyle w:val="63"/>
              <w:rPr>
                <w:rFonts w:asci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10" w:hRule="atLeast"/>
        </w:trPr>
        <w:tc>
          <w:tcPr>
            <w:tcW w:w="1733" w:type="dxa"/>
          </w:tcPr>
          <w:p>
            <w:pPr>
              <w:pStyle w:val="63"/>
              <w:rPr>
                <w:rFonts w:ascii="Times New Roman"/>
              </w:rPr>
            </w:pPr>
          </w:p>
        </w:tc>
        <w:tc>
          <w:tcPr>
            <w:tcW w:w="1802" w:type="dxa"/>
          </w:tcPr>
          <w:p>
            <w:pPr>
              <w:pStyle w:val="63"/>
              <w:rPr>
                <w:rFonts w:ascii="Times New Roman"/>
              </w:rPr>
            </w:pPr>
          </w:p>
        </w:tc>
        <w:tc>
          <w:tcPr>
            <w:tcW w:w="2071" w:type="dxa"/>
          </w:tcPr>
          <w:p>
            <w:pPr>
              <w:pStyle w:val="63"/>
              <w:rPr>
                <w:rFonts w:ascii="Times New Roman"/>
              </w:rPr>
            </w:pPr>
          </w:p>
        </w:tc>
        <w:tc>
          <w:tcPr>
            <w:tcW w:w="3173" w:type="dxa"/>
          </w:tcPr>
          <w:p>
            <w:pPr>
              <w:pStyle w:val="63"/>
              <w:rPr>
                <w:rFonts w:ascii="Times New Roman"/>
              </w:rPr>
            </w:pPr>
          </w:p>
        </w:tc>
        <w:tc>
          <w:tcPr>
            <w:tcW w:w="1053" w:type="dxa"/>
          </w:tcPr>
          <w:p>
            <w:pPr>
              <w:pStyle w:val="63"/>
              <w:rPr>
                <w:rFonts w:asci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trPr>
        <w:tc>
          <w:tcPr>
            <w:tcW w:w="1733" w:type="dxa"/>
          </w:tcPr>
          <w:p>
            <w:pPr>
              <w:pStyle w:val="63"/>
              <w:rPr>
                <w:rFonts w:ascii="Times New Roman"/>
              </w:rPr>
            </w:pPr>
          </w:p>
        </w:tc>
        <w:tc>
          <w:tcPr>
            <w:tcW w:w="1802" w:type="dxa"/>
          </w:tcPr>
          <w:p>
            <w:pPr>
              <w:pStyle w:val="63"/>
              <w:rPr>
                <w:rFonts w:ascii="Times New Roman"/>
              </w:rPr>
            </w:pPr>
          </w:p>
        </w:tc>
        <w:tc>
          <w:tcPr>
            <w:tcW w:w="2071" w:type="dxa"/>
          </w:tcPr>
          <w:p>
            <w:pPr>
              <w:pStyle w:val="63"/>
              <w:rPr>
                <w:rFonts w:ascii="Times New Roman"/>
              </w:rPr>
            </w:pPr>
          </w:p>
        </w:tc>
        <w:tc>
          <w:tcPr>
            <w:tcW w:w="3173" w:type="dxa"/>
          </w:tcPr>
          <w:p>
            <w:pPr>
              <w:pStyle w:val="63"/>
              <w:rPr>
                <w:rFonts w:ascii="Times New Roman"/>
              </w:rPr>
            </w:pPr>
          </w:p>
        </w:tc>
        <w:tc>
          <w:tcPr>
            <w:tcW w:w="1053" w:type="dxa"/>
          </w:tcPr>
          <w:p>
            <w:pPr>
              <w:pStyle w:val="63"/>
              <w:rPr>
                <w:rFonts w:ascii="Times New Roma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0" w:hRule="atLeast"/>
        </w:trPr>
        <w:tc>
          <w:tcPr>
            <w:tcW w:w="1733" w:type="dxa"/>
          </w:tcPr>
          <w:p>
            <w:pPr>
              <w:pStyle w:val="63"/>
              <w:rPr>
                <w:rFonts w:ascii="Times New Roman"/>
              </w:rPr>
            </w:pPr>
          </w:p>
        </w:tc>
        <w:tc>
          <w:tcPr>
            <w:tcW w:w="1802" w:type="dxa"/>
          </w:tcPr>
          <w:p>
            <w:pPr>
              <w:pStyle w:val="63"/>
              <w:rPr>
                <w:rFonts w:ascii="Times New Roman"/>
              </w:rPr>
            </w:pPr>
          </w:p>
        </w:tc>
        <w:tc>
          <w:tcPr>
            <w:tcW w:w="2071" w:type="dxa"/>
          </w:tcPr>
          <w:p>
            <w:pPr>
              <w:pStyle w:val="63"/>
              <w:rPr>
                <w:rFonts w:ascii="Times New Roman"/>
              </w:rPr>
            </w:pPr>
          </w:p>
        </w:tc>
        <w:tc>
          <w:tcPr>
            <w:tcW w:w="3173" w:type="dxa"/>
          </w:tcPr>
          <w:p>
            <w:pPr>
              <w:pStyle w:val="63"/>
              <w:rPr>
                <w:rFonts w:ascii="Times New Roman"/>
              </w:rPr>
            </w:pPr>
          </w:p>
        </w:tc>
        <w:tc>
          <w:tcPr>
            <w:tcW w:w="1053" w:type="dxa"/>
          </w:tcPr>
          <w:p>
            <w:pPr>
              <w:pStyle w:val="63"/>
              <w:rPr>
                <w:rFonts w:ascii="Times New Roman"/>
              </w:rPr>
            </w:pPr>
          </w:p>
        </w:tc>
      </w:tr>
    </w:tbl>
    <w:p>
      <w:pPr>
        <w:spacing w:before="52"/>
        <w:ind w:left="412"/>
        <w:rPr>
          <w:sz w:val="24"/>
        </w:rPr>
      </w:pPr>
      <w:r>
        <w:rPr>
          <w:sz w:val="24"/>
        </w:rPr>
        <w:t>注：在填写时，如本表格不适合投标单位的实际情况，可根据本表格式自行制表填写。</w:t>
      </w:r>
    </w:p>
    <w:p>
      <w:pPr>
        <w:pStyle w:val="19"/>
        <w:rPr>
          <w:sz w:val="24"/>
        </w:rPr>
      </w:pPr>
    </w:p>
    <w:p>
      <w:pPr>
        <w:tabs>
          <w:tab w:val="left" w:pos="4671"/>
          <w:tab w:val="left" w:pos="5271"/>
        </w:tabs>
        <w:spacing w:before="156" w:line="470" w:lineRule="atLeast"/>
        <w:ind w:left="412" w:right="5192"/>
        <w:rPr>
          <w:rFonts w:ascii="Times New Roman" w:eastAsia="Times New Roman"/>
          <w:sz w:val="24"/>
        </w:rPr>
      </w:pPr>
      <w:r>
        <w:rPr>
          <w:spacing w:val="-1"/>
          <w:sz w:val="24"/>
        </w:rPr>
        <w:t>法</w:t>
      </w:r>
      <w:r>
        <w:rPr>
          <w:sz w:val="24"/>
        </w:rPr>
        <w:t>定代表人或者委托代理人签字：</w:t>
      </w:r>
      <w:r>
        <w:rPr>
          <w:rFonts w:ascii="Times New Roman" w:eastAsia="Times New Roman"/>
          <w:sz w:val="24"/>
          <w:u w:val="single"/>
        </w:rPr>
        <w:t xml:space="preserve"> </w:t>
      </w:r>
      <w:r>
        <w:rPr>
          <w:rFonts w:ascii="Times New Roman" w:eastAsia="Times New Roman"/>
          <w:sz w:val="24"/>
          <w:u w:val="single"/>
        </w:rPr>
        <w:tab/>
      </w:r>
      <w:r>
        <w:rPr>
          <w:rFonts w:ascii="Times New Roman" w:eastAsia="Times New Roman"/>
          <w:sz w:val="24"/>
          <w:u w:val="single"/>
        </w:rPr>
        <w:tab/>
      </w:r>
      <w:r>
        <w:rPr>
          <w:rFonts w:ascii="Times New Roman" w:eastAsia="Times New Roman"/>
          <w:sz w:val="24"/>
          <w:u w:val="single"/>
        </w:rPr>
        <w:t xml:space="preserve"> </w:t>
      </w:r>
      <w:r>
        <w:rPr>
          <w:sz w:val="24"/>
        </w:rPr>
        <w:t>投标人（盖公章）：</w:t>
      </w:r>
      <w:r>
        <w:rPr>
          <w:spacing w:val="-1"/>
          <w:sz w:val="24"/>
        </w:rPr>
        <w:t xml:space="preserve"> </w:t>
      </w:r>
      <w:r>
        <w:rPr>
          <w:rFonts w:ascii="Times New Roman" w:eastAsia="Times New Roman"/>
          <w:sz w:val="24"/>
          <w:u w:val="single"/>
        </w:rPr>
        <w:t xml:space="preserve"> </w:t>
      </w:r>
      <w:r>
        <w:rPr>
          <w:rFonts w:ascii="Times New Roman" w:eastAsia="Times New Roman"/>
          <w:sz w:val="24"/>
          <w:u w:val="single"/>
        </w:rPr>
        <w:tab/>
      </w:r>
    </w:p>
    <w:p>
      <w:pPr>
        <w:tabs>
          <w:tab w:val="left" w:pos="1132"/>
          <w:tab w:val="left" w:pos="1852"/>
        </w:tabs>
        <w:spacing w:before="5"/>
        <w:ind w:left="412"/>
        <w:rPr>
          <w:sz w:val="24"/>
        </w:rPr>
      </w:pPr>
      <w:r>
        <w:rPr>
          <w:sz w:val="24"/>
        </w:rPr>
        <w:t>年</w:t>
      </w:r>
      <w:r>
        <w:rPr>
          <w:sz w:val="24"/>
        </w:rPr>
        <w:tab/>
      </w:r>
      <w:r>
        <w:rPr>
          <w:sz w:val="24"/>
        </w:rPr>
        <w:t>月</w:t>
      </w:r>
      <w:r>
        <w:rPr>
          <w:sz w:val="24"/>
        </w:rPr>
        <w:tab/>
      </w:r>
      <w:r>
        <w:rPr>
          <w:sz w:val="24"/>
        </w:rPr>
        <w:t>日</w:t>
      </w:r>
    </w:p>
    <w:p>
      <w:pPr>
        <w:rPr>
          <w:sz w:val="24"/>
        </w:rPr>
        <w:sectPr>
          <w:footerReference r:id="rId10" w:type="default"/>
          <w:pgSz w:w="11910" w:h="16840"/>
          <w:pgMar w:top="1140" w:right="720" w:bottom="1380" w:left="720" w:header="0" w:footer="1200" w:gutter="0"/>
          <w:pgNumType w:fmt="decimal"/>
          <w:cols w:space="720" w:num="1"/>
        </w:sectPr>
      </w:pPr>
    </w:p>
    <w:p>
      <w:pPr>
        <w:pStyle w:val="11"/>
      </w:pPr>
      <w:r>
        <w:t>五、技术文件格式</w:t>
      </w:r>
    </w:p>
    <w:p>
      <w:pPr>
        <w:numPr>
          <w:ilvl w:val="1"/>
          <w:numId w:val="96"/>
        </w:numPr>
        <w:tabs>
          <w:tab w:val="left" w:pos="917"/>
        </w:tabs>
        <w:spacing w:before="123"/>
        <w:ind w:hanging="361"/>
        <w:rPr>
          <w:b/>
          <w:sz w:val="24"/>
        </w:rPr>
      </w:pPr>
      <w:r>
        <w:rPr>
          <w:b/>
          <w:spacing w:val="-2"/>
          <w:sz w:val="24"/>
        </w:rPr>
        <w:t>技术文件封面格式：</w:t>
      </w:r>
    </w:p>
    <w:p>
      <w:pPr>
        <w:pStyle w:val="19"/>
        <w:rPr>
          <w:b/>
          <w:sz w:val="20"/>
        </w:rPr>
      </w:pPr>
      <w:r>
        <w:br w:type="column"/>
      </w:r>
    </w:p>
    <w:p>
      <w:pPr>
        <w:pStyle w:val="19"/>
        <w:rPr>
          <w:b/>
          <w:sz w:val="20"/>
        </w:rPr>
      </w:pPr>
    </w:p>
    <w:p>
      <w:pPr>
        <w:pStyle w:val="19"/>
        <w:rPr>
          <w:b/>
          <w:sz w:val="20"/>
        </w:rPr>
      </w:pPr>
    </w:p>
    <w:p>
      <w:pPr>
        <w:pStyle w:val="19"/>
        <w:spacing w:before="3"/>
        <w:rPr>
          <w:b/>
          <w:sz w:val="14"/>
        </w:rPr>
      </w:pPr>
    </w:p>
    <w:p>
      <w:pPr>
        <w:ind w:left="3509" w:right="2846"/>
        <w:jc w:val="center"/>
        <w:rPr>
          <w:b/>
          <w:sz w:val="21"/>
        </w:rPr>
      </w:pPr>
      <w:r>
        <w:rPr>
          <w:b/>
          <w:sz w:val="21"/>
        </w:rPr>
        <w:t>正本/副本</w:t>
      </w:r>
    </w:p>
    <w:p>
      <w:pPr>
        <w:pStyle w:val="19"/>
        <w:rPr>
          <w:b/>
          <w:sz w:val="20"/>
        </w:rPr>
      </w:pPr>
    </w:p>
    <w:p>
      <w:pPr>
        <w:pStyle w:val="19"/>
        <w:rPr>
          <w:b/>
          <w:sz w:val="20"/>
        </w:rPr>
      </w:pPr>
    </w:p>
    <w:p>
      <w:pPr>
        <w:pStyle w:val="19"/>
        <w:rPr>
          <w:b/>
          <w:sz w:val="20"/>
        </w:rPr>
      </w:pPr>
    </w:p>
    <w:p>
      <w:pPr>
        <w:pStyle w:val="19"/>
        <w:rPr>
          <w:b/>
          <w:sz w:val="20"/>
        </w:rPr>
      </w:pPr>
    </w:p>
    <w:p>
      <w:pPr>
        <w:pStyle w:val="19"/>
        <w:rPr>
          <w:b/>
          <w:sz w:val="20"/>
        </w:rPr>
      </w:pPr>
    </w:p>
    <w:p>
      <w:pPr>
        <w:pStyle w:val="19"/>
        <w:rPr>
          <w:b/>
          <w:sz w:val="20"/>
        </w:rPr>
      </w:pPr>
    </w:p>
    <w:p>
      <w:pPr>
        <w:pStyle w:val="19"/>
        <w:rPr>
          <w:b/>
          <w:sz w:val="20"/>
        </w:rPr>
      </w:pPr>
    </w:p>
    <w:p>
      <w:pPr>
        <w:spacing w:before="132"/>
        <w:ind w:left="188"/>
        <w:rPr>
          <w:sz w:val="96"/>
        </w:rPr>
      </w:pPr>
      <w:r>
        <w:rPr>
          <w:sz w:val="96"/>
        </w:rPr>
        <w:t>技术文件</w:t>
      </w:r>
    </w:p>
    <w:p>
      <w:pPr>
        <w:rPr>
          <w:sz w:val="96"/>
        </w:rPr>
        <w:sectPr>
          <w:pgSz w:w="11910" w:h="16840"/>
          <w:pgMar w:top="1200" w:right="720" w:bottom="1380" w:left="720" w:header="0" w:footer="1200" w:gutter="0"/>
          <w:pgNumType w:fmt="decimal"/>
          <w:cols w:equalWidth="0" w:num="2">
            <w:col w:w="3084" w:space="40"/>
            <w:col w:w="7346"/>
          </w:cols>
        </w:sect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rPr>
          <w:sz w:val="20"/>
        </w:rPr>
      </w:pPr>
    </w:p>
    <w:p>
      <w:pPr>
        <w:pStyle w:val="19"/>
        <w:spacing w:before="3"/>
        <w:rPr>
          <w:sz w:val="23"/>
        </w:rPr>
      </w:pPr>
    </w:p>
    <w:p>
      <w:pPr>
        <w:tabs>
          <w:tab w:val="left" w:pos="6352"/>
        </w:tabs>
        <w:spacing w:before="74"/>
        <w:ind w:left="772"/>
        <w:rPr>
          <w:rFonts w:ascii="Times New Roman" w:eastAsia="Times New Roman"/>
          <w:sz w:val="24"/>
        </w:rPr>
      </w:pPr>
      <w:r>
        <w:rPr>
          <w:sz w:val="24"/>
        </w:rPr>
        <w:t>项目名称：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4"/>
        <w:ind w:left="772"/>
        <w:rPr>
          <w:rFonts w:ascii="Times New Roman" w:eastAsia="Times New Roman"/>
          <w:sz w:val="24"/>
        </w:rPr>
      </w:pPr>
      <w:r>
        <w:rPr>
          <w:sz w:val="24"/>
        </w:rPr>
        <w:t>项目编号：</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7"/>
        <w:ind w:left="772"/>
        <w:rPr>
          <w:rFonts w:ascii="Times New Roman" w:eastAsia="Times New Roman"/>
          <w:sz w:val="24"/>
        </w:rPr>
      </w:pPr>
      <w:r>
        <w:rPr>
          <w:sz w:val="24"/>
        </w:rPr>
        <w:t>投标人名称：</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tabs>
          <w:tab w:val="left" w:pos="6352"/>
        </w:tabs>
        <w:spacing w:before="204"/>
        <w:ind w:left="772"/>
        <w:rPr>
          <w:rFonts w:ascii="Times New Roman" w:eastAsia="Times New Roman"/>
          <w:sz w:val="24"/>
        </w:rPr>
      </w:pPr>
      <w:r>
        <w:rPr>
          <w:sz w:val="24"/>
        </w:rPr>
        <w:t>投标人地址：</w:t>
      </w:r>
      <w:r>
        <w:rPr>
          <w:rFonts w:ascii="Times New Roman" w:eastAsia="Times New Roman"/>
          <w:sz w:val="24"/>
          <w:u w:val="single"/>
        </w:rPr>
        <w:t xml:space="preserve"> </w:t>
      </w:r>
      <w:r>
        <w:rPr>
          <w:rFonts w:ascii="Times New Roman" w:eastAsia="Times New Roman"/>
          <w:sz w:val="24"/>
          <w:u w:val="single"/>
        </w:rPr>
        <w:tab/>
      </w:r>
    </w:p>
    <w:p>
      <w:pPr>
        <w:pStyle w:val="19"/>
        <w:rPr>
          <w:rFonts w:ascii="Times New Roman"/>
          <w:sz w:val="20"/>
        </w:rPr>
      </w:pPr>
    </w:p>
    <w:p>
      <w:pPr>
        <w:pStyle w:val="19"/>
        <w:rPr>
          <w:rFonts w:ascii="Times New Roman"/>
          <w:sz w:val="20"/>
        </w:rPr>
      </w:pPr>
    </w:p>
    <w:p>
      <w:pPr>
        <w:pStyle w:val="19"/>
        <w:rPr>
          <w:rFonts w:ascii="Times New Roman"/>
          <w:sz w:val="20"/>
        </w:rPr>
      </w:pPr>
    </w:p>
    <w:p>
      <w:pPr>
        <w:pStyle w:val="19"/>
        <w:spacing w:before="1"/>
        <w:rPr>
          <w:rFonts w:ascii="Times New Roman"/>
          <w:sz w:val="18"/>
        </w:rPr>
      </w:pPr>
    </w:p>
    <w:p>
      <w:pPr>
        <w:tabs>
          <w:tab w:val="left" w:pos="1999"/>
          <w:tab w:val="left" w:pos="2479"/>
        </w:tabs>
        <w:spacing w:before="66"/>
        <w:ind w:left="739"/>
        <w:jc w:val="center"/>
        <w:rPr>
          <w:sz w:val="24"/>
        </w:rPr>
      </w:pPr>
      <w:r>
        <w:rPr>
          <w:sz w:val="24"/>
        </w:rPr>
        <w:t>2021</w:t>
      </w:r>
      <w:r>
        <w:rPr>
          <w:spacing w:val="-60"/>
          <w:sz w:val="24"/>
        </w:rPr>
        <w:t xml:space="preserve"> </w:t>
      </w:r>
      <w:r>
        <w:rPr>
          <w:sz w:val="24"/>
        </w:rPr>
        <w:t>年</w:t>
      </w:r>
      <w:r>
        <w:rPr>
          <w:sz w:val="24"/>
        </w:rPr>
        <w:tab/>
      </w:r>
      <w:r>
        <w:rPr>
          <w:sz w:val="24"/>
        </w:rPr>
        <w:t>月</w:t>
      </w:r>
      <w:r>
        <w:rPr>
          <w:sz w:val="24"/>
        </w:rPr>
        <w:tab/>
      </w:r>
      <w:r>
        <w:rPr>
          <w:sz w:val="24"/>
        </w:rPr>
        <w:t>日</w:t>
      </w:r>
    </w:p>
    <w:p>
      <w:pPr>
        <w:jc w:val="center"/>
        <w:rPr>
          <w:sz w:val="24"/>
        </w:rPr>
        <w:sectPr>
          <w:type w:val="continuous"/>
          <w:pgSz w:w="11910" w:h="16840"/>
          <w:pgMar w:top="1240" w:right="720" w:bottom="280" w:left="720" w:header="720" w:footer="720" w:gutter="0"/>
          <w:pgNumType w:fmt="decimal"/>
          <w:cols w:space="720" w:num="1"/>
        </w:sectPr>
      </w:pPr>
    </w:p>
    <w:p>
      <w:pPr>
        <w:numPr>
          <w:ilvl w:val="1"/>
          <w:numId w:val="96"/>
        </w:numPr>
        <w:tabs>
          <w:tab w:val="left" w:pos="917"/>
        </w:tabs>
        <w:spacing w:before="48"/>
        <w:ind w:hanging="361"/>
        <w:rPr>
          <w:b/>
          <w:sz w:val="24"/>
        </w:rPr>
      </w:pPr>
      <w:r>
        <w:rPr>
          <w:b/>
          <w:sz w:val="24"/>
        </w:rPr>
        <w:t>技术文件目录</w:t>
      </w:r>
    </w:p>
    <w:p>
      <w:pPr>
        <w:spacing w:before="208"/>
        <w:ind w:left="698"/>
        <w:rPr>
          <w:sz w:val="24"/>
        </w:rPr>
      </w:pPr>
      <w:r>
        <w:rPr>
          <w:sz w:val="24"/>
        </w:rPr>
        <w:t>根据招标文件规定及投标人提供的材料自行编写目录。</w:t>
      </w:r>
    </w:p>
    <w:p>
      <w:pPr>
        <w:rPr>
          <w:sz w:val="24"/>
        </w:rPr>
        <w:sectPr>
          <w:pgSz w:w="11910" w:h="16840"/>
          <w:pgMar w:top="1140" w:right="720" w:bottom="1380" w:left="720" w:header="0" w:footer="1200" w:gutter="0"/>
          <w:pgNumType w:fmt="decimal"/>
          <w:cols w:space="720" w:num="1"/>
        </w:sectPr>
      </w:pPr>
    </w:p>
    <w:p>
      <w:pPr>
        <w:numPr>
          <w:ilvl w:val="1"/>
          <w:numId w:val="96"/>
        </w:numPr>
        <w:tabs>
          <w:tab w:val="left" w:pos="917"/>
        </w:tabs>
        <w:spacing w:before="38"/>
        <w:ind w:hanging="361"/>
        <w:rPr>
          <w:b/>
          <w:sz w:val="24"/>
        </w:rPr>
      </w:pPr>
      <w:r>
        <w:rPr>
          <w:b/>
          <w:sz w:val="24"/>
        </w:rPr>
        <w:t>设备性能配置清单格式</w:t>
      </w:r>
    </w:p>
    <w:p>
      <w:pPr>
        <w:pStyle w:val="19"/>
        <w:rPr>
          <w:b/>
          <w:sz w:val="20"/>
        </w:rPr>
      </w:pPr>
    </w:p>
    <w:p>
      <w:pPr>
        <w:pStyle w:val="19"/>
        <w:spacing w:before="2"/>
        <w:rPr>
          <w:b/>
          <w:sz w:val="19"/>
        </w:rPr>
      </w:pPr>
    </w:p>
    <w:p>
      <w:pPr>
        <w:pStyle w:val="8"/>
        <w:spacing w:before="54" w:after="53"/>
        <w:ind w:left="142" w:right="1"/>
      </w:pPr>
      <w:r>
        <w:t>设备性能配置清单</w:t>
      </w:r>
    </w:p>
    <w:tbl>
      <w:tblPr>
        <w:tblStyle w:val="51"/>
        <w:tblW w:w="9848" w:type="dxa"/>
        <w:tblInd w:w="31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72"/>
        <w:gridCol w:w="1484"/>
        <w:gridCol w:w="1263"/>
        <w:gridCol w:w="763"/>
        <w:gridCol w:w="2138"/>
        <w:gridCol w:w="1486"/>
        <w:gridCol w:w="184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0" w:hRule="atLeast"/>
        </w:trPr>
        <w:tc>
          <w:tcPr>
            <w:tcW w:w="872" w:type="dxa"/>
          </w:tcPr>
          <w:p>
            <w:pPr>
              <w:pStyle w:val="63"/>
              <w:spacing w:before="3"/>
              <w:rPr>
                <w:b/>
                <w:sz w:val="24"/>
              </w:rPr>
            </w:pPr>
          </w:p>
          <w:p>
            <w:pPr>
              <w:pStyle w:val="63"/>
              <w:ind w:left="194"/>
              <w:rPr>
                <w:sz w:val="24"/>
              </w:rPr>
            </w:pPr>
            <w:r>
              <w:rPr>
                <w:sz w:val="24"/>
              </w:rPr>
              <w:t>序号</w:t>
            </w:r>
          </w:p>
        </w:tc>
        <w:tc>
          <w:tcPr>
            <w:tcW w:w="1484" w:type="dxa"/>
          </w:tcPr>
          <w:p>
            <w:pPr>
              <w:pStyle w:val="63"/>
              <w:spacing w:before="3"/>
              <w:rPr>
                <w:b/>
                <w:sz w:val="24"/>
              </w:rPr>
            </w:pPr>
          </w:p>
          <w:p>
            <w:pPr>
              <w:pStyle w:val="63"/>
              <w:ind w:left="261"/>
              <w:rPr>
                <w:sz w:val="24"/>
              </w:rPr>
            </w:pPr>
            <w:r>
              <w:rPr>
                <w:sz w:val="24"/>
              </w:rPr>
              <w:t>货物名称</w:t>
            </w:r>
          </w:p>
        </w:tc>
        <w:tc>
          <w:tcPr>
            <w:tcW w:w="1263" w:type="dxa"/>
          </w:tcPr>
          <w:p>
            <w:pPr>
              <w:pStyle w:val="63"/>
              <w:spacing w:before="154" w:line="242" w:lineRule="auto"/>
              <w:ind w:left="509" w:right="141" w:hanging="360"/>
              <w:rPr>
                <w:sz w:val="24"/>
              </w:rPr>
            </w:pPr>
            <w:r>
              <w:rPr>
                <w:sz w:val="24"/>
              </w:rPr>
              <w:t>数量及单位</w:t>
            </w:r>
          </w:p>
        </w:tc>
        <w:tc>
          <w:tcPr>
            <w:tcW w:w="763" w:type="dxa"/>
          </w:tcPr>
          <w:p>
            <w:pPr>
              <w:pStyle w:val="63"/>
              <w:spacing w:before="3"/>
              <w:rPr>
                <w:b/>
                <w:sz w:val="24"/>
              </w:rPr>
            </w:pPr>
          </w:p>
          <w:p>
            <w:pPr>
              <w:pStyle w:val="63"/>
              <w:ind w:left="139"/>
              <w:rPr>
                <w:sz w:val="24"/>
              </w:rPr>
            </w:pPr>
            <w:r>
              <w:rPr>
                <w:sz w:val="24"/>
              </w:rPr>
              <w:t>品牌</w:t>
            </w:r>
          </w:p>
        </w:tc>
        <w:tc>
          <w:tcPr>
            <w:tcW w:w="2138" w:type="dxa"/>
          </w:tcPr>
          <w:p>
            <w:pPr>
              <w:pStyle w:val="63"/>
              <w:spacing w:before="1"/>
              <w:rPr>
                <w:b/>
                <w:sz w:val="32"/>
              </w:rPr>
            </w:pPr>
          </w:p>
          <w:p>
            <w:pPr>
              <w:pStyle w:val="63"/>
              <w:ind w:left="588"/>
              <w:rPr>
                <w:sz w:val="24"/>
              </w:rPr>
            </w:pPr>
            <w:r>
              <w:rPr>
                <w:sz w:val="24"/>
              </w:rPr>
              <w:t>规格型号</w:t>
            </w:r>
          </w:p>
        </w:tc>
        <w:tc>
          <w:tcPr>
            <w:tcW w:w="1486" w:type="dxa"/>
          </w:tcPr>
          <w:p>
            <w:pPr>
              <w:pStyle w:val="63"/>
              <w:spacing w:before="3"/>
              <w:rPr>
                <w:b/>
                <w:sz w:val="24"/>
              </w:rPr>
            </w:pPr>
          </w:p>
          <w:p>
            <w:pPr>
              <w:pStyle w:val="63"/>
              <w:ind w:left="382"/>
              <w:rPr>
                <w:sz w:val="24"/>
              </w:rPr>
            </w:pPr>
            <w:r>
              <w:rPr>
                <w:sz w:val="24"/>
              </w:rPr>
              <w:t>制造商</w:t>
            </w:r>
          </w:p>
        </w:tc>
        <w:tc>
          <w:tcPr>
            <w:tcW w:w="1842" w:type="dxa"/>
          </w:tcPr>
          <w:p>
            <w:pPr>
              <w:pStyle w:val="63"/>
              <w:spacing w:before="154" w:line="242" w:lineRule="auto"/>
              <w:ind w:left="559" w:right="30" w:hanging="452"/>
              <w:rPr>
                <w:sz w:val="24"/>
              </w:rPr>
            </w:pPr>
            <w:r>
              <w:rPr>
                <w:sz w:val="24"/>
              </w:rPr>
              <w:t>参数性能、指标及配置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8" w:hRule="atLeast"/>
        </w:trPr>
        <w:tc>
          <w:tcPr>
            <w:tcW w:w="872" w:type="dxa"/>
          </w:tcPr>
          <w:p>
            <w:pPr>
              <w:pStyle w:val="63"/>
              <w:rPr>
                <w:rFonts w:ascii="Times New Roman"/>
                <w:sz w:val="24"/>
              </w:rPr>
            </w:pPr>
          </w:p>
        </w:tc>
        <w:tc>
          <w:tcPr>
            <w:tcW w:w="1484" w:type="dxa"/>
          </w:tcPr>
          <w:p>
            <w:pPr>
              <w:pStyle w:val="63"/>
              <w:rPr>
                <w:rFonts w:ascii="Times New Roman"/>
                <w:sz w:val="24"/>
              </w:rPr>
            </w:pPr>
          </w:p>
        </w:tc>
        <w:tc>
          <w:tcPr>
            <w:tcW w:w="1263" w:type="dxa"/>
          </w:tcPr>
          <w:p>
            <w:pPr>
              <w:pStyle w:val="63"/>
              <w:rPr>
                <w:rFonts w:ascii="Times New Roman"/>
                <w:sz w:val="24"/>
              </w:rPr>
            </w:pPr>
          </w:p>
        </w:tc>
        <w:tc>
          <w:tcPr>
            <w:tcW w:w="763" w:type="dxa"/>
          </w:tcPr>
          <w:p>
            <w:pPr>
              <w:pStyle w:val="63"/>
              <w:rPr>
                <w:rFonts w:ascii="Times New Roman"/>
                <w:sz w:val="24"/>
              </w:rPr>
            </w:pPr>
          </w:p>
        </w:tc>
        <w:tc>
          <w:tcPr>
            <w:tcW w:w="2138" w:type="dxa"/>
          </w:tcPr>
          <w:p>
            <w:pPr>
              <w:pStyle w:val="63"/>
              <w:rPr>
                <w:rFonts w:ascii="Times New Roman"/>
                <w:sz w:val="24"/>
              </w:rPr>
            </w:pPr>
          </w:p>
        </w:tc>
        <w:tc>
          <w:tcPr>
            <w:tcW w:w="1486" w:type="dxa"/>
          </w:tcPr>
          <w:p>
            <w:pPr>
              <w:pStyle w:val="63"/>
              <w:rPr>
                <w:rFonts w:ascii="Times New Roman"/>
                <w:sz w:val="24"/>
              </w:rPr>
            </w:pPr>
          </w:p>
        </w:tc>
        <w:tc>
          <w:tcPr>
            <w:tcW w:w="1842"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9" w:hRule="atLeast"/>
        </w:trPr>
        <w:tc>
          <w:tcPr>
            <w:tcW w:w="872" w:type="dxa"/>
          </w:tcPr>
          <w:p>
            <w:pPr>
              <w:pStyle w:val="63"/>
              <w:rPr>
                <w:rFonts w:ascii="Times New Roman"/>
                <w:sz w:val="24"/>
              </w:rPr>
            </w:pPr>
          </w:p>
        </w:tc>
        <w:tc>
          <w:tcPr>
            <w:tcW w:w="1484" w:type="dxa"/>
          </w:tcPr>
          <w:p>
            <w:pPr>
              <w:pStyle w:val="63"/>
              <w:rPr>
                <w:rFonts w:ascii="Times New Roman"/>
                <w:sz w:val="24"/>
              </w:rPr>
            </w:pPr>
          </w:p>
        </w:tc>
        <w:tc>
          <w:tcPr>
            <w:tcW w:w="1263" w:type="dxa"/>
          </w:tcPr>
          <w:p>
            <w:pPr>
              <w:pStyle w:val="63"/>
              <w:rPr>
                <w:rFonts w:ascii="Times New Roman"/>
                <w:sz w:val="24"/>
              </w:rPr>
            </w:pPr>
          </w:p>
        </w:tc>
        <w:tc>
          <w:tcPr>
            <w:tcW w:w="763" w:type="dxa"/>
          </w:tcPr>
          <w:p>
            <w:pPr>
              <w:pStyle w:val="63"/>
              <w:rPr>
                <w:rFonts w:ascii="Times New Roman"/>
                <w:sz w:val="24"/>
              </w:rPr>
            </w:pPr>
          </w:p>
        </w:tc>
        <w:tc>
          <w:tcPr>
            <w:tcW w:w="2138" w:type="dxa"/>
          </w:tcPr>
          <w:p>
            <w:pPr>
              <w:pStyle w:val="63"/>
              <w:rPr>
                <w:rFonts w:ascii="Times New Roman"/>
                <w:sz w:val="24"/>
              </w:rPr>
            </w:pPr>
          </w:p>
        </w:tc>
        <w:tc>
          <w:tcPr>
            <w:tcW w:w="1486" w:type="dxa"/>
          </w:tcPr>
          <w:p>
            <w:pPr>
              <w:pStyle w:val="63"/>
              <w:rPr>
                <w:rFonts w:ascii="Times New Roman"/>
                <w:sz w:val="24"/>
              </w:rPr>
            </w:pPr>
          </w:p>
        </w:tc>
        <w:tc>
          <w:tcPr>
            <w:tcW w:w="1842"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2" w:hRule="atLeast"/>
        </w:trPr>
        <w:tc>
          <w:tcPr>
            <w:tcW w:w="872" w:type="dxa"/>
          </w:tcPr>
          <w:p>
            <w:pPr>
              <w:pStyle w:val="63"/>
              <w:rPr>
                <w:rFonts w:ascii="Times New Roman"/>
                <w:sz w:val="24"/>
              </w:rPr>
            </w:pPr>
          </w:p>
        </w:tc>
        <w:tc>
          <w:tcPr>
            <w:tcW w:w="1484" w:type="dxa"/>
          </w:tcPr>
          <w:p>
            <w:pPr>
              <w:pStyle w:val="63"/>
              <w:rPr>
                <w:rFonts w:ascii="Times New Roman"/>
                <w:sz w:val="24"/>
              </w:rPr>
            </w:pPr>
          </w:p>
        </w:tc>
        <w:tc>
          <w:tcPr>
            <w:tcW w:w="1263" w:type="dxa"/>
          </w:tcPr>
          <w:p>
            <w:pPr>
              <w:pStyle w:val="63"/>
              <w:rPr>
                <w:rFonts w:ascii="Times New Roman"/>
                <w:sz w:val="24"/>
              </w:rPr>
            </w:pPr>
          </w:p>
        </w:tc>
        <w:tc>
          <w:tcPr>
            <w:tcW w:w="763" w:type="dxa"/>
          </w:tcPr>
          <w:p>
            <w:pPr>
              <w:pStyle w:val="63"/>
              <w:rPr>
                <w:rFonts w:ascii="Times New Roman"/>
                <w:sz w:val="24"/>
              </w:rPr>
            </w:pPr>
          </w:p>
        </w:tc>
        <w:tc>
          <w:tcPr>
            <w:tcW w:w="2138" w:type="dxa"/>
          </w:tcPr>
          <w:p>
            <w:pPr>
              <w:pStyle w:val="63"/>
              <w:rPr>
                <w:rFonts w:ascii="Times New Roman"/>
                <w:sz w:val="24"/>
              </w:rPr>
            </w:pPr>
          </w:p>
        </w:tc>
        <w:tc>
          <w:tcPr>
            <w:tcW w:w="1486" w:type="dxa"/>
          </w:tcPr>
          <w:p>
            <w:pPr>
              <w:pStyle w:val="63"/>
              <w:rPr>
                <w:rFonts w:ascii="Times New Roman"/>
                <w:sz w:val="24"/>
              </w:rPr>
            </w:pPr>
          </w:p>
        </w:tc>
        <w:tc>
          <w:tcPr>
            <w:tcW w:w="1842"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1" w:hRule="atLeast"/>
        </w:trPr>
        <w:tc>
          <w:tcPr>
            <w:tcW w:w="872" w:type="dxa"/>
          </w:tcPr>
          <w:p>
            <w:pPr>
              <w:pStyle w:val="63"/>
              <w:rPr>
                <w:rFonts w:ascii="Times New Roman"/>
                <w:sz w:val="24"/>
              </w:rPr>
            </w:pPr>
          </w:p>
        </w:tc>
        <w:tc>
          <w:tcPr>
            <w:tcW w:w="1484" w:type="dxa"/>
          </w:tcPr>
          <w:p>
            <w:pPr>
              <w:pStyle w:val="63"/>
              <w:rPr>
                <w:rFonts w:ascii="Times New Roman"/>
                <w:sz w:val="24"/>
              </w:rPr>
            </w:pPr>
          </w:p>
        </w:tc>
        <w:tc>
          <w:tcPr>
            <w:tcW w:w="1263" w:type="dxa"/>
          </w:tcPr>
          <w:p>
            <w:pPr>
              <w:pStyle w:val="63"/>
              <w:rPr>
                <w:rFonts w:ascii="Times New Roman"/>
                <w:sz w:val="24"/>
              </w:rPr>
            </w:pPr>
          </w:p>
        </w:tc>
        <w:tc>
          <w:tcPr>
            <w:tcW w:w="763" w:type="dxa"/>
          </w:tcPr>
          <w:p>
            <w:pPr>
              <w:pStyle w:val="63"/>
              <w:rPr>
                <w:rFonts w:ascii="Times New Roman"/>
                <w:sz w:val="24"/>
              </w:rPr>
            </w:pPr>
          </w:p>
        </w:tc>
        <w:tc>
          <w:tcPr>
            <w:tcW w:w="2138" w:type="dxa"/>
          </w:tcPr>
          <w:p>
            <w:pPr>
              <w:pStyle w:val="63"/>
              <w:rPr>
                <w:rFonts w:ascii="Times New Roman"/>
                <w:sz w:val="24"/>
              </w:rPr>
            </w:pPr>
          </w:p>
        </w:tc>
        <w:tc>
          <w:tcPr>
            <w:tcW w:w="1486" w:type="dxa"/>
          </w:tcPr>
          <w:p>
            <w:pPr>
              <w:pStyle w:val="63"/>
              <w:rPr>
                <w:rFonts w:ascii="Times New Roman"/>
                <w:sz w:val="24"/>
              </w:rPr>
            </w:pPr>
          </w:p>
        </w:tc>
        <w:tc>
          <w:tcPr>
            <w:tcW w:w="1842"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5" w:hRule="atLeast"/>
        </w:trPr>
        <w:tc>
          <w:tcPr>
            <w:tcW w:w="872" w:type="dxa"/>
          </w:tcPr>
          <w:p>
            <w:pPr>
              <w:pStyle w:val="63"/>
              <w:rPr>
                <w:rFonts w:ascii="Times New Roman"/>
                <w:sz w:val="24"/>
              </w:rPr>
            </w:pPr>
          </w:p>
        </w:tc>
        <w:tc>
          <w:tcPr>
            <w:tcW w:w="1484" w:type="dxa"/>
          </w:tcPr>
          <w:p>
            <w:pPr>
              <w:pStyle w:val="63"/>
              <w:rPr>
                <w:rFonts w:ascii="Times New Roman"/>
                <w:sz w:val="24"/>
              </w:rPr>
            </w:pPr>
          </w:p>
        </w:tc>
        <w:tc>
          <w:tcPr>
            <w:tcW w:w="1263" w:type="dxa"/>
          </w:tcPr>
          <w:p>
            <w:pPr>
              <w:pStyle w:val="63"/>
              <w:rPr>
                <w:rFonts w:ascii="Times New Roman"/>
                <w:sz w:val="24"/>
              </w:rPr>
            </w:pPr>
          </w:p>
        </w:tc>
        <w:tc>
          <w:tcPr>
            <w:tcW w:w="763" w:type="dxa"/>
          </w:tcPr>
          <w:p>
            <w:pPr>
              <w:pStyle w:val="63"/>
              <w:rPr>
                <w:rFonts w:ascii="Times New Roman"/>
                <w:sz w:val="24"/>
              </w:rPr>
            </w:pPr>
          </w:p>
        </w:tc>
        <w:tc>
          <w:tcPr>
            <w:tcW w:w="2138" w:type="dxa"/>
          </w:tcPr>
          <w:p>
            <w:pPr>
              <w:pStyle w:val="63"/>
              <w:rPr>
                <w:rFonts w:ascii="Times New Roman"/>
                <w:sz w:val="24"/>
              </w:rPr>
            </w:pPr>
          </w:p>
        </w:tc>
        <w:tc>
          <w:tcPr>
            <w:tcW w:w="1486" w:type="dxa"/>
          </w:tcPr>
          <w:p>
            <w:pPr>
              <w:pStyle w:val="63"/>
              <w:rPr>
                <w:rFonts w:ascii="Times New Roman"/>
                <w:sz w:val="24"/>
              </w:rPr>
            </w:pPr>
          </w:p>
        </w:tc>
        <w:tc>
          <w:tcPr>
            <w:tcW w:w="1842"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5" w:hRule="atLeast"/>
        </w:trPr>
        <w:tc>
          <w:tcPr>
            <w:tcW w:w="872" w:type="dxa"/>
          </w:tcPr>
          <w:p>
            <w:pPr>
              <w:pStyle w:val="63"/>
              <w:rPr>
                <w:rFonts w:ascii="Times New Roman"/>
                <w:sz w:val="24"/>
              </w:rPr>
            </w:pPr>
          </w:p>
        </w:tc>
        <w:tc>
          <w:tcPr>
            <w:tcW w:w="1484" w:type="dxa"/>
          </w:tcPr>
          <w:p>
            <w:pPr>
              <w:pStyle w:val="63"/>
              <w:rPr>
                <w:rFonts w:ascii="Times New Roman"/>
                <w:sz w:val="24"/>
              </w:rPr>
            </w:pPr>
          </w:p>
        </w:tc>
        <w:tc>
          <w:tcPr>
            <w:tcW w:w="1263" w:type="dxa"/>
          </w:tcPr>
          <w:p>
            <w:pPr>
              <w:pStyle w:val="63"/>
              <w:rPr>
                <w:rFonts w:ascii="Times New Roman"/>
                <w:sz w:val="24"/>
              </w:rPr>
            </w:pPr>
          </w:p>
        </w:tc>
        <w:tc>
          <w:tcPr>
            <w:tcW w:w="763" w:type="dxa"/>
          </w:tcPr>
          <w:p>
            <w:pPr>
              <w:pStyle w:val="63"/>
              <w:rPr>
                <w:rFonts w:ascii="Times New Roman"/>
                <w:sz w:val="24"/>
              </w:rPr>
            </w:pPr>
          </w:p>
        </w:tc>
        <w:tc>
          <w:tcPr>
            <w:tcW w:w="2138" w:type="dxa"/>
          </w:tcPr>
          <w:p>
            <w:pPr>
              <w:pStyle w:val="63"/>
              <w:rPr>
                <w:rFonts w:ascii="Times New Roman"/>
                <w:sz w:val="24"/>
              </w:rPr>
            </w:pPr>
          </w:p>
        </w:tc>
        <w:tc>
          <w:tcPr>
            <w:tcW w:w="1486" w:type="dxa"/>
          </w:tcPr>
          <w:p>
            <w:pPr>
              <w:pStyle w:val="63"/>
              <w:rPr>
                <w:rFonts w:ascii="Times New Roman"/>
                <w:sz w:val="24"/>
              </w:rPr>
            </w:pPr>
          </w:p>
        </w:tc>
        <w:tc>
          <w:tcPr>
            <w:tcW w:w="1842" w:type="dxa"/>
          </w:tcPr>
          <w:p>
            <w:pPr>
              <w:pStyle w:val="63"/>
              <w:rPr>
                <w:rFonts w:ascii="Times New Roman"/>
                <w:sz w:val="24"/>
              </w:rPr>
            </w:pPr>
          </w:p>
        </w:tc>
      </w:tr>
    </w:tbl>
    <w:p>
      <w:pPr>
        <w:spacing w:before="51"/>
        <w:ind w:left="412"/>
        <w:rPr>
          <w:sz w:val="24"/>
        </w:rPr>
      </w:pPr>
      <w:r>
        <w:rPr>
          <w:sz w:val="24"/>
        </w:rPr>
        <w:t>备注：</w:t>
      </w:r>
    </w:p>
    <w:p>
      <w:pPr>
        <w:pStyle w:val="19"/>
        <w:spacing w:before="8"/>
        <w:rPr>
          <w:sz w:val="28"/>
        </w:rPr>
      </w:pPr>
    </w:p>
    <w:p>
      <w:pPr>
        <w:spacing w:line="484" w:lineRule="auto"/>
        <w:ind w:left="412" w:right="292"/>
        <w:rPr>
          <w:b/>
          <w:sz w:val="24"/>
        </w:rPr>
      </w:pPr>
      <w:r>
        <w:rPr>
          <w:sz w:val="24"/>
        </w:rPr>
        <w:t>以上性能配置清单中“货物名称、数量及单位、品牌、规格型号、制造商、参数性能、指标</w:t>
      </w:r>
      <w:r>
        <w:rPr>
          <w:spacing w:val="-9"/>
          <w:sz w:val="24"/>
        </w:rPr>
        <w:t>及配置”必须如实填写完整，品牌、规格型号没有则填无，填写有缺漏的，</w:t>
      </w:r>
      <w:r>
        <w:rPr>
          <w:b/>
          <w:spacing w:val="-2"/>
          <w:sz w:val="24"/>
        </w:rPr>
        <w:t>作无效投标处理。</w:t>
      </w:r>
    </w:p>
    <w:p>
      <w:pPr>
        <w:pStyle w:val="19"/>
        <w:rPr>
          <w:b/>
          <w:sz w:val="24"/>
        </w:rPr>
      </w:pPr>
    </w:p>
    <w:p>
      <w:pPr>
        <w:pStyle w:val="19"/>
        <w:rPr>
          <w:b/>
          <w:sz w:val="24"/>
        </w:rPr>
      </w:pPr>
    </w:p>
    <w:p>
      <w:pPr>
        <w:pStyle w:val="19"/>
        <w:rPr>
          <w:b/>
          <w:sz w:val="24"/>
        </w:rPr>
      </w:pPr>
    </w:p>
    <w:p>
      <w:pPr>
        <w:pStyle w:val="19"/>
        <w:rPr>
          <w:b/>
          <w:sz w:val="24"/>
        </w:rPr>
      </w:pPr>
    </w:p>
    <w:p>
      <w:pPr>
        <w:spacing w:before="168"/>
        <w:ind w:left="2092"/>
        <w:rPr>
          <w:sz w:val="24"/>
        </w:rPr>
      </w:pPr>
      <w:r>
        <w:rPr>
          <w:sz w:val="24"/>
        </w:rPr>
        <w:t>法定代表人或者委托代理人签字： _________________</w:t>
      </w:r>
    </w:p>
    <w:p>
      <w:pPr>
        <w:pStyle w:val="19"/>
        <w:spacing w:before="5"/>
        <w:rPr>
          <w:sz w:val="28"/>
        </w:rPr>
      </w:pPr>
    </w:p>
    <w:p>
      <w:pPr>
        <w:ind w:left="2092"/>
        <w:rPr>
          <w:sz w:val="24"/>
        </w:rPr>
      </w:pPr>
      <w:r>
        <w:rPr>
          <w:spacing w:val="39"/>
          <w:sz w:val="24"/>
        </w:rPr>
        <w:t>投标人</w:t>
      </w:r>
      <w:r>
        <w:rPr>
          <w:sz w:val="24"/>
        </w:rPr>
        <w:t>（</w:t>
      </w:r>
      <w:r>
        <w:rPr>
          <w:spacing w:val="9"/>
          <w:sz w:val="24"/>
        </w:rPr>
        <w:t xml:space="preserve"> 盖公章</w:t>
      </w:r>
      <w:r>
        <w:rPr>
          <w:sz w:val="24"/>
        </w:rPr>
        <w:t>）</w:t>
      </w:r>
      <w:r>
        <w:rPr>
          <w:spacing w:val="-54"/>
          <w:sz w:val="24"/>
        </w:rPr>
        <w:t xml:space="preserve"> ： </w:t>
      </w:r>
      <w:r>
        <w:rPr>
          <w:spacing w:val="18"/>
          <w:sz w:val="24"/>
        </w:rPr>
        <w:t>__________________________</w:t>
      </w:r>
    </w:p>
    <w:p>
      <w:pPr>
        <w:pStyle w:val="19"/>
        <w:spacing w:before="6"/>
        <w:rPr>
          <w:sz w:val="28"/>
        </w:rPr>
      </w:pPr>
    </w:p>
    <w:p>
      <w:pPr>
        <w:tabs>
          <w:tab w:val="left" w:pos="2692"/>
        </w:tabs>
        <w:ind w:left="2092"/>
        <w:rPr>
          <w:sz w:val="24"/>
        </w:rPr>
      </w:pPr>
      <w:r>
        <w:rPr>
          <w:sz w:val="24"/>
        </w:rPr>
        <w:t>日</w:t>
      </w:r>
      <w:r>
        <w:rPr>
          <w:sz w:val="24"/>
        </w:rPr>
        <w:tab/>
      </w:r>
      <w:r>
        <w:rPr>
          <w:spacing w:val="40"/>
          <w:sz w:val="24"/>
        </w:rPr>
        <w:t>期</w:t>
      </w:r>
      <w:r>
        <w:rPr>
          <w:sz w:val="24"/>
        </w:rPr>
        <w:t>：</w:t>
      </w:r>
      <w:r>
        <w:rPr>
          <w:spacing w:val="-80"/>
          <w:sz w:val="24"/>
        </w:rPr>
        <w:t xml:space="preserve"> </w:t>
      </w:r>
      <w:r>
        <w:rPr>
          <w:spacing w:val="19"/>
          <w:sz w:val="24"/>
        </w:rPr>
        <w:t>____________________________________</w:t>
      </w:r>
    </w:p>
    <w:p>
      <w:pPr>
        <w:rPr>
          <w:sz w:val="24"/>
        </w:rPr>
        <w:sectPr>
          <w:pgSz w:w="11910" w:h="16840"/>
          <w:pgMar w:top="1080" w:right="720" w:bottom="1380" w:left="720" w:header="0" w:footer="1200" w:gutter="0"/>
          <w:pgNumType w:fmt="decimal"/>
          <w:cols w:space="720" w:num="1"/>
        </w:sectPr>
      </w:pPr>
    </w:p>
    <w:p>
      <w:pPr>
        <w:numPr>
          <w:ilvl w:val="1"/>
          <w:numId w:val="96"/>
        </w:numPr>
        <w:tabs>
          <w:tab w:val="left" w:pos="917"/>
        </w:tabs>
        <w:spacing w:before="48"/>
        <w:ind w:hanging="361"/>
        <w:rPr>
          <w:b/>
          <w:sz w:val="24"/>
        </w:rPr>
      </w:pPr>
      <w:r>
        <w:rPr>
          <w:b/>
          <w:sz w:val="24"/>
        </w:rPr>
        <w:t>技术偏离表格式</w:t>
      </w:r>
    </w:p>
    <w:p>
      <w:pPr>
        <w:pStyle w:val="19"/>
        <w:rPr>
          <w:b/>
          <w:sz w:val="20"/>
        </w:rPr>
      </w:pPr>
    </w:p>
    <w:p>
      <w:pPr>
        <w:pStyle w:val="19"/>
        <w:spacing w:before="1"/>
        <w:rPr>
          <w:b/>
          <w:sz w:val="19"/>
        </w:rPr>
      </w:pPr>
    </w:p>
    <w:p>
      <w:pPr>
        <w:pStyle w:val="8"/>
        <w:spacing w:before="55"/>
        <w:ind w:left="137" w:right="1"/>
      </w:pPr>
      <w:r>
        <w:t>技术偏离表</w:t>
      </w:r>
    </w:p>
    <w:p>
      <w:pPr>
        <w:pStyle w:val="19"/>
        <w:spacing w:before="5"/>
        <w:rPr>
          <w:b/>
          <w:sz w:val="28"/>
        </w:rPr>
      </w:pPr>
    </w:p>
    <w:tbl>
      <w:tblPr>
        <w:tblStyle w:val="51"/>
        <w:tblW w:w="9850" w:type="dxa"/>
        <w:tblInd w:w="3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37"/>
        <w:gridCol w:w="2361"/>
        <w:gridCol w:w="2020"/>
        <w:gridCol w:w="2402"/>
        <w:gridCol w:w="21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2" w:hRule="atLeast"/>
        </w:trPr>
        <w:tc>
          <w:tcPr>
            <w:tcW w:w="937" w:type="dxa"/>
          </w:tcPr>
          <w:p>
            <w:pPr>
              <w:pStyle w:val="63"/>
              <w:spacing w:before="201"/>
              <w:ind w:left="226"/>
              <w:rPr>
                <w:sz w:val="24"/>
              </w:rPr>
            </w:pPr>
            <w:r>
              <w:rPr>
                <w:sz w:val="24"/>
              </w:rPr>
              <w:t>项号</w:t>
            </w:r>
          </w:p>
        </w:tc>
        <w:tc>
          <w:tcPr>
            <w:tcW w:w="2361" w:type="dxa"/>
          </w:tcPr>
          <w:p>
            <w:pPr>
              <w:pStyle w:val="63"/>
              <w:spacing w:before="201"/>
              <w:ind w:left="918" w:right="912"/>
              <w:jc w:val="center"/>
              <w:rPr>
                <w:sz w:val="24"/>
              </w:rPr>
            </w:pPr>
            <w:r>
              <w:rPr>
                <w:sz w:val="24"/>
              </w:rPr>
              <w:t>名称</w:t>
            </w:r>
          </w:p>
        </w:tc>
        <w:tc>
          <w:tcPr>
            <w:tcW w:w="2020" w:type="dxa"/>
          </w:tcPr>
          <w:p>
            <w:pPr>
              <w:pStyle w:val="63"/>
              <w:spacing w:before="201"/>
              <w:ind w:left="528"/>
              <w:rPr>
                <w:sz w:val="24"/>
              </w:rPr>
            </w:pPr>
            <w:r>
              <w:rPr>
                <w:sz w:val="24"/>
              </w:rPr>
              <w:t>招标要求</w:t>
            </w:r>
          </w:p>
        </w:tc>
        <w:tc>
          <w:tcPr>
            <w:tcW w:w="2402" w:type="dxa"/>
          </w:tcPr>
          <w:p>
            <w:pPr>
              <w:pStyle w:val="63"/>
              <w:spacing w:before="201"/>
              <w:ind w:left="721"/>
              <w:rPr>
                <w:sz w:val="24"/>
              </w:rPr>
            </w:pPr>
            <w:r>
              <w:rPr>
                <w:sz w:val="24"/>
              </w:rPr>
              <w:t>投标响应</w:t>
            </w:r>
          </w:p>
        </w:tc>
        <w:tc>
          <w:tcPr>
            <w:tcW w:w="2130" w:type="dxa"/>
          </w:tcPr>
          <w:p>
            <w:pPr>
              <w:pStyle w:val="63"/>
              <w:spacing w:before="201"/>
              <w:ind w:left="585"/>
              <w:rPr>
                <w:sz w:val="24"/>
              </w:rPr>
            </w:pPr>
            <w:r>
              <w:rPr>
                <w:sz w:val="24"/>
              </w:rPr>
              <w:t>偏离说明</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0" w:hRule="atLeast"/>
        </w:trPr>
        <w:tc>
          <w:tcPr>
            <w:tcW w:w="937" w:type="dxa"/>
          </w:tcPr>
          <w:p>
            <w:pPr>
              <w:pStyle w:val="63"/>
              <w:rPr>
                <w:rFonts w:ascii="Times New Roman"/>
                <w:sz w:val="24"/>
              </w:rPr>
            </w:pPr>
          </w:p>
        </w:tc>
        <w:tc>
          <w:tcPr>
            <w:tcW w:w="2361" w:type="dxa"/>
          </w:tcPr>
          <w:p>
            <w:pPr>
              <w:pStyle w:val="63"/>
              <w:rPr>
                <w:rFonts w:ascii="Times New Roman"/>
                <w:sz w:val="24"/>
              </w:rPr>
            </w:pPr>
          </w:p>
        </w:tc>
        <w:tc>
          <w:tcPr>
            <w:tcW w:w="2020" w:type="dxa"/>
          </w:tcPr>
          <w:p>
            <w:pPr>
              <w:pStyle w:val="63"/>
              <w:rPr>
                <w:rFonts w:ascii="Times New Roman"/>
                <w:sz w:val="24"/>
              </w:rPr>
            </w:pPr>
          </w:p>
        </w:tc>
        <w:tc>
          <w:tcPr>
            <w:tcW w:w="2402" w:type="dxa"/>
          </w:tcPr>
          <w:p>
            <w:pPr>
              <w:pStyle w:val="63"/>
              <w:rPr>
                <w:rFonts w:ascii="Times New Roman"/>
                <w:sz w:val="24"/>
              </w:rPr>
            </w:pPr>
          </w:p>
        </w:tc>
        <w:tc>
          <w:tcPr>
            <w:tcW w:w="2130"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0" w:hRule="atLeast"/>
        </w:trPr>
        <w:tc>
          <w:tcPr>
            <w:tcW w:w="937" w:type="dxa"/>
          </w:tcPr>
          <w:p>
            <w:pPr>
              <w:pStyle w:val="63"/>
              <w:rPr>
                <w:rFonts w:ascii="Times New Roman"/>
                <w:sz w:val="24"/>
              </w:rPr>
            </w:pPr>
          </w:p>
        </w:tc>
        <w:tc>
          <w:tcPr>
            <w:tcW w:w="2361" w:type="dxa"/>
          </w:tcPr>
          <w:p>
            <w:pPr>
              <w:pStyle w:val="63"/>
              <w:rPr>
                <w:rFonts w:ascii="Times New Roman"/>
                <w:sz w:val="24"/>
              </w:rPr>
            </w:pPr>
          </w:p>
        </w:tc>
        <w:tc>
          <w:tcPr>
            <w:tcW w:w="2020" w:type="dxa"/>
          </w:tcPr>
          <w:p>
            <w:pPr>
              <w:pStyle w:val="63"/>
              <w:rPr>
                <w:rFonts w:ascii="Times New Roman"/>
                <w:sz w:val="24"/>
              </w:rPr>
            </w:pPr>
          </w:p>
        </w:tc>
        <w:tc>
          <w:tcPr>
            <w:tcW w:w="2402" w:type="dxa"/>
          </w:tcPr>
          <w:p>
            <w:pPr>
              <w:pStyle w:val="63"/>
              <w:rPr>
                <w:rFonts w:ascii="Times New Roman"/>
                <w:sz w:val="24"/>
              </w:rPr>
            </w:pPr>
          </w:p>
        </w:tc>
        <w:tc>
          <w:tcPr>
            <w:tcW w:w="2130"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0" w:hRule="atLeast"/>
        </w:trPr>
        <w:tc>
          <w:tcPr>
            <w:tcW w:w="937" w:type="dxa"/>
          </w:tcPr>
          <w:p>
            <w:pPr>
              <w:pStyle w:val="63"/>
              <w:rPr>
                <w:rFonts w:ascii="Times New Roman"/>
                <w:sz w:val="24"/>
              </w:rPr>
            </w:pPr>
          </w:p>
        </w:tc>
        <w:tc>
          <w:tcPr>
            <w:tcW w:w="2361" w:type="dxa"/>
          </w:tcPr>
          <w:p>
            <w:pPr>
              <w:pStyle w:val="63"/>
              <w:rPr>
                <w:rFonts w:ascii="Times New Roman"/>
                <w:sz w:val="24"/>
              </w:rPr>
            </w:pPr>
          </w:p>
        </w:tc>
        <w:tc>
          <w:tcPr>
            <w:tcW w:w="2020" w:type="dxa"/>
          </w:tcPr>
          <w:p>
            <w:pPr>
              <w:pStyle w:val="63"/>
              <w:rPr>
                <w:rFonts w:ascii="Times New Roman"/>
                <w:sz w:val="24"/>
              </w:rPr>
            </w:pPr>
          </w:p>
        </w:tc>
        <w:tc>
          <w:tcPr>
            <w:tcW w:w="2402" w:type="dxa"/>
          </w:tcPr>
          <w:p>
            <w:pPr>
              <w:pStyle w:val="63"/>
              <w:rPr>
                <w:rFonts w:ascii="Times New Roman"/>
                <w:sz w:val="24"/>
              </w:rPr>
            </w:pPr>
          </w:p>
        </w:tc>
        <w:tc>
          <w:tcPr>
            <w:tcW w:w="2130"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0" w:hRule="atLeast"/>
        </w:trPr>
        <w:tc>
          <w:tcPr>
            <w:tcW w:w="937" w:type="dxa"/>
          </w:tcPr>
          <w:p>
            <w:pPr>
              <w:pStyle w:val="63"/>
              <w:rPr>
                <w:rFonts w:ascii="Times New Roman"/>
                <w:sz w:val="24"/>
              </w:rPr>
            </w:pPr>
          </w:p>
        </w:tc>
        <w:tc>
          <w:tcPr>
            <w:tcW w:w="2361" w:type="dxa"/>
          </w:tcPr>
          <w:p>
            <w:pPr>
              <w:pStyle w:val="63"/>
              <w:rPr>
                <w:rFonts w:ascii="Times New Roman"/>
                <w:sz w:val="24"/>
              </w:rPr>
            </w:pPr>
          </w:p>
        </w:tc>
        <w:tc>
          <w:tcPr>
            <w:tcW w:w="2020" w:type="dxa"/>
          </w:tcPr>
          <w:p>
            <w:pPr>
              <w:pStyle w:val="63"/>
              <w:rPr>
                <w:rFonts w:ascii="Times New Roman"/>
                <w:sz w:val="24"/>
              </w:rPr>
            </w:pPr>
          </w:p>
        </w:tc>
        <w:tc>
          <w:tcPr>
            <w:tcW w:w="2402" w:type="dxa"/>
          </w:tcPr>
          <w:p>
            <w:pPr>
              <w:pStyle w:val="63"/>
              <w:rPr>
                <w:rFonts w:ascii="Times New Roman"/>
                <w:sz w:val="24"/>
              </w:rPr>
            </w:pPr>
          </w:p>
        </w:tc>
        <w:tc>
          <w:tcPr>
            <w:tcW w:w="2130"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0" w:hRule="atLeast"/>
        </w:trPr>
        <w:tc>
          <w:tcPr>
            <w:tcW w:w="937" w:type="dxa"/>
          </w:tcPr>
          <w:p>
            <w:pPr>
              <w:pStyle w:val="63"/>
              <w:rPr>
                <w:rFonts w:ascii="Times New Roman"/>
                <w:sz w:val="24"/>
              </w:rPr>
            </w:pPr>
          </w:p>
        </w:tc>
        <w:tc>
          <w:tcPr>
            <w:tcW w:w="2361" w:type="dxa"/>
          </w:tcPr>
          <w:p>
            <w:pPr>
              <w:pStyle w:val="63"/>
              <w:rPr>
                <w:rFonts w:ascii="Times New Roman"/>
                <w:sz w:val="24"/>
              </w:rPr>
            </w:pPr>
          </w:p>
        </w:tc>
        <w:tc>
          <w:tcPr>
            <w:tcW w:w="2020" w:type="dxa"/>
          </w:tcPr>
          <w:p>
            <w:pPr>
              <w:pStyle w:val="63"/>
              <w:rPr>
                <w:rFonts w:ascii="Times New Roman"/>
                <w:sz w:val="24"/>
              </w:rPr>
            </w:pPr>
          </w:p>
        </w:tc>
        <w:tc>
          <w:tcPr>
            <w:tcW w:w="2402" w:type="dxa"/>
          </w:tcPr>
          <w:p>
            <w:pPr>
              <w:pStyle w:val="63"/>
              <w:rPr>
                <w:rFonts w:ascii="Times New Roman"/>
                <w:sz w:val="24"/>
              </w:rPr>
            </w:pPr>
          </w:p>
        </w:tc>
        <w:tc>
          <w:tcPr>
            <w:tcW w:w="2130"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9" w:hRule="atLeast"/>
        </w:trPr>
        <w:tc>
          <w:tcPr>
            <w:tcW w:w="937" w:type="dxa"/>
          </w:tcPr>
          <w:p>
            <w:pPr>
              <w:pStyle w:val="63"/>
              <w:rPr>
                <w:rFonts w:ascii="Times New Roman"/>
                <w:sz w:val="24"/>
              </w:rPr>
            </w:pPr>
          </w:p>
        </w:tc>
        <w:tc>
          <w:tcPr>
            <w:tcW w:w="2361" w:type="dxa"/>
          </w:tcPr>
          <w:p>
            <w:pPr>
              <w:pStyle w:val="63"/>
              <w:rPr>
                <w:rFonts w:ascii="Times New Roman"/>
                <w:sz w:val="24"/>
              </w:rPr>
            </w:pPr>
          </w:p>
        </w:tc>
        <w:tc>
          <w:tcPr>
            <w:tcW w:w="2020" w:type="dxa"/>
          </w:tcPr>
          <w:p>
            <w:pPr>
              <w:pStyle w:val="63"/>
              <w:rPr>
                <w:rFonts w:ascii="Times New Roman"/>
                <w:sz w:val="24"/>
              </w:rPr>
            </w:pPr>
          </w:p>
        </w:tc>
        <w:tc>
          <w:tcPr>
            <w:tcW w:w="2402" w:type="dxa"/>
          </w:tcPr>
          <w:p>
            <w:pPr>
              <w:pStyle w:val="63"/>
              <w:rPr>
                <w:rFonts w:ascii="Times New Roman"/>
                <w:sz w:val="24"/>
              </w:rPr>
            </w:pPr>
          </w:p>
        </w:tc>
        <w:tc>
          <w:tcPr>
            <w:tcW w:w="2130" w:type="dxa"/>
          </w:tcPr>
          <w:p>
            <w:pPr>
              <w:pStyle w:val="63"/>
              <w:rPr>
                <w:rFonts w:ascii="Times New Roman"/>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0" w:hRule="atLeast"/>
        </w:trPr>
        <w:tc>
          <w:tcPr>
            <w:tcW w:w="937" w:type="dxa"/>
          </w:tcPr>
          <w:p>
            <w:pPr>
              <w:pStyle w:val="63"/>
              <w:rPr>
                <w:rFonts w:ascii="Times New Roman"/>
                <w:sz w:val="24"/>
              </w:rPr>
            </w:pPr>
          </w:p>
        </w:tc>
        <w:tc>
          <w:tcPr>
            <w:tcW w:w="2361" w:type="dxa"/>
          </w:tcPr>
          <w:p>
            <w:pPr>
              <w:pStyle w:val="63"/>
              <w:rPr>
                <w:rFonts w:ascii="Times New Roman"/>
                <w:sz w:val="24"/>
              </w:rPr>
            </w:pPr>
          </w:p>
        </w:tc>
        <w:tc>
          <w:tcPr>
            <w:tcW w:w="2020" w:type="dxa"/>
          </w:tcPr>
          <w:p>
            <w:pPr>
              <w:pStyle w:val="63"/>
              <w:rPr>
                <w:rFonts w:ascii="Times New Roman"/>
                <w:sz w:val="24"/>
              </w:rPr>
            </w:pPr>
          </w:p>
        </w:tc>
        <w:tc>
          <w:tcPr>
            <w:tcW w:w="2402" w:type="dxa"/>
          </w:tcPr>
          <w:p>
            <w:pPr>
              <w:pStyle w:val="63"/>
              <w:rPr>
                <w:rFonts w:ascii="Times New Roman"/>
                <w:sz w:val="24"/>
              </w:rPr>
            </w:pPr>
          </w:p>
        </w:tc>
        <w:tc>
          <w:tcPr>
            <w:tcW w:w="2130" w:type="dxa"/>
          </w:tcPr>
          <w:p>
            <w:pPr>
              <w:pStyle w:val="63"/>
              <w:rPr>
                <w:rFonts w:ascii="Times New Roman"/>
                <w:sz w:val="24"/>
              </w:rPr>
            </w:pPr>
          </w:p>
        </w:tc>
      </w:tr>
    </w:tbl>
    <w:p>
      <w:pPr>
        <w:pStyle w:val="19"/>
        <w:spacing w:before="3"/>
        <w:rPr>
          <w:b/>
          <w:sz w:val="7"/>
        </w:rPr>
      </w:pPr>
    </w:p>
    <w:p>
      <w:pPr>
        <w:spacing w:before="67"/>
        <w:ind w:left="412"/>
        <w:rPr>
          <w:b/>
          <w:sz w:val="24"/>
        </w:rPr>
      </w:pPr>
      <w:r>
        <w:rPr>
          <w:b/>
          <w:w w:val="95"/>
          <w:sz w:val="24"/>
        </w:rPr>
        <w:t>注：</w:t>
      </w:r>
    </w:p>
    <w:p>
      <w:pPr>
        <w:numPr>
          <w:ilvl w:val="0"/>
          <w:numId w:val="97"/>
        </w:numPr>
        <w:tabs>
          <w:tab w:val="left" w:pos="773"/>
        </w:tabs>
        <w:spacing w:before="208" w:line="405" w:lineRule="auto"/>
        <w:ind w:right="412" w:firstLine="0"/>
        <w:rPr>
          <w:sz w:val="24"/>
        </w:rPr>
      </w:pPr>
      <w:r>
        <w:rPr>
          <w:spacing w:val="-1"/>
          <w:sz w:val="24"/>
        </w:rPr>
        <w:t>说明：应对照招标文件“第二章 采购需求”中的技术需求逐条实质性响应，并作出偏离</w:t>
      </w:r>
      <w:r>
        <w:rPr>
          <w:sz w:val="24"/>
        </w:rPr>
        <w:t>说明。</w:t>
      </w:r>
    </w:p>
    <w:p>
      <w:pPr>
        <w:pStyle w:val="62"/>
        <w:numPr>
          <w:ilvl w:val="0"/>
          <w:numId w:val="97"/>
        </w:numPr>
        <w:tabs>
          <w:tab w:val="left" w:pos="654"/>
        </w:tabs>
        <w:spacing w:line="388" w:lineRule="auto"/>
        <w:ind w:right="289" w:firstLine="0"/>
        <w:rPr>
          <w:sz w:val="24"/>
        </w:rPr>
      </w:pPr>
      <w:r>
        <w:rPr>
          <w:spacing w:val="-10"/>
          <w:sz w:val="24"/>
        </w:rPr>
        <w:t>投标人应根据投标设备的性能指标，对照招标文件要求，在“偏离说明”中注明“</w:t>
      </w:r>
      <w:r>
        <w:rPr>
          <w:b/>
          <w:sz w:val="24"/>
        </w:rPr>
        <w:t>正偏离</w:t>
      </w:r>
      <w:r>
        <w:rPr>
          <w:spacing w:val="-67"/>
          <w:sz w:val="24"/>
        </w:rPr>
        <w:t>”、</w:t>
      </w:r>
      <w:r>
        <w:rPr>
          <w:sz w:val="24"/>
        </w:rPr>
        <w:t>“</w:t>
      </w:r>
      <w:r>
        <w:rPr>
          <w:b/>
          <w:sz w:val="24"/>
        </w:rPr>
        <w:t>负偏离</w:t>
      </w:r>
      <w:r>
        <w:rPr>
          <w:sz w:val="24"/>
        </w:rPr>
        <w:t>”或者“</w:t>
      </w:r>
      <w:r>
        <w:rPr>
          <w:b/>
          <w:sz w:val="24"/>
        </w:rPr>
        <w:t>无偏离</w:t>
      </w:r>
      <w:r>
        <w:rPr>
          <w:sz w:val="24"/>
        </w:rPr>
        <w:t>”。既不属于“</w:t>
      </w:r>
      <w:r>
        <w:rPr>
          <w:b/>
          <w:sz w:val="24"/>
        </w:rPr>
        <w:t>正偏离</w:t>
      </w:r>
      <w:r>
        <w:rPr>
          <w:sz w:val="24"/>
        </w:rPr>
        <w:t>”也不属于“</w:t>
      </w:r>
      <w:r>
        <w:rPr>
          <w:b/>
          <w:sz w:val="24"/>
        </w:rPr>
        <w:t>负偏离</w:t>
      </w:r>
      <w:r>
        <w:rPr>
          <w:sz w:val="24"/>
        </w:rPr>
        <w:t>”即为“</w:t>
      </w:r>
      <w:r>
        <w:rPr>
          <w:b/>
          <w:sz w:val="24"/>
        </w:rPr>
        <w:t>无偏离</w:t>
      </w:r>
      <w:r>
        <w:rPr>
          <w:sz w:val="24"/>
        </w:rPr>
        <w:t>”。</w:t>
      </w:r>
    </w:p>
    <w:p>
      <w:pPr>
        <w:pStyle w:val="19"/>
        <w:spacing w:before="7"/>
        <w:rPr>
          <w:sz w:val="29"/>
        </w:rPr>
      </w:pPr>
    </w:p>
    <w:p>
      <w:pPr>
        <w:tabs>
          <w:tab w:val="left" w:pos="5060"/>
        </w:tabs>
        <w:spacing w:before="1"/>
        <w:ind w:right="377"/>
        <w:jc w:val="center"/>
        <w:rPr>
          <w:rFonts w:ascii="Times New Roman" w:eastAsia="Times New Roman"/>
          <w:sz w:val="24"/>
        </w:rPr>
      </w:pPr>
      <w:r>
        <w:rPr>
          <w:sz w:val="24"/>
        </w:rPr>
        <w:t>法定代表人或者委托代理人</w:t>
      </w:r>
      <w:r>
        <w:rPr>
          <w:spacing w:val="40"/>
          <w:sz w:val="24"/>
        </w:rPr>
        <w:t>签</w:t>
      </w:r>
      <w:r>
        <w:rPr>
          <w:spacing w:val="38"/>
          <w:sz w:val="24"/>
        </w:rPr>
        <w:t>字</w:t>
      </w:r>
      <w:r>
        <w:rPr>
          <w:sz w:val="24"/>
        </w:rPr>
        <w:t>：</w:t>
      </w:r>
      <w:r>
        <w:rPr>
          <w:spacing w:val="-80"/>
          <w:sz w:val="24"/>
        </w:rPr>
        <w:t xml:space="preserve"> </w:t>
      </w:r>
      <w:r>
        <w:rPr>
          <w:rFonts w:ascii="Times New Roman" w:eastAsia="Times New Roman"/>
          <w:sz w:val="24"/>
          <w:u w:val="single"/>
        </w:rPr>
        <w:t xml:space="preserve"> </w:t>
      </w:r>
      <w:r>
        <w:rPr>
          <w:rFonts w:ascii="Times New Roman" w:eastAsia="Times New Roman"/>
          <w:sz w:val="24"/>
          <w:u w:val="single"/>
        </w:rPr>
        <w:tab/>
      </w:r>
    </w:p>
    <w:p>
      <w:pPr>
        <w:pStyle w:val="19"/>
        <w:spacing w:before="6"/>
        <w:rPr>
          <w:rFonts w:ascii="Times New Roman"/>
          <w:sz w:val="12"/>
        </w:rPr>
      </w:pPr>
    </w:p>
    <w:p>
      <w:pPr>
        <w:spacing w:before="66"/>
        <w:ind w:left="2512"/>
        <w:rPr>
          <w:sz w:val="24"/>
        </w:rPr>
      </w:pPr>
      <w:r>
        <w:rPr>
          <w:spacing w:val="39"/>
          <w:sz w:val="24"/>
        </w:rPr>
        <w:t>投标人</w:t>
      </w:r>
      <w:r>
        <w:rPr>
          <w:sz w:val="24"/>
        </w:rPr>
        <w:t>（</w:t>
      </w:r>
      <w:r>
        <w:rPr>
          <w:spacing w:val="10"/>
          <w:sz w:val="24"/>
        </w:rPr>
        <w:t xml:space="preserve"> 盖公章</w:t>
      </w:r>
      <w:r>
        <w:rPr>
          <w:sz w:val="24"/>
        </w:rPr>
        <w:t>）</w:t>
      </w:r>
      <w:r>
        <w:rPr>
          <w:spacing w:val="-53"/>
          <w:sz w:val="24"/>
        </w:rPr>
        <w:t xml:space="preserve"> ： </w:t>
      </w:r>
      <w:r>
        <w:rPr>
          <w:spacing w:val="18"/>
          <w:sz w:val="24"/>
        </w:rPr>
        <w:t>__________________</w:t>
      </w:r>
    </w:p>
    <w:p>
      <w:pPr>
        <w:tabs>
          <w:tab w:val="left" w:pos="2954"/>
        </w:tabs>
        <w:spacing w:before="209"/>
        <w:ind w:left="2512"/>
        <w:rPr>
          <w:sz w:val="24"/>
        </w:rPr>
      </w:pPr>
      <w:r>
        <w:rPr>
          <w:sz w:val="24"/>
        </w:rPr>
        <w:t>日</w:t>
      </w:r>
      <w:r>
        <w:rPr>
          <w:sz w:val="24"/>
        </w:rPr>
        <w:tab/>
      </w:r>
      <w:r>
        <w:rPr>
          <w:spacing w:val="40"/>
          <w:sz w:val="24"/>
        </w:rPr>
        <w:t>期</w:t>
      </w:r>
      <w:r>
        <w:rPr>
          <w:sz w:val="24"/>
        </w:rPr>
        <w:t>：</w:t>
      </w:r>
      <w:r>
        <w:rPr>
          <w:spacing w:val="-57"/>
          <w:sz w:val="24"/>
        </w:rPr>
        <w:t xml:space="preserve"> </w:t>
      </w:r>
      <w:r>
        <w:rPr>
          <w:spacing w:val="18"/>
          <w:sz w:val="24"/>
        </w:rPr>
        <w:t>_____________________________</w:t>
      </w:r>
    </w:p>
    <w:p>
      <w:pPr>
        <w:rPr>
          <w:sz w:val="24"/>
        </w:rPr>
        <w:sectPr>
          <w:pgSz w:w="11910" w:h="16840"/>
          <w:pgMar w:top="1140" w:right="720" w:bottom="1380" w:left="720" w:header="0" w:footer="1200" w:gutter="0"/>
          <w:pgNumType w:fmt="decimal"/>
          <w:cols w:space="720" w:num="1"/>
        </w:sectPr>
      </w:pPr>
    </w:p>
    <w:p>
      <w:pPr>
        <w:pStyle w:val="11"/>
        <w:spacing w:before="48"/>
      </w:pPr>
      <w:r>
        <w:t>六、其他文书、文件格式</w:t>
      </w:r>
    </w:p>
    <w:p>
      <w:pPr>
        <w:pStyle w:val="19"/>
        <w:rPr>
          <w:b/>
          <w:sz w:val="28"/>
        </w:rPr>
      </w:pPr>
    </w:p>
    <w:p>
      <w:pPr>
        <w:pStyle w:val="19"/>
        <w:spacing w:before="3"/>
        <w:rPr>
          <w:b/>
          <w:sz w:val="22"/>
        </w:rPr>
      </w:pPr>
    </w:p>
    <w:p>
      <w:pPr>
        <w:ind w:left="532"/>
        <w:rPr>
          <w:b/>
          <w:sz w:val="24"/>
        </w:rPr>
      </w:pPr>
      <w:r>
        <w:rPr>
          <w:b/>
          <w:sz w:val="24"/>
        </w:rPr>
        <w:t>中小企业声明函格式</w:t>
      </w:r>
    </w:p>
    <w:p>
      <w:pPr>
        <w:pStyle w:val="19"/>
        <w:spacing w:before="6"/>
        <w:rPr>
          <w:b/>
          <w:sz w:val="17"/>
        </w:rPr>
      </w:pPr>
    </w:p>
    <w:p>
      <w:pPr>
        <w:pStyle w:val="19"/>
        <w:spacing w:before="70"/>
        <w:ind w:left="417" w:right="1"/>
        <w:jc w:val="center"/>
      </w:pPr>
      <w:r>
        <w:t>中小企业声明函（货物)</w:t>
      </w:r>
    </w:p>
    <w:p>
      <w:pPr>
        <w:pStyle w:val="19"/>
        <w:spacing w:before="7"/>
      </w:pPr>
    </w:p>
    <w:p>
      <w:pPr>
        <w:pStyle w:val="19"/>
        <w:spacing w:line="484" w:lineRule="auto"/>
        <w:ind w:left="412" w:right="412" w:firstLine="420"/>
        <w:jc w:val="both"/>
      </w:pPr>
      <w:r>
        <w:t>本公司(联合体）郑重声明，根据《政府采购促进中小企业发展管理办法》(财库( 2020</w:t>
      </w:r>
      <w:r>
        <w:rPr>
          <w:spacing w:val="2"/>
        </w:rPr>
        <w:t xml:space="preserve"> ) </w:t>
      </w:r>
      <w:r>
        <w:t>46</w:t>
      </w:r>
      <w:r>
        <w:rPr>
          <w:spacing w:val="-25"/>
        </w:rPr>
        <w:t xml:space="preserve"> 号</w:t>
      </w:r>
      <w:r>
        <w:t>）的规定，本公司(联合体）参加(单位名称）的(项目名称）采购活动，提供的货物全部由符合政策要求的中小企业制造。相关企业(含联合体中的中小企业、签订分包意向协议的中小企业)的具体情况如下：</w:t>
      </w:r>
    </w:p>
    <w:p>
      <w:pPr>
        <w:pStyle w:val="19"/>
        <w:spacing w:before="4" w:line="484" w:lineRule="auto"/>
        <w:ind w:left="412" w:right="415" w:firstLine="420"/>
      </w:pPr>
      <w:r>
        <w:t>1.（标的名称)，属于（采购文件中明确的所属行业&gt;行业；制造商为(企业名称），</w:t>
      </w:r>
      <w:r>
        <w:rPr>
          <w:spacing w:val="1"/>
        </w:rPr>
        <w:t>从业人员</w:t>
      </w:r>
      <w:r>
        <w:rPr>
          <w:spacing w:val="1"/>
          <w:u w:val="single"/>
        </w:rPr>
        <w:t xml:space="preserve"> </w:t>
      </w:r>
      <w:r>
        <w:t>人， 营业收入为</w:t>
      </w:r>
      <w:r>
        <w:rPr>
          <w:spacing w:val="102"/>
          <w:u w:val="single"/>
        </w:rPr>
        <w:t xml:space="preserve"> </w:t>
      </w:r>
      <w:r>
        <w:t>万元，资产总额为</w:t>
      </w:r>
      <w:r>
        <w:rPr>
          <w:spacing w:val="104"/>
          <w:u w:val="single"/>
        </w:rPr>
        <w:t xml:space="preserve"> </w:t>
      </w:r>
      <w:r>
        <w:t>万元，属于(中型企业、小型企业、微型企业)；</w:t>
      </w:r>
    </w:p>
    <w:p>
      <w:pPr>
        <w:pStyle w:val="19"/>
        <w:tabs>
          <w:tab w:val="left" w:pos="3669"/>
        </w:tabs>
        <w:spacing w:before="2" w:line="484" w:lineRule="auto"/>
        <w:ind w:left="412" w:right="392" w:firstLine="420"/>
      </w:pPr>
      <w:r>
        <w:t>2.（标的名称），属于（采购文件中明确的所属行业）行业；制造商为(企业名称)，从业人员</w:t>
      </w:r>
      <w:r>
        <w:rPr>
          <w:spacing w:val="86"/>
          <w:u w:val="single"/>
        </w:rPr>
        <w:t xml:space="preserve"> </w:t>
      </w:r>
      <w:r>
        <w:t>人， 营业收入为</w:t>
      </w:r>
      <w:r>
        <w:rPr>
          <w:spacing w:val="100"/>
          <w:u w:val="single"/>
        </w:rPr>
        <w:t xml:space="preserve"> </w:t>
      </w:r>
      <w:r>
        <w:t>万元，资产总额为</w:t>
      </w:r>
      <w:r>
        <w:rPr>
          <w:u w:val="single"/>
        </w:rPr>
        <w:t xml:space="preserve"> </w:t>
      </w:r>
      <w:r>
        <w:rPr>
          <w:u w:val="single"/>
        </w:rPr>
        <w:tab/>
      </w:r>
      <w:r>
        <w:t>万元，属于（中型企业、小型企业、微型企业)；</w:t>
      </w:r>
    </w:p>
    <w:p>
      <w:pPr>
        <w:pStyle w:val="19"/>
        <w:spacing w:before="3"/>
        <w:ind w:left="832"/>
      </w:pPr>
      <w:r>
        <w:t>......</w:t>
      </w:r>
    </w:p>
    <w:p>
      <w:pPr>
        <w:pStyle w:val="19"/>
        <w:spacing w:before="6"/>
      </w:pPr>
    </w:p>
    <w:p>
      <w:pPr>
        <w:pStyle w:val="19"/>
        <w:spacing w:before="1" w:line="484" w:lineRule="auto"/>
        <w:ind w:left="412" w:right="340" w:firstLine="420"/>
      </w:pPr>
      <w:r>
        <w:t>以上企业，不属于大企业的分支机构，不存在控股股东为大企业的情形，也不存在与大企业的负责人</w:t>
      </w:r>
      <w:r>
        <w:rPr>
          <w:w w:val="95"/>
        </w:rPr>
        <w:t xml:space="preserve">   </w:t>
      </w:r>
      <w:r>
        <w:t>为同一人的情形。</w:t>
      </w:r>
    </w:p>
    <w:p>
      <w:pPr>
        <w:pStyle w:val="19"/>
        <w:spacing w:before="2"/>
        <w:ind w:left="832"/>
      </w:pPr>
      <w:r>
        <w:t>本企业对上述声明内容的真实性负责。如有虚假，将依法承担相应责任。</w:t>
      </w:r>
    </w:p>
    <w:p>
      <w:pPr>
        <w:pStyle w:val="19"/>
        <w:rPr>
          <w:sz w:val="20"/>
        </w:rPr>
      </w:pPr>
    </w:p>
    <w:p>
      <w:pPr>
        <w:pStyle w:val="19"/>
        <w:rPr>
          <w:sz w:val="20"/>
        </w:rPr>
      </w:pPr>
    </w:p>
    <w:p>
      <w:pPr>
        <w:pStyle w:val="19"/>
        <w:spacing w:before="11"/>
        <w:rPr>
          <w:sz w:val="23"/>
        </w:rPr>
      </w:pPr>
    </w:p>
    <w:p>
      <w:pPr>
        <w:pStyle w:val="19"/>
        <w:tabs>
          <w:tab w:val="left" w:pos="7817"/>
        </w:tabs>
        <w:ind w:left="3984"/>
        <w:rPr>
          <w:rFonts w:ascii="Times New Roman" w:eastAsia="Times New Roman"/>
        </w:rPr>
      </w:pPr>
      <w:r>
        <w:t>企业名称（盖章)</w:t>
      </w:r>
      <w:r>
        <w:rPr>
          <w:w w:val="95"/>
        </w:rPr>
        <w:t>:</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7816"/>
        </w:tabs>
        <w:spacing w:before="76"/>
        <w:ind w:left="3984"/>
        <w:rPr>
          <w:rFonts w:ascii="Times New Roman" w:eastAsia="Times New Roman"/>
        </w:rPr>
      </w:pPr>
      <w:r>
        <w:t>日期:</w:t>
      </w:r>
      <w:r>
        <w:rPr>
          <w:rFonts w:ascii="Times New Roman" w:eastAsia="Times New Roman"/>
          <w:w w:val="95"/>
          <w:u w:val="single"/>
        </w:rPr>
        <w:t xml:space="preserve"> </w:t>
      </w:r>
      <w:r>
        <w:rPr>
          <w:rFonts w:ascii="Times New Roman" w:eastAsia="Times New Roman"/>
          <w:u w:val="single"/>
        </w:rPr>
        <w:tab/>
      </w:r>
    </w:p>
    <w:p>
      <w:pPr>
        <w:pStyle w:val="19"/>
        <w:rPr>
          <w:rFonts w:ascii="Times New Roman"/>
          <w:sz w:val="20"/>
        </w:rPr>
      </w:pPr>
    </w:p>
    <w:p>
      <w:pPr>
        <w:pStyle w:val="19"/>
        <w:rPr>
          <w:rFonts w:ascii="Times New Roman"/>
          <w:sz w:val="20"/>
        </w:rPr>
      </w:pPr>
    </w:p>
    <w:p>
      <w:pPr>
        <w:pStyle w:val="19"/>
        <w:spacing w:before="4"/>
        <w:rPr>
          <w:rFonts w:ascii="Times New Roman"/>
          <w:sz w:val="25"/>
        </w:rPr>
      </w:pPr>
    </w:p>
    <w:p>
      <w:pPr>
        <w:pStyle w:val="19"/>
        <w:spacing w:before="70"/>
        <w:ind w:left="412"/>
      </w:pPr>
      <w:r>
        <w:t>注：1、从业人员、营业收入、资产总额填报上一年度数据，无上一年度数据的新成立企业可不填报。</w:t>
      </w:r>
    </w:p>
    <w:p>
      <w:pPr>
        <w:sectPr>
          <w:pgSz w:w="11910" w:h="16840"/>
          <w:pgMar w:top="1140" w:right="720" w:bottom="1380" w:left="720" w:header="0" w:footer="1200" w:gutter="0"/>
          <w:pgNumType w:fmt="decimal"/>
          <w:cols w:space="720" w:num="1"/>
        </w:sectPr>
      </w:pPr>
    </w:p>
    <w:p>
      <w:pPr>
        <w:spacing w:before="38"/>
        <w:ind w:left="412"/>
        <w:rPr>
          <w:b/>
          <w:sz w:val="24"/>
        </w:rPr>
      </w:pPr>
      <w:r>
        <w:rPr>
          <w:b/>
          <w:sz w:val="24"/>
        </w:rPr>
        <w:t>残疾人福利性单位声明函格式</w:t>
      </w:r>
    </w:p>
    <w:p>
      <w:pPr>
        <w:pStyle w:val="19"/>
        <w:rPr>
          <w:b/>
          <w:sz w:val="24"/>
        </w:rPr>
      </w:pPr>
    </w:p>
    <w:p>
      <w:pPr>
        <w:pStyle w:val="19"/>
        <w:rPr>
          <w:b/>
          <w:sz w:val="24"/>
        </w:rPr>
      </w:pPr>
    </w:p>
    <w:p>
      <w:pPr>
        <w:pStyle w:val="19"/>
        <w:spacing w:before="12"/>
        <w:rPr>
          <w:b/>
          <w:sz w:val="33"/>
        </w:rPr>
      </w:pPr>
    </w:p>
    <w:p>
      <w:pPr>
        <w:pStyle w:val="8"/>
        <w:ind w:right="9"/>
      </w:pPr>
      <w:r>
        <w:t>残疾人福利性单位声明函</w:t>
      </w:r>
    </w:p>
    <w:p>
      <w:pPr>
        <w:pStyle w:val="19"/>
        <w:rPr>
          <w:b/>
          <w:sz w:val="32"/>
        </w:rPr>
      </w:pPr>
    </w:p>
    <w:p>
      <w:pPr>
        <w:pStyle w:val="19"/>
        <w:rPr>
          <w:b/>
          <w:sz w:val="34"/>
        </w:rPr>
      </w:pPr>
    </w:p>
    <w:p>
      <w:pPr>
        <w:tabs>
          <w:tab w:val="left" w:leader="underscore" w:pos="5229"/>
        </w:tabs>
        <w:spacing w:before="1" w:line="458" w:lineRule="auto"/>
        <w:ind w:left="412" w:right="424" w:firstLine="504"/>
        <w:jc w:val="both"/>
        <w:rPr>
          <w:sz w:val="24"/>
        </w:rPr>
      </w:pPr>
      <w:r>
        <w:rPr>
          <w:spacing w:val="14"/>
          <w:sz w:val="24"/>
        </w:rPr>
        <w:t>本</w:t>
      </w:r>
      <w:r>
        <w:rPr>
          <w:spacing w:val="12"/>
          <w:sz w:val="24"/>
        </w:rPr>
        <w:t>单</w:t>
      </w:r>
      <w:r>
        <w:rPr>
          <w:spacing w:val="14"/>
          <w:sz w:val="24"/>
        </w:rPr>
        <w:t>位</w:t>
      </w:r>
      <w:r>
        <w:rPr>
          <w:spacing w:val="12"/>
          <w:sz w:val="24"/>
        </w:rPr>
        <w:t>郑</w:t>
      </w:r>
      <w:r>
        <w:rPr>
          <w:spacing w:val="14"/>
          <w:sz w:val="24"/>
        </w:rPr>
        <w:t>重</w:t>
      </w:r>
      <w:r>
        <w:rPr>
          <w:spacing w:val="12"/>
          <w:sz w:val="24"/>
        </w:rPr>
        <w:t>声</w:t>
      </w:r>
      <w:r>
        <w:rPr>
          <w:spacing w:val="14"/>
          <w:sz w:val="24"/>
        </w:rPr>
        <w:t>明，</w:t>
      </w:r>
      <w:r>
        <w:rPr>
          <w:spacing w:val="12"/>
          <w:sz w:val="24"/>
        </w:rPr>
        <w:t>根</w:t>
      </w:r>
      <w:r>
        <w:rPr>
          <w:spacing w:val="14"/>
          <w:sz w:val="24"/>
        </w:rPr>
        <w:t>据</w:t>
      </w:r>
      <w:r>
        <w:rPr>
          <w:spacing w:val="12"/>
          <w:sz w:val="24"/>
        </w:rPr>
        <w:t>《</w:t>
      </w:r>
      <w:r>
        <w:rPr>
          <w:spacing w:val="14"/>
          <w:sz w:val="24"/>
        </w:rPr>
        <w:t>财政</w:t>
      </w:r>
      <w:r>
        <w:rPr>
          <w:sz w:val="24"/>
        </w:rPr>
        <w:t>部</w:t>
      </w:r>
      <w:r>
        <w:rPr>
          <w:spacing w:val="26"/>
          <w:sz w:val="24"/>
        </w:rPr>
        <w:t xml:space="preserve"> </w:t>
      </w:r>
      <w:r>
        <w:rPr>
          <w:spacing w:val="14"/>
          <w:sz w:val="24"/>
        </w:rPr>
        <w:t>民</w:t>
      </w:r>
      <w:r>
        <w:rPr>
          <w:spacing w:val="12"/>
          <w:sz w:val="24"/>
        </w:rPr>
        <w:t>政</w:t>
      </w:r>
      <w:r>
        <w:rPr>
          <w:sz w:val="24"/>
        </w:rPr>
        <w:t>部</w:t>
      </w:r>
      <w:r>
        <w:rPr>
          <w:spacing w:val="26"/>
          <w:sz w:val="24"/>
        </w:rPr>
        <w:t xml:space="preserve"> </w:t>
      </w:r>
      <w:r>
        <w:rPr>
          <w:spacing w:val="14"/>
          <w:sz w:val="24"/>
        </w:rPr>
        <w:t>中</w:t>
      </w:r>
      <w:r>
        <w:rPr>
          <w:spacing w:val="12"/>
          <w:sz w:val="24"/>
        </w:rPr>
        <w:t>国</w:t>
      </w:r>
      <w:r>
        <w:rPr>
          <w:spacing w:val="14"/>
          <w:sz w:val="24"/>
        </w:rPr>
        <w:t>残</w:t>
      </w:r>
      <w:r>
        <w:rPr>
          <w:spacing w:val="12"/>
          <w:sz w:val="24"/>
        </w:rPr>
        <w:t>疾</w:t>
      </w:r>
      <w:r>
        <w:rPr>
          <w:spacing w:val="14"/>
          <w:sz w:val="24"/>
        </w:rPr>
        <w:t>人</w:t>
      </w:r>
      <w:r>
        <w:rPr>
          <w:spacing w:val="12"/>
          <w:sz w:val="24"/>
        </w:rPr>
        <w:t>联</w:t>
      </w:r>
      <w:r>
        <w:rPr>
          <w:spacing w:val="14"/>
          <w:sz w:val="24"/>
        </w:rPr>
        <w:t>合会</w:t>
      </w:r>
      <w:r>
        <w:rPr>
          <w:spacing w:val="12"/>
          <w:sz w:val="24"/>
        </w:rPr>
        <w:t>关</w:t>
      </w:r>
      <w:r>
        <w:rPr>
          <w:spacing w:val="14"/>
          <w:sz w:val="24"/>
        </w:rPr>
        <w:t>于</w:t>
      </w:r>
      <w:r>
        <w:rPr>
          <w:spacing w:val="12"/>
          <w:sz w:val="24"/>
        </w:rPr>
        <w:t>促</w:t>
      </w:r>
      <w:r>
        <w:rPr>
          <w:spacing w:val="14"/>
          <w:sz w:val="24"/>
        </w:rPr>
        <w:t>进残</w:t>
      </w:r>
      <w:r>
        <w:rPr>
          <w:spacing w:val="12"/>
          <w:sz w:val="24"/>
        </w:rPr>
        <w:t>疾</w:t>
      </w:r>
      <w:r>
        <w:rPr>
          <w:spacing w:val="14"/>
          <w:sz w:val="24"/>
        </w:rPr>
        <w:t>人</w:t>
      </w:r>
      <w:r>
        <w:rPr>
          <w:spacing w:val="12"/>
          <w:sz w:val="24"/>
        </w:rPr>
        <w:t>就</w:t>
      </w:r>
      <w:r>
        <w:rPr>
          <w:spacing w:val="14"/>
          <w:sz w:val="24"/>
        </w:rPr>
        <w:t>业</w:t>
      </w:r>
      <w:r>
        <w:rPr>
          <w:sz w:val="24"/>
        </w:rPr>
        <w:t>政</w:t>
      </w:r>
      <w:r>
        <w:rPr>
          <w:spacing w:val="14"/>
          <w:sz w:val="24"/>
        </w:rPr>
        <w:t>府采购</w:t>
      </w:r>
      <w:r>
        <w:rPr>
          <w:spacing w:val="12"/>
          <w:sz w:val="24"/>
        </w:rPr>
        <w:t>政</w:t>
      </w:r>
      <w:r>
        <w:rPr>
          <w:spacing w:val="14"/>
          <w:sz w:val="24"/>
        </w:rPr>
        <w:t>策的通知》（</w:t>
      </w:r>
      <w:r>
        <w:rPr>
          <w:spacing w:val="12"/>
          <w:sz w:val="24"/>
        </w:rPr>
        <w:t>财</w:t>
      </w:r>
      <w:r>
        <w:rPr>
          <w:spacing w:val="14"/>
          <w:sz w:val="24"/>
        </w:rPr>
        <w:t>库</w:t>
      </w:r>
      <w:r>
        <w:rPr>
          <w:sz w:val="24"/>
        </w:rPr>
        <w:t>〔2017〕</w:t>
      </w:r>
      <w:r>
        <w:rPr>
          <w:spacing w:val="6"/>
          <w:sz w:val="24"/>
        </w:rPr>
        <w:t xml:space="preserve"> </w:t>
      </w:r>
      <w:r>
        <w:rPr>
          <w:sz w:val="24"/>
        </w:rPr>
        <w:t>141</w:t>
      </w:r>
      <w:r>
        <w:rPr>
          <w:spacing w:val="-57"/>
          <w:sz w:val="24"/>
        </w:rPr>
        <w:t xml:space="preserve"> </w:t>
      </w:r>
      <w:r>
        <w:rPr>
          <w:spacing w:val="14"/>
          <w:sz w:val="24"/>
        </w:rPr>
        <w:t>号）的</w:t>
      </w:r>
      <w:r>
        <w:rPr>
          <w:spacing w:val="12"/>
          <w:sz w:val="24"/>
        </w:rPr>
        <w:t>规</w:t>
      </w:r>
      <w:r>
        <w:rPr>
          <w:spacing w:val="14"/>
          <w:sz w:val="24"/>
        </w:rPr>
        <w:t>定，本单位为</w:t>
      </w:r>
      <w:r>
        <w:rPr>
          <w:spacing w:val="12"/>
          <w:sz w:val="24"/>
        </w:rPr>
        <w:t>符</w:t>
      </w:r>
      <w:r>
        <w:rPr>
          <w:spacing w:val="14"/>
          <w:sz w:val="24"/>
        </w:rPr>
        <w:t>合条件的残疾</w:t>
      </w:r>
      <w:r>
        <w:rPr>
          <w:spacing w:val="12"/>
          <w:sz w:val="24"/>
        </w:rPr>
        <w:t>人</w:t>
      </w:r>
      <w:r>
        <w:rPr>
          <w:spacing w:val="14"/>
          <w:sz w:val="24"/>
        </w:rPr>
        <w:t>福</w:t>
      </w:r>
      <w:r>
        <w:rPr>
          <w:sz w:val="24"/>
        </w:rPr>
        <w:t>利</w:t>
      </w:r>
      <w:r>
        <w:rPr>
          <w:spacing w:val="14"/>
          <w:sz w:val="24"/>
        </w:rPr>
        <w:t>性单</w:t>
      </w:r>
      <w:r>
        <w:rPr>
          <w:spacing w:val="12"/>
          <w:sz w:val="24"/>
        </w:rPr>
        <w:t>位</w:t>
      </w:r>
      <w:r>
        <w:rPr>
          <w:spacing w:val="14"/>
          <w:sz w:val="24"/>
        </w:rPr>
        <w:t>，且本</w:t>
      </w:r>
      <w:r>
        <w:rPr>
          <w:spacing w:val="12"/>
          <w:sz w:val="24"/>
        </w:rPr>
        <w:t>单</w:t>
      </w:r>
      <w:r>
        <w:rPr>
          <w:spacing w:val="14"/>
          <w:sz w:val="24"/>
        </w:rPr>
        <w:t>位参加</w:t>
      </w:r>
      <w:r>
        <w:rPr>
          <w:spacing w:val="6"/>
          <w:sz w:val="24"/>
        </w:rPr>
        <w:t>______</w:t>
      </w:r>
      <w:r>
        <w:rPr>
          <w:spacing w:val="14"/>
          <w:sz w:val="24"/>
        </w:rPr>
        <w:t>单位</w:t>
      </w:r>
      <w:r>
        <w:rPr>
          <w:sz w:val="24"/>
        </w:rPr>
        <w:t>的</w:t>
      </w:r>
      <w:r>
        <w:rPr>
          <w:sz w:val="24"/>
        </w:rPr>
        <w:tab/>
      </w:r>
      <w:r>
        <w:rPr>
          <w:spacing w:val="14"/>
          <w:sz w:val="24"/>
        </w:rPr>
        <w:t>项目</w:t>
      </w:r>
      <w:r>
        <w:rPr>
          <w:spacing w:val="12"/>
          <w:sz w:val="24"/>
        </w:rPr>
        <w:t>采</w:t>
      </w:r>
      <w:r>
        <w:rPr>
          <w:spacing w:val="14"/>
          <w:sz w:val="24"/>
        </w:rPr>
        <w:t>购活动</w:t>
      </w:r>
      <w:r>
        <w:rPr>
          <w:spacing w:val="12"/>
          <w:sz w:val="24"/>
        </w:rPr>
        <w:t>提</w:t>
      </w:r>
      <w:r>
        <w:rPr>
          <w:spacing w:val="14"/>
          <w:sz w:val="24"/>
        </w:rPr>
        <w:t>供本单位</w:t>
      </w:r>
      <w:r>
        <w:rPr>
          <w:spacing w:val="12"/>
          <w:sz w:val="24"/>
        </w:rPr>
        <w:t>制</w:t>
      </w:r>
      <w:r>
        <w:rPr>
          <w:spacing w:val="14"/>
          <w:sz w:val="24"/>
        </w:rPr>
        <w:t>造的货物</w:t>
      </w:r>
      <w:r>
        <w:rPr>
          <w:spacing w:val="12"/>
          <w:sz w:val="24"/>
        </w:rPr>
        <w:t>（</w:t>
      </w:r>
      <w:r>
        <w:rPr>
          <w:spacing w:val="14"/>
          <w:sz w:val="24"/>
        </w:rPr>
        <w:t>由</w:t>
      </w:r>
      <w:r>
        <w:rPr>
          <w:spacing w:val="-11"/>
          <w:sz w:val="24"/>
        </w:rPr>
        <w:t>本</w:t>
      </w:r>
    </w:p>
    <w:p>
      <w:pPr>
        <w:spacing w:before="2" w:line="458" w:lineRule="auto"/>
        <w:ind w:left="412" w:right="328"/>
        <w:rPr>
          <w:sz w:val="24"/>
        </w:rPr>
      </w:pPr>
      <w:r>
        <w:rPr>
          <w:sz w:val="24"/>
        </w:rPr>
        <w:t>单位承担工程/提供服务），或者提供其他残疾人福利性单位制造的货物（不包括使用非残疾人福利性单位注册商标的货物）。</w:t>
      </w:r>
    </w:p>
    <w:p>
      <w:pPr>
        <w:spacing w:before="1"/>
        <w:ind w:left="916"/>
        <w:rPr>
          <w:sz w:val="24"/>
        </w:rPr>
      </w:pPr>
      <w:r>
        <w:rPr>
          <w:sz w:val="24"/>
        </w:rPr>
        <w:t>本单位对上述声明的真实性负责。如有虚假，将依法承担相应责任。</w:t>
      </w:r>
    </w:p>
    <w:p>
      <w:pPr>
        <w:pStyle w:val="19"/>
        <w:rPr>
          <w:sz w:val="24"/>
        </w:rPr>
      </w:pPr>
    </w:p>
    <w:p>
      <w:pPr>
        <w:pStyle w:val="19"/>
        <w:rPr>
          <w:sz w:val="24"/>
        </w:rPr>
      </w:pPr>
    </w:p>
    <w:p>
      <w:pPr>
        <w:pStyle w:val="19"/>
        <w:rPr>
          <w:sz w:val="24"/>
        </w:rPr>
      </w:pPr>
    </w:p>
    <w:p>
      <w:pPr>
        <w:pStyle w:val="19"/>
        <w:rPr>
          <w:sz w:val="24"/>
        </w:rPr>
      </w:pPr>
    </w:p>
    <w:p>
      <w:pPr>
        <w:pStyle w:val="19"/>
        <w:spacing w:before="8"/>
        <w:rPr>
          <w:sz w:val="17"/>
        </w:rPr>
      </w:pPr>
    </w:p>
    <w:p>
      <w:pPr>
        <w:spacing w:before="1"/>
        <w:ind w:left="4487"/>
        <w:rPr>
          <w:sz w:val="24"/>
        </w:rPr>
      </w:pPr>
      <w:r>
        <w:rPr>
          <w:spacing w:val="12"/>
          <w:sz w:val="24"/>
        </w:rPr>
        <w:t>单位名称（盖公章</w:t>
      </w:r>
      <w:r>
        <w:rPr>
          <w:spacing w:val="5"/>
          <w:sz w:val="24"/>
        </w:rPr>
        <w:t>）：__________</w:t>
      </w:r>
    </w:p>
    <w:p>
      <w:pPr>
        <w:pStyle w:val="19"/>
        <w:spacing w:before="11"/>
      </w:pPr>
    </w:p>
    <w:p>
      <w:pPr>
        <w:tabs>
          <w:tab w:val="left" w:pos="5003"/>
        </w:tabs>
        <w:ind w:left="4487"/>
        <w:rPr>
          <w:sz w:val="24"/>
        </w:rPr>
      </w:pPr>
      <w:r>
        <w:rPr>
          <w:sz w:val="24"/>
        </w:rPr>
        <w:t>日</w:t>
      </w:r>
      <w:r>
        <w:rPr>
          <w:sz w:val="24"/>
        </w:rPr>
        <w:tab/>
      </w:r>
      <w:r>
        <w:rPr>
          <w:spacing w:val="12"/>
          <w:sz w:val="24"/>
        </w:rPr>
        <w:t>期</w:t>
      </w:r>
      <w:r>
        <w:rPr>
          <w:spacing w:val="5"/>
          <w:sz w:val="24"/>
        </w:rPr>
        <w:t>：______________________</w:t>
      </w:r>
    </w:p>
    <w:p>
      <w:pPr>
        <w:pStyle w:val="19"/>
        <w:rPr>
          <w:sz w:val="24"/>
        </w:rPr>
      </w:pPr>
    </w:p>
    <w:p>
      <w:pPr>
        <w:pStyle w:val="19"/>
        <w:rPr>
          <w:sz w:val="24"/>
        </w:rPr>
      </w:pPr>
    </w:p>
    <w:p>
      <w:pPr>
        <w:pStyle w:val="19"/>
        <w:spacing w:before="12"/>
        <w:rPr>
          <w:sz w:val="28"/>
        </w:rPr>
      </w:pPr>
    </w:p>
    <w:p>
      <w:pPr>
        <w:spacing w:line="364" w:lineRule="auto"/>
        <w:ind w:left="412" w:right="290"/>
        <w:rPr>
          <w:sz w:val="24"/>
        </w:rPr>
      </w:pPr>
      <w:r>
        <w:rPr>
          <w:sz w:val="24"/>
        </w:rPr>
        <w:t>注：请根据自己的真实情况出具《残疾人福利性单位声明函》。依法享受中小企业优惠政策</w:t>
      </w:r>
      <w:r>
        <w:rPr>
          <w:spacing w:val="-9"/>
          <w:sz w:val="24"/>
        </w:rPr>
        <w:t xml:space="preserve">的，采购人或者采购代理机构在公告中标结果时，同时公告其《残疾人福利性单位声明函》， </w:t>
      </w:r>
      <w:r>
        <w:rPr>
          <w:sz w:val="24"/>
        </w:rPr>
        <w:t>接受社会监督。</w:t>
      </w:r>
    </w:p>
    <w:p>
      <w:pPr>
        <w:spacing w:line="364" w:lineRule="auto"/>
        <w:rPr>
          <w:sz w:val="24"/>
        </w:rPr>
        <w:sectPr>
          <w:pgSz w:w="11910" w:h="16840"/>
          <w:pgMar w:top="1080" w:right="720" w:bottom="1380" w:left="720" w:header="0" w:footer="1200" w:gutter="0"/>
          <w:pgNumType w:fmt="decimal"/>
          <w:cols w:space="720" w:num="1"/>
        </w:sectPr>
      </w:pPr>
    </w:p>
    <w:p>
      <w:pPr>
        <w:pStyle w:val="8"/>
        <w:spacing w:before="39"/>
      </w:pPr>
      <w:r>
        <w:t>质疑函（格式）</w:t>
      </w:r>
    </w:p>
    <w:p>
      <w:pPr>
        <w:pStyle w:val="19"/>
        <w:spacing w:before="11"/>
        <w:rPr>
          <w:b/>
          <w:sz w:val="10"/>
        </w:rPr>
      </w:pPr>
    </w:p>
    <w:p>
      <w:pPr>
        <w:spacing w:before="70"/>
        <w:ind w:left="832"/>
        <w:rPr>
          <w:b/>
          <w:sz w:val="21"/>
        </w:rPr>
      </w:pPr>
      <w:r>
        <w:rPr>
          <w:b/>
          <w:sz w:val="21"/>
        </w:rPr>
        <w:t>一、质疑供应商基本信息：</w:t>
      </w:r>
    </w:p>
    <w:p>
      <w:pPr>
        <w:pStyle w:val="19"/>
        <w:spacing w:before="7"/>
        <w:rPr>
          <w:b/>
        </w:rPr>
      </w:pPr>
    </w:p>
    <w:p>
      <w:pPr>
        <w:pStyle w:val="19"/>
        <w:tabs>
          <w:tab w:val="left" w:pos="6240"/>
        </w:tabs>
        <w:ind w:left="832"/>
        <w:rPr>
          <w:rFonts w:ascii="Times New Roman" w:eastAsia="Times New Roman"/>
        </w:rPr>
      </w:pPr>
      <w:r>
        <w:rPr>
          <w:w w:val="95"/>
        </w:rPr>
        <w:t>质疑供应商：</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5872"/>
          <w:tab w:val="left" w:pos="8443"/>
        </w:tabs>
        <w:spacing w:before="76"/>
        <w:ind w:left="832"/>
        <w:rPr>
          <w:rFonts w:ascii="Times New Roman" w:eastAsia="Times New Roman"/>
        </w:rPr>
      </w:pPr>
      <w:r>
        <w:t>地址：</w:t>
      </w:r>
      <w:r>
        <w:rPr>
          <w:u w:val="single"/>
        </w:rPr>
        <w:t xml:space="preserve"> </w:t>
      </w:r>
      <w:r>
        <w:rPr>
          <w:u w:val="single"/>
        </w:rPr>
        <w:tab/>
      </w:r>
      <w:r>
        <w:t>邮编：</w:t>
      </w:r>
      <w:r>
        <w:rPr>
          <w:rFonts w:ascii="Times New Roman" w:eastAsia="Times New Roman"/>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3878"/>
          <w:tab w:val="left" w:pos="6763"/>
        </w:tabs>
        <w:spacing w:before="76"/>
        <w:ind w:left="832"/>
        <w:rPr>
          <w:rFonts w:ascii="Times New Roman" w:eastAsia="Times New Roman"/>
        </w:rPr>
      </w:pPr>
      <w:r>
        <w:t>联系人：</w:t>
      </w:r>
      <w:r>
        <w:rPr>
          <w:u w:val="single"/>
        </w:rPr>
        <w:t xml:space="preserve"> </w:t>
      </w:r>
      <w:r>
        <w:rPr>
          <w:u w:val="single"/>
        </w:rPr>
        <w:tab/>
      </w:r>
      <w:r>
        <w:rPr>
          <w:w w:val="95"/>
        </w:rPr>
        <w:t>联系电话：</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4243"/>
        </w:tabs>
        <w:spacing w:before="77"/>
        <w:ind w:left="832"/>
        <w:rPr>
          <w:rFonts w:ascii="Times New Roman" w:eastAsia="Times New Roman"/>
        </w:rPr>
      </w:pPr>
      <w:r>
        <w:rPr>
          <w:w w:val="95"/>
        </w:rPr>
        <w:t>授权代表：</w:t>
      </w:r>
      <w:r>
        <w:rPr>
          <w:rFonts w:ascii="Times New Roman" w:eastAsia="Times New Roman"/>
          <w:w w:val="95"/>
          <w:u w:val="single"/>
        </w:rPr>
        <w:t xml:space="preserve"> </w:t>
      </w:r>
      <w:r>
        <w:rPr>
          <w:rFonts w:ascii="Times New Roman" w:eastAsia="Times New Roman"/>
          <w:u w:val="single"/>
        </w:rPr>
        <w:tab/>
      </w:r>
    </w:p>
    <w:p>
      <w:pPr>
        <w:pStyle w:val="19"/>
        <w:spacing w:before="3"/>
        <w:rPr>
          <w:rFonts w:ascii="Times New Roman"/>
          <w:sz w:val="17"/>
        </w:rPr>
      </w:pPr>
    </w:p>
    <w:p>
      <w:pPr>
        <w:pStyle w:val="19"/>
        <w:tabs>
          <w:tab w:val="left" w:pos="4243"/>
        </w:tabs>
        <w:spacing w:before="77"/>
        <w:ind w:left="832"/>
        <w:rPr>
          <w:rFonts w:ascii="Times New Roman" w:eastAsia="Times New Roman"/>
        </w:rPr>
      </w:pPr>
      <w:r>
        <w:rPr>
          <w:w w:val="95"/>
        </w:rPr>
        <w:t>联系电话：</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3249"/>
          <w:tab w:val="left" w:pos="5820"/>
        </w:tabs>
        <w:spacing w:before="76"/>
        <w:ind w:left="832"/>
        <w:rPr>
          <w:rFonts w:ascii="Times New Roman" w:eastAsia="Times New Roman"/>
        </w:rPr>
      </w:pPr>
      <w:r>
        <w:t>地址：</w:t>
      </w:r>
      <w:r>
        <w:rPr>
          <w:u w:val="single"/>
        </w:rPr>
        <w:t xml:space="preserve"> </w:t>
      </w:r>
      <w:r>
        <w:rPr>
          <w:u w:val="single"/>
        </w:rPr>
        <w:tab/>
      </w:r>
      <w:r>
        <w:rPr>
          <w:w w:val="95"/>
        </w:rPr>
        <w:t>邮编：</w:t>
      </w:r>
      <w:r>
        <w:rPr>
          <w:rFonts w:ascii="Times New Roman" w:eastAsia="Times New Roman"/>
          <w:w w:val="95"/>
          <w:u w:val="single"/>
        </w:rPr>
        <w:t xml:space="preserve"> </w:t>
      </w:r>
      <w:r>
        <w:rPr>
          <w:rFonts w:ascii="Times New Roman" w:eastAsia="Times New Roman"/>
          <w:u w:val="single"/>
        </w:rPr>
        <w:tab/>
      </w:r>
    </w:p>
    <w:p>
      <w:pPr>
        <w:pStyle w:val="19"/>
        <w:spacing w:before="11"/>
        <w:rPr>
          <w:rFonts w:ascii="Times New Roman"/>
          <w:sz w:val="17"/>
        </w:rPr>
      </w:pPr>
    </w:p>
    <w:p>
      <w:pPr>
        <w:spacing w:before="69"/>
        <w:ind w:left="832"/>
        <w:rPr>
          <w:b/>
          <w:sz w:val="21"/>
        </w:rPr>
      </w:pPr>
      <w:r>
        <w:rPr>
          <w:b/>
          <w:sz w:val="21"/>
        </w:rPr>
        <w:t>二、质疑项目基本情况：</w:t>
      </w:r>
    </w:p>
    <w:p>
      <w:pPr>
        <w:pStyle w:val="19"/>
        <w:spacing w:before="7"/>
        <w:rPr>
          <w:b/>
        </w:rPr>
      </w:pPr>
    </w:p>
    <w:p>
      <w:pPr>
        <w:pStyle w:val="19"/>
        <w:tabs>
          <w:tab w:val="left" w:pos="6468"/>
        </w:tabs>
        <w:ind w:left="851"/>
        <w:rPr>
          <w:rFonts w:ascii="Times New Roman" w:eastAsia="Times New Roman"/>
        </w:rPr>
      </w:pPr>
      <w:r>
        <w:rPr>
          <w:w w:val="95"/>
        </w:rPr>
        <w:t>质疑项目的名称：</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6468"/>
        </w:tabs>
        <w:spacing w:before="76"/>
        <w:ind w:left="851"/>
        <w:rPr>
          <w:rFonts w:ascii="Times New Roman" w:eastAsia="Times New Roman"/>
        </w:rPr>
      </w:pPr>
      <w:r>
        <w:rPr>
          <w:w w:val="95"/>
        </w:rPr>
        <w:t>质疑项目的编号：</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6468"/>
        </w:tabs>
        <w:spacing w:before="77"/>
        <w:ind w:left="851"/>
        <w:rPr>
          <w:rFonts w:ascii="Times New Roman" w:eastAsia="Times New Roman"/>
        </w:rPr>
      </w:pPr>
      <w:r>
        <w:rPr>
          <w:w w:val="95"/>
        </w:rPr>
        <w:t>采购人名称：</w:t>
      </w:r>
      <w:r>
        <w:rPr>
          <w:rFonts w:ascii="Times New Roman" w:eastAsia="Times New Roman"/>
          <w:w w:val="95"/>
          <w:u w:val="single"/>
        </w:rPr>
        <w:t xml:space="preserve"> </w:t>
      </w:r>
      <w:r>
        <w:rPr>
          <w:rFonts w:ascii="Times New Roman" w:eastAsia="Times New Roman"/>
          <w:u w:val="single"/>
        </w:rPr>
        <w:tab/>
      </w:r>
    </w:p>
    <w:p>
      <w:pPr>
        <w:pStyle w:val="19"/>
        <w:spacing w:before="10"/>
        <w:rPr>
          <w:rFonts w:ascii="Times New Roman"/>
          <w:sz w:val="17"/>
        </w:rPr>
      </w:pPr>
    </w:p>
    <w:p>
      <w:pPr>
        <w:pStyle w:val="19"/>
        <w:spacing w:before="70"/>
        <w:ind w:left="851"/>
      </w:pPr>
      <w:r>
        <w:t>质疑事项：</w:t>
      </w:r>
    </w:p>
    <w:p>
      <w:pPr>
        <w:pStyle w:val="19"/>
        <w:spacing w:before="4"/>
      </w:pPr>
    </w:p>
    <w:p>
      <w:pPr>
        <w:pStyle w:val="19"/>
        <w:tabs>
          <w:tab w:val="left" w:pos="2111"/>
          <w:tab w:val="left" w:pos="7728"/>
        </w:tabs>
        <w:ind w:left="748"/>
        <w:rPr>
          <w:rFonts w:ascii="Times New Roman" w:hAnsi="Times New Roman" w:eastAsia="Times New Roman"/>
        </w:rPr>
      </w:pPr>
      <w:r>
        <w:t>□招标文件</w:t>
      </w:r>
      <w:r>
        <w:tab/>
      </w:r>
      <w:r>
        <w:rPr>
          <w:w w:val="95"/>
        </w:rPr>
        <w:t>招标文件获取日期：</w:t>
      </w:r>
      <w:r>
        <w:rPr>
          <w:rFonts w:ascii="Times New Roman" w:hAnsi="Times New Roman" w:eastAsia="Times New Roman"/>
          <w:w w:val="95"/>
          <w:u w:val="single"/>
        </w:rPr>
        <w:t xml:space="preserve"> </w:t>
      </w:r>
      <w:r>
        <w:rPr>
          <w:rFonts w:ascii="Times New Roman" w:hAnsi="Times New Roman" w:eastAsia="Times New Roman"/>
          <w:u w:val="single"/>
        </w:rPr>
        <w:tab/>
      </w:r>
    </w:p>
    <w:p>
      <w:pPr>
        <w:pStyle w:val="19"/>
        <w:spacing w:before="1"/>
        <w:rPr>
          <w:rFonts w:ascii="Times New Roman"/>
          <w:sz w:val="18"/>
        </w:rPr>
      </w:pPr>
    </w:p>
    <w:p>
      <w:pPr>
        <w:pStyle w:val="19"/>
        <w:spacing w:before="70"/>
        <w:ind w:left="748"/>
      </w:pPr>
      <w:r>
        <w:rPr>
          <w:spacing w:val="-1"/>
          <w:w w:val="95"/>
        </w:rPr>
        <w:t>□采购过程</w:t>
      </w:r>
    </w:p>
    <w:p>
      <w:pPr>
        <w:pStyle w:val="19"/>
        <w:spacing w:before="7"/>
      </w:pPr>
    </w:p>
    <w:p>
      <w:pPr>
        <w:pStyle w:val="19"/>
        <w:ind w:left="748"/>
      </w:pPr>
      <w:r>
        <w:rPr>
          <w:spacing w:val="-1"/>
          <w:w w:val="95"/>
        </w:rPr>
        <w:t>□中标结果</w:t>
      </w:r>
    </w:p>
    <w:p>
      <w:pPr>
        <w:pStyle w:val="19"/>
        <w:spacing w:before="4"/>
      </w:pPr>
    </w:p>
    <w:p>
      <w:pPr>
        <w:ind w:left="851"/>
        <w:rPr>
          <w:b/>
          <w:sz w:val="21"/>
        </w:rPr>
      </w:pPr>
      <w:r>
        <w:rPr>
          <w:b/>
          <w:sz w:val="21"/>
        </w:rPr>
        <w:t>三、质疑事项具体内容</w:t>
      </w:r>
    </w:p>
    <w:p>
      <w:pPr>
        <w:pStyle w:val="19"/>
        <w:spacing w:before="7"/>
        <w:rPr>
          <w:b/>
        </w:rPr>
      </w:pPr>
    </w:p>
    <w:p>
      <w:pPr>
        <w:pStyle w:val="19"/>
        <w:tabs>
          <w:tab w:val="left" w:pos="9250"/>
        </w:tabs>
        <w:ind w:left="851"/>
        <w:rPr>
          <w:rFonts w:ascii="Times New Roman" w:eastAsia="Times New Roman"/>
        </w:rPr>
      </w:pPr>
      <w:r>
        <w:t>质疑事项</w:t>
      </w:r>
      <w:r>
        <w:rPr>
          <w:spacing w:val="-56"/>
        </w:rPr>
        <w:t xml:space="preserve"> </w:t>
      </w:r>
      <w:r>
        <w:t>1：</w:t>
      </w:r>
      <w:r>
        <w:rPr>
          <w:rFonts w:ascii="Times New Roman" w:eastAsia="Times New Roman"/>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9303"/>
        </w:tabs>
        <w:spacing w:before="76"/>
        <w:ind w:left="851"/>
        <w:rPr>
          <w:rFonts w:ascii="Times New Roman" w:eastAsia="Times New Roman"/>
        </w:rPr>
      </w:pPr>
      <w:r>
        <w:rPr>
          <w:w w:val="95"/>
        </w:rPr>
        <w:t>事实依据：</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9408"/>
        </w:tabs>
        <w:spacing w:before="76"/>
        <w:ind w:left="851"/>
        <w:rPr>
          <w:rFonts w:ascii="Times New Roman" w:eastAsia="Times New Roman"/>
        </w:rPr>
      </w:pPr>
      <w:r>
        <w:rPr>
          <w:w w:val="95"/>
        </w:rPr>
        <w:t>法律依据：</w:t>
      </w:r>
      <w:r>
        <w:rPr>
          <w:rFonts w:ascii="Times New Roman" w:eastAsia="Times New Roman"/>
          <w:w w:val="95"/>
          <w:u w:val="single"/>
        </w:rPr>
        <w:t xml:space="preserve"> </w:t>
      </w:r>
      <w:r>
        <w:rPr>
          <w:rFonts w:ascii="Times New Roman" w:eastAsia="Times New Roman"/>
          <w:u w:val="single"/>
        </w:rPr>
        <w:tab/>
      </w:r>
    </w:p>
    <w:p>
      <w:pPr>
        <w:pStyle w:val="19"/>
        <w:spacing w:before="11"/>
        <w:rPr>
          <w:rFonts w:ascii="Times New Roman"/>
          <w:sz w:val="17"/>
        </w:rPr>
      </w:pPr>
    </w:p>
    <w:p>
      <w:pPr>
        <w:pStyle w:val="19"/>
        <w:spacing w:before="70"/>
        <w:ind w:left="851"/>
      </w:pPr>
      <w:r>
        <w:t>质疑事项 2</w:t>
      </w:r>
    </w:p>
    <w:p>
      <w:pPr>
        <w:pStyle w:val="19"/>
        <w:spacing w:before="6"/>
      </w:pPr>
    </w:p>
    <w:p>
      <w:pPr>
        <w:pStyle w:val="19"/>
        <w:ind w:left="851"/>
      </w:pPr>
      <w:r>
        <w:t>……</w:t>
      </w:r>
    </w:p>
    <w:p>
      <w:pPr>
        <w:pStyle w:val="19"/>
        <w:spacing w:before="7"/>
      </w:pPr>
    </w:p>
    <w:p>
      <w:pPr>
        <w:pStyle w:val="19"/>
        <w:ind w:left="851"/>
      </w:pPr>
      <w:r>
        <w:t>四、与质疑事项相关的质疑请求：</w:t>
      </w:r>
    </w:p>
    <w:p>
      <w:pPr>
        <w:pStyle w:val="19"/>
        <w:spacing w:before="6"/>
      </w:pPr>
    </w:p>
    <w:p>
      <w:pPr>
        <w:pStyle w:val="19"/>
        <w:tabs>
          <w:tab w:val="left" w:pos="8254"/>
        </w:tabs>
        <w:spacing w:before="1"/>
        <w:ind w:left="851"/>
        <w:rPr>
          <w:rFonts w:ascii="Times New Roman" w:eastAsia="Times New Roman"/>
        </w:rPr>
      </w:pPr>
      <w:r>
        <w:t>请求：</w:t>
      </w:r>
      <w:r>
        <w:rPr>
          <w:rFonts w:ascii="Times New Roman" w:eastAsia="Times New Roman"/>
          <w:u w:val="single"/>
        </w:rPr>
        <w:t xml:space="preserve"> </w:t>
      </w:r>
      <w:r>
        <w:rPr>
          <w:rFonts w:ascii="Times New Roman" w:eastAsia="Times New Roman"/>
          <w:u w:val="single"/>
        </w:rPr>
        <w:tab/>
      </w:r>
    </w:p>
    <w:p>
      <w:pPr>
        <w:pStyle w:val="19"/>
        <w:spacing w:before="3"/>
        <w:rPr>
          <w:rFonts w:ascii="Times New Roman"/>
          <w:sz w:val="17"/>
        </w:rPr>
      </w:pPr>
    </w:p>
    <w:p>
      <w:pPr>
        <w:pStyle w:val="19"/>
        <w:tabs>
          <w:tab w:val="left" w:pos="4263"/>
        </w:tabs>
        <w:spacing w:before="77" w:line="484" w:lineRule="auto"/>
        <w:ind w:left="851" w:right="5517"/>
      </w:pPr>
      <w:r>
        <w:t>签字（签章）：</w:t>
      </w:r>
      <w:r>
        <w:rPr>
          <w:u w:val="single"/>
        </w:rPr>
        <w:t xml:space="preserve"> </w:t>
      </w:r>
      <w:r>
        <w:rPr>
          <w:u w:val="single"/>
        </w:rPr>
        <w:tab/>
      </w:r>
      <w:r>
        <w:t>公章</w:t>
      </w:r>
      <w:r>
        <w:rPr>
          <w:spacing w:val="-16"/>
        </w:rPr>
        <w:t xml:space="preserve">： </w:t>
      </w:r>
      <w:r>
        <w:t>日期：</w:t>
      </w:r>
    </w:p>
    <w:p>
      <w:pPr>
        <w:spacing w:line="484" w:lineRule="auto"/>
        <w:sectPr>
          <w:pgSz w:w="11910" w:h="16840"/>
          <w:pgMar w:top="1080" w:right="720" w:bottom="1380" w:left="720" w:header="0" w:footer="1200" w:gutter="0"/>
          <w:pgNumType w:fmt="decimal"/>
          <w:cols w:space="720" w:num="1"/>
        </w:sectPr>
      </w:pPr>
    </w:p>
    <w:p>
      <w:pPr>
        <w:spacing w:before="38"/>
        <w:ind w:left="412"/>
        <w:rPr>
          <w:b/>
          <w:sz w:val="24"/>
        </w:rPr>
      </w:pPr>
      <w:r>
        <w:rPr>
          <w:b/>
          <w:sz w:val="24"/>
        </w:rPr>
        <w:t>说明：</w:t>
      </w:r>
    </w:p>
    <w:p>
      <w:pPr>
        <w:numPr>
          <w:ilvl w:val="1"/>
          <w:numId w:val="97"/>
        </w:numPr>
        <w:tabs>
          <w:tab w:val="left" w:pos="960"/>
        </w:tabs>
        <w:spacing w:before="157"/>
        <w:rPr>
          <w:b/>
          <w:sz w:val="21"/>
        </w:rPr>
      </w:pPr>
      <w:r>
        <w:rPr>
          <w:b/>
          <w:sz w:val="21"/>
        </w:rPr>
        <w:t>供应商提出质疑时，应提交质疑函和必要的证明材料。</w:t>
      </w:r>
    </w:p>
    <w:p>
      <w:pPr>
        <w:pStyle w:val="19"/>
        <w:spacing w:before="6"/>
        <w:rPr>
          <w:b/>
        </w:rPr>
      </w:pPr>
    </w:p>
    <w:p>
      <w:pPr>
        <w:numPr>
          <w:ilvl w:val="1"/>
          <w:numId w:val="97"/>
        </w:numPr>
        <w:tabs>
          <w:tab w:val="left" w:pos="960"/>
        </w:tabs>
        <w:spacing w:line="484" w:lineRule="auto"/>
        <w:ind w:left="439" w:right="292" w:firstLine="309"/>
        <w:rPr>
          <w:b/>
          <w:sz w:val="21"/>
        </w:rPr>
      </w:pPr>
      <w:r>
        <w:rPr>
          <w:b/>
          <w:sz w:val="21"/>
        </w:rPr>
        <w:t>质疑供应商若委托代理人进行质疑的，质疑函应按要求列明“授权代表”的有关内容，并在附件中提交由质疑供应商签署的授权委托书。授权委托书应载明代理人的姓名或者名称、代理事项、具体权限、期限和相关事项。</w:t>
      </w:r>
    </w:p>
    <w:p>
      <w:pPr>
        <w:numPr>
          <w:ilvl w:val="1"/>
          <w:numId w:val="97"/>
        </w:numPr>
        <w:tabs>
          <w:tab w:val="left" w:pos="960"/>
        </w:tabs>
        <w:spacing w:before="4"/>
        <w:rPr>
          <w:b/>
          <w:sz w:val="21"/>
        </w:rPr>
      </w:pPr>
      <w:r>
        <w:rPr>
          <w:b/>
          <w:sz w:val="21"/>
        </w:rPr>
        <w:t>质疑函的质疑事项应具体、明确，并有必要的事实依据和法律依据。</w:t>
      </w:r>
    </w:p>
    <w:p>
      <w:pPr>
        <w:pStyle w:val="19"/>
        <w:spacing w:before="7"/>
        <w:rPr>
          <w:b/>
        </w:rPr>
      </w:pPr>
    </w:p>
    <w:p>
      <w:pPr>
        <w:numPr>
          <w:ilvl w:val="1"/>
          <w:numId w:val="97"/>
        </w:numPr>
        <w:tabs>
          <w:tab w:val="left" w:pos="960"/>
        </w:tabs>
        <w:rPr>
          <w:b/>
          <w:sz w:val="21"/>
        </w:rPr>
      </w:pPr>
      <w:r>
        <w:rPr>
          <w:b/>
          <w:sz w:val="21"/>
        </w:rPr>
        <w:t>质疑函的质疑请求应与质疑事项相关。</w:t>
      </w:r>
    </w:p>
    <w:p>
      <w:pPr>
        <w:pStyle w:val="19"/>
        <w:spacing w:before="7"/>
        <w:rPr>
          <w:b/>
        </w:rPr>
      </w:pPr>
    </w:p>
    <w:p>
      <w:pPr>
        <w:numPr>
          <w:ilvl w:val="1"/>
          <w:numId w:val="97"/>
        </w:numPr>
        <w:tabs>
          <w:tab w:val="left" w:pos="960"/>
        </w:tabs>
        <w:spacing w:line="484" w:lineRule="auto"/>
        <w:ind w:left="439" w:right="379" w:firstLine="309"/>
        <w:rPr>
          <w:b/>
          <w:sz w:val="21"/>
        </w:rPr>
      </w:pPr>
      <w:r>
        <w:rPr>
          <w:rFonts w:ascii="宋体" w:hAnsi="宋体" w:eastAsia="宋体" w:cs="宋体"/>
          <w:b/>
          <w:sz w:val="21"/>
        </w:rPr>
        <w:t xml:space="preserve">质疑供应商为法人或者其他组织的，质疑函应由法定代表人、主要负责人，或者其授权代表签字或 </w:t>
      </w:r>
      <w:r>
        <w:rPr>
          <w:b/>
          <w:w w:val="95"/>
          <w:sz w:val="21"/>
        </w:rPr>
        <w:t xml:space="preserve">  </w:t>
      </w:r>
      <w:r>
        <w:rPr>
          <w:b/>
          <w:sz w:val="21"/>
        </w:rPr>
        <w:t>者盖章，并加盖公章。</w:t>
      </w:r>
    </w:p>
    <w:p>
      <w:pPr>
        <w:spacing w:line="484" w:lineRule="auto"/>
        <w:rPr>
          <w:sz w:val="21"/>
        </w:rPr>
        <w:sectPr>
          <w:pgSz w:w="11910" w:h="16840"/>
          <w:pgMar w:top="1080" w:right="720" w:bottom="1380" w:left="720" w:header="0" w:footer="1200" w:gutter="0"/>
          <w:pgNumType w:fmt="decimal"/>
          <w:cols w:space="720" w:num="1"/>
        </w:sectPr>
      </w:pPr>
    </w:p>
    <w:p>
      <w:pPr>
        <w:pStyle w:val="8"/>
        <w:spacing w:before="38"/>
      </w:pPr>
      <w:r>
        <w:t>投诉书（格式）</w:t>
      </w:r>
    </w:p>
    <w:p>
      <w:pPr>
        <w:pStyle w:val="19"/>
        <w:rPr>
          <w:b/>
          <w:sz w:val="11"/>
        </w:rPr>
      </w:pPr>
    </w:p>
    <w:p>
      <w:pPr>
        <w:spacing w:before="70"/>
        <w:ind w:left="832"/>
        <w:rPr>
          <w:b/>
          <w:sz w:val="21"/>
        </w:rPr>
      </w:pPr>
      <w:r>
        <w:rPr>
          <w:b/>
          <w:sz w:val="21"/>
        </w:rPr>
        <w:t>一、投诉相关主体基本情况：</w:t>
      </w:r>
    </w:p>
    <w:p>
      <w:pPr>
        <w:pStyle w:val="19"/>
        <w:spacing w:before="7"/>
        <w:rPr>
          <w:b/>
        </w:rPr>
      </w:pPr>
    </w:p>
    <w:p>
      <w:pPr>
        <w:pStyle w:val="19"/>
        <w:tabs>
          <w:tab w:val="left" w:pos="9283"/>
        </w:tabs>
        <w:ind w:left="832"/>
        <w:rPr>
          <w:rFonts w:ascii="Times New Roman" w:eastAsia="Times New Roman"/>
        </w:rPr>
      </w:pPr>
      <w:r>
        <w:rPr>
          <w:w w:val="95"/>
        </w:rPr>
        <w:t>投标人：</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5872"/>
          <w:tab w:val="left" w:pos="9283"/>
        </w:tabs>
        <w:spacing w:before="76"/>
        <w:ind w:left="832"/>
        <w:rPr>
          <w:rFonts w:ascii="Times New Roman" w:eastAsia="Times New Roman"/>
        </w:rPr>
      </w:pPr>
      <w:r>
        <w:t>地址：</w:t>
      </w:r>
      <w:r>
        <w:rPr>
          <w:u w:val="single"/>
        </w:rPr>
        <w:t xml:space="preserve"> </w:t>
      </w:r>
      <w:r>
        <w:rPr>
          <w:u w:val="single"/>
        </w:rPr>
        <w:tab/>
      </w:r>
      <w:r>
        <w:t>邮编：</w:t>
      </w:r>
      <w:r>
        <w:rPr>
          <w:rFonts w:ascii="Times New Roman" w:eastAsia="Times New Roman"/>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9283"/>
        </w:tabs>
        <w:spacing w:before="76"/>
        <w:ind w:left="832"/>
        <w:rPr>
          <w:rFonts w:ascii="Times New Roman" w:eastAsia="Times New Roman"/>
        </w:rPr>
      </w:pPr>
      <w:r>
        <w:rPr>
          <w:w w:val="95"/>
        </w:rPr>
        <w:t>法定代表人/主要负责人：</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6240"/>
        </w:tabs>
        <w:spacing w:before="77"/>
        <w:ind w:left="832"/>
        <w:rPr>
          <w:rFonts w:ascii="Times New Roman" w:eastAsia="Times New Roman"/>
        </w:rPr>
      </w:pPr>
      <w:r>
        <w:rPr>
          <w:w w:val="95"/>
        </w:rPr>
        <w:t>联系电话：</w:t>
      </w:r>
      <w:r>
        <w:rPr>
          <w:rFonts w:ascii="Times New Roman" w:eastAsia="Times New Roman"/>
          <w:w w:val="95"/>
          <w:u w:val="single"/>
        </w:rPr>
        <w:t xml:space="preserve"> </w:t>
      </w:r>
      <w:r>
        <w:rPr>
          <w:rFonts w:ascii="Times New Roman" w:eastAsia="Times New Roman"/>
          <w:u w:val="single"/>
        </w:rPr>
        <w:tab/>
      </w:r>
    </w:p>
    <w:p>
      <w:pPr>
        <w:pStyle w:val="19"/>
        <w:spacing w:before="1"/>
        <w:rPr>
          <w:rFonts w:ascii="Times New Roman"/>
          <w:sz w:val="17"/>
        </w:rPr>
      </w:pPr>
    </w:p>
    <w:p>
      <w:pPr>
        <w:pStyle w:val="19"/>
        <w:tabs>
          <w:tab w:val="left" w:pos="6189"/>
          <w:tab w:val="left" w:pos="9283"/>
        </w:tabs>
        <w:spacing w:before="76"/>
        <w:ind w:left="832"/>
        <w:rPr>
          <w:rFonts w:ascii="Times New Roman" w:eastAsia="Times New Roman"/>
        </w:rPr>
      </w:pPr>
      <w:r>
        <w:t>授权代表：</w:t>
      </w:r>
      <w:r>
        <w:rPr>
          <w:u w:val="single"/>
        </w:rPr>
        <w:t xml:space="preserve"> </w:t>
      </w:r>
      <w:r>
        <w:rPr>
          <w:u w:val="single"/>
        </w:rPr>
        <w:tab/>
      </w:r>
      <w:r>
        <w:rPr>
          <w:w w:val="95"/>
        </w:rPr>
        <w:t>联系电话：</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3352"/>
          <w:tab w:val="left" w:pos="4980"/>
        </w:tabs>
        <w:spacing w:before="77"/>
        <w:ind w:left="832"/>
        <w:rPr>
          <w:rFonts w:ascii="Times New Roman" w:eastAsia="Times New Roman"/>
        </w:rPr>
      </w:pPr>
      <w:r>
        <w:t>地址：</w:t>
      </w:r>
      <w:r>
        <w:rPr>
          <w:u w:val="single"/>
        </w:rPr>
        <w:t xml:space="preserve"> </w:t>
      </w:r>
      <w:r>
        <w:rPr>
          <w:u w:val="single"/>
        </w:rPr>
        <w:tab/>
      </w:r>
      <w:r>
        <w:t>邮编：</w:t>
      </w:r>
      <w:r>
        <w:rPr>
          <w:rFonts w:ascii="Times New Roman" w:eastAsia="Times New Roman"/>
          <w:u w:val="single"/>
        </w:rPr>
        <w:t xml:space="preserve"> </w:t>
      </w:r>
      <w:r>
        <w:rPr>
          <w:rFonts w:ascii="Times New Roman" w:eastAsia="Times New Roman"/>
          <w:u w:val="single"/>
        </w:rPr>
        <w:tab/>
      </w:r>
    </w:p>
    <w:p>
      <w:pPr>
        <w:pStyle w:val="19"/>
        <w:spacing w:before="1"/>
        <w:rPr>
          <w:rFonts w:ascii="Times New Roman"/>
          <w:sz w:val="18"/>
        </w:rPr>
      </w:pPr>
    </w:p>
    <w:p>
      <w:pPr>
        <w:pStyle w:val="19"/>
        <w:spacing w:before="70"/>
        <w:ind w:left="832"/>
      </w:pPr>
      <w:r>
        <w:t>被投诉人 1：</w:t>
      </w:r>
    </w:p>
    <w:p>
      <w:pPr>
        <w:pStyle w:val="19"/>
        <w:spacing w:before="6"/>
      </w:pPr>
    </w:p>
    <w:p>
      <w:pPr>
        <w:pStyle w:val="19"/>
        <w:tabs>
          <w:tab w:val="left" w:pos="3352"/>
          <w:tab w:val="left" w:pos="4980"/>
        </w:tabs>
        <w:spacing w:before="1"/>
        <w:ind w:left="832"/>
        <w:rPr>
          <w:rFonts w:ascii="Times New Roman" w:eastAsia="Times New Roman"/>
        </w:rPr>
      </w:pPr>
      <w:r>
        <w:t>地址：</w:t>
      </w:r>
      <w:r>
        <w:rPr>
          <w:u w:val="single"/>
        </w:rPr>
        <w:t xml:space="preserve"> </w:t>
      </w:r>
      <w:r>
        <w:rPr>
          <w:u w:val="single"/>
        </w:rPr>
        <w:tab/>
      </w:r>
      <w:r>
        <w:t>邮编：</w:t>
      </w:r>
      <w:r>
        <w:rPr>
          <w:rFonts w:ascii="Times New Roman" w:eastAsia="Times New Roman"/>
          <w:u w:val="single"/>
        </w:rPr>
        <w:t xml:space="preserve"> </w:t>
      </w:r>
      <w:r>
        <w:rPr>
          <w:rFonts w:ascii="Times New Roman" w:eastAsia="Times New Roman"/>
          <w:u w:val="single"/>
        </w:rPr>
        <w:tab/>
      </w:r>
    </w:p>
    <w:p>
      <w:pPr>
        <w:pStyle w:val="19"/>
        <w:spacing w:before="1"/>
        <w:rPr>
          <w:rFonts w:ascii="Times New Roman"/>
          <w:sz w:val="17"/>
        </w:rPr>
      </w:pPr>
    </w:p>
    <w:p>
      <w:pPr>
        <w:pStyle w:val="19"/>
        <w:tabs>
          <w:tab w:val="left" w:pos="5243"/>
          <w:tab w:val="left" w:pos="8023"/>
        </w:tabs>
        <w:spacing w:before="76"/>
        <w:ind w:left="832"/>
        <w:rPr>
          <w:rFonts w:ascii="Times New Roman" w:eastAsia="Times New Roman"/>
        </w:rPr>
      </w:pPr>
      <w:r>
        <w:t>联系人：</w:t>
      </w:r>
      <w:r>
        <w:rPr>
          <w:u w:val="single"/>
        </w:rPr>
        <w:t xml:space="preserve"> </w:t>
      </w:r>
      <w:r>
        <w:rPr>
          <w:u w:val="single"/>
        </w:rPr>
        <w:tab/>
      </w:r>
      <w:r>
        <w:rPr>
          <w:w w:val="95"/>
        </w:rPr>
        <w:t>联系电话：</w:t>
      </w:r>
      <w:r>
        <w:rPr>
          <w:rFonts w:ascii="Times New Roman" w:eastAsia="Times New Roman"/>
          <w:w w:val="95"/>
          <w:u w:val="single"/>
        </w:rPr>
        <w:t xml:space="preserve"> </w:t>
      </w:r>
      <w:r>
        <w:rPr>
          <w:rFonts w:ascii="Times New Roman" w:eastAsia="Times New Roman"/>
          <w:u w:val="single"/>
        </w:rPr>
        <w:tab/>
      </w:r>
    </w:p>
    <w:p>
      <w:pPr>
        <w:pStyle w:val="19"/>
        <w:spacing w:before="11"/>
        <w:rPr>
          <w:rFonts w:ascii="Times New Roman"/>
          <w:sz w:val="17"/>
        </w:rPr>
      </w:pPr>
    </w:p>
    <w:p>
      <w:pPr>
        <w:pStyle w:val="19"/>
        <w:spacing w:before="70"/>
        <w:ind w:left="832"/>
      </w:pPr>
      <w:r>
        <w:t>被投诉人 2：</w:t>
      </w:r>
    </w:p>
    <w:p>
      <w:pPr>
        <w:pStyle w:val="19"/>
        <w:spacing w:before="6"/>
      </w:pPr>
    </w:p>
    <w:p>
      <w:pPr>
        <w:pStyle w:val="19"/>
        <w:ind w:left="832"/>
      </w:pPr>
      <w:r>
        <w:t>……</w:t>
      </w:r>
    </w:p>
    <w:p>
      <w:pPr>
        <w:pStyle w:val="19"/>
        <w:spacing w:before="7"/>
      </w:pPr>
    </w:p>
    <w:p>
      <w:pPr>
        <w:pStyle w:val="19"/>
        <w:tabs>
          <w:tab w:val="left" w:pos="9600"/>
        </w:tabs>
        <w:ind w:left="832"/>
        <w:rPr>
          <w:rFonts w:ascii="Times New Roman" w:eastAsia="Times New Roman"/>
        </w:rPr>
      </w:pPr>
      <w:r>
        <w:rPr>
          <w:w w:val="95"/>
        </w:rPr>
        <w:t>相关供应商：</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5243"/>
          <w:tab w:val="left" w:pos="8549"/>
        </w:tabs>
        <w:spacing w:before="76"/>
        <w:ind w:left="832"/>
        <w:rPr>
          <w:rFonts w:ascii="Times New Roman" w:eastAsia="Times New Roman"/>
        </w:rPr>
      </w:pPr>
      <w:r>
        <w:t>地址：</w:t>
      </w:r>
      <w:r>
        <w:rPr>
          <w:u w:val="single"/>
        </w:rPr>
        <w:t xml:space="preserve"> </w:t>
      </w:r>
      <w:r>
        <w:rPr>
          <w:u w:val="single"/>
        </w:rPr>
        <w:tab/>
      </w:r>
      <w:r>
        <w:rPr>
          <w:w w:val="95"/>
        </w:rPr>
        <w:t>邮编：</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5243"/>
          <w:tab w:val="left" w:pos="8549"/>
        </w:tabs>
        <w:spacing w:before="76"/>
        <w:ind w:left="832"/>
        <w:rPr>
          <w:rFonts w:ascii="Times New Roman" w:eastAsia="Times New Roman"/>
        </w:rPr>
      </w:pPr>
      <w:r>
        <w:t>联系人：</w:t>
      </w:r>
      <w:r>
        <w:rPr>
          <w:u w:val="single"/>
        </w:rPr>
        <w:t xml:space="preserve"> </w:t>
      </w:r>
      <w:r>
        <w:rPr>
          <w:u w:val="single"/>
        </w:rPr>
        <w:tab/>
      </w:r>
      <w:r>
        <w:rPr>
          <w:w w:val="95"/>
        </w:rPr>
        <w:t>联系电话：</w:t>
      </w:r>
      <w:r>
        <w:rPr>
          <w:rFonts w:ascii="Times New Roman" w:eastAsia="Times New Roman"/>
          <w:w w:val="95"/>
          <w:u w:val="single"/>
        </w:rPr>
        <w:t xml:space="preserve"> </w:t>
      </w:r>
      <w:r>
        <w:rPr>
          <w:rFonts w:ascii="Times New Roman" w:eastAsia="Times New Roman"/>
          <w:u w:val="single"/>
        </w:rPr>
        <w:tab/>
      </w:r>
    </w:p>
    <w:p>
      <w:pPr>
        <w:pStyle w:val="19"/>
        <w:spacing w:before="11"/>
        <w:rPr>
          <w:rFonts w:ascii="Times New Roman"/>
          <w:sz w:val="17"/>
        </w:rPr>
      </w:pPr>
    </w:p>
    <w:p>
      <w:pPr>
        <w:spacing w:before="70"/>
        <w:ind w:left="832"/>
        <w:rPr>
          <w:b/>
          <w:sz w:val="21"/>
        </w:rPr>
      </w:pPr>
      <w:r>
        <w:rPr>
          <w:b/>
          <w:sz w:val="21"/>
        </w:rPr>
        <w:t>二、投诉项目基本情况：</w:t>
      </w:r>
    </w:p>
    <w:p>
      <w:pPr>
        <w:pStyle w:val="19"/>
        <w:spacing w:before="6"/>
        <w:rPr>
          <w:b/>
        </w:rPr>
      </w:pPr>
    </w:p>
    <w:p>
      <w:pPr>
        <w:pStyle w:val="19"/>
        <w:tabs>
          <w:tab w:val="left" w:pos="9619"/>
        </w:tabs>
        <w:ind w:left="851"/>
        <w:rPr>
          <w:rFonts w:ascii="Times New Roman" w:eastAsia="Times New Roman"/>
        </w:rPr>
      </w:pPr>
      <w:r>
        <w:rPr>
          <w:w w:val="95"/>
        </w:rPr>
        <w:t>采购项目的名称：</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6994"/>
        </w:tabs>
        <w:spacing w:before="77"/>
        <w:ind w:left="851"/>
        <w:rPr>
          <w:rFonts w:ascii="Times New Roman" w:eastAsia="Times New Roman"/>
        </w:rPr>
      </w:pPr>
      <w:r>
        <w:rPr>
          <w:w w:val="95"/>
        </w:rPr>
        <w:t>采购项目的编号：</w:t>
      </w:r>
      <w:r>
        <w:rPr>
          <w:rFonts w:ascii="Times New Roman" w:eastAsia="Times New Roman"/>
          <w:w w:val="95"/>
          <w:u w:val="single"/>
        </w:rPr>
        <w:t xml:space="preserve"> </w:t>
      </w:r>
      <w:r>
        <w:rPr>
          <w:rFonts w:ascii="Times New Roman" w:eastAsia="Times New Roman"/>
          <w:u w:val="single"/>
        </w:rPr>
        <w:tab/>
      </w:r>
    </w:p>
    <w:p>
      <w:pPr>
        <w:pStyle w:val="19"/>
        <w:spacing w:before="3"/>
        <w:rPr>
          <w:rFonts w:ascii="Times New Roman"/>
          <w:sz w:val="17"/>
        </w:rPr>
      </w:pPr>
    </w:p>
    <w:p>
      <w:pPr>
        <w:pStyle w:val="19"/>
        <w:tabs>
          <w:tab w:val="left" w:pos="9723"/>
        </w:tabs>
        <w:spacing w:before="77"/>
        <w:ind w:left="851"/>
        <w:rPr>
          <w:rFonts w:ascii="Times New Roman" w:eastAsia="Times New Roman"/>
        </w:rPr>
      </w:pPr>
      <w:r>
        <w:rPr>
          <w:w w:val="95"/>
        </w:rPr>
        <w:t>采购人名称：</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9723"/>
        </w:tabs>
        <w:spacing w:before="76"/>
        <w:ind w:left="851"/>
        <w:rPr>
          <w:rFonts w:ascii="Times New Roman" w:eastAsia="Times New Roman"/>
        </w:rPr>
      </w:pPr>
      <w:r>
        <w:rPr>
          <w:w w:val="95"/>
        </w:rPr>
        <w:t>代理机构名称：</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9723"/>
        </w:tabs>
        <w:spacing w:before="76"/>
        <w:ind w:left="851"/>
        <w:rPr>
          <w:rFonts w:ascii="Times New Roman" w:eastAsia="Times New Roman"/>
        </w:rPr>
      </w:pPr>
      <w:r>
        <w:rPr>
          <w:w w:val="95"/>
        </w:rPr>
        <w:t>招标文件公告：</w:t>
      </w:r>
      <w:r>
        <w:rPr>
          <w:w w:val="95"/>
          <w:u w:val="single"/>
        </w:rPr>
        <w:t>是/否</w:t>
      </w:r>
      <w:r>
        <w:rPr>
          <w:w w:val="95"/>
        </w:rPr>
        <w:t>公告期限：</w:t>
      </w:r>
      <w:r>
        <w:rPr>
          <w:rFonts w:ascii="Times New Roman" w:eastAsia="Times New Roman"/>
          <w:w w:val="95"/>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9723"/>
        </w:tabs>
        <w:spacing w:before="77"/>
        <w:ind w:left="851"/>
        <w:rPr>
          <w:rFonts w:ascii="Times New Roman" w:eastAsia="Times New Roman"/>
        </w:rPr>
      </w:pPr>
      <w:r>
        <w:rPr>
          <w:w w:val="95"/>
        </w:rPr>
        <w:t>采购结果公告：</w:t>
      </w:r>
      <w:r>
        <w:rPr>
          <w:w w:val="95"/>
          <w:u w:val="single"/>
        </w:rPr>
        <w:t>是/否</w:t>
      </w:r>
      <w:r>
        <w:rPr>
          <w:w w:val="95"/>
        </w:rPr>
        <w:t>公告期限：</w:t>
      </w:r>
      <w:r>
        <w:rPr>
          <w:rFonts w:ascii="Times New Roman" w:eastAsia="Times New Roman"/>
          <w:w w:val="95"/>
          <w:u w:val="single"/>
        </w:rPr>
        <w:t xml:space="preserve"> </w:t>
      </w:r>
      <w:r>
        <w:rPr>
          <w:rFonts w:ascii="Times New Roman" w:eastAsia="Times New Roman"/>
          <w:u w:val="single"/>
        </w:rPr>
        <w:tab/>
      </w:r>
    </w:p>
    <w:p>
      <w:pPr>
        <w:pStyle w:val="19"/>
        <w:spacing w:before="10"/>
        <w:rPr>
          <w:rFonts w:ascii="Times New Roman"/>
          <w:sz w:val="17"/>
        </w:rPr>
      </w:pPr>
    </w:p>
    <w:p>
      <w:pPr>
        <w:spacing w:before="70"/>
        <w:ind w:left="851"/>
        <w:rPr>
          <w:b/>
          <w:sz w:val="21"/>
        </w:rPr>
      </w:pPr>
      <w:r>
        <w:rPr>
          <w:b/>
          <w:sz w:val="21"/>
        </w:rPr>
        <w:t>三、质疑基本情况</w:t>
      </w:r>
    </w:p>
    <w:p>
      <w:pPr>
        <w:pStyle w:val="19"/>
        <w:spacing w:before="6"/>
        <w:rPr>
          <w:b/>
        </w:rPr>
      </w:pPr>
    </w:p>
    <w:p>
      <w:pPr>
        <w:pStyle w:val="19"/>
        <w:tabs>
          <w:tab w:val="left" w:pos="2743"/>
          <w:tab w:val="left" w:pos="3268"/>
          <w:tab w:val="left" w:pos="3791"/>
          <w:tab w:val="left" w:pos="7783"/>
        </w:tabs>
        <w:spacing w:before="1"/>
        <w:ind w:left="1271"/>
      </w:pPr>
      <w:r>
        <w:t>投诉人于</w:t>
      </w:r>
      <w:r>
        <w:rPr>
          <w:u w:val="single"/>
        </w:rPr>
        <w:t xml:space="preserve"> </w:t>
      </w:r>
      <w:r>
        <w:rPr>
          <w:u w:val="single"/>
        </w:rPr>
        <w:tab/>
      </w:r>
      <w:r>
        <w:t>年</w:t>
      </w:r>
      <w:r>
        <w:rPr>
          <w:u w:val="single"/>
        </w:rPr>
        <w:t xml:space="preserve"> </w:t>
      </w:r>
      <w:r>
        <w:rPr>
          <w:u w:val="single"/>
        </w:rPr>
        <w:tab/>
      </w:r>
      <w:r>
        <w:t>月</w:t>
      </w:r>
      <w:r>
        <w:rPr>
          <w:u w:val="single"/>
        </w:rPr>
        <w:t xml:space="preserve"> </w:t>
      </w:r>
      <w:r>
        <w:rPr>
          <w:u w:val="single"/>
        </w:rPr>
        <w:tab/>
      </w:r>
      <w:r>
        <w:t>日，向</w:t>
      </w:r>
      <w:r>
        <w:rPr>
          <w:u w:val="single"/>
        </w:rPr>
        <w:t xml:space="preserve"> </w:t>
      </w:r>
      <w:r>
        <w:rPr>
          <w:u w:val="single"/>
        </w:rPr>
        <w:tab/>
      </w:r>
      <w:r>
        <w:t>提出质疑，质疑事项为：</w:t>
      </w:r>
    </w:p>
    <w:p>
      <w:pPr>
        <w:sectPr>
          <w:pgSz w:w="11910" w:h="16840"/>
          <w:pgMar w:top="1540" w:right="720" w:bottom="1380" w:left="720" w:header="0" w:footer="1200" w:gutter="0"/>
          <w:pgNumType w:fmt="decimal"/>
          <w:cols w:space="720" w:num="1"/>
        </w:sectPr>
      </w:pPr>
    </w:p>
    <w:p>
      <w:pPr>
        <w:pStyle w:val="19"/>
        <w:spacing w:line="20" w:lineRule="exact"/>
        <w:ind w:left="1070"/>
        <w:rPr>
          <w:sz w:val="2"/>
        </w:rPr>
      </w:pPr>
      <w:r>
        <w:rPr>
          <w:sz w:val="2"/>
        </w:rPr>
        <mc:AlternateContent>
          <mc:Choice Requires="wpg">
            <w:drawing>
              <wp:inline distT="0" distB="0" distL="114300" distR="114300">
                <wp:extent cx="5699760" cy="6350"/>
                <wp:effectExtent l="0" t="0" r="0" b="0"/>
                <wp:docPr id="52" name="组合 48"/>
                <wp:cNvGraphicFramePr/>
                <a:graphic xmlns:a="http://schemas.openxmlformats.org/drawingml/2006/main">
                  <a:graphicData uri="http://schemas.microsoft.com/office/word/2010/wordprocessingGroup">
                    <wpg:wgp>
                      <wpg:cNvGrpSpPr/>
                      <wpg:grpSpPr>
                        <a:xfrm>
                          <a:off x="0" y="0"/>
                          <a:ext cx="5699760" cy="6350"/>
                          <a:chOff x="0" y="0"/>
                          <a:chExt cx="8976" cy="10"/>
                        </a:xfrm>
                      </wpg:grpSpPr>
                      <wps:wsp>
                        <wps:cNvPr id="78" name="直线 49"/>
                        <wps:cNvCnPr/>
                        <wps:spPr>
                          <a:xfrm>
                            <a:off x="0" y="5"/>
                            <a:ext cx="8976" cy="0"/>
                          </a:xfrm>
                          <a:prstGeom prst="line">
                            <a:avLst/>
                          </a:prstGeom>
                          <a:ln w="6096" cap="flat" cmpd="sng">
                            <a:solidFill>
                              <a:srgbClr val="000000"/>
                            </a:solidFill>
                            <a:prstDash val="solid"/>
                            <a:headEnd type="none" w="med" len="med"/>
                            <a:tailEnd type="none" w="med" len="med"/>
                          </a:ln>
                        </wps:spPr>
                        <wps:bodyPr/>
                      </wps:wsp>
                    </wpg:wgp>
                  </a:graphicData>
                </a:graphic>
              </wp:inline>
            </w:drawing>
          </mc:Choice>
          <mc:Fallback>
            <w:pict>
              <v:group id="组合 48" o:spid="_x0000_s1026" o:spt="203" style="height:0.5pt;width:448.8pt;" coordsize="8976,10" o:gfxdata="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FW8ZzNQAAAADAQAADwAAAAAAAAABACAAAAAi&#10;AAAAZHJzL2Rvd25yZXYueG1sUEsBAhQAFAAAAAgAh07iQF6BQ/5HAgAA9gQAAA4AAAAAAAAAAQAg&#10;AAAAIwEAAGRycy9lMm9Eb2MueG1sUEsFBgAAAAAGAAYAWQEAANwFAAAAAA==&#10;">
                <o:lock v:ext="edit" aspectratio="f"/>
                <v:line id="直线 49" o:spid="_x0000_s1026" o:spt="20" style="position:absolute;left:0;top:5;height:0;width:8976;" filled="f" stroked="t" coordsize="21600,21600" o:gfxdata="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BFksbgAAADbAAAA&#10;DwAAAAAAAAABACAAAAAiAAAAZHJzL2Rvd25yZXYueG1sUEsBAhQAFAAAAAgAh07iQDMvBZ47AAAA&#10;OQAAABAAAAAAAAAAAQAgAAAABwEAAGRycy9zaGFwZXhtbC54bWxQSwUGAAAAAAYABgBbAQAAsQMA&#10;AAAA&#10;">
                  <v:fill on="f" focussize="0,0"/>
                  <v:stroke weight="0.48pt" color="#000000" joinstyle="round"/>
                  <v:imagedata o:title=""/>
                  <o:lock v:ext="edit" aspectratio="f"/>
                </v:line>
                <w10:wrap type="none"/>
                <w10:anchorlock/>
              </v:group>
            </w:pict>
          </mc:Fallback>
        </mc:AlternateContent>
      </w:r>
    </w:p>
    <w:p>
      <w:pPr>
        <w:pStyle w:val="19"/>
        <w:rPr>
          <w:sz w:val="20"/>
        </w:rPr>
      </w:pPr>
    </w:p>
    <w:p>
      <w:pPr>
        <w:pStyle w:val="19"/>
        <w:spacing w:before="3"/>
        <w:rPr>
          <w:sz w:val="18"/>
        </w:rPr>
      </w:pPr>
      <w:r>
        <mc:AlternateContent>
          <mc:Choice Requires="wps">
            <w:drawing>
              <wp:anchor distT="0" distB="0" distL="0" distR="0" simplePos="0" relativeHeight="251671552" behindDoc="1" locked="0" layoutInCell="1" allowOverlap="1">
                <wp:simplePos x="0" y="0"/>
                <wp:positionH relativeFrom="page">
                  <wp:posOffset>1139825</wp:posOffset>
                </wp:positionH>
                <wp:positionV relativeFrom="paragraph">
                  <wp:posOffset>175895</wp:posOffset>
                </wp:positionV>
                <wp:extent cx="5699760" cy="0"/>
                <wp:effectExtent l="0" t="0" r="0" b="0"/>
                <wp:wrapTopAndBottom/>
                <wp:docPr id="1" name="直线 50"/>
                <wp:cNvGraphicFramePr/>
                <a:graphic xmlns:a="http://schemas.openxmlformats.org/drawingml/2006/main">
                  <a:graphicData uri="http://schemas.microsoft.com/office/word/2010/wordprocessingShape">
                    <wps:wsp>
                      <wps:cNvCnPr/>
                      <wps:spPr>
                        <a:xfrm>
                          <a:off x="0" y="0"/>
                          <a:ext cx="5699760" cy="0"/>
                        </a:xfrm>
                        <a:prstGeom prst="line">
                          <a:avLst/>
                        </a:prstGeom>
                        <a:ln w="6096" cap="flat" cmpd="sng">
                          <a:solidFill>
                            <a:srgbClr val="000000"/>
                          </a:solidFill>
                          <a:prstDash val="solid"/>
                          <a:headEnd type="none" w="med" len="med"/>
                          <a:tailEnd type="none" w="med" len="med"/>
                        </a:ln>
                      </wps:spPr>
                      <wps:bodyPr/>
                    </wps:wsp>
                  </a:graphicData>
                </a:graphic>
              </wp:anchor>
            </w:drawing>
          </mc:Choice>
          <mc:Fallback>
            <w:pict>
              <v:line id="直线 50" o:spid="_x0000_s1026" o:spt="20" style="position:absolute;left:0pt;margin-left:89.75pt;margin-top:13.85pt;height:0pt;width:448.8pt;mso-position-horizontal-relative:page;mso-wrap-distance-bottom:0pt;mso-wrap-distance-top:0pt;z-index:-251644928;mso-width-relative:page;mso-height-relative:page;" filled="f" stroked="t" coordsize="21600,21600" o:gfxdata="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OJ9xjrXAAAACgEAAA8A&#10;AAAAAAAAAQAgAAAAIgAAAGRycy9kb3ducmV2LnhtbFBLAQIUABQAAAAIAIdO4kDjct5o3wEAANAD&#10;AAAOAAAAAAAAAAEAIAAAACYBAABkcnMvZTJvRG9jLnhtbFBLBQYAAAAABgAGAFkBAAB3BQAAAAA=&#10;">
                <v:fill on="f" focussize="0,0"/>
                <v:stroke weight="0.48pt" color="#000000" joinstyle="round"/>
                <v:imagedata o:title=""/>
                <o:lock v:ext="edit" aspectratio="f"/>
                <w10:wrap type="topAndBottom"/>
              </v:line>
            </w:pict>
          </mc:Fallback>
        </mc:AlternateContent>
      </w:r>
    </w:p>
    <w:p>
      <w:pPr>
        <w:pStyle w:val="19"/>
        <w:spacing w:before="10"/>
        <w:rPr>
          <w:sz w:val="15"/>
        </w:rPr>
      </w:pPr>
    </w:p>
    <w:p>
      <w:pPr>
        <w:pStyle w:val="19"/>
        <w:tabs>
          <w:tab w:val="left" w:pos="3959"/>
          <w:tab w:val="left" w:pos="4499"/>
          <w:tab w:val="left" w:pos="5037"/>
        </w:tabs>
        <w:spacing w:before="76"/>
        <w:ind w:left="1495"/>
      </w:pPr>
      <w:r>
        <w:rPr>
          <w:spacing w:val="4"/>
          <w:u w:val="single"/>
        </w:rPr>
        <w:t>采购人</w:t>
      </w:r>
      <w:r>
        <w:rPr>
          <w:spacing w:val="3"/>
          <w:u w:val="single"/>
        </w:rPr>
        <w:t>/</w:t>
      </w:r>
      <w:r>
        <w:rPr>
          <w:spacing w:val="4"/>
          <w:u w:val="single"/>
        </w:rPr>
        <w:t>代理机</w:t>
      </w:r>
      <w:r>
        <w:rPr>
          <w:u w:val="single"/>
        </w:rPr>
        <w:t>构</w:t>
      </w:r>
      <w:r>
        <w:rPr>
          <w:spacing w:val="4"/>
        </w:rPr>
        <w:t>于</w:t>
      </w:r>
      <w:r>
        <w:rPr>
          <w:spacing w:val="4"/>
          <w:u w:val="single"/>
        </w:rPr>
        <w:t xml:space="preserve"> </w:t>
      </w:r>
      <w:r>
        <w:rPr>
          <w:spacing w:val="4"/>
          <w:u w:val="single"/>
        </w:rPr>
        <w:tab/>
      </w:r>
      <w:r>
        <w:rPr>
          <w:spacing w:val="4"/>
        </w:rPr>
        <w:t>年</w:t>
      </w:r>
      <w:r>
        <w:rPr>
          <w:spacing w:val="4"/>
          <w:u w:val="single"/>
        </w:rPr>
        <w:t xml:space="preserve"> </w:t>
      </w:r>
      <w:r>
        <w:rPr>
          <w:spacing w:val="4"/>
          <w:u w:val="single"/>
        </w:rPr>
        <w:tab/>
      </w:r>
      <w:r>
        <w:rPr>
          <w:spacing w:val="4"/>
        </w:rPr>
        <w:t>月</w:t>
      </w:r>
      <w:r>
        <w:rPr>
          <w:spacing w:val="4"/>
          <w:u w:val="single"/>
        </w:rPr>
        <w:t xml:space="preserve"> </w:t>
      </w:r>
      <w:r>
        <w:rPr>
          <w:spacing w:val="4"/>
          <w:u w:val="single"/>
        </w:rPr>
        <w:tab/>
      </w:r>
      <w:r>
        <w:rPr>
          <w:spacing w:val="4"/>
        </w:rPr>
        <w:t>日，就质疑事项作</w:t>
      </w:r>
      <w:r>
        <w:t>出</w:t>
      </w:r>
      <w:r>
        <w:rPr>
          <w:spacing w:val="4"/>
        </w:rPr>
        <w:t>了答复</w:t>
      </w:r>
      <w:r>
        <w:rPr>
          <w:spacing w:val="3"/>
        </w:rPr>
        <w:t>/</w:t>
      </w:r>
      <w:r>
        <w:rPr>
          <w:spacing w:val="4"/>
        </w:rPr>
        <w:t>没有在法定期</w:t>
      </w:r>
      <w:r>
        <w:t>限</w:t>
      </w:r>
      <w:r>
        <w:rPr>
          <w:spacing w:val="4"/>
        </w:rPr>
        <w:t>内作出</w:t>
      </w:r>
      <w:r>
        <w:t>答</w:t>
      </w:r>
    </w:p>
    <w:p>
      <w:pPr>
        <w:pStyle w:val="19"/>
        <w:spacing w:before="1"/>
        <w:rPr>
          <w:sz w:val="16"/>
        </w:rPr>
      </w:pPr>
    </w:p>
    <w:p>
      <w:pPr>
        <w:pStyle w:val="19"/>
        <w:spacing w:before="70"/>
        <w:ind w:left="412"/>
      </w:pPr>
      <w:r>
        <w:t>复。</w:t>
      </w:r>
    </w:p>
    <w:p>
      <w:pPr>
        <w:pStyle w:val="19"/>
        <w:spacing w:before="11"/>
        <w:rPr>
          <w:sz w:val="15"/>
        </w:rPr>
      </w:pPr>
    </w:p>
    <w:p>
      <w:pPr>
        <w:spacing w:before="70"/>
        <w:ind w:left="851"/>
        <w:rPr>
          <w:b/>
          <w:sz w:val="21"/>
        </w:rPr>
      </w:pPr>
      <w:r>
        <w:rPr>
          <w:b/>
          <w:sz w:val="21"/>
        </w:rPr>
        <w:t>四、投诉事项具体内容</w:t>
      </w:r>
    </w:p>
    <w:p>
      <w:pPr>
        <w:pStyle w:val="19"/>
        <w:spacing w:before="9"/>
        <w:rPr>
          <w:b/>
        </w:rPr>
      </w:pPr>
    </w:p>
    <w:p>
      <w:pPr>
        <w:pStyle w:val="19"/>
        <w:tabs>
          <w:tab w:val="left" w:pos="9987"/>
        </w:tabs>
        <w:ind w:left="851"/>
        <w:rPr>
          <w:rFonts w:ascii="Times New Roman" w:eastAsia="Times New Roman"/>
        </w:rPr>
      </w:pPr>
      <w:r>
        <w:t>投诉事项</w:t>
      </w:r>
      <w:r>
        <w:rPr>
          <w:spacing w:val="-56"/>
        </w:rPr>
        <w:t xml:space="preserve"> </w:t>
      </w:r>
      <w:r>
        <w:t>1：</w:t>
      </w:r>
      <w:r>
        <w:rPr>
          <w:rFonts w:ascii="Times New Roman" w:eastAsia="Times New Roman"/>
          <w:u w:val="single"/>
        </w:rPr>
        <w:t xml:space="preserve"> </w:t>
      </w:r>
      <w:r>
        <w:rPr>
          <w:rFonts w:ascii="Times New Roman" w:eastAsia="Times New Roman"/>
          <w:u w:val="single"/>
        </w:rPr>
        <w:tab/>
      </w:r>
    </w:p>
    <w:p>
      <w:pPr>
        <w:pStyle w:val="19"/>
        <w:spacing w:before="4"/>
        <w:rPr>
          <w:rFonts w:ascii="Times New Roman"/>
          <w:sz w:val="17"/>
        </w:rPr>
      </w:pPr>
    </w:p>
    <w:p>
      <w:pPr>
        <w:pStyle w:val="19"/>
        <w:tabs>
          <w:tab w:val="left" w:pos="10102"/>
        </w:tabs>
        <w:spacing w:before="76"/>
        <w:ind w:left="832"/>
        <w:rPr>
          <w:rFonts w:ascii="Times New Roman" w:eastAsia="Times New Roman"/>
        </w:rPr>
      </w:pPr>
      <w:r>
        <w:rPr>
          <w:w w:val="95"/>
        </w:rPr>
        <w:t>事实依据：</w:t>
      </w:r>
      <w:r>
        <w:rPr>
          <w:spacing w:val="2"/>
        </w:rPr>
        <w:t xml:space="preserve"> </w:t>
      </w:r>
      <w:r>
        <w:rPr>
          <w:rFonts w:ascii="Times New Roman" w:eastAsia="Times New Roman"/>
          <w:w w:val="99"/>
          <w:u w:val="single"/>
        </w:rPr>
        <w:t xml:space="preserve"> </w:t>
      </w:r>
      <w:r>
        <w:rPr>
          <w:rFonts w:ascii="Times New Roman" w:eastAsia="Times New Roman"/>
          <w:u w:val="single"/>
        </w:rPr>
        <w:tab/>
      </w:r>
    </w:p>
    <w:p>
      <w:pPr>
        <w:pStyle w:val="19"/>
        <w:rPr>
          <w:rFonts w:ascii="Times New Roman"/>
          <w:sz w:val="20"/>
        </w:rPr>
      </w:pPr>
    </w:p>
    <w:p>
      <w:pPr>
        <w:pStyle w:val="19"/>
        <w:spacing w:before="4"/>
        <w:rPr>
          <w:rFonts w:ascii="Times New Roman"/>
          <w:sz w:val="17"/>
        </w:rPr>
      </w:pPr>
      <w:r>
        <mc:AlternateContent>
          <mc:Choice Requires="wps">
            <w:drawing>
              <wp:anchor distT="0" distB="0" distL="0" distR="0" simplePos="0" relativeHeight="251672576" behindDoc="1" locked="0" layoutInCell="1" allowOverlap="1">
                <wp:simplePos x="0" y="0"/>
                <wp:positionH relativeFrom="page">
                  <wp:posOffset>997585</wp:posOffset>
                </wp:positionH>
                <wp:positionV relativeFrom="paragraph">
                  <wp:posOffset>176530</wp:posOffset>
                </wp:positionV>
                <wp:extent cx="5841365" cy="0"/>
                <wp:effectExtent l="0" t="0" r="0" b="0"/>
                <wp:wrapTopAndBottom/>
                <wp:docPr id="77" name="直线 51"/>
                <wp:cNvGraphicFramePr/>
                <a:graphic xmlns:a="http://schemas.openxmlformats.org/drawingml/2006/main">
                  <a:graphicData uri="http://schemas.microsoft.com/office/word/2010/wordprocessingShape">
                    <wps:wsp>
                      <wps:cNvCnPr/>
                      <wps:spPr>
                        <a:xfrm>
                          <a:off x="0" y="0"/>
                          <a:ext cx="5841365" cy="0"/>
                        </a:xfrm>
                        <a:prstGeom prst="line">
                          <a:avLst/>
                        </a:prstGeom>
                        <a:ln w="6096" cap="flat" cmpd="sng">
                          <a:solidFill>
                            <a:srgbClr val="000000"/>
                          </a:solidFill>
                          <a:prstDash val="solid"/>
                          <a:headEnd type="none" w="med" len="med"/>
                          <a:tailEnd type="none" w="med" len="med"/>
                        </a:ln>
                      </wps:spPr>
                      <wps:bodyPr/>
                    </wps:wsp>
                  </a:graphicData>
                </a:graphic>
              </wp:anchor>
            </w:drawing>
          </mc:Choice>
          <mc:Fallback>
            <w:pict>
              <v:line id="直线 51" o:spid="_x0000_s1026" o:spt="20" style="position:absolute;left:0pt;margin-left:78.55pt;margin-top:13.9pt;height:0pt;width:459.95pt;mso-position-horizontal-relative:page;mso-wrap-distance-bottom:0pt;mso-wrap-distance-top:0pt;z-index:-251643904;mso-width-relative:page;mso-height-relative:page;" filled="f" stroked="t" coordsize="21600,21600" o:gfxdata="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EBhJd1wAAAAoB&#10;AAAPAAAAAAAAAAEAIAAAACIAAABkcnMvZG93bnJldi54bWxQSwECFAAUAAAACACHTuJA8l0DguMB&#10;AADRAwAADgAAAAAAAAABACAAAAAmAQAAZHJzL2Uyb0RvYy54bWxQSwUGAAAAAAYABgBZAQAAewUA&#10;AAAA&#10;">
                <v:fill on="f" focussize="0,0"/>
                <v:stroke weight="0.48pt" color="#000000" joinstyle="round"/>
                <v:imagedata o:title=""/>
                <o:lock v:ext="edit" aspectratio="f"/>
                <w10:wrap type="topAndBottom"/>
              </v:line>
            </w:pict>
          </mc:Fallback>
        </mc:AlternateContent>
      </w:r>
    </w:p>
    <w:p>
      <w:pPr>
        <w:pStyle w:val="19"/>
        <w:tabs>
          <w:tab w:val="left" w:pos="10102"/>
        </w:tabs>
        <w:spacing w:before="76"/>
        <w:ind w:left="832"/>
        <w:rPr>
          <w:rFonts w:ascii="Times New Roman" w:eastAsia="Times New Roman"/>
        </w:rPr>
      </w:pPr>
      <w:r>
        <w:rPr>
          <w:w w:val="95"/>
        </w:rPr>
        <w:t>法律依据：</w:t>
      </w:r>
      <w:r>
        <w:rPr>
          <w:spacing w:val="2"/>
        </w:rPr>
        <w:t xml:space="preserve"> </w:t>
      </w:r>
      <w:r>
        <w:rPr>
          <w:rFonts w:ascii="Times New Roman" w:eastAsia="Times New Roman"/>
          <w:w w:val="99"/>
          <w:u w:val="single"/>
        </w:rPr>
        <w:t xml:space="preserve"> </w:t>
      </w:r>
      <w:r>
        <w:rPr>
          <w:rFonts w:ascii="Times New Roman" w:eastAsia="Times New Roman"/>
          <w:u w:val="single"/>
        </w:rPr>
        <w:tab/>
      </w:r>
    </w:p>
    <w:p>
      <w:pPr>
        <w:pStyle w:val="19"/>
        <w:rPr>
          <w:rFonts w:ascii="Times New Roman"/>
          <w:sz w:val="20"/>
        </w:rPr>
      </w:pPr>
    </w:p>
    <w:p>
      <w:pPr>
        <w:pStyle w:val="19"/>
        <w:spacing w:before="10"/>
        <w:rPr>
          <w:rFonts w:ascii="Times New Roman"/>
          <w:sz w:val="17"/>
        </w:rPr>
      </w:pPr>
    </w:p>
    <w:p>
      <w:pPr>
        <w:pStyle w:val="19"/>
        <w:spacing w:before="70"/>
        <w:ind w:left="851"/>
      </w:pPr>
      <w:r>
        <w:t>投诉事项 2</w:t>
      </w:r>
    </w:p>
    <w:p>
      <w:pPr>
        <w:pStyle w:val="19"/>
        <w:spacing w:before="6"/>
      </w:pPr>
    </w:p>
    <w:p>
      <w:pPr>
        <w:pStyle w:val="19"/>
        <w:ind w:left="851"/>
      </w:pPr>
      <w:r>
        <w:t>……</w:t>
      </w:r>
    </w:p>
    <w:p>
      <w:pPr>
        <w:pStyle w:val="19"/>
        <w:spacing w:before="7"/>
      </w:pPr>
    </w:p>
    <w:p>
      <w:pPr>
        <w:ind w:left="851"/>
        <w:rPr>
          <w:b/>
          <w:sz w:val="21"/>
        </w:rPr>
      </w:pPr>
      <w:r>
        <w:rPr>
          <w:b/>
          <w:sz w:val="21"/>
        </w:rPr>
        <w:t>五、与投诉事项相关的投诉请求：</w:t>
      </w:r>
    </w:p>
    <w:p>
      <w:pPr>
        <w:pStyle w:val="19"/>
        <w:spacing w:before="7"/>
        <w:rPr>
          <w:b/>
        </w:rPr>
      </w:pPr>
    </w:p>
    <w:p>
      <w:pPr>
        <w:pStyle w:val="19"/>
        <w:tabs>
          <w:tab w:val="left" w:pos="10039"/>
        </w:tabs>
        <w:ind w:left="851"/>
        <w:rPr>
          <w:rFonts w:ascii="Times New Roman" w:eastAsia="Times New Roman"/>
        </w:rPr>
      </w:pPr>
      <w:r>
        <w:t>请求：</w:t>
      </w:r>
      <w:r>
        <w:rPr>
          <w:rFonts w:ascii="Times New Roman" w:eastAsia="Times New Roman"/>
          <w:u w:val="single"/>
        </w:rPr>
        <w:t xml:space="preserve"> </w:t>
      </w:r>
      <w:r>
        <w:rPr>
          <w:rFonts w:ascii="Times New Roman" w:eastAsia="Times New Roman"/>
          <w:u w:val="single"/>
        </w:rPr>
        <w:tab/>
      </w:r>
    </w:p>
    <w:p>
      <w:pPr>
        <w:pStyle w:val="19"/>
        <w:spacing w:before="3"/>
        <w:rPr>
          <w:rFonts w:ascii="Times New Roman"/>
          <w:sz w:val="25"/>
        </w:rPr>
      </w:pPr>
    </w:p>
    <w:p>
      <w:pPr>
        <w:pStyle w:val="19"/>
        <w:tabs>
          <w:tab w:val="left" w:pos="6417"/>
        </w:tabs>
        <w:spacing w:before="70"/>
        <w:ind w:left="851"/>
      </w:pPr>
      <w:r>
        <w:t>签字（签章）：</w:t>
      </w:r>
      <w:r>
        <w:tab/>
      </w:r>
      <w:r>
        <w:t>公章：</w:t>
      </w:r>
    </w:p>
    <w:p>
      <w:pPr>
        <w:pStyle w:val="19"/>
        <w:rPr>
          <w:sz w:val="20"/>
        </w:rPr>
      </w:pPr>
    </w:p>
    <w:p>
      <w:pPr>
        <w:pStyle w:val="19"/>
        <w:rPr>
          <w:sz w:val="24"/>
        </w:rPr>
      </w:pPr>
    </w:p>
    <w:p>
      <w:pPr>
        <w:pStyle w:val="19"/>
        <w:ind w:left="851"/>
        <w:rPr>
          <w:sz w:val="20"/>
        </w:rPr>
      </w:pPr>
      <w:r>
        <w:t>日期：</w:t>
      </w:r>
    </w:p>
    <w:p>
      <w:pPr>
        <w:pStyle w:val="19"/>
        <w:spacing w:before="8"/>
        <w:rPr>
          <w:sz w:val="26"/>
        </w:rPr>
      </w:pPr>
    </w:p>
    <w:p>
      <w:pPr>
        <w:ind w:left="412"/>
        <w:outlineLvl w:val="0"/>
        <w:rPr>
          <w:b/>
          <w:sz w:val="21"/>
        </w:rPr>
      </w:pPr>
      <w:bookmarkStart w:id="38" w:name="_Toc17347"/>
      <w:r>
        <w:rPr>
          <w:b/>
          <w:sz w:val="21"/>
        </w:rPr>
        <w:t>说明：</w:t>
      </w:r>
      <w:bookmarkEnd w:id="38"/>
    </w:p>
    <w:p>
      <w:pPr>
        <w:pStyle w:val="19"/>
        <w:spacing w:before="6"/>
        <w:rPr>
          <w:b/>
        </w:rPr>
      </w:pPr>
    </w:p>
    <w:p>
      <w:pPr>
        <w:numPr>
          <w:ilvl w:val="0"/>
          <w:numId w:val="98"/>
        </w:numPr>
        <w:tabs>
          <w:tab w:val="left" w:pos="960"/>
        </w:tabs>
        <w:spacing w:line="484" w:lineRule="auto"/>
        <w:ind w:right="379" w:firstLine="309"/>
        <w:rPr>
          <w:b/>
          <w:sz w:val="21"/>
        </w:rPr>
      </w:pPr>
      <w:r>
        <w:rPr>
          <w:rFonts w:ascii="宋体" w:hAnsi="宋体" w:eastAsia="宋体" w:cs="宋体"/>
          <w:b/>
          <w:sz w:val="21"/>
        </w:rPr>
        <w:t>投诉人提起投诉时，应当提交投诉书和必要的证明材料，并按照被投诉人和与投诉事项有关的供应</w:t>
      </w:r>
      <w:r>
        <w:rPr>
          <w:b/>
          <w:w w:val="95"/>
          <w:sz w:val="21"/>
        </w:rPr>
        <w:t xml:space="preserve">   </w:t>
      </w:r>
      <w:r>
        <w:rPr>
          <w:b/>
          <w:sz w:val="21"/>
        </w:rPr>
        <w:t>商数量提供投诉书副本。</w:t>
      </w:r>
    </w:p>
    <w:p>
      <w:pPr>
        <w:numPr>
          <w:ilvl w:val="0"/>
          <w:numId w:val="98"/>
        </w:numPr>
        <w:tabs>
          <w:tab w:val="left" w:pos="960"/>
        </w:tabs>
        <w:spacing w:before="3" w:line="484" w:lineRule="auto"/>
        <w:ind w:right="376" w:firstLine="309"/>
        <w:jc w:val="both"/>
        <w:rPr>
          <w:b/>
          <w:sz w:val="21"/>
        </w:rPr>
      </w:pPr>
      <w:r>
        <w:rPr>
          <w:rFonts w:ascii="宋体" w:hAnsi="宋体" w:eastAsia="宋体" w:cs="宋体"/>
          <w:b/>
          <w:sz w:val="21"/>
        </w:rPr>
        <w:t>投诉人若委托代理人进行投诉的，投诉书应按要求列明“授权代表”的有关内容，并在附件中提交   由投诉人签署的授权委托书。授权委托书应当载明代理人的姓名或者名称、代理事项、具体权限、期限和相</w:t>
      </w:r>
      <w:r>
        <w:rPr>
          <w:b/>
          <w:spacing w:val="-5"/>
          <w:sz w:val="21"/>
        </w:rPr>
        <w:t>关事项。</w:t>
      </w:r>
    </w:p>
    <w:p>
      <w:pPr>
        <w:numPr>
          <w:ilvl w:val="0"/>
          <w:numId w:val="98"/>
        </w:numPr>
        <w:tabs>
          <w:tab w:val="left" w:pos="960"/>
        </w:tabs>
        <w:spacing w:before="3" w:line="484" w:lineRule="auto"/>
        <w:ind w:right="376" w:firstLine="309"/>
        <w:jc w:val="both"/>
        <w:rPr>
          <w:rFonts w:ascii="宋体" w:hAnsi="宋体" w:eastAsia="宋体" w:cs="宋体"/>
          <w:b/>
          <w:sz w:val="21"/>
        </w:rPr>
      </w:pPr>
      <w:r>
        <w:rPr>
          <w:rFonts w:ascii="宋体" w:hAnsi="宋体" w:eastAsia="宋体" w:cs="宋体"/>
          <w:b/>
          <w:sz w:val="21"/>
        </w:rPr>
        <w:t>投诉书应简要列明质疑事项，质疑函、质疑答复等作为附件材料提供。</w:t>
      </w:r>
    </w:p>
    <w:p>
      <w:pPr>
        <w:numPr>
          <w:ilvl w:val="0"/>
          <w:numId w:val="98"/>
        </w:numPr>
        <w:tabs>
          <w:tab w:val="left" w:pos="960"/>
        </w:tabs>
        <w:ind w:left="960"/>
        <w:rPr>
          <w:b/>
          <w:sz w:val="21"/>
        </w:rPr>
      </w:pPr>
      <w:r>
        <w:rPr>
          <w:b/>
          <w:sz w:val="21"/>
        </w:rPr>
        <w:t>投诉书的投诉事项应具体、明确，并有必要的事实依据和法律依据。</w:t>
      </w:r>
    </w:p>
    <w:p>
      <w:pPr>
        <w:pStyle w:val="19"/>
        <w:spacing w:before="7"/>
        <w:rPr>
          <w:b/>
        </w:rPr>
      </w:pPr>
    </w:p>
    <w:p>
      <w:pPr>
        <w:numPr>
          <w:ilvl w:val="0"/>
          <w:numId w:val="98"/>
        </w:numPr>
        <w:tabs>
          <w:tab w:val="left" w:pos="960"/>
        </w:tabs>
        <w:ind w:left="960"/>
        <w:rPr>
          <w:b/>
          <w:sz w:val="21"/>
        </w:rPr>
      </w:pPr>
      <w:r>
        <w:rPr>
          <w:b/>
          <w:sz w:val="21"/>
        </w:rPr>
        <w:t>投诉书的投诉请求应与投诉事项相关。</w:t>
      </w:r>
    </w:p>
    <w:p>
      <w:pPr>
        <w:pStyle w:val="19"/>
        <w:spacing w:before="7"/>
        <w:rPr>
          <w:b/>
        </w:rPr>
      </w:pPr>
    </w:p>
    <w:p>
      <w:pPr>
        <w:numPr>
          <w:ilvl w:val="0"/>
          <w:numId w:val="98"/>
        </w:numPr>
        <w:tabs>
          <w:tab w:val="left" w:pos="960"/>
        </w:tabs>
        <w:spacing w:line="484" w:lineRule="auto"/>
        <w:ind w:right="379" w:firstLine="309"/>
        <w:rPr>
          <w:rFonts w:ascii="宋体" w:hAnsi="宋体" w:eastAsia="宋体" w:cs="宋体"/>
          <w:b/>
          <w:sz w:val="21"/>
        </w:rPr>
      </w:pPr>
      <w:r>
        <w:rPr>
          <w:rFonts w:ascii="宋体" w:hAnsi="宋体" w:eastAsia="宋体" w:cs="宋体"/>
          <w:b/>
          <w:sz w:val="21"/>
        </w:rPr>
        <w:t xml:space="preserve">投诉人为法人或者其他组织的，投诉书应由法定代表人、主要负责人，或者其授权代表签字或者盖  </w:t>
      </w:r>
      <w:r>
        <w:rPr>
          <w:b/>
          <w:w w:val="95"/>
          <w:sz w:val="21"/>
        </w:rPr>
        <w:t xml:space="preserve"> </w:t>
      </w:r>
      <w:r>
        <w:rPr>
          <w:rFonts w:ascii="宋体" w:hAnsi="宋体" w:eastAsia="宋体" w:cs="宋体"/>
          <w:b/>
          <w:sz w:val="21"/>
        </w:rPr>
        <w:t>章，并加盖公章。</w:t>
      </w:r>
    </w:p>
    <w:sectPr>
      <w:footerReference r:id="rId11" w:type="default"/>
      <w:pgSz w:w="11910" w:h="16840"/>
      <w:pgMar w:top="1060" w:right="720" w:bottom="1380" w:left="720" w:header="0" w:footer="1200" w:gutter="0"/>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Cambria">
    <w:panose1 w:val="020405030504060A0204"/>
    <w:charset w:val="00"/>
    <w:family w:val="roman"/>
    <w:pitch w:val="default"/>
    <w:sig w:usb0="E00002FF" w:usb1="4000045F" w:usb2="00000000" w:usb3="00000000" w:csb0="2000019F" w:csb1="00000000"/>
  </w:font>
  <w:font w:name="AvantGarde Bk BT">
    <w:altName w:val="微软雅黑"/>
    <w:panose1 w:val="020B0604020202020204"/>
    <w:charset w:val="00"/>
    <w:family w:val="auto"/>
    <w:pitch w:val="default"/>
    <w:sig w:usb0="00000000" w:usb1="00000000" w:usb2="00000000" w:usb3="00000000" w:csb0="00040001" w:csb1="00000000"/>
  </w:font>
  <w:font w:name="Verdana">
    <w:panose1 w:val="020B0604030504040204"/>
    <w:charset w:val="00"/>
    <w:family w:val="swiss"/>
    <w:pitch w:val="default"/>
    <w:sig w:usb0="A1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00" w:usb3="00000000" w:csb0="00040000" w:csb1="00000000"/>
  </w:font>
  <w:font w:name="Arial Unicode MS">
    <w:altName w:val="Arial"/>
    <w:panose1 w:val="020B0604020202020204"/>
    <w:charset w:val="80"/>
    <w:family w:val="swiss"/>
    <w:pitch w:val="default"/>
    <w:sig w:usb0="00000000" w:usb1="00000000" w:usb2="0000003F" w:usb3="00000000" w:csb0="603F01FF" w:csb1="FFFF0000"/>
  </w:font>
  <w:font w:name="华文行楷">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line="14" w:lineRule="auto"/>
      <w:rPr>
        <w:sz w:val="12"/>
      </w:rPr>
    </w:pPr>
    <w:r>
      <w:rPr>
        <w:sz w:val="21"/>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32"/>
                    </w:pPr>
                    <w:r>
                      <w:fldChar w:fldCharType="begin"/>
                    </w:r>
                    <w:r>
                      <w:instrText xml:space="preserve"> PAGE  \* MERGEFORMAT </w:instrText>
                    </w:r>
                    <w:r>
                      <w:fldChar w:fldCharType="separate"/>
                    </w:r>
                    <w:r>
                      <w:t>1</w:t>
                    </w:r>
                    <w:r>
                      <w:fldChar w:fldCharType="end"/>
                    </w:r>
                  </w:p>
                </w:txbxContent>
              </v:textbox>
            </v:shape>
          </w:pict>
        </mc:Fallback>
      </mc:AlternateContent>
    </w:r>
    <w:r>
      <mc:AlternateContent>
        <mc:Choice Requires="wps">
          <w:drawing>
            <wp:anchor distT="0" distB="0" distL="114300" distR="114300" simplePos="0" relativeHeight="251660288" behindDoc="1" locked="0" layoutInCell="1" allowOverlap="1">
              <wp:simplePos x="0" y="0"/>
              <wp:positionH relativeFrom="page">
                <wp:posOffset>3726180</wp:posOffset>
              </wp:positionH>
              <wp:positionV relativeFrom="page">
                <wp:posOffset>9790430</wp:posOffset>
              </wp:positionV>
              <wp:extent cx="107950" cy="152400"/>
              <wp:effectExtent l="0" t="0" r="0" b="0"/>
              <wp:wrapNone/>
              <wp:docPr id="80" name="文本框 1"/>
              <wp:cNvGraphicFramePr/>
              <a:graphic xmlns:a="http://schemas.openxmlformats.org/drawingml/2006/main">
                <a:graphicData uri="http://schemas.microsoft.com/office/word/2010/wordprocessingShape">
                  <wps:wsp>
                    <wps:cNvSpPr txBox="1"/>
                    <wps:spPr>
                      <a:xfrm>
                        <a:off x="0" y="0"/>
                        <a:ext cx="107950" cy="152400"/>
                      </a:xfrm>
                      <a:prstGeom prst="rect">
                        <a:avLst/>
                      </a:prstGeom>
                      <a:noFill/>
                      <a:ln>
                        <a:noFill/>
                      </a:ln>
                    </wps:spPr>
                    <wps:txbx>
                      <w:txbxContent>
                        <w:p>
                          <w:pPr>
                            <w:spacing w:before="12"/>
                            <w:ind w:left="40"/>
                            <w:rPr>
                              <w:rFonts w:ascii="Times New Roman"/>
                              <w:sz w:val="18"/>
                            </w:rPr>
                          </w:pPr>
                        </w:p>
                      </w:txbxContent>
                    </wps:txbx>
                    <wps:bodyPr lIns="0" tIns="0" rIns="0" bIns="0" upright="1"/>
                  </wps:wsp>
                </a:graphicData>
              </a:graphic>
            </wp:anchor>
          </w:drawing>
        </mc:Choice>
        <mc:Fallback>
          <w:pict>
            <v:shape id="文本框 1" o:spid="_x0000_s1026" o:spt="202" type="#_x0000_t202" style="position:absolute;left:0pt;margin-left:293.4pt;margin-top:770.9pt;height:12pt;width:8.5pt;mso-position-horizontal-relative:page;mso-position-vertical-relative:page;z-index:-251656192;mso-width-relative:page;mso-height-relative:page;" filled="f" stroked="f" coordsize="21600,21600" o:gfxdata="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k83/nZAAAADQEAAA8AAAAAAAAAAQAgAAAAIgAAAGRycy9kb3ducmV2LnhtbFBLAQIU&#10;ABQAAAAIAIdO4kAzEHERuQEAAHIDAAAOAAAAAAAAAAEAIAAAACgBAABkcnMvZTJvRG9jLnhtbFBL&#10;BQYAAAAABgAGAFkBAABTBQAAAAA=&#10;">
              <v:fill on="f" focussize="0,0"/>
              <v:stroke on="f"/>
              <v:imagedata o:title=""/>
              <o:lock v:ext="edit" aspectratio="f"/>
              <v:textbox inset="0mm,0mm,0mm,0mm">
                <w:txbxContent>
                  <w:p>
                    <w:pPr>
                      <w:spacing w:before="12"/>
                      <w:ind w:left="40"/>
                      <w:rPr>
                        <w:rFonts w:ascii="Times New Roman"/>
                        <w:sz w:val="18"/>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line="14" w:lineRule="auto"/>
      <w:rPr>
        <w:sz w:val="20"/>
      </w:rPr>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66370" cy="152400"/>
              <wp:effectExtent l="0" t="0" r="0" b="0"/>
              <wp:wrapNone/>
              <wp:docPr id="98" name="文本框 19"/>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wps:txbx>
                    <wps:bodyPr lIns="0" tIns="0" rIns="0" bIns="0" upright="1"/>
                  </wps:wsp>
                </a:graphicData>
              </a:graphic>
            </wp:anchor>
          </w:drawing>
        </mc:Choice>
        <mc:Fallback>
          <w:pict>
            <v:shape id="文本框 19" o:spid="_x0000_s1026" o:spt="202" type="#_x0000_t202" style="position:absolute;left:0pt;margin-top:0pt;height:12pt;width:13.1pt;mso-position-horizontal:center;mso-position-horizontal-relative:margin;z-index:251668480;mso-width-relative:page;mso-height-relative:page;" filled="f" stroked="f" coordsize="21600,21600" o:gfxdata="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8k+QgtMAAAADAQAADwAAAAAAAAABACAAAAAiAAAAZHJzL2Rvd25yZXYueG1sUEsBAhQAFAAA&#10;AAgAh07iQCgHp2G7AQAAcwMAAA4AAAAAAAAAAQAgAAAAIgEAAGRycy9lMm9Eb2MueG1sUEsFBgAA&#10;AAAGAAYAWQEAAE8FAAAAAA==&#10;">
              <v:fill on="f" focussize="0,0"/>
              <v:stroke on="f"/>
              <v:imagedata o:title=""/>
              <o:lock v:ext="edit" aspectratio="f"/>
              <v:textbox inset="0mm,0mm,0mm,0mm">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40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line="14" w:lineRule="auto"/>
      <w:rPr>
        <w:sz w:val="20"/>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66370" cy="152400"/>
              <wp:effectExtent l="0" t="0" r="0" b="0"/>
              <wp:wrapNone/>
              <wp:docPr id="89" name="文本框 10"/>
              <wp:cNvGraphicFramePr/>
              <a:graphic xmlns:a="http://schemas.openxmlformats.org/drawingml/2006/main">
                <a:graphicData uri="http://schemas.microsoft.com/office/word/2010/wordprocessingShape">
                  <wps:wsp>
                    <wps:cNvSpPr txBox="1"/>
                    <wps:spPr>
                      <a:xfrm>
                        <a:off x="0" y="0"/>
                        <a:ext cx="166370" cy="152400"/>
                      </a:xfrm>
                      <a:prstGeom prst="rect">
                        <a:avLst/>
                      </a:prstGeom>
                      <a:noFill/>
                      <a:ln>
                        <a:noFill/>
                      </a:ln>
                    </wps:spPr>
                    <wps:txbx>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90</w:t>
                          </w:r>
                          <w:r>
                            <w:fldChar w:fldCharType="end"/>
                          </w:r>
                        </w:p>
                      </w:txbxContent>
                    </wps:txbx>
                    <wps:bodyPr lIns="0" tIns="0" rIns="0" bIns="0" upright="1"/>
                  </wps:wsp>
                </a:graphicData>
              </a:graphic>
            </wp:anchor>
          </w:drawing>
        </mc:Choice>
        <mc:Fallback>
          <w:pict>
            <v:shape id="文本框 10" o:spid="_x0000_s1026" o:spt="202" type="#_x0000_t202" style="position:absolute;left:0pt;margin-top:0pt;height:12pt;width:13.1pt;mso-position-horizontal:center;mso-position-horizontal-relative:margin;z-index:251661312;mso-width-relative:page;mso-height-relative:page;" filled="f" stroked="f" coordsize="21600,21600" o:gfxdata="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yT5CC0wAAAAMBAAAPAAAAAAAAAAEAIAAAACIAAABkcnMvZG93bnJldi54bWxQSwECFAAUAAAA&#10;CACHTuJAVKtt7boBAABzAwAADgAAAAAAAAABACAAAAAiAQAAZHJzL2Uyb0RvYy54bWxQSwUGAAAA&#10;AAYABgBZAQAATgUAAAAA&#10;">
              <v:fill on="f" focussize="0,0"/>
              <v:stroke on="f"/>
              <v:imagedata o:title=""/>
              <o:lock v:ext="edit" aspectratio="f"/>
              <v:textbox inset="0mm,0mm,0mm,0mm">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90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line="14" w:lineRule="auto"/>
      <w:rPr>
        <w:sz w:val="20"/>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222250" cy="152400"/>
              <wp:effectExtent l="0" t="0" r="0" b="0"/>
              <wp:wrapNone/>
              <wp:docPr id="90" name="文本框 11"/>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100</w:t>
                          </w:r>
                          <w:r>
                            <w:fldChar w:fldCharType="end"/>
                          </w:r>
                        </w:p>
                      </w:txbxContent>
                    </wps:txbx>
                    <wps:bodyPr lIns="0" tIns="0" rIns="0" bIns="0" upright="1"/>
                  </wps:wsp>
                </a:graphicData>
              </a:graphic>
            </wp:anchor>
          </w:drawing>
        </mc:Choice>
        <mc:Fallback>
          <w:pict>
            <v:shape id="文本框 11" o:spid="_x0000_s1026" o:spt="202" type="#_x0000_t202" style="position:absolute;left:0pt;margin-top:0pt;height:12pt;width:17.5pt;mso-position-horizontal:center;mso-position-horizontal-relative:margin;z-index:251662336;mso-width-relative:page;mso-height-relative:page;" filled="f" stroked="f" coordsize="21600,21600" o:gfxdata="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zp1E+0wAAAAMBAAAPAAAAAAAAAAEAIAAAACIAAABkcnMvZG93bnJldi54bWxQSwECFAAUAAAA&#10;CACHTuJArJRKYboBAABzAwAADgAAAAAAAAABACAAAAAiAQAAZHJzL2Uyb0RvYy54bWxQSwUGAAAA&#10;AAYABgBZAQAATgUAAAAA&#10;">
              <v:fill on="f" focussize="0,0"/>
              <v:stroke on="f"/>
              <v:imagedata o:title=""/>
              <o:lock v:ext="edit" aspectratio="f"/>
              <v:textbox inset="0mm,0mm,0mm,0mm">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100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line="14" w:lineRule="auto"/>
      <w:rPr>
        <w:sz w:val="12"/>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222250" cy="152400"/>
              <wp:effectExtent l="0" t="0" r="0" b="0"/>
              <wp:wrapNone/>
              <wp:docPr id="91" name="文本框 12"/>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112</w:t>
                          </w:r>
                          <w:r>
                            <w:fldChar w:fldCharType="end"/>
                          </w:r>
                        </w:p>
                      </w:txbxContent>
                    </wps:txbx>
                    <wps:bodyPr lIns="0" tIns="0" rIns="0" bIns="0" upright="1"/>
                  </wps:wsp>
                </a:graphicData>
              </a:graphic>
            </wp:anchor>
          </w:drawing>
        </mc:Choice>
        <mc:Fallback>
          <w:pict>
            <v:shape id="文本框 12" o:spid="_x0000_s1026" o:spt="202" type="#_x0000_t202" style="position:absolute;left:0pt;margin-top:0pt;height:12pt;width:17.5pt;mso-position-horizontal:center;mso-position-horizontal-relative:margin;z-index:251663360;mso-width-relative:page;mso-height-relative:page;" filled="f" stroked="f" coordsize="21600,21600" o:gfxdata="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zp1E+0wAAAAMBAAAPAAAAAAAAAAEAIAAAACIAAABkcnMvZG93bnJldi54bWxQSwECFAAUAAAA&#10;CACHTuJAtYUgHLoBAABzAwAADgAAAAAAAAABACAAAAAiAQAAZHJzL2Uyb0RvYy54bWxQSwUGAAAA&#10;AAYABgBZAQAATgUAAAAA&#10;">
              <v:fill on="f" focussize="0,0"/>
              <v:stroke on="f"/>
              <v:imagedata o:title=""/>
              <o:lock v:ext="edit" aspectratio="f"/>
              <v:textbox inset="0mm,0mm,0mm,0mm">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112</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line="14" w:lineRule="auto"/>
      <w:rPr>
        <w:sz w:val="20"/>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222250" cy="152400"/>
              <wp:effectExtent l="0" t="0" r="0" b="0"/>
              <wp:wrapNone/>
              <wp:docPr id="94" name="文本框 13"/>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120</w:t>
                          </w:r>
                          <w:r>
                            <w:fldChar w:fldCharType="end"/>
                          </w:r>
                        </w:p>
                      </w:txbxContent>
                    </wps:txbx>
                    <wps:bodyPr lIns="0" tIns="0" rIns="0" bIns="0" upright="1"/>
                  </wps:wsp>
                </a:graphicData>
              </a:graphic>
            </wp:anchor>
          </w:drawing>
        </mc:Choice>
        <mc:Fallback>
          <w:pict>
            <v:shape id="文本框 13" o:spid="_x0000_s1026" o:spt="202" type="#_x0000_t202" style="position:absolute;left:0pt;margin-top:0pt;height:12pt;width:17.5pt;mso-position-horizontal:center;mso-position-horizontal-relative:margin;z-index:251664384;mso-width-relative:page;mso-height-relative:page;" filled="f" stroked="f" coordsize="21600,21600" o:gfxdata="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c6dRPtMAAAADAQAADwAAAAAAAAABACAAAAAiAAAAZHJzL2Rvd25yZXYueG1sUEsBAhQAFAAA&#10;AAgAh07iQB/b3IO7AQAAcwMAAA4AAAAAAAAAAQAgAAAAIgEAAGRycy9lMm9Eb2MueG1sUEsFBgAA&#10;AAAGAAYAWQEAAE8FAAAAAA==&#10;">
              <v:fill on="f" focussize="0,0"/>
              <v:stroke on="f"/>
              <v:imagedata o:title=""/>
              <o:lock v:ext="edit" aspectratio="f"/>
              <v:textbox inset="0mm,0mm,0mm,0mm">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120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line="14" w:lineRule="auto"/>
      <w:rPr>
        <w:sz w:val="20"/>
      </w:rP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222250" cy="152400"/>
              <wp:effectExtent l="0" t="0" r="0" b="0"/>
              <wp:wrapNone/>
              <wp:docPr id="95" name="文本框 14"/>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130</w:t>
                          </w:r>
                          <w:r>
                            <w:fldChar w:fldCharType="end"/>
                          </w:r>
                        </w:p>
                      </w:txbxContent>
                    </wps:txbx>
                    <wps:bodyPr lIns="0" tIns="0" rIns="0" bIns="0" upright="1"/>
                  </wps:wsp>
                </a:graphicData>
              </a:graphic>
            </wp:anchor>
          </w:drawing>
        </mc:Choice>
        <mc:Fallback>
          <w:pict>
            <v:shape id="文本框 14" o:spid="_x0000_s1026" o:spt="202" type="#_x0000_t202" style="position:absolute;left:0pt;margin-top:0pt;height:12pt;width:17.5pt;mso-position-horizontal:center;mso-position-horizontal-relative:margin;z-index:251665408;mso-width-relative:page;mso-height-relative:page;" filled="f" stroked="f" coordsize="21600,21600" o:gfxdata="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zp1E+0wAAAAMBAAAPAAAAAAAAAAEAIAAAACIAAABkcnMvZG93bnJldi54bWxQSwECFAAUAAAA&#10;CACHTuJA/xdvb7oBAABzAwAADgAAAAAAAAABACAAAAAiAQAAZHJzL2Uyb0RvYy54bWxQSwUGAAAA&#10;AAYABgBZAQAATgUAAAAA&#10;">
              <v:fill on="f" focussize="0,0"/>
              <v:stroke on="f"/>
              <v:imagedata o:title=""/>
              <o:lock v:ext="edit" aspectratio="f"/>
              <v:textbox inset="0mm,0mm,0mm,0mm">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130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line="14" w:lineRule="auto"/>
      <w:rPr>
        <w:sz w:val="20"/>
      </w:rP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222250" cy="152400"/>
              <wp:effectExtent l="0" t="0" r="0" b="0"/>
              <wp:wrapNone/>
              <wp:docPr id="96" name="文本框 15"/>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140</w:t>
                          </w:r>
                          <w:r>
                            <w:fldChar w:fldCharType="end"/>
                          </w:r>
                        </w:p>
                      </w:txbxContent>
                    </wps:txbx>
                    <wps:bodyPr lIns="0" tIns="0" rIns="0" bIns="0" upright="1"/>
                  </wps:wsp>
                </a:graphicData>
              </a:graphic>
            </wp:anchor>
          </w:drawing>
        </mc:Choice>
        <mc:Fallback>
          <w:pict>
            <v:shape id="文本框 15" o:spid="_x0000_s1026" o:spt="202" type="#_x0000_t202" style="position:absolute;left:0pt;margin-top:0pt;height:12pt;width:17.5pt;mso-position-horizontal:center;mso-position-horizontal-relative:margin;z-index:251666432;mso-width-relative:page;mso-height-relative:page;" filled="f" stroked="f" coordsize="21600,21600" o:gfxdata="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zp1E+0wAAAAMBAAAPAAAAAAAAAAEAIAAAACIAAABkcnMvZG93bnJldi54bWxQSwECFAAUAAAA&#10;CACHTuJALfkIeboBAABzAwAADgAAAAAAAAABACAAAAAiAQAAZHJzL2Uyb0RvYy54bWxQSwUGAAAA&#10;AAYABgBZAQAATgUAAAAA&#10;">
              <v:fill on="f" focussize="0,0"/>
              <v:stroke on="f"/>
              <v:imagedata o:title=""/>
              <o:lock v:ext="edit" aspectratio="f"/>
              <v:textbox inset="0mm,0mm,0mm,0mm">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140</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spacing w:line="14" w:lineRule="auto"/>
      <w:rPr>
        <w:sz w:val="20"/>
      </w:rPr>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222250" cy="152400"/>
              <wp:effectExtent l="0" t="0" r="0" b="0"/>
              <wp:wrapNone/>
              <wp:docPr id="97" name="文本框 16"/>
              <wp:cNvGraphicFramePr/>
              <a:graphic xmlns:a="http://schemas.openxmlformats.org/drawingml/2006/main">
                <a:graphicData uri="http://schemas.microsoft.com/office/word/2010/wordprocessingShape">
                  <wps:wsp>
                    <wps:cNvSpPr txBox="1"/>
                    <wps:spPr>
                      <a:xfrm>
                        <a:off x="0" y="0"/>
                        <a:ext cx="222250" cy="152400"/>
                      </a:xfrm>
                      <a:prstGeom prst="rect">
                        <a:avLst/>
                      </a:prstGeom>
                      <a:noFill/>
                      <a:ln>
                        <a:noFill/>
                      </a:ln>
                    </wps:spPr>
                    <wps:txbx>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150</w:t>
                          </w:r>
                          <w:r>
                            <w:fldChar w:fldCharType="end"/>
                          </w:r>
                        </w:p>
                      </w:txbxContent>
                    </wps:txbx>
                    <wps:bodyPr lIns="0" tIns="0" rIns="0" bIns="0" upright="1"/>
                  </wps:wsp>
                </a:graphicData>
              </a:graphic>
            </wp:anchor>
          </w:drawing>
        </mc:Choice>
        <mc:Fallback>
          <w:pict>
            <v:shape id="文本框 16" o:spid="_x0000_s1026" o:spt="202" type="#_x0000_t202" style="position:absolute;left:0pt;margin-top:0pt;height:12pt;width:17.5pt;mso-position-horizontal:center;mso-position-horizontal-relative:margin;z-index:251667456;mso-width-relative:page;mso-height-relative:page;" filled="f" stroked="f" coordsize="21600,21600" o:gfxdata="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c6dRPtMAAAADAQAADwAAAAAAAAABACAAAAAiAAAAZHJzL2Rvd25yZXYueG1sUEsBAhQAFAAA&#10;AAgAh07iQDToYgS7AQAAcwMAAA4AAAAAAAAAAQAgAAAAIgEAAGRycy9lMm9Eb2MueG1sUEsFBgAA&#10;AAAGAAYAWQEAAE8FAAAAAA==&#10;">
              <v:fill on="f" focussize="0,0"/>
              <v:stroke on="f"/>
              <v:imagedata o:title=""/>
              <o:lock v:ext="edit" aspectratio="f"/>
              <v:textbox inset="0mm,0mm,0mm,0mm">
                <w:txbxContent>
                  <w:p>
                    <w:pPr>
                      <w:spacing w:before="12"/>
                      <w:ind w:left="40"/>
                      <w:rPr>
                        <w:rFonts w:ascii="Times New Roman"/>
                        <w:sz w:val="18"/>
                      </w:rPr>
                    </w:pPr>
                    <w:r>
                      <w:fldChar w:fldCharType="begin"/>
                    </w:r>
                    <w:r>
                      <w:rPr>
                        <w:rFonts w:ascii="Times New Roman"/>
                        <w:sz w:val="18"/>
                      </w:rPr>
                      <w:instrText xml:space="preserve"> PAGE </w:instrText>
                    </w:r>
                    <w:r>
                      <w:fldChar w:fldCharType="separate"/>
                    </w:r>
                    <w:r>
                      <w:t>150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B75F0A"/>
    <w:multiLevelType w:val="multilevel"/>
    <w:tmpl w:val="87B75F0A"/>
    <w:lvl w:ilvl="0" w:tentative="0">
      <w:start w:val="3"/>
      <w:numFmt w:val="decimal"/>
      <w:lvlText w:val="%1."/>
      <w:lvlJc w:val="left"/>
      <w:pPr>
        <w:ind w:left="320" w:hanging="214"/>
        <w:jc w:val="left"/>
      </w:pPr>
      <w:rPr>
        <w:rFonts w:hint="default" w:ascii="宋体" w:hAnsi="宋体" w:eastAsia="宋体" w:cs="宋体"/>
        <w:b/>
        <w:bCs/>
        <w:spacing w:val="-2"/>
        <w:w w:val="98"/>
        <w:sz w:val="19"/>
        <w:szCs w:val="19"/>
        <w:lang w:val="zh-CN" w:eastAsia="zh-CN" w:bidi="zh-CN"/>
      </w:rPr>
    </w:lvl>
    <w:lvl w:ilvl="1" w:tentative="0">
      <w:start w:val="0"/>
      <w:numFmt w:val="bullet"/>
      <w:lvlText w:val="•"/>
      <w:lvlJc w:val="left"/>
      <w:pPr>
        <w:ind w:left="1167" w:hanging="214"/>
      </w:pPr>
      <w:rPr>
        <w:rFonts w:hint="default"/>
        <w:lang w:val="zh-CN" w:eastAsia="zh-CN" w:bidi="zh-CN"/>
      </w:rPr>
    </w:lvl>
    <w:lvl w:ilvl="2" w:tentative="0">
      <w:start w:val="0"/>
      <w:numFmt w:val="bullet"/>
      <w:lvlText w:val="•"/>
      <w:lvlJc w:val="left"/>
      <w:pPr>
        <w:ind w:left="2015" w:hanging="214"/>
      </w:pPr>
      <w:rPr>
        <w:rFonts w:hint="default"/>
        <w:lang w:val="zh-CN" w:eastAsia="zh-CN" w:bidi="zh-CN"/>
      </w:rPr>
    </w:lvl>
    <w:lvl w:ilvl="3" w:tentative="0">
      <w:start w:val="0"/>
      <w:numFmt w:val="bullet"/>
      <w:lvlText w:val="•"/>
      <w:lvlJc w:val="left"/>
      <w:pPr>
        <w:ind w:left="2862" w:hanging="214"/>
      </w:pPr>
      <w:rPr>
        <w:rFonts w:hint="default"/>
        <w:lang w:val="zh-CN" w:eastAsia="zh-CN" w:bidi="zh-CN"/>
      </w:rPr>
    </w:lvl>
    <w:lvl w:ilvl="4" w:tentative="0">
      <w:start w:val="0"/>
      <w:numFmt w:val="bullet"/>
      <w:lvlText w:val="•"/>
      <w:lvlJc w:val="left"/>
      <w:pPr>
        <w:ind w:left="3710" w:hanging="214"/>
      </w:pPr>
      <w:rPr>
        <w:rFonts w:hint="default"/>
        <w:lang w:val="zh-CN" w:eastAsia="zh-CN" w:bidi="zh-CN"/>
      </w:rPr>
    </w:lvl>
    <w:lvl w:ilvl="5" w:tentative="0">
      <w:start w:val="0"/>
      <w:numFmt w:val="bullet"/>
      <w:lvlText w:val="•"/>
      <w:lvlJc w:val="left"/>
      <w:pPr>
        <w:ind w:left="4558" w:hanging="214"/>
      </w:pPr>
      <w:rPr>
        <w:rFonts w:hint="default"/>
        <w:lang w:val="zh-CN" w:eastAsia="zh-CN" w:bidi="zh-CN"/>
      </w:rPr>
    </w:lvl>
    <w:lvl w:ilvl="6" w:tentative="0">
      <w:start w:val="0"/>
      <w:numFmt w:val="bullet"/>
      <w:lvlText w:val="•"/>
      <w:lvlJc w:val="left"/>
      <w:pPr>
        <w:ind w:left="5405" w:hanging="214"/>
      </w:pPr>
      <w:rPr>
        <w:rFonts w:hint="default"/>
        <w:lang w:val="zh-CN" w:eastAsia="zh-CN" w:bidi="zh-CN"/>
      </w:rPr>
    </w:lvl>
    <w:lvl w:ilvl="7" w:tentative="0">
      <w:start w:val="0"/>
      <w:numFmt w:val="bullet"/>
      <w:lvlText w:val="•"/>
      <w:lvlJc w:val="left"/>
      <w:pPr>
        <w:ind w:left="6253" w:hanging="214"/>
      </w:pPr>
      <w:rPr>
        <w:rFonts w:hint="default"/>
        <w:lang w:val="zh-CN" w:eastAsia="zh-CN" w:bidi="zh-CN"/>
      </w:rPr>
    </w:lvl>
    <w:lvl w:ilvl="8" w:tentative="0">
      <w:start w:val="0"/>
      <w:numFmt w:val="bullet"/>
      <w:lvlText w:val="•"/>
      <w:lvlJc w:val="left"/>
      <w:pPr>
        <w:ind w:left="7100" w:hanging="214"/>
      </w:pPr>
      <w:rPr>
        <w:rFonts w:hint="default"/>
        <w:lang w:val="zh-CN" w:eastAsia="zh-CN" w:bidi="zh-CN"/>
      </w:rPr>
    </w:lvl>
  </w:abstractNum>
  <w:abstractNum w:abstractNumId="1">
    <w:nsid w:val="8C4001CE"/>
    <w:multiLevelType w:val="singleLevel"/>
    <w:tmpl w:val="8C4001CE"/>
    <w:lvl w:ilvl="0" w:tentative="0">
      <w:start w:val="1"/>
      <w:numFmt w:val="decimal"/>
      <w:suff w:val="nothing"/>
      <w:lvlText w:val="%1．"/>
      <w:lvlJc w:val="left"/>
      <w:pPr>
        <w:ind w:left="0" w:firstLine="400"/>
      </w:pPr>
      <w:rPr>
        <w:rFonts w:hint="default"/>
      </w:rPr>
    </w:lvl>
  </w:abstractNum>
  <w:abstractNum w:abstractNumId="2">
    <w:nsid w:val="8E0869B6"/>
    <w:multiLevelType w:val="singleLevel"/>
    <w:tmpl w:val="8E0869B6"/>
    <w:lvl w:ilvl="0" w:tentative="0">
      <w:start w:val="1"/>
      <w:numFmt w:val="decimal"/>
      <w:suff w:val="nothing"/>
      <w:lvlText w:val="%1．"/>
      <w:lvlJc w:val="left"/>
      <w:pPr>
        <w:ind w:left="0" w:firstLine="400"/>
      </w:pPr>
      <w:rPr>
        <w:rFonts w:hint="default"/>
      </w:rPr>
    </w:lvl>
  </w:abstractNum>
  <w:abstractNum w:abstractNumId="3">
    <w:nsid w:val="9017BA21"/>
    <w:multiLevelType w:val="multilevel"/>
    <w:tmpl w:val="9017BA21"/>
    <w:lvl w:ilvl="0" w:tentative="0">
      <w:start w:val="8"/>
      <w:numFmt w:val="decimal"/>
      <w:lvlText w:val="%1."/>
      <w:lvlJc w:val="left"/>
      <w:pPr>
        <w:ind w:left="1044"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982" w:hanging="212"/>
      </w:pPr>
      <w:rPr>
        <w:rFonts w:hint="default"/>
        <w:lang w:val="zh-CN" w:eastAsia="zh-CN" w:bidi="zh-CN"/>
      </w:rPr>
    </w:lvl>
    <w:lvl w:ilvl="2" w:tentative="0">
      <w:start w:val="0"/>
      <w:numFmt w:val="bullet"/>
      <w:lvlText w:val="•"/>
      <w:lvlJc w:val="left"/>
      <w:pPr>
        <w:ind w:left="2925" w:hanging="212"/>
      </w:pPr>
      <w:rPr>
        <w:rFonts w:hint="default"/>
        <w:lang w:val="zh-CN" w:eastAsia="zh-CN" w:bidi="zh-CN"/>
      </w:rPr>
    </w:lvl>
    <w:lvl w:ilvl="3" w:tentative="0">
      <w:start w:val="0"/>
      <w:numFmt w:val="bullet"/>
      <w:lvlText w:val="•"/>
      <w:lvlJc w:val="left"/>
      <w:pPr>
        <w:ind w:left="3867" w:hanging="212"/>
      </w:pPr>
      <w:rPr>
        <w:rFonts w:hint="default"/>
        <w:lang w:val="zh-CN" w:eastAsia="zh-CN" w:bidi="zh-CN"/>
      </w:rPr>
    </w:lvl>
    <w:lvl w:ilvl="4" w:tentative="0">
      <w:start w:val="0"/>
      <w:numFmt w:val="bullet"/>
      <w:lvlText w:val="•"/>
      <w:lvlJc w:val="left"/>
      <w:pPr>
        <w:ind w:left="4810" w:hanging="212"/>
      </w:pPr>
      <w:rPr>
        <w:rFonts w:hint="default"/>
        <w:lang w:val="zh-CN" w:eastAsia="zh-CN" w:bidi="zh-CN"/>
      </w:rPr>
    </w:lvl>
    <w:lvl w:ilvl="5" w:tentative="0">
      <w:start w:val="0"/>
      <w:numFmt w:val="bullet"/>
      <w:lvlText w:val="•"/>
      <w:lvlJc w:val="left"/>
      <w:pPr>
        <w:ind w:left="5753" w:hanging="212"/>
      </w:pPr>
      <w:rPr>
        <w:rFonts w:hint="default"/>
        <w:lang w:val="zh-CN" w:eastAsia="zh-CN" w:bidi="zh-CN"/>
      </w:rPr>
    </w:lvl>
    <w:lvl w:ilvl="6" w:tentative="0">
      <w:start w:val="0"/>
      <w:numFmt w:val="bullet"/>
      <w:lvlText w:val="•"/>
      <w:lvlJc w:val="left"/>
      <w:pPr>
        <w:ind w:left="6695" w:hanging="212"/>
      </w:pPr>
      <w:rPr>
        <w:rFonts w:hint="default"/>
        <w:lang w:val="zh-CN" w:eastAsia="zh-CN" w:bidi="zh-CN"/>
      </w:rPr>
    </w:lvl>
    <w:lvl w:ilvl="7" w:tentative="0">
      <w:start w:val="0"/>
      <w:numFmt w:val="bullet"/>
      <w:lvlText w:val="•"/>
      <w:lvlJc w:val="left"/>
      <w:pPr>
        <w:ind w:left="7638" w:hanging="212"/>
      </w:pPr>
      <w:rPr>
        <w:rFonts w:hint="default"/>
        <w:lang w:val="zh-CN" w:eastAsia="zh-CN" w:bidi="zh-CN"/>
      </w:rPr>
    </w:lvl>
    <w:lvl w:ilvl="8" w:tentative="0">
      <w:start w:val="0"/>
      <w:numFmt w:val="bullet"/>
      <w:lvlText w:val="•"/>
      <w:lvlJc w:val="left"/>
      <w:pPr>
        <w:ind w:left="8580" w:hanging="212"/>
      </w:pPr>
      <w:rPr>
        <w:rFonts w:hint="default"/>
        <w:lang w:val="zh-CN" w:eastAsia="zh-CN" w:bidi="zh-CN"/>
      </w:rPr>
    </w:lvl>
  </w:abstractNum>
  <w:abstractNum w:abstractNumId="4">
    <w:nsid w:val="90695D10"/>
    <w:multiLevelType w:val="singleLevel"/>
    <w:tmpl w:val="90695D10"/>
    <w:lvl w:ilvl="0" w:tentative="0">
      <w:start w:val="1"/>
      <w:numFmt w:val="decimal"/>
      <w:suff w:val="nothing"/>
      <w:lvlText w:val="%1．"/>
      <w:lvlJc w:val="left"/>
      <w:pPr>
        <w:ind w:left="0" w:firstLine="400"/>
      </w:pPr>
      <w:rPr>
        <w:rFonts w:hint="default"/>
      </w:rPr>
    </w:lvl>
  </w:abstractNum>
  <w:abstractNum w:abstractNumId="5">
    <w:nsid w:val="930EE254"/>
    <w:multiLevelType w:val="multilevel"/>
    <w:tmpl w:val="930EE254"/>
    <w:lvl w:ilvl="0" w:tentative="0">
      <w:start w:val="1"/>
      <w:numFmt w:val="decimal"/>
      <w:lvlText w:val="（%1）"/>
      <w:lvlJc w:val="left"/>
      <w:pPr>
        <w:ind w:left="1359" w:hanging="527"/>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2270" w:hanging="527"/>
      </w:pPr>
      <w:rPr>
        <w:rFonts w:hint="default"/>
        <w:lang w:val="zh-CN" w:eastAsia="zh-CN" w:bidi="zh-CN"/>
      </w:rPr>
    </w:lvl>
    <w:lvl w:ilvl="2" w:tentative="0">
      <w:start w:val="0"/>
      <w:numFmt w:val="bullet"/>
      <w:lvlText w:val="•"/>
      <w:lvlJc w:val="left"/>
      <w:pPr>
        <w:ind w:left="3181" w:hanging="527"/>
      </w:pPr>
      <w:rPr>
        <w:rFonts w:hint="default"/>
        <w:lang w:val="zh-CN" w:eastAsia="zh-CN" w:bidi="zh-CN"/>
      </w:rPr>
    </w:lvl>
    <w:lvl w:ilvl="3" w:tentative="0">
      <w:start w:val="0"/>
      <w:numFmt w:val="bullet"/>
      <w:lvlText w:val="•"/>
      <w:lvlJc w:val="left"/>
      <w:pPr>
        <w:ind w:left="4091" w:hanging="527"/>
      </w:pPr>
      <w:rPr>
        <w:rFonts w:hint="default"/>
        <w:lang w:val="zh-CN" w:eastAsia="zh-CN" w:bidi="zh-CN"/>
      </w:rPr>
    </w:lvl>
    <w:lvl w:ilvl="4" w:tentative="0">
      <w:start w:val="0"/>
      <w:numFmt w:val="bullet"/>
      <w:lvlText w:val="•"/>
      <w:lvlJc w:val="left"/>
      <w:pPr>
        <w:ind w:left="5002" w:hanging="527"/>
      </w:pPr>
      <w:rPr>
        <w:rFonts w:hint="default"/>
        <w:lang w:val="zh-CN" w:eastAsia="zh-CN" w:bidi="zh-CN"/>
      </w:rPr>
    </w:lvl>
    <w:lvl w:ilvl="5" w:tentative="0">
      <w:start w:val="0"/>
      <w:numFmt w:val="bullet"/>
      <w:lvlText w:val="•"/>
      <w:lvlJc w:val="left"/>
      <w:pPr>
        <w:ind w:left="5913" w:hanging="527"/>
      </w:pPr>
      <w:rPr>
        <w:rFonts w:hint="default"/>
        <w:lang w:val="zh-CN" w:eastAsia="zh-CN" w:bidi="zh-CN"/>
      </w:rPr>
    </w:lvl>
    <w:lvl w:ilvl="6" w:tentative="0">
      <w:start w:val="0"/>
      <w:numFmt w:val="bullet"/>
      <w:lvlText w:val="•"/>
      <w:lvlJc w:val="left"/>
      <w:pPr>
        <w:ind w:left="6823" w:hanging="527"/>
      </w:pPr>
      <w:rPr>
        <w:rFonts w:hint="default"/>
        <w:lang w:val="zh-CN" w:eastAsia="zh-CN" w:bidi="zh-CN"/>
      </w:rPr>
    </w:lvl>
    <w:lvl w:ilvl="7" w:tentative="0">
      <w:start w:val="0"/>
      <w:numFmt w:val="bullet"/>
      <w:lvlText w:val="•"/>
      <w:lvlJc w:val="left"/>
      <w:pPr>
        <w:ind w:left="7734" w:hanging="527"/>
      </w:pPr>
      <w:rPr>
        <w:rFonts w:hint="default"/>
        <w:lang w:val="zh-CN" w:eastAsia="zh-CN" w:bidi="zh-CN"/>
      </w:rPr>
    </w:lvl>
    <w:lvl w:ilvl="8" w:tentative="0">
      <w:start w:val="0"/>
      <w:numFmt w:val="bullet"/>
      <w:lvlText w:val="•"/>
      <w:lvlJc w:val="left"/>
      <w:pPr>
        <w:ind w:left="8644" w:hanging="527"/>
      </w:pPr>
      <w:rPr>
        <w:rFonts w:hint="default"/>
        <w:lang w:val="zh-CN" w:eastAsia="zh-CN" w:bidi="zh-CN"/>
      </w:rPr>
    </w:lvl>
  </w:abstractNum>
  <w:abstractNum w:abstractNumId="6">
    <w:nsid w:val="941D12A9"/>
    <w:multiLevelType w:val="multilevel"/>
    <w:tmpl w:val="941D12A9"/>
    <w:lvl w:ilvl="0" w:tentative="0">
      <w:start w:val="21"/>
      <w:numFmt w:val="decimal"/>
      <w:lvlText w:val="%1"/>
      <w:lvlJc w:val="left"/>
      <w:pPr>
        <w:ind w:left="1305" w:hanging="473"/>
        <w:jc w:val="left"/>
      </w:pPr>
      <w:rPr>
        <w:rFonts w:hint="default"/>
        <w:lang w:val="zh-CN" w:eastAsia="zh-CN" w:bidi="zh-CN"/>
      </w:rPr>
    </w:lvl>
    <w:lvl w:ilvl="1" w:tentative="0">
      <w:start w:val="1"/>
      <w:numFmt w:val="decimal"/>
      <w:lvlText w:val="%1.%2"/>
      <w:lvlJc w:val="left"/>
      <w:pPr>
        <w:ind w:left="1305" w:hanging="473"/>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3133" w:hanging="473"/>
      </w:pPr>
      <w:rPr>
        <w:rFonts w:hint="default"/>
        <w:lang w:val="zh-CN" w:eastAsia="zh-CN" w:bidi="zh-CN"/>
      </w:rPr>
    </w:lvl>
    <w:lvl w:ilvl="3" w:tentative="0">
      <w:start w:val="0"/>
      <w:numFmt w:val="bullet"/>
      <w:lvlText w:val="•"/>
      <w:lvlJc w:val="left"/>
      <w:pPr>
        <w:ind w:left="4049" w:hanging="473"/>
      </w:pPr>
      <w:rPr>
        <w:rFonts w:hint="default"/>
        <w:lang w:val="zh-CN" w:eastAsia="zh-CN" w:bidi="zh-CN"/>
      </w:rPr>
    </w:lvl>
    <w:lvl w:ilvl="4" w:tentative="0">
      <w:start w:val="0"/>
      <w:numFmt w:val="bullet"/>
      <w:lvlText w:val="•"/>
      <w:lvlJc w:val="left"/>
      <w:pPr>
        <w:ind w:left="4966" w:hanging="473"/>
      </w:pPr>
      <w:rPr>
        <w:rFonts w:hint="default"/>
        <w:lang w:val="zh-CN" w:eastAsia="zh-CN" w:bidi="zh-CN"/>
      </w:rPr>
    </w:lvl>
    <w:lvl w:ilvl="5" w:tentative="0">
      <w:start w:val="0"/>
      <w:numFmt w:val="bullet"/>
      <w:lvlText w:val="•"/>
      <w:lvlJc w:val="left"/>
      <w:pPr>
        <w:ind w:left="5883" w:hanging="473"/>
      </w:pPr>
      <w:rPr>
        <w:rFonts w:hint="default"/>
        <w:lang w:val="zh-CN" w:eastAsia="zh-CN" w:bidi="zh-CN"/>
      </w:rPr>
    </w:lvl>
    <w:lvl w:ilvl="6" w:tentative="0">
      <w:start w:val="0"/>
      <w:numFmt w:val="bullet"/>
      <w:lvlText w:val="•"/>
      <w:lvlJc w:val="left"/>
      <w:pPr>
        <w:ind w:left="6799" w:hanging="473"/>
      </w:pPr>
      <w:rPr>
        <w:rFonts w:hint="default"/>
        <w:lang w:val="zh-CN" w:eastAsia="zh-CN" w:bidi="zh-CN"/>
      </w:rPr>
    </w:lvl>
    <w:lvl w:ilvl="7" w:tentative="0">
      <w:start w:val="0"/>
      <w:numFmt w:val="bullet"/>
      <w:lvlText w:val="•"/>
      <w:lvlJc w:val="left"/>
      <w:pPr>
        <w:ind w:left="7716" w:hanging="473"/>
      </w:pPr>
      <w:rPr>
        <w:rFonts w:hint="default"/>
        <w:lang w:val="zh-CN" w:eastAsia="zh-CN" w:bidi="zh-CN"/>
      </w:rPr>
    </w:lvl>
    <w:lvl w:ilvl="8" w:tentative="0">
      <w:start w:val="0"/>
      <w:numFmt w:val="bullet"/>
      <w:lvlText w:val="•"/>
      <w:lvlJc w:val="left"/>
      <w:pPr>
        <w:ind w:left="8632" w:hanging="473"/>
      </w:pPr>
      <w:rPr>
        <w:rFonts w:hint="default"/>
        <w:lang w:val="zh-CN" w:eastAsia="zh-CN" w:bidi="zh-CN"/>
      </w:rPr>
    </w:lvl>
  </w:abstractNum>
  <w:abstractNum w:abstractNumId="7">
    <w:nsid w:val="94CB21FE"/>
    <w:multiLevelType w:val="singleLevel"/>
    <w:tmpl w:val="94CB21FE"/>
    <w:lvl w:ilvl="0" w:tentative="0">
      <w:start w:val="1"/>
      <w:numFmt w:val="decimal"/>
      <w:suff w:val="nothing"/>
      <w:lvlText w:val="%1．"/>
      <w:lvlJc w:val="left"/>
      <w:pPr>
        <w:ind w:left="0" w:firstLine="400"/>
      </w:pPr>
      <w:rPr>
        <w:rFonts w:hint="default"/>
      </w:rPr>
    </w:lvl>
  </w:abstractNum>
  <w:abstractNum w:abstractNumId="8">
    <w:nsid w:val="952530A5"/>
    <w:multiLevelType w:val="multilevel"/>
    <w:tmpl w:val="952530A5"/>
    <w:lvl w:ilvl="0" w:tentative="0">
      <w:start w:val="1"/>
      <w:numFmt w:val="decimal"/>
      <w:lvlText w:val="%1."/>
      <w:lvlJc w:val="left"/>
      <w:pPr>
        <w:ind w:left="412" w:hanging="243"/>
        <w:jc w:val="left"/>
      </w:pPr>
      <w:rPr>
        <w:rFonts w:hint="default" w:ascii="宋体" w:hAnsi="宋体" w:eastAsia="宋体" w:cs="宋体"/>
        <w:w w:val="100"/>
        <w:sz w:val="22"/>
        <w:szCs w:val="22"/>
        <w:lang w:val="zh-CN" w:eastAsia="zh-CN" w:bidi="zh-CN"/>
      </w:rPr>
    </w:lvl>
    <w:lvl w:ilvl="1" w:tentative="0">
      <w:start w:val="0"/>
      <w:numFmt w:val="bullet"/>
      <w:lvlText w:val="•"/>
      <w:lvlJc w:val="left"/>
      <w:pPr>
        <w:ind w:left="1424" w:hanging="243"/>
      </w:pPr>
      <w:rPr>
        <w:rFonts w:hint="default"/>
        <w:lang w:val="zh-CN" w:eastAsia="zh-CN" w:bidi="zh-CN"/>
      </w:rPr>
    </w:lvl>
    <w:lvl w:ilvl="2" w:tentative="0">
      <w:start w:val="0"/>
      <w:numFmt w:val="bullet"/>
      <w:lvlText w:val="•"/>
      <w:lvlJc w:val="left"/>
      <w:pPr>
        <w:ind w:left="2429" w:hanging="243"/>
      </w:pPr>
      <w:rPr>
        <w:rFonts w:hint="default"/>
        <w:lang w:val="zh-CN" w:eastAsia="zh-CN" w:bidi="zh-CN"/>
      </w:rPr>
    </w:lvl>
    <w:lvl w:ilvl="3" w:tentative="0">
      <w:start w:val="0"/>
      <w:numFmt w:val="bullet"/>
      <w:lvlText w:val="•"/>
      <w:lvlJc w:val="left"/>
      <w:pPr>
        <w:ind w:left="3433" w:hanging="243"/>
      </w:pPr>
      <w:rPr>
        <w:rFonts w:hint="default"/>
        <w:lang w:val="zh-CN" w:eastAsia="zh-CN" w:bidi="zh-CN"/>
      </w:rPr>
    </w:lvl>
    <w:lvl w:ilvl="4" w:tentative="0">
      <w:start w:val="0"/>
      <w:numFmt w:val="bullet"/>
      <w:lvlText w:val="•"/>
      <w:lvlJc w:val="left"/>
      <w:pPr>
        <w:ind w:left="4438" w:hanging="243"/>
      </w:pPr>
      <w:rPr>
        <w:rFonts w:hint="default"/>
        <w:lang w:val="zh-CN" w:eastAsia="zh-CN" w:bidi="zh-CN"/>
      </w:rPr>
    </w:lvl>
    <w:lvl w:ilvl="5" w:tentative="0">
      <w:start w:val="0"/>
      <w:numFmt w:val="bullet"/>
      <w:lvlText w:val="•"/>
      <w:lvlJc w:val="left"/>
      <w:pPr>
        <w:ind w:left="5443" w:hanging="243"/>
      </w:pPr>
      <w:rPr>
        <w:rFonts w:hint="default"/>
        <w:lang w:val="zh-CN" w:eastAsia="zh-CN" w:bidi="zh-CN"/>
      </w:rPr>
    </w:lvl>
    <w:lvl w:ilvl="6" w:tentative="0">
      <w:start w:val="0"/>
      <w:numFmt w:val="bullet"/>
      <w:lvlText w:val="•"/>
      <w:lvlJc w:val="left"/>
      <w:pPr>
        <w:ind w:left="6447" w:hanging="243"/>
      </w:pPr>
      <w:rPr>
        <w:rFonts w:hint="default"/>
        <w:lang w:val="zh-CN" w:eastAsia="zh-CN" w:bidi="zh-CN"/>
      </w:rPr>
    </w:lvl>
    <w:lvl w:ilvl="7" w:tentative="0">
      <w:start w:val="0"/>
      <w:numFmt w:val="bullet"/>
      <w:lvlText w:val="•"/>
      <w:lvlJc w:val="left"/>
      <w:pPr>
        <w:ind w:left="7452" w:hanging="243"/>
      </w:pPr>
      <w:rPr>
        <w:rFonts w:hint="default"/>
        <w:lang w:val="zh-CN" w:eastAsia="zh-CN" w:bidi="zh-CN"/>
      </w:rPr>
    </w:lvl>
    <w:lvl w:ilvl="8" w:tentative="0">
      <w:start w:val="0"/>
      <w:numFmt w:val="bullet"/>
      <w:lvlText w:val="•"/>
      <w:lvlJc w:val="left"/>
      <w:pPr>
        <w:ind w:left="8456" w:hanging="243"/>
      </w:pPr>
      <w:rPr>
        <w:rFonts w:hint="default"/>
        <w:lang w:val="zh-CN" w:eastAsia="zh-CN" w:bidi="zh-CN"/>
      </w:rPr>
    </w:lvl>
  </w:abstractNum>
  <w:abstractNum w:abstractNumId="9">
    <w:nsid w:val="96E5236C"/>
    <w:multiLevelType w:val="multilevel"/>
    <w:tmpl w:val="96E5236C"/>
    <w:lvl w:ilvl="0" w:tentative="0">
      <w:start w:val="1"/>
      <w:numFmt w:val="decimal"/>
      <w:lvlText w:val="%1."/>
      <w:lvlJc w:val="left"/>
      <w:pPr>
        <w:ind w:left="412" w:hanging="360"/>
        <w:jc w:val="left"/>
      </w:pPr>
      <w:rPr>
        <w:rFonts w:hint="default" w:ascii="宋体" w:hAnsi="宋体" w:eastAsia="宋体" w:cs="宋体"/>
        <w:spacing w:val="-10"/>
        <w:w w:val="100"/>
        <w:sz w:val="24"/>
        <w:szCs w:val="24"/>
        <w:lang w:val="zh-CN" w:eastAsia="zh-CN" w:bidi="zh-CN"/>
      </w:rPr>
    </w:lvl>
    <w:lvl w:ilvl="1" w:tentative="0">
      <w:start w:val="0"/>
      <w:numFmt w:val="bullet"/>
      <w:lvlText w:val="•"/>
      <w:lvlJc w:val="left"/>
      <w:pPr>
        <w:ind w:left="1424" w:hanging="360"/>
      </w:pPr>
      <w:rPr>
        <w:rFonts w:hint="default"/>
        <w:lang w:val="zh-CN" w:eastAsia="zh-CN" w:bidi="zh-CN"/>
      </w:rPr>
    </w:lvl>
    <w:lvl w:ilvl="2" w:tentative="0">
      <w:start w:val="0"/>
      <w:numFmt w:val="bullet"/>
      <w:lvlText w:val="•"/>
      <w:lvlJc w:val="left"/>
      <w:pPr>
        <w:ind w:left="2429" w:hanging="360"/>
      </w:pPr>
      <w:rPr>
        <w:rFonts w:hint="default"/>
        <w:lang w:val="zh-CN" w:eastAsia="zh-CN" w:bidi="zh-CN"/>
      </w:rPr>
    </w:lvl>
    <w:lvl w:ilvl="3" w:tentative="0">
      <w:start w:val="0"/>
      <w:numFmt w:val="bullet"/>
      <w:lvlText w:val="•"/>
      <w:lvlJc w:val="left"/>
      <w:pPr>
        <w:ind w:left="3433" w:hanging="360"/>
      </w:pPr>
      <w:rPr>
        <w:rFonts w:hint="default"/>
        <w:lang w:val="zh-CN" w:eastAsia="zh-CN" w:bidi="zh-CN"/>
      </w:rPr>
    </w:lvl>
    <w:lvl w:ilvl="4" w:tentative="0">
      <w:start w:val="0"/>
      <w:numFmt w:val="bullet"/>
      <w:lvlText w:val="•"/>
      <w:lvlJc w:val="left"/>
      <w:pPr>
        <w:ind w:left="4438" w:hanging="360"/>
      </w:pPr>
      <w:rPr>
        <w:rFonts w:hint="default"/>
        <w:lang w:val="zh-CN" w:eastAsia="zh-CN" w:bidi="zh-CN"/>
      </w:rPr>
    </w:lvl>
    <w:lvl w:ilvl="5" w:tentative="0">
      <w:start w:val="0"/>
      <w:numFmt w:val="bullet"/>
      <w:lvlText w:val="•"/>
      <w:lvlJc w:val="left"/>
      <w:pPr>
        <w:ind w:left="5443" w:hanging="360"/>
      </w:pPr>
      <w:rPr>
        <w:rFonts w:hint="default"/>
        <w:lang w:val="zh-CN" w:eastAsia="zh-CN" w:bidi="zh-CN"/>
      </w:rPr>
    </w:lvl>
    <w:lvl w:ilvl="6" w:tentative="0">
      <w:start w:val="0"/>
      <w:numFmt w:val="bullet"/>
      <w:lvlText w:val="•"/>
      <w:lvlJc w:val="left"/>
      <w:pPr>
        <w:ind w:left="6447" w:hanging="360"/>
      </w:pPr>
      <w:rPr>
        <w:rFonts w:hint="default"/>
        <w:lang w:val="zh-CN" w:eastAsia="zh-CN" w:bidi="zh-CN"/>
      </w:rPr>
    </w:lvl>
    <w:lvl w:ilvl="7" w:tentative="0">
      <w:start w:val="0"/>
      <w:numFmt w:val="bullet"/>
      <w:lvlText w:val="•"/>
      <w:lvlJc w:val="left"/>
      <w:pPr>
        <w:ind w:left="7452" w:hanging="360"/>
      </w:pPr>
      <w:rPr>
        <w:rFonts w:hint="default"/>
        <w:lang w:val="zh-CN" w:eastAsia="zh-CN" w:bidi="zh-CN"/>
      </w:rPr>
    </w:lvl>
    <w:lvl w:ilvl="8" w:tentative="0">
      <w:start w:val="0"/>
      <w:numFmt w:val="bullet"/>
      <w:lvlText w:val="•"/>
      <w:lvlJc w:val="left"/>
      <w:pPr>
        <w:ind w:left="8456" w:hanging="360"/>
      </w:pPr>
      <w:rPr>
        <w:rFonts w:hint="default"/>
        <w:lang w:val="zh-CN" w:eastAsia="zh-CN" w:bidi="zh-CN"/>
      </w:rPr>
    </w:lvl>
  </w:abstractNum>
  <w:abstractNum w:abstractNumId="10">
    <w:nsid w:val="9B1F845E"/>
    <w:multiLevelType w:val="multilevel"/>
    <w:tmpl w:val="9B1F845E"/>
    <w:lvl w:ilvl="0" w:tentative="0">
      <w:start w:val="1"/>
      <w:numFmt w:val="decimal"/>
      <w:lvlText w:val="%1."/>
      <w:lvlJc w:val="left"/>
      <w:pPr>
        <w:ind w:left="412" w:hanging="212"/>
        <w:jc w:val="left"/>
      </w:pPr>
      <w:rPr>
        <w:rFonts w:hint="default"/>
        <w:b/>
        <w:bCs/>
        <w:spacing w:val="1"/>
        <w:w w:val="98"/>
        <w:lang w:val="zh-CN" w:eastAsia="zh-CN" w:bidi="zh-CN"/>
      </w:rPr>
    </w:lvl>
    <w:lvl w:ilvl="1" w:tentative="0">
      <w:start w:val="0"/>
      <w:numFmt w:val="bullet"/>
      <w:lvlText w:val="•"/>
      <w:lvlJc w:val="left"/>
      <w:pPr>
        <w:ind w:left="1424" w:hanging="212"/>
      </w:pPr>
      <w:rPr>
        <w:rFonts w:hint="default"/>
        <w:lang w:val="zh-CN" w:eastAsia="zh-CN" w:bidi="zh-CN"/>
      </w:rPr>
    </w:lvl>
    <w:lvl w:ilvl="2" w:tentative="0">
      <w:start w:val="0"/>
      <w:numFmt w:val="bullet"/>
      <w:lvlText w:val="•"/>
      <w:lvlJc w:val="left"/>
      <w:pPr>
        <w:ind w:left="2429" w:hanging="212"/>
      </w:pPr>
      <w:rPr>
        <w:rFonts w:hint="default"/>
        <w:lang w:val="zh-CN" w:eastAsia="zh-CN" w:bidi="zh-CN"/>
      </w:rPr>
    </w:lvl>
    <w:lvl w:ilvl="3" w:tentative="0">
      <w:start w:val="0"/>
      <w:numFmt w:val="bullet"/>
      <w:lvlText w:val="•"/>
      <w:lvlJc w:val="left"/>
      <w:pPr>
        <w:ind w:left="3433" w:hanging="212"/>
      </w:pPr>
      <w:rPr>
        <w:rFonts w:hint="default"/>
        <w:lang w:val="zh-CN" w:eastAsia="zh-CN" w:bidi="zh-CN"/>
      </w:rPr>
    </w:lvl>
    <w:lvl w:ilvl="4" w:tentative="0">
      <w:start w:val="0"/>
      <w:numFmt w:val="bullet"/>
      <w:lvlText w:val="•"/>
      <w:lvlJc w:val="left"/>
      <w:pPr>
        <w:ind w:left="4438" w:hanging="212"/>
      </w:pPr>
      <w:rPr>
        <w:rFonts w:hint="default"/>
        <w:lang w:val="zh-CN" w:eastAsia="zh-CN" w:bidi="zh-CN"/>
      </w:rPr>
    </w:lvl>
    <w:lvl w:ilvl="5" w:tentative="0">
      <w:start w:val="0"/>
      <w:numFmt w:val="bullet"/>
      <w:lvlText w:val="•"/>
      <w:lvlJc w:val="left"/>
      <w:pPr>
        <w:ind w:left="5443" w:hanging="212"/>
      </w:pPr>
      <w:rPr>
        <w:rFonts w:hint="default"/>
        <w:lang w:val="zh-CN" w:eastAsia="zh-CN" w:bidi="zh-CN"/>
      </w:rPr>
    </w:lvl>
    <w:lvl w:ilvl="6" w:tentative="0">
      <w:start w:val="0"/>
      <w:numFmt w:val="bullet"/>
      <w:lvlText w:val="•"/>
      <w:lvlJc w:val="left"/>
      <w:pPr>
        <w:ind w:left="6447" w:hanging="212"/>
      </w:pPr>
      <w:rPr>
        <w:rFonts w:hint="default"/>
        <w:lang w:val="zh-CN" w:eastAsia="zh-CN" w:bidi="zh-CN"/>
      </w:rPr>
    </w:lvl>
    <w:lvl w:ilvl="7" w:tentative="0">
      <w:start w:val="0"/>
      <w:numFmt w:val="bullet"/>
      <w:lvlText w:val="•"/>
      <w:lvlJc w:val="left"/>
      <w:pPr>
        <w:ind w:left="7452" w:hanging="212"/>
      </w:pPr>
      <w:rPr>
        <w:rFonts w:hint="default"/>
        <w:lang w:val="zh-CN" w:eastAsia="zh-CN" w:bidi="zh-CN"/>
      </w:rPr>
    </w:lvl>
    <w:lvl w:ilvl="8" w:tentative="0">
      <w:start w:val="0"/>
      <w:numFmt w:val="bullet"/>
      <w:lvlText w:val="•"/>
      <w:lvlJc w:val="left"/>
      <w:pPr>
        <w:ind w:left="8456" w:hanging="212"/>
      </w:pPr>
      <w:rPr>
        <w:rFonts w:hint="default"/>
        <w:lang w:val="zh-CN" w:eastAsia="zh-CN" w:bidi="zh-CN"/>
      </w:rPr>
    </w:lvl>
  </w:abstractNum>
  <w:abstractNum w:abstractNumId="11">
    <w:nsid w:val="9C919DE1"/>
    <w:multiLevelType w:val="multilevel"/>
    <w:tmpl w:val="9C919DE1"/>
    <w:lvl w:ilvl="0" w:tentative="0">
      <w:start w:val="1"/>
      <w:numFmt w:val="decimal"/>
      <w:lvlText w:val="%1."/>
      <w:lvlJc w:val="left"/>
      <w:pPr>
        <w:ind w:left="656" w:hanging="244"/>
        <w:jc w:val="left"/>
      </w:pPr>
      <w:rPr>
        <w:rFonts w:hint="default"/>
        <w:b/>
        <w:bCs/>
        <w:spacing w:val="-1"/>
        <w:w w:val="99"/>
        <w:lang w:val="zh-CN" w:eastAsia="zh-CN" w:bidi="zh-CN"/>
      </w:rPr>
    </w:lvl>
    <w:lvl w:ilvl="1" w:tentative="0">
      <w:start w:val="1"/>
      <w:numFmt w:val="decimal"/>
      <w:lvlText w:val="%2."/>
      <w:lvlJc w:val="left"/>
      <w:pPr>
        <w:ind w:left="412" w:hanging="241"/>
        <w:jc w:val="left"/>
      </w:pPr>
      <w:rPr>
        <w:rFonts w:hint="default" w:ascii="宋体" w:hAnsi="宋体" w:eastAsia="宋体" w:cs="宋体"/>
        <w:spacing w:val="-72"/>
        <w:w w:val="100"/>
        <w:sz w:val="22"/>
        <w:szCs w:val="22"/>
        <w:lang w:val="zh-CN" w:eastAsia="zh-CN" w:bidi="zh-CN"/>
      </w:rPr>
    </w:lvl>
    <w:lvl w:ilvl="2" w:tentative="0">
      <w:start w:val="0"/>
      <w:numFmt w:val="bullet"/>
      <w:lvlText w:val="•"/>
      <w:lvlJc w:val="left"/>
      <w:pPr>
        <w:ind w:left="1749" w:hanging="241"/>
      </w:pPr>
      <w:rPr>
        <w:rFonts w:hint="default"/>
        <w:lang w:val="zh-CN" w:eastAsia="zh-CN" w:bidi="zh-CN"/>
      </w:rPr>
    </w:lvl>
    <w:lvl w:ilvl="3" w:tentative="0">
      <w:start w:val="0"/>
      <w:numFmt w:val="bullet"/>
      <w:lvlText w:val="•"/>
      <w:lvlJc w:val="left"/>
      <w:pPr>
        <w:ind w:left="2839" w:hanging="241"/>
      </w:pPr>
      <w:rPr>
        <w:rFonts w:hint="default"/>
        <w:lang w:val="zh-CN" w:eastAsia="zh-CN" w:bidi="zh-CN"/>
      </w:rPr>
    </w:lvl>
    <w:lvl w:ilvl="4" w:tentative="0">
      <w:start w:val="0"/>
      <w:numFmt w:val="bullet"/>
      <w:lvlText w:val="•"/>
      <w:lvlJc w:val="left"/>
      <w:pPr>
        <w:ind w:left="3928" w:hanging="241"/>
      </w:pPr>
      <w:rPr>
        <w:rFonts w:hint="default"/>
        <w:lang w:val="zh-CN" w:eastAsia="zh-CN" w:bidi="zh-CN"/>
      </w:rPr>
    </w:lvl>
    <w:lvl w:ilvl="5" w:tentative="0">
      <w:start w:val="0"/>
      <w:numFmt w:val="bullet"/>
      <w:lvlText w:val="•"/>
      <w:lvlJc w:val="left"/>
      <w:pPr>
        <w:ind w:left="5018" w:hanging="241"/>
      </w:pPr>
      <w:rPr>
        <w:rFonts w:hint="default"/>
        <w:lang w:val="zh-CN" w:eastAsia="zh-CN" w:bidi="zh-CN"/>
      </w:rPr>
    </w:lvl>
    <w:lvl w:ilvl="6" w:tentative="0">
      <w:start w:val="0"/>
      <w:numFmt w:val="bullet"/>
      <w:lvlText w:val="•"/>
      <w:lvlJc w:val="left"/>
      <w:pPr>
        <w:ind w:left="6107" w:hanging="241"/>
      </w:pPr>
      <w:rPr>
        <w:rFonts w:hint="default"/>
        <w:lang w:val="zh-CN" w:eastAsia="zh-CN" w:bidi="zh-CN"/>
      </w:rPr>
    </w:lvl>
    <w:lvl w:ilvl="7" w:tentative="0">
      <w:start w:val="0"/>
      <w:numFmt w:val="bullet"/>
      <w:lvlText w:val="•"/>
      <w:lvlJc w:val="left"/>
      <w:pPr>
        <w:ind w:left="7197" w:hanging="241"/>
      </w:pPr>
      <w:rPr>
        <w:rFonts w:hint="default"/>
        <w:lang w:val="zh-CN" w:eastAsia="zh-CN" w:bidi="zh-CN"/>
      </w:rPr>
    </w:lvl>
    <w:lvl w:ilvl="8" w:tentative="0">
      <w:start w:val="0"/>
      <w:numFmt w:val="bullet"/>
      <w:lvlText w:val="•"/>
      <w:lvlJc w:val="left"/>
      <w:pPr>
        <w:ind w:left="8286" w:hanging="241"/>
      </w:pPr>
      <w:rPr>
        <w:rFonts w:hint="default"/>
        <w:lang w:val="zh-CN" w:eastAsia="zh-CN" w:bidi="zh-CN"/>
      </w:rPr>
    </w:lvl>
  </w:abstractNum>
  <w:abstractNum w:abstractNumId="12">
    <w:nsid w:val="9D9F4F4D"/>
    <w:multiLevelType w:val="multilevel"/>
    <w:tmpl w:val="9D9F4F4D"/>
    <w:lvl w:ilvl="0" w:tentative="0">
      <w:start w:val="1"/>
      <w:numFmt w:val="decimal"/>
      <w:lvlText w:val="%1."/>
      <w:lvlJc w:val="left"/>
      <w:pPr>
        <w:ind w:left="1044"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982" w:hanging="212"/>
      </w:pPr>
      <w:rPr>
        <w:rFonts w:hint="default"/>
        <w:lang w:val="zh-CN" w:eastAsia="zh-CN" w:bidi="zh-CN"/>
      </w:rPr>
    </w:lvl>
    <w:lvl w:ilvl="2" w:tentative="0">
      <w:start w:val="0"/>
      <w:numFmt w:val="bullet"/>
      <w:lvlText w:val="•"/>
      <w:lvlJc w:val="left"/>
      <w:pPr>
        <w:ind w:left="2925" w:hanging="212"/>
      </w:pPr>
      <w:rPr>
        <w:rFonts w:hint="default"/>
        <w:lang w:val="zh-CN" w:eastAsia="zh-CN" w:bidi="zh-CN"/>
      </w:rPr>
    </w:lvl>
    <w:lvl w:ilvl="3" w:tentative="0">
      <w:start w:val="0"/>
      <w:numFmt w:val="bullet"/>
      <w:lvlText w:val="•"/>
      <w:lvlJc w:val="left"/>
      <w:pPr>
        <w:ind w:left="3867" w:hanging="212"/>
      </w:pPr>
      <w:rPr>
        <w:rFonts w:hint="default"/>
        <w:lang w:val="zh-CN" w:eastAsia="zh-CN" w:bidi="zh-CN"/>
      </w:rPr>
    </w:lvl>
    <w:lvl w:ilvl="4" w:tentative="0">
      <w:start w:val="0"/>
      <w:numFmt w:val="bullet"/>
      <w:lvlText w:val="•"/>
      <w:lvlJc w:val="left"/>
      <w:pPr>
        <w:ind w:left="4810" w:hanging="212"/>
      </w:pPr>
      <w:rPr>
        <w:rFonts w:hint="default"/>
        <w:lang w:val="zh-CN" w:eastAsia="zh-CN" w:bidi="zh-CN"/>
      </w:rPr>
    </w:lvl>
    <w:lvl w:ilvl="5" w:tentative="0">
      <w:start w:val="0"/>
      <w:numFmt w:val="bullet"/>
      <w:lvlText w:val="•"/>
      <w:lvlJc w:val="left"/>
      <w:pPr>
        <w:ind w:left="5753" w:hanging="212"/>
      </w:pPr>
      <w:rPr>
        <w:rFonts w:hint="default"/>
        <w:lang w:val="zh-CN" w:eastAsia="zh-CN" w:bidi="zh-CN"/>
      </w:rPr>
    </w:lvl>
    <w:lvl w:ilvl="6" w:tentative="0">
      <w:start w:val="0"/>
      <w:numFmt w:val="bullet"/>
      <w:lvlText w:val="•"/>
      <w:lvlJc w:val="left"/>
      <w:pPr>
        <w:ind w:left="6695" w:hanging="212"/>
      </w:pPr>
      <w:rPr>
        <w:rFonts w:hint="default"/>
        <w:lang w:val="zh-CN" w:eastAsia="zh-CN" w:bidi="zh-CN"/>
      </w:rPr>
    </w:lvl>
    <w:lvl w:ilvl="7" w:tentative="0">
      <w:start w:val="0"/>
      <w:numFmt w:val="bullet"/>
      <w:lvlText w:val="•"/>
      <w:lvlJc w:val="left"/>
      <w:pPr>
        <w:ind w:left="7638" w:hanging="212"/>
      </w:pPr>
      <w:rPr>
        <w:rFonts w:hint="default"/>
        <w:lang w:val="zh-CN" w:eastAsia="zh-CN" w:bidi="zh-CN"/>
      </w:rPr>
    </w:lvl>
    <w:lvl w:ilvl="8" w:tentative="0">
      <w:start w:val="0"/>
      <w:numFmt w:val="bullet"/>
      <w:lvlText w:val="•"/>
      <w:lvlJc w:val="left"/>
      <w:pPr>
        <w:ind w:left="8580" w:hanging="212"/>
      </w:pPr>
      <w:rPr>
        <w:rFonts w:hint="default"/>
        <w:lang w:val="zh-CN" w:eastAsia="zh-CN" w:bidi="zh-CN"/>
      </w:rPr>
    </w:lvl>
  </w:abstractNum>
  <w:abstractNum w:abstractNumId="13">
    <w:nsid w:val="9F91FE98"/>
    <w:multiLevelType w:val="multilevel"/>
    <w:tmpl w:val="9F91FE98"/>
    <w:lvl w:ilvl="0" w:tentative="0">
      <w:start w:val="1"/>
      <w:numFmt w:val="decimal"/>
      <w:lvlText w:val="%1."/>
      <w:lvlJc w:val="left"/>
      <w:pPr>
        <w:ind w:left="1044"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982" w:hanging="212"/>
      </w:pPr>
      <w:rPr>
        <w:rFonts w:hint="default"/>
        <w:lang w:val="zh-CN" w:eastAsia="zh-CN" w:bidi="zh-CN"/>
      </w:rPr>
    </w:lvl>
    <w:lvl w:ilvl="2" w:tentative="0">
      <w:start w:val="0"/>
      <w:numFmt w:val="bullet"/>
      <w:lvlText w:val="•"/>
      <w:lvlJc w:val="left"/>
      <w:pPr>
        <w:ind w:left="2925" w:hanging="212"/>
      </w:pPr>
      <w:rPr>
        <w:rFonts w:hint="default"/>
        <w:lang w:val="zh-CN" w:eastAsia="zh-CN" w:bidi="zh-CN"/>
      </w:rPr>
    </w:lvl>
    <w:lvl w:ilvl="3" w:tentative="0">
      <w:start w:val="0"/>
      <w:numFmt w:val="bullet"/>
      <w:lvlText w:val="•"/>
      <w:lvlJc w:val="left"/>
      <w:pPr>
        <w:ind w:left="3867" w:hanging="212"/>
      </w:pPr>
      <w:rPr>
        <w:rFonts w:hint="default"/>
        <w:lang w:val="zh-CN" w:eastAsia="zh-CN" w:bidi="zh-CN"/>
      </w:rPr>
    </w:lvl>
    <w:lvl w:ilvl="4" w:tentative="0">
      <w:start w:val="0"/>
      <w:numFmt w:val="bullet"/>
      <w:lvlText w:val="•"/>
      <w:lvlJc w:val="left"/>
      <w:pPr>
        <w:ind w:left="4810" w:hanging="212"/>
      </w:pPr>
      <w:rPr>
        <w:rFonts w:hint="default"/>
        <w:lang w:val="zh-CN" w:eastAsia="zh-CN" w:bidi="zh-CN"/>
      </w:rPr>
    </w:lvl>
    <w:lvl w:ilvl="5" w:tentative="0">
      <w:start w:val="0"/>
      <w:numFmt w:val="bullet"/>
      <w:lvlText w:val="•"/>
      <w:lvlJc w:val="left"/>
      <w:pPr>
        <w:ind w:left="5753" w:hanging="212"/>
      </w:pPr>
      <w:rPr>
        <w:rFonts w:hint="default"/>
        <w:lang w:val="zh-CN" w:eastAsia="zh-CN" w:bidi="zh-CN"/>
      </w:rPr>
    </w:lvl>
    <w:lvl w:ilvl="6" w:tentative="0">
      <w:start w:val="0"/>
      <w:numFmt w:val="bullet"/>
      <w:lvlText w:val="•"/>
      <w:lvlJc w:val="left"/>
      <w:pPr>
        <w:ind w:left="6695" w:hanging="212"/>
      </w:pPr>
      <w:rPr>
        <w:rFonts w:hint="default"/>
        <w:lang w:val="zh-CN" w:eastAsia="zh-CN" w:bidi="zh-CN"/>
      </w:rPr>
    </w:lvl>
    <w:lvl w:ilvl="7" w:tentative="0">
      <w:start w:val="0"/>
      <w:numFmt w:val="bullet"/>
      <w:lvlText w:val="•"/>
      <w:lvlJc w:val="left"/>
      <w:pPr>
        <w:ind w:left="7638" w:hanging="212"/>
      </w:pPr>
      <w:rPr>
        <w:rFonts w:hint="default"/>
        <w:lang w:val="zh-CN" w:eastAsia="zh-CN" w:bidi="zh-CN"/>
      </w:rPr>
    </w:lvl>
    <w:lvl w:ilvl="8" w:tentative="0">
      <w:start w:val="0"/>
      <w:numFmt w:val="bullet"/>
      <w:lvlText w:val="•"/>
      <w:lvlJc w:val="left"/>
      <w:pPr>
        <w:ind w:left="8580" w:hanging="212"/>
      </w:pPr>
      <w:rPr>
        <w:rFonts w:hint="default"/>
        <w:lang w:val="zh-CN" w:eastAsia="zh-CN" w:bidi="zh-CN"/>
      </w:rPr>
    </w:lvl>
  </w:abstractNum>
  <w:abstractNum w:abstractNumId="14">
    <w:nsid w:val="A5435042"/>
    <w:multiLevelType w:val="multilevel"/>
    <w:tmpl w:val="A5435042"/>
    <w:lvl w:ilvl="0" w:tentative="0">
      <w:start w:val="14"/>
      <w:numFmt w:val="decimal"/>
      <w:lvlText w:val="%1"/>
      <w:lvlJc w:val="left"/>
      <w:pPr>
        <w:ind w:left="1305" w:hanging="473"/>
        <w:jc w:val="left"/>
      </w:pPr>
      <w:rPr>
        <w:rFonts w:hint="default"/>
        <w:lang w:val="zh-CN" w:eastAsia="zh-CN" w:bidi="zh-CN"/>
      </w:rPr>
    </w:lvl>
    <w:lvl w:ilvl="1" w:tentative="0">
      <w:start w:val="1"/>
      <w:numFmt w:val="decimal"/>
      <w:lvlText w:val="%1.%2"/>
      <w:lvlJc w:val="left"/>
      <w:pPr>
        <w:ind w:left="1305" w:hanging="473"/>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3133" w:hanging="473"/>
      </w:pPr>
      <w:rPr>
        <w:rFonts w:hint="default"/>
        <w:lang w:val="zh-CN" w:eastAsia="zh-CN" w:bidi="zh-CN"/>
      </w:rPr>
    </w:lvl>
    <w:lvl w:ilvl="3" w:tentative="0">
      <w:start w:val="0"/>
      <w:numFmt w:val="bullet"/>
      <w:lvlText w:val="•"/>
      <w:lvlJc w:val="left"/>
      <w:pPr>
        <w:ind w:left="4049" w:hanging="473"/>
      </w:pPr>
      <w:rPr>
        <w:rFonts w:hint="default"/>
        <w:lang w:val="zh-CN" w:eastAsia="zh-CN" w:bidi="zh-CN"/>
      </w:rPr>
    </w:lvl>
    <w:lvl w:ilvl="4" w:tentative="0">
      <w:start w:val="0"/>
      <w:numFmt w:val="bullet"/>
      <w:lvlText w:val="•"/>
      <w:lvlJc w:val="left"/>
      <w:pPr>
        <w:ind w:left="4966" w:hanging="473"/>
      </w:pPr>
      <w:rPr>
        <w:rFonts w:hint="default"/>
        <w:lang w:val="zh-CN" w:eastAsia="zh-CN" w:bidi="zh-CN"/>
      </w:rPr>
    </w:lvl>
    <w:lvl w:ilvl="5" w:tentative="0">
      <w:start w:val="0"/>
      <w:numFmt w:val="bullet"/>
      <w:lvlText w:val="•"/>
      <w:lvlJc w:val="left"/>
      <w:pPr>
        <w:ind w:left="5883" w:hanging="473"/>
      </w:pPr>
      <w:rPr>
        <w:rFonts w:hint="default"/>
        <w:lang w:val="zh-CN" w:eastAsia="zh-CN" w:bidi="zh-CN"/>
      </w:rPr>
    </w:lvl>
    <w:lvl w:ilvl="6" w:tentative="0">
      <w:start w:val="0"/>
      <w:numFmt w:val="bullet"/>
      <w:lvlText w:val="•"/>
      <w:lvlJc w:val="left"/>
      <w:pPr>
        <w:ind w:left="6799" w:hanging="473"/>
      </w:pPr>
      <w:rPr>
        <w:rFonts w:hint="default"/>
        <w:lang w:val="zh-CN" w:eastAsia="zh-CN" w:bidi="zh-CN"/>
      </w:rPr>
    </w:lvl>
    <w:lvl w:ilvl="7" w:tentative="0">
      <w:start w:val="0"/>
      <w:numFmt w:val="bullet"/>
      <w:lvlText w:val="•"/>
      <w:lvlJc w:val="left"/>
      <w:pPr>
        <w:ind w:left="7716" w:hanging="473"/>
      </w:pPr>
      <w:rPr>
        <w:rFonts w:hint="default"/>
        <w:lang w:val="zh-CN" w:eastAsia="zh-CN" w:bidi="zh-CN"/>
      </w:rPr>
    </w:lvl>
    <w:lvl w:ilvl="8" w:tentative="0">
      <w:start w:val="0"/>
      <w:numFmt w:val="bullet"/>
      <w:lvlText w:val="•"/>
      <w:lvlJc w:val="left"/>
      <w:pPr>
        <w:ind w:left="8632" w:hanging="473"/>
      </w:pPr>
      <w:rPr>
        <w:rFonts w:hint="default"/>
        <w:lang w:val="zh-CN" w:eastAsia="zh-CN" w:bidi="zh-CN"/>
      </w:rPr>
    </w:lvl>
  </w:abstractNum>
  <w:abstractNum w:abstractNumId="15">
    <w:nsid w:val="A9520A65"/>
    <w:multiLevelType w:val="singleLevel"/>
    <w:tmpl w:val="A9520A65"/>
    <w:lvl w:ilvl="0" w:tentative="0">
      <w:start w:val="1"/>
      <w:numFmt w:val="decimal"/>
      <w:suff w:val="nothing"/>
      <w:lvlText w:val="%1．"/>
      <w:lvlJc w:val="left"/>
      <w:pPr>
        <w:ind w:left="0" w:firstLine="400"/>
      </w:pPr>
      <w:rPr>
        <w:rFonts w:hint="default"/>
      </w:rPr>
    </w:lvl>
  </w:abstractNum>
  <w:abstractNum w:abstractNumId="16">
    <w:nsid w:val="A97D620A"/>
    <w:multiLevelType w:val="multilevel"/>
    <w:tmpl w:val="A97D620A"/>
    <w:lvl w:ilvl="0" w:tentative="0">
      <w:start w:val="1"/>
      <w:numFmt w:val="decimal"/>
      <w:lvlText w:val="%1."/>
      <w:lvlJc w:val="left"/>
      <w:pPr>
        <w:ind w:left="320" w:hanging="214"/>
        <w:jc w:val="left"/>
      </w:pPr>
      <w:rPr>
        <w:rFonts w:hint="default" w:ascii="宋体" w:hAnsi="宋体" w:eastAsia="宋体" w:cs="宋体"/>
        <w:b/>
        <w:bCs/>
        <w:spacing w:val="-2"/>
        <w:w w:val="98"/>
        <w:sz w:val="19"/>
        <w:szCs w:val="19"/>
        <w:lang w:val="zh-CN" w:eastAsia="zh-CN" w:bidi="zh-CN"/>
      </w:rPr>
    </w:lvl>
    <w:lvl w:ilvl="1" w:tentative="0">
      <w:start w:val="0"/>
      <w:numFmt w:val="bullet"/>
      <w:lvlText w:val="•"/>
      <w:lvlJc w:val="left"/>
      <w:pPr>
        <w:ind w:left="1167" w:hanging="214"/>
      </w:pPr>
      <w:rPr>
        <w:rFonts w:hint="default"/>
        <w:lang w:val="zh-CN" w:eastAsia="zh-CN" w:bidi="zh-CN"/>
      </w:rPr>
    </w:lvl>
    <w:lvl w:ilvl="2" w:tentative="0">
      <w:start w:val="0"/>
      <w:numFmt w:val="bullet"/>
      <w:lvlText w:val="•"/>
      <w:lvlJc w:val="left"/>
      <w:pPr>
        <w:ind w:left="2015" w:hanging="214"/>
      </w:pPr>
      <w:rPr>
        <w:rFonts w:hint="default"/>
        <w:lang w:val="zh-CN" w:eastAsia="zh-CN" w:bidi="zh-CN"/>
      </w:rPr>
    </w:lvl>
    <w:lvl w:ilvl="3" w:tentative="0">
      <w:start w:val="0"/>
      <w:numFmt w:val="bullet"/>
      <w:lvlText w:val="•"/>
      <w:lvlJc w:val="left"/>
      <w:pPr>
        <w:ind w:left="2862" w:hanging="214"/>
      </w:pPr>
      <w:rPr>
        <w:rFonts w:hint="default"/>
        <w:lang w:val="zh-CN" w:eastAsia="zh-CN" w:bidi="zh-CN"/>
      </w:rPr>
    </w:lvl>
    <w:lvl w:ilvl="4" w:tentative="0">
      <w:start w:val="0"/>
      <w:numFmt w:val="bullet"/>
      <w:lvlText w:val="•"/>
      <w:lvlJc w:val="left"/>
      <w:pPr>
        <w:ind w:left="3710" w:hanging="214"/>
      </w:pPr>
      <w:rPr>
        <w:rFonts w:hint="default"/>
        <w:lang w:val="zh-CN" w:eastAsia="zh-CN" w:bidi="zh-CN"/>
      </w:rPr>
    </w:lvl>
    <w:lvl w:ilvl="5" w:tentative="0">
      <w:start w:val="0"/>
      <w:numFmt w:val="bullet"/>
      <w:lvlText w:val="•"/>
      <w:lvlJc w:val="left"/>
      <w:pPr>
        <w:ind w:left="4558" w:hanging="214"/>
      </w:pPr>
      <w:rPr>
        <w:rFonts w:hint="default"/>
        <w:lang w:val="zh-CN" w:eastAsia="zh-CN" w:bidi="zh-CN"/>
      </w:rPr>
    </w:lvl>
    <w:lvl w:ilvl="6" w:tentative="0">
      <w:start w:val="0"/>
      <w:numFmt w:val="bullet"/>
      <w:lvlText w:val="•"/>
      <w:lvlJc w:val="left"/>
      <w:pPr>
        <w:ind w:left="5405" w:hanging="214"/>
      </w:pPr>
      <w:rPr>
        <w:rFonts w:hint="default"/>
        <w:lang w:val="zh-CN" w:eastAsia="zh-CN" w:bidi="zh-CN"/>
      </w:rPr>
    </w:lvl>
    <w:lvl w:ilvl="7" w:tentative="0">
      <w:start w:val="0"/>
      <w:numFmt w:val="bullet"/>
      <w:lvlText w:val="•"/>
      <w:lvlJc w:val="left"/>
      <w:pPr>
        <w:ind w:left="6253" w:hanging="214"/>
      </w:pPr>
      <w:rPr>
        <w:rFonts w:hint="default"/>
        <w:lang w:val="zh-CN" w:eastAsia="zh-CN" w:bidi="zh-CN"/>
      </w:rPr>
    </w:lvl>
    <w:lvl w:ilvl="8" w:tentative="0">
      <w:start w:val="0"/>
      <w:numFmt w:val="bullet"/>
      <w:lvlText w:val="•"/>
      <w:lvlJc w:val="left"/>
      <w:pPr>
        <w:ind w:left="7100" w:hanging="214"/>
      </w:pPr>
      <w:rPr>
        <w:rFonts w:hint="default"/>
        <w:lang w:val="zh-CN" w:eastAsia="zh-CN" w:bidi="zh-CN"/>
      </w:rPr>
    </w:lvl>
  </w:abstractNum>
  <w:abstractNum w:abstractNumId="17">
    <w:nsid w:val="AC38AFEB"/>
    <w:multiLevelType w:val="multilevel"/>
    <w:tmpl w:val="AC38AFEB"/>
    <w:lvl w:ilvl="0" w:tentative="0">
      <w:start w:val="7"/>
      <w:numFmt w:val="decimal"/>
      <w:lvlText w:val="%1."/>
      <w:lvlJc w:val="left"/>
      <w:pPr>
        <w:ind w:left="655" w:hanging="243"/>
        <w:jc w:val="left"/>
      </w:pPr>
      <w:rPr>
        <w:rFonts w:hint="default" w:ascii="宋体" w:hAnsi="宋体" w:eastAsia="宋体" w:cs="宋体"/>
        <w:b/>
        <w:bCs/>
        <w:w w:val="99"/>
        <w:sz w:val="22"/>
        <w:szCs w:val="22"/>
        <w:lang w:val="zh-CN" w:eastAsia="zh-CN" w:bidi="zh-CN"/>
      </w:rPr>
    </w:lvl>
    <w:lvl w:ilvl="1" w:tentative="0">
      <w:start w:val="1"/>
      <w:numFmt w:val="decimal"/>
      <w:lvlText w:val="%2."/>
      <w:lvlJc w:val="left"/>
      <w:pPr>
        <w:ind w:left="916" w:hanging="360"/>
        <w:jc w:val="left"/>
      </w:pPr>
      <w:rPr>
        <w:rFonts w:hint="default" w:ascii="宋体" w:hAnsi="宋体" w:eastAsia="宋体" w:cs="宋体"/>
        <w:b/>
        <w:bCs/>
        <w:spacing w:val="0"/>
        <w:w w:val="99"/>
        <w:sz w:val="24"/>
        <w:szCs w:val="24"/>
        <w:lang w:val="zh-CN" w:eastAsia="zh-CN" w:bidi="zh-CN"/>
      </w:rPr>
    </w:lvl>
    <w:lvl w:ilvl="2" w:tentative="0">
      <w:start w:val="0"/>
      <w:numFmt w:val="bullet"/>
      <w:lvlText w:val="•"/>
      <w:lvlJc w:val="left"/>
      <w:pPr>
        <w:ind w:left="1160" w:hanging="360"/>
      </w:pPr>
      <w:rPr>
        <w:rFonts w:hint="default"/>
        <w:lang w:val="zh-CN" w:eastAsia="zh-CN" w:bidi="zh-CN"/>
      </w:rPr>
    </w:lvl>
    <w:lvl w:ilvl="3" w:tentative="0">
      <w:start w:val="0"/>
      <w:numFmt w:val="bullet"/>
      <w:lvlText w:val="•"/>
      <w:lvlJc w:val="left"/>
      <w:pPr>
        <w:ind w:left="1400" w:hanging="360"/>
      </w:pPr>
      <w:rPr>
        <w:rFonts w:hint="default"/>
        <w:lang w:val="zh-CN" w:eastAsia="zh-CN" w:bidi="zh-CN"/>
      </w:rPr>
    </w:lvl>
    <w:lvl w:ilvl="4" w:tentative="0">
      <w:start w:val="0"/>
      <w:numFmt w:val="bullet"/>
      <w:lvlText w:val="•"/>
      <w:lvlJc w:val="left"/>
      <w:pPr>
        <w:ind w:left="1641" w:hanging="360"/>
      </w:pPr>
      <w:rPr>
        <w:rFonts w:hint="default"/>
        <w:lang w:val="zh-CN" w:eastAsia="zh-CN" w:bidi="zh-CN"/>
      </w:rPr>
    </w:lvl>
    <w:lvl w:ilvl="5" w:tentative="0">
      <w:start w:val="0"/>
      <w:numFmt w:val="bullet"/>
      <w:lvlText w:val="•"/>
      <w:lvlJc w:val="left"/>
      <w:pPr>
        <w:ind w:left="1881" w:hanging="360"/>
      </w:pPr>
      <w:rPr>
        <w:rFonts w:hint="default"/>
        <w:lang w:val="zh-CN" w:eastAsia="zh-CN" w:bidi="zh-CN"/>
      </w:rPr>
    </w:lvl>
    <w:lvl w:ilvl="6" w:tentative="0">
      <w:start w:val="0"/>
      <w:numFmt w:val="bullet"/>
      <w:lvlText w:val="•"/>
      <w:lvlJc w:val="left"/>
      <w:pPr>
        <w:ind w:left="2122" w:hanging="360"/>
      </w:pPr>
      <w:rPr>
        <w:rFonts w:hint="default"/>
        <w:lang w:val="zh-CN" w:eastAsia="zh-CN" w:bidi="zh-CN"/>
      </w:rPr>
    </w:lvl>
    <w:lvl w:ilvl="7" w:tentative="0">
      <w:start w:val="0"/>
      <w:numFmt w:val="bullet"/>
      <w:lvlText w:val="•"/>
      <w:lvlJc w:val="left"/>
      <w:pPr>
        <w:ind w:left="2362" w:hanging="360"/>
      </w:pPr>
      <w:rPr>
        <w:rFonts w:hint="default"/>
        <w:lang w:val="zh-CN" w:eastAsia="zh-CN" w:bidi="zh-CN"/>
      </w:rPr>
    </w:lvl>
    <w:lvl w:ilvl="8" w:tentative="0">
      <w:start w:val="0"/>
      <w:numFmt w:val="bullet"/>
      <w:lvlText w:val="•"/>
      <w:lvlJc w:val="left"/>
      <w:pPr>
        <w:ind w:left="2603" w:hanging="360"/>
      </w:pPr>
      <w:rPr>
        <w:rFonts w:hint="default"/>
        <w:lang w:val="zh-CN" w:eastAsia="zh-CN" w:bidi="zh-CN"/>
      </w:rPr>
    </w:lvl>
  </w:abstractNum>
  <w:abstractNum w:abstractNumId="18">
    <w:nsid w:val="B0082E4F"/>
    <w:multiLevelType w:val="multilevel"/>
    <w:tmpl w:val="B0082E4F"/>
    <w:lvl w:ilvl="0" w:tentative="0">
      <w:start w:val="1"/>
      <w:numFmt w:val="decimal"/>
      <w:lvlText w:val="%1."/>
      <w:lvlJc w:val="left"/>
      <w:pPr>
        <w:ind w:left="1044"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982" w:hanging="212"/>
      </w:pPr>
      <w:rPr>
        <w:rFonts w:hint="default"/>
        <w:lang w:val="zh-CN" w:eastAsia="zh-CN" w:bidi="zh-CN"/>
      </w:rPr>
    </w:lvl>
    <w:lvl w:ilvl="2" w:tentative="0">
      <w:start w:val="0"/>
      <w:numFmt w:val="bullet"/>
      <w:lvlText w:val="•"/>
      <w:lvlJc w:val="left"/>
      <w:pPr>
        <w:ind w:left="2925" w:hanging="212"/>
      </w:pPr>
      <w:rPr>
        <w:rFonts w:hint="default"/>
        <w:lang w:val="zh-CN" w:eastAsia="zh-CN" w:bidi="zh-CN"/>
      </w:rPr>
    </w:lvl>
    <w:lvl w:ilvl="3" w:tentative="0">
      <w:start w:val="0"/>
      <w:numFmt w:val="bullet"/>
      <w:lvlText w:val="•"/>
      <w:lvlJc w:val="left"/>
      <w:pPr>
        <w:ind w:left="3867" w:hanging="212"/>
      </w:pPr>
      <w:rPr>
        <w:rFonts w:hint="default"/>
        <w:lang w:val="zh-CN" w:eastAsia="zh-CN" w:bidi="zh-CN"/>
      </w:rPr>
    </w:lvl>
    <w:lvl w:ilvl="4" w:tentative="0">
      <w:start w:val="0"/>
      <w:numFmt w:val="bullet"/>
      <w:lvlText w:val="•"/>
      <w:lvlJc w:val="left"/>
      <w:pPr>
        <w:ind w:left="4810" w:hanging="212"/>
      </w:pPr>
      <w:rPr>
        <w:rFonts w:hint="default"/>
        <w:lang w:val="zh-CN" w:eastAsia="zh-CN" w:bidi="zh-CN"/>
      </w:rPr>
    </w:lvl>
    <w:lvl w:ilvl="5" w:tentative="0">
      <w:start w:val="0"/>
      <w:numFmt w:val="bullet"/>
      <w:lvlText w:val="•"/>
      <w:lvlJc w:val="left"/>
      <w:pPr>
        <w:ind w:left="5753" w:hanging="212"/>
      </w:pPr>
      <w:rPr>
        <w:rFonts w:hint="default"/>
        <w:lang w:val="zh-CN" w:eastAsia="zh-CN" w:bidi="zh-CN"/>
      </w:rPr>
    </w:lvl>
    <w:lvl w:ilvl="6" w:tentative="0">
      <w:start w:val="0"/>
      <w:numFmt w:val="bullet"/>
      <w:lvlText w:val="•"/>
      <w:lvlJc w:val="left"/>
      <w:pPr>
        <w:ind w:left="6695" w:hanging="212"/>
      </w:pPr>
      <w:rPr>
        <w:rFonts w:hint="default"/>
        <w:lang w:val="zh-CN" w:eastAsia="zh-CN" w:bidi="zh-CN"/>
      </w:rPr>
    </w:lvl>
    <w:lvl w:ilvl="7" w:tentative="0">
      <w:start w:val="0"/>
      <w:numFmt w:val="bullet"/>
      <w:lvlText w:val="•"/>
      <w:lvlJc w:val="left"/>
      <w:pPr>
        <w:ind w:left="7638" w:hanging="212"/>
      </w:pPr>
      <w:rPr>
        <w:rFonts w:hint="default"/>
        <w:lang w:val="zh-CN" w:eastAsia="zh-CN" w:bidi="zh-CN"/>
      </w:rPr>
    </w:lvl>
    <w:lvl w:ilvl="8" w:tentative="0">
      <w:start w:val="0"/>
      <w:numFmt w:val="bullet"/>
      <w:lvlText w:val="•"/>
      <w:lvlJc w:val="left"/>
      <w:pPr>
        <w:ind w:left="8580" w:hanging="212"/>
      </w:pPr>
      <w:rPr>
        <w:rFonts w:hint="default"/>
        <w:lang w:val="zh-CN" w:eastAsia="zh-CN" w:bidi="zh-CN"/>
      </w:rPr>
    </w:lvl>
  </w:abstractNum>
  <w:abstractNum w:abstractNumId="19">
    <w:nsid w:val="B08374AC"/>
    <w:multiLevelType w:val="multilevel"/>
    <w:tmpl w:val="B08374AC"/>
    <w:lvl w:ilvl="0" w:tentative="0">
      <w:start w:val="2"/>
      <w:numFmt w:val="decimal"/>
      <w:lvlText w:val="%1."/>
      <w:lvlJc w:val="left"/>
      <w:pPr>
        <w:ind w:left="317"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167" w:hanging="212"/>
      </w:pPr>
      <w:rPr>
        <w:rFonts w:hint="default"/>
        <w:lang w:val="zh-CN" w:eastAsia="zh-CN" w:bidi="zh-CN"/>
      </w:rPr>
    </w:lvl>
    <w:lvl w:ilvl="2" w:tentative="0">
      <w:start w:val="0"/>
      <w:numFmt w:val="bullet"/>
      <w:lvlText w:val="•"/>
      <w:lvlJc w:val="left"/>
      <w:pPr>
        <w:ind w:left="2015" w:hanging="212"/>
      </w:pPr>
      <w:rPr>
        <w:rFonts w:hint="default"/>
        <w:lang w:val="zh-CN" w:eastAsia="zh-CN" w:bidi="zh-CN"/>
      </w:rPr>
    </w:lvl>
    <w:lvl w:ilvl="3" w:tentative="0">
      <w:start w:val="0"/>
      <w:numFmt w:val="bullet"/>
      <w:lvlText w:val="•"/>
      <w:lvlJc w:val="left"/>
      <w:pPr>
        <w:ind w:left="2862" w:hanging="212"/>
      </w:pPr>
      <w:rPr>
        <w:rFonts w:hint="default"/>
        <w:lang w:val="zh-CN" w:eastAsia="zh-CN" w:bidi="zh-CN"/>
      </w:rPr>
    </w:lvl>
    <w:lvl w:ilvl="4" w:tentative="0">
      <w:start w:val="0"/>
      <w:numFmt w:val="bullet"/>
      <w:lvlText w:val="•"/>
      <w:lvlJc w:val="left"/>
      <w:pPr>
        <w:ind w:left="3710" w:hanging="212"/>
      </w:pPr>
      <w:rPr>
        <w:rFonts w:hint="default"/>
        <w:lang w:val="zh-CN" w:eastAsia="zh-CN" w:bidi="zh-CN"/>
      </w:rPr>
    </w:lvl>
    <w:lvl w:ilvl="5" w:tentative="0">
      <w:start w:val="0"/>
      <w:numFmt w:val="bullet"/>
      <w:lvlText w:val="•"/>
      <w:lvlJc w:val="left"/>
      <w:pPr>
        <w:ind w:left="4558" w:hanging="212"/>
      </w:pPr>
      <w:rPr>
        <w:rFonts w:hint="default"/>
        <w:lang w:val="zh-CN" w:eastAsia="zh-CN" w:bidi="zh-CN"/>
      </w:rPr>
    </w:lvl>
    <w:lvl w:ilvl="6" w:tentative="0">
      <w:start w:val="0"/>
      <w:numFmt w:val="bullet"/>
      <w:lvlText w:val="•"/>
      <w:lvlJc w:val="left"/>
      <w:pPr>
        <w:ind w:left="5405" w:hanging="212"/>
      </w:pPr>
      <w:rPr>
        <w:rFonts w:hint="default"/>
        <w:lang w:val="zh-CN" w:eastAsia="zh-CN" w:bidi="zh-CN"/>
      </w:rPr>
    </w:lvl>
    <w:lvl w:ilvl="7" w:tentative="0">
      <w:start w:val="0"/>
      <w:numFmt w:val="bullet"/>
      <w:lvlText w:val="•"/>
      <w:lvlJc w:val="left"/>
      <w:pPr>
        <w:ind w:left="6253" w:hanging="212"/>
      </w:pPr>
      <w:rPr>
        <w:rFonts w:hint="default"/>
        <w:lang w:val="zh-CN" w:eastAsia="zh-CN" w:bidi="zh-CN"/>
      </w:rPr>
    </w:lvl>
    <w:lvl w:ilvl="8" w:tentative="0">
      <w:start w:val="0"/>
      <w:numFmt w:val="bullet"/>
      <w:lvlText w:val="•"/>
      <w:lvlJc w:val="left"/>
      <w:pPr>
        <w:ind w:left="7100" w:hanging="212"/>
      </w:pPr>
      <w:rPr>
        <w:rFonts w:hint="default"/>
        <w:lang w:val="zh-CN" w:eastAsia="zh-CN" w:bidi="zh-CN"/>
      </w:rPr>
    </w:lvl>
  </w:abstractNum>
  <w:abstractNum w:abstractNumId="20">
    <w:nsid w:val="B15ABE86"/>
    <w:multiLevelType w:val="multilevel"/>
    <w:tmpl w:val="B15ABE86"/>
    <w:lvl w:ilvl="0" w:tentative="0">
      <w:start w:val="1"/>
      <w:numFmt w:val="decimal"/>
      <w:lvlText w:val="%1."/>
      <w:lvlJc w:val="left"/>
      <w:pPr>
        <w:ind w:left="412"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424" w:hanging="212"/>
      </w:pPr>
      <w:rPr>
        <w:rFonts w:hint="default"/>
        <w:lang w:val="zh-CN" w:eastAsia="zh-CN" w:bidi="zh-CN"/>
      </w:rPr>
    </w:lvl>
    <w:lvl w:ilvl="2" w:tentative="0">
      <w:start w:val="0"/>
      <w:numFmt w:val="bullet"/>
      <w:lvlText w:val="•"/>
      <w:lvlJc w:val="left"/>
      <w:pPr>
        <w:ind w:left="2429" w:hanging="212"/>
      </w:pPr>
      <w:rPr>
        <w:rFonts w:hint="default"/>
        <w:lang w:val="zh-CN" w:eastAsia="zh-CN" w:bidi="zh-CN"/>
      </w:rPr>
    </w:lvl>
    <w:lvl w:ilvl="3" w:tentative="0">
      <w:start w:val="0"/>
      <w:numFmt w:val="bullet"/>
      <w:lvlText w:val="•"/>
      <w:lvlJc w:val="left"/>
      <w:pPr>
        <w:ind w:left="3433" w:hanging="212"/>
      </w:pPr>
      <w:rPr>
        <w:rFonts w:hint="default"/>
        <w:lang w:val="zh-CN" w:eastAsia="zh-CN" w:bidi="zh-CN"/>
      </w:rPr>
    </w:lvl>
    <w:lvl w:ilvl="4" w:tentative="0">
      <w:start w:val="0"/>
      <w:numFmt w:val="bullet"/>
      <w:lvlText w:val="•"/>
      <w:lvlJc w:val="left"/>
      <w:pPr>
        <w:ind w:left="4438" w:hanging="212"/>
      </w:pPr>
      <w:rPr>
        <w:rFonts w:hint="default"/>
        <w:lang w:val="zh-CN" w:eastAsia="zh-CN" w:bidi="zh-CN"/>
      </w:rPr>
    </w:lvl>
    <w:lvl w:ilvl="5" w:tentative="0">
      <w:start w:val="0"/>
      <w:numFmt w:val="bullet"/>
      <w:lvlText w:val="•"/>
      <w:lvlJc w:val="left"/>
      <w:pPr>
        <w:ind w:left="5443" w:hanging="212"/>
      </w:pPr>
      <w:rPr>
        <w:rFonts w:hint="default"/>
        <w:lang w:val="zh-CN" w:eastAsia="zh-CN" w:bidi="zh-CN"/>
      </w:rPr>
    </w:lvl>
    <w:lvl w:ilvl="6" w:tentative="0">
      <w:start w:val="0"/>
      <w:numFmt w:val="bullet"/>
      <w:lvlText w:val="•"/>
      <w:lvlJc w:val="left"/>
      <w:pPr>
        <w:ind w:left="6447" w:hanging="212"/>
      </w:pPr>
      <w:rPr>
        <w:rFonts w:hint="default"/>
        <w:lang w:val="zh-CN" w:eastAsia="zh-CN" w:bidi="zh-CN"/>
      </w:rPr>
    </w:lvl>
    <w:lvl w:ilvl="7" w:tentative="0">
      <w:start w:val="0"/>
      <w:numFmt w:val="bullet"/>
      <w:lvlText w:val="•"/>
      <w:lvlJc w:val="left"/>
      <w:pPr>
        <w:ind w:left="7452" w:hanging="212"/>
      </w:pPr>
      <w:rPr>
        <w:rFonts w:hint="default"/>
        <w:lang w:val="zh-CN" w:eastAsia="zh-CN" w:bidi="zh-CN"/>
      </w:rPr>
    </w:lvl>
    <w:lvl w:ilvl="8" w:tentative="0">
      <w:start w:val="0"/>
      <w:numFmt w:val="bullet"/>
      <w:lvlText w:val="•"/>
      <w:lvlJc w:val="left"/>
      <w:pPr>
        <w:ind w:left="8456" w:hanging="212"/>
      </w:pPr>
      <w:rPr>
        <w:rFonts w:hint="default"/>
        <w:lang w:val="zh-CN" w:eastAsia="zh-CN" w:bidi="zh-CN"/>
      </w:rPr>
    </w:lvl>
  </w:abstractNum>
  <w:abstractNum w:abstractNumId="21">
    <w:nsid w:val="B1CC6FF1"/>
    <w:multiLevelType w:val="multilevel"/>
    <w:tmpl w:val="B1CC6FF1"/>
    <w:lvl w:ilvl="0" w:tentative="0">
      <w:start w:val="5"/>
      <w:numFmt w:val="decimal"/>
      <w:lvlText w:val="%1."/>
      <w:lvlJc w:val="left"/>
      <w:pPr>
        <w:ind w:left="626" w:hanging="214"/>
        <w:jc w:val="left"/>
      </w:pPr>
      <w:rPr>
        <w:rFonts w:hint="default" w:ascii="宋体" w:hAnsi="宋体" w:eastAsia="宋体" w:cs="宋体"/>
        <w:b/>
        <w:bCs/>
        <w:spacing w:val="-2"/>
        <w:w w:val="98"/>
        <w:sz w:val="19"/>
        <w:szCs w:val="19"/>
        <w:lang w:val="zh-CN" w:eastAsia="zh-CN" w:bidi="zh-CN"/>
      </w:rPr>
    </w:lvl>
    <w:lvl w:ilvl="1" w:tentative="0">
      <w:start w:val="1"/>
      <w:numFmt w:val="decimal"/>
      <w:lvlText w:val="%1.%2"/>
      <w:lvlJc w:val="left"/>
      <w:pPr>
        <w:ind w:left="1200" w:hanging="368"/>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2229" w:hanging="368"/>
      </w:pPr>
      <w:rPr>
        <w:rFonts w:hint="default"/>
        <w:lang w:val="zh-CN" w:eastAsia="zh-CN" w:bidi="zh-CN"/>
      </w:rPr>
    </w:lvl>
    <w:lvl w:ilvl="3" w:tentative="0">
      <w:start w:val="0"/>
      <w:numFmt w:val="bullet"/>
      <w:lvlText w:val="•"/>
      <w:lvlJc w:val="left"/>
      <w:pPr>
        <w:ind w:left="3259" w:hanging="368"/>
      </w:pPr>
      <w:rPr>
        <w:rFonts w:hint="default"/>
        <w:lang w:val="zh-CN" w:eastAsia="zh-CN" w:bidi="zh-CN"/>
      </w:rPr>
    </w:lvl>
    <w:lvl w:ilvl="4" w:tentative="0">
      <w:start w:val="0"/>
      <w:numFmt w:val="bullet"/>
      <w:lvlText w:val="•"/>
      <w:lvlJc w:val="left"/>
      <w:pPr>
        <w:ind w:left="4288" w:hanging="368"/>
      </w:pPr>
      <w:rPr>
        <w:rFonts w:hint="default"/>
        <w:lang w:val="zh-CN" w:eastAsia="zh-CN" w:bidi="zh-CN"/>
      </w:rPr>
    </w:lvl>
    <w:lvl w:ilvl="5" w:tentative="0">
      <w:start w:val="0"/>
      <w:numFmt w:val="bullet"/>
      <w:lvlText w:val="•"/>
      <w:lvlJc w:val="left"/>
      <w:pPr>
        <w:ind w:left="5318" w:hanging="368"/>
      </w:pPr>
      <w:rPr>
        <w:rFonts w:hint="default"/>
        <w:lang w:val="zh-CN" w:eastAsia="zh-CN" w:bidi="zh-CN"/>
      </w:rPr>
    </w:lvl>
    <w:lvl w:ilvl="6" w:tentative="0">
      <w:start w:val="0"/>
      <w:numFmt w:val="bullet"/>
      <w:lvlText w:val="•"/>
      <w:lvlJc w:val="left"/>
      <w:pPr>
        <w:ind w:left="6347" w:hanging="368"/>
      </w:pPr>
      <w:rPr>
        <w:rFonts w:hint="default"/>
        <w:lang w:val="zh-CN" w:eastAsia="zh-CN" w:bidi="zh-CN"/>
      </w:rPr>
    </w:lvl>
    <w:lvl w:ilvl="7" w:tentative="0">
      <w:start w:val="0"/>
      <w:numFmt w:val="bullet"/>
      <w:lvlText w:val="•"/>
      <w:lvlJc w:val="left"/>
      <w:pPr>
        <w:ind w:left="7377" w:hanging="368"/>
      </w:pPr>
      <w:rPr>
        <w:rFonts w:hint="default"/>
        <w:lang w:val="zh-CN" w:eastAsia="zh-CN" w:bidi="zh-CN"/>
      </w:rPr>
    </w:lvl>
    <w:lvl w:ilvl="8" w:tentative="0">
      <w:start w:val="0"/>
      <w:numFmt w:val="bullet"/>
      <w:lvlText w:val="•"/>
      <w:lvlJc w:val="left"/>
      <w:pPr>
        <w:ind w:left="8406" w:hanging="368"/>
      </w:pPr>
      <w:rPr>
        <w:rFonts w:hint="default"/>
        <w:lang w:val="zh-CN" w:eastAsia="zh-CN" w:bidi="zh-CN"/>
      </w:rPr>
    </w:lvl>
  </w:abstractNum>
  <w:abstractNum w:abstractNumId="22">
    <w:nsid w:val="B4E02BC3"/>
    <w:multiLevelType w:val="multilevel"/>
    <w:tmpl w:val="B4E02BC3"/>
    <w:lvl w:ilvl="0" w:tentative="0">
      <w:start w:val="1"/>
      <w:numFmt w:val="decimal"/>
      <w:lvlText w:val="%1."/>
      <w:lvlJc w:val="left"/>
      <w:pPr>
        <w:ind w:left="317"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167" w:hanging="212"/>
      </w:pPr>
      <w:rPr>
        <w:rFonts w:hint="default"/>
        <w:lang w:val="zh-CN" w:eastAsia="zh-CN" w:bidi="zh-CN"/>
      </w:rPr>
    </w:lvl>
    <w:lvl w:ilvl="2" w:tentative="0">
      <w:start w:val="0"/>
      <w:numFmt w:val="bullet"/>
      <w:lvlText w:val="•"/>
      <w:lvlJc w:val="left"/>
      <w:pPr>
        <w:ind w:left="2015" w:hanging="212"/>
      </w:pPr>
      <w:rPr>
        <w:rFonts w:hint="default"/>
        <w:lang w:val="zh-CN" w:eastAsia="zh-CN" w:bidi="zh-CN"/>
      </w:rPr>
    </w:lvl>
    <w:lvl w:ilvl="3" w:tentative="0">
      <w:start w:val="0"/>
      <w:numFmt w:val="bullet"/>
      <w:lvlText w:val="•"/>
      <w:lvlJc w:val="left"/>
      <w:pPr>
        <w:ind w:left="2862" w:hanging="212"/>
      </w:pPr>
      <w:rPr>
        <w:rFonts w:hint="default"/>
        <w:lang w:val="zh-CN" w:eastAsia="zh-CN" w:bidi="zh-CN"/>
      </w:rPr>
    </w:lvl>
    <w:lvl w:ilvl="4" w:tentative="0">
      <w:start w:val="0"/>
      <w:numFmt w:val="bullet"/>
      <w:lvlText w:val="•"/>
      <w:lvlJc w:val="left"/>
      <w:pPr>
        <w:ind w:left="3710" w:hanging="212"/>
      </w:pPr>
      <w:rPr>
        <w:rFonts w:hint="default"/>
        <w:lang w:val="zh-CN" w:eastAsia="zh-CN" w:bidi="zh-CN"/>
      </w:rPr>
    </w:lvl>
    <w:lvl w:ilvl="5" w:tentative="0">
      <w:start w:val="0"/>
      <w:numFmt w:val="bullet"/>
      <w:lvlText w:val="•"/>
      <w:lvlJc w:val="left"/>
      <w:pPr>
        <w:ind w:left="4558" w:hanging="212"/>
      </w:pPr>
      <w:rPr>
        <w:rFonts w:hint="default"/>
        <w:lang w:val="zh-CN" w:eastAsia="zh-CN" w:bidi="zh-CN"/>
      </w:rPr>
    </w:lvl>
    <w:lvl w:ilvl="6" w:tentative="0">
      <w:start w:val="0"/>
      <w:numFmt w:val="bullet"/>
      <w:lvlText w:val="•"/>
      <w:lvlJc w:val="left"/>
      <w:pPr>
        <w:ind w:left="5405" w:hanging="212"/>
      </w:pPr>
      <w:rPr>
        <w:rFonts w:hint="default"/>
        <w:lang w:val="zh-CN" w:eastAsia="zh-CN" w:bidi="zh-CN"/>
      </w:rPr>
    </w:lvl>
    <w:lvl w:ilvl="7" w:tentative="0">
      <w:start w:val="0"/>
      <w:numFmt w:val="bullet"/>
      <w:lvlText w:val="•"/>
      <w:lvlJc w:val="left"/>
      <w:pPr>
        <w:ind w:left="6253" w:hanging="212"/>
      </w:pPr>
      <w:rPr>
        <w:rFonts w:hint="default"/>
        <w:lang w:val="zh-CN" w:eastAsia="zh-CN" w:bidi="zh-CN"/>
      </w:rPr>
    </w:lvl>
    <w:lvl w:ilvl="8" w:tentative="0">
      <w:start w:val="0"/>
      <w:numFmt w:val="bullet"/>
      <w:lvlText w:val="•"/>
      <w:lvlJc w:val="left"/>
      <w:pPr>
        <w:ind w:left="7100" w:hanging="212"/>
      </w:pPr>
      <w:rPr>
        <w:rFonts w:hint="default"/>
        <w:lang w:val="zh-CN" w:eastAsia="zh-CN" w:bidi="zh-CN"/>
      </w:rPr>
    </w:lvl>
  </w:abstractNum>
  <w:abstractNum w:abstractNumId="23">
    <w:nsid w:val="B5601969"/>
    <w:multiLevelType w:val="multilevel"/>
    <w:tmpl w:val="B5601969"/>
    <w:lvl w:ilvl="0" w:tentative="0">
      <w:start w:val="1"/>
      <w:numFmt w:val="decimal"/>
      <w:lvlText w:val="%1."/>
      <w:lvlJc w:val="left"/>
      <w:pPr>
        <w:ind w:left="626" w:hanging="214"/>
        <w:jc w:val="left"/>
      </w:pPr>
      <w:rPr>
        <w:rFonts w:hint="default"/>
        <w:b/>
        <w:bCs/>
        <w:spacing w:val="-2"/>
        <w:w w:val="98"/>
        <w:lang w:val="zh-CN" w:eastAsia="zh-CN" w:bidi="zh-CN"/>
      </w:rPr>
    </w:lvl>
    <w:lvl w:ilvl="1" w:tentative="0">
      <w:start w:val="1"/>
      <w:numFmt w:val="decimal"/>
      <w:lvlText w:val="%1.%2"/>
      <w:lvlJc w:val="left"/>
      <w:pPr>
        <w:ind w:left="1200" w:hanging="368"/>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2229" w:hanging="368"/>
      </w:pPr>
      <w:rPr>
        <w:rFonts w:hint="default"/>
        <w:lang w:val="zh-CN" w:eastAsia="zh-CN" w:bidi="zh-CN"/>
      </w:rPr>
    </w:lvl>
    <w:lvl w:ilvl="3" w:tentative="0">
      <w:start w:val="0"/>
      <w:numFmt w:val="bullet"/>
      <w:lvlText w:val="•"/>
      <w:lvlJc w:val="left"/>
      <w:pPr>
        <w:ind w:left="3259" w:hanging="368"/>
      </w:pPr>
      <w:rPr>
        <w:rFonts w:hint="default"/>
        <w:lang w:val="zh-CN" w:eastAsia="zh-CN" w:bidi="zh-CN"/>
      </w:rPr>
    </w:lvl>
    <w:lvl w:ilvl="4" w:tentative="0">
      <w:start w:val="0"/>
      <w:numFmt w:val="bullet"/>
      <w:lvlText w:val="•"/>
      <w:lvlJc w:val="left"/>
      <w:pPr>
        <w:ind w:left="4288" w:hanging="368"/>
      </w:pPr>
      <w:rPr>
        <w:rFonts w:hint="default"/>
        <w:lang w:val="zh-CN" w:eastAsia="zh-CN" w:bidi="zh-CN"/>
      </w:rPr>
    </w:lvl>
    <w:lvl w:ilvl="5" w:tentative="0">
      <w:start w:val="0"/>
      <w:numFmt w:val="bullet"/>
      <w:lvlText w:val="•"/>
      <w:lvlJc w:val="left"/>
      <w:pPr>
        <w:ind w:left="5318" w:hanging="368"/>
      </w:pPr>
      <w:rPr>
        <w:rFonts w:hint="default"/>
        <w:lang w:val="zh-CN" w:eastAsia="zh-CN" w:bidi="zh-CN"/>
      </w:rPr>
    </w:lvl>
    <w:lvl w:ilvl="6" w:tentative="0">
      <w:start w:val="0"/>
      <w:numFmt w:val="bullet"/>
      <w:lvlText w:val="•"/>
      <w:lvlJc w:val="left"/>
      <w:pPr>
        <w:ind w:left="6347" w:hanging="368"/>
      </w:pPr>
      <w:rPr>
        <w:rFonts w:hint="default"/>
        <w:lang w:val="zh-CN" w:eastAsia="zh-CN" w:bidi="zh-CN"/>
      </w:rPr>
    </w:lvl>
    <w:lvl w:ilvl="7" w:tentative="0">
      <w:start w:val="0"/>
      <w:numFmt w:val="bullet"/>
      <w:lvlText w:val="•"/>
      <w:lvlJc w:val="left"/>
      <w:pPr>
        <w:ind w:left="7377" w:hanging="368"/>
      </w:pPr>
      <w:rPr>
        <w:rFonts w:hint="default"/>
        <w:lang w:val="zh-CN" w:eastAsia="zh-CN" w:bidi="zh-CN"/>
      </w:rPr>
    </w:lvl>
    <w:lvl w:ilvl="8" w:tentative="0">
      <w:start w:val="0"/>
      <w:numFmt w:val="bullet"/>
      <w:lvlText w:val="•"/>
      <w:lvlJc w:val="left"/>
      <w:pPr>
        <w:ind w:left="8406" w:hanging="368"/>
      </w:pPr>
      <w:rPr>
        <w:rFonts w:hint="default"/>
        <w:lang w:val="zh-CN" w:eastAsia="zh-CN" w:bidi="zh-CN"/>
      </w:rPr>
    </w:lvl>
  </w:abstractNum>
  <w:abstractNum w:abstractNumId="24">
    <w:nsid w:val="B5CF74F5"/>
    <w:multiLevelType w:val="multilevel"/>
    <w:tmpl w:val="B5CF74F5"/>
    <w:lvl w:ilvl="0" w:tentative="0">
      <w:start w:val="1"/>
      <w:numFmt w:val="decimal"/>
      <w:lvlText w:val="（%1）"/>
      <w:lvlJc w:val="left"/>
      <w:pPr>
        <w:ind w:left="1359" w:hanging="527"/>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2270" w:hanging="527"/>
      </w:pPr>
      <w:rPr>
        <w:rFonts w:hint="default"/>
        <w:lang w:val="zh-CN" w:eastAsia="zh-CN" w:bidi="zh-CN"/>
      </w:rPr>
    </w:lvl>
    <w:lvl w:ilvl="2" w:tentative="0">
      <w:start w:val="0"/>
      <w:numFmt w:val="bullet"/>
      <w:lvlText w:val="•"/>
      <w:lvlJc w:val="left"/>
      <w:pPr>
        <w:ind w:left="3181" w:hanging="527"/>
      </w:pPr>
      <w:rPr>
        <w:rFonts w:hint="default"/>
        <w:lang w:val="zh-CN" w:eastAsia="zh-CN" w:bidi="zh-CN"/>
      </w:rPr>
    </w:lvl>
    <w:lvl w:ilvl="3" w:tentative="0">
      <w:start w:val="0"/>
      <w:numFmt w:val="bullet"/>
      <w:lvlText w:val="•"/>
      <w:lvlJc w:val="left"/>
      <w:pPr>
        <w:ind w:left="4091" w:hanging="527"/>
      </w:pPr>
      <w:rPr>
        <w:rFonts w:hint="default"/>
        <w:lang w:val="zh-CN" w:eastAsia="zh-CN" w:bidi="zh-CN"/>
      </w:rPr>
    </w:lvl>
    <w:lvl w:ilvl="4" w:tentative="0">
      <w:start w:val="0"/>
      <w:numFmt w:val="bullet"/>
      <w:lvlText w:val="•"/>
      <w:lvlJc w:val="left"/>
      <w:pPr>
        <w:ind w:left="5002" w:hanging="527"/>
      </w:pPr>
      <w:rPr>
        <w:rFonts w:hint="default"/>
        <w:lang w:val="zh-CN" w:eastAsia="zh-CN" w:bidi="zh-CN"/>
      </w:rPr>
    </w:lvl>
    <w:lvl w:ilvl="5" w:tentative="0">
      <w:start w:val="0"/>
      <w:numFmt w:val="bullet"/>
      <w:lvlText w:val="•"/>
      <w:lvlJc w:val="left"/>
      <w:pPr>
        <w:ind w:left="5913" w:hanging="527"/>
      </w:pPr>
      <w:rPr>
        <w:rFonts w:hint="default"/>
        <w:lang w:val="zh-CN" w:eastAsia="zh-CN" w:bidi="zh-CN"/>
      </w:rPr>
    </w:lvl>
    <w:lvl w:ilvl="6" w:tentative="0">
      <w:start w:val="0"/>
      <w:numFmt w:val="bullet"/>
      <w:lvlText w:val="•"/>
      <w:lvlJc w:val="left"/>
      <w:pPr>
        <w:ind w:left="6823" w:hanging="527"/>
      </w:pPr>
      <w:rPr>
        <w:rFonts w:hint="default"/>
        <w:lang w:val="zh-CN" w:eastAsia="zh-CN" w:bidi="zh-CN"/>
      </w:rPr>
    </w:lvl>
    <w:lvl w:ilvl="7" w:tentative="0">
      <w:start w:val="0"/>
      <w:numFmt w:val="bullet"/>
      <w:lvlText w:val="•"/>
      <w:lvlJc w:val="left"/>
      <w:pPr>
        <w:ind w:left="7734" w:hanging="527"/>
      </w:pPr>
      <w:rPr>
        <w:rFonts w:hint="default"/>
        <w:lang w:val="zh-CN" w:eastAsia="zh-CN" w:bidi="zh-CN"/>
      </w:rPr>
    </w:lvl>
    <w:lvl w:ilvl="8" w:tentative="0">
      <w:start w:val="0"/>
      <w:numFmt w:val="bullet"/>
      <w:lvlText w:val="•"/>
      <w:lvlJc w:val="left"/>
      <w:pPr>
        <w:ind w:left="8644" w:hanging="527"/>
      </w:pPr>
      <w:rPr>
        <w:rFonts w:hint="default"/>
        <w:lang w:val="zh-CN" w:eastAsia="zh-CN" w:bidi="zh-CN"/>
      </w:rPr>
    </w:lvl>
  </w:abstractNum>
  <w:abstractNum w:abstractNumId="25">
    <w:nsid w:val="B99465BD"/>
    <w:multiLevelType w:val="multilevel"/>
    <w:tmpl w:val="B99465BD"/>
    <w:lvl w:ilvl="0" w:tentative="0">
      <w:start w:val="1"/>
      <w:numFmt w:val="decimal"/>
      <w:lvlText w:val="%1."/>
      <w:lvlJc w:val="left"/>
      <w:pPr>
        <w:ind w:left="1044"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982" w:hanging="212"/>
      </w:pPr>
      <w:rPr>
        <w:rFonts w:hint="default"/>
        <w:lang w:val="zh-CN" w:eastAsia="zh-CN" w:bidi="zh-CN"/>
      </w:rPr>
    </w:lvl>
    <w:lvl w:ilvl="2" w:tentative="0">
      <w:start w:val="0"/>
      <w:numFmt w:val="bullet"/>
      <w:lvlText w:val="•"/>
      <w:lvlJc w:val="left"/>
      <w:pPr>
        <w:ind w:left="2925" w:hanging="212"/>
      </w:pPr>
      <w:rPr>
        <w:rFonts w:hint="default"/>
        <w:lang w:val="zh-CN" w:eastAsia="zh-CN" w:bidi="zh-CN"/>
      </w:rPr>
    </w:lvl>
    <w:lvl w:ilvl="3" w:tentative="0">
      <w:start w:val="0"/>
      <w:numFmt w:val="bullet"/>
      <w:lvlText w:val="•"/>
      <w:lvlJc w:val="left"/>
      <w:pPr>
        <w:ind w:left="3867" w:hanging="212"/>
      </w:pPr>
      <w:rPr>
        <w:rFonts w:hint="default"/>
        <w:lang w:val="zh-CN" w:eastAsia="zh-CN" w:bidi="zh-CN"/>
      </w:rPr>
    </w:lvl>
    <w:lvl w:ilvl="4" w:tentative="0">
      <w:start w:val="0"/>
      <w:numFmt w:val="bullet"/>
      <w:lvlText w:val="•"/>
      <w:lvlJc w:val="left"/>
      <w:pPr>
        <w:ind w:left="4810" w:hanging="212"/>
      </w:pPr>
      <w:rPr>
        <w:rFonts w:hint="default"/>
        <w:lang w:val="zh-CN" w:eastAsia="zh-CN" w:bidi="zh-CN"/>
      </w:rPr>
    </w:lvl>
    <w:lvl w:ilvl="5" w:tentative="0">
      <w:start w:val="0"/>
      <w:numFmt w:val="bullet"/>
      <w:lvlText w:val="•"/>
      <w:lvlJc w:val="left"/>
      <w:pPr>
        <w:ind w:left="5753" w:hanging="212"/>
      </w:pPr>
      <w:rPr>
        <w:rFonts w:hint="default"/>
        <w:lang w:val="zh-CN" w:eastAsia="zh-CN" w:bidi="zh-CN"/>
      </w:rPr>
    </w:lvl>
    <w:lvl w:ilvl="6" w:tentative="0">
      <w:start w:val="0"/>
      <w:numFmt w:val="bullet"/>
      <w:lvlText w:val="•"/>
      <w:lvlJc w:val="left"/>
      <w:pPr>
        <w:ind w:left="6695" w:hanging="212"/>
      </w:pPr>
      <w:rPr>
        <w:rFonts w:hint="default"/>
        <w:lang w:val="zh-CN" w:eastAsia="zh-CN" w:bidi="zh-CN"/>
      </w:rPr>
    </w:lvl>
    <w:lvl w:ilvl="7" w:tentative="0">
      <w:start w:val="0"/>
      <w:numFmt w:val="bullet"/>
      <w:lvlText w:val="•"/>
      <w:lvlJc w:val="left"/>
      <w:pPr>
        <w:ind w:left="7638" w:hanging="212"/>
      </w:pPr>
      <w:rPr>
        <w:rFonts w:hint="default"/>
        <w:lang w:val="zh-CN" w:eastAsia="zh-CN" w:bidi="zh-CN"/>
      </w:rPr>
    </w:lvl>
    <w:lvl w:ilvl="8" w:tentative="0">
      <w:start w:val="0"/>
      <w:numFmt w:val="bullet"/>
      <w:lvlText w:val="•"/>
      <w:lvlJc w:val="left"/>
      <w:pPr>
        <w:ind w:left="8580" w:hanging="212"/>
      </w:pPr>
      <w:rPr>
        <w:rFonts w:hint="default"/>
        <w:lang w:val="zh-CN" w:eastAsia="zh-CN" w:bidi="zh-CN"/>
      </w:rPr>
    </w:lvl>
  </w:abstractNum>
  <w:abstractNum w:abstractNumId="26">
    <w:nsid w:val="BA550FDB"/>
    <w:multiLevelType w:val="multilevel"/>
    <w:tmpl w:val="BA550FDB"/>
    <w:lvl w:ilvl="0" w:tentative="0">
      <w:start w:val="1"/>
      <w:numFmt w:val="decimal"/>
      <w:lvlText w:val="%1."/>
      <w:lvlJc w:val="left"/>
      <w:pPr>
        <w:ind w:left="412"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424" w:hanging="212"/>
      </w:pPr>
      <w:rPr>
        <w:rFonts w:hint="default"/>
        <w:lang w:val="zh-CN" w:eastAsia="zh-CN" w:bidi="zh-CN"/>
      </w:rPr>
    </w:lvl>
    <w:lvl w:ilvl="2" w:tentative="0">
      <w:start w:val="0"/>
      <w:numFmt w:val="bullet"/>
      <w:lvlText w:val="•"/>
      <w:lvlJc w:val="left"/>
      <w:pPr>
        <w:ind w:left="2429" w:hanging="212"/>
      </w:pPr>
      <w:rPr>
        <w:rFonts w:hint="default"/>
        <w:lang w:val="zh-CN" w:eastAsia="zh-CN" w:bidi="zh-CN"/>
      </w:rPr>
    </w:lvl>
    <w:lvl w:ilvl="3" w:tentative="0">
      <w:start w:val="0"/>
      <w:numFmt w:val="bullet"/>
      <w:lvlText w:val="•"/>
      <w:lvlJc w:val="left"/>
      <w:pPr>
        <w:ind w:left="3433" w:hanging="212"/>
      </w:pPr>
      <w:rPr>
        <w:rFonts w:hint="default"/>
        <w:lang w:val="zh-CN" w:eastAsia="zh-CN" w:bidi="zh-CN"/>
      </w:rPr>
    </w:lvl>
    <w:lvl w:ilvl="4" w:tentative="0">
      <w:start w:val="0"/>
      <w:numFmt w:val="bullet"/>
      <w:lvlText w:val="•"/>
      <w:lvlJc w:val="left"/>
      <w:pPr>
        <w:ind w:left="4438" w:hanging="212"/>
      </w:pPr>
      <w:rPr>
        <w:rFonts w:hint="default"/>
        <w:lang w:val="zh-CN" w:eastAsia="zh-CN" w:bidi="zh-CN"/>
      </w:rPr>
    </w:lvl>
    <w:lvl w:ilvl="5" w:tentative="0">
      <w:start w:val="0"/>
      <w:numFmt w:val="bullet"/>
      <w:lvlText w:val="•"/>
      <w:lvlJc w:val="left"/>
      <w:pPr>
        <w:ind w:left="5443" w:hanging="212"/>
      </w:pPr>
      <w:rPr>
        <w:rFonts w:hint="default"/>
        <w:lang w:val="zh-CN" w:eastAsia="zh-CN" w:bidi="zh-CN"/>
      </w:rPr>
    </w:lvl>
    <w:lvl w:ilvl="6" w:tentative="0">
      <w:start w:val="0"/>
      <w:numFmt w:val="bullet"/>
      <w:lvlText w:val="•"/>
      <w:lvlJc w:val="left"/>
      <w:pPr>
        <w:ind w:left="6447" w:hanging="212"/>
      </w:pPr>
      <w:rPr>
        <w:rFonts w:hint="default"/>
        <w:lang w:val="zh-CN" w:eastAsia="zh-CN" w:bidi="zh-CN"/>
      </w:rPr>
    </w:lvl>
    <w:lvl w:ilvl="7" w:tentative="0">
      <w:start w:val="0"/>
      <w:numFmt w:val="bullet"/>
      <w:lvlText w:val="•"/>
      <w:lvlJc w:val="left"/>
      <w:pPr>
        <w:ind w:left="7452" w:hanging="212"/>
      </w:pPr>
      <w:rPr>
        <w:rFonts w:hint="default"/>
        <w:lang w:val="zh-CN" w:eastAsia="zh-CN" w:bidi="zh-CN"/>
      </w:rPr>
    </w:lvl>
    <w:lvl w:ilvl="8" w:tentative="0">
      <w:start w:val="0"/>
      <w:numFmt w:val="bullet"/>
      <w:lvlText w:val="•"/>
      <w:lvlJc w:val="left"/>
      <w:pPr>
        <w:ind w:left="8456" w:hanging="212"/>
      </w:pPr>
      <w:rPr>
        <w:rFonts w:hint="default"/>
        <w:lang w:val="zh-CN" w:eastAsia="zh-CN" w:bidi="zh-CN"/>
      </w:rPr>
    </w:lvl>
  </w:abstractNum>
  <w:abstractNum w:abstractNumId="27">
    <w:nsid w:val="BA6339BB"/>
    <w:multiLevelType w:val="singleLevel"/>
    <w:tmpl w:val="BA6339BB"/>
    <w:lvl w:ilvl="0" w:tentative="0">
      <w:start w:val="1"/>
      <w:numFmt w:val="decimal"/>
      <w:suff w:val="nothing"/>
      <w:lvlText w:val="%1．"/>
      <w:lvlJc w:val="left"/>
      <w:pPr>
        <w:ind w:left="0" w:firstLine="400"/>
      </w:pPr>
      <w:rPr>
        <w:rFonts w:hint="default"/>
      </w:rPr>
    </w:lvl>
  </w:abstractNum>
  <w:abstractNum w:abstractNumId="28">
    <w:nsid w:val="BC837A95"/>
    <w:multiLevelType w:val="multilevel"/>
    <w:tmpl w:val="BC837A95"/>
    <w:lvl w:ilvl="0" w:tentative="0">
      <w:start w:val="1"/>
      <w:numFmt w:val="decimal"/>
      <w:lvlText w:val="（%1）"/>
      <w:lvlJc w:val="left"/>
      <w:pPr>
        <w:ind w:left="412" w:hanging="531"/>
        <w:jc w:val="left"/>
      </w:pPr>
      <w:rPr>
        <w:rFonts w:hint="default" w:ascii="宋体" w:hAnsi="宋体" w:eastAsia="宋体" w:cs="宋体"/>
        <w:spacing w:val="2"/>
        <w:w w:val="99"/>
        <w:sz w:val="19"/>
        <w:szCs w:val="19"/>
        <w:lang w:val="zh-CN" w:eastAsia="zh-CN" w:bidi="zh-CN"/>
      </w:rPr>
    </w:lvl>
    <w:lvl w:ilvl="1" w:tentative="0">
      <w:start w:val="0"/>
      <w:numFmt w:val="bullet"/>
      <w:lvlText w:val="•"/>
      <w:lvlJc w:val="left"/>
      <w:pPr>
        <w:ind w:left="1424" w:hanging="531"/>
      </w:pPr>
      <w:rPr>
        <w:rFonts w:hint="default"/>
        <w:lang w:val="zh-CN" w:eastAsia="zh-CN" w:bidi="zh-CN"/>
      </w:rPr>
    </w:lvl>
    <w:lvl w:ilvl="2" w:tentative="0">
      <w:start w:val="0"/>
      <w:numFmt w:val="bullet"/>
      <w:lvlText w:val="•"/>
      <w:lvlJc w:val="left"/>
      <w:pPr>
        <w:ind w:left="2429" w:hanging="531"/>
      </w:pPr>
      <w:rPr>
        <w:rFonts w:hint="default"/>
        <w:lang w:val="zh-CN" w:eastAsia="zh-CN" w:bidi="zh-CN"/>
      </w:rPr>
    </w:lvl>
    <w:lvl w:ilvl="3" w:tentative="0">
      <w:start w:val="0"/>
      <w:numFmt w:val="bullet"/>
      <w:lvlText w:val="•"/>
      <w:lvlJc w:val="left"/>
      <w:pPr>
        <w:ind w:left="3433" w:hanging="531"/>
      </w:pPr>
      <w:rPr>
        <w:rFonts w:hint="default"/>
        <w:lang w:val="zh-CN" w:eastAsia="zh-CN" w:bidi="zh-CN"/>
      </w:rPr>
    </w:lvl>
    <w:lvl w:ilvl="4" w:tentative="0">
      <w:start w:val="0"/>
      <w:numFmt w:val="bullet"/>
      <w:lvlText w:val="•"/>
      <w:lvlJc w:val="left"/>
      <w:pPr>
        <w:ind w:left="4438" w:hanging="531"/>
      </w:pPr>
      <w:rPr>
        <w:rFonts w:hint="default"/>
        <w:lang w:val="zh-CN" w:eastAsia="zh-CN" w:bidi="zh-CN"/>
      </w:rPr>
    </w:lvl>
    <w:lvl w:ilvl="5" w:tentative="0">
      <w:start w:val="0"/>
      <w:numFmt w:val="bullet"/>
      <w:lvlText w:val="•"/>
      <w:lvlJc w:val="left"/>
      <w:pPr>
        <w:ind w:left="5443" w:hanging="531"/>
      </w:pPr>
      <w:rPr>
        <w:rFonts w:hint="default"/>
        <w:lang w:val="zh-CN" w:eastAsia="zh-CN" w:bidi="zh-CN"/>
      </w:rPr>
    </w:lvl>
    <w:lvl w:ilvl="6" w:tentative="0">
      <w:start w:val="0"/>
      <w:numFmt w:val="bullet"/>
      <w:lvlText w:val="•"/>
      <w:lvlJc w:val="left"/>
      <w:pPr>
        <w:ind w:left="6447" w:hanging="531"/>
      </w:pPr>
      <w:rPr>
        <w:rFonts w:hint="default"/>
        <w:lang w:val="zh-CN" w:eastAsia="zh-CN" w:bidi="zh-CN"/>
      </w:rPr>
    </w:lvl>
    <w:lvl w:ilvl="7" w:tentative="0">
      <w:start w:val="0"/>
      <w:numFmt w:val="bullet"/>
      <w:lvlText w:val="•"/>
      <w:lvlJc w:val="left"/>
      <w:pPr>
        <w:ind w:left="7452" w:hanging="531"/>
      </w:pPr>
      <w:rPr>
        <w:rFonts w:hint="default"/>
        <w:lang w:val="zh-CN" w:eastAsia="zh-CN" w:bidi="zh-CN"/>
      </w:rPr>
    </w:lvl>
    <w:lvl w:ilvl="8" w:tentative="0">
      <w:start w:val="0"/>
      <w:numFmt w:val="bullet"/>
      <w:lvlText w:val="•"/>
      <w:lvlJc w:val="left"/>
      <w:pPr>
        <w:ind w:left="8456" w:hanging="531"/>
      </w:pPr>
      <w:rPr>
        <w:rFonts w:hint="default"/>
        <w:lang w:val="zh-CN" w:eastAsia="zh-CN" w:bidi="zh-CN"/>
      </w:rPr>
    </w:lvl>
  </w:abstractNum>
  <w:abstractNum w:abstractNumId="29">
    <w:nsid w:val="C0283A65"/>
    <w:multiLevelType w:val="multilevel"/>
    <w:tmpl w:val="C0283A65"/>
    <w:lvl w:ilvl="0" w:tentative="0">
      <w:start w:val="1"/>
      <w:numFmt w:val="decimal"/>
      <w:lvlText w:val="（%1）"/>
      <w:lvlJc w:val="left"/>
      <w:pPr>
        <w:ind w:left="415" w:hanging="531"/>
        <w:jc w:val="left"/>
      </w:pPr>
      <w:rPr>
        <w:rFonts w:hint="default" w:ascii="宋体" w:hAnsi="宋体" w:eastAsia="宋体" w:cs="宋体"/>
        <w:spacing w:val="2"/>
        <w:w w:val="99"/>
        <w:sz w:val="19"/>
        <w:szCs w:val="19"/>
        <w:lang w:val="zh-CN" w:eastAsia="zh-CN" w:bidi="zh-CN"/>
      </w:rPr>
    </w:lvl>
    <w:lvl w:ilvl="1" w:tentative="0">
      <w:start w:val="0"/>
      <w:numFmt w:val="bullet"/>
      <w:lvlText w:val="•"/>
      <w:lvlJc w:val="left"/>
      <w:pPr>
        <w:ind w:left="1424" w:hanging="531"/>
      </w:pPr>
      <w:rPr>
        <w:rFonts w:hint="default"/>
        <w:lang w:val="zh-CN" w:eastAsia="zh-CN" w:bidi="zh-CN"/>
      </w:rPr>
    </w:lvl>
    <w:lvl w:ilvl="2" w:tentative="0">
      <w:start w:val="0"/>
      <w:numFmt w:val="bullet"/>
      <w:lvlText w:val="•"/>
      <w:lvlJc w:val="left"/>
      <w:pPr>
        <w:ind w:left="2429" w:hanging="531"/>
      </w:pPr>
      <w:rPr>
        <w:rFonts w:hint="default"/>
        <w:lang w:val="zh-CN" w:eastAsia="zh-CN" w:bidi="zh-CN"/>
      </w:rPr>
    </w:lvl>
    <w:lvl w:ilvl="3" w:tentative="0">
      <w:start w:val="0"/>
      <w:numFmt w:val="bullet"/>
      <w:lvlText w:val="•"/>
      <w:lvlJc w:val="left"/>
      <w:pPr>
        <w:ind w:left="3433" w:hanging="531"/>
      </w:pPr>
      <w:rPr>
        <w:rFonts w:hint="default"/>
        <w:lang w:val="zh-CN" w:eastAsia="zh-CN" w:bidi="zh-CN"/>
      </w:rPr>
    </w:lvl>
    <w:lvl w:ilvl="4" w:tentative="0">
      <w:start w:val="0"/>
      <w:numFmt w:val="bullet"/>
      <w:lvlText w:val="•"/>
      <w:lvlJc w:val="left"/>
      <w:pPr>
        <w:ind w:left="4438" w:hanging="531"/>
      </w:pPr>
      <w:rPr>
        <w:rFonts w:hint="default"/>
        <w:lang w:val="zh-CN" w:eastAsia="zh-CN" w:bidi="zh-CN"/>
      </w:rPr>
    </w:lvl>
    <w:lvl w:ilvl="5" w:tentative="0">
      <w:start w:val="0"/>
      <w:numFmt w:val="bullet"/>
      <w:lvlText w:val="•"/>
      <w:lvlJc w:val="left"/>
      <w:pPr>
        <w:ind w:left="5443" w:hanging="531"/>
      </w:pPr>
      <w:rPr>
        <w:rFonts w:hint="default"/>
        <w:lang w:val="zh-CN" w:eastAsia="zh-CN" w:bidi="zh-CN"/>
      </w:rPr>
    </w:lvl>
    <w:lvl w:ilvl="6" w:tentative="0">
      <w:start w:val="0"/>
      <w:numFmt w:val="bullet"/>
      <w:lvlText w:val="•"/>
      <w:lvlJc w:val="left"/>
      <w:pPr>
        <w:ind w:left="6447" w:hanging="531"/>
      </w:pPr>
      <w:rPr>
        <w:rFonts w:hint="default"/>
        <w:lang w:val="zh-CN" w:eastAsia="zh-CN" w:bidi="zh-CN"/>
      </w:rPr>
    </w:lvl>
    <w:lvl w:ilvl="7" w:tentative="0">
      <w:start w:val="0"/>
      <w:numFmt w:val="bullet"/>
      <w:lvlText w:val="•"/>
      <w:lvlJc w:val="left"/>
      <w:pPr>
        <w:ind w:left="7452" w:hanging="531"/>
      </w:pPr>
      <w:rPr>
        <w:rFonts w:hint="default"/>
        <w:lang w:val="zh-CN" w:eastAsia="zh-CN" w:bidi="zh-CN"/>
      </w:rPr>
    </w:lvl>
    <w:lvl w:ilvl="8" w:tentative="0">
      <w:start w:val="0"/>
      <w:numFmt w:val="bullet"/>
      <w:lvlText w:val="•"/>
      <w:lvlJc w:val="left"/>
      <w:pPr>
        <w:ind w:left="8456" w:hanging="531"/>
      </w:pPr>
      <w:rPr>
        <w:rFonts w:hint="default"/>
        <w:lang w:val="zh-CN" w:eastAsia="zh-CN" w:bidi="zh-CN"/>
      </w:rPr>
    </w:lvl>
  </w:abstractNum>
  <w:abstractNum w:abstractNumId="30">
    <w:nsid w:val="C560BE57"/>
    <w:multiLevelType w:val="multilevel"/>
    <w:tmpl w:val="C560BE57"/>
    <w:lvl w:ilvl="0" w:tentative="0">
      <w:start w:val="1"/>
      <w:numFmt w:val="decimal"/>
      <w:lvlText w:val="%1."/>
      <w:lvlJc w:val="left"/>
      <w:pPr>
        <w:ind w:left="439" w:hanging="212"/>
        <w:jc w:val="left"/>
      </w:pPr>
      <w:rPr>
        <w:rFonts w:hint="default" w:ascii="宋体" w:hAnsi="宋体" w:eastAsia="宋体" w:cs="宋体"/>
        <w:b/>
        <w:bCs/>
        <w:spacing w:val="1"/>
        <w:w w:val="98"/>
        <w:sz w:val="19"/>
        <w:szCs w:val="19"/>
        <w:lang w:val="zh-CN" w:eastAsia="zh-CN" w:bidi="zh-CN"/>
      </w:rPr>
    </w:lvl>
    <w:lvl w:ilvl="1" w:tentative="0">
      <w:start w:val="0"/>
      <w:numFmt w:val="bullet"/>
      <w:lvlText w:val="•"/>
      <w:lvlJc w:val="left"/>
      <w:pPr>
        <w:ind w:left="1442" w:hanging="212"/>
      </w:pPr>
      <w:rPr>
        <w:rFonts w:hint="default"/>
        <w:lang w:val="zh-CN" w:eastAsia="zh-CN" w:bidi="zh-CN"/>
      </w:rPr>
    </w:lvl>
    <w:lvl w:ilvl="2" w:tentative="0">
      <w:start w:val="0"/>
      <w:numFmt w:val="bullet"/>
      <w:lvlText w:val="•"/>
      <w:lvlJc w:val="left"/>
      <w:pPr>
        <w:ind w:left="2445" w:hanging="212"/>
      </w:pPr>
      <w:rPr>
        <w:rFonts w:hint="default"/>
        <w:lang w:val="zh-CN" w:eastAsia="zh-CN" w:bidi="zh-CN"/>
      </w:rPr>
    </w:lvl>
    <w:lvl w:ilvl="3" w:tentative="0">
      <w:start w:val="0"/>
      <w:numFmt w:val="bullet"/>
      <w:lvlText w:val="•"/>
      <w:lvlJc w:val="left"/>
      <w:pPr>
        <w:ind w:left="3447" w:hanging="212"/>
      </w:pPr>
      <w:rPr>
        <w:rFonts w:hint="default"/>
        <w:lang w:val="zh-CN" w:eastAsia="zh-CN" w:bidi="zh-CN"/>
      </w:rPr>
    </w:lvl>
    <w:lvl w:ilvl="4" w:tentative="0">
      <w:start w:val="0"/>
      <w:numFmt w:val="bullet"/>
      <w:lvlText w:val="•"/>
      <w:lvlJc w:val="left"/>
      <w:pPr>
        <w:ind w:left="4450" w:hanging="212"/>
      </w:pPr>
      <w:rPr>
        <w:rFonts w:hint="default"/>
        <w:lang w:val="zh-CN" w:eastAsia="zh-CN" w:bidi="zh-CN"/>
      </w:rPr>
    </w:lvl>
    <w:lvl w:ilvl="5" w:tentative="0">
      <w:start w:val="0"/>
      <w:numFmt w:val="bullet"/>
      <w:lvlText w:val="•"/>
      <w:lvlJc w:val="left"/>
      <w:pPr>
        <w:ind w:left="5453" w:hanging="212"/>
      </w:pPr>
      <w:rPr>
        <w:rFonts w:hint="default"/>
        <w:lang w:val="zh-CN" w:eastAsia="zh-CN" w:bidi="zh-CN"/>
      </w:rPr>
    </w:lvl>
    <w:lvl w:ilvl="6" w:tentative="0">
      <w:start w:val="0"/>
      <w:numFmt w:val="bullet"/>
      <w:lvlText w:val="•"/>
      <w:lvlJc w:val="left"/>
      <w:pPr>
        <w:ind w:left="6455" w:hanging="212"/>
      </w:pPr>
      <w:rPr>
        <w:rFonts w:hint="default"/>
        <w:lang w:val="zh-CN" w:eastAsia="zh-CN" w:bidi="zh-CN"/>
      </w:rPr>
    </w:lvl>
    <w:lvl w:ilvl="7" w:tentative="0">
      <w:start w:val="0"/>
      <w:numFmt w:val="bullet"/>
      <w:lvlText w:val="•"/>
      <w:lvlJc w:val="left"/>
      <w:pPr>
        <w:ind w:left="7458" w:hanging="212"/>
      </w:pPr>
      <w:rPr>
        <w:rFonts w:hint="default"/>
        <w:lang w:val="zh-CN" w:eastAsia="zh-CN" w:bidi="zh-CN"/>
      </w:rPr>
    </w:lvl>
    <w:lvl w:ilvl="8" w:tentative="0">
      <w:start w:val="0"/>
      <w:numFmt w:val="bullet"/>
      <w:lvlText w:val="•"/>
      <w:lvlJc w:val="left"/>
      <w:pPr>
        <w:ind w:left="8460" w:hanging="212"/>
      </w:pPr>
      <w:rPr>
        <w:rFonts w:hint="default"/>
        <w:lang w:val="zh-CN" w:eastAsia="zh-CN" w:bidi="zh-CN"/>
      </w:rPr>
    </w:lvl>
  </w:abstractNum>
  <w:abstractNum w:abstractNumId="31">
    <w:nsid w:val="C9412743"/>
    <w:multiLevelType w:val="multilevel"/>
    <w:tmpl w:val="C9412743"/>
    <w:lvl w:ilvl="0" w:tentative="0">
      <w:start w:val="4"/>
      <w:numFmt w:val="decimal"/>
      <w:lvlText w:val="%1."/>
      <w:lvlJc w:val="left"/>
      <w:pPr>
        <w:ind w:left="737"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545" w:hanging="212"/>
      </w:pPr>
      <w:rPr>
        <w:rFonts w:hint="default"/>
        <w:lang w:val="zh-CN" w:eastAsia="zh-CN" w:bidi="zh-CN"/>
      </w:rPr>
    </w:lvl>
    <w:lvl w:ilvl="2" w:tentative="0">
      <w:start w:val="0"/>
      <w:numFmt w:val="bullet"/>
      <w:lvlText w:val="•"/>
      <w:lvlJc w:val="left"/>
      <w:pPr>
        <w:ind w:left="2351" w:hanging="212"/>
      </w:pPr>
      <w:rPr>
        <w:rFonts w:hint="default"/>
        <w:lang w:val="zh-CN" w:eastAsia="zh-CN" w:bidi="zh-CN"/>
      </w:rPr>
    </w:lvl>
    <w:lvl w:ilvl="3" w:tentative="0">
      <w:start w:val="0"/>
      <w:numFmt w:val="bullet"/>
      <w:lvlText w:val="•"/>
      <w:lvlJc w:val="left"/>
      <w:pPr>
        <w:ind w:left="3156" w:hanging="212"/>
      </w:pPr>
      <w:rPr>
        <w:rFonts w:hint="default"/>
        <w:lang w:val="zh-CN" w:eastAsia="zh-CN" w:bidi="zh-CN"/>
      </w:rPr>
    </w:lvl>
    <w:lvl w:ilvl="4" w:tentative="0">
      <w:start w:val="0"/>
      <w:numFmt w:val="bullet"/>
      <w:lvlText w:val="•"/>
      <w:lvlJc w:val="left"/>
      <w:pPr>
        <w:ind w:left="3962" w:hanging="212"/>
      </w:pPr>
      <w:rPr>
        <w:rFonts w:hint="default"/>
        <w:lang w:val="zh-CN" w:eastAsia="zh-CN" w:bidi="zh-CN"/>
      </w:rPr>
    </w:lvl>
    <w:lvl w:ilvl="5" w:tentative="0">
      <w:start w:val="0"/>
      <w:numFmt w:val="bullet"/>
      <w:lvlText w:val="•"/>
      <w:lvlJc w:val="left"/>
      <w:pPr>
        <w:ind w:left="4768" w:hanging="212"/>
      </w:pPr>
      <w:rPr>
        <w:rFonts w:hint="default"/>
        <w:lang w:val="zh-CN" w:eastAsia="zh-CN" w:bidi="zh-CN"/>
      </w:rPr>
    </w:lvl>
    <w:lvl w:ilvl="6" w:tentative="0">
      <w:start w:val="0"/>
      <w:numFmt w:val="bullet"/>
      <w:lvlText w:val="•"/>
      <w:lvlJc w:val="left"/>
      <w:pPr>
        <w:ind w:left="5573" w:hanging="212"/>
      </w:pPr>
      <w:rPr>
        <w:rFonts w:hint="default"/>
        <w:lang w:val="zh-CN" w:eastAsia="zh-CN" w:bidi="zh-CN"/>
      </w:rPr>
    </w:lvl>
    <w:lvl w:ilvl="7" w:tentative="0">
      <w:start w:val="0"/>
      <w:numFmt w:val="bullet"/>
      <w:lvlText w:val="•"/>
      <w:lvlJc w:val="left"/>
      <w:pPr>
        <w:ind w:left="6379" w:hanging="212"/>
      </w:pPr>
      <w:rPr>
        <w:rFonts w:hint="default"/>
        <w:lang w:val="zh-CN" w:eastAsia="zh-CN" w:bidi="zh-CN"/>
      </w:rPr>
    </w:lvl>
    <w:lvl w:ilvl="8" w:tentative="0">
      <w:start w:val="0"/>
      <w:numFmt w:val="bullet"/>
      <w:lvlText w:val="•"/>
      <w:lvlJc w:val="left"/>
      <w:pPr>
        <w:ind w:left="7184" w:hanging="212"/>
      </w:pPr>
      <w:rPr>
        <w:rFonts w:hint="default"/>
        <w:lang w:val="zh-CN" w:eastAsia="zh-CN" w:bidi="zh-CN"/>
      </w:rPr>
    </w:lvl>
  </w:abstractNum>
  <w:abstractNum w:abstractNumId="32">
    <w:nsid w:val="CB0CECA5"/>
    <w:multiLevelType w:val="multilevel"/>
    <w:tmpl w:val="CB0CECA5"/>
    <w:lvl w:ilvl="0" w:tentative="0">
      <w:start w:val="4"/>
      <w:numFmt w:val="decimal"/>
      <w:lvlText w:val="%1."/>
      <w:lvlJc w:val="left"/>
      <w:pPr>
        <w:ind w:left="655" w:hanging="243"/>
        <w:jc w:val="left"/>
      </w:pPr>
      <w:rPr>
        <w:rFonts w:hint="default" w:ascii="宋体" w:hAnsi="宋体" w:eastAsia="宋体" w:cs="宋体"/>
        <w:b/>
        <w:bCs/>
        <w:w w:val="99"/>
        <w:sz w:val="22"/>
        <w:szCs w:val="22"/>
        <w:lang w:val="zh-CN" w:eastAsia="zh-CN" w:bidi="zh-CN"/>
      </w:rPr>
    </w:lvl>
    <w:lvl w:ilvl="1" w:tentative="0">
      <w:start w:val="0"/>
      <w:numFmt w:val="bullet"/>
      <w:lvlText w:val="•"/>
      <w:lvlJc w:val="left"/>
      <w:pPr>
        <w:ind w:left="660" w:hanging="243"/>
      </w:pPr>
      <w:rPr>
        <w:rFonts w:hint="default"/>
        <w:lang w:val="zh-CN" w:eastAsia="zh-CN" w:bidi="zh-CN"/>
      </w:rPr>
    </w:lvl>
    <w:lvl w:ilvl="2" w:tentative="0">
      <w:start w:val="0"/>
      <w:numFmt w:val="bullet"/>
      <w:lvlText w:val="•"/>
      <w:lvlJc w:val="left"/>
      <w:pPr>
        <w:ind w:left="1749" w:hanging="243"/>
      </w:pPr>
      <w:rPr>
        <w:rFonts w:hint="default"/>
        <w:lang w:val="zh-CN" w:eastAsia="zh-CN" w:bidi="zh-CN"/>
      </w:rPr>
    </w:lvl>
    <w:lvl w:ilvl="3" w:tentative="0">
      <w:start w:val="0"/>
      <w:numFmt w:val="bullet"/>
      <w:lvlText w:val="•"/>
      <w:lvlJc w:val="left"/>
      <w:pPr>
        <w:ind w:left="2839" w:hanging="243"/>
      </w:pPr>
      <w:rPr>
        <w:rFonts w:hint="default"/>
        <w:lang w:val="zh-CN" w:eastAsia="zh-CN" w:bidi="zh-CN"/>
      </w:rPr>
    </w:lvl>
    <w:lvl w:ilvl="4" w:tentative="0">
      <w:start w:val="0"/>
      <w:numFmt w:val="bullet"/>
      <w:lvlText w:val="•"/>
      <w:lvlJc w:val="left"/>
      <w:pPr>
        <w:ind w:left="3928" w:hanging="243"/>
      </w:pPr>
      <w:rPr>
        <w:rFonts w:hint="default"/>
        <w:lang w:val="zh-CN" w:eastAsia="zh-CN" w:bidi="zh-CN"/>
      </w:rPr>
    </w:lvl>
    <w:lvl w:ilvl="5" w:tentative="0">
      <w:start w:val="0"/>
      <w:numFmt w:val="bullet"/>
      <w:lvlText w:val="•"/>
      <w:lvlJc w:val="left"/>
      <w:pPr>
        <w:ind w:left="5018" w:hanging="243"/>
      </w:pPr>
      <w:rPr>
        <w:rFonts w:hint="default"/>
        <w:lang w:val="zh-CN" w:eastAsia="zh-CN" w:bidi="zh-CN"/>
      </w:rPr>
    </w:lvl>
    <w:lvl w:ilvl="6" w:tentative="0">
      <w:start w:val="0"/>
      <w:numFmt w:val="bullet"/>
      <w:lvlText w:val="•"/>
      <w:lvlJc w:val="left"/>
      <w:pPr>
        <w:ind w:left="6107" w:hanging="243"/>
      </w:pPr>
      <w:rPr>
        <w:rFonts w:hint="default"/>
        <w:lang w:val="zh-CN" w:eastAsia="zh-CN" w:bidi="zh-CN"/>
      </w:rPr>
    </w:lvl>
    <w:lvl w:ilvl="7" w:tentative="0">
      <w:start w:val="0"/>
      <w:numFmt w:val="bullet"/>
      <w:lvlText w:val="•"/>
      <w:lvlJc w:val="left"/>
      <w:pPr>
        <w:ind w:left="7197" w:hanging="243"/>
      </w:pPr>
      <w:rPr>
        <w:rFonts w:hint="default"/>
        <w:lang w:val="zh-CN" w:eastAsia="zh-CN" w:bidi="zh-CN"/>
      </w:rPr>
    </w:lvl>
    <w:lvl w:ilvl="8" w:tentative="0">
      <w:start w:val="0"/>
      <w:numFmt w:val="bullet"/>
      <w:lvlText w:val="•"/>
      <w:lvlJc w:val="left"/>
      <w:pPr>
        <w:ind w:left="8286" w:hanging="243"/>
      </w:pPr>
      <w:rPr>
        <w:rFonts w:hint="default"/>
        <w:lang w:val="zh-CN" w:eastAsia="zh-CN" w:bidi="zh-CN"/>
      </w:rPr>
    </w:lvl>
  </w:abstractNum>
  <w:abstractNum w:abstractNumId="33">
    <w:nsid w:val="CB94649F"/>
    <w:multiLevelType w:val="multilevel"/>
    <w:tmpl w:val="CB94649F"/>
    <w:lvl w:ilvl="0" w:tentative="0">
      <w:start w:val="1"/>
      <w:numFmt w:val="decimal"/>
      <w:lvlText w:val="（%1）"/>
      <w:lvlJc w:val="left"/>
      <w:pPr>
        <w:ind w:left="1359" w:hanging="527"/>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2270" w:hanging="527"/>
      </w:pPr>
      <w:rPr>
        <w:rFonts w:hint="default"/>
        <w:lang w:val="zh-CN" w:eastAsia="zh-CN" w:bidi="zh-CN"/>
      </w:rPr>
    </w:lvl>
    <w:lvl w:ilvl="2" w:tentative="0">
      <w:start w:val="0"/>
      <w:numFmt w:val="bullet"/>
      <w:lvlText w:val="•"/>
      <w:lvlJc w:val="left"/>
      <w:pPr>
        <w:ind w:left="3181" w:hanging="527"/>
      </w:pPr>
      <w:rPr>
        <w:rFonts w:hint="default"/>
        <w:lang w:val="zh-CN" w:eastAsia="zh-CN" w:bidi="zh-CN"/>
      </w:rPr>
    </w:lvl>
    <w:lvl w:ilvl="3" w:tentative="0">
      <w:start w:val="0"/>
      <w:numFmt w:val="bullet"/>
      <w:lvlText w:val="•"/>
      <w:lvlJc w:val="left"/>
      <w:pPr>
        <w:ind w:left="4091" w:hanging="527"/>
      </w:pPr>
      <w:rPr>
        <w:rFonts w:hint="default"/>
        <w:lang w:val="zh-CN" w:eastAsia="zh-CN" w:bidi="zh-CN"/>
      </w:rPr>
    </w:lvl>
    <w:lvl w:ilvl="4" w:tentative="0">
      <w:start w:val="0"/>
      <w:numFmt w:val="bullet"/>
      <w:lvlText w:val="•"/>
      <w:lvlJc w:val="left"/>
      <w:pPr>
        <w:ind w:left="5002" w:hanging="527"/>
      </w:pPr>
      <w:rPr>
        <w:rFonts w:hint="default"/>
        <w:lang w:val="zh-CN" w:eastAsia="zh-CN" w:bidi="zh-CN"/>
      </w:rPr>
    </w:lvl>
    <w:lvl w:ilvl="5" w:tentative="0">
      <w:start w:val="0"/>
      <w:numFmt w:val="bullet"/>
      <w:lvlText w:val="•"/>
      <w:lvlJc w:val="left"/>
      <w:pPr>
        <w:ind w:left="5913" w:hanging="527"/>
      </w:pPr>
      <w:rPr>
        <w:rFonts w:hint="default"/>
        <w:lang w:val="zh-CN" w:eastAsia="zh-CN" w:bidi="zh-CN"/>
      </w:rPr>
    </w:lvl>
    <w:lvl w:ilvl="6" w:tentative="0">
      <w:start w:val="0"/>
      <w:numFmt w:val="bullet"/>
      <w:lvlText w:val="•"/>
      <w:lvlJc w:val="left"/>
      <w:pPr>
        <w:ind w:left="6823" w:hanging="527"/>
      </w:pPr>
      <w:rPr>
        <w:rFonts w:hint="default"/>
        <w:lang w:val="zh-CN" w:eastAsia="zh-CN" w:bidi="zh-CN"/>
      </w:rPr>
    </w:lvl>
    <w:lvl w:ilvl="7" w:tentative="0">
      <w:start w:val="0"/>
      <w:numFmt w:val="bullet"/>
      <w:lvlText w:val="•"/>
      <w:lvlJc w:val="left"/>
      <w:pPr>
        <w:ind w:left="7734" w:hanging="527"/>
      </w:pPr>
      <w:rPr>
        <w:rFonts w:hint="default"/>
        <w:lang w:val="zh-CN" w:eastAsia="zh-CN" w:bidi="zh-CN"/>
      </w:rPr>
    </w:lvl>
    <w:lvl w:ilvl="8" w:tentative="0">
      <w:start w:val="0"/>
      <w:numFmt w:val="bullet"/>
      <w:lvlText w:val="•"/>
      <w:lvlJc w:val="left"/>
      <w:pPr>
        <w:ind w:left="8644" w:hanging="527"/>
      </w:pPr>
      <w:rPr>
        <w:rFonts w:hint="default"/>
        <w:lang w:val="zh-CN" w:eastAsia="zh-CN" w:bidi="zh-CN"/>
      </w:rPr>
    </w:lvl>
  </w:abstractNum>
  <w:abstractNum w:abstractNumId="34">
    <w:nsid w:val="CF092B84"/>
    <w:multiLevelType w:val="multilevel"/>
    <w:tmpl w:val="CF092B84"/>
    <w:lvl w:ilvl="0" w:tentative="0">
      <w:start w:val="1"/>
      <w:numFmt w:val="decimal"/>
      <w:lvlText w:val="%1."/>
      <w:lvlJc w:val="left"/>
      <w:pPr>
        <w:ind w:left="940" w:hanging="212"/>
        <w:jc w:val="left"/>
      </w:pPr>
      <w:rPr>
        <w:rFonts w:hint="default" w:ascii="宋体" w:hAnsi="宋体" w:eastAsia="宋体" w:cs="宋体"/>
        <w:spacing w:val="-2"/>
        <w:w w:val="99"/>
        <w:sz w:val="19"/>
        <w:szCs w:val="19"/>
        <w:lang w:val="zh-CN" w:eastAsia="zh-CN" w:bidi="zh-CN"/>
      </w:rPr>
    </w:lvl>
    <w:lvl w:ilvl="1" w:tentative="0">
      <w:start w:val="2"/>
      <w:numFmt w:val="decimal"/>
      <w:lvlText w:val="%2."/>
      <w:lvlJc w:val="left"/>
      <w:pPr>
        <w:ind w:left="1044" w:hanging="212"/>
        <w:jc w:val="left"/>
      </w:pPr>
      <w:rPr>
        <w:rFonts w:hint="default" w:ascii="宋体" w:hAnsi="宋体" w:eastAsia="宋体" w:cs="宋体"/>
        <w:spacing w:val="1"/>
        <w:w w:val="99"/>
        <w:sz w:val="19"/>
        <w:szCs w:val="19"/>
        <w:lang w:val="zh-CN" w:eastAsia="zh-CN" w:bidi="zh-CN"/>
      </w:rPr>
    </w:lvl>
    <w:lvl w:ilvl="2" w:tentative="0">
      <w:start w:val="0"/>
      <w:numFmt w:val="bullet"/>
      <w:lvlText w:val="•"/>
      <w:lvlJc w:val="left"/>
      <w:pPr>
        <w:ind w:left="2087" w:hanging="212"/>
      </w:pPr>
      <w:rPr>
        <w:rFonts w:hint="default"/>
        <w:lang w:val="zh-CN" w:eastAsia="zh-CN" w:bidi="zh-CN"/>
      </w:rPr>
    </w:lvl>
    <w:lvl w:ilvl="3" w:tentative="0">
      <w:start w:val="0"/>
      <w:numFmt w:val="bullet"/>
      <w:lvlText w:val="•"/>
      <w:lvlJc w:val="left"/>
      <w:pPr>
        <w:ind w:left="3134" w:hanging="212"/>
      </w:pPr>
      <w:rPr>
        <w:rFonts w:hint="default"/>
        <w:lang w:val="zh-CN" w:eastAsia="zh-CN" w:bidi="zh-CN"/>
      </w:rPr>
    </w:lvl>
    <w:lvl w:ilvl="4" w:tentative="0">
      <w:start w:val="0"/>
      <w:numFmt w:val="bullet"/>
      <w:lvlText w:val="•"/>
      <w:lvlJc w:val="left"/>
      <w:pPr>
        <w:ind w:left="4182" w:hanging="212"/>
      </w:pPr>
      <w:rPr>
        <w:rFonts w:hint="default"/>
        <w:lang w:val="zh-CN" w:eastAsia="zh-CN" w:bidi="zh-CN"/>
      </w:rPr>
    </w:lvl>
    <w:lvl w:ilvl="5" w:tentative="0">
      <w:start w:val="0"/>
      <w:numFmt w:val="bullet"/>
      <w:lvlText w:val="•"/>
      <w:lvlJc w:val="left"/>
      <w:pPr>
        <w:ind w:left="5229" w:hanging="212"/>
      </w:pPr>
      <w:rPr>
        <w:rFonts w:hint="default"/>
        <w:lang w:val="zh-CN" w:eastAsia="zh-CN" w:bidi="zh-CN"/>
      </w:rPr>
    </w:lvl>
    <w:lvl w:ilvl="6" w:tentative="0">
      <w:start w:val="0"/>
      <w:numFmt w:val="bullet"/>
      <w:lvlText w:val="•"/>
      <w:lvlJc w:val="left"/>
      <w:pPr>
        <w:ind w:left="6276" w:hanging="212"/>
      </w:pPr>
      <w:rPr>
        <w:rFonts w:hint="default"/>
        <w:lang w:val="zh-CN" w:eastAsia="zh-CN" w:bidi="zh-CN"/>
      </w:rPr>
    </w:lvl>
    <w:lvl w:ilvl="7" w:tentative="0">
      <w:start w:val="0"/>
      <w:numFmt w:val="bullet"/>
      <w:lvlText w:val="•"/>
      <w:lvlJc w:val="left"/>
      <w:pPr>
        <w:ind w:left="7324" w:hanging="212"/>
      </w:pPr>
      <w:rPr>
        <w:rFonts w:hint="default"/>
        <w:lang w:val="zh-CN" w:eastAsia="zh-CN" w:bidi="zh-CN"/>
      </w:rPr>
    </w:lvl>
    <w:lvl w:ilvl="8" w:tentative="0">
      <w:start w:val="0"/>
      <w:numFmt w:val="bullet"/>
      <w:lvlText w:val="•"/>
      <w:lvlJc w:val="left"/>
      <w:pPr>
        <w:ind w:left="8371" w:hanging="212"/>
      </w:pPr>
      <w:rPr>
        <w:rFonts w:hint="default"/>
        <w:lang w:val="zh-CN" w:eastAsia="zh-CN" w:bidi="zh-CN"/>
      </w:rPr>
    </w:lvl>
  </w:abstractNum>
  <w:abstractNum w:abstractNumId="35">
    <w:nsid w:val="D5F12F34"/>
    <w:multiLevelType w:val="multilevel"/>
    <w:tmpl w:val="D5F12F34"/>
    <w:lvl w:ilvl="0" w:tentative="0">
      <w:start w:val="35"/>
      <w:numFmt w:val="decimal"/>
      <w:lvlText w:val="%1."/>
      <w:lvlJc w:val="left"/>
      <w:pPr>
        <w:ind w:left="732" w:hanging="320"/>
        <w:jc w:val="left"/>
      </w:pPr>
      <w:rPr>
        <w:rFonts w:hint="default" w:ascii="宋体" w:hAnsi="宋体" w:eastAsia="宋体" w:cs="宋体"/>
        <w:b/>
        <w:bCs/>
        <w:spacing w:val="1"/>
        <w:w w:val="98"/>
        <w:sz w:val="19"/>
        <w:szCs w:val="19"/>
        <w:lang w:val="zh-CN" w:eastAsia="zh-CN" w:bidi="zh-CN"/>
      </w:rPr>
    </w:lvl>
    <w:lvl w:ilvl="1" w:tentative="0">
      <w:start w:val="1"/>
      <w:numFmt w:val="decimal"/>
      <w:lvlText w:val="%1.%2"/>
      <w:lvlJc w:val="left"/>
      <w:pPr>
        <w:ind w:left="1305" w:hanging="473"/>
        <w:jc w:val="left"/>
      </w:pPr>
      <w:rPr>
        <w:rFonts w:hint="default"/>
        <w:spacing w:val="0"/>
        <w:w w:val="99"/>
        <w:lang w:val="zh-CN" w:eastAsia="zh-CN" w:bidi="zh-CN"/>
      </w:rPr>
    </w:lvl>
    <w:lvl w:ilvl="2" w:tentative="0">
      <w:start w:val="0"/>
      <w:numFmt w:val="bullet"/>
      <w:lvlText w:val="•"/>
      <w:lvlJc w:val="left"/>
      <w:pPr>
        <w:ind w:left="1300" w:hanging="473"/>
      </w:pPr>
      <w:rPr>
        <w:rFonts w:hint="default"/>
        <w:lang w:val="zh-CN" w:eastAsia="zh-CN" w:bidi="zh-CN"/>
      </w:rPr>
    </w:lvl>
    <w:lvl w:ilvl="3" w:tentative="0">
      <w:start w:val="0"/>
      <w:numFmt w:val="bullet"/>
      <w:lvlText w:val="•"/>
      <w:lvlJc w:val="left"/>
      <w:pPr>
        <w:ind w:left="2445" w:hanging="473"/>
      </w:pPr>
      <w:rPr>
        <w:rFonts w:hint="default"/>
        <w:lang w:val="zh-CN" w:eastAsia="zh-CN" w:bidi="zh-CN"/>
      </w:rPr>
    </w:lvl>
    <w:lvl w:ilvl="4" w:tentative="0">
      <w:start w:val="0"/>
      <w:numFmt w:val="bullet"/>
      <w:lvlText w:val="•"/>
      <w:lvlJc w:val="left"/>
      <w:pPr>
        <w:ind w:left="3591" w:hanging="473"/>
      </w:pPr>
      <w:rPr>
        <w:rFonts w:hint="default"/>
        <w:lang w:val="zh-CN" w:eastAsia="zh-CN" w:bidi="zh-CN"/>
      </w:rPr>
    </w:lvl>
    <w:lvl w:ilvl="5" w:tentative="0">
      <w:start w:val="0"/>
      <w:numFmt w:val="bullet"/>
      <w:lvlText w:val="•"/>
      <w:lvlJc w:val="left"/>
      <w:pPr>
        <w:ind w:left="4737" w:hanging="473"/>
      </w:pPr>
      <w:rPr>
        <w:rFonts w:hint="default"/>
        <w:lang w:val="zh-CN" w:eastAsia="zh-CN" w:bidi="zh-CN"/>
      </w:rPr>
    </w:lvl>
    <w:lvl w:ilvl="6" w:tentative="0">
      <w:start w:val="0"/>
      <w:numFmt w:val="bullet"/>
      <w:lvlText w:val="•"/>
      <w:lvlJc w:val="left"/>
      <w:pPr>
        <w:ind w:left="5883" w:hanging="473"/>
      </w:pPr>
      <w:rPr>
        <w:rFonts w:hint="default"/>
        <w:lang w:val="zh-CN" w:eastAsia="zh-CN" w:bidi="zh-CN"/>
      </w:rPr>
    </w:lvl>
    <w:lvl w:ilvl="7" w:tentative="0">
      <w:start w:val="0"/>
      <w:numFmt w:val="bullet"/>
      <w:lvlText w:val="•"/>
      <w:lvlJc w:val="left"/>
      <w:pPr>
        <w:ind w:left="7028" w:hanging="473"/>
      </w:pPr>
      <w:rPr>
        <w:rFonts w:hint="default"/>
        <w:lang w:val="zh-CN" w:eastAsia="zh-CN" w:bidi="zh-CN"/>
      </w:rPr>
    </w:lvl>
    <w:lvl w:ilvl="8" w:tentative="0">
      <w:start w:val="0"/>
      <w:numFmt w:val="bullet"/>
      <w:lvlText w:val="•"/>
      <w:lvlJc w:val="left"/>
      <w:pPr>
        <w:ind w:left="8174" w:hanging="473"/>
      </w:pPr>
      <w:rPr>
        <w:rFonts w:hint="default"/>
        <w:lang w:val="zh-CN" w:eastAsia="zh-CN" w:bidi="zh-CN"/>
      </w:rPr>
    </w:lvl>
  </w:abstractNum>
  <w:abstractNum w:abstractNumId="36">
    <w:nsid w:val="D6E417C3"/>
    <w:multiLevelType w:val="singleLevel"/>
    <w:tmpl w:val="D6E417C3"/>
    <w:lvl w:ilvl="0" w:tentative="0">
      <w:start w:val="1"/>
      <w:numFmt w:val="decimal"/>
      <w:suff w:val="nothing"/>
      <w:lvlText w:val="%1．"/>
      <w:lvlJc w:val="left"/>
      <w:pPr>
        <w:ind w:left="0" w:firstLine="400"/>
      </w:pPr>
      <w:rPr>
        <w:rFonts w:hint="default"/>
      </w:rPr>
    </w:lvl>
  </w:abstractNum>
  <w:abstractNum w:abstractNumId="37">
    <w:nsid w:val="DAE62134"/>
    <w:multiLevelType w:val="multilevel"/>
    <w:tmpl w:val="DAE62134"/>
    <w:lvl w:ilvl="0" w:tentative="0">
      <w:start w:val="1"/>
      <w:numFmt w:val="decimal"/>
      <w:lvlText w:val="%1."/>
      <w:lvlJc w:val="left"/>
      <w:pPr>
        <w:ind w:left="106" w:hanging="214"/>
        <w:jc w:val="left"/>
      </w:pPr>
      <w:rPr>
        <w:rFonts w:hint="default" w:ascii="宋体" w:hAnsi="宋体" w:eastAsia="宋体" w:cs="宋体"/>
        <w:b/>
        <w:bCs/>
        <w:spacing w:val="-2"/>
        <w:w w:val="98"/>
        <w:sz w:val="19"/>
        <w:szCs w:val="19"/>
        <w:lang w:val="zh-CN" w:eastAsia="zh-CN" w:bidi="zh-CN"/>
      </w:rPr>
    </w:lvl>
    <w:lvl w:ilvl="1" w:tentative="0">
      <w:start w:val="0"/>
      <w:numFmt w:val="bullet"/>
      <w:lvlText w:val="•"/>
      <w:lvlJc w:val="left"/>
      <w:pPr>
        <w:ind w:left="969" w:hanging="214"/>
      </w:pPr>
      <w:rPr>
        <w:rFonts w:hint="default"/>
        <w:lang w:val="zh-CN" w:eastAsia="zh-CN" w:bidi="zh-CN"/>
      </w:rPr>
    </w:lvl>
    <w:lvl w:ilvl="2" w:tentative="0">
      <w:start w:val="0"/>
      <w:numFmt w:val="bullet"/>
      <w:lvlText w:val="•"/>
      <w:lvlJc w:val="left"/>
      <w:pPr>
        <w:ind w:left="1839" w:hanging="214"/>
      </w:pPr>
      <w:rPr>
        <w:rFonts w:hint="default"/>
        <w:lang w:val="zh-CN" w:eastAsia="zh-CN" w:bidi="zh-CN"/>
      </w:rPr>
    </w:lvl>
    <w:lvl w:ilvl="3" w:tentative="0">
      <w:start w:val="0"/>
      <w:numFmt w:val="bullet"/>
      <w:lvlText w:val="•"/>
      <w:lvlJc w:val="left"/>
      <w:pPr>
        <w:ind w:left="2708" w:hanging="214"/>
      </w:pPr>
      <w:rPr>
        <w:rFonts w:hint="default"/>
        <w:lang w:val="zh-CN" w:eastAsia="zh-CN" w:bidi="zh-CN"/>
      </w:rPr>
    </w:lvl>
    <w:lvl w:ilvl="4" w:tentative="0">
      <w:start w:val="0"/>
      <w:numFmt w:val="bullet"/>
      <w:lvlText w:val="•"/>
      <w:lvlJc w:val="left"/>
      <w:pPr>
        <w:ind w:left="3578" w:hanging="214"/>
      </w:pPr>
      <w:rPr>
        <w:rFonts w:hint="default"/>
        <w:lang w:val="zh-CN" w:eastAsia="zh-CN" w:bidi="zh-CN"/>
      </w:rPr>
    </w:lvl>
    <w:lvl w:ilvl="5" w:tentative="0">
      <w:start w:val="0"/>
      <w:numFmt w:val="bullet"/>
      <w:lvlText w:val="•"/>
      <w:lvlJc w:val="left"/>
      <w:pPr>
        <w:ind w:left="4448" w:hanging="214"/>
      </w:pPr>
      <w:rPr>
        <w:rFonts w:hint="default"/>
        <w:lang w:val="zh-CN" w:eastAsia="zh-CN" w:bidi="zh-CN"/>
      </w:rPr>
    </w:lvl>
    <w:lvl w:ilvl="6" w:tentative="0">
      <w:start w:val="0"/>
      <w:numFmt w:val="bullet"/>
      <w:lvlText w:val="•"/>
      <w:lvlJc w:val="left"/>
      <w:pPr>
        <w:ind w:left="5317" w:hanging="214"/>
      </w:pPr>
      <w:rPr>
        <w:rFonts w:hint="default"/>
        <w:lang w:val="zh-CN" w:eastAsia="zh-CN" w:bidi="zh-CN"/>
      </w:rPr>
    </w:lvl>
    <w:lvl w:ilvl="7" w:tentative="0">
      <w:start w:val="0"/>
      <w:numFmt w:val="bullet"/>
      <w:lvlText w:val="•"/>
      <w:lvlJc w:val="left"/>
      <w:pPr>
        <w:ind w:left="6187" w:hanging="214"/>
      </w:pPr>
      <w:rPr>
        <w:rFonts w:hint="default"/>
        <w:lang w:val="zh-CN" w:eastAsia="zh-CN" w:bidi="zh-CN"/>
      </w:rPr>
    </w:lvl>
    <w:lvl w:ilvl="8" w:tentative="0">
      <w:start w:val="0"/>
      <w:numFmt w:val="bullet"/>
      <w:lvlText w:val="•"/>
      <w:lvlJc w:val="left"/>
      <w:pPr>
        <w:ind w:left="7056" w:hanging="214"/>
      </w:pPr>
      <w:rPr>
        <w:rFonts w:hint="default"/>
        <w:lang w:val="zh-CN" w:eastAsia="zh-CN" w:bidi="zh-CN"/>
      </w:rPr>
    </w:lvl>
  </w:abstractNum>
  <w:abstractNum w:abstractNumId="38">
    <w:nsid w:val="EC0C06D8"/>
    <w:multiLevelType w:val="singleLevel"/>
    <w:tmpl w:val="EC0C06D8"/>
    <w:lvl w:ilvl="0" w:tentative="0">
      <w:start w:val="1"/>
      <w:numFmt w:val="chineseCounting"/>
      <w:suff w:val="nothing"/>
      <w:lvlText w:val="%1、"/>
      <w:lvlJc w:val="left"/>
      <w:pPr>
        <w:ind w:left="0" w:firstLine="420"/>
      </w:pPr>
      <w:rPr>
        <w:rFonts w:hint="eastAsia"/>
      </w:rPr>
    </w:lvl>
  </w:abstractNum>
  <w:abstractNum w:abstractNumId="39">
    <w:nsid w:val="EFCECDC7"/>
    <w:multiLevelType w:val="multilevel"/>
    <w:tmpl w:val="EFCECDC7"/>
    <w:lvl w:ilvl="0" w:tentative="0">
      <w:start w:val="1"/>
      <w:numFmt w:val="decimal"/>
      <w:lvlText w:val="%1."/>
      <w:lvlJc w:val="left"/>
      <w:pPr>
        <w:ind w:left="832" w:hanging="420"/>
        <w:jc w:val="left"/>
      </w:pPr>
      <w:rPr>
        <w:rFonts w:hint="default"/>
        <w:b/>
        <w:bCs/>
        <w:spacing w:val="0"/>
        <w:w w:val="99"/>
        <w:lang w:val="zh-CN" w:eastAsia="zh-CN" w:bidi="zh-CN"/>
      </w:rPr>
    </w:lvl>
    <w:lvl w:ilvl="1" w:tentative="0">
      <w:start w:val="1"/>
      <w:numFmt w:val="decimal"/>
      <w:lvlText w:val="%2."/>
      <w:lvlJc w:val="left"/>
      <w:pPr>
        <w:ind w:left="412" w:hanging="241"/>
        <w:jc w:val="left"/>
      </w:pPr>
      <w:rPr>
        <w:rFonts w:hint="default" w:ascii="宋体" w:hAnsi="宋体" w:eastAsia="宋体" w:cs="宋体"/>
        <w:spacing w:val="-17"/>
        <w:w w:val="100"/>
        <w:sz w:val="22"/>
        <w:szCs w:val="22"/>
        <w:lang w:val="zh-CN" w:eastAsia="zh-CN" w:bidi="zh-CN"/>
      </w:rPr>
    </w:lvl>
    <w:lvl w:ilvl="2" w:tentative="0">
      <w:start w:val="0"/>
      <w:numFmt w:val="bullet"/>
      <w:lvlText w:val="•"/>
      <w:lvlJc w:val="left"/>
      <w:pPr>
        <w:ind w:left="1909" w:hanging="241"/>
      </w:pPr>
      <w:rPr>
        <w:rFonts w:hint="default"/>
        <w:lang w:val="zh-CN" w:eastAsia="zh-CN" w:bidi="zh-CN"/>
      </w:rPr>
    </w:lvl>
    <w:lvl w:ilvl="3" w:tentative="0">
      <w:start w:val="0"/>
      <w:numFmt w:val="bullet"/>
      <w:lvlText w:val="•"/>
      <w:lvlJc w:val="left"/>
      <w:pPr>
        <w:ind w:left="2979" w:hanging="241"/>
      </w:pPr>
      <w:rPr>
        <w:rFonts w:hint="default"/>
        <w:lang w:val="zh-CN" w:eastAsia="zh-CN" w:bidi="zh-CN"/>
      </w:rPr>
    </w:lvl>
    <w:lvl w:ilvl="4" w:tentative="0">
      <w:start w:val="0"/>
      <w:numFmt w:val="bullet"/>
      <w:lvlText w:val="•"/>
      <w:lvlJc w:val="left"/>
      <w:pPr>
        <w:ind w:left="4048" w:hanging="241"/>
      </w:pPr>
      <w:rPr>
        <w:rFonts w:hint="default"/>
        <w:lang w:val="zh-CN" w:eastAsia="zh-CN" w:bidi="zh-CN"/>
      </w:rPr>
    </w:lvl>
    <w:lvl w:ilvl="5" w:tentative="0">
      <w:start w:val="0"/>
      <w:numFmt w:val="bullet"/>
      <w:lvlText w:val="•"/>
      <w:lvlJc w:val="left"/>
      <w:pPr>
        <w:ind w:left="5118" w:hanging="241"/>
      </w:pPr>
      <w:rPr>
        <w:rFonts w:hint="default"/>
        <w:lang w:val="zh-CN" w:eastAsia="zh-CN" w:bidi="zh-CN"/>
      </w:rPr>
    </w:lvl>
    <w:lvl w:ilvl="6" w:tentative="0">
      <w:start w:val="0"/>
      <w:numFmt w:val="bullet"/>
      <w:lvlText w:val="•"/>
      <w:lvlJc w:val="left"/>
      <w:pPr>
        <w:ind w:left="6187" w:hanging="241"/>
      </w:pPr>
      <w:rPr>
        <w:rFonts w:hint="default"/>
        <w:lang w:val="zh-CN" w:eastAsia="zh-CN" w:bidi="zh-CN"/>
      </w:rPr>
    </w:lvl>
    <w:lvl w:ilvl="7" w:tentative="0">
      <w:start w:val="0"/>
      <w:numFmt w:val="bullet"/>
      <w:lvlText w:val="•"/>
      <w:lvlJc w:val="left"/>
      <w:pPr>
        <w:ind w:left="7257" w:hanging="241"/>
      </w:pPr>
      <w:rPr>
        <w:rFonts w:hint="default"/>
        <w:lang w:val="zh-CN" w:eastAsia="zh-CN" w:bidi="zh-CN"/>
      </w:rPr>
    </w:lvl>
    <w:lvl w:ilvl="8" w:tentative="0">
      <w:start w:val="0"/>
      <w:numFmt w:val="bullet"/>
      <w:lvlText w:val="•"/>
      <w:lvlJc w:val="left"/>
      <w:pPr>
        <w:ind w:left="8326" w:hanging="241"/>
      </w:pPr>
      <w:rPr>
        <w:rFonts w:hint="default"/>
        <w:lang w:val="zh-CN" w:eastAsia="zh-CN" w:bidi="zh-CN"/>
      </w:rPr>
    </w:lvl>
  </w:abstractNum>
  <w:abstractNum w:abstractNumId="40">
    <w:nsid w:val="F066642F"/>
    <w:multiLevelType w:val="multilevel"/>
    <w:tmpl w:val="F066642F"/>
    <w:lvl w:ilvl="0" w:tentative="0">
      <w:start w:val="1"/>
      <w:numFmt w:val="decimal"/>
      <w:lvlText w:val="（%1）"/>
      <w:lvlJc w:val="left"/>
      <w:pPr>
        <w:ind w:left="1359" w:hanging="527"/>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2270" w:hanging="527"/>
      </w:pPr>
      <w:rPr>
        <w:rFonts w:hint="default"/>
        <w:lang w:val="zh-CN" w:eastAsia="zh-CN" w:bidi="zh-CN"/>
      </w:rPr>
    </w:lvl>
    <w:lvl w:ilvl="2" w:tentative="0">
      <w:start w:val="0"/>
      <w:numFmt w:val="bullet"/>
      <w:lvlText w:val="•"/>
      <w:lvlJc w:val="left"/>
      <w:pPr>
        <w:ind w:left="3181" w:hanging="527"/>
      </w:pPr>
      <w:rPr>
        <w:rFonts w:hint="default"/>
        <w:lang w:val="zh-CN" w:eastAsia="zh-CN" w:bidi="zh-CN"/>
      </w:rPr>
    </w:lvl>
    <w:lvl w:ilvl="3" w:tentative="0">
      <w:start w:val="0"/>
      <w:numFmt w:val="bullet"/>
      <w:lvlText w:val="•"/>
      <w:lvlJc w:val="left"/>
      <w:pPr>
        <w:ind w:left="4091" w:hanging="527"/>
      </w:pPr>
      <w:rPr>
        <w:rFonts w:hint="default"/>
        <w:lang w:val="zh-CN" w:eastAsia="zh-CN" w:bidi="zh-CN"/>
      </w:rPr>
    </w:lvl>
    <w:lvl w:ilvl="4" w:tentative="0">
      <w:start w:val="0"/>
      <w:numFmt w:val="bullet"/>
      <w:lvlText w:val="•"/>
      <w:lvlJc w:val="left"/>
      <w:pPr>
        <w:ind w:left="5002" w:hanging="527"/>
      </w:pPr>
      <w:rPr>
        <w:rFonts w:hint="default"/>
        <w:lang w:val="zh-CN" w:eastAsia="zh-CN" w:bidi="zh-CN"/>
      </w:rPr>
    </w:lvl>
    <w:lvl w:ilvl="5" w:tentative="0">
      <w:start w:val="0"/>
      <w:numFmt w:val="bullet"/>
      <w:lvlText w:val="•"/>
      <w:lvlJc w:val="left"/>
      <w:pPr>
        <w:ind w:left="5913" w:hanging="527"/>
      </w:pPr>
      <w:rPr>
        <w:rFonts w:hint="default"/>
        <w:lang w:val="zh-CN" w:eastAsia="zh-CN" w:bidi="zh-CN"/>
      </w:rPr>
    </w:lvl>
    <w:lvl w:ilvl="6" w:tentative="0">
      <w:start w:val="0"/>
      <w:numFmt w:val="bullet"/>
      <w:lvlText w:val="•"/>
      <w:lvlJc w:val="left"/>
      <w:pPr>
        <w:ind w:left="6823" w:hanging="527"/>
      </w:pPr>
      <w:rPr>
        <w:rFonts w:hint="default"/>
        <w:lang w:val="zh-CN" w:eastAsia="zh-CN" w:bidi="zh-CN"/>
      </w:rPr>
    </w:lvl>
    <w:lvl w:ilvl="7" w:tentative="0">
      <w:start w:val="0"/>
      <w:numFmt w:val="bullet"/>
      <w:lvlText w:val="•"/>
      <w:lvlJc w:val="left"/>
      <w:pPr>
        <w:ind w:left="7734" w:hanging="527"/>
      </w:pPr>
      <w:rPr>
        <w:rFonts w:hint="default"/>
        <w:lang w:val="zh-CN" w:eastAsia="zh-CN" w:bidi="zh-CN"/>
      </w:rPr>
    </w:lvl>
    <w:lvl w:ilvl="8" w:tentative="0">
      <w:start w:val="0"/>
      <w:numFmt w:val="bullet"/>
      <w:lvlText w:val="•"/>
      <w:lvlJc w:val="left"/>
      <w:pPr>
        <w:ind w:left="8644" w:hanging="527"/>
      </w:pPr>
      <w:rPr>
        <w:rFonts w:hint="default"/>
        <w:lang w:val="zh-CN" w:eastAsia="zh-CN" w:bidi="zh-CN"/>
      </w:rPr>
    </w:lvl>
  </w:abstractNum>
  <w:abstractNum w:abstractNumId="41">
    <w:nsid w:val="F1FCDEFA"/>
    <w:multiLevelType w:val="multilevel"/>
    <w:tmpl w:val="F1FCDEFA"/>
    <w:lvl w:ilvl="0" w:tentative="0">
      <w:start w:val="1"/>
      <w:numFmt w:val="decimal"/>
      <w:lvlText w:val="%1."/>
      <w:lvlJc w:val="left"/>
      <w:pPr>
        <w:ind w:left="737"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545" w:hanging="212"/>
      </w:pPr>
      <w:rPr>
        <w:rFonts w:hint="default"/>
        <w:lang w:val="zh-CN" w:eastAsia="zh-CN" w:bidi="zh-CN"/>
      </w:rPr>
    </w:lvl>
    <w:lvl w:ilvl="2" w:tentative="0">
      <w:start w:val="0"/>
      <w:numFmt w:val="bullet"/>
      <w:lvlText w:val="•"/>
      <w:lvlJc w:val="left"/>
      <w:pPr>
        <w:ind w:left="2351" w:hanging="212"/>
      </w:pPr>
      <w:rPr>
        <w:rFonts w:hint="default"/>
        <w:lang w:val="zh-CN" w:eastAsia="zh-CN" w:bidi="zh-CN"/>
      </w:rPr>
    </w:lvl>
    <w:lvl w:ilvl="3" w:tentative="0">
      <w:start w:val="0"/>
      <w:numFmt w:val="bullet"/>
      <w:lvlText w:val="•"/>
      <w:lvlJc w:val="left"/>
      <w:pPr>
        <w:ind w:left="3156" w:hanging="212"/>
      </w:pPr>
      <w:rPr>
        <w:rFonts w:hint="default"/>
        <w:lang w:val="zh-CN" w:eastAsia="zh-CN" w:bidi="zh-CN"/>
      </w:rPr>
    </w:lvl>
    <w:lvl w:ilvl="4" w:tentative="0">
      <w:start w:val="0"/>
      <w:numFmt w:val="bullet"/>
      <w:lvlText w:val="•"/>
      <w:lvlJc w:val="left"/>
      <w:pPr>
        <w:ind w:left="3962" w:hanging="212"/>
      </w:pPr>
      <w:rPr>
        <w:rFonts w:hint="default"/>
        <w:lang w:val="zh-CN" w:eastAsia="zh-CN" w:bidi="zh-CN"/>
      </w:rPr>
    </w:lvl>
    <w:lvl w:ilvl="5" w:tentative="0">
      <w:start w:val="0"/>
      <w:numFmt w:val="bullet"/>
      <w:lvlText w:val="•"/>
      <w:lvlJc w:val="left"/>
      <w:pPr>
        <w:ind w:left="4768" w:hanging="212"/>
      </w:pPr>
      <w:rPr>
        <w:rFonts w:hint="default"/>
        <w:lang w:val="zh-CN" w:eastAsia="zh-CN" w:bidi="zh-CN"/>
      </w:rPr>
    </w:lvl>
    <w:lvl w:ilvl="6" w:tentative="0">
      <w:start w:val="0"/>
      <w:numFmt w:val="bullet"/>
      <w:lvlText w:val="•"/>
      <w:lvlJc w:val="left"/>
      <w:pPr>
        <w:ind w:left="5573" w:hanging="212"/>
      </w:pPr>
      <w:rPr>
        <w:rFonts w:hint="default"/>
        <w:lang w:val="zh-CN" w:eastAsia="zh-CN" w:bidi="zh-CN"/>
      </w:rPr>
    </w:lvl>
    <w:lvl w:ilvl="7" w:tentative="0">
      <w:start w:val="0"/>
      <w:numFmt w:val="bullet"/>
      <w:lvlText w:val="•"/>
      <w:lvlJc w:val="left"/>
      <w:pPr>
        <w:ind w:left="6379" w:hanging="212"/>
      </w:pPr>
      <w:rPr>
        <w:rFonts w:hint="default"/>
        <w:lang w:val="zh-CN" w:eastAsia="zh-CN" w:bidi="zh-CN"/>
      </w:rPr>
    </w:lvl>
    <w:lvl w:ilvl="8" w:tentative="0">
      <w:start w:val="0"/>
      <w:numFmt w:val="bullet"/>
      <w:lvlText w:val="•"/>
      <w:lvlJc w:val="left"/>
      <w:pPr>
        <w:ind w:left="7184" w:hanging="212"/>
      </w:pPr>
      <w:rPr>
        <w:rFonts w:hint="default"/>
        <w:lang w:val="zh-CN" w:eastAsia="zh-CN" w:bidi="zh-CN"/>
      </w:rPr>
    </w:lvl>
  </w:abstractNum>
  <w:abstractNum w:abstractNumId="42">
    <w:nsid w:val="F30FC083"/>
    <w:multiLevelType w:val="multilevel"/>
    <w:tmpl w:val="F30FC083"/>
    <w:lvl w:ilvl="0" w:tentative="0">
      <w:start w:val="1"/>
      <w:numFmt w:val="decimal"/>
      <w:lvlText w:val="（%1）"/>
      <w:lvlJc w:val="left"/>
      <w:pPr>
        <w:ind w:left="1359" w:hanging="527"/>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2270" w:hanging="527"/>
      </w:pPr>
      <w:rPr>
        <w:rFonts w:hint="default"/>
        <w:lang w:val="zh-CN" w:eastAsia="zh-CN" w:bidi="zh-CN"/>
      </w:rPr>
    </w:lvl>
    <w:lvl w:ilvl="2" w:tentative="0">
      <w:start w:val="0"/>
      <w:numFmt w:val="bullet"/>
      <w:lvlText w:val="•"/>
      <w:lvlJc w:val="left"/>
      <w:pPr>
        <w:ind w:left="3181" w:hanging="527"/>
      </w:pPr>
      <w:rPr>
        <w:rFonts w:hint="default"/>
        <w:lang w:val="zh-CN" w:eastAsia="zh-CN" w:bidi="zh-CN"/>
      </w:rPr>
    </w:lvl>
    <w:lvl w:ilvl="3" w:tentative="0">
      <w:start w:val="0"/>
      <w:numFmt w:val="bullet"/>
      <w:lvlText w:val="•"/>
      <w:lvlJc w:val="left"/>
      <w:pPr>
        <w:ind w:left="4091" w:hanging="527"/>
      </w:pPr>
      <w:rPr>
        <w:rFonts w:hint="default"/>
        <w:lang w:val="zh-CN" w:eastAsia="zh-CN" w:bidi="zh-CN"/>
      </w:rPr>
    </w:lvl>
    <w:lvl w:ilvl="4" w:tentative="0">
      <w:start w:val="0"/>
      <w:numFmt w:val="bullet"/>
      <w:lvlText w:val="•"/>
      <w:lvlJc w:val="left"/>
      <w:pPr>
        <w:ind w:left="5002" w:hanging="527"/>
      </w:pPr>
      <w:rPr>
        <w:rFonts w:hint="default"/>
        <w:lang w:val="zh-CN" w:eastAsia="zh-CN" w:bidi="zh-CN"/>
      </w:rPr>
    </w:lvl>
    <w:lvl w:ilvl="5" w:tentative="0">
      <w:start w:val="0"/>
      <w:numFmt w:val="bullet"/>
      <w:lvlText w:val="•"/>
      <w:lvlJc w:val="left"/>
      <w:pPr>
        <w:ind w:left="5913" w:hanging="527"/>
      </w:pPr>
      <w:rPr>
        <w:rFonts w:hint="default"/>
        <w:lang w:val="zh-CN" w:eastAsia="zh-CN" w:bidi="zh-CN"/>
      </w:rPr>
    </w:lvl>
    <w:lvl w:ilvl="6" w:tentative="0">
      <w:start w:val="0"/>
      <w:numFmt w:val="bullet"/>
      <w:lvlText w:val="•"/>
      <w:lvlJc w:val="left"/>
      <w:pPr>
        <w:ind w:left="6823" w:hanging="527"/>
      </w:pPr>
      <w:rPr>
        <w:rFonts w:hint="default"/>
        <w:lang w:val="zh-CN" w:eastAsia="zh-CN" w:bidi="zh-CN"/>
      </w:rPr>
    </w:lvl>
    <w:lvl w:ilvl="7" w:tentative="0">
      <w:start w:val="0"/>
      <w:numFmt w:val="bullet"/>
      <w:lvlText w:val="•"/>
      <w:lvlJc w:val="left"/>
      <w:pPr>
        <w:ind w:left="7734" w:hanging="527"/>
      </w:pPr>
      <w:rPr>
        <w:rFonts w:hint="default"/>
        <w:lang w:val="zh-CN" w:eastAsia="zh-CN" w:bidi="zh-CN"/>
      </w:rPr>
    </w:lvl>
    <w:lvl w:ilvl="8" w:tentative="0">
      <w:start w:val="0"/>
      <w:numFmt w:val="bullet"/>
      <w:lvlText w:val="•"/>
      <w:lvlJc w:val="left"/>
      <w:pPr>
        <w:ind w:left="8644" w:hanging="527"/>
      </w:pPr>
      <w:rPr>
        <w:rFonts w:hint="default"/>
        <w:lang w:val="zh-CN" w:eastAsia="zh-CN" w:bidi="zh-CN"/>
      </w:rPr>
    </w:lvl>
  </w:abstractNum>
  <w:abstractNum w:abstractNumId="43">
    <w:nsid w:val="F34DD008"/>
    <w:multiLevelType w:val="singleLevel"/>
    <w:tmpl w:val="F34DD008"/>
    <w:lvl w:ilvl="0" w:tentative="0">
      <w:start w:val="1"/>
      <w:numFmt w:val="decimal"/>
      <w:lvlText w:val="%1."/>
      <w:lvlJc w:val="left"/>
      <w:pPr>
        <w:ind w:left="425" w:hanging="425"/>
      </w:pPr>
      <w:rPr>
        <w:rFonts w:hint="default"/>
      </w:rPr>
    </w:lvl>
  </w:abstractNum>
  <w:abstractNum w:abstractNumId="44">
    <w:nsid w:val="F9718D3C"/>
    <w:multiLevelType w:val="multilevel"/>
    <w:tmpl w:val="F9718D3C"/>
    <w:lvl w:ilvl="0" w:tentative="0">
      <w:start w:val="1"/>
      <w:numFmt w:val="decimal"/>
      <w:lvlText w:val="（%1）"/>
      <w:lvlJc w:val="left"/>
      <w:pPr>
        <w:ind w:left="1362" w:hanging="527"/>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2270" w:hanging="527"/>
      </w:pPr>
      <w:rPr>
        <w:rFonts w:hint="default"/>
        <w:lang w:val="zh-CN" w:eastAsia="zh-CN" w:bidi="zh-CN"/>
      </w:rPr>
    </w:lvl>
    <w:lvl w:ilvl="2" w:tentative="0">
      <w:start w:val="0"/>
      <w:numFmt w:val="bullet"/>
      <w:lvlText w:val="•"/>
      <w:lvlJc w:val="left"/>
      <w:pPr>
        <w:ind w:left="3181" w:hanging="527"/>
      </w:pPr>
      <w:rPr>
        <w:rFonts w:hint="default"/>
        <w:lang w:val="zh-CN" w:eastAsia="zh-CN" w:bidi="zh-CN"/>
      </w:rPr>
    </w:lvl>
    <w:lvl w:ilvl="3" w:tentative="0">
      <w:start w:val="0"/>
      <w:numFmt w:val="bullet"/>
      <w:lvlText w:val="•"/>
      <w:lvlJc w:val="left"/>
      <w:pPr>
        <w:ind w:left="4091" w:hanging="527"/>
      </w:pPr>
      <w:rPr>
        <w:rFonts w:hint="default"/>
        <w:lang w:val="zh-CN" w:eastAsia="zh-CN" w:bidi="zh-CN"/>
      </w:rPr>
    </w:lvl>
    <w:lvl w:ilvl="4" w:tentative="0">
      <w:start w:val="0"/>
      <w:numFmt w:val="bullet"/>
      <w:lvlText w:val="•"/>
      <w:lvlJc w:val="left"/>
      <w:pPr>
        <w:ind w:left="5002" w:hanging="527"/>
      </w:pPr>
      <w:rPr>
        <w:rFonts w:hint="default"/>
        <w:lang w:val="zh-CN" w:eastAsia="zh-CN" w:bidi="zh-CN"/>
      </w:rPr>
    </w:lvl>
    <w:lvl w:ilvl="5" w:tentative="0">
      <w:start w:val="0"/>
      <w:numFmt w:val="bullet"/>
      <w:lvlText w:val="•"/>
      <w:lvlJc w:val="left"/>
      <w:pPr>
        <w:ind w:left="5913" w:hanging="527"/>
      </w:pPr>
      <w:rPr>
        <w:rFonts w:hint="default"/>
        <w:lang w:val="zh-CN" w:eastAsia="zh-CN" w:bidi="zh-CN"/>
      </w:rPr>
    </w:lvl>
    <w:lvl w:ilvl="6" w:tentative="0">
      <w:start w:val="0"/>
      <w:numFmt w:val="bullet"/>
      <w:lvlText w:val="•"/>
      <w:lvlJc w:val="left"/>
      <w:pPr>
        <w:ind w:left="6823" w:hanging="527"/>
      </w:pPr>
      <w:rPr>
        <w:rFonts w:hint="default"/>
        <w:lang w:val="zh-CN" w:eastAsia="zh-CN" w:bidi="zh-CN"/>
      </w:rPr>
    </w:lvl>
    <w:lvl w:ilvl="7" w:tentative="0">
      <w:start w:val="0"/>
      <w:numFmt w:val="bullet"/>
      <w:lvlText w:val="•"/>
      <w:lvlJc w:val="left"/>
      <w:pPr>
        <w:ind w:left="7734" w:hanging="527"/>
      </w:pPr>
      <w:rPr>
        <w:rFonts w:hint="default"/>
        <w:lang w:val="zh-CN" w:eastAsia="zh-CN" w:bidi="zh-CN"/>
      </w:rPr>
    </w:lvl>
    <w:lvl w:ilvl="8" w:tentative="0">
      <w:start w:val="0"/>
      <w:numFmt w:val="bullet"/>
      <w:lvlText w:val="•"/>
      <w:lvlJc w:val="left"/>
      <w:pPr>
        <w:ind w:left="8644" w:hanging="527"/>
      </w:pPr>
      <w:rPr>
        <w:rFonts w:hint="default"/>
        <w:lang w:val="zh-CN" w:eastAsia="zh-CN" w:bidi="zh-CN"/>
      </w:rPr>
    </w:lvl>
  </w:abstractNum>
  <w:abstractNum w:abstractNumId="45">
    <w:nsid w:val="F97CED97"/>
    <w:multiLevelType w:val="multilevel"/>
    <w:tmpl w:val="F97CED97"/>
    <w:lvl w:ilvl="0" w:tentative="0">
      <w:start w:val="1"/>
      <w:numFmt w:val="decimal"/>
      <w:lvlText w:val="%1."/>
      <w:lvlJc w:val="left"/>
      <w:pPr>
        <w:ind w:left="412" w:hanging="212"/>
        <w:jc w:val="left"/>
      </w:pPr>
      <w:rPr>
        <w:rFonts w:hint="default" w:ascii="宋体" w:hAnsi="宋体" w:eastAsia="宋体" w:cs="宋体"/>
        <w:spacing w:val="1"/>
        <w:w w:val="99"/>
        <w:sz w:val="19"/>
        <w:szCs w:val="19"/>
        <w:lang w:val="zh-CN" w:eastAsia="zh-CN" w:bidi="zh-CN"/>
      </w:rPr>
    </w:lvl>
    <w:lvl w:ilvl="1" w:tentative="0">
      <w:start w:val="1"/>
      <w:numFmt w:val="decimal"/>
      <w:lvlText w:val="%1.%2"/>
      <w:lvlJc w:val="left"/>
      <w:pPr>
        <w:ind w:left="412" w:hanging="420"/>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2429" w:hanging="420"/>
      </w:pPr>
      <w:rPr>
        <w:rFonts w:hint="default"/>
        <w:lang w:val="zh-CN" w:eastAsia="zh-CN" w:bidi="zh-CN"/>
      </w:rPr>
    </w:lvl>
    <w:lvl w:ilvl="3" w:tentative="0">
      <w:start w:val="0"/>
      <w:numFmt w:val="bullet"/>
      <w:lvlText w:val="•"/>
      <w:lvlJc w:val="left"/>
      <w:pPr>
        <w:ind w:left="3433" w:hanging="420"/>
      </w:pPr>
      <w:rPr>
        <w:rFonts w:hint="default"/>
        <w:lang w:val="zh-CN" w:eastAsia="zh-CN" w:bidi="zh-CN"/>
      </w:rPr>
    </w:lvl>
    <w:lvl w:ilvl="4" w:tentative="0">
      <w:start w:val="0"/>
      <w:numFmt w:val="bullet"/>
      <w:lvlText w:val="•"/>
      <w:lvlJc w:val="left"/>
      <w:pPr>
        <w:ind w:left="4438" w:hanging="420"/>
      </w:pPr>
      <w:rPr>
        <w:rFonts w:hint="default"/>
        <w:lang w:val="zh-CN" w:eastAsia="zh-CN" w:bidi="zh-CN"/>
      </w:rPr>
    </w:lvl>
    <w:lvl w:ilvl="5" w:tentative="0">
      <w:start w:val="0"/>
      <w:numFmt w:val="bullet"/>
      <w:lvlText w:val="•"/>
      <w:lvlJc w:val="left"/>
      <w:pPr>
        <w:ind w:left="5443" w:hanging="420"/>
      </w:pPr>
      <w:rPr>
        <w:rFonts w:hint="default"/>
        <w:lang w:val="zh-CN" w:eastAsia="zh-CN" w:bidi="zh-CN"/>
      </w:rPr>
    </w:lvl>
    <w:lvl w:ilvl="6" w:tentative="0">
      <w:start w:val="0"/>
      <w:numFmt w:val="bullet"/>
      <w:lvlText w:val="•"/>
      <w:lvlJc w:val="left"/>
      <w:pPr>
        <w:ind w:left="6447" w:hanging="420"/>
      </w:pPr>
      <w:rPr>
        <w:rFonts w:hint="default"/>
        <w:lang w:val="zh-CN" w:eastAsia="zh-CN" w:bidi="zh-CN"/>
      </w:rPr>
    </w:lvl>
    <w:lvl w:ilvl="7" w:tentative="0">
      <w:start w:val="0"/>
      <w:numFmt w:val="bullet"/>
      <w:lvlText w:val="•"/>
      <w:lvlJc w:val="left"/>
      <w:pPr>
        <w:ind w:left="7452" w:hanging="420"/>
      </w:pPr>
      <w:rPr>
        <w:rFonts w:hint="default"/>
        <w:lang w:val="zh-CN" w:eastAsia="zh-CN" w:bidi="zh-CN"/>
      </w:rPr>
    </w:lvl>
    <w:lvl w:ilvl="8" w:tentative="0">
      <w:start w:val="0"/>
      <w:numFmt w:val="bullet"/>
      <w:lvlText w:val="•"/>
      <w:lvlJc w:val="left"/>
      <w:pPr>
        <w:ind w:left="8456" w:hanging="420"/>
      </w:pPr>
      <w:rPr>
        <w:rFonts w:hint="default"/>
        <w:lang w:val="zh-CN" w:eastAsia="zh-CN" w:bidi="zh-CN"/>
      </w:rPr>
    </w:lvl>
  </w:abstractNum>
  <w:abstractNum w:abstractNumId="46">
    <w:nsid w:val="FCC85EE2"/>
    <w:multiLevelType w:val="multilevel"/>
    <w:tmpl w:val="FCC85EE2"/>
    <w:lvl w:ilvl="0" w:tentative="0">
      <w:start w:val="1"/>
      <w:numFmt w:val="decimal"/>
      <w:lvlText w:val="（%1）"/>
      <w:lvlJc w:val="left"/>
      <w:pPr>
        <w:ind w:left="1359" w:hanging="527"/>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2270" w:hanging="527"/>
      </w:pPr>
      <w:rPr>
        <w:rFonts w:hint="default"/>
        <w:lang w:val="zh-CN" w:eastAsia="zh-CN" w:bidi="zh-CN"/>
      </w:rPr>
    </w:lvl>
    <w:lvl w:ilvl="2" w:tentative="0">
      <w:start w:val="0"/>
      <w:numFmt w:val="bullet"/>
      <w:lvlText w:val="•"/>
      <w:lvlJc w:val="left"/>
      <w:pPr>
        <w:ind w:left="3181" w:hanging="527"/>
      </w:pPr>
      <w:rPr>
        <w:rFonts w:hint="default"/>
        <w:lang w:val="zh-CN" w:eastAsia="zh-CN" w:bidi="zh-CN"/>
      </w:rPr>
    </w:lvl>
    <w:lvl w:ilvl="3" w:tentative="0">
      <w:start w:val="0"/>
      <w:numFmt w:val="bullet"/>
      <w:lvlText w:val="•"/>
      <w:lvlJc w:val="left"/>
      <w:pPr>
        <w:ind w:left="4091" w:hanging="527"/>
      </w:pPr>
      <w:rPr>
        <w:rFonts w:hint="default"/>
        <w:lang w:val="zh-CN" w:eastAsia="zh-CN" w:bidi="zh-CN"/>
      </w:rPr>
    </w:lvl>
    <w:lvl w:ilvl="4" w:tentative="0">
      <w:start w:val="0"/>
      <w:numFmt w:val="bullet"/>
      <w:lvlText w:val="•"/>
      <w:lvlJc w:val="left"/>
      <w:pPr>
        <w:ind w:left="5002" w:hanging="527"/>
      </w:pPr>
      <w:rPr>
        <w:rFonts w:hint="default"/>
        <w:lang w:val="zh-CN" w:eastAsia="zh-CN" w:bidi="zh-CN"/>
      </w:rPr>
    </w:lvl>
    <w:lvl w:ilvl="5" w:tentative="0">
      <w:start w:val="0"/>
      <w:numFmt w:val="bullet"/>
      <w:lvlText w:val="•"/>
      <w:lvlJc w:val="left"/>
      <w:pPr>
        <w:ind w:left="5913" w:hanging="527"/>
      </w:pPr>
      <w:rPr>
        <w:rFonts w:hint="default"/>
        <w:lang w:val="zh-CN" w:eastAsia="zh-CN" w:bidi="zh-CN"/>
      </w:rPr>
    </w:lvl>
    <w:lvl w:ilvl="6" w:tentative="0">
      <w:start w:val="0"/>
      <w:numFmt w:val="bullet"/>
      <w:lvlText w:val="•"/>
      <w:lvlJc w:val="left"/>
      <w:pPr>
        <w:ind w:left="6823" w:hanging="527"/>
      </w:pPr>
      <w:rPr>
        <w:rFonts w:hint="default"/>
        <w:lang w:val="zh-CN" w:eastAsia="zh-CN" w:bidi="zh-CN"/>
      </w:rPr>
    </w:lvl>
    <w:lvl w:ilvl="7" w:tentative="0">
      <w:start w:val="0"/>
      <w:numFmt w:val="bullet"/>
      <w:lvlText w:val="•"/>
      <w:lvlJc w:val="left"/>
      <w:pPr>
        <w:ind w:left="7734" w:hanging="527"/>
      </w:pPr>
      <w:rPr>
        <w:rFonts w:hint="default"/>
        <w:lang w:val="zh-CN" w:eastAsia="zh-CN" w:bidi="zh-CN"/>
      </w:rPr>
    </w:lvl>
    <w:lvl w:ilvl="8" w:tentative="0">
      <w:start w:val="0"/>
      <w:numFmt w:val="bullet"/>
      <w:lvlText w:val="•"/>
      <w:lvlJc w:val="left"/>
      <w:pPr>
        <w:ind w:left="8644" w:hanging="527"/>
      </w:pPr>
      <w:rPr>
        <w:rFonts w:hint="default"/>
        <w:lang w:val="zh-CN" w:eastAsia="zh-CN" w:bidi="zh-CN"/>
      </w:rPr>
    </w:lvl>
  </w:abstractNum>
  <w:abstractNum w:abstractNumId="47">
    <w:nsid w:val="00000002"/>
    <w:multiLevelType w:val="singleLevel"/>
    <w:tmpl w:val="00000002"/>
    <w:lvl w:ilvl="0" w:tentative="0">
      <w:start w:val="1"/>
      <w:numFmt w:val="decimal"/>
      <w:pStyle w:val="22"/>
      <w:lvlText w:val="%1."/>
      <w:lvlJc w:val="left"/>
      <w:pPr>
        <w:tabs>
          <w:tab w:val="left" w:pos="1200"/>
        </w:tabs>
        <w:ind w:left="1200" w:hanging="360"/>
      </w:pPr>
    </w:lvl>
  </w:abstractNum>
  <w:abstractNum w:abstractNumId="48">
    <w:nsid w:val="00000003"/>
    <w:multiLevelType w:val="multilevel"/>
    <w:tmpl w:val="00000003"/>
    <w:lvl w:ilvl="0" w:tentative="0">
      <w:start w:val="1"/>
      <w:numFmt w:val="japaneseCounting"/>
      <w:lvlText w:val="%1、"/>
      <w:lvlJc w:val="left"/>
      <w:pPr>
        <w:tabs>
          <w:tab w:val="left" w:pos="1020"/>
        </w:tabs>
        <w:ind w:left="1020" w:hanging="480"/>
      </w:pPr>
      <w:rPr>
        <w:rFonts w:ascii="仿宋_GB2312" w:hAnsi="宋体" w:eastAsia="仿宋_GB2312" w:cs="Times New Roman"/>
        <w:b/>
        <w:bCs/>
        <w:i w:val="0"/>
        <w:sz w:val="24"/>
        <w:szCs w:val="24"/>
      </w:rPr>
    </w:lvl>
    <w:lvl w:ilvl="1" w:tentative="0">
      <w:start w:val="1"/>
      <w:numFmt w:val="lowerLetter"/>
      <w:lvlText w:val="%2)"/>
      <w:lvlJc w:val="left"/>
      <w:pPr>
        <w:tabs>
          <w:tab w:val="left" w:pos="960"/>
        </w:tabs>
        <w:ind w:left="960" w:hanging="420"/>
      </w:pPr>
    </w:lvl>
    <w:lvl w:ilvl="2" w:tentative="0">
      <w:start w:val="1"/>
      <w:numFmt w:val="decimal"/>
      <w:pStyle w:val="185"/>
      <w:lvlText w:val="%3、"/>
      <w:lvlJc w:val="left"/>
      <w:pPr>
        <w:tabs>
          <w:tab w:val="left" w:pos="1380"/>
        </w:tabs>
        <w:ind w:left="1380" w:hanging="420"/>
      </w:pPr>
      <w:rPr>
        <w:rFonts w:ascii="仿宋_GB2312" w:hAnsi="宋体" w:eastAsia="仿宋_GB2312" w:cs="Times New Roman"/>
        <w:b w:val="0"/>
        <w:i w:val="0"/>
        <w:color w:val="auto"/>
        <w:sz w:val="21"/>
        <w:szCs w:val="21"/>
      </w:rPr>
    </w:lvl>
    <w:lvl w:ilvl="3" w:tentative="0">
      <w:start w:val="1"/>
      <w:numFmt w:val="decimal"/>
      <w:lvlText w:val="%4."/>
      <w:lvlJc w:val="left"/>
      <w:pPr>
        <w:tabs>
          <w:tab w:val="left" w:pos="1800"/>
        </w:tabs>
        <w:ind w:left="1800" w:hanging="420"/>
      </w:pPr>
      <w:rPr>
        <w:rFonts w:hint="eastAsia"/>
        <w:b/>
        <w:i w:val="0"/>
        <w:sz w:val="24"/>
        <w:szCs w:val="24"/>
      </w:rPr>
    </w:lvl>
    <w:lvl w:ilvl="4" w:tentative="0">
      <w:start w:val="6"/>
      <w:numFmt w:val="decimal"/>
      <w:lvlText w:val="%5．"/>
      <w:lvlJc w:val="left"/>
      <w:pPr>
        <w:tabs>
          <w:tab w:val="left" w:pos="2160"/>
        </w:tabs>
        <w:ind w:left="2160" w:hanging="360"/>
      </w:pPr>
      <w:rPr>
        <w:rFonts w:hint="default"/>
      </w:rPr>
    </w:lvl>
    <w:lvl w:ilvl="5" w:tentative="0">
      <w:start w:val="1"/>
      <w:numFmt w:val="lowerRoman"/>
      <w:lvlText w:val="%6."/>
      <w:lvlJc w:val="right"/>
      <w:pPr>
        <w:tabs>
          <w:tab w:val="left" w:pos="2640"/>
        </w:tabs>
        <w:ind w:left="2640" w:hanging="420"/>
      </w:pPr>
    </w:lvl>
    <w:lvl w:ilvl="6" w:tentative="0">
      <w:start w:val="1"/>
      <w:numFmt w:val="decimal"/>
      <w:lvlText w:val="%7."/>
      <w:lvlJc w:val="left"/>
      <w:pPr>
        <w:tabs>
          <w:tab w:val="left" w:pos="3060"/>
        </w:tabs>
        <w:ind w:left="3060" w:hanging="420"/>
      </w:pPr>
    </w:lvl>
    <w:lvl w:ilvl="7" w:tentative="0">
      <w:start w:val="1"/>
      <w:numFmt w:val="lowerLetter"/>
      <w:lvlText w:val="%8)"/>
      <w:lvlJc w:val="left"/>
      <w:pPr>
        <w:tabs>
          <w:tab w:val="left" w:pos="3480"/>
        </w:tabs>
        <w:ind w:left="3480" w:hanging="420"/>
      </w:pPr>
    </w:lvl>
    <w:lvl w:ilvl="8" w:tentative="0">
      <w:start w:val="1"/>
      <w:numFmt w:val="lowerRoman"/>
      <w:lvlText w:val="%9."/>
      <w:lvlJc w:val="right"/>
      <w:pPr>
        <w:tabs>
          <w:tab w:val="left" w:pos="3900"/>
        </w:tabs>
        <w:ind w:left="3900" w:hanging="420"/>
      </w:pPr>
    </w:lvl>
  </w:abstractNum>
  <w:abstractNum w:abstractNumId="49">
    <w:nsid w:val="0053208E"/>
    <w:multiLevelType w:val="multilevel"/>
    <w:tmpl w:val="0053208E"/>
    <w:lvl w:ilvl="0" w:tentative="0">
      <w:start w:val="1"/>
      <w:numFmt w:val="decimal"/>
      <w:lvlText w:val="%1."/>
      <w:lvlJc w:val="left"/>
      <w:pPr>
        <w:ind w:left="1044"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982" w:hanging="212"/>
      </w:pPr>
      <w:rPr>
        <w:rFonts w:hint="default"/>
        <w:lang w:val="zh-CN" w:eastAsia="zh-CN" w:bidi="zh-CN"/>
      </w:rPr>
    </w:lvl>
    <w:lvl w:ilvl="2" w:tentative="0">
      <w:start w:val="0"/>
      <w:numFmt w:val="bullet"/>
      <w:lvlText w:val="•"/>
      <w:lvlJc w:val="left"/>
      <w:pPr>
        <w:ind w:left="2925" w:hanging="212"/>
      </w:pPr>
      <w:rPr>
        <w:rFonts w:hint="default"/>
        <w:lang w:val="zh-CN" w:eastAsia="zh-CN" w:bidi="zh-CN"/>
      </w:rPr>
    </w:lvl>
    <w:lvl w:ilvl="3" w:tentative="0">
      <w:start w:val="0"/>
      <w:numFmt w:val="bullet"/>
      <w:lvlText w:val="•"/>
      <w:lvlJc w:val="left"/>
      <w:pPr>
        <w:ind w:left="3867" w:hanging="212"/>
      </w:pPr>
      <w:rPr>
        <w:rFonts w:hint="default"/>
        <w:lang w:val="zh-CN" w:eastAsia="zh-CN" w:bidi="zh-CN"/>
      </w:rPr>
    </w:lvl>
    <w:lvl w:ilvl="4" w:tentative="0">
      <w:start w:val="0"/>
      <w:numFmt w:val="bullet"/>
      <w:lvlText w:val="•"/>
      <w:lvlJc w:val="left"/>
      <w:pPr>
        <w:ind w:left="4810" w:hanging="212"/>
      </w:pPr>
      <w:rPr>
        <w:rFonts w:hint="default"/>
        <w:lang w:val="zh-CN" w:eastAsia="zh-CN" w:bidi="zh-CN"/>
      </w:rPr>
    </w:lvl>
    <w:lvl w:ilvl="5" w:tentative="0">
      <w:start w:val="0"/>
      <w:numFmt w:val="bullet"/>
      <w:lvlText w:val="•"/>
      <w:lvlJc w:val="left"/>
      <w:pPr>
        <w:ind w:left="5753" w:hanging="212"/>
      </w:pPr>
      <w:rPr>
        <w:rFonts w:hint="default"/>
        <w:lang w:val="zh-CN" w:eastAsia="zh-CN" w:bidi="zh-CN"/>
      </w:rPr>
    </w:lvl>
    <w:lvl w:ilvl="6" w:tentative="0">
      <w:start w:val="0"/>
      <w:numFmt w:val="bullet"/>
      <w:lvlText w:val="•"/>
      <w:lvlJc w:val="left"/>
      <w:pPr>
        <w:ind w:left="6695" w:hanging="212"/>
      </w:pPr>
      <w:rPr>
        <w:rFonts w:hint="default"/>
        <w:lang w:val="zh-CN" w:eastAsia="zh-CN" w:bidi="zh-CN"/>
      </w:rPr>
    </w:lvl>
    <w:lvl w:ilvl="7" w:tentative="0">
      <w:start w:val="0"/>
      <w:numFmt w:val="bullet"/>
      <w:lvlText w:val="•"/>
      <w:lvlJc w:val="left"/>
      <w:pPr>
        <w:ind w:left="7638" w:hanging="212"/>
      </w:pPr>
      <w:rPr>
        <w:rFonts w:hint="default"/>
        <w:lang w:val="zh-CN" w:eastAsia="zh-CN" w:bidi="zh-CN"/>
      </w:rPr>
    </w:lvl>
    <w:lvl w:ilvl="8" w:tentative="0">
      <w:start w:val="0"/>
      <w:numFmt w:val="bullet"/>
      <w:lvlText w:val="•"/>
      <w:lvlJc w:val="left"/>
      <w:pPr>
        <w:ind w:left="8580" w:hanging="212"/>
      </w:pPr>
      <w:rPr>
        <w:rFonts w:hint="default"/>
        <w:lang w:val="zh-CN" w:eastAsia="zh-CN" w:bidi="zh-CN"/>
      </w:rPr>
    </w:lvl>
  </w:abstractNum>
  <w:abstractNum w:abstractNumId="50">
    <w:nsid w:val="01D7E1C7"/>
    <w:multiLevelType w:val="multilevel"/>
    <w:tmpl w:val="01D7E1C7"/>
    <w:lvl w:ilvl="0" w:tentative="0">
      <w:start w:val="1"/>
      <w:numFmt w:val="decimal"/>
      <w:lvlText w:val="%1."/>
      <w:lvlJc w:val="left"/>
      <w:pPr>
        <w:ind w:left="106"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969" w:hanging="212"/>
      </w:pPr>
      <w:rPr>
        <w:rFonts w:hint="default"/>
        <w:lang w:val="zh-CN" w:eastAsia="zh-CN" w:bidi="zh-CN"/>
      </w:rPr>
    </w:lvl>
    <w:lvl w:ilvl="2" w:tentative="0">
      <w:start w:val="0"/>
      <w:numFmt w:val="bullet"/>
      <w:lvlText w:val="•"/>
      <w:lvlJc w:val="left"/>
      <w:pPr>
        <w:ind w:left="1839" w:hanging="212"/>
      </w:pPr>
      <w:rPr>
        <w:rFonts w:hint="default"/>
        <w:lang w:val="zh-CN" w:eastAsia="zh-CN" w:bidi="zh-CN"/>
      </w:rPr>
    </w:lvl>
    <w:lvl w:ilvl="3" w:tentative="0">
      <w:start w:val="0"/>
      <w:numFmt w:val="bullet"/>
      <w:lvlText w:val="•"/>
      <w:lvlJc w:val="left"/>
      <w:pPr>
        <w:ind w:left="2708" w:hanging="212"/>
      </w:pPr>
      <w:rPr>
        <w:rFonts w:hint="default"/>
        <w:lang w:val="zh-CN" w:eastAsia="zh-CN" w:bidi="zh-CN"/>
      </w:rPr>
    </w:lvl>
    <w:lvl w:ilvl="4" w:tentative="0">
      <w:start w:val="0"/>
      <w:numFmt w:val="bullet"/>
      <w:lvlText w:val="•"/>
      <w:lvlJc w:val="left"/>
      <w:pPr>
        <w:ind w:left="3578" w:hanging="212"/>
      </w:pPr>
      <w:rPr>
        <w:rFonts w:hint="default"/>
        <w:lang w:val="zh-CN" w:eastAsia="zh-CN" w:bidi="zh-CN"/>
      </w:rPr>
    </w:lvl>
    <w:lvl w:ilvl="5" w:tentative="0">
      <w:start w:val="0"/>
      <w:numFmt w:val="bullet"/>
      <w:lvlText w:val="•"/>
      <w:lvlJc w:val="left"/>
      <w:pPr>
        <w:ind w:left="4448" w:hanging="212"/>
      </w:pPr>
      <w:rPr>
        <w:rFonts w:hint="default"/>
        <w:lang w:val="zh-CN" w:eastAsia="zh-CN" w:bidi="zh-CN"/>
      </w:rPr>
    </w:lvl>
    <w:lvl w:ilvl="6" w:tentative="0">
      <w:start w:val="0"/>
      <w:numFmt w:val="bullet"/>
      <w:lvlText w:val="•"/>
      <w:lvlJc w:val="left"/>
      <w:pPr>
        <w:ind w:left="5317" w:hanging="212"/>
      </w:pPr>
      <w:rPr>
        <w:rFonts w:hint="default"/>
        <w:lang w:val="zh-CN" w:eastAsia="zh-CN" w:bidi="zh-CN"/>
      </w:rPr>
    </w:lvl>
    <w:lvl w:ilvl="7" w:tentative="0">
      <w:start w:val="0"/>
      <w:numFmt w:val="bullet"/>
      <w:lvlText w:val="•"/>
      <w:lvlJc w:val="left"/>
      <w:pPr>
        <w:ind w:left="6187" w:hanging="212"/>
      </w:pPr>
      <w:rPr>
        <w:rFonts w:hint="default"/>
        <w:lang w:val="zh-CN" w:eastAsia="zh-CN" w:bidi="zh-CN"/>
      </w:rPr>
    </w:lvl>
    <w:lvl w:ilvl="8" w:tentative="0">
      <w:start w:val="0"/>
      <w:numFmt w:val="bullet"/>
      <w:lvlText w:val="•"/>
      <w:lvlJc w:val="left"/>
      <w:pPr>
        <w:ind w:left="7056" w:hanging="212"/>
      </w:pPr>
      <w:rPr>
        <w:rFonts w:hint="default"/>
        <w:lang w:val="zh-CN" w:eastAsia="zh-CN" w:bidi="zh-CN"/>
      </w:rPr>
    </w:lvl>
  </w:abstractNum>
  <w:abstractNum w:abstractNumId="51">
    <w:nsid w:val="0258E135"/>
    <w:multiLevelType w:val="multilevel"/>
    <w:tmpl w:val="0258E135"/>
    <w:lvl w:ilvl="0" w:tentative="0">
      <w:start w:val="1"/>
      <w:numFmt w:val="decimal"/>
      <w:lvlText w:val="%1."/>
      <w:lvlJc w:val="left"/>
      <w:pPr>
        <w:ind w:left="412"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424" w:hanging="212"/>
      </w:pPr>
      <w:rPr>
        <w:rFonts w:hint="default"/>
        <w:lang w:val="zh-CN" w:eastAsia="zh-CN" w:bidi="zh-CN"/>
      </w:rPr>
    </w:lvl>
    <w:lvl w:ilvl="2" w:tentative="0">
      <w:start w:val="0"/>
      <w:numFmt w:val="bullet"/>
      <w:lvlText w:val="•"/>
      <w:lvlJc w:val="left"/>
      <w:pPr>
        <w:ind w:left="2429" w:hanging="212"/>
      </w:pPr>
      <w:rPr>
        <w:rFonts w:hint="default"/>
        <w:lang w:val="zh-CN" w:eastAsia="zh-CN" w:bidi="zh-CN"/>
      </w:rPr>
    </w:lvl>
    <w:lvl w:ilvl="3" w:tentative="0">
      <w:start w:val="0"/>
      <w:numFmt w:val="bullet"/>
      <w:lvlText w:val="•"/>
      <w:lvlJc w:val="left"/>
      <w:pPr>
        <w:ind w:left="3433" w:hanging="212"/>
      </w:pPr>
      <w:rPr>
        <w:rFonts w:hint="default"/>
        <w:lang w:val="zh-CN" w:eastAsia="zh-CN" w:bidi="zh-CN"/>
      </w:rPr>
    </w:lvl>
    <w:lvl w:ilvl="4" w:tentative="0">
      <w:start w:val="0"/>
      <w:numFmt w:val="bullet"/>
      <w:lvlText w:val="•"/>
      <w:lvlJc w:val="left"/>
      <w:pPr>
        <w:ind w:left="4438" w:hanging="212"/>
      </w:pPr>
      <w:rPr>
        <w:rFonts w:hint="default"/>
        <w:lang w:val="zh-CN" w:eastAsia="zh-CN" w:bidi="zh-CN"/>
      </w:rPr>
    </w:lvl>
    <w:lvl w:ilvl="5" w:tentative="0">
      <w:start w:val="0"/>
      <w:numFmt w:val="bullet"/>
      <w:lvlText w:val="•"/>
      <w:lvlJc w:val="left"/>
      <w:pPr>
        <w:ind w:left="5443" w:hanging="212"/>
      </w:pPr>
      <w:rPr>
        <w:rFonts w:hint="default"/>
        <w:lang w:val="zh-CN" w:eastAsia="zh-CN" w:bidi="zh-CN"/>
      </w:rPr>
    </w:lvl>
    <w:lvl w:ilvl="6" w:tentative="0">
      <w:start w:val="0"/>
      <w:numFmt w:val="bullet"/>
      <w:lvlText w:val="•"/>
      <w:lvlJc w:val="left"/>
      <w:pPr>
        <w:ind w:left="6447" w:hanging="212"/>
      </w:pPr>
      <w:rPr>
        <w:rFonts w:hint="default"/>
        <w:lang w:val="zh-CN" w:eastAsia="zh-CN" w:bidi="zh-CN"/>
      </w:rPr>
    </w:lvl>
    <w:lvl w:ilvl="7" w:tentative="0">
      <w:start w:val="0"/>
      <w:numFmt w:val="bullet"/>
      <w:lvlText w:val="•"/>
      <w:lvlJc w:val="left"/>
      <w:pPr>
        <w:ind w:left="7452" w:hanging="212"/>
      </w:pPr>
      <w:rPr>
        <w:rFonts w:hint="default"/>
        <w:lang w:val="zh-CN" w:eastAsia="zh-CN" w:bidi="zh-CN"/>
      </w:rPr>
    </w:lvl>
    <w:lvl w:ilvl="8" w:tentative="0">
      <w:start w:val="0"/>
      <w:numFmt w:val="bullet"/>
      <w:lvlText w:val="•"/>
      <w:lvlJc w:val="left"/>
      <w:pPr>
        <w:ind w:left="8456" w:hanging="212"/>
      </w:pPr>
      <w:rPr>
        <w:rFonts w:hint="default"/>
        <w:lang w:val="zh-CN" w:eastAsia="zh-CN" w:bidi="zh-CN"/>
      </w:rPr>
    </w:lvl>
  </w:abstractNum>
  <w:abstractNum w:abstractNumId="52">
    <w:nsid w:val="07F2E950"/>
    <w:multiLevelType w:val="multilevel"/>
    <w:tmpl w:val="07F2E950"/>
    <w:lvl w:ilvl="0" w:tentative="0">
      <w:start w:val="4"/>
      <w:numFmt w:val="decimal"/>
      <w:lvlText w:val="%1."/>
      <w:lvlJc w:val="left"/>
      <w:pPr>
        <w:ind w:left="775" w:hanging="363"/>
        <w:jc w:val="left"/>
      </w:pPr>
      <w:rPr>
        <w:rFonts w:hint="default" w:ascii="宋体" w:hAnsi="宋体" w:eastAsia="宋体" w:cs="宋体"/>
        <w:b/>
        <w:bCs/>
        <w:spacing w:val="0"/>
        <w:w w:val="99"/>
        <w:sz w:val="24"/>
        <w:szCs w:val="24"/>
        <w:lang w:val="zh-CN" w:eastAsia="zh-CN" w:bidi="zh-CN"/>
      </w:rPr>
    </w:lvl>
    <w:lvl w:ilvl="1" w:tentative="0">
      <w:start w:val="1"/>
      <w:numFmt w:val="decimal"/>
      <w:lvlText w:val="%2."/>
      <w:lvlJc w:val="left"/>
      <w:pPr>
        <w:ind w:left="412" w:hanging="212"/>
        <w:jc w:val="left"/>
      </w:pPr>
      <w:rPr>
        <w:rFonts w:hint="default" w:ascii="宋体" w:hAnsi="宋体" w:eastAsia="宋体" w:cs="宋体"/>
        <w:spacing w:val="1"/>
        <w:w w:val="99"/>
        <w:sz w:val="19"/>
        <w:szCs w:val="19"/>
        <w:lang w:val="zh-CN" w:eastAsia="zh-CN" w:bidi="zh-CN"/>
      </w:rPr>
    </w:lvl>
    <w:lvl w:ilvl="2" w:tentative="0">
      <w:start w:val="0"/>
      <w:numFmt w:val="bullet"/>
      <w:lvlText w:val="•"/>
      <w:lvlJc w:val="left"/>
      <w:pPr>
        <w:ind w:left="917" w:hanging="212"/>
      </w:pPr>
      <w:rPr>
        <w:rFonts w:hint="default"/>
        <w:lang w:val="zh-CN" w:eastAsia="zh-CN" w:bidi="zh-CN"/>
      </w:rPr>
    </w:lvl>
    <w:lvl w:ilvl="3" w:tentative="0">
      <w:start w:val="0"/>
      <w:numFmt w:val="bullet"/>
      <w:lvlText w:val="•"/>
      <w:lvlJc w:val="left"/>
      <w:pPr>
        <w:ind w:left="1055" w:hanging="212"/>
      </w:pPr>
      <w:rPr>
        <w:rFonts w:hint="default"/>
        <w:lang w:val="zh-CN" w:eastAsia="zh-CN" w:bidi="zh-CN"/>
      </w:rPr>
    </w:lvl>
    <w:lvl w:ilvl="4" w:tentative="0">
      <w:start w:val="0"/>
      <w:numFmt w:val="bullet"/>
      <w:lvlText w:val="•"/>
      <w:lvlJc w:val="left"/>
      <w:pPr>
        <w:ind w:left="1193" w:hanging="212"/>
      </w:pPr>
      <w:rPr>
        <w:rFonts w:hint="default"/>
        <w:lang w:val="zh-CN" w:eastAsia="zh-CN" w:bidi="zh-CN"/>
      </w:rPr>
    </w:lvl>
    <w:lvl w:ilvl="5" w:tentative="0">
      <w:start w:val="0"/>
      <w:numFmt w:val="bullet"/>
      <w:lvlText w:val="•"/>
      <w:lvlJc w:val="left"/>
      <w:pPr>
        <w:ind w:left="1331" w:hanging="212"/>
      </w:pPr>
      <w:rPr>
        <w:rFonts w:hint="default"/>
        <w:lang w:val="zh-CN" w:eastAsia="zh-CN" w:bidi="zh-CN"/>
      </w:rPr>
    </w:lvl>
    <w:lvl w:ilvl="6" w:tentative="0">
      <w:start w:val="0"/>
      <w:numFmt w:val="bullet"/>
      <w:lvlText w:val="•"/>
      <w:lvlJc w:val="left"/>
      <w:pPr>
        <w:ind w:left="1468" w:hanging="212"/>
      </w:pPr>
      <w:rPr>
        <w:rFonts w:hint="default"/>
        <w:lang w:val="zh-CN" w:eastAsia="zh-CN" w:bidi="zh-CN"/>
      </w:rPr>
    </w:lvl>
    <w:lvl w:ilvl="7" w:tentative="0">
      <w:start w:val="0"/>
      <w:numFmt w:val="bullet"/>
      <w:lvlText w:val="•"/>
      <w:lvlJc w:val="left"/>
      <w:pPr>
        <w:ind w:left="1606" w:hanging="212"/>
      </w:pPr>
      <w:rPr>
        <w:rFonts w:hint="default"/>
        <w:lang w:val="zh-CN" w:eastAsia="zh-CN" w:bidi="zh-CN"/>
      </w:rPr>
    </w:lvl>
    <w:lvl w:ilvl="8" w:tentative="0">
      <w:start w:val="0"/>
      <w:numFmt w:val="bullet"/>
      <w:lvlText w:val="•"/>
      <w:lvlJc w:val="left"/>
      <w:pPr>
        <w:ind w:left="1744" w:hanging="212"/>
      </w:pPr>
      <w:rPr>
        <w:rFonts w:hint="default"/>
        <w:lang w:val="zh-CN" w:eastAsia="zh-CN" w:bidi="zh-CN"/>
      </w:rPr>
    </w:lvl>
  </w:abstractNum>
  <w:abstractNum w:abstractNumId="53">
    <w:nsid w:val="07F5BCC3"/>
    <w:multiLevelType w:val="multilevel"/>
    <w:tmpl w:val="07F5BCC3"/>
    <w:lvl w:ilvl="0" w:tentative="0">
      <w:start w:val="1"/>
      <w:numFmt w:val="decimal"/>
      <w:lvlText w:val="%1."/>
      <w:lvlJc w:val="left"/>
      <w:pPr>
        <w:ind w:left="317"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167" w:hanging="212"/>
      </w:pPr>
      <w:rPr>
        <w:rFonts w:hint="default"/>
        <w:lang w:val="zh-CN" w:eastAsia="zh-CN" w:bidi="zh-CN"/>
      </w:rPr>
    </w:lvl>
    <w:lvl w:ilvl="2" w:tentative="0">
      <w:start w:val="0"/>
      <w:numFmt w:val="bullet"/>
      <w:lvlText w:val="•"/>
      <w:lvlJc w:val="left"/>
      <w:pPr>
        <w:ind w:left="2015" w:hanging="212"/>
      </w:pPr>
      <w:rPr>
        <w:rFonts w:hint="default"/>
        <w:lang w:val="zh-CN" w:eastAsia="zh-CN" w:bidi="zh-CN"/>
      </w:rPr>
    </w:lvl>
    <w:lvl w:ilvl="3" w:tentative="0">
      <w:start w:val="0"/>
      <w:numFmt w:val="bullet"/>
      <w:lvlText w:val="•"/>
      <w:lvlJc w:val="left"/>
      <w:pPr>
        <w:ind w:left="2862" w:hanging="212"/>
      </w:pPr>
      <w:rPr>
        <w:rFonts w:hint="default"/>
        <w:lang w:val="zh-CN" w:eastAsia="zh-CN" w:bidi="zh-CN"/>
      </w:rPr>
    </w:lvl>
    <w:lvl w:ilvl="4" w:tentative="0">
      <w:start w:val="0"/>
      <w:numFmt w:val="bullet"/>
      <w:lvlText w:val="•"/>
      <w:lvlJc w:val="left"/>
      <w:pPr>
        <w:ind w:left="3710" w:hanging="212"/>
      </w:pPr>
      <w:rPr>
        <w:rFonts w:hint="default"/>
        <w:lang w:val="zh-CN" w:eastAsia="zh-CN" w:bidi="zh-CN"/>
      </w:rPr>
    </w:lvl>
    <w:lvl w:ilvl="5" w:tentative="0">
      <w:start w:val="0"/>
      <w:numFmt w:val="bullet"/>
      <w:lvlText w:val="•"/>
      <w:lvlJc w:val="left"/>
      <w:pPr>
        <w:ind w:left="4558" w:hanging="212"/>
      </w:pPr>
      <w:rPr>
        <w:rFonts w:hint="default"/>
        <w:lang w:val="zh-CN" w:eastAsia="zh-CN" w:bidi="zh-CN"/>
      </w:rPr>
    </w:lvl>
    <w:lvl w:ilvl="6" w:tentative="0">
      <w:start w:val="0"/>
      <w:numFmt w:val="bullet"/>
      <w:lvlText w:val="•"/>
      <w:lvlJc w:val="left"/>
      <w:pPr>
        <w:ind w:left="5405" w:hanging="212"/>
      </w:pPr>
      <w:rPr>
        <w:rFonts w:hint="default"/>
        <w:lang w:val="zh-CN" w:eastAsia="zh-CN" w:bidi="zh-CN"/>
      </w:rPr>
    </w:lvl>
    <w:lvl w:ilvl="7" w:tentative="0">
      <w:start w:val="0"/>
      <w:numFmt w:val="bullet"/>
      <w:lvlText w:val="•"/>
      <w:lvlJc w:val="left"/>
      <w:pPr>
        <w:ind w:left="6253" w:hanging="212"/>
      </w:pPr>
      <w:rPr>
        <w:rFonts w:hint="default"/>
        <w:lang w:val="zh-CN" w:eastAsia="zh-CN" w:bidi="zh-CN"/>
      </w:rPr>
    </w:lvl>
    <w:lvl w:ilvl="8" w:tentative="0">
      <w:start w:val="0"/>
      <w:numFmt w:val="bullet"/>
      <w:lvlText w:val="•"/>
      <w:lvlJc w:val="left"/>
      <w:pPr>
        <w:ind w:left="7100" w:hanging="212"/>
      </w:pPr>
      <w:rPr>
        <w:rFonts w:hint="default"/>
        <w:lang w:val="zh-CN" w:eastAsia="zh-CN" w:bidi="zh-CN"/>
      </w:rPr>
    </w:lvl>
  </w:abstractNum>
  <w:abstractNum w:abstractNumId="54">
    <w:nsid w:val="0CCB9E98"/>
    <w:multiLevelType w:val="multilevel"/>
    <w:tmpl w:val="0CCB9E98"/>
    <w:lvl w:ilvl="0" w:tentative="0">
      <w:start w:val="1"/>
      <w:numFmt w:val="decimal"/>
      <w:lvlText w:val="%1."/>
      <w:lvlJc w:val="left"/>
      <w:pPr>
        <w:ind w:left="412"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424" w:hanging="212"/>
      </w:pPr>
      <w:rPr>
        <w:rFonts w:hint="default"/>
        <w:lang w:val="zh-CN" w:eastAsia="zh-CN" w:bidi="zh-CN"/>
      </w:rPr>
    </w:lvl>
    <w:lvl w:ilvl="2" w:tentative="0">
      <w:start w:val="0"/>
      <w:numFmt w:val="bullet"/>
      <w:lvlText w:val="•"/>
      <w:lvlJc w:val="left"/>
      <w:pPr>
        <w:ind w:left="2429" w:hanging="212"/>
      </w:pPr>
      <w:rPr>
        <w:rFonts w:hint="default"/>
        <w:lang w:val="zh-CN" w:eastAsia="zh-CN" w:bidi="zh-CN"/>
      </w:rPr>
    </w:lvl>
    <w:lvl w:ilvl="3" w:tentative="0">
      <w:start w:val="0"/>
      <w:numFmt w:val="bullet"/>
      <w:lvlText w:val="•"/>
      <w:lvlJc w:val="left"/>
      <w:pPr>
        <w:ind w:left="3433" w:hanging="212"/>
      </w:pPr>
      <w:rPr>
        <w:rFonts w:hint="default"/>
        <w:lang w:val="zh-CN" w:eastAsia="zh-CN" w:bidi="zh-CN"/>
      </w:rPr>
    </w:lvl>
    <w:lvl w:ilvl="4" w:tentative="0">
      <w:start w:val="0"/>
      <w:numFmt w:val="bullet"/>
      <w:lvlText w:val="•"/>
      <w:lvlJc w:val="left"/>
      <w:pPr>
        <w:ind w:left="4438" w:hanging="212"/>
      </w:pPr>
      <w:rPr>
        <w:rFonts w:hint="default"/>
        <w:lang w:val="zh-CN" w:eastAsia="zh-CN" w:bidi="zh-CN"/>
      </w:rPr>
    </w:lvl>
    <w:lvl w:ilvl="5" w:tentative="0">
      <w:start w:val="0"/>
      <w:numFmt w:val="bullet"/>
      <w:lvlText w:val="•"/>
      <w:lvlJc w:val="left"/>
      <w:pPr>
        <w:ind w:left="5443" w:hanging="212"/>
      </w:pPr>
      <w:rPr>
        <w:rFonts w:hint="default"/>
        <w:lang w:val="zh-CN" w:eastAsia="zh-CN" w:bidi="zh-CN"/>
      </w:rPr>
    </w:lvl>
    <w:lvl w:ilvl="6" w:tentative="0">
      <w:start w:val="0"/>
      <w:numFmt w:val="bullet"/>
      <w:lvlText w:val="•"/>
      <w:lvlJc w:val="left"/>
      <w:pPr>
        <w:ind w:left="6447" w:hanging="212"/>
      </w:pPr>
      <w:rPr>
        <w:rFonts w:hint="default"/>
        <w:lang w:val="zh-CN" w:eastAsia="zh-CN" w:bidi="zh-CN"/>
      </w:rPr>
    </w:lvl>
    <w:lvl w:ilvl="7" w:tentative="0">
      <w:start w:val="0"/>
      <w:numFmt w:val="bullet"/>
      <w:lvlText w:val="•"/>
      <w:lvlJc w:val="left"/>
      <w:pPr>
        <w:ind w:left="7452" w:hanging="212"/>
      </w:pPr>
      <w:rPr>
        <w:rFonts w:hint="default"/>
        <w:lang w:val="zh-CN" w:eastAsia="zh-CN" w:bidi="zh-CN"/>
      </w:rPr>
    </w:lvl>
    <w:lvl w:ilvl="8" w:tentative="0">
      <w:start w:val="0"/>
      <w:numFmt w:val="bullet"/>
      <w:lvlText w:val="•"/>
      <w:lvlJc w:val="left"/>
      <w:pPr>
        <w:ind w:left="8456" w:hanging="212"/>
      </w:pPr>
      <w:rPr>
        <w:rFonts w:hint="default"/>
        <w:lang w:val="zh-CN" w:eastAsia="zh-CN" w:bidi="zh-CN"/>
      </w:rPr>
    </w:lvl>
  </w:abstractNum>
  <w:abstractNum w:abstractNumId="55">
    <w:nsid w:val="0F929F01"/>
    <w:multiLevelType w:val="multilevel"/>
    <w:tmpl w:val="0F929F01"/>
    <w:lvl w:ilvl="0" w:tentative="0">
      <w:start w:val="1"/>
      <w:numFmt w:val="decimal"/>
      <w:lvlText w:val="%1."/>
      <w:lvlJc w:val="left"/>
      <w:pPr>
        <w:ind w:left="412"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424" w:hanging="212"/>
      </w:pPr>
      <w:rPr>
        <w:rFonts w:hint="default"/>
        <w:lang w:val="zh-CN" w:eastAsia="zh-CN" w:bidi="zh-CN"/>
      </w:rPr>
    </w:lvl>
    <w:lvl w:ilvl="2" w:tentative="0">
      <w:start w:val="0"/>
      <w:numFmt w:val="bullet"/>
      <w:lvlText w:val="•"/>
      <w:lvlJc w:val="left"/>
      <w:pPr>
        <w:ind w:left="2429" w:hanging="212"/>
      </w:pPr>
      <w:rPr>
        <w:rFonts w:hint="default"/>
        <w:lang w:val="zh-CN" w:eastAsia="zh-CN" w:bidi="zh-CN"/>
      </w:rPr>
    </w:lvl>
    <w:lvl w:ilvl="3" w:tentative="0">
      <w:start w:val="0"/>
      <w:numFmt w:val="bullet"/>
      <w:lvlText w:val="•"/>
      <w:lvlJc w:val="left"/>
      <w:pPr>
        <w:ind w:left="3433" w:hanging="212"/>
      </w:pPr>
      <w:rPr>
        <w:rFonts w:hint="default"/>
        <w:lang w:val="zh-CN" w:eastAsia="zh-CN" w:bidi="zh-CN"/>
      </w:rPr>
    </w:lvl>
    <w:lvl w:ilvl="4" w:tentative="0">
      <w:start w:val="0"/>
      <w:numFmt w:val="bullet"/>
      <w:lvlText w:val="•"/>
      <w:lvlJc w:val="left"/>
      <w:pPr>
        <w:ind w:left="4438" w:hanging="212"/>
      </w:pPr>
      <w:rPr>
        <w:rFonts w:hint="default"/>
        <w:lang w:val="zh-CN" w:eastAsia="zh-CN" w:bidi="zh-CN"/>
      </w:rPr>
    </w:lvl>
    <w:lvl w:ilvl="5" w:tentative="0">
      <w:start w:val="0"/>
      <w:numFmt w:val="bullet"/>
      <w:lvlText w:val="•"/>
      <w:lvlJc w:val="left"/>
      <w:pPr>
        <w:ind w:left="5443" w:hanging="212"/>
      </w:pPr>
      <w:rPr>
        <w:rFonts w:hint="default"/>
        <w:lang w:val="zh-CN" w:eastAsia="zh-CN" w:bidi="zh-CN"/>
      </w:rPr>
    </w:lvl>
    <w:lvl w:ilvl="6" w:tentative="0">
      <w:start w:val="0"/>
      <w:numFmt w:val="bullet"/>
      <w:lvlText w:val="•"/>
      <w:lvlJc w:val="left"/>
      <w:pPr>
        <w:ind w:left="6447" w:hanging="212"/>
      </w:pPr>
      <w:rPr>
        <w:rFonts w:hint="default"/>
        <w:lang w:val="zh-CN" w:eastAsia="zh-CN" w:bidi="zh-CN"/>
      </w:rPr>
    </w:lvl>
    <w:lvl w:ilvl="7" w:tentative="0">
      <w:start w:val="0"/>
      <w:numFmt w:val="bullet"/>
      <w:lvlText w:val="•"/>
      <w:lvlJc w:val="left"/>
      <w:pPr>
        <w:ind w:left="7452" w:hanging="212"/>
      </w:pPr>
      <w:rPr>
        <w:rFonts w:hint="default"/>
        <w:lang w:val="zh-CN" w:eastAsia="zh-CN" w:bidi="zh-CN"/>
      </w:rPr>
    </w:lvl>
    <w:lvl w:ilvl="8" w:tentative="0">
      <w:start w:val="0"/>
      <w:numFmt w:val="bullet"/>
      <w:lvlText w:val="•"/>
      <w:lvlJc w:val="left"/>
      <w:pPr>
        <w:ind w:left="8456" w:hanging="212"/>
      </w:pPr>
      <w:rPr>
        <w:rFonts w:hint="default"/>
        <w:lang w:val="zh-CN" w:eastAsia="zh-CN" w:bidi="zh-CN"/>
      </w:rPr>
    </w:lvl>
  </w:abstractNum>
  <w:abstractNum w:abstractNumId="56">
    <w:nsid w:val="13660E3F"/>
    <w:multiLevelType w:val="multilevel"/>
    <w:tmpl w:val="13660E3F"/>
    <w:lvl w:ilvl="0" w:tentative="0">
      <w:start w:val="1"/>
      <w:numFmt w:val="decimal"/>
      <w:lvlText w:val="%1."/>
      <w:lvlJc w:val="left"/>
      <w:pPr>
        <w:ind w:left="412"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424" w:hanging="212"/>
      </w:pPr>
      <w:rPr>
        <w:rFonts w:hint="default"/>
        <w:lang w:val="zh-CN" w:eastAsia="zh-CN" w:bidi="zh-CN"/>
      </w:rPr>
    </w:lvl>
    <w:lvl w:ilvl="2" w:tentative="0">
      <w:start w:val="0"/>
      <w:numFmt w:val="bullet"/>
      <w:lvlText w:val="•"/>
      <w:lvlJc w:val="left"/>
      <w:pPr>
        <w:ind w:left="2429" w:hanging="212"/>
      </w:pPr>
      <w:rPr>
        <w:rFonts w:hint="default"/>
        <w:lang w:val="zh-CN" w:eastAsia="zh-CN" w:bidi="zh-CN"/>
      </w:rPr>
    </w:lvl>
    <w:lvl w:ilvl="3" w:tentative="0">
      <w:start w:val="0"/>
      <w:numFmt w:val="bullet"/>
      <w:lvlText w:val="•"/>
      <w:lvlJc w:val="left"/>
      <w:pPr>
        <w:ind w:left="3433" w:hanging="212"/>
      </w:pPr>
      <w:rPr>
        <w:rFonts w:hint="default"/>
        <w:lang w:val="zh-CN" w:eastAsia="zh-CN" w:bidi="zh-CN"/>
      </w:rPr>
    </w:lvl>
    <w:lvl w:ilvl="4" w:tentative="0">
      <w:start w:val="0"/>
      <w:numFmt w:val="bullet"/>
      <w:lvlText w:val="•"/>
      <w:lvlJc w:val="left"/>
      <w:pPr>
        <w:ind w:left="4438" w:hanging="212"/>
      </w:pPr>
      <w:rPr>
        <w:rFonts w:hint="default"/>
        <w:lang w:val="zh-CN" w:eastAsia="zh-CN" w:bidi="zh-CN"/>
      </w:rPr>
    </w:lvl>
    <w:lvl w:ilvl="5" w:tentative="0">
      <w:start w:val="0"/>
      <w:numFmt w:val="bullet"/>
      <w:lvlText w:val="•"/>
      <w:lvlJc w:val="left"/>
      <w:pPr>
        <w:ind w:left="5443" w:hanging="212"/>
      </w:pPr>
      <w:rPr>
        <w:rFonts w:hint="default"/>
        <w:lang w:val="zh-CN" w:eastAsia="zh-CN" w:bidi="zh-CN"/>
      </w:rPr>
    </w:lvl>
    <w:lvl w:ilvl="6" w:tentative="0">
      <w:start w:val="0"/>
      <w:numFmt w:val="bullet"/>
      <w:lvlText w:val="•"/>
      <w:lvlJc w:val="left"/>
      <w:pPr>
        <w:ind w:left="6447" w:hanging="212"/>
      </w:pPr>
      <w:rPr>
        <w:rFonts w:hint="default"/>
        <w:lang w:val="zh-CN" w:eastAsia="zh-CN" w:bidi="zh-CN"/>
      </w:rPr>
    </w:lvl>
    <w:lvl w:ilvl="7" w:tentative="0">
      <w:start w:val="0"/>
      <w:numFmt w:val="bullet"/>
      <w:lvlText w:val="•"/>
      <w:lvlJc w:val="left"/>
      <w:pPr>
        <w:ind w:left="7452" w:hanging="212"/>
      </w:pPr>
      <w:rPr>
        <w:rFonts w:hint="default"/>
        <w:lang w:val="zh-CN" w:eastAsia="zh-CN" w:bidi="zh-CN"/>
      </w:rPr>
    </w:lvl>
    <w:lvl w:ilvl="8" w:tentative="0">
      <w:start w:val="0"/>
      <w:numFmt w:val="bullet"/>
      <w:lvlText w:val="•"/>
      <w:lvlJc w:val="left"/>
      <w:pPr>
        <w:ind w:left="8456" w:hanging="212"/>
      </w:pPr>
      <w:rPr>
        <w:rFonts w:hint="default"/>
        <w:lang w:val="zh-CN" w:eastAsia="zh-CN" w:bidi="zh-CN"/>
      </w:rPr>
    </w:lvl>
  </w:abstractNum>
  <w:abstractNum w:abstractNumId="57">
    <w:nsid w:val="1483906D"/>
    <w:multiLevelType w:val="multilevel"/>
    <w:tmpl w:val="1483906D"/>
    <w:lvl w:ilvl="0" w:tentative="0">
      <w:start w:val="9"/>
      <w:numFmt w:val="decimal"/>
      <w:lvlText w:val="%1"/>
      <w:lvlJc w:val="left"/>
      <w:pPr>
        <w:ind w:left="1200" w:hanging="368"/>
        <w:jc w:val="left"/>
      </w:pPr>
      <w:rPr>
        <w:rFonts w:hint="default"/>
        <w:lang w:val="zh-CN" w:eastAsia="zh-CN" w:bidi="zh-CN"/>
      </w:rPr>
    </w:lvl>
    <w:lvl w:ilvl="1" w:tentative="0">
      <w:start w:val="1"/>
      <w:numFmt w:val="decimal"/>
      <w:lvlText w:val="%1.%2"/>
      <w:lvlJc w:val="left"/>
      <w:pPr>
        <w:ind w:left="1200" w:hanging="368"/>
        <w:jc w:val="righ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3053" w:hanging="368"/>
      </w:pPr>
      <w:rPr>
        <w:rFonts w:hint="default"/>
        <w:lang w:val="zh-CN" w:eastAsia="zh-CN" w:bidi="zh-CN"/>
      </w:rPr>
    </w:lvl>
    <w:lvl w:ilvl="3" w:tentative="0">
      <w:start w:val="0"/>
      <w:numFmt w:val="bullet"/>
      <w:lvlText w:val="•"/>
      <w:lvlJc w:val="left"/>
      <w:pPr>
        <w:ind w:left="3979" w:hanging="368"/>
      </w:pPr>
      <w:rPr>
        <w:rFonts w:hint="default"/>
        <w:lang w:val="zh-CN" w:eastAsia="zh-CN" w:bidi="zh-CN"/>
      </w:rPr>
    </w:lvl>
    <w:lvl w:ilvl="4" w:tentative="0">
      <w:start w:val="0"/>
      <w:numFmt w:val="bullet"/>
      <w:lvlText w:val="•"/>
      <w:lvlJc w:val="left"/>
      <w:pPr>
        <w:ind w:left="4906" w:hanging="368"/>
      </w:pPr>
      <w:rPr>
        <w:rFonts w:hint="default"/>
        <w:lang w:val="zh-CN" w:eastAsia="zh-CN" w:bidi="zh-CN"/>
      </w:rPr>
    </w:lvl>
    <w:lvl w:ilvl="5" w:tentative="0">
      <w:start w:val="0"/>
      <w:numFmt w:val="bullet"/>
      <w:lvlText w:val="•"/>
      <w:lvlJc w:val="left"/>
      <w:pPr>
        <w:ind w:left="5833" w:hanging="368"/>
      </w:pPr>
      <w:rPr>
        <w:rFonts w:hint="default"/>
        <w:lang w:val="zh-CN" w:eastAsia="zh-CN" w:bidi="zh-CN"/>
      </w:rPr>
    </w:lvl>
    <w:lvl w:ilvl="6" w:tentative="0">
      <w:start w:val="0"/>
      <w:numFmt w:val="bullet"/>
      <w:lvlText w:val="•"/>
      <w:lvlJc w:val="left"/>
      <w:pPr>
        <w:ind w:left="6759" w:hanging="368"/>
      </w:pPr>
      <w:rPr>
        <w:rFonts w:hint="default"/>
        <w:lang w:val="zh-CN" w:eastAsia="zh-CN" w:bidi="zh-CN"/>
      </w:rPr>
    </w:lvl>
    <w:lvl w:ilvl="7" w:tentative="0">
      <w:start w:val="0"/>
      <w:numFmt w:val="bullet"/>
      <w:lvlText w:val="•"/>
      <w:lvlJc w:val="left"/>
      <w:pPr>
        <w:ind w:left="7686" w:hanging="368"/>
      </w:pPr>
      <w:rPr>
        <w:rFonts w:hint="default"/>
        <w:lang w:val="zh-CN" w:eastAsia="zh-CN" w:bidi="zh-CN"/>
      </w:rPr>
    </w:lvl>
    <w:lvl w:ilvl="8" w:tentative="0">
      <w:start w:val="0"/>
      <w:numFmt w:val="bullet"/>
      <w:lvlText w:val="•"/>
      <w:lvlJc w:val="left"/>
      <w:pPr>
        <w:ind w:left="8612" w:hanging="368"/>
      </w:pPr>
      <w:rPr>
        <w:rFonts w:hint="default"/>
        <w:lang w:val="zh-CN" w:eastAsia="zh-CN" w:bidi="zh-CN"/>
      </w:rPr>
    </w:lvl>
  </w:abstractNum>
  <w:abstractNum w:abstractNumId="58">
    <w:nsid w:val="192B173A"/>
    <w:multiLevelType w:val="multilevel"/>
    <w:tmpl w:val="192B173A"/>
    <w:lvl w:ilvl="0" w:tentative="0">
      <w:start w:val="1"/>
      <w:numFmt w:val="decimal"/>
      <w:lvlText w:val="%1."/>
      <w:lvlJc w:val="left"/>
      <w:pPr>
        <w:ind w:left="1044"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982" w:hanging="212"/>
      </w:pPr>
      <w:rPr>
        <w:rFonts w:hint="default"/>
        <w:lang w:val="zh-CN" w:eastAsia="zh-CN" w:bidi="zh-CN"/>
      </w:rPr>
    </w:lvl>
    <w:lvl w:ilvl="2" w:tentative="0">
      <w:start w:val="0"/>
      <w:numFmt w:val="bullet"/>
      <w:lvlText w:val="•"/>
      <w:lvlJc w:val="left"/>
      <w:pPr>
        <w:ind w:left="2925" w:hanging="212"/>
      </w:pPr>
      <w:rPr>
        <w:rFonts w:hint="default"/>
        <w:lang w:val="zh-CN" w:eastAsia="zh-CN" w:bidi="zh-CN"/>
      </w:rPr>
    </w:lvl>
    <w:lvl w:ilvl="3" w:tentative="0">
      <w:start w:val="0"/>
      <w:numFmt w:val="bullet"/>
      <w:lvlText w:val="•"/>
      <w:lvlJc w:val="left"/>
      <w:pPr>
        <w:ind w:left="3867" w:hanging="212"/>
      </w:pPr>
      <w:rPr>
        <w:rFonts w:hint="default"/>
        <w:lang w:val="zh-CN" w:eastAsia="zh-CN" w:bidi="zh-CN"/>
      </w:rPr>
    </w:lvl>
    <w:lvl w:ilvl="4" w:tentative="0">
      <w:start w:val="0"/>
      <w:numFmt w:val="bullet"/>
      <w:lvlText w:val="•"/>
      <w:lvlJc w:val="left"/>
      <w:pPr>
        <w:ind w:left="4810" w:hanging="212"/>
      </w:pPr>
      <w:rPr>
        <w:rFonts w:hint="default"/>
        <w:lang w:val="zh-CN" w:eastAsia="zh-CN" w:bidi="zh-CN"/>
      </w:rPr>
    </w:lvl>
    <w:lvl w:ilvl="5" w:tentative="0">
      <w:start w:val="0"/>
      <w:numFmt w:val="bullet"/>
      <w:lvlText w:val="•"/>
      <w:lvlJc w:val="left"/>
      <w:pPr>
        <w:ind w:left="5753" w:hanging="212"/>
      </w:pPr>
      <w:rPr>
        <w:rFonts w:hint="default"/>
        <w:lang w:val="zh-CN" w:eastAsia="zh-CN" w:bidi="zh-CN"/>
      </w:rPr>
    </w:lvl>
    <w:lvl w:ilvl="6" w:tentative="0">
      <w:start w:val="0"/>
      <w:numFmt w:val="bullet"/>
      <w:lvlText w:val="•"/>
      <w:lvlJc w:val="left"/>
      <w:pPr>
        <w:ind w:left="6695" w:hanging="212"/>
      </w:pPr>
      <w:rPr>
        <w:rFonts w:hint="default"/>
        <w:lang w:val="zh-CN" w:eastAsia="zh-CN" w:bidi="zh-CN"/>
      </w:rPr>
    </w:lvl>
    <w:lvl w:ilvl="7" w:tentative="0">
      <w:start w:val="0"/>
      <w:numFmt w:val="bullet"/>
      <w:lvlText w:val="•"/>
      <w:lvlJc w:val="left"/>
      <w:pPr>
        <w:ind w:left="7638" w:hanging="212"/>
      </w:pPr>
      <w:rPr>
        <w:rFonts w:hint="default"/>
        <w:lang w:val="zh-CN" w:eastAsia="zh-CN" w:bidi="zh-CN"/>
      </w:rPr>
    </w:lvl>
    <w:lvl w:ilvl="8" w:tentative="0">
      <w:start w:val="0"/>
      <w:numFmt w:val="bullet"/>
      <w:lvlText w:val="•"/>
      <w:lvlJc w:val="left"/>
      <w:pPr>
        <w:ind w:left="8580" w:hanging="212"/>
      </w:pPr>
      <w:rPr>
        <w:rFonts w:hint="default"/>
        <w:lang w:val="zh-CN" w:eastAsia="zh-CN" w:bidi="zh-CN"/>
      </w:rPr>
    </w:lvl>
  </w:abstractNum>
  <w:abstractNum w:abstractNumId="59">
    <w:nsid w:val="1B3FCE26"/>
    <w:multiLevelType w:val="multilevel"/>
    <w:tmpl w:val="1B3FCE26"/>
    <w:lvl w:ilvl="0" w:tentative="0">
      <w:start w:val="8"/>
      <w:numFmt w:val="decimal"/>
      <w:lvlText w:val="%1."/>
      <w:lvlJc w:val="left"/>
      <w:pPr>
        <w:ind w:left="626" w:hanging="214"/>
        <w:jc w:val="left"/>
      </w:pPr>
      <w:rPr>
        <w:rFonts w:hint="default" w:ascii="宋体" w:hAnsi="宋体" w:eastAsia="宋体" w:cs="宋体"/>
        <w:b/>
        <w:bCs/>
        <w:spacing w:val="-2"/>
        <w:w w:val="98"/>
        <w:sz w:val="19"/>
        <w:szCs w:val="19"/>
        <w:lang w:val="zh-CN" w:eastAsia="zh-CN" w:bidi="zh-CN"/>
      </w:rPr>
    </w:lvl>
    <w:lvl w:ilvl="1" w:tentative="0">
      <w:start w:val="1"/>
      <w:numFmt w:val="decimal"/>
      <w:lvlText w:val="%1.%2"/>
      <w:lvlJc w:val="left"/>
      <w:pPr>
        <w:ind w:left="412" w:hanging="370"/>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1714" w:hanging="370"/>
      </w:pPr>
      <w:rPr>
        <w:rFonts w:hint="default"/>
        <w:lang w:val="zh-CN" w:eastAsia="zh-CN" w:bidi="zh-CN"/>
      </w:rPr>
    </w:lvl>
    <w:lvl w:ilvl="3" w:tentative="0">
      <w:start w:val="0"/>
      <w:numFmt w:val="bullet"/>
      <w:lvlText w:val="•"/>
      <w:lvlJc w:val="left"/>
      <w:pPr>
        <w:ind w:left="2808" w:hanging="370"/>
      </w:pPr>
      <w:rPr>
        <w:rFonts w:hint="default"/>
        <w:lang w:val="zh-CN" w:eastAsia="zh-CN" w:bidi="zh-CN"/>
      </w:rPr>
    </w:lvl>
    <w:lvl w:ilvl="4" w:tentative="0">
      <w:start w:val="0"/>
      <w:numFmt w:val="bullet"/>
      <w:lvlText w:val="•"/>
      <w:lvlJc w:val="left"/>
      <w:pPr>
        <w:ind w:left="3902" w:hanging="370"/>
      </w:pPr>
      <w:rPr>
        <w:rFonts w:hint="default"/>
        <w:lang w:val="zh-CN" w:eastAsia="zh-CN" w:bidi="zh-CN"/>
      </w:rPr>
    </w:lvl>
    <w:lvl w:ilvl="5" w:tentative="0">
      <w:start w:val="0"/>
      <w:numFmt w:val="bullet"/>
      <w:lvlText w:val="•"/>
      <w:lvlJc w:val="left"/>
      <w:pPr>
        <w:ind w:left="4996" w:hanging="370"/>
      </w:pPr>
      <w:rPr>
        <w:rFonts w:hint="default"/>
        <w:lang w:val="zh-CN" w:eastAsia="zh-CN" w:bidi="zh-CN"/>
      </w:rPr>
    </w:lvl>
    <w:lvl w:ilvl="6" w:tentative="0">
      <w:start w:val="0"/>
      <w:numFmt w:val="bullet"/>
      <w:lvlText w:val="•"/>
      <w:lvlJc w:val="left"/>
      <w:pPr>
        <w:ind w:left="6090" w:hanging="370"/>
      </w:pPr>
      <w:rPr>
        <w:rFonts w:hint="default"/>
        <w:lang w:val="zh-CN" w:eastAsia="zh-CN" w:bidi="zh-CN"/>
      </w:rPr>
    </w:lvl>
    <w:lvl w:ilvl="7" w:tentative="0">
      <w:start w:val="0"/>
      <w:numFmt w:val="bullet"/>
      <w:lvlText w:val="•"/>
      <w:lvlJc w:val="left"/>
      <w:pPr>
        <w:ind w:left="7184" w:hanging="370"/>
      </w:pPr>
      <w:rPr>
        <w:rFonts w:hint="default"/>
        <w:lang w:val="zh-CN" w:eastAsia="zh-CN" w:bidi="zh-CN"/>
      </w:rPr>
    </w:lvl>
    <w:lvl w:ilvl="8" w:tentative="0">
      <w:start w:val="0"/>
      <w:numFmt w:val="bullet"/>
      <w:lvlText w:val="•"/>
      <w:lvlJc w:val="left"/>
      <w:pPr>
        <w:ind w:left="8278" w:hanging="370"/>
      </w:pPr>
      <w:rPr>
        <w:rFonts w:hint="default"/>
        <w:lang w:val="zh-CN" w:eastAsia="zh-CN" w:bidi="zh-CN"/>
      </w:rPr>
    </w:lvl>
  </w:abstractNum>
  <w:abstractNum w:abstractNumId="60">
    <w:nsid w:val="232F6E60"/>
    <w:multiLevelType w:val="singleLevel"/>
    <w:tmpl w:val="232F6E60"/>
    <w:lvl w:ilvl="0" w:tentative="0">
      <w:start w:val="1"/>
      <w:numFmt w:val="decimal"/>
      <w:suff w:val="nothing"/>
      <w:lvlText w:val="%1．"/>
      <w:lvlJc w:val="left"/>
      <w:pPr>
        <w:ind w:left="0" w:firstLine="400"/>
      </w:pPr>
      <w:rPr>
        <w:rFonts w:hint="default"/>
      </w:rPr>
    </w:lvl>
  </w:abstractNum>
  <w:abstractNum w:abstractNumId="61">
    <w:nsid w:val="252BF6AB"/>
    <w:multiLevelType w:val="multilevel"/>
    <w:tmpl w:val="252BF6AB"/>
    <w:lvl w:ilvl="0" w:tentative="0">
      <w:start w:val="1"/>
      <w:numFmt w:val="decimal"/>
      <w:lvlText w:val="%1."/>
      <w:lvlJc w:val="left"/>
      <w:pPr>
        <w:ind w:left="626" w:hanging="214"/>
        <w:jc w:val="left"/>
      </w:pPr>
      <w:rPr>
        <w:rFonts w:hint="default" w:ascii="宋体" w:hAnsi="宋体" w:eastAsia="宋体" w:cs="宋体"/>
        <w:b/>
        <w:bCs/>
        <w:spacing w:val="-2"/>
        <w:w w:val="98"/>
        <w:sz w:val="19"/>
        <w:szCs w:val="19"/>
        <w:lang w:val="zh-CN" w:eastAsia="zh-CN" w:bidi="zh-CN"/>
      </w:rPr>
    </w:lvl>
    <w:lvl w:ilvl="1" w:tentative="0">
      <w:start w:val="1"/>
      <w:numFmt w:val="decimal"/>
      <w:lvlText w:val="%1.%2"/>
      <w:lvlJc w:val="left"/>
      <w:pPr>
        <w:ind w:left="412" w:hanging="370"/>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1714" w:hanging="370"/>
      </w:pPr>
      <w:rPr>
        <w:rFonts w:hint="default"/>
        <w:lang w:val="zh-CN" w:eastAsia="zh-CN" w:bidi="zh-CN"/>
      </w:rPr>
    </w:lvl>
    <w:lvl w:ilvl="3" w:tentative="0">
      <w:start w:val="0"/>
      <w:numFmt w:val="bullet"/>
      <w:lvlText w:val="•"/>
      <w:lvlJc w:val="left"/>
      <w:pPr>
        <w:ind w:left="2808" w:hanging="370"/>
      </w:pPr>
      <w:rPr>
        <w:rFonts w:hint="default"/>
        <w:lang w:val="zh-CN" w:eastAsia="zh-CN" w:bidi="zh-CN"/>
      </w:rPr>
    </w:lvl>
    <w:lvl w:ilvl="4" w:tentative="0">
      <w:start w:val="0"/>
      <w:numFmt w:val="bullet"/>
      <w:lvlText w:val="•"/>
      <w:lvlJc w:val="left"/>
      <w:pPr>
        <w:ind w:left="3902" w:hanging="370"/>
      </w:pPr>
      <w:rPr>
        <w:rFonts w:hint="default"/>
        <w:lang w:val="zh-CN" w:eastAsia="zh-CN" w:bidi="zh-CN"/>
      </w:rPr>
    </w:lvl>
    <w:lvl w:ilvl="5" w:tentative="0">
      <w:start w:val="0"/>
      <w:numFmt w:val="bullet"/>
      <w:lvlText w:val="•"/>
      <w:lvlJc w:val="left"/>
      <w:pPr>
        <w:ind w:left="4996" w:hanging="370"/>
      </w:pPr>
      <w:rPr>
        <w:rFonts w:hint="default"/>
        <w:lang w:val="zh-CN" w:eastAsia="zh-CN" w:bidi="zh-CN"/>
      </w:rPr>
    </w:lvl>
    <w:lvl w:ilvl="6" w:tentative="0">
      <w:start w:val="0"/>
      <w:numFmt w:val="bullet"/>
      <w:lvlText w:val="•"/>
      <w:lvlJc w:val="left"/>
      <w:pPr>
        <w:ind w:left="6090" w:hanging="370"/>
      </w:pPr>
      <w:rPr>
        <w:rFonts w:hint="default"/>
        <w:lang w:val="zh-CN" w:eastAsia="zh-CN" w:bidi="zh-CN"/>
      </w:rPr>
    </w:lvl>
    <w:lvl w:ilvl="7" w:tentative="0">
      <w:start w:val="0"/>
      <w:numFmt w:val="bullet"/>
      <w:lvlText w:val="•"/>
      <w:lvlJc w:val="left"/>
      <w:pPr>
        <w:ind w:left="7184" w:hanging="370"/>
      </w:pPr>
      <w:rPr>
        <w:rFonts w:hint="default"/>
        <w:lang w:val="zh-CN" w:eastAsia="zh-CN" w:bidi="zh-CN"/>
      </w:rPr>
    </w:lvl>
    <w:lvl w:ilvl="8" w:tentative="0">
      <w:start w:val="0"/>
      <w:numFmt w:val="bullet"/>
      <w:lvlText w:val="•"/>
      <w:lvlJc w:val="left"/>
      <w:pPr>
        <w:ind w:left="8278" w:hanging="370"/>
      </w:pPr>
      <w:rPr>
        <w:rFonts w:hint="default"/>
        <w:lang w:val="zh-CN" w:eastAsia="zh-CN" w:bidi="zh-CN"/>
      </w:rPr>
    </w:lvl>
  </w:abstractNum>
  <w:abstractNum w:abstractNumId="62">
    <w:nsid w:val="269945CE"/>
    <w:multiLevelType w:val="multilevel"/>
    <w:tmpl w:val="269945CE"/>
    <w:lvl w:ilvl="0" w:tentative="0">
      <w:start w:val="19"/>
      <w:numFmt w:val="decimal"/>
      <w:lvlText w:val="%1"/>
      <w:lvlJc w:val="left"/>
      <w:pPr>
        <w:ind w:left="412" w:hanging="473"/>
        <w:jc w:val="left"/>
      </w:pPr>
      <w:rPr>
        <w:rFonts w:hint="default"/>
        <w:lang w:val="zh-CN" w:eastAsia="zh-CN" w:bidi="zh-CN"/>
      </w:rPr>
    </w:lvl>
    <w:lvl w:ilvl="1" w:tentative="0">
      <w:start w:val="1"/>
      <w:numFmt w:val="decimal"/>
      <w:lvlText w:val="%1.%2"/>
      <w:lvlJc w:val="left"/>
      <w:pPr>
        <w:ind w:left="412" w:hanging="473"/>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2429" w:hanging="473"/>
      </w:pPr>
      <w:rPr>
        <w:rFonts w:hint="default"/>
        <w:lang w:val="zh-CN" w:eastAsia="zh-CN" w:bidi="zh-CN"/>
      </w:rPr>
    </w:lvl>
    <w:lvl w:ilvl="3" w:tentative="0">
      <w:start w:val="0"/>
      <w:numFmt w:val="bullet"/>
      <w:lvlText w:val="•"/>
      <w:lvlJc w:val="left"/>
      <w:pPr>
        <w:ind w:left="3433" w:hanging="473"/>
      </w:pPr>
      <w:rPr>
        <w:rFonts w:hint="default"/>
        <w:lang w:val="zh-CN" w:eastAsia="zh-CN" w:bidi="zh-CN"/>
      </w:rPr>
    </w:lvl>
    <w:lvl w:ilvl="4" w:tentative="0">
      <w:start w:val="0"/>
      <w:numFmt w:val="bullet"/>
      <w:lvlText w:val="•"/>
      <w:lvlJc w:val="left"/>
      <w:pPr>
        <w:ind w:left="4438" w:hanging="473"/>
      </w:pPr>
      <w:rPr>
        <w:rFonts w:hint="default"/>
        <w:lang w:val="zh-CN" w:eastAsia="zh-CN" w:bidi="zh-CN"/>
      </w:rPr>
    </w:lvl>
    <w:lvl w:ilvl="5" w:tentative="0">
      <w:start w:val="0"/>
      <w:numFmt w:val="bullet"/>
      <w:lvlText w:val="•"/>
      <w:lvlJc w:val="left"/>
      <w:pPr>
        <w:ind w:left="5443" w:hanging="473"/>
      </w:pPr>
      <w:rPr>
        <w:rFonts w:hint="default"/>
        <w:lang w:val="zh-CN" w:eastAsia="zh-CN" w:bidi="zh-CN"/>
      </w:rPr>
    </w:lvl>
    <w:lvl w:ilvl="6" w:tentative="0">
      <w:start w:val="0"/>
      <w:numFmt w:val="bullet"/>
      <w:lvlText w:val="•"/>
      <w:lvlJc w:val="left"/>
      <w:pPr>
        <w:ind w:left="6447" w:hanging="473"/>
      </w:pPr>
      <w:rPr>
        <w:rFonts w:hint="default"/>
        <w:lang w:val="zh-CN" w:eastAsia="zh-CN" w:bidi="zh-CN"/>
      </w:rPr>
    </w:lvl>
    <w:lvl w:ilvl="7" w:tentative="0">
      <w:start w:val="0"/>
      <w:numFmt w:val="bullet"/>
      <w:lvlText w:val="•"/>
      <w:lvlJc w:val="left"/>
      <w:pPr>
        <w:ind w:left="7452" w:hanging="473"/>
      </w:pPr>
      <w:rPr>
        <w:rFonts w:hint="default"/>
        <w:lang w:val="zh-CN" w:eastAsia="zh-CN" w:bidi="zh-CN"/>
      </w:rPr>
    </w:lvl>
    <w:lvl w:ilvl="8" w:tentative="0">
      <w:start w:val="0"/>
      <w:numFmt w:val="bullet"/>
      <w:lvlText w:val="•"/>
      <w:lvlJc w:val="left"/>
      <w:pPr>
        <w:ind w:left="8456" w:hanging="473"/>
      </w:pPr>
      <w:rPr>
        <w:rFonts w:hint="default"/>
        <w:lang w:val="zh-CN" w:eastAsia="zh-CN" w:bidi="zh-CN"/>
      </w:rPr>
    </w:lvl>
  </w:abstractNum>
  <w:abstractNum w:abstractNumId="63">
    <w:nsid w:val="274D3D9B"/>
    <w:multiLevelType w:val="multilevel"/>
    <w:tmpl w:val="274D3D9B"/>
    <w:lvl w:ilvl="0" w:tentative="0">
      <w:start w:val="13"/>
      <w:numFmt w:val="decimal"/>
      <w:lvlText w:val="%1"/>
      <w:lvlJc w:val="left"/>
      <w:pPr>
        <w:ind w:left="1305" w:hanging="473"/>
        <w:jc w:val="left"/>
      </w:pPr>
      <w:rPr>
        <w:rFonts w:hint="default"/>
        <w:lang w:val="zh-CN" w:eastAsia="zh-CN" w:bidi="zh-CN"/>
      </w:rPr>
    </w:lvl>
    <w:lvl w:ilvl="1" w:tentative="0">
      <w:start w:val="1"/>
      <w:numFmt w:val="decimal"/>
      <w:lvlText w:val="%1.%2"/>
      <w:lvlJc w:val="left"/>
      <w:pPr>
        <w:ind w:left="1305" w:hanging="473"/>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3133" w:hanging="473"/>
      </w:pPr>
      <w:rPr>
        <w:rFonts w:hint="default"/>
        <w:lang w:val="zh-CN" w:eastAsia="zh-CN" w:bidi="zh-CN"/>
      </w:rPr>
    </w:lvl>
    <w:lvl w:ilvl="3" w:tentative="0">
      <w:start w:val="0"/>
      <w:numFmt w:val="bullet"/>
      <w:lvlText w:val="•"/>
      <w:lvlJc w:val="left"/>
      <w:pPr>
        <w:ind w:left="4049" w:hanging="473"/>
      </w:pPr>
      <w:rPr>
        <w:rFonts w:hint="default"/>
        <w:lang w:val="zh-CN" w:eastAsia="zh-CN" w:bidi="zh-CN"/>
      </w:rPr>
    </w:lvl>
    <w:lvl w:ilvl="4" w:tentative="0">
      <w:start w:val="0"/>
      <w:numFmt w:val="bullet"/>
      <w:lvlText w:val="•"/>
      <w:lvlJc w:val="left"/>
      <w:pPr>
        <w:ind w:left="4966" w:hanging="473"/>
      </w:pPr>
      <w:rPr>
        <w:rFonts w:hint="default"/>
        <w:lang w:val="zh-CN" w:eastAsia="zh-CN" w:bidi="zh-CN"/>
      </w:rPr>
    </w:lvl>
    <w:lvl w:ilvl="5" w:tentative="0">
      <w:start w:val="0"/>
      <w:numFmt w:val="bullet"/>
      <w:lvlText w:val="•"/>
      <w:lvlJc w:val="left"/>
      <w:pPr>
        <w:ind w:left="5883" w:hanging="473"/>
      </w:pPr>
      <w:rPr>
        <w:rFonts w:hint="default"/>
        <w:lang w:val="zh-CN" w:eastAsia="zh-CN" w:bidi="zh-CN"/>
      </w:rPr>
    </w:lvl>
    <w:lvl w:ilvl="6" w:tentative="0">
      <w:start w:val="0"/>
      <w:numFmt w:val="bullet"/>
      <w:lvlText w:val="•"/>
      <w:lvlJc w:val="left"/>
      <w:pPr>
        <w:ind w:left="6799" w:hanging="473"/>
      </w:pPr>
      <w:rPr>
        <w:rFonts w:hint="default"/>
        <w:lang w:val="zh-CN" w:eastAsia="zh-CN" w:bidi="zh-CN"/>
      </w:rPr>
    </w:lvl>
    <w:lvl w:ilvl="7" w:tentative="0">
      <w:start w:val="0"/>
      <w:numFmt w:val="bullet"/>
      <w:lvlText w:val="•"/>
      <w:lvlJc w:val="left"/>
      <w:pPr>
        <w:ind w:left="7716" w:hanging="473"/>
      </w:pPr>
      <w:rPr>
        <w:rFonts w:hint="default"/>
        <w:lang w:val="zh-CN" w:eastAsia="zh-CN" w:bidi="zh-CN"/>
      </w:rPr>
    </w:lvl>
    <w:lvl w:ilvl="8" w:tentative="0">
      <w:start w:val="0"/>
      <w:numFmt w:val="bullet"/>
      <w:lvlText w:val="•"/>
      <w:lvlJc w:val="left"/>
      <w:pPr>
        <w:ind w:left="8632" w:hanging="473"/>
      </w:pPr>
      <w:rPr>
        <w:rFonts w:hint="default"/>
        <w:lang w:val="zh-CN" w:eastAsia="zh-CN" w:bidi="zh-CN"/>
      </w:rPr>
    </w:lvl>
  </w:abstractNum>
  <w:abstractNum w:abstractNumId="64">
    <w:nsid w:val="27CB566C"/>
    <w:multiLevelType w:val="singleLevel"/>
    <w:tmpl w:val="27CB566C"/>
    <w:lvl w:ilvl="0" w:tentative="0">
      <w:start w:val="1"/>
      <w:numFmt w:val="decimal"/>
      <w:suff w:val="nothing"/>
      <w:lvlText w:val="%1．"/>
      <w:lvlJc w:val="left"/>
      <w:pPr>
        <w:ind w:left="0" w:firstLine="400"/>
      </w:pPr>
      <w:rPr>
        <w:rFonts w:hint="default"/>
      </w:rPr>
    </w:lvl>
  </w:abstractNum>
  <w:abstractNum w:abstractNumId="65">
    <w:nsid w:val="329A4FD1"/>
    <w:multiLevelType w:val="multilevel"/>
    <w:tmpl w:val="329A4FD1"/>
    <w:lvl w:ilvl="0" w:tentative="0">
      <w:start w:val="28"/>
      <w:numFmt w:val="decimal"/>
      <w:lvlText w:val="%1."/>
      <w:lvlJc w:val="left"/>
      <w:pPr>
        <w:ind w:left="732" w:hanging="320"/>
        <w:jc w:val="left"/>
      </w:pPr>
      <w:rPr>
        <w:rFonts w:hint="default" w:ascii="宋体" w:hAnsi="宋体" w:eastAsia="宋体" w:cs="宋体"/>
        <w:b/>
        <w:bCs/>
        <w:spacing w:val="1"/>
        <w:w w:val="98"/>
        <w:sz w:val="19"/>
        <w:szCs w:val="19"/>
        <w:lang w:val="zh-CN" w:eastAsia="zh-CN" w:bidi="zh-CN"/>
      </w:rPr>
    </w:lvl>
    <w:lvl w:ilvl="1" w:tentative="0">
      <w:start w:val="1"/>
      <w:numFmt w:val="decimal"/>
      <w:lvlText w:val="%1.%2"/>
      <w:lvlJc w:val="left"/>
      <w:pPr>
        <w:ind w:left="1305" w:hanging="473"/>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2318" w:hanging="473"/>
      </w:pPr>
      <w:rPr>
        <w:rFonts w:hint="default"/>
        <w:lang w:val="zh-CN" w:eastAsia="zh-CN" w:bidi="zh-CN"/>
      </w:rPr>
    </w:lvl>
    <w:lvl w:ilvl="3" w:tentative="0">
      <w:start w:val="0"/>
      <w:numFmt w:val="bullet"/>
      <w:lvlText w:val="•"/>
      <w:lvlJc w:val="left"/>
      <w:pPr>
        <w:ind w:left="3336" w:hanging="473"/>
      </w:pPr>
      <w:rPr>
        <w:rFonts w:hint="default"/>
        <w:lang w:val="zh-CN" w:eastAsia="zh-CN" w:bidi="zh-CN"/>
      </w:rPr>
    </w:lvl>
    <w:lvl w:ilvl="4" w:tentative="0">
      <w:start w:val="0"/>
      <w:numFmt w:val="bullet"/>
      <w:lvlText w:val="•"/>
      <w:lvlJc w:val="left"/>
      <w:pPr>
        <w:ind w:left="4355" w:hanging="473"/>
      </w:pPr>
      <w:rPr>
        <w:rFonts w:hint="default"/>
        <w:lang w:val="zh-CN" w:eastAsia="zh-CN" w:bidi="zh-CN"/>
      </w:rPr>
    </w:lvl>
    <w:lvl w:ilvl="5" w:tentative="0">
      <w:start w:val="0"/>
      <w:numFmt w:val="bullet"/>
      <w:lvlText w:val="•"/>
      <w:lvlJc w:val="left"/>
      <w:pPr>
        <w:ind w:left="5373" w:hanging="473"/>
      </w:pPr>
      <w:rPr>
        <w:rFonts w:hint="default"/>
        <w:lang w:val="zh-CN" w:eastAsia="zh-CN" w:bidi="zh-CN"/>
      </w:rPr>
    </w:lvl>
    <w:lvl w:ilvl="6" w:tentative="0">
      <w:start w:val="0"/>
      <w:numFmt w:val="bullet"/>
      <w:lvlText w:val="•"/>
      <w:lvlJc w:val="left"/>
      <w:pPr>
        <w:ind w:left="6392" w:hanging="473"/>
      </w:pPr>
      <w:rPr>
        <w:rFonts w:hint="default"/>
        <w:lang w:val="zh-CN" w:eastAsia="zh-CN" w:bidi="zh-CN"/>
      </w:rPr>
    </w:lvl>
    <w:lvl w:ilvl="7" w:tentative="0">
      <w:start w:val="0"/>
      <w:numFmt w:val="bullet"/>
      <w:lvlText w:val="•"/>
      <w:lvlJc w:val="left"/>
      <w:pPr>
        <w:ind w:left="7410" w:hanging="473"/>
      </w:pPr>
      <w:rPr>
        <w:rFonts w:hint="default"/>
        <w:lang w:val="zh-CN" w:eastAsia="zh-CN" w:bidi="zh-CN"/>
      </w:rPr>
    </w:lvl>
    <w:lvl w:ilvl="8" w:tentative="0">
      <w:start w:val="0"/>
      <w:numFmt w:val="bullet"/>
      <w:lvlText w:val="•"/>
      <w:lvlJc w:val="left"/>
      <w:pPr>
        <w:ind w:left="8429" w:hanging="473"/>
      </w:pPr>
      <w:rPr>
        <w:rFonts w:hint="default"/>
        <w:lang w:val="zh-CN" w:eastAsia="zh-CN" w:bidi="zh-CN"/>
      </w:rPr>
    </w:lvl>
  </w:abstractNum>
  <w:abstractNum w:abstractNumId="66">
    <w:nsid w:val="337B95CF"/>
    <w:multiLevelType w:val="singleLevel"/>
    <w:tmpl w:val="337B95CF"/>
    <w:lvl w:ilvl="0" w:tentative="0">
      <w:start w:val="1"/>
      <w:numFmt w:val="decimal"/>
      <w:suff w:val="nothing"/>
      <w:lvlText w:val="%1．"/>
      <w:lvlJc w:val="left"/>
      <w:pPr>
        <w:ind w:left="0" w:firstLine="400"/>
      </w:pPr>
      <w:rPr>
        <w:rFonts w:hint="default"/>
      </w:rPr>
    </w:lvl>
  </w:abstractNum>
  <w:abstractNum w:abstractNumId="67">
    <w:nsid w:val="35C0DDD4"/>
    <w:multiLevelType w:val="singleLevel"/>
    <w:tmpl w:val="35C0DDD4"/>
    <w:lvl w:ilvl="0" w:tentative="0">
      <w:start w:val="1"/>
      <w:numFmt w:val="decimal"/>
      <w:suff w:val="nothing"/>
      <w:lvlText w:val="%1．"/>
      <w:lvlJc w:val="left"/>
      <w:pPr>
        <w:ind w:left="0" w:firstLine="400"/>
      </w:pPr>
      <w:rPr>
        <w:rFonts w:hint="default"/>
      </w:rPr>
    </w:lvl>
  </w:abstractNum>
  <w:abstractNum w:abstractNumId="68">
    <w:nsid w:val="35ECE9CB"/>
    <w:multiLevelType w:val="multilevel"/>
    <w:tmpl w:val="35ECE9CB"/>
    <w:lvl w:ilvl="0" w:tentative="0">
      <w:start w:val="1"/>
      <w:numFmt w:val="decimal"/>
      <w:lvlText w:val="（%1）"/>
      <w:lvlJc w:val="left"/>
      <w:pPr>
        <w:ind w:left="1362" w:hanging="527"/>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2270" w:hanging="527"/>
      </w:pPr>
      <w:rPr>
        <w:rFonts w:hint="default"/>
        <w:lang w:val="zh-CN" w:eastAsia="zh-CN" w:bidi="zh-CN"/>
      </w:rPr>
    </w:lvl>
    <w:lvl w:ilvl="2" w:tentative="0">
      <w:start w:val="0"/>
      <w:numFmt w:val="bullet"/>
      <w:lvlText w:val="•"/>
      <w:lvlJc w:val="left"/>
      <w:pPr>
        <w:ind w:left="3181" w:hanging="527"/>
      </w:pPr>
      <w:rPr>
        <w:rFonts w:hint="default"/>
        <w:lang w:val="zh-CN" w:eastAsia="zh-CN" w:bidi="zh-CN"/>
      </w:rPr>
    </w:lvl>
    <w:lvl w:ilvl="3" w:tentative="0">
      <w:start w:val="0"/>
      <w:numFmt w:val="bullet"/>
      <w:lvlText w:val="•"/>
      <w:lvlJc w:val="left"/>
      <w:pPr>
        <w:ind w:left="4091" w:hanging="527"/>
      </w:pPr>
      <w:rPr>
        <w:rFonts w:hint="default"/>
        <w:lang w:val="zh-CN" w:eastAsia="zh-CN" w:bidi="zh-CN"/>
      </w:rPr>
    </w:lvl>
    <w:lvl w:ilvl="4" w:tentative="0">
      <w:start w:val="0"/>
      <w:numFmt w:val="bullet"/>
      <w:lvlText w:val="•"/>
      <w:lvlJc w:val="left"/>
      <w:pPr>
        <w:ind w:left="5002" w:hanging="527"/>
      </w:pPr>
      <w:rPr>
        <w:rFonts w:hint="default"/>
        <w:lang w:val="zh-CN" w:eastAsia="zh-CN" w:bidi="zh-CN"/>
      </w:rPr>
    </w:lvl>
    <w:lvl w:ilvl="5" w:tentative="0">
      <w:start w:val="0"/>
      <w:numFmt w:val="bullet"/>
      <w:lvlText w:val="•"/>
      <w:lvlJc w:val="left"/>
      <w:pPr>
        <w:ind w:left="5913" w:hanging="527"/>
      </w:pPr>
      <w:rPr>
        <w:rFonts w:hint="default"/>
        <w:lang w:val="zh-CN" w:eastAsia="zh-CN" w:bidi="zh-CN"/>
      </w:rPr>
    </w:lvl>
    <w:lvl w:ilvl="6" w:tentative="0">
      <w:start w:val="0"/>
      <w:numFmt w:val="bullet"/>
      <w:lvlText w:val="•"/>
      <w:lvlJc w:val="left"/>
      <w:pPr>
        <w:ind w:left="6823" w:hanging="527"/>
      </w:pPr>
      <w:rPr>
        <w:rFonts w:hint="default"/>
        <w:lang w:val="zh-CN" w:eastAsia="zh-CN" w:bidi="zh-CN"/>
      </w:rPr>
    </w:lvl>
    <w:lvl w:ilvl="7" w:tentative="0">
      <w:start w:val="0"/>
      <w:numFmt w:val="bullet"/>
      <w:lvlText w:val="•"/>
      <w:lvlJc w:val="left"/>
      <w:pPr>
        <w:ind w:left="7734" w:hanging="527"/>
      </w:pPr>
      <w:rPr>
        <w:rFonts w:hint="default"/>
        <w:lang w:val="zh-CN" w:eastAsia="zh-CN" w:bidi="zh-CN"/>
      </w:rPr>
    </w:lvl>
    <w:lvl w:ilvl="8" w:tentative="0">
      <w:start w:val="0"/>
      <w:numFmt w:val="bullet"/>
      <w:lvlText w:val="•"/>
      <w:lvlJc w:val="left"/>
      <w:pPr>
        <w:ind w:left="8644" w:hanging="527"/>
      </w:pPr>
      <w:rPr>
        <w:rFonts w:hint="default"/>
        <w:lang w:val="zh-CN" w:eastAsia="zh-CN" w:bidi="zh-CN"/>
      </w:rPr>
    </w:lvl>
  </w:abstractNum>
  <w:abstractNum w:abstractNumId="69">
    <w:nsid w:val="3664A4D1"/>
    <w:multiLevelType w:val="multilevel"/>
    <w:tmpl w:val="3664A4D1"/>
    <w:lvl w:ilvl="0" w:tentative="0">
      <w:start w:val="1"/>
      <w:numFmt w:val="decimal"/>
      <w:lvlText w:val="%1."/>
      <w:lvlJc w:val="left"/>
      <w:pPr>
        <w:ind w:left="412"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424" w:hanging="212"/>
      </w:pPr>
      <w:rPr>
        <w:rFonts w:hint="default"/>
        <w:lang w:val="zh-CN" w:eastAsia="zh-CN" w:bidi="zh-CN"/>
      </w:rPr>
    </w:lvl>
    <w:lvl w:ilvl="2" w:tentative="0">
      <w:start w:val="0"/>
      <w:numFmt w:val="bullet"/>
      <w:lvlText w:val="•"/>
      <w:lvlJc w:val="left"/>
      <w:pPr>
        <w:ind w:left="2429" w:hanging="212"/>
      </w:pPr>
      <w:rPr>
        <w:rFonts w:hint="default"/>
        <w:lang w:val="zh-CN" w:eastAsia="zh-CN" w:bidi="zh-CN"/>
      </w:rPr>
    </w:lvl>
    <w:lvl w:ilvl="3" w:tentative="0">
      <w:start w:val="0"/>
      <w:numFmt w:val="bullet"/>
      <w:lvlText w:val="•"/>
      <w:lvlJc w:val="left"/>
      <w:pPr>
        <w:ind w:left="3433" w:hanging="212"/>
      </w:pPr>
      <w:rPr>
        <w:rFonts w:hint="default"/>
        <w:lang w:val="zh-CN" w:eastAsia="zh-CN" w:bidi="zh-CN"/>
      </w:rPr>
    </w:lvl>
    <w:lvl w:ilvl="4" w:tentative="0">
      <w:start w:val="0"/>
      <w:numFmt w:val="bullet"/>
      <w:lvlText w:val="•"/>
      <w:lvlJc w:val="left"/>
      <w:pPr>
        <w:ind w:left="4438" w:hanging="212"/>
      </w:pPr>
      <w:rPr>
        <w:rFonts w:hint="default"/>
        <w:lang w:val="zh-CN" w:eastAsia="zh-CN" w:bidi="zh-CN"/>
      </w:rPr>
    </w:lvl>
    <w:lvl w:ilvl="5" w:tentative="0">
      <w:start w:val="0"/>
      <w:numFmt w:val="bullet"/>
      <w:lvlText w:val="•"/>
      <w:lvlJc w:val="left"/>
      <w:pPr>
        <w:ind w:left="5443" w:hanging="212"/>
      </w:pPr>
      <w:rPr>
        <w:rFonts w:hint="default"/>
        <w:lang w:val="zh-CN" w:eastAsia="zh-CN" w:bidi="zh-CN"/>
      </w:rPr>
    </w:lvl>
    <w:lvl w:ilvl="6" w:tentative="0">
      <w:start w:val="0"/>
      <w:numFmt w:val="bullet"/>
      <w:lvlText w:val="•"/>
      <w:lvlJc w:val="left"/>
      <w:pPr>
        <w:ind w:left="6447" w:hanging="212"/>
      </w:pPr>
      <w:rPr>
        <w:rFonts w:hint="default"/>
        <w:lang w:val="zh-CN" w:eastAsia="zh-CN" w:bidi="zh-CN"/>
      </w:rPr>
    </w:lvl>
    <w:lvl w:ilvl="7" w:tentative="0">
      <w:start w:val="0"/>
      <w:numFmt w:val="bullet"/>
      <w:lvlText w:val="•"/>
      <w:lvlJc w:val="left"/>
      <w:pPr>
        <w:ind w:left="7452" w:hanging="212"/>
      </w:pPr>
      <w:rPr>
        <w:rFonts w:hint="default"/>
        <w:lang w:val="zh-CN" w:eastAsia="zh-CN" w:bidi="zh-CN"/>
      </w:rPr>
    </w:lvl>
    <w:lvl w:ilvl="8" w:tentative="0">
      <w:start w:val="0"/>
      <w:numFmt w:val="bullet"/>
      <w:lvlText w:val="•"/>
      <w:lvlJc w:val="left"/>
      <w:pPr>
        <w:ind w:left="8456" w:hanging="212"/>
      </w:pPr>
      <w:rPr>
        <w:rFonts w:hint="default"/>
        <w:lang w:val="zh-CN" w:eastAsia="zh-CN" w:bidi="zh-CN"/>
      </w:rPr>
    </w:lvl>
  </w:abstractNum>
  <w:abstractNum w:abstractNumId="70">
    <w:nsid w:val="38EAC418"/>
    <w:multiLevelType w:val="multilevel"/>
    <w:tmpl w:val="38EAC418"/>
    <w:lvl w:ilvl="0" w:tentative="0">
      <w:start w:val="1"/>
      <w:numFmt w:val="decimal"/>
      <w:lvlText w:val="%1."/>
      <w:lvlJc w:val="left"/>
      <w:pPr>
        <w:ind w:left="423" w:hanging="317"/>
        <w:jc w:val="left"/>
      </w:pPr>
      <w:rPr>
        <w:rFonts w:hint="default" w:ascii="宋体" w:hAnsi="宋体" w:eastAsia="宋体" w:cs="宋体"/>
        <w:b/>
        <w:bCs/>
        <w:spacing w:val="0"/>
        <w:w w:val="98"/>
        <w:sz w:val="21"/>
        <w:szCs w:val="21"/>
        <w:lang w:val="zh-CN" w:eastAsia="zh-CN" w:bidi="zh-CN"/>
      </w:rPr>
    </w:lvl>
    <w:lvl w:ilvl="1" w:tentative="0">
      <w:start w:val="0"/>
      <w:numFmt w:val="bullet"/>
      <w:lvlText w:val="•"/>
      <w:lvlJc w:val="left"/>
      <w:pPr>
        <w:ind w:left="1257" w:hanging="317"/>
      </w:pPr>
      <w:rPr>
        <w:rFonts w:hint="default"/>
        <w:lang w:val="zh-CN" w:eastAsia="zh-CN" w:bidi="zh-CN"/>
      </w:rPr>
    </w:lvl>
    <w:lvl w:ilvl="2" w:tentative="0">
      <w:start w:val="0"/>
      <w:numFmt w:val="bullet"/>
      <w:lvlText w:val="•"/>
      <w:lvlJc w:val="left"/>
      <w:pPr>
        <w:ind w:left="2095" w:hanging="317"/>
      </w:pPr>
      <w:rPr>
        <w:rFonts w:hint="default"/>
        <w:lang w:val="zh-CN" w:eastAsia="zh-CN" w:bidi="zh-CN"/>
      </w:rPr>
    </w:lvl>
    <w:lvl w:ilvl="3" w:tentative="0">
      <w:start w:val="0"/>
      <w:numFmt w:val="bullet"/>
      <w:lvlText w:val="•"/>
      <w:lvlJc w:val="left"/>
      <w:pPr>
        <w:ind w:left="2932" w:hanging="317"/>
      </w:pPr>
      <w:rPr>
        <w:rFonts w:hint="default"/>
        <w:lang w:val="zh-CN" w:eastAsia="zh-CN" w:bidi="zh-CN"/>
      </w:rPr>
    </w:lvl>
    <w:lvl w:ilvl="4" w:tentative="0">
      <w:start w:val="0"/>
      <w:numFmt w:val="bullet"/>
      <w:lvlText w:val="•"/>
      <w:lvlJc w:val="left"/>
      <w:pPr>
        <w:ind w:left="3770" w:hanging="317"/>
      </w:pPr>
      <w:rPr>
        <w:rFonts w:hint="default"/>
        <w:lang w:val="zh-CN" w:eastAsia="zh-CN" w:bidi="zh-CN"/>
      </w:rPr>
    </w:lvl>
    <w:lvl w:ilvl="5" w:tentative="0">
      <w:start w:val="0"/>
      <w:numFmt w:val="bullet"/>
      <w:lvlText w:val="•"/>
      <w:lvlJc w:val="left"/>
      <w:pPr>
        <w:ind w:left="4608" w:hanging="317"/>
      </w:pPr>
      <w:rPr>
        <w:rFonts w:hint="default"/>
        <w:lang w:val="zh-CN" w:eastAsia="zh-CN" w:bidi="zh-CN"/>
      </w:rPr>
    </w:lvl>
    <w:lvl w:ilvl="6" w:tentative="0">
      <w:start w:val="0"/>
      <w:numFmt w:val="bullet"/>
      <w:lvlText w:val="•"/>
      <w:lvlJc w:val="left"/>
      <w:pPr>
        <w:ind w:left="5445" w:hanging="317"/>
      </w:pPr>
      <w:rPr>
        <w:rFonts w:hint="default"/>
        <w:lang w:val="zh-CN" w:eastAsia="zh-CN" w:bidi="zh-CN"/>
      </w:rPr>
    </w:lvl>
    <w:lvl w:ilvl="7" w:tentative="0">
      <w:start w:val="0"/>
      <w:numFmt w:val="bullet"/>
      <w:lvlText w:val="•"/>
      <w:lvlJc w:val="left"/>
      <w:pPr>
        <w:ind w:left="6283" w:hanging="317"/>
      </w:pPr>
      <w:rPr>
        <w:rFonts w:hint="default"/>
        <w:lang w:val="zh-CN" w:eastAsia="zh-CN" w:bidi="zh-CN"/>
      </w:rPr>
    </w:lvl>
    <w:lvl w:ilvl="8" w:tentative="0">
      <w:start w:val="0"/>
      <w:numFmt w:val="bullet"/>
      <w:lvlText w:val="•"/>
      <w:lvlJc w:val="left"/>
      <w:pPr>
        <w:ind w:left="7120" w:hanging="317"/>
      </w:pPr>
      <w:rPr>
        <w:rFonts w:hint="default"/>
        <w:lang w:val="zh-CN" w:eastAsia="zh-CN" w:bidi="zh-CN"/>
      </w:rPr>
    </w:lvl>
  </w:abstractNum>
  <w:abstractNum w:abstractNumId="71">
    <w:nsid w:val="3C8626FC"/>
    <w:multiLevelType w:val="multilevel"/>
    <w:tmpl w:val="3C8626FC"/>
    <w:lvl w:ilvl="0" w:tentative="0">
      <w:start w:val="1"/>
      <w:numFmt w:val="decimal"/>
      <w:lvlText w:val=" (%1)"/>
      <w:lvlJc w:val="left"/>
      <w:pPr>
        <w:tabs>
          <w:tab w:val="left" w:pos="544"/>
        </w:tabs>
        <w:ind w:left="544" w:hanging="544"/>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2">
    <w:nsid w:val="3D950AF9"/>
    <w:multiLevelType w:val="multilevel"/>
    <w:tmpl w:val="3D950AF9"/>
    <w:lvl w:ilvl="0" w:tentative="0">
      <w:start w:val="7"/>
      <w:numFmt w:val="decimal"/>
      <w:lvlText w:val="%1"/>
      <w:lvlJc w:val="left"/>
      <w:pPr>
        <w:ind w:left="1200" w:hanging="368"/>
        <w:jc w:val="left"/>
      </w:pPr>
      <w:rPr>
        <w:rFonts w:hint="default"/>
        <w:lang w:val="zh-CN" w:eastAsia="zh-CN" w:bidi="zh-CN"/>
      </w:rPr>
    </w:lvl>
    <w:lvl w:ilvl="1" w:tentative="0">
      <w:start w:val="1"/>
      <w:numFmt w:val="decimal"/>
      <w:lvlText w:val="%1.%2"/>
      <w:lvlJc w:val="left"/>
      <w:pPr>
        <w:ind w:left="1200" w:hanging="368"/>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3053" w:hanging="368"/>
      </w:pPr>
      <w:rPr>
        <w:rFonts w:hint="default"/>
        <w:lang w:val="zh-CN" w:eastAsia="zh-CN" w:bidi="zh-CN"/>
      </w:rPr>
    </w:lvl>
    <w:lvl w:ilvl="3" w:tentative="0">
      <w:start w:val="0"/>
      <w:numFmt w:val="bullet"/>
      <w:lvlText w:val="•"/>
      <w:lvlJc w:val="left"/>
      <w:pPr>
        <w:ind w:left="3979" w:hanging="368"/>
      </w:pPr>
      <w:rPr>
        <w:rFonts w:hint="default"/>
        <w:lang w:val="zh-CN" w:eastAsia="zh-CN" w:bidi="zh-CN"/>
      </w:rPr>
    </w:lvl>
    <w:lvl w:ilvl="4" w:tentative="0">
      <w:start w:val="0"/>
      <w:numFmt w:val="bullet"/>
      <w:lvlText w:val="•"/>
      <w:lvlJc w:val="left"/>
      <w:pPr>
        <w:ind w:left="4906" w:hanging="368"/>
      </w:pPr>
      <w:rPr>
        <w:rFonts w:hint="default"/>
        <w:lang w:val="zh-CN" w:eastAsia="zh-CN" w:bidi="zh-CN"/>
      </w:rPr>
    </w:lvl>
    <w:lvl w:ilvl="5" w:tentative="0">
      <w:start w:val="0"/>
      <w:numFmt w:val="bullet"/>
      <w:lvlText w:val="•"/>
      <w:lvlJc w:val="left"/>
      <w:pPr>
        <w:ind w:left="5833" w:hanging="368"/>
      </w:pPr>
      <w:rPr>
        <w:rFonts w:hint="default"/>
        <w:lang w:val="zh-CN" w:eastAsia="zh-CN" w:bidi="zh-CN"/>
      </w:rPr>
    </w:lvl>
    <w:lvl w:ilvl="6" w:tentative="0">
      <w:start w:val="0"/>
      <w:numFmt w:val="bullet"/>
      <w:lvlText w:val="•"/>
      <w:lvlJc w:val="left"/>
      <w:pPr>
        <w:ind w:left="6759" w:hanging="368"/>
      </w:pPr>
      <w:rPr>
        <w:rFonts w:hint="default"/>
        <w:lang w:val="zh-CN" w:eastAsia="zh-CN" w:bidi="zh-CN"/>
      </w:rPr>
    </w:lvl>
    <w:lvl w:ilvl="7" w:tentative="0">
      <w:start w:val="0"/>
      <w:numFmt w:val="bullet"/>
      <w:lvlText w:val="•"/>
      <w:lvlJc w:val="left"/>
      <w:pPr>
        <w:ind w:left="7686" w:hanging="368"/>
      </w:pPr>
      <w:rPr>
        <w:rFonts w:hint="default"/>
        <w:lang w:val="zh-CN" w:eastAsia="zh-CN" w:bidi="zh-CN"/>
      </w:rPr>
    </w:lvl>
    <w:lvl w:ilvl="8" w:tentative="0">
      <w:start w:val="0"/>
      <w:numFmt w:val="bullet"/>
      <w:lvlText w:val="•"/>
      <w:lvlJc w:val="left"/>
      <w:pPr>
        <w:ind w:left="8612" w:hanging="368"/>
      </w:pPr>
      <w:rPr>
        <w:rFonts w:hint="default"/>
        <w:lang w:val="zh-CN" w:eastAsia="zh-CN" w:bidi="zh-CN"/>
      </w:rPr>
    </w:lvl>
  </w:abstractNum>
  <w:abstractNum w:abstractNumId="73">
    <w:nsid w:val="408860E8"/>
    <w:multiLevelType w:val="multilevel"/>
    <w:tmpl w:val="408860E8"/>
    <w:lvl w:ilvl="0" w:tentative="0">
      <w:start w:val="11"/>
      <w:numFmt w:val="decimal"/>
      <w:lvlText w:val="%1"/>
      <w:lvlJc w:val="left"/>
      <w:pPr>
        <w:ind w:left="412" w:hanging="473"/>
        <w:jc w:val="left"/>
      </w:pPr>
      <w:rPr>
        <w:rFonts w:hint="default"/>
        <w:lang w:val="zh-CN" w:eastAsia="zh-CN" w:bidi="zh-CN"/>
      </w:rPr>
    </w:lvl>
    <w:lvl w:ilvl="1" w:tentative="0">
      <w:start w:val="1"/>
      <w:numFmt w:val="decimal"/>
      <w:lvlText w:val="%1.%2"/>
      <w:lvlJc w:val="left"/>
      <w:pPr>
        <w:ind w:left="412" w:hanging="473"/>
        <w:jc w:val="righ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2429" w:hanging="473"/>
      </w:pPr>
      <w:rPr>
        <w:rFonts w:hint="default"/>
        <w:lang w:val="zh-CN" w:eastAsia="zh-CN" w:bidi="zh-CN"/>
      </w:rPr>
    </w:lvl>
    <w:lvl w:ilvl="3" w:tentative="0">
      <w:start w:val="0"/>
      <w:numFmt w:val="bullet"/>
      <w:lvlText w:val="•"/>
      <w:lvlJc w:val="left"/>
      <w:pPr>
        <w:ind w:left="3433" w:hanging="473"/>
      </w:pPr>
      <w:rPr>
        <w:rFonts w:hint="default"/>
        <w:lang w:val="zh-CN" w:eastAsia="zh-CN" w:bidi="zh-CN"/>
      </w:rPr>
    </w:lvl>
    <w:lvl w:ilvl="4" w:tentative="0">
      <w:start w:val="0"/>
      <w:numFmt w:val="bullet"/>
      <w:lvlText w:val="•"/>
      <w:lvlJc w:val="left"/>
      <w:pPr>
        <w:ind w:left="4438" w:hanging="473"/>
      </w:pPr>
      <w:rPr>
        <w:rFonts w:hint="default"/>
        <w:lang w:val="zh-CN" w:eastAsia="zh-CN" w:bidi="zh-CN"/>
      </w:rPr>
    </w:lvl>
    <w:lvl w:ilvl="5" w:tentative="0">
      <w:start w:val="0"/>
      <w:numFmt w:val="bullet"/>
      <w:lvlText w:val="•"/>
      <w:lvlJc w:val="left"/>
      <w:pPr>
        <w:ind w:left="5443" w:hanging="473"/>
      </w:pPr>
      <w:rPr>
        <w:rFonts w:hint="default"/>
        <w:lang w:val="zh-CN" w:eastAsia="zh-CN" w:bidi="zh-CN"/>
      </w:rPr>
    </w:lvl>
    <w:lvl w:ilvl="6" w:tentative="0">
      <w:start w:val="0"/>
      <w:numFmt w:val="bullet"/>
      <w:lvlText w:val="•"/>
      <w:lvlJc w:val="left"/>
      <w:pPr>
        <w:ind w:left="6447" w:hanging="473"/>
      </w:pPr>
      <w:rPr>
        <w:rFonts w:hint="default"/>
        <w:lang w:val="zh-CN" w:eastAsia="zh-CN" w:bidi="zh-CN"/>
      </w:rPr>
    </w:lvl>
    <w:lvl w:ilvl="7" w:tentative="0">
      <w:start w:val="0"/>
      <w:numFmt w:val="bullet"/>
      <w:lvlText w:val="•"/>
      <w:lvlJc w:val="left"/>
      <w:pPr>
        <w:ind w:left="7452" w:hanging="473"/>
      </w:pPr>
      <w:rPr>
        <w:rFonts w:hint="default"/>
        <w:lang w:val="zh-CN" w:eastAsia="zh-CN" w:bidi="zh-CN"/>
      </w:rPr>
    </w:lvl>
    <w:lvl w:ilvl="8" w:tentative="0">
      <w:start w:val="0"/>
      <w:numFmt w:val="bullet"/>
      <w:lvlText w:val="•"/>
      <w:lvlJc w:val="left"/>
      <w:pPr>
        <w:ind w:left="8456" w:hanging="473"/>
      </w:pPr>
      <w:rPr>
        <w:rFonts w:hint="default"/>
        <w:lang w:val="zh-CN" w:eastAsia="zh-CN" w:bidi="zh-CN"/>
      </w:rPr>
    </w:lvl>
  </w:abstractNum>
  <w:abstractNum w:abstractNumId="74">
    <w:nsid w:val="429CD0B5"/>
    <w:multiLevelType w:val="multilevel"/>
    <w:tmpl w:val="429CD0B5"/>
    <w:lvl w:ilvl="0" w:tentative="0">
      <w:start w:val="1"/>
      <w:numFmt w:val="decimal"/>
      <w:lvlText w:val="（%1）"/>
      <w:lvlJc w:val="left"/>
      <w:pPr>
        <w:ind w:left="1359" w:hanging="527"/>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2270" w:hanging="527"/>
      </w:pPr>
      <w:rPr>
        <w:rFonts w:hint="default"/>
        <w:lang w:val="zh-CN" w:eastAsia="zh-CN" w:bidi="zh-CN"/>
      </w:rPr>
    </w:lvl>
    <w:lvl w:ilvl="2" w:tentative="0">
      <w:start w:val="0"/>
      <w:numFmt w:val="bullet"/>
      <w:lvlText w:val="•"/>
      <w:lvlJc w:val="left"/>
      <w:pPr>
        <w:ind w:left="3181" w:hanging="527"/>
      </w:pPr>
      <w:rPr>
        <w:rFonts w:hint="default"/>
        <w:lang w:val="zh-CN" w:eastAsia="zh-CN" w:bidi="zh-CN"/>
      </w:rPr>
    </w:lvl>
    <w:lvl w:ilvl="3" w:tentative="0">
      <w:start w:val="0"/>
      <w:numFmt w:val="bullet"/>
      <w:lvlText w:val="•"/>
      <w:lvlJc w:val="left"/>
      <w:pPr>
        <w:ind w:left="4091" w:hanging="527"/>
      </w:pPr>
      <w:rPr>
        <w:rFonts w:hint="default"/>
        <w:lang w:val="zh-CN" w:eastAsia="zh-CN" w:bidi="zh-CN"/>
      </w:rPr>
    </w:lvl>
    <w:lvl w:ilvl="4" w:tentative="0">
      <w:start w:val="0"/>
      <w:numFmt w:val="bullet"/>
      <w:lvlText w:val="•"/>
      <w:lvlJc w:val="left"/>
      <w:pPr>
        <w:ind w:left="5002" w:hanging="527"/>
      </w:pPr>
      <w:rPr>
        <w:rFonts w:hint="default"/>
        <w:lang w:val="zh-CN" w:eastAsia="zh-CN" w:bidi="zh-CN"/>
      </w:rPr>
    </w:lvl>
    <w:lvl w:ilvl="5" w:tentative="0">
      <w:start w:val="0"/>
      <w:numFmt w:val="bullet"/>
      <w:lvlText w:val="•"/>
      <w:lvlJc w:val="left"/>
      <w:pPr>
        <w:ind w:left="5913" w:hanging="527"/>
      </w:pPr>
      <w:rPr>
        <w:rFonts w:hint="default"/>
        <w:lang w:val="zh-CN" w:eastAsia="zh-CN" w:bidi="zh-CN"/>
      </w:rPr>
    </w:lvl>
    <w:lvl w:ilvl="6" w:tentative="0">
      <w:start w:val="0"/>
      <w:numFmt w:val="bullet"/>
      <w:lvlText w:val="•"/>
      <w:lvlJc w:val="left"/>
      <w:pPr>
        <w:ind w:left="6823" w:hanging="527"/>
      </w:pPr>
      <w:rPr>
        <w:rFonts w:hint="default"/>
        <w:lang w:val="zh-CN" w:eastAsia="zh-CN" w:bidi="zh-CN"/>
      </w:rPr>
    </w:lvl>
    <w:lvl w:ilvl="7" w:tentative="0">
      <w:start w:val="0"/>
      <w:numFmt w:val="bullet"/>
      <w:lvlText w:val="•"/>
      <w:lvlJc w:val="left"/>
      <w:pPr>
        <w:ind w:left="7734" w:hanging="527"/>
      </w:pPr>
      <w:rPr>
        <w:rFonts w:hint="default"/>
        <w:lang w:val="zh-CN" w:eastAsia="zh-CN" w:bidi="zh-CN"/>
      </w:rPr>
    </w:lvl>
    <w:lvl w:ilvl="8" w:tentative="0">
      <w:start w:val="0"/>
      <w:numFmt w:val="bullet"/>
      <w:lvlText w:val="•"/>
      <w:lvlJc w:val="left"/>
      <w:pPr>
        <w:ind w:left="8644" w:hanging="527"/>
      </w:pPr>
      <w:rPr>
        <w:rFonts w:hint="default"/>
        <w:lang w:val="zh-CN" w:eastAsia="zh-CN" w:bidi="zh-CN"/>
      </w:rPr>
    </w:lvl>
  </w:abstractNum>
  <w:abstractNum w:abstractNumId="75">
    <w:nsid w:val="436E26F8"/>
    <w:multiLevelType w:val="multilevel"/>
    <w:tmpl w:val="436E26F8"/>
    <w:lvl w:ilvl="0" w:tentative="0">
      <w:start w:val="1"/>
      <w:numFmt w:val="decimal"/>
      <w:lvlText w:val=" (%1)"/>
      <w:lvlJc w:val="left"/>
      <w:pPr>
        <w:tabs>
          <w:tab w:val="left" w:pos="544"/>
        </w:tabs>
        <w:ind w:left="544" w:hanging="544"/>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6">
    <w:nsid w:val="446EAEE1"/>
    <w:multiLevelType w:val="multilevel"/>
    <w:tmpl w:val="446EAEE1"/>
    <w:lvl w:ilvl="0" w:tentative="0">
      <w:start w:val="1"/>
      <w:numFmt w:val="decimal"/>
      <w:lvlText w:val="%1."/>
      <w:lvlJc w:val="left"/>
      <w:pPr>
        <w:ind w:left="412" w:hanging="360"/>
        <w:jc w:val="left"/>
      </w:pPr>
      <w:rPr>
        <w:rFonts w:hint="default" w:ascii="宋体" w:hAnsi="宋体" w:eastAsia="宋体" w:cs="宋体"/>
        <w:spacing w:val="-10"/>
        <w:w w:val="100"/>
        <w:sz w:val="24"/>
        <w:szCs w:val="24"/>
        <w:lang w:val="zh-CN" w:eastAsia="zh-CN" w:bidi="zh-CN"/>
      </w:rPr>
    </w:lvl>
    <w:lvl w:ilvl="1" w:tentative="0">
      <w:start w:val="1"/>
      <w:numFmt w:val="decimal"/>
      <w:lvlText w:val="%2."/>
      <w:lvlJc w:val="left"/>
      <w:pPr>
        <w:ind w:left="960" w:hanging="212"/>
        <w:jc w:val="left"/>
      </w:pPr>
      <w:rPr>
        <w:rFonts w:hint="default" w:ascii="宋体" w:hAnsi="宋体" w:eastAsia="宋体" w:cs="宋体"/>
        <w:b/>
        <w:bCs/>
        <w:spacing w:val="1"/>
        <w:w w:val="98"/>
        <w:sz w:val="19"/>
        <w:szCs w:val="19"/>
        <w:lang w:val="zh-CN" w:eastAsia="zh-CN" w:bidi="zh-CN"/>
      </w:rPr>
    </w:lvl>
    <w:lvl w:ilvl="2" w:tentative="0">
      <w:start w:val="0"/>
      <w:numFmt w:val="bullet"/>
      <w:lvlText w:val="•"/>
      <w:lvlJc w:val="left"/>
      <w:pPr>
        <w:ind w:left="2016" w:hanging="212"/>
      </w:pPr>
      <w:rPr>
        <w:rFonts w:hint="default"/>
        <w:lang w:val="zh-CN" w:eastAsia="zh-CN" w:bidi="zh-CN"/>
      </w:rPr>
    </w:lvl>
    <w:lvl w:ilvl="3" w:tentative="0">
      <w:start w:val="0"/>
      <w:numFmt w:val="bullet"/>
      <w:lvlText w:val="•"/>
      <w:lvlJc w:val="left"/>
      <w:pPr>
        <w:ind w:left="3072" w:hanging="212"/>
      </w:pPr>
      <w:rPr>
        <w:rFonts w:hint="default"/>
        <w:lang w:val="zh-CN" w:eastAsia="zh-CN" w:bidi="zh-CN"/>
      </w:rPr>
    </w:lvl>
    <w:lvl w:ilvl="4" w:tentative="0">
      <w:start w:val="0"/>
      <w:numFmt w:val="bullet"/>
      <w:lvlText w:val="•"/>
      <w:lvlJc w:val="left"/>
      <w:pPr>
        <w:ind w:left="4128" w:hanging="212"/>
      </w:pPr>
      <w:rPr>
        <w:rFonts w:hint="default"/>
        <w:lang w:val="zh-CN" w:eastAsia="zh-CN" w:bidi="zh-CN"/>
      </w:rPr>
    </w:lvl>
    <w:lvl w:ilvl="5" w:tentative="0">
      <w:start w:val="0"/>
      <w:numFmt w:val="bullet"/>
      <w:lvlText w:val="•"/>
      <w:lvlJc w:val="left"/>
      <w:pPr>
        <w:ind w:left="5184" w:hanging="212"/>
      </w:pPr>
      <w:rPr>
        <w:rFonts w:hint="default"/>
        <w:lang w:val="zh-CN" w:eastAsia="zh-CN" w:bidi="zh-CN"/>
      </w:rPr>
    </w:lvl>
    <w:lvl w:ilvl="6" w:tentative="0">
      <w:start w:val="0"/>
      <w:numFmt w:val="bullet"/>
      <w:lvlText w:val="•"/>
      <w:lvlJc w:val="left"/>
      <w:pPr>
        <w:ind w:left="6241" w:hanging="212"/>
      </w:pPr>
      <w:rPr>
        <w:rFonts w:hint="default"/>
        <w:lang w:val="zh-CN" w:eastAsia="zh-CN" w:bidi="zh-CN"/>
      </w:rPr>
    </w:lvl>
    <w:lvl w:ilvl="7" w:tentative="0">
      <w:start w:val="0"/>
      <w:numFmt w:val="bullet"/>
      <w:lvlText w:val="•"/>
      <w:lvlJc w:val="left"/>
      <w:pPr>
        <w:ind w:left="7297" w:hanging="212"/>
      </w:pPr>
      <w:rPr>
        <w:rFonts w:hint="default"/>
        <w:lang w:val="zh-CN" w:eastAsia="zh-CN" w:bidi="zh-CN"/>
      </w:rPr>
    </w:lvl>
    <w:lvl w:ilvl="8" w:tentative="0">
      <w:start w:val="0"/>
      <w:numFmt w:val="bullet"/>
      <w:lvlText w:val="•"/>
      <w:lvlJc w:val="left"/>
      <w:pPr>
        <w:ind w:left="8353" w:hanging="212"/>
      </w:pPr>
      <w:rPr>
        <w:rFonts w:hint="default"/>
        <w:lang w:val="zh-CN" w:eastAsia="zh-CN" w:bidi="zh-CN"/>
      </w:rPr>
    </w:lvl>
  </w:abstractNum>
  <w:abstractNum w:abstractNumId="77">
    <w:nsid w:val="4AD1D84F"/>
    <w:multiLevelType w:val="multilevel"/>
    <w:tmpl w:val="4AD1D84F"/>
    <w:lvl w:ilvl="0" w:tentative="0">
      <w:start w:val="2"/>
      <w:numFmt w:val="decimal"/>
      <w:lvlText w:val="%1"/>
      <w:lvlJc w:val="left"/>
      <w:pPr>
        <w:ind w:left="1149" w:hanging="317"/>
        <w:jc w:val="left"/>
      </w:pPr>
      <w:rPr>
        <w:rFonts w:hint="default"/>
        <w:lang w:val="zh-CN" w:eastAsia="zh-CN" w:bidi="zh-CN"/>
      </w:rPr>
    </w:lvl>
    <w:lvl w:ilvl="1" w:tentative="0">
      <w:start w:val="1"/>
      <w:numFmt w:val="decimal"/>
      <w:lvlText w:val="%1.%2"/>
      <w:lvlJc w:val="left"/>
      <w:pPr>
        <w:ind w:left="1149" w:hanging="317"/>
        <w:jc w:val="left"/>
      </w:pPr>
      <w:rPr>
        <w:rFonts w:hint="default" w:ascii="宋体" w:hAnsi="宋体" w:eastAsia="宋体" w:cs="宋体"/>
        <w:spacing w:val="1"/>
        <w:w w:val="99"/>
        <w:sz w:val="19"/>
        <w:szCs w:val="19"/>
        <w:lang w:val="zh-CN" w:eastAsia="zh-CN" w:bidi="zh-CN"/>
      </w:rPr>
    </w:lvl>
    <w:lvl w:ilvl="2" w:tentative="0">
      <w:start w:val="0"/>
      <w:numFmt w:val="bullet"/>
      <w:lvlText w:val="•"/>
      <w:lvlJc w:val="left"/>
      <w:pPr>
        <w:ind w:left="3005" w:hanging="317"/>
      </w:pPr>
      <w:rPr>
        <w:rFonts w:hint="default"/>
        <w:lang w:val="zh-CN" w:eastAsia="zh-CN" w:bidi="zh-CN"/>
      </w:rPr>
    </w:lvl>
    <w:lvl w:ilvl="3" w:tentative="0">
      <w:start w:val="0"/>
      <w:numFmt w:val="bullet"/>
      <w:lvlText w:val="•"/>
      <w:lvlJc w:val="left"/>
      <w:pPr>
        <w:ind w:left="3937" w:hanging="317"/>
      </w:pPr>
      <w:rPr>
        <w:rFonts w:hint="default"/>
        <w:lang w:val="zh-CN" w:eastAsia="zh-CN" w:bidi="zh-CN"/>
      </w:rPr>
    </w:lvl>
    <w:lvl w:ilvl="4" w:tentative="0">
      <w:start w:val="0"/>
      <w:numFmt w:val="bullet"/>
      <w:lvlText w:val="•"/>
      <w:lvlJc w:val="left"/>
      <w:pPr>
        <w:ind w:left="4870" w:hanging="317"/>
      </w:pPr>
      <w:rPr>
        <w:rFonts w:hint="default"/>
        <w:lang w:val="zh-CN" w:eastAsia="zh-CN" w:bidi="zh-CN"/>
      </w:rPr>
    </w:lvl>
    <w:lvl w:ilvl="5" w:tentative="0">
      <w:start w:val="0"/>
      <w:numFmt w:val="bullet"/>
      <w:lvlText w:val="•"/>
      <w:lvlJc w:val="left"/>
      <w:pPr>
        <w:ind w:left="5803" w:hanging="317"/>
      </w:pPr>
      <w:rPr>
        <w:rFonts w:hint="default"/>
        <w:lang w:val="zh-CN" w:eastAsia="zh-CN" w:bidi="zh-CN"/>
      </w:rPr>
    </w:lvl>
    <w:lvl w:ilvl="6" w:tentative="0">
      <w:start w:val="0"/>
      <w:numFmt w:val="bullet"/>
      <w:lvlText w:val="•"/>
      <w:lvlJc w:val="left"/>
      <w:pPr>
        <w:ind w:left="6735" w:hanging="317"/>
      </w:pPr>
      <w:rPr>
        <w:rFonts w:hint="default"/>
        <w:lang w:val="zh-CN" w:eastAsia="zh-CN" w:bidi="zh-CN"/>
      </w:rPr>
    </w:lvl>
    <w:lvl w:ilvl="7" w:tentative="0">
      <w:start w:val="0"/>
      <w:numFmt w:val="bullet"/>
      <w:lvlText w:val="•"/>
      <w:lvlJc w:val="left"/>
      <w:pPr>
        <w:ind w:left="7668" w:hanging="317"/>
      </w:pPr>
      <w:rPr>
        <w:rFonts w:hint="default"/>
        <w:lang w:val="zh-CN" w:eastAsia="zh-CN" w:bidi="zh-CN"/>
      </w:rPr>
    </w:lvl>
    <w:lvl w:ilvl="8" w:tentative="0">
      <w:start w:val="0"/>
      <w:numFmt w:val="bullet"/>
      <w:lvlText w:val="•"/>
      <w:lvlJc w:val="left"/>
      <w:pPr>
        <w:ind w:left="8600" w:hanging="317"/>
      </w:pPr>
      <w:rPr>
        <w:rFonts w:hint="default"/>
        <w:lang w:val="zh-CN" w:eastAsia="zh-CN" w:bidi="zh-CN"/>
      </w:rPr>
    </w:lvl>
  </w:abstractNum>
  <w:abstractNum w:abstractNumId="78">
    <w:nsid w:val="4E709187"/>
    <w:multiLevelType w:val="multilevel"/>
    <w:tmpl w:val="4E709187"/>
    <w:lvl w:ilvl="0" w:tentative="0">
      <w:start w:val="1"/>
      <w:numFmt w:val="decimal"/>
      <w:lvlText w:val="%1."/>
      <w:lvlJc w:val="left"/>
      <w:pPr>
        <w:ind w:left="916" w:hanging="360"/>
        <w:jc w:val="right"/>
      </w:pPr>
      <w:rPr>
        <w:rFonts w:hint="default" w:ascii="宋体" w:hAnsi="宋体" w:eastAsia="宋体" w:cs="宋体"/>
        <w:b/>
        <w:bCs/>
        <w:spacing w:val="0"/>
        <w:w w:val="99"/>
        <w:sz w:val="24"/>
        <w:szCs w:val="24"/>
        <w:lang w:val="zh-CN" w:eastAsia="zh-CN" w:bidi="zh-CN"/>
      </w:rPr>
    </w:lvl>
    <w:lvl w:ilvl="1" w:tentative="0">
      <w:start w:val="1"/>
      <w:numFmt w:val="decimal"/>
      <w:lvlText w:val="%2."/>
      <w:lvlJc w:val="left"/>
      <w:pPr>
        <w:ind w:left="412" w:hanging="212"/>
        <w:jc w:val="left"/>
      </w:pPr>
      <w:rPr>
        <w:rFonts w:hint="default" w:ascii="宋体" w:hAnsi="宋体" w:eastAsia="宋体" w:cs="宋体"/>
        <w:spacing w:val="1"/>
        <w:w w:val="99"/>
        <w:sz w:val="19"/>
        <w:szCs w:val="19"/>
        <w:lang w:val="zh-CN" w:eastAsia="zh-CN" w:bidi="zh-CN"/>
      </w:rPr>
    </w:lvl>
    <w:lvl w:ilvl="2" w:tentative="0">
      <w:start w:val="0"/>
      <w:numFmt w:val="bullet"/>
      <w:lvlText w:val="•"/>
      <w:lvlJc w:val="left"/>
      <w:pPr>
        <w:ind w:left="1980" w:hanging="212"/>
      </w:pPr>
      <w:rPr>
        <w:rFonts w:hint="default"/>
        <w:lang w:val="zh-CN" w:eastAsia="zh-CN" w:bidi="zh-CN"/>
      </w:rPr>
    </w:lvl>
    <w:lvl w:ilvl="3" w:tentative="0">
      <w:start w:val="0"/>
      <w:numFmt w:val="bullet"/>
      <w:lvlText w:val="•"/>
      <w:lvlJc w:val="left"/>
      <w:pPr>
        <w:ind w:left="3041" w:hanging="212"/>
      </w:pPr>
      <w:rPr>
        <w:rFonts w:hint="default"/>
        <w:lang w:val="zh-CN" w:eastAsia="zh-CN" w:bidi="zh-CN"/>
      </w:rPr>
    </w:lvl>
    <w:lvl w:ilvl="4" w:tentative="0">
      <w:start w:val="0"/>
      <w:numFmt w:val="bullet"/>
      <w:lvlText w:val="•"/>
      <w:lvlJc w:val="left"/>
      <w:pPr>
        <w:ind w:left="4102" w:hanging="212"/>
      </w:pPr>
      <w:rPr>
        <w:rFonts w:hint="default"/>
        <w:lang w:val="zh-CN" w:eastAsia="zh-CN" w:bidi="zh-CN"/>
      </w:rPr>
    </w:lvl>
    <w:lvl w:ilvl="5" w:tentative="0">
      <w:start w:val="0"/>
      <w:numFmt w:val="bullet"/>
      <w:lvlText w:val="•"/>
      <w:lvlJc w:val="left"/>
      <w:pPr>
        <w:ind w:left="5162" w:hanging="212"/>
      </w:pPr>
      <w:rPr>
        <w:rFonts w:hint="default"/>
        <w:lang w:val="zh-CN" w:eastAsia="zh-CN" w:bidi="zh-CN"/>
      </w:rPr>
    </w:lvl>
    <w:lvl w:ilvl="6" w:tentative="0">
      <w:start w:val="0"/>
      <w:numFmt w:val="bullet"/>
      <w:lvlText w:val="•"/>
      <w:lvlJc w:val="left"/>
      <w:pPr>
        <w:ind w:left="6223" w:hanging="212"/>
      </w:pPr>
      <w:rPr>
        <w:rFonts w:hint="default"/>
        <w:lang w:val="zh-CN" w:eastAsia="zh-CN" w:bidi="zh-CN"/>
      </w:rPr>
    </w:lvl>
    <w:lvl w:ilvl="7" w:tentative="0">
      <w:start w:val="0"/>
      <w:numFmt w:val="bullet"/>
      <w:lvlText w:val="•"/>
      <w:lvlJc w:val="left"/>
      <w:pPr>
        <w:ind w:left="7284" w:hanging="212"/>
      </w:pPr>
      <w:rPr>
        <w:rFonts w:hint="default"/>
        <w:lang w:val="zh-CN" w:eastAsia="zh-CN" w:bidi="zh-CN"/>
      </w:rPr>
    </w:lvl>
    <w:lvl w:ilvl="8" w:tentative="0">
      <w:start w:val="0"/>
      <w:numFmt w:val="bullet"/>
      <w:lvlText w:val="•"/>
      <w:lvlJc w:val="left"/>
      <w:pPr>
        <w:ind w:left="8344" w:hanging="212"/>
      </w:pPr>
      <w:rPr>
        <w:rFonts w:hint="default"/>
        <w:lang w:val="zh-CN" w:eastAsia="zh-CN" w:bidi="zh-CN"/>
      </w:rPr>
    </w:lvl>
  </w:abstractNum>
  <w:abstractNum w:abstractNumId="79">
    <w:nsid w:val="4EA76503"/>
    <w:multiLevelType w:val="multilevel"/>
    <w:tmpl w:val="4EA76503"/>
    <w:lvl w:ilvl="0" w:tentative="0">
      <w:start w:val="1"/>
      <w:numFmt w:val="decimal"/>
      <w:lvlText w:val="%1."/>
      <w:lvlJc w:val="left"/>
      <w:pPr>
        <w:ind w:left="1044"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982" w:hanging="212"/>
      </w:pPr>
      <w:rPr>
        <w:rFonts w:hint="default"/>
        <w:lang w:val="zh-CN" w:eastAsia="zh-CN" w:bidi="zh-CN"/>
      </w:rPr>
    </w:lvl>
    <w:lvl w:ilvl="2" w:tentative="0">
      <w:start w:val="0"/>
      <w:numFmt w:val="bullet"/>
      <w:lvlText w:val="•"/>
      <w:lvlJc w:val="left"/>
      <w:pPr>
        <w:ind w:left="2925" w:hanging="212"/>
      </w:pPr>
      <w:rPr>
        <w:rFonts w:hint="default"/>
        <w:lang w:val="zh-CN" w:eastAsia="zh-CN" w:bidi="zh-CN"/>
      </w:rPr>
    </w:lvl>
    <w:lvl w:ilvl="3" w:tentative="0">
      <w:start w:val="0"/>
      <w:numFmt w:val="bullet"/>
      <w:lvlText w:val="•"/>
      <w:lvlJc w:val="left"/>
      <w:pPr>
        <w:ind w:left="3867" w:hanging="212"/>
      </w:pPr>
      <w:rPr>
        <w:rFonts w:hint="default"/>
        <w:lang w:val="zh-CN" w:eastAsia="zh-CN" w:bidi="zh-CN"/>
      </w:rPr>
    </w:lvl>
    <w:lvl w:ilvl="4" w:tentative="0">
      <w:start w:val="0"/>
      <w:numFmt w:val="bullet"/>
      <w:lvlText w:val="•"/>
      <w:lvlJc w:val="left"/>
      <w:pPr>
        <w:ind w:left="4810" w:hanging="212"/>
      </w:pPr>
      <w:rPr>
        <w:rFonts w:hint="default"/>
        <w:lang w:val="zh-CN" w:eastAsia="zh-CN" w:bidi="zh-CN"/>
      </w:rPr>
    </w:lvl>
    <w:lvl w:ilvl="5" w:tentative="0">
      <w:start w:val="0"/>
      <w:numFmt w:val="bullet"/>
      <w:lvlText w:val="•"/>
      <w:lvlJc w:val="left"/>
      <w:pPr>
        <w:ind w:left="5753" w:hanging="212"/>
      </w:pPr>
      <w:rPr>
        <w:rFonts w:hint="default"/>
        <w:lang w:val="zh-CN" w:eastAsia="zh-CN" w:bidi="zh-CN"/>
      </w:rPr>
    </w:lvl>
    <w:lvl w:ilvl="6" w:tentative="0">
      <w:start w:val="0"/>
      <w:numFmt w:val="bullet"/>
      <w:lvlText w:val="•"/>
      <w:lvlJc w:val="left"/>
      <w:pPr>
        <w:ind w:left="6695" w:hanging="212"/>
      </w:pPr>
      <w:rPr>
        <w:rFonts w:hint="default"/>
        <w:lang w:val="zh-CN" w:eastAsia="zh-CN" w:bidi="zh-CN"/>
      </w:rPr>
    </w:lvl>
    <w:lvl w:ilvl="7" w:tentative="0">
      <w:start w:val="0"/>
      <w:numFmt w:val="bullet"/>
      <w:lvlText w:val="•"/>
      <w:lvlJc w:val="left"/>
      <w:pPr>
        <w:ind w:left="7638" w:hanging="212"/>
      </w:pPr>
      <w:rPr>
        <w:rFonts w:hint="default"/>
        <w:lang w:val="zh-CN" w:eastAsia="zh-CN" w:bidi="zh-CN"/>
      </w:rPr>
    </w:lvl>
    <w:lvl w:ilvl="8" w:tentative="0">
      <w:start w:val="0"/>
      <w:numFmt w:val="bullet"/>
      <w:lvlText w:val="•"/>
      <w:lvlJc w:val="left"/>
      <w:pPr>
        <w:ind w:left="8580" w:hanging="212"/>
      </w:pPr>
      <w:rPr>
        <w:rFonts w:hint="default"/>
        <w:lang w:val="zh-CN" w:eastAsia="zh-CN" w:bidi="zh-CN"/>
      </w:rPr>
    </w:lvl>
  </w:abstractNum>
  <w:abstractNum w:abstractNumId="80">
    <w:nsid w:val="4F00C6B4"/>
    <w:multiLevelType w:val="multilevel"/>
    <w:tmpl w:val="4F00C6B4"/>
    <w:lvl w:ilvl="0" w:tentative="0">
      <w:start w:val="4"/>
      <w:numFmt w:val="decimal"/>
      <w:lvlText w:val="%1."/>
      <w:lvlJc w:val="left"/>
      <w:pPr>
        <w:ind w:left="626" w:hanging="214"/>
        <w:jc w:val="left"/>
      </w:pPr>
      <w:rPr>
        <w:rFonts w:hint="default" w:ascii="宋体" w:hAnsi="宋体" w:eastAsia="宋体" w:cs="宋体"/>
        <w:b/>
        <w:bCs/>
        <w:spacing w:val="-2"/>
        <w:w w:val="98"/>
        <w:sz w:val="19"/>
        <w:szCs w:val="19"/>
        <w:lang w:val="zh-CN" w:eastAsia="zh-CN" w:bidi="zh-CN"/>
      </w:rPr>
    </w:lvl>
    <w:lvl w:ilvl="1" w:tentative="0">
      <w:start w:val="1"/>
      <w:numFmt w:val="decimal"/>
      <w:lvlText w:val="%1.%2"/>
      <w:lvlJc w:val="left"/>
      <w:pPr>
        <w:ind w:left="1200" w:hanging="368"/>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2229" w:hanging="368"/>
      </w:pPr>
      <w:rPr>
        <w:rFonts w:hint="default"/>
        <w:lang w:val="zh-CN" w:eastAsia="zh-CN" w:bidi="zh-CN"/>
      </w:rPr>
    </w:lvl>
    <w:lvl w:ilvl="3" w:tentative="0">
      <w:start w:val="0"/>
      <w:numFmt w:val="bullet"/>
      <w:lvlText w:val="•"/>
      <w:lvlJc w:val="left"/>
      <w:pPr>
        <w:ind w:left="3259" w:hanging="368"/>
      </w:pPr>
      <w:rPr>
        <w:rFonts w:hint="default"/>
        <w:lang w:val="zh-CN" w:eastAsia="zh-CN" w:bidi="zh-CN"/>
      </w:rPr>
    </w:lvl>
    <w:lvl w:ilvl="4" w:tentative="0">
      <w:start w:val="0"/>
      <w:numFmt w:val="bullet"/>
      <w:lvlText w:val="•"/>
      <w:lvlJc w:val="left"/>
      <w:pPr>
        <w:ind w:left="4288" w:hanging="368"/>
      </w:pPr>
      <w:rPr>
        <w:rFonts w:hint="default"/>
        <w:lang w:val="zh-CN" w:eastAsia="zh-CN" w:bidi="zh-CN"/>
      </w:rPr>
    </w:lvl>
    <w:lvl w:ilvl="5" w:tentative="0">
      <w:start w:val="0"/>
      <w:numFmt w:val="bullet"/>
      <w:lvlText w:val="•"/>
      <w:lvlJc w:val="left"/>
      <w:pPr>
        <w:ind w:left="5318" w:hanging="368"/>
      </w:pPr>
      <w:rPr>
        <w:rFonts w:hint="default"/>
        <w:lang w:val="zh-CN" w:eastAsia="zh-CN" w:bidi="zh-CN"/>
      </w:rPr>
    </w:lvl>
    <w:lvl w:ilvl="6" w:tentative="0">
      <w:start w:val="0"/>
      <w:numFmt w:val="bullet"/>
      <w:lvlText w:val="•"/>
      <w:lvlJc w:val="left"/>
      <w:pPr>
        <w:ind w:left="6347" w:hanging="368"/>
      </w:pPr>
      <w:rPr>
        <w:rFonts w:hint="default"/>
        <w:lang w:val="zh-CN" w:eastAsia="zh-CN" w:bidi="zh-CN"/>
      </w:rPr>
    </w:lvl>
    <w:lvl w:ilvl="7" w:tentative="0">
      <w:start w:val="0"/>
      <w:numFmt w:val="bullet"/>
      <w:lvlText w:val="•"/>
      <w:lvlJc w:val="left"/>
      <w:pPr>
        <w:ind w:left="7377" w:hanging="368"/>
      </w:pPr>
      <w:rPr>
        <w:rFonts w:hint="default"/>
        <w:lang w:val="zh-CN" w:eastAsia="zh-CN" w:bidi="zh-CN"/>
      </w:rPr>
    </w:lvl>
    <w:lvl w:ilvl="8" w:tentative="0">
      <w:start w:val="0"/>
      <w:numFmt w:val="bullet"/>
      <w:lvlText w:val="•"/>
      <w:lvlJc w:val="left"/>
      <w:pPr>
        <w:ind w:left="8406" w:hanging="368"/>
      </w:pPr>
      <w:rPr>
        <w:rFonts w:hint="default"/>
        <w:lang w:val="zh-CN" w:eastAsia="zh-CN" w:bidi="zh-CN"/>
      </w:rPr>
    </w:lvl>
  </w:abstractNum>
  <w:abstractNum w:abstractNumId="81">
    <w:nsid w:val="4FA7FC34"/>
    <w:multiLevelType w:val="multilevel"/>
    <w:tmpl w:val="4FA7FC34"/>
    <w:lvl w:ilvl="0" w:tentative="0">
      <w:start w:val="10"/>
      <w:numFmt w:val="decimal"/>
      <w:lvlText w:val="%1."/>
      <w:lvlJc w:val="left"/>
      <w:pPr>
        <w:ind w:left="732" w:hanging="320"/>
        <w:jc w:val="left"/>
      </w:pPr>
      <w:rPr>
        <w:rFonts w:hint="default" w:ascii="宋体" w:hAnsi="宋体" w:eastAsia="宋体" w:cs="宋体"/>
        <w:b/>
        <w:bCs/>
        <w:spacing w:val="1"/>
        <w:w w:val="98"/>
        <w:sz w:val="19"/>
        <w:szCs w:val="19"/>
        <w:lang w:val="zh-CN" w:eastAsia="zh-CN" w:bidi="zh-CN"/>
      </w:rPr>
    </w:lvl>
    <w:lvl w:ilvl="1" w:tentative="0">
      <w:start w:val="1"/>
      <w:numFmt w:val="decimal"/>
      <w:lvlText w:val="（%2）"/>
      <w:lvlJc w:val="left"/>
      <w:pPr>
        <w:ind w:left="1359" w:hanging="527"/>
        <w:jc w:val="left"/>
      </w:pPr>
      <w:rPr>
        <w:rFonts w:hint="default" w:ascii="宋体" w:hAnsi="宋体" w:eastAsia="宋体" w:cs="宋体"/>
        <w:spacing w:val="-1"/>
        <w:w w:val="99"/>
        <w:sz w:val="19"/>
        <w:szCs w:val="19"/>
        <w:lang w:val="zh-CN" w:eastAsia="zh-CN" w:bidi="zh-CN"/>
      </w:rPr>
    </w:lvl>
    <w:lvl w:ilvl="2" w:tentative="0">
      <w:start w:val="0"/>
      <w:numFmt w:val="bullet"/>
      <w:lvlText w:val="•"/>
      <w:lvlJc w:val="left"/>
      <w:pPr>
        <w:ind w:left="2371" w:hanging="527"/>
      </w:pPr>
      <w:rPr>
        <w:rFonts w:hint="default"/>
        <w:lang w:val="zh-CN" w:eastAsia="zh-CN" w:bidi="zh-CN"/>
      </w:rPr>
    </w:lvl>
    <w:lvl w:ilvl="3" w:tentative="0">
      <w:start w:val="0"/>
      <w:numFmt w:val="bullet"/>
      <w:lvlText w:val="•"/>
      <w:lvlJc w:val="left"/>
      <w:pPr>
        <w:ind w:left="3383" w:hanging="527"/>
      </w:pPr>
      <w:rPr>
        <w:rFonts w:hint="default"/>
        <w:lang w:val="zh-CN" w:eastAsia="zh-CN" w:bidi="zh-CN"/>
      </w:rPr>
    </w:lvl>
    <w:lvl w:ilvl="4" w:tentative="0">
      <w:start w:val="0"/>
      <w:numFmt w:val="bullet"/>
      <w:lvlText w:val="•"/>
      <w:lvlJc w:val="left"/>
      <w:pPr>
        <w:ind w:left="4395" w:hanging="527"/>
      </w:pPr>
      <w:rPr>
        <w:rFonts w:hint="default"/>
        <w:lang w:val="zh-CN" w:eastAsia="zh-CN" w:bidi="zh-CN"/>
      </w:rPr>
    </w:lvl>
    <w:lvl w:ilvl="5" w:tentative="0">
      <w:start w:val="0"/>
      <w:numFmt w:val="bullet"/>
      <w:lvlText w:val="•"/>
      <w:lvlJc w:val="left"/>
      <w:pPr>
        <w:ind w:left="5407" w:hanging="527"/>
      </w:pPr>
      <w:rPr>
        <w:rFonts w:hint="default"/>
        <w:lang w:val="zh-CN" w:eastAsia="zh-CN" w:bidi="zh-CN"/>
      </w:rPr>
    </w:lvl>
    <w:lvl w:ilvl="6" w:tentative="0">
      <w:start w:val="0"/>
      <w:numFmt w:val="bullet"/>
      <w:lvlText w:val="•"/>
      <w:lvlJc w:val="left"/>
      <w:pPr>
        <w:ind w:left="6418" w:hanging="527"/>
      </w:pPr>
      <w:rPr>
        <w:rFonts w:hint="default"/>
        <w:lang w:val="zh-CN" w:eastAsia="zh-CN" w:bidi="zh-CN"/>
      </w:rPr>
    </w:lvl>
    <w:lvl w:ilvl="7" w:tentative="0">
      <w:start w:val="0"/>
      <w:numFmt w:val="bullet"/>
      <w:lvlText w:val="•"/>
      <w:lvlJc w:val="left"/>
      <w:pPr>
        <w:ind w:left="7430" w:hanging="527"/>
      </w:pPr>
      <w:rPr>
        <w:rFonts w:hint="default"/>
        <w:lang w:val="zh-CN" w:eastAsia="zh-CN" w:bidi="zh-CN"/>
      </w:rPr>
    </w:lvl>
    <w:lvl w:ilvl="8" w:tentative="0">
      <w:start w:val="0"/>
      <w:numFmt w:val="bullet"/>
      <w:lvlText w:val="•"/>
      <w:lvlJc w:val="left"/>
      <w:pPr>
        <w:ind w:left="8442" w:hanging="527"/>
      </w:pPr>
      <w:rPr>
        <w:rFonts w:hint="default"/>
        <w:lang w:val="zh-CN" w:eastAsia="zh-CN" w:bidi="zh-CN"/>
      </w:rPr>
    </w:lvl>
  </w:abstractNum>
  <w:abstractNum w:abstractNumId="82">
    <w:nsid w:val="598DAF6D"/>
    <w:multiLevelType w:val="multilevel"/>
    <w:tmpl w:val="598DAF6D"/>
    <w:lvl w:ilvl="0" w:tentative="0">
      <w:start w:val="1"/>
      <w:numFmt w:val="decimal"/>
      <w:lvlText w:val="%1."/>
      <w:lvlJc w:val="left"/>
      <w:pPr>
        <w:ind w:left="412" w:hanging="317"/>
        <w:jc w:val="left"/>
      </w:pPr>
      <w:rPr>
        <w:rFonts w:hint="default" w:ascii="宋体" w:hAnsi="宋体" w:eastAsia="宋体" w:cs="宋体"/>
        <w:spacing w:val="0"/>
        <w:w w:val="99"/>
        <w:sz w:val="21"/>
        <w:szCs w:val="21"/>
        <w:lang w:val="zh-CN" w:eastAsia="zh-CN" w:bidi="zh-CN"/>
      </w:rPr>
    </w:lvl>
    <w:lvl w:ilvl="1" w:tentative="0">
      <w:start w:val="0"/>
      <w:numFmt w:val="bullet"/>
      <w:lvlText w:val="•"/>
      <w:lvlJc w:val="left"/>
      <w:pPr>
        <w:ind w:left="1424" w:hanging="317"/>
      </w:pPr>
      <w:rPr>
        <w:rFonts w:hint="default"/>
        <w:lang w:val="zh-CN" w:eastAsia="zh-CN" w:bidi="zh-CN"/>
      </w:rPr>
    </w:lvl>
    <w:lvl w:ilvl="2" w:tentative="0">
      <w:start w:val="0"/>
      <w:numFmt w:val="bullet"/>
      <w:lvlText w:val="•"/>
      <w:lvlJc w:val="left"/>
      <w:pPr>
        <w:ind w:left="2429" w:hanging="317"/>
      </w:pPr>
      <w:rPr>
        <w:rFonts w:hint="default"/>
        <w:lang w:val="zh-CN" w:eastAsia="zh-CN" w:bidi="zh-CN"/>
      </w:rPr>
    </w:lvl>
    <w:lvl w:ilvl="3" w:tentative="0">
      <w:start w:val="0"/>
      <w:numFmt w:val="bullet"/>
      <w:lvlText w:val="•"/>
      <w:lvlJc w:val="left"/>
      <w:pPr>
        <w:ind w:left="3433" w:hanging="317"/>
      </w:pPr>
      <w:rPr>
        <w:rFonts w:hint="default"/>
        <w:lang w:val="zh-CN" w:eastAsia="zh-CN" w:bidi="zh-CN"/>
      </w:rPr>
    </w:lvl>
    <w:lvl w:ilvl="4" w:tentative="0">
      <w:start w:val="0"/>
      <w:numFmt w:val="bullet"/>
      <w:lvlText w:val="•"/>
      <w:lvlJc w:val="left"/>
      <w:pPr>
        <w:ind w:left="4438" w:hanging="317"/>
      </w:pPr>
      <w:rPr>
        <w:rFonts w:hint="default"/>
        <w:lang w:val="zh-CN" w:eastAsia="zh-CN" w:bidi="zh-CN"/>
      </w:rPr>
    </w:lvl>
    <w:lvl w:ilvl="5" w:tentative="0">
      <w:start w:val="0"/>
      <w:numFmt w:val="bullet"/>
      <w:lvlText w:val="•"/>
      <w:lvlJc w:val="left"/>
      <w:pPr>
        <w:ind w:left="5443" w:hanging="317"/>
      </w:pPr>
      <w:rPr>
        <w:rFonts w:hint="default"/>
        <w:lang w:val="zh-CN" w:eastAsia="zh-CN" w:bidi="zh-CN"/>
      </w:rPr>
    </w:lvl>
    <w:lvl w:ilvl="6" w:tentative="0">
      <w:start w:val="0"/>
      <w:numFmt w:val="bullet"/>
      <w:lvlText w:val="•"/>
      <w:lvlJc w:val="left"/>
      <w:pPr>
        <w:ind w:left="6447" w:hanging="317"/>
      </w:pPr>
      <w:rPr>
        <w:rFonts w:hint="default"/>
        <w:lang w:val="zh-CN" w:eastAsia="zh-CN" w:bidi="zh-CN"/>
      </w:rPr>
    </w:lvl>
    <w:lvl w:ilvl="7" w:tentative="0">
      <w:start w:val="0"/>
      <w:numFmt w:val="bullet"/>
      <w:lvlText w:val="•"/>
      <w:lvlJc w:val="left"/>
      <w:pPr>
        <w:ind w:left="7452" w:hanging="317"/>
      </w:pPr>
      <w:rPr>
        <w:rFonts w:hint="default"/>
        <w:lang w:val="zh-CN" w:eastAsia="zh-CN" w:bidi="zh-CN"/>
      </w:rPr>
    </w:lvl>
    <w:lvl w:ilvl="8" w:tentative="0">
      <w:start w:val="0"/>
      <w:numFmt w:val="bullet"/>
      <w:lvlText w:val="•"/>
      <w:lvlJc w:val="left"/>
      <w:pPr>
        <w:ind w:left="8456" w:hanging="317"/>
      </w:pPr>
      <w:rPr>
        <w:rFonts w:hint="default"/>
        <w:lang w:val="zh-CN" w:eastAsia="zh-CN" w:bidi="zh-CN"/>
      </w:rPr>
    </w:lvl>
  </w:abstractNum>
  <w:abstractNum w:abstractNumId="83">
    <w:nsid w:val="5A8377A7"/>
    <w:multiLevelType w:val="multilevel"/>
    <w:tmpl w:val="5A8377A7"/>
    <w:lvl w:ilvl="0" w:tentative="0">
      <w:start w:val="1"/>
      <w:numFmt w:val="decimal"/>
      <w:lvlText w:val="（%1）"/>
      <w:lvlJc w:val="left"/>
      <w:pPr>
        <w:ind w:left="412" w:hanging="531"/>
        <w:jc w:val="left"/>
      </w:pPr>
      <w:rPr>
        <w:rFonts w:hint="default" w:ascii="宋体" w:hAnsi="宋体" w:eastAsia="宋体" w:cs="宋体"/>
        <w:spacing w:val="2"/>
        <w:w w:val="99"/>
        <w:sz w:val="19"/>
        <w:szCs w:val="19"/>
        <w:lang w:val="zh-CN" w:eastAsia="zh-CN" w:bidi="zh-CN"/>
      </w:rPr>
    </w:lvl>
    <w:lvl w:ilvl="1" w:tentative="0">
      <w:start w:val="0"/>
      <w:numFmt w:val="bullet"/>
      <w:lvlText w:val="•"/>
      <w:lvlJc w:val="left"/>
      <w:pPr>
        <w:ind w:left="1424" w:hanging="531"/>
      </w:pPr>
      <w:rPr>
        <w:rFonts w:hint="default"/>
        <w:lang w:val="zh-CN" w:eastAsia="zh-CN" w:bidi="zh-CN"/>
      </w:rPr>
    </w:lvl>
    <w:lvl w:ilvl="2" w:tentative="0">
      <w:start w:val="0"/>
      <w:numFmt w:val="bullet"/>
      <w:lvlText w:val="•"/>
      <w:lvlJc w:val="left"/>
      <w:pPr>
        <w:ind w:left="2429" w:hanging="531"/>
      </w:pPr>
      <w:rPr>
        <w:rFonts w:hint="default"/>
        <w:lang w:val="zh-CN" w:eastAsia="zh-CN" w:bidi="zh-CN"/>
      </w:rPr>
    </w:lvl>
    <w:lvl w:ilvl="3" w:tentative="0">
      <w:start w:val="0"/>
      <w:numFmt w:val="bullet"/>
      <w:lvlText w:val="•"/>
      <w:lvlJc w:val="left"/>
      <w:pPr>
        <w:ind w:left="3433" w:hanging="531"/>
      </w:pPr>
      <w:rPr>
        <w:rFonts w:hint="default"/>
        <w:lang w:val="zh-CN" w:eastAsia="zh-CN" w:bidi="zh-CN"/>
      </w:rPr>
    </w:lvl>
    <w:lvl w:ilvl="4" w:tentative="0">
      <w:start w:val="0"/>
      <w:numFmt w:val="bullet"/>
      <w:lvlText w:val="•"/>
      <w:lvlJc w:val="left"/>
      <w:pPr>
        <w:ind w:left="4438" w:hanging="531"/>
      </w:pPr>
      <w:rPr>
        <w:rFonts w:hint="default"/>
        <w:lang w:val="zh-CN" w:eastAsia="zh-CN" w:bidi="zh-CN"/>
      </w:rPr>
    </w:lvl>
    <w:lvl w:ilvl="5" w:tentative="0">
      <w:start w:val="0"/>
      <w:numFmt w:val="bullet"/>
      <w:lvlText w:val="•"/>
      <w:lvlJc w:val="left"/>
      <w:pPr>
        <w:ind w:left="5443" w:hanging="531"/>
      </w:pPr>
      <w:rPr>
        <w:rFonts w:hint="default"/>
        <w:lang w:val="zh-CN" w:eastAsia="zh-CN" w:bidi="zh-CN"/>
      </w:rPr>
    </w:lvl>
    <w:lvl w:ilvl="6" w:tentative="0">
      <w:start w:val="0"/>
      <w:numFmt w:val="bullet"/>
      <w:lvlText w:val="•"/>
      <w:lvlJc w:val="left"/>
      <w:pPr>
        <w:ind w:left="6447" w:hanging="531"/>
      </w:pPr>
      <w:rPr>
        <w:rFonts w:hint="default"/>
        <w:lang w:val="zh-CN" w:eastAsia="zh-CN" w:bidi="zh-CN"/>
      </w:rPr>
    </w:lvl>
    <w:lvl w:ilvl="7" w:tentative="0">
      <w:start w:val="0"/>
      <w:numFmt w:val="bullet"/>
      <w:lvlText w:val="•"/>
      <w:lvlJc w:val="left"/>
      <w:pPr>
        <w:ind w:left="7452" w:hanging="531"/>
      </w:pPr>
      <w:rPr>
        <w:rFonts w:hint="default"/>
        <w:lang w:val="zh-CN" w:eastAsia="zh-CN" w:bidi="zh-CN"/>
      </w:rPr>
    </w:lvl>
    <w:lvl w:ilvl="8" w:tentative="0">
      <w:start w:val="0"/>
      <w:numFmt w:val="bullet"/>
      <w:lvlText w:val="•"/>
      <w:lvlJc w:val="left"/>
      <w:pPr>
        <w:ind w:left="8456" w:hanging="531"/>
      </w:pPr>
      <w:rPr>
        <w:rFonts w:hint="default"/>
        <w:lang w:val="zh-CN" w:eastAsia="zh-CN" w:bidi="zh-CN"/>
      </w:rPr>
    </w:lvl>
  </w:abstractNum>
  <w:abstractNum w:abstractNumId="84">
    <w:nsid w:val="5AE784B3"/>
    <w:multiLevelType w:val="singleLevel"/>
    <w:tmpl w:val="5AE784B3"/>
    <w:lvl w:ilvl="0" w:tentative="0">
      <w:start w:val="1"/>
      <w:numFmt w:val="decimal"/>
      <w:lvlText w:val="%1."/>
      <w:lvlJc w:val="left"/>
      <w:pPr>
        <w:ind w:left="425" w:hanging="425"/>
      </w:pPr>
      <w:rPr>
        <w:rFonts w:hint="default"/>
      </w:rPr>
    </w:lvl>
  </w:abstractNum>
  <w:abstractNum w:abstractNumId="85">
    <w:nsid w:val="60234E6C"/>
    <w:multiLevelType w:val="singleLevel"/>
    <w:tmpl w:val="60234E6C"/>
    <w:lvl w:ilvl="0" w:tentative="0">
      <w:start w:val="1"/>
      <w:numFmt w:val="decimal"/>
      <w:suff w:val="nothing"/>
      <w:lvlText w:val="%1．"/>
      <w:lvlJc w:val="left"/>
      <w:pPr>
        <w:ind w:left="20" w:firstLine="400"/>
      </w:pPr>
      <w:rPr>
        <w:rFonts w:hint="default"/>
      </w:rPr>
    </w:lvl>
  </w:abstractNum>
  <w:abstractNum w:abstractNumId="86">
    <w:nsid w:val="60234FD4"/>
    <w:multiLevelType w:val="singleLevel"/>
    <w:tmpl w:val="60234FD4"/>
    <w:lvl w:ilvl="0" w:tentative="0">
      <w:start w:val="1"/>
      <w:numFmt w:val="decimal"/>
      <w:suff w:val="nothing"/>
      <w:lvlText w:val="%1．"/>
      <w:lvlJc w:val="left"/>
      <w:pPr>
        <w:ind w:left="0" w:firstLine="400"/>
      </w:pPr>
      <w:rPr>
        <w:rFonts w:hint="default"/>
      </w:rPr>
    </w:lvl>
  </w:abstractNum>
  <w:abstractNum w:abstractNumId="87">
    <w:nsid w:val="6023C95D"/>
    <w:multiLevelType w:val="singleLevel"/>
    <w:tmpl w:val="6023C95D"/>
    <w:lvl w:ilvl="0" w:tentative="0">
      <w:start w:val="1"/>
      <w:numFmt w:val="decimal"/>
      <w:suff w:val="nothing"/>
      <w:lvlText w:val="%1．"/>
      <w:lvlJc w:val="left"/>
      <w:pPr>
        <w:ind w:left="0" w:firstLine="400"/>
      </w:pPr>
      <w:rPr>
        <w:rFonts w:hint="default"/>
      </w:rPr>
    </w:lvl>
  </w:abstractNum>
  <w:abstractNum w:abstractNumId="88">
    <w:nsid w:val="63B12E74"/>
    <w:multiLevelType w:val="multilevel"/>
    <w:tmpl w:val="63B12E74"/>
    <w:lvl w:ilvl="0" w:tentative="0">
      <w:start w:val="1"/>
      <w:numFmt w:val="decimal"/>
      <w:lvlText w:val="（%1）"/>
      <w:lvlJc w:val="left"/>
      <w:pPr>
        <w:ind w:left="1360" w:hanging="528"/>
        <w:jc w:val="left"/>
      </w:pPr>
      <w:rPr>
        <w:rFonts w:hint="default" w:ascii="宋体" w:hAnsi="宋体" w:eastAsia="宋体" w:cs="宋体"/>
        <w:b/>
        <w:bCs/>
        <w:spacing w:val="1"/>
        <w:w w:val="98"/>
        <w:sz w:val="19"/>
        <w:szCs w:val="19"/>
        <w:lang w:val="zh-CN" w:eastAsia="zh-CN" w:bidi="zh-CN"/>
      </w:rPr>
    </w:lvl>
    <w:lvl w:ilvl="1" w:tentative="0">
      <w:start w:val="0"/>
      <w:numFmt w:val="bullet"/>
      <w:lvlText w:val="•"/>
      <w:lvlJc w:val="left"/>
      <w:pPr>
        <w:ind w:left="2270" w:hanging="528"/>
      </w:pPr>
      <w:rPr>
        <w:rFonts w:hint="default"/>
        <w:lang w:val="zh-CN" w:eastAsia="zh-CN" w:bidi="zh-CN"/>
      </w:rPr>
    </w:lvl>
    <w:lvl w:ilvl="2" w:tentative="0">
      <w:start w:val="0"/>
      <w:numFmt w:val="bullet"/>
      <w:lvlText w:val="•"/>
      <w:lvlJc w:val="left"/>
      <w:pPr>
        <w:ind w:left="3181" w:hanging="528"/>
      </w:pPr>
      <w:rPr>
        <w:rFonts w:hint="default"/>
        <w:lang w:val="zh-CN" w:eastAsia="zh-CN" w:bidi="zh-CN"/>
      </w:rPr>
    </w:lvl>
    <w:lvl w:ilvl="3" w:tentative="0">
      <w:start w:val="0"/>
      <w:numFmt w:val="bullet"/>
      <w:lvlText w:val="•"/>
      <w:lvlJc w:val="left"/>
      <w:pPr>
        <w:ind w:left="4091" w:hanging="528"/>
      </w:pPr>
      <w:rPr>
        <w:rFonts w:hint="default"/>
        <w:lang w:val="zh-CN" w:eastAsia="zh-CN" w:bidi="zh-CN"/>
      </w:rPr>
    </w:lvl>
    <w:lvl w:ilvl="4" w:tentative="0">
      <w:start w:val="0"/>
      <w:numFmt w:val="bullet"/>
      <w:lvlText w:val="•"/>
      <w:lvlJc w:val="left"/>
      <w:pPr>
        <w:ind w:left="5002" w:hanging="528"/>
      </w:pPr>
      <w:rPr>
        <w:rFonts w:hint="default"/>
        <w:lang w:val="zh-CN" w:eastAsia="zh-CN" w:bidi="zh-CN"/>
      </w:rPr>
    </w:lvl>
    <w:lvl w:ilvl="5" w:tentative="0">
      <w:start w:val="0"/>
      <w:numFmt w:val="bullet"/>
      <w:lvlText w:val="•"/>
      <w:lvlJc w:val="left"/>
      <w:pPr>
        <w:ind w:left="5913" w:hanging="528"/>
      </w:pPr>
      <w:rPr>
        <w:rFonts w:hint="default"/>
        <w:lang w:val="zh-CN" w:eastAsia="zh-CN" w:bidi="zh-CN"/>
      </w:rPr>
    </w:lvl>
    <w:lvl w:ilvl="6" w:tentative="0">
      <w:start w:val="0"/>
      <w:numFmt w:val="bullet"/>
      <w:lvlText w:val="•"/>
      <w:lvlJc w:val="left"/>
      <w:pPr>
        <w:ind w:left="6823" w:hanging="528"/>
      </w:pPr>
      <w:rPr>
        <w:rFonts w:hint="default"/>
        <w:lang w:val="zh-CN" w:eastAsia="zh-CN" w:bidi="zh-CN"/>
      </w:rPr>
    </w:lvl>
    <w:lvl w:ilvl="7" w:tentative="0">
      <w:start w:val="0"/>
      <w:numFmt w:val="bullet"/>
      <w:lvlText w:val="•"/>
      <w:lvlJc w:val="left"/>
      <w:pPr>
        <w:ind w:left="7734" w:hanging="528"/>
      </w:pPr>
      <w:rPr>
        <w:rFonts w:hint="default"/>
        <w:lang w:val="zh-CN" w:eastAsia="zh-CN" w:bidi="zh-CN"/>
      </w:rPr>
    </w:lvl>
    <w:lvl w:ilvl="8" w:tentative="0">
      <w:start w:val="0"/>
      <w:numFmt w:val="bullet"/>
      <w:lvlText w:val="•"/>
      <w:lvlJc w:val="left"/>
      <w:pPr>
        <w:ind w:left="8644" w:hanging="528"/>
      </w:pPr>
      <w:rPr>
        <w:rFonts w:hint="default"/>
        <w:lang w:val="zh-CN" w:eastAsia="zh-CN" w:bidi="zh-CN"/>
      </w:rPr>
    </w:lvl>
  </w:abstractNum>
  <w:abstractNum w:abstractNumId="89">
    <w:nsid w:val="64C0CB79"/>
    <w:multiLevelType w:val="multilevel"/>
    <w:tmpl w:val="64C0CB79"/>
    <w:lvl w:ilvl="0" w:tentative="0">
      <w:start w:val="1"/>
      <w:numFmt w:val="decimal"/>
      <w:lvlText w:val="（%1）"/>
      <w:lvlJc w:val="left"/>
      <w:pPr>
        <w:ind w:left="1350" w:hanging="525"/>
        <w:jc w:val="left"/>
      </w:pPr>
      <w:rPr>
        <w:rFonts w:hint="default" w:ascii="宋体" w:hAnsi="宋体" w:eastAsia="宋体" w:cs="宋体"/>
        <w:spacing w:val="-2"/>
        <w:w w:val="99"/>
        <w:sz w:val="19"/>
        <w:szCs w:val="19"/>
        <w:lang w:val="zh-CN" w:eastAsia="zh-CN" w:bidi="zh-CN"/>
      </w:rPr>
    </w:lvl>
    <w:lvl w:ilvl="1" w:tentative="0">
      <w:start w:val="0"/>
      <w:numFmt w:val="bullet"/>
      <w:lvlText w:val="•"/>
      <w:lvlJc w:val="left"/>
      <w:pPr>
        <w:ind w:left="2270" w:hanging="525"/>
      </w:pPr>
      <w:rPr>
        <w:rFonts w:hint="default"/>
        <w:lang w:val="zh-CN" w:eastAsia="zh-CN" w:bidi="zh-CN"/>
      </w:rPr>
    </w:lvl>
    <w:lvl w:ilvl="2" w:tentative="0">
      <w:start w:val="0"/>
      <w:numFmt w:val="bullet"/>
      <w:lvlText w:val="•"/>
      <w:lvlJc w:val="left"/>
      <w:pPr>
        <w:ind w:left="3181" w:hanging="525"/>
      </w:pPr>
      <w:rPr>
        <w:rFonts w:hint="default"/>
        <w:lang w:val="zh-CN" w:eastAsia="zh-CN" w:bidi="zh-CN"/>
      </w:rPr>
    </w:lvl>
    <w:lvl w:ilvl="3" w:tentative="0">
      <w:start w:val="0"/>
      <w:numFmt w:val="bullet"/>
      <w:lvlText w:val="•"/>
      <w:lvlJc w:val="left"/>
      <w:pPr>
        <w:ind w:left="4091" w:hanging="525"/>
      </w:pPr>
      <w:rPr>
        <w:rFonts w:hint="default"/>
        <w:lang w:val="zh-CN" w:eastAsia="zh-CN" w:bidi="zh-CN"/>
      </w:rPr>
    </w:lvl>
    <w:lvl w:ilvl="4" w:tentative="0">
      <w:start w:val="0"/>
      <w:numFmt w:val="bullet"/>
      <w:lvlText w:val="•"/>
      <w:lvlJc w:val="left"/>
      <w:pPr>
        <w:ind w:left="5002" w:hanging="525"/>
      </w:pPr>
      <w:rPr>
        <w:rFonts w:hint="default"/>
        <w:lang w:val="zh-CN" w:eastAsia="zh-CN" w:bidi="zh-CN"/>
      </w:rPr>
    </w:lvl>
    <w:lvl w:ilvl="5" w:tentative="0">
      <w:start w:val="0"/>
      <w:numFmt w:val="bullet"/>
      <w:lvlText w:val="•"/>
      <w:lvlJc w:val="left"/>
      <w:pPr>
        <w:ind w:left="5913" w:hanging="525"/>
      </w:pPr>
      <w:rPr>
        <w:rFonts w:hint="default"/>
        <w:lang w:val="zh-CN" w:eastAsia="zh-CN" w:bidi="zh-CN"/>
      </w:rPr>
    </w:lvl>
    <w:lvl w:ilvl="6" w:tentative="0">
      <w:start w:val="0"/>
      <w:numFmt w:val="bullet"/>
      <w:lvlText w:val="•"/>
      <w:lvlJc w:val="left"/>
      <w:pPr>
        <w:ind w:left="6823" w:hanging="525"/>
      </w:pPr>
      <w:rPr>
        <w:rFonts w:hint="default"/>
        <w:lang w:val="zh-CN" w:eastAsia="zh-CN" w:bidi="zh-CN"/>
      </w:rPr>
    </w:lvl>
    <w:lvl w:ilvl="7" w:tentative="0">
      <w:start w:val="0"/>
      <w:numFmt w:val="bullet"/>
      <w:lvlText w:val="•"/>
      <w:lvlJc w:val="left"/>
      <w:pPr>
        <w:ind w:left="7734" w:hanging="525"/>
      </w:pPr>
      <w:rPr>
        <w:rFonts w:hint="default"/>
        <w:lang w:val="zh-CN" w:eastAsia="zh-CN" w:bidi="zh-CN"/>
      </w:rPr>
    </w:lvl>
    <w:lvl w:ilvl="8" w:tentative="0">
      <w:start w:val="0"/>
      <w:numFmt w:val="bullet"/>
      <w:lvlText w:val="•"/>
      <w:lvlJc w:val="left"/>
      <w:pPr>
        <w:ind w:left="8644" w:hanging="525"/>
      </w:pPr>
      <w:rPr>
        <w:rFonts w:hint="default"/>
        <w:lang w:val="zh-CN" w:eastAsia="zh-CN" w:bidi="zh-CN"/>
      </w:rPr>
    </w:lvl>
  </w:abstractNum>
  <w:abstractNum w:abstractNumId="90">
    <w:nsid w:val="651422BE"/>
    <w:multiLevelType w:val="multilevel"/>
    <w:tmpl w:val="651422BE"/>
    <w:lvl w:ilvl="0" w:tentative="0">
      <w:start w:val="1"/>
      <w:numFmt w:val="decimal"/>
      <w:lvlText w:val="%1."/>
      <w:lvlJc w:val="left"/>
      <w:pPr>
        <w:ind w:left="412"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424" w:hanging="212"/>
      </w:pPr>
      <w:rPr>
        <w:rFonts w:hint="default"/>
        <w:lang w:val="zh-CN" w:eastAsia="zh-CN" w:bidi="zh-CN"/>
      </w:rPr>
    </w:lvl>
    <w:lvl w:ilvl="2" w:tentative="0">
      <w:start w:val="0"/>
      <w:numFmt w:val="bullet"/>
      <w:lvlText w:val="•"/>
      <w:lvlJc w:val="left"/>
      <w:pPr>
        <w:ind w:left="2429" w:hanging="212"/>
      </w:pPr>
      <w:rPr>
        <w:rFonts w:hint="default"/>
        <w:lang w:val="zh-CN" w:eastAsia="zh-CN" w:bidi="zh-CN"/>
      </w:rPr>
    </w:lvl>
    <w:lvl w:ilvl="3" w:tentative="0">
      <w:start w:val="0"/>
      <w:numFmt w:val="bullet"/>
      <w:lvlText w:val="•"/>
      <w:lvlJc w:val="left"/>
      <w:pPr>
        <w:ind w:left="3433" w:hanging="212"/>
      </w:pPr>
      <w:rPr>
        <w:rFonts w:hint="default"/>
        <w:lang w:val="zh-CN" w:eastAsia="zh-CN" w:bidi="zh-CN"/>
      </w:rPr>
    </w:lvl>
    <w:lvl w:ilvl="4" w:tentative="0">
      <w:start w:val="0"/>
      <w:numFmt w:val="bullet"/>
      <w:lvlText w:val="•"/>
      <w:lvlJc w:val="left"/>
      <w:pPr>
        <w:ind w:left="4438" w:hanging="212"/>
      </w:pPr>
      <w:rPr>
        <w:rFonts w:hint="default"/>
        <w:lang w:val="zh-CN" w:eastAsia="zh-CN" w:bidi="zh-CN"/>
      </w:rPr>
    </w:lvl>
    <w:lvl w:ilvl="5" w:tentative="0">
      <w:start w:val="0"/>
      <w:numFmt w:val="bullet"/>
      <w:lvlText w:val="•"/>
      <w:lvlJc w:val="left"/>
      <w:pPr>
        <w:ind w:left="5443" w:hanging="212"/>
      </w:pPr>
      <w:rPr>
        <w:rFonts w:hint="default"/>
        <w:lang w:val="zh-CN" w:eastAsia="zh-CN" w:bidi="zh-CN"/>
      </w:rPr>
    </w:lvl>
    <w:lvl w:ilvl="6" w:tentative="0">
      <w:start w:val="0"/>
      <w:numFmt w:val="bullet"/>
      <w:lvlText w:val="•"/>
      <w:lvlJc w:val="left"/>
      <w:pPr>
        <w:ind w:left="6447" w:hanging="212"/>
      </w:pPr>
      <w:rPr>
        <w:rFonts w:hint="default"/>
        <w:lang w:val="zh-CN" w:eastAsia="zh-CN" w:bidi="zh-CN"/>
      </w:rPr>
    </w:lvl>
    <w:lvl w:ilvl="7" w:tentative="0">
      <w:start w:val="0"/>
      <w:numFmt w:val="bullet"/>
      <w:lvlText w:val="•"/>
      <w:lvlJc w:val="left"/>
      <w:pPr>
        <w:ind w:left="7452" w:hanging="212"/>
      </w:pPr>
      <w:rPr>
        <w:rFonts w:hint="default"/>
        <w:lang w:val="zh-CN" w:eastAsia="zh-CN" w:bidi="zh-CN"/>
      </w:rPr>
    </w:lvl>
    <w:lvl w:ilvl="8" w:tentative="0">
      <w:start w:val="0"/>
      <w:numFmt w:val="bullet"/>
      <w:lvlText w:val="•"/>
      <w:lvlJc w:val="left"/>
      <w:pPr>
        <w:ind w:left="8456" w:hanging="212"/>
      </w:pPr>
      <w:rPr>
        <w:rFonts w:hint="default"/>
        <w:lang w:val="zh-CN" w:eastAsia="zh-CN" w:bidi="zh-CN"/>
      </w:rPr>
    </w:lvl>
  </w:abstractNum>
  <w:abstractNum w:abstractNumId="91">
    <w:nsid w:val="659EB354"/>
    <w:multiLevelType w:val="multilevel"/>
    <w:tmpl w:val="659EB354"/>
    <w:lvl w:ilvl="0" w:tentative="0">
      <w:start w:val="22"/>
      <w:numFmt w:val="decimal"/>
      <w:lvlText w:val="%1."/>
      <w:lvlJc w:val="left"/>
      <w:pPr>
        <w:ind w:left="835" w:hanging="423"/>
        <w:jc w:val="left"/>
      </w:pPr>
      <w:rPr>
        <w:rFonts w:hint="default" w:ascii="宋体" w:hAnsi="宋体" w:eastAsia="宋体" w:cs="宋体"/>
        <w:b/>
        <w:bCs/>
        <w:spacing w:val="0"/>
        <w:w w:val="98"/>
        <w:sz w:val="21"/>
        <w:szCs w:val="21"/>
        <w:lang w:val="zh-CN" w:eastAsia="zh-CN" w:bidi="zh-CN"/>
      </w:rPr>
    </w:lvl>
    <w:lvl w:ilvl="1" w:tentative="0">
      <w:start w:val="1"/>
      <w:numFmt w:val="decimal"/>
      <w:lvlText w:val="%1.%2"/>
      <w:lvlJc w:val="left"/>
      <w:pPr>
        <w:ind w:left="1305" w:hanging="473"/>
        <w:jc w:val="left"/>
      </w:pPr>
      <w:rPr>
        <w:rFonts w:hint="default"/>
        <w:spacing w:val="0"/>
        <w:w w:val="99"/>
        <w:lang w:val="zh-CN" w:eastAsia="zh-CN" w:bidi="zh-CN"/>
      </w:rPr>
    </w:lvl>
    <w:lvl w:ilvl="2" w:tentative="0">
      <w:start w:val="0"/>
      <w:numFmt w:val="bullet"/>
      <w:lvlText w:val="•"/>
      <w:lvlJc w:val="left"/>
      <w:pPr>
        <w:ind w:left="1300" w:hanging="473"/>
      </w:pPr>
      <w:rPr>
        <w:rFonts w:hint="default"/>
        <w:lang w:val="zh-CN" w:eastAsia="zh-CN" w:bidi="zh-CN"/>
      </w:rPr>
    </w:lvl>
    <w:lvl w:ilvl="3" w:tentative="0">
      <w:start w:val="0"/>
      <w:numFmt w:val="bullet"/>
      <w:lvlText w:val="•"/>
      <w:lvlJc w:val="left"/>
      <w:pPr>
        <w:ind w:left="2445" w:hanging="473"/>
      </w:pPr>
      <w:rPr>
        <w:rFonts w:hint="default"/>
        <w:lang w:val="zh-CN" w:eastAsia="zh-CN" w:bidi="zh-CN"/>
      </w:rPr>
    </w:lvl>
    <w:lvl w:ilvl="4" w:tentative="0">
      <w:start w:val="0"/>
      <w:numFmt w:val="bullet"/>
      <w:lvlText w:val="•"/>
      <w:lvlJc w:val="left"/>
      <w:pPr>
        <w:ind w:left="3591" w:hanging="473"/>
      </w:pPr>
      <w:rPr>
        <w:rFonts w:hint="default"/>
        <w:lang w:val="zh-CN" w:eastAsia="zh-CN" w:bidi="zh-CN"/>
      </w:rPr>
    </w:lvl>
    <w:lvl w:ilvl="5" w:tentative="0">
      <w:start w:val="0"/>
      <w:numFmt w:val="bullet"/>
      <w:lvlText w:val="•"/>
      <w:lvlJc w:val="left"/>
      <w:pPr>
        <w:ind w:left="4737" w:hanging="473"/>
      </w:pPr>
      <w:rPr>
        <w:rFonts w:hint="default"/>
        <w:lang w:val="zh-CN" w:eastAsia="zh-CN" w:bidi="zh-CN"/>
      </w:rPr>
    </w:lvl>
    <w:lvl w:ilvl="6" w:tentative="0">
      <w:start w:val="0"/>
      <w:numFmt w:val="bullet"/>
      <w:lvlText w:val="•"/>
      <w:lvlJc w:val="left"/>
      <w:pPr>
        <w:ind w:left="5883" w:hanging="473"/>
      </w:pPr>
      <w:rPr>
        <w:rFonts w:hint="default"/>
        <w:lang w:val="zh-CN" w:eastAsia="zh-CN" w:bidi="zh-CN"/>
      </w:rPr>
    </w:lvl>
    <w:lvl w:ilvl="7" w:tentative="0">
      <w:start w:val="0"/>
      <w:numFmt w:val="bullet"/>
      <w:lvlText w:val="•"/>
      <w:lvlJc w:val="left"/>
      <w:pPr>
        <w:ind w:left="7028" w:hanging="473"/>
      </w:pPr>
      <w:rPr>
        <w:rFonts w:hint="default"/>
        <w:lang w:val="zh-CN" w:eastAsia="zh-CN" w:bidi="zh-CN"/>
      </w:rPr>
    </w:lvl>
    <w:lvl w:ilvl="8" w:tentative="0">
      <w:start w:val="0"/>
      <w:numFmt w:val="bullet"/>
      <w:lvlText w:val="•"/>
      <w:lvlJc w:val="left"/>
      <w:pPr>
        <w:ind w:left="8174" w:hanging="473"/>
      </w:pPr>
      <w:rPr>
        <w:rFonts w:hint="default"/>
        <w:lang w:val="zh-CN" w:eastAsia="zh-CN" w:bidi="zh-CN"/>
      </w:rPr>
    </w:lvl>
  </w:abstractNum>
  <w:abstractNum w:abstractNumId="92">
    <w:nsid w:val="6AFC2A1C"/>
    <w:multiLevelType w:val="multilevel"/>
    <w:tmpl w:val="6AFC2A1C"/>
    <w:lvl w:ilvl="0" w:tentative="0">
      <w:start w:val="1"/>
      <w:numFmt w:val="decimal"/>
      <w:lvlText w:val="%1."/>
      <w:lvlJc w:val="left"/>
      <w:pPr>
        <w:ind w:left="317" w:hanging="212"/>
        <w:jc w:val="left"/>
      </w:pPr>
      <w:rPr>
        <w:rFonts w:hint="default" w:ascii="宋体" w:hAnsi="宋体" w:eastAsia="宋体" w:cs="宋体"/>
        <w:spacing w:val="1"/>
        <w:w w:val="99"/>
        <w:sz w:val="19"/>
        <w:szCs w:val="19"/>
        <w:lang w:val="zh-CN" w:eastAsia="zh-CN" w:bidi="zh-CN"/>
      </w:rPr>
    </w:lvl>
    <w:lvl w:ilvl="1" w:tentative="0">
      <w:start w:val="0"/>
      <w:numFmt w:val="bullet"/>
      <w:lvlText w:val="•"/>
      <w:lvlJc w:val="left"/>
      <w:pPr>
        <w:ind w:left="1167" w:hanging="212"/>
      </w:pPr>
      <w:rPr>
        <w:rFonts w:hint="default"/>
        <w:lang w:val="zh-CN" w:eastAsia="zh-CN" w:bidi="zh-CN"/>
      </w:rPr>
    </w:lvl>
    <w:lvl w:ilvl="2" w:tentative="0">
      <w:start w:val="0"/>
      <w:numFmt w:val="bullet"/>
      <w:lvlText w:val="•"/>
      <w:lvlJc w:val="left"/>
      <w:pPr>
        <w:ind w:left="2015" w:hanging="212"/>
      </w:pPr>
      <w:rPr>
        <w:rFonts w:hint="default"/>
        <w:lang w:val="zh-CN" w:eastAsia="zh-CN" w:bidi="zh-CN"/>
      </w:rPr>
    </w:lvl>
    <w:lvl w:ilvl="3" w:tentative="0">
      <w:start w:val="0"/>
      <w:numFmt w:val="bullet"/>
      <w:lvlText w:val="•"/>
      <w:lvlJc w:val="left"/>
      <w:pPr>
        <w:ind w:left="2862" w:hanging="212"/>
      </w:pPr>
      <w:rPr>
        <w:rFonts w:hint="default"/>
        <w:lang w:val="zh-CN" w:eastAsia="zh-CN" w:bidi="zh-CN"/>
      </w:rPr>
    </w:lvl>
    <w:lvl w:ilvl="4" w:tentative="0">
      <w:start w:val="0"/>
      <w:numFmt w:val="bullet"/>
      <w:lvlText w:val="•"/>
      <w:lvlJc w:val="left"/>
      <w:pPr>
        <w:ind w:left="3710" w:hanging="212"/>
      </w:pPr>
      <w:rPr>
        <w:rFonts w:hint="default"/>
        <w:lang w:val="zh-CN" w:eastAsia="zh-CN" w:bidi="zh-CN"/>
      </w:rPr>
    </w:lvl>
    <w:lvl w:ilvl="5" w:tentative="0">
      <w:start w:val="0"/>
      <w:numFmt w:val="bullet"/>
      <w:lvlText w:val="•"/>
      <w:lvlJc w:val="left"/>
      <w:pPr>
        <w:ind w:left="4558" w:hanging="212"/>
      </w:pPr>
      <w:rPr>
        <w:rFonts w:hint="default"/>
        <w:lang w:val="zh-CN" w:eastAsia="zh-CN" w:bidi="zh-CN"/>
      </w:rPr>
    </w:lvl>
    <w:lvl w:ilvl="6" w:tentative="0">
      <w:start w:val="0"/>
      <w:numFmt w:val="bullet"/>
      <w:lvlText w:val="•"/>
      <w:lvlJc w:val="left"/>
      <w:pPr>
        <w:ind w:left="5405" w:hanging="212"/>
      </w:pPr>
      <w:rPr>
        <w:rFonts w:hint="default"/>
        <w:lang w:val="zh-CN" w:eastAsia="zh-CN" w:bidi="zh-CN"/>
      </w:rPr>
    </w:lvl>
    <w:lvl w:ilvl="7" w:tentative="0">
      <w:start w:val="0"/>
      <w:numFmt w:val="bullet"/>
      <w:lvlText w:val="•"/>
      <w:lvlJc w:val="left"/>
      <w:pPr>
        <w:ind w:left="6253" w:hanging="212"/>
      </w:pPr>
      <w:rPr>
        <w:rFonts w:hint="default"/>
        <w:lang w:val="zh-CN" w:eastAsia="zh-CN" w:bidi="zh-CN"/>
      </w:rPr>
    </w:lvl>
    <w:lvl w:ilvl="8" w:tentative="0">
      <w:start w:val="0"/>
      <w:numFmt w:val="bullet"/>
      <w:lvlText w:val="•"/>
      <w:lvlJc w:val="left"/>
      <w:pPr>
        <w:ind w:left="7100" w:hanging="212"/>
      </w:pPr>
      <w:rPr>
        <w:rFonts w:hint="default"/>
        <w:lang w:val="zh-CN" w:eastAsia="zh-CN" w:bidi="zh-CN"/>
      </w:rPr>
    </w:lvl>
  </w:abstractNum>
  <w:abstractNum w:abstractNumId="93">
    <w:nsid w:val="6C0BE2D1"/>
    <w:multiLevelType w:val="multilevel"/>
    <w:tmpl w:val="6C0BE2D1"/>
    <w:lvl w:ilvl="0" w:tentative="0">
      <w:start w:val="20"/>
      <w:numFmt w:val="decimal"/>
      <w:lvlText w:val="%1."/>
      <w:lvlJc w:val="left"/>
      <w:pPr>
        <w:ind w:left="732" w:hanging="320"/>
        <w:jc w:val="left"/>
      </w:pPr>
      <w:rPr>
        <w:rFonts w:hint="default" w:ascii="宋体" w:hAnsi="宋体" w:eastAsia="宋体" w:cs="宋体"/>
        <w:b/>
        <w:bCs/>
        <w:spacing w:val="1"/>
        <w:w w:val="98"/>
        <w:sz w:val="19"/>
        <w:szCs w:val="19"/>
        <w:lang w:val="zh-CN" w:eastAsia="zh-CN" w:bidi="zh-CN"/>
      </w:rPr>
    </w:lvl>
    <w:lvl w:ilvl="1" w:tentative="0">
      <w:start w:val="1"/>
      <w:numFmt w:val="decimal"/>
      <w:lvlText w:val="%1.%2"/>
      <w:lvlJc w:val="left"/>
      <w:pPr>
        <w:ind w:left="412" w:hanging="473"/>
        <w:jc w:val="righ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1820" w:hanging="473"/>
      </w:pPr>
      <w:rPr>
        <w:rFonts w:hint="default"/>
        <w:lang w:val="zh-CN" w:eastAsia="zh-CN" w:bidi="zh-CN"/>
      </w:rPr>
    </w:lvl>
    <w:lvl w:ilvl="3" w:tentative="0">
      <w:start w:val="0"/>
      <w:numFmt w:val="bullet"/>
      <w:lvlText w:val="•"/>
      <w:lvlJc w:val="left"/>
      <w:pPr>
        <w:ind w:left="2901" w:hanging="473"/>
      </w:pPr>
      <w:rPr>
        <w:rFonts w:hint="default"/>
        <w:lang w:val="zh-CN" w:eastAsia="zh-CN" w:bidi="zh-CN"/>
      </w:rPr>
    </w:lvl>
    <w:lvl w:ilvl="4" w:tentative="0">
      <w:start w:val="0"/>
      <w:numFmt w:val="bullet"/>
      <w:lvlText w:val="•"/>
      <w:lvlJc w:val="left"/>
      <w:pPr>
        <w:ind w:left="3982" w:hanging="473"/>
      </w:pPr>
      <w:rPr>
        <w:rFonts w:hint="default"/>
        <w:lang w:val="zh-CN" w:eastAsia="zh-CN" w:bidi="zh-CN"/>
      </w:rPr>
    </w:lvl>
    <w:lvl w:ilvl="5" w:tentative="0">
      <w:start w:val="0"/>
      <w:numFmt w:val="bullet"/>
      <w:lvlText w:val="•"/>
      <w:lvlJc w:val="left"/>
      <w:pPr>
        <w:ind w:left="5062" w:hanging="473"/>
      </w:pPr>
      <w:rPr>
        <w:rFonts w:hint="default"/>
        <w:lang w:val="zh-CN" w:eastAsia="zh-CN" w:bidi="zh-CN"/>
      </w:rPr>
    </w:lvl>
    <w:lvl w:ilvl="6" w:tentative="0">
      <w:start w:val="0"/>
      <w:numFmt w:val="bullet"/>
      <w:lvlText w:val="•"/>
      <w:lvlJc w:val="left"/>
      <w:pPr>
        <w:ind w:left="6143" w:hanging="473"/>
      </w:pPr>
      <w:rPr>
        <w:rFonts w:hint="default"/>
        <w:lang w:val="zh-CN" w:eastAsia="zh-CN" w:bidi="zh-CN"/>
      </w:rPr>
    </w:lvl>
    <w:lvl w:ilvl="7" w:tentative="0">
      <w:start w:val="0"/>
      <w:numFmt w:val="bullet"/>
      <w:lvlText w:val="•"/>
      <w:lvlJc w:val="left"/>
      <w:pPr>
        <w:ind w:left="7224" w:hanging="473"/>
      </w:pPr>
      <w:rPr>
        <w:rFonts w:hint="default"/>
        <w:lang w:val="zh-CN" w:eastAsia="zh-CN" w:bidi="zh-CN"/>
      </w:rPr>
    </w:lvl>
    <w:lvl w:ilvl="8" w:tentative="0">
      <w:start w:val="0"/>
      <w:numFmt w:val="bullet"/>
      <w:lvlText w:val="•"/>
      <w:lvlJc w:val="left"/>
      <w:pPr>
        <w:ind w:left="8304" w:hanging="473"/>
      </w:pPr>
      <w:rPr>
        <w:rFonts w:hint="default"/>
        <w:lang w:val="zh-CN" w:eastAsia="zh-CN" w:bidi="zh-CN"/>
      </w:rPr>
    </w:lvl>
  </w:abstractNum>
  <w:abstractNum w:abstractNumId="94">
    <w:nsid w:val="70F95E71"/>
    <w:multiLevelType w:val="multilevel"/>
    <w:tmpl w:val="70F95E71"/>
    <w:lvl w:ilvl="0" w:tentative="0">
      <w:start w:val="31"/>
      <w:numFmt w:val="decimal"/>
      <w:lvlText w:val="%1."/>
      <w:lvlJc w:val="left"/>
      <w:pPr>
        <w:ind w:left="835" w:hanging="423"/>
        <w:jc w:val="right"/>
      </w:pPr>
      <w:rPr>
        <w:rFonts w:hint="default"/>
        <w:b/>
        <w:bCs/>
        <w:spacing w:val="0"/>
        <w:w w:val="98"/>
        <w:lang w:val="zh-CN" w:eastAsia="zh-CN" w:bidi="zh-CN"/>
      </w:rPr>
    </w:lvl>
    <w:lvl w:ilvl="1" w:tentative="0">
      <w:start w:val="1"/>
      <w:numFmt w:val="decimal"/>
      <w:lvlText w:val="%1.%2"/>
      <w:lvlJc w:val="left"/>
      <w:pPr>
        <w:ind w:left="412" w:hanging="473"/>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1909" w:hanging="473"/>
      </w:pPr>
      <w:rPr>
        <w:rFonts w:hint="default"/>
        <w:lang w:val="zh-CN" w:eastAsia="zh-CN" w:bidi="zh-CN"/>
      </w:rPr>
    </w:lvl>
    <w:lvl w:ilvl="3" w:tentative="0">
      <w:start w:val="0"/>
      <w:numFmt w:val="bullet"/>
      <w:lvlText w:val="•"/>
      <w:lvlJc w:val="left"/>
      <w:pPr>
        <w:ind w:left="2979" w:hanging="473"/>
      </w:pPr>
      <w:rPr>
        <w:rFonts w:hint="default"/>
        <w:lang w:val="zh-CN" w:eastAsia="zh-CN" w:bidi="zh-CN"/>
      </w:rPr>
    </w:lvl>
    <w:lvl w:ilvl="4" w:tentative="0">
      <w:start w:val="0"/>
      <w:numFmt w:val="bullet"/>
      <w:lvlText w:val="•"/>
      <w:lvlJc w:val="left"/>
      <w:pPr>
        <w:ind w:left="4048" w:hanging="473"/>
      </w:pPr>
      <w:rPr>
        <w:rFonts w:hint="default"/>
        <w:lang w:val="zh-CN" w:eastAsia="zh-CN" w:bidi="zh-CN"/>
      </w:rPr>
    </w:lvl>
    <w:lvl w:ilvl="5" w:tentative="0">
      <w:start w:val="0"/>
      <w:numFmt w:val="bullet"/>
      <w:lvlText w:val="•"/>
      <w:lvlJc w:val="left"/>
      <w:pPr>
        <w:ind w:left="5118" w:hanging="473"/>
      </w:pPr>
      <w:rPr>
        <w:rFonts w:hint="default"/>
        <w:lang w:val="zh-CN" w:eastAsia="zh-CN" w:bidi="zh-CN"/>
      </w:rPr>
    </w:lvl>
    <w:lvl w:ilvl="6" w:tentative="0">
      <w:start w:val="0"/>
      <w:numFmt w:val="bullet"/>
      <w:lvlText w:val="•"/>
      <w:lvlJc w:val="left"/>
      <w:pPr>
        <w:ind w:left="6187" w:hanging="473"/>
      </w:pPr>
      <w:rPr>
        <w:rFonts w:hint="default"/>
        <w:lang w:val="zh-CN" w:eastAsia="zh-CN" w:bidi="zh-CN"/>
      </w:rPr>
    </w:lvl>
    <w:lvl w:ilvl="7" w:tentative="0">
      <w:start w:val="0"/>
      <w:numFmt w:val="bullet"/>
      <w:lvlText w:val="•"/>
      <w:lvlJc w:val="left"/>
      <w:pPr>
        <w:ind w:left="7257" w:hanging="473"/>
      </w:pPr>
      <w:rPr>
        <w:rFonts w:hint="default"/>
        <w:lang w:val="zh-CN" w:eastAsia="zh-CN" w:bidi="zh-CN"/>
      </w:rPr>
    </w:lvl>
    <w:lvl w:ilvl="8" w:tentative="0">
      <w:start w:val="0"/>
      <w:numFmt w:val="bullet"/>
      <w:lvlText w:val="•"/>
      <w:lvlJc w:val="left"/>
      <w:pPr>
        <w:ind w:left="8326" w:hanging="473"/>
      </w:pPr>
      <w:rPr>
        <w:rFonts w:hint="default"/>
        <w:lang w:val="zh-CN" w:eastAsia="zh-CN" w:bidi="zh-CN"/>
      </w:rPr>
    </w:lvl>
  </w:abstractNum>
  <w:abstractNum w:abstractNumId="95">
    <w:nsid w:val="744F3566"/>
    <w:multiLevelType w:val="multilevel"/>
    <w:tmpl w:val="744F3566"/>
    <w:lvl w:ilvl="0" w:tentative="0">
      <w:start w:val="30"/>
      <w:numFmt w:val="decimal"/>
      <w:lvlText w:val="%1"/>
      <w:lvlJc w:val="left"/>
      <w:pPr>
        <w:ind w:left="732" w:hanging="320"/>
        <w:jc w:val="left"/>
      </w:pPr>
      <w:rPr>
        <w:rFonts w:hint="default" w:ascii="宋体" w:hAnsi="宋体" w:eastAsia="宋体" w:cs="宋体"/>
        <w:b/>
        <w:bCs/>
        <w:spacing w:val="0"/>
        <w:w w:val="98"/>
        <w:sz w:val="21"/>
        <w:szCs w:val="21"/>
        <w:lang w:val="zh-CN" w:eastAsia="zh-CN" w:bidi="zh-CN"/>
      </w:rPr>
    </w:lvl>
    <w:lvl w:ilvl="1" w:tentative="0">
      <w:start w:val="1"/>
      <w:numFmt w:val="decimal"/>
      <w:lvlText w:val="%1.%2"/>
      <w:lvlJc w:val="left"/>
      <w:pPr>
        <w:ind w:left="412" w:hanging="473"/>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1820" w:hanging="473"/>
      </w:pPr>
      <w:rPr>
        <w:rFonts w:hint="default"/>
        <w:lang w:val="zh-CN" w:eastAsia="zh-CN" w:bidi="zh-CN"/>
      </w:rPr>
    </w:lvl>
    <w:lvl w:ilvl="3" w:tentative="0">
      <w:start w:val="0"/>
      <w:numFmt w:val="bullet"/>
      <w:lvlText w:val="•"/>
      <w:lvlJc w:val="left"/>
      <w:pPr>
        <w:ind w:left="2901" w:hanging="473"/>
      </w:pPr>
      <w:rPr>
        <w:rFonts w:hint="default"/>
        <w:lang w:val="zh-CN" w:eastAsia="zh-CN" w:bidi="zh-CN"/>
      </w:rPr>
    </w:lvl>
    <w:lvl w:ilvl="4" w:tentative="0">
      <w:start w:val="0"/>
      <w:numFmt w:val="bullet"/>
      <w:lvlText w:val="•"/>
      <w:lvlJc w:val="left"/>
      <w:pPr>
        <w:ind w:left="3982" w:hanging="473"/>
      </w:pPr>
      <w:rPr>
        <w:rFonts w:hint="default"/>
        <w:lang w:val="zh-CN" w:eastAsia="zh-CN" w:bidi="zh-CN"/>
      </w:rPr>
    </w:lvl>
    <w:lvl w:ilvl="5" w:tentative="0">
      <w:start w:val="0"/>
      <w:numFmt w:val="bullet"/>
      <w:lvlText w:val="•"/>
      <w:lvlJc w:val="left"/>
      <w:pPr>
        <w:ind w:left="5062" w:hanging="473"/>
      </w:pPr>
      <w:rPr>
        <w:rFonts w:hint="default"/>
        <w:lang w:val="zh-CN" w:eastAsia="zh-CN" w:bidi="zh-CN"/>
      </w:rPr>
    </w:lvl>
    <w:lvl w:ilvl="6" w:tentative="0">
      <w:start w:val="0"/>
      <w:numFmt w:val="bullet"/>
      <w:lvlText w:val="•"/>
      <w:lvlJc w:val="left"/>
      <w:pPr>
        <w:ind w:left="6143" w:hanging="473"/>
      </w:pPr>
      <w:rPr>
        <w:rFonts w:hint="default"/>
        <w:lang w:val="zh-CN" w:eastAsia="zh-CN" w:bidi="zh-CN"/>
      </w:rPr>
    </w:lvl>
    <w:lvl w:ilvl="7" w:tentative="0">
      <w:start w:val="0"/>
      <w:numFmt w:val="bullet"/>
      <w:lvlText w:val="•"/>
      <w:lvlJc w:val="left"/>
      <w:pPr>
        <w:ind w:left="7224" w:hanging="473"/>
      </w:pPr>
      <w:rPr>
        <w:rFonts w:hint="default"/>
        <w:lang w:val="zh-CN" w:eastAsia="zh-CN" w:bidi="zh-CN"/>
      </w:rPr>
    </w:lvl>
    <w:lvl w:ilvl="8" w:tentative="0">
      <w:start w:val="0"/>
      <w:numFmt w:val="bullet"/>
      <w:lvlText w:val="•"/>
      <w:lvlJc w:val="left"/>
      <w:pPr>
        <w:ind w:left="8304" w:hanging="473"/>
      </w:pPr>
      <w:rPr>
        <w:rFonts w:hint="default"/>
        <w:lang w:val="zh-CN" w:eastAsia="zh-CN" w:bidi="zh-CN"/>
      </w:rPr>
    </w:lvl>
  </w:abstractNum>
  <w:abstractNum w:abstractNumId="96">
    <w:nsid w:val="7499D7B3"/>
    <w:multiLevelType w:val="multilevel"/>
    <w:tmpl w:val="7499D7B3"/>
    <w:lvl w:ilvl="0" w:tentative="0">
      <w:start w:val="15"/>
      <w:numFmt w:val="decimal"/>
      <w:lvlText w:val="%1."/>
      <w:lvlJc w:val="left"/>
      <w:pPr>
        <w:ind w:left="732" w:hanging="320"/>
        <w:jc w:val="left"/>
      </w:pPr>
      <w:rPr>
        <w:rFonts w:hint="default" w:ascii="宋体" w:hAnsi="宋体" w:eastAsia="宋体" w:cs="宋体"/>
        <w:b/>
        <w:bCs/>
        <w:spacing w:val="1"/>
        <w:w w:val="98"/>
        <w:sz w:val="19"/>
        <w:szCs w:val="19"/>
        <w:lang w:val="zh-CN" w:eastAsia="zh-CN" w:bidi="zh-CN"/>
      </w:rPr>
    </w:lvl>
    <w:lvl w:ilvl="1" w:tentative="0">
      <w:start w:val="1"/>
      <w:numFmt w:val="decimal"/>
      <w:lvlText w:val="%1.%2"/>
      <w:lvlJc w:val="left"/>
      <w:pPr>
        <w:ind w:left="1305" w:hanging="473"/>
        <w:jc w:val="left"/>
      </w:pPr>
      <w:rPr>
        <w:rFonts w:hint="default" w:ascii="宋体" w:hAnsi="宋体" w:eastAsia="宋体" w:cs="宋体"/>
        <w:spacing w:val="0"/>
        <w:w w:val="99"/>
        <w:sz w:val="21"/>
        <w:szCs w:val="21"/>
        <w:lang w:val="zh-CN" w:eastAsia="zh-CN" w:bidi="zh-CN"/>
      </w:rPr>
    </w:lvl>
    <w:lvl w:ilvl="2" w:tentative="0">
      <w:start w:val="0"/>
      <w:numFmt w:val="bullet"/>
      <w:lvlText w:val="•"/>
      <w:lvlJc w:val="left"/>
      <w:pPr>
        <w:ind w:left="1300" w:hanging="473"/>
      </w:pPr>
      <w:rPr>
        <w:rFonts w:hint="default"/>
        <w:lang w:val="zh-CN" w:eastAsia="zh-CN" w:bidi="zh-CN"/>
      </w:rPr>
    </w:lvl>
    <w:lvl w:ilvl="3" w:tentative="0">
      <w:start w:val="0"/>
      <w:numFmt w:val="bullet"/>
      <w:lvlText w:val="•"/>
      <w:lvlJc w:val="left"/>
      <w:pPr>
        <w:ind w:left="2445" w:hanging="473"/>
      </w:pPr>
      <w:rPr>
        <w:rFonts w:hint="default"/>
        <w:lang w:val="zh-CN" w:eastAsia="zh-CN" w:bidi="zh-CN"/>
      </w:rPr>
    </w:lvl>
    <w:lvl w:ilvl="4" w:tentative="0">
      <w:start w:val="0"/>
      <w:numFmt w:val="bullet"/>
      <w:lvlText w:val="•"/>
      <w:lvlJc w:val="left"/>
      <w:pPr>
        <w:ind w:left="3591" w:hanging="473"/>
      </w:pPr>
      <w:rPr>
        <w:rFonts w:hint="default"/>
        <w:lang w:val="zh-CN" w:eastAsia="zh-CN" w:bidi="zh-CN"/>
      </w:rPr>
    </w:lvl>
    <w:lvl w:ilvl="5" w:tentative="0">
      <w:start w:val="0"/>
      <w:numFmt w:val="bullet"/>
      <w:lvlText w:val="•"/>
      <w:lvlJc w:val="left"/>
      <w:pPr>
        <w:ind w:left="4737" w:hanging="473"/>
      </w:pPr>
      <w:rPr>
        <w:rFonts w:hint="default"/>
        <w:lang w:val="zh-CN" w:eastAsia="zh-CN" w:bidi="zh-CN"/>
      </w:rPr>
    </w:lvl>
    <w:lvl w:ilvl="6" w:tentative="0">
      <w:start w:val="0"/>
      <w:numFmt w:val="bullet"/>
      <w:lvlText w:val="•"/>
      <w:lvlJc w:val="left"/>
      <w:pPr>
        <w:ind w:left="5883" w:hanging="473"/>
      </w:pPr>
      <w:rPr>
        <w:rFonts w:hint="default"/>
        <w:lang w:val="zh-CN" w:eastAsia="zh-CN" w:bidi="zh-CN"/>
      </w:rPr>
    </w:lvl>
    <w:lvl w:ilvl="7" w:tentative="0">
      <w:start w:val="0"/>
      <w:numFmt w:val="bullet"/>
      <w:lvlText w:val="•"/>
      <w:lvlJc w:val="left"/>
      <w:pPr>
        <w:ind w:left="7028" w:hanging="473"/>
      </w:pPr>
      <w:rPr>
        <w:rFonts w:hint="default"/>
        <w:lang w:val="zh-CN" w:eastAsia="zh-CN" w:bidi="zh-CN"/>
      </w:rPr>
    </w:lvl>
    <w:lvl w:ilvl="8" w:tentative="0">
      <w:start w:val="0"/>
      <w:numFmt w:val="bullet"/>
      <w:lvlText w:val="•"/>
      <w:lvlJc w:val="left"/>
      <w:pPr>
        <w:ind w:left="8174" w:hanging="473"/>
      </w:pPr>
      <w:rPr>
        <w:rFonts w:hint="default"/>
        <w:lang w:val="zh-CN" w:eastAsia="zh-CN" w:bidi="zh-CN"/>
      </w:rPr>
    </w:lvl>
  </w:abstractNum>
  <w:abstractNum w:abstractNumId="97">
    <w:nsid w:val="7B30A6CF"/>
    <w:multiLevelType w:val="singleLevel"/>
    <w:tmpl w:val="7B30A6CF"/>
    <w:lvl w:ilvl="0" w:tentative="0">
      <w:start w:val="1"/>
      <w:numFmt w:val="decimal"/>
      <w:lvlText w:val="%1."/>
      <w:lvlJc w:val="left"/>
      <w:pPr>
        <w:ind w:left="425" w:hanging="425"/>
      </w:pPr>
      <w:rPr>
        <w:rFonts w:hint="default"/>
      </w:rPr>
    </w:lvl>
  </w:abstractNum>
  <w:num w:numId="1">
    <w:abstractNumId w:val="47"/>
  </w:num>
  <w:num w:numId="2">
    <w:abstractNumId w:val="48"/>
  </w:num>
  <w:num w:numId="3">
    <w:abstractNumId w:val="49"/>
  </w:num>
  <w:num w:numId="4">
    <w:abstractNumId w:val="34"/>
  </w:num>
  <w:num w:numId="5">
    <w:abstractNumId w:val="15"/>
  </w:num>
  <w:num w:numId="6">
    <w:abstractNumId w:val="64"/>
  </w:num>
  <w:num w:numId="7">
    <w:abstractNumId w:val="1"/>
  </w:num>
  <w:num w:numId="8">
    <w:abstractNumId w:val="60"/>
  </w:num>
  <w:num w:numId="9">
    <w:abstractNumId w:val="66"/>
  </w:num>
  <w:num w:numId="10">
    <w:abstractNumId w:val="38"/>
  </w:num>
  <w:num w:numId="11">
    <w:abstractNumId w:val="97"/>
  </w:num>
  <w:num w:numId="12">
    <w:abstractNumId w:val="43"/>
  </w:num>
  <w:num w:numId="13">
    <w:abstractNumId w:val="84"/>
  </w:num>
  <w:num w:numId="14">
    <w:abstractNumId w:val="87"/>
  </w:num>
  <w:num w:numId="15">
    <w:abstractNumId w:val="36"/>
  </w:num>
  <w:num w:numId="16">
    <w:abstractNumId w:val="67"/>
  </w:num>
  <w:num w:numId="17">
    <w:abstractNumId w:val="27"/>
  </w:num>
  <w:num w:numId="18">
    <w:abstractNumId w:val="4"/>
  </w:num>
  <w:num w:numId="19">
    <w:abstractNumId w:val="7"/>
  </w:num>
  <w:num w:numId="20">
    <w:abstractNumId w:val="2"/>
  </w:num>
  <w:num w:numId="21">
    <w:abstractNumId w:val="85"/>
  </w:num>
  <w:num w:numId="22">
    <w:abstractNumId w:val="71"/>
  </w:num>
  <w:num w:numId="23">
    <w:abstractNumId w:val="75"/>
  </w:num>
  <w:num w:numId="24">
    <w:abstractNumId w:val="86"/>
  </w:num>
  <w:num w:numId="25">
    <w:abstractNumId w:val="41"/>
  </w:num>
  <w:num w:numId="26">
    <w:abstractNumId w:val="50"/>
  </w:num>
  <w:num w:numId="27">
    <w:abstractNumId w:val="31"/>
  </w:num>
  <w:num w:numId="28">
    <w:abstractNumId w:val="70"/>
  </w:num>
  <w:num w:numId="29">
    <w:abstractNumId w:val="92"/>
  </w:num>
  <w:num w:numId="30">
    <w:abstractNumId w:val="37"/>
  </w:num>
  <w:num w:numId="31">
    <w:abstractNumId w:val="16"/>
  </w:num>
  <w:num w:numId="32">
    <w:abstractNumId w:val="0"/>
  </w:num>
  <w:num w:numId="33">
    <w:abstractNumId w:val="19"/>
  </w:num>
  <w:num w:numId="34">
    <w:abstractNumId w:val="53"/>
  </w:num>
  <w:num w:numId="35">
    <w:abstractNumId w:val="22"/>
  </w:num>
  <w:num w:numId="36">
    <w:abstractNumId w:val="61"/>
  </w:num>
  <w:num w:numId="37">
    <w:abstractNumId w:val="77"/>
  </w:num>
  <w:num w:numId="38">
    <w:abstractNumId w:val="21"/>
  </w:num>
  <w:num w:numId="39">
    <w:abstractNumId w:val="72"/>
  </w:num>
  <w:num w:numId="40">
    <w:abstractNumId w:val="59"/>
  </w:num>
  <w:num w:numId="41">
    <w:abstractNumId w:val="57"/>
  </w:num>
  <w:num w:numId="42">
    <w:abstractNumId w:val="44"/>
  </w:num>
  <w:num w:numId="43">
    <w:abstractNumId w:val="68"/>
  </w:num>
  <w:num w:numId="44">
    <w:abstractNumId w:val="29"/>
  </w:num>
  <w:num w:numId="45">
    <w:abstractNumId w:val="81"/>
  </w:num>
  <w:num w:numId="46">
    <w:abstractNumId w:val="73"/>
  </w:num>
  <w:num w:numId="47">
    <w:abstractNumId w:val="63"/>
  </w:num>
  <w:num w:numId="48">
    <w:abstractNumId w:val="40"/>
  </w:num>
  <w:num w:numId="49">
    <w:abstractNumId w:val="14"/>
  </w:num>
  <w:num w:numId="50">
    <w:abstractNumId w:val="96"/>
  </w:num>
  <w:num w:numId="51">
    <w:abstractNumId w:val="62"/>
  </w:num>
  <w:num w:numId="52">
    <w:abstractNumId w:val="93"/>
  </w:num>
  <w:num w:numId="53">
    <w:abstractNumId w:val="6"/>
  </w:num>
  <w:num w:numId="54">
    <w:abstractNumId w:val="91"/>
  </w:num>
  <w:num w:numId="55">
    <w:abstractNumId w:val="33"/>
  </w:num>
  <w:num w:numId="56">
    <w:abstractNumId w:val="88"/>
  </w:num>
  <w:num w:numId="57">
    <w:abstractNumId w:val="65"/>
  </w:num>
  <w:num w:numId="58">
    <w:abstractNumId w:val="95"/>
  </w:num>
  <w:num w:numId="59">
    <w:abstractNumId w:val="94"/>
  </w:num>
  <w:num w:numId="60">
    <w:abstractNumId w:val="35"/>
  </w:num>
  <w:num w:numId="61">
    <w:abstractNumId w:val="42"/>
  </w:num>
  <w:num w:numId="62">
    <w:abstractNumId w:val="46"/>
  </w:num>
  <w:num w:numId="63">
    <w:abstractNumId w:val="5"/>
  </w:num>
  <w:num w:numId="64">
    <w:abstractNumId w:val="23"/>
  </w:num>
  <w:num w:numId="65">
    <w:abstractNumId w:val="74"/>
  </w:num>
  <w:num w:numId="66">
    <w:abstractNumId w:val="24"/>
  </w:num>
  <w:num w:numId="67">
    <w:abstractNumId w:val="89"/>
  </w:num>
  <w:num w:numId="68">
    <w:abstractNumId w:val="80"/>
  </w:num>
  <w:num w:numId="69">
    <w:abstractNumId w:val="83"/>
  </w:num>
  <w:num w:numId="70">
    <w:abstractNumId w:val="28"/>
  </w:num>
  <w:num w:numId="71">
    <w:abstractNumId w:val="18"/>
  </w:num>
  <w:num w:numId="72">
    <w:abstractNumId w:val="56"/>
  </w:num>
  <w:num w:numId="73">
    <w:abstractNumId w:val="79"/>
  </w:num>
  <w:num w:numId="74">
    <w:abstractNumId w:val="90"/>
  </w:num>
  <w:num w:numId="75">
    <w:abstractNumId w:val="25"/>
  </w:num>
  <w:num w:numId="76">
    <w:abstractNumId w:val="12"/>
  </w:num>
  <w:num w:numId="77">
    <w:abstractNumId w:val="58"/>
  </w:num>
  <w:num w:numId="78">
    <w:abstractNumId w:val="45"/>
  </w:num>
  <w:num w:numId="79">
    <w:abstractNumId w:val="26"/>
  </w:num>
  <w:num w:numId="80">
    <w:abstractNumId w:val="20"/>
  </w:num>
  <w:num w:numId="81">
    <w:abstractNumId w:val="54"/>
  </w:num>
  <w:num w:numId="82">
    <w:abstractNumId w:val="55"/>
  </w:num>
  <w:num w:numId="83">
    <w:abstractNumId w:val="69"/>
  </w:num>
  <w:num w:numId="84">
    <w:abstractNumId w:val="51"/>
  </w:num>
  <w:num w:numId="85">
    <w:abstractNumId w:val="10"/>
  </w:num>
  <w:num w:numId="86">
    <w:abstractNumId w:val="82"/>
  </w:num>
  <w:num w:numId="87">
    <w:abstractNumId w:val="13"/>
  </w:num>
  <w:num w:numId="88">
    <w:abstractNumId w:val="3"/>
  </w:num>
  <w:num w:numId="89">
    <w:abstractNumId w:val="78"/>
  </w:num>
  <w:num w:numId="90">
    <w:abstractNumId w:val="52"/>
  </w:num>
  <w:num w:numId="91">
    <w:abstractNumId w:val="39"/>
  </w:num>
  <w:num w:numId="92">
    <w:abstractNumId w:val="11"/>
  </w:num>
  <w:num w:numId="93">
    <w:abstractNumId w:val="8"/>
  </w:num>
  <w:num w:numId="94">
    <w:abstractNumId w:val="32"/>
  </w:num>
  <w:num w:numId="95">
    <w:abstractNumId w:val="9"/>
  </w:num>
  <w:num w:numId="96">
    <w:abstractNumId w:val="17"/>
  </w:num>
  <w:num w:numId="97">
    <w:abstractNumId w:val="76"/>
  </w:num>
  <w:num w:numId="9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2FE5"/>
    <w:rsid w:val="001A2FE5"/>
    <w:rsid w:val="00296786"/>
    <w:rsid w:val="002F3210"/>
    <w:rsid w:val="003A08D6"/>
    <w:rsid w:val="00423DAC"/>
    <w:rsid w:val="00575EC8"/>
    <w:rsid w:val="006C32DA"/>
    <w:rsid w:val="006F5A64"/>
    <w:rsid w:val="00845421"/>
    <w:rsid w:val="008D36E3"/>
    <w:rsid w:val="009F2FBF"/>
    <w:rsid w:val="00AE72D0"/>
    <w:rsid w:val="00B50255"/>
    <w:rsid w:val="00BB49D5"/>
    <w:rsid w:val="00BE3577"/>
    <w:rsid w:val="00D6757A"/>
    <w:rsid w:val="00D87D64"/>
    <w:rsid w:val="00E44D21"/>
    <w:rsid w:val="0737046A"/>
    <w:rsid w:val="09C852F8"/>
    <w:rsid w:val="17A1460A"/>
    <w:rsid w:val="19B81DB5"/>
    <w:rsid w:val="2CB16116"/>
    <w:rsid w:val="3B8E6E2D"/>
    <w:rsid w:val="44B53E98"/>
    <w:rsid w:val="44F81B99"/>
    <w:rsid w:val="4E587B00"/>
    <w:rsid w:val="59FB6D94"/>
    <w:rsid w:val="65A17088"/>
    <w:rsid w:val="77641170"/>
    <w:rsid w:val="7CA360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qFormat="1"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zh-CN" w:eastAsia="zh-CN" w:bidi="zh-CN"/>
    </w:rPr>
  </w:style>
  <w:style w:type="paragraph" w:styleId="3">
    <w:name w:val="heading 1"/>
    <w:basedOn w:val="1"/>
    <w:next w:val="1"/>
    <w:link w:val="64"/>
    <w:qFormat/>
    <w:uiPriority w:val="0"/>
    <w:pPr>
      <w:spacing w:before="19"/>
      <w:ind w:left="2"/>
      <w:jc w:val="center"/>
      <w:outlineLvl w:val="0"/>
    </w:pPr>
    <w:rPr>
      <w:b/>
      <w:bCs/>
      <w:sz w:val="44"/>
      <w:szCs w:val="44"/>
    </w:rPr>
  </w:style>
  <w:style w:type="paragraph" w:styleId="4">
    <w:name w:val="heading 2"/>
    <w:basedOn w:val="1"/>
    <w:next w:val="1"/>
    <w:link w:val="65"/>
    <w:qFormat/>
    <w:uiPriority w:val="0"/>
    <w:pPr>
      <w:spacing w:before="19"/>
      <w:ind w:left="237"/>
      <w:jc w:val="center"/>
      <w:outlineLvl w:val="1"/>
    </w:pPr>
    <w:rPr>
      <w:sz w:val="44"/>
      <w:szCs w:val="44"/>
    </w:rPr>
  </w:style>
  <w:style w:type="paragraph" w:styleId="5">
    <w:name w:val="heading 3"/>
    <w:basedOn w:val="1"/>
    <w:next w:val="1"/>
    <w:link w:val="66"/>
    <w:qFormat/>
    <w:uiPriority w:val="0"/>
    <w:pPr>
      <w:spacing w:before="45"/>
      <w:jc w:val="center"/>
      <w:outlineLvl w:val="2"/>
    </w:pPr>
    <w:rPr>
      <w:rFonts w:ascii="仿宋" w:hAnsi="仿宋" w:eastAsia="仿宋" w:cs="仿宋"/>
      <w:sz w:val="40"/>
      <w:szCs w:val="40"/>
    </w:rPr>
  </w:style>
  <w:style w:type="paragraph" w:styleId="6">
    <w:name w:val="heading 4"/>
    <w:basedOn w:val="1"/>
    <w:next w:val="1"/>
    <w:link w:val="67"/>
    <w:qFormat/>
    <w:uiPriority w:val="0"/>
    <w:pPr>
      <w:ind w:left="556"/>
      <w:outlineLvl w:val="3"/>
    </w:pPr>
    <w:rPr>
      <w:b/>
      <w:bCs/>
      <w:sz w:val="36"/>
      <w:szCs w:val="36"/>
    </w:rPr>
  </w:style>
  <w:style w:type="paragraph" w:styleId="7">
    <w:name w:val="heading 5"/>
    <w:basedOn w:val="1"/>
    <w:next w:val="1"/>
    <w:link w:val="68"/>
    <w:qFormat/>
    <w:uiPriority w:val="0"/>
    <w:pPr>
      <w:spacing w:before="1"/>
      <w:ind w:right="1"/>
      <w:jc w:val="center"/>
      <w:outlineLvl w:val="4"/>
    </w:pPr>
    <w:rPr>
      <w:rFonts w:ascii="仿宋" w:hAnsi="仿宋" w:eastAsia="仿宋" w:cs="仿宋"/>
      <w:sz w:val="36"/>
      <w:szCs w:val="36"/>
    </w:rPr>
  </w:style>
  <w:style w:type="paragraph" w:styleId="8">
    <w:name w:val="heading 6"/>
    <w:basedOn w:val="1"/>
    <w:next w:val="1"/>
    <w:link w:val="69"/>
    <w:qFormat/>
    <w:uiPriority w:val="0"/>
    <w:pPr>
      <w:jc w:val="center"/>
      <w:outlineLvl w:val="5"/>
    </w:pPr>
    <w:rPr>
      <w:b/>
      <w:bCs/>
      <w:sz w:val="32"/>
      <w:szCs w:val="32"/>
    </w:rPr>
  </w:style>
  <w:style w:type="paragraph" w:styleId="9">
    <w:name w:val="heading 7"/>
    <w:basedOn w:val="1"/>
    <w:next w:val="1"/>
    <w:link w:val="70"/>
    <w:qFormat/>
    <w:uiPriority w:val="0"/>
    <w:pPr>
      <w:ind w:left="360"/>
      <w:outlineLvl w:val="6"/>
    </w:pPr>
    <w:rPr>
      <w:rFonts w:ascii="黑体" w:hAnsi="黑体" w:eastAsia="黑体" w:cs="黑体"/>
      <w:sz w:val="32"/>
      <w:szCs w:val="32"/>
    </w:rPr>
  </w:style>
  <w:style w:type="paragraph" w:styleId="10">
    <w:name w:val="heading 8"/>
    <w:basedOn w:val="1"/>
    <w:next w:val="1"/>
    <w:link w:val="71"/>
    <w:qFormat/>
    <w:uiPriority w:val="0"/>
    <w:pPr>
      <w:ind w:left="412"/>
      <w:outlineLvl w:val="7"/>
    </w:pPr>
    <w:rPr>
      <w:b/>
      <w:bCs/>
      <w:sz w:val="30"/>
      <w:szCs w:val="30"/>
    </w:rPr>
  </w:style>
  <w:style w:type="paragraph" w:styleId="11">
    <w:name w:val="heading 9"/>
    <w:basedOn w:val="1"/>
    <w:next w:val="1"/>
    <w:link w:val="72"/>
    <w:qFormat/>
    <w:uiPriority w:val="0"/>
    <w:pPr>
      <w:spacing w:before="39"/>
      <w:ind w:left="412"/>
      <w:outlineLvl w:val="8"/>
    </w:pPr>
    <w:rPr>
      <w:b/>
      <w:bCs/>
      <w:sz w:val="28"/>
      <w:szCs w:val="28"/>
    </w:rPr>
  </w:style>
  <w:style w:type="character" w:default="1" w:styleId="53">
    <w:name w:val="Default Paragraph Font"/>
    <w:semiHidden/>
    <w:unhideWhenUsed/>
    <w:qFormat/>
    <w:uiPriority w:val="1"/>
  </w:style>
  <w:style w:type="table" w:default="1" w:styleId="5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qFormat/>
    <w:uiPriority w:val="0"/>
    <w:pPr>
      <w:widowControl/>
      <w:ind w:firstLine="420"/>
    </w:pPr>
    <w:rPr>
      <w:sz w:val="20"/>
      <w:szCs w:val="20"/>
    </w:rPr>
  </w:style>
  <w:style w:type="paragraph" w:styleId="12">
    <w:name w:val="toc 7"/>
    <w:basedOn w:val="1"/>
    <w:next w:val="1"/>
    <w:qFormat/>
    <w:uiPriority w:val="0"/>
    <w:pPr>
      <w:tabs>
        <w:tab w:val="right" w:leader="dot" w:pos="9185"/>
      </w:tabs>
      <w:autoSpaceDE/>
      <w:autoSpaceDN/>
      <w:adjustRightInd w:val="0"/>
      <w:spacing w:line="312" w:lineRule="atLeast"/>
      <w:ind w:left="2520" w:firstLine="1044" w:firstLineChars="200"/>
      <w:textAlignment w:val="baseline"/>
    </w:pPr>
    <w:rPr>
      <w:rFonts w:ascii="Times New Roman" w:hAnsi="Times New Roman" w:cs="Times New Roman"/>
      <w:sz w:val="21"/>
      <w:szCs w:val="20"/>
      <w:lang w:val="en-US" w:bidi="ar-SA"/>
    </w:rPr>
  </w:style>
  <w:style w:type="paragraph" w:styleId="13">
    <w:name w:val="index 8"/>
    <w:basedOn w:val="1"/>
    <w:next w:val="1"/>
    <w:qFormat/>
    <w:uiPriority w:val="0"/>
    <w:pPr>
      <w:autoSpaceDE/>
      <w:autoSpaceDN/>
      <w:spacing w:line="400" w:lineRule="exact"/>
      <w:ind w:left="2940" w:firstLine="1044" w:firstLineChars="200"/>
    </w:pPr>
    <w:rPr>
      <w:rFonts w:ascii="Times New Roman" w:hAnsi="Times New Roman" w:cs="Times New Roman"/>
      <w:kern w:val="2"/>
      <w:sz w:val="21"/>
      <w:szCs w:val="24"/>
      <w:lang w:val="en-US" w:bidi="ar-SA"/>
    </w:rPr>
  </w:style>
  <w:style w:type="paragraph" w:styleId="14">
    <w:name w:val="List Number"/>
    <w:basedOn w:val="1"/>
    <w:qFormat/>
    <w:uiPriority w:val="0"/>
    <w:pPr>
      <w:widowControl/>
      <w:tabs>
        <w:tab w:val="left" w:pos="454"/>
        <w:tab w:val="left" w:pos="720"/>
        <w:tab w:val="left" w:pos="840"/>
      </w:tabs>
      <w:autoSpaceDE/>
      <w:autoSpaceDN/>
      <w:spacing w:afterLines="50" w:line="400" w:lineRule="exact"/>
      <w:ind w:left="454" w:hanging="284" w:firstLineChars="200"/>
    </w:pPr>
    <w:rPr>
      <w:rFonts w:ascii="Times New Roman" w:hAnsi="Times New Roman" w:cs="Times New Roman"/>
      <w:sz w:val="24"/>
      <w:szCs w:val="20"/>
      <w:lang w:val="en-US" w:bidi="ar-SA"/>
    </w:rPr>
  </w:style>
  <w:style w:type="paragraph" w:styleId="15">
    <w:name w:val="caption"/>
    <w:basedOn w:val="1"/>
    <w:next w:val="1"/>
    <w:qFormat/>
    <w:uiPriority w:val="0"/>
    <w:pPr>
      <w:autoSpaceDE/>
      <w:autoSpaceDN/>
      <w:spacing w:before="152" w:after="160" w:line="400" w:lineRule="exact"/>
      <w:ind w:firstLine="1044" w:firstLineChars="200"/>
    </w:pPr>
    <w:rPr>
      <w:rFonts w:ascii="Arial" w:hAnsi="Arial" w:eastAsia="黑体" w:cs="Arial"/>
      <w:kern w:val="2"/>
      <w:sz w:val="20"/>
      <w:szCs w:val="20"/>
      <w:lang w:val="en-US" w:bidi="ar-SA"/>
    </w:rPr>
  </w:style>
  <w:style w:type="paragraph" w:styleId="16">
    <w:name w:val="Document Map"/>
    <w:basedOn w:val="1"/>
    <w:link w:val="74"/>
    <w:qFormat/>
    <w:uiPriority w:val="0"/>
    <w:pPr>
      <w:shd w:val="clear" w:color="auto" w:fill="000080"/>
      <w:autoSpaceDE/>
      <w:autoSpaceDN/>
      <w:adjustRightInd w:val="0"/>
      <w:spacing w:line="312" w:lineRule="atLeast"/>
      <w:ind w:firstLine="1044" w:firstLineChars="200"/>
      <w:textAlignment w:val="baseline"/>
    </w:pPr>
    <w:rPr>
      <w:rFonts w:ascii="Times New Roman" w:hAnsi="Times New Roman" w:cs="Times New Roman"/>
      <w:sz w:val="21"/>
      <w:szCs w:val="20"/>
      <w:lang w:val="en-US" w:bidi="ar-SA"/>
    </w:rPr>
  </w:style>
  <w:style w:type="paragraph" w:styleId="17">
    <w:name w:val="annotation text"/>
    <w:basedOn w:val="1"/>
    <w:link w:val="75"/>
    <w:qFormat/>
    <w:uiPriority w:val="0"/>
    <w:pPr>
      <w:autoSpaceDE/>
      <w:autoSpaceDN/>
      <w:spacing w:line="400" w:lineRule="exact"/>
      <w:ind w:firstLine="1044" w:firstLineChars="200"/>
    </w:pPr>
    <w:rPr>
      <w:rFonts w:ascii="Times New Roman" w:hAnsi="Times New Roman" w:cs="Times New Roman"/>
      <w:kern w:val="2"/>
      <w:sz w:val="21"/>
      <w:szCs w:val="24"/>
      <w:lang w:val="en-US" w:bidi="ar-SA"/>
    </w:rPr>
  </w:style>
  <w:style w:type="paragraph" w:styleId="18">
    <w:name w:val="Body Text 3"/>
    <w:basedOn w:val="1"/>
    <w:link w:val="76"/>
    <w:qFormat/>
    <w:uiPriority w:val="0"/>
    <w:pPr>
      <w:autoSpaceDE/>
      <w:autoSpaceDN/>
      <w:spacing w:line="500" w:lineRule="exact"/>
      <w:ind w:firstLine="1044" w:firstLineChars="200"/>
    </w:pPr>
    <w:rPr>
      <w:rFonts w:ascii="Times New Roman" w:hAnsi="Times New Roman" w:cs="Times New Roman"/>
      <w:b/>
      <w:bCs/>
      <w:kern w:val="2"/>
      <w:sz w:val="24"/>
      <w:szCs w:val="24"/>
      <w:lang w:val="en-US" w:bidi="ar-SA"/>
    </w:rPr>
  </w:style>
  <w:style w:type="paragraph" w:styleId="19">
    <w:name w:val="Body Text"/>
    <w:basedOn w:val="1"/>
    <w:link w:val="89"/>
    <w:qFormat/>
    <w:uiPriority w:val="0"/>
    <w:rPr>
      <w:sz w:val="21"/>
      <w:szCs w:val="21"/>
    </w:rPr>
  </w:style>
  <w:style w:type="paragraph" w:styleId="20">
    <w:name w:val="Body Text Indent"/>
    <w:basedOn w:val="1"/>
    <w:next w:val="21"/>
    <w:link w:val="78"/>
    <w:qFormat/>
    <w:uiPriority w:val="0"/>
    <w:pPr>
      <w:autoSpaceDE/>
      <w:autoSpaceDN/>
      <w:spacing w:line="400" w:lineRule="exact"/>
      <w:ind w:firstLine="830" w:firstLineChars="352"/>
    </w:pPr>
    <w:rPr>
      <w:rFonts w:ascii="仿宋_GB2312" w:hAnsi="Times New Roman" w:eastAsia="仿宋_GB2312" w:cs="Times New Roman"/>
      <w:kern w:val="2"/>
      <w:sz w:val="32"/>
      <w:szCs w:val="20"/>
      <w:lang w:val="en-US" w:bidi="ar-SA"/>
    </w:rPr>
  </w:style>
  <w:style w:type="paragraph" w:styleId="21">
    <w:name w:val="envelope return"/>
    <w:basedOn w:val="1"/>
    <w:qFormat/>
    <w:uiPriority w:val="0"/>
    <w:pPr>
      <w:autoSpaceDE/>
      <w:autoSpaceDN/>
      <w:snapToGrid w:val="0"/>
      <w:spacing w:line="400" w:lineRule="exact"/>
      <w:ind w:firstLine="1044" w:firstLineChars="200"/>
    </w:pPr>
    <w:rPr>
      <w:rFonts w:ascii="Arial" w:hAnsi="Arial" w:cs="Arial"/>
      <w:kern w:val="2"/>
      <w:sz w:val="21"/>
      <w:szCs w:val="24"/>
      <w:lang w:val="en-US" w:bidi="ar-SA"/>
    </w:rPr>
  </w:style>
  <w:style w:type="paragraph" w:styleId="22">
    <w:name w:val="List Number 3"/>
    <w:basedOn w:val="1"/>
    <w:qFormat/>
    <w:uiPriority w:val="0"/>
    <w:pPr>
      <w:numPr>
        <w:ilvl w:val="0"/>
        <w:numId w:val="1"/>
      </w:numPr>
      <w:autoSpaceDE/>
      <w:autoSpaceDN/>
      <w:spacing w:line="400" w:lineRule="exact"/>
      <w:ind w:firstLineChars="200"/>
    </w:pPr>
    <w:rPr>
      <w:rFonts w:ascii="Times New Roman" w:hAnsi="Times New Roman" w:cs="Times New Roman"/>
      <w:kern w:val="2"/>
      <w:sz w:val="21"/>
      <w:szCs w:val="24"/>
      <w:lang w:val="en-US" w:bidi="ar-SA"/>
    </w:rPr>
  </w:style>
  <w:style w:type="paragraph" w:styleId="23">
    <w:name w:val="List 2"/>
    <w:basedOn w:val="1"/>
    <w:qFormat/>
    <w:uiPriority w:val="0"/>
    <w:pPr>
      <w:autoSpaceDE/>
      <w:autoSpaceDN/>
      <w:spacing w:line="400" w:lineRule="exact"/>
      <w:ind w:left="100" w:leftChars="200" w:hanging="200" w:hangingChars="200"/>
    </w:pPr>
    <w:rPr>
      <w:rFonts w:ascii="Times New Roman" w:hAnsi="Times New Roman" w:cs="Times New Roman"/>
      <w:kern w:val="2"/>
      <w:sz w:val="28"/>
      <w:szCs w:val="24"/>
      <w:lang w:val="en-US" w:bidi="ar-SA"/>
    </w:rPr>
  </w:style>
  <w:style w:type="paragraph" w:styleId="24">
    <w:name w:val="Block Text"/>
    <w:basedOn w:val="1"/>
    <w:qFormat/>
    <w:uiPriority w:val="0"/>
    <w:pPr>
      <w:autoSpaceDE/>
      <w:autoSpaceDN/>
      <w:adjustRightInd w:val="0"/>
      <w:spacing w:line="400" w:lineRule="exact"/>
      <w:ind w:left="420" w:right="33" w:firstLine="1044" w:firstLineChars="200"/>
      <w:textAlignment w:val="baseline"/>
    </w:pPr>
    <w:rPr>
      <w:rFonts w:ascii="Times New Roman" w:hAnsi="Times New Roman" w:cs="Times New Roman"/>
      <w:sz w:val="24"/>
      <w:szCs w:val="20"/>
      <w:lang w:val="en-US" w:bidi="ar-SA"/>
    </w:rPr>
  </w:style>
  <w:style w:type="paragraph" w:styleId="25">
    <w:name w:val="toc 5"/>
    <w:basedOn w:val="1"/>
    <w:next w:val="1"/>
    <w:qFormat/>
    <w:uiPriority w:val="0"/>
    <w:pPr>
      <w:tabs>
        <w:tab w:val="right" w:leader="dot" w:pos="9185"/>
      </w:tabs>
      <w:autoSpaceDE/>
      <w:autoSpaceDN/>
      <w:adjustRightInd w:val="0"/>
      <w:spacing w:line="312" w:lineRule="atLeast"/>
      <w:ind w:left="1680" w:firstLine="1044" w:firstLineChars="200"/>
      <w:textAlignment w:val="baseline"/>
    </w:pPr>
    <w:rPr>
      <w:rFonts w:ascii="Times New Roman" w:hAnsi="Times New Roman" w:cs="Times New Roman"/>
      <w:sz w:val="21"/>
      <w:szCs w:val="20"/>
      <w:lang w:val="en-US" w:bidi="ar-SA"/>
    </w:rPr>
  </w:style>
  <w:style w:type="paragraph" w:styleId="26">
    <w:name w:val="toc 3"/>
    <w:basedOn w:val="1"/>
    <w:next w:val="1"/>
    <w:qFormat/>
    <w:uiPriority w:val="0"/>
    <w:pPr>
      <w:autoSpaceDE/>
      <w:autoSpaceDN/>
      <w:spacing w:line="400" w:lineRule="exact"/>
      <w:ind w:left="840" w:leftChars="400" w:firstLine="1044" w:firstLineChars="200"/>
    </w:pPr>
    <w:rPr>
      <w:rFonts w:ascii="Times New Roman" w:hAnsi="Times New Roman" w:cs="Times New Roman"/>
      <w:kern w:val="2"/>
      <w:sz w:val="21"/>
      <w:szCs w:val="24"/>
      <w:lang w:val="en-US" w:bidi="ar-SA"/>
    </w:rPr>
  </w:style>
  <w:style w:type="paragraph" w:styleId="27">
    <w:name w:val="Plain Text"/>
    <w:basedOn w:val="1"/>
    <w:next w:val="1"/>
    <w:link w:val="79"/>
    <w:qFormat/>
    <w:uiPriority w:val="0"/>
    <w:rPr>
      <w:rFonts w:hAnsi="Courier New"/>
      <w:kern w:val="2"/>
      <w:sz w:val="21"/>
      <w:lang w:val="en-US" w:bidi="ar-SA"/>
    </w:rPr>
  </w:style>
  <w:style w:type="paragraph" w:styleId="28">
    <w:name w:val="toc 8"/>
    <w:basedOn w:val="1"/>
    <w:next w:val="1"/>
    <w:qFormat/>
    <w:uiPriority w:val="0"/>
    <w:pPr>
      <w:tabs>
        <w:tab w:val="right" w:leader="dot" w:pos="9185"/>
      </w:tabs>
      <w:autoSpaceDE/>
      <w:autoSpaceDN/>
      <w:adjustRightInd w:val="0"/>
      <w:spacing w:line="312" w:lineRule="atLeast"/>
      <w:ind w:left="2940" w:firstLine="1044" w:firstLineChars="200"/>
      <w:textAlignment w:val="baseline"/>
    </w:pPr>
    <w:rPr>
      <w:rFonts w:ascii="Times New Roman" w:hAnsi="Times New Roman" w:cs="Times New Roman"/>
      <w:sz w:val="21"/>
      <w:szCs w:val="20"/>
      <w:lang w:val="en-US" w:bidi="ar-SA"/>
    </w:rPr>
  </w:style>
  <w:style w:type="paragraph" w:styleId="29">
    <w:name w:val="Date"/>
    <w:basedOn w:val="1"/>
    <w:next w:val="1"/>
    <w:link w:val="80"/>
    <w:qFormat/>
    <w:uiPriority w:val="0"/>
    <w:pPr>
      <w:autoSpaceDE/>
      <w:autoSpaceDN/>
      <w:spacing w:line="400" w:lineRule="exact"/>
      <w:ind w:left="100" w:leftChars="2500" w:firstLine="1044" w:firstLineChars="200"/>
    </w:pPr>
    <w:rPr>
      <w:rFonts w:hAnsi="Courier New" w:cs="Courier New"/>
      <w:kern w:val="2"/>
      <w:sz w:val="21"/>
      <w:szCs w:val="21"/>
      <w:lang w:val="en-US" w:bidi="ar-SA"/>
    </w:rPr>
  </w:style>
  <w:style w:type="paragraph" w:styleId="30">
    <w:name w:val="Body Text Indent 2"/>
    <w:basedOn w:val="1"/>
    <w:link w:val="81"/>
    <w:qFormat/>
    <w:uiPriority w:val="0"/>
    <w:pPr>
      <w:autoSpaceDE/>
      <w:autoSpaceDN/>
      <w:spacing w:line="400" w:lineRule="exact"/>
      <w:ind w:firstLine="630" w:firstLineChars="200"/>
    </w:pPr>
    <w:rPr>
      <w:rFonts w:ascii="Times New Roman" w:hAnsi="Times New Roman" w:cs="Times New Roman"/>
      <w:kern w:val="2"/>
      <w:sz w:val="32"/>
      <w:szCs w:val="20"/>
      <w:lang w:val="en-US" w:bidi="ar-SA"/>
    </w:rPr>
  </w:style>
  <w:style w:type="paragraph" w:styleId="31">
    <w:name w:val="Balloon Text"/>
    <w:basedOn w:val="1"/>
    <w:link w:val="82"/>
    <w:qFormat/>
    <w:uiPriority w:val="0"/>
    <w:pPr>
      <w:autoSpaceDE/>
      <w:autoSpaceDN/>
      <w:spacing w:line="400" w:lineRule="exact"/>
      <w:ind w:firstLine="1044" w:firstLineChars="200"/>
    </w:pPr>
    <w:rPr>
      <w:rFonts w:ascii="Times New Roman" w:hAnsi="Times New Roman" w:cs="Times New Roman"/>
      <w:kern w:val="2"/>
      <w:sz w:val="18"/>
      <w:szCs w:val="18"/>
      <w:lang w:val="en-US" w:bidi="ar-SA"/>
    </w:rPr>
  </w:style>
  <w:style w:type="paragraph" w:styleId="32">
    <w:name w:val="footer"/>
    <w:basedOn w:val="1"/>
    <w:link w:val="83"/>
    <w:qFormat/>
    <w:uiPriority w:val="99"/>
    <w:pPr>
      <w:tabs>
        <w:tab w:val="center" w:pos="4153"/>
        <w:tab w:val="right" w:pos="8306"/>
      </w:tabs>
      <w:autoSpaceDE/>
      <w:autoSpaceDN/>
      <w:snapToGrid w:val="0"/>
      <w:spacing w:line="400" w:lineRule="exact"/>
      <w:ind w:firstLine="1044" w:firstLineChars="200"/>
    </w:pPr>
    <w:rPr>
      <w:rFonts w:ascii="Times New Roman" w:hAnsi="Times New Roman" w:cs="Times New Roman"/>
      <w:kern w:val="2"/>
      <w:sz w:val="18"/>
      <w:szCs w:val="18"/>
      <w:lang w:val="en-US" w:bidi="ar-SA"/>
    </w:rPr>
  </w:style>
  <w:style w:type="paragraph" w:styleId="33">
    <w:name w:val="header"/>
    <w:basedOn w:val="1"/>
    <w:link w:val="84"/>
    <w:qFormat/>
    <w:uiPriority w:val="0"/>
    <w:pPr>
      <w:pBdr>
        <w:bottom w:val="single" w:color="auto" w:sz="6" w:space="1"/>
      </w:pBdr>
      <w:tabs>
        <w:tab w:val="center" w:pos="4153"/>
        <w:tab w:val="right" w:pos="8306"/>
      </w:tabs>
      <w:autoSpaceDE/>
      <w:autoSpaceDN/>
      <w:snapToGrid w:val="0"/>
      <w:spacing w:line="400" w:lineRule="exact"/>
      <w:ind w:firstLine="1044" w:firstLineChars="200"/>
      <w:jc w:val="center"/>
    </w:pPr>
    <w:rPr>
      <w:rFonts w:ascii="Times New Roman" w:hAnsi="Times New Roman" w:cs="Times New Roman"/>
      <w:kern w:val="2"/>
      <w:sz w:val="18"/>
      <w:szCs w:val="18"/>
      <w:lang w:val="en-US" w:bidi="ar-SA"/>
    </w:rPr>
  </w:style>
  <w:style w:type="paragraph" w:styleId="34">
    <w:name w:val="toc 1"/>
    <w:basedOn w:val="1"/>
    <w:next w:val="1"/>
    <w:qFormat/>
    <w:uiPriority w:val="39"/>
    <w:pPr>
      <w:spacing w:before="314"/>
      <w:ind w:left="412"/>
    </w:pPr>
    <w:rPr>
      <w:sz w:val="24"/>
      <w:szCs w:val="24"/>
    </w:rPr>
  </w:style>
  <w:style w:type="paragraph" w:styleId="35">
    <w:name w:val="toc 4"/>
    <w:basedOn w:val="1"/>
    <w:next w:val="1"/>
    <w:qFormat/>
    <w:uiPriority w:val="0"/>
    <w:pPr>
      <w:tabs>
        <w:tab w:val="right" w:leader="dot" w:pos="9185"/>
      </w:tabs>
      <w:autoSpaceDE/>
      <w:autoSpaceDN/>
      <w:adjustRightInd w:val="0"/>
      <w:spacing w:line="312" w:lineRule="atLeast"/>
      <w:ind w:left="1260" w:firstLine="1044" w:firstLineChars="200"/>
      <w:textAlignment w:val="baseline"/>
    </w:pPr>
    <w:rPr>
      <w:rFonts w:ascii="Times New Roman" w:hAnsi="Times New Roman" w:cs="Times New Roman"/>
      <w:sz w:val="21"/>
      <w:szCs w:val="20"/>
      <w:lang w:val="en-US" w:bidi="ar-SA"/>
    </w:rPr>
  </w:style>
  <w:style w:type="paragraph" w:styleId="36">
    <w:name w:val="List"/>
    <w:basedOn w:val="1"/>
    <w:qFormat/>
    <w:uiPriority w:val="0"/>
    <w:pPr>
      <w:autoSpaceDE/>
      <w:autoSpaceDN/>
      <w:spacing w:line="400" w:lineRule="exact"/>
      <w:ind w:left="200" w:hanging="200" w:hangingChars="200"/>
    </w:pPr>
    <w:rPr>
      <w:rFonts w:ascii="Times New Roman" w:hAnsi="Times New Roman" w:cs="Times New Roman"/>
      <w:kern w:val="2"/>
      <w:sz w:val="28"/>
      <w:szCs w:val="24"/>
      <w:lang w:val="en-US" w:bidi="ar-SA"/>
    </w:rPr>
  </w:style>
  <w:style w:type="paragraph" w:styleId="37">
    <w:name w:val="toc 6"/>
    <w:basedOn w:val="1"/>
    <w:next w:val="1"/>
    <w:qFormat/>
    <w:uiPriority w:val="0"/>
    <w:pPr>
      <w:tabs>
        <w:tab w:val="right" w:leader="dot" w:pos="9185"/>
      </w:tabs>
      <w:autoSpaceDE/>
      <w:autoSpaceDN/>
      <w:adjustRightInd w:val="0"/>
      <w:spacing w:line="312" w:lineRule="atLeast"/>
      <w:ind w:left="2100" w:firstLine="1044" w:firstLineChars="200"/>
      <w:textAlignment w:val="baseline"/>
    </w:pPr>
    <w:rPr>
      <w:rFonts w:ascii="Times New Roman" w:hAnsi="Times New Roman" w:cs="Times New Roman"/>
      <w:sz w:val="21"/>
      <w:szCs w:val="20"/>
      <w:lang w:val="en-US" w:bidi="ar-SA"/>
    </w:rPr>
  </w:style>
  <w:style w:type="paragraph" w:styleId="38">
    <w:name w:val="List 5"/>
    <w:basedOn w:val="1"/>
    <w:qFormat/>
    <w:uiPriority w:val="0"/>
    <w:pPr>
      <w:autoSpaceDE/>
      <w:autoSpaceDN/>
      <w:spacing w:line="400" w:lineRule="exact"/>
      <w:ind w:left="2100" w:hanging="420" w:firstLineChars="200"/>
    </w:pPr>
    <w:rPr>
      <w:rFonts w:ascii="Times New Roman" w:hAnsi="Times New Roman" w:cs="Times New Roman"/>
      <w:kern w:val="2"/>
      <w:sz w:val="21"/>
      <w:szCs w:val="20"/>
      <w:lang w:val="en-US" w:bidi="ar-SA"/>
    </w:rPr>
  </w:style>
  <w:style w:type="paragraph" w:styleId="39">
    <w:name w:val="Body Text Indent 3"/>
    <w:basedOn w:val="1"/>
    <w:link w:val="85"/>
    <w:qFormat/>
    <w:uiPriority w:val="0"/>
    <w:pPr>
      <w:autoSpaceDE/>
      <w:autoSpaceDN/>
      <w:spacing w:after="120" w:line="400" w:lineRule="exact"/>
      <w:ind w:left="420" w:leftChars="200" w:firstLine="1044" w:firstLineChars="200"/>
    </w:pPr>
    <w:rPr>
      <w:rFonts w:ascii="Times New Roman" w:hAnsi="Times New Roman" w:cs="Times New Roman"/>
      <w:kern w:val="2"/>
      <w:sz w:val="16"/>
      <w:szCs w:val="16"/>
      <w:lang w:val="en-US" w:bidi="ar-SA"/>
    </w:rPr>
  </w:style>
  <w:style w:type="paragraph" w:styleId="40">
    <w:name w:val="table of figures"/>
    <w:basedOn w:val="1"/>
    <w:next w:val="1"/>
    <w:qFormat/>
    <w:uiPriority w:val="0"/>
    <w:pPr>
      <w:autoSpaceDE/>
      <w:autoSpaceDN/>
      <w:spacing w:line="400" w:lineRule="exact"/>
      <w:ind w:left="200" w:leftChars="200" w:hanging="200" w:hangingChars="200"/>
    </w:pPr>
    <w:rPr>
      <w:rFonts w:ascii="Times New Roman" w:hAnsi="Times New Roman" w:cs="Times New Roman"/>
      <w:kern w:val="2"/>
      <w:sz w:val="21"/>
      <w:szCs w:val="24"/>
      <w:lang w:val="en-US" w:bidi="ar-SA"/>
    </w:rPr>
  </w:style>
  <w:style w:type="paragraph" w:styleId="41">
    <w:name w:val="toc 2"/>
    <w:basedOn w:val="1"/>
    <w:next w:val="1"/>
    <w:qFormat/>
    <w:uiPriority w:val="39"/>
    <w:pPr>
      <w:autoSpaceDE/>
      <w:autoSpaceDN/>
      <w:spacing w:line="400" w:lineRule="exact"/>
      <w:ind w:left="420" w:leftChars="200" w:firstLine="1044" w:firstLineChars="200"/>
    </w:pPr>
    <w:rPr>
      <w:rFonts w:ascii="Times New Roman" w:hAnsi="Times New Roman" w:cs="Times New Roman"/>
      <w:kern w:val="2"/>
      <w:sz w:val="21"/>
      <w:szCs w:val="24"/>
      <w:lang w:val="en-US" w:bidi="ar-SA"/>
    </w:rPr>
  </w:style>
  <w:style w:type="paragraph" w:styleId="42">
    <w:name w:val="toc 9"/>
    <w:basedOn w:val="1"/>
    <w:next w:val="1"/>
    <w:qFormat/>
    <w:uiPriority w:val="0"/>
    <w:pPr>
      <w:tabs>
        <w:tab w:val="right" w:leader="dot" w:pos="9185"/>
      </w:tabs>
      <w:autoSpaceDE/>
      <w:autoSpaceDN/>
      <w:adjustRightInd w:val="0"/>
      <w:spacing w:line="312" w:lineRule="atLeast"/>
      <w:ind w:left="3360" w:firstLine="1044" w:firstLineChars="200"/>
      <w:textAlignment w:val="baseline"/>
    </w:pPr>
    <w:rPr>
      <w:rFonts w:ascii="Times New Roman" w:hAnsi="Times New Roman" w:cs="Times New Roman"/>
      <w:sz w:val="21"/>
      <w:szCs w:val="20"/>
      <w:lang w:val="en-US" w:bidi="ar-SA"/>
    </w:rPr>
  </w:style>
  <w:style w:type="paragraph" w:styleId="43">
    <w:name w:val="Body Text 2"/>
    <w:basedOn w:val="1"/>
    <w:link w:val="86"/>
    <w:qFormat/>
    <w:uiPriority w:val="0"/>
    <w:pPr>
      <w:autoSpaceDE/>
      <w:autoSpaceDN/>
      <w:spacing w:after="120" w:line="480" w:lineRule="auto"/>
      <w:ind w:firstLine="1044" w:firstLineChars="200"/>
    </w:pPr>
    <w:rPr>
      <w:rFonts w:ascii="Times New Roman" w:hAnsi="Times New Roman" w:cs="Times New Roman"/>
      <w:kern w:val="2"/>
      <w:sz w:val="21"/>
      <w:szCs w:val="24"/>
      <w:lang w:val="en-US" w:bidi="ar-SA"/>
    </w:rPr>
  </w:style>
  <w:style w:type="paragraph" w:styleId="44">
    <w:name w:val="HTML Preformatted"/>
    <w:basedOn w:val="1"/>
    <w:link w:val="8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黑体" w:hAnsi="Courier New" w:eastAsia="黑体" w:cs="Times New Roman"/>
      <w:sz w:val="20"/>
      <w:szCs w:val="20"/>
      <w:lang w:val="en-US" w:bidi="ar-SA"/>
    </w:rPr>
  </w:style>
  <w:style w:type="paragraph" w:styleId="45">
    <w:name w:val="Normal (Web)"/>
    <w:basedOn w:val="1"/>
    <w:qFormat/>
    <w:uiPriority w:val="0"/>
    <w:pPr>
      <w:widowControl/>
      <w:autoSpaceDE/>
      <w:autoSpaceDN/>
      <w:spacing w:before="100" w:beforeAutospacing="1" w:after="100" w:afterAutospacing="1" w:line="400" w:lineRule="exact"/>
      <w:ind w:firstLine="1044" w:firstLineChars="200"/>
    </w:pPr>
    <w:rPr>
      <w:rFonts w:cs="Times New Roman"/>
      <w:sz w:val="24"/>
      <w:szCs w:val="24"/>
      <w:lang w:val="en-US" w:bidi="ar-SA"/>
    </w:rPr>
  </w:style>
  <w:style w:type="paragraph" w:styleId="46">
    <w:name w:val="index 1"/>
    <w:basedOn w:val="1"/>
    <w:next w:val="1"/>
    <w:qFormat/>
    <w:uiPriority w:val="0"/>
    <w:pPr>
      <w:autoSpaceDE/>
      <w:autoSpaceDN/>
      <w:spacing w:line="400" w:lineRule="exact"/>
      <w:ind w:firstLine="420" w:firstLineChars="200"/>
    </w:pPr>
    <w:rPr>
      <w:rFonts w:hAnsi="Courier New" w:cs="Times New Roman"/>
      <w:b/>
      <w:kern w:val="2"/>
      <w:sz w:val="21"/>
      <w:szCs w:val="20"/>
      <w:lang w:val="en-US" w:bidi="ar-SA"/>
    </w:rPr>
  </w:style>
  <w:style w:type="paragraph" w:styleId="47">
    <w:name w:val="Title"/>
    <w:basedOn w:val="1"/>
    <w:next w:val="1"/>
    <w:link w:val="73"/>
    <w:qFormat/>
    <w:uiPriority w:val="0"/>
    <w:pPr>
      <w:autoSpaceDE/>
      <w:autoSpaceDN/>
      <w:spacing w:before="240" w:after="60" w:line="400" w:lineRule="exact"/>
      <w:ind w:firstLine="1044" w:firstLineChars="200"/>
      <w:jc w:val="center"/>
      <w:outlineLvl w:val="0"/>
    </w:pPr>
    <w:rPr>
      <w:rFonts w:ascii="Cambria" w:hAnsi="Cambria" w:cs="Times New Roman"/>
      <w:b/>
      <w:bCs/>
      <w:kern w:val="2"/>
      <w:sz w:val="32"/>
      <w:szCs w:val="32"/>
      <w:lang w:val="en-US" w:bidi="ar-SA"/>
    </w:rPr>
  </w:style>
  <w:style w:type="paragraph" w:styleId="48">
    <w:name w:val="annotation subject"/>
    <w:basedOn w:val="17"/>
    <w:next w:val="17"/>
    <w:link w:val="88"/>
    <w:qFormat/>
    <w:uiPriority w:val="0"/>
    <w:rPr>
      <w:b/>
      <w:bCs/>
    </w:rPr>
  </w:style>
  <w:style w:type="paragraph" w:styleId="49">
    <w:name w:val="Body Text First Indent"/>
    <w:basedOn w:val="19"/>
    <w:link w:val="90"/>
    <w:qFormat/>
    <w:uiPriority w:val="0"/>
    <w:pPr>
      <w:autoSpaceDE/>
      <w:autoSpaceDN/>
      <w:spacing w:beforeLines="50" w:afterLines="50" w:line="360" w:lineRule="auto"/>
      <w:ind w:firstLine="420" w:firstLineChars="100"/>
    </w:pPr>
    <w:rPr>
      <w:rFonts w:ascii="Times New Roman" w:hAnsi="Times New Roman" w:cs="Times New Roman"/>
      <w:kern w:val="2"/>
      <w:sz w:val="24"/>
      <w:szCs w:val="24"/>
      <w:lang w:val="en-US" w:bidi="ar-SA"/>
    </w:rPr>
  </w:style>
  <w:style w:type="paragraph" w:styleId="50">
    <w:name w:val="Body Text First Indent 2"/>
    <w:basedOn w:val="20"/>
    <w:link w:val="91"/>
    <w:unhideWhenUsed/>
    <w:qFormat/>
    <w:uiPriority w:val="99"/>
    <w:pPr>
      <w:ind w:firstLine="420" w:firstLineChars="200"/>
    </w:pPr>
  </w:style>
  <w:style w:type="table" w:styleId="52">
    <w:name w:val="Table Grid"/>
    <w:basedOn w:val="5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4">
    <w:name w:val="Strong"/>
    <w:qFormat/>
    <w:uiPriority w:val="0"/>
    <w:rPr>
      <w:rFonts w:ascii="Times New Roman" w:hAnsi="Times New Roman" w:eastAsia="宋体" w:cs="Times New Roman"/>
      <w:b/>
      <w:bCs/>
    </w:rPr>
  </w:style>
  <w:style w:type="character" w:styleId="55">
    <w:name w:val="page number"/>
    <w:qFormat/>
    <w:uiPriority w:val="0"/>
    <w:rPr>
      <w:rFonts w:ascii="Times New Roman" w:hAnsi="Times New Roman" w:eastAsia="宋体" w:cs="Times New Roman"/>
    </w:rPr>
  </w:style>
  <w:style w:type="character" w:styleId="56">
    <w:name w:val="FollowedHyperlink"/>
    <w:qFormat/>
    <w:uiPriority w:val="0"/>
    <w:rPr>
      <w:rFonts w:ascii="Times New Roman" w:hAnsi="Times New Roman" w:eastAsia="宋体" w:cs="Times New Roman"/>
      <w:color w:val="800080"/>
      <w:u w:val="single"/>
    </w:rPr>
  </w:style>
  <w:style w:type="character" w:styleId="57">
    <w:name w:val="Emphasis"/>
    <w:qFormat/>
    <w:uiPriority w:val="0"/>
    <w:rPr>
      <w:rFonts w:ascii="Times New Roman" w:hAnsi="Times New Roman" w:eastAsia="宋体" w:cs="Times New Roman"/>
      <w:color w:val="CC0000"/>
    </w:rPr>
  </w:style>
  <w:style w:type="character" w:styleId="58">
    <w:name w:val="HTML Typewriter"/>
    <w:qFormat/>
    <w:uiPriority w:val="0"/>
    <w:rPr>
      <w:rFonts w:hint="eastAsia" w:ascii="宋体" w:hAnsi="宋体" w:eastAsia="宋体" w:cs="宋体"/>
      <w:sz w:val="24"/>
      <w:szCs w:val="24"/>
    </w:rPr>
  </w:style>
  <w:style w:type="character" w:styleId="59">
    <w:name w:val="Hyperlink"/>
    <w:qFormat/>
    <w:uiPriority w:val="99"/>
    <w:rPr>
      <w:color w:val="333333"/>
      <w:u w:val="none"/>
    </w:rPr>
  </w:style>
  <w:style w:type="character" w:styleId="60">
    <w:name w:val="annotation reference"/>
    <w:qFormat/>
    <w:uiPriority w:val="0"/>
    <w:rPr>
      <w:rFonts w:ascii="Times New Roman" w:hAnsi="Times New Roman" w:eastAsia="宋体" w:cs="Times New Roman"/>
      <w:sz w:val="21"/>
      <w:szCs w:val="21"/>
    </w:rPr>
  </w:style>
  <w:style w:type="table" w:customStyle="1" w:styleId="61">
    <w:name w:val="Table Normal"/>
    <w:semiHidden/>
    <w:unhideWhenUsed/>
    <w:qFormat/>
    <w:uiPriority w:val="2"/>
    <w:tblPr>
      <w:tblCellMar>
        <w:top w:w="0" w:type="dxa"/>
        <w:left w:w="0" w:type="dxa"/>
        <w:bottom w:w="0" w:type="dxa"/>
        <w:right w:w="0" w:type="dxa"/>
      </w:tblCellMar>
    </w:tblPr>
  </w:style>
  <w:style w:type="paragraph" w:styleId="62">
    <w:name w:val="List Paragraph"/>
    <w:basedOn w:val="1"/>
    <w:qFormat/>
    <w:uiPriority w:val="34"/>
    <w:pPr>
      <w:ind w:left="412" w:firstLine="420"/>
    </w:pPr>
  </w:style>
  <w:style w:type="paragraph" w:customStyle="1" w:styleId="63">
    <w:name w:val="Table Paragraph"/>
    <w:basedOn w:val="1"/>
    <w:qFormat/>
    <w:uiPriority w:val="0"/>
  </w:style>
  <w:style w:type="character" w:customStyle="1" w:styleId="64">
    <w:name w:val="标题 1 字符"/>
    <w:basedOn w:val="53"/>
    <w:link w:val="3"/>
    <w:qFormat/>
    <w:uiPriority w:val="0"/>
    <w:rPr>
      <w:rFonts w:ascii="宋体" w:hAnsi="宋体" w:eastAsia="宋体" w:cs="宋体"/>
      <w:b/>
      <w:bCs/>
      <w:sz w:val="44"/>
      <w:szCs w:val="44"/>
      <w:lang w:val="zh-CN" w:bidi="zh-CN"/>
    </w:rPr>
  </w:style>
  <w:style w:type="character" w:customStyle="1" w:styleId="65">
    <w:name w:val="标题 2 字符"/>
    <w:basedOn w:val="53"/>
    <w:link w:val="4"/>
    <w:qFormat/>
    <w:uiPriority w:val="0"/>
    <w:rPr>
      <w:rFonts w:ascii="宋体" w:hAnsi="宋体" w:eastAsia="宋体" w:cs="宋体"/>
      <w:sz w:val="44"/>
      <w:szCs w:val="44"/>
      <w:lang w:val="zh-CN" w:bidi="zh-CN"/>
    </w:rPr>
  </w:style>
  <w:style w:type="character" w:customStyle="1" w:styleId="66">
    <w:name w:val="标题 3 字符"/>
    <w:basedOn w:val="53"/>
    <w:link w:val="5"/>
    <w:qFormat/>
    <w:uiPriority w:val="0"/>
    <w:rPr>
      <w:rFonts w:ascii="仿宋" w:hAnsi="仿宋" w:eastAsia="仿宋" w:cs="仿宋"/>
      <w:sz w:val="40"/>
      <w:szCs w:val="40"/>
      <w:lang w:val="zh-CN" w:bidi="zh-CN"/>
    </w:rPr>
  </w:style>
  <w:style w:type="character" w:customStyle="1" w:styleId="67">
    <w:name w:val="标题 4 字符"/>
    <w:basedOn w:val="53"/>
    <w:link w:val="6"/>
    <w:qFormat/>
    <w:uiPriority w:val="0"/>
    <w:rPr>
      <w:rFonts w:ascii="宋体" w:hAnsi="宋体" w:eastAsia="宋体" w:cs="宋体"/>
      <w:b/>
      <w:bCs/>
      <w:sz w:val="36"/>
      <w:szCs w:val="36"/>
      <w:lang w:val="zh-CN" w:bidi="zh-CN"/>
    </w:rPr>
  </w:style>
  <w:style w:type="character" w:customStyle="1" w:styleId="68">
    <w:name w:val="标题 5 字符"/>
    <w:basedOn w:val="53"/>
    <w:link w:val="7"/>
    <w:qFormat/>
    <w:uiPriority w:val="0"/>
    <w:rPr>
      <w:rFonts w:ascii="仿宋" w:hAnsi="仿宋" w:eastAsia="仿宋" w:cs="仿宋"/>
      <w:sz w:val="36"/>
      <w:szCs w:val="36"/>
      <w:lang w:val="zh-CN" w:bidi="zh-CN"/>
    </w:rPr>
  </w:style>
  <w:style w:type="character" w:customStyle="1" w:styleId="69">
    <w:name w:val="标题 6 字符"/>
    <w:basedOn w:val="53"/>
    <w:link w:val="8"/>
    <w:qFormat/>
    <w:uiPriority w:val="0"/>
    <w:rPr>
      <w:rFonts w:ascii="宋体" w:hAnsi="宋体" w:eastAsia="宋体" w:cs="宋体"/>
      <w:b/>
      <w:bCs/>
      <w:sz w:val="32"/>
      <w:szCs w:val="32"/>
      <w:lang w:val="zh-CN" w:bidi="zh-CN"/>
    </w:rPr>
  </w:style>
  <w:style w:type="character" w:customStyle="1" w:styleId="70">
    <w:name w:val="标题 7 字符"/>
    <w:basedOn w:val="53"/>
    <w:link w:val="9"/>
    <w:qFormat/>
    <w:uiPriority w:val="0"/>
    <w:rPr>
      <w:rFonts w:ascii="黑体" w:hAnsi="黑体" w:eastAsia="黑体" w:cs="黑体"/>
      <w:sz w:val="32"/>
      <w:szCs w:val="32"/>
      <w:lang w:val="zh-CN" w:bidi="zh-CN"/>
    </w:rPr>
  </w:style>
  <w:style w:type="character" w:customStyle="1" w:styleId="71">
    <w:name w:val="标题 8 字符"/>
    <w:basedOn w:val="53"/>
    <w:link w:val="10"/>
    <w:qFormat/>
    <w:uiPriority w:val="0"/>
    <w:rPr>
      <w:rFonts w:ascii="宋体" w:hAnsi="宋体" w:eastAsia="宋体" w:cs="宋体"/>
      <w:b/>
      <w:bCs/>
      <w:sz w:val="30"/>
      <w:szCs w:val="30"/>
      <w:lang w:val="zh-CN" w:bidi="zh-CN"/>
    </w:rPr>
  </w:style>
  <w:style w:type="character" w:customStyle="1" w:styleId="72">
    <w:name w:val="标题 9 字符"/>
    <w:basedOn w:val="53"/>
    <w:link w:val="11"/>
    <w:qFormat/>
    <w:uiPriority w:val="0"/>
    <w:rPr>
      <w:rFonts w:ascii="宋体" w:hAnsi="宋体" w:eastAsia="宋体" w:cs="宋体"/>
      <w:b/>
      <w:bCs/>
      <w:sz w:val="28"/>
      <w:szCs w:val="28"/>
      <w:lang w:val="zh-CN" w:bidi="zh-CN"/>
    </w:rPr>
  </w:style>
  <w:style w:type="character" w:customStyle="1" w:styleId="73">
    <w:name w:val="标题 字符"/>
    <w:basedOn w:val="53"/>
    <w:link w:val="47"/>
    <w:qFormat/>
    <w:uiPriority w:val="0"/>
    <w:rPr>
      <w:rFonts w:ascii="Cambria" w:hAnsi="Cambria" w:eastAsia="宋体"/>
      <w:b/>
      <w:bCs/>
      <w:kern w:val="2"/>
      <w:sz w:val="32"/>
      <w:szCs w:val="32"/>
    </w:rPr>
  </w:style>
  <w:style w:type="character" w:customStyle="1" w:styleId="74">
    <w:name w:val="文档结构图 字符"/>
    <w:basedOn w:val="53"/>
    <w:link w:val="16"/>
    <w:qFormat/>
    <w:uiPriority w:val="0"/>
    <w:rPr>
      <w:rFonts w:eastAsia="宋体"/>
      <w:sz w:val="21"/>
      <w:shd w:val="clear" w:color="auto" w:fill="000080"/>
    </w:rPr>
  </w:style>
  <w:style w:type="character" w:customStyle="1" w:styleId="75">
    <w:name w:val="批注文字 字符"/>
    <w:basedOn w:val="53"/>
    <w:link w:val="17"/>
    <w:qFormat/>
    <w:uiPriority w:val="0"/>
    <w:rPr>
      <w:rFonts w:eastAsia="宋体"/>
      <w:kern w:val="2"/>
      <w:sz w:val="21"/>
      <w:szCs w:val="24"/>
    </w:rPr>
  </w:style>
  <w:style w:type="character" w:customStyle="1" w:styleId="76">
    <w:name w:val="正文文本 3 字符"/>
    <w:basedOn w:val="53"/>
    <w:link w:val="18"/>
    <w:qFormat/>
    <w:uiPriority w:val="0"/>
    <w:rPr>
      <w:rFonts w:eastAsia="宋体"/>
      <w:b/>
      <w:bCs/>
      <w:kern w:val="2"/>
      <w:sz w:val="24"/>
      <w:szCs w:val="24"/>
    </w:rPr>
  </w:style>
  <w:style w:type="character" w:customStyle="1" w:styleId="77">
    <w:name w:val="正文文本 字符"/>
    <w:basedOn w:val="53"/>
    <w:qFormat/>
    <w:uiPriority w:val="0"/>
    <w:rPr>
      <w:rFonts w:ascii="Times New Roman" w:hAnsi="Times New Roman" w:eastAsia="宋体" w:cs="Times New Roman"/>
      <w:sz w:val="24"/>
    </w:rPr>
  </w:style>
  <w:style w:type="character" w:customStyle="1" w:styleId="78">
    <w:name w:val="正文文本缩进 字符"/>
    <w:basedOn w:val="53"/>
    <w:link w:val="20"/>
    <w:qFormat/>
    <w:uiPriority w:val="0"/>
    <w:rPr>
      <w:rFonts w:ascii="仿宋_GB2312" w:eastAsia="仿宋_GB2312"/>
      <w:kern w:val="2"/>
      <w:sz w:val="32"/>
    </w:rPr>
  </w:style>
  <w:style w:type="character" w:customStyle="1" w:styleId="79">
    <w:name w:val="纯文本 字符"/>
    <w:basedOn w:val="53"/>
    <w:link w:val="27"/>
    <w:qFormat/>
    <w:uiPriority w:val="0"/>
    <w:rPr>
      <w:rFonts w:ascii="宋体" w:hAnsi="Courier New" w:eastAsia="宋体" w:cs="宋体"/>
      <w:kern w:val="2"/>
      <w:sz w:val="21"/>
      <w:szCs w:val="22"/>
    </w:rPr>
  </w:style>
  <w:style w:type="character" w:customStyle="1" w:styleId="80">
    <w:name w:val="日期 字符"/>
    <w:basedOn w:val="53"/>
    <w:link w:val="29"/>
    <w:qFormat/>
    <w:uiPriority w:val="0"/>
    <w:rPr>
      <w:rFonts w:ascii="宋体" w:hAnsi="Courier New" w:eastAsia="宋体" w:cs="Courier New"/>
      <w:kern w:val="2"/>
      <w:sz w:val="21"/>
      <w:szCs w:val="21"/>
    </w:rPr>
  </w:style>
  <w:style w:type="character" w:customStyle="1" w:styleId="81">
    <w:name w:val="正文文本缩进 2 字符"/>
    <w:basedOn w:val="53"/>
    <w:link w:val="30"/>
    <w:qFormat/>
    <w:uiPriority w:val="0"/>
    <w:rPr>
      <w:rFonts w:eastAsia="宋体"/>
      <w:kern w:val="2"/>
      <w:sz w:val="32"/>
    </w:rPr>
  </w:style>
  <w:style w:type="character" w:customStyle="1" w:styleId="82">
    <w:name w:val="批注框文本 字符"/>
    <w:basedOn w:val="53"/>
    <w:link w:val="31"/>
    <w:qFormat/>
    <w:uiPriority w:val="0"/>
    <w:rPr>
      <w:rFonts w:eastAsia="宋体"/>
      <w:kern w:val="2"/>
      <w:sz w:val="18"/>
      <w:szCs w:val="18"/>
    </w:rPr>
  </w:style>
  <w:style w:type="character" w:customStyle="1" w:styleId="83">
    <w:name w:val="页脚 字符"/>
    <w:basedOn w:val="53"/>
    <w:link w:val="32"/>
    <w:qFormat/>
    <w:uiPriority w:val="99"/>
    <w:rPr>
      <w:rFonts w:eastAsia="宋体"/>
      <w:kern w:val="2"/>
      <w:sz w:val="18"/>
      <w:szCs w:val="18"/>
    </w:rPr>
  </w:style>
  <w:style w:type="character" w:customStyle="1" w:styleId="84">
    <w:name w:val="页眉 字符"/>
    <w:basedOn w:val="53"/>
    <w:link w:val="33"/>
    <w:qFormat/>
    <w:uiPriority w:val="0"/>
    <w:rPr>
      <w:rFonts w:eastAsia="宋体"/>
      <w:kern w:val="2"/>
      <w:sz w:val="18"/>
      <w:szCs w:val="18"/>
    </w:rPr>
  </w:style>
  <w:style w:type="character" w:customStyle="1" w:styleId="85">
    <w:name w:val="正文文本缩进 3 字符"/>
    <w:basedOn w:val="53"/>
    <w:link w:val="39"/>
    <w:qFormat/>
    <w:uiPriority w:val="0"/>
    <w:rPr>
      <w:rFonts w:eastAsia="宋体"/>
      <w:kern w:val="2"/>
      <w:sz w:val="16"/>
      <w:szCs w:val="16"/>
    </w:rPr>
  </w:style>
  <w:style w:type="character" w:customStyle="1" w:styleId="86">
    <w:name w:val="正文文本 2 字符"/>
    <w:basedOn w:val="53"/>
    <w:link w:val="43"/>
    <w:qFormat/>
    <w:uiPriority w:val="0"/>
    <w:rPr>
      <w:rFonts w:eastAsia="宋体"/>
      <w:kern w:val="2"/>
      <w:sz w:val="21"/>
      <w:szCs w:val="24"/>
    </w:rPr>
  </w:style>
  <w:style w:type="character" w:customStyle="1" w:styleId="87">
    <w:name w:val="HTML 预设格式 字符"/>
    <w:basedOn w:val="53"/>
    <w:link w:val="44"/>
    <w:qFormat/>
    <w:uiPriority w:val="0"/>
    <w:rPr>
      <w:rFonts w:ascii="黑体" w:hAnsi="Courier New" w:eastAsia="黑体"/>
    </w:rPr>
  </w:style>
  <w:style w:type="character" w:customStyle="1" w:styleId="88">
    <w:name w:val="批注主题 字符"/>
    <w:basedOn w:val="75"/>
    <w:link w:val="48"/>
    <w:qFormat/>
    <w:uiPriority w:val="0"/>
    <w:rPr>
      <w:rFonts w:eastAsia="宋体"/>
      <w:b/>
      <w:bCs/>
      <w:kern w:val="2"/>
      <w:sz w:val="21"/>
      <w:szCs w:val="24"/>
    </w:rPr>
  </w:style>
  <w:style w:type="character" w:customStyle="1" w:styleId="89">
    <w:name w:val="正文文本 字符1"/>
    <w:basedOn w:val="53"/>
    <w:link w:val="19"/>
    <w:qFormat/>
    <w:uiPriority w:val="0"/>
    <w:rPr>
      <w:rFonts w:ascii="宋体" w:hAnsi="宋体" w:eastAsia="宋体" w:cs="宋体"/>
      <w:sz w:val="21"/>
      <w:szCs w:val="21"/>
      <w:lang w:val="zh-CN" w:bidi="zh-CN"/>
    </w:rPr>
  </w:style>
  <w:style w:type="character" w:customStyle="1" w:styleId="90">
    <w:name w:val="正文文本首行缩进 字符"/>
    <w:basedOn w:val="89"/>
    <w:link w:val="49"/>
    <w:qFormat/>
    <w:uiPriority w:val="0"/>
    <w:rPr>
      <w:rFonts w:ascii="宋体" w:hAnsi="宋体" w:eastAsia="宋体" w:cs="宋体"/>
      <w:kern w:val="2"/>
      <w:sz w:val="24"/>
      <w:szCs w:val="24"/>
      <w:lang w:val="zh-CN" w:bidi="zh-CN"/>
    </w:rPr>
  </w:style>
  <w:style w:type="character" w:customStyle="1" w:styleId="91">
    <w:name w:val="正文文本首行缩进 2 字符"/>
    <w:basedOn w:val="78"/>
    <w:link w:val="50"/>
    <w:qFormat/>
    <w:uiPriority w:val="99"/>
    <w:rPr>
      <w:rFonts w:ascii="仿宋_GB2312" w:eastAsia="仿宋_GB2312"/>
      <w:kern w:val="2"/>
      <w:sz w:val="32"/>
    </w:rPr>
  </w:style>
  <w:style w:type="character" w:customStyle="1" w:styleId="92">
    <w:name w:val="llyf92"/>
    <w:qFormat/>
    <w:uiPriority w:val="0"/>
    <w:rPr>
      <w:rFonts w:ascii="Calibri" w:hAnsi="Calibri" w:eastAsia="宋体" w:cs="Times New Roman"/>
      <w:sz w:val="18"/>
      <w:szCs w:val="18"/>
    </w:rPr>
  </w:style>
  <w:style w:type="character" w:customStyle="1" w:styleId="93">
    <w:name w:val="font81"/>
    <w:qFormat/>
    <w:uiPriority w:val="0"/>
    <w:rPr>
      <w:rFonts w:ascii="AvantGarde Bk BT" w:hAnsi="AvantGarde Bk BT" w:eastAsia="AvantGarde Bk BT" w:cs="AvantGarde Bk BT"/>
      <w:color w:val="000000"/>
      <w:sz w:val="24"/>
      <w:szCs w:val="24"/>
      <w:u w:val="none"/>
    </w:rPr>
  </w:style>
  <w:style w:type="character" w:customStyle="1" w:styleId="94">
    <w:name w:val="case31"/>
    <w:qFormat/>
    <w:uiPriority w:val="0"/>
    <w:rPr>
      <w:rFonts w:hint="default" w:eastAsia="宋体" w:cs="Times New Roman"/>
      <w:sz w:val="21"/>
      <w:szCs w:val="21"/>
    </w:rPr>
  </w:style>
  <w:style w:type="character" w:customStyle="1" w:styleId="95">
    <w:name w:val="纯文本 Char1"/>
    <w:qFormat/>
    <w:uiPriority w:val="0"/>
    <w:rPr>
      <w:rFonts w:ascii="宋体" w:hAnsi="Courier New" w:eastAsia="宋体" w:cs="Times New Roman"/>
      <w:kern w:val="2"/>
      <w:sz w:val="21"/>
    </w:rPr>
  </w:style>
  <w:style w:type="character" w:customStyle="1" w:styleId="96">
    <w:name w:val="纯文本 字符1"/>
    <w:qFormat/>
    <w:uiPriority w:val="0"/>
    <w:rPr>
      <w:rFonts w:ascii="宋体" w:hAnsi="Courier New" w:eastAsia="宋体" w:cs="Times New Roman"/>
    </w:rPr>
  </w:style>
  <w:style w:type="character" w:customStyle="1" w:styleId="97">
    <w:name w:val="font61"/>
    <w:qFormat/>
    <w:uiPriority w:val="0"/>
    <w:rPr>
      <w:rFonts w:hint="eastAsia" w:ascii="宋体" w:hAnsi="宋体" w:eastAsia="宋体" w:cs="宋体"/>
      <w:color w:val="000000"/>
      <w:sz w:val="24"/>
      <w:szCs w:val="24"/>
      <w:u w:val="none"/>
    </w:rPr>
  </w:style>
  <w:style w:type="character" w:customStyle="1" w:styleId="98">
    <w:name w:val="apple-style-span"/>
    <w:qFormat/>
    <w:uiPriority w:val="0"/>
    <w:rPr>
      <w:rFonts w:ascii="Times New Roman" w:hAnsi="Times New Roman" w:eastAsia="宋体" w:cs="Times New Roman"/>
    </w:rPr>
  </w:style>
  <w:style w:type="character" w:customStyle="1" w:styleId="99">
    <w:name w:val="font11"/>
    <w:qFormat/>
    <w:uiPriority w:val="0"/>
    <w:rPr>
      <w:rFonts w:hint="eastAsia" w:ascii="宋体" w:hAnsi="宋体" w:eastAsia="宋体" w:cs="宋体"/>
      <w:color w:val="000000"/>
      <w:sz w:val="22"/>
      <w:szCs w:val="22"/>
      <w:u w:val="none"/>
    </w:rPr>
  </w:style>
  <w:style w:type="character" w:customStyle="1" w:styleId="100">
    <w:name w:val="1ji Char Char"/>
    <w:link w:val="101"/>
    <w:qFormat/>
    <w:uiPriority w:val="0"/>
    <w:rPr>
      <w:rFonts w:ascii="宋体" w:hAnsi="宋体" w:eastAsia="宋体"/>
      <w:b/>
      <w:bCs/>
      <w:kern w:val="44"/>
      <w:sz w:val="36"/>
      <w:szCs w:val="44"/>
    </w:rPr>
  </w:style>
  <w:style w:type="paragraph" w:customStyle="1" w:styleId="101">
    <w:name w:val="1ji"/>
    <w:basedOn w:val="3"/>
    <w:link w:val="100"/>
    <w:qFormat/>
    <w:uiPriority w:val="0"/>
    <w:pPr>
      <w:keepNext/>
      <w:widowControl/>
      <w:autoSpaceDE/>
      <w:autoSpaceDN/>
      <w:spacing w:before="0"/>
      <w:ind w:left="0"/>
    </w:pPr>
    <w:rPr>
      <w:rFonts w:cs="Times New Roman"/>
      <w:kern w:val="44"/>
      <w:sz w:val="36"/>
      <w:lang w:val="en-US" w:bidi="ar-SA"/>
    </w:rPr>
  </w:style>
  <w:style w:type="character" w:customStyle="1" w:styleId="102">
    <w:name w:val="1051"/>
    <w:qFormat/>
    <w:uiPriority w:val="0"/>
    <w:rPr>
      <w:rFonts w:ascii="Calibri" w:hAnsi="Calibri" w:eastAsia="宋体" w:cs="Times New Roman"/>
      <w:sz w:val="21"/>
      <w:szCs w:val="21"/>
    </w:rPr>
  </w:style>
  <w:style w:type="character" w:customStyle="1" w:styleId="103">
    <w:name w:val="Plain Text Char"/>
    <w:qFormat/>
    <w:uiPriority w:val="0"/>
    <w:rPr>
      <w:rFonts w:ascii="宋体" w:hAnsi="Courier New" w:eastAsia="宋体" w:cs="Times New Roman"/>
    </w:rPr>
  </w:style>
  <w:style w:type="character" w:customStyle="1" w:styleId="104">
    <w:name w:val="style11"/>
    <w:qFormat/>
    <w:uiPriority w:val="0"/>
    <w:rPr>
      <w:rFonts w:hint="default" w:ascii="Arial" w:hAnsi="Arial" w:eastAsia="宋体" w:cs="Arial"/>
    </w:rPr>
  </w:style>
  <w:style w:type="character" w:customStyle="1" w:styleId="105">
    <w:name w:val="apple-converted-space"/>
    <w:qFormat/>
    <w:uiPriority w:val="0"/>
    <w:rPr>
      <w:rFonts w:ascii="Calibri" w:hAnsi="Calibri" w:eastAsia="宋体" w:cs="Times New Roman"/>
    </w:rPr>
  </w:style>
  <w:style w:type="character" w:customStyle="1" w:styleId="106">
    <w:name w:val="font91"/>
    <w:qFormat/>
    <w:uiPriority w:val="0"/>
    <w:rPr>
      <w:rFonts w:hint="default" w:ascii="AvantGarde Bk BT" w:hAnsi="AvantGarde Bk BT" w:eastAsia="AvantGarde Bk BT" w:cs="AvantGarde Bk BT"/>
      <w:color w:val="000000"/>
      <w:sz w:val="28"/>
      <w:szCs w:val="28"/>
      <w:u w:val="none"/>
    </w:rPr>
  </w:style>
  <w:style w:type="character" w:customStyle="1" w:styleId="107">
    <w:name w:val="textcontents"/>
    <w:qFormat/>
    <w:uiPriority w:val="0"/>
    <w:rPr>
      <w:rFonts w:ascii="Times New Roman" w:hAnsi="Times New Roman" w:eastAsia="宋体" w:cs="Times New Roman"/>
    </w:rPr>
  </w:style>
  <w:style w:type="character" w:customStyle="1" w:styleId="108">
    <w:name w:val="style5"/>
    <w:qFormat/>
    <w:uiPriority w:val="0"/>
    <w:rPr>
      <w:rFonts w:ascii="Calibri" w:hAnsi="Calibri" w:eastAsia="宋体" w:cs="Times New Roman"/>
    </w:rPr>
  </w:style>
  <w:style w:type="character" w:customStyle="1" w:styleId="109">
    <w:name w:val="font51"/>
    <w:qFormat/>
    <w:uiPriority w:val="0"/>
    <w:rPr>
      <w:rFonts w:ascii="AvantGarde Bk BT" w:hAnsi="AvantGarde Bk BT" w:eastAsia="AvantGarde Bk BT" w:cs="AvantGarde Bk BT"/>
      <w:color w:val="000000"/>
      <w:sz w:val="24"/>
      <w:szCs w:val="24"/>
      <w:u w:val="none"/>
    </w:rPr>
  </w:style>
  <w:style w:type="character" w:customStyle="1" w:styleId="110">
    <w:name w:val="1ji Char"/>
    <w:qFormat/>
    <w:uiPriority w:val="0"/>
    <w:rPr>
      <w:rFonts w:ascii="宋体" w:hAnsi="宋体" w:eastAsia="宋体" w:cs="Times New Roman"/>
      <w:b/>
      <w:bCs/>
      <w:kern w:val="44"/>
      <w:sz w:val="36"/>
      <w:szCs w:val="44"/>
    </w:rPr>
  </w:style>
  <w:style w:type="character" w:customStyle="1" w:styleId="111">
    <w:name w:val="font21"/>
    <w:qFormat/>
    <w:uiPriority w:val="0"/>
    <w:rPr>
      <w:rFonts w:ascii="AvantGarde Bk BT" w:hAnsi="AvantGarde Bk BT" w:eastAsia="AvantGarde Bk BT" w:cs="AvantGarde Bk BT"/>
      <w:color w:val="FF0000"/>
      <w:sz w:val="24"/>
      <w:szCs w:val="24"/>
      <w:u w:val="none"/>
    </w:rPr>
  </w:style>
  <w:style w:type="character" w:customStyle="1" w:styleId="112">
    <w:name w:val="font01"/>
    <w:qFormat/>
    <w:uiPriority w:val="0"/>
    <w:rPr>
      <w:rFonts w:hint="eastAsia" w:ascii="宋体" w:hAnsi="宋体" w:eastAsia="宋体" w:cs="宋体"/>
      <w:color w:val="000000"/>
      <w:sz w:val="28"/>
      <w:szCs w:val="28"/>
      <w:u w:val="none"/>
    </w:rPr>
  </w:style>
  <w:style w:type="character" w:customStyle="1" w:styleId="113">
    <w:name w:val="font131"/>
    <w:qFormat/>
    <w:uiPriority w:val="0"/>
    <w:rPr>
      <w:rFonts w:ascii="Arial" w:hAnsi="Arial" w:eastAsia="宋体" w:cs="Arial"/>
      <w:color w:val="000000"/>
      <w:sz w:val="22"/>
      <w:szCs w:val="22"/>
      <w:u w:val="none"/>
    </w:rPr>
  </w:style>
  <w:style w:type="character" w:customStyle="1" w:styleId="114">
    <w:name w:val="NormalCharacter"/>
    <w:qFormat/>
    <w:uiPriority w:val="0"/>
    <w:rPr>
      <w:rFonts w:ascii="Times New Roman" w:hAnsi="Times New Roman" w:eastAsia="宋体" w:cs="Times New Roman"/>
    </w:rPr>
  </w:style>
  <w:style w:type="character" w:customStyle="1" w:styleId="115">
    <w:name w:val="text11"/>
    <w:qFormat/>
    <w:uiPriority w:val="0"/>
    <w:rPr>
      <w:rFonts w:hint="default" w:ascii="Verdana" w:hAnsi="Verdana" w:eastAsia="宋体" w:cs="Times New Roman"/>
      <w:color w:val="4E4E4E"/>
      <w:sz w:val="18"/>
      <w:szCs w:val="18"/>
    </w:rPr>
  </w:style>
  <w:style w:type="character" w:customStyle="1" w:styleId="116">
    <w:name w:val="font31"/>
    <w:qFormat/>
    <w:uiPriority w:val="0"/>
    <w:rPr>
      <w:rFonts w:ascii="AvantGarde Bk BT" w:hAnsi="AvantGarde Bk BT" w:eastAsia="AvantGarde Bk BT" w:cs="AvantGarde Bk BT"/>
      <w:color w:val="FF0000"/>
      <w:sz w:val="24"/>
      <w:szCs w:val="24"/>
      <w:u w:val="none"/>
    </w:rPr>
  </w:style>
  <w:style w:type="character" w:customStyle="1" w:styleId="117">
    <w:name w:val="font71"/>
    <w:qFormat/>
    <w:uiPriority w:val="0"/>
    <w:rPr>
      <w:rFonts w:ascii="AvantGarde Bk BT" w:hAnsi="AvantGarde Bk BT" w:eastAsia="AvantGarde Bk BT" w:cs="AvantGarde Bk BT"/>
      <w:color w:val="000000"/>
      <w:sz w:val="28"/>
      <w:szCs w:val="28"/>
      <w:u w:val="none"/>
    </w:rPr>
  </w:style>
  <w:style w:type="character" w:customStyle="1" w:styleId="118">
    <w:name w:val="font41"/>
    <w:qFormat/>
    <w:uiPriority w:val="0"/>
    <w:rPr>
      <w:rFonts w:hint="eastAsia" w:ascii="宋体" w:hAnsi="宋体" w:eastAsia="宋体" w:cs="宋体"/>
      <w:color w:val="000000"/>
      <w:sz w:val="24"/>
      <w:szCs w:val="24"/>
      <w:u w:val="none"/>
    </w:rPr>
  </w:style>
  <w:style w:type="character" w:customStyle="1" w:styleId="119">
    <w:name w:val="param-name"/>
    <w:qFormat/>
    <w:uiPriority w:val="0"/>
    <w:rPr>
      <w:rFonts w:ascii="Times New Roman" w:hAnsi="Times New Roman" w:eastAsia="宋体" w:cs="Times New Roman"/>
    </w:rPr>
  </w:style>
  <w:style w:type="character" w:customStyle="1" w:styleId="120">
    <w:name w:val="font112"/>
    <w:qFormat/>
    <w:uiPriority w:val="0"/>
    <w:rPr>
      <w:rFonts w:hint="eastAsia" w:ascii="宋体" w:hAnsi="宋体" w:eastAsia="宋体" w:cs="宋体"/>
      <w:color w:val="000000"/>
      <w:sz w:val="20"/>
      <w:szCs w:val="20"/>
      <w:u w:val="none"/>
    </w:rPr>
  </w:style>
  <w:style w:type="character" w:customStyle="1" w:styleId="121">
    <w:name w:val="small"/>
    <w:qFormat/>
    <w:uiPriority w:val="0"/>
    <w:rPr>
      <w:rFonts w:ascii="Calibri" w:hAnsi="Calibri" w:eastAsia="宋体" w:cs="Times New Roman"/>
    </w:rPr>
  </w:style>
  <w:style w:type="character" w:customStyle="1" w:styleId="122">
    <w:name w:val="graytext1"/>
    <w:qFormat/>
    <w:uiPriority w:val="0"/>
    <w:rPr>
      <w:rFonts w:ascii="Calibri" w:hAnsi="Calibri" w:eastAsia="宋体" w:cs="Times New Roman"/>
      <w:color w:val="666666"/>
    </w:rPr>
  </w:style>
  <w:style w:type="character" w:customStyle="1" w:styleId="123">
    <w:name w:val="062"/>
    <w:qFormat/>
    <w:uiPriority w:val="0"/>
    <w:rPr>
      <w:rFonts w:ascii="宋体" w:hAnsi="宋体" w:eastAsia="宋体" w:cs="Times New Roman"/>
      <w:b/>
      <w:bCs/>
      <w:sz w:val="32"/>
    </w:rPr>
  </w:style>
  <w:style w:type="character" w:customStyle="1" w:styleId="124">
    <w:name w:val="white"/>
    <w:qFormat/>
    <w:uiPriority w:val="0"/>
    <w:rPr>
      <w:rFonts w:ascii="Calibri" w:hAnsi="Calibri" w:eastAsia="宋体" w:cs="Times New Roman"/>
    </w:rPr>
  </w:style>
  <w:style w:type="character" w:customStyle="1" w:styleId="125">
    <w:name w:val="style21"/>
    <w:qFormat/>
    <w:uiPriority w:val="0"/>
    <w:rPr>
      <w:rFonts w:ascii="Times New Roman" w:hAnsi="Times New Roman" w:eastAsia="宋体" w:cs="Times New Roman"/>
      <w:color w:val="595959"/>
    </w:rPr>
  </w:style>
  <w:style w:type="character" w:customStyle="1" w:styleId="126">
    <w:name w:val="普通文字 Char Char1"/>
    <w:qFormat/>
    <w:uiPriority w:val="0"/>
    <w:rPr>
      <w:rFonts w:ascii="宋体" w:hAnsi="Courier New" w:eastAsia="宋体" w:cs="Courier New"/>
      <w:kern w:val="2"/>
      <w:sz w:val="21"/>
      <w:szCs w:val="21"/>
      <w:lang w:val="en-US" w:eastAsia="zh-CN" w:bidi="ar-SA"/>
    </w:rPr>
  </w:style>
  <w:style w:type="paragraph" w:customStyle="1" w:styleId="127">
    <w:name w:val="默认段落字体 Para Char Char Char Char Char Char Char Char Char1 Char Char Char Char Char Char Char"/>
    <w:basedOn w:val="16"/>
    <w:qFormat/>
    <w:uiPriority w:val="0"/>
    <w:pPr>
      <w:adjustRightInd/>
      <w:spacing w:line="240" w:lineRule="auto"/>
      <w:ind w:firstLine="0" w:firstLineChars="0"/>
      <w:jc w:val="both"/>
      <w:textAlignment w:val="auto"/>
    </w:pPr>
    <w:rPr>
      <w:rFonts w:ascii="宋体" w:hAnsi="宋体" w:cs="Arial"/>
      <w:kern w:val="2"/>
      <w:szCs w:val="21"/>
    </w:rPr>
  </w:style>
  <w:style w:type="paragraph" w:customStyle="1" w:styleId="128">
    <w:name w:val="Char Char2"/>
    <w:basedOn w:val="1"/>
    <w:qFormat/>
    <w:uiPriority w:val="0"/>
    <w:pPr>
      <w:widowControl/>
      <w:autoSpaceDE/>
      <w:autoSpaceDN/>
      <w:spacing w:line="400" w:lineRule="exact"/>
      <w:ind w:firstLine="1044" w:firstLineChars="200"/>
    </w:pPr>
    <w:rPr>
      <w:rFonts w:ascii="Times New Roman" w:hAnsi="Times New Roman" w:cs="Times New Roman"/>
      <w:kern w:val="2"/>
      <w:sz w:val="28"/>
      <w:szCs w:val="20"/>
      <w:lang w:val="en-US" w:bidi="ar-SA"/>
    </w:rPr>
  </w:style>
  <w:style w:type="paragraph" w:customStyle="1" w:styleId="129">
    <w:name w:val="样式 标题 3 + (中文) 黑体 小四 非加粗 段前: 7.8 磅 段后: 0 磅 行距: 固定值 20 磅"/>
    <w:basedOn w:val="5"/>
    <w:qFormat/>
    <w:uiPriority w:val="0"/>
    <w:pPr>
      <w:keepNext/>
      <w:keepLines/>
      <w:autoSpaceDE/>
      <w:autoSpaceDN/>
      <w:spacing w:before="0" w:line="400" w:lineRule="exact"/>
      <w:ind w:firstLine="1044" w:firstLineChars="200"/>
      <w:jc w:val="left"/>
    </w:pPr>
    <w:rPr>
      <w:rFonts w:ascii="Times New Roman" w:hAnsi="Times New Roman" w:eastAsia="黑体" w:cs="宋体"/>
      <w:kern w:val="2"/>
      <w:sz w:val="24"/>
      <w:szCs w:val="20"/>
      <w:lang w:val="en-US" w:bidi="ar-SA"/>
    </w:rPr>
  </w:style>
  <w:style w:type="paragraph" w:customStyle="1" w:styleId="130">
    <w:name w:val="reader-word-layer reader-word-s4-7"/>
    <w:basedOn w:val="1"/>
    <w:qFormat/>
    <w:uiPriority w:val="0"/>
    <w:pPr>
      <w:widowControl/>
      <w:autoSpaceDE/>
      <w:autoSpaceDN/>
      <w:spacing w:before="100" w:beforeAutospacing="1" w:after="100" w:afterAutospacing="1" w:line="400" w:lineRule="exact"/>
      <w:ind w:firstLine="1044" w:firstLineChars="200"/>
    </w:pPr>
    <w:rPr>
      <w:sz w:val="24"/>
      <w:szCs w:val="24"/>
      <w:lang w:val="en-US" w:bidi="ar-SA"/>
    </w:rPr>
  </w:style>
  <w:style w:type="paragraph" w:customStyle="1" w:styleId="131">
    <w:name w:val="_Style 30"/>
    <w:basedOn w:val="1"/>
    <w:qFormat/>
    <w:uiPriority w:val="0"/>
    <w:pPr>
      <w:autoSpaceDE/>
      <w:autoSpaceDN/>
      <w:jc w:val="both"/>
    </w:pPr>
    <w:rPr>
      <w:rFonts w:ascii="仿宋_GB2312" w:hAnsi="Calibri" w:eastAsia="仿宋_GB2312" w:cs="Times New Roman"/>
      <w:b/>
      <w:kern w:val="2"/>
      <w:sz w:val="32"/>
      <w:szCs w:val="32"/>
      <w:lang w:val="en-US" w:bidi="ar-SA"/>
    </w:rPr>
  </w:style>
  <w:style w:type="paragraph" w:customStyle="1" w:styleId="132">
    <w:name w:val="01 正文-首行缩进2字符"/>
    <w:basedOn w:val="1"/>
    <w:qFormat/>
    <w:uiPriority w:val="99"/>
    <w:pPr>
      <w:autoSpaceDE/>
      <w:autoSpaceDN/>
      <w:spacing w:beforeLines="50" w:line="400" w:lineRule="exact"/>
      <w:ind w:firstLine="964" w:firstLineChars="200"/>
    </w:pPr>
    <w:rPr>
      <w:rFonts w:ascii="Arial" w:hAnsi="Arial" w:cs="Times New Roman"/>
      <w:color w:val="000000"/>
      <w:kern w:val="2"/>
      <w:sz w:val="28"/>
      <w:szCs w:val="24"/>
      <w:lang w:val="en-US" w:bidi="ar-SA"/>
    </w:rPr>
  </w:style>
  <w:style w:type="paragraph" w:customStyle="1" w:styleId="133">
    <w:name w:val="Char Char"/>
    <w:basedOn w:val="1"/>
    <w:uiPriority w:val="0"/>
    <w:pPr>
      <w:widowControl/>
      <w:tabs>
        <w:tab w:val="left" w:pos="509"/>
      </w:tabs>
      <w:autoSpaceDE/>
      <w:autoSpaceDN/>
      <w:spacing w:after="160" w:line="240" w:lineRule="exact"/>
      <w:ind w:left="252"/>
    </w:pPr>
    <w:rPr>
      <w:rFonts w:ascii="Verdana" w:hAnsi="Verdana" w:eastAsia="仿宋_GB2312" w:cs="Times New Roman"/>
      <w:sz w:val="24"/>
      <w:szCs w:val="20"/>
      <w:lang w:val="en-US" w:eastAsia="en-US" w:bidi="ar-SA"/>
    </w:rPr>
  </w:style>
  <w:style w:type="paragraph" w:customStyle="1" w:styleId="134">
    <w:name w:val="Heading4"/>
    <w:basedOn w:val="1"/>
    <w:next w:val="1"/>
    <w:uiPriority w:val="0"/>
    <w:pPr>
      <w:keepNext/>
      <w:keepLines/>
      <w:autoSpaceDE/>
      <w:autoSpaceDN/>
      <w:spacing w:before="280" w:after="290" w:line="376" w:lineRule="atLeast"/>
      <w:ind w:firstLine="1044" w:firstLineChars="200"/>
      <w:jc w:val="both"/>
      <w:textAlignment w:val="baseline"/>
    </w:pPr>
    <w:rPr>
      <w:rFonts w:ascii="Cambria" w:hAnsi="Cambria" w:cs="Times New Roman"/>
      <w:b/>
      <w:bCs/>
      <w:kern w:val="2"/>
      <w:sz w:val="28"/>
      <w:szCs w:val="28"/>
      <w:lang w:val="en-US" w:bidi="ar-SA"/>
    </w:rPr>
  </w:style>
  <w:style w:type="paragraph" w:customStyle="1" w:styleId="135">
    <w:name w:val="Char1"/>
    <w:basedOn w:val="1"/>
    <w:qFormat/>
    <w:uiPriority w:val="0"/>
    <w:pPr>
      <w:autoSpaceDE/>
      <w:autoSpaceDN/>
      <w:spacing w:line="400" w:lineRule="exact"/>
      <w:ind w:firstLine="1044" w:firstLineChars="200"/>
    </w:pPr>
    <w:rPr>
      <w:rFonts w:ascii="Times New Roman" w:hAnsi="Times New Roman" w:cs="Times New Roman"/>
      <w:kern w:val="2"/>
      <w:sz w:val="21"/>
      <w:szCs w:val="21"/>
      <w:lang w:val="en-US" w:bidi="ar-SA"/>
    </w:rPr>
  </w:style>
  <w:style w:type="paragraph" w:customStyle="1" w:styleId="136">
    <w:name w:val="Char Char Char Char Char Char Char"/>
    <w:basedOn w:val="1"/>
    <w:qFormat/>
    <w:uiPriority w:val="0"/>
    <w:pPr>
      <w:autoSpaceDE/>
      <w:autoSpaceDN/>
      <w:jc w:val="both"/>
    </w:pPr>
    <w:rPr>
      <w:rFonts w:ascii="Calibri" w:hAnsi="Calibri" w:cs="Times New Roman"/>
      <w:kern w:val="2"/>
      <w:sz w:val="21"/>
      <w:szCs w:val="24"/>
      <w:lang w:val="en-US" w:bidi="ar-SA"/>
    </w:rPr>
  </w:style>
  <w:style w:type="paragraph" w:customStyle="1" w:styleId="137">
    <w:name w:val="p16"/>
    <w:basedOn w:val="1"/>
    <w:qFormat/>
    <w:uiPriority w:val="0"/>
    <w:pPr>
      <w:widowControl/>
      <w:autoSpaceDE/>
      <w:autoSpaceDN/>
      <w:jc w:val="both"/>
    </w:pPr>
    <w:rPr>
      <w:sz w:val="21"/>
      <w:szCs w:val="21"/>
      <w:lang w:val="en-US" w:bidi="ar-SA"/>
    </w:rPr>
  </w:style>
  <w:style w:type="paragraph" w:customStyle="1" w:styleId="138">
    <w:name w:val="样式 标题 2 + Times New Roman 四号 非加粗 段前: 5 磅 段后: 0 磅 行距: 固定值 20..."/>
    <w:basedOn w:val="4"/>
    <w:qFormat/>
    <w:uiPriority w:val="0"/>
    <w:pPr>
      <w:keepNext/>
      <w:keepLines/>
      <w:autoSpaceDE/>
      <w:autoSpaceDN/>
      <w:spacing w:before="100" w:line="400" w:lineRule="exact"/>
      <w:ind w:left="0" w:firstLine="1044" w:firstLineChars="200"/>
      <w:jc w:val="left"/>
    </w:pPr>
    <w:rPr>
      <w:rFonts w:ascii="Times New Roman" w:hAnsi="Times New Roman"/>
      <w:sz w:val="28"/>
      <w:szCs w:val="20"/>
      <w:lang w:val="en-US" w:bidi="ar-SA"/>
    </w:rPr>
  </w:style>
  <w:style w:type="paragraph" w:customStyle="1" w:styleId="139">
    <w:name w:val="Char Char Char"/>
    <w:basedOn w:val="1"/>
    <w:qFormat/>
    <w:uiPriority w:val="0"/>
    <w:pPr>
      <w:autoSpaceDE/>
      <w:autoSpaceDN/>
      <w:spacing w:line="400" w:lineRule="exact"/>
      <w:ind w:firstLine="1044" w:firstLineChars="200"/>
    </w:pPr>
    <w:rPr>
      <w:rFonts w:ascii="Tahoma" w:hAnsi="Tahoma" w:cs="Times New Roman"/>
      <w:kern w:val="2"/>
      <w:sz w:val="24"/>
      <w:szCs w:val="20"/>
      <w:lang w:val="en-US" w:bidi="ar-SA"/>
    </w:rPr>
  </w:style>
  <w:style w:type="paragraph" w:customStyle="1" w:styleId="140">
    <w:name w:val="Char"/>
    <w:basedOn w:val="1"/>
    <w:qFormat/>
    <w:uiPriority w:val="0"/>
    <w:pPr>
      <w:widowControl/>
      <w:autoSpaceDE/>
      <w:autoSpaceDN/>
      <w:spacing w:line="500" w:lineRule="exact"/>
      <w:ind w:firstLine="1044" w:firstLineChars="200"/>
      <w:outlineLvl w:val="2"/>
    </w:pPr>
    <w:rPr>
      <w:rFonts w:ascii="黑体" w:hAnsi="Verdana" w:eastAsia="黑体" w:cs="黑体"/>
      <w:sz w:val="28"/>
      <w:szCs w:val="28"/>
      <w:lang w:val="en-US" w:eastAsia="en-US" w:bidi="ar-SA"/>
    </w:rPr>
  </w:style>
  <w:style w:type="paragraph" w:customStyle="1" w:styleId="141">
    <w:name w:val="_Style 15"/>
    <w:basedOn w:val="16"/>
    <w:qFormat/>
    <w:uiPriority w:val="0"/>
    <w:pPr>
      <w:adjustRightInd/>
      <w:spacing w:line="240" w:lineRule="auto"/>
      <w:ind w:firstLine="0" w:firstLineChars="0"/>
      <w:jc w:val="both"/>
      <w:textAlignment w:val="auto"/>
    </w:pPr>
    <w:rPr>
      <w:rFonts w:ascii="Tahoma" w:hAnsi="Tahoma"/>
      <w:kern w:val="2"/>
      <w:sz w:val="24"/>
      <w:szCs w:val="24"/>
    </w:rPr>
  </w:style>
  <w:style w:type="paragraph" w:customStyle="1" w:styleId="142">
    <w:name w:val="表内文字"/>
    <w:basedOn w:val="1"/>
    <w:qFormat/>
    <w:uiPriority w:val="0"/>
    <w:pPr>
      <w:autoSpaceDE/>
      <w:autoSpaceDN/>
      <w:snapToGrid w:val="0"/>
      <w:spacing w:before="50" w:after="50" w:line="400" w:lineRule="exact"/>
      <w:ind w:firstLine="1044" w:firstLineChars="200"/>
      <w:jc w:val="center"/>
    </w:pPr>
    <w:rPr>
      <w:rFonts w:ascii="仿宋_GB2312" w:eastAsia="仿宋_GB2312" w:cs="Times New Roman"/>
      <w:b/>
      <w:color w:val="000000"/>
      <w:kern w:val="2"/>
      <w:sz w:val="32"/>
      <w:szCs w:val="32"/>
      <w:lang w:val="en-US" w:bidi="ar-SA"/>
    </w:rPr>
  </w:style>
  <w:style w:type="paragraph" w:customStyle="1" w:styleId="143">
    <w:name w:val="2-2ji"/>
    <w:basedOn w:val="4"/>
    <w:qFormat/>
    <w:uiPriority w:val="0"/>
    <w:pPr>
      <w:keepNext/>
      <w:keepLines/>
      <w:autoSpaceDE/>
      <w:autoSpaceDN/>
      <w:adjustRightInd w:val="0"/>
      <w:spacing w:before="0" w:line="360" w:lineRule="auto"/>
      <w:ind w:left="0" w:firstLine="1044" w:firstLineChars="200"/>
      <w:textAlignment w:val="baseline"/>
    </w:pPr>
    <w:rPr>
      <w:rFonts w:cs="Times New Roman"/>
      <w:b/>
      <w:sz w:val="36"/>
      <w:szCs w:val="32"/>
      <w:lang w:val="en-US" w:bidi="ar-SA"/>
    </w:rPr>
  </w:style>
  <w:style w:type="paragraph" w:customStyle="1" w:styleId="144">
    <w:name w:val="默认段落字体 Para Char Char Char Char Char Char Char Char Char1 Char Char Char Char"/>
    <w:basedOn w:val="1"/>
    <w:qFormat/>
    <w:uiPriority w:val="0"/>
    <w:pPr>
      <w:autoSpaceDE/>
      <w:autoSpaceDN/>
      <w:spacing w:line="400" w:lineRule="exact"/>
      <w:ind w:firstLine="1044" w:firstLineChars="200"/>
    </w:pPr>
    <w:rPr>
      <w:rFonts w:ascii="Tahoma" w:hAnsi="Tahoma" w:cs="Times New Roman"/>
      <w:kern w:val="2"/>
      <w:sz w:val="24"/>
      <w:szCs w:val="20"/>
      <w:lang w:val="en-US" w:bidi="ar-SA"/>
    </w:rPr>
  </w:style>
  <w:style w:type="paragraph" w:customStyle="1" w:styleId="145">
    <w:name w:val="正文段"/>
    <w:basedOn w:val="1"/>
    <w:uiPriority w:val="0"/>
    <w:pPr>
      <w:widowControl/>
      <w:autoSpaceDE/>
      <w:autoSpaceDN/>
      <w:snapToGrid w:val="0"/>
      <w:spacing w:afterLines="50" w:line="400" w:lineRule="exact"/>
      <w:ind w:firstLine="200" w:firstLineChars="200"/>
    </w:pPr>
    <w:rPr>
      <w:rFonts w:ascii="Times New Roman" w:hAnsi="Times New Roman" w:cs="Times New Roman"/>
      <w:sz w:val="24"/>
      <w:szCs w:val="20"/>
      <w:lang w:val="en-US" w:bidi="ar-SA"/>
    </w:rPr>
  </w:style>
  <w:style w:type="paragraph" w:customStyle="1" w:styleId="146">
    <w:name w:val="缺省文本"/>
    <w:basedOn w:val="1"/>
    <w:qFormat/>
    <w:uiPriority w:val="0"/>
    <w:pPr>
      <w:adjustRightInd w:val="0"/>
      <w:spacing w:line="360" w:lineRule="auto"/>
    </w:pPr>
    <w:rPr>
      <w:rFonts w:ascii="Calibri" w:hAnsi="Calibri" w:cs="Times New Roman"/>
      <w:sz w:val="24"/>
      <w:szCs w:val="20"/>
      <w:lang w:val="en-US" w:bidi="ar-SA"/>
    </w:rPr>
  </w:style>
  <w:style w:type="paragraph" w:customStyle="1" w:styleId="147">
    <w:name w:val="默认段落字体 Para Char Char Char Char Char Char Char Char Char Char"/>
    <w:basedOn w:val="1"/>
    <w:uiPriority w:val="0"/>
    <w:pPr>
      <w:widowControl/>
      <w:autoSpaceDE/>
      <w:autoSpaceDN/>
      <w:snapToGrid w:val="0"/>
      <w:spacing w:before="80" w:after="80"/>
      <w:ind w:left="1701"/>
      <w:jc w:val="both"/>
    </w:pPr>
    <w:rPr>
      <w:rFonts w:ascii="Arial" w:hAnsi="Arial" w:cs="Arial"/>
      <w:kern w:val="2"/>
      <w:sz w:val="21"/>
      <w:szCs w:val="24"/>
      <w:lang w:val="en-US" w:bidi="ar-SA"/>
    </w:rPr>
  </w:style>
  <w:style w:type="paragraph" w:customStyle="1" w:styleId="148">
    <w:name w:val="444"/>
    <w:basedOn w:val="1"/>
    <w:uiPriority w:val="0"/>
    <w:pPr>
      <w:autoSpaceDE/>
      <w:autoSpaceDN/>
      <w:adjustRightInd w:val="0"/>
      <w:spacing w:line="312" w:lineRule="atLeast"/>
      <w:ind w:firstLine="1044" w:firstLineChars="200"/>
      <w:jc w:val="center"/>
      <w:textAlignment w:val="baseline"/>
    </w:pPr>
    <w:rPr>
      <w:rFonts w:ascii="Times New Roman" w:hAnsi="Times New Roman" w:cs="Times New Roman"/>
      <w:b/>
      <w:sz w:val="36"/>
      <w:szCs w:val="36"/>
      <w:lang w:val="en-US" w:bidi="ar-SA"/>
    </w:rPr>
  </w:style>
  <w:style w:type="paragraph" w:customStyle="1" w:styleId="149">
    <w:name w:val="列出段落1"/>
    <w:basedOn w:val="1"/>
    <w:qFormat/>
    <w:uiPriority w:val="0"/>
    <w:pPr>
      <w:autoSpaceDE/>
      <w:autoSpaceDN/>
      <w:spacing w:line="400" w:lineRule="exact"/>
      <w:ind w:firstLine="420" w:firstLineChars="200"/>
    </w:pPr>
    <w:rPr>
      <w:rFonts w:ascii="Calibri" w:hAnsi="Calibri" w:cs="Times New Roman"/>
      <w:kern w:val="2"/>
      <w:sz w:val="21"/>
      <w:lang w:val="en-US" w:bidi="ar-SA"/>
    </w:rPr>
  </w:style>
  <w:style w:type="paragraph" w:customStyle="1" w:styleId="150">
    <w:name w:val="PlainText"/>
    <w:basedOn w:val="1"/>
    <w:next w:val="134"/>
    <w:qFormat/>
    <w:uiPriority w:val="0"/>
    <w:pPr>
      <w:autoSpaceDE/>
      <w:autoSpaceDN/>
      <w:ind w:firstLine="1044" w:firstLineChars="200"/>
      <w:jc w:val="both"/>
      <w:textAlignment w:val="baseline"/>
    </w:pPr>
    <w:rPr>
      <w:rFonts w:hAnsi="Courier New" w:cs="Times New Roman"/>
      <w:sz w:val="20"/>
      <w:szCs w:val="21"/>
      <w:lang w:val="en-US" w:bidi="ar-SA"/>
    </w:rPr>
  </w:style>
  <w:style w:type="paragraph" w:customStyle="1" w:styleId="151">
    <w:name w:val="表格文字"/>
    <w:basedOn w:val="1"/>
    <w:qFormat/>
    <w:uiPriority w:val="99"/>
    <w:pPr>
      <w:autoSpaceDE/>
      <w:autoSpaceDN/>
      <w:spacing w:before="25" w:after="25" w:line="400" w:lineRule="exact"/>
      <w:ind w:firstLine="1044" w:firstLineChars="200"/>
    </w:pPr>
    <w:rPr>
      <w:rFonts w:ascii="Times New Roman" w:hAnsi="Times New Roman" w:cs="Times New Roman"/>
      <w:bCs/>
      <w:spacing w:val="10"/>
      <w:sz w:val="24"/>
      <w:szCs w:val="24"/>
      <w:lang w:val="en-US" w:bidi="ar-SA"/>
    </w:rPr>
  </w:style>
  <w:style w:type="paragraph" w:customStyle="1" w:styleId="152">
    <w:name w:val="表格"/>
    <w:basedOn w:val="1"/>
    <w:qFormat/>
    <w:uiPriority w:val="0"/>
    <w:pPr>
      <w:autoSpaceDE/>
      <w:autoSpaceDN/>
      <w:spacing w:line="400" w:lineRule="exact"/>
      <w:ind w:firstLine="1044" w:firstLineChars="200"/>
    </w:pPr>
    <w:rPr>
      <w:rFonts w:ascii="Times New Roman" w:hAnsi="Times New Roman" w:cs="Times New Roman"/>
      <w:kern w:val="2"/>
      <w:sz w:val="24"/>
      <w:szCs w:val="24"/>
      <w:lang w:val="en-US" w:bidi="ar-SA"/>
    </w:rPr>
  </w:style>
  <w:style w:type="paragraph" w:customStyle="1" w:styleId="153">
    <w:name w:val="reader-word-layer reader-word-s4-6"/>
    <w:basedOn w:val="1"/>
    <w:qFormat/>
    <w:uiPriority w:val="0"/>
    <w:pPr>
      <w:widowControl/>
      <w:autoSpaceDE/>
      <w:autoSpaceDN/>
      <w:spacing w:before="100" w:beforeAutospacing="1" w:after="100" w:afterAutospacing="1" w:line="400" w:lineRule="exact"/>
      <w:ind w:firstLine="1044" w:firstLineChars="200"/>
    </w:pPr>
    <w:rPr>
      <w:sz w:val="24"/>
      <w:szCs w:val="24"/>
      <w:lang w:val="en-US" w:bidi="ar-SA"/>
    </w:rPr>
  </w:style>
  <w:style w:type="paragraph" w:customStyle="1" w:styleId="154">
    <w:name w:val="BodyText"/>
    <w:basedOn w:val="1"/>
    <w:qFormat/>
    <w:uiPriority w:val="0"/>
    <w:pPr>
      <w:autoSpaceDE/>
      <w:autoSpaceDN/>
      <w:spacing w:line="380" w:lineRule="exact"/>
      <w:ind w:firstLine="1044" w:firstLineChars="200"/>
      <w:jc w:val="both"/>
      <w:textAlignment w:val="baseline"/>
    </w:pPr>
    <w:rPr>
      <w:rFonts w:ascii="Times New Roman" w:hAnsi="Times New Roman" w:cs="Times New Roman"/>
      <w:sz w:val="24"/>
      <w:szCs w:val="24"/>
      <w:lang w:val="en-US" w:bidi="ar-SA"/>
    </w:rPr>
  </w:style>
  <w:style w:type="paragraph" w:customStyle="1" w:styleId="155">
    <w:name w:val="Char2"/>
    <w:basedOn w:val="1"/>
    <w:qFormat/>
    <w:uiPriority w:val="0"/>
    <w:pPr>
      <w:widowControl/>
      <w:autoSpaceDE/>
      <w:autoSpaceDN/>
      <w:spacing w:after="160" w:line="240" w:lineRule="exact"/>
      <w:ind w:firstLine="1044" w:firstLineChars="200"/>
    </w:pPr>
    <w:rPr>
      <w:rFonts w:ascii="Verdana" w:hAnsi="Verdana" w:cs="Times New Roman"/>
      <w:sz w:val="21"/>
      <w:szCs w:val="20"/>
      <w:lang w:val="en-US" w:eastAsia="en-US" w:bidi="ar-SA"/>
    </w:rPr>
  </w:style>
  <w:style w:type="paragraph" w:customStyle="1" w:styleId="156">
    <w:name w:val="Char Char1"/>
    <w:basedOn w:val="1"/>
    <w:qFormat/>
    <w:uiPriority w:val="0"/>
    <w:pPr>
      <w:widowControl/>
      <w:autoSpaceDE/>
      <w:autoSpaceDN/>
      <w:spacing w:after="160" w:line="240" w:lineRule="exact"/>
      <w:ind w:firstLine="1044" w:firstLineChars="200"/>
    </w:pPr>
    <w:rPr>
      <w:rFonts w:ascii="Verdana" w:hAnsi="Verdana" w:eastAsia="楷体_GB2312" w:cs="Times New Roman"/>
      <w:b/>
      <w:i/>
      <w:iCs/>
      <w:color w:val="000000"/>
      <w:sz w:val="20"/>
      <w:szCs w:val="20"/>
      <w:lang w:val="en-US" w:eastAsia="en-US" w:bidi="ar-SA"/>
    </w:rPr>
  </w:style>
  <w:style w:type="paragraph" w:customStyle="1" w:styleId="157">
    <w:name w:val="F2"/>
    <w:basedOn w:val="1"/>
    <w:qFormat/>
    <w:uiPriority w:val="0"/>
    <w:pPr>
      <w:adjustRightInd w:val="0"/>
      <w:spacing w:line="400" w:lineRule="exact"/>
      <w:ind w:firstLine="601" w:firstLineChars="200"/>
      <w:textAlignment w:val="baseline"/>
    </w:pPr>
    <w:rPr>
      <w:rFonts w:ascii="Times New Roman" w:hAnsi="Times New Roman" w:cs="Times New Roman"/>
      <w:sz w:val="24"/>
      <w:szCs w:val="20"/>
      <w:lang w:val="en-US" w:bidi="ar-SA"/>
    </w:rPr>
  </w:style>
  <w:style w:type="paragraph" w:customStyle="1" w:styleId="158">
    <w:name w:val="样式1"/>
    <w:basedOn w:val="1"/>
    <w:qFormat/>
    <w:uiPriority w:val="0"/>
    <w:pPr>
      <w:autoSpaceDE/>
      <w:autoSpaceDN/>
      <w:spacing w:before="120" w:after="120" w:line="300" w:lineRule="auto"/>
      <w:ind w:firstLine="1044" w:firstLineChars="200"/>
    </w:pPr>
    <w:rPr>
      <w:rFonts w:cs="Times New Roman"/>
      <w:b/>
      <w:kern w:val="2"/>
      <w:sz w:val="24"/>
      <w:szCs w:val="20"/>
      <w:lang w:val="en-US" w:bidi="ar-SA"/>
    </w:rPr>
  </w:style>
  <w:style w:type="paragraph" w:customStyle="1" w:styleId="159">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60">
    <w:name w:val="reader-word-layer reader-word-s4-9"/>
    <w:basedOn w:val="1"/>
    <w:qFormat/>
    <w:uiPriority w:val="0"/>
    <w:pPr>
      <w:widowControl/>
      <w:autoSpaceDE/>
      <w:autoSpaceDN/>
      <w:spacing w:before="100" w:beforeAutospacing="1" w:after="100" w:afterAutospacing="1" w:line="400" w:lineRule="exact"/>
      <w:ind w:firstLine="1044" w:firstLineChars="200"/>
    </w:pPr>
    <w:rPr>
      <w:sz w:val="24"/>
      <w:szCs w:val="24"/>
      <w:lang w:val="en-US" w:bidi="ar-SA"/>
    </w:rPr>
  </w:style>
  <w:style w:type="paragraph" w:customStyle="1" w:styleId="161">
    <w:name w:val="reader-word-layer reader-word-s3-13"/>
    <w:basedOn w:val="1"/>
    <w:qFormat/>
    <w:uiPriority w:val="0"/>
    <w:pPr>
      <w:widowControl/>
      <w:autoSpaceDE/>
      <w:autoSpaceDN/>
      <w:spacing w:before="100" w:beforeAutospacing="1" w:after="100" w:afterAutospacing="1" w:line="400" w:lineRule="exact"/>
      <w:ind w:firstLine="1044" w:firstLineChars="200"/>
    </w:pPr>
    <w:rPr>
      <w:sz w:val="24"/>
      <w:szCs w:val="24"/>
      <w:lang w:val="en-US" w:bidi="ar-SA"/>
    </w:rPr>
  </w:style>
  <w:style w:type="paragraph" w:customStyle="1" w:styleId="162">
    <w:name w:val="Default"/>
    <w:basedOn w:val="47"/>
    <w:next w:val="3"/>
    <w:qFormat/>
    <w:uiPriority w:val="0"/>
    <w:pPr>
      <w:autoSpaceDE w:val="0"/>
      <w:autoSpaceDN w:val="0"/>
      <w:adjustRightInd w:val="0"/>
    </w:pPr>
    <w:rPr>
      <w:rFonts w:ascii="宋体" w:cs="宋体"/>
      <w:color w:val="000000"/>
      <w:sz w:val="24"/>
      <w:szCs w:val="24"/>
    </w:rPr>
  </w:style>
  <w:style w:type="paragraph" w:customStyle="1" w:styleId="163">
    <w:name w:val="msolistparagraph"/>
    <w:basedOn w:val="1"/>
    <w:qFormat/>
    <w:uiPriority w:val="0"/>
    <w:pPr>
      <w:widowControl/>
      <w:autoSpaceDE/>
      <w:autoSpaceDN/>
      <w:spacing w:before="100" w:beforeAutospacing="1" w:after="100" w:afterAutospacing="1" w:line="400" w:lineRule="exact"/>
      <w:ind w:firstLine="1044" w:firstLineChars="200"/>
    </w:pPr>
    <w:rPr>
      <w:sz w:val="24"/>
      <w:szCs w:val="24"/>
      <w:lang w:val="en-US" w:bidi="ar-SA"/>
    </w:rPr>
  </w:style>
  <w:style w:type="paragraph" w:customStyle="1" w:styleId="164">
    <w:name w:val="xl26"/>
    <w:basedOn w:val="1"/>
    <w:qFormat/>
    <w:uiPriority w:val="0"/>
    <w:pPr>
      <w:widowControl/>
      <w:pBdr>
        <w:left w:val="single" w:color="auto" w:sz="4" w:space="0"/>
        <w:bottom w:val="single" w:color="auto" w:sz="4" w:space="0"/>
        <w:right w:val="single" w:color="auto" w:sz="4" w:space="0"/>
      </w:pBdr>
      <w:autoSpaceDE/>
      <w:autoSpaceDN/>
      <w:spacing w:before="100" w:beforeAutospacing="1" w:after="100" w:afterAutospacing="1"/>
      <w:jc w:val="center"/>
    </w:pPr>
    <w:rPr>
      <w:rFonts w:ascii="Times New Roman" w:hAnsi="Times New Roman" w:cs="Times New Roman"/>
      <w:sz w:val="21"/>
      <w:szCs w:val="21"/>
      <w:lang w:val="en-US" w:bidi="ar-SA"/>
    </w:rPr>
  </w:style>
  <w:style w:type="paragraph" w:customStyle="1" w:styleId="165">
    <w:name w:val="reader-word-layer reader-word-s4-1"/>
    <w:basedOn w:val="1"/>
    <w:qFormat/>
    <w:uiPriority w:val="0"/>
    <w:pPr>
      <w:widowControl/>
      <w:autoSpaceDE/>
      <w:autoSpaceDN/>
      <w:spacing w:before="100" w:beforeAutospacing="1" w:after="100" w:afterAutospacing="1" w:line="400" w:lineRule="exact"/>
      <w:ind w:firstLine="1044" w:firstLineChars="200"/>
    </w:pPr>
    <w:rPr>
      <w:sz w:val="24"/>
      <w:szCs w:val="24"/>
      <w:lang w:val="en-US" w:bidi="ar-SA"/>
    </w:rPr>
  </w:style>
  <w:style w:type="paragraph" w:customStyle="1" w:styleId="166">
    <w:name w:val="p0"/>
    <w:basedOn w:val="1"/>
    <w:qFormat/>
    <w:uiPriority w:val="0"/>
    <w:pPr>
      <w:widowControl/>
      <w:autoSpaceDE/>
      <w:autoSpaceDN/>
      <w:spacing w:line="400" w:lineRule="exact"/>
      <w:ind w:firstLine="1044" w:firstLineChars="200"/>
    </w:pPr>
    <w:rPr>
      <w:rFonts w:ascii="Times New Roman" w:hAnsi="Times New Roman" w:cs="Times New Roman"/>
      <w:sz w:val="21"/>
      <w:szCs w:val="21"/>
      <w:lang w:val="en-US" w:bidi="ar-SA"/>
    </w:rPr>
  </w:style>
  <w:style w:type="paragraph" w:customStyle="1" w:styleId="167">
    <w:name w:val="列出段落11"/>
    <w:basedOn w:val="1"/>
    <w:qFormat/>
    <w:uiPriority w:val="0"/>
    <w:pPr>
      <w:autoSpaceDE/>
      <w:autoSpaceDN/>
      <w:spacing w:line="400" w:lineRule="exact"/>
      <w:ind w:firstLine="420" w:firstLineChars="200"/>
    </w:pPr>
    <w:rPr>
      <w:rFonts w:ascii="Calibri" w:hAnsi="Calibri" w:cs="Times New Roman"/>
      <w:kern w:val="2"/>
      <w:sz w:val="21"/>
      <w:lang w:val="en-US" w:bidi="ar-SA"/>
    </w:rPr>
  </w:style>
  <w:style w:type="paragraph" w:customStyle="1" w:styleId="168">
    <w:name w:val="次小点说明 Char"/>
    <w:basedOn w:val="2"/>
    <w:uiPriority w:val="0"/>
    <w:pPr>
      <w:widowControl w:val="0"/>
      <w:autoSpaceDE/>
      <w:autoSpaceDN/>
      <w:ind w:firstLine="0"/>
      <w:jc w:val="both"/>
    </w:pPr>
    <w:rPr>
      <w:rFonts w:ascii="Calibri" w:hAnsi="Calibri" w:cs="Times New Roman"/>
      <w:kern w:val="2"/>
      <w:sz w:val="24"/>
      <w:szCs w:val="24"/>
      <w:lang w:val="en-US" w:bidi="ar-SA"/>
    </w:rPr>
  </w:style>
  <w:style w:type="paragraph" w:customStyle="1" w:styleId="169">
    <w:name w:val="样式 首行缩进:  2 字符"/>
    <w:basedOn w:val="1"/>
    <w:qFormat/>
    <w:uiPriority w:val="0"/>
    <w:pPr>
      <w:autoSpaceDE/>
      <w:autoSpaceDN/>
      <w:spacing w:line="400" w:lineRule="exact"/>
      <w:ind w:firstLine="200" w:firstLineChars="200"/>
    </w:pPr>
    <w:rPr>
      <w:rFonts w:ascii="Times New Roman" w:hAnsi="Times New Roman"/>
      <w:kern w:val="2"/>
      <w:sz w:val="24"/>
      <w:szCs w:val="24"/>
      <w:lang w:val="en-US" w:bidi="ar-SA"/>
    </w:rPr>
  </w:style>
  <w:style w:type="paragraph" w:customStyle="1" w:styleId="170">
    <w:name w:val="reader-word-layer reader-word-s3-14"/>
    <w:basedOn w:val="1"/>
    <w:qFormat/>
    <w:uiPriority w:val="0"/>
    <w:pPr>
      <w:widowControl/>
      <w:autoSpaceDE/>
      <w:autoSpaceDN/>
      <w:spacing w:before="100" w:beforeAutospacing="1" w:after="100" w:afterAutospacing="1" w:line="400" w:lineRule="exact"/>
      <w:ind w:firstLine="1044" w:firstLineChars="200"/>
    </w:pPr>
    <w:rPr>
      <w:sz w:val="24"/>
      <w:szCs w:val="24"/>
      <w:lang w:val="en-US" w:bidi="ar-SA"/>
    </w:rPr>
  </w:style>
  <w:style w:type="paragraph" w:customStyle="1" w:styleId="171">
    <w:name w:val="样式 Verdana 首行缩进:  0.74 厘米"/>
    <w:basedOn w:val="1"/>
    <w:qFormat/>
    <w:uiPriority w:val="0"/>
    <w:pPr>
      <w:autoSpaceDE/>
      <w:autoSpaceDN/>
      <w:spacing w:line="360" w:lineRule="auto"/>
      <w:ind w:firstLine="420" w:firstLineChars="200"/>
    </w:pPr>
    <w:rPr>
      <w:rFonts w:ascii="Verdana" w:hAnsi="Verdana" w:cs="Times New Roman"/>
      <w:kern w:val="2"/>
      <w:sz w:val="24"/>
      <w:szCs w:val="20"/>
      <w:lang w:val="en-US" w:bidi="ar-SA"/>
    </w:rPr>
  </w:style>
  <w:style w:type="paragraph" w:customStyle="1" w:styleId="172">
    <w:name w:val="首行缩进"/>
    <w:basedOn w:val="1"/>
    <w:qFormat/>
    <w:uiPriority w:val="0"/>
    <w:pPr>
      <w:autoSpaceDE/>
      <w:autoSpaceDN/>
      <w:spacing w:line="400" w:lineRule="exact"/>
      <w:ind w:firstLine="480" w:firstLineChars="200"/>
    </w:pPr>
    <w:rPr>
      <w:rFonts w:ascii="Times New Roman" w:hAnsi="Times New Roman" w:cs="Times New Roman"/>
      <w:kern w:val="2"/>
      <w:sz w:val="21"/>
      <w:szCs w:val="24"/>
      <w:lang w:bidi="ar-SA"/>
    </w:rPr>
  </w:style>
  <w:style w:type="paragraph" w:customStyle="1" w:styleId="173">
    <w:name w:val="1"/>
    <w:basedOn w:val="1"/>
    <w:next w:val="27"/>
    <w:uiPriority w:val="0"/>
    <w:pPr>
      <w:autoSpaceDE/>
      <w:autoSpaceDN/>
      <w:spacing w:line="400" w:lineRule="exact"/>
      <w:ind w:firstLine="1044" w:firstLineChars="200"/>
    </w:pPr>
    <w:rPr>
      <w:rFonts w:hAnsi="Courier New" w:cs="Times New Roman"/>
      <w:kern w:val="2"/>
      <w:sz w:val="21"/>
      <w:szCs w:val="20"/>
      <w:lang w:val="en-US" w:bidi="ar-SA"/>
    </w:rPr>
  </w:style>
  <w:style w:type="paragraph" w:customStyle="1" w:styleId="174">
    <w:name w:val="reader-word-layer reader-word-s4-10"/>
    <w:basedOn w:val="1"/>
    <w:qFormat/>
    <w:uiPriority w:val="0"/>
    <w:pPr>
      <w:widowControl/>
      <w:autoSpaceDE/>
      <w:autoSpaceDN/>
      <w:spacing w:before="100" w:beforeAutospacing="1" w:after="100" w:afterAutospacing="1" w:line="400" w:lineRule="exact"/>
      <w:ind w:firstLine="1044" w:firstLineChars="200"/>
    </w:pPr>
    <w:rPr>
      <w:sz w:val="24"/>
      <w:szCs w:val="24"/>
      <w:lang w:val="en-US" w:bidi="ar-SA"/>
    </w:rPr>
  </w:style>
  <w:style w:type="paragraph" w:styleId="175">
    <w:name w:val="No Spacing"/>
    <w:basedOn w:val="1"/>
    <w:qFormat/>
    <w:uiPriority w:val="0"/>
    <w:pPr>
      <w:autoSpaceDE/>
      <w:autoSpaceDN/>
      <w:jc w:val="both"/>
    </w:pPr>
    <w:rPr>
      <w:rFonts w:ascii="Calibri" w:hAnsi="Calibri" w:cs="Times New Roman"/>
      <w:kern w:val="2"/>
      <w:sz w:val="21"/>
      <w:szCs w:val="21"/>
      <w:lang w:val="en-US" w:bidi="ar-SA"/>
    </w:rPr>
  </w:style>
  <w:style w:type="paragraph" w:customStyle="1" w:styleId="176">
    <w:name w:val="标题 71"/>
    <w:next w:val="177"/>
    <w:qFormat/>
    <w:uiPriority w:val="0"/>
    <w:pPr>
      <w:keepNext/>
      <w:framePr w:wrap="around" w:vAnchor="margin" w:hAnchor="text" w:yAlign="top"/>
      <w:spacing w:before="80" w:after="60" w:line="440" w:lineRule="atLeast"/>
      <w:jc w:val="both"/>
      <w:outlineLvl w:val="6"/>
    </w:pPr>
    <w:rPr>
      <w:rFonts w:hint="eastAsia" w:ascii="Arial Unicode MS" w:hAnsi="Arial Unicode MS" w:eastAsia="Times New Roman" w:cs="Arial Unicode MS"/>
      <w:b/>
      <w:bCs/>
      <w:color w:val="000000"/>
      <w:kern w:val="28"/>
      <w:sz w:val="28"/>
      <w:szCs w:val="28"/>
      <w:u w:color="000000"/>
      <w:lang w:val="en-US" w:eastAsia="zh-CN" w:bidi="ar-SA"/>
    </w:rPr>
  </w:style>
  <w:style w:type="paragraph" w:customStyle="1" w:styleId="177">
    <w:name w:val="正文 A"/>
    <w:qFormat/>
    <w:uiPriority w:val="0"/>
    <w:pPr>
      <w:framePr w:wrap="around" w:vAnchor="margin" w:hAnchor="text" w:yAlign="top"/>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178">
    <w:name w:val="Char Char Char1"/>
    <w:basedOn w:val="1"/>
    <w:qFormat/>
    <w:uiPriority w:val="0"/>
    <w:pPr>
      <w:autoSpaceDE/>
      <w:autoSpaceDN/>
      <w:spacing w:line="400" w:lineRule="exact"/>
      <w:ind w:firstLine="1044" w:firstLineChars="200"/>
    </w:pPr>
    <w:rPr>
      <w:rFonts w:ascii="Times New Roman" w:hAnsi="Times New Roman" w:cs="Times New Roman"/>
      <w:kern w:val="2"/>
      <w:sz w:val="21"/>
      <w:szCs w:val="24"/>
      <w:lang w:val="en-US" w:bidi="ar-SA"/>
    </w:rPr>
  </w:style>
  <w:style w:type="paragraph" w:customStyle="1" w:styleId="179">
    <w:name w:val="2ji"/>
    <w:basedOn w:val="4"/>
    <w:qFormat/>
    <w:uiPriority w:val="0"/>
    <w:pPr>
      <w:keepNext/>
      <w:keepLines/>
      <w:autoSpaceDE/>
      <w:autoSpaceDN/>
      <w:adjustRightInd w:val="0"/>
      <w:spacing w:before="0" w:line="360" w:lineRule="auto"/>
      <w:ind w:left="0" w:firstLine="1044" w:firstLineChars="200"/>
      <w:jc w:val="left"/>
      <w:textAlignment w:val="baseline"/>
    </w:pPr>
    <w:rPr>
      <w:rFonts w:cs="Times New Roman"/>
      <w:b/>
      <w:bCs/>
      <w:sz w:val="21"/>
      <w:szCs w:val="21"/>
      <w:lang w:val="en-US" w:bidi="ar-SA"/>
    </w:rPr>
  </w:style>
  <w:style w:type="paragraph" w:customStyle="1" w:styleId="180">
    <w:name w:val="reader-word-layer reader-word-s4-8 reader-word-s4-10"/>
    <w:basedOn w:val="1"/>
    <w:qFormat/>
    <w:uiPriority w:val="0"/>
    <w:pPr>
      <w:widowControl/>
      <w:autoSpaceDE/>
      <w:autoSpaceDN/>
      <w:spacing w:before="100" w:beforeAutospacing="1" w:after="100" w:afterAutospacing="1" w:line="400" w:lineRule="exact"/>
      <w:ind w:firstLine="1044" w:firstLineChars="200"/>
    </w:pPr>
    <w:rPr>
      <w:sz w:val="24"/>
      <w:szCs w:val="24"/>
      <w:lang w:val="en-US" w:bidi="ar-SA"/>
    </w:rPr>
  </w:style>
  <w:style w:type="paragraph" w:customStyle="1" w:styleId="181">
    <w:name w:val="Char Char Char Char"/>
    <w:basedOn w:val="1"/>
    <w:qFormat/>
    <w:uiPriority w:val="0"/>
    <w:pPr>
      <w:widowControl/>
      <w:autoSpaceDE/>
      <w:autoSpaceDN/>
      <w:spacing w:after="160" w:line="240" w:lineRule="exact"/>
    </w:pPr>
    <w:rPr>
      <w:rFonts w:ascii="Verdana" w:hAnsi="Verdana" w:eastAsia="仿宋_GB2312" w:cs="Times New Roman"/>
      <w:sz w:val="24"/>
      <w:szCs w:val="20"/>
      <w:lang w:val="en-US" w:eastAsia="en-US" w:bidi="ar-SA"/>
    </w:rPr>
  </w:style>
  <w:style w:type="paragraph" w:customStyle="1" w:styleId="182">
    <w:name w:val="正文首行缩进两字符"/>
    <w:basedOn w:val="1"/>
    <w:qFormat/>
    <w:uiPriority w:val="0"/>
    <w:pPr>
      <w:autoSpaceDE/>
      <w:autoSpaceDN/>
      <w:spacing w:line="360" w:lineRule="auto"/>
      <w:ind w:firstLine="200" w:firstLineChars="200"/>
    </w:pPr>
    <w:rPr>
      <w:rFonts w:ascii="Times New Roman" w:hAnsi="Times New Roman" w:cs="Times New Roman"/>
      <w:kern w:val="2"/>
      <w:sz w:val="21"/>
      <w:szCs w:val="24"/>
      <w:lang w:val="en-US" w:bidi="ar-SA"/>
    </w:rPr>
  </w:style>
  <w:style w:type="paragraph" w:customStyle="1" w:styleId="183">
    <w:name w:val="默认段落字体 Para Char1"/>
    <w:next w:val="1"/>
    <w:qFormat/>
    <w:uiPriority w:val="0"/>
    <w:pPr>
      <w:keepNext/>
      <w:keepLines/>
      <w:tabs>
        <w:tab w:val="left" w:pos="360"/>
      </w:tabs>
      <w:snapToGrid w:val="0"/>
      <w:spacing w:before="240" w:after="240"/>
      <w:outlineLvl w:val="7"/>
    </w:pPr>
    <w:rPr>
      <w:rFonts w:ascii="Arial" w:hAnsi="Arial" w:eastAsia="宋体" w:cs="Arial"/>
      <w:kern w:val="2"/>
      <w:lang w:val="en-US" w:eastAsia="zh-CN" w:bidi="ar-SA"/>
    </w:rPr>
  </w:style>
  <w:style w:type="paragraph" w:customStyle="1" w:styleId="184">
    <w:name w:val="BodyTextIndent"/>
    <w:basedOn w:val="1"/>
    <w:qFormat/>
    <w:uiPriority w:val="0"/>
    <w:pPr>
      <w:autoSpaceDE/>
      <w:autoSpaceDN/>
      <w:ind w:firstLine="830" w:firstLineChars="352"/>
      <w:jc w:val="both"/>
      <w:textAlignment w:val="baseline"/>
    </w:pPr>
    <w:rPr>
      <w:rFonts w:ascii="仿宋_GB2312" w:hAnsi="Times New Roman" w:eastAsia="仿宋_GB2312" w:cs="Times New Roman"/>
      <w:sz w:val="32"/>
      <w:szCs w:val="20"/>
      <w:lang w:val="en-US" w:bidi="ar-SA"/>
    </w:rPr>
  </w:style>
  <w:style w:type="paragraph" w:customStyle="1" w:styleId="185">
    <w:name w:val="一级条标题"/>
    <w:basedOn w:val="1"/>
    <w:next w:val="1"/>
    <w:qFormat/>
    <w:uiPriority w:val="0"/>
    <w:pPr>
      <w:widowControl/>
      <w:numPr>
        <w:ilvl w:val="2"/>
        <w:numId w:val="2"/>
      </w:numPr>
      <w:autoSpaceDE/>
      <w:autoSpaceDN/>
      <w:spacing w:line="400" w:lineRule="exact"/>
      <w:ind w:firstLineChars="200"/>
    </w:pPr>
    <w:rPr>
      <w:rFonts w:ascii="黑体" w:hAnsi="Times New Roman" w:eastAsia="黑体" w:cs="Times New Roman"/>
      <w:sz w:val="21"/>
      <w:szCs w:val="20"/>
      <w:lang w:val="en-US" w:bidi="ar-SA"/>
    </w:rPr>
  </w:style>
  <w:style w:type="paragraph" w:customStyle="1" w:styleId="186">
    <w:name w:val="Char3"/>
    <w:basedOn w:val="1"/>
    <w:qFormat/>
    <w:uiPriority w:val="0"/>
    <w:pPr>
      <w:widowControl/>
      <w:autoSpaceDE/>
      <w:autoSpaceDN/>
      <w:spacing w:after="160" w:line="240" w:lineRule="exact"/>
      <w:ind w:firstLine="1044" w:firstLineChars="200"/>
    </w:pPr>
    <w:rPr>
      <w:rFonts w:ascii="Arial" w:hAnsi="Arial" w:eastAsia="Times New Roman" w:cs="Verdana"/>
      <w:b/>
      <w:sz w:val="24"/>
      <w:szCs w:val="20"/>
      <w:lang w:val="en-US" w:eastAsia="en-US" w:bidi="ar-SA"/>
    </w:rPr>
  </w:style>
  <w:style w:type="character" w:customStyle="1" w:styleId="187">
    <w:name w:val="纯文本 Char"/>
    <w:qFormat/>
    <w:uiPriority w:val="0"/>
    <w:rPr>
      <w:rFonts w:ascii="宋体" w:hAnsi="Calibri" w:eastAsia="宋体" w:cs="Times New Roman"/>
      <w:kern w:val="2"/>
      <w:sz w:val="21"/>
      <w:szCs w:val="21"/>
    </w:rPr>
  </w:style>
  <w:style w:type="paragraph" w:customStyle="1" w:styleId="188">
    <w:name w:val="WPSOffice手动目录 3"/>
    <w:uiPriority w:val="0"/>
    <w:pPr>
      <w:ind w:leftChars="400"/>
    </w:pPr>
    <w:rPr>
      <w:rFonts w:ascii="Times New Roman" w:hAnsi="Times New Roman" w:eastAsia="宋体" w:cs="Times New Roman"/>
      <w:sz w:val="20"/>
      <w:szCs w:val="20"/>
    </w:rPr>
  </w:style>
  <w:style w:type="paragraph" w:customStyle="1" w:styleId="189">
    <w:name w:val="WPSOffice手动目录 1"/>
    <w:uiPriority w:val="0"/>
    <w:pPr>
      <w:ind w:leftChars="0"/>
    </w:pPr>
    <w:rPr>
      <w:rFonts w:ascii="Times New Roman" w:hAnsi="Times New Roman" w:eastAsia="宋体" w:cs="Times New Roman"/>
      <w:sz w:val="20"/>
      <w:szCs w:val="20"/>
    </w:rPr>
  </w:style>
  <w:style w:type="paragraph" w:customStyle="1" w:styleId="190">
    <w:name w:val="WPSOffice手动目录 2"/>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4" Type="http://schemas.openxmlformats.org/officeDocument/2006/relationships/fontTable" Target="fontTable.xml"/><Relationship Id="rId43" Type="http://schemas.openxmlformats.org/officeDocument/2006/relationships/numbering" Target="numbering.xml"/><Relationship Id="rId42" Type="http://schemas.openxmlformats.org/officeDocument/2006/relationships/customXml" Target="../customXml/item1.xml"/><Relationship Id="rId41" Type="http://schemas.openxmlformats.org/officeDocument/2006/relationships/image" Target="media/image20.jpeg"/><Relationship Id="rId40" Type="http://schemas.openxmlformats.org/officeDocument/2006/relationships/oleObject" Target="embeddings/oleObject9.bin"/><Relationship Id="rId4" Type="http://schemas.openxmlformats.org/officeDocument/2006/relationships/footer" Target="footer2.xml"/><Relationship Id="rId39" Type="http://schemas.openxmlformats.org/officeDocument/2006/relationships/image" Target="media/image19.emf"/><Relationship Id="rId38" Type="http://schemas.openxmlformats.org/officeDocument/2006/relationships/oleObject" Target="embeddings/oleObject8.bin"/><Relationship Id="rId37" Type="http://schemas.openxmlformats.org/officeDocument/2006/relationships/image" Target="media/image18.jpeg"/><Relationship Id="rId36" Type="http://schemas.openxmlformats.org/officeDocument/2006/relationships/oleObject" Target="embeddings/oleObject7.bin"/><Relationship Id="rId35" Type="http://schemas.openxmlformats.org/officeDocument/2006/relationships/image" Target="media/image17.wmf"/><Relationship Id="rId34" Type="http://schemas.openxmlformats.org/officeDocument/2006/relationships/oleObject" Target="embeddings/oleObject6.bin"/><Relationship Id="rId33" Type="http://schemas.openxmlformats.org/officeDocument/2006/relationships/image" Target="media/image16.emf"/><Relationship Id="rId32" Type="http://schemas.openxmlformats.org/officeDocument/2006/relationships/oleObject" Target="embeddings/oleObject5.bin"/><Relationship Id="rId31" Type="http://schemas.openxmlformats.org/officeDocument/2006/relationships/image" Target="media/image15.png"/><Relationship Id="rId30" Type="http://schemas.openxmlformats.org/officeDocument/2006/relationships/oleObject" Target="embeddings/oleObject4.bin"/><Relationship Id="rId3" Type="http://schemas.openxmlformats.org/officeDocument/2006/relationships/footer" Target="footer1.xml"/><Relationship Id="rId29" Type="http://schemas.openxmlformats.org/officeDocument/2006/relationships/oleObject" Target="embeddings/oleObject3.bin"/><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png"/><Relationship Id="rId25" Type="http://schemas.openxmlformats.org/officeDocument/2006/relationships/image" Target="media/image11.emf"/><Relationship Id="rId24" Type="http://schemas.openxmlformats.org/officeDocument/2006/relationships/image" Target="media/image10.jpeg"/><Relationship Id="rId23" Type="http://schemas.openxmlformats.org/officeDocument/2006/relationships/image" Target="media/image9.emf"/><Relationship Id="rId22" Type="http://schemas.openxmlformats.org/officeDocument/2006/relationships/oleObject" Target="embeddings/oleObject2.bin"/><Relationship Id="rId21" Type="http://schemas.openxmlformats.org/officeDocument/2006/relationships/image" Target="media/image8.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emf"/><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119</Pages>
  <Words>78993</Words>
  <Characters>87007</Characters>
  <Lines>822</Lines>
  <Paragraphs>231</Paragraphs>
  <TotalTime>65</TotalTime>
  <ScaleCrop>false</ScaleCrop>
  <LinksUpToDate>false</LinksUpToDate>
  <CharactersWithSpaces>88387</CharactersWithSpaces>
  <Application>WPS Office_11.8.2.10229_F1E327BC-269C-435d-A152-05C5408002CA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2021-09-13T02:05:00Z</dcterms:created>
  <dc:creator>颖</dc:creator>
  <cp:lastModifiedBy>Administrator</cp:lastModifiedBy>
  <dcterms:modified xsi:type="dcterms:W3CDTF">2021-10-09T09:14:14Z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Xpdf - https://xpdf.net</vt:lpwstr>
  </property>
  <property fmtid="{D5CDD505-2E9C-101B-9397-08002B2CF9AE}" pid="3" name="KSOProductBuildVer">
    <vt:lpwstr>2052-11.8.2.10229</vt:lpwstr>
  </property>
  <property fmtid="{D5CDD505-2E9C-101B-9397-08002B2CF9AE}" pid="4" name="ICV">
    <vt:lpwstr>93A880BE1B354ED4846B0A219433AFC9</vt:lpwstr>
  </property>
</Properties>
</file>