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1"/>
        <w:spacing w:before="60" w:beforeAutospacing="0" w:after="0" w:afterAutospacing="0" w:line="520" w:lineRule="exact"/>
        <w:jc w:val="center"/>
        <w:rPr>
          <w:rFonts w:hint="eastAsia" w:ascii="宋体" w:hAnsi="宋体" w:cs="宋体"/>
          <w:sz w:val="36"/>
          <w:szCs w:val="36"/>
          <w:shd w:val="clear" w:color="auto" w:fill="FFFFFF"/>
        </w:rPr>
      </w:pPr>
      <w:r>
        <w:rPr>
          <w:rFonts w:hint="eastAsia" w:ascii="宋体" w:hAnsi="宋体" w:cs="宋体"/>
          <w:sz w:val="36"/>
          <w:szCs w:val="36"/>
          <w:shd w:val="clear" w:color="auto" w:fill="FFFFFF"/>
        </w:rPr>
        <w:t>防城港市中医医院改造项目-医用门窗、输液杆、窗帘及床帘</w:t>
      </w:r>
    </w:p>
    <w:p>
      <w:pPr>
        <w:pStyle w:val="11"/>
        <w:spacing w:before="60" w:beforeAutospacing="0" w:after="0" w:afterAutospacing="0" w:line="520" w:lineRule="exact"/>
        <w:jc w:val="center"/>
        <w:rPr>
          <w:rFonts w:ascii="宋体" w:hAnsi="宋体" w:cs="宋体"/>
          <w:bCs/>
          <w:color w:val="auto"/>
          <w:sz w:val="36"/>
          <w:szCs w:val="36"/>
        </w:rPr>
      </w:pPr>
      <w:r>
        <w:rPr>
          <w:rFonts w:hint="eastAsia"/>
          <w:color w:val="auto"/>
          <w:sz w:val="36"/>
          <w:szCs w:val="36"/>
        </w:rPr>
        <w:t>公开招标公告</w:t>
      </w:r>
    </w:p>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13" w:type="dxa"/>
            <w:noWrap w:val="0"/>
            <w:vAlign w:val="center"/>
          </w:tcPr>
          <w:p>
            <w:pPr>
              <w:spacing w:line="400" w:lineRule="exact"/>
              <w:ind w:right="51"/>
              <w:rPr>
                <w:rFonts w:hint="eastAsia" w:ascii="宋体" w:hAnsi="宋体" w:cs="宋体"/>
                <w:color w:val="auto"/>
                <w:szCs w:val="21"/>
              </w:rPr>
            </w:pPr>
            <w:r>
              <w:rPr>
                <w:rFonts w:hint="eastAsia" w:ascii="宋体" w:hAnsi="宋体" w:cs="宋体"/>
                <w:color w:val="auto"/>
                <w:szCs w:val="21"/>
              </w:rPr>
              <w:t>项目概况</w:t>
            </w:r>
          </w:p>
          <w:p>
            <w:pPr>
              <w:pStyle w:val="11"/>
              <w:spacing w:before="60" w:beforeAutospacing="0" w:after="0" w:afterAutospacing="0"/>
              <w:ind w:firstLine="420" w:firstLineChars="200"/>
              <w:rPr>
                <w:rFonts w:hint="eastAsia" w:ascii="宋体" w:hAnsi="宋体" w:cs="宋体"/>
                <w:color w:val="auto"/>
                <w:sz w:val="21"/>
                <w:szCs w:val="21"/>
              </w:rPr>
            </w:pPr>
            <w:r>
              <w:rPr>
                <w:rFonts w:hint="eastAsia" w:ascii="宋体" w:hAnsi="宋体" w:cs="宋体"/>
                <w:color w:val="auto"/>
                <w:sz w:val="21"/>
                <w:szCs w:val="21"/>
                <w:shd w:val="clear" w:color="auto" w:fill="FFFFFF"/>
              </w:rPr>
              <w:t>防城港市中医医院改造项目-医用门窗、输液杆、窗帘及床帘</w:t>
            </w:r>
            <w:r>
              <w:rPr>
                <w:rFonts w:hint="eastAsia" w:ascii="宋体" w:hAnsi="宋体" w:cs="宋体"/>
                <w:color w:val="auto"/>
                <w:sz w:val="21"/>
                <w:szCs w:val="21"/>
              </w:rPr>
              <w:t>的潜在投标人应登录政采云平台获取招标文件，并于2023年</w:t>
            </w:r>
            <w:r>
              <w:rPr>
                <w:rFonts w:hint="eastAsia" w:ascii="宋体" w:hAnsi="宋体" w:cs="宋体"/>
                <w:color w:val="auto"/>
                <w:sz w:val="21"/>
                <w:szCs w:val="21"/>
                <w:lang w:val="en-US" w:eastAsia="zh-CN"/>
              </w:rPr>
              <w:t>12</w:t>
            </w:r>
            <w:r>
              <w:rPr>
                <w:rFonts w:hint="eastAsia" w:ascii="宋体" w:hAnsi="宋体" w:cs="宋体"/>
                <w:color w:val="auto"/>
                <w:sz w:val="21"/>
                <w:szCs w:val="21"/>
              </w:rPr>
              <w:t>月</w:t>
            </w:r>
            <w:r>
              <w:rPr>
                <w:rFonts w:hint="eastAsia" w:ascii="宋体" w:hAnsi="宋体" w:cs="宋体"/>
                <w:color w:val="auto"/>
                <w:sz w:val="21"/>
                <w:szCs w:val="21"/>
                <w:lang w:val="en-US" w:eastAsia="zh-CN"/>
              </w:rPr>
              <w:t>19</w:t>
            </w:r>
            <w:r>
              <w:rPr>
                <w:rFonts w:hint="eastAsia" w:ascii="宋体" w:hAnsi="宋体" w:cs="宋体"/>
                <w:color w:val="auto"/>
                <w:sz w:val="21"/>
                <w:szCs w:val="21"/>
              </w:rPr>
              <w:t>日9点30分（北京时间）前递交投标文件。</w:t>
            </w:r>
          </w:p>
        </w:tc>
      </w:tr>
    </w:tbl>
    <w:p>
      <w:pPr>
        <w:spacing w:line="400" w:lineRule="exact"/>
        <w:ind w:right="51"/>
        <w:rPr>
          <w:rFonts w:hint="eastAsia" w:ascii="宋体" w:hAnsi="宋体" w:cs="宋体"/>
          <w:b/>
          <w:bCs/>
          <w:color w:val="auto"/>
          <w:szCs w:val="21"/>
        </w:rPr>
      </w:pPr>
      <w:r>
        <w:rPr>
          <w:rFonts w:hint="eastAsia" w:ascii="宋体" w:hAnsi="宋体" w:cs="宋体"/>
          <w:b/>
          <w:bCs/>
          <w:color w:val="auto"/>
          <w:szCs w:val="21"/>
        </w:rPr>
        <w:t>一、项目基本情况</w:t>
      </w:r>
    </w:p>
    <w:p>
      <w:pPr>
        <w:spacing w:line="400" w:lineRule="exact"/>
        <w:ind w:left="51" w:right="51" w:firstLine="420" w:firstLineChars="200"/>
        <w:rPr>
          <w:rFonts w:hint="eastAsia" w:ascii="宋体" w:hAnsi="宋体" w:cs="宋体"/>
          <w:color w:val="auto"/>
          <w:szCs w:val="21"/>
        </w:rPr>
      </w:pPr>
      <w:r>
        <w:rPr>
          <w:rFonts w:hint="eastAsia" w:ascii="宋体" w:hAnsi="宋体" w:cs="宋体"/>
          <w:color w:val="auto"/>
          <w:szCs w:val="21"/>
        </w:rPr>
        <w:t>项目编号： FCZC2023-G1-100</w:t>
      </w:r>
      <w:r>
        <w:rPr>
          <w:rFonts w:hint="eastAsia" w:ascii="宋体" w:hAnsi="宋体" w:cs="宋体"/>
          <w:color w:val="auto"/>
          <w:szCs w:val="21"/>
          <w:lang w:val="en-US" w:eastAsia="zh-CN"/>
        </w:rPr>
        <w:t>33</w:t>
      </w:r>
      <w:r>
        <w:rPr>
          <w:rFonts w:hint="eastAsia" w:ascii="宋体" w:hAnsi="宋体" w:cs="宋体"/>
          <w:color w:val="auto"/>
          <w:szCs w:val="21"/>
        </w:rPr>
        <w:t xml:space="preserve">-GLGC  </w:t>
      </w:r>
    </w:p>
    <w:p>
      <w:pPr>
        <w:pStyle w:val="11"/>
        <w:spacing w:before="60" w:beforeAutospacing="0" w:after="0" w:afterAutospacing="0" w:line="400" w:lineRule="exact"/>
        <w:ind w:firstLine="420" w:firstLineChars="200"/>
        <w:jc w:val="both"/>
        <w:rPr>
          <w:rFonts w:hint="eastAsia" w:ascii="宋体" w:hAnsi="宋体" w:cs="宋体"/>
          <w:sz w:val="21"/>
          <w:szCs w:val="21"/>
        </w:rPr>
      </w:pPr>
      <w:r>
        <w:rPr>
          <w:rFonts w:hint="eastAsia" w:ascii="宋体" w:hAnsi="宋体" w:cs="宋体"/>
          <w:color w:val="auto"/>
          <w:sz w:val="21"/>
          <w:szCs w:val="21"/>
        </w:rPr>
        <w:t>项目名称：</w:t>
      </w:r>
      <w:r>
        <w:rPr>
          <w:rFonts w:hint="eastAsia" w:ascii="宋体" w:hAnsi="宋体" w:cs="宋体"/>
          <w:color w:val="auto"/>
          <w:sz w:val="21"/>
          <w:szCs w:val="21"/>
          <w:shd w:val="clear" w:color="auto" w:fill="FFFFFF"/>
        </w:rPr>
        <w:t>防城港市中医医院改造项目-医用</w:t>
      </w:r>
      <w:r>
        <w:rPr>
          <w:rFonts w:hint="eastAsia" w:ascii="宋体" w:hAnsi="宋体" w:cs="宋体"/>
          <w:sz w:val="21"/>
          <w:szCs w:val="21"/>
          <w:shd w:val="clear" w:color="auto" w:fill="FFFFFF"/>
        </w:rPr>
        <w:t>门窗、输液杆、窗帘及床帘</w:t>
      </w:r>
    </w:p>
    <w:p>
      <w:pPr>
        <w:spacing w:line="440" w:lineRule="exact"/>
        <w:ind w:firstLine="420" w:firstLineChars="200"/>
        <w:rPr>
          <w:rFonts w:hint="eastAsia" w:ascii="宋体" w:hAnsi="宋体" w:cs="宋体"/>
          <w:szCs w:val="21"/>
        </w:rPr>
      </w:pPr>
      <w:r>
        <w:rPr>
          <w:rFonts w:hint="eastAsia" w:ascii="宋体" w:hAnsi="宋体" w:cs="宋体"/>
          <w:szCs w:val="21"/>
        </w:rPr>
        <w:t xml:space="preserve">采购方式：☑公开招标  □竞争性谈判  □竞争性磋商 </w:t>
      </w:r>
    </w:p>
    <w:p>
      <w:pPr>
        <w:spacing w:line="440" w:lineRule="exact"/>
        <w:ind w:firstLine="420" w:firstLineChars="200"/>
        <w:rPr>
          <w:rFonts w:hint="eastAsia" w:ascii="宋体" w:hAnsi="宋体" w:cs="宋体"/>
          <w:szCs w:val="21"/>
        </w:rPr>
      </w:pPr>
      <w:r>
        <w:rPr>
          <w:rFonts w:hint="eastAsia" w:ascii="宋体" w:hAnsi="宋体" w:cs="宋体"/>
          <w:szCs w:val="21"/>
        </w:rPr>
        <w:t>预算金额：</w:t>
      </w:r>
    </w:p>
    <w:p>
      <w:pPr>
        <w:spacing w:line="400" w:lineRule="exact"/>
        <w:ind w:firstLine="420" w:firstLineChars="200"/>
        <w:rPr>
          <w:rFonts w:hint="eastAsia" w:ascii="宋体" w:hAnsi="宋体" w:cs="宋体"/>
          <w:szCs w:val="21"/>
        </w:rPr>
      </w:pPr>
      <w:r>
        <w:rPr>
          <w:rFonts w:hint="eastAsia" w:ascii="宋体" w:hAnsi="宋体" w:cs="宋体"/>
          <w:szCs w:val="21"/>
        </w:rPr>
        <w:t xml:space="preserve">1分标：                                                               </w:t>
      </w:r>
    </w:p>
    <w:tbl>
      <w:tblPr>
        <w:tblStyle w:val="13"/>
        <w:tblW w:w="1005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34"/>
        <w:gridCol w:w="1650"/>
        <w:gridCol w:w="660"/>
        <w:gridCol w:w="1215"/>
        <w:gridCol w:w="1080"/>
        <w:gridCol w:w="1095"/>
        <w:gridCol w:w="2745"/>
        <w:gridCol w:w="108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8" w:hRule="atLeast"/>
        </w:trPr>
        <w:tc>
          <w:tcPr>
            <w:tcW w:w="534"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hint="eastAsia" w:ascii="宋体" w:hAnsi="宋体" w:cs="宋体"/>
                <w:szCs w:val="21"/>
              </w:rPr>
            </w:pPr>
            <w:r>
              <w:rPr>
                <w:rFonts w:hint="eastAsia" w:ascii="宋体" w:hAnsi="宋体" w:cs="宋体"/>
                <w:szCs w:val="21"/>
              </w:rPr>
              <w:t>序号</w:t>
            </w:r>
          </w:p>
        </w:tc>
        <w:tc>
          <w:tcPr>
            <w:tcW w:w="1650"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hint="eastAsia" w:ascii="宋体" w:hAnsi="宋体" w:cs="宋体"/>
                <w:szCs w:val="21"/>
              </w:rPr>
            </w:pPr>
            <w:r>
              <w:rPr>
                <w:rFonts w:hint="eastAsia" w:ascii="宋体" w:hAnsi="宋体" w:cs="宋体"/>
                <w:szCs w:val="21"/>
              </w:rPr>
              <w:t>标的名称</w:t>
            </w:r>
          </w:p>
        </w:tc>
        <w:tc>
          <w:tcPr>
            <w:tcW w:w="660"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hint="eastAsia" w:ascii="宋体" w:hAnsi="宋体" w:cs="宋体"/>
                <w:szCs w:val="21"/>
              </w:rPr>
            </w:pPr>
            <w:r>
              <w:rPr>
                <w:rFonts w:hint="eastAsia" w:ascii="宋体" w:hAnsi="宋体" w:cs="宋体"/>
                <w:szCs w:val="21"/>
              </w:rPr>
              <w:t>数量及单位</w:t>
            </w:r>
          </w:p>
        </w:tc>
        <w:tc>
          <w:tcPr>
            <w:tcW w:w="1215"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hint="eastAsia" w:ascii="宋体" w:hAnsi="宋体" w:cs="宋体"/>
                <w:szCs w:val="21"/>
              </w:rPr>
            </w:pPr>
            <w:r>
              <w:rPr>
                <w:rFonts w:hint="eastAsia" w:ascii="宋体" w:hAnsi="宋体" w:cs="宋体"/>
                <w:szCs w:val="21"/>
              </w:rPr>
              <w:t>简要技术需求或者服务要求</w:t>
            </w:r>
          </w:p>
        </w:tc>
        <w:tc>
          <w:tcPr>
            <w:tcW w:w="1080"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hint="eastAsia" w:ascii="宋体" w:hAnsi="宋体" w:cs="宋体"/>
                <w:szCs w:val="21"/>
              </w:rPr>
            </w:pPr>
            <w:r>
              <w:rPr>
                <w:rFonts w:hint="eastAsia" w:ascii="宋体" w:hAnsi="宋体" w:cs="宋体"/>
                <w:szCs w:val="21"/>
              </w:rPr>
              <w:t>分标预算金额（万元）</w:t>
            </w:r>
          </w:p>
        </w:tc>
        <w:tc>
          <w:tcPr>
            <w:tcW w:w="1095"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hint="eastAsia" w:ascii="宋体" w:hAnsi="宋体" w:cs="宋体"/>
                <w:szCs w:val="21"/>
              </w:rPr>
            </w:pPr>
            <w:r>
              <w:rPr>
                <w:rFonts w:hint="eastAsia" w:ascii="宋体" w:hAnsi="宋体" w:cs="宋体"/>
                <w:szCs w:val="21"/>
              </w:rPr>
              <w:t>分标最高限价（万元）</w:t>
            </w:r>
          </w:p>
        </w:tc>
        <w:tc>
          <w:tcPr>
            <w:tcW w:w="2745"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hint="eastAsia" w:ascii="宋体" w:hAnsi="宋体" w:cs="宋体"/>
                <w:szCs w:val="21"/>
              </w:rPr>
            </w:pPr>
            <w:r>
              <w:rPr>
                <w:rFonts w:hint="eastAsia" w:ascii="宋体" w:hAnsi="宋体" w:cs="宋体"/>
                <w:szCs w:val="21"/>
              </w:rPr>
              <w:t>合同履行期限</w:t>
            </w:r>
          </w:p>
        </w:tc>
        <w:tc>
          <w:tcPr>
            <w:tcW w:w="1080"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hint="eastAsia" w:ascii="宋体" w:hAnsi="宋体" w:cs="宋体"/>
                <w:szCs w:val="21"/>
              </w:rPr>
            </w:pPr>
            <w:r>
              <w:rPr>
                <w:rFonts w:hint="eastAsia" w:ascii="宋体" w:hAnsi="宋体" w:cs="宋体"/>
                <w:szCs w:val="21"/>
              </w:rPr>
              <w:t>是否接受联合体投标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1" w:hRule="atLeast"/>
        </w:trPr>
        <w:tc>
          <w:tcPr>
            <w:tcW w:w="534" w:type="dxa"/>
            <w:tcBorders>
              <w:top w:val="single" w:color="auto" w:sz="4" w:space="0"/>
              <w:left w:val="single" w:color="auto" w:sz="4" w:space="0"/>
              <w:right w:val="single" w:color="auto" w:sz="4" w:space="0"/>
            </w:tcBorders>
            <w:noWrap w:val="0"/>
            <w:vAlign w:val="center"/>
          </w:tcPr>
          <w:p>
            <w:pPr>
              <w:snapToGrid w:val="0"/>
              <w:spacing w:line="400" w:lineRule="exact"/>
              <w:jc w:val="center"/>
              <w:rPr>
                <w:rFonts w:hint="eastAsia" w:ascii="宋体" w:hAnsi="宋体" w:cs="宋体"/>
                <w:color w:val="auto"/>
                <w:szCs w:val="21"/>
              </w:rPr>
            </w:pPr>
            <w:r>
              <w:rPr>
                <w:rFonts w:hint="eastAsia" w:ascii="宋体" w:hAnsi="宋体" w:cs="宋体"/>
                <w:color w:val="auto"/>
                <w:szCs w:val="21"/>
              </w:rPr>
              <w:t>1</w:t>
            </w:r>
          </w:p>
        </w:tc>
        <w:tc>
          <w:tcPr>
            <w:tcW w:w="1650" w:type="dxa"/>
            <w:tcBorders>
              <w:top w:val="single" w:color="auto" w:sz="4" w:space="0"/>
              <w:left w:val="single" w:color="auto" w:sz="4" w:space="0"/>
              <w:right w:val="single" w:color="auto" w:sz="4" w:space="0"/>
            </w:tcBorders>
            <w:noWrap w:val="0"/>
            <w:vAlign w:val="center"/>
          </w:tcPr>
          <w:p>
            <w:pPr>
              <w:rPr>
                <w:rFonts w:hint="eastAsia" w:ascii="宋体" w:hAnsi="宋体" w:cs="宋体"/>
                <w:color w:val="auto"/>
                <w:szCs w:val="21"/>
              </w:rPr>
            </w:pPr>
            <w:r>
              <w:rPr>
                <w:rFonts w:hint="eastAsia" w:ascii="宋体" w:hAnsi="宋体" w:cs="宋体"/>
                <w:color w:val="auto"/>
                <w:szCs w:val="21"/>
              </w:rPr>
              <w:t>防城港市中医医院改造项目-医用门窗</w:t>
            </w:r>
          </w:p>
        </w:tc>
        <w:tc>
          <w:tcPr>
            <w:tcW w:w="660" w:type="dxa"/>
            <w:tcBorders>
              <w:top w:val="single" w:color="auto" w:sz="4" w:space="0"/>
              <w:left w:val="single" w:color="auto" w:sz="4" w:space="0"/>
              <w:right w:val="single" w:color="auto" w:sz="4" w:space="0"/>
            </w:tcBorders>
            <w:noWrap w:val="0"/>
            <w:vAlign w:val="center"/>
          </w:tcPr>
          <w:p>
            <w:pPr>
              <w:snapToGrid w:val="0"/>
              <w:spacing w:line="400" w:lineRule="exact"/>
              <w:jc w:val="center"/>
              <w:rPr>
                <w:rFonts w:hint="eastAsia" w:ascii="宋体" w:hAnsi="宋体" w:cs="宋体"/>
                <w:color w:val="auto"/>
                <w:szCs w:val="21"/>
              </w:rPr>
            </w:pPr>
            <w:r>
              <w:rPr>
                <w:rFonts w:hint="eastAsia" w:ascii="宋体" w:hAnsi="宋体" w:cs="宋体"/>
                <w:color w:val="auto"/>
                <w:szCs w:val="21"/>
              </w:rPr>
              <w:t>1批</w:t>
            </w:r>
          </w:p>
        </w:tc>
        <w:tc>
          <w:tcPr>
            <w:tcW w:w="1215" w:type="dxa"/>
            <w:tcBorders>
              <w:top w:val="single" w:color="auto" w:sz="4" w:space="0"/>
              <w:left w:val="single" w:color="auto" w:sz="4" w:space="0"/>
              <w:right w:val="single" w:color="auto" w:sz="4" w:space="0"/>
            </w:tcBorders>
            <w:noWrap w:val="0"/>
            <w:vAlign w:val="center"/>
          </w:tcPr>
          <w:p>
            <w:pPr>
              <w:snapToGrid w:val="0"/>
              <w:spacing w:line="400" w:lineRule="exact"/>
              <w:jc w:val="center"/>
              <w:rPr>
                <w:rFonts w:hint="eastAsia" w:ascii="宋体" w:hAnsi="宋体" w:cs="宋体"/>
                <w:color w:val="auto"/>
                <w:szCs w:val="21"/>
              </w:rPr>
            </w:pPr>
            <w:r>
              <w:rPr>
                <w:rFonts w:hint="eastAsia" w:ascii="宋体" w:hAnsi="宋体" w:cs="宋体"/>
                <w:color w:val="auto"/>
                <w:szCs w:val="21"/>
              </w:rPr>
              <w:t>具体内容详见附件采购需求</w:t>
            </w:r>
          </w:p>
        </w:tc>
        <w:tc>
          <w:tcPr>
            <w:tcW w:w="1080" w:type="dxa"/>
            <w:tcBorders>
              <w:top w:val="single" w:color="auto" w:sz="4" w:space="0"/>
              <w:left w:val="single" w:color="auto" w:sz="4" w:space="0"/>
              <w:right w:val="single" w:color="auto" w:sz="4" w:space="0"/>
            </w:tcBorders>
            <w:noWrap w:val="0"/>
            <w:vAlign w:val="center"/>
          </w:tcPr>
          <w:p>
            <w:pPr>
              <w:snapToGrid w:val="0"/>
              <w:spacing w:line="400" w:lineRule="exact"/>
              <w:jc w:val="center"/>
              <w:rPr>
                <w:rFonts w:hint="eastAsia" w:ascii="宋体" w:hAnsi="宋体" w:cs="宋体"/>
                <w:color w:val="auto"/>
                <w:szCs w:val="21"/>
              </w:rPr>
            </w:pPr>
            <w:r>
              <w:rPr>
                <w:rFonts w:hint="eastAsia" w:ascii="宋体" w:hAnsi="宋体" w:cs="宋体"/>
                <w:color w:val="auto"/>
                <w:szCs w:val="21"/>
              </w:rPr>
              <w:t>293.144499</w:t>
            </w:r>
          </w:p>
        </w:tc>
        <w:tc>
          <w:tcPr>
            <w:tcW w:w="1095" w:type="dxa"/>
            <w:tcBorders>
              <w:top w:val="single" w:color="auto" w:sz="4" w:space="0"/>
              <w:left w:val="single" w:color="auto" w:sz="4" w:space="0"/>
              <w:right w:val="single" w:color="auto" w:sz="4" w:space="0"/>
            </w:tcBorders>
            <w:noWrap w:val="0"/>
            <w:vAlign w:val="center"/>
          </w:tcPr>
          <w:p>
            <w:pPr>
              <w:snapToGrid w:val="0"/>
              <w:spacing w:line="400" w:lineRule="exact"/>
              <w:jc w:val="center"/>
              <w:rPr>
                <w:rFonts w:hint="eastAsia" w:ascii="宋体" w:hAnsi="宋体" w:eastAsia="宋体" w:cs="宋体"/>
                <w:color w:val="auto"/>
                <w:szCs w:val="21"/>
                <w:lang w:val="en-US" w:eastAsia="zh-CN"/>
              </w:rPr>
            </w:pPr>
            <w:r>
              <w:rPr>
                <w:rFonts w:hint="eastAsia" w:ascii="宋体" w:hAnsi="宋体" w:cs="宋体"/>
                <w:color w:val="auto"/>
                <w:szCs w:val="21"/>
              </w:rPr>
              <w:t>293.14449</w:t>
            </w:r>
            <w:r>
              <w:rPr>
                <w:rFonts w:hint="eastAsia" w:ascii="宋体" w:hAnsi="宋体" w:cs="宋体"/>
                <w:color w:val="auto"/>
                <w:szCs w:val="21"/>
                <w:lang w:val="en-US" w:eastAsia="zh-CN"/>
              </w:rPr>
              <w:t>9</w:t>
            </w:r>
          </w:p>
        </w:tc>
        <w:tc>
          <w:tcPr>
            <w:tcW w:w="2745" w:type="dxa"/>
            <w:tcBorders>
              <w:top w:val="single" w:color="auto" w:sz="4" w:space="0"/>
              <w:left w:val="single" w:color="auto" w:sz="4" w:space="0"/>
              <w:right w:val="single" w:color="auto" w:sz="4" w:space="0"/>
            </w:tcBorders>
            <w:noWrap w:val="0"/>
            <w:vAlign w:val="center"/>
          </w:tcPr>
          <w:p>
            <w:pPr>
              <w:snapToGrid w:val="0"/>
              <w:spacing w:line="400" w:lineRule="exact"/>
              <w:jc w:val="center"/>
              <w:rPr>
                <w:rFonts w:hint="eastAsia" w:ascii="宋体" w:hAnsi="宋体" w:cs="宋体"/>
                <w:color w:val="auto"/>
                <w:szCs w:val="21"/>
              </w:rPr>
            </w:pPr>
            <w:r>
              <w:rPr>
                <w:rFonts w:hint="eastAsia" w:ascii="宋体" w:hAnsi="宋体" w:cs="宋体"/>
                <w:color w:val="auto"/>
                <w:szCs w:val="21"/>
              </w:rPr>
              <w:t>自签订合同之日起360日内交货安装调试完毕并交付使用；【交货时间指所有货物运抵现场安装调试完毕的日期】。</w:t>
            </w:r>
          </w:p>
        </w:tc>
        <w:tc>
          <w:tcPr>
            <w:tcW w:w="1080" w:type="dxa"/>
            <w:tcBorders>
              <w:top w:val="single" w:color="auto" w:sz="4" w:space="0"/>
              <w:left w:val="single" w:color="auto" w:sz="4" w:space="0"/>
              <w:right w:val="single" w:color="auto" w:sz="4" w:space="0"/>
            </w:tcBorders>
            <w:noWrap w:val="0"/>
            <w:vAlign w:val="center"/>
          </w:tcPr>
          <w:p>
            <w:pPr>
              <w:snapToGrid w:val="0"/>
              <w:spacing w:line="400" w:lineRule="exact"/>
              <w:jc w:val="center"/>
              <w:rPr>
                <w:rFonts w:hint="eastAsia" w:ascii="宋体" w:hAnsi="宋体" w:cs="宋体"/>
                <w:color w:val="auto"/>
                <w:szCs w:val="21"/>
              </w:rPr>
            </w:pPr>
            <w:r>
              <w:rPr>
                <w:rFonts w:hint="eastAsia" w:ascii="宋体" w:hAnsi="宋体" w:cs="宋体"/>
                <w:color w:val="auto"/>
                <w:szCs w:val="21"/>
              </w:rPr>
              <w:t>不接受联合体投标</w:t>
            </w:r>
          </w:p>
        </w:tc>
      </w:tr>
    </w:tbl>
    <w:p>
      <w:pPr>
        <w:spacing w:line="400" w:lineRule="exact"/>
        <w:ind w:firstLine="420" w:firstLineChars="200"/>
        <w:rPr>
          <w:rFonts w:hint="eastAsia" w:ascii="宋体" w:hAnsi="宋体" w:cs="宋体"/>
          <w:color w:val="auto"/>
          <w:szCs w:val="21"/>
        </w:rPr>
      </w:pPr>
      <w:r>
        <w:rPr>
          <w:rFonts w:hint="eastAsia" w:ascii="宋体" w:hAnsi="宋体" w:cs="宋体"/>
          <w:color w:val="auto"/>
          <w:szCs w:val="21"/>
        </w:rPr>
        <w:t xml:space="preserve">2分标：                                                               </w:t>
      </w:r>
    </w:p>
    <w:tbl>
      <w:tblPr>
        <w:tblStyle w:val="13"/>
        <w:tblW w:w="1010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34"/>
        <w:gridCol w:w="1455"/>
        <w:gridCol w:w="750"/>
        <w:gridCol w:w="1215"/>
        <w:gridCol w:w="1275"/>
        <w:gridCol w:w="1290"/>
        <w:gridCol w:w="2400"/>
        <w:gridCol w:w="118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8" w:hRule="atLeast"/>
        </w:trPr>
        <w:tc>
          <w:tcPr>
            <w:tcW w:w="534"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hint="eastAsia" w:ascii="宋体" w:hAnsi="宋体" w:cs="宋体"/>
                <w:color w:val="auto"/>
                <w:szCs w:val="21"/>
              </w:rPr>
            </w:pPr>
            <w:r>
              <w:rPr>
                <w:rFonts w:hint="eastAsia" w:ascii="宋体" w:hAnsi="宋体" w:cs="宋体"/>
                <w:color w:val="auto"/>
                <w:szCs w:val="21"/>
              </w:rPr>
              <w:t>序号</w:t>
            </w:r>
          </w:p>
        </w:tc>
        <w:tc>
          <w:tcPr>
            <w:tcW w:w="1455"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hint="eastAsia" w:ascii="宋体" w:hAnsi="宋体" w:cs="宋体"/>
                <w:color w:val="auto"/>
                <w:szCs w:val="21"/>
              </w:rPr>
            </w:pPr>
            <w:r>
              <w:rPr>
                <w:rFonts w:hint="eastAsia" w:ascii="宋体" w:hAnsi="宋体" w:cs="宋体"/>
                <w:color w:val="auto"/>
                <w:szCs w:val="21"/>
              </w:rPr>
              <w:t>标的名称</w:t>
            </w:r>
          </w:p>
        </w:tc>
        <w:tc>
          <w:tcPr>
            <w:tcW w:w="750"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hint="eastAsia" w:ascii="宋体" w:hAnsi="宋体" w:cs="宋体"/>
                <w:color w:val="auto"/>
                <w:szCs w:val="21"/>
              </w:rPr>
            </w:pPr>
            <w:r>
              <w:rPr>
                <w:rFonts w:hint="eastAsia" w:ascii="宋体" w:hAnsi="宋体" w:cs="宋体"/>
                <w:color w:val="auto"/>
                <w:szCs w:val="21"/>
              </w:rPr>
              <w:t>数量及单位</w:t>
            </w:r>
          </w:p>
        </w:tc>
        <w:tc>
          <w:tcPr>
            <w:tcW w:w="1215"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hint="eastAsia" w:ascii="宋体" w:hAnsi="宋体" w:cs="宋体"/>
                <w:color w:val="auto"/>
                <w:szCs w:val="21"/>
              </w:rPr>
            </w:pPr>
            <w:r>
              <w:rPr>
                <w:rFonts w:hint="eastAsia" w:ascii="宋体" w:hAnsi="宋体" w:cs="宋体"/>
                <w:color w:val="auto"/>
                <w:szCs w:val="21"/>
              </w:rPr>
              <w:t>简要技术需求或者服务要求</w:t>
            </w:r>
          </w:p>
        </w:tc>
        <w:tc>
          <w:tcPr>
            <w:tcW w:w="1275"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hint="eastAsia" w:ascii="宋体" w:hAnsi="宋体" w:cs="宋体"/>
                <w:color w:val="auto"/>
                <w:szCs w:val="21"/>
              </w:rPr>
            </w:pPr>
            <w:r>
              <w:rPr>
                <w:rFonts w:hint="eastAsia" w:ascii="宋体" w:hAnsi="宋体" w:cs="宋体"/>
                <w:color w:val="auto"/>
                <w:szCs w:val="21"/>
              </w:rPr>
              <w:t>分标预算金额（万元）</w:t>
            </w:r>
          </w:p>
        </w:tc>
        <w:tc>
          <w:tcPr>
            <w:tcW w:w="1290"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hint="eastAsia" w:ascii="宋体" w:hAnsi="宋体" w:cs="宋体"/>
                <w:color w:val="auto"/>
                <w:szCs w:val="21"/>
              </w:rPr>
            </w:pPr>
            <w:r>
              <w:rPr>
                <w:rFonts w:hint="eastAsia" w:ascii="宋体" w:hAnsi="宋体" w:cs="宋体"/>
                <w:color w:val="auto"/>
                <w:szCs w:val="21"/>
              </w:rPr>
              <w:t>分标最高限价（万元）</w:t>
            </w:r>
          </w:p>
        </w:tc>
        <w:tc>
          <w:tcPr>
            <w:tcW w:w="2400"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hint="eastAsia" w:ascii="宋体" w:hAnsi="宋体" w:cs="宋体"/>
                <w:color w:val="auto"/>
                <w:szCs w:val="21"/>
              </w:rPr>
            </w:pPr>
            <w:r>
              <w:rPr>
                <w:rFonts w:hint="eastAsia" w:ascii="宋体" w:hAnsi="宋体" w:cs="宋体"/>
                <w:color w:val="auto"/>
                <w:szCs w:val="21"/>
              </w:rPr>
              <w:t>合同履行期限</w:t>
            </w:r>
          </w:p>
        </w:tc>
        <w:tc>
          <w:tcPr>
            <w:tcW w:w="1185" w:type="dxa"/>
            <w:tcBorders>
              <w:top w:val="single" w:color="auto" w:sz="4" w:space="0"/>
              <w:left w:val="single" w:color="auto" w:sz="4" w:space="0"/>
              <w:bottom w:val="single" w:color="auto" w:sz="4" w:space="0"/>
              <w:right w:val="single" w:color="auto" w:sz="4" w:space="0"/>
            </w:tcBorders>
            <w:noWrap w:val="0"/>
            <w:vAlign w:val="center"/>
          </w:tcPr>
          <w:p>
            <w:pPr>
              <w:snapToGrid w:val="0"/>
              <w:spacing w:line="400" w:lineRule="exact"/>
              <w:jc w:val="center"/>
              <w:rPr>
                <w:rFonts w:hint="eastAsia" w:ascii="宋体" w:hAnsi="宋体" w:cs="宋体"/>
                <w:color w:val="auto"/>
                <w:szCs w:val="21"/>
              </w:rPr>
            </w:pPr>
            <w:r>
              <w:rPr>
                <w:rFonts w:hint="eastAsia" w:ascii="宋体" w:hAnsi="宋体" w:cs="宋体"/>
                <w:color w:val="auto"/>
                <w:szCs w:val="21"/>
              </w:rPr>
              <w:t>是否接受联合体投标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1" w:hRule="atLeast"/>
        </w:trPr>
        <w:tc>
          <w:tcPr>
            <w:tcW w:w="534" w:type="dxa"/>
            <w:tcBorders>
              <w:top w:val="single" w:color="auto" w:sz="4" w:space="0"/>
              <w:left w:val="single" w:color="auto" w:sz="4" w:space="0"/>
              <w:right w:val="single" w:color="auto" w:sz="4" w:space="0"/>
            </w:tcBorders>
            <w:noWrap w:val="0"/>
            <w:vAlign w:val="center"/>
          </w:tcPr>
          <w:p>
            <w:pPr>
              <w:snapToGrid w:val="0"/>
              <w:spacing w:line="400" w:lineRule="exact"/>
              <w:jc w:val="center"/>
              <w:rPr>
                <w:rFonts w:hint="eastAsia" w:ascii="宋体" w:hAnsi="宋体" w:cs="宋体"/>
                <w:color w:val="auto"/>
                <w:szCs w:val="21"/>
              </w:rPr>
            </w:pPr>
            <w:r>
              <w:rPr>
                <w:rFonts w:hint="eastAsia" w:ascii="宋体" w:hAnsi="宋体" w:cs="宋体"/>
                <w:color w:val="auto"/>
                <w:szCs w:val="21"/>
              </w:rPr>
              <w:t>1</w:t>
            </w:r>
          </w:p>
        </w:tc>
        <w:tc>
          <w:tcPr>
            <w:tcW w:w="1455" w:type="dxa"/>
            <w:tcBorders>
              <w:top w:val="single" w:color="auto" w:sz="4" w:space="0"/>
              <w:left w:val="single" w:color="auto" w:sz="4" w:space="0"/>
              <w:right w:val="single" w:color="auto" w:sz="4" w:space="0"/>
            </w:tcBorders>
            <w:noWrap w:val="0"/>
            <w:vAlign w:val="center"/>
          </w:tcPr>
          <w:p>
            <w:pPr>
              <w:snapToGrid w:val="0"/>
              <w:spacing w:line="400" w:lineRule="exact"/>
              <w:jc w:val="center"/>
              <w:rPr>
                <w:rFonts w:hint="eastAsia" w:ascii="宋体" w:hAnsi="宋体" w:cs="宋体"/>
                <w:color w:val="auto"/>
                <w:szCs w:val="21"/>
              </w:rPr>
            </w:pPr>
            <w:r>
              <w:rPr>
                <w:rFonts w:hint="eastAsia" w:ascii="宋体" w:hAnsi="宋体" w:cs="宋体"/>
                <w:color w:val="auto"/>
                <w:szCs w:val="21"/>
              </w:rPr>
              <w:t>防城港市中医医院改造项目-输液杆、窗帘及床帘</w:t>
            </w:r>
          </w:p>
        </w:tc>
        <w:tc>
          <w:tcPr>
            <w:tcW w:w="750" w:type="dxa"/>
            <w:tcBorders>
              <w:top w:val="single" w:color="auto" w:sz="4" w:space="0"/>
              <w:left w:val="single" w:color="auto" w:sz="4" w:space="0"/>
              <w:right w:val="single" w:color="auto" w:sz="4" w:space="0"/>
            </w:tcBorders>
            <w:noWrap w:val="0"/>
            <w:vAlign w:val="center"/>
          </w:tcPr>
          <w:p>
            <w:pPr>
              <w:snapToGrid w:val="0"/>
              <w:spacing w:line="400" w:lineRule="exact"/>
              <w:jc w:val="center"/>
              <w:rPr>
                <w:rFonts w:hint="eastAsia" w:ascii="宋体" w:hAnsi="宋体" w:cs="宋体"/>
                <w:color w:val="auto"/>
                <w:szCs w:val="21"/>
              </w:rPr>
            </w:pPr>
            <w:r>
              <w:rPr>
                <w:rFonts w:hint="eastAsia" w:ascii="宋体" w:hAnsi="宋体" w:cs="宋体"/>
                <w:color w:val="auto"/>
                <w:szCs w:val="21"/>
              </w:rPr>
              <w:t>1批</w:t>
            </w:r>
          </w:p>
        </w:tc>
        <w:tc>
          <w:tcPr>
            <w:tcW w:w="1215" w:type="dxa"/>
            <w:tcBorders>
              <w:top w:val="single" w:color="auto" w:sz="4" w:space="0"/>
              <w:left w:val="single" w:color="auto" w:sz="4" w:space="0"/>
              <w:right w:val="single" w:color="auto" w:sz="4" w:space="0"/>
            </w:tcBorders>
            <w:noWrap w:val="0"/>
            <w:vAlign w:val="center"/>
          </w:tcPr>
          <w:p>
            <w:pPr>
              <w:snapToGrid w:val="0"/>
              <w:spacing w:line="400" w:lineRule="exact"/>
              <w:jc w:val="center"/>
              <w:rPr>
                <w:rFonts w:hint="eastAsia" w:ascii="宋体" w:hAnsi="宋体" w:cs="宋体"/>
                <w:color w:val="auto"/>
                <w:szCs w:val="21"/>
              </w:rPr>
            </w:pPr>
            <w:r>
              <w:rPr>
                <w:rFonts w:hint="eastAsia" w:ascii="宋体" w:hAnsi="宋体" w:cs="宋体"/>
                <w:color w:val="auto"/>
                <w:szCs w:val="21"/>
              </w:rPr>
              <w:t>具体内容详见附件采购需求</w:t>
            </w:r>
          </w:p>
        </w:tc>
        <w:tc>
          <w:tcPr>
            <w:tcW w:w="1275" w:type="dxa"/>
            <w:tcBorders>
              <w:top w:val="single" w:color="auto" w:sz="4" w:space="0"/>
              <w:left w:val="single" w:color="auto" w:sz="4" w:space="0"/>
              <w:right w:val="single" w:color="auto" w:sz="4" w:space="0"/>
            </w:tcBorders>
            <w:noWrap w:val="0"/>
            <w:vAlign w:val="center"/>
          </w:tcPr>
          <w:p>
            <w:pPr>
              <w:tabs>
                <w:tab w:val="left" w:pos="180"/>
                <w:tab w:val="left" w:pos="1620"/>
              </w:tabs>
              <w:spacing w:line="400" w:lineRule="exact"/>
              <w:jc w:val="center"/>
              <w:rPr>
                <w:rFonts w:hint="eastAsia" w:ascii="宋体" w:hAnsi="宋体" w:cs="宋体"/>
                <w:color w:val="auto"/>
                <w:szCs w:val="21"/>
              </w:rPr>
            </w:pPr>
            <w:r>
              <w:rPr>
                <w:rFonts w:hint="eastAsia" w:ascii="宋体" w:hAnsi="宋体" w:cs="宋体"/>
                <w:color w:val="auto"/>
                <w:szCs w:val="21"/>
              </w:rPr>
              <w:t>147.5524</w:t>
            </w:r>
          </w:p>
        </w:tc>
        <w:tc>
          <w:tcPr>
            <w:tcW w:w="1290" w:type="dxa"/>
            <w:tcBorders>
              <w:top w:val="single" w:color="auto" w:sz="4" w:space="0"/>
              <w:left w:val="single" w:color="auto" w:sz="4" w:space="0"/>
              <w:right w:val="single" w:color="auto" w:sz="4" w:space="0"/>
            </w:tcBorders>
            <w:noWrap w:val="0"/>
            <w:vAlign w:val="center"/>
          </w:tcPr>
          <w:p>
            <w:pPr>
              <w:snapToGrid w:val="0"/>
              <w:spacing w:line="400" w:lineRule="exact"/>
              <w:jc w:val="center"/>
              <w:rPr>
                <w:rFonts w:hint="eastAsia" w:ascii="宋体" w:hAnsi="宋体" w:cs="宋体"/>
                <w:color w:val="auto"/>
                <w:szCs w:val="21"/>
              </w:rPr>
            </w:pPr>
            <w:r>
              <w:rPr>
                <w:rFonts w:hint="eastAsia" w:ascii="宋体" w:hAnsi="宋体" w:cs="宋体"/>
                <w:color w:val="auto"/>
                <w:szCs w:val="21"/>
              </w:rPr>
              <w:t>147.5524</w:t>
            </w:r>
          </w:p>
        </w:tc>
        <w:tc>
          <w:tcPr>
            <w:tcW w:w="2400" w:type="dxa"/>
            <w:tcBorders>
              <w:top w:val="single" w:color="auto" w:sz="4" w:space="0"/>
              <w:left w:val="single" w:color="auto" w:sz="4" w:space="0"/>
              <w:right w:val="single" w:color="auto" w:sz="4" w:space="0"/>
            </w:tcBorders>
            <w:noWrap w:val="0"/>
            <w:vAlign w:val="center"/>
          </w:tcPr>
          <w:p>
            <w:pPr>
              <w:snapToGrid w:val="0"/>
              <w:spacing w:line="400" w:lineRule="exact"/>
              <w:jc w:val="center"/>
              <w:rPr>
                <w:rFonts w:hint="eastAsia" w:ascii="宋体" w:hAnsi="宋体" w:cs="宋体"/>
                <w:color w:val="auto"/>
                <w:szCs w:val="21"/>
              </w:rPr>
            </w:pPr>
            <w:r>
              <w:rPr>
                <w:rFonts w:hint="eastAsia" w:ascii="宋体" w:hAnsi="宋体" w:cs="宋体"/>
                <w:color w:val="auto"/>
                <w:szCs w:val="21"/>
              </w:rPr>
              <w:t>自签订合同之日起 360日内交货安装调试完毕并交付使用；【交货时间指所有货物运抵现场安装调试完毕的日期】。</w:t>
            </w:r>
          </w:p>
        </w:tc>
        <w:tc>
          <w:tcPr>
            <w:tcW w:w="1185" w:type="dxa"/>
            <w:tcBorders>
              <w:top w:val="single" w:color="auto" w:sz="4" w:space="0"/>
              <w:left w:val="single" w:color="auto" w:sz="4" w:space="0"/>
              <w:right w:val="single" w:color="auto" w:sz="4" w:space="0"/>
            </w:tcBorders>
            <w:noWrap w:val="0"/>
            <w:vAlign w:val="center"/>
          </w:tcPr>
          <w:p>
            <w:pPr>
              <w:snapToGrid w:val="0"/>
              <w:spacing w:line="400" w:lineRule="exact"/>
              <w:jc w:val="center"/>
              <w:rPr>
                <w:rFonts w:hint="eastAsia" w:ascii="宋体" w:hAnsi="宋体" w:cs="宋体"/>
                <w:color w:val="auto"/>
                <w:szCs w:val="21"/>
              </w:rPr>
            </w:pPr>
            <w:r>
              <w:rPr>
                <w:rFonts w:hint="eastAsia" w:ascii="宋体" w:hAnsi="宋体" w:cs="宋体"/>
                <w:color w:val="auto"/>
                <w:szCs w:val="21"/>
              </w:rPr>
              <w:t>不接受联合体投标</w:t>
            </w:r>
          </w:p>
        </w:tc>
      </w:tr>
    </w:tbl>
    <w:p>
      <w:pPr>
        <w:tabs>
          <w:tab w:val="left" w:pos="7417"/>
        </w:tabs>
        <w:spacing w:line="400" w:lineRule="exact"/>
        <w:ind w:right="51"/>
        <w:rPr>
          <w:rFonts w:hint="eastAsia" w:ascii="宋体" w:hAnsi="宋体" w:cs="宋体"/>
          <w:b/>
          <w:bCs/>
          <w:szCs w:val="21"/>
        </w:rPr>
      </w:pPr>
      <w:r>
        <w:rPr>
          <w:rFonts w:hint="eastAsia" w:ascii="宋体" w:hAnsi="宋体" w:cs="宋体"/>
          <w:b/>
          <w:bCs/>
          <w:szCs w:val="21"/>
        </w:rPr>
        <w:t>二、申请人的资格要求：</w:t>
      </w:r>
      <w:r>
        <w:rPr>
          <w:rFonts w:hint="eastAsia" w:ascii="宋体" w:hAnsi="宋体" w:cs="宋体"/>
          <w:b/>
          <w:bCs/>
          <w:szCs w:val="21"/>
        </w:rPr>
        <w:tab/>
      </w:r>
    </w:p>
    <w:p>
      <w:pPr>
        <w:pStyle w:val="25"/>
        <w:spacing w:before="0" w:after="0" w:line="400" w:lineRule="exact"/>
        <w:ind w:left="105" w:right="105" w:firstLine="420"/>
        <w:rPr>
          <w:rFonts w:hint="eastAsia"/>
          <w:bCs/>
          <w:sz w:val="21"/>
          <w:szCs w:val="21"/>
        </w:rPr>
      </w:pPr>
      <w:r>
        <w:rPr>
          <w:rFonts w:hint="eastAsia"/>
          <w:sz w:val="21"/>
          <w:szCs w:val="21"/>
        </w:rPr>
        <w:t>1.</w:t>
      </w:r>
      <w:r>
        <w:rPr>
          <w:rFonts w:hint="eastAsia"/>
          <w:bCs/>
          <w:sz w:val="21"/>
          <w:szCs w:val="21"/>
        </w:rPr>
        <w:t>符合《中华人民共和国政府采购法》第二十二条规定的条件。</w:t>
      </w:r>
    </w:p>
    <w:p>
      <w:pPr>
        <w:spacing w:line="400" w:lineRule="exact"/>
        <w:ind w:left="51" w:right="51" w:firstLine="420" w:firstLineChars="200"/>
        <w:rPr>
          <w:rFonts w:hint="eastAsia" w:ascii="宋体" w:hAnsi="宋体" w:cs="宋体"/>
          <w:szCs w:val="21"/>
        </w:rPr>
      </w:pPr>
      <w:r>
        <w:rPr>
          <w:rFonts w:hint="eastAsia" w:ascii="宋体" w:hAnsi="宋体" w:cs="宋体"/>
          <w:szCs w:val="21"/>
        </w:rPr>
        <w:t>2.</w:t>
      </w:r>
      <w:r>
        <w:rPr>
          <w:rFonts w:hint="eastAsia" w:ascii="宋体" w:hAnsi="宋体" w:cs="宋体"/>
          <w:bCs/>
          <w:szCs w:val="21"/>
        </w:rPr>
        <w:t>国内注册（指按国家</w:t>
      </w:r>
      <w:r>
        <w:rPr>
          <w:rFonts w:hint="eastAsia" w:ascii="宋体" w:hAnsi="宋体" w:cs="宋体"/>
          <w:szCs w:val="21"/>
        </w:rPr>
        <w:t>有关规定要求注册的），生产或经营本次货物采购，具备独立法人或负责人资格的供应商；</w:t>
      </w:r>
    </w:p>
    <w:p>
      <w:pPr>
        <w:spacing w:line="400" w:lineRule="exact"/>
        <w:ind w:left="51" w:right="51" w:firstLine="420" w:firstLineChars="200"/>
        <w:rPr>
          <w:rFonts w:hint="eastAsia" w:ascii="宋体" w:hAnsi="宋体" w:cs="宋体"/>
          <w:color w:val="auto"/>
          <w:szCs w:val="21"/>
        </w:rPr>
      </w:pPr>
      <w:r>
        <w:rPr>
          <w:rFonts w:hint="eastAsia" w:ascii="宋体" w:hAnsi="宋体" w:cs="宋体"/>
          <w:szCs w:val="21"/>
        </w:rPr>
        <w:t>3.落实政府采购</w:t>
      </w:r>
      <w:r>
        <w:rPr>
          <w:rFonts w:hint="eastAsia" w:ascii="宋体" w:hAnsi="宋体" w:cs="宋体"/>
          <w:color w:val="auto"/>
          <w:szCs w:val="21"/>
        </w:rPr>
        <w:t>政策需满足的资格要求：本项目为专门面向中小企业采购的项目。</w:t>
      </w:r>
    </w:p>
    <w:p>
      <w:pPr>
        <w:spacing w:line="400" w:lineRule="exact"/>
        <w:ind w:left="51" w:right="51" w:firstLine="420" w:firstLineChars="200"/>
        <w:rPr>
          <w:rFonts w:hint="eastAsia" w:ascii="宋体" w:hAnsi="宋体" w:cs="宋体"/>
          <w:color w:val="auto"/>
          <w:szCs w:val="21"/>
        </w:rPr>
      </w:pPr>
      <w:r>
        <w:rPr>
          <w:rFonts w:hint="eastAsia" w:ascii="宋体" w:hAnsi="宋体" w:cs="宋体"/>
          <w:color w:val="auto"/>
          <w:szCs w:val="21"/>
        </w:rPr>
        <w:t>4.本项目的特定资格要求：无；</w:t>
      </w:r>
    </w:p>
    <w:p>
      <w:pPr>
        <w:spacing w:line="400" w:lineRule="exact"/>
        <w:ind w:left="51" w:right="51" w:firstLine="420" w:firstLineChars="200"/>
        <w:rPr>
          <w:rFonts w:hint="eastAsia" w:ascii="宋体" w:hAnsi="宋体" w:cs="宋体"/>
          <w:color w:val="auto"/>
          <w:szCs w:val="21"/>
        </w:rPr>
      </w:pPr>
      <w:r>
        <w:rPr>
          <w:rFonts w:hint="eastAsia" w:ascii="宋体" w:hAnsi="宋体" w:cs="宋体"/>
          <w:color w:val="auto"/>
          <w:szCs w:val="21"/>
        </w:rPr>
        <w:t>5.单位负责人为同一人或者存在直接控股、管理关系的不同投标人，不得参加同一合同项</w:t>
      </w:r>
      <w:r>
        <w:rPr>
          <w:rFonts w:hint="eastAsia" w:ascii="宋体" w:hAnsi="宋体" w:cs="宋体"/>
          <w:szCs w:val="21"/>
        </w:rPr>
        <w:t>下的政府采购活动。为本项目提供过整体设计、规范编制或者项目管理、监理、检测等服务的投标人，不得再参加本项</w:t>
      </w:r>
      <w:r>
        <w:rPr>
          <w:rFonts w:hint="eastAsia" w:ascii="宋体" w:hAnsi="宋体" w:cs="宋体"/>
          <w:color w:val="auto"/>
          <w:szCs w:val="21"/>
        </w:rPr>
        <w:t>目上述服务以外的其他采购活动；</w:t>
      </w:r>
    </w:p>
    <w:p>
      <w:pPr>
        <w:spacing w:line="400" w:lineRule="exact"/>
        <w:ind w:left="51" w:right="51" w:firstLine="420" w:firstLineChars="200"/>
        <w:rPr>
          <w:rFonts w:hint="eastAsia" w:ascii="宋体" w:hAnsi="宋体" w:cs="宋体"/>
          <w:color w:val="auto"/>
          <w:szCs w:val="21"/>
        </w:rPr>
      </w:pPr>
      <w:r>
        <w:rPr>
          <w:rFonts w:hint="eastAsia" w:ascii="宋体" w:hAnsi="宋体" w:cs="宋体"/>
          <w:color w:val="auto"/>
          <w:szCs w:val="21"/>
        </w:rPr>
        <w:t>6.对在“信用中国”网站、中国政府采购网被列入失信被执行人、重大税收违法案件当事人名单、政府采购严重违法失信行为记录名单及其他不符合《中华人民共和国政府采购法》第二十二条规定条件的投标人，不得参与政府采购活动；</w:t>
      </w:r>
    </w:p>
    <w:p>
      <w:pPr>
        <w:spacing w:line="400" w:lineRule="exact"/>
        <w:ind w:right="51"/>
        <w:rPr>
          <w:rFonts w:hint="eastAsia" w:ascii="宋体" w:hAnsi="宋体" w:cs="宋体"/>
          <w:b/>
          <w:bCs/>
          <w:color w:val="auto"/>
          <w:szCs w:val="21"/>
        </w:rPr>
      </w:pPr>
      <w:r>
        <w:rPr>
          <w:rFonts w:hint="eastAsia" w:ascii="宋体" w:hAnsi="宋体" w:cs="宋体"/>
          <w:b/>
          <w:bCs/>
          <w:color w:val="auto"/>
          <w:szCs w:val="21"/>
        </w:rPr>
        <w:t>三、获取招标文件</w:t>
      </w:r>
    </w:p>
    <w:p>
      <w:pPr>
        <w:spacing w:line="400" w:lineRule="exact"/>
        <w:ind w:left="51" w:right="51" w:firstLine="420" w:firstLineChars="200"/>
        <w:rPr>
          <w:rFonts w:hint="eastAsia" w:ascii="宋体" w:hAnsi="宋体" w:cs="宋体"/>
          <w:color w:val="auto"/>
          <w:szCs w:val="21"/>
        </w:rPr>
      </w:pPr>
      <w:r>
        <w:rPr>
          <w:rFonts w:hint="eastAsia" w:ascii="宋体" w:hAnsi="宋体" w:cs="宋体"/>
          <w:color w:val="auto"/>
          <w:szCs w:val="21"/>
        </w:rPr>
        <w:t>时间：</w:t>
      </w:r>
      <w:r>
        <w:rPr>
          <w:rFonts w:hint="eastAsia" w:ascii="宋体" w:hAnsi="宋体" w:cs="宋体"/>
          <w:bCs/>
          <w:color w:val="auto"/>
          <w:szCs w:val="21"/>
        </w:rPr>
        <w:t>2023年</w:t>
      </w:r>
      <w:r>
        <w:rPr>
          <w:rFonts w:hint="eastAsia" w:ascii="宋体" w:hAnsi="宋体" w:cs="宋体"/>
          <w:bCs/>
          <w:color w:val="auto"/>
          <w:szCs w:val="21"/>
          <w:lang w:val="en-US" w:eastAsia="zh-CN"/>
        </w:rPr>
        <w:t>11</w:t>
      </w:r>
      <w:r>
        <w:rPr>
          <w:rFonts w:hint="eastAsia" w:ascii="宋体" w:hAnsi="宋体" w:cs="宋体"/>
          <w:bCs/>
          <w:color w:val="auto"/>
          <w:szCs w:val="21"/>
        </w:rPr>
        <w:t>月</w:t>
      </w:r>
      <w:r>
        <w:rPr>
          <w:rFonts w:hint="eastAsia" w:ascii="宋体" w:hAnsi="宋体" w:cs="宋体"/>
          <w:bCs/>
          <w:color w:val="auto"/>
          <w:szCs w:val="21"/>
          <w:lang w:val="en-US" w:eastAsia="zh-CN"/>
        </w:rPr>
        <w:t>27</w:t>
      </w:r>
      <w:r>
        <w:rPr>
          <w:rFonts w:hint="eastAsia" w:ascii="宋体" w:hAnsi="宋体" w:cs="宋体"/>
          <w:bCs/>
          <w:color w:val="auto"/>
          <w:szCs w:val="21"/>
        </w:rPr>
        <w:t>日</w:t>
      </w:r>
      <w:r>
        <w:rPr>
          <w:rFonts w:hint="eastAsia" w:ascii="宋体" w:hAnsi="宋体" w:cs="宋体"/>
          <w:bCs/>
          <w:color w:val="auto"/>
          <w:kern w:val="0"/>
          <w:szCs w:val="21"/>
        </w:rPr>
        <w:t>至</w:t>
      </w:r>
      <w:r>
        <w:rPr>
          <w:rFonts w:hint="eastAsia" w:ascii="宋体" w:hAnsi="宋体" w:cs="宋体"/>
          <w:bCs/>
          <w:color w:val="auto"/>
          <w:szCs w:val="21"/>
        </w:rPr>
        <w:t>2023年</w:t>
      </w:r>
      <w:r>
        <w:rPr>
          <w:rFonts w:hint="eastAsia" w:ascii="宋体" w:hAnsi="宋体" w:cs="宋体"/>
          <w:bCs/>
          <w:color w:val="auto"/>
          <w:szCs w:val="21"/>
          <w:lang w:val="en-US" w:eastAsia="zh-CN"/>
        </w:rPr>
        <w:t>12</w:t>
      </w:r>
      <w:r>
        <w:rPr>
          <w:rFonts w:hint="eastAsia" w:ascii="宋体" w:hAnsi="宋体" w:cs="宋体"/>
          <w:bCs/>
          <w:color w:val="auto"/>
          <w:szCs w:val="21"/>
        </w:rPr>
        <w:t>月</w:t>
      </w:r>
      <w:r>
        <w:rPr>
          <w:rFonts w:hint="eastAsia" w:ascii="宋体" w:hAnsi="宋体" w:cs="宋体"/>
          <w:bCs/>
          <w:color w:val="auto"/>
          <w:szCs w:val="21"/>
          <w:lang w:val="en-US" w:eastAsia="zh-CN"/>
        </w:rPr>
        <w:t>4</w:t>
      </w:r>
      <w:r>
        <w:rPr>
          <w:rFonts w:hint="eastAsia" w:ascii="宋体" w:hAnsi="宋体" w:cs="宋体"/>
          <w:bCs/>
          <w:color w:val="auto"/>
          <w:szCs w:val="21"/>
        </w:rPr>
        <w:t>日</w:t>
      </w:r>
      <w:r>
        <w:rPr>
          <w:rFonts w:hint="eastAsia" w:ascii="宋体" w:hAnsi="宋体" w:cs="宋体"/>
          <w:color w:val="auto"/>
          <w:szCs w:val="21"/>
        </w:rPr>
        <w:t>，每天上午8时00分至12时00分，下午3时00分至6时00分（北京时间，法定节假日除外）</w:t>
      </w:r>
    </w:p>
    <w:p>
      <w:pPr>
        <w:spacing w:line="400" w:lineRule="exact"/>
        <w:ind w:left="51" w:right="51" w:firstLine="420" w:firstLineChars="200"/>
        <w:rPr>
          <w:rFonts w:hint="eastAsia" w:ascii="宋体" w:hAnsi="宋体" w:cs="宋体"/>
          <w:color w:val="auto"/>
          <w:szCs w:val="21"/>
        </w:rPr>
      </w:pPr>
      <w:r>
        <w:rPr>
          <w:rFonts w:hint="eastAsia" w:ascii="宋体" w:hAnsi="宋体" w:cs="宋体"/>
          <w:color w:val="auto"/>
          <w:szCs w:val="21"/>
        </w:rPr>
        <w:t>地点：政采云平台</w:t>
      </w:r>
    </w:p>
    <w:p>
      <w:pPr>
        <w:spacing w:line="400" w:lineRule="exact"/>
        <w:ind w:firstLine="540"/>
        <w:rPr>
          <w:rFonts w:hint="eastAsia" w:ascii="宋体" w:hAnsi="宋体" w:cs="宋体"/>
          <w:bCs/>
          <w:color w:val="auto"/>
          <w:kern w:val="0"/>
          <w:szCs w:val="21"/>
        </w:rPr>
      </w:pPr>
      <w:r>
        <w:rPr>
          <w:rFonts w:hint="eastAsia" w:ascii="宋体" w:hAnsi="宋体" w:cs="宋体"/>
          <w:color w:val="auto"/>
          <w:szCs w:val="21"/>
        </w:rPr>
        <w:t>方式：</w:t>
      </w:r>
      <w:r>
        <w:rPr>
          <w:rFonts w:hint="eastAsia" w:ascii="宋体" w:hAnsi="宋体" w:cs="宋体"/>
          <w:bCs/>
          <w:color w:val="auto"/>
          <w:kern w:val="0"/>
          <w:szCs w:val="21"/>
        </w:rPr>
        <w:t>方式：</w:t>
      </w:r>
      <w:r>
        <w:rPr>
          <w:rFonts w:hint="eastAsia" w:ascii="宋体" w:hAnsi="宋体" w:cs="宋体"/>
          <w:color w:val="auto"/>
          <w:szCs w:val="21"/>
        </w:rPr>
        <w:t>供应商登录政采云平台在线申请获取招标文件（进入“项目采购”应用，在获取招标文件菜单中选择项目，申请获取招标文件），电子投标文件制作需要基于政采云平台获取的招标文件编制。</w:t>
      </w:r>
    </w:p>
    <w:p>
      <w:pPr>
        <w:spacing w:line="400" w:lineRule="exact"/>
        <w:ind w:left="51" w:right="51" w:firstLine="420" w:firstLineChars="200"/>
        <w:rPr>
          <w:rFonts w:hint="eastAsia" w:ascii="宋体" w:hAnsi="宋体" w:cs="宋体"/>
          <w:color w:val="auto"/>
          <w:szCs w:val="21"/>
        </w:rPr>
      </w:pPr>
      <w:r>
        <w:rPr>
          <w:rFonts w:hint="eastAsia" w:ascii="宋体" w:hAnsi="宋体" w:cs="宋体"/>
          <w:color w:val="auto"/>
          <w:szCs w:val="21"/>
        </w:rPr>
        <w:t>售价：0元。</w:t>
      </w:r>
    </w:p>
    <w:p>
      <w:pPr>
        <w:spacing w:line="400" w:lineRule="exact"/>
        <w:ind w:right="51"/>
        <w:rPr>
          <w:rFonts w:hint="eastAsia" w:ascii="宋体" w:hAnsi="宋体" w:cs="宋体"/>
          <w:b/>
          <w:bCs/>
          <w:color w:val="auto"/>
          <w:szCs w:val="21"/>
        </w:rPr>
      </w:pPr>
      <w:r>
        <w:rPr>
          <w:rFonts w:hint="eastAsia" w:ascii="宋体" w:hAnsi="宋体" w:cs="宋体"/>
          <w:b/>
          <w:bCs/>
          <w:color w:val="auto"/>
          <w:szCs w:val="21"/>
        </w:rPr>
        <w:t>四、提交投标文件截止时间、开标时间和地点</w:t>
      </w:r>
    </w:p>
    <w:p>
      <w:pPr>
        <w:spacing w:line="400" w:lineRule="exact"/>
        <w:ind w:left="51" w:right="51" w:firstLine="420" w:firstLineChars="200"/>
        <w:rPr>
          <w:rFonts w:hint="eastAsia" w:ascii="宋体" w:hAnsi="宋体" w:cs="宋体"/>
          <w:color w:val="auto"/>
          <w:szCs w:val="21"/>
        </w:rPr>
      </w:pPr>
      <w:r>
        <w:rPr>
          <w:rFonts w:hint="eastAsia" w:ascii="宋体" w:hAnsi="宋体" w:cs="宋体"/>
          <w:color w:val="auto"/>
          <w:szCs w:val="21"/>
        </w:rPr>
        <w:t>时间：2023年</w:t>
      </w:r>
      <w:r>
        <w:rPr>
          <w:rFonts w:hint="eastAsia" w:ascii="宋体" w:hAnsi="宋体" w:cs="宋体"/>
          <w:color w:val="auto"/>
          <w:szCs w:val="21"/>
          <w:lang w:val="en-US" w:eastAsia="zh-CN"/>
        </w:rPr>
        <w:t>12</w:t>
      </w:r>
      <w:r>
        <w:rPr>
          <w:rFonts w:hint="eastAsia" w:ascii="宋体" w:hAnsi="宋体" w:cs="宋体"/>
          <w:color w:val="auto"/>
          <w:szCs w:val="21"/>
        </w:rPr>
        <w:t>月</w:t>
      </w:r>
      <w:r>
        <w:rPr>
          <w:rFonts w:hint="eastAsia" w:ascii="宋体" w:hAnsi="宋体" w:cs="宋体"/>
          <w:color w:val="auto"/>
          <w:szCs w:val="21"/>
          <w:lang w:val="en-US" w:eastAsia="zh-CN"/>
        </w:rPr>
        <w:t>19</w:t>
      </w:r>
      <w:r>
        <w:rPr>
          <w:rFonts w:hint="eastAsia" w:ascii="宋体" w:hAnsi="宋体" w:cs="宋体"/>
          <w:color w:val="auto"/>
          <w:szCs w:val="21"/>
        </w:rPr>
        <w:t>日9点30分（北京时间）。</w:t>
      </w:r>
    </w:p>
    <w:p>
      <w:pPr>
        <w:spacing w:line="400" w:lineRule="exact"/>
        <w:ind w:left="51" w:right="51" w:firstLine="420" w:firstLineChars="200"/>
        <w:rPr>
          <w:rFonts w:hint="eastAsia" w:ascii="宋体" w:hAnsi="宋体" w:cs="宋体"/>
          <w:color w:val="auto"/>
          <w:szCs w:val="21"/>
        </w:rPr>
      </w:pPr>
      <w:r>
        <w:rPr>
          <w:rFonts w:hint="eastAsia" w:ascii="宋体" w:hAnsi="宋体" w:cs="宋体"/>
          <w:color w:val="auto"/>
          <w:szCs w:val="21"/>
        </w:rPr>
        <w:t>地点：政采云平台电子开标大厅（政府采购开评标室</w:t>
      </w:r>
      <w:r>
        <w:rPr>
          <w:rFonts w:hint="eastAsia" w:ascii="宋体" w:hAnsi="宋体" w:cs="宋体"/>
          <w:color w:val="auto"/>
          <w:szCs w:val="21"/>
          <w:lang w:val="en-US" w:eastAsia="zh-CN"/>
        </w:rPr>
        <w:t>一</w:t>
      </w:r>
      <w:r>
        <w:rPr>
          <w:rFonts w:hint="eastAsia" w:ascii="宋体" w:hAnsi="宋体" w:cs="宋体"/>
          <w:color w:val="auto"/>
          <w:szCs w:val="21"/>
        </w:rPr>
        <w:t>）在线解密开启。</w:t>
      </w:r>
      <w:bookmarkStart w:id="9" w:name="_GoBack"/>
      <w:bookmarkEnd w:id="9"/>
    </w:p>
    <w:p>
      <w:pPr>
        <w:spacing w:line="400" w:lineRule="exact"/>
        <w:rPr>
          <w:rFonts w:hint="eastAsia" w:ascii="宋体" w:hAnsi="宋体" w:cs="宋体"/>
          <w:b/>
          <w:bCs/>
          <w:color w:val="auto"/>
          <w:szCs w:val="21"/>
        </w:rPr>
      </w:pPr>
      <w:r>
        <w:rPr>
          <w:rFonts w:hint="eastAsia" w:ascii="宋体" w:hAnsi="宋体" w:cs="宋体"/>
          <w:b/>
          <w:bCs/>
          <w:color w:val="auto"/>
          <w:szCs w:val="21"/>
        </w:rPr>
        <w:t>五、公告期限</w:t>
      </w:r>
    </w:p>
    <w:p>
      <w:pPr>
        <w:spacing w:line="400" w:lineRule="exact"/>
        <w:ind w:firstLine="420" w:firstLineChars="200"/>
        <w:rPr>
          <w:rFonts w:hint="eastAsia" w:ascii="宋体" w:hAnsi="宋体" w:cs="宋体"/>
          <w:color w:val="auto"/>
          <w:kern w:val="0"/>
          <w:szCs w:val="21"/>
        </w:rPr>
      </w:pPr>
      <w:r>
        <w:rPr>
          <w:rFonts w:hint="eastAsia" w:ascii="宋体" w:hAnsi="宋体" w:cs="宋体"/>
          <w:color w:val="auto"/>
          <w:kern w:val="0"/>
          <w:szCs w:val="21"/>
        </w:rPr>
        <w:t>自本公告发布之日起5个工作日。</w:t>
      </w:r>
    </w:p>
    <w:p>
      <w:pPr>
        <w:spacing w:line="400" w:lineRule="exact"/>
        <w:rPr>
          <w:rFonts w:hint="eastAsia" w:ascii="宋体" w:hAnsi="宋体" w:cs="宋体"/>
          <w:b/>
          <w:bCs/>
          <w:color w:val="auto"/>
          <w:szCs w:val="21"/>
        </w:rPr>
      </w:pPr>
      <w:bookmarkStart w:id="0" w:name="_Toc35393626"/>
      <w:bookmarkStart w:id="1" w:name="_Toc35393795"/>
      <w:r>
        <w:rPr>
          <w:rFonts w:hint="eastAsia" w:ascii="宋体" w:hAnsi="宋体" w:cs="宋体"/>
          <w:b/>
          <w:bCs/>
          <w:color w:val="auto"/>
          <w:szCs w:val="21"/>
        </w:rPr>
        <w:t>六、其他补充事宜</w:t>
      </w:r>
      <w:bookmarkEnd w:id="0"/>
      <w:bookmarkEnd w:id="1"/>
    </w:p>
    <w:p>
      <w:pPr>
        <w:spacing w:line="400" w:lineRule="exact"/>
        <w:ind w:firstLine="424" w:firstLineChars="202"/>
        <w:rPr>
          <w:rFonts w:hint="eastAsia" w:ascii="宋体" w:hAnsi="宋体" w:cs="宋体"/>
          <w:i/>
          <w:color w:val="auto"/>
          <w:kern w:val="0"/>
          <w:szCs w:val="21"/>
        </w:rPr>
      </w:pPr>
      <w:bookmarkStart w:id="2" w:name="_Hlk37429585"/>
      <w:bookmarkStart w:id="3" w:name="_Hlk37429595"/>
      <w:bookmarkStart w:id="4" w:name="_Toc28359008"/>
      <w:bookmarkStart w:id="5" w:name="_Toc28359085"/>
      <w:bookmarkStart w:id="6" w:name="_Toc35393796"/>
      <w:bookmarkStart w:id="7" w:name="_Toc35393627"/>
      <w:r>
        <w:rPr>
          <w:rFonts w:hint="eastAsia" w:ascii="宋体" w:hAnsi="宋体" w:cs="宋体"/>
          <w:color w:val="auto"/>
          <w:kern w:val="0"/>
          <w:szCs w:val="21"/>
        </w:rPr>
        <w:t>1.</w:t>
      </w:r>
      <w:bookmarkEnd w:id="2"/>
      <w:r>
        <w:rPr>
          <w:rFonts w:hint="eastAsia" w:ascii="宋体" w:hAnsi="宋体" w:cs="宋体"/>
          <w:color w:val="auto"/>
          <w:szCs w:val="21"/>
        </w:rPr>
        <w:t>网上查询地址：中国政府采购网、广西壮族自治区政府采购网、防城港市人民政府门户网站、全国公共资源交易平台（广西·防城港）。</w:t>
      </w:r>
    </w:p>
    <w:bookmarkEnd w:id="3"/>
    <w:p>
      <w:pPr>
        <w:spacing w:line="400" w:lineRule="exact"/>
        <w:ind w:firstLine="424" w:firstLineChars="202"/>
        <w:rPr>
          <w:rFonts w:hint="eastAsia" w:ascii="宋体" w:hAnsi="宋体" w:cs="宋体"/>
          <w:color w:val="auto"/>
          <w:kern w:val="0"/>
          <w:szCs w:val="21"/>
        </w:rPr>
      </w:pPr>
      <w:bookmarkStart w:id="8" w:name="_Hlk37429674"/>
      <w:r>
        <w:rPr>
          <w:rFonts w:hint="eastAsia" w:ascii="宋体" w:hAnsi="宋体" w:cs="宋体"/>
          <w:color w:val="auto"/>
          <w:szCs w:val="21"/>
        </w:rPr>
        <w:t>2.</w:t>
      </w:r>
      <w:r>
        <w:rPr>
          <w:rFonts w:hint="eastAsia" w:ascii="宋体" w:hAnsi="宋体" w:cs="宋体"/>
          <w:color w:val="auto"/>
          <w:kern w:val="0"/>
          <w:szCs w:val="21"/>
        </w:rPr>
        <w:t>本项目需要落实的政府采购政策：</w:t>
      </w:r>
    </w:p>
    <w:p>
      <w:pPr>
        <w:spacing w:line="400" w:lineRule="exact"/>
        <w:ind w:firstLine="420" w:firstLineChars="200"/>
        <w:rPr>
          <w:rFonts w:hint="eastAsia" w:ascii="宋体" w:hAnsi="宋体" w:cs="宋体"/>
          <w:iCs/>
          <w:color w:val="000000"/>
          <w:kern w:val="0"/>
          <w:szCs w:val="21"/>
        </w:rPr>
      </w:pPr>
      <w:r>
        <w:rPr>
          <w:rFonts w:hint="eastAsia" w:ascii="宋体" w:hAnsi="宋体" w:cs="宋体"/>
          <w:iCs/>
          <w:color w:val="000000"/>
          <w:kern w:val="0"/>
          <w:szCs w:val="21"/>
        </w:rPr>
        <w:t>（1）政府采购促进中小企业发展。</w:t>
      </w:r>
    </w:p>
    <w:p>
      <w:pPr>
        <w:spacing w:line="400" w:lineRule="exact"/>
        <w:ind w:firstLine="420" w:firstLineChars="200"/>
        <w:rPr>
          <w:rFonts w:hint="eastAsia" w:ascii="宋体" w:hAnsi="宋体" w:cs="宋体"/>
          <w:iCs/>
          <w:color w:val="000000"/>
          <w:kern w:val="0"/>
          <w:szCs w:val="21"/>
        </w:rPr>
      </w:pPr>
      <w:r>
        <w:rPr>
          <w:rFonts w:hint="eastAsia" w:ascii="宋体" w:hAnsi="宋体" w:cs="宋体"/>
          <w:iCs/>
          <w:color w:val="000000"/>
          <w:kern w:val="0"/>
          <w:szCs w:val="21"/>
        </w:rPr>
        <w:t>（2）政府采购支持采用本国产品的政策。</w:t>
      </w:r>
    </w:p>
    <w:p>
      <w:pPr>
        <w:spacing w:line="400" w:lineRule="exact"/>
        <w:ind w:firstLine="420" w:firstLineChars="200"/>
        <w:rPr>
          <w:rFonts w:hint="eastAsia" w:ascii="宋体" w:hAnsi="宋体" w:cs="宋体"/>
          <w:iCs/>
          <w:color w:val="000000"/>
          <w:kern w:val="0"/>
          <w:szCs w:val="21"/>
        </w:rPr>
      </w:pPr>
      <w:r>
        <w:rPr>
          <w:rFonts w:hint="eastAsia" w:ascii="宋体" w:hAnsi="宋体" w:cs="宋体"/>
          <w:iCs/>
          <w:color w:val="000000"/>
          <w:kern w:val="0"/>
          <w:szCs w:val="21"/>
        </w:rPr>
        <w:t>（3）强制采购节能产品；优先采购节能产品、环境标志产品。</w:t>
      </w:r>
    </w:p>
    <w:p>
      <w:pPr>
        <w:spacing w:line="400" w:lineRule="exact"/>
        <w:ind w:firstLine="420" w:firstLineChars="200"/>
        <w:rPr>
          <w:rFonts w:hint="eastAsia" w:ascii="宋体" w:hAnsi="宋体" w:cs="宋体"/>
          <w:iCs/>
          <w:color w:val="000000"/>
          <w:kern w:val="0"/>
          <w:szCs w:val="21"/>
        </w:rPr>
      </w:pPr>
      <w:r>
        <w:rPr>
          <w:rFonts w:hint="eastAsia" w:ascii="宋体" w:hAnsi="宋体" w:cs="宋体"/>
          <w:iCs/>
          <w:color w:val="000000"/>
          <w:kern w:val="0"/>
          <w:szCs w:val="21"/>
        </w:rPr>
        <w:t>（4）政府采购促进残疾人就业政策。</w:t>
      </w:r>
    </w:p>
    <w:p>
      <w:pPr>
        <w:spacing w:line="400" w:lineRule="exact"/>
        <w:ind w:firstLine="420" w:firstLineChars="200"/>
        <w:rPr>
          <w:rFonts w:hint="eastAsia" w:ascii="宋体" w:hAnsi="宋体" w:cs="宋体"/>
          <w:iCs/>
          <w:color w:val="000000"/>
          <w:kern w:val="0"/>
          <w:szCs w:val="21"/>
        </w:rPr>
      </w:pPr>
      <w:r>
        <w:rPr>
          <w:rFonts w:hint="eastAsia" w:ascii="宋体" w:hAnsi="宋体" w:cs="宋体"/>
          <w:iCs/>
          <w:color w:val="000000"/>
          <w:kern w:val="0"/>
          <w:szCs w:val="21"/>
        </w:rPr>
        <w:t>（5）政府采购支持监狱企业发展。</w:t>
      </w:r>
    </w:p>
    <w:p>
      <w:pPr>
        <w:widowControl/>
        <w:spacing w:line="400" w:lineRule="exact"/>
        <w:ind w:firstLine="420" w:firstLineChars="200"/>
        <w:jc w:val="left"/>
        <w:rPr>
          <w:rFonts w:hint="eastAsia" w:ascii="宋体" w:hAnsi="宋体" w:cs="宋体"/>
          <w:color w:val="000000"/>
          <w:szCs w:val="21"/>
        </w:rPr>
      </w:pPr>
      <w:r>
        <w:rPr>
          <w:rFonts w:hint="eastAsia" w:ascii="宋体" w:hAnsi="宋体" w:cs="宋体"/>
          <w:color w:val="000000"/>
          <w:kern w:val="0"/>
          <w:szCs w:val="21"/>
        </w:rPr>
        <w:t>3.</w:t>
      </w:r>
      <w:bookmarkEnd w:id="8"/>
      <w:r>
        <w:rPr>
          <w:rFonts w:hint="eastAsia" w:ascii="宋体" w:hAnsi="宋体" w:cs="宋体"/>
          <w:color w:val="000000"/>
          <w:kern w:val="0"/>
          <w:szCs w:val="21"/>
        </w:rPr>
        <w:t>投标人</w:t>
      </w:r>
      <w:r>
        <w:rPr>
          <w:rFonts w:hint="eastAsia" w:ascii="宋体" w:hAnsi="宋体" w:cs="宋体"/>
          <w:color w:val="000000"/>
          <w:szCs w:val="21"/>
        </w:rPr>
        <w:t>投标注意事项</w:t>
      </w:r>
    </w:p>
    <w:p>
      <w:pPr>
        <w:widowControl/>
        <w:spacing w:line="400" w:lineRule="exact"/>
        <w:ind w:firstLine="420" w:firstLineChars="200"/>
        <w:jc w:val="left"/>
        <w:rPr>
          <w:rFonts w:hint="eastAsia" w:ascii="宋体" w:hAnsi="宋体"/>
          <w:color w:val="000000"/>
          <w:szCs w:val="21"/>
        </w:rPr>
      </w:pPr>
      <w:r>
        <w:rPr>
          <w:rFonts w:hint="eastAsia" w:ascii="宋体" w:hAnsi="宋体" w:cs="宋体"/>
          <w:color w:val="000000"/>
          <w:szCs w:val="21"/>
        </w:rPr>
        <w:t>（1）本项目为全流程电子化采购项目，通过“政采云”平台实行在线电子投标，投标人应先安装“政采云电子投标客户端”（请自行前往“政采云”平台进行下载），并按照本项目招标文件和“政采云”平台的要求编制、加密后在投标截止时间前通过网络上传至 “政采云</w:t>
      </w:r>
      <w:r>
        <w:rPr>
          <w:rFonts w:hint="eastAsia" w:ascii="宋体" w:hAnsi="宋体"/>
          <w:color w:val="000000"/>
          <w:szCs w:val="21"/>
        </w:rPr>
        <w:t>”平台（加密的电子投标文件是指后缀名为“jm</w:t>
      </w:r>
      <w:r>
        <w:rPr>
          <w:rFonts w:ascii="宋体" w:hAnsi="宋体"/>
          <w:color w:val="000000"/>
          <w:szCs w:val="21"/>
        </w:rPr>
        <w:t>bs</w:t>
      </w:r>
      <w:r>
        <w:rPr>
          <w:rFonts w:hint="eastAsia" w:ascii="宋体" w:hAnsi="宋体"/>
          <w:color w:val="000000"/>
          <w:szCs w:val="21"/>
        </w:rPr>
        <w:t>”的文件），</w:t>
      </w:r>
      <w:r>
        <w:rPr>
          <w:rFonts w:hint="eastAsia" w:ascii="宋体" w:hAnsi="宋体"/>
          <w:b/>
          <w:color w:val="000000"/>
          <w:szCs w:val="21"/>
        </w:rPr>
        <w:t>投标人在“政采云”平台提交电子投标文件时，请填写参加远程开标活动经办人联系方式。</w:t>
      </w:r>
      <w:r>
        <w:rPr>
          <w:rFonts w:hint="eastAsia" w:ascii="宋体" w:hAnsi="宋体"/>
          <w:color w:val="000000"/>
          <w:szCs w:val="21"/>
        </w:rPr>
        <w:t>投标人登录“政采云”平台，依次进入“服务中心-项目采购-操作流程-电子招投标-</w:t>
      </w:r>
      <w:r>
        <w:rPr>
          <w:rFonts w:ascii="宋体" w:hAnsi="宋体"/>
          <w:color w:val="000000"/>
          <w:szCs w:val="21"/>
        </w:rPr>
        <w:t>政府采购项目电子交易管理操作指南-供应商</w:t>
      </w:r>
      <w:r>
        <w:rPr>
          <w:rFonts w:hint="eastAsia" w:ascii="宋体" w:hAnsi="宋体"/>
          <w:color w:val="000000"/>
          <w:szCs w:val="21"/>
        </w:rPr>
        <w:t>”查看电子投标具体操作流程。</w:t>
      </w:r>
    </w:p>
    <w:p>
      <w:pPr>
        <w:widowControl/>
        <w:spacing w:line="400" w:lineRule="exact"/>
        <w:ind w:firstLine="420" w:firstLineChars="200"/>
        <w:jc w:val="left"/>
        <w:rPr>
          <w:rFonts w:ascii="宋体" w:hAnsi="宋体"/>
          <w:color w:val="000000"/>
          <w:szCs w:val="21"/>
        </w:rPr>
      </w:pPr>
      <w:r>
        <w:rPr>
          <w:rFonts w:hint="eastAsia" w:ascii="宋体" w:hAnsi="宋体"/>
          <w:color w:val="000000"/>
          <w:szCs w:val="21"/>
        </w:rPr>
        <w:t>（2）未进行网上注册并办理数字证书（CA认证）的投标人将无法参与本项目政府采购活动，投标人应当在投标截止时间前，完成电子交易平台上的CA数字证书办理及投标文件的提交（投标人可登录“广西政府采购网”，依次进入“办事服务-下载专区”或者登陆</w:t>
      </w:r>
      <w:r>
        <w:rPr>
          <w:rFonts w:hint="eastAsia" w:ascii="宋体" w:hAnsi="宋体" w:cs="宋体"/>
          <w:color w:val="000000"/>
          <w:kern w:val="0"/>
          <w:szCs w:val="21"/>
        </w:rPr>
        <w:t>“政采云”平台，</w:t>
      </w:r>
      <w:r>
        <w:rPr>
          <w:rFonts w:hint="eastAsia" w:ascii="宋体" w:hAnsi="宋体"/>
          <w:color w:val="000000"/>
          <w:szCs w:val="21"/>
        </w:rPr>
        <w:t>依次进入“服务中心-入驻与配置”中查看CA数字证书办理操作流程。</w:t>
      </w:r>
      <w:r>
        <w:rPr>
          <w:rFonts w:hint="eastAsia" w:ascii="宋体" w:hAnsi="宋体" w:cs="宋体"/>
          <w:bCs/>
          <w:color w:val="000000"/>
          <w:kern w:val="0"/>
          <w:szCs w:val="21"/>
        </w:rPr>
        <w:t>如在操作过程中遇到问题或者需要技术支持，请致电政采云客服热线：400-881-7190</w:t>
      </w:r>
      <w:r>
        <w:rPr>
          <w:rFonts w:hint="eastAsia" w:ascii="宋体" w:hAnsi="宋体"/>
          <w:color w:val="000000"/>
          <w:szCs w:val="21"/>
        </w:rPr>
        <w:t>）。</w:t>
      </w:r>
    </w:p>
    <w:p>
      <w:pPr>
        <w:snapToGrid w:val="0"/>
        <w:spacing w:line="400" w:lineRule="exact"/>
        <w:ind w:firstLine="420" w:firstLineChars="200"/>
        <w:rPr>
          <w:rFonts w:hint="eastAsia" w:ascii="宋体" w:hAnsi="宋体" w:cs="宋体"/>
          <w:color w:val="000000"/>
          <w:kern w:val="0"/>
          <w:szCs w:val="21"/>
        </w:rPr>
      </w:pPr>
      <w:r>
        <w:rPr>
          <w:rFonts w:hint="eastAsia" w:ascii="宋体" w:hAnsi="宋体" w:cs="宋体"/>
          <w:color w:val="000000"/>
          <w:kern w:val="0"/>
          <w:szCs w:val="21"/>
        </w:rPr>
        <w:t>（3）CA证书在线解密：投标人投标时，需凭制作投标文件时用来加密的有效数字证书（CA认证）登录“政采云”平台电子开标大厅现场按规定时间对加密的投标文件进行解密，否则后果自负。</w:t>
      </w:r>
    </w:p>
    <w:p>
      <w:pPr>
        <w:widowControl/>
        <w:spacing w:line="400" w:lineRule="exact"/>
        <w:ind w:firstLine="420" w:firstLineChars="200"/>
        <w:jc w:val="left"/>
        <w:rPr>
          <w:rFonts w:hint="eastAsia" w:ascii="宋体" w:hAnsi="宋体"/>
          <w:bCs/>
          <w:color w:val="000000"/>
          <w:szCs w:val="21"/>
        </w:rPr>
      </w:pPr>
      <w:r>
        <w:rPr>
          <w:rFonts w:hint="eastAsia" w:ascii="宋体" w:hAnsi="宋体"/>
          <w:color w:val="000000"/>
          <w:szCs w:val="21"/>
        </w:rPr>
        <w:t>注：1）为确保网上操作合法、有效和安全，请投标人确保在电子投标过程中能够对相关数据电文进行加密和使用电子签章，妥善保管C</w:t>
      </w:r>
      <w:r>
        <w:rPr>
          <w:rFonts w:ascii="宋体" w:hAnsi="宋体"/>
          <w:color w:val="000000"/>
          <w:szCs w:val="21"/>
        </w:rPr>
        <w:t>A</w:t>
      </w:r>
      <w:r>
        <w:rPr>
          <w:rFonts w:hint="eastAsia" w:ascii="宋体" w:hAnsi="宋体"/>
          <w:color w:val="000000"/>
          <w:szCs w:val="21"/>
        </w:rPr>
        <w:t>数字证书并使用有效的CA数字证书参与整个招标活动。2）</w:t>
      </w:r>
      <w:r>
        <w:rPr>
          <w:rFonts w:hint="eastAsia" w:ascii="宋体" w:hAnsi="宋体"/>
          <w:bCs/>
          <w:color w:val="000000"/>
          <w:szCs w:val="21"/>
        </w:rPr>
        <w:t>投标人应当在投标截止时间前完成电子投标文件的上传、提交，投标截止时间前可以补充、修改或者撤回投标文件。补充或者修改投标文件的，应当先行撤回原投标文件，补充、修改后重新上传、提交，投标截止时间前未完成上传、提交的，视为撤回投标文件。投标截止时间以后上传递交的投标文件，“政采云”平台将予以拒收。</w:t>
      </w:r>
    </w:p>
    <w:p>
      <w:pPr>
        <w:spacing w:line="400" w:lineRule="exact"/>
        <w:ind w:firstLine="420" w:firstLineChars="200"/>
        <w:rPr>
          <w:rFonts w:ascii="宋体" w:hAnsi="宋体" w:cs="宋体"/>
          <w:color w:val="000000"/>
          <w:kern w:val="0"/>
          <w:szCs w:val="21"/>
        </w:rPr>
      </w:pPr>
      <w:r>
        <w:rPr>
          <w:rFonts w:hint="eastAsia" w:ascii="宋体" w:hAnsi="宋体" w:cs="宋体"/>
          <w:color w:val="000000"/>
          <w:kern w:val="0"/>
          <w:szCs w:val="21"/>
        </w:rPr>
        <w:t>4.投标保证金：本项目不收取投标保证金。</w:t>
      </w:r>
    </w:p>
    <w:p>
      <w:pPr>
        <w:spacing w:line="400" w:lineRule="exact"/>
        <w:ind w:firstLine="420" w:firstLineChars="200"/>
        <w:rPr>
          <w:rFonts w:ascii="宋体" w:hAnsi="宋体" w:cs="宋体"/>
          <w:color w:val="000000"/>
          <w:kern w:val="0"/>
          <w:szCs w:val="21"/>
        </w:rPr>
      </w:pPr>
      <w:r>
        <w:rPr>
          <w:rFonts w:hint="eastAsia" w:ascii="宋体" w:hAnsi="宋体" w:cs="宋体"/>
          <w:color w:val="000000"/>
          <w:kern w:val="0"/>
          <w:szCs w:val="21"/>
        </w:rPr>
        <w:t>5.监督部门</w:t>
      </w:r>
    </w:p>
    <w:p>
      <w:pPr>
        <w:widowControl/>
        <w:spacing w:line="400" w:lineRule="exact"/>
        <w:ind w:firstLine="420" w:firstLineChars="200"/>
        <w:jc w:val="left"/>
        <w:rPr>
          <w:rFonts w:hint="eastAsia" w:ascii="宋体" w:hAnsi="宋体" w:cs="宋体"/>
          <w:color w:val="000000"/>
          <w:kern w:val="0"/>
          <w:szCs w:val="21"/>
        </w:rPr>
      </w:pPr>
      <w:r>
        <w:rPr>
          <w:rFonts w:hint="eastAsia" w:ascii="宋体" w:hAnsi="宋体" w:cs="宋体"/>
          <w:color w:val="000000"/>
          <w:kern w:val="0"/>
          <w:szCs w:val="21"/>
        </w:rPr>
        <w:t xml:space="preserve">名称：防城港市财政局 </w:t>
      </w:r>
    </w:p>
    <w:p>
      <w:pPr>
        <w:widowControl/>
        <w:spacing w:line="400" w:lineRule="exact"/>
        <w:ind w:firstLine="420" w:firstLineChars="200"/>
        <w:jc w:val="left"/>
        <w:rPr>
          <w:rFonts w:hint="eastAsia" w:ascii="宋体" w:hAnsi="宋体" w:cs="宋体"/>
          <w:color w:val="000000"/>
          <w:kern w:val="0"/>
          <w:szCs w:val="21"/>
        </w:rPr>
      </w:pPr>
      <w:r>
        <w:rPr>
          <w:rFonts w:hint="eastAsia" w:ascii="宋体" w:hAnsi="宋体" w:cs="宋体"/>
          <w:color w:val="000000"/>
          <w:kern w:val="0"/>
          <w:szCs w:val="21"/>
        </w:rPr>
        <w:t xml:space="preserve">电话：0770-6102319  </w:t>
      </w:r>
    </w:p>
    <w:p>
      <w:pPr>
        <w:spacing w:line="400" w:lineRule="exact"/>
        <w:rPr>
          <w:rFonts w:ascii="宋体" w:hAnsi="宋体"/>
          <w:b/>
          <w:bCs/>
          <w:szCs w:val="21"/>
        </w:rPr>
      </w:pPr>
      <w:r>
        <w:rPr>
          <w:rFonts w:hint="eastAsia" w:ascii="宋体" w:hAnsi="宋体"/>
          <w:b/>
          <w:bCs/>
          <w:color w:val="000000"/>
          <w:szCs w:val="21"/>
        </w:rPr>
        <w:t>七、对本次招标提出</w:t>
      </w:r>
      <w:r>
        <w:rPr>
          <w:rFonts w:hint="eastAsia" w:ascii="宋体" w:hAnsi="宋体"/>
          <w:b/>
          <w:bCs/>
          <w:szCs w:val="21"/>
        </w:rPr>
        <w:t>询问，请按</w:t>
      </w:r>
      <w:r>
        <w:rPr>
          <w:rFonts w:ascii="宋体" w:hAnsi="宋体"/>
          <w:b/>
          <w:bCs/>
          <w:szCs w:val="21"/>
        </w:rPr>
        <w:t>以下方式</w:t>
      </w:r>
      <w:r>
        <w:rPr>
          <w:rFonts w:hint="eastAsia" w:ascii="宋体" w:hAnsi="宋体"/>
          <w:b/>
          <w:bCs/>
          <w:szCs w:val="21"/>
        </w:rPr>
        <w:t>联系。</w:t>
      </w:r>
      <w:bookmarkEnd w:id="4"/>
      <w:bookmarkEnd w:id="5"/>
      <w:bookmarkEnd w:id="6"/>
      <w:bookmarkEnd w:id="7"/>
    </w:p>
    <w:p>
      <w:pPr>
        <w:spacing w:line="400" w:lineRule="exact"/>
        <w:rPr>
          <w:rFonts w:ascii="宋体" w:hAnsi="宋体" w:cs="宋体"/>
          <w:color w:val="000000"/>
          <w:szCs w:val="21"/>
        </w:rPr>
      </w:pPr>
      <w:r>
        <w:rPr>
          <w:rFonts w:hint="eastAsia" w:ascii="宋体" w:hAnsi="宋体" w:cs="宋体"/>
          <w:color w:val="000000"/>
          <w:szCs w:val="21"/>
        </w:rPr>
        <w:t>　1.采购人信息</w:t>
      </w:r>
    </w:p>
    <w:p>
      <w:pPr>
        <w:spacing w:line="400" w:lineRule="exact"/>
        <w:rPr>
          <w:rFonts w:ascii="宋体" w:hAnsi="宋体" w:cs="宋体"/>
          <w:color w:val="000000"/>
          <w:szCs w:val="21"/>
        </w:rPr>
      </w:pPr>
      <w:r>
        <w:rPr>
          <w:rFonts w:hint="eastAsia" w:ascii="宋体" w:hAnsi="宋体" w:cs="宋体"/>
          <w:color w:val="000000"/>
          <w:szCs w:val="21"/>
        </w:rPr>
        <w:t>　　名称：防城港市中医医院</w:t>
      </w:r>
    </w:p>
    <w:p>
      <w:pPr>
        <w:spacing w:line="400" w:lineRule="exact"/>
        <w:ind w:firstLine="420" w:firstLineChars="200"/>
        <w:rPr>
          <w:rFonts w:ascii="宋体" w:hAnsi="宋体" w:cs="宋体"/>
          <w:color w:val="000000"/>
          <w:szCs w:val="21"/>
        </w:rPr>
      </w:pPr>
      <w:r>
        <w:rPr>
          <w:rFonts w:hint="eastAsia" w:ascii="宋体" w:hAnsi="宋体" w:cs="宋体"/>
          <w:color w:val="000000"/>
          <w:szCs w:val="21"/>
        </w:rPr>
        <w:t>地址：防城港市防城区二桥东路8号</w:t>
      </w:r>
    </w:p>
    <w:p>
      <w:pPr>
        <w:spacing w:line="400" w:lineRule="exact"/>
        <w:ind w:firstLine="420" w:firstLineChars="200"/>
        <w:rPr>
          <w:rFonts w:ascii="宋体" w:hAnsi="宋体" w:cs="宋体"/>
          <w:color w:val="000000"/>
          <w:szCs w:val="21"/>
        </w:rPr>
      </w:pPr>
      <w:r>
        <w:rPr>
          <w:rFonts w:hint="eastAsia" w:ascii="宋体" w:hAnsi="宋体" w:cs="宋体"/>
          <w:color w:val="000000"/>
          <w:szCs w:val="21"/>
        </w:rPr>
        <w:t>联系人及电话：曾宪武 ,何明珠0770-3270106</w:t>
      </w:r>
    </w:p>
    <w:p>
      <w:pPr>
        <w:spacing w:line="400" w:lineRule="exact"/>
        <w:ind w:firstLine="210" w:firstLineChars="100"/>
        <w:rPr>
          <w:rFonts w:ascii="宋体" w:hAnsi="宋体" w:cs="宋体"/>
          <w:color w:val="000000"/>
          <w:szCs w:val="21"/>
        </w:rPr>
      </w:pPr>
      <w:r>
        <w:rPr>
          <w:rFonts w:hint="eastAsia" w:ascii="宋体" w:hAnsi="宋体" w:cs="宋体"/>
          <w:color w:val="000000"/>
          <w:szCs w:val="21"/>
        </w:rPr>
        <w:t>　2.采购代理机构信息</w:t>
      </w:r>
    </w:p>
    <w:p>
      <w:pPr>
        <w:spacing w:line="400" w:lineRule="exact"/>
        <w:rPr>
          <w:rFonts w:ascii="宋体" w:hAnsi="宋体" w:cs="宋体"/>
          <w:color w:val="000000"/>
          <w:szCs w:val="21"/>
        </w:rPr>
      </w:pPr>
      <w:r>
        <w:rPr>
          <w:rFonts w:hint="eastAsia" w:ascii="宋体" w:hAnsi="宋体" w:cs="宋体"/>
          <w:color w:val="000000"/>
          <w:szCs w:val="21"/>
        </w:rPr>
        <w:t>　　名 称：广西国立工程咨询有限公司</w:t>
      </w:r>
    </w:p>
    <w:p>
      <w:pPr>
        <w:spacing w:line="400" w:lineRule="exact"/>
        <w:ind w:firstLine="420" w:firstLineChars="200"/>
        <w:rPr>
          <w:rFonts w:ascii="宋体" w:hAnsi="宋体" w:cs="宋体"/>
          <w:color w:val="000000"/>
          <w:szCs w:val="21"/>
        </w:rPr>
      </w:pPr>
      <w:r>
        <w:rPr>
          <w:rFonts w:hint="eastAsia" w:ascii="宋体" w:hAnsi="宋体" w:cs="宋体"/>
          <w:color w:val="000000"/>
          <w:szCs w:val="21"/>
        </w:rPr>
        <w:t>地 址：防城港市防城区市场监督管理局大门直入50米</w:t>
      </w:r>
    </w:p>
    <w:p>
      <w:pPr>
        <w:spacing w:line="400" w:lineRule="exact"/>
        <w:rPr>
          <w:rFonts w:ascii="宋体" w:hAnsi="宋体" w:cs="宋体"/>
          <w:color w:val="000000"/>
          <w:szCs w:val="21"/>
        </w:rPr>
      </w:pPr>
      <w:r>
        <w:rPr>
          <w:rFonts w:hint="eastAsia" w:ascii="宋体" w:hAnsi="宋体" w:cs="宋体"/>
          <w:color w:val="000000"/>
          <w:szCs w:val="21"/>
        </w:rPr>
        <w:t>　　联系方式：18977002756</w:t>
      </w:r>
    </w:p>
    <w:p>
      <w:pPr>
        <w:spacing w:line="400" w:lineRule="exact"/>
        <w:rPr>
          <w:rFonts w:ascii="宋体" w:hAnsi="宋体" w:cs="宋体"/>
          <w:color w:val="000000"/>
          <w:szCs w:val="21"/>
        </w:rPr>
      </w:pPr>
      <w:r>
        <w:rPr>
          <w:rFonts w:hint="eastAsia" w:ascii="宋体" w:hAnsi="宋体" w:cs="宋体"/>
          <w:color w:val="000000"/>
          <w:szCs w:val="21"/>
        </w:rPr>
        <w:t>　　3.项目联系方式</w:t>
      </w:r>
    </w:p>
    <w:p>
      <w:pPr>
        <w:spacing w:line="400" w:lineRule="exact"/>
        <w:rPr>
          <w:rFonts w:ascii="宋体" w:hAnsi="宋体" w:cs="宋体"/>
          <w:color w:val="000000"/>
          <w:szCs w:val="21"/>
        </w:rPr>
      </w:pPr>
      <w:r>
        <w:rPr>
          <w:rFonts w:hint="eastAsia" w:ascii="宋体" w:hAnsi="宋体" w:cs="宋体"/>
          <w:color w:val="000000"/>
          <w:szCs w:val="21"/>
        </w:rPr>
        <w:t>　　项目联系人：黄丽艳</w:t>
      </w:r>
    </w:p>
    <w:p>
      <w:pPr>
        <w:spacing w:line="400" w:lineRule="exact"/>
        <w:rPr>
          <w:rFonts w:ascii="宋体" w:hAnsi="宋体" w:cs="宋体"/>
          <w:color w:val="000000"/>
          <w:szCs w:val="21"/>
        </w:rPr>
      </w:pPr>
      <w:r>
        <w:rPr>
          <w:rFonts w:hint="eastAsia" w:ascii="宋体" w:hAnsi="宋体" w:cs="宋体"/>
          <w:color w:val="000000"/>
          <w:szCs w:val="21"/>
        </w:rPr>
        <w:t>　　电 话：18977002756　　</w:t>
      </w:r>
    </w:p>
    <w:p>
      <w:pPr>
        <w:spacing w:line="400" w:lineRule="exact"/>
        <w:jc w:val="right"/>
        <w:rPr>
          <w:rFonts w:ascii="宋体" w:hAnsi="宋体" w:cs="宋体"/>
          <w:color w:val="000000"/>
          <w:szCs w:val="21"/>
        </w:rPr>
      </w:pPr>
      <w:r>
        <w:rPr>
          <w:rFonts w:hint="eastAsia" w:ascii="宋体" w:hAnsi="宋体" w:cs="宋体"/>
          <w:color w:val="000000"/>
          <w:szCs w:val="21"/>
        </w:rPr>
        <w:t>采购人：防城港市中医医院</w:t>
      </w:r>
    </w:p>
    <w:p>
      <w:pPr>
        <w:snapToGrid w:val="0"/>
        <w:spacing w:line="400" w:lineRule="exact"/>
        <w:jc w:val="right"/>
        <w:outlineLvl w:val="0"/>
        <w:rPr>
          <w:rFonts w:ascii="宋体" w:hAnsi="宋体" w:cs="宋体"/>
          <w:color w:val="000000"/>
          <w:szCs w:val="21"/>
        </w:rPr>
      </w:pPr>
      <w:r>
        <w:rPr>
          <w:rFonts w:hint="eastAsia" w:ascii="宋体" w:hAnsi="宋体" w:cs="宋体"/>
          <w:color w:val="000000"/>
          <w:szCs w:val="21"/>
        </w:rPr>
        <w:t>采购代理机构：广西国立工程咨询有限公司</w:t>
      </w:r>
    </w:p>
    <w:p>
      <w:pPr>
        <w:snapToGrid w:val="0"/>
        <w:spacing w:line="400" w:lineRule="exact"/>
        <w:jc w:val="right"/>
        <w:outlineLvl w:val="0"/>
        <w:rPr>
          <w:rFonts w:hint="eastAsia"/>
        </w:rPr>
      </w:pPr>
      <w:r>
        <w:rPr>
          <w:rFonts w:hint="eastAsia" w:ascii="宋体" w:hAnsi="宋体" w:cs="宋体"/>
          <w:color w:val="000000"/>
          <w:szCs w:val="21"/>
        </w:rPr>
        <w:t xml:space="preserve"> 2023年</w:t>
      </w:r>
      <w:r>
        <w:rPr>
          <w:rFonts w:hint="eastAsia" w:ascii="宋体" w:hAnsi="宋体" w:cs="宋体"/>
          <w:color w:val="000000"/>
          <w:szCs w:val="21"/>
          <w:lang w:val="en-US" w:eastAsia="zh-CN"/>
        </w:rPr>
        <w:t>12</w:t>
      </w:r>
      <w:r>
        <w:rPr>
          <w:rFonts w:hint="eastAsia" w:ascii="宋体" w:hAnsi="宋体" w:cs="宋体"/>
          <w:color w:val="000000"/>
          <w:szCs w:val="21"/>
        </w:rPr>
        <w:t>月</w:t>
      </w:r>
      <w:r>
        <w:rPr>
          <w:rFonts w:hint="eastAsia" w:ascii="宋体" w:hAnsi="宋体" w:cs="宋体"/>
          <w:color w:val="000000"/>
          <w:szCs w:val="21"/>
          <w:lang w:val="en-US" w:eastAsia="zh-CN"/>
        </w:rPr>
        <w:t>27</w:t>
      </w:r>
      <w:r>
        <w:rPr>
          <w:rFonts w:hint="eastAsia" w:ascii="宋体" w:hAnsi="宋体" w:cs="宋体"/>
          <w:color w:val="000000"/>
          <w:szCs w:val="21"/>
        </w:rPr>
        <w:t>日</w:t>
      </w:r>
    </w:p>
    <w:p>
      <w:pPr>
        <w:rPr>
          <w:rFonts w:hint="eastAsia"/>
        </w:rPr>
      </w:pPr>
    </w:p>
    <w:sectPr>
      <w:pgSz w:w="11906" w:h="16838"/>
      <w:pgMar w:top="1043" w:right="1066" w:bottom="1043" w:left="1066"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YzgwMDNmMzhmN2QwN2ZlZjAyM2U0ZGEyZTYyMGQ5ZTgifQ=="/>
  </w:docVars>
  <w:rsids>
    <w:rsidRoot w:val="00A17610"/>
    <w:rsid w:val="000F24A7"/>
    <w:rsid w:val="0010747C"/>
    <w:rsid w:val="00274DA1"/>
    <w:rsid w:val="0029054A"/>
    <w:rsid w:val="00337B94"/>
    <w:rsid w:val="003754D0"/>
    <w:rsid w:val="00377AA4"/>
    <w:rsid w:val="00391FB4"/>
    <w:rsid w:val="003B0AB4"/>
    <w:rsid w:val="003F6C06"/>
    <w:rsid w:val="004B4C66"/>
    <w:rsid w:val="004F2CFA"/>
    <w:rsid w:val="007A0BEF"/>
    <w:rsid w:val="00810E62"/>
    <w:rsid w:val="00A17610"/>
    <w:rsid w:val="00A4693D"/>
    <w:rsid w:val="00B50F1C"/>
    <w:rsid w:val="00BD5D8E"/>
    <w:rsid w:val="00BE5103"/>
    <w:rsid w:val="00C4447F"/>
    <w:rsid w:val="00D614AD"/>
    <w:rsid w:val="00E154CF"/>
    <w:rsid w:val="00E365E7"/>
    <w:rsid w:val="00E438A3"/>
    <w:rsid w:val="00E97092"/>
    <w:rsid w:val="00EC3A2F"/>
    <w:rsid w:val="00EE5F5C"/>
    <w:rsid w:val="00F715CE"/>
    <w:rsid w:val="019634C2"/>
    <w:rsid w:val="01DA6724"/>
    <w:rsid w:val="01EE2993"/>
    <w:rsid w:val="02BB379E"/>
    <w:rsid w:val="02CF3D81"/>
    <w:rsid w:val="034D1312"/>
    <w:rsid w:val="03625BAD"/>
    <w:rsid w:val="08652508"/>
    <w:rsid w:val="0CB10F93"/>
    <w:rsid w:val="0CB43401"/>
    <w:rsid w:val="0D3958A4"/>
    <w:rsid w:val="0DB41FEB"/>
    <w:rsid w:val="0DCE0C00"/>
    <w:rsid w:val="0DEC7769"/>
    <w:rsid w:val="0E540605"/>
    <w:rsid w:val="0EB6364E"/>
    <w:rsid w:val="0F904F4C"/>
    <w:rsid w:val="0FE770A1"/>
    <w:rsid w:val="103012CB"/>
    <w:rsid w:val="11EA7909"/>
    <w:rsid w:val="12D67B7A"/>
    <w:rsid w:val="13550A33"/>
    <w:rsid w:val="188D5280"/>
    <w:rsid w:val="18CC7C26"/>
    <w:rsid w:val="195B0C00"/>
    <w:rsid w:val="1B4750A8"/>
    <w:rsid w:val="1DED139C"/>
    <w:rsid w:val="1EDA06F6"/>
    <w:rsid w:val="1F000C30"/>
    <w:rsid w:val="1FF369A0"/>
    <w:rsid w:val="204D73B4"/>
    <w:rsid w:val="23A96C1E"/>
    <w:rsid w:val="24C44630"/>
    <w:rsid w:val="25303075"/>
    <w:rsid w:val="260E2DFC"/>
    <w:rsid w:val="267C36BC"/>
    <w:rsid w:val="26BB620D"/>
    <w:rsid w:val="274B3461"/>
    <w:rsid w:val="27DF70D3"/>
    <w:rsid w:val="280572A0"/>
    <w:rsid w:val="2838423C"/>
    <w:rsid w:val="28667C49"/>
    <w:rsid w:val="28A8591B"/>
    <w:rsid w:val="294241A5"/>
    <w:rsid w:val="298757EB"/>
    <w:rsid w:val="2D747C0C"/>
    <w:rsid w:val="2D975288"/>
    <w:rsid w:val="2E7C48AB"/>
    <w:rsid w:val="300105BD"/>
    <w:rsid w:val="315B3818"/>
    <w:rsid w:val="31B36DEA"/>
    <w:rsid w:val="321A401F"/>
    <w:rsid w:val="344D292E"/>
    <w:rsid w:val="3725539B"/>
    <w:rsid w:val="37434D09"/>
    <w:rsid w:val="37803BEE"/>
    <w:rsid w:val="3839473D"/>
    <w:rsid w:val="384546ED"/>
    <w:rsid w:val="3A101B1A"/>
    <w:rsid w:val="3A440C4D"/>
    <w:rsid w:val="3A6D2513"/>
    <w:rsid w:val="3BC31452"/>
    <w:rsid w:val="3E7C5266"/>
    <w:rsid w:val="3F5900B3"/>
    <w:rsid w:val="3FD25400"/>
    <w:rsid w:val="40214CFF"/>
    <w:rsid w:val="405C4544"/>
    <w:rsid w:val="43F10690"/>
    <w:rsid w:val="440517C7"/>
    <w:rsid w:val="45D849E2"/>
    <w:rsid w:val="477D487E"/>
    <w:rsid w:val="47EA69A3"/>
    <w:rsid w:val="4A327D04"/>
    <w:rsid w:val="4B5F1042"/>
    <w:rsid w:val="4C746529"/>
    <w:rsid w:val="4C7F4452"/>
    <w:rsid w:val="4D1230CC"/>
    <w:rsid w:val="4F611323"/>
    <w:rsid w:val="4FE97D03"/>
    <w:rsid w:val="515A26C4"/>
    <w:rsid w:val="53093C79"/>
    <w:rsid w:val="535A7659"/>
    <w:rsid w:val="53DE3F9F"/>
    <w:rsid w:val="549E7BE5"/>
    <w:rsid w:val="55C10050"/>
    <w:rsid w:val="56173282"/>
    <w:rsid w:val="57765145"/>
    <w:rsid w:val="57F5413A"/>
    <w:rsid w:val="581B511F"/>
    <w:rsid w:val="592A42F0"/>
    <w:rsid w:val="599F4B02"/>
    <w:rsid w:val="59DB42A9"/>
    <w:rsid w:val="59F31574"/>
    <w:rsid w:val="5A977ACE"/>
    <w:rsid w:val="5AAE7E04"/>
    <w:rsid w:val="5AE11956"/>
    <w:rsid w:val="5AF240B2"/>
    <w:rsid w:val="5B155311"/>
    <w:rsid w:val="5B75681D"/>
    <w:rsid w:val="5BA22C09"/>
    <w:rsid w:val="5CEB235F"/>
    <w:rsid w:val="5E522583"/>
    <w:rsid w:val="5E52691E"/>
    <w:rsid w:val="5F1B78C7"/>
    <w:rsid w:val="607216DA"/>
    <w:rsid w:val="608A7DC2"/>
    <w:rsid w:val="60B20157"/>
    <w:rsid w:val="617D4718"/>
    <w:rsid w:val="61B9669E"/>
    <w:rsid w:val="62645830"/>
    <w:rsid w:val="65616D13"/>
    <w:rsid w:val="65ED3173"/>
    <w:rsid w:val="66033CA0"/>
    <w:rsid w:val="667430C4"/>
    <w:rsid w:val="66C24455"/>
    <w:rsid w:val="683B4A0E"/>
    <w:rsid w:val="68455968"/>
    <w:rsid w:val="68B03E5A"/>
    <w:rsid w:val="6A8B0326"/>
    <w:rsid w:val="6E07361D"/>
    <w:rsid w:val="6E8271EA"/>
    <w:rsid w:val="6FC1751B"/>
    <w:rsid w:val="6FDA3030"/>
    <w:rsid w:val="6FE87D1F"/>
    <w:rsid w:val="70BC209D"/>
    <w:rsid w:val="71EA2FE1"/>
    <w:rsid w:val="723318CC"/>
    <w:rsid w:val="723320AF"/>
    <w:rsid w:val="72EE1394"/>
    <w:rsid w:val="743A3B7F"/>
    <w:rsid w:val="746F0A6C"/>
    <w:rsid w:val="755B14E6"/>
    <w:rsid w:val="75C42068"/>
    <w:rsid w:val="76907222"/>
    <w:rsid w:val="77B372ED"/>
    <w:rsid w:val="784D265F"/>
    <w:rsid w:val="78631925"/>
    <w:rsid w:val="78CC4E73"/>
    <w:rsid w:val="79240E34"/>
    <w:rsid w:val="79842B0D"/>
    <w:rsid w:val="7B2E0AA5"/>
    <w:rsid w:val="7B6B0E58"/>
    <w:rsid w:val="7C492E3D"/>
    <w:rsid w:val="7CA82770"/>
    <w:rsid w:val="7CAE6242"/>
    <w:rsid w:val="7D580660"/>
    <w:rsid w:val="7D8D79E2"/>
    <w:rsid w:val="7EF1545D"/>
    <w:rsid w:val="7F400474"/>
    <w:rsid w:val="7FAE011C"/>
    <w:rsid w:val="7FCD3A1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qFormat="1" w:unhideWhenUsed="0"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0" w:semiHidden="0" w:name="Hyperlink"/>
    <w:lsdException w:uiPriority="99" w:name="FollowedHyperlink"/>
    <w:lsdException w:qFormat="1" w:unhideWhenUsed="0" w:uiPriority="1523" w:semiHidden="0" w:name="Strong"/>
    <w:lsdException w:qFormat="1" w:unhideWhenUsed="0" w:uiPriority="20" w:semiHidden="0" w:name="Emphasis"/>
    <w:lsdException w:uiPriority="99" w:name="Document Map"/>
    <w:lsdException w:qFormat="1"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1"/>
    <w:qFormat/>
    <w:uiPriority w:val="0"/>
    <w:pPr>
      <w:keepNext/>
      <w:keepLines/>
      <w:spacing w:before="340" w:after="330" w:line="576" w:lineRule="auto"/>
      <w:jc w:val="center"/>
      <w:outlineLvl w:val="0"/>
    </w:pPr>
    <w:rPr>
      <w:b/>
      <w:bCs/>
      <w:kern w:val="44"/>
      <w:sz w:val="44"/>
      <w:szCs w:val="44"/>
    </w:rPr>
  </w:style>
  <w:style w:type="paragraph" w:styleId="4">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character" w:default="1" w:styleId="14">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unhideWhenUsed/>
    <w:qFormat/>
    <w:uiPriority w:val="99"/>
    <w:pPr>
      <w:spacing w:after="120"/>
    </w:pPr>
  </w:style>
  <w:style w:type="paragraph" w:styleId="5">
    <w:name w:val="annotation text"/>
    <w:basedOn w:val="1"/>
    <w:unhideWhenUsed/>
    <w:qFormat/>
    <w:uiPriority w:val="0"/>
    <w:pPr>
      <w:jc w:val="left"/>
    </w:pPr>
  </w:style>
  <w:style w:type="paragraph" w:styleId="6">
    <w:name w:val="Plain Text"/>
    <w:basedOn w:val="1"/>
    <w:next w:val="1"/>
    <w:link w:val="22"/>
    <w:unhideWhenUsed/>
    <w:qFormat/>
    <w:uiPriority w:val="0"/>
    <w:rPr>
      <w:rFonts w:ascii="宋体" w:hAnsi="Courier New" w:cs="Courier New"/>
      <w:kern w:val="0"/>
      <w:sz w:val="20"/>
      <w:szCs w:val="21"/>
    </w:rPr>
  </w:style>
  <w:style w:type="paragraph" w:styleId="7">
    <w:name w:val="footer"/>
    <w:basedOn w:val="1"/>
    <w:link w:val="24"/>
    <w:unhideWhenUsed/>
    <w:qFormat/>
    <w:uiPriority w:val="99"/>
    <w:pPr>
      <w:tabs>
        <w:tab w:val="center" w:pos="4153"/>
        <w:tab w:val="right" w:pos="8306"/>
      </w:tabs>
      <w:snapToGrid w:val="0"/>
      <w:jc w:val="left"/>
    </w:pPr>
    <w:rPr>
      <w:sz w:val="18"/>
      <w:szCs w:val="18"/>
    </w:rPr>
  </w:style>
  <w:style w:type="paragraph" w:styleId="8">
    <w:name w:val="header"/>
    <w:basedOn w:val="1"/>
    <w:link w:val="23"/>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Subtitle"/>
    <w:basedOn w:val="1"/>
    <w:next w:val="1"/>
    <w:qFormat/>
    <w:uiPriority w:val="0"/>
    <w:pPr>
      <w:spacing w:before="240" w:after="60" w:line="312" w:lineRule="auto"/>
      <w:jc w:val="center"/>
      <w:outlineLvl w:val="1"/>
    </w:pPr>
    <w:rPr>
      <w:rFonts w:ascii="Cambria" w:hAnsi="Cambria"/>
      <w:b/>
      <w:bCs/>
      <w:kern w:val="28"/>
      <w:sz w:val="32"/>
      <w:szCs w:val="32"/>
    </w:rPr>
  </w:style>
  <w:style w:type="paragraph" w:styleId="10">
    <w:name w:val="toc 2"/>
    <w:basedOn w:val="1"/>
    <w:next w:val="1"/>
    <w:qFormat/>
    <w:uiPriority w:val="39"/>
    <w:pPr>
      <w:jc w:val="left"/>
    </w:pPr>
    <w:rPr>
      <w:rFonts w:ascii="Calibri" w:hAnsi="Calibri"/>
      <w:b/>
      <w:bCs/>
      <w:smallCaps/>
      <w:sz w:val="22"/>
      <w:szCs w:val="22"/>
    </w:rPr>
  </w:style>
  <w:style w:type="paragraph" w:styleId="11">
    <w:name w:val="Normal (Web)"/>
    <w:basedOn w:val="1"/>
    <w:qFormat/>
    <w:uiPriority w:val="99"/>
    <w:pPr>
      <w:widowControl/>
      <w:spacing w:before="100" w:beforeAutospacing="1" w:after="100" w:afterAutospacing="1"/>
      <w:jc w:val="left"/>
    </w:pPr>
    <w:rPr>
      <w:rFonts w:hint="eastAsia" w:ascii="宋体" w:hAnsi="宋体"/>
      <w:kern w:val="0"/>
      <w:sz w:val="24"/>
    </w:rPr>
  </w:style>
  <w:style w:type="paragraph" w:styleId="12">
    <w:name w:val="Title"/>
    <w:basedOn w:val="1"/>
    <w:qFormat/>
    <w:uiPriority w:val="10"/>
    <w:pPr>
      <w:jc w:val="center"/>
      <w:outlineLvl w:val="0"/>
    </w:pPr>
    <w:rPr>
      <w:rFonts w:ascii="Arial" w:hAnsi="Arial" w:cs="Arial"/>
      <w:b/>
      <w:bCs/>
      <w:sz w:val="32"/>
      <w:szCs w:val="32"/>
    </w:rPr>
  </w:style>
  <w:style w:type="character" w:styleId="15">
    <w:name w:val="Strong"/>
    <w:qFormat/>
    <w:uiPriority w:val="1523"/>
    <w:rPr>
      <w:b/>
      <w:bCs/>
    </w:rPr>
  </w:style>
  <w:style w:type="character" w:styleId="16">
    <w:name w:val="Hyperlink"/>
    <w:basedOn w:val="14"/>
    <w:unhideWhenUsed/>
    <w:qFormat/>
    <w:uiPriority w:val="0"/>
    <w:rPr>
      <w:color w:val="0000FF"/>
      <w:u w:val="single"/>
    </w:rPr>
  </w:style>
  <w:style w:type="paragraph" w:customStyle="1" w:styleId="17">
    <w:name w:val="Default"/>
    <w:qFormat/>
    <w:uiPriority w:val="0"/>
    <w:pPr>
      <w:widowControl w:val="0"/>
      <w:autoSpaceDE w:val="0"/>
      <w:autoSpaceDN w:val="0"/>
      <w:adjustRightInd w:val="0"/>
    </w:pPr>
    <w:rPr>
      <w:rFonts w:ascii="Calibri" w:hAnsi="Calibri" w:eastAsia="宋体" w:cs="Times New Roman"/>
      <w:color w:val="000000"/>
      <w:sz w:val="24"/>
      <w:szCs w:val="24"/>
      <w:lang w:val="en-US" w:eastAsia="zh-CN" w:bidi="ar-SA"/>
    </w:rPr>
  </w:style>
  <w:style w:type="paragraph" w:customStyle="1" w:styleId="18">
    <w:name w:val="表格文字"/>
    <w:basedOn w:val="1"/>
    <w:qFormat/>
    <w:uiPriority w:val="0"/>
    <w:pPr>
      <w:spacing w:before="25" w:after="25"/>
      <w:jc w:val="left"/>
    </w:pPr>
    <w:rPr>
      <w:bCs/>
      <w:spacing w:val="10"/>
      <w:kern w:val="0"/>
      <w:sz w:val="24"/>
    </w:rPr>
  </w:style>
  <w:style w:type="character" w:customStyle="1" w:styleId="19">
    <w:name w:val="标题 1 Char"/>
    <w:basedOn w:val="14"/>
    <w:link w:val="3"/>
    <w:qFormat/>
    <w:uiPriority w:val="9"/>
    <w:rPr>
      <w:rFonts w:ascii="Times New Roman" w:hAnsi="Times New Roman" w:eastAsia="宋体" w:cs="Times New Roman"/>
      <w:b/>
      <w:bCs/>
      <w:kern w:val="44"/>
      <w:sz w:val="44"/>
      <w:szCs w:val="44"/>
    </w:rPr>
  </w:style>
  <w:style w:type="character" w:customStyle="1" w:styleId="20">
    <w:name w:val="纯文本 Char"/>
    <w:basedOn w:val="14"/>
    <w:link w:val="6"/>
    <w:qFormat/>
    <w:uiPriority w:val="0"/>
    <w:rPr>
      <w:rFonts w:ascii="宋体" w:hAnsi="Courier New" w:eastAsia="宋体" w:cs="Courier New"/>
      <w:szCs w:val="21"/>
    </w:rPr>
  </w:style>
  <w:style w:type="character" w:customStyle="1" w:styleId="21">
    <w:name w:val="标题 1 Char1"/>
    <w:link w:val="3"/>
    <w:qFormat/>
    <w:locked/>
    <w:uiPriority w:val="0"/>
    <w:rPr>
      <w:rFonts w:ascii="Times New Roman" w:hAnsi="Times New Roman" w:eastAsia="宋体" w:cs="Times New Roman"/>
      <w:b/>
      <w:bCs/>
      <w:kern w:val="44"/>
      <w:sz w:val="44"/>
      <w:szCs w:val="44"/>
    </w:rPr>
  </w:style>
  <w:style w:type="character" w:customStyle="1" w:styleId="22">
    <w:name w:val="纯文本 Char1"/>
    <w:basedOn w:val="14"/>
    <w:link w:val="6"/>
    <w:semiHidden/>
    <w:qFormat/>
    <w:locked/>
    <w:uiPriority w:val="0"/>
    <w:rPr>
      <w:rFonts w:ascii="宋体" w:hAnsi="Courier New" w:eastAsia="宋体" w:cs="Courier New"/>
      <w:kern w:val="0"/>
      <w:sz w:val="20"/>
      <w:szCs w:val="21"/>
    </w:rPr>
  </w:style>
  <w:style w:type="character" w:customStyle="1" w:styleId="23">
    <w:name w:val="页眉 Char"/>
    <w:basedOn w:val="14"/>
    <w:link w:val="8"/>
    <w:semiHidden/>
    <w:qFormat/>
    <w:uiPriority w:val="99"/>
    <w:rPr>
      <w:rFonts w:ascii="Times New Roman" w:hAnsi="Times New Roman" w:eastAsia="宋体" w:cs="Times New Roman"/>
      <w:sz w:val="18"/>
      <w:szCs w:val="18"/>
    </w:rPr>
  </w:style>
  <w:style w:type="character" w:customStyle="1" w:styleId="24">
    <w:name w:val="页脚 Char"/>
    <w:basedOn w:val="14"/>
    <w:link w:val="7"/>
    <w:semiHidden/>
    <w:qFormat/>
    <w:uiPriority w:val="99"/>
    <w:rPr>
      <w:rFonts w:ascii="Times New Roman" w:hAnsi="Times New Roman" w:eastAsia="宋体" w:cs="Times New Roman"/>
      <w:sz w:val="18"/>
      <w:szCs w:val="18"/>
    </w:rPr>
  </w:style>
  <w:style w:type="paragraph" w:customStyle="1" w:styleId="25">
    <w:name w:val="普通(网站)1"/>
    <w:basedOn w:val="1"/>
    <w:qFormat/>
    <w:uiPriority w:val="0"/>
    <w:pPr>
      <w:widowControl/>
      <w:spacing w:before="280" w:after="280"/>
      <w:jc w:val="left"/>
    </w:pPr>
    <w:rPr>
      <w:rFonts w:ascii="宋体" w:hAnsi="宋体" w:cs="宋体"/>
      <w:kern w:val="1"/>
      <w:sz w:val="24"/>
    </w:rPr>
  </w:style>
  <w:style w:type="paragraph" w:customStyle="1" w:styleId="26">
    <w:name w:val="CM53"/>
    <w:basedOn w:val="17"/>
    <w:next w:val="17"/>
    <w:unhideWhenUsed/>
    <w:qFormat/>
    <w:uiPriority w:val="99"/>
  </w:style>
  <w:style w:type="paragraph" w:customStyle="1" w:styleId="27">
    <w:name w:val="正文1"/>
    <w:qFormat/>
    <w:uiPriority w:val="0"/>
    <w:pPr>
      <w:widowControl w:val="0"/>
      <w:tabs>
        <w:tab w:val="left" w:pos="0"/>
        <w:tab w:val="left" w:pos="1134"/>
        <w:tab w:val="left" w:pos="8505"/>
      </w:tabs>
      <w:adjustRightInd w:val="0"/>
      <w:spacing w:before="60" w:after="60" w:line="360" w:lineRule="atLeast"/>
      <w:ind w:left="1134" w:hanging="1134"/>
      <w:jc w:val="both"/>
      <w:textAlignment w:val="baseline"/>
    </w:pPr>
    <w:rPr>
      <w:rFonts w:ascii="Arial" w:hAnsi="Arial" w:eastAsia="宋体" w:cs="Times New Roman"/>
      <w:sz w:val="24"/>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Sky123.Org</Company>
  <Pages>6</Pages>
  <Words>2118</Words>
  <Characters>2265</Characters>
  <Lines>15</Lines>
  <Paragraphs>4</Paragraphs>
  <TotalTime>0</TotalTime>
  <ScaleCrop>false</ScaleCrop>
  <LinksUpToDate>false</LinksUpToDate>
  <CharactersWithSpaces>2316</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2017-11-07T02:07:00Z</dcterms:created>
  <dc:creator>QTWL</dc:creator>
  <cp:lastModifiedBy>WPS_1699953173</cp:lastModifiedBy>
  <cp:lastPrinted>2023-10-27T02:44:00Z</cp:lastPrinted>
  <dcterms:modified xsi:type="dcterms:W3CDTF">2023-11-27T04:04:28Z</dcterms:modified>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D014B1226D18449DAC1B0310CC7FC72E</vt:lpwstr>
  </property>
</Properties>
</file>