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7F52F">
      <w:pPr>
        <w:spacing w:line="360" w:lineRule="auto"/>
        <w:jc w:val="both"/>
        <w:rPr>
          <w:rFonts w:hint="eastAsia" w:asciiTheme="minorEastAsia" w:hAnsiTheme="minorEastAsia" w:eastAsiaTheme="minorEastAsia" w:cstheme="minorEastAsia"/>
          <w:b/>
          <w:bCs/>
          <w:sz w:val="52"/>
          <w:szCs w:val="52"/>
          <w:lang w:val="en-US" w:eastAsia="zh-CN"/>
        </w:rPr>
      </w:pPr>
    </w:p>
    <w:p w14:paraId="1A36DDDC">
      <w:pPr>
        <w:spacing w:line="360" w:lineRule="auto"/>
        <w:ind w:firstLine="1044" w:firstLineChars="200"/>
        <w:jc w:val="both"/>
        <w:rPr>
          <w:rFonts w:hint="eastAsia" w:ascii="宋体" w:hAnsi="宋体" w:cs="宋体"/>
          <w:b/>
          <w:bCs/>
          <w:sz w:val="52"/>
          <w:szCs w:val="52"/>
        </w:rPr>
      </w:pPr>
      <w:r>
        <w:rPr>
          <w:rFonts w:hint="eastAsia" w:asciiTheme="minorEastAsia" w:hAnsiTheme="minorEastAsia" w:eastAsiaTheme="minorEastAsia" w:cstheme="minorEastAsia"/>
          <w:b/>
          <w:bCs/>
          <w:sz w:val="52"/>
          <w:szCs w:val="52"/>
          <w:lang w:val="en-US" w:eastAsia="zh-CN"/>
        </w:rPr>
        <w:t>留学生楼装修及周边景观提升项目</w:t>
      </w:r>
    </w:p>
    <w:p w14:paraId="5A92152A">
      <w:pPr>
        <w:spacing w:line="360" w:lineRule="auto"/>
        <w:ind w:left="480"/>
        <w:jc w:val="center"/>
        <w:rPr>
          <w:rFonts w:hint="eastAsia" w:ascii="宋体" w:hAnsi="宋体" w:cs="宋体"/>
          <w:b/>
          <w:bCs/>
          <w:sz w:val="52"/>
          <w:szCs w:val="52"/>
        </w:rPr>
      </w:pPr>
    </w:p>
    <w:p w14:paraId="73A701B4">
      <w:pPr>
        <w:spacing w:line="360" w:lineRule="auto"/>
        <w:ind w:left="480"/>
        <w:jc w:val="center"/>
        <w:rPr>
          <w:rFonts w:hint="eastAsia" w:ascii="宋体" w:hAnsi="宋体" w:cs="宋体"/>
          <w:b/>
          <w:bCs/>
          <w:sz w:val="52"/>
          <w:szCs w:val="52"/>
        </w:rPr>
      </w:pPr>
    </w:p>
    <w:p w14:paraId="3F8B6FA7">
      <w:pPr>
        <w:spacing w:line="360" w:lineRule="auto"/>
        <w:ind w:left="480"/>
        <w:jc w:val="center"/>
        <w:rPr>
          <w:rFonts w:ascii="宋体" w:hAnsi="宋体" w:cs="宋体"/>
          <w:b/>
          <w:bCs/>
          <w:sz w:val="52"/>
          <w:szCs w:val="52"/>
        </w:rPr>
      </w:pPr>
      <w:r>
        <w:rPr>
          <w:rFonts w:hint="eastAsia" w:ascii="宋体" w:hAnsi="宋体" w:cs="宋体"/>
          <w:b/>
          <w:bCs/>
          <w:sz w:val="52"/>
          <w:szCs w:val="52"/>
        </w:rPr>
        <w:t>招 标 工 程 量 清 单</w:t>
      </w:r>
    </w:p>
    <w:p w14:paraId="20BD4A9E">
      <w:pPr>
        <w:pStyle w:val="5"/>
      </w:pPr>
    </w:p>
    <w:p w14:paraId="1EE268DB">
      <w:pPr>
        <w:spacing w:line="360" w:lineRule="auto"/>
        <w:ind w:left="480"/>
        <w:jc w:val="center"/>
        <w:rPr>
          <w:rFonts w:ascii="宋体" w:hAnsi="宋体" w:cs="宋体"/>
          <w:b/>
          <w:sz w:val="72"/>
          <w:szCs w:val="44"/>
        </w:rPr>
      </w:pPr>
    </w:p>
    <w:p w14:paraId="4F9EF31D">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76A7E78C">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17797963">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043B15D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5FB797AB">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造价专业人员</w:t>
      </w:r>
      <w:bookmarkEnd w:id="0"/>
      <w:r>
        <w:rPr>
          <w:rFonts w:hint="eastAsia" w:ascii="宋体" w:hAnsi="宋体" w:cs="宋体"/>
          <w:b/>
          <w:bCs/>
          <w:sz w:val="24"/>
        </w:rPr>
        <w:t>签字及盖执业专用章）</w:t>
      </w:r>
    </w:p>
    <w:p w14:paraId="405E2F6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24"/>
        </w:rPr>
        <w:t>（造价专业人员签字及盖执业专用章）</w:t>
      </w:r>
    </w:p>
    <w:p w14:paraId="122693D6">
      <w:pPr>
        <w:widowControl/>
        <w:autoSpaceDE w:val="0"/>
        <w:autoSpaceDN w:val="0"/>
        <w:spacing w:before="360" w:after="360" w:line="360" w:lineRule="auto"/>
        <w:jc w:val="left"/>
        <w:textAlignment w:val="bottom"/>
        <w:rPr>
          <w:rFonts w:ascii="宋体" w:hAnsi="宋体" w:cs="宋体"/>
          <w:b/>
          <w:bCs/>
          <w:sz w:val="32"/>
          <w:szCs w:val="32"/>
        </w:rPr>
      </w:pPr>
    </w:p>
    <w:p w14:paraId="066805FE">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single"/>
        </w:rPr>
        <w:t>202</w:t>
      </w:r>
      <w:r>
        <w:rPr>
          <w:rFonts w:hint="eastAsia" w:ascii="宋体" w:hAnsi="宋体" w:cs="宋体"/>
          <w:b/>
          <w:bCs/>
          <w:sz w:val="32"/>
          <w:szCs w:val="32"/>
          <w:u w:val="single"/>
          <w:lang w:val="en-US" w:eastAsia="zh-CN"/>
        </w:rPr>
        <w:t>5</w:t>
      </w:r>
      <w:r>
        <w:rPr>
          <w:rFonts w:hint="eastAsia" w:ascii="宋体" w:hAnsi="宋体" w:cs="宋体"/>
          <w:b/>
          <w:bCs/>
          <w:sz w:val="32"/>
          <w:szCs w:val="32"/>
          <w:u w:val="single"/>
        </w:rPr>
        <w:t>年</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月  日</w:t>
      </w:r>
      <w:r>
        <w:rPr>
          <w:rFonts w:hint="eastAsia" w:ascii="宋体" w:hAnsi="宋体" w:cs="宋体"/>
          <w:b/>
          <w:bCs/>
          <w:sz w:val="32"/>
          <w:szCs w:val="32"/>
        </w:rPr>
        <w:t xml:space="preserve">        审核时间：</w:t>
      </w:r>
      <w:r>
        <w:rPr>
          <w:rFonts w:hint="eastAsia" w:ascii="宋体" w:hAnsi="宋体" w:cs="宋体"/>
          <w:b/>
          <w:bCs/>
          <w:sz w:val="32"/>
          <w:szCs w:val="32"/>
          <w:u w:val="single"/>
        </w:rPr>
        <w:t>202</w:t>
      </w:r>
      <w:r>
        <w:rPr>
          <w:rFonts w:hint="eastAsia" w:ascii="宋体" w:hAnsi="宋体" w:cs="宋体"/>
          <w:b/>
          <w:bCs/>
          <w:sz w:val="32"/>
          <w:szCs w:val="32"/>
          <w:u w:val="single"/>
          <w:lang w:val="en-US" w:eastAsia="zh-CN"/>
        </w:rPr>
        <w:t>5</w:t>
      </w:r>
      <w:r>
        <w:rPr>
          <w:rFonts w:hint="eastAsia" w:ascii="宋体" w:hAnsi="宋体" w:cs="宋体"/>
          <w:b/>
          <w:bCs/>
          <w:sz w:val="32"/>
          <w:szCs w:val="32"/>
          <w:u w:val="single"/>
        </w:rPr>
        <w:t>年</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月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日</w:t>
      </w:r>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7511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6" w:hRule="atLeast"/>
        </w:trPr>
        <w:tc>
          <w:tcPr>
            <w:tcW w:w="9240" w:type="dxa"/>
            <w:shd w:val="clear" w:color="auto" w:fill="auto"/>
            <w:noWrap/>
          </w:tcPr>
          <w:p w14:paraId="56BD03E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698A5196">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cs="宋体"/>
                <w:sz w:val="21"/>
                <w:szCs w:val="21"/>
                <w:lang w:val="en-US" w:eastAsia="zh-CN"/>
              </w:rPr>
              <w:t>留学生楼装修及周边景观提升项目</w:t>
            </w:r>
            <w:r>
              <w:rPr>
                <w:rFonts w:hint="eastAsia" w:ascii="宋体" w:hAnsi="宋体" w:eastAsia="宋体" w:cs="宋体"/>
                <w:sz w:val="21"/>
                <w:szCs w:val="21"/>
              </w:rPr>
              <w:t>。</w:t>
            </w:r>
          </w:p>
          <w:p w14:paraId="6DE67635">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2、工程地点：浙江省杭州市。</w:t>
            </w:r>
          </w:p>
          <w:p w14:paraId="7082ED26">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3、工程概况：</w:t>
            </w:r>
            <w:r>
              <w:rPr>
                <w:rFonts w:hint="eastAsia" w:ascii="宋体" w:hAnsi="宋体" w:cs="宋体"/>
                <w:sz w:val="21"/>
                <w:szCs w:val="21"/>
                <w:lang w:val="en-US" w:eastAsia="zh-CN"/>
              </w:rPr>
              <w:t>留学生楼室内水、电、暖通、装饰改造及</w:t>
            </w:r>
            <w:r>
              <w:rPr>
                <w:rFonts w:hint="eastAsia" w:ascii="宋体" w:hAnsi="宋体" w:eastAsia="宋体" w:cs="宋体"/>
                <w:sz w:val="21"/>
                <w:szCs w:val="21"/>
                <w:lang w:val="en-US" w:eastAsia="zh-CN"/>
              </w:rPr>
              <w:t>新增电梯</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具体改造内容详见图纸及清单</w:t>
            </w:r>
            <w:r>
              <w:rPr>
                <w:rFonts w:hint="eastAsia" w:ascii="宋体" w:hAnsi="宋体" w:eastAsia="宋体" w:cs="宋体"/>
                <w:sz w:val="21"/>
                <w:szCs w:val="21"/>
              </w:rPr>
              <w:t>。</w:t>
            </w:r>
          </w:p>
          <w:p w14:paraId="165DE68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二、工程招标范围</w:t>
            </w:r>
          </w:p>
          <w:p w14:paraId="21530B3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建设单位提供的施工图纸资料</w:t>
            </w:r>
            <w:r>
              <w:rPr>
                <w:rFonts w:hint="eastAsia" w:ascii="宋体" w:hAnsi="宋体" w:eastAsia="宋体" w:cs="宋体"/>
                <w:color w:val="auto"/>
                <w:sz w:val="21"/>
                <w:szCs w:val="21"/>
                <w:highlight w:val="none"/>
              </w:rPr>
              <w:t>明确的范围。</w:t>
            </w:r>
          </w:p>
          <w:p w14:paraId="43DDA4AF">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27C9436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建设单位提供的施工图纸资料</w:t>
            </w:r>
            <w:r>
              <w:rPr>
                <w:rFonts w:hint="eastAsia" w:ascii="宋体" w:hAnsi="宋体" w:eastAsia="宋体" w:cs="宋体"/>
                <w:color w:val="auto"/>
                <w:sz w:val="21"/>
                <w:szCs w:val="21"/>
                <w:highlight w:val="none"/>
              </w:rPr>
              <w:t>明确的范围。</w:t>
            </w:r>
          </w:p>
          <w:p w14:paraId="732626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2、《建设工程工程量清单计价规范》（G量清单计价实施细则》（2018年修订）。</w:t>
            </w:r>
          </w:p>
          <w:p w14:paraId="6946DEC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3A28C4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691BEED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4D1FFFB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10、《省建设厅关于调整建筑工程安全文明施工费的通知》（浙建建发[202B50500—2013）。</w:t>
            </w:r>
          </w:p>
          <w:p w14:paraId="6D738E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479E547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407331C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4A01B8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6、《杭州市建设工程工程2] 37号）。</w:t>
            </w:r>
          </w:p>
          <w:p w14:paraId="547997E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381B01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596FC65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69801B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3BD28E9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5F39E28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1802AFF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70CE7B5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2CF4945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22CFE1D2">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7B3BEEC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4F178D3F">
            <w:pPr>
              <w:widowControl/>
              <w:tabs>
                <w:tab w:val="left" w:pos="720"/>
              </w:tabs>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房屋建筑装饰工程最低标准费率为</w:t>
            </w:r>
            <w:r>
              <w:rPr>
                <w:rFonts w:hint="eastAsia" w:ascii="宋体" w:hAnsi="宋体" w:eastAsia="宋体" w:cs="宋体"/>
                <w:b/>
                <w:bCs/>
                <w:color w:val="auto"/>
                <w:sz w:val="21"/>
                <w:szCs w:val="21"/>
                <w:highlight w:val="none"/>
                <w:lang w:val="en-US" w:eastAsia="zh-CN"/>
              </w:rPr>
              <w:t>9.86</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w:t>
            </w:r>
            <w:bookmarkStart w:id="2" w:name="OLE_LINK6"/>
            <w:bookmarkStart w:id="3" w:name="OLE_LINK9"/>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园林绿化工程</w:t>
            </w:r>
            <w:r>
              <w:rPr>
                <w:rFonts w:hint="eastAsia" w:ascii="宋体" w:hAnsi="宋体" w:eastAsia="宋体" w:cs="宋体"/>
                <w:b w:val="0"/>
                <w:bCs w:val="0"/>
                <w:color w:val="auto"/>
                <w:sz w:val="21"/>
                <w:szCs w:val="21"/>
              </w:rPr>
              <w:t>最低取费费率为</w:t>
            </w:r>
            <w:r>
              <w:rPr>
                <w:rFonts w:hint="eastAsia" w:ascii="宋体" w:hAnsi="宋体" w:eastAsia="宋体" w:cs="宋体"/>
                <w:b w:val="0"/>
                <w:bCs w:val="0"/>
                <w:color w:val="auto"/>
                <w:sz w:val="21"/>
                <w:szCs w:val="21"/>
                <w:lang w:val="en-US" w:eastAsia="zh-CN"/>
              </w:rPr>
              <w:t>6.64</w:t>
            </w:r>
            <w:r>
              <w:rPr>
                <w:rFonts w:hint="eastAsia" w:ascii="宋体" w:hAnsi="宋体" w:eastAsia="宋体" w:cs="宋体"/>
                <w:b w:val="0"/>
                <w:bCs w:val="0"/>
                <w:color w:val="auto"/>
                <w:sz w:val="21"/>
                <w:szCs w:val="21"/>
              </w:rPr>
              <w:t>%</w:t>
            </w:r>
            <w:r>
              <w:rPr>
                <w:rFonts w:hint="eastAsia" w:ascii="宋体" w:hAnsi="宋体" w:cs="宋体"/>
                <w:b/>
                <w:szCs w:val="21"/>
                <w:lang w:bidi="ar"/>
              </w:rPr>
              <w:t>。</w:t>
            </w:r>
          </w:p>
          <w:p w14:paraId="43CD570F">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47F9F69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030D45F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8BE15C3">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300AB755">
            <w:pPr>
              <w:widowControl/>
              <w:tabs>
                <w:tab w:val="left" w:pos="720"/>
              </w:tabs>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房屋建筑装饰工程最低取费费率为</w:t>
            </w:r>
            <w:r>
              <w:rPr>
                <w:rFonts w:hint="eastAsia" w:ascii="宋体" w:hAnsi="宋体" w:eastAsia="宋体" w:cs="宋体"/>
                <w:b/>
                <w:bCs/>
                <w:color w:val="auto"/>
                <w:sz w:val="21"/>
                <w:szCs w:val="21"/>
                <w:highlight w:val="none"/>
                <w:lang w:val="en-US" w:eastAsia="zh-CN"/>
              </w:rPr>
              <w:t>2.49</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3.26%</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园林绿化工程</w:t>
            </w:r>
            <w:r>
              <w:rPr>
                <w:rFonts w:hint="eastAsia" w:ascii="宋体" w:hAnsi="宋体" w:eastAsia="宋体" w:cs="宋体"/>
                <w:b w:val="0"/>
                <w:bCs w:val="0"/>
                <w:color w:val="auto"/>
                <w:sz w:val="21"/>
                <w:szCs w:val="21"/>
              </w:rPr>
              <w:t>最低取费费率为</w:t>
            </w:r>
            <w:r>
              <w:rPr>
                <w:rFonts w:hint="eastAsia" w:ascii="宋体" w:hAnsi="宋体" w:eastAsia="宋体" w:cs="宋体"/>
                <w:b/>
                <w:bCs/>
                <w:color w:val="auto"/>
                <w:sz w:val="21"/>
                <w:szCs w:val="21"/>
                <w:lang w:val="en-US" w:eastAsia="zh-CN"/>
              </w:rPr>
              <w:t>2.78</w:t>
            </w:r>
            <w:r>
              <w:rPr>
                <w:rFonts w:hint="eastAsia" w:ascii="宋体" w:hAnsi="宋体" w:eastAsia="宋体" w:cs="宋体"/>
                <w:b/>
                <w:bCs/>
                <w:color w:val="auto"/>
                <w:sz w:val="21"/>
                <w:szCs w:val="21"/>
              </w:rPr>
              <w:t>%。</w:t>
            </w:r>
          </w:p>
          <w:p w14:paraId="45B7C20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2B8C7B7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C35D95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房屋建筑装饰工程最低取费费率为</w:t>
            </w:r>
            <w:r>
              <w:rPr>
                <w:rFonts w:hint="eastAsia" w:ascii="宋体" w:hAnsi="宋体" w:eastAsia="宋体" w:cs="宋体"/>
                <w:b/>
                <w:bCs/>
                <w:color w:val="auto"/>
                <w:sz w:val="21"/>
                <w:szCs w:val="21"/>
                <w:highlight w:val="none"/>
                <w:lang w:val="en-US" w:eastAsia="zh-CN"/>
              </w:rPr>
              <w:t>7.73</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9.19%</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园林绿化工程</w:t>
            </w:r>
            <w:r>
              <w:rPr>
                <w:rFonts w:hint="eastAsia" w:ascii="宋体" w:hAnsi="宋体" w:eastAsia="宋体" w:cs="宋体"/>
                <w:b w:val="0"/>
                <w:bCs w:val="0"/>
                <w:color w:val="auto"/>
                <w:sz w:val="21"/>
                <w:szCs w:val="21"/>
              </w:rPr>
              <w:t>最低取费费率为</w:t>
            </w:r>
            <w:r>
              <w:rPr>
                <w:rFonts w:hint="eastAsia" w:ascii="宋体" w:hAnsi="宋体" w:eastAsia="宋体" w:cs="宋体"/>
                <w:b/>
                <w:bCs/>
                <w:color w:val="auto"/>
                <w:sz w:val="21"/>
                <w:szCs w:val="21"/>
                <w:lang w:val="en-US" w:eastAsia="zh-CN"/>
              </w:rPr>
              <w:t>9.29</w:t>
            </w:r>
            <w:r>
              <w:rPr>
                <w:rFonts w:hint="eastAsia" w:ascii="宋体" w:hAnsi="宋体" w:eastAsia="宋体" w:cs="宋体"/>
                <w:b/>
                <w:bCs/>
                <w:color w:val="auto"/>
                <w:sz w:val="21"/>
                <w:szCs w:val="21"/>
              </w:rPr>
              <w:t>%</w:t>
            </w:r>
            <w:r>
              <w:rPr>
                <w:rFonts w:hint="eastAsia" w:ascii="宋体" w:hAnsi="宋体" w:cs="宋体"/>
                <w:b/>
                <w:bCs/>
                <w:szCs w:val="21"/>
              </w:rPr>
              <w:t>。</w:t>
            </w:r>
          </w:p>
          <w:p w14:paraId="6F04B043">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5A62785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44E8E25C">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5BBD321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3E9872B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01DB0F4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6B39228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60A7BE4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3B94623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F18352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72160FB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70C0448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工程量清单项目特征描述的是主要工作内容，其他辅助工作内容投标人自行考虑，并计入综合单价及合价。</w:t>
            </w:r>
          </w:p>
          <w:p w14:paraId="4D7883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7ED6742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33CFA14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投标报价应综合考虑各项技术规范所涉及的各项要求进行报价，若国家/省级/地方技术规范发生冲突，以最高标准执行。</w:t>
            </w:r>
          </w:p>
          <w:p w14:paraId="4E5ECAA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投标人应先到工地踏勘以充分了解工地位置、现状、交通运输、空间局限及任何其它足以影响报价的情况，任何因忽视或误解工地情况而导致的索赔或工期延长申请将不获批准。</w:t>
            </w:r>
          </w:p>
          <w:p w14:paraId="28A421A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1F499CC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清单中涉及到有关标准图集的，投标综合单价应包含标准图集做法中所有工作内容。</w:t>
            </w:r>
          </w:p>
          <w:p w14:paraId="7EBF886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421CEBE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3C01738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10B7B5C7">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的费由投标人在组织措施费考虑包干），中标后招标人不再另行支付相关费用。</w:t>
            </w:r>
          </w:p>
          <w:p w14:paraId="351D5CB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所有甲方另行分包的如自来水、电力、燃气、通信等工程的管线打孔、补洞、保护费用由投标人承担，由投标人自行考虑相关费用在投标报价中，中标后招标人不再另行支付相关费用。</w:t>
            </w:r>
          </w:p>
          <w:p w14:paraId="17952F4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根据工程量清单报价原则“固定综合单价”，以“项”为单位的工程量清单项目综合单价为包干价，请投标单位根据项目实际情况合理报价。</w:t>
            </w:r>
          </w:p>
          <w:p w14:paraId="78F625C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以“项”为计量单位的技术措施项目清单费用包干，由各投标人根据自己的施工组织设计、现场的各种风险因素进行报价。后期图纸引起的变更及技术联系单变更造成的技术措施费用均不再计算费用。</w:t>
            </w:r>
          </w:p>
          <w:p w14:paraId="564F38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投标人根据自行确定的施工方案及招标文件相关要求，认为有必要增加的技术措施费（如抗台、障碍物处理等具体内容详见招标文件），计入其他技术措施费当中，一旦中标不再调整。</w:t>
            </w:r>
          </w:p>
          <w:p w14:paraId="0452A56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投标人根据招标文件相关要求及工程实际情况结合自行确定的施工组织设计或施工方案，对技术措施清单中未列明的措施费用计入其他技术措施费当中。</w:t>
            </w:r>
          </w:p>
          <w:p w14:paraId="059DCB4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施工临时道口开通审批和临时道口施工费用由投标单位承担，其费用计入投标报价中，中标后招标人不再另行支付相关费用。均应含在投标报价中。</w:t>
            </w:r>
          </w:p>
          <w:p w14:paraId="07540FA7">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45B2482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6F94B08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先到工地踏勘，充分了解掌握现场情况，如工地位置、情况、道路、储存空间、装卸限制、当地的市政、市容、交通、治安、环保、环卫、城管、当地村民及任何其它足以影响承包价的情况，预计施工过程中各种不利因素，可将处理所需费用单列，汇入措施费中，计入投标报价。</w:t>
            </w:r>
          </w:p>
          <w:p w14:paraId="5E9FCBA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32A0E4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施工工期低于定额工期的赶工费用请投标人在综合单价中考虑。</w:t>
            </w:r>
          </w:p>
          <w:p w14:paraId="11F2A397">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1FB5698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2D658F76">
            <w:pPr>
              <w:spacing w:line="360" w:lineRule="auto"/>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 xml:space="preserve"> （</w:t>
            </w: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房屋建筑</w:t>
            </w:r>
          </w:p>
          <w:p w14:paraId="0A1AE622">
            <w:pPr>
              <w:widowControl/>
              <w:numPr>
                <w:ilvl w:val="0"/>
                <w:numId w:val="3"/>
              </w:numP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经明确，外墙1和外墙2工程量暂按20m2计入，最终工程量按实结算。</w:t>
            </w:r>
          </w:p>
          <w:p w14:paraId="6845B64E">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经明确，咖啡档口柜子及设备不计入。</w:t>
            </w:r>
          </w:p>
          <w:p w14:paraId="3EC81BD6">
            <w:pPr>
              <w:widowControl/>
              <w:numPr>
                <w:ilvl w:val="0"/>
                <w:numId w:val="3"/>
              </w:numP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经明确，宿舍洗漱台人造石按12厚计入。</w:t>
            </w:r>
          </w:p>
          <w:p w14:paraId="3C0D68B2">
            <w:pPr>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安装工程</w:t>
            </w:r>
          </w:p>
          <w:p w14:paraId="56B30515">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经设计明确，电气图纸TO5灯具型号参数按照LED壁灯l5w，3300k计入招标工程量清单。</w:t>
            </w:r>
          </w:p>
          <w:p w14:paraId="604934C0">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经设计明确，3AP1配电箱进线电源接入位置为同一配电间，管线缆接入距离暂按5米计入招标工程量清单，具体按实结算。</w:t>
            </w:r>
          </w:p>
          <w:p w14:paraId="69DF0854">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经设计明确，卫生间洁具均按感应式洁具计入招标工程量清单。</w:t>
            </w:r>
          </w:p>
          <w:p w14:paraId="1C98737C">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经设计明确，空调室外机</w:t>
            </w:r>
            <w:r>
              <w:rPr>
                <w:rFonts w:hint="eastAsia" w:ascii="宋体" w:hAnsi="宋体" w:eastAsia="宋体" w:cs="宋体"/>
                <w:color w:val="auto"/>
                <w:sz w:val="21"/>
                <w:szCs w:val="21"/>
                <w:highlight w:val="none"/>
              </w:rPr>
              <w:t>混凝土基础</w:t>
            </w:r>
            <w:r>
              <w:rPr>
                <w:rFonts w:hint="eastAsia" w:ascii="宋体" w:hAnsi="宋体" w:eastAsia="宋体" w:cs="宋体"/>
                <w:color w:val="auto"/>
                <w:sz w:val="21"/>
                <w:szCs w:val="21"/>
                <w:highlight w:val="none"/>
                <w:lang w:val="en-US" w:eastAsia="zh-CN"/>
              </w:rPr>
              <w:t>浇筑，混凝土等级按C30计入招标工程量清单。</w:t>
            </w:r>
          </w:p>
          <w:p w14:paraId="736D5FC0">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经设计明确，机柜内设备部分设备为新增（包括门禁控制器、门禁电源、安防专网24口千兆交换机、千兆光纤模块、3块4TB硬盘、7条网络跳线），具体详见弱电系统图。</w:t>
            </w:r>
          </w:p>
          <w:p w14:paraId="1315EB86">
            <w:pPr>
              <w:widowControl/>
              <w:numPr>
                <w:ilvl w:val="0"/>
                <w:numId w:val="3"/>
              </w:numP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经设计及建设单位明确，电梯具体规格参数按附件电梯参数表为准计入招标工程量清单。</w:t>
            </w:r>
          </w:p>
          <w:p w14:paraId="607755AA">
            <w:pPr>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 xml:space="preserve"> （</w:t>
            </w:r>
            <w:r>
              <w:rPr>
                <w:rFonts w:hint="eastAsia" w:ascii="宋体" w:hAnsi="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室外</w:t>
            </w:r>
            <w:r>
              <w:rPr>
                <w:rFonts w:hint="eastAsia" w:ascii="宋体" w:hAnsi="宋体" w:eastAsia="宋体" w:cs="宋体"/>
                <w:b/>
                <w:bCs/>
                <w:color w:val="auto"/>
                <w:sz w:val="21"/>
                <w:szCs w:val="21"/>
                <w:highlight w:val="none"/>
                <w:lang w:val="en-US" w:eastAsia="zh-CN"/>
              </w:rPr>
              <w:t>工程</w:t>
            </w:r>
          </w:p>
          <w:p w14:paraId="5DED5D0E">
            <w:pPr>
              <w:widowControl/>
              <w:numPr>
                <w:numId w:val="0"/>
              </w:numP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default" w:ascii="宋体" w:hAnsi="宋体" w:eastAsia="宋体" w:cs="宋体"/>
                <w:color w:val="auto"/>
                <w:sz w:val="21"/>
                <w:szCs w:val="21"/>
                <w:highlight w:val="none"/>
                <w:lang w:val="en-US" w:eastAsia="zh-CN"/>
              </w:rPr>
              <w:t>经设计明确，苗木养护期按二年计入。</w:t>
            </w:r>
            <w:bookmarkStart w:id="5" w:name="_GoBack"/>
            <w:bookmarkEnd w:id="5"/>
          </w:p>
          <w:p w14:paraId="3DA6819D">
            <w:pPr>
              <w:widowControl/>
              <w:numPr>
                <w:numId w:val="0"/>
              </w:numP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经设计明确，龟甲冬青规格按H30cm、P30cm。</w:t>
            </w:r>
          </w:p>
          <w:p w14:paraId="72D11FC0">
            <w:pPr>
              <w:widowControl/>
              <w:numPr>
                <w:numId w:val="0"/>
              </w:numP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经设计明确，白色砂石按150厚直径10-15mm白色卵石，素土夯实做法计入。</w:t>
            </w:r>
          </w:p>
          <w:p w14:paraId="1568B734">
            <w:pPr>
              <w:spacing w:line="360" w:lineRule="auto"/>
              <w:ind w:firstLine="527" w:firstLineChars="250"/>
              <w:rPr>
                <w:rFonts w:hint="eastAsia" w:ascii="宋体" w:hAnsi="宋体" w:eastAsia="宋体" w:cs="宋体"/>
                <w:b/>
                <w:bCs/>
                <w:sz w:val="21"/>
                <w:szCs w:val="21"/>
              </w:rPr>
            </w:pPr>
            <w:r>
              <w:rPr>
                <w:rFonts w:hint="eastAsia" w:ascii="宋体" w:hAnsi="宋体" w:eastAsia="宋体" w:cs="宋体"/>
                <w:b/>
                <w:color w:val="auto"/>
                <w:sz w:val="21"/>
                <w:szCs w:val="21"/>
              </w:rPr>
              <w:t>（</w:t>
            </w:r>
            <w:r>
              <w:rPr>
                <w:rFonts w:hint="eastAsia" w:ascii="宋体" w:hAnsi="宋体" w:cs="宋体"/>
                <w:b/>
                <w:bCs/>
                <w:sz w:val="21"/>
                <w:szCs w:val="21"/>
                <w:lang w:val="en-US" w:eastAsia="zh-CN"/>
              </w:rPr>
              <w:t>五</w:t>
            </w:r>
            <w:r>
              <w:rPr>
                <w:rFonts w:hint="eastAsia" w:ascii="宋体" w:hAnsi="宋体" w:eastAsia="宋体" w:cs="宋体"/>
                <w:b/>
                <w:bCs/>
                <w:sz w:val="21"/>
                <w:szCs w:val="21"/>
              </w:rPr>
              <w:t>）主要材料品牌表</w:t>
            </w:r>
          </w:p>
          <w:p w14:paraId="187CADD1">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）主要材料( 设备 )品牌详见附件。如本表中未提供品牌的其他材料和招标人提供的品牌表中的品牌已停止生产的材料需变更时，更换的品牌必须是省级（含省级）以上名牌产品或业主认可的本行业优质产品</w:t>
            </w:r>
            <w:r>
              <w:rPr>
                <w:rFonts w:hint="eastAsia" w:ascii="宋体" w:hAnsi="宋体" w:eastAsia="宋体" w:cs="宋体"/>
                <w:bCs/>
                <w:sz w:val="21"/>
                <w:szCs w:val="21"/>
                <w:lang w:val="en-US" w:eastAsia="zh-CN"/>
              </w:rPr>
              <w:t>且符合杭州市绿色建材采购要求标准</w:t>
            </w:r>
            <w:r>
              <w:rPr>
                <w:rFonts w:hint="eastAsia" w:ascii="宋体" w:hAnsi="宋体" w:eastAsia="宋体" w:cs="宋体"/>
                <w:bCs/>
                <w:sz w:val="21"/>
                <w:szCs w:val="21"/>
              </w:rPr>
              <w:t>。</w:t>
            </w:r>
          </w:p>
          <w:p w14:paraId="116AAE22">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（2）投标人在投标报价时在投标文件《表1-6主要材料（设备）价格表》中明确其所选品牌。</w:t>
            </w:r>
          </w:p>
          <w:p w14:paraId="3C7AF6E9">
            <w:pPr>
              <w:spacing w:line="360" w:lineRule="auto"/>
              <w:ind w:firstLine="420" w:firstLineChars="200"/>
              <w:rPr>
                <w:rFonts w:hint="default"/>
                <w:lang w:val="en-US" w:eastAsia="zh-CN"/>
              </w:rPr>
            </w:pPr>
            <w:r>
              <w:rPr>
                <w:rFonts w:hint="eastAsia" w:ascii="宋体" w:hAnsi="宋体" w:eastAsia="宋体" w:cs="宋体"/>
                <w:bCs/>
                <w:sz w:val="21"/>
                <w:szCs w:val="21"/>
              </w:rPr>
              <w:t>（3）招标人有材料品牌要求的，投标人应在招标人推荐品牌之内选择品牌，所有未根据要求而未填报或漏填报品牌的投标文件在中标后，招标人有权在推荐品牌中指定任一品牌作为施工使用品牌且投标单位</w:t>
            </w:r>
            <w:r>
              <w:rPr>
                <w:rFonts w:hint="eastAsia" w:ascii="宋体" w:hAnsi="宋体" w:eastAsia="宋体" w:cs="宋体"/>
                <w:sz w:val="21"/>
                <w:szCs w:val="21"/>
              </w:rPr>
              <w:t>不得有异议</w:t>
            </w:r>
            <w:r>
              <w:rPr>
                <w:rFonts w:hint="eastAsia" w:ascii="宋体" w:hAnsi="宋体" w:eastAsia="宋体" w:cs="宋体"/>
                <w:bCs/>
                <w:sz w:val="21"/>
                <w:szCs w:val="21"/>
              </w:rPr>
              <w:t>，价格不变；招标人未作品牌要求的材料设备，能提供材料品牌的投标人也可在备注栏中标明选择的品牌，若投标人未列出材料品牌，在施工期间，招标人可根据工程需要提出品牌档次要求，投标人必须按照招标人要求的档次提供材料（设备），费用差价风险由投标人承担；未作特别要求的材料都必须采用中档以</w:t>
            </w:r>
            <w:r>
              <w:rPr>
                <w:rFonts w:hint="eastAsia" w:ascii="宋体" w:hAnsi="宋体" w:eastAsia="宋体" w:cs="宋体"/>
                <w:sz w:val="21"/>
                <w:szCs w:val="21"/>
              </w:rPr>
              <w:t>上品牌，在采购前报招标人书面确认。</w:t>
            </w:r>
          </w:p>
          <w:p w14:paraId="0F7A3752">
            <w:pPr>
              <w:ind w:firstLine="2393" w:firstLineChars="800"/>
              <w:rPr>
                <w:rFonts w:ascii="宋体" w:hAnsi="宋体" w:eastAsia="宋体" w:cs="宋体"/>
                <w:b/>
                <w:bCs/>
                <w:spacing w:val="4"/>
                <w:sz w:val="29"/>
                <w:szCs w:val="29"/>
              </w:rPr>
            </w:pPr>
            <w:r>
              <w:rPr>
                <w:rFonts w:ascii="宋体" w:hAnsi="宋体" w:eastAsia="宋体" w:cs="宋体"/>
                <w:b/>
                <w:bCs/>
                <w:spacing w:val="4"/>
                <w:sz w:val="29"/>
                <w:szCs w:val="29"/>
              </w:rPr>
              <w:t>常用材料(设备)品牌清单</w:t>
            </w:r>
          </w:p>
          <w:tbl>
            <w:tblPr>
              <w:tblStyle w:val="46"/>
              <w:tblpPr w:leftFromText="180" w:rightFromText="180" w:vertAnchor="text" w:horzAnchor="page" w:tblpXSpec="center" w:tblpY="109"/>
              <w:tblOverlap w:val="never"/>
              <w:tblW w:w="90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0"/>
              <w:gridCol w:w="2452"/>
              <w:gridCol w:w="6028"/>
            </w:tblGrid>
            <w:tr w14:paraId="1AF3D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20" w:type="dxa"/>
                  <w:noWrap w:val="0"/>
                  <w:vAlign w:val="top"/>
                </w:tcPr>
                <w:p w14:paraId="4F653220">
                  <w:pPr>
                    <w:pStyle w:val="45"/>
                    <w:spacing w:before="51" w:line="360" w:lineRule="auto"/>
                    <w:ind w:left="0" w:left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452" w:type="dxa"/>
                  <w:noWrap w:val="0"/>
                  <w:vAlign w:val="top"/>
                </w:tcPr>
                <w:p w14:paraId="470A6741">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地砖、墙砖</w:t>
                  </w:r>
                </w:p>
              </w:tc>
              <w:tc>
                <w:tcPr>
                  <w:tcW w:w="6028" w:type="dxa"/>
                  <w:noWrap w:val="0"/>
                  <w:vAlign w:val="top"/>
                </w:tcPr>
                <w:p w14:paraId="7C489135">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冠军、诺贝尔、马可波罗或同档次</w:t>
                  </w:r>
                </w:p>
              </w:tc>
            </w:tr>
            <w:tr w14:paraId="5B706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jc w:val="center"/>
              </w:trPr>
              <w:tc>
                <w:tcPr>
                  <w:tcW w:w="520" w:type="dxa"/>
                  <w:noWrap w:val="0"/>
                  <w:vAlign w:val="top"/>
                </w:tcPr>
                <w:p w14:paraId="5E4FCE78">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2452" w:type="dxa"/>
                  <w:noWrap w:val="0"/>
                  <w:vAlign w:val="top"/>
                </w:tcPr>
                <w:p w14:paraId="397F43A4">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轻钢龙骨</w:t>
                  </w:r>
                </w:p>
              </w:tc>
              <w:tc>
                <w:tcPr>
                  <w:tcW w:w="6028" w:type="dxa"/>
                  <w:noWrap w:val="0"/>
                  <w:vAlign w:val="top"/>
                </w:tcPr>
                <w:p w14:paraId="074EC7BF">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龙牌、可耐福、泰山或同档次</w:t>
                  </w:r>
                </w:p>
              </w:tc>
            </w:tr>
            <w:tr w14:paraId="33CDF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20" w:type="dxa"/>
                  <w:noWrap w:val="0"/>
                  <w:vAlign w:val="top"/>
                </w:tcPr>
                <w:p w14:paraId="4517D125">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2452" w:type="dxa"/>
                  <w:noWrap w:val="0"/>
                  <w:vAlign w:val="center"/>
                </w:tcPr>
                <w:p w14:paraId="6128CF2C">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铝板</w:t>
                  </w:r>
                </w:p>
              </w:tc>
              <w:tc>
                <w:tcPr>
                  <w:tcW w:w="6028" w:type="dxa"/>
                  <w:noWrap w:val="0"/>
                  <w:vAlign w:val="center"/>
                </w:tcPr>
                <w:p w14:paraId="28AE694A">
                  <w:pPr>
                    <w:pStyle w:val="45"/>
                    <w:spacing w:before="51" w:line="360" w:lineRule="auto"/>
                    <w:ind w:left="0" w:leftChars="0"/>
                    <w:jc w:val="center"/>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lang w:val="en-US" w:eastAsia="zh-CN"/>
                    </w:rPr>
                    <w:t>吉祥、墙煌、方大或同档次</w:t>
                  </w:r>
                </w:p>
              </w:tc>
            </w:tr>
            <w:tr w14:paraId="61575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20" w:type="dxa"/>
                  <w:noWrap w:val="0"/>
                  <w:vAlign w:val="top"/>
                </w:tcPr>
                <w:p w14:paraId="4C772E73">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4</w:t>
                  </w:r>
                </w:p>
              </w:tc>
              <w:tc>
                <w:tcPr>
                  <w:tcW w:w="2452" w:type="dxa"/>
                  <w:noWrap w:val="0"/>
                  <w:vAlign w:val="top"/>
                </w:tcPr>
                <w:p w14:paraId="224AA137">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配电箱及元器件</w:t>
                  </w:r>
                </w:p>
              </w:tc>
              <w:tc>
                <w:tcPr>
                  <w:tcW w:w="6028" w:type="dxa"/>
                  <w:noWrap w:val="0"/>
                  <w:vAlign w:val="top"/>
                </w:tcPr>
                <w:p w14:paraId="6CC5ED70">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西门子、施耐德、ABB或同档次</w:t>
                  </w:r>
                </w:p>
              </w:tc>
            </w:tr>
            <w:tr w14:paraId="68F0C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20" w:type="dxa"/>
                  <w:noWrap w:val="0"/>
                  <w:vAlign w:val="top"/>
                </w:tcPr>
                <w:p w14:paraId="6F9D4262">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5</w:t>
                  </w:r>
                </w:p>
              </w:tc>
              <w:tc>
                <w:tcPr>
                  <w:tcW w:w="2452" w:type="dxa"/>
                  <w:noWrap w:val="0"/>
                  <w:vAlign w:val="top"/>
                </w:tcPr>
                <w:p w14:paraId="311D6180">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照明灯具</w:t>
                  </w:r>
                </w:p>
              </w:tc>
              <w:tc>
                <w:tcPr>
                  <w:tcW w:w="6028" w:type="dxa"/>
                  <w:noWrap w:val="0"/>
                  <w:vAlign w:val="top"/>
                </w:tcPr>
                <w:p w14:paraId="1E414A55">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三雄极光、欧普、鸿雁或同档次</w:t>
                  </w:r>
                </w:p>
              </w:tc>
            </w:tr>
            <w:tr w14:paraId="5E14D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479047F1">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6</w:t>
                  </w:r>
                </w:p>
              </w:tc>
              <w:tc>
                <w:tcPr>
                  <w:tcW w:w="2452" w:type="dxa"/>
                  <w:noWrap w:val="0"/>
                  <w:vAlign w:val="top"/>
                </w:tcPr>
                <w:p w14:paraId="6F14CAA2">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客梯</w:t>
                  </w:r>
                </w:p>
              </w:tc>
              <w:tc>
                <w:tcPr>
                  <w:tcW w:w="6028" w:type="dxa"/>
                  <w:noWrap w:val="0"/>
                  <w:vAlign w:val="top"/>
                </w:tcPr>
                <w:p w14:paraId="7D5C43FD">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奥的斯机电、迅达、通力或同档次</w:t>
                  </w:r>
                </w:p>
              </w:tc>
            </w:tr>
            <w:tr w14:paraId="5784A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7681AC5B">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7</w:t>
                  </w:r>
                </w:p>
              </w:tc>
              <w:tc>
                <w:tcPr>
                  <w:tcW w:w="2452" w:type="dxa"/>
                  <w:noWrap w:val="0"/>
                  <w:vAlign w:val="top"/>
                </w:tcPr>
                <w:p w14:paraId="788174B7">
                  <w:pPr>
                    <w:pStyle w:val="45"/>
                    <w:spacing w:before="51" w:line="360" w:lineRule="auto"/>
                    <w:ind w:left="0" w:leftChars="0"/>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空调及新风机组</w:t>
                  </w:r>
                </w:p>
              </w:tc>
              <w:tc>
                <w:tcPr>
                  <w:tcW w:w="6028" w:type="dxa"/>
                  <w:noWrap w:val="0"/>
                  <w:vAlign w:val="top"/>
                </w:tcPr>
                <w:p w14:paraId="665513EF">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大金、三菱重工、日立或同档次</w:t>
                  </w:r>
                </w:p>
              </w:tc>
            </w:tr>
            <w:tr w14:paraId="7EB8A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30B384A3">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8</w:t>
                  </w:r>
                </w:p>
              </w:tc>
              <w:tc>
                <w:tcPr>
                  <w:tcW w:w="2452" w:type="dxa"/>
                  <w:noWrap w:val="0"/>
                  <w:vAlign w:val="top"/>
                </w:tcPr>
                <w:p w14:paraId="103DDE01">
                  <w:pPr>
                    <w:pStyle w:val="45"/>
                    <w:spacing w:before="51" w:line="360" w:lineRule="auto"/>
                    <w:ind w:left="0" w:leftChars="0"/>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卫生洁具、龙头及五金</w:t>
                  </w:r>
                </w:p>
              </w:tc>
              <w:tc>
                <w:tcPr>
                  <w:tcW w:w="6028" w:type="dxa"/>
                  <w:noWrap w:val="0"/>
                  <w:vAlign w:val="top"/>
                </w:tcPr>
                <w:p w14:paraId="02B08F11">
                  <w:pPr>
                    <w:pStyle w:val="45"/>
                    <w:spacing w:before="51" w:line="360" w:lineRule="auto"/>
                    <w:ind w:left="0" w:left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箭牌、四维、东鹏、九牧、恒洁或同档次</w:t>
                  </w:r>
                </w:p>
              </w:tc>
            </w:tr>
            <w:tr w14:paraId="3C4EC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617D5EA8">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9</w:t>
                  </w:r>
                </w:p>
              </w:tc>
              <w:tc>
                <w:tcPr>
                  <w:tcW w:w="2452" w:type="dxa"/>
                  <w:noWrap w:val="0"/>
                  <w:vAlign w:val="top"/>
                </w:tcPr>
                <w:p w14:paraId="660C32DD">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PE电缆保护管</w:t>
                  </w:r>
                </w:p>
              </w:tc>
              <w:tc>
                <w:tcPr>
                  <w:tcW w:w="6028" w:type="dxa"/>
                  <w:noWrap w:val="0"/>
                  <w:vAlign w:val="top"/>
                </w:tcPr>
                <w:p w14:paraId="522C9CC3">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东方雨虹、伟星、金德</w:t>
                  </w:r>
                  <w:r>
                    <w:rPr>
                      <w:rFonts w:hint="eastAsia" w:ascii="宋体" w:hAnsi="宋体" w:eastAsia="宋体" w:cs="宋体"/>
                      <w:sz w:val="24"/>
                      <w:szCs w:val="24"/>
                      <w:highlight w:val="none"/>
                      <w:lang w:val="en-US" w:eastAsia="zh-CN"/>
                    </w:rPr>
                    <w:t>或同档次</w:t>
                  </w:r>
                </w:p>
              </w:tc>
            </w:tr>
            <w:tr w14:paraId="37B23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4C498CBF">
                  <w:pPr>
                    <w:pStyle w:val="45"/>
                    <w:spacing w:before="51" w:line="360" w:lineRule="auto"/>
                    <w:ind w:left="0" w:leftChars="0"/>
                    <w:jc w:val="center"/>
                    <w:rPr>
                      <w:rFonts w:hint="default" w:cs="宋体"/>
                      <w:sz w:val="24"/>
                      <w:szCs w:val="24"/>
                      <w:highlight w:val="none"/>
                      <w:lang w:val="en-US" w:eastAsia="zh-CN"/>
                    </w:rPr>
                  </w:pPr>
                  <w:r>
                    <w:rPr>
                      <w:rFonts w:hint="eastAsia" w:cs="宋体"/>
                      <w:sz w:val="24"/>
                      <w:szCs w:val="24"/>
                      <w:highlight w:val="none"/>
                      <w:lang w:val="en-US" w:eastAsia="zh-CN"/>
                    </w:rPr>
                    <w:t>10</w:t>
                  </w:r>
                </w:p>
              </w:tc>
              <w:tc>
                <w:tcPr>
                  <w:tcW w:w="2452" w:type="dxa"/>
                  <w:noWrap w:val="0"/>
                  <w:vAlign w:val="top"/>
                </w:tcPr>
                <w:p w14:paraId="0C37F2F0">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电力电缆</w:t>
                  </w:r>
                </w:p>
              </w:tc>
              <w:tc>
                <w:tcPr>
                  <w:tcW w:w="6028" w:type="dxa"/>
                  <w:noWrap w:val="0"/>
                  <w:vAlign w:val="top"/>
                </w:tcPr>
                <w:p w14:paraId="590F7845">
                  <w:pPr>
                    <w:pStyle w:val="45"/>
                    <w:spacing w:before="51" w:line="360" w:lineRule="auto"/>
                    <w:ind w:left="0" w:leftChars="0"/>
                    <w:jc w:val="center"/>
                    <w:rPr>
                      <w:rFonts w:hint="eastAsia" w:cs="宋体"/>
                      <w:sz w:val="24"/>
                      <w:szCs w:val="24"/>
                      <w:highlight w:val="none"/>
                      <w:lang w:val="en-US" w:eastAsia="zh-CN"/>
                    </w:rPr>
                  </w:pPr>
                  <w:r>
                    <w:rPr>
                      <w:rFonts w:hint="eastAsia" w:cs="宋体"/>
                      <w:sz w:val="24"/>
                      <w:szCs w:val="24"/>
                      <w:highlight w:val="none"/>
                      <w:lang w:val="en-US" w:eastAsia="zh-CN"/>
                    </w:rPr>
                    <w:t>永通，中策蓝海，万马或相当于</w:t>
                  </w:r>
                </w:p>
              </w:tc>
            </w:tr>
          </w:tbl>
          <w:p w14:paraId="563869BB">
            <w:pPr>
              <w:pStyle w:val="16"/>
              <w:keepNext w:val="0"/>
              <w:keepLines w:val="0"/>
              <w:widowControl/>
              <w:numPr>
                <w:ilvl w:val="0"/>
                <w:numId w:val="0"/>
              </w:numPr>
              <w:suppressLineNumbers w:val="0"/>
              <w:spacing w:before="0" w:beforeAutospacing="0" w:after="0" w:afterAutospacing="0" w:line="360" w:lineRule="auto"/>
              <w:ind w:right="0" w:rightChars="0"/>
              <w:jc w:val="left"/>
              <w:rPr>
                <w:rFonts w:hint="default" w:ascii="宋体" w:hAnsi="宋体" w:eastAsia="宋体" w:cs="宋体"/>
                <w:sz w:val="21"/>
                <w:szCs w:val="21"/>
                <w:lang w:val="en-US" w:eastAsia="zh-CN"/>
              </w:rPr>
            </w:pPr>
          </w:p>
          <w:p w14:paraId="4435F014">
            <w:pPr>
              <w:pStyle w:val="16"/>
              <w:keepNext w:val="0"/>
              <w:keepLines w:val="0"/>
              <w:widowControl/>
              <w:numPr>
                <w:ilvl w:val="0"/>
                <w:numId w:val="0"/>
              </w:numPr>
              <w:suppressLineNumbers w:val="0"/>
              <w:tabs>
                <w:tab w:val="left" w:pos="7984"/>
              </w:tabs>
              <w:spacing w:before="0" w:beforeAutospacing="0" w:after="0" w:afterAutospacing="0" w:line="360" w:lineRule="auto"/>
              <w:ind w:right="0" w:rightChars="0"/>
              <w:jc w:val="left"/>
              <w:rPr>
                <w:rFonts w:hint="default" w:ascii="宋体" w:hAnsi="宋体" w:eastAsia="宋体" w:cs="宋体"/>
                <w:sz w:val="21"/>
                <w:szCs w:val="21"/>
                <w:lang w:val="en-US" w:eastAsia="zh-CN"/>
              </w:rPr>
            </w:pPr>
            <w:r>
              <w:rPr>
                <w:rFonts w:hint="eastAsia" w:cs="宋体"/>
                <w:sz w:val="21"/>
                <w:szCs w:val="21"/>
                <w:lang w:val="en-US" w:eastAsia="zh-CN"/>
              </w:rPr>
              <w:tab/>
            </w:r>
          </w:p>
          <w:p w14:paraId="4D8DA7C1">
            <w:pPr>
              <w:pStyle w:val="16"/>
              <w:keepNext w:val="0"/>
              <w:keepLines w:val="0"/>
              <w:widowControl/>
              <w:numPr>
                <w:ilvl w:val="0"/>
                <w:numId w:val="0"/>
              </w:numPr>
              <w:suppressLineNumbers w:val="0"/>
              <w:spacing w:before="0" w:beforeAutospacing="0" w:after="0" w:afterAutospacing="0" w:line="360" w:lineRule="auto"/>
              <w:ind w:right="0" w:rightChars="0"/>
              <w:jc w:val="left"/>
              <w:rPr>
                <w:rFonts w:hint="default" w:ascii="宋体" w:hAnsi="宋体" w:eastAsia="宋体" w:cs="宋体"/>
                <w:sz w:val="21"/>
                <w:szCs w:val="21"/>
                <w:lang w:val="en-US" w:eastAsia="zh-CN"/>
              </w:rPr>
            </w:pPr>
          </w:p>
          <w:p w14:paraId="33B76006">
            <w:pPr>
              <w:pStyle w:val="16"/>
              <w:keepNext w:val="0"/>
              <w:keepLines w:val="0"/>
              <w:widowControl/>
              <w:numPr>
                <w:ilvl w:val="0"/>
                <w:numId w:val="0"/>
              </w:numPr>
              <w:suppressLineNumbers w:val="0"/>
              <w:spacing w:before="0" w:beforeAutospacing="0" w:after="0" w:afterAutospacing="0" w:line="360" w:lineRule="auto"/>
              <w:ind w:right="0" w:rightChars="0"/>
              <w:jc w:val="left"/>
              <w:rPr>
                <w:rFonts w:hint="default" w:ascii="宋体" w:hAnsi="宋体" w:eastAsia="宋体" w:cs="宋体"/>
                <w:sz w:val="21"/>
                <w:szCs w:val="21"/>
                <w:lang w:val="en-US" w:eastAsia="zh-CN"/>
              </w:rPr>
            </w:pPr>
          </w:p>
          <w:p w14:paraId="4989626C">
            <w:pPr>
              <w:pStyle w:val="16"/>
              <w:keepNext w:val="0"/>
              <w:keepLines w:val="0"/>
              <w:widowControl/>
              <w:numPr>
                <w:ilvl w:val="0"/>
                <w:numId w:val="0"/>
              </w:numPr>
              <w:suppressLineNumbers w:val="0"/>
              <w:spacing w:before="0" w:beforeAutospacing="0" w:after="0" w:afterAutospacing="0" w:line="360" w:lineRule="auto"/>
              <w:ind w:right="0" w:rightChars="0"/>
              <w:jc w:val="left"/>
              <w:rPr>
                <w:rFonts w:hint="default" w:ascii="宋体" w:hAnsi="宋体" w:eastAsia="宋体" w:cs="宋体"/>
                <w:sz w:val="21"/>
                <w:szCs w:val="21"/>
                <w:lang w:val="en-US" w:eastAsia="zh-CN"/>
              </w:rPr>
            </w:pPr>
          </w:p>
        </w:tc>
      </w:tr>
    </w:tbl>
    <w:p w14:paraId="342D41EF">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F0E7C">
    <w:pPr>
      <w:pStyle w:val="12"/>
      <w:framePr w:wrap="around" w:vAnchor="text" w:hAnchor="margin" w:xAlign="center" w:y="1"/>
      <w:rPr>
        <w:rStyle w:val="21"/>
      </w:rPr>
    </w:pPr>
    <w:r>
      <w:fldChar w:fldCharType="begin"/>
    </w:r>
    <w:r>
      <w:rPr>
        <w:rStyle w:val="21"/>
      </w:rPr>
      <w:instrText xml:space="preserve">PAGE  </w:instrText>
    </w:r>
    <w:r>
      <w:fldChar w:fldCharType="end"/>
    </w:r>
  </w:p>
  <w:p w14:paraId="68A0516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D58AF">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3F71BE3B">
    <w:pPr>
      <w:pStyle w:val="5"/>
      <w:ind w:left="8610" w:leftChars="0" w:hanging="8610" w:hangingChars="4100"/>
      <w:jc w:val="both"/>
      <w:rPr>
        <w:rFonts w:ascii="宋体" w:hAnsi="宋体"/>
        <w:szCs w:val="21"/>
      </w:rPr>
    </w:pPr>
    <w:r>
      <w:rPr>
        <w:rStyle w:val="21"/>
        <w:rFonts w:hint="eastAsia" w:ascii="宋体" w:hAnsi="宋体"/>
        <w:kern w:val="0"/>
        <w:szCs w:val="21"/>
      </w:rPr>
      <w:t>工程名称：</w:t>
    </w:r>
    <w:r>
      <w:rPr>
        <w:rFonts w:hint="eastAsia" w:asciiTheme="minorEastAsia" w:hAnsiTheme="minorEastAsia" w:eastAsiaTheme="minorEastAsia" w:cstheme="minorEastAsia"/>
        <w:sz w:val="21"/>
        <w:szCs w:val="21"/>
        <w:lang w:val="en-US" w:eastAsia="zh-CN"/>
      </w:rPr>
      <w:t xml:space="preserve">留学生楼装修及周边景观提升项目                            </w:t>
    </w:r>
    <w:r>
      <w:rPr>
        <w:rStyle w:val="21"/>
        <w:rFonts w:hint="eastAsia" w:ascii="宋体" w:hAnsi="宋体"/>
        <w:szCs w:val="21"/>
      </w:rPr>
      <w:t>第</w:t>
    </w:r>
    <w:r>
      <w:rPr>
        <w:rFonts w:ascii="宋体" w:hAnsi="宋体"/>
        <w:szCs w:val="21"/>
      </w:rPr>
      <w:fldChar w:fldCharType="begin"/>
    </w:r>
    <w:r>
      <w:rPr>
        <w:rStyle w:val="21"/>
        <w:rFonts w:ascii="宋体" w:hAnsi="宋体"/>
        <w:szCs w:val="21"/>
      </w:rPr>
      <w:instrText xml:space="preserve"> PAGE </w:instrText>
    </w:r>
    <w:r>
      <w:rPr>
        <w:rFonts w:ascii="宋体" w:hAnsi="宋体"/>
        <w:szCs w:val="21"/>
      </w:rPr>
      <w:fldChar w:fldCharType="separate"/>
    </w:r>
    <w:r>
      <w:rPr>
        <w:rStyle w:val="21"/>
        <w:rFonts w:ascii="宋体" w:hAnsi="宋体"/>
        <w:szCs w:val="21"/>
      </w:rPr>
      <w:t>9</w:t>
    </w:r>
    <w:r>
      <w:rPr>
        <w:rFonts w:ascii="宋体" w:hAnsi="宋体"/>
        <w:szCs w:val="21"/>
      </w:rPr>
      <w:fldChar w:fldCharType="end"/>
    </w:r>
    <w:r>
      <w:rPr>
        <w:rStyle w:val="21"/>
        <w:rFonts w:hint="eastAsia" w:ascii="宋体" w:hAnsi="宋体"/>
        <w:szCs w:val="21"/>
      </w:rPr>
      <w:t>页  共</w:t>
    </w:r>
    <w:r>
      <w:rPr>
        <w:rStyle w:val="21"/>
        <w:rFonts w:hint="eastAsia" w:ascii="宋体" w:hAnsi="宋体"/>
        <w:szCs w:val="21"/>
        <w:lang w:val="en-US" w:eastAsia="zh-CN"/>
      </w:rPr>
      <w:t>7</w:t>
    </w:r>
    <w:r>
      <w:rPr>
        <w:rStyle w:val="21"/>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6BD74">
    <w:pPr>
      <w:pStyle w:val="13"/>
      <w:framePr w:wrap="around" w:vAnchor="text" w:hAnchor="margin" w:xAlign="right" w:y="1"/>
      <w:rPr>
        <w:rStyle w:val="21"/>
      </w:rPr>
    </w:pPr>
    <w:r>
      <w:fldChar w:fldCharType="begin"/>
    </w:r>
    <w:r>
      <w:rPr>
        <w:rStyle w:val="21"/>
      </w:rPr>
      <w:instrText xml:space="preserve">PAGE  </w:instrText>
    </w:r>
    <w:r>
      <w:fldChar w:fldCharType="end"/>
    </w:r>
  </w:p>
  <w:p w14:paraId="2469D8C9">
    <w:pPr>
      <w:pStyle w:val="1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E9122730"/>
    <w:multiLevelType w:val="singleLevel"/>
    <w:tmpl w:val="E9122730"/>
    <w:lvl w:ilvl="0" w:tentative="0">
      <w:start w:val="1"/>
      <w:numFmt w:val="decimal"/>
      <w:suff w:val="nothing"/>
      <w:lvlText w:val="%1、"/>
      <w:lvlJc w:val="left"/>
    </w:lvl>
  </w:abstractNum>
  <w:abstractNum w:abstractNumId="2">
    <w:nsid w:val="206632BB"/>
    <w:multiLevelType w:val="singleLevel"/>
    <w:tmpl w:val="206632BB"/>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NTc0NTA2ZWI3ZDkxZmRkNTczNWFmYTRkNDc4MTYifQ=="/>
  </w:docVars>
  <w:rsids>
    <w:rsidRoot w:val="7F87223B"/>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0FB6"/>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6132"/>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C64D9E"/>
    <w:rsid w:val="01D47C4B"/>
    <w:rsid w:val="01F178BE"/>
    <w:rsid w:val="021716AC"/>
    <w:rsid w:val="022E73C5"/>
    <w:rsid w:val="0239317A"/>
    <w:rsid w:val="02844960"/>
    <w:rsid w:val="02854787"/>
    <w:rsid w:val="028C11CF"/>
    <w:rsid w:val="02902A6D"/>
    <w:rsid w:val="02A04CCC"/>
    <w:rsid w:val="02B06FC6"/>
    <w:rsid w:val="02CE29EB"/>
    <w:rsid w:val="02FD0397"/>
    <w:rsid w:val="03140261"/>
    <w:rsid w:val="032D26B9"/>
    <w:rsid w:val="033D795F"/>
    <w:rsid w:val="034436BF"/>
    <w:rsid w:val="03726FC5"/>
    <w:rsid w:val="0386710D"/>
    <w:rsid w:val="03B16165"/>
    <w:rsid w:val="03BF4AF2"/>
    <w:rsid w:val="03D570C1"/>
    <w:rsid w:val="03DC64A7"/>
    <w:rsid w:val="03F27CA5"/>
    <w:rsid w:val="03FA07F1"/>
    <w:rsid w:val="040947E8"/>
    <w:rsid w:val="04233C24"/>
    <w:rsid w:val="04405E89"/>
    <w:rsid w:val="044D70CF"/>
    <w:rsid w:val="045D2E23"/>
    <w:rsid w:val="047724A6"/>
    <w:rsid w:val="0490044D"/>
    <w:rsid w:val="04C61382"/>
    <w:rsid w:val="04CB16FA"/>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0DE3"/>
    <w:rsid w:val="085E458D"/>
    <w:rsid w:val="086C1E32"/>
    <w:rsid w:val="08973053"/>
    <w:rsid w:val="08BF37D8"/>
    <w:rsid w:val="08D538D0"/>
    <w:rsid w:val="09131BC8"/>
    <w:rsid w:val="09D75426"/>
    <w:rsid w:val="09ED142F"/>
    <w:rsid w:val="09FB45DE"/>
    <w:rsid w:val="0A1246B0"/>
    <w:rsid w:val="0A1E7616"/>
    <w:rsid w:val="0A2E173F"/>
    <w:rsid w:val="0A474C47"/>
    <w:rsid w:val="0A6417D9"/>
    <w:rsid w:val="0A6C7F2F"/>
    <w:rsid w:val="0A914248"/>
    <w:rsid w:val="0AD96E7C"/>
    <w:rsid w:val="0ADD2F10"/>
    <w:rsid w:val="0AE528C1"/>
    <w:rsid w:val="0AF65D7F"/>
    <w:rsid w:val="0B137D59"/>
    <w:rsid w:val="0B3F14D4"/>
    <w:rsid w:val="0B610F40"/>
    <w:rsid w:val="0B923EC8"/>
    <w:rsid w:val="0B930485"/>
    <w:rsid w:val="0B9A0515"/>
    <w:rsid w:val="0B9E0194"/>
    <w:rsid w:val="0BAD28E2"/>
    <w:rsid w:val="0BAF35AE"/>
    <w:rsid w:val="0BD9091B"/>
    <w:rsid w:val="0BE14F5F"/>
    <w:rsid w:val="0BEE6D79"/>
    <w:rsid w:val="0BF16386"/>
    <w:rsid w:val="0C0B50B6"/>
    <w:rsid w:val="0C316ED3"/>
    <w:rsid w:val="0C366727"/>
    <w:rsid w:val="0C3A4D7D"/>
    <w:rsid w:val="0C814FA5"/>
    <w:rsid w:val="0C9040A9"/>
    <w:rsid w:val="0C9E13B3"/>
    <w:rsid w:val="0CA27616"/>
    <w:rsid w:val="0CC442D7"/>
    <w:rsid w:val="0CD66CF7"/>
    <w:rsid w:val="0CEC092A"/>
    <w:rsid w:val="0CF62067"/>
    <w:rsid w:val="0D3945D5"/>
    <w:rsid w:val="0D3C216F"/>
    <w:rsid w:val="0D4234FE"/>
    <w:rsid w:val="0D4D0AF9"/>
    <w:rsid w:val="0D5D4163"/>
    <w:rsid w:val="0D900586"/>
    <w:rsid w:val="0DF26469"/>
    <w:rsid w:val="0E2E5089"/>
    <w:rsid w:val="0E490011"/>
    <w:rsid w:val="0E68518B"/>
    <w:rsid w:val="0E6D7A2A"/>
    <w:rsid w:val="0E786FF3"/>
    <w:rsid w:val="0EB93D1B"/>
    <w:rsid w:val="0ED11E9F"/>
    <w:rsid w:val="0EE14EC6"/>
    <w:rsid w:val="0F0569E4"/>
    <w:rsid w:val="0F0617B7"/>
    <w:rsid w:val="0F615969"/>
    <w:rsid w:val="0F955B67"/>
    <w:rsid w:val="0FA1275E"/>
    <w:rsid w:val="0FD91EF8"/>
    <w:rsid w:val="0FFB6F69"/>
    <w:rsid w:val="0FFC514B"/>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D101EE"/>
    <w:rsid w:val="12117D8F"/>
    <w:rsid w:val="121A2E99"/>
    <w:rsid w:val="12400D96"/>
    <w:rsid w:val="12525F91"/>
    <w:rsid w:val="12870CB0"/>
    <w:rsid w:val="12AE6A32"/>
    <w:rsid w:val="12B33BA8"/>
    <w:rsid w:val="12E52506"/>
    <w:rsid w:val="130265BC"/>
    <w:rsid w:val="1323348A"/>
    <w:rsid w:val="134275A5"/>
    <w:rsid w:val="13482EF0"/>
    <w:rsid w:val="135875D7"/>
    <w:rsid w:val="13622204"/>
    <w:rsid w:val="13C27393"/>
    <w:rsid w:val="13C80442"/>
    <w:rsid w:val="13D630FB"/>
    <w:rsid w:val="13E963DC"/>
    <w:rsid w:val="13F97879"/>
    <w:rsid w:val="14037D5A"/>
    <w:rsid w:val="14045568"/>
    <w:rsid w:val="14213E6D"/>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4216FE"/>
    <w:rsid w:val="177C5C52"/>
    <w:rsid w:val="17871D41"/>
    <w:rsid w:val="17C84600"/>
    <w:rsid w:val="17E25150"/>
    <w:rsid w:val="17EF28C2"/>
    <w:rsid w:val="17FF2717"/>
    <w:rsid w:val="180E64B6"/>
    <w:rsid w:val="186D1464"/>
    <w:rsid w:val="18747971"/>
    <w:rsid w:val="18860743"/>
    <w:rsid w:val="188B347D"/>
    <w:rsid w:val="189A41EE"/>
    <w:rsid w:val="18C069F5"/>
    <w:rsid w:val="18D436C7"/>
    <w:rsid w:val="18DB5F9C"/>
    <w:rsid w:val="193C0062"/>
    <w:rsid w:val="1973044E"/>
    <w:rsid w:val="19782D58"/>
    <w:rsid w:val="19960E59"/>
    <w:rsid w:val="19981DED"/>
    <w:rsid w:val="19B16BEF"/>
    <w:rsid w:val="19F64A80"/>
    <w:rsid w:val="1A071EB4"/>
    <w:rsid w:val="1A1401D9"/>
    <w:rsid w:val="1A5A090E"/>
    <w:rsid w:val="1A6F39D0"/>
    <w:rsid w:val="1AA82C77"/>
    <w:rsid w:val="1AA90ECC"/>
    <w:rsid w:val="1ABF551B"/>
    <w:rsid w:val="1AC216A6"/>
    <w:rsid w:val="1AC67796"/>
    <w:rsid w:val="1AD17C72"/>
    <w:rsid w:val="1AD42C55"/>
    <w:rsid w:val="1B027E29"/>
    <w:rsid w:val="1B252BAB"/>
    <w:rsid w:val="1B383951"/>
    <w:rsid w:val="1B4D5548"/>
    <w:rsid w:val="1B5B5FC5"/>
    <w:rsid w:val="1B781073"/>
    <w:rsid w:val="1B7E7DF7"/>
    <w:rsid w:val="1B804ED5"/>
    <w:rsid w:val="1B8B11CF"/>
    <w:rsid w:val="1BA3289E"/>
    <w:rsid w:val="1BCF3AA0"/>
    <w:rsid w:val="1BD04AFE"/>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6D6AE7"/>
    <w:rsid w:val="1E775256"/>
    <w:rsid w:val="1E850FCE"/>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07142"/>
    <w:rsid w:val="20AC33B0"/>
    <w:rsid w:val="20F2162B"/>
    <w:rsid w:val="21004E58"/>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BC5F9F"/>
    <w:rsid w:val="23C25CB5"/>
    <w:rsid w:val="2424126C"/>
    <w:rsid w:val="243946D8"/>
    <w:rsid w:val="24692809"/>
    <w:rsid w:val="24CC1F3A"/>
    <w:rsid w:val="24E8460C"/>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20440"/>
    <w:rsid w:val="28F41FD5"/>
    <w:rsid w:val="29002F8B"/>
    <w:rsid w:val="29585436"/>
    <w:rsid w:val="296453CA"/>
    <w:rsid w:val="29FE3164"/>
    <w:rsid w:val="2A082718"/>
    <w:rsid w:val="2A202079"/>
    <w:rsid w:val="2A2B4192"/>
    <w:rsid w:val="2A415E87"/>
    <w:rsid w:val="2A44045E"/>
    <w:rsid w:val="2A9E6EED"/>
    <w:rsid w:val="2AA831E5"/>
    <w:rsid w:val="2AB06E6A"/>
    <w:rsid w:val="2B091443"/>
    <w:rsid w:val="2B18248E"/>
    <w:rsid w:val="2B190002"/>
    <w:rsid w:val="2B203D75"/>
    <w:rsid w:val="2B513774"/>
    <w:rsid w:val="2B7A28AC"/>
    <w:rsid w:val="2B8E615E"/>
    <w:rsid w:val="2B97486B"/>
    <w:rsid w:val="2BAC15CB"/>
    <w:rsid w:val="2BC12B6B"/>
    <w:rsid w:val="2BD575BF"/>
    <w:rsid w:val="2C001BF6"/>
    <w:rsid w:val="2C1A28FB"/>
    <w:rsid w:val="2C717B03"/>
    <w:rsid w:val="2C8B478B"/>
    <w:rsid w:val="2CAF3CD6"/>
    <w:rsid w:val="2CC34A5A"/>
    <w:rsid w:val="2CFD5A53"/>
    <w:rsid w:val="2D26209C"/>
    <w:rsid w:val="2D4D2450"/>
    <w:rsid w:val="2D6B1749"/>
    <w:rsid w:val="2D742E08"/>
    <w:rsid w:val="2D7A4D28"/>
    <w:rsid w:val="2D950D76"/>
    <w:rsid w:val="2D9D77C0"/>
    <w:rsid w:val="2DCC2C44"/>
    <w:rsid w:val="2DD01A31"/>
    <w:rsid w:val="2E2064F4"/>
    <w:rsid w:val="2E5371F9"/>
    <w:rsid w:val="2E547B86"/>
    <w:rsid w:val="2E6028A0"/>
    <w:rsid w:val="2E681A1B"/>
    <w:rsid w:val="2E7A5191"/>
    <w:rsid w:val="2E8013E7"/>
    <w:rsid w:val="2E8B0409"/>
    <w:rsid w:val="2EA66FF1"/>
    <w:rsid w:val="2ED56D13"/>
    <w:rsid w:val="2F436812"/>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AE767E"/>
    <w:rsid w:val="31BB525A"/>
    <w:rsid w:val="31C658D2"/>
    <w:rsid w:val="31F2254D"/>
    <w:rsid w:val="322A2424"/>
    <w:rsid w:val="32834ADD"/>
    <w:rsid w:val="329B0E37"/>
    <w:rsid w:val="329B3BA5"/>
    <w:rsid w:val="33165BD0"/>
    <w:rsid w:val="33286205"/>
    <w:rsid w:val="336F7D45"/>
    <w:rsid w:val="337374A7"/>
    <w:rsid w:val="337705FD"/>
    <w:rsid w:val="33784CD4"/>
    <w:rsid w:val="33995376"/>
    <w:rsid w:val="339A4130"/>
    <w:rsid w:val="33B326A5"/>
    <w:rsid w:val="33B757FC"/>
    <w:rsid w:val="33CA24AE"/>
    <w:rsid w:val="33CE72AF"/>
    <w:rsid w:val="33D303AB"/>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2B372F"/>
    <w:rsid w:val="393C4091"/>
    <w:rsid w:val="39405523"/>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A6689"/>
    <w:rsid w:val="3EB83517"/>
    <w:rsid w:val="3EDE362C"/>
    <w:rsid w:val="3EED47C8"/>
    <w:rsid w:val="3F0471CD"/>
    <w:rsid w:val="3F263AD1"/>
    <w:rsid w:val="3F2A1578"/>
    <w:rsid w:val="3F427DD3"/>
    <w:rsid w:val="3F4C0C28"/>
    <w:rsid w:val="3F583B53"/>
    <w:rsid w:val="3F702906"/>
    <w:rsid w:val="3F7A0E56"/>
    <w:rsid w:val="3F897AD6"/>
    <w:rsid w:val="3F8B66EF"/>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8242F3"/>
    <w:rsid w:val="449A10C5"/>
    <w:rsid w:val="44C7147B"/>
    <w:rsid w:val="44FA75A6"/>
    <w:rsid w:val="44FB5116"/>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701596E"/>
    <w:rsid w:val="470644FA"/>
    <w:rsid w:val="473625AB"/>
    <w:rsid w:val="47414CB1"/>
    <w:rsid w:val="475573AE"/>
    <w:rsid w:val="47575BA3"/>
    <w:rsid w:val="479E0163"/>
    <w:rsid w:val="47B20B12"/>
    <w:rsid w:val="47BE4B87"/>
    <w:rsid w:val="47D557C9"/>
    <w:rsid w:val="47F6293F"/>
    <w:rsid w:val="480A77CA"/>
    <w:rsid w:val="481F1B00"/>
    <w:rsid w:val="485E2406"/>
    <w:rsid w:val="486D4F16"/>
    <w:rsid w:val="488F68F0"/>
    <w:rsid w:val="48E647CB"/>
    <w:rsid w:val="48E814C7"/>
    <w:rsid w:val="491D766A"/>
    <w:rsid w:val="492F62C0"/>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724C4A"/>
    <w:rsid w:val="4C7D53DD"/>
    <w:rsid w:val="4C8D3001"/>
    <w:rsid w:val="4C9923D8"/>
    <w:rsid w:val="4CBD3CFA"/>
    <w:rsid w:val="4CCA7EF7"/>
    <w:rsid w:val="4D0E7086"/>
    <w:rsid w:val="4D617082"/>
    <w:rsid w:val="4D7E33D7"/>
    <w:rsid w:val="4DC94652"/>
    <w:rsid w:val="4E444E98"/>
    <w:rsid w:val="4E4C0CEF"/>
    <w:rsid w:val="4E5D267A"/>
    <w:rsid w:val="4E684B53"/>
    <w:rsid w:val="4E6C1192"/>
    <w:rsid w:val="4E6E6605"/>
    <w:rsid w:val="4E883004"/>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602708"/>
    <w:rsid w:val="55627D0A"/>
    <w:rsid w:val="55957979"/>
    <w:rsid w:val="55A2370B"/>
    <w:rsid w:val="55B73D7B"/>
    <w:rsid w:val="55DC7607"/>
    <w:rsid w:val="55E232DA"/>
    <w:rsid w:val="5626646A"/>
    <w:rsid w:val="563C64C0"/>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67595"/>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3E42F7"/>
    <w:rsid w:val="596110D1"/>
    <w:rsid w:val="59624336"/>
    <w:rsid w:val="59795021"/>
    <w:rsid w:val="599B50F5"/>
    <w:rsid w:val="59A04CCE"/>
    <w:rsid w:val="59B9557B"/>
    <w:rsid w:val="5A211258"/>
    <w:rsid w:val="5A2F2F32"/>
    <w:rsid w:val="5A322B7F"/>
    <w:rsid w:val="5A3E700A"/>
    <w:rsid w:val="5AC97A40"/>
    <w:rsid w:val="5ACB1A0A"/>
    <w:rsid w:val="5AD43284"/>
    <w:rsid w:val="5ADB7BB3"/>
    <w:rsid w:val="5ADF3707"/>
    <w:rsid w:val="5B83679E"/>
    <w:rsid w:val="5BB63E9C"/>
    <w:rsid w:val="5C4C6B7A"/>
    <w:rsid w:val="5C4E28F2"/>
    <w:rsid w:val="5C6320D4"/>
    <w:rsid w:val="5C712531"/>
    <w:rsid w:val="5CA01740"/>
    <w:rsid w:val="5CB117CD"/>
    <w:rsid w:val="5CB62F45"/>
    <w:rsid w:val="5CB65CF2"/>
    <w:rsid w:val="5CD70F87"/>
    <w:rsid w:val="5D057255"/>
    <w:rsid w:val="5D0D6309"/>
    <w:rsid w:val="5D315433"/>
    <w:rsid w:val="5D3665F9"/>
    <w:rsid w:val="5D4B6D34"/>
    <w:rsid w:val="5D6F75DE"/>
    <w:rsid w:val="5D7B0F80"/>
    <w:rsid w:val="5D963448"/>
    <w:rsid w:val="5DB06344"/>
    <w:rsid w:val="5DB12B5B"/>
    <w:rsid w:val="5DCF186A"/>
    <w:rsid w:val="5DD95ED2"/>
    <w:rsid w:val="5DE40ED1"/>
    <w:rsid w:val="5DF95BED"/>
    <w:rsid w:val="5E017386"/>
    <w:rsid w:val="5E0510B8"/>
    <w:rsid w:val="5E3B330E"/>
    <w:rsid w:val="5E8D6E87"/>
    <w:rsid w:val="5E905877"/>
    <w:rsid w:val="5EB009F1"/>
    <w:rsid w:val="5EB42574"/>
    <w:rsid w:val="5EBD7C71"/>
    <w:rsid w:val="5EC325D5"/>
    <w:rsid w:val="5EC32908"/>
    <w:rsid w:val="5EC32C90"/>
    <w:rsid w:val="5F7C55A9"/>
    <w:rsid w:val="5F9846EC"/>
    <w:rsid w:val="5FB6478B"/>
    <w:rsid w:val="5FB82903"/>
    <w:rsid w:val="5FB9611A"/>
    <w:rsid w:val="5FCC28EF"/>
    <w:rsid w:val="5FCE76A6"/>
    <w:rsid w:val="5FDE290E"/>
    <w:rsid w:val="5FE34700"/>
    <w:rsid w:val="60275F41"/>
    <w:rsid w:val="603C0CB4"/>
    <w:rsid w:val="604F4E8B"/>
    <w:rsid w:val="605C5D55"/>
    <w:rsid w:val="60634A76"/>
    <w:rsid w:val="60704636"/>
    <w:rsid w:val="60B03285"/>
    <w:rsid w:val="60BC2E73"/>
    <w:rsid w:val="61111455"/>
    <w:rsid w:val="61166780"/>
    <w:rsid w:val="611C2F36"/>
    <w:rsid w:val="61297EF1"/>
    <w:rsid w:val="612F70BF"/>
    <w:rsid w:val="61400F2C"/>
    <w:rsid w:val="617D7CEC"/>
    <w:rsid w:val="61990635"/>
    <w:rsid w:val="61997D23"/>
    <w:rsid w:val="619C1975"/>
    <w:rsid w:val="61B2747F"/>
    <w:rsid w:val="61C349A0"/>
    <w:rsid w:val="62220842"/>
    <w:rsid w:val="624C242C"/>
    <w:rsid w:val="62610C5F"/>
    <w:rsid w:val="626223EA"/>
    <w:rsid w:val="627F17FD"/>
    <w:rsid w:val="6282392C"/>
    <w:rsid w:val="62950F73"/>
    <w:rsid w:val="62A656B7"/>
    <w:rsid w:val="62D765E1"/>
    <w:rsid w:val="631657EC"/>
    <w:rsid w:val="633F6EDB"/>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86254"/>
    <w:rsid w:val="666B6B5D"/>
    <w:rsid w:val="66777068"/>
    <w:rsid w:val="669110B4"/>
    <w:rsid w:val="66A852F5"/>
    <w:rsid w:val="66CF6F74"/>
    <w:rsid w:val="66D5172B"/>
    <w:rsid w:val="67336D70"/>
    <w:rsid w:val="673D196D"/>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D1EDE"/>
    <w:rsid w:val="696F5841"/>
    <w:rsid w:val="6974326C"/>
    <w:rsid w:val="69D3114B"/>
    <w:rsid w:val="6A233BCD"/>
    <w:rsid w:val="6A440E91"/>
    <w:rsid w:val="6A480E85"/>
    <w:rsid w:val="6AD42062"/>
    <w:rsid w:val="6AFF6EE3"/>
    <w:rsid w:val="6B25428A"/>
    <w:rsid w:val="6B441250"/>
    <w:rsid w:val="6B485271"/>
    <w:rsid w:val="6B487674"/>
    <w:rsid w:val="6B5C609D"/>
    <w:rsid w:val="6B5E15A0"/>
    <w:rsid w:val="6B6E19E9"/>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B1683D"/>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DE345A"/>
    <w:rsid w:val="6FE97F06"/>
    <w:rsid w:val="702F0B7F"/>
    <w:rsid w:val="70385A2E"/>
    <w:rsid w:val="70396AE3"/>
    <w:rsid w:val="705A140E"/>
    <w:rsid w:val="706E47B8"/>
    <w:rsid w:val="70716758"/>
    <w:rsid w:val="70C70904"/>
    <w:rsid w:val="70D403D3"/>
    <w:rsid w:val="70F27898"/>
    <w:rsid w:val="712D53B7"/>
    <w:rsid w:val="716B5794"/>
    <w:rsid w:val="717619C3"/>
    <w:rsid w:val="71796C76"/>
    <w:rsid w:val="71AA0F82"/>
    <w:rsid w:val="71AF3F00"/>
    <w:rsid w:val="71E3268F"/>
    <w:rsid w:val="71F70F3D"/>
    <w:rsid w:val="721C7622"/>
    <w:rsid w:val="72284242"/>
    <w:rsid w:val="72351862"/>
    <w:rsid w:val="72697840"/>
    <w:rsid w:val="7270425A"/>
    <w:rsid w:val="72A829E5"/>
    <w:rsid w:val="72CA6BE1"/>
    <w:rsid w:val="731C6E18"/>
    <w:rsid w:val="731F431B"/>
    <w:rsid w:val="73427BD6"/>
    <w:rsid w:val="73470EE1"/>
    <w:rsid w:val="73A17354"/>
    <w:rsid w:val="73C117A4"/>
    <w:rsid w:val="73C33AE4"/>
    <w:rsid w:val="73E23154"/>
    <w:rsid w:val="73F15F3F"/>
    <w:rsid w:val="74083497"/>
    <w:rsid w:val="74113365"/>
    <w:rsid w:val="74266FDD"/>
    <w:rsid w:val="744E5B24"/>
    <w:rsid w:val="744F06D5"/>
    <w:rsid w:val="7454015A"/>
    <w:rsid w:val="74592801"/>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F64856"/>
    <w:rsid w:val="76F83E8C"/>
    <w:rsid w:val="76F95218"/>
    <w:rsid w:val="774963C9"/>
    <w:rsid w:val="7766473C"/>
    <w:rsid w:val="77746356"/>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DE14E1"/>
    <w:rsid w:val="7AE83E46"/>
    <w:rsid w:val="7AEF081F"/>
    <w:rsid w:val="7AF1471D"/>
    <w:rsid w:val="7B055127"/>
    <w:rsid w:val="7B197F69"/>
    <w:rsid w:val="7B230DC1"/>
    <w:rsid w:val="7B871069"/>
    <w:rsid w:val="7B9721E5"/>
    <w:rsid w:val="7CAE6B7A"/>
    <w:rsid w:val="7CCE0BC2"/>
    <w:rsid w:val="7D460D84"/>
    <w:rsid w:val="7D5947FB"/>
    <w:rsid w:val="7D66199A"/>
    <w:rsid w:val="7D6E6B48"/>
    <w:rsid w:val="7D821FA4"/>
    <w:rsid w:val="7D827C31"/>
    <w:rsid w:val="7D8C348B"/>
    <w:rsid w:val="7DDE7A40"/>
    <w:rsid w:val="7DE9671E"/>
    <w:rsid w:val="7E1C4CDA"/>
    <w:rsid w:val="7E293F7B"/>
    <w:rsid w:val="7E643773"/>
    <w:rsid w:val="7E712102"/>
    <w:rsid w:val="7E976035"/>
    <w:rsid w:val="7ECA45D2"/>
    <w:rsid w:val="7ECC31F5"/>
    <w:rsid w:val="7EDD10F9"/>
    <w:rsid w:val="7F025E79"/>
    <w:rsid w:val="7F222401"/>
    <w:rsid w:val="7F2854F2"/>
    <w:rsid w:val="7F5248B7"/>
    <w:rsid w:val="7F87223B"/>
    <w:rsid w:val="7F8C5645"/>
    <w:rsid w:val="7F9C26A8"/>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1"/>
    <w:next w:val="1"/>
    <w:autoRedefine/>
    <w:qFormat/>
    <w:uiPriority w:val="0"/>
    <w:pPr>
      <w:ind w:firstLine="420"/>
    </w:pPr>
  </w:style>
  <w:style w:type="paragraph" w:styleId="5">
    <w:name w:val="Normal Indent"/>
    <w:basedOn w:val="1"/>
    <w:next w:val="1"/>
    <w:autoRedefine/>
    <w:qFormat/>
    <w:uiPriority w:val="0"/>
    <w:pPr>
      <w:ind w:firstLine="420" w:firstLineChars="200"/>
    </w:pPr>
  </w:style>
  <w:style w:type="paragraph" w:styleId="6">
    <w:name w:val="annotation text"/>
    <w:basedOn w:val="1"/>
    <w:link w:val="36"/>
    <w:autoRedefine/>
    <w:qFormat/>
    <w:uiPriority w:val="0"/>
    <w:pPr>
      <w:jc w:val="left"/>
    </w:pPr>
  </w:style>
  <w:style w:type="paragraph" w:styleId="7">
    <w:name w:val="Body Text"/>
    <w:basedOn w:val="1"/>
    <w:next w:val="2"/>
    <w:autoRedefine/>
    <w:qFormat/>
    <w:uiPriority w:val="0"/>
    <w:pPr>
      <w:spacing w:after="120"/>
    </w:pPr>
  </w:style>
  <w:style w:type="paragraph" w:styleId="8">
    <w:name w:val="Body Text Indent"/>
    <w:basedOn w:val="1"/>
    <w:autoRedefine/>
    <w:qFormat/>
    <w:uiPriority w:val="0"/>
    <w:pPr>
      <w:ind w:firstLine="570"/>
    </w:pPr>
    <w:rPr>
      <w:rFonts w:ascii="宋体" w:hAnsi="宋体"/>
      <w:sz w:val="28"/>
    </w:rPr>
  </w:style>
  <w:style w:type="paragraph" w:styleId="9">
    <w:name w:val="Plain Text"/>
    <w:basedOn w:val="1"/>
    <w:link w:val="34"/>
    <w:autoRedefine/>
    <w:qFormat/>
    <w:uiPriority w:val="0"/>
    <w:rPr>
      <w:rFonts w:ascii="宋体" w:hAnsi="Courier New" w:cs="Courier New"/>
      <w:szCs w:val="21"/>
    </w:rPr>
  </w:style>
  <w:style w:type="paragraph" w:styleId="10">
    <w:name w:val="Date"/>
    <w:basedOn w:val="1"/>
    <w:next w:val="1"/>
    <w:autoRedefine/>
    <w:qFormat/>
    <w:uiPriority w:val="0"/>
    <w:pPr>
      <w:ind w:left="100" w:leftChars="2500"/>
    </w:pPr>
  </w:style>
  <w:style w:type="paragraph" w:styleId="11">
    <w:name w:val="Balloon Text"/>
    <w:basedOn w:val="1"/>
    <w:link w:val="41"/>
    <w:autoRedefine/>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6"/>
    <w:basedOn w:val="1"/>
    <w:next w:val="1"/>
    <w:autoRedefine/>
    <w:qFormat/>
    <w:uiPriority w:val="0"/>
    <w:pPr>
      <w:ind w:left="2100" w:leftChars="1000"/>
    </w:pPr>
    <w:rPr>
      <w:szCs w:val="22"/>
    </w:rPr>
  </w:style>
  <w:style w:type="paragraph" w:styleId="16">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7">
    <w:name w:val="annotation subject"/>
    <w:basedOn w:val="6"/>
    <w:next w:val="6"/>
    <w:link w:val="35"/>
    <w:autoRedefine/>
    <w:qFormat/>
    <w:uiPriority w:val="0"/>
    <w:rPr>
      <w:b/>
      <w:bCs/>
    </w:rPr>
  </w:style>
  <w:style w:type="character" w:styleId="20">
    <w:name w:val="Strong"/>
    <w:basedOn w:val="19"/>
    <w:qFormat/>
    <w:uiPriority w:val="0"/>
    <w:rPr>
      <w:b/>
    </w:rPr>
  </w:style>
  <w:style w:type="character" w:styleId="21">
    <w:name w:val="page number"/>
    <w:basedOn w:val="19"/>
    <w:autoRedefine/>
    <w:qFormat/>
    <w:uiPriority w:val="0"/>
  </w:style>
  <w:style w:type="character" w:styleId="22">
    <w:name w:val="Hyperlink"/>
    <w:basedOn w:val="19"/>
    <w:autoRedefine/>
    <w:qFormat/>
    <w:uiPriority w:val="0"/>
    <w:rPr>
      <w:color w:val="0000FF"/>
      <w:u w:val="single"/>
    </w:rPr>
  </w:style>
  <w:style w:type="character" w:styleId="23">
    <w:name w:val="annotation reference"/>
    <w:basedOn w:val="19"/>
    <w:autoRedefine/>
    <w:qFormat/>
    <w:uiPriority w:val="0"/>
    <w:rPr>
      <w:sz w:val="21"/>
      <w:szCs w:val="21"/>
    </w:rPr>
  </w:style>
  <w:style w:type="paragraph" w:customStyle="1" w:styleId="24">
    <w:name w:val="Char2"/>
    <w:basedOn w:val="1"/>
    <w:autoRedefine/>
    <w:qFormat/>
    <w:uiPriority w:val="0"/>
    <w:rPr>
      <w:szCs w:val="20"/>
    </w:rPr>
  </w:style>
  <w:style w:type="paragraph" w:customStyle="1" w:styleId="25">
    <w:name w:val="BH5K0L"/>
    <w:basedOn w:val="1"/>
    <w:autoRedefine/>
    <w:qFormat/>
    <w:uiPriority w:val="0"/>
    <w:pPr>
      <w:spacing w:beforeLines="50" w:line="312" w:lineRule="auto"/>
    </w:pPr>
    <w:rPr>
      <w:rFonts w:ascii="仿宋" w:hAnsi="仿宋" w:eastAsia="仿宋"/>
    </w:rPr>
  </w:style>
  <w:style w:type="paragraph" w:customStyle="1" w:styleId="26">
    <w:name w:val="ZW5K2L"/>
    <w:basedOn w:val="25"/>
    <w:autoRedefine/>
    <w:qFormat/>
    <w:uiPriority w:val="0"/>
    <w:pPr>
      <w:ind w:firstLine="200" w:firstLineChars="200"/>
    </w:pPr>
    <w:rPr>
      <w:rFonts w:ascii="宋体" w:hAnsi="宋体" w:eastAsia="宋体"/>
      <w:szCs w:val="21"/>
    </w:rPr>
  </w:style>
  <w:style w:type="paragraph" w:customStyle="1" w:styleId="27">
    <w:name w:val="BG5K0L"/>
    <w:basedOn w:val="26"/>
    <w:autoRedefine/>
    <w:qFormat/>
    <w:uiPriority w:val="0"/>
    <w:pPr>
      <w:spacing w:beforeLines="0" w:line="240" w:lineRule="auto"/>
      <w:ind w:firstLine="0" w:firstLineChars="0"/>
    </w:pPr>
    <w:rPr>
      <w:rFonts w:eastAsia="仿宋"/>
    </w:rPr>
  </w:style>
  <w:style w:type="paragraph" w:customStyle="1" w:styleId="28">
    <w:name w:val="内文"/>
    <w:link w:val="38"/>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9">
    <w:name w:val="Char Char Char Char1 Char"/>
    <w:basedOn w:val="1"/>
    <w:autoRedefine/>
    <w:qFormat/>
    <w:uiPriority w:val="0"/>
    <w:rPr>
      <w:rFonts w:ascii="仿宋_GB2312" w:eastAsia="仿宋_GB2312"/>
      <w:b/>
      <w:sz w:val="32"/>
      <w:szCs w:val="32"/>
    </w:rPr>
  </w:style>
  <w:style w:type="paragraph" w:customStyle="1" w:styleId="30">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1">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2">
    <w:name w:val="Char"/>
    <w:basedOn w:val="1"/>
    <w:autoRedefine/>
    <w:qFormat/>
    <w:uiPriority w:val="0"/>
    <w:rPr>
      <w:szCs w:val="20"/>
    </w:rPr>
  </w:style>
  <w:style w:type="paragraph" w:customStyle="1" w:styleId="33">
    <w:name w:val="样式3"/>
    <w:basedOn w:val="1"/>
    <w:autoRedefine/>
    <w:qFormat/>
    <w:uiPriority w:val="0"/>
    <w:pPr>
      <w:spacing w:line="440" w:lineRule="exact"/>
      <w:ind w:firstLine="416" w:firstLineChars="198"/>
    </w:pPr>
    <w:rPr>
      <w:rFonts w:ascii="宋体" w:hAnsi="宋体"/>
      <w:bCs/>
      <w:szCs w:val="21"/>
    </w:rPr>
  </w:style>
  <w:style w:type="character" w:customStyle="1" w:styleId="34">
    <w:name w:val="纯文本 Char"/>
    <w:basedOn w:val="19"/>
    <w:link w:val="9"/>
    <w:autoRedefine/>
    <w:qFormat/>
    <w:uiPriority w:val="0"/>
    <w:rPr>
      <w:rFonts w:ascii="宋体" w:hAnsi="Courier New" w:eastAsia="宋体" w:cs="Courier New"/>
      <w:kern w:val="2"/>
      <w:sz w:val="21"/>
      <w:szCs w:val="21"/>
      <w:lang w:val="en-US" w:eastAsia="zh-CN" w:bidi="ar-SA"/>
    </w:rPr>
  </w:style>
  <w:style w:type="character" w:customStyle="1" w:styleId="35">
    <w:name w:val="批注主题 Char"/>
    <w:basedOn w:val="36"/>
    <w:link w:val="17"/>
    <w:autoRedefine/>
    <w:qFormat/>
    <w:uiPriority w:val="0"/>
  </w:style>
  <w:style w:type="character" w:customStyle="1" w:styleId="36">
    <w:name w:val="批注文字 Char"/>
    <w:basedOn w:val="19"/>
    <w:link w:val="6"/>
    <w:autoRedefine/>
    <w:qFormat/>
    <w:uiPriority w:val="0"/>
    <w:rPr>
      <w:kern w:val="2"/>
      <w:sz w:val="21"/>
      <w:szCs w:val="24"/>
    </w:rPr>
  </w:style>
  <w:style w:type="character" w:customStyle="1" w:styleId="37">
    <w:name w:val="style11"/>
    <w:basedOn w:val="19"/>
    <w:autoRedefine/>
    <w:qFormat/>
    <w:uiPriority w:val="0"/>
    <w:rPr>
      <w:b/>
      <w:bCs/>
      <w:color w:val="D54F2B"/>
      <w:sz w:val="21"/>
      <w:szCs w:val="21"/>
    </w:rPr>
  </w:style>
  <w:style w:type="character" w:customStyle="1" w:styleId="38">
    <w:name w:val="内文 Char"/>
    <w:basedOn w:val="19"/>
    <w:link w:val="28"/>
    <w:autoRedefine/>
    <w:qFormat/>
    <w:uiPriority w:val="0"/>
    <w:rPr>
      <w:rFonts w:ascii="Arial" w:hAnsi="Arial"/>
      <w:kern w:val="2"/>
      <w:sz w:val="21"/>
      <w:lang w:val="en-US" w:eastAsia="zh-CN" w:bidi="ar-SA"/>
    </w:rPr>
  </w:style>
  <w:style w:type="character" w:customStyle="1" w:styleId="39">
    <w:name w:val="dz1"/>
    <w:basedOn w:val="19"/>
    <w:autoRedefine/>
    <w:qFormat/>
    <w:uiPriority w:val="0"/>
  </w:style>
  <w:style w:type="character" w:customStyle="1" w:styleId="40">
    <w:name w:val="bulletintext"/>
    <w:basedOn w:val="19"/>
    <w:autoRedefine/>
    <w:qFormat/>
    <w:uiPriority w:val="0"/>
  </w:style>
  <w:style w:type="character" w:customStyle="1" w:styleId="41">
    <w:name w:val="批注框文本 Char"/>
    <w:basedOn w:val="19"/>
    <w:link w:val="11"/>
    <w:autoRedefine/>
    <w:qFormat/>
    <w:uiPriority w:val="0"/>
    <w:rPr>
      <w:kern w:val="2"/>
      <w:sz w:val="18"/>
      <w:szCs w:val="18"/>
    </w:rPr>
  </w:style>
  <w:style w:type="character" w:customStyle="1" w:styleId="42">
    <w:name w:val="textcontents"/>
    <w:basedOn w:val="19"/>
    <w:autoRedefine/>
    <w:qFormat/>
    <w:uiPriority w:val="0"/>
  </w:style>
  <w:style w:type="character" w:customStyle="1" w:styleId="43">
    <w:name w:val="style9"/>
    <w:basedOn w:val="19"/>
    <w:autoRedefine/>
    <w:qFormat/>
    <w:uiPriority w:val="0"/>
  </w:style>
  <w:style w:type="paragraph" w:styleId="44">
    <w:name w:val="List Paragraph"/>
    <w:basedOn w:val="1"/>
    <w:autoRedefine/>
    <w:qFormat/>
    <w:uiPriority w:val="34"/>
    <w:pPr>
      <w:ind w:firstLine="420" w:firstLineChars="200"/>
    </w:pPr>
  </w:style>
  <w:style w:type="paragraph" w:customStyle="1" w:styleId="45">
    <w:name w:val="Table Text"/>
    <w:basedOn w:val="1"/>
    <w:semiHidden/>
    <w:qFormat/>
    <w:uiPriority w:val="0"/>
    <w:rPr>
      <w:rFonts w:ascii="宋体" w:hAnsi="宋体" w:eastAsia="宋体" w:cs="宋体"/>
      <w:sz w:val="22"/>
      <w:szCs w:val="22"/>
      <w:lang w:val="en-US" w:eastAsia="en-US" w:bidi="ar-SA"/>
    </w:rPr>
  </w:style>
  <w:style w:type="table" w:customStyle="1" w:styleId="4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8</Pages>
  <Words>4974</Words>
  <Characters>5138</Characters>
  <Lines>58</Lines>
  <Paragraphs>16</Paragraphs>
  <TotalTime>1</TotalTime>
  <ScaleCrop>false</ScaleCrop>
  <LinksUpToDate>false</LinksUpToDate>
  <CharactersWithSpaces>5364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厉杰</cp:lastModifiedBy>
  <cp:lastPrinted>2022-01-12T09:34:00Z</cp:lastPrinted>
  <dcterms:modified xsi:type="dcterms:W3CDTF">2025-06-23T06:06:33Z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437D48C009D744BCB129D7FFF9492BFE_13</vt:lpwstr>
  </property>
  <property fmtid="{D5CDD505-2E9C-101B-9397-08002B2CF9AE}" pid="4" name="KSOTemplateDocerSaveRecord">
    <vt:lpwstr>eyJoZGlkIjoiMzZjZWQ1ZmEyNWQyODhlYmY3NDI5YTE2NmNhMWU1NDMiLCJ1c2VySWQiOiIzNjQ3MjcwOTYifQ==</vt:lpwstr>
  </property>
</Properties>
</file>