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457CCC">
      <w:pPr>
        <w:spacing w:line="360" w:lineRule="auto"/>
        <w:ind w:left="480"/>
        <w:jc w:val="center"/>
        <w:rPr>
          <w:rFonts w:hint="eastAsia" w:ascii="宋体" w:hAnsi="宋体" w:cs="宋体"/>
          <w:b/>
          <w:bCs/>
          <w:sz w:val="52"/>
          <w:szCs w:val="52"/>
          <w:lang w:val="en-US" w:eastAsia="zh-CN"/>
        </w:rPr>
      </w:pPr>
    </w:p>
    <w:p w14:paraId="30388D9F">
      <w:pPr>
        <w:spacing w:line="360" w:lineRule="auto"/>
        <w:ind w:left="480"/>
        <w:jc w:val="center"/>
        <w:rPr>
          <w:rFonts w:hint="eastAsia" w:ascii="宋体" w:hAnsi="宋体" w:cs="宋体"/>
          <w:b/>
          <w:bCs/>
          <w:sz w:val="52"/>
          <w:szCs w:val="52"/>
        </w:rPr>
      </w:pPr>
      <w:r>
        <w:rPr>
          <w:rFonts w:hint="eastAsia" w:ascii="宋体" w:hAnsi="宋体" w:cs="宋体"/>
          <w:b/>
          <w:bCs/>
          <w:sz w:val="52"/>
          <w:szCs w:val="52"/>
          <w:lang w:val="en-US" w:eastAsia="zh-CN"/>
        </w:rPr>
        <w:t>拱宸桥校区22#楼局部提升改造</w:t>
      </w:r>
    </w:p>
    <w:p w14:paraId="6E0F01A6">
      <w:pPr>
        <w:spacing w:line="360" w:lineRule="auto"/>
        <w:ind w:left="480"/>
        <w:jc w:val="center"/>
        <w:rPr>
          <w:rFonts w:hint="eastAsia" w:ascii="宋体" w:hAnsi="宋体" w:cs="宋体"/>
          <w:b/>
          <w:bCs/>
          <w:sz w:val="52"/>
          <w:szCs w:val="52"/>
        </w:rPr>
      </w:pPr>
    </w:p>
    <w:p w14:paraId="7A8C84E4">
      <w:pPr>
        <w:spacing w:line="360" w:lineRule="auto"/>
        <w:ind w:left="480"/>
        <w:jc w:val="center"/>
        <w:rPr>
          <w:rFonts w:ascii="宋体" w:hAnsi="宋体" w:cs="宋体"/>
          <w:b/>
          <w:bCs/>
          <w:sz w:val="52"/>
          <w:szCs w:val="52"/>
        </w:rPr>
      </w:pPr>
      <w:r>
        <w:rPr>
          <w:rFonts w:hint="eastAsia" w:ascii="宋体" w:hAnsi="宋体" w:cs="宋体"/>
          <w:b/>
          <w:bCs/>
          <w:sz w:val="52"/>
          <w:szCs w:val="52"/>
        </w:rPr>
        <w:t>招 标 工 程 量 清 单</w:t>
      </w:r>
    </w:p>
    <w:p w14:paraId="59926DBD">
      <w:pPr>
        <w:pStyle w:val="4"/>
      </w:pPr>
    </w:p>
    <w:p w14:paraId="3AF1EEF1">
      <w:pPr>
        <w:spacing w:line="360" w:lineRule="auto"/>
        <w:ind w:left="480"/>
        <w:jc w:val="center"/>
        <w:rPr>
          <w:rFonts w:ascii="宋体" w:hAnsi="宋体" w:cs="宋体"/>
          <w:b/>
          <w:sz w:val="72"/>
          <w:szCs w:val="44"/>
        </w:rPr>
      </w:pPr>
    </w:p>
    <w:p w14:paraId="62F8D305">
      <w:pPr>
        <w:widowControl/>
        <w:autoSpaceDE w:val="0"/>
        <w:autoSpaceDN w:val="0"/>
        <w:spacing w:before="360" w:after="360" w:line="360" w:lineRule="auto"/>
        <w:jc w:val="left"/>
        <w:textAlignment w:val="bottom"/>
        <w:rPr>
          <w:rFonts w:ascii="宋体" w:hAnsi="宋体" w:cs="宋体"/>
          <w:b/>
          <w:bCs/>
          <w:sz w:val="32"/>
          <w:szCs w:val="32"/>
        </w:rPr>
      </w:pPr>
      <w:r>
        <w:rPr>
          <w:rFonts w:hint="eastAsia" w:ascii="宋体" w:hAnsi="宋体" w:cs="宋体"/>
          <w:b/>
          <w:bCs/>
          <w:sz w:val="32"/>
          <w:szCs w:val="32"/>
        </w:rPr>
        <w:t>招标人：</w:t>
      </w:r>
      <w:r>
        <w:rPr>
          <w:rFonts w:hint="eastAsia" w:ascii="宋体" w:hAnsi="宋体" w:cs="宋体"/>
          <w:b/>
          <w:bCs/>
          <w:sz w:val="32"/>
          <w:szCs w:val="32"/>
          <w:u w:val="single"/>
        </w:rPr>
        <w:t xml:space="preserve">                                        </w:t>
      </w:r>
      <w:r>
        <w:rPr>
          <w:rFonts w:hint="eastAsia" w:ascii="宋体" w:hAnsi="宋体" w:cs="宋体"/>
          <w:b/>
          <w:bCs/>
          <w:sz w:val="24"/>
        </w:rPr>
        <w:t>（单位盖章）</w:t>
      </w:r>
    </w:p>
    <w:p w14:paraId="1276C224">
      <w:pPr>
        <w:widowControl/>
        <w:autoSpaceDE w:val="0"/>
        <w:autoSpaceDN w:val="0"/>
        <w:spacing w:before="360" w:after="360" w:line="360" w:lineRule="auto"/>
        <w:jc w:val="left"/>
        <w:textAlignment w:val="bottom"/>
        <w:rPr>
          <w:rFonts w:ascii="宋体" w:hAnsi="宋体" w:cs="宋体"/>
          <w:b/>
          <w:bCs/>
          <w:sz w:val="32"/>
          <w:szCs w:val="32"/>
          <w:u w:val="single"/>
        </w:rPr>
      </w:pPr>
      <w:r>
        <w:rPr>
          <w:rFonts w:hint="eastAsia" w:ascii="宋体" w:hAnsi="宋体" w:cs="宋体"/>
          <w:b/>
          <w:bCs/>
          <w:sz w:val="32"/>
          <w:szCs w:val="32"/>
        </w:rPr>
        <w:t>法定代表人：</w:t>
      </w:r>
      <w:r>
        <w:rPr>
          <w:rFonts w:hint="eastAsia" w:ascii="宋体" w:hAnsi="宋体" w:cs="宋体"/>
          <w:b/>
          <w:bCs/>
          <w:sz w:val="32"/>
          <w:szCs w:val="32"/>
          <w:u w:val="single"/>
        </w:rPr>
        <w:t xml:space="preserve">                        </w:t>
      </w:r>
      <w:r>
        <w:rPr>
          <w:rFonts w:hint="eastAsia" w:ascii="宋体" w:hAnsi="宋体" w:cs="宋体"/>
          <w:b/>
          <w:bCs/>
          <w:sz w:val="32"/>
          <w:szCs w:val="32"/>
          <w:u w:val="single"/>
          <w:lang w:val="en-US" w:eastAsia="zh-CN"/>
        </w:rPr>
        <w:t xml:space="preserve"> </w:t>
      </w:r>
      <w:r>
        <w:rPr>
          <w:rFonts w:hint="eastAsia" w:ascii="宋体" w:hAnsi="宋体" w:cs="宋体"/>
          <w:b/>
          <w:bCs/>
          <w:sz w:val="32"/>
          <w:szCs w:val="32"/>
          <w:u w:val="single"/>
        </w:rPr>
        <w:t xml:space="preserve">           </w:t>
      </w:r>
      <w:r>
        <w:rPr>
          <w:rFonts w:hint="eastAsia" w:ascii="宋体" w:hAnsi="宋体" w:cs="宋体"/>
          <w:b/>
          <w:bCs/>
          <w:sz w:val="24"/>
        </w:rPr>
        <w:t>（签字或盖章）</w:t>
      </w:r>
    </w:p>
    <w:p w14:paraId="6E13CD86">
      <w:pPr>
        <w:widowControl/>
        <w:autoSpaceDE w:val="0"/>
        <w:autoSpaceDN w:val="0"/>
        <w:spacing w:before="360" w:after="360" w:line="360" w:lineRule="auto"/>
        <w:jc w:val="left"/>
        <w:textAlignment w:val="bottom"/>
        <w:rPr>
          <w:rFonts w:ascii="宋体" w:hAnsi="宋体" w:cs="宋体"/>
          <w:b/>
          <w:bCs/>
          <w:sz w:val="32"/>
          <w:szCs w:val="32"/>
        </w:rPr>
      </w:pPr>
      <w:r>
        <w:rPr>
          <w:rFonts w:hint="eastAsia" w:ascii="宋体" w:hAnsi="宋体" w:cs="宋体"/>
          <w:b/>
          <w:bCs/>
          <w:sz w:val="32"/>
          <w:szCs w:val="32"/>
        </w:rPr>
        <w:t>中介机构：</w:t>
      </w:r>
      <w:r>
        <w:rPr>
          <w:rFonts w:hint="eastAsia" w:ascii="宋体" w:hAnsi="宋体" w:cs="宋体"/>
          <w:b/>
          <w:bCs/>
          <w:sz w:val="32"/>
          <w:szCs w:val="32"/>
          <w:u w:val="single"/>
        </w:rPr>
        <w:t xml:space="preserve">                      </w:t>
      </w:r>
      <w:r>
        <w:rPr>
          <w:rFonts w:hint="eastAsia" w:ascii="宋体" w:hAnsi="宋体" w:cs="宋体"/>
          <w:b/>
          <w:bCs/>
          <w:sz w:val="32"/>
          <w:szCs w:val="32"/>
          <w:u w:val="single"/>
          <w:lang w:val="en-US" w:eastAsia="zh-CN"/>
        </w:rPr>
        <w:t xml:space="preserve">         </w:t>
      </w:r>
      <w:r>
        <w:rPr>
          <w:rFonts w:hint="eastAsia" w:ascii="宋体" w:hAnsi="宋体" w:cs="宋体"/>
          <w:b/>
          <w:bCs/>
          <w:sz w:val="32"/>
          <w:szCs w:val="32"/>
          <w:u w:val="single"/>
        </w:rPr>
        <w:t xml:space="preserve">       </w:t>
      </w:r>
      <w:r>
        <w:rPr>
          <w:rFonts w:hint="eastAsia" w:ascii="宋体" w:hAnsi="宋体" w:cs="宋体"/>
          <w:b/>
          <w:bCs/>
          <w:sz w:val="24"/>
        </w:rPr>
        <w:t>（单位盖章）</w:t>
      </w:r>
    </w:p>
    <w:p w14:paraId="5C1AF754">
      <w:pPr>
        <w:widowControl/>
        <w:autoSpaceDE w:val="0"/>
        <w:autoSpaceDN w:val="0"/>
        <w:spacing w:before="360" w:after="360" w:line="360" w:lineRule="auto"/>
        <w:jc w:val="left"/>
        <w:textAlignment w:val="bottom"/>
        <w:rPr>
          <w:rFonts w:ascii="宋体" w:hAnsi="宋体" w:cs="宋体"/>
          <w:b/>
          <w:bCs/>
          <w:sz w:val="32"/>
          <w:szCs w:val="32"/>
          <w:u w:val="single"/>
        </w:rPr>
      </w:pPr>
      <w:r>
        <w:rPr>
          <w:rFonts w:hint="eastAsia" w:ascii="宋体" w:hAnsi="宋体" w:cs="宋体"/>
          <w:b/>
          <w:bCs/>
          <w:sz w:val="32"/>
          <w:szCs w:val="32"/>
        </w:rPr>
        <w:t>法定代表人：</w:t>
      </w:r>
      <w:r>
        <w:rPr>
          <w:rFonts w:hint="eastAsia" w:ascii="宋体" w:hAnsi="宋体" w:cs="宋体"/>
          <w:b/>
          <w:bCs/>
          <w:sz w:val="32"/>
          <w:szCs w:val="32"/>
          <w:u w:val="single"/>
        </w:rPr>
        <w:t xml:space="preserve">                           </w:t>
      </w:r>
      <w:r>
        <w:rPr>
          <w:rFonts w:hint="eastAsia" w:ascii="宋体" w:hAnsi="宋体" w:cs="宋体"/>
          <w:b/>
          <w:bCs/>
          <w:sz w:val="32"/>
          <w:szCs w:val="32"/>
          <w:u w:val="single"/>
          <w:lang w:val="en-US" w:eastAsia="zh-CN"/>
        </w:rPr>
        <w:t xml:space="preserve"> </w:t>
      </w:r>
      <w:r>
        <w:rPr>
          <w:rFonts w:hint="eastAsia" w:ascii="宋体" w:hAnsi="宋体" w:cs="宋体"/>
          <w:b/>
          <w:bCs/>
          <w:sz w:val="32"/>
          <w:szCs w:val="32"/>
          <w:u w:val="single"/>
        </w:rPr>
        <w:t xml:space="preserve">        </w:t>
      </w:r>
      <w:r>
        <w:rPr>
          <w:rFonts w:hint="eastAsia" w:ascii="宋体" w:hAnsi="宋体" w:cs="宋体"/>
          <w:b/>
          <w:bCs/>
          <w:sz w:val="24"/>
        </w:rPr>
        <w:t>（签字或盖章）</w:t>
      </w:r>
    </w:p>
    <w:p w14:paraId="7ADB236F">
      <w:pPr>
        <w:widowControl/>
        <w:autoSpaceDE w:val="0"/>
        <w:autoSpaceDN w:val="0"/>
        <w:spacing w:before="360" w:after="360" w:line="360" w:lineRule="auto"/>
        <w:jc w:val="left"/>
        <w:textAlignment w:val="bottom"/>
        <w:rPr>
          <w:rFonts w:ascii="宋体" w:hAnsi="宋体" w:cs="宋体"/>
          <w:b/>
          <w:bCs/>
          <w:sz w:val="24"/>
        </w:rPr>
      </w:pPr>
      <w:r>
        <w:rPr>
          <w:rFonts w:hint="eastAsia" w:ascii="宋体" w:hAnsi="宋体" w:cs="宋体"/>
          <w:b/>
          <w:bCs/>
          <w:sz w:val="32"/>
          <w:szCs w:val="32"/>
        </w:rPr>
        <w:t>编制人：</w:t>
      </w:r>
      <w:r>
        <w:rPr>
          <w:rFonts w:hint="eastAsia" w:ascii="宋体" w:hAnsi="宋体" w:cs="宋体"/>
          <w:b/>
          <w:bCs/>
          <w:sz w:val="32"/>
          <w:szCs w:val="32"/>
          <w:u w:val="single"/>
        </w:rPr>
        <w:t xml:space="preserve">                     </w:t>
      </w:r>
      <w:r>
        <w:rPr>
          <w:rFonts w:hint="eastAsia" w:ascii="宋体" w:hAnsi="宋体" w:cs="宋体"/>
          <w:b/>
          <w:bCs/>
          <w:sz w:val="32"/>
          <w:szCs w:val="32"/>
          <w:u w:val="single"/>
          <w:lang w:val="en-US" w:eastAsia="zh-CN"/>
        </w:rPr>
        <w:t xml:space="preserve">      </w:t>
      </w:r>
      <w:r>
        <w:rPr>
          <w:rFonts w:hint="eastAsia" w:ascii="宋体" w:hAnsi="宋体" w:cs="宋体"/>
          <w:b/>
          <w:bCs/>
          <w:sz w:val="32"/>
          <w:szCs w:val="32"/>
          <w:u w:val="single"/>
        </w:rPr>
        <w:t xml:space="preserve">    </w:t>
      </w:r>
      <w:r>
        <w:rPr>
          <w:rFonts w:hint="eastAsia" w:ascii="宋体" w:hAnsi="宋体" w:cs="宋体"/>
          <w:b/>
          <w:bCs/>
          <w:sz w:val="24"/>
        </w:rPr>
        <w:t>（</w:t>
      </w:r>
      <w:bookmarkStart w:id="0" w:name="OLE_LINK1"/>
      <w:r>
        <w:rPr>
          <w:rFonts w:hint="eastAsia" w:ascii="宋体" w:hAnsi="宋体" w:cs="宋体"/>
          <w:b/>
          <w:bCs/>
          <w:sz w:val="24"/>
        </w:rPr>
        <w:t>造价</w:t>
      </w:r>
      <w:bookmarkEnd w:id="0"/>
      <w:r>
        <w:rPr>
          <w:rFonts w:hint="eastAsia" w:ascii="宋体" w:hAnsi="宋体" w:cs="宋体"/>
          <w:b/>
          <w:bCs/>
          <w:sz w:val="24"/>
          <w:lang w:val="en-US" w:eastAsia="zh-CN"/>
        </w:rPr>
        <w:t>工程师</w:t>
      </w:r>
      <w:r>
        <w:rPr>
          <w:rFonts w:hint="eastAsia" w:ascii="宋体" w:hAnsi="宋体" w:cs="宋体"/>
          <w:b/>
          <w:bCs/>
          <w:sz w:val="24"/>
        </w:rPr>
        <w:t>签字盖专用章）</w:t>
      </w:r>
    </w:p>
    <w:p w14:paraId="089F9C2F">
      <w:pPr>
        <w:widowControl/>
        <w:autoSpaceDE w:val="0"/>
        <w:autoSpaceDN w:val="0"/>
        <w:spacing w:before="360" w:after="360" w:line="360" w:lineRule="auto"/>
        <w:jc w:val="left"/>
        <w:textAlignment w:val="bottom"/>
        <w:rPr>
          <w:rFonts w:ascii="宋体" w:hAnsi="宋体" w:cs="宋体"/>
          <w:b/>
          <w:bCs/>
          <w:sz w:val="32"/>
          <w:szCs w:val="32"/>
        </w:rPr>
      </w:pPr>
      <w:r>
        <w:rPr>
          <w:rFonts w:hint="eastAsia" w:ascii="宋体" w:hAnsi="宋体" w:cs="宋体"/>
          <w:b/>
          <w:bCs/>
          <w:sz w:val="32"/>
          <w:szCs w:val="32"/>
        </w:rPr>
        <w:t>复核人：</w:t>
      </w:r>
      <w:r>
        <w:rPr>
          <w:rFonts w:hint="eastAsia" w:ascii="宋体" w:hAnsi="宋体" w:cs="宋体"/>
          <w:b/>
          <w:bCs/>
          <w:sz w:val="32"/>
          <w:szCs w:val="32"/>
          <w:u w:val="single"/>
        </w:rPr>
        <w:t xml:space="preserve">              </w:t>
      </w:r>
      <w:r>
        <w:rPr>
          <w:rFonts w:hint="eastAsia" w:ascii="宋体" w:hAnsi="宋体" w:cs="宋体"/>
          <w:b/>
          <w:bCs/>
          <w:sz w:val="32"/>
          <w:szCs w:val="32"/>
          <w:u w:val="single"/>
          <w:lang w:val="en-US" w:eastAsia="zh-CN"/>
        </w:rPr>
        <w:t xml:space="preserve">    </w:t>
      </w:r>
      <w:r>
        <w:rPr>
          <w:rFonts w:hint="eastAsia" w:ascii="宋体" w:hAnsi="宋体" w:cs="宋体"/>
          <w:b/>
          <w:bCs/>
          <w:sz w:val="32"/>
          <w:szCs w:val="32"/>
          <w:u w:val="single"/>
        </w:rPr>
        <w:t xml:space="preserve">    </w:t>
      </w:r>
      <w:r>
        <w:rPr>
          <w:rFonts w:hint="eastAsia" w:ascii="宋体" w:hAnsi="宋体" w:cs="宋体"/>
          <w:b/>
          <w:bCs/>
          <w:sz w:val="32"/>
          <w:szCs w:val="32"/>
          <w:u w:val="single"/>
          <w:lang w:val="en-US" w:eastAsia="zh-CN"/>
        </w:rPr>
        <w:t xml:space="preserve">  </w:t>
      </w:r>
      <w:r>
        <w:rPr>
          <w:rFonts w:hint="eastAsia" w:ascii="宋体" w:hAnsi="宋体" w:cs="宋体"/>
          <w:b/>
          <w:bCs/>
          <w:sz w:val="32"/>
          <w:szCs w:val="32"/>
          <w:u w:val="single"/>
        </w:rPr>
        <w:t xml:space="preserve">       </w:t>
      </w:r>
      <w:r>
        <w:rPr>
          <w:rFonts w:hint="eastAsia" w:ascii="宋体" w:hAnsi="宋体" w:cs="宋体"/>
          <w:b/>
          <w:bCs/>
          <w:sz w:val="24"/>
        </w:rPr>
        <w:t>（造价</w:t>
      </w:r>
      <w:r>
        <w:rPr>
          <w:rFonts w:hint="eastAsia" w:ascii="宋体" w:hAnsi="宋体" w:cs="宋体"/>
          <w:b/>
          <w:bCs/>
          <w:sz w:val="24"/>
          <w:lang w:val="en-US" w:eastAsia="zh-CN"/>
        </w:rPr>
        <w:t>工程师</w:t>
      </w:r>
      <w:r>
        <w:rPr>
          <w:rFonts w:hint="eastAsia" w:ascii="宋体" w:hAnsi="宋体" w:cs="宋体"/>
          <w:b/>
          <w:bCs/>
          <w:sz w:val="24"/>
        </w:rPr>
        <w:t>签字盖专用章）</w:t>
      </w:r>
    </w:p>
    <w:p w14:paraId="150D75B6">
      <w:pPr>
        <w:widowControl/>
        <w:autoSpaceDE w:val="0"/>
        <w:autoSpaceDN w:val="0"/>
        <w:spacing w:before="360" w:after="360" w:line="360" w:lineRule="auto"/>
        <w:jc w:val="left"/>
        <w:textAlignment w:val="bottom"/>
        <w:rPr>
          <w:rFonts w:ascii="宋体" w:hAnsi="宋体" w:cs="宋体"/>
          <w:b/>
          <w:bCs/>
          <w:sz w:val="32"/>
          <w:szCs w:val="32"/>
        </w:rPr>
      </w:pPr>
    </w:p>
    <w:p w14:paraId="31FCE987">
      <w:pPr>
        <w:widowControl/>
        <w:autoSpaceDE w:val="0"/>
        <w:autoSpaceDN w:val="0"/>
        <w:spacing w:before="360" w:after="360" w:line="360" w:lineRule="auto"/>
        <w:jc w:val="left"/>
        <w:textAlignment w:val="bottom"/>
        <w:rPr>
          <w:rFonts w:ascii="宋体" w:hAnsi="宋体" w:cs="宋体"/>
          <w:b/>
          <w:bCs/>
          <w:sz w:val="32"/>
          <w:szCs w:val="32"/>
          <w:u w:val="single"/>
        </w:rPr>
      </w:pPr>
      <w:r>
        <w:rPr>
          <w:rFonts w:hint="eastAsia" w:ascii="宋体" w:hAnsi="宋体" w:cs="宋体"/>
          <w:b/>
          <w:bCs/>
          <w:sz w:val="32"/>
          <w:szCs w:val="32"/>
        </w:rPr>
        <w:t>编制时间：</w:t>
      </w:r>
      <w:r>
        <w:rPr>
          <w:rFonts w:hint="eastAsia" w:ascii="宋体" w:hAnsi="宋体" w:cs="宋体"/>
          <w:b/>
          <w:bCs/>
          <w:sz w:val="32"/>
          <w:szCs w:val="32"/>
          <w:u w:val="none"/>
        </w:rPr>
        <w:t>202</w:t>
      </w:r>
      <w:r>
        <w:rPr>
          <w:rFonts w:hint="eastAsia" w:ascii="宋体" w:hAnsi="宋体" w:cs="宋体"/>
          <w:b/>
          <w:bCs/>
          <w:sz w:val="32"/>
          <w:szCs w:val="32"/>
          <w:u w:val="none"/>
          <w:lang w:val="en-US" w:eastAsia="zh-CN"/>
        </w:rPr>
        <w:t>5</w:t>
      </w:r>
      <w:r>
        <w:rPr>
          <w:rFonts w:hint="eastAsia" w:ascii="宋体" w:hAnsi="宋体" w:cs="宋体"/>
          <w:b/>
          <w:bCs/>
          <w:sz w:val="32"/>
          <w:szCs w:val="32"/>
          <w:u w:val="none"/>
        </w:rPr>
        <w:t>年</w:t>
      </w:r>
      <w:r>
        <w:rPr>
          <w:rFonts w:hint="eastAsia" w:ascii="宋体" w:hAnsi="宋体" w:cs="宋体"/>
          <w:b/>
          <w:bCs/>
          <w:sz w:val="32"/>
          <w:szCs w:val="32"/>
          <w:u w:val="none"/>
          <w:lang w:val="en-US" w:eastAsia="zh-CN"/>
        </w:rPr>
        <w:t xml:space="preserve">  </w:t>
      </w:r>
      <w:r>
        <w:rPr>
          <w:rFonts w:hint="eastAsia" w:ascii="宋体" w:hAnsi="宋体" w:cs="宋体"/>
          <w:b/>
          <w:bCs/>
          <w:sz w:val="32"/>
          <w:szCs w:val="32"/>
          <w:u w:val="none"/>
        </w:rPr>
        <w:t xml:space="preserve">月  日  </w:t>
      </w:r>
      <w:r>
        <w:rPr>
          <w:rFonts w:hint="eastAsia" w:ascii="宋体" w:hAnsi="宋体" w:cs="宋体"/>
          <w:b/>
          <w:bCs/>
          <w:sz w:val="32"/>
          <w:szCs w:val="32"/>
        </w:rPr>
        <w:t xml:space="preserve">    </w:t>
      </w:r>
      <w:r>
        <w:rPr>
          <w:rFonts w:hint="eastAsia" w:ascii="宋体" w:hAnsi="宋体" w:cs="宋体"/>
          <w:b/>
          <w:bCs/>
          <w:sz w:val="32"/>
          <w:szCs w:val="32"/>
          <w:lang w:val="en-US" w:eastAsia="zh-CN"/>
        </w:rPr>
        <w:t xml:space="preserve">   </w:t>
      </w:r>
      <w:r>
        <w:rPr>
          <w:rFonts w:hint="eastAsia" w:ascii="宋体" w:hAnsi="宋体" w:cs="宋体"/>
          <w:b/>
          <w:bCs/>
          <w:sz w:val="32"/>
          <w:szCs w:val="32"/>
        </w:rPr>
        <w:t xml:space="preserve">  </w:t>
      </w:r>
      <w:r>
        <w:rPr>
          <w:rFonts w:hint="eastAsia" w:ascii="宋体" w:hAnsi="宋体" w:cs="宋体"/>
          <w:b/>
          <w:bCs/>
          <w:strike w:val="0"/>
          <w:dstrike w:val="0"/>
          <w:sz w:val="32"/>
          <w:szCs w:val="32"/>
          <w:lang w:val="en-US" w:eastAsia="zh-CN"/>
        </w:rPr>
        <w:t>复</w:t>
      </w:r>
      <w:r>
        <w:rPr>
          <w:rFonts w:hint="eastAsia" w:ascii="宋体" w:hAnsi="宋体" w:cs="宋体"/>
          <w:b/>
          <w:bCs/>
          <w:strike w:val="0"/>
          <w:dstrike w:val="0"/>
          <w:sz w:val="32"/>
          <w:szCs w:val="32"/>
        </w:rPr>
        <w:t>核时间：</w:t>
      </w:r>
      <w:r>
        <w:rPr>
          <w:rFonts w:hint="eastAsia" w:ascii="宋体" w:hAnsi="宋体" w:cs="宋体"/>
          <w:b/>
          <w:bCs/>
          <w:strike w:val="0"/>
          <w:dstrike w:val="0"/>
          <w:sz w:val="32"/>
          <w:szCs w:val="32"/>
          <w:u w:val="none"/>
        </w:rPr>
        <w:t>202</w:t>
      </w:r>
      <w:r>
        <w:rPr>
          <w:rFonts w:hint="eastAsia" w:ascii="宋体" w:hAnsi="宋体" w:cs="宋体"/>
          <w:b/>
          <w:bCs/>
          <w:strike w:val="0"/>
          <w:dstrike w:val="0"/>
          <w:sz w:val="32"/>
          <w:szCs w:val="32"/>
          <w:u w:val="none"/>
          <w:lang w:val="en-US" w:eastAsia="zh-CN"/>
        </w:rPr>
        <w:t>5</w:t>
      </w:r>
      <w:r>
        <w:rPr>
          <w:rFonts w:hint="eastAsia" w:ascii="宋体" w:hAnsi="宋体" w:cs="宋体"/>
          <w:b/>
          <w:bCs/>
          <w:strike w:val="0"/>
          <w:dstrike w:val="0"/>
          <w:sz w:val="32"/>
          <w:szCs w:val="32"/>
          <w:u w:val="none"/>
        </w:rPr>
        <w:t>年</w:t>
      </w:r>
      <w:r>
        <w:rPr>
          <w:rFonts w:hint="eastAsia" w:ascii="宋体" w:hAnsi="宋体" w:cs="宋体"/>
          <w:b/>
          <w:bCs/>
          <w:strike w:val="0"/>
          <w:dstrike w:val="0"/>
          <w:sz w:val="32"/>
          <w:szCs w:val="32"/>
          <w:u w:val="none"/>
          <w:lang w:val="en-US" w:eastAsia="zh-CN"/>
        </w:rPr>
        <w:t xml:space="preserve">  </w:t>
      </w:r>
      <w:r>
        <w:rPr>
          <w:rFonts w:hint="eastAsia" w:ascii="宋体" w:hAnsi="宋体" w:cs="宋体"/>
          <w:b/>
          <w:bCs/>
          <w:strike w:val="0"/>
          <w:dstrike w:val="0"/>
          <w:sz w:val="32"/>
          <w:szCs w:val="32"/>
          <w:u w:val="none"/>
        </w:rPr>
        <w:t xml:space="preserve">月 </w:t>
      </w:r>
      <w:r>
        <w:rPr>
          <w:rFonts w:hint="eastAsia" w:ascii="宋体" w:hAnsi="宋体" w:cs="宋体"/>
          <w:b/>
          <w:bCs/>
          <w:strike w:val="0"/>
          <w:dstrike w:val="0"/>
          <w:sz w:val="32"/>
          <w:szCs w:val="32"/>
          <w:u w:val="none"/>
          <w:lang w:val="en-US" w:eastAsia="zh-CN"/>
        </w:rPr>
        <w:t xml:space="preserve"> </w:t>
      </w:r>
      <w:r>
        <w:rPr>
          <w:rFonts w:hint="eastAsia" w:ascii="宋体" w:hAnsi="宋体" w:cs="宋体"/>
          <w:b/>
          <w:bCs/>
          <w:strike w:val="0"/>
          <w:dstrike w:val="0"/>
          <w:sz w:val="32"/>
          <w:szCs w:val="32"/>
          <w:u w:val="none"/>
        </w:rPr>
        <w:t>日</w:t>
      </w:r>
    </w:p>
    <w:p w14:paraId="04787832">
      <w:pPr>
        <w:widowControl/>
        <w:autoSpaceDE w:val="0"/>
        <w:autoSpaceDN w:val="0"/>
        <w:spacing w:before="360" w:after="360" w:line="360" w:lineRule="auto"/>
        <w:jc w:val="left"/>
        <w:textAlignment w:val="bottom"/>
        <w:rPr>
          <w:rFonts w:ascii="宋体" w:hAnsi="宋体" w:cs="宋体"/>
          <w:b/>
          <w:bCs/>
          <w:sz w:val="32"/>
          <w:szCs w:val="32"/>
          <w:u w:val="single"/>
        </w:rPr>
      </w:pPr>
    </w:p>
    <w:tbl>
      <w:tblPr>
        <w:tblStyle w:val="17"/>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40"/>
      </w:tblGrid>
      <w:tr w14:paraId="667B61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69" w:hRule="atLeast"/>
        </w:trPr>
        <w:tc>
          <w:tcPr>
            <w:tcW w:w="9240" w:type="dxa"/>
            <w:shd w:val="clear" w:color="auto" w:fill="auto"/>
            <w:noWrap/>
          </w:tcPr>
          <w:p w14:paraId="4F28CE86">
            <w:pPr>
              <w:spacing w:line="360" w:lineRule="auto"/>
              <w:ind w:firstLine="422" w:firstLineChars="200"/>
              <w:rPr>
                <w:rFonts w:hint="eastAsia" w:ascii="宋体" w:hAnsi="宋体" w:eastAsia="宋体" w:cs="宋体"/>
                <w:b/>
                <w:bCs/>
                <w:sz w:val="21"/>
                <w:szCs w:val="21"/>
              </w:rPr>
            </w:pPr>
            <w:r>
              <w:rPr>
                <w:rFonts w:hint="eastAsia" w:ascii="宋体" w:hAnsi="宋体" w:eastAsia="宋体" w:cs="宋体"/>
                <w:b/>
                <w:bCs/>
                <w:sz w:val="21"/>
                <w:szCs w:val="21"/>
              </w:rPr>
              <w:t>一、工程概况</w:t>
            </w:r>
          </w:p>
          <w:p w14:paraId="7099DAF7">
            <w:pPr>
              <w:widowControl/>
              <w:tabs>
                <w:tab w:val="left" w:pos="720"/>
              </w:tabs>
              <w:spacing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1、工程名称：</w:t>
            </w:r>
            <w:r>
              <w:rPr>
                <w:rFonts w:hint="eastAsia" w:ascii="宋体" w:hAnsi="宋体" w:eastAsia="宋体" w:cs="宋体"/>
                <w:sz w:val="21"/>
                <w:szCs w:val="21"/>
                <w:lang w:val="en-US" w:eastAsia="zh-CN"/>
              </w:rPr>
              <w:t>拱宸桥校区22#楼局部提升改造</w:t>
            </w:r>
            <w:r>
              <w:rPr>
                <w:rFonts w:hint="eastAsia" w:ascii="宋体" w:hAnsi="宋体" w:eastAsia="宋体" w:cs="宋体"/>
                <w:sz w:val="21"/>
                <w:szCs w:val="21"/>
              </w:rPr>
              <w:t>。</w:t>
            </w:r>
          </w:p>
          <w:p w14:paraId="5E8ADD4C">
            <w:pPr>
              <w:widowControl/>
              <w:tabs>
                <w:tab w:val="left" w:pos="720"/>
              </w:tabs>
              <w:spacing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2、工程地点：浙江省杭州市</w:t>
            </w:r>
            <w:r>
              <w:rPr>
                <w:rFonts w:hint="eastAsia" w:ascii="宋体" w:hAnsi="宋体" w:eastAsia="宋体" w:cs="宋体"/>
                <w:sz w:val="21"/>
                <w:szCs w:val="21"/>
                <w:lang w:val="en-US" w:eastAsia="zh-CN"/>
              </w:rPr>
              <w:t>拱墅区</w:t>
            </w:r>
            <w:r>
              <w:rPr>
                <w:rFonts w:hint="eastAsia" w:ascii="宋体" w:hAnsi="宋体" w:eastAsia="宋体" w:cs="宋体"/>
                <w:sz w:val="21"/>
                <w:szCs w:val="21"/>
              </w:rPr>
              <w:t>。</w:t>
            </w:r>
          </w:p>
          <w:p w14:paraId="4C0E9BC6">
            <w:pPr>
              <w:pStyle w:val="15"/>
              <w:keepNext w:val="0"/>
              <w:keepLines w:val="0"/>
              <w:widowControl/>
              <w:suppressLineNumbers w:val="0"/>
              <w:spacing w:before="0" w:beforeAutospacing="0" w:after="0" w:afterAutospacing="0" w:line="360" w:lineRule="auto"/>
              <w:ind w:left="0" w:right="0" w:firstLine="420" w:firstLineChars="200"/>
              <w:rPr>
                <w:rFonts w:hint="eastAsia" w:ascii="宋体" w:hAnsi="宋体" w:eastAsia="宋体" w:cs="宋体"/>
                <w:sz w:val="21"/>
                <w:szCs w:val="21"/>
                <w:lang w:eastAsia="zh-CN"/>
              </w:rPr>
            </w:pPr>
            <w:r>
              <w:rPr>
                <w:rFonts w:hint="eastAsia" w:ascii="宋体" w:hAnsi="宋体" w:eastAsia="宋体" w:cs="宋体"/>
                <w:sz w:val="21"/>
                <w:szCs w:val="21"/>
              </w:rPr>
              <w:t>3、工程概况：本次改造设计主要内容包括:地</w:t>
            </w:r>
            <w:r>
              <w:rPr>
                <w:rFonts w:hint="eastAsia" w:ascii="宋体" w:hAnsi="宋体" w:eastAsia="宋体" w:cs="宋体"/>
                <w:sz w:val="21"/>
                <w:szCs w:val="21"/>
                <w:lang w:val="en-US" w:eastAsia="zh-CN"/>
              </w:rPr>
              <w:t>下一层及地上</w:t>
            </w:r>
            <w:r>
              <w:rPr>
                <w:rFonts w:hint="eastAsia" w:ascii="宋体" w:hAnsi="宋体" w:eastAsia="宋体" w:cs="宋体"/>
                <w:sz w:val="21"/>
                <w:szCs w:val="21"/>
              </w:rPr>
              <w:t>六层宿舍装修改造:卫生间、宿舍、阳台、楼梯间</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地下室、</w:t>
            </w:r>
            <w:r>
              <w:rPr>
                <w:rFonts w:hint="eastAsia" w:ascii="宋体" w:hAnsi="宋体" w:eastAsia="宋体" w:cs="宋体"/>
                <w:sz w:val="21"/>
                <w:szCs w:val="21"/>
              </w:rPr>
              <w:t>设备管井以及走道公共区域</w:t>
            </w:r>
            <w:r>
              <w:rPr>
                <w:rFonts w:hint="eastAsia" w:cs="宋体"/>
                <w:sz w:val="21"/>
                <w:szCs w:val="21"/>
                <w:lang w:val="en-US" w:eastAsia="zh-CN"/>
              </w:rPr>
              <w:t>装饰、</w:t>
            </w:r>
            <w:r>
              <w:rPr>
                <w:rFonts w:hint="eastAsia" w:ascii="宋体" w:hAnsi="宋体" w:eastAsia="宋体" w:cs="宋体"/>
                <w:sz w:val="21"/>
                <w:szCs w:val="21"/>
                <w:lang w:val="en-US" w:eastAsia="zh-CN"/>
              </w:rPr>
              <w:t>水、电、暖通、消防</w:t>
            </w:r>
            <w:r>
              <w:rPr>
                <w:rFonts w:hint="eastAsia" w:cs="宋体"/>
                <w:sz w:val="21"/>
                <w:szCs w:val="21"/>
                <w:lang w:val="en-US" w:eastAsia="zh-CN"/>
              </w:rPr>
              <w:t>等改造及室外管网整体提升</w:t>
            </w:r>
            <w:r>
              <w:rPr>
                <w:rFonts w:hint="eastAsia" w:ascii="宋体" w:hAnsi="宋体" w:eastAsia="宋体" w:cs="宋体"/>
                <w:sz w:val="21"/>
                <w:szCs w:val="21"/>
                <w:lang w:val="en-US" w:eastAsia="zh-CN"/>
              </w:rPr>
              <w:t>等内容</w:t>
            </w:r>
            <w:r>
              <w:rPr>
                <w:rFonts w:hint="eastAsia" w:cs="宋体"/>
                <w:sz w:val="21"/>
                <w:szCs w:val="21"/>
                <w:lang w:val="en-US" w:eastAsia="zh-CN"/>
              </w:rPr>
              <w:t>，装修面积约4482m2</w:t>
            </w:r>
            <w:r>
              <w:rPr>
                <w:rFonts w:hint="eastAsia" w:ascii="宋体" w:hAnsi="宋体" w:eastAsia="宋体" w:cs="宋体"/>
                <w:sz w:val="21"/>
                <w:szCs w:val="21"/>
                <w:lang w:val="en-US" w:eastAsia="zh-CN"/>
              </w:rPr>
              <w:t>。</w:t>
            </w:r>
          </w:p>
          <w:p w14:paraId="58E98DB3">
            <w:pPr>
              <w:spacing w:line="360" w:lineRule="auto"/>
              <w:ind w:firstLine="422" w:firstLineChars="200"/>
              <w:rPr>
                <w:rFonts w:hint="eastAsia" w:ascii="宋体" w:hAnsi="宋体" w:eastAsia="宋体" w:cs="宋体"/>
                <w:b/>
                <w:bCs/>
                <w:sz w:val="21"/>
                <w:szCs w:val="21"/>
              </w:rPr>
            </w:pPr>
            <w:r>
              <w:rPr>
                <w:rFonts w:hint="eastAsia" w:ascii="宋体" w:hAnsi="宋体" w:eastAsia="宋体" w:cs="宋体"/>
                <w:b/>
                <w:bCs/>
                <w:sz w:val="21"/>
                <w:szCs w:val="21"/>
              </w:rPr>
              <w:t>二、工程招标范围</w:t>
            </w:r>
          </w:p>
          <w:p w14:paraId="5521142F">
            <w:pPr>
              <w:spacing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根据</w:t>
            </w:r>
            <w:r>
              <w:rPr>
                <w:rFonts w:hint="eastAsia" w:ascii="宋体" w:hAnsi="宋体" w:eastAsia="宋体" w:cs="宋体"/>
                <w:sz w:val="21"/>
                <w:szCs w:val="21"/>
                <w:lang w:val="en-US" w:eastAsia="zh-CN"/>
              </w:rPr>
              <w:t>建设单位提供的施工图纸及资料</w:t>
            </w:r>
            <w:r>
              <w:rPr>
                <w:rFonts w:hint="eastAsia" w:ascii="宋体" w:hAnsi="宋体" w:eastAsia="宋体" w:cs="宋体"/>
                <w:sz w:val="21"/>
                <w:szCs w:val="21"/>
              </w:rPr>
              <w:t>明确的范围。</w:t>
            </w:r>
          </w:p>
          <w:p w14:paraId="45C1AF07">
            <w:pPr>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三、招标工程量清单编制依据</w:t>
            </w:r>
          </w:p>
          <w:p w14:paraId="0277BFE5">
            <w:p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1、根据</w:t>
            </w:r>
            <w:r>
              <w:rPr>
                <w:rFonts w:hint="eastAsia" w:ascii="宋体" w:hAnsi="宋体" w:eastAsia="宋体" w:cs="宋体"/>
                <w:color w:val="auto"/>
                <w:sz w:val="21"/>
                <w:szCs w:val="21"/>
                <w:highlight w:val="none"/>
                <w:lang w:val="en-US" w:eastAsia="zh-CN"/>
              </w:rPr>
              <w:t>建设单位提供的施工图纸及资料</w:t>
            </w:r>
            <w:r>
              <w:rPr>
                <w:rFonts w:hint="eastAsia" w:ascii="宋体" w:hAnsi="宋体" w:eastAsia="宋体" w:cs="宋体"/>
                <w:color w:val="auto"/>
                <w:sz w:val="21"/>
                <w:szCs w:val="21"/>
                <w:highlight w:val="none"/>
              </w:rPr>
              <w:t>明确的范围。</w:t>
            </w:r>
          </w:p>
          <w:p w14:paraId="0118D7AC">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2、《建设工程工程量清单计价规范》（GB50500—2013）。</w:t>
            </w:r>
          </w:p>
          <w:p w14:paraId="3557D5F5">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3、《房屋建筑与装饰工程工程量计算规范》（GB50854—2013）。</w:t>
            </w:r>
          </w:p>
          <w:p w14:paraId="316CBF41">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4、《通用安装工程工程量计算规范》（GB50856—2013）。</w:t>
            </w:r>
          </w:p>
          <w:p w14:paraId="094DA03A">
            <w:pPr>
              <w:spacing w:line="360" w:lineRule="auto"/>
              <w:ind w:firstLine="420" w:firstLineChars="200"/>
              <w:rPr>
                <w:rFonts w:hint="eastAsia" w:ascii="宋体" w:hAnsi="宋体" w:cs="宋体"/>
                <w:szCs w:val="21"/>
              </w:rPr>
            </w:pPr>
            <w:r>
              <w:rPr>
                <w:rFonts w:hint="eastAsia" w:ascii="宋体" w:hAnsi="宋体" w:cs="宋体"/>
                <w:szCs w:val="21"/>
                <w:lang w:val="en-US" w:eastAsia="zh-CN"/>
              </w:rPr>
              <w:t>5、</w:t>
            </w:r>
            <w:r>
              <w:rPr>
                <w:rFonts w:hint="eastAsia" w:ascii="宋体" w:hAnsi="宋体" w:cs="宋体"/>
                <w:szCs w:val="21"/>
              </w:rPr>
              <w:t>《市政工程工程量计算规范》（GB50857—2013），</w:t>
            </w:r>
          </w:p>
          <w:p w14:paraId="110C9457">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cs="宋体"/>
                <w:szCs w:val="21"/>
                <w:lang w:val="en-US" w:eastAsia="zh-CN"/>
              </w:rPr>
              <w:t>6、</w:t>
            </w:r>
            <w:r>
              <w:rPr>
                <w:rFonts w:hint="eastAsia" w:ascii="宋体" w:hAnsi="宋体" w:cs="宋体"/>
                <w:szCs w:val="21"/>
              </w:rPr>
              <w:t>《园林绿化工程工程量计算规范》（GB50858—2013）。</w:t>
            </w:r>
          </w:p>
          <w:p w14:paraId="1B8A8DD8">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7</w:t>
            </w:r>
            <w:r>
              <w:rPr>
                <w:rFonts w:hint="eastAsia" w:ascii="宋体" w:hAnsi="宋体" w:eastAsia="宋体" w:cs="宋体"/>
                <w:color w:val="auto"/>
                <w:sz w:val="21"/>
                <w:szCs w:val="21"/>
                <w:highlight w:val="none"/>
              </w:rPr>
              <w:t>、</w:t>
            </w:r>
            <w:bookmarkStart w:id="1" w:name="OLE_LINK2"/>
            <w:r>
              <w:rPr>
                <w:rFonts w:hint="eastAsia" w:ascii="宋体" w:hAnsi="宋体" w:eastAsia="宋体" w:cs="宋体"/>
                <w:color w:val="auto"/>
                <w:sz w:val="21"/>
                <w:szCs w:val="21"/>
                <w:highlight w:val="none"/>
              </w:rPr>
              <w:t>《浙江省建设工程计价规则》（2018版）</w:t>
            </w:r>
            <w:bookmarkEnd w:id="1"/>
            <w:r>
              <w:rPr>
                <w:rFonts w:hint="eastAsia" w:ascii="宋体" w:hAnsi="宋体" w:eastAsia="宋体" w:cs="宋体"/>
                <w:color w:val="auto"/>
                <w:sz w:val="21"/>
                <w:szCs w:val="21"/>
                <w:highlight w:val="none"/>
              </w:rPr>
              <w:t>。</w:t>
            </w:r>
          </w:p>
          <w:p w14:paraId="5839FAE4">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8</w:t>
            </w:r>
            <w:r>
              <w:rPr>
                <w:rFonts w:hint="eastAsia" w:ascii="宋体" w:hAnsi="宋体" w:eastAsia="宋体" w:cs="宋体"/>
                <w:color w:val="auto"/>
                <w:sz w:val="21"/>
                <w:szCs w:val="21"/>
                <w:highlight w:val="none"/>
              </w:rPr>
              <w:t>、《杭州市建设工程工程量清单计价实施细则》（2018年修订）。</w:t>
            </w:r>
          </w:p>
          <w:p w14:paraId="4F83E8CF">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9</w:t>
            </w:r>
            <w:r>
              <w:rPr>
                <w:rFonts w:hint="eastAsia" w:ascii="宋体" w:hAnsi="宋体" w:eastAsia="宋体" w:cs="宋体"/>
                <w:color w:val="auto"/>
                <w:sz w:val="21"/>
                <w:szCs w:val="21"/>
                <w:highlight w:val="none"/>
              </w:rPr>
              <w:t>、《关于颁发浙江省建设工程计价依据（2018版）的通知》（浙建建﹝2018﹞61号）。</w:t>
            </w:r>
          </w:p>
          <w:p w14:paraId="6E005BD0">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10</w:t>
            </w:r>
            <w:r>
              <w:rPr>
                <w:rFonts w:hint="eastAsia" w:ascii="宋体" w:hAnsi="宋体" w:eastAsia="宋体" w:cs="宋体"/>
                <w:color w:val="auto"/>
                <w:sz w:val="21"/>
                <w:szCs w:val="21"/>
                <w:highlight w:val="none"/>
              </w:rPr>
              <w:t>、《关于印发《杭州市建设工程工程量清单计价实施细则》（2018年修订）的通知》（杭建市发（2018）578号）。</w:t>
            </w:r>
          </w:p>
          <w:p w14:paraId="456523B9">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11</w:t>
            </w:r>
            <w:r>
              <w:rPr>
                <w:rFonts w:hint="eastAsia" w:ascii="宋体" w:hAnsi="宋体" w:eastAsia="宋体" w:cs="宋体"/>
                <w:color w:val="auto"/>
                <w:sz w:val="21"/>
                <w:szCs w:val="21"/>
                <w:highlight w:val="none"/>
              </w:rPr>
              <w:t>、《关于增值税调整后我省建设工程计价依据增值税税率及有关计价调整的通知》（浙建建发【2019】92号）。</w:t>
            </w:r>
          </w:p>
          <w:p w14:paraId="135434DA">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r>
              <w:rPr>
                <w:rFonts w:hint="eastAsia" w:ascii="宋体" w:hAnsi="宋体" w:cs="宋体"/>
                <w:color w:val="auto"/>
                <w:sz w:val="21"/>
                <w:szCs w:val="21"/>
                <w:highlight w:val="none"/>
                <w:lang w:val="en-US" w:eastAsia="zh-CN"/>
              </w:rPr>
              <w:t>2</w:t>
            </w:r>
            <w:r>
              <w:rPr>
                <w:rFonts w:hint="eastAsia" w:ascii="宋体" w:hAnsi="宋体" w:eastAsia="宋体" w:cs="宋体"/>
                <w:color w:val="auto"/>
                <w:sz w:val="21"/>
                <w:szCs w:val="21"/>
                <w:highlight w:val="none"/>
              </w:rPr>
              <w:t>、《省建设厅关于调整建筑工程安全文明施工费的通知》（浙建建发[2022] 37号）。</w:t>
            </w:r>
          </w:p>
          <w:p w14:paraId="46BE2D46">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r>
              <w:rPr>
                <w:rFonts w:hint="eastAsia" w:ascii="宋体" w:hAnsi="宋体" w:cs="宋体"/>
                <w:color w:val="auto"/>
                <w:sz w:val="21"/>
                <w:szCs w:val="21"/>
                <w:highlight w:val="none"/>
                <w:lang w:val="en-US" w:eastAsia="zh-CN"/>
              </w:rPr>
              <w:t>3</w:t>
            </w:r>
            <w:r>
              <w:rPr>
                <w:rFonts w:hint="eastAsia" w:ascii="宋体" w:hAnsi="宋体" w:eastAsia="宋体" w:cs="宋体"/>
                <w:color w:val="auto"/>
                <w:sz w:val="21"/>
                <w:szCs w:val="21"/>
                <w:highlight w:val="none"/>
              </w:rPr>
              <w:t>、《关于贯彻（省建设厅关于调整建筑工程安全文明施工费的通知）的通知》（杭建市发【2022】54号）。</w:t>
            </w:r>
          </w:p>
          <w:p w14:paraId="007CD1D9">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r>
              <w:rPr>
                <w:rFonts w:hint="eastAsia" w:ascii="宋体" w:hAnsi="宋体" w:cs="宋体"/>
                <w:color w:val="auto"/>
                <w:sz w:val="21"/>
                <w:szCs w:val="21"/>
                <w:highlight w:val="none"/>
                <w:lang w:val="en-US" w:eastAsia="zh-CN"/>
              </w:rPr>
              <w:t>4</w:t>
            </w:r>
            <w:r>
              <w:rPr>
                <w:rFonts w:hint="eastAsia" w:ascii="宋体" w:hAnsi="宋体" w:eastAsia="宋体" w:cs="宋体"/>
                <w:color w:val="auto"/>
                <w:sz w:val="21"/>
                <w:szCs w:val="21"/>
                <w:highlight w:val="none"/>
              </w:rPr>
              <w:t>、招标文件。</w:t>
            </w:r>
          </w:p>
          <w:p w14:paraId="1DC9D5ED">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r>
              <w:rPr>
                <w:rFonts w:hint="eastAsia" w:ascii="宋体" w:hAnsi="宋体" w:cs="宋体"/>
                <w:color w:val="auto"/>
                <w:sz w:val="21"/>
                <w:szCs w:val="21"/>
                <w:highlight w:val="none"/>
                <w:lang w:val="en-US" w:eastAsia="zh-CN"/>
              </w:rPr>
              <w:t>5</w:t>
            </w:r>
            <w:r>
              <w:rPr>
                <w:rFonts w:hint="eastAsia" w:ascii="宋体" w:hAnsi="宋体" w:eastAsia="宋体" w:cs="宋体"/>
                <w:color w:val="auto"/>
                <w:sz w:val="21"/>
                <w:szCs w:val="21"/>
                <w:highlight w:val="none"/>
              </w:rPr>
              <w:t>、与建设项目相关的标准、图集、规范、技术资料、文件、法律法规和综合解释。</w:t>
            </w:r>
          </w:p>
          <w:p w14:paraId="6C0B4494">
            <w:pPr>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四、工程质量、工期、材料、施工等要求</w:t>
            </w:r>
          </w:p>
          <w:p w14:paraId="0010E50D">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1、工程质量：根据招标文件要求。</w:t>
            </w:r>
          </w:p>
          <w:p w14:paraId="7A060BEB">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2、工期：根据招标文件要求。</w:t>
            </w:r>
          </w:p>
          <w:p w14:paraId="03586755">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3、施工要求详见招标文件及技术规范。</w:t>
            </w:r>
          </w:p>
          <w:p w14:paraId="128CC088">
            <w:pPr>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五、安全文明施工措施费用的取费计算基数和最低费率标准</w:t>
            </w:r>
          </w:p>
          <w:p w14:paraId="54C26181">
            <w:pPr>
              <w:widowControl/>
              <w:tabs>
                <w:tab w:val="left" w:pos="720"/>
              </w:tabs>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安全文明施工费由文明施工费、环境保护费、临时设施费、安全施工费组成。以实施标准划分，可分为安全文明施工基本费和创建安全文明施工标准化工地增加费（以下简称“标化工地增加费”）。</w:t>
            </w:r>
          </w:p>
          <w:p w14:paraId="38BCAD6F">
            <w:pPr>
              <w:widowControl/>
              <w:tabs>
                <w:tab w:val="left" w:pos="720"/>
              </w:tabs>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安全文明施工基本费报价不得低于《浙江省建设工程计价规则》（2018版）中规定的弹性费率下限的计算值。按照本项目地理位置情况确定为市区工程。各专业工程取费基数均为“分部分项工程费和施工技术措施项目费”计价中的“人工费十机械费”之和。</w:t>
            </w:r>
          </w:p>
          <w:p w14:paraId="4D1893F7">
            <w:pPr>
              <w:widowControl/>
              <w:tabs>
                <w:tab w:val="left" w:pos="720"/>
              </w:tabs>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安全文明基本费分档累进等全部取费内容，中标后不再调整费率，安全文明基本费按中标价一次性包干。</w:t>
            </w:r>
          </w:p>
          <w:p w14:paraId="3BE20BF7">
            <w:pPr>
              <w:widowControl/>
              <w:tabs>
                <w:tab w:val="left" w:pos="720"/>
              </w:tabs>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房屋建筑装饰</w:t>
            </w:r>
            <w:r>
              <w:rPr>
                <w:rFonts w:hint="eastAsia" w:ascii="宋体" w:hAnsi="宋体" w:eastAsia="宋体" w:cs="宋体"/>
                <w:color w:val="auto"/>
                <w:sz w:val="21"/>
                <w:szCs w:val="21"/>
                <w:highlight w:val="none"/>
              </w:rPr>
              <w:t>最低标准费率为</w:t>
            </w:r>
            <w:r>
              <w:rPr>
                <w:rFonts w:hint="eastAsia" w:ascii="宋体" w:hAnsi="宋体" w:eastAsia="宋体" w:cs="宋体"/>
                <w:b/>
                <w:bCs/>
                <w:color w:val="auto"/>
                <w:sz w:val="21"/>
                <w:szCs w:val="21"/>
                <w:highlight w:val="none"/>
              </w:rPr>
              <w:t>5.91%</w:t>
            </w:r>
            <w:r>
              <w:rPr>
                <w:rFonts w:hint="eastAsia" w:ascii="宋体" w:hAnsi="宋体" w:eastAsia="宋体" w:cs="宋体"/>
                <w:color w:val="auto"/>
                <w:sz w:val="21"/>
                <w:szCs w:val="21"/>
                <w:highlight w:val="none"/>
              </w:rPr>
              <w:t>；</w:t>
            </w:r>
            <w:bookmarkStart w:id="2" w:name="OLE_LINK9"/>
            <w:bookmarkStart w:id="3" w:name="OLE_LINK6"/>
            <w:r>
              <w:rPr>
                <w:rFonts w:hint="eastAsia" w:ascii="宋体" w:hAnsi="宋体" w:cs="宋体"/>
                <w:color w:val="auto"/>
                <w:sz w:val="21"/>
                <w:szCs w:val="21"/>
                <w:highlight w:val="none"/>
                <w:lang w:val="en-US" w:eastAsia="zh-CN"/>
              </w:rPr>
              <w:t>通用</w:t>
            </w:r>
            <w:r>
              <w:rPr>
                <w:rFonts w:hint="eastAsia" w:ascii="宋体" w:hAnsi="宋体" w:eastAsia="宋体" w:cs="宋体"/>
                <w:color w:val="auto"/>
                <w:sz w:val="21"/>
                <w:szCs w:val="21"/>
                <w:highlight w:val="none"/>
              </w:rPr>
              <w:t>安装工程</w:t>
            </w:r>
            <w:r>
              <w:rPr>
                <w:rFonts w:hint="eastAsia" w:ascii="宋体" w:hAnsi="宋体" w:cs="宋体"/>
                <w:color w:val="auto"/>
                <w:sz w:val="21"/>
                <w:szCs w:val="21"/>
                <w:highlight w:val="none"/>
                <w:lang w:eastAsia="zh-CN"/>
              </w:rPr>
              <w:t>（</w:t>
            </w:r>
            <w:r>
              <w:rPr>
                <w:rFonts w:hint="eastAsia" w:ascii="宋体" w:hAnsi="宋体" w:cs="宋体"/>
                <w:color w:val="auto"/>
                <w:sz w:val="21"/>
                <w:szCs w:val="21"/>
                <w:highlight w:val="none"/>
                <w:lang w:val="en-US" w:eastAsia="zh-CN"/>
              </w:rPr>
              <w:t>含室外安装工程</w:t>
            </w:r>
            <w:r>
              <w:rPr>
                <w:rFonts w:hint="eastAsia" w:ascii="宋体" w:hAnsi="宋体" w:cs="宋体"/>
                <w:color w:val="auto"/>
                <w:sz w:val="21"/>
                <w:szCs w:val="21"/>
                <w:highlight w:val="none"/>
                <w:lang w:eastAsia="zh-CN"/>
              </w:rPr>
              <w:t>）</w:t>
            </w:r>
            <w:r>
              <w:rPr>
                <w:rFonts w:hint="eastAsia" w:ascii="宋体" w:hAnsi="宋体" w:eastAsia="宋体" w:cs="宋体"/>
                <w:color w:val="auto"/>
                <w:sz w:val="21"/>
                <w:szCs w:val="21"/>
                <w:highlight w:val="none"/>
              </w:rPr>
              <w:t>最低取费费率为</w:t>
            </w:r>
            <w:r>
              <w:rPr>
                <w:rFonts w:hint="eastAsia" w:ascii="宋体" w:hAnsi="宋体" w:eastAsia="宋体" w:cs="宋体"/>
                <w:b/>
                <w:bCs/>
                <w:color w:val="auto"/>
                <w:sz w:val="21"/>
                <w:szCs w:val="21"/>
                <w:highlight w:val="none"/>
              </w:rPr>
              <w:t>7.35%</w:t>
            </w:r>
            <w:bookmarkEnd w:id="2"/>
            <w:bookmarkEnd w:id="3"/>
            <w:r>
              <w:rPr>
                <w:rFonts w:hint="eastAsia" w:ascii="宋体" w:hAnsi="宋体" w:cs="宋体"/>
                <w:b w:val="0"/>
                <w:bCs w:val="0"/>
                <w:color w:val="auto"/>
                <w:sz w:val="21"/>
                <w:szCs w:val="21"/>
                <w:highlight w:val="none"/>
                <w:lang w:eastAsia="zh-CN"/>
              </w:rPr>
              <w:t>；</w:t>
            </w:r>
            <w:r>
              <w:rPr>
                <w:rFonts w:hint="eastAsia" w:ascii="宋体" w:hAnsi="宋体" w:eastAsia="宋体" w:cs="宋体"/>
                <w:color w:val="auto"/>
                <w:sz w:val="21"/>
                <w:szCs w:val="21"/>
                <w:highlight w:val="none"/>
                <w:lang w:val="en-US" w:eastAsia="zh-CN"/>
              </w:rPr>
              <w:t>市政土建工程</w:t>
            </w:r>
            <w:r>
              <w:rPr>
                <w:rFonts w:hint="eastAsia" w:ascii="宋体" w:hAnsi="宋体" w:eastAsia="宋体" w:cs="宋体"/>
                <w:color w:val="auto"/>
                <w:sz w:val="21"/>
                <w:szCs w:val="21"/>
                <w:highlight w:val="none"/>
                <w:lang w:eastAsia="zh-CN"/>
              </w:rPr>
              <w:t>最</w:t>
            </w:r>
            <w:r>
              <w:rPr>
                <w:rFonts w:hint="eastAsia" w:ascii="宋体" w:hAnsi="宋体" w:eastAsia="宋体" w:cs="宋体"/>
                <w:color w:val="auto"/>
                <w:sz w:val="21"/>
                <w:szCs w:val="21"/>
                <w:highlight w:val="none"/>
              </w:rPr>
              <w:t>低取费费率为</w:t>
            </w:r>
            <w:r>
              <w:rPr>
                <w:rFonts w:hint="eastAsia" w:ascii="宋体" w:hAnsi="宋体" w:cs="宋体"/>
                <w:b/>
                <w:bCs/>
                <w:color w:val="auto"/>
                <w:sz w:val="21"/>
                <w:szCs w:val="21"/>
                <w:highlight w:val="none"/>
                <w:lang w:val="en-US" w:eastAsia="zh-CN"/>
              </w:rPr>
              <w:t>8.81</w:t>
            </w:r>
            <w:r>
              <w:rPr>
                <w:rFonts w:hint="eastAsia" w:ascii="宋体" w:hAnsi="宋体" w:eastAsia="宋体" w:cs="宋体"/>
                <w:b/>
                <w:bCs/>
                <w:color w:val="auto"/>
                <w:sz w:val="21"/>
                <w:szCs w:val="21"/>
                <w:highlight w:val="none"/>
              </w:rPr>
              <w:t>%</w:t>
            </w:r>
            <w:r>
              <w:rPr>
                <w:rFonts w:hint="eastAsia" w:ascii="宋体" w:hAnsi="宋体" w:eastAsia="宋体" w:cs="宋体"/>
                <w:color w:val="auto"/>
                <w:sz w:val="21"/>
                <w:szCs w:val="21"/>
                <w:highlight w:val="none"/>
              </w:rPr>
              <w:t>。</w:t>
            </w:r>
          </w:p>
          <w:p w14:paraId="2B444ADE">
            <w:pPr>
              <w:widowControl/>
              <w:numPr>
                <w:ilvl w:val="0"/>
                <w:numId w:val="1"/>
              </w:numPr>
              <w:tabs>
                <w:tab w:val="left" w:pos="720"/>
              </w:tabs>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标化工地增加费：根据《浙江省建设工程计价规则（2018版）》规定，相应费用以“分部分项工程费和施工技术措施项目费”计价中的“人工费十机械费”之和为计算基数:</w:t>
            </w:r>
          </w:p>
          <w:p w14:paraId="028EA98F">
            <w:pPr>
              <w:widowControl/>
              <w:tabs>
                <w:tab w:val="left" w:pos="720"/>
              </w:tabs>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本工程不创标化工地。</w:t>
            </w:r>
          </w:p>
          <w:p w14:paraId="3E336B32">
            <w:pPr>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六、企业管理费用的取费计算基数和最低费率标准</w:t>
            </w:r>
          </w:p>
          <w:p w14:paraId="3B82DC50">
            <w:pPr>
              <w:spacing w:line="360" w:lineRule="auto"/>
              <w:ind w:firstLine="420" w:firstLineChars="200"/>
              <w:rPr>
                <w:rFonts w:hint="eastAsia" w:ascii="宋体" w:hAnsi="宋体" w:eastAsia="宋体" w:cs="宋体"/>
                <w:color w:val="auto"/>
                <w:sz w:val="21"/>
                <w:szCs w:val="21"/>
                <w:highlight w:val="none"/>
              </w:rPr>
            </w:pPr>
            <w:bookmarkStart w:id="4" w:name="OLE_LINK11"/>
            <w:r>
              <w:rPr>
                <w:rFonts w:hint="eastAsia" w:ascii="宋体" w:hAnsi="宋体" w:eastAsia="宋体" w:cs="宋体"/>
                <w:color w:val="auto"/>
                <w:sz w:val="21"/>
                <w:szCs w:val="21"/>
                <w:highlight w:val="none"/>
              </w:rPr>
              <w:t>根据《杭州市建设工程工程量清单计价实施细则（2018年修订）》文件规定，</w:t>
            </w:r>
            <w:bookmarkEnd w:id="4"/>
            <w:r>
              <w:rPr>
                <w:rFonts w:hint="eastAsia" w:ascii="宋体" w:hAnsi="宋体" w:eastAsia="宋体" w:cs="宋体"/>
                <w:color w:val="auto"/>
                <w:sz w:val="21"/>
                <w:szCs w:val="21"/>
                <w:highlight w:val="none"/>
              </w:rPr>
              <w:t>投标报价时，企业管理费中应包括施工企业现场监控和现场临时宿舍取暖降温费用，以及施工企业对建筑以及材料、构件和建筑安装物进行一般鉴定、检查所发生的检验试验费等相关费用。为保障工程质量和安全，企业管理费报价不得低于省建设行政主管部门颁发的施工费用定额和相关取费计价文件规定的对应专业工程企业管理费弹性费率下限乘以20%的计算值。企业管理费的取费基数为“分部分项工程费和施工技术措施项目费”计价中的“人工费十机械费”之和。</w:t>
            </w:r>
          </w:p>
          <w:p w14:paraId="65E15623">
            <w:pPr>
              <w:widowControl/>
              <w:tabs>
                <w:tab w:val="left" w:pos="720"/>
              </w:tabs>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房屋建筑装饰</w:t>
            </w:r>
            <w:r>
              <w:rPr>
                <w:rFonts w:hint="eastAsia" w:ascii="宋体" w:hAnsi="宋体" w:eastAsia="宋体" w:cs="宋体"/>
                <w:color w:val="auto"/>
                <w:sz w:val="21"/>
                <w:szCs w:val="21"/>
                <w:highlight w:val="none"/>
              </w:rPr>
              <w:t>最低取费费率为</w:t>
            </w:r>
            <w:r>
              <w:rPr>
                <w:rFonts w:hint="eastAsia" w:ascii="宋体" w:hAnsi="宋体" w:eastAsia="宋体" w:cs="宋体"/>
                <w:b/>
                <w:bCs/>
                <w:color w:val="auto"/>
                <w:sz w:val="21"/>
                <w:szCs w:val="21"/>
                <w:highlight w:val="none"/>
              </w:rPr>
              <w:t>2.27%</w:t>
            </w:r>
            <w:r>
              <w:rPr>
                <w:rFonts w:hint="eastAsia" w:ascii="宋体" w:hAnsi="宋体" w:eastAsia="宋体" w:cs="宋体"/>
                <w:color w:val="auto"/>
                <w:sz w:val="21"/>
                <w:szCs w:val="21"/>
                <w:highlight w:val="none"/>
              </w:rPr>
              <w:t>；</w:t>
            </w:r>
            <w:r>
              <w:rPr>
                <w:rFonts w:hint="eastAsia" w:ascii="宋体" w:hAnsi="宋体" w:cs="宋体"/>
                <w:color w:val="auto"/>
                <w:sz w:val="21"/>
                <w:szCs w:val="21"/>
                <w:highlight w:val="none"/>
                <w:lang w:val="en-US" w:eastAsia="zh-CN"/>
              </w:rPr>
              <w:t>通用</w:t>
            </w:r>
            <w:r>
              <w:rPr>
                <w:rFonts w:hint="eastAsia" w:ascii="宋体" w:hAnsi="宋体" w:eastAsia="宋体" w:cs="宋体"/>
                <w:color w:val="auto"/>
                <w:sz w:val="21"/>
                <w:szCs w:val="21"/>
                <w:highlight w:val="none"/>
              </w:rPr>
              <w:t>安装工程</w:t>
            </w:r>
            <w:r>
              <w:rPr>
                <w:rFonts w:hint="eastAsia" w:ascii="宋体" w:hAnsi="宋体" w:cs="宋体"/>
                <w:color w:val="auto"/>
                <w:sz w:val="21"/>
                <w:szCs w:val="21"/>
                <w:highlight w:val="none"/>
                <w:lang w:eastAsia="zh-CN"/>
              </w:rPr>
              <w:t>（</w:t>
            </w:r>
            <w:r>
              <w:rPr>
                <w:rFonts w:hint="eastAsia" w:ascii="宋体" w:hAnsi="宋体" w:cs="宋体"/>
                <w:color w:val="auto"/>
                <w:sz w:val="21"/>
                <w:szCs w:val="21"/>
                <w:highlight w:val="none"/>
                <w:lang w:val="en-US" w:eastAsia="zh-CN"/>
              </w:rPr>
              <w:t>含室外安装工程</w:t>
            </w:r>
            <w:r>
              <w:rPr>
                <w:rFonts w:hint="eastAsia" w:ascii="宋体" w:hAnsi="宋体" w:cs="宋体"/>
                <w:color w:val="auto"/>
                <w:sz w:val="21"/>
                <w:szCs w:val="21"/>
                <w:highlight w:val="none"/>
                <w:lang w:eastAsia="zh-CN"/>
              </w:rPr>
              <w:t>）</w:t>
            </w:r>
            <w:r>
              <w:rPr>
                <w:rFonts w:hint="eastAsia" w:ascii="宋体" w:hAnsi="宋体" w:eastAsia="宋体" w:cs="宋体"/>
                <w:color w:val="auto"/>
                <w:sz w:val="21"/>
                <w:szCs w:val="21"/>
                <w:highlight w:val="none"/>
              </w:rPr>
              <w:t>最低取费费率为</w:t>
            </w:r>
            <w:r>
              <w:rPr>
                <w:rFonts w:hint="eastAsia" w:ascii="宋体" w:hAnsi="宋体" w:eastAsia="宋体" w:cs="宋体"/>
                <w:b/>
                <w:bCs/>
                <w:color w:val="auto"/>
                <w:sz w:val="21"/>
                <w:szCs w:val="21"/>
                <w:highlight w:val="none"/>
              </w:rPr>
              <w:t>3.26%</w:t>
            </w:r>
            <w:r>
              <w:rPr>
                <w:rFonts w:hint="eastAsia" w:ascii="宋体" w:hAnsi="宋体" w:cs="宋体"/>
                <w:b w:val="0"/>
                <w:bCs w:val="0"/>
                <w:color w:val="auto"/>
                <w:sz w:val="21"/>
                <w:szCs w:val="21"/>
                <w:highlight w:val="none"/>
                <w:lang w:eastAsia="zh-CN"/>
              </w:rPr>
              <w:t>；</w:t>
            </w:r>
            <w:r>
              <w:rPr>
                <w:rFonts w:hint="eastAsia" w:ascii="宋体" w:hAnsi="宋体" w:eastAsia="宋体" w:cs="宋体"/>
                <w:color w:val="auto"/>
                <w:sz w:val="21"/>
                <w:szCs w:val="21"/>
                <w:highlight w:val="none"/>
                <w:lang w:val="en-US" w:eastAsia="zh-CN"/>
              </w:rPr>
              <w:t>市政土建工程</w:t>
            </w:r>
            <w:r>
              <w:rPr>
                <w:rFonts w:hint="eastAsia" w:ascii="宋体" w:hAnsi="宋体" w:eastAsia="宋体" w:cs="宋体"/>
                <w:color w:val="auto"/>
                <w:sz w:val="21"/>
                <w:szCs w:val="21"/>
                <w:highlight w:val="none"/>
                <w:lang w:eastAsia="zh-CN"/>
              </w:rPr>
              <w:t>最</w:t>
            </w:r>
            <w:r>
              <w:rPr>
                <w:rFonts w:hint="eastAsia" w:ascii="宋体" w:hAnsi="宋体" w:eastAsia="宋体" w:cs="宋体"/>
                <w:color w:val="auto"/>
                <w:sz w:val="21"/>
                <w:szCs w:val="21"/>
                <w:highlight w:val="none"/>
              </w:rPr>
              <w:t>低取费费率为</w:t>
            </w:r>
            <w:r>
              <w:rPr>
                <w:rFonts w:hint="eastAsia" w:ascii="宋体" w:hAnsi="宋体" w:cs="宋体"/>
                <w:b/>
                <w:bCs/>
                <w:color w:val="auto"/>
                <w:sz w:val="21"/>
                <w:szCs w:val="21"/>
                <w:highlight w:val="none"/>
                <w:lang w:val="en-US" w:eastAsia="zh-CN"/>
              </w:rPr>
              <w:t>2.56</w:t>
            </w:r>
            <w:r>
              <w:rPr>
                <w:rFonts w:hint="eastAsia" w:ascii="宋体" w:hAnsi="宋体" w:eastAsia="宋体" w:cs="宋体"/>
                <w:b/>
                <w:bCs/>
                <w:color w:val="auto"/>
                <w:sz w:val="21"/>
                <w:szCs w:val="21"/>
                <w:highlight w:val="none"/>
              </w:rPr>
              <w:t>%</w:t>
            </w:r>
            <w:r>
              <w:rPr>
                <w:rFonts w:hint="eastAsia" w:ascii="宋体" w:hAnsi="宋体" w:eastAsia="宋体" w:cs="宋体"/>
                <w:color w:val="auto"/>
                <w:sz w:val="21"/>
                <w:szCs w:val="21"/>
                <w:highlight w:val="none"/>
              </w:rPr>
              <w:t>。</w:t>
            </w:r>
          </w:p>
          <w:p w14:paraId="39A09B2A">
            <w:pPr>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七、规费、税金的取费要求</w:t>
            </w:r>
          </w:p>
          <w:p w14:paraId="08DCA10F">
            <w:pPr>
              <w:widowControl/>
              <w:tabs>
                <w:tab w:val="left" w:pos="720"/>
              </w:tabs>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规费按照《浙江省建设工程计价规则》（2018版）规定，由社会保险费（含养老保险费、失业保险费、医疗保险费、生育保险费、工伤保险费）和住房公积金组成。各专业工程取费基数均为“分部分项工程费和施工技术措施项目费”计价中的“人工费十机械费”之和，报价按《浙江省建设工程施工取费定额（2018）》不得低于费率乘以30%的规定执行。</w:t>
            </w:r>
          </w:p>
          <w:p w14:paraId="061472F8">
            <w:pPr>
              <w:widowControl/>
              <w:tabs>
                <w:tab w:val="left" w:pos="720"/>
              </w:tabs>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房屋建筑装饰</w:t>
            </w:r>
            <w:r>
              <w:rPr>
                <w:rFonts w:hint="eastAsia" w:ascii="宋体" w:hAnsi="宋体" w:eastAsia="宋体" w:cs="宋体"/>
                <w:color w:val="auto"/>
                <w:sz w:val="21"/>
                <w:szCs w:val="21"/>
                <w:highlight w:val="none"/>
              </w:rPr>
              <w:t>最低取费费率为</w:t>
            </w:r>
            <w:r>
              <w:rPr>
                <w:rFonts w:hint="eastAsia" w:ascii="宋体" w:hAnsi="宋体" w:eastAsia="宋体" w:cs="宋体"/>
                <w:b/>
                <w:bCs/>
                <w:color w:val="auto"/>
                <w:sz w:val="21"/>
                <w:szCs w:val="21"/>
                <w:highlight w:val="none"/>
              </w:rPr>
              <w:t>8.38%</w:t>
            </w:r>
            <w:r>
              <w:rPr>
                <w:rFonts w:hint="eastAsia" w:ascii="宋体" w:hAnsi="宋体" w:eastAsia="宋体" w:cs="宋体"/>
                <w:color w:val="auto"/>
                <w:sz w:val="21"/>
                <w:szCs w:val="21"/>
                <w:highlight w:val="none"/>
              </w:rPr>
              <w:t>；</w:t>
            </w:r>
            <w:r>
              <w:rPr>
                <w:rFonts w:hint="eastAsia" w:ascii="宋体" w:hAnsi="宋体" w:cs="宋体"/>
                <w:color w:val="auto"/>
                <w:sz w:val="21"/>
                <w:szCs w:val="21"/>
                <w:highlight w:val="none"/>
                <w:lang w:val="en-US" w:eastAsia="zh-CN"/>
              </w:rPr>
              <w:t>通用</w:t>
            </w:r>
            <w:r>
              <w:rPr>
                <w:rFonts w:hint="eastAsia" w:ascii="宋体" w:hAnsi="宋体" w:eastAsia="宋体" w:cs="宋体"/>
                <w:color w:val="auto"/>
                <w:sz w:val="21"/>
                <w:szCs w:val="21"/>
                <w:highlight w:val="none"/>
              </w:rPr>
              <w:t>安装工程</w:t>
            </w:r>
            <w:r>
              <w:rPr>
                <w:rFonts w:hint="eastAsia" w:ascii="宋体" w:hAnsi="宋体" w:cs="宋体"/>
                <w:color w:val="auto"/>
                <w:sz w:val="21"/>
                <w:szCs w:val="21"/>
                <w:highlight w:val="none"/>
                <w:lang w:eastAsia="zh-CN"/>
              </w:rPr>
              <w:t>（</w:t>
            </w:r>
            <w:r>
              <w:rPr>
                <w:rFonts w:hint="eastAsia" w:ascii="宋体" w:hAnsi="宋体" w:cs="宋体"/>
                <w:color w:val="auto"/>
                <w:sz w:val="21"/>
                <w:szCs w:val="21"/>
                <w:highlight w:val="none"/>
                <w:lang w:val="en-US" w:eastAsia="zh-CN"/>
              </w:rPr>
              <w:t>含室外安装工程</w:t>
            </w:r>
            <w:r>
              <w:rPr>
                <w:rFonts w:hint="eastAsia" w:ascii="宋体" w:hAnsi="宋体" w:cs="宋体"/>
                <w:color w:val="auto"/>
                <w:sz w:val="21"/>
                <w:szCs w:val="21"/>
                <w:highlight w:val="none"/>
                <w:lang w:eastAsia="zh-CN"/>
              </w:rPr>
              <w:t>）</w:t>
            </w:r>
            <w:r>
              <w:rPr>
                <w:rFonts w:hint="eastAsia" w:ascii="宋体" w:hAnsi="宋体" w:eastAsia="宋体" w:cs="宋体"/>
                <w:color w:val="auto"/>
                <w:sz w:val="21"/>
                <w:szCs w:val="21"/>
                <w:highlight w:val="none"/>
              </w:rPr>
              <w:t>最低取费费率为</w:t>
            </w:r>
            <w:r>
              <w:rPr>
                <w:rFonts w:hint="eastAsia" w:ascii="宋体" w:hAnsi="宋体" w:eastAsia="宋体" w:cs="宋体"/>
                <w:b/>
                <w:bCs/>
                <w:color w:val="auto"/>
                <w:sz w:val="21"/>
                <w:szCs w:val="21"/>
                <w:highlight w:val="none"/>
              </w:rPr>
              <w:t>9.19%</w:t>
            </w:r>
            <w:r>
              <w:rPr>
                <w:rFonts w:hint="eastAsia" w:ascii="宋体" w:hAnsi="宋体" w:cs="宋体"/>
                <w:b w:val="0"/>
                <w:bCs w:val="0"/>
                <w:color w:val="auto"/>
                <w:sz w:val="21"/>
                <w:szCs w:val="21"/>
                <w:highlight w:val="none"/>
                <w:lang w:eastAsia="zh-CN"/>
              </w:rPr>
              <w:t>；</w:t>
            </w:r>
            <w:r>
              <w:rPr>
                <w:rFonts w:hint="eastAsia" w:ascii="宋体" w:hAnsi="宋体" w:eastAsia="宋体" w:cs="宋体"/>
                <w:color w:val="auto"/>
                <w:sz w:val="21"/>
                <w:szCs w:val="21"/>
                <w:highlight w:val="none"/>
                <w:lang w:val="en-US" w:eastAsia="zh-CN"/>
              </w:rPr>
              <w:t>市政土建工程</w:t>
            </w:r>
            <w:r>
              <w:rPr>
                <w:rFonts w:hint="eastAsia" w:ascii="宋体" w:hAnsi="宋体" w:eastAsia="宋体" w:cs="宋体"/>
                <w:color w:val="auto"/>
                <w:sz w:val="21"/>
                <w:szCs w:val="21"/>
                <w:highlight w:val="none"/>
                <w:lang w:eastAsia="zh-CN"/>
              </w:rPr>
              <w:t>最</w:t>
            </w:r>
            <w:r>
              <w:rPr>
                <w:rFonts w:hint="eastAsia" w:ascii="宋体" w:hAnsi="宋体" w:eastAsia="宋体" w:cs="宋体"/>
                <w:color w:val="auto"/>
                <w:sz w:val="21"/>
                <w:szCs w:val="21"/>
                <w:highlight w:val="none"/>
              </w:rPr>
              <w:t>低取费费率为</w:t>
            </w:r>
            <w:r>
              <w:rPr>
                <w:rFonts w:hint="eastAsia" w:ascii="宋体" w:hAnsi="宋体" w:cs="宋体"/>
                <w:b/>
                <w:bCs/>
                <w:color w:val="auto"/>
                <w:sz w:val="21"/>
                <w:szCs w:val="21"/>
                <w:highlight w:val="none"/>
                <w:lang w:val="en-US" w:eastAsia="zh-CN"/>
              </w:rPr>
              <w:t>5.63</w:t>
            </w:r>
            <w:r>
              <w:rPr>
                <w:rFonts w:hint="eastAsia" w:ascii="宋体" w:hAnsi="宋体" w:eastAsia="宋体" w:cs="宋体"/>
                <w:b/>
                <w:bCs/>
                <w:color w:val="auto"/>
                <w:sz w:val="21"/>
                <w:szCs w:val="21"/>
                <w:highlight w:val="none"/>
              </w:rPr>
              <w:t>%</w:t>
            </w:r>
            <w:r>
              <w:rPr>
                <w:rFonts w:hint="eastAsia" w:ascii="宋体" w:hAnsi="宋体" w:eastAsia="宋体" w:cs="宋体"/>
                <w:color w:val="auto"/>
                <w:sz w:val="21"/>
                <w:szCs w:val="21"/>
                <w:highlight w:val="none"/>
              </w:rPr>
              <w:t>。</w:t>
            </w:r>
          </w:p>
          <w:p w14:paraId="302D8620">
            <w:pPr>
              <w:widowControl/>
              <w:tabs>
                <w:tab w:val="left" w:pos="720"/>
              </w:tabs>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税金费率按照《关于增值税调整后我省建设工程计价依据增值税税率及有关计价调整的通知》（浙建建发【2019】92号）文件规定计取，取费基数为税前工程造价。根据文件要求，本工程按一般计税法考虑，费率为</w:t>
            </w:r>
            <w:r>
              <w:rPr>
                <w:rFonts w:hint="eastAsia" w:ascii="宋体" w:hAnsi="宋体" w:eastAsia="宋体" w:cs="宋体"/>
                <w:b/>
                <w:bCs/>
                <w:color w:val="auto"/>
                <w:sz w:val="21"/>
                <w:szCs w:val="21"/>
                <w:highlight w:val="none"/>
              </w:rPr>
              <w:t>9%</w:t>
            </w:r>
            <w:r>
              <w:rPr>
                <w:rFonts w:hint="eastAsia" w:ascii="宋体" w:hAnsi="宋体" w:eastAsia="宋体" w:cs="宋体"/>
                <w:color w:val="auto"/>
                <w:sz w:val="21"/>
                <w:szCs w:val="21"/>
                <w:highlight w:val="none"/>
              </w:rPr>
              <w:t>。</w:t>
            </w:r>
          </w:p>
          <w:p w14:paraId="4C134055">
            <w:pPr>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八、暂列金额的数量</w:t>
            </w:r>
          </w:p>
          <w:p w14:paraId="416E932A">
            <w:pPr>
              <w:widowControl/>
              <w:tabs>
                <w:tab w:val="left" w:pos="720"/>
              </w:tabs>
              <w:spacing w:line="360" w:lineRule="auto"/>
              <w:ind w:left="42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本工程暂估金额：</w:t>
            </w:r>
            <w:r>
              <w:rPr>
                <w:rFonts w:hint="eastAsia" w:ascii="宋体" w:hAnsi="宋体" w:eastAsia="宋体" w:cs="宋体"/>
                <w:color w:val="auto"/>
                <w:sz w:val="21"/>
                <w:szCs w:val="21"/>
                <w:highlight w:val="none"/>
                <w:lang w:val="en-US" w:eastAsia="zh-CN"/>
              </w:rPr>
              <w:t>无</w:t>
            </w:r>
            <w:r>
              <w:rPr>
                <w:rFonts w:hint="eastAsia" w:ascii="宋体" w:hAnsi="宋体" w:eastAsia="宋体" w:cs="宋体"/>
                <w:color w:val="auto"/>
                <w:sz w:val="21"/>
                <w:szCs w:val="21"/>
                <w:highlight w:val="none"/>
              </w:rPr>
              <w:t>。</w:t>
            </w:r>
          </w:p>
          <w:p w14:paraId="381F20EE">
            <w:pPr>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九、招标人自行采购材料的名称、规格型号、数量，要求总承包人提供的服务内容</w:t>
            </w:r>
          </w:p>
          <w:p w14:paraId="026D4E8A">
            <w:pPr>
              <w:widowControl/>
              <w:tabs>
                <w:tab w:val="left" w:pos="720"/>
              </w:tabs>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1、总承包服务（配合）内容：</w:t>
            </w:r>
            <w:r>
              <w:rPr>
                <w:rFonts w:hint="eastAsia" w:ascii="宋体" w:hAnsi="宋体" w:eastAsia="宋体" w:cs="宋体"/>
                <w:color w:val="auto"/>
                <w:sz w:val="21"/>
                <w:szCs w:val="21"/>
                <w:highlight w:val="none"/>
                <w:lang w:val="en-US" w:eastAsia="zh-CN"/>
              </w:rPr>
              <w:t>详见招标文件要求</w:t>
            </w:r>
            <w:r>
              <w:rPr>
                <w:rFonts w:hint="eastAsia" w:ascii="宋体" w:hAnsi="宋体" w:eastAsia="宋体" w:cs="宋体"/>
                <w:color w:val="auto"/>
                <w:sz w:val="21"/>
                <w:szCs w:val="21"/>
                <w:highlight w:val="none"/>
              </w:rPr>
              <w:t>。</w:t>
            </w:r>
          </w:p>
          <w:p w14:paraId="7EC805AA">
            <w:pPr>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十、其他需要说明的问题</w:t>
            </w:r>
          </w:p>
          <w:p w14:paraId="1C94E6C2">
            <w:pPr>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 xml:space="preserve"> （一）整体</w:t>
            </w:r>
          </w:p>
          <w:p w14:paraId="1775C77E">
            <w:pPr>
              <w:widowControl/>
              <w:numPr>
                <w:ilvl w:val="0"/>
                <w:numId w:val="2"/>
              </w:num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分部分项工程量清单中的工程量是按实物净量计算的，一切损耗均应在投标报价的综合单价中考虑。</w:t>
            </w:r>
          </w:p>
          <w:p w14:paraId="208BC551">
            <w:pPr>
              <w:widowControl/>
              <w:numPr>
                <w:ilvl w:val="0"/>
                <w:numId w:val="2"/>
              </w:num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各投标单位在进行综合单价报价时必须结合施工图、相关图集、文件等进行编制，清单子目中未能对各节点详图进行完全性描述的必须按上述资料进行报价，否则视为已计入相应项目综合单价中，中标后将不调整综合单价。</w:t>
            </w:r>
          </w:p>
          <w:p w14:paraId="147DE378">
            <w:pPr>
              <w:widowControl/>
              <w:numPr>
                <w:ilvl w:val="0"/>
                <w:numId w:val="2"/>
              </w:num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清单与图纸描述不一致时，施工方需在招标答疑时提出疑问，如无疑义，则认为按照图纸施工且依据投标时综合单价进行结算。结算时不得以任何理由针对此项提出任何单价调整，中标后综合单价不做调整。</w:t>
            </w:r>
          </w:p>
          <w:p w14:paraId="6DC6F35B">
            <w:pPr>
              <w:widowControl/>
              <w:numPr>
                <w:ilvl w:val="0"/>
                <w:numId w:val="2"/>
              </w:num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投标人应在综合单价中充分考虑施工中的各种损耗和需要增加的工程量，所报综合单价应包含该清单子目的所有工作内容，并考虑风险因素。</w:t>
            </w:r>
          </w:p>
          <w:p w14:paraId="72710C5A">
            <w:pPr>
              <w:widowControl/>
              <w:numPr>
                <w:ilvl w:val="0"/>
                <w:numId w:val="2"/>
              </w:num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投标人未填报综合单价或合价的项目，其费用视为已分摊在其他项目的综合单价与合价中，该项工作实施后，招标人将不予支付。</w:t>
            </w:r>
          </w:p>
          <w:p w14:paraId="1ABD3B54">
            <w:pPr>
              <w:widowControl/>
              <w:numPr>
                <w:ilvl w:val="0"/>
                <w:numId w:val="2"/>
              </w:num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投标人应将工程量清单充分结合图纸一起阅读并理解，对于清单描述不够详尽的，应结合图纸要求进行报价。</w:t>
            </w:r>
          </w:p>
          <w:p w14:paraId="16E15822">
            <w:pPr>
              <w:widowControl/>
              <w:numPr>
                <w:ilvl w:val="0"/>
                <w:numId w:val="2"/>
              </w:num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投标人自行补充的措施项目必须列清项目明细内容，并提供相应的措施项目清单综合单价计算表及工料机分析表。</w:t>
            </w:r>
          </w:p>
          <w:p w14:paraId="3431FAC6">
            <w:pPr>
              <w:widowControl/>
              <w:numPr>
                <w:ilvl w:val="0"/>
                <w:numId w:val="2"/>
              </w:num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以“项”为单位的分部分项工程量清单项目及措施项目为总价子目，合价固定包干，在招标范围内不作调整，投标人报价时应考虑设计方案优化、施工方案调整等风险因素，但工程实施过程中经批准甩项的工程量的措施费按投标口径扣除。</w:t>
            </w:r>
          </w:p>
          <w:p w14:paraId="75A0B24F">
            <w:pPr>
              <w:widowControl/>
              <w:numPr>
                <w:ilvl w:val="0"/>
                <w:numId w:val="2"/>
              </w:num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本工程的所有石材及瓷砖、玻璃、型材、装修建材、管线、灯具等材料进场前中标单位先提供样品由建设单位、设计和监理方确认后方可进场，请充分考虑风险后报价。</w:t>
            </w:r>
          </w:p>
          <w:p w14:paraId="718635A2">
            <w:pPr>
              <w:widowControl/>
              <w:numPr>
                <w:ilvl w:val="0"/>
                <w:numId w:val="2"/>
              </w:num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投标报价应综合考虑各项技术规范及代建方技术规范所涉及的各项要求进行报价，若代建方与国家/省级/地方技术规范发生冲突，以最高标准执行。</w:t>
            </w:r>
          </w:p>
          <w:p w14:paraId="69E87AF3">
            <w:pPr>
              <w:widowControl/>
              <w:numPr>
                <w:ilvl w:val="0"/>
                <w:numId w:val="2"/>
              </w:num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所有铝合金门窗、防火门等门或窗安装所涉及的二次收口，请投标人自行编制相应施工方案并将相关费用考虑在报价内。</w:t>
            </w:r>
          </w:p>
          <w:p w14:paraId="06B1FABF">
            <w:pPr>
              <w:widowControl/>
              <w:numPr>
                <w:ilvl w:val="0"/>
                <w:numId w:val="2"/>
              </w:num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分部分项工程量清单中对工程项目的项目特征及具体做法只作重点描述，详细情况见施工图设计、技术说明、技术措施表及相关标准图集。组价时应结合投标人现场勘察情况包括完成所有工序工作内容的全部费用，清单描述不能作为投标人漏项、漏序的借口。</w:t>
            </w:r>
          </w:p>
          <w:p w14:paraId="2456FDC9">
            <w:pPr>
              <w:widowControl/>
              <w:numPr>
                <w:ilvl w:val="0"/>
                <w:numId w:val="2"/>
              </w:num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请投标人充分考虑本工程所有设备单体调试和系统调试完成且经甲方验收后所需的相关调试费用（如水电费等）、满足设备运行环境和储存环境产生的费用（如除湿、通风、照明等），并计入投标总价内，各投标单位需要在相应的子目中综合考虑费用整。</w:t>
            </w:r>
          </w:p>
          <w:p w14:paraId="604D2B0F">
            <w:pPr>
              <w:widowControl/>
              <w:numPr>
                <w:ilvl w:val="0"/>
                <w:numId w:val="2"/>
              </w:num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工程量清单及其计价依据格式中的任何内容不得随意删除或涂改，若有错误，在招标答疑时及时提出，以“补充答疑”资料为准。</w:t>
            </w:r>
          </w:p>
          <w:p w14:paraId="43E5B293">
            <w:pPr>
              <w:widowControl/>
              <w:numPr>
                <w:ilvl w:val="0"/>
                <w:numId w:val="2"/>
              </w:num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本清单项目特征内未注明的单位均为mm（毫米）。</w:t>
            </w:r>
          </w:p>
          <w:p w14:paraId="74C2AB68">
            <w:pPr>
              <w:widowControl/>
              <w:numPr>
                <w:ilvl w:val="0"/>
                <w:numId w:val="2"/>
              </w:num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若施工场地无法满足投标人临时设施布置需求，由投标人自行就近解决（场地租赁费用及场地到施工现场间的用水用电管线接通、道路接通、人材机的短驳转运及其余应达到市级标化工地标准而产生的费由投标人在组织措施费考虑包干），中标后招标人不再另行支付相关费用。</w:t>
            </w:r>
          </w:p>
          <w:p w14:paraId="212E104E">
            <w:pPr>
              <w:widowControl/>
              <w:numPr>
                <w:ilvl w:val="0"/>
                <w:numId w:val="2"/>
              </w:num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技术措施费项目应包括完成该工程所需的全部技术措施项目费用，本招标工程量清单中的“原有建筑保护费等以“项”为计量单位的技术措施项目清单费用包干，由各投标人根据自己的施工组织设计、现场的各种风险因素进行报价。后期图纸引起的变更及技术联系单变更造成的技术措施费用均不再计算费用。</w:t>
            </w:r>
          </w:p>
          <w:p w14:paraId="27FD902C">
            <w:pPr>
              <w:widowControl/>
              <w:numPr>
                <w:ilvl w:val="0"/>
                <w:numId w:val="2"/>
              </w:num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投标人根据自行确定的施工方案及招标文件相关要求，认为有必要增加的技术措施费，计入其他技术措施费当中，一旦中标不再调整。</w:t>
            </w:r>
          </w:p>
          <w:p w14:paraId="1819CA75">
            <w:pPr>
              <w:widowControl/>
              <w:numPr>
                <w:ilvl w:val="0"/>
                <w:numId w:val="2"/>
              </w:num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所有饰面材料（涂料）、铝合金型材、玻璃等均未区分颜色，请投标单位自行充分考虑不同颜色和规格的报价的影响，实际施工时按业主、设计要求调整，中标后综合单价不变。</w:t>
            </w:r>
          </w:p>
          <w:p w14:paraId="1E535298">
            <w:pPr>
              <w:widowControl/>
              <w:numPr>
                <w:ilvl w:val="0"/>
                <w:numId w:val="2"/>
              </w:num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施工前门窗深化必须经设计人及招标人同意，铝合金型材系列因不同品牌和厂家的选用，比重会不一致，若有差异（包含系列不同），型材重新开模及含量增加费用等可能发生的费用，投标人自行考虑计入投标报价内，结算时不得调整。</w:t>
            </w:r>
          </w:p>
          <w:p w14:paraId="0702C430">
            <w:pPr>
              <w:widowControl/>
              <w:numPr>
                <w:ilvl w:val="0"/>
                <w:numId w:val="2"/>
              </w:num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投标人在投标报价时应充分领会《浙江省建设工程量清单计价指引》中各项目所组合的工程内容。</w:t>
            </w:r>
          </w:p>
          <w:p w14:paraId="754AA6A2">
            <w:pPr>
              <w:widowControl/>
              <w:numPr>
                <w:ilvl w:val="0"/>
                <w:numId w:val="2"/>
              </w:num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本工程施工图做法要求，及与其它相关工程配合所产生的开孔、防水密封等费用均应列入相应清单项目综合报价中，结算时不作调整。</w:t>
            </w:r>
          </w:p>
          <w:p w14:paraId="76D1A8F2">
            <w:pPr>
              <w:widowControl/>
              <w:numPr>
                <w:ilvl w:val="0"/>
                <w:numId w:val="2"/>
              </w:numP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施工单位需要考虑工程移交前工程范围内的卫生保洁费用，以及施工现场配备保安人员做好防盗、防损工作所需的费用，计入措施项目费中，否则视作优惠。</w:t>
            </w:r>
          </w:p>
          <w:p w14:paraId="32A9B06A">
            <w:pPr>
              <w:widowControl/>
              <w:numPr>
                <w:ilvl w:val="0"/>
                <w:numId w:val="2"/>
              </w:numPr>
              <w:spacing w:line="360" w:lineRule="auto"/>
              <w:ind w:firstLine="420" w:firstLineChars="200"/>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根据杭建招标造价中心（2021）84号《关于明确杭州市建筑施工领域安全生产责任保险费用计取的通知》文件规定，投标人在投标报价时，应结合工程实际和企业信用状况将安责险列入企业管理费中进行自主报价。</w:t>
            </w:r>
          </w:p>
          <w:p w14:paraId="42AD8FA5">
            <w:pPr>
              <w:widowControl/>
              <w:numPr>
                <w:ilvl w:val="0"/>
                <w:numId w:val="0"/>
              </w:numPr>
              <w:spacing w:line="360" w:lineRule="auto"/>
              <w:ind w:firstLine="422" w:firstLineChars="200"/>
              <w:jc w:val="left"/>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安装工程</w:t>
            </w:r>
          </w:p>
          <w:p w14:paraId="63881E2E">
            <w:pPr>
              <w:widowControl/>
              <w:numPr>
                <w:ilvl w:val="0"/>
                <w:numId w:val="3"/>
              </w:numPr>
              <w:spacing w:line="360" w:lineRule="auto"/>
              <w:ind w:firstLine="420" w:firstLineChars="200"/>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经设计明确，电气系统中配电箱移位涉及管线缆工程量改造按原竣工蓝图，宿舍配电箱考虑1回路JDG25进线管+5回路JDG20出线管，每个管道预估2m。（具体数量按现场实际为准，工程量按实结算）</w:t>
            </w:r>
          </w:p>
          <w:p w14:paraId="386C861F">
            <w:pPr>
              <w:widowControl/>
              <w:numPr>
                <w:ilvl w:val="0"/>
                <w:numId w:val="3"/>
              </w:numPr>
              <w:spacing w:line="360" w:lineRule="auto"/>
              <w:ind w:firstLine="420" w:firstLineChars="200"/>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经设计明确，宿舍卫生间洁具保洁，墙面砖地面砖清理，如有损坏部分更换；顶面扣板、灯具、换气扇全部更换。</w:t>
            </w:r>
          </w:p>
          <w:p w14:paraId="7EA11E94">
            <w:pPr>
              <w:widowControl/>
              <w:numPr>
                <w:ilvl w:val="0"/>
                <w:numId w:val="3"/>
              </w:numPr>
              <w:spacing w:line="360" w:lineRule="auto"/>
              <w:ind w:left="0" w:leftChars="0" w:firstLine="420" w:firstLineChars="200"/>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经设计明确，宿舍内空调不计入招标工程量清单。</w:t>
            </w:r>
          </w:p>
          <w:p w14:paraId="1C71ED54">
            <w:pPr>
              <w:widowControl/>
              <w:numPr>
                <w:ilvl w:val="0"/>
                <w:numId w:val="3"/>
              </w:numPr>
              <w:spacing w:line="360" w:lineRule="auto"/>
              <w:ind w:left="0" w:leftChars="0" w:firstLine="420" w:firstLineChars="200"/>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门禁必须接入浙江树人学院门禁管理平台</w:t>
            </w:r>
          </w:p>
          <w:p w14:paraId="46602F35">
            <w:pPr>
              <w:widowControl/>
              <w:numPr>
                <w:ilvl w:val="0"/>
                <w:numId w:val="0"/>
              </w:numPr>
              <w:spacing w:line="360" w:lineRule="auto"/>
              <w:ind w:firstLine="422" w:firstLineChars="200"/>
              <w:jc w:val="left"/>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建筑装饰工程</w:t>
            </w:r>
          </w:p>
          <w:p w14:paraId="61D5827F">
            <w:pPr>
              <w:numPr>
                <w:ilvl w:val="0"/>
                <w:numId w:val="4"/>
              </w:numPr>
              <w:adjustRightInd w:val="0"/>
              <w:snapToGrid w:val="0"/>
              <w:spacing w:line="360" w:lineRule="auto"/>
              <w:ind w:firstLine="420" w:firstLineChars="2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经明确。原有墙面及顶面涂料均铲除至原有抹灰层。</w:t>
            </w:r>
          </w:p>
          <w:p w14:paraId="687DC00B">
            <w:pPr>
              <w:numPr>
                <w:ilvl w:val="0"/>
                <w:numId w:val="4"/>
              </w:numPr>
              <w:adjustRightInd w:val="0"/>
              <w:snapToGrid w:val="0"/>
              <w:spacing w:line="360" w:lineRule="auto"/>
              <w:ind w:firstLine="420" w:firstLineChars="2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经明确，顶面铝扣板按全部更换计入。</w:t>
            </w:r>
          </w:p>
          <w:p w14:paraId="116D1239">
            <w:pPr>
              <w:numPr>
                <w:ilvl w:val="0"/>
                <w:numId w:val="4"/>
              </w:numPr>
              <w:adjustRightInd w:val="0"/>
              <w:snapToGrid w:val="0"/>
              <w:spacing w:line="360" w:lineRule="auto"/>
              <w:ind w:firstLine="420" w:firstLineChars="2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经明确，走廊墙面按瓷砖保留（表面清洁），如有损坏小部分部分更换计入。</w:t>
            </w:r>
          </w:p>
          <w:p w14:paraId="20995104">
            <w:pPr>
              <w:numPr>
                <w:ilvl w:val="0"/>
                <w:numId w:val="4"/>
              </w:numPr>
              <w:adjustRightInd w:val="0"/>
              <w:snapToGrid w:val="0"/>
              <w:spacing w:line="360" w:lineRule="auto"/>
              <w:ind w:firstLine="420" w:firstLineChars="2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经明确，楼梯间地面、踏步面、墙面做法按走廊墙地面做法计入。</w:t>
            </w:r>
          </w:p>
          <w:p w14:paraId="2AFE6BEB">
            <w:pPr>
              <w:numPr>
                <w:ilvl w:val="0"/>
                <w:numId w:val="4"/>
              </w:numPr>
              <w:adjustRightInd w:val="0"/>
              <w:snapToGrid w:val="0"/>
              <w:spacing w:line="360" w:lineRule="auto"/>
              <w:ind w:firstLine="420" w:firstLineChars="2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经明确，值班室做法按宿舍做法计入。</w:t>
            </w:r>
          </w:p>
          <w:p w14:paraId="18F03389">
            <w:pPr>
              <w:numPr>
                <w:ilvl w:val="0"/>
                <w:numId w:val="4"/>
              </w:numPr>
              <w:adjustRightInd w:val="0"/>
              <w:snapToGrid w:val="0"/>
              <w:spacing w:line="360" w:lineRule="auto"/>
              <w:ind w:firstLine="420" w:firstLineChars="2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经明确，卫生间门不做更换，如有破损门扇门框修补刷漆。</w:t>
            </w:r>
          </w:p>
          <w:p w14:paraId="3466B664">
            <w:pPr>
              <w:numPr>
                <w:ilvl w:val="0"/>
                <w:numId w:val="4"/>
              </w:numPr>
              <w:adjustRightInd w:val="0"/>
              <w:snapToGrid w:val="0"/>
              <w:spacing w:line="360" w:lineRule="auto"/>
              <w:ind w:firstLine="420" w:firstLineChars="2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经明确，</w:t>
            </w:r>
            <w:r>
              <w:rPr>
                <w:rFonts w:hint="eastAsia" w:ascii="宋体" w:hAnsi="宋体" w:cs="宋体"/>
                <w:color w:val="auto"/>
                <w:sz w:val="21"/>
                <w:szCs w:val="21"/>
                <w:highlight w:val="none"/>
                <w:lang w:val="en-US" w:eastAsia="zh-CN"/>
              </w:rPr>
              <w:t>一层门厅新增值班室及卫生间及对应新增墙体及装饰内容，均不计入</w:t>
            </w:r>
            <w:r>
              <w:rPr>
                <w:rFonts w:hint="eastAsia" w:ascii="宋体" w:hAnsi="宋体" w:eastAsia="宋体" w:cs="宋体"/>
                <w:color w:val="auto"/>
                <w:sz w:val="21"/>
                <w:szCs w:val="21"/>
                <w:highlight w:val="none"/>
                <w:lang w:val="en-US" w:eastAsia="zh-CN"/>
              </w:rPr>
              <w:t>。</w:t>
            </w:r>
          </w:p>
          <w:p w14:paraId="687E7534">
            <w:pPr>
              <w:numPr>
                <w:ilvl w:val="0"/>
                <w:numId w:val="4"/>
              </w:numPr>
              <w:adjustRightInd w:val="0"/>
              <w:snapToGrid w:val="0"/>
              <w:spacing w:line="360" w:lineRule="auto"/>
              <w:ind w:firstLine="420" w:firstLineChars="2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原有阳台地砖修补工程量暂按100m2，原有室内地砖修补工程量暂按200m2，原有走廊及楼梯间墙砖修补工程量暂按200m2计入，最终以现场实际工程量为准。</w:t>
            </w:r>
          </w:p>
          <w:p w14:paraId="513B9181">
            <w:pPr>
              <w:widowControl/>
              <w:numPr>
                <w:ilvl w:val="0"/>
                <w:numId w:val="0"/>
              </w:numPr>
              <w:spacing w:line="360" w:lineRule="auto"/>
              <w:ind w:firstLine="422" w:firstLineChars="200"/>
              <w:jc w:val="left"/>
              <w:rPr>
                <w:rFonts w:hint="eastAsia" w:ascii="宋体" w:hAnsi="宋体" w:cs="宋体"/>
                <w:b/>
                <w:bCs/>
                <w:color w:val="auto"/>
                <w:sz w:val="21"/>
                <w:szCs w:val="21"/>
                <w:highlight w:val="none"/>
                <w:lang w:val="en-US" w:eastAsia="zh-CN"/>
              </w:rPr>
            </w:pPr>
            <w:r>
              <w:rPr>
                <w:rFonts w:hint="eastAsia" w:ascii="宋体" w:hAnsi="宋体" w:cs="宋体"/>
                <w:b/>
                <w:bCs/>
                <w:color w:val="auto"/>
                <w:sz w:val="21"/>
                <w:szCs w:val="21"/>
                <w:highlight w:val="none"/>
                <w:lang w:val="en-US" w:eastAsia="zh-CN"/>
              </w:rPr>
              <w:t>室外管网</w:t>
            </w:r>
          </w:p>
          <w:p w14:paraId="64CDB7C9">
            <w:pPr>
              <w:widowControl/>
              <w:numPr>
                <w:ilvl w:val="0"/>
                <w:numId w:val="0"/>
              </w:numPr>
              <w:spacing w:line="360" w:lineRule="auto"/>
              <w:ind w:firstLine="420" w:firstLineChars="200"/>
              <w:jc w:val="left"/>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1、经设计明确，本项目现状平均标高按3.57m计入。</w:t>
            </w:r>
          </w:p>
          <w:p w14:paraId="312B3EFD">
            <w:pPr>
              <w:numPr>
                <w:numId w:val="0"/>
              </w:numPr>
              <w:adjustRightInd w:val="0"/>
              <w:snapToGrid w:val="0"/>
              <w:spacing w:line="360" w:lineRule="auto"/>
              <w:ind w:firstLine="420" w:firstLineChars="200"/>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2、经设计明确，绿化品种按马尼拉计入。</w:t>
            </w:r>
          </w:p>
          <w:p w14:paraId="3E4493F9">
            <w:pPr>
              <w:numPr>
                <w:numId w:val="0"/>
              </w:numPr>
              <w:adjustRightInd w:val="0"/>
              <w:snapToGrid w:val="0"/>
              <w:spacing w:line="360" w:lineRule="auto"/>
              <w:ind w:firstLine="420" w:firstLineChars="200"/>
              <w:rPr>
                <w:rFonts w:hint="default"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3、经设计明确，给水球墨铸铁管按K9级别，水泥砂浆内衬计入。</w:t>
            </w:r>
          </w:p>
          <w:p w14:paraId="4438732F">
            <w:pPr>
              <w:numPr>
                <w:ilvl w:val="0"/>
                <w:numId w:val="5"/>
              </w:numPr>
              <w:spacing w:line="360" w:lineRule="auto"/>
              <w:ind w:firstLine="422" w:firstLineChars="200"/>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品牌表</w:t>
            </w:r>
          </w:p>
          <w:p w14:paraId="0F7A3752">
            <w:pPr>
              <w:spacing w:line="360" w:lineRule="auto"/>
              <w:ind w:firstLine="1687" w:firstLineChars="800"/>
              <w:rPr>
                <w:rFonts w:hint="eastAsia" w:ascii="宋体" w:hAnsi="宋体" w:eastAsia="宋体" w:cs="宋体"/>
                <w:b/>
                <w:bCs/>
                <w:spacing w:val="4"/>
                <w:sz w:val="21"/>
                <w:szCs w:val="21"/>
              </w:rPr>
            </w:pPr>
            <w:r>
              <w:rPr>
                <w:rFonts w:hint="eastAsia" w:ascii="宋体" w:hAnsi="宋体" w:eastAsia="宋体" w:cs="宋体"/>
                <w:b/>
                <w:bCs/>
                <w:color w:val="auto"/>
                <w:sz w:val="21"/>
                <w:szCs w:val="21"/>
                <w:highlight w:val="none"/>
                <w:lang w:val="en-US" w:eastAsia="zh-CN"/>
              </w:rPr>
              <w:t xml:space="preserve">              </w:t>
            </w:r>
            <w:r>
              <w:rPr>
                <w:rFonts w:hint="eastAsia" w:ascii="宋体" w:hAnsi="宋体" w:eastAsia="宋体" w:cs="宋体"/>
                <w:b/>
                <w:bCs/>
                <w:spacing w:val="4"/>
                <w:sz w:val="21"/>
                <w:szCs w:val="21"/>
              </w:rPr>
              <w:t>常用材料(设备)品牌清单</w:t>
            </w:r>
          </w:p>
          <w:tbl>
            <w:tblPr>
              <w:tblStyle w:val="44"/>
              <w:tblpPr w:leftFromText="180" w:rightFromText="180" w:vertAnchor="text" w:horzAnchor="page" w:tblpXSpec="center" w:tblpY="109"/>
              <w:tblOverlap w:val="never"/>
              <w:tblW w:w="850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556"/>
              <w:gridCol w:w="2250"/>
              <w:gridCol w:w="5694"/>
            </w:tblGrid>
            <w:tr w14:paraId="7D2B200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1" w:hRule="atLeast"/>
                <w:jc w:val="center"/>
              </w:trPr>
              <w:tc>
                <w:tcPr>
                  <w:tcW w:w="8500" w:type="dxa"/>
                  <w:gridSpan w:val="3"/>
                  <w:noWrap w:val="0"/>
                  <w:vAlign w:val="top"/>
                </w:tcPr>
                <w:p w14:paraId="32E6903D">
                  <w:pPr>
                    <w:pStyle w:val="43"/>
                    <w:spacing w:before="52" w:line="360" w:lineRule="auto"/>
                    <w:ind w:left="4048"/>
                    <w:jc w:val="both"/>
                    <w:rPr>
                      <w:rFonts w:hint="eastAsia" w:ascii="宋体" w:hAnsi="宋体" w:eastAsia="宋体" w:cs="宋体"/>
                      <w:sz w:val="21"/>
                      <w:szCs w:val="21"/>
                    </w:rPr>
                  </w:pPr>
                  <w:r>
                    <w:rPr>
                      <w:rFonts w:hint="eastAsia" w:ascii="宋体" w:hAnsi="宋体" w:eastAsia="宋体" w:cs="宋体"/>
                      <w:b/>
                      <w:bCs/>
                      <w:spacing w:val="-4"/>
                      <w:sz w:val="21"/>
                      <w:szCs w:val="21"/>
                    </w:rPr>
                    <w:t>装修材料</w:t>
                  </w:r>
                </w:p>
              </w:tc>
            </w:tr>
            <w:tr w14:paraId="1AF3D9E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7" w:hRule="atLeast"/>
                <w:jc w:val="center"/>
              </w:trPr>
              <w:tc>
                <w:tcPr>
                  <w:tcW w:w="556" w:type="dxa"/>
                  <w:noWrap w:val="0"/>
                  <w:vAlign w:val="top"/>
                </w:tcPr>
                <w:p w14:paraId="4F653220">
                  <w:pPr>
                    <w:pStyle w:val="43"/>
                    <w:spacing w:before="51" w:line="360" w:lineRule="auto"/>
                    <w:ind w:left="0" w:leftChars="0"/>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1</w:t>
                  </w:r>
                </w:p>
              </w:tc>
              <w:tc>
                <w:tcPr>
                  <w:tcW w:w="2250" w:type="dxa"/>
                  <w:noWrap w:val="0"/>
                  <w:vAlign w:val="top"/>
                </w:tcPr>
                <w:p w14:paraId="470A6741">
                  <w:pPr>
                    <w:pStyle w:val="43"/>
                    <w:spacing w:before="51" w:line="360" w:lineRule="auto"/>
                    <w:ind w:left="0" w:leftChars="0"/>
                    <w:jc w:val="center"/>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地砖、墙砖</w:t>
                  </w:r>
                </w:p>
              </w:tc>
              <w:tc>
                <w:tcPr>
                  <w:tcW w:w="5694" w:type="dxa"/>
                  <w:noWrap w:val="0"/>
                  <w:vAlign w:val="top"/>
                </w:tcPr>
                <w:p w14:paraId="7C489135">
                  <w:pPr>
                    <w:pStyle w:val="43"/>
                    <w:spacing w:before="51" w:line="360" w:lineRule="auto"/>
                    <w:ind w:left="0" w:leftChars="0"/>
                    <w:jc w:val="center"/>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冠军、诺贝尔、马可波罗或同档次</w:t>
                  </w:r>
                </w:p>
              </w:tc>
            </w:tr>
            <w:tr w14:paraId="27B1F8F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7" w:hRule="atLeast"/>
                <w:jc w:val="center"/>
              </w:trPr>
              <w:tc>
                <w:tcPr>
                  <w:tcW w:w="556" w:type="dxa"/>
                  <w:noWrap w:val="0"/>
                  <w:vAlign w:val="top"/>
                </w:tcPr>
                <w:p w14:paraId="0CF98E52">
                  <w:pPr>
                    <w:pStyle w:val="43"/>
                    <w:spacing w:before="51" w:line="360" w:lineRule="auto"/>
                    <w:ind w:left="0" w:leftChars="0"/>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2</w:t>
                  </w:r>
                </w:p>
              </w:tc>
              <w:tc>
                <w:tcPr>
                  <w:tcW w:w="2250" w:type="dxa"/>
                  <w:noWrap w:val="0"/>
                  <w:vAlign w:val="top"/>
                </w:tcPr>
                <w:p w14:paraId="25B3F972">
                  <w:pPr>
                    <w:pStyle w:val="43"/>
                    <w:spacing w:before="51" w:line="360" w:lineRule="auto"/>
                    <w:ind w:left="0" w:leftChars="0"/>
                    <w:jc w:val="center"/>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木饰面门</w:t>
                  </w:r>
                </w:p>
              </w:tc>
              <w:tc>
                <w:tcPr>
                  <w:tcW w:w="5694" w:type="dxa"/>
                  <w:noWrap w:val="0"/>
                  <w:vAlign w:val="top"/>
                </w:tcPr>
                <w:p w14:paraId="6C54F95A">
                  <w:pPr>
                    <w:pStyle w:val="43"/>
                    <w:spacing w:before="51" w:line="360" w:lineRule="auto"/>
                    <w:ind w:left="0" w:leftChars="0"/>
                    <w:jc w:val="center"/>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TATA木门、美心Mxin、梦天或同档次</w:t>
                  </w:r>
                </w:p>
              </w:tc>
            </w:tr>
            <w:tr w14:paraId="5B706B2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2" w:hRule="atLeast"/>
                <w:jc w:val="center"/>
              </w:trPr>
              <w:tc>
                <w:tcPr>
                  <w:tcW w:w="556" w:type="dxa"/>
                  <w:noWrap w:val="0"/>
                  <w:vAlign w:val="top"/>
                </w:tcPr>
                <w:p w14:paraId="5E4FCE78">
                  <w:pPr>
                    <w:pStyle w:val="43"/>
                    <w:spacing w:before="51" w:line="360" w:lineRule="auto"/>
                    <w:ind w:left="0" w:leftChars="0"/>
                    <w:jc w:val="center"/>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val="en-US" w:eastAsia="zh-CN"/>
                    </w:rPr>
                    <w:t>3</w:t>
                  </w:r>
                </w:p>
              </w:tc>
              <w:tc>
                <w:tcPr>
                  <w:tcW w:w="2250" w:type="dxa"/>
                  <w:noWrap w:val="0"/>
                  <w:vAlign w:val="top"/>
                </w:tcPr>
                <w:p w14:paraId="397F43A4">
                  <w:pPr>
                    <w:pStyle w:val="43"/>
                    <w:spacing w:before="51" w:line="360" w:lineRule="auto"/>
                    <w:ind w:left="0" w:leftChars="0"/>
                    <w:jc w:val="center"/>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内墙涂料</w:t>
                  </w:r>
                </w:p>
              </w:tc>
              <w:tc>
                <w:tcPr>
                  <w:tcW w:w="5694" w:type="dxa"/>
                  <w:noWrap w:val="0"/>
                  <w:vAlign w:val="top"/>
                </w:tcPr>
                <w:p w14:paraId="074EC7BF">
                  <w:pPr>
                    <w:pStyle w:val="43"/>
                    <w:spacing w:before="51" w:line="360" w:lineRule="auto"/>
                    <w:ind w:left="0" w:leftChars="0"/>
                    <w:jc w:val="center"/>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多乐士、立邦、华润或同档次</w:t>
                  </w:r>
                </w:p>
              </w:tc>
            </w:tr>
            <w:tr w14:paraId="5F1FB31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2" w:hRule="atLeast"/>
                <w:jc w:val="center"/>
              </w:trPr>
              <w:tc>
                <w:tcPr>
                  <w:tcW w:w="556" w:type="dxa"/>
                  <w:noWrap w:val="0"/>
                  <w:vAlign w:val="top"/>
                </w:tcPr>
                <w:p w14:paraId="4B3BE24B">
                  <w:pPr>
                    <w:pStyle w:val="43"/>
                    <w:spacing w:before="51" w:line="360" w:lineRule="auto"/>
                    <w:ind w:left="0" w:leftChars="0"/>
                    <w:jc w:val="center"/>
                    <w:rPr>
                      <w:rFonts w:hint="default" w:ascii="宋体" w:hAnsi="宋体" w:eastAsia="宋体" w:cs="宋体"/>
                      <w:sz w:val="21"/>
                      <w:szCs w:val="21"/>
                      <w:highlight w:val="none"/>
                      <w:lang w:val="en-US" w:eastAsia="zh-CN"/>
                    </w:rPr>
                  </w:pPr>
                  <w:r>
                    <w:rPr>
                      <w:rFonts w:hint="eastAsia" w:cs="宋体"/>
                      <w:sz w:val="21"/>
                      <w:szCs w:val="21"/>
                      <w:highlight w:val="none"/>
                      <w:lang w:val="en-US" w:eastAsia="zh-CN"/>
                    </w:rPr>
                    <w:t>4</w:t>
                  </w:r>
                </w:p>
              </w:tc>
              <w:tc>
                <w:tcPr>
                  <w:tcW w:w="2250" w:type="dxa"/>
                  <w:noWrap w:val="0"/>
                  <w:vAlign w:val="top"/>
                </w:tcPr>
                <w:p w14:paraId="3F0B9C51">
                  <w:pPr>
                    <w:pStyle w:val="43"/>
                    <w:spacing w:before="51" w:line="360" w:lineRule="auto"/>
                    <w:ind w:left="0" w:leftChars="0"/>
                    <w:jc w:val="center"/>
                    <w:rPr>
                      <w:rFonts w:hint="default" w:ascii="宋体" w:hAnsi="宋体" w:eastAsia="宋体" w:cs="宋体"/>
                      <w:sz w:val="21"/>
                      <w:szCs w:val="21"/>
                      <w:highlight w:val="none"/>
                      <w:lang w:val="en-US" w:eastAsia="zh-CN"/>
                    </w:rPr>
                  </w:pPr>
                  <w:r>
                    <w:rPr>
                      <w:rFonts w:hint="eastAsia" w:cs="宋体"/>
                      <w:sz w:val="21"/>
                      <w:szCs w:val="21"/>
                      <w:highlight w:val="none"/>
                      <w:lang w:val="en-US" w:eastAsia="zh-CN"/>
                    </w:rPr>
                    <w:t>铝扣板吊顶</w:t>
                  </w:r>
                </w:p>
              </w:tc>
              <w:tc>
                <w:tcPr>
                  <w:tcW w:w="5694" w:type="dxa"/>
                  <w:noWrap w:val="0"/>
                  <w:vAlign w:val="top"/>
                </w:tcPr>
                <w:p w14:paraId="19F214E8">
                  <w:pPr>
                    <w:pStyle w:val="43"/>
                    <w:spacing w:before="51" w:line="360" w:lineRule="auto"/>
                    <w:ind w:left="0" w:leftChars="0"/>
                    <w:jc w:val="center"/>
                    <w:rPr>
                      <w:rFonts w:hint="eastAsia" w:ascii="宋体" w:hAnsi="宋体" w:eastAsia="宋体" w:cs="宋体"/>
                      <w:sz w:val="21"/>
                      <w:szCs w:val="21"/>
                      <w:highlight w:val="none"/>
                      <w:lang w:val="en-US" w:eastAsia="zh-CN"/>
                    </w:rPr>
                  </w:pPr>
                  <w:r>
                    <w:rPr>
                      <w:rFonts w:hint="eastAsia" w:asciiTheme="minorEastAsia" w:hAnsiTheme="minorEastAsia" w:eastAsiaTheme="minorEastAsia" w:cstheme="minorEastAsia"/>
                      <w:sz w:val="21"/>
                      <w:szCs w:val="21"/>
                    </w:rPr>
                    <w:t>乐思龙、阿姆斯壮、法狮龙或同档次</w:t>
                  </w:r>
                </w:p>
              </w:tc>
            </w:tr>
            <w:tr w14:paraId="1389F6A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2" w:hRule="atLeast"/>
                <w:jc w:val="center"/>
              </w:trPr>
              <w:tc>
                <w:tcPr>
                  <w:tcW w:w="556" w:type="dxa"/>
                  <w:noWrap w:val="0"/>
                  <w:vAlign w:val="top"/>
                </w:tcPr>
                <w:p w14:paraId="2DFC0B1E">
                  <w:pPr>
                    <w:pStyle w:val="43"/>
                    <w:spacing w:before="107" w:line="360" w:lineRule="auto"/>
                    <w:ind w:left="305" w:leftChars="0"/>
                    <w:jc w:val="center"/>
                    <w:rPr>
                      <w:rFonts w:hint="eastAsia" w:ascii="宋体" w:hAnsi="宋体" w:eastAsia="宋体" w:cs="宋体"/>
                      <w:sz w:val="21"/>
                      <w:szCs w:val="21"/>
                      <w:highlight w:val="none"/>
                    </w:rPr>
                  </w:pPr>
                </w:p>
              </w:tc>
              <w:tc>
                <w:tcPr>
                  <w:tcW w:w="7944" w:type="dxa"/>
                  <w:gridSpan w:val="2"/>
                  <w:noWrap w:val="0"/>
                  <w:vAlign w:val="top"/>
                </w:tcPr>
                <w:p w14:paraId="1BD28CAB">
                  <w:pPr>
                    <w:pStyle w:val="43"/>
                    <w:spacing w:before="51" w:line="360" w:lineRule="auto"/>
                    <w:ind w:left="0" w:leftChars="0" w:firstLine="3584" w:firstLineChars="1700"/>
                    <w:jc w:val="both"/>
                    <w:rPr>
                      <w:rFonts w:hint="eastAsia" w:ascii="宋体" w:hAnsi="宋体" w:eastAsia="宋体" w:cs="宋体"/>
                      <w:sz w:val="21"/>
                      <w:szCs w:val="21"/>
                      <w:highlight w:val="none"/>
                      <w:lang w:val="en-US" w:eastAsia="zh-CN"/>
                    </w:rPr>
                  </w:pPr>
                  <w:r>
                    <w:rPr>
                      <w:rFonts w:hint="eastAsia" w:ascii="宋体" w:hAnsi="宋体" w:eastAsia="宋体" w:cs="宋体"/>
                      <w:b/>
                      <w:bCs/>
                      <w:sz w:val="21"/>
                      <w:szCs w:val="21"/>
                      <w:highlight w:val="none"/>
                      <w:lang w:val="en-US" w:eastAsia="zh-CN"/>
                    </w:rPr>
                    <w:t>安装材料</w:t>
                  </w:r>
                </w:p>
              </w:tc>
            </w:tr>
            <w:tr w14:paraId="0667C45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2" w:hRule="atLeast"/>
                <w:jc w:val="center"/>
              </w:trPr>
              <w:tc>
                <w:tcPr>
                  <w:tcW w:w="556" w:type="dxa"/>
                  <w:noWrap w:val="0"/>
                  <w:vAlign w:val="top"/>
                </w:tcPr>
                <w:p w14:paraId="3127EB44">
                  <w:pPr>
                    <w:pStyle w:val="43"/>
                    <w:spacing w:before="51" w:line="360" w:lineRule="auto"/>
                    <w:ind w:left="0" w:leftChars="0"/>
                    <w:jc w:val="center"/>
                    <w:rPr>
                      <w:rFonts w:hint="default" w:ascii="宋体" w:hAnsi="宋体" w:eastAsia="宋体" w:cs="宋体"/>
                      <w:sz w:val="21"/>
                      <w:szCs w:val="21"/>
                      <w:highlight w:val="none"/>
                      <w:lang w:val="en-US" w:eastAsia="zh-CN"/>
                    </w:rPr>
                  </w:pPr>
                  <w:r>
                    <w:rPr>
                      <w:rFonts w:hint="eastAsia" w:cs="宋体"/>
                      <w:sz w:val="21"/>
                      <w:szCs w:val="21"/>
                      <w:highlight w:val="none"/>
                      <w:lang w:val="en-US" w:eastAsia="zh-CN"/>
                    </w:rPr>
                    <w:t>5</w:t>
                  </w:r>
                </w:p>
              </w:tc>
              <w:tc>
                <w:tcPr>
                  <w:tcW w:w="2250" w:type="dxa"/>
                  <w:noWrap w:val="0"/>
                  <w:vAlign w:val="top"/>
                </w:tcPr>
                <w:p w14:paraId="67131BA7">
                  <w:pPr>
                    <w:pStyle w:val="43"/>
                    <w:spacing w:before="51" w:line="217" w:lineRule="auto"/>
                    <w:ind w:left="0" w:leftChars="0"/>
                    <w:jc w:val="center"/>
                    <w:rPr>
                      <w:rFonts w:hint="eastAsia" w:ascii="宋体" w:hAnsi="宋体" w:eastAsia="宋体" w:cs="宋体"/>
                      <w:sz w:val="21"/>
                      <w:szCs w:val="21"/>
                      <w:highlight w:val="none"/>
                      <w:lang w:val="en-US" w:eastAsia="zh-CN"/>
                    </w:rPr>
                  </w:pPr>
                  <w:r>
                    <w:rPr>
                      <w:rFonts w:hint="eastAsia" w:asciiTheme="minorEastAsia" w:hAnsiTheme="minorEastAsia" w:eastAsiaTheme="minorEastAsia" w:cstheme="minorEastAsia"/>
                      <w:sz w:val="21"/>
                      <w:szCs w:val="21"/>
                      <w:highlight w:val="none"/>
                      <w:lang w:val="en-US" w:eastAsia="zh-CN"/>
                    </w:rPr>
                    <w:t>电线电缆</w:t>
                  </w:r>
                </w:p>
              </w:tc>
              <w:tc>
                <w:tcPr>
                  <w:tcW w:w="5694" w:type="dxa"/>
                  <w:noWrap w:val="0"/>
                  <w:vAlign w:val="top"/>
                </w:tcPr>
                <w:p w14:paraId="00E871B2">
                  <w:pPr>
                    <w:pStyle w:val="43"/>
                    <w:spacing w:before="51" w:line="217" w:lineRule="auto"/>
                    <w:ind w:left="0" w:leftChars="0"/>
                    <w:jc w:val="center"/>
                    <w:rPr>
                      <w:rFonts w:hint="eastAsia" w:ascii="宋体" w:hAnsi="宋体" w:eastAsia="宋体" w:cs="宋体"/>
                      <w:sz w:val="21"/>
                      <w:szCs w:val="21"/>
                      <w:highlight w:val="none"/>
                      <w:lang w:val="en-US" w:eastAsia="zh-CN"/>
                    </w:rPr>
                  </w:pPr>
                  <w:r>
                    <w:rPr>
                      <w:rFonts w:hint="eastAsia" w:asciiTheme="minorEastAsia" w:hAnsiTheme="minorEastAsia" w:eastAsiaTheme="minorEastAsia" w:cstheme="minorEastAsia"/>
                      <w:sz w:val="21"/>
                      <w:szCs w:val="21"/>
                      <w:highlight w:val="none"/>
                      <w:lang w:val="en-US" w:eastAsia="zh-CN"/>
                    </w:rPr>
                    <w:t>(浙江)万马、杭州永通牌、浙江久盛、中大元通或同档次</w:t>
                  </w:r>
                </w:p>
              </w:tc>
            </w:tr>
            <w:tr w14:paraId="68F0CA7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2" w:hRule="atLeast"/>
                <w:jc w:val="center"/>
              </w:trPr>
              <w:tc>
                <w:tcPr>
                  <w:tcW w:w="556" w:type="dxa"/>
                  <w:noWrap w:val="0"/>
                  <w:vAlign w:val="top"/>
                </w:tcPr>
                <w:p w14:paraId="6F9D4262">
                  <w:pPr>
                    <w:pStyle w:val="43"/>
                    <w:spacing w:before="51" w:line="360" w:lineRule="auto"/>
                    <w:ind w:left="0" w:leftChars="0"/>
                    <w:jc w:val="center"/>
                    <w:rPr>
                      <w:rFonts w:hint="default" w:ascii="宋体" w:hAnsi="宋体" w:eastAsia="宋体" w:cs="宋体"/>
                      <w:sz w:val="21"/>
                      <w:szCs w:val="21"/>
                      <w:highlight w:val="none"/>
                      <w:lang w:val="en-US" w:eastAsia="zh-CN"/>
                    </w:rPr>
                  </w:pPr>
                  <w:r>
                    <w:rPr>
                      <w:rFonts w:hint="eastAsia" w:cs="宋体"/>
                      <w:sz w:val="21"/>
                      <w:szCs w:val="21"/>
                      <w:highlight w:val="none"/>
                      <w:lang w:val="en-US" w:eastAsia="zh-CN"/>
                    </w:rPr>
                    <w:t>6</w:t>
                  </w:r>
                </w:p>
              </w:tc>
              <w:tc>
                <w:tcPr>
                  <w:tcW w:w="2250" w:type="dxa"/>
                  <w:noWrap w:val="0"/>
                  <w:vAlign w:val="top"/>
                </w:tcPr>
                <w:p w14:paraId="311D6180">
                  <w:pPr>
                    <w:pStyle w:val="43"/>
                    <w:spacing w:before="51" w:line="217" w:lineRule="auto"/>
                    <w:ind w:left="0" w:leftChars="0"/>
                    <w:jc w:val="center"/>
                    <w:rPr>
                      <w:rFonts w:hint="eastAsia" w:ascii="宋体" w:hAnsi="宋体" w:eastAsia="宋体" w:cs="宋体"/>
                      <w:sz w:val="21"/>
                      <w:szCs w:val="21"/>
                      <w:highlight w:val="none"/>
                      <w:lang w:val="en-US" w:eastAsia="zh-CN"/>
                    </w:rPr>
                  </w:pPr>
                  <w:r>
                    <w:rPr>
                      <w:rFonts w:hint="eastAsia" w:asciiTheme="minorEastAsia" w:hAnsiTheme="minorEastAsia" w:eastAsiaTheme="minorEastAsia" w:cstheme="minorEastAsia"/>
                      <w:sz w:val="21"/>
                      <w:szCs w:val="21"/>
                      <w:highlight w:val="none"/>
                      <w:lang w:val="en-US" w:eastAsia="zh-CN"/>
                    </w:rPr>
                    <w:t>照明灯具</w:t>
                  </w:r>
                </w:p>
              </w:tc>
              <w:tc>
                <w:tcPr>
                  <w:tcW w:w="5694" w:type="dxa"/>
                  <w:noWrap w:val="0"/>
                  <w:vAlign w:val="top"/>
                </w:tcPr>
                <w:p w14:paraId="1E414A55">
                  <w:pPr>
                    <w:pStyle w:val="43"/>
                    <w:spacing w:before="51" w:line="217" w:lineRule="auto"/>
                    <w:ind w:left="0" w:leftChars="0"/>
                    <w:jc w:val="center"/>
                    <w:rPr>
                      <w:rFonts w:hint="eastAsia" w:ascii="宋体" w:hAnsi="宋体" w:eastAsia="宋体" w:cs="宋体"/>
                      <w:sz w:val="21"/>
                      <w:szCs w:val="21"/>
                      <w:highlight w:val="none"/>
                      <w:lang w:val="en-US" w:eastAsia="zh-CN"/>
                    </w:rPr>
                  </w:pPr>
                  <w:r>
                    <w:rPr>
                      <w:rFonts w:hint="eastAsia" w:asciiTheme="minorEastAsia" w:hAnsiTheme="minorEastAsia" w:eastAsiaTheme="minorEastAsia" w:cstheme="minorEastAsia"/>
                      <w:sz w:val="21"/>
                      <w:szCs w:val="21"/>
                      <w:highlight w:val="none"/>
                      <w:lang w:val="en-US" w:eastAsia="zh-CN"/>
                    </w:rPr>
                    <w:t>三雄极光、欧普、鸿雁或同档次</w:t>
                  </w:r>
                </w:p>
              </w:tc>
            </w:tr>
            <w:tr w14:paraId="1E64044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2" w:hRule="atLeast"/>
                <w:jc w:val="center"/>
              </w:trPr>
              <w:tc>
                <w:tcPr>
                  <w:tcW w:w="556" w:type="dxa"/>
                  <w:noWrap w:val="0"/>
                  <w:vAlign w:val="top"/>
                </w:tcPr>
                <w:p w14:paraId="103AA94A">
                  <w:pPr>
                    <w:pStyle w:val="43"/>
                    <w:spacing w:before="51" w:line="360" w:lineRule="auto"/>
                    <w:ind w:left="0" w:leftChars="0"/>
                    <w:jc w:val="center"/>
                    <w:rPr>
                      <w:rFonts w:hint="default" w:ascii="宋体" w:hAnsi="宋体" w:eastAsia="宋体" w:cs="宋体"/>
                      <w:sz w:val="21"/>
                      <w:szCs w:val="21"/>
                      <w:highlight w:val="none"/>
                      <w:lang w:val="en-US" w:eastAsia="zh-CN"/>
                    </w:rPr>
                  </w:pPr>
                  <w:r>
                    <w:rPr>
                      <w:rFonts w:hint="eastAsia" w:cs="宋体"/>
                      <w:sz w:val="21"/>
                      <w:szCs w:val="21"/>
                      <w:highlight w:val="none"/>
                      <w:lang w:val="en-US" w:eastAsia="zh-CN"/>
                    </w:rPr>
                    <w:t>7</w:t>
                  </w:r>
                </w:p>
              </w:tc>
              <w:tc>
                <w:tcPr>
                  <w:tcW w:w="2250" w:type="dxa"/>
                  <w:noWrap w:val="0"/>
                  <w:vAlign w:val="top"/>
                </w:tcPr>
                <w:p w14:paraId="67ED6AE8">
                  <w:pPr>
                    <w:pStyle w:val="43"/>
                    <w:spacing w:before="51" w:line="360" w:lineRule="auto"/>
                    <w:ind w:left="0" w:leftChars="0"/>
                    <w:jc w:val="center"/>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门禁</w:t>
                  </w:r>
                </w:p>
              </w:tc>
              <w:tc>
                <w:tcPr>
                  <w:tcW w:w="5694" w:type="dxa"/>
                  <w:noWrap w:val="0"/>
                  <w:vAlign w:val="top"/>
                </w:tcPr>
                <w:p w14:paraId="55AA66B3">
                  <w:pPr>
                    <w:pStyle w:val="43"/>
                    <w:spacing w:before="51" w:line="360" w:lineRule="auto"/>
                    <w:ind w:left="0" w:leftChars="0"/>
                    <w:jc w:val="center"/>
                    <w:rPr>
                      <w:rFonts w:hint="eastAsia" w:ascii="宋体" w:hAnsi="宋体" w:eastAsia="宋体" w:cs="宋体"/>
                      <w:sz w:val="21"/>
                      <w:szCs w:val="21"/>
                      <w:highlight w:val="none"/>
                      <w:lang w:val="en-US" w:eastAsia="zh-CN"/>
                    </w:rPr>
                  </w:pPr>
                  <w:r>
                    <w:rPr>
                      <w:rFonts w:hint="eastAsia" w:asciiTheme="minorEastAsia" w:hAnsiTheme="minorEastAsia" w:eastAsiaTheme="minorEastAsia" w:cstheme="minorEastAsia"/>
                      <w:sz w:val="21"/>
                      <w:szCs w:val="21"/>
                      <w:highlight w:val="none"/>
                      <w:lang w:val="en-US" w:eastAsia="zh-CN"/>
                    </w:rPr>
                    <w:t>正元智慧、海康威视、大华或同档次</w:t>
                  </w:r>
                </w:p>
              </w:tc>
            </w:tr>
            <w:tr w14:paraId="415B8BA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2" w:hRule="atLeast"/>
                <w:jc w:val="center"/>
              </w:trPr>
              <w:tc>
                <w:tcPr>
                  <w:tcW w:w="556" w:type="dxa"/>
                  <w:noWrap w:val="0"/>
                  <w:vAlign w:val="top"/>
                </w:tcPr>
                <w:p w14:paraId="0ADDF4E1">
                  <w:pPr>
                    <w:pStyle w:val="43"/>
                    <w:spacing w:before="51" w:line="360" w:lineRule="auto"/>
                    <w:ind w:left="0" w:leftChars="0"/>
                    <w:jc w:val="center"/>
                    <w:rPr>
                      <w:rFonts w:hint="default" w:ascii="宋体" w:hAnsi="宋体" w:eastAsia="宋体" w:cs="宋体"/>
                      <w:sz w:val="21"/>
                      <w:szCs w:val="21"/>
                      <w:highlight w:val="none"/>
                      <w:lang w:val="en-US" w:eastAsia="zh-CN"/>
                    </w:rPr>
                  </w:pPr>
                  <w:r>
                    <w:rPr>
                      <w:rFonts w:hint="eastAsia" w:cs="宋体"/>
                      <w:sz w:val="21"/>
                      <w:szCs w:val="21"/>
                      <w:highlight w:val="none"/>
                      <w:lang w:val="en-US" w:eastAsia="zh-CN"/>
                    </w:rPr>
                    <w:t>8</w:t>
                  </w:r>
                </w:p>
              </w:tc>
              <w:tc>
                <w:tcPr>
                  <w:tcW w:w="2250" w:type="dxa"/>
                  <w:noWrap w:val="0"/>
                  <w:vAlign w:val="top"/>
                </w:tcPr>
                <w:p w14:paraId="00879691">
                  <w:pPr>
                    <w:pStyle w:val="43"/>
                    <w:spacing w:before="51" w:line="360" w:lineRule="auto"/>
                    <w:ind w:left="0" w:leftChars="0"/>
                    <w:jc w:val="center"/>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监控</w:t>
                  </w:r>
                </w:p>
              </w:tc>
              <w:tc>
                <w:tcPr>
                  <w:tcW w:w="5694" w:type="dxa"/>
                  <w:noWrap w:val="0"/>
                  <w:vAlign w:val="top"/>
                </w:tcPr>
                <w:p w14:paraId="74B974CB">
                  <w:pPr>
                    <w:pStyle w:val="43"/>
                    <w:spacing w:before="51" w:line="360" w:lineRule="auto"/>
                    <w:ind w:left="0" w:leftChars="0"/>
                    <w:jc w:val="center"/>
                    <w:rPr>
                      <w:rFonts w:hint="default"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海康</w:t>
                  </w:r>
                  <w:r>
                    <w:rPr>
                      <w:rFonts w:hint="eastAsia" w:asciiTheme="minorEastAsia" w:hAnsiTheme="minorEastAsia" w:eastAsiaTheme="minorEastAsia" w:cstheme="minorEastAsia"/>
                      <w:sz w:val="21"/>
                      <w:szCs w:val="21"/>
                      <w:highlight w:val="none"/>
                      <w:lang w:val="en-US" w:eastAsia="zh-CN"/>
                    </w:rPr>
                    <w:t>威视</w:t>
                  </w:r>
                  <w:r>
                    <w:rPr>
                      <w:rFonts w:hint="eastAsia" w:ascii="宋体" w:hAnsi="宋体" w:eastAsia="宋体" w:cs="宋体"/>
                      <w:sz w:val="21"/>
                      <w:szCs w:val="21"/>
                      <w:highlight w:val="none"/>
                      <w:lang w:val="en-US" w:eastAsia="zh-CN"/>
                    </w:rPr>
                    <w:t>、大华</w:t>
                  </w:r>
                  <w:r>
                    <w:rPr>
                      <w:rFonts w:hint="eastAsia" w:cs="宋体"/>
                      <w:sz w:val="21"/>
                      <w:szCs w:val="21"/>
                      <w:highlight w:val="none"/>
                      <w:lang w:val="en-US" w:eastAsia="zh-CN"/>
                    </w:rPr>
                    <w:t>、宇视</w:t>
                  </w:r>
                  <w:r>
                    <w:rPr>
                      <w:rFonts w:hint="eastAsia" w:asciiTheme="minorEastAsia" w:hAnsiTheme="minorEastAsia" w:eastAsiaTheme="minorEastAsia" w:cstheme="minorEastAsia"/>
                      <w:sz w:val="21"/>
                      <w:szCs w:val="21"/>
                      <w:highlight w:val="none"/>
                      <w:lang w:val="en-US" w:eastAsia="zh-CN"/>
                    </w:rPr>
                    <w:t>或同档次</w:t>
                  </w:r>
                </w:p>
              </w:tc>
            </w:tr>
            <w:tr w14:paraId="4C62EBA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2" w:hRule="atLeast"/>
                <w:jc w:val="center"/>
              </w:trPr>
              <w:tc>
                <w:tcPr>
                  <w:tcW w:w="556" w:type="dxa"/>
                  <w:noWrap w:val="0"/>
                  <w:vAlign w:val="top"/>
                </w:tcPr>
                <w:p w14:paraId="496B5D34">
                  <w:pPr>
                    <w:pStyle w:val="43"/>
                    <w:spacing w:before="51" w:line="360" w:lineRule="auto"/>
                    <w:ind w:left="0" w:leftChars="0"/>
                    <w:jc w:val="center"/>
                    <w:rPr>
                      <w:rFonts w:hint="eastAsia" w:cs="宋体"/>
                      <w:sz w:val="21"/>
                      <w:szCs w:val="21"/>
                      <w:highlight w:val="none"/>
                      <w:lang w:val="en-US" w:eastAsia="zh-CN"/>
                    </w:rPr>
                  </w:pPr>
                </w:p>
              </w:tc>
              <w:tc>
                <w:tcPr>
                  <w:tcW w:w="7944" w:type="dxa"/>
                  <w:gridSpan w:val="2"/>
                  <w:noWrap w:val="0"/>
                  <w:vAlign w:val="top"/>
                </w:tcPr>
                <w:p w14:paraId="61820449">
                  <w:pPr>
                    <w:pStyle w:val="43"/>
                    <w:spacing w:before="51" w:line="360" w:lineRule="auto"/>
                    <w:ind w:left="0" w:leftChars="0"/>
                    <w:jc w:val="center"/>
                    <w:rPr>
                      <w:rFonts w:hint="default" w:ascii="宋体" w:hAnsi="宋体" w:eastAsia="宋体" w:cs="宋体"/>
                      <w:sz w:val="21"/>
                      <w:szCs w:val="21"/>
                      <w:highlight w:val="none"/>
                      <w:lang w:val="en-US" w:eastAsia="zh-CN"/>
                    </w:rPr>
                  </w:pPr>
                  <w:r>
                    <w:rPr>
                      <w:rFonts w:hint="eastAsia" w:cs="宋体"/>
                      <w:b/>
                      <w:bCs/>
                      <w:sz w:val="21"/>
                      <w:szCs w:val="21"/>
                      <w:highlight w:val="none"/>
                      <w:lang w:val="en-US" w:eastAsia="zh-CN"/>
                    </w:rPr>
                    <w:t>室外管网材料</w:t>
                  </w:r>
                </w:p>
              </w:tc>
            </w:tr>
            <w:tr w14:paraId="69FF13E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2" w:hRule="atLeast"/>
                <w:jc w:val="center"/>
              </w:trPr>
              <w:tc>
                <w:tcPr>
                  <w:tcW w:w="556" w:type="dxa"/>
                  <w:shd w:val="clear"/>
                  <w:noWrap w:val="0"/>
                  <w:vAlign w:val="top"/>
                </w:tcPr>
                <w:p w14:paraId="78BDD7E2">
                  <w:pPr>
                    <w:pStyle w:val="43"/>
                    <w:spacing w:before="51" w:line="360" w:lineRule="auto"/>
                    <w:ind w:left="0" w:leftChars="0"/>
                    <w:jc w:val="center"/>
                    <w:rPr>
                      <w:rFonts w:hint="eastAsia" w:ascii="宋体" w:hAnsi="宋体" w:eastAsia="宋体" w:cs="宋体"/>
                      <w:kern w:val="2"/>
                      <w:sz w:val="21"/>
                      <w:szCs w:val="21"/>
                      <w:highlight w:val="none"/>
                      <w:lang w:val="en-US" w:eastAsia="zh-CN" w:bidi="ar-SA"/>
                    </w:rPr>
                  </w:pPr>
                  <w:r>
                    <w:rPr>
                      <w:rFonts w:hint="eastAsia" w:cs="宋体"/>
                      <w:sz w:val="21"/>
                      <w:szCs w:val="21"/>
                      <w:highlight w:val="none"/>
                      <w:lang w:val="en-US" w:eastAsia="zh-CN"/>
                    </w:rPr>
                    <w:t>9</w:t>
                  </w:r>
                </w:p>
              </w:tc>
              <w:tc>
                <w:tcPr>
                  <w:tcW w:w="2250" w:type="dxa"/>
                  <w:shd w:val="clear"/>
                  <w:noWrap w:val="0"/>
                  <w:vAlign w:val="top"/>
                </w:tcPr>
                <w:p w14:paraId="18D85335">
                  <w:pPr>
                    <w:pStyle w:val="43"/>
                    <w:spacing w:before="51" w:line="217" w:lineRule="auto"/>
                    <w:ind w:left="0" w:leftChars="0"/>
                    <w:jc w:val="center"/>
                    <w:rPr>
                      <w:rFonts w:hint="eastAsia" w:ascii="宋体" w:hAnsi="宋体" w:eastAsia="宋体" w:cs="宋体"/>
                      <w:kern w:val="2"/>
                      <w:sz w:val="21"/>
                      <w:szCs w:val="21"/>
                      <w:highlight w:val="none"/>
                      <w:lang w:val="en-US" w:eastAsia="zh-CN" w:bidi="ar-SA"/>
                    </w:rPr>
                  </w:pPr>
                  <w:r>
                    <w:rPr>
                      <w:rFonts w:hint="eastAsia" w:asciiTheme="minorEastAsia" w:hAnsiTheme="minorEastAsia" w:eastAsiaTheme="minorEastAsia" w:cstheme="minorEastAsia"/>
                      <w:sz w:val="21"/>
                      <w:szCs w:val="21"/>
                      <w:highlight w:val="none"/>
                      <w:lang w:val="en-US" w:eastAsia="zh-CN"/>
                    </w:rPr>
                    <w:t>阀门</w:t>
                  </w:r>
                </w:p>
              </w:tc>
              <w:tc>
                <w:tcPr>
                  <w:tcW w:w="5694" w:type="dxa"/>
                  <w:shd w:val="clear"/>
                  <w:noWrap w:val="0"/>
                  <w:vAlign w:val="top"/>
                </w:tcPr>
                <w:p w14:paraId="5A41DECC">
                  <w:pPr>
                    <w:pStyle w:val="43"/>
                    <w:spacing w:before="51" w:line="217" w:lineRule="auto"/>
                    <w:ind w:left="0" w:leftChars="0"/>
                    <w:jc w:val="center"/>
                    <w:rPr>
                      <w:rFonts w:hint="eastAsia" w:ascii="宋体" w:hAnsi="宋体" w:eastAsia="宋体" w:cs="宋体"/>
                      <w:kern w:val="2"/>
                      <w:sz w:val="21"/>
                      <w:szCs w:val="21"/>
                      <w:highlight w:val="none"/>
                      <w:lang w:val="en-US" w:eastAsia="zh-CN" w:bidi="ar-SA"/>
                    </w:rPr>
                  </w:pPr>
                  <w:r>
                    <w:rPr>
                      <w:rFonts w:hint="eastAsia" w:asciiTheme="minorEastAsia" w:hAnsiTheme="minorEastAsia" w:eastAsiaTheme="minorEastAsia" w:cstheme="minorEastAsia"/>
                      <w:sz w:val="21"/>
                      <w:szCs w:val="21"/>
                      <w:highlight w:val="none"/>
                      <w:lang w:val="en-US" w:eastAsia="zh-CN"/>
                    </w:rPr>
                    <w:t>上海欧特莱、宁波埃美柯、上海奥维科雅或同档次</w:t>
                  </w:r>
                </w:p>
              </w:tc>
            </w:tr>
            <w:tr w14:paraId="65AE396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1" w:hRule="atLeast"/>
                <w:jc w:val="center"/>
              </w:trPr>
              <w:tc>
                <w:tcPr>
                  <w:tcW w:w="0" w:type="auto"/>
                  <w:shd w:val="clear"/>
                  <w:vAlign w:val="top"/>
                </w:tcPr>
                <w:p w14:paraId="3CEA5857">
                  <w:pPr>
                    <w:pStyle w:val="43"/>
                    <w:spacing w:before="51" w:line="360" w:lineRule="auto"/>
                    <w:ind w:left="0" w:leftChars="0"/>
                    <w:jc w:val="center"/>
                    <w:rPr>
                      <w:rFonts w:hint="default" w:ascii="宋体" w:hAnsi="宋体" w:eastAsia="宋体" w:cs="宋体"/>
                      <w:kern w:val="2"/>
                      <w:sz w:val="21"/>
                      <w:szCs w:val="21"/>
                      <w:highlight w:val="none"/>
                      <w:lang w:val="en-US" w:eastAsia="zh-CN" w:bidi="ar-SA"/>
                    </w:rPr>
                  </w:pPr>
                  <w:r>
                    <w:rPr>
                      <w:rFonts w:hint="eastAsia" w:cs="宋体"/>
                      <w:sz w:val="21"/>
                      <w:szCs w:val="21"/>
                      <w:highlight w:val="none"/>
                      <w:lang w:val="en-US" w:eastAsia="zh-CN"/>
                    </w:rPr>
                    <w:t>10</w:t>
                  </w:r>
                </w:p>
              </w:tc>
              <w:tc>
                <w:tcPr>
                  <w:tcW w:w="2250" w:type="dxa"/>
                  <w:shd w:val="clear"/>
                  <w:vAlign w:val="top"/>
                </w:tcPr>
                <w:p w14:paraId="3452C15C">
                  <w:pPr>
                    <w:pStyle w:val="43"/>
                    <w:spacing w:before="51" w:line="217" w:lineRule="auto"/>
                    <w:ind w:left="0" w:leftChars="0"/>
                    <w:jc w:val="center"/>
                    <w:rPr>
                      <w:rFonts w:hint="eastAsia" w:ascii="宋体" w:hAnsi="宋体" w:eastAsia="宋体" w:cs="宋体"/>
                      <w:kern w:val="2"/>
                      <w:sz w:val="21"/>
                      <w:szCs w:val="21"/>
                      <w:highlight w:val="none"/>
                      <w:lang w:val="en-US" w:eastAsia="zh-CN" w:bidi="ar-SA"/>
                    </w:rPr>
                  </w:pPr>
                  <w:r>
                    <w:rPr>
                      <w:rFonts w:hint="eastAsia" w:asciiTheme="minorEastAsia" w:hAnsiTheme="minorEastAsia" w:eastAsiaTheme="minorEastAsia" w:cstheme="minorEastAsia"/>
                      <w:sz w:val="21"/>
                      <w:szCs w:val="21"/>
                      <w:highlight w:val="none"/>
                      <w:lang w:val="en-US" w:eastAsia="zh-CN"/>
                    </w:rPr>
                    <w:t>水表</w:t>
                  </w:r>
                </w:p>
              </w:tc>
              <w:tc>
                <w:tcPr>
                  <w:tcW w:w="5694" w:type="dxa"/>
                  <w:shd w:val="clear"/>
                  <w:vAlign w:val="top"/>
                </w:tcPr>
                <w:p w14:paraId="606FF45E">
                  <w:pPr>
                    <w:pStyle w:val="43"/>
                    <w:spacing w:before="51" w:line="217" w:lineRule="auto"/>
                    <w:ind w:left="0" w:leftChars="0"/>
                    <w:jc w:val="center"/>
                    <w:rPr>
                      <w:rFonts w:hint="eastAsia" w:ascii="宋体" w:hAnsi="宋体" w:eastAsia="宋体" w:cs="宋体"/>
                      <w:kern w:val="2"/>
                      <w:sz w:val="21"/>
                      <w:szCs w:val="21"/>
                      <w:highlight w:val="none"/>
                      <w:lang w:val="en-US" w:eastAsia="zh-CN" w:bidi="ar-SA"/>
                    </w:rPr>
                  </w:pPr>
                  <w:r>
                    <w:rPr>
                      <w:rFonts w:hint="eastAsia" w:asciiTheme="minorEastAsia" w:hAnsiTheme="minorEastAsia" w:eastAsiaTheme="minorEastAsia" w:cstheme="minorEastAsia"/>
                      <w:sz w:val="21"/>
                      <w:szCs w:val="21"/>
                      <w:highlight w:val="none"/>
                      <w:lang w:val="en-US" w:eastAsia="zh-CN"/>
                    </w:rPr>
                    <w:t>宁波水表，宁波优静、杭仪或同档次</w:t>
                  </w:r>
                </w:p>
              </w:tc>
            </w:tr>
            <w:tr w14:paraId="47B331D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2" w:hRule="atLeast"/>
                <w:jc w:val="center"/>
              </w:trPr>
              <w:tc>
                <w:tcPr>
                  <w:tcW w:w="0" w:type="auto"/>
                  <w:shd w:val="clear"/>
                  <w:vAlign w:val="top"/>
                </w:tcPr>
                <w:p w14:paraId="5975D41A">
                  <w:pPr>
                    <w:pStyle w:val="43"/>
                    <w:spacing w:before="51" w:line="360" w:lineRule="auto"/>
                    <w:ind w:left="0" w:leftChars="0"/>
                    <w:jc w:val="center"/>
                    <w:rPr>
                      <w:rFonts w:hint="default" w:ascii="宋体" w:hAnsi="宋体" w:eastAsia="宋体" w:cs="宋体"/>
                      <w:kern w:val="2"/>
                      <w:sz w:val="21"/>
                      <w:szCs w:val="21"/>
                      <w:highlight w:val="none"/>
                      <w:lang w:val="en-US" w:eastAsia="zh-CN" w:bidi="ar-SA"/>
                    </w:rPr>
                  </w:pPr>
                  <w:r>
                    <w:rPr>
                      <w:rFonts w:hint="eastAsia" w:cs="宋体"/>
                      <w:sz w:val="21"/>
                      <w:szCs w:val="21"/>
                      <w:highlight w:val="none"/>
                      <w:lang w:val="en-US" w:eastAsia="zh-CN"/>
                    </w:rPr>
                    <w:t>11</w:t>
                  </w:r>
                </w:p>
              </w:tc>
              <w:tc>
                <w:tcPr>
                  <w:tcW w:w="2250" w:type="dxa"/>
                  <w:shd w:val="clear"/>
                  <w:vAlign w:val="top"/>
                </w:tcPr>
                <w:p w14:paraId="02878934">
                  <w:pPr>
                    <w:pStyle w:val="43"/>
                    <w:spacing w:before="51" w:line="360" w:lineRule="auto"/>
                    <w:ind w:left="0" w:leftChars="0"/>
                    <w:jc w:val="center"/>
                    <w:rPr>
                      <w:rFonts w:hint="eastAsia" w:ascii="宋体" w:hAnsi="宋体" w:eastAsia="宋体" w:cs="宋体"/>
                      <w:kern w:val="2"/>
                      <w:sz w:val="21"/>
                      <w:szCs w:val="21"/>
                      <w:highlight w:val="none"/>
                      <w:lang w:val="en-US" w:eastAsia="zh-CN" w:bidi="ar-SA"/>
                    </w:rPr>
                  </w:pPr>
                  <w:r>
                    <w:rPr>
                      <w:rFonts w:hint="eastAsia" w:ascii="宋体" w:hAnsi="宋体" w:eastAsia="宋体" w:cs="宋体"/>
                      <w:sz w:val="21"/>
                      <w:szCs w:val="21"/>
                      <w:highlight w:val="none"/>
                      <w:lang w:val="en-US" w:eastAsia="zh-CN"/>
                    </w:rPr>
                    <w:t>HDPE排水管</w:t>
                  </w:r>
                </w:p>
              </w:tc>
              <w:tc>
                <w:tcPr>
                  <w:tcW w:w="5694" w:type="dxa"/>
                  <w:shd w:val="clear"/>
                  <w:vAlign w:val="top"/>
                </w:tcPr>
                <w:p w14:paraId="16FE6260">
                  <w:pPr>
                    <w:pStyle w:val="43"/>
                    <w:spacing w:before="51" w:line="360" w:lineRule="auto"/>
                    <w:ind w:left="0" w:leftChars="0"/>
                    <w:jc w:val="center"/>
                    <w:rPr>
                      <w:rFonts w:hint="eastAsia" w:ascii="宋体" w:hAnsi="宋体" w:eastAsia="宋体" w:cs="宋体"/>
                      <w:kern w:val="2"/>
                      <w:sz w:val="21"/>
                      <w:szCs w:val="21"/>
                      <w:highlight w:val="none"/>
                      <w:lang w:val="en-US" w:eastAsia="zh-CN" w:bidi="ar-SA"/>
                    </w:rPr>
                  </w:pPr>
                  <w:r>
                    <w:rPr>
                      <w:rFonts w:hint="eastAsia" w:asciiTheme="minorEastAsia" w:hAnsiTheme="minorEastAsia" w:eastAsiaTheme="minorEastAsia" w:cstheme="minorEastAsia"/>
                      <w:sz w:val="21"/>
                      <w:szCs w:val="21"/>
                      <w:highlight w:val="none"/>
                      <w:lang w:val="en-US" w:eastAsia="zh-CN"/>
                    </w:rPr>
                    <w:t>中财、日丰、保利管道或同档次</w:t>
                  </w:r>
                </w:p>
              </w:tc>
            </w:tr>
            <w:tr w14:paraId="53CBC65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2" w:hRule="atLeast"/>
                <w:jc w:val="center"/>
              </w:trPr>
              <w:tc>
                <w:tcPr>
                  <w:tcW w:w="0" w:type="auto"/>
                  <w:shd w:val="clear"/>
                  <w:vAlign w:val="top"/>
                </w:tcPr>
                <w:p w14:paraId="2FA37E88">
                  <w:pPr>
                    <w:pStyle w:val="43"/>
                    <w:spacing w:before="51" w:line="360" w:lineRule="auto"/>
                    <w:ind w:left="0" w:leftChars="0"/>
                    <w:jc w:val="center"/>
                    <w:rPr>
                      <w:rFonts w:hint="default" w:ascii="宋体" w:hAnsi="宋体" w:eastAsia="宋体" w:cs="宋体"/>
                      <w:kern w:val="2"/>
                      <w:sz w:val="21"/>
                      <w:szCs w:val="21"/>
                      <w:highlight w:val="none"/>
                      <w:lang w:val="en-US" w:eastAsia="zh-CN" w:bidi="ar-SA"/>
                    </w:rPr>
                  </w:pPr>
                  <w:r>
                    <w:rPr>
                      <w:rFonts w:hint="eastAsia" w:cs="宋体"/>
                      <w:sz w:val="21"/>
                      <w:szCs w:val="21"/>
                      <w:highlight w:val="none"/>
                      <w:lang w:val="en-US" w:eastAsia="zh-CN"/>
                    </w:rPr>
                    <w:t>12</w:t>
                  </w:r>
                </w:p>
              </w:tc>
              <w:tc>
                <w:tcPr>
                  <w:tcW w:w="2250" w:type="dxa"/>
                  <w:shd w:val="clear"/>
                  <w:vAlign w:val="top"/>
                </w:tcPr>
                <w:p w14:paraId="5B909771">
                  <w:pPr>
                    <w:pStyle w:val="43"/>
                    <w:spacing w:before="51" w:line="360" w:lineRule="auto"/>
                    <w:ind w:left="0" w:leftChars="0"/>
                    <w:jc w:val="center"/>
                    <w:rPr>
                      <w:rFonts w:hint="eastAsia" w:ascii="宋体" w:hAnsi="宋体" w:eastAsia="宋体" w:cs="宋体"/>
                      <w:kern w:val="2"/>
                      <w:sz w:val="21"/>
                      <w:szCs w:val="21"/>
                      <w:highlight w:val="none"/>
                      <w:lang w:val="en-US" w:eastAsia="zh-CN" w:bidi="ar-SA"/>
                    </w:rPr>
                  </w:pPr>
                  <w:r>
                    <w:rPr>
                      <w:rFonts w:hint="eastAsia" w:ascii="宋体" w:hAnsi="宋体" w:eastAsia="宋体" w:cs="宋体"/>
                      <w:sz w:val="21"/>
                      <w:szCs w:val="21"/>
                      <w:highlight w:val="none"/>
                      <w:lang w:val="en-US" w:eastAsia="zh-CN"/>
                    </w:rPr>
                    <w:t>塑料管</w:t>
                  </w:r>
                </w:p>
              </w:tc>
              <w:tc>
                <w:tcPr>
                  <w:tcW w:w="5694" w:type="dxa"/>
                  <w:shd w:val="clear"/>
                  <w:vAlign w:val="top"/>
                </w:tcPr>
                <w:p w14:paraId="573722CF">
                  <w:pPr>
                    <w:pStyle w:val="43"/>
                    <w:spacing w:before="51" w:line="360" w:lineRule="auto"/>
                    <w:ind w:left="0" w:leftChars="0"/>
                    <w:jc w:val="center"/>
                    <w:rPr>
                      <w:rFonts w:hint="eastAsia" w:ascii="宋体" w:hAnsi="宋体" w:eastAsia="宋体" w:cs="宋体"/>
                      <w:kern w:val="2"/>
                      <w:sz w:val="21"/>
                      <w:szCs w:val="21"/>
                      <w:highlight w:val="none"/>
                      <w:lang w:val="en-US" w:eastAsia="zh-CN" w:bidi="ar-SA"/>
                    </w:rPr>
                  </w:pPr>
                  <w:r>
                    <w:rPr>
                      <w:rFonts w:hint="eastAsia" w:ascii="宋体" w:hAnsi="宋体" w:eastAsia="宋体" w:cs="宋体"/>
                      <w:sz w:val="21"/>
                      <w:szCs w:val="21"/>
                      <w:highlight w:val="none"/>
                      <w:lang w:val="en-US" w:eastAsia="zh-CN"/>
                    </w:rPr>
                    <w:t>中财、伟星、公元</w:t>
                  </w:r>
                  <w:r>
                    <w:rPr>
                      <w:rFonts w:hint="eastAsia" w:asciiTheme="minorEastAsia" w:hAnsiTheme="minorEastAsia" w:eastAsiaTheme="minorEastAsia" w:cstheme="minorEastAsia"/>
                      <w:sz w:val="21"/>
                      <w:szCs w:val="21"/>
                      <w:highlight w:val="none"/>
                      <w:lang w:val="en-US" w:eastAsia="zh-CN"/>
                    </w:rPr>
                    <w:t>或同档次</w:t>
                  </w:r>
                </w:p>
              </w:tc>
            </w:tr>
            <w:tr w14:paraId="36CA48B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2" w:hRule="atLeast"/>
                <w:jc w:val="center"/>
              </w:trPr>
              <w:tc>
                <w:tcPr>
                  <w:tcW w:w="0" w:type="auto"/>
                  <w:shd w:val="clear"/>
                  <w:vAlign w:val="top"/>
                </w:tcPr>
                <w:p w14:paraId="14F489D0">
                  <w:pPr>
                    <w:pStyle w:val="43"/>
                    <w:spacing w:before="51" w:line="360" w:lineRule="auto"/>
                    <w:ind w:left="0" w:leftChars="0"/>
                    <w:jc w:val="center"/>
                    <w:rPr>
                      <w:rFonts w:hint="default" w:cs="宋体"/>
                      <w:sz w:val="21"/>
                      <w:szCs w:val="21"/>
                      <w:highlight w:val="none"/>
                      <w:lang w:val="en-US" w:eastAsia="zh-CN"/>
                    </w:rPr>
                  </w:pPr>
                  <w:r>
                    <w:rPr>
                      <w:rFonts w:hint="eastAsia" w:cs="宋体"/>
                      <w:sz w:val="21"/>
                      <w:szCs w:val="21"/>
                      <w:highlight w:val="none"/>
                      <w:lang w:val="en-US" w:eastAsia="zh-CN"/>
                    </w:rPr>
                    <w:t>13</w:t>
                  </w:r>
                </w:p>
              </w:tc>
              <w:tc>
                <w:tcPr>
                  <w:tcW w:w="2250" w:type="dxa"/>
                  <w:shd w:val="clear"/>
                  <w:vAlign w:val="top"/>
                </w:tcPr>
                <w:p w14:paraId="6CB9AD8E">
                  <w:pPr>
                    <w:pStyle w:val="43"/>
                    <w:spacing w:before="51" w:line="360" w:lineRule="auto"/>
                    <w:ind w:left="0" w:leftChars="0"/>
                    <w:jc w:val="center"/>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热镀锌钢管</w:t>
                  </w:r>
                </w:p>
              </w:tc>
              <w:tc>
                <w:tcPr>
                  <w:tcW w:w="5694" w:type="dxa"/>
                  <w:shd w:val="clear"/>
                  <w:vAlign w:val="top"/>
                </w:tcPr>
                <w:p w14:paraId="3A8E140B">
                  <w:pPr>
                    <w:pStyle w:val="43"/>
                    <w:spacing w:before="51" w:line="360" w:lineRule="auto"/>
                    <w:ind w:left="0" w:leftChars="0"/>
                    <w:jc w:val="center"/>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ab/>
                  </w:r>
                  <w:r>
                    <w:rPr>
                      <w:rFonts w:hint="eastAsia" w:ascii="宋体" w:hAnsi="宋体" w:eastAsia="宋体" w:cs="宋体"/>
                      <w:sz w:val="21"/>
                      <w:szCs w:val="21"/>
                      <w:highlight w:val="none"/>
                      <w:lang w:val="en-US" w:eastAsia="zh-CN"/>
                    </w:rPr>
                    <w:t>天津利达、天津友发、华歧</w:t>
                  </w:r>
                  <w:r>
                    <w:rPr>
                      <w:rFonts w:hint="eastAsia" w:asciiTheme="minorEastAsia" w:hAnsiTheme="minorEastAsia" w:eastAsiaTheme="minorEastAsia" w:cstheme="minorEastAsia"/>
                      <w:sz w:val="21"/>
                      <w:szCs w:val="21"/>
                      <w:highlight w:val="none"/>
                      <w:lang w:val="en-US" w:eastAsia="zh-CN"/>
                    </w:rPr>
                    <w:t>或同档次</w:t>
                  </w:r>
                </w:p>
              </w:tc>
            </w:tr>
            <w:tr w14:paraId="2216DA4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2" w:hRule="atLeast"/>
                <w:jc w:val="center"/>
              </w:trPr>
              <w:tc>
                <w:tcPr>
                  <w:tcW w:w="0" w:type="auto"/>
                  <w:shd w:val="clear"/>
                  <w:vAlign w:val="top"/>
                </w:tcPr>
                <w:p w14:paraId="1FFF6448">
                  <w:pPr>
                    <w:pStyle w:val="43"/>
                    <w:spacing w:before="51" w:line="360" w:lineRule="auto"/>
                    <w:ind w:left="0" w:leftChars="0"/>
                    <w:jc w:val="center"/>
                    <w:rPr>
                      <w:rFonts w:hint="default" w:cs="宋体"/>
                      <w:sz w:val="21"/>
                      <w:szCs w:val="21"/>
                      <w:highlight w:val="none"/>
                      <w:lang w:val="en-US" w:eastAsia="zh-CN"/>
                    </w:rPr>
                  </w:pPr>
                  <w:r>
                    <w:rPr>
                      <w:rFonts w:hint="eastAsia" w:cs="宋体"/>
                      <w:sz w:val="21"/>
                      <w:szCs w:val="21"/>
                      <w:highlight w:val="none"/>
                      <w:lang w:val="en-US" w:eastAsia="zh-CN"/>
                    </w:rPr>
                    <w:t>14</w:t>
                  </w:r>
                </w:p>
              </w:tc>
              <w:tc>
                <w:tcPr>
                  <w:tcW w:w="2250" w:type="dxa"/>
                  <w:shd w:val="clear"/>
                  <w:vAlign w:val="top"/>
                </w:tcPr>
                <w:p w14:paraId="30F5692C">
                  <w:pPr>
                    <w:pStyle w:val="43"/>
                    <w:spacing w:before="51" w:line="360" w:lineRule="auto"/>
                    <w:ind w:left="0" w:leftChars="0"/>
                    <w:jc w:val="center"/>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球墨铸铁管</w:t>
                  </w:r>
                </w:p>
              </w:tc>
              <w:tc>
                <w:tcPr>
                  <w:tcW w:w="5694" w:type="dxa"/>
                  <w:shd w:val="clear"/>
                  <w:vAlign w:val="top"/>
                </w:tcPr>
                <w:p w14:paraId="12E14707">
                  <w:pPr>
                    <w:pStyle w:val="43"/>
                    <w:spacing w:before="51" w:line="360" w:lineRule="auto"/>
                    <w:ind w:left="0" w:leftChars="0"/>
                    <w:jc w:val="center"/>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山西泫氏，新兴铸管，鸿辉管业</w:t>
                  </w:r>
                  <w:r>
                    <w:rPr>
                      <w:rFonts w:hint="eastAsia" w:asciiTheme="minorEastAsia" w:hAnsiTheme="minorEastAsia" w:eastAsiaTheme="minorEastAsia" w:cstheme="minorEastAsia"/>
                      <w:sz w:val="21"/>
                      <w:szCs w:val="21"/>
                      <w:highlight w:val="none"/>
                      <w:lang w:val="en-US" w:eastAsia="zh-CN"/>
                    </w:rPr>
                    <w:t>或同档次</w:t>
                  </w:r>
                </w:p>
              </w:tc>
            </w:tr>
          </w:tbl>
          <w:p w14:paraId="0041D577">
            <w:pPr>
              <w:spacing w:line="360" w:lineRule="auto"/>
              <w:ind w:firstLine="875" w:firstLineChars="400"/>
              <w:rPr>
                <w:rFonts w:hint="eastAsia" w:ascii="宋体" w:hAnsi="宋体" w:eastAsia="宋体" w:cs="宋体"/>
                <w:b/>
                <w:bCs/>
                <w:spacing w:val="4"/>
                <w:sz w:val="21"/>
                <w:szCs w:val="21"/>
              </w:rPr>
            </w:pPr>
          </w:p>
          <w:p w14:paraId="36606EE3">
            <w:pPr>
              <w:numPr>
                <w:ilvl w:val="0"/>
                <w:numId w:val="0"/>
              </w:numPr>
              <w:adjustRightInd w:val="0"/>
              <w:snapToGrid w:val="0"/>
              <w:spacing w:line="360" w:lineRule="auto"/>
              <w:rPr>
                <w:rFonts w:hint="eastAsia" w:asciiTheme="minorEastAsia" w:hAnsiTheme="minorEastAsia" w:eastAsiaTheme="minorEastAsia" w:cstheme="minorEastAsia"/>
                <w:color w:val="auto"/>
                <w:sz w:val="21"/>
                <w:szCs w:val="21"/>
                <w:highlight w:val="none"/>
                <w:lang w:val="en-US" w:eastAsia="zh-CN"/>
              </w:rPr>
            </w:pPr>
          </w:p>
          <w:p w14:paraId="32575021">
            <w:pPr>
              <w:widowControl/>
              <w:numPr>
                <w:ilvl w:val="0"/>
                <w:numId w:val="0"/>
              </w:numPr>
              <w:spacing w:line="360" w:lineRule="auto"/>
              <w:ind w:leftChars="200"/>
              <w:jc w:val="left"/>
              <w:rPr>
                <w:rFonts w:hint="default" w:asciiTheme="minorEastAsia" w:hAnsiTheme="minorEastAsia" w:eastAsiaTheme="minorEastAsia" w:cstheme="minorEastAsia"/>
                <w:color w:val="auto"/>
                <w:sz w:val="21"/>
                <w:szCs w:val="21"/>
                <w:highlight w:val="none"/>
                <w:lang w:val="en-US" w:eastAsia="zh-CN"/>
              </w:rPr>
            </w:pPr>
            <w:bookmarkStart w:id="5" w:name="_GoBack"/>
            <w:bookmarkEnd w:id="5"/>
          </w:p>
        </w:tc>
      </w:tr>
      <w:tr w14:paraId="0235A6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69" w:hRule="atLeast"/>
        </w:trPr>
        <w:tc>
          <w:tcPr>
            <w:tcW w:w="9240" w:type="dxa"/>
            <w:shd w:val="clear" w:color="auto" w:fill="auto"/>
            <w:noWrap/>
          </w:tcPr>
          <w:p w14:paraId="361E4CDF">
            <w:pPr>
              <w:widowControl/>
              <w:numPr>
                <w:ilvl w:val="0"/>
                <w:numId w:val="0"/>
              </w:numPr>
              <w:spacing w:line="360" w:lineRule="auto"/>
              <w:ind w:leftChars="200"/>
              <w:jc w:val="left"/>
              <w:rPr>
                <w:rFonts w:hint="default" w:asciiTheme="minorEastAsia" w:hAnsiTheme="minorEastAsia" w:eastAsiaTheme="minorEastAsia" w:cstheme="minorEastAsia"/>
                <w:color w:val="auto"/>
                <w:sz w:val="21"/>
                <w:szCs w:val="21"/>
                <w:highlight w:val="none"/>
                <w:lang w:val="en-US" w:eastAsia="zh-CN"/>
              </w:rPr>
            </w:pPr>
          </w:p>
        </w:tc>
      </w:tr>
    </w:tbl>
    <w:p w14:paraId="110A57CA">
      <w:pPr>
        <w:spacing w:line="360" w:lineRule="auto"/>
        <w:rPr>
          <w:rFonts w:hint="eastAsia" w:asciiTheme="minorEastAsia" w:hAnsiTheme="minorEastAsia" w:eastAsiaTheme="minorEastAsia" w:cstheme="minorEastAsia"/>
          <w:sz w:val="21"/>
          <w:szCs w:val="21"/>
        </w:rPr>
      </w:pPr>
    </w:p>
    <w:sectPr>
      <w:headerReference r:id="rId3" w:type="default"/>
      <w:headerReference r:id="rId4" w:type="even"/>
      <w:footerReference r:id="rId5" w:type="even"/>
      <w:pgSz w:w="11906" w:h="16838"/>
      <w:pgMar w:top="1242" w:right="1134" w:bottom="1088" w:left="1134" w:header="851" w:footer="992" w:gutter="0"/>
      <w:pgNumType w:start="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314C00">
    <w:pPr>
      <w:pStyle w:val="13"/>
      <w:framePr w:wrap="around" w:vAnchor="text" w:hAnchor="margin" w:xAlign="center" w:y="1"/>
      <w:rPr>
        <w:rStyle w:val="19"/>
      </w:rPr>
    </w:pPr>
    <w:r>
      <w:fldChar w:fldCharType="begin"/>
    </w:r>
    <w:r>
      <w:rPr>
        <w:rStyle w:val="19"/>
      </w:rPr>
      <w:instrText xml:space="preserve">PAGE  </w:instrText>
    </w:r>
    <w:r>
      <w:fldChar w:fldCharType="end"/>
    </w:r>
  </w:p>
  <w:p w14:paraId="2C61691B">
    <w:pPr>
      <w:pStyle w:val="1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13CBFE">
    <w:pPr>
      <w:spacing w:beforeLines="150" w:line="480" w:lineRule="auto"/>
      <w:ind w:right="360"/>
      <w:jc w:val="center"/>
      <w:rPr>
        <w:rFonts w:ascii="宋体" w:hAnsi="宋体"/>
        <w:b/>
        <w:bCs/>
        <w:sz w:val="44"/>
        <w:szCs w:val="44"/>
      </w:rPr>
    </w:pPr>
    <w:r>
      <w:rPr>
        <w:rFonts w:hint="eastAsia" w:ascii="宋体" w:hAnsi="宋体"/>
        <w:b/>
        <w:bCs/>
        <w:sz w:val="44"/>
        <w:szCs w:val="44"/>
      </w:rPr>
      <w:t>招标工程量清单编制说明</w:t>
    </w:r>
  </w:p>
  <w:p w14:paraId="53A6B710">
    <w:pPr>
      <w:pStyle w:val="4"/>
      <w:ind w:left="0" w:leftChars="0" w:firstLine="0" w:firstLineChars="0"/>
      <w:jc w:val="both"/>
      <w:rPr>
        <w:rFonts w:ascii="宋体" w:hAnsi="宋体"/>
        <w:szCs w:val="21"/>
      </w:rPr>
    </w:pPr>
    <w:r>
      <w:rPr>
        <w:rStyle w:val="19"/>
        <w:rFonts w:hint="eastAsia" w:ascii="宋体" w:hAnsi="宋体"/>
        <w:kern w:val="0"/>
        <w:szCs w:val="21"/>
      </w:rPr>
      <w:t>工程名称：</w:t>
    </w:r>
    <w:r>
      <w:rPr>
        <w:rFonts w:hint="eastAsia" w:ascii="宋体" w:hAnsi="宋体" w:cs="宋体"/>
        <w:b w:val="0"/>
        <w:bCs w:val="0"/>
        <w:sz w:val="21"/>
        <w:szCs w:val="21"/>
        <w:lang w:val="en-US" w:eastAsia="zh-CN"/>
      </w:rPr>
      <w:t xml:space="preserve">拱宸桥校区22#楼局部提升改造                                     </w:t>
    </w:r>
    <w:r>
      <w:rPr>
        <w:rStyle w:val="19"/>
        <w:rFonts w:hint="eastAsia" w:ascii="宋体" w:hAnsi="宋体"/>
        <w:szCs w:val="21"/>
      </w:rPr>
      <w:t>第</w:t>
    </w:r>
    <w:r>
      <w:rPr>
        <w:rFonts w:ascii="宋体" w:hAnsi="宋体"/>
        <w:szCs w:val="21"/>
      </w:rPr>
      <w:fldChar w:fldCharType="begin"/>
    </w:r>
    <w:r>
      <w:rPr>
        <w:rStyle w:val="19"/>
        <w:rFonts w:ascii="宋体" w:hAnsi="宋体"/>
        <w:szCs w:val="21"/>
      </w:rPr>
      <w:instrText xml:space="preserve"> PAGE </w:instrText>
    </w:r>
    <w:r>
      <w:rPr>
        <w:rFonts w:ascii="宋体" w:hAnsi="宋体"/>
        <w:szCs w:val="21"/>
      </w:rPr>
      <w:fldChar w:fldCharType="separate"/>
    </w:r>
    <w:r>
      <w:rPr>
        <w:rStyle w:val="19"/>
        <w:rFonts w:ascii="宋体" w:hAnsi="宋体"/>
        <w:szCs w:val="21"/>
      </w:rPr>
      <w:t>9</w:t>
    </w:r>
    <w:r>
      <w:rPr>
        <w:rFonts w:ascii="宋体" w:hAnsi="宋体"/>
        <w:szCs w:val="21"/>
      </w:rPr>
      <w:fldChar w:fldCharType="end"/>
    </w:r>
    <w:r>
      <w:rPr>
        <w:rStyle w:val="19"/>
        <w:rFonts w:hint="eastAsia" w:ascii="宋体" w:hAnsi="宋体"/>
        <w:szCs w:val="21"/>
      </w:rPr>
      <w:t>页  共</w:t>
    </w:r>
    <w:r>
      <w:rPr>
        <w:rStyle w:val="19"/>
        <w:rFonts w:hint="eastAsia" w:ascii="宋体" w:hAnsi="宋体"/>
        <w:szCs w:val="21"/>
        <w:lang w:val="en-US" w:eastAsia="zh-CN"/>
      </w:rPr>
      <w:t>7</w:t>
    </w:r>
    <w:r>
      <w:rPr>
        <w:rStyle w:val="19"/>
        <w:rFonts w:hint="eastAsia" w:ascii="宋体" w:hAnsi="宋体"/>
        <w:szCs w:val="21"/>
      </w:rPr>
      <w:t>页</w:t>
    </w:r>
    <w:r>
      <w:rPr>
        <w:rFonts w:hint="eastAsia" w:ascii="宋体" w:hAnsi="宋体" w:cs="宋体"/>
        <w:szCs w:val="21"/>
        <w:lang w:val="en-US" w:eastAsia="zh-CN"/>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76E8DE">
    <w:pPr>
      <w:pStyle w:val="14"/>
      <w:framePr w:wrap="around" w:vAnchor="text" w:hAnchor="margin" w:xAlign="right" w:y="1"/>
      <w:rPr>
        <w:rStyle w:val="19"/>
      </w:rPr>
    </w:pPr>
    <w:r>
      <w:fldChar w:fldCharType="begin"/>
    </w:r>
    <w:r>
      <w:rPr>
        <w:rStyle w:val="19"/>
      </w:rPr>
      <w:instrText xml:space="preserve">PAGE  </w:instrText>
    </w:r>
    <w:r>
      <w:fldChar w:fldCharType="end"/>
    </w:r>
  </w:p>
  <w:p w14:paraId="0F827FE7">
    <w:pPr>
      <w:pStyle w:val="14"/>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2150E7"/>
    <w:multiLevelType w:val="singleLevel"/>
    <w:tmpl w:val="812150E7"/>
    <w:lvl w:ilvl="0" w:tentative="0">
      <w:start w:val="2"/>
      <w:numFmt w:val="decimal"/>
      <w:suff w:val="nothing"/>
      <w:lvlText w:val="%1、"/>
      <w:lvlJc w:val="left"/>
    </w:lvl>
  </w:abstractNum>
  <w:abstractNum w:abstractNumId="1">
    <w:nsid w:val="143ABB24"/>
    <w:multiLevelType w:val="singleLevel"/>
    <w:tmpl w:val="143ABB24"/>
    <w:lvl w:ilvl="0" w:tentative="0">
      <w:start w:val="11"/>
      <w:numFmt w:val="chineseCounting"/>
      <w:suff w:val="nothing"/>
      <w:lvlText w:val="%1、"/>
      <w:lvlJc w:val="left"/>
      <w:rPr>
        <w:rFonts w:hint="eastAsia"/>
      </w:rPr>
    </w:lvl>
  </w:abstractNum>
  <w:abstractNum w:abstractNumId="2">
    <w:nsid w:val="206632BB"/>
    <w:multiLevelType w:val="singleLevel"/>
    <w:tmpl w:val="206632BB"/>
    <w:lvl w:ilvl="0" w:tentative="0">
      <w:start w:val="1"/>
      <w:numFmt w:val="decimal"/>
      <w:suff w:val="nothing"/>
      <w:lvlText w:val="%1、"/>
      <w:lvlJc w:val="left"/>
    </w:lvl>
  </w:abstractNum>
  <w:abstractNum w:abstractNumId="3">
    <w:nsid w:val="3650FBB7"/>
    <w:multiLevelType w:val="singleLevel"/>
    <w:tmpl w:val="3650FBB7"/>
    <w:lvl w:ilvl="0" w:tentative="0">
      <w:start w:val="1"/>
      <w:numFmt w:val="decimal"/>
      <w:suff w:val="nothing"/>
      <w:lvlText w:val="%1、"/>
      <w:lvlJc w:val="left"/>
    </w:lvl>
  </w:abstractNum>
  <w:abstractNum w:abstractNumId="4">
    <w:nsid w:val="687E146A"/>
    <w:multiLevelType w:val="singleLevel"/>
    <w:tmpl w:val="687E146A"/>
    <w:lvl w:ilvl="0" w:tentative="0">
      <w:start w:val="1"/>
      <w:numFmt w:val="decimal"/>
      <w:suff w:val="nothing"/>
      <w:lvlText w:val="%1、"/>
      <w:lvlJc w:val="left"/>
    </w:lvl>
  </w:abstractNum>
  <w:num w:numId="1">
    <w:abstractNumId w:val="0"/>
  </w:num>
  <w:num w:numId="2">
    <w:abstractNumId w:val="2"/>
  </w:num>
  <w:num w:numId="3">
    <w:abstractNumId w:val="4"/>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NotTrackMoves/>
  <w:attachedTemplate r:id="rId1"/>
  <w:documentProtection w:enforcement="0"/>
  <w:defaultTabStop w:val="420"/>
  <w:drawingGridHorizontalSpacing w:val="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IwNGEwMTYyMWQ4MTNiYjFkNDYwMTUwOWE0MzJmNDcifQ=="/>
  </w:docVars>
  <w:rsids>
    <w:rsidRoot w:val="7F87223B"/>
    <w:rsid w:val="00005CA0"/>
    <w:rsid w:val="00010A13"/>
    <w:rsid w:val="00013ED1"/>
    <w:rsid w:val="00033E36"/>
    <w:rsid w:val="00034FB3"/>
    <w:rsid w:val="000352F5"/>
    <w:rsid w:val="00035A0A"/>
    <w:rsid w:val="000360DE"/>
    <w:rsid w:val="00041D68"/>
    <w:rsid w:val="0004239C"/>
    <w:rsid w:val="00043998"/>
    <w:rsid w:val="0004707D"/>
    <w:rsid w:val="00047F5A"/>
    <w:rsid w:val="000555BE"/>
    <w:rsid w:val="00063335"/>
    <w:rsid w:val="00064AB8"/>
    <w:rsid w:val="0006728D"/>
    <w:rsid w:val="000820EB"/>
    <w:rsid w:val="000843F3"/>
    <w:rsid w:val="00086F97"/>
    <w:rsid w:val="00091FA7"/>
    <w:rsid w:val="000B10D0"/>
    <w:rsid w:val="000B434F"/>
    <w:rsid w:val="000B5936"/>
    <w:rsid w:val="000B79A8"/>
    <w:rsid w:val="000C2821"/>
    <w:rsid w:val="000C47BA"/>
    <w:rsid w:val="000C728B"/>
    <w:rsid w:val="000D0923"/>
    <w:rsid w:val="000D6FC0"/>
    <w:rsid w:val="000D781B"/>
    <w:rsid w:val="000E137E"/>
    <w:rsid w:val="000F51BB"/>
    <w:rsid w:val="000F550D"/>
    <w:rsid w:val="000F559B"/>
    <w:rsid w:val="000F6D5B"/>
    <w:rsid w:val="00101A85"/>
    <w:rsid w:val="00107BB6"/>
    <w:rsid w:val="00112EB2"/>
    <w:rsid w:val="00132C2F"/>
    <w:rsid w:val="001358F9"/>
    <w:rsid w:val="00140790"/>
    <w:rsid w:val="00141543"/>
    <w:rsid w:val="00151941"/>
    <w:rsid w:val="00152FF8"/>
    <w:rsid w:val="001649BF"/>
    <w:rsid w:val="0017749E"/>
    <w:rsid w:val="00190E5B"/>
    <w:rsid w:val="001A090B"/>
    <w:rsid w:val="001C2290"/>
    <w:rsid w:val="001D1161"/>
    <w:rsid w:val="001D2048"/>
    <w:rsid w:val="00205870"/>
    <w:rsid w:val="00210793"/>
    <w:rsid w:val="00211792"/>
    <w:rsid w:val="002171FF"/>
    <w:rsid w:val="00217447"/>
    <w:rsid w:val="0022489E"/>
    <w:rsid w:val="00237D61"/>
    <w:rsid w:val="00240DD2"/>
    <w:rsid w:val="00242A02"/>
    <w:rsid w:val="002460F5"/>
    <w:rsid w:val="00246443"/>
    <w:rsid w:val="0025496A"/>
    <w:rsid w:val="00263920"/>
    <w:rsid w:val="002742DA"/>
    <w:rsid w:val="00277E64"/>
    <w:rsid w:val="00280923"/>
    <w:rsid w:val="002834F3"/>
    <w:rsid w:val="002907AD"/>
    <w:rsid w:val="002931A5"/>
    <w:rsid w:val="002A0979"/>
    <w:rsid w:val="002A2291"/>
    <w:rsid w:val="002B38A1"/>
    <w:rsid w:val="002C4A1B"/>
    <w:rsid w:val="002C79DC"/>
    <w:rsid w:val="002D1C87"/>
    <w:rsid w:val="002D6620"/>
    <w:rsid w:val="002D762E"/>
    <w:rsid w:val="002E015E"/>
    <w:rsid w:val="002E2A52"/>
    <w:rsid w:val="002F3E7B"/>
    <w:rsid w:val="002F7771"/>
    <w:rsid w:val="00301D15"/>
    <w:rsid w:val="00302D18"/>
    <w:rsid w:val="00306F3F"/>
    <w:rsid w:val="00312C32"/>
    <w:rsid w:val="00317BC6"/>
    <w:rsid w:val="00321E2F"/>
    <w:rsid w:val="00323F83"/>
    <w:rsid w:val="00335AF5"/>
    <w:rsid w:val="0035071A"/>
    <w:rsid w:val="00362A9C"/>
    <w:rsid w:val="00364EDE"/>
    <w:rsid w:val="00366EB2"/>
    <w:rsid w:val="003753CE"/>
    <w:rsid w:val="00381F84"/>
    <w:rsid w:val="0038240D"/>
    <w:rsid w:val="00396F6B"/>
    <w:rsid w:val="003A4F59"/>
    <w:rsid w:val="003B305B"/>
    <w:rsid w:val="003B4A17"/>
    <w:rsid w:val="003C26FE"/>
    <w:rsid w:val="003C7981"/>
    <w:rsid w:val="003D46C1"/>
    <w:rsid w:val="003E46A1"/>
    <w:rsid w:val="003F0EE1"/>
    <w:rsid w:val="003F193A"/>
    <w:rsid w:val="003F1E43"/>
    <w:rsid w:val="00407A6D"/>
    <w:rsid w:val="0041008D"/>
    <w:rsid w:val="004175FE"/>
    <w:rsid w:val="00421F33"/>
    <w:rsid w:val="00430988"/>
    <w:rsid w:val="0043117B"/>
    <w:rsid w:val="004363B9"/>
    <w:rsid w:val="00441329"/>
    <w:rsid w:val="00442803"/>
    <w:rsid w:val="0044369A"/>
    <w:rsid w:val="00446D73"/>
    <w:rsid w:val="004539A5"/>
    <w:rsid w:val="0048300A"/>
    <w:rsid w:val="004862F5"/>
    <w:rsid w:val="00494817"/>
    <w:rsid w:val="00497FBB"/>
    <w:rsid w:val="004A2B81"/>
    <w:rsid w:val="004B0F7B"/>
    <w:rsid w:val="004B0FD2"/>
    <w:rsid w:val="004B3CA8"/>
    <w:rsid w:val="004D0E23"/>
    <w:rsid w:val="004D34FE"/>
    <w:rsid w:val="004D6107"/>
    <w:rsid w:val="004D71ED"/>
    <w:rsid w:val="004E27B2"/>
    <w:rsid w:val="004E4A1E"/>
    <w:rsid w:val="004E76E1"/>
    <w:rsid w:val="004F12BB"/>
    <w:rsid w:val="004F4883"/>
    <w:rsid w:val="004F53CA"/>
    <w:rsid w:val="004F6954"/>
    <w:rsid w:val="005037BE"/>
    <w:rsid w:val="00503C42"/>
    <w:rsid w:val="0051742B"/>
    <w:rsid w:val="00531AF0"/>
    <w:rsid w:val="0053290E"/>
    <w:rsid w:val="00533BC9"/>
    <w:rsid w:val="00534863"/>
    <w:rsid w:val="00541BD6"/>
    <w:rsid w:val="00547AF5"/>
    <w:rsid w:val="00550031"/>
    <w:rsid w:val="00553AAF"/>
    <w:rsid w:val="0055440F"/>
    <w:rsid w:val="00557922"/>
    <w:rsid w:val="00570C43"/>
    <w:rsid w:val="00571D86"/>
    <w:rsid w:val="00572615"/>
    <w:rsid w:val="00575055"/>
    <w:rsid w:val="00576422"/>
    <w:rsid w:val="0057708E"/>
    <w:rsid w:val="005822F9"/>
    <w:rsid w:val="00593357"/>
    <w:rsid w:val="005A19F5"/>
    <w:rsid w:val="005C0321"/>
    <w:rsid w:val="005C29B6"/>
    <w:rsid w:val="005C2F19"/>
    <w:rsid w:val="005C75CE"/>
    <w:rsid w:val="005D53EC"/>
    <w:rsid w:val="005D5610"/>
    <w:rsid w:val="005D70DD"/>
    <w:rsid w:val="005D7739"/>
    <w:rsid w:val="005F05B5"/>
    <w:rsid w:val="005F4D18"/>
    <w:rsid w:val="005F6D8C"/>
    <w:rsid w:val="0060109F"/>
    <w:rsid w:val="0060247B"/>
    <w:rsid w:val="00610658"/>
    <w:rsid w:val="0061582F"/>
    <w:rsid w:val="006215BA"/>
    <w:rsid w:val="00622F86"/>
    <w:rsid w:val="0063072B"/>
    <w:rsid w:val="00632552"/>
    <w:rsid w:val="00646BC6"/>
    <w:rsid w:val="0065429B"/>
    <w:rsid w:val="0065530C"/>
    <w:rsid w:val="0066085C"/>
    <w:rsid w:val="00672495"/>
    <w:rsid w:val="00672562"/>
    <w:rsid w:val="00673F95"/>
    <w:rsid w:val="00676228"/>
    <w:rsid w:val="00676F30"/>
    <w:rsid w:val="0068046B"/>
    <w:rsid w:val="00690D2E"/>
    <w:rsid w:val="0069169D"/>
    <w:rsid w:val="00692906"/>
    <w:rsid w:val="00694471"/>
    <w:rsid w:val="006A2ED0"/>
    <w:rsid w:val="006C327F"/>
    <w:rsid w:val="006C392D"/>
    <w:rsid w:val="006C5A5A"/>
    <w:rsid w:val="006D1E34"/>
    <w:rsid w:val="006D6F70"/>
    <w:rsid w:val="006E12F6"/>
    <w:rsid w:val="006E3F25"/>
    <w:rsid w:val="006E4277"/>
    <w:rsid w:val="006F3609"/>
    <w:rsid w:val="006F7337"/>
    <w:rsid w:val="0070074D"/>
    <w:rsid w:val="00701D41"/>
    <w:rsid w:val="007129A8"/>
    <w:rsid w:val="007141BA"/>
    <w:rsid w:val="0071755B"/>
    <w:rsid w:val="00730FF8"/>
    <w:rsid w:val="00736463"/>
    <w:rsid w:val="007407C5"/>
    <w:rsid w:val="00750877"/>
    <w:rsid w:val="00751B22"/>
    <w:rsid w:val="0075249B"/>
    <w:rsid w:val="00752A3F"/>
    <w:rsid w:val="00757F6C"/>
    <w:rsid w:val="00763F64"/>
    <w:rsid w:val="00764860"/>
    <w:rsid w:val="00777DEE"/>
    <w:rsid w:val="00781019"/>
    <w:rsid w:val="00781A07"/>
    <w:rsid w:val="007A3CEC"/>
    <w:rsid w:val="007B2A98"/>
    <w:rsid w:val="007B651B"/>
    <w:rsid w:val="007B6F02"/>
    <w:rsid w:val="007C4097"/>
    <w:rsid w:val="007D341C"/>
    <w:rsid w:val="007E059F"/>
    <w:rsid w:val="007E4914"/>
    <w:rsid w:val="007F3144"/>
    <w:rsid w:val="00801F17"/>
    <w:rsid w:val="00803903"/>
    <w:rsid w:val="008073EB"/>
    <w:rsid w:val="00807EB3"/>
    <w:rsid w:val="008121EC"/>
    <w:rsid w:val="008160D2"/>
    <w:rsid w:val="0082370A"/>
    <w:rsid w:val="008256D4"/>
    <w:rsid w:val="008314D2"/>
    <w:rsid w:val="008414B0"/>
    <w:rsid w:val="0085262F"/>
    <w:rsid w:val="00852AB7"/>
    <w:rsid w:val="0085433D"/>
    <w:rsid w:val="00863D30"/>
    <w:rsid w:val="00866AA3"/>
    <w:rsid w:val="008674FA"/>
    <w:rsid w:val="008704F6"/>
    <w:rsid w:val="00871A92"/>
    <w:rsid w:val="0087648D"/>
    <w:rsid w:val="00885D5E"/>
    <w:rsid w:val="00895D9B"/>
    <w:rsid w:val="008A28E9"/>
    <w:rsid w:val="008B07F4"/>
    <w:rsid w:val="008B24DD"/>
    <w:rsid w:val="008C1DFE"/>
    <w:rsid w:val="008D664A"/>
    <w:rsid w:val="008E132A"/>
    <w:rsid w:val="008E22A5"/>
    <w:rsid w:val="008F1F49"/>
    <w:rsid w:val="00900DED"/>
    <w:rsid w:val="00901FB1"/>
    <w:rsid w:val="00912793"/>
    <w:rsid w:val="009128BD"/>
    <w:rsid w:val="009370DF"/>
    <w:rsid w:val="0094287B"/>
    <w:rsid w:val="009432E8"/>
    <w:rsid w:val="00950C77"/>
    <w:rsid w:val="00953A6D"/>
    <w:rsid w:val="0095797B"/>
    <w:rsid w:val="00961700"/>
    <w:rsid w:val="00964E57"/>
    <w:rsid w:val="00965E9C"/>
    <w:rsid w:val="009761DF"/>
    <w:rsid w:val="009876A7"/>
    <w:rsid w:val="009A6773"/>
    <w:rsid w:val="009B6B2E"/>
    <w:rsid w:val="009C0F5A"/>
    <w:rsid w:val="009C5825"/>
    <w:rsid w:val="009D5470"/>
    <w:rsid w:val="009D7C15"/>
    <w:rsid w:val="009E7774"/>
    <w:rsid w:val="009E7DF8"/>
    <w:rsid w:val="009F79CC"/>
    <w:rsid w:val="00A032CD"/>
    <w:rsid w:val="00A13372"/>
    <w:rsid w:val="00A255A4"/>
    <w:rsid w:val="00A30EDA"/>
    <w:rsid w:val="00A31942"/>
    <w:rsid w:val="00A35B55"/>
    <w:rsid w:val="00A3785B"/>
    <w:rsid w:val="00A45350"/>
    <w:rsid w:val="00A539E4"/>
    <w:rsid w:val="00A60385"/>
    <w:rsid w:val="00A635D9"/>
    <w:rsid w:val="00A63654"/>
    <w:rsid w:val="00A66F45"/>
    <w:rsid w:val="00A8633F"/>
    <w:rsid w:val="00A870BE"/>
    <w:rsid w:val="00A87F74"/>
    <w:rsid w:val="00A9001E"/>
    <w:rsid w:val="00AA1B9E"/>
    <w:rsid w:val="00AA31BE"/>
    <w:rsid w:val="00AA7D72"/>
    <w:rsid w:val="00AB468E"/>
    <w:rsid w:val="00AC677F"/>
    <w:rsid w:val="00AD6844"/>
    <w:rsid w:val="00AE0314"/>
    <w:rsid w:val="00AE15F6"/>
    <w:rsid w:val="00AE286F"/>
    <w:rsid w:val="00AF7BD6"/>
    <w:rsid w:val="00B024B9"/>
    <w:rsid w:val="00B02A92"/>
    <w:rsid w:val="00B0712F"/>
    <w:rsid w:val="00B17351"/>
    <w:rsid w:val="00B21BCD"/>
    <w:rsid w:val="00B2243D"/>
    <w:rsid w:val="00B22B5A"/>
    <w:rsid w:val="00B272D8"/>
    <w:rsid w:val="00B3002D"/>
    <w:rsid w:val="00B3212F"/>
    <w:rsid w:val="00B35E86"/>
    <w:rsid w:val="00B378DD"/>
    <w:rsid w:val="00B434F5"/>
    <w:rsid w:val="00B4755E"/>
    <w:rsid w:val="00B51E3F"/>
    <w:rsid w:val="00B60109"/>
    <w:rsid w:val="00B65100"/>
    <w:rsid w:val="00B654C9"/>
    <w:rsid w:val="00B66961"/>
    <w:rsid w:val="00B67A06"/>
    <w:rsid w:val="00B7070A"/>
    <w:rsid w:val="00B7076D"/>
    <w:rsid w:val="00B73210"/>
    <w:rsid w:val="00B76D79"/>
    <w:rsid w:val="00B95272"/>
    <w:rsid w:val="00B95608"/>
    <w:rsid w:val="00BA0C14"/>
    <w:rsid w:val="00BB25AA"/>
    <w:rsid w:val="00BB2AF5"/>
    <w:rsid w:val="00BB3388"/>
    <w:rsid w:val="00BB38C4"/>
    <w:rsid w:val="00BB731B"/>
    <w:rsid w:val="00BC02FD"/>
    <w:rsid w:val="00BC0F94"/>
    <w:rsid w:val="00BC6839"/>
    <w:rsid w:val="00BC7D48"/>
    <w:rsid w:val="00BD1D57"/>
    <w:rsid w:val="00BD24EB"/>
    <w:rsid w:val="00BD4E62"/>
    <w:rsid w:val="00BD6CBF"/>
    <w:rsid w:val="00C0284F"/>
    <w:rsid w:val="00C06D55"/>
    <w:rsid w:val="00C105DB"/>
    <w:rsid w:val="00C10B62"/>
    <w:rsid w:val="00C10C0E"/>
    <w:rsid w:val="00C24852"/>
    <w:rsid w:val="00C25616"/>
    <w:rsid w:val="00C4554A"/>
    <w:rsid w:val="00C478E0"/>
    <w:rsid w:val="00C5021D"/>
    <w:rsid w:val="00C56CCF"/>
    <w:rsid w:val="00C60365"/>
    <w:rsid w:val="00C65721"/>
    <w:rsid w:val="00C7757D"/>
    <w:rsid w:val="00C80AFB"/>
    <w:rsid w:val="00C81924"/>
    <w:rsid w:val="00CA073A"/>
    <w:rsid w:val="00CA26C6"/>
    <w:rsid w:val="00CB33FF"/>
    <w:rsid w:val="00CC3ECE"/>
    <w:rsid w:val="00CC48FF"/>
    <w:rsid w:val="00CC6F57"/>
    <w:rsid w:val="00CD401A"/>
    <w:rsid w:val="00CD41B5"/>
    <w:rsid w:val="00CE243C"/>
    <w:rsid w:val="00CE4028"/>
    <w:rsid w:val="00CE6084"/>
    <w:rsid w:val="00CF0C70"/>
    <w:rsid w:val="00CF4347"/>
    <w:rsid w:val="00CF43BF"/>
    <w:rsid w:val="00CF4A90"/>
    <w:rsid w:val="00CF50BB"/>
    <w:rsid w:val="00D0033C"/>
    <w:rsid w:val="00D06B2D"/>
    <w:rsid w:val="00D11092"/>
    <w:rsid w:val="00D11242"/>
    <w:rsid w:val="00D134E0"/>
    <w:rsid w:val="00D31374"/>
    <w:rsid w:val="00D3655C"/>
    <w:rsid w:val="00D422B3"/>
    <w:rsid w:val="00D46B56"/>
    <w:rsid w:val="00D470EE"/>
    <w:rsid w:val="00D5397C"/>
    <w:rsid w:val="00D73316"/>
    <w:rsid w:val="00D735A5"/>
    <w:rsid w:val="00D863BE"/>
    <w:rsid w:val="00D8762D"/>
    <w:rsid w:val="00DB254C"/>
    <w:rsid w:val="00DB5692"/>
    <w:rsid w:val="00DC1B75"/>
    <w:rsid w:val="00DC560A"/>
    <w:rsid w:val="00DC7930"/>
    <w:rsid w:val="00DF2E73"/>
    <w:rsid w:val="00DF6637"/>
    <w:rsid w:val="00DF720B"/>
    <w:rsid w:val="00E02C0F"/>
    <w:rsid w:val="00E03192"/>
    <w:rsid w:val="00E0519E"/>
    <w:rsid w:val="00E06D4C"/>
    <w:rsid w:val="00E11667"/>
    <w:rsid w:val="00E13826"/>
    <w:rsid w:val="00E177AA"/>
    <w:rsid w:val="00E21D2C"/>
    <w:rsid w:val="00E346DE"/>
    <w:rsid w:val="00E40982"/>
    <w:rsid w:val="00E44A87"/>
    <w:rsid w:val="00E73067"/>
    <w:rsid w:val="00E771BA"/>
    <w:rsid w:val="00E771DB"/>
    <w:rsid w:val="00E8224F"/>
    <w:rsid w:val="00E904CB"/>
    <w:rsid w:val="00E90AC4"/>
    <w:rsid w:val="00E96C29"/>
    <w:rsid w:val="00EB45B7"/>
    <w:rsid w:val="00EB4649"/>
    <w:rsid w:val="00EC6563"/>
    <w:rsid w:val="00EC69B0"/>
    <w:rsid w:val="00EC6DC6"/>
    <w:rsid w:val="00ED180D"/>
    <w:rsid w:val="00ED35AD"/>
    <w:rsid w:val="00ED4B20"/>
    <w:rsid w:val="00EF3555"/>
    <w:rsid w:val="00EF7D61"/>
    <w:rsid w:val="00F00168"/>
    <w:rsid w:val="00F01D02"/>
    <w:rsid w:val="00F01D50"/>
    <w:rsid w:val="00F0230F"/>
    <w:rsid w:val="00F06BFA"/>
    <w:rsid w:val="00F120B2"/>
    <w:rsid w:val="00F12679"/>
    <w:rsid w:val="00F14B91"/>
    <w:rsid w:val="00F3310C"/>
    <w:rsid w:val="00F4208A"/>
    <w:rsid w:val="00F447B3"/>
    <w:rsid w:val="00F479AB"/>
    <w:rsid w:val="00F7050E"/>
    <w:rsid w:val="00F858CC"/>
    <w:rsid w:val="00F92EF0"/>
    <w:rsid w:val="00F94339"/>
    <w:rsid w:val="00FB07A0"/>
    <w:rsid w:val="00FB454B"/>
    <w:rsid w:val="00FB7ABC"/>
    <w:rsid w:val="00FC02AC"/>
    <w:rsid w:val="00FD04CD"/>
    <w:rsid w:val="00FD0E12"/>
    <w:rsid w:val="00FE3F37"/>
    <w:rsid w:val="00FE7253"/>
    <w:rsid w:val="00FE7348"/>
    <w:rsid w:val="00FF406D"/>
    <w:rsid w:val="00FF6A05"/>
    <w:rsid w:val="01093B04"/>
    <w:rsid w:val="013963C4"/>
    <w:rsid w:val="01457570"/>
    <w:rsid w:val="018140A2"/>
    <w:rsid w:val="01C64D9E"/>
    <w:rsid w:val="01D47C4B"/>
    <w:rsid w:val="01F178BE"/>
    <w:rsid w:val="021716AC"/>
    <w:rsid w:val="022E73C5"/>
    <w:rsid w:val="0239317A"/>
    <w:rsid w:val="02844960"/>
    <w:rsid w:val="02854787"/>
    <w:rsid w:val="028C11CF"/>
    <w:rsid w:val="02902A6D"/>
    <w:rsid w:val="02A04CCC"/>
    <w:rsid w:val="02CE29EB"/>
    <w:rsid w:val="02FD0397"/>
    <w:rsid w:val="03140261"/>
    <w:rsid w:val="032D26B9"/>
    <w:rsid w:val="033D795F"/>
    <w:rsid w:val="034436BF"/>
    <w:rsid w:val="0386710D"/>
    <w:rsid w:val="03B16165"/>
    <w:rsid w:val="03BF4AF2"/>
    <w:rsid w:val="03D570C1"/>
    <w:rsid w:val="03DC64A7"/>
    <w:rsid w:val="03F27CA5"/>
    <w:rsid w:val="03FA07F1"/>
    <w:rsid w:val="040947E8"/>
    <w:rsid w:val="04233C24"/>
    <w:rsid w:val="044D70CF"/>
    <w:rsid w:val="045D2E23"/>
    <w:rsid w:val="047724A6"/>
    <w:rsid w:val="0490044D"/>
    <w:rsid w:val="04C61382"/>
    <w:rsid w:val="04DF3B89"/>
    <w:rsid w:val="05023A2C"/>
    <w:rsid w:val="051F37F2"/>
    <w:rsid w:val="054001D4"/>
    <w:rsid w:val="0549354B"/>
    <w:rsid w:val="05611787"/>
    <w:rsid w:val="057B3BD4"/>
    <w:rsid w:val="05914C99"/>
    <w:rsid w:val="05B358E1"/>
    <w:rsid w:val="05C57529"/>
    <w:rsid w:val="06053772"/>
    <w:rsid w:val="06112117"/>
    <w:rsid w:val="061A04E2"/>
    <w:rsid w:val="06345E06"/>
    <w:rsid w:val="06B7622E"/>
    <w:rsid w:val="06FC215A"/>
    <w:rsid w:val="072A27EA"/>
    <w:rsid w:val="074847CC"/>
    <w:rsid w:val="07A011BF"/>
    <w:rsid w:val="07C01FDB"/>
    <w:rsid w:val="07C71AB7"/>
    <w:rsid w:val="07ED5ED3"/>
    <w:rsid w:val="08210711"/>
    <w:rsid w:val="084303D1"/>
    <w:rsid w:val="085D56CD"/>
    <w:rsid w:val="085E458D"/>
    <w:rsid w:val="086C1E32"/>
    <w:rsid w:val="08973053"/>
    <w:rsid w:val="08BF37D8"/>
    <w:rsid w:val="08D538D0"/>
    <w:rsid w:val="09131BC8"/>
    <w:rsid w:val="0936530C"/>
    <w:rsid w:val="09D75426"/>
    <w:rsid w:val="09ED142F"/>
    <w:rsid w:val="09FB45DE"/>
    <w:rsid w:val="0A1246B0"/>
    <w:rsid w:val="0A1E7616"/>
    <w:rsid w:val="0A2E173F"/>
    <w:rsid w:val="0A474C47"/>
    <w:rsid w:val="0A6417D9"/>
    <w:rsid w:val="0A914248"/>
    <w:rsid w:val="0AB47515"/>
    <w:rsid w:val="0AD96E7C"/>
    <w:rsid w:val="0ADD2F10"/>
    <w:rsid w:val="0AE528C1"/>
    <w:rsid w:val="0AF65D7F"/>
    <w:rsid w:val="0B137D59"/>
    <w:rsid w:val="0B3F14D4"/>
    <w:rsid w:val="0B610F40"/>
    <w:rsid w:val="0B923EC8"/>
    <w:rsid w:val="0B9A0515"/>
    <w:rsid w:val="0B9E0194"/>
    <w:rsid w:val="0BAF35AE"/>
    <w:rsid w:val="0BD9091B"/>
    <w:rsid w:val="0BE14F5F"/>
    <w:rsid w:val="0BEE6D79"/>
    <w:rsid w:val="0BF16386"/>
    <w:rsid w:val="0C0B50B6"/>
    <w:rsid w:val="0C366727"/>
    <w:rsid w:val="0C3A4D7D"/>
    <w:rsid w:val="0C814FA5"/>
    <w:rsid w:val="0C9040A9"/>
    <w:rsid w:val="0C9E13B3"/>
    <w:rsid w:val="0CA27616"/>
    <w:rsid w:val="0CC442D7"/>
    <w:rsid w:val="0CD66CF7"/>
    <w:rsid w:val="0CEC092A"/>
    <w:rsid w:val="0CF62067"/>
    <w:rsid w:val="0D3945D5"/>
    <w:rsid w:val="0D3C216F"/>
    <w:rsid w:val="0D4233A4"/>
    <w:rsid w:val="0D4234FE"/>
    <w:rsid w:val="0D4D0AF9"/>
    <w:rsid w:val="0D5D4163"/>
    <w:rsid w:val="0D900586"/>
    <w:rsid w:val="0DF26469"/>
    <w:rsid w:val="0E2E5089"/>
    <w:rsid w:val="0E490011"/>
    <w:rsid w:val="0E68518B"/>
    <w:rsid w:val="0E6D7A2A"/>
    <w:rsid w:val="0E786FF3"/>
    <w:rsid w:val="0EB93D1B"/>
    <w:rsid w:val="0ED11E9F"/>
    <w:rsid w:val="0EE14EC6"/>
    <w:rsid w:val="0F0569E4"/>
    <w:rsid w:val="0F0617B7"/>
    <w:rsid w:val="0F615969"/>
    <w:rsid w:val="0F955B67"/>
    <w:rsid w:val="0FA1275E"/>
    <w:rsid w:val="0FD91EF8"/>
    <w:rsid w:val="0FFB6F69"/>
    <w:rsid w:val="0FFC514B"/>
    <w:rsid w:val="10253F95"/>
    <w:rsid w:val="10466E69"/>
    <w:rsid w:val="10486792"/>
    <w:rsid w:val="104B0030"/>
    <w:rsid w:val="106272E9"/>
    <w:rsid w:val="10855BDB"/>
    <w:rsid w:val="10B0262C"/>
    <w:rsid w:val="10B97383"/>
    <w:rsid w:val="10C2298C"/>
    <w:rsid w:val="10D76103"/>
    <w:rsid w:val="10F7015B"/>
    <w:rsid w:val="110B7BF5"/>
    <w:rsid w:val="111616F3"/>
    <w:rsid w:val="11264990"/>
    <w:rsid w:val="114D089C"/>
    <w:rsid w:val="11500281"/>
    <w:rsid w:val="118906F7"/>
    <w:rsid w:val="11BE5E0C"/>
    <w:rsid w:val="11D101EE"/>
    <w:rsid w:val="12117D8F"/>
    <w:rsid w:val="121A2E99"/>
    <w:rsid w:val="12400D96"/>
    <w:rsid w:val="12525F91"/>
    <w:rsid w:val="12870CB0"/>
    <w:rsid w:val="12AE6A32"/>
    <w:rsid w:val="12B33BA8"/>
    <w:rsid w:val="12E52506"/>
    <w:rsid w:val="130265BC"/>
    <w:rsid w:val="1323348A"/>
    <w:rsid w:val="134275A5"/>
    <w:rsid w:val="13482EF0"/>
    <w:rsid w:val="13622204"/>
    <w:rsid w:val="13C27393"/>
    <w:rsid w:val="13C80442"/>
    <w:rsid w:val="13D630FB"/>
    <w:rsid w:val="13E963DC"/>
    <w:rsid w:val="13F97879"/>
    <w:rsid w:val="14037D5A"/>
    <w:rsid w:val="14045568"/>
    <w:rsid w:val="14213E6D"/>
    <w:rsid w:val="14364068"/>
    <w:rsid w:val="144E4A79"/>
    <w:rsid w:val="14C86057"/>
    <w:rsid w:val="14CC39DF"/>
    <w:rsid w:val="14DC5FE6"/>
    <w:rsid w:val="14E35FF0"/>
    <w:rsid w:val="14EE72CB"/>
    <w:rsid w:val="14EF57E0"/>
    <w:rsid w:val="14F14328"/>
    <w:rsid w:val="1500562E"/>
    <w:rsid w:val="15145348"/>
    <w:rsid w:val="152A795D"/>
    <w:rsid w:val="1538512D"/>
    <w:rsid w:val="15462231"/>
    <w:rsid w:val="15995CFB"/>
    <w:rsid w:val="15C026A8"/>
    <w:rsid w:val="15FB70AD"/>
    <w:rsid w:val="161F063E"/>
    <w:rsid w:val="16424E3B"/>
    <w:rsid w:val="164863B3"/>
    <w:rsid w:val="1651030E"/>
    <w:rsid w:val="16614A43"/>
    <w:rsid w:val="169E3974"/>
    <w:rsid w:val="16AE0D1D"/>
    <w:rsid w:val="16BF0C68"/>
    <w:rsid w:val="16DC5F4C"/>
    <w:rsid w:val="17046594"/>
    <w:rsid w:val="171F47AE"/>
    <w:rsid w:val="177C5C52"/>
    <w:rsid w:val="17871D41"/>
    <w:rsid w:val="17C84600"/>
    <w:rsid w:val="17E25150"/>
    <w:rsid w:val="17EF28C2"/>
    <w:rsid w:val="17FF2717"/>
    <w:rsid w:val="180E64B6"/>
    <w:rsid w:val="1820704F"/>
    <w:rsid w:val="186D1464"/>
    <w:rsid w:val="18747971"/>
    <w:rsid w:val="18860743"/>
    <w:rsid w:val="188B347D"/>
    <w:rsid w:val="189A41EE"/>
    <w:rsid w:val="18C069F5"/>
    <w:rsid w:val="18D436C7"/>
    <w:rsid w:val="18DB5F9C"/>
    <w:rsid w:val="193C0062"/>
    <w:rsid w:val="19572F04"/>
    <w:rsid w:val="1973044E"/>
    <w:rsid w:val="19782D58"/>
    <w:rsid w:val="198E357D"/>
    <w:rsid w:val="19960E59"/>
    <w:rsid w:val="19981DED"/>
    <w:rsid w:val="19F64A80"/>
    <w:rsid w:val="1A071EB4"/>
    <w:rsid w:val="1A1401D9"/>
    <w:rsid w:val="1A5A090E"/>
    <w:rsid w:val="1A6F39D0"/>
    <w:rsid w:val="1A9C47ED"/>
    <w:rsid w:val="1AA82C77"/>
    <w:rsid w:val="1AA90ECC"/>
    <w:rsid w:val="1ABF551B"/>
    <w:rsid w:val="1AC216A6"/>
    <w:rsid w:val="1AD17C72"/>
    <w:rsid w:val="1AD42C55"/>
    <w:rsid w:val="1B027E29"/>
    <w:rsid w:val="1B252BAB"/>
    <w:rsid w:val="1B383951"/>
    <w:rsid w:val="1B4D5548"/>
    <w:rsid w:val="1B5B5FC5"/>
    <w:rsid w:val="1B781073"/>
    <w:rsid w:val="1B7E7DF7"/>
    <w:rsid w:val="1B804ED5"/>
    <w:rsid w:val="1B8B11CF"/>
    <w:rsid w:val="1BA3289E"/>
    <w:rsid w:val="1BCF3AA0"/>
    <w:rsid w:val="1BD81810"/>
    <w:rsid w:val="1BDB41C0"/>
    <w:rsid w:val="1BF37FC4"/>
    <w:rsid w:val="1C4247F3"/>
    <w:rsid w:val="1C442942"/>
    <w:rsid w:val="1C6634CC"/>
    <w:rsid w:val="1C7F4030"/>
    <w:rsid w:val="1CA94A00"/>
    <w:rsid w:val="1CB10719"/>
    <w:rsid w:val="1CBE3E3B"/>
    <w:rsid w:val="1D17619B"/>
    <w:rsid w:val="1D334A9D"/>
    <w:rsid w:val="1D34630C"/>
    <w:rsid w:val="1D410307"/>
    <w:rsid w:val="1D4D519E"/>
    <w:rsid w:val="1DCE2499"/>
    <w:rsid w:val="1DE06B47"/>
    <w:rsid w:val="1DEE2FE7"/>
    <w:rsid w:val="1E5643DA"/>
    <w:rsid w:val="1E5B339F"/>
    <w:rsid w:val="1E5F2CA4"/>
    <w:rsid w:val="1E6D6AE7"/>
    <w:rsid w:val="1E775256"/>
    <w:rsid w:val="1E850FCE"/>
    <w:rsid w:val="1EAC6A29"/>
    <w:rsid w:val="1EC52E28"/>
    <w:rsid w:val="1EEA5137"/>
    <w:rsid w:val="1EF8115B"/>
    <w:rsid w:val="1EF82641"/>
    <w:rsid w:val="1EFA5449"/>
    <w:rsid w:val="1F5453B1"/>
    <w:rsid w:val="1F5A349A"/>
    <w:rsid w:val="1F775289"/>
    <w:rsid w:val="1F7C2F3A"/>
    <w:rsid w:val="1F886294"/>
    <w:rsid w:val="1FCC5EE2"/>
    <w:rsid w:val="1FE21A71"/>
    <w:rsid w:val="203565E4"/>
    <w:rsid w:val="205B5145"/>
    <w:rsid w:val="207442AA"/>
    <w:rsid w:val="207D2F38"/>
    <w:rsid w:val="208838AF"/>
    <w:rsid w:val="20AC33B0"/>
    <w:rsid w:val="20F2162B"/>
    <w:rsid w:val="21004E58"/>
    <w:rsid w:val="211F1C26"/>
    <w:rsid w:val="2141734C"/>
    <w:rsid w:val="214E76C3"/>
    <w:rsid w:val="21554DCC"/>
    <w:rsid w:val="215D400B"/>
    <w:rsid w:val="216A5107"/>
    <w:rsid w:val="21817CF9"/>
    <w:rsid w:val="21BB3EAA"/>
    <w:rsid w:val="21E77C8A"/>
    <w:rsid w:val="21EA1F43"/>
    <w:rsid w:val="222372B4"/>
    <w:rsid w:val="22515A59"/>
    <w:rsid w:val="226A4C6C"/>
    <w:rsid w:val="22781D83"/>
    <w:rsid w:val="228C547B"/>
    <w:rsid w:val="22B967CD"/>
    <w:rsid w:val="22DF3955"/>
    <w:rsid w:val="23225693"/>
    <w:rsid w:val="23447230"/>
    <w:rsid w:val="23483CF2"/>
    <w:rsid w:val="236C5411"/>
    <w:rsid w:val="237B7324"/>
    <w:rsid w:val="23810BE7"/>
    <w:rsid w:val="23C25CB5"/>
    <w:rsid w:val="241F42DD"/>
    <w:rsid w:val="2424126C"/>
    <w:rsid w:val="243946D8"/>
    <w:rsid w:val="24692809"/>
    <w:rsid w:val="24CC1F3A"/>
    <w:rsid w:val="24F93948"/>
    <w:rsid w:val="251A2000"/>
    <w:rsid w:val="25404A75"/>
    <w:rsid w:val="254104DF"/>
    <w:rsid w:val="25504061"/>
    <w:rsid w:val="25524FEF"/>
    <w:rsid w:val="25AD6677"/>
    <w:rsid w:val="25CB511A"/>
    <w:rsid w:val="25D738C6"/>
    <w:rsid w:val="25F76954"/>
    <w:rsid w:val="25F909D8"/>
    <w:rsid w:val="25FF1B34"/>
    <w:rsid w:val="26C07516"/>
    <w:rsid w:val="26D7172C"/>
    <w:rsid w:val="26E1630F"/>
    <w:rsid w:val="26E25A8D"/>
    <w:rsid w:val="26E5175C"/>
    <w:rsid w:val="26E85FF8"/>
    <w:rsid w:val="26FB054E"/>
    <w:rsid w:val="270B6C75"/>
    <w:rsid w:val="270E6119"/>
    <w:rsid w:val="27175E99"/>
    <w:rsid w:val="27200C69"/>
    <w:rsid w:val="272F7AD6"/>
    <w:rsid w:val="274673D6"/>
    <w:rsid w:val="27555E87"/>
    <w:rsid w:val="277B51EB"/>
    <w:rsid w:val="27884C7A"/>
    <w:rsid w:val="28213FE4"/>
    <w:rsid w:val="282916BA"/>
    <w:rsid w:val="282E3934"/>
    <w:rsid w:val="28AD4154"/>
    <w:rsid w:val="28B37A5E"/>
    <w:rsid w:val="28C332ED"/>
    <w:rsid w:val="28D463C1"/>
    <w:rsid w:val="28DC7F0B"/>
    <w:rsid w:val="28E42977"/>
    <w:rsid w:val="28F41FD5"/>
    <w:rsid w:val="29002F8B"/>
    <w:rsid w:val="29585436"/>
    <w:rsid w:val="29CE10A4"/>
    <w:rsid w:val="29FE3164"/>
    <w:rsid w:val="2A082718"/>
    <w:rsid w:val="2A202079"/>
    <w:rsid w:val="2A2B4192"/>
    <w:rsid w:val="2A415E87"/>
    <w:rsid w:val="2A44045E"/>
    <w:rsid w:val="2A9E6EED"/>
    <w:rsid w:val="2AA1189E"/>
    <w:rsid w:val="2AA831E5"/>
    <w:rsid w:val="2AB06E6A"/>
    <w:rsid w:val="2B091443"/>
    <w:rsid w:val="2B18248E"/>
    <w:rsid w:val="2B190002"/>
    <w:rsid w:val="2B203D75"/>
    <w:rsid w:val="2B513774"/>
    <w:rsid w:val="2B7A28AC"/>
    <w:rsid w:val="2B97486B"/>
    <w:rsid w:val="2BAC15CB"/>
    <w:rsid w:val="2BC12B6B"/>
    <w:rsid w:val="2BD575BF"/>
    <w:rsid w:val="2C001BF6"/>
    <w:rsid w:val="2C1A28FB"/>
    <w:rsid w:val="2C717B03"/>
    <w:rsid w:val="2C8B478B"/>
    <w:rsid w:val="2CAF3CD6"/>
    <w:rsid w:val="2CE931FA"/>
    <w:rsid w:val="2CFD5A53"/>
    <w:rsid w:val="2D26209C"/>
    <w:rsid w:val="2D6B1749"/>
    <w:rsid w:val="2D742E08"/>
    <w:rsid w:val="2D7A4D28"/>
    <w:rsid w:val="2D950D76"/>
    <w:rsid w:val="2D9D77C0"/>
    <w:rsid w:val="2DCC2C44"/>
    <w:rsid w:val="2DD01A31"/>
    <w:rsid w:val="2E2064F4"/>
    <w:rsid w:val="2E5371F9"/>
    <w:rsid w:val="2E547B86"/>
    <w:rsid w:val="2E6028A0"/>
    <w:rsid w:val="2E681A1B"/>
    <w:rsid w:val="2E7A5191"/>
    <w:rsid w:val="2E8013E7"/>
    <w:rsid w:val="2E8B0409"/>
    <w:rsid w:val="2EA66FF1"/>
    <w:rsid w:val="2ED56D13"/>
    <w:rsid w:val="2F436812"/>
    <w:rsid w:val="2FB92FCB"/>
    <w:rsid w:val="2FC710B8"/>
    <w:rsid w:val="2FE0269D"/>
    <w:rsid w:val="2FE211B0"/>
    <w:rsid w:val="300B186C"/>
    <w:rsid w:val="30146D72"/>
    <w:rsid w:val="301D7AE1"/>
    <w:rsid w:val="3038170D"/>
    <w:rsid w:val="30831BB9"/>
    <w:rsid w:val="309129E9"/>
    <w:rsid w:val="30944265"/>
    <w:rsid w:val="30BC6051"/>
    <w:rsid w:val="30E3273D"/>
    <w:rsid w:val="314C266A"/>
    <w:rsid w:val="315B54ED"/>
    <w:rsid w:val="316800B6"/>
    <w:rsid w:val="31AE767E"/>
    <w:rsid w:val="31BB525A"/>
    <w:rsid w:val="31C658D2"/>
    <w:rsid w:val="31F2254D"/>
    <w:rsid w:val="322A2424"/>
    <w:rsid w:val="322B2B1A"/>
    <w:rsid w:val="32834ADD"/>
    <w:rsid w:val="329B0E37"/>
    <w:rsid w:val="329B3BA5"/>
    <w:rsid w:val="33165BD0"/>
    <w:rsid w:val="33286205"/>
    <w:rsid w:val="336F7D45"/>
    <w:rsid w:val="337374A7"/>
    <w:rsid w:val="337705FD"/>
    <w:rsid w:val="33784CD4"/>
    <w:rsid w:val="33995376"/>
    <w:rsid w:val="33B326A5"/>
    <w:rsid w:val="33B757FC"/>
    <w:rsid w:val="33CA24AE"/>
    <w:rsid w:val="33CE72AF"/>
    <w:rsid w:val="33D303AB"/>
    <w:rsid w:val="343F7F85"/>
    <w:rsid w:val="34426DD3"/>
    <w:rsid w:val="3462363B"/>
    <w:rsid w:val="34695E46"/>
    <w:rsid w:val="34956190"/>
    <w:rsid w:val="34A05CCE"/>
    <w:rsid w:val="34C0565A"/>
    <w:rsid w:val="34D42C8E"/>
    <w:rsid w:val="34E801CD"/>
    <w:rsid w:val="34F860CC"/>
    <w:rsid w:val="35522499"/>
    <w:rsid w:val="35590A79"/>
    <w:rsid w:val="35602A90"/>
    <w:rsid w:val="35957CD7"/>
    <w:rsid w:val="35A15988"/>
    <w:rsid w:val="35C3472F"/>
    <w:rsid w:val="35D65F39"/>
    <w:rsid w:val="360517A3"/>
    <w:rsid w:val="361548B8"/>
    <w:rsid w:val="362F0E3F"/>
    <w:rsid w:val="364E7611"/>
    <w:rsid w:val="366F47BE"/>
    <w:rsid w:val="3681538F"/>
    <w:rsid w:val="36CC15BF"/>
    <w:rsid w:val="36CC4733"/>
    <w:rsid w:val="36D65946"/>
    <w:rsid w:val="36F2592D"/>
    <w:rsid w:val="37266708"/>
    <w:rsid w:val="373D526A"/>
    <w:rsid w:val="3748231F"/>
    <w:rsid w:val="3782242F"/>
    <w:rsid w:val="37902503"/>
    <w:rsid w:val="37BD7ECE"/>
    <w:rsid w:val="37FF2A9B"/>
    <w:rsid w:val="38194E02"/>
    <w:rsid w:val="381A4397"/>
    <w:rsid w:val="381B4894"/>
    <w:rsid w:val="38215D96"/>
    <w:rsid w:val="382F72EE"/>
    <w:rsid w:val="38380467"/>
    <w:rsid w:val="38496EF2"/>
    <w:rsid w:val="389127CA"/>
    <w:rsid w:val="389346E3"/>
    <w:rsid w:val="389F5AD3"/>
    <w:rsid w:val="38A44AA5"/>
    <w:rsid w:val="38A75A46"/>
    <w:rsid w:val="38C07A38"/>
    <w:rsid w:val="38E645DF"/>
    <w:rsid w:val="39205BF2"/>
    <w:rsid w:val="392B372F"/>
    <w:rsid w:val="393C4091"/>
    <w:rsid w:val="3944527F"/>
    <w:rsid w:val="394C2EA6"/>
    <w:rsid w:val="397B299E"/>
    <w:rsid w:val="398F1444"/>
    <w:rsid w:val="39B20F40"/>
    <w:rsid w:val="39B40D22"/>
    <w:rsid w:val="39D41354"/>
    <w:rsid w:val="39DC1592"/>
    <w:rsid w:val="3A092020"/>
    <w:rsid w:val="3A245C97"/>
    <w:rsid w:val="3A26442B"/>
    <w:rsid w:val="3A302BC7"/>
    <w:rsid w:val="3A650D67"/>
    <w:rsid w:val="3A744447"/>
    <w:rsid w:val="3A870B56"/>
    <w:rsid w:val="3A886145"/>
    <w:rsid w:val="3A943DC6"/>
    <w:rsid w:val="3AF70982"/>
    <w:rsid w:val="3AFF058E"/>
    <w:rsid w:val="3B1D7F9C"/>
    <w:rsid w:val="3B323D87"/>
    <w:rsid w:val="3B392F9B"/>
    <w:rsid w:val="3B661A92"/>
    <w:rsid w:val="3B690357"/>
    <w:rsid w:val="3BA849E3"/>
    <w:rsid w:val="3BCD3F79"/>
    <w:rsid w:val="3BE94C5B"/>
    <w:rsid w:val="3BEC3969"/>
    <w:rsid w:val="3C59737F"/>
    <w:rsid w:val="3C6A4571"/>
    <w:rsid w:val="3C737DA2"/>
    <w:rsid w:val="3C86638A"/>
    <w:rsid w:val="3C946E5D"/>
    <w:rsid w:val="3CA61BAE"/>
    <w:rsid w:val="3CAE7667"/>
    <w:rsid w:val="3CE968BC"/>
    <w:rsid w:val="3D032C48"/>
    <w:rsid w:val="3D193084"/>
    <w:rsid w:val="3D6702CB"/>
    <w:rsid w:val="3D9F075F"/>
    <w:rsid w:val="3DAE797D"/>
    <w:rsid w:val="3DDA34AA"/>
    <w:rsid w:val="3E0C2040"/>
    <w:rsid w:val="3E141F20"/>
    <w:rsid w:val="3E285C74"/>
    <w:rsid w:val="3E392D90"/>
    <w:rsid w:val="3E6C45EE"/>
    <w:rsid w:val="3E854E75"/>
    <w:rsid w:val="3E865BD4"/>
    <w:rsid w:val="3E905B72"/>
    <w:rsid w:val="3E99018A"/>
    <w:rsid w:val="3EA22F9B"/>
    <w:rsid w:val="3EAA6689"/>
    <w:rsid w:val="3EB83517"/>
    <w:rsid w:val="3EDE362C"/>
    <w:rsid w:val="3EEC0B6B"/>
    <w:rsid w:val="3EED47C8"/>
    <w:rsid w:val="3F0471CD"/>
    <w:rsid w:val="3F263AD1"/>
    <w:rsid w:val="3F2A1578"/>
    <w:rsid w:val="3F427DD3"/>
    <w:rsid w:val="3F4C0C28"/>
    <w:rsid w:val="3F583B53"/>
    <w:rsid w:val="3F702906"/>
    <w:rsid w:val="3F7A0E56"/>
    <w:rsid w:val="3F897AD6"/>
    <w:rsid w:val="3F8B66EF"/>
    <w:rsid w:val="3FEE0662"/>
    <w:rsid w:val="40055FCB"/>
    <w:rsid w:val="402E19C4"/>
    <w:rsid w:val="402E5098"/>
    <w:rsid w:val="404F4FBB"/>
    <w:rsid w:val="4062799B"/>
    <w:rsid w:val="407D1FF3"/>
    <w:rsid w:val="40C07226"/>
    <w:rsid w:val="40C809A9"/>
    <w:rsid w:val="40D76629"/>
    <w:rsid w:val="40D923D6"/>
    <w:rsid w:val="40E80888"/>
    <w:rsid w:val="40FE0222"/>
    <w:rsid w:val="410E7A96"/>
    <w:rsid w:val="41171636"/>
    <w:rsid w:val="411D4BEA"/>
    <w:rsid w:val="41374D7D"/>
    <w:rsid w:val="41432DC5"/>
    <w:rsid w:val="41657097"/>
    <w:rsid w:val="41670888"/>
    <w:rsid w:val="416A01C5"/>
    <w:rsid w:val="417D0085"/>
    <w:rsid w:val="41C67C76"/>
    <w:rsid w:val="41CD240B"/>
    <w:rsid w:val="41DB1998"/>
    <w:rsid w:val="420F6E74"/>
    <w:rsid w:val="42164A64"/>
    <w:rsid w:val="422926E8"/>
    <w:rsid w:val="422931B7"/>
    <w:rsid w:val="423E2823"/>
    <w:rsid w:val="425C0339"/>
    <w:rsid w:val="4286740D"/>
    <w:rsid w:val="428B7B59"/>
    <w:rsid w:val="42DF7208"/>
    <w:rsid w:val="42E163F2"/>
    <w:rsid w:val="42F965F2"/>
    <w:rsid w:val="430B346F"/>
    <w:rsid w:val="43300570"/>
    <w:rsid w:val="43320C1A"/>
    <w:rsid w:val="435B5FA0"/>
    <w:rsid w:val="43957818"/>
    <w:rsid w:val="43FE6A09"/>
    <w:rsid w:val="445E4335"/>
    <w:rsid w:val="44676E58"/>
    <w:rsid w:val="448242F3"/>
    <w:rsid w:val="449A10C5"/>
    <w:rsid w:val="44C7147B"/>
    <w:rsid w:val="44FA75A6"/>
    <w:rsid w:val="45091972"/>
    <w:rsid w:val="450C4F89"/>
    <w:rsid w:val="45285A9D"/>
    <w:rsid w:val="454632AB"/>
    <w:rsid w:val="454716C0"/>
    <w:rsid w:val="45634B52"/>
    <w:rsid w:val="458748A4"/>
    <w:rsid w:val="45BC5068"/>
    <w:rsid w:val="45E216A1"/>
    <w:rsid w:val="45E26F29"/>
    <w:rsid w:val="466312C3"/>
    <w:rsid w:val="466504F7"/>
    <w:rsid w:val="46715CDF"/>
    <w:rsid w:val="46932DB1"/>
    <w:rsid w:val="469F1F27"/>
    <w:rsid w:val="46B83F75"/>
    <w:rsid w:val="46CB563B"/>
    <w:rsid w:val="46E04C21"/>
    <w:rsid w:val="4701596E"/>
    <w:rsid w:val="47033502"/>
    <w:rsid w:val="470644FA"/>
    <w:rsid w:val="473625AB"/>
    <w:rsid w:val="47414CB1"/>
    <w:rsid w:val="475573AE"/>
    <w:rsid w:val="47575BA3"/>
    <w:rsid w:val="479E0163"/>
    <w:rsid w:val="47B20B12"/>
    <w:rsid w:val="47BE4B87"/>
    <w:rsid w:val="47D557C9"/>
    <w:rsid w:val="47F6293F"/>
    <w:rsid w:val="480A77CA"/>
    <w:rsid w:val="481B671C"/>
    <w:rsid w:val="481F1B00"/>
    <w:rsid w:val="485E2406"/>
    <w:rsid w:val="486D4F16"/>
    <w:rsid w:val="48CD26FF"/>
    <w:rsid w:val="48DA22BA"/>
    <w:rsid w:val="491D766A"/>
    <w:rsid w:val="493C6926"/>
    <w:rsid w:val="49423D6F"/>
    <w:rsid w:val="496C019A"/>
    <w:rsid w:val="49753881"/>
    <w:rsid w:val="498819E1"/>
    <w:rsid w:val="498C6693"/>
    <w:rsid w:val="49D812D9"/>
    <w:rsid w:val="49DD5379"/>
    <w:rsid w:val="49EF575D"/>
    <w:rsid w:val="49F876F8"/>
    <w:rsid w:val="4A01267D"/>
    <w:rsid w:val="4A0C2FB9"/>
    <w:rsid w:val="4A14705F"/>
    <w:rsid w:val="4A1C682C"/>
    <w:rsid w:val="4A612BBC"/>
    <w:rsid w:val="4A6504DB"/>
    <w:rsid w:val="4A802A91"/>
    <w:rsid w:val="4A96363E"/>
    <w:rsid w:val="4ABF5671"/>
    <w:rsid w:val="4AF40480"/>
    <w:rsid w:val="4B0166B4"/>
    <w:rsid w:val="4B142950"/>
    <w:rsid w:val="4B466B11"/>
    <w:rsid w:val="4B5005D9"/>
    <w:rsid w:val="4B662845"/>
    <w:rsid w:val="4B8F38AC"/>
    <w:rsid w:val="4BA460D0"/>
    <w:rsid w:val="4BE57EC5"/>
    <w:rsid w:val="4C173F5D"/>
    <w:rsid w:val="4C2B6F44"/>
    <w:rsid w:val="4C373312"/>
    <w:rsid w:val="4C3E67D2"/>
    <w:rsid w:val="4C560717"/>
    <w:rsid w:val="4C6318A7"/>
    <w:rsid w:val="4C6D080A"/>
    <w:rsid w:val="4C724C4A"/>
    <w:rsid w:val="4C7D53DD"/>
    <w:rsid w:val="4C8D3001"/>
    <w:rsid w:val="4C9923D8"/>
    <w:rsid w:val="4CBD3CFA"/>
    <w:rsid w:val="4CCA7EF7"/>
    <w:rsid w:val="4D0E7086"/>
    <w:rsid w:val="4D617082"/>
    <w:rsid w:val="4D7E33D7"/>
    <w:rsid w:val="4DC94652"/>
    <w:rsid w:val="4E112475"/>
    <w:rsid w:val="4E444E98"/>
    <w:rsid w:val="4E4C0CEF"/>
    <w:rsid w:val="4E5D267A"/>
    <w:rsid w:val="4E684B53"/>
    <w:rsid w:val="4E883004"/>
    <w:rsid w:val="4E987C6F"/>
    <w:rsid w:val="4EBC24C6"/>
    <w:rsid w:val="4F060CD3"/>
    <w:rsid w:val="4F0F6D2A"/>
    <w:rsid w:val="4F164E1A"/>
    <w:rsid w:val="4F2F4C41"/>
    <w:rsid w:val="4F5C321A"/>
    <w:rsid w:val="4FC72C67"/>
    <w:rsid w:val="50235A92"/>
    <w:rsid w:val="5048609D"/>
    <w:rsid w:val="50680152"/>
    <w:rsid w:val="506F6CB9"/>
    <w:rsid w:val="508C6920"/>
    <w:rsid w:val="509E35AF"/>
    <w:rsid w:val="50C013A6"/>
    <w:rsid w:val="50CC2DF1"/>
    <w:rsid w:val="50EC4BCC"/>
    <w:rsid w:val="511F1381"/>
    <w:rsid w:val="514A216C"/>
    <w:rsid w:val="51774366"/>
    <w:rsid w:val="517F39A6"/>
    <w:rsid w:val="51844524"/>
    <w:rsid w:val="51901CA0"/>
    <w:rsid w:val="51B37099"/>
    <w:rsid w:val="51B805DA"/>
    <w:rsid w:val="51C35021"/>
    <w:rsid w:val="51C74395"/>
    <w:rsid w:val="51E15AC7"/>
    <w:rsid w:val="51E90E1F"/>
    <w:rsid w:val="51FB499D"/>
    <w:rsid w:val="52043B7F"/>
    <w:rsid w:val="520A15E2"/>
    <w:rsid w:val="5239683C"/>
    <w:rsid w:val="524D641D"/>
    <w:rsid w:val="52505342"/>
    <w:rsid w:val="526B0E22"/>
    <w:rsid w:val="529B7DC2"/>
    <w:rsid w:val="52C75B32"/>
    <w:rsid w:val="53046EBA"/>
    <w:rsid w:val="53146370"/>
    <w:rsid w:val="537B019D"/>
    <w:rsid w:val="537E7606"/>
    <w:rsid w:val="53ED0E02"/>
    <w:rsid w:val="53FA073C"/>
    <w:rsid w:val="540548B5"/>
    <w:rsid w:val="542F32F6"/>
    <w:rsid w:val="543C5B7E"/>
    <w:rsid w:val="545D63C5"/>
    <w:rsid w:val="54625916"/>
    <w:rsid w:val="547367BC"/>
    <w:rsid w:val="547538B2"/>
    <w:rsid w:val="547911B9"/>
    <w:rsid w:val="548C7FA5"/>
    <w:rsid w:val="549D65FB"/>
    <w:rsid w:val="54AA7BA4"/>
    <w:rsid w:val="54AE4B1F"/>
    <w:rsid w:val="54CD0F2E"/>
    <w:rsid w:val="54D20BB2"/>
    <w:rsid w:val="54D472B0"/>
    <w:rsid w:val="54E02441"/>
    <w:rsid w:val="54ED319A"/>
    <w:rsid w:val="550C2C82"/>
    <w:rsid w:val="5548298E"/>
    <w:rsid w:val="55602708"/>
    <w:rsid w:val="55627D0A"/>
    <w:rsid w:val="55957979"/>
    <w:rsid w:val="55A2370B"/>
    <w:rsid w:val="55B73D7B"/>
    <w:rsid w:val="55DC7607"/>
    <w:rsid w:val="55E232DA"/>
    <w:rsid w:val="5626646A"/>
    <w:rsid w:val="563C64C0"/>
    <w:rsid w:val="564D4DE6"/>
    <w:rsid w:val="56593530"/>
    <w:rsid w:val="567F6DD8"/>
    <w:rsid w:val="56A3485A"/>
    <w:rsid w:val="56DF6C95"/>
    <w:rsid w:val="56E10EA8"/>
    <w:rsid w:val="56E81055"/>
    <w:rsid w:val="56E86198"/>
    <w:rsid w:val="56F037C9"/>
    <w:rsid w:val="56FF760A"/>
    <w:rsid w:val="57022298"/>
    <w:rsid w:val="57085C52"/>
    <w:rsid w:val="571549AA"/>
    <w:rsid w:val="571B00C2"/>
    <w:rsid w:val="57363121"/>
    <w:rsid w:val="57412E89"/>
    <w:rsid w:val="57414501"/>
    <w:rsid w:val="574F4ADF"/>
    <w:rsid w:val="578D7B7C"/>
    <w:rsid w:val="578F2469"/>
    <w:rsid w:val="57A852D8"/>
    <w:rsid w:val="57AF656B"/>
    <w:rsid w:val="57E346DB"/>
    <w:rsid w:val="57EB6DC4"/>
    <w:rsid w:val="582C20C4"/>
    <w:rsid w:val="583012BA"/>
    <w:rsid w:val="58394A57"/>
    <w:rsid w:val="584511C0"/>
    <w:rsid w:val="584E7C2E"/>
    <w:rsid w:val="58707408"/>
    <w:rsid w:val="5875165E"/>
    <w:rsid w:val="58940E7A"/>
    <w:rsid w:val="58C541CA"/>
    <w:rsid w:val="58E53C9F"/>
    <w:rsid w:val="58F15FF1"/>
    <w:rsid w:val="5914523B"/>
    <w:rsid w:val="593A7D6D"/>
    <w:rsid w:val="596110D1"/>
    <w:rsid w:val="59624336"/>
    <w:rsid w:val="59795021"/>
    <w:rsid w:val="599B50F5"/>
    <w:rsid w:val="59A04CCE"/>
    <w:rsid w:val="5A211258"/>
    <w:rsid w:val="5A2B56FD"/>
    <w:rsid w:val="5A2F2F32"/>
    <w:rsid w:val="5A322B7F"/>
    <w:rsid w:val="5A3E700A"/>
    <w:rsid w:val="5A4278B5"/>
    <w:rsid w:val="5AC97A40"/>
    <w:rsid w:val="5ACB1A0A"/>
    <w:rsid w:val="5AD43284"/>
    <w:rsid w:val="5ADF3707"/>
    <w:rsid w:val="5B83679E"/>
    <w:rsid w:val="5BB63E9C"/>
    <w:rsid w:val="5C4C6B7A"/>
    <w:rsid w:val="5C4E28F2"/>
    <w:rsid w:val="5C712531"/>
    <w:rsid w:val="5CA01740"/>
    <w:rsid w:val="5CB117CD"/>
    <w:rsid w:val="5CB62F45"/>
    <w:rsid w:val="5CB65CF2"/>
    <w:rsid w:val="5CD70F87"/>
    <w:rsid w:val="5CEC51D4"/>
    <w:rsid w:val="5D057255"/>
    <w:rsid w:val="5D0D6309"/>
    <w:rsid w:val="5D315433"/>
    <w:rsid w:val="5D3665F9"/>
    <w:rsid w:val="5D4B6D34"/>
    <w:rsid w:val="5D6F75DE"/>
    <w:rsid w:val="5D963448"/>
    <w:rsid w:val="5DB06344"/>
    <w:rsid w:val="5DB12B5B"/>
    <w:rsid w:val="5DCF186A"/>
    <w:rsid w:val="5DD95ED2"/>
    <w:rsid w:val="5DE40ED1"/>
    <w:rsid w:val="5DF95BED"/>
    <w:rsid w:val="5E017386"/>
    <w:rsid w:val="5E0510B8"/>
    <w:rsid w:val="5E8D6E87"/>
    <w:rsid w:val="5EB009F1"/>
    <w:rsid w:val="5EB42574"/>
    <w:rsid w:val="5EBD7C71"/>
    <w:rsid w:val="5EC325D5"/>
    <w:rsid w:val="5EC32908"/>
    <w:rsid w:val="5EC32C90"/>
    <w:rsid w:val="5F7C55A9"/>
    <w:rsid w:val="5F9846EC"/>
    <w:rsid w:val="5FB6478B"/>
    <w:rsid w:val="5FB82903"/>
    <w:rsid w:val="5FB9611A"/>
    <w:rsid w:val="5FCC28EF"/>
    <w:rsid w:val="5FCE76A6"/>
    <w:rsid w:val="5FDE290E"/>
    <w:rsid w:val="5FE34700"/>
    <w:rsid w:val="60275F41"/>
    <w:rsid w:val="603C0CB4"/>
    <w:rsid w:val="604F4E8B"/>
    <w:rsid w:val="605C5D55"/>
    <w:rsid w:val="60634A76"/>
    <w:rsid w:val="60B03285"/>
    <w:rsid w:val="60BC2E73"/>
    <w:rsid w:val="61111455"/>
    <w:rsid w:val="61166780"/>
    <w:rsid w:val="611C2F36"/>
    <w:rsid w:val="61297EF1"/>
    <w:rsid w:val="612F70BF"/>
    <w:rsid w:val="61400F2C"/>
    <w:rsid w:val="617D7CEC"/>
    <w:rsid w:val="61990635"/>
    <w:rsid w:val="61997D23"/>
    <w:rsid w:val="619C1975"/>
    <w:rsid w:val="61B2747F"/>
    <w:rsid w:val="61C349A0"/>
    <w:rsid w:val="62220842"/>
    <w:rsid w:val="624C242C"/>
    <w:rsid w:val="62610C5F"/>
    <w:rsid w:val="626223EA"/>
    <w:rsid w:val="627F17FD"/>
    <w:rsid w:val="6282392C"/>
    <w:rsid w:val="62950F73"/>
    <w:rsid w:val="62A656B7"/>
    <w:rsid w:val="62D765E1"/>
    <w:rsid w:val="62E73159"/>
    <w:rsid w:val="631657EC"/>
    <w:rsid w:val="634855E1"/>
    <w:rsid w:val="63782963"/>
    <w:rsid w:val="63A220EC"/>
    <w:rsid w:val="63A300AB"/>
    <w:rsid w:val="63AB062A"/>
    <w:rsid w:val="63B9287D"/>
    <w:rsid w:val="63BA4C2B"/>
    <w:rsid w:val="63BD3DCC"/>
    <w:rsid w:val="63DB1968"/>
    <w:rsid w:val="63E47698"/>
    <w:rsid w:val="63E80DAE"/>
    <w:rsid w:val="640D6AAD"/>
    <w:rsid w:val="64184044"/>
    <w:rsid w:val="64412D3D"/>
    <w:rsid w:val="645002AB"/>
    <w:rsid w:val="64637A73"/>
    <w:rsid w:val="64744EC0"/>
    <w:rsid w:val="648B5E5E"/>
    <w:rsid w:val="64C02268"/>
    <w:rsid w:val="64DE10BC"/>
    <w:rsid w:val="65257F68"/>
    <w:rsid w:val="655457F3"/>
    <w:rsid w:val="65614357"/>
    <w:rsid w:val="657B09C5"/>
    <w:rsid w:val="65A802C3"/>
    <w:rsid w:val="65CC38EE"/>
    <w:rsid w:val="65DE0CDA"/>
    <w:rsid w:val="65E676BD"/>
    <w:rsid w:val="65ED6CD8"/>
    <w:rsid w:val="6616088B"/>
    <w:rsid w:val="661A2785"/>
    <w:rsid w:val="66586254"/>
    <w:rsid w:val="666B6B5D"/>
    <w:rsid w:val="66777068"/>
    <w:rsid w:val="669110B4"/>
    <w:rsid w:val="66954031"/>
    <w:rsid w:val="66A852F5"/>
    <w:rsid w:val="66CF6F74"/>
    <w:rsid w:val="66D5172B"/>
    <w:rsid w:val="673F5FA5"/>
    <w:rsid w:val="67741253"/>
    <w:rsid w:val="67760D1A"/>
    <w:rsid w:val="678E1F28"/>
    <w:rsid w:val="678F1749"/>
    <w:rsid w:val="67AF7FBD"/>
    <w:rsid w:val="67C96476"/>
    <w:rsid w:val="67DA7730"/>
    <w:rsid w:val="6816379F"/>
    <w:rsid w:val="68200845"/>
    <w:rsid w:val="684814B4"/>
    <w:rsid w:val="68832557"/>
    <w:rsid w:val="68C03768"/>
    <w:rsid w:val="69036DDF"/>
    <w:rsid w:val="69194543"/>
    <w:rsid w:val="692E38EB"/>
    <w:rsid w:val="69366686"/>
    <w:rsid w:val="695B664F"/>
    <w:rsid w:val="696F5841"/>
    <w:rsid w:val="6974326C"/>
    <w:rsid w:val="69D3114B"/>
    <w:rsid w:val="6A440E91"/>
    <w:rsid w:val="6A480E85"/>
    <w:rsid w:val="6ACA5E83"/>
    <w:rsid w:val="6AD42062"/>
    <w:rsid w:val="6AFF6EE3"/>
    <w:rsid w:val="6B25428A"/>
    <w:rsid w:val="6B441250"/>
    <w:rsid w:val="6B485271"/>
    <w:rsid w:val="6B487674"/>
    <w:rsid w:val="6B5C609D"/>
    <w:rsid w:val="6B5E15A0"/>
    <w:rsid w:val="6B6E19E9"/>
    <w:rsid w:val="6B786C75"/>
    <w:rsid w:val="6B793D65"/>
    <w:rsid w:val="6B7D6E77"/>
    <w:rsid w:val="6B8005EE"/>
    <w:rsid w:val="6BA2393D"/>
    <w:rsid w:val="6BBD3D32"/>
    <w:rsid w:val="6BC44906"/>
    <w:rsid w:val="6BCF2E21"/>
    <w:rsid w:val="6BF04B47"/>
    <w:rsid w:val="6BF25B97"/>
    <w:rsid w:val="6BF57AA1"/>
    <w:rsid w:val="6C0D46C0"/>
    <w:rsid w:val="6C120DA2"/>
    <w:rsid w:val="6C3A69EF"/>
    <w:rsid w:val="6C7D39EF"/>
    <w:rsid w:val="6C8422AB"/>
    <w:rsid w:val="6CA566A0"/>
    <w:rsid w:val="6CED328C"/>
    <w:rsid w:val="6D0337BC"/>
    <w:rsid w:val="6D1E3C1B"/>
    <w:rsid w:val="6D3450DB"/>
    <w:rsid w:val="6D585A43"/>
    <w:rsid w:val="6D8F6931"/>
    <w:rsid w:val="6DC81303"/>
    <w:rsid w:val="6DDB3675"/>
    <w:rsid w:val="6DE1719F"/>
    <w:rsid w:val="6DEE4DF9"/>
    <w:rsid w:val="6E147F0B"/>
    <w:rsid w:val="6E3A48AD"/>
    <w:rsid w:val="6E531FEA"/>
    <w:rsid w:val="6E5B24BC"/>
    <w:rsid w:val="6E5B4A69"/>
    <w:rsid w:val="6E605517"/>
    <w:rsid w:val="6E71306F"/>
    <w:rsid w:val="6E92447D"/>
    <w:rsid w:val="6E925745"/>
    <w:rsid w:val="6ED241B4"/>
    <w:rsid w:val="6F094884"/>
    <w:rsid w:val="6F5D5D2C"/>
    <w:rsid w:val="6F966DF6"/>
    <w:rsid w:val="6F9722D5"/>
    <w:rsid w:val="6FB5351B"/>
    <w:rsid w:val="6FB8103A"/>
    <w:rsid w:val="6FB92C57"/>
    <w:rsid w:val="6FDE345A"/>
    <w:rsid w:val="6FE97F06"/>
    <w:rsid w:val="70385A2E"/>
    <w:rsid w:val="70396AE3"/>
    <w:rsid w:val="705A140E"/>
    <w:rsid w:val="706E47B8"/>
    <w:rsid w:val="70C70904"/>
    <w:rsid w:val="70D403D3"/>
    <w:rsid w:val="70F27898"/>
    <w:rsid w:val="716B5794"/>
    <w:rsid w:val="717619C3"/>
    <w:rsid w:val="71796C76"/>
    <w:rsid w:val="71AA0F82"/>
    <w:rsid w:val="71AF3F00"/>
    <w:rsid w:val="71E3268F"/>
    <w:rsid w:val="71F70F3D"/>
    <w:rsid w:val="721C7622"/>
    <w:rsid w:val="72284242"/>
    <w:rsid w:val="72351862"/>
    <w:rsid w:val="72697840"/>
    <w:rsid w:val="7270425A"/>
    <w:rsid w:val="72A829E5"/>
    <w:rsid w:val="72C43272"/>
    <w:rsid w:val="72CA6BE1"/>
    <w:rsid w:val="730D32CD"/>
    <w:rsid w:val="731C6E18"/>
    <w:rsid w:val="731F431B"/>
    <w:rsid w:val="73427BD6"/>
    <w:rsid w:val="73470EE1"/>
    <w:rsid w:val="73642133"/>
    <w:rsid w:val="737871FE"/>
    <w:rsid w:val="73A17354"/>
    <w:rsid w:val="73C117A4"/>
    <w:rsid w:val="73C33AE4"/>
    <w:rsid w:val="73E23154"/>
    <w:rsid w:val="73F15F3F"/>
    <w:rsid w:val="74083497"/>
    <w:rsid w:val="74113365"/>
    <w:rsid w:val="74266FDD"/>
    <w:rsid w:val="744E5B24"/>
    <w:rsid w:val="744F06D5"/>
    <w:rsid w:val="7454015A"/>
    <w:rsid w:val="746873AF"/>
    <w:rsid w:val="7482683C"/>
    <w:rsid w:val="74953575"/>
    <w:rsid w:val="749C2889"/>
    <w:rsid w:val="74A05A7F"/>
    <w:rsid w:val="74E4107E"/>
    <w:rsid w:val="750008C6"/>
    <w:rsid w:val="750462F3"/>
    <w:rsid w:val="755632D2"/>
    <w:rsid w:val="756F2491"/>
    <w:rsid w:val="757A4300"/>
    <w:rsid w:val="763042EE"/>
    <w:rsid w:val="76450DD5"/>
    <w:rsid w:val="764E10B0"/>
    <w:rsid w:val="765362F6"/>
    <w:rsid w:val="766B55F3"/>
    <w:rsid w:val="7676585E"/>
    <w:rsid w:val="76817468"/>
    <w:rsid w:val="76945895"/>
    <w:rsid w:val="76A43C4B"/>
    <w:rsid w:val="76CB6C32"/>
    <w:rsid w:val="76F64856"/>
    <w:rsid w:val="76F83E8C"/>
    <w:rsid w:val="76F95218"/>
    <w:rsid w:val="774963C9"/>
    <w:rsid w:val="7766473C"/>
    <w:rsid w:val="777C52B6"/>
    <w:rsid w:val="77A52F18"/>
    <w:rsid w:val="77AD5A29"/>
    <w:rsid w:val="77BC3A18"/>
    <w:rsid w:val="77DD5E41"/>
    <w:rsid w:val="78295334"/>
    <w:rsid w:val="782A3530"/>
    <w:rsid w:val="785215E0"/>
    <w:rsid w:val="78537310"/>
    <w:rsid w:val="787B79C5"/>
    <w:rsid w:val="788E4B46"/>
    <w:rsid w:val="789470BD"/>
    <w:rsid w:val="789F4190"/>
    <w:rsid w:val="78D2705B"/>
    <w:rsid w:val="790A05A0"/>
    <w:rsid w:val="791C61EF"/>
    <w:rsid w:val="79573BF5"/>
    <w:rsid w:val="796F05E0"/>
    <w:rsid w:val="79914AC1"/>
    <w:rsid w:val="799811D2"/>
    <w:rsid w:val="79A25232"/>
    <w:rsid w:val="79A42017"/>
    <w:rsid w:val="79CA06D6"/>
    <w:rsid w:val="79F842AA"/>
    <w:rsid w:val="7A2D54BD"/>
    <w:rsid w:val="7A414C68"/>
    <w:rsid w:val="7A4778AC"/>
    <w:rsid w:val="7A482BB0"/>
    <w:rsid w:val="7A7031DE"/>
    <w:rsid w:val="7A877901"/>
    <w:rsid w:val="7A8E13F5"/>
    <w:rsid w:val="7AAB3047"/>
    <w:rsid w:val="7ADE14E1"/>
    <w:rsid w:val="7AE83E46"/>
    <w:rsid w:val="7AEF081F"/>
    <w:rsid w:val="7AF1471D"/>
    <w:rsid w:val="7B055127"/>
    <w:rsid w:val="7B197F69"/>
    <w:rsid w:val="7B230DC1"/>
    <w:rsid w:val="7B871069"/>
    <w:rsid w:val="7CAE6B7A"/>
    <w:rsid w:val="7CCE0BC2"/>
    <w:rsid w:val="7D460D84"/>
    <w:rsid w:val="7D5947FB"/>
    <w:rsid w:val="7D66199A"/>
    <w:rsid w:val="7D6E6B48"/>
    <w:rsid w:val="7D821FA4"/>
    <w:rsid w:val="7D827C31"/>
    <w:rsid w:val="7D8C348B"/>
    <w:rsid w:val="7DDE7A40"/>
    <w:rsid w:val="7DE9671E"/>
    <w:rsid w:val="7E1C4CDA"/>
    <w:rsid w:val="7E293F7B"/>
    <w:rsid w:val="7E643773"/>
    <w:rsid w:val="7E712102"/>
    <w:rsid w:val="7E976035"/>
    <w:rsid w:val="7ECA45D2"/>
    <w:rsid w:val="7ECC31F5"/>
    <w:rsid w:val="7EDD10F9"/>
    <w:rsid w:val="7EF014CF"/>
    <w:rsid w:val="7F025E79"/>
    <w:rsid w:val="7F222401"/>
    <w:rsid w:val="7F5248B7"/>
    <w:rsid w:val="7F87223B"/>
    <w:rsid w:val="7F8C5645"/>
    <w:rsid w:val="7FF73CE7"/>
  </w:rsids>
  <m:mathPr>
    <m:mathFont m:val="Cambria Math"/>
    <m:brkBin m:val="before"/>
    <m:brkBinSub m:val="--"/>
    <m:smallFrac m:val="1"/>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qFormat="1"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autoRedefine/>
    <w:qFormat/>
    <w:uiPriority w:val="0"/>
    <w:pPr>
      <w:keepNext/>
      <w:keepLines/>
      <w:spacing w:before="340" w:after="330" w:line="578" w:lineRule="auto"/>
      <w:outlineLvl w:val="0"/>
    </w:pPr>
    <w:rPr>
      <w:b/>
      <w:bCs/>
      <w:kern w:val="44"/>
      <w:sz w:val="44"/>
      <w:szCs w:val="44"/>
    </w:rPr>
  </w:style>
  <w:style w:type="paragraph" w:styleId="3">
    <w:name w:val="heading 2"/>
    <w:basedOn w:val="1"/>
    <w:next w:val="1"/>
    <w:autoRedefine/>
    <w:qFormat/>
    <w:uiPriority w:val="0"/>
    <w:pPr>
      <w:widowControl/>
      <w:jc w:val="left"/>
      <w:outlineLvl w:val="1"/>
    </w:pPr>
    <w:rPr>
      <w:rFonts w:ascii="宋体" w:hAnsi="宋体" w:cs="宋体"/>
      <w:b/>
      <w:bCs/>
      <w:color w:val="BB0000"/>
      <w:kern w:val="0"/>
      <w:szCs w:val="21"/>
    </w:rPr>
  </w:style>
  <w:style w:type="character" w:default="1" w:styleId="18">
    <w:name w:val="Default Paragraph Font"/>
    <w:autoRedefine/>
    <w:semiHidden/>
    <w:unhideWhenUsed/>
    <w:qFormat/>
    <w:uiPriority w:val="1"/>
  </w:style>
  <w:style w:type="table" w:default="1" w:styleId="17">
    <w:name w:val="Normal Table"/>
    <w:autoRedefine/>
    <w:semiHidden/>
    <w:unhideWhenUsed/>
    <w:qFormat/>
    <w:uiPriority w:val="99"/>
    <w:tblPr>
      <w:tblCellMar>
        <w:top w:w="0" w:type="dxa"/>
        <w:left w:w="108" w:type="dxa"/>
        <w:bottom w:w="0" w:type="dxa"/>
        <w:right w:w="108" w:type="dxa"/>
      </w:tblCellMar>
    </w:tblPr>
  </w:style>
  <w:style w:type="paragraph" w:styleId="4">
    <w:name w:val="Normal Indent"/>
    <w:basedOn w:val="1"/>
    <w:next w:val="1"/>
    <w:autoRedefine/>
    <w:qFormat/>
    <w:uiPriority w:val="0"/>
    <w:pPr>
      <w:ind w:firstLine="420" w:firstLineChars="200"/>
    </w:pPr>
  </w:style>
  <w:style w:type="paragraph" w:styleId="5">
    <w:name w:val="annotation text"/>
    <w:basedOn w:val="1"/>
    <w:link w:val="34"/>
    <w:autoRedefine/>
    <w:qFormat/>
    <w:uiPriority w:val="0"/>
    <w:pPr>
      <w:jc w:val="left"/>
    </w:pPr>
  </w:style>
  <w:style w:type="paragraph" w:styleId="6">
    <w:name w:val="Body Text"/>
    <w:basedOn w:val="1"/>
    <w:next w:val="7"/>
    <w:autoRedefine/>
    <w:qFormat/>
    <w:uiPriority w:val="0"/>
    <w:pPr>
      <w:spacing w:after="120"/>
    </w:pPr>
  </w:style>
  <w:style w:type="paragraph" w:styleId="7">
    <w:name w:val="Body Text First Indent"/>
    <w:basedOn w:val="6"/>
    <w:next w:val="8"/>
    <w:autoRedefine/>
    <w:qFormat/>
    <w:uiPriority w:val="0"/>
    <w:pPr>
      <w:ind w:firstLine="420"/>
    </w:pPr>
  </w:style>
  <w:style w:type="paragraph" w:styleId="8">
    <w:name w:val="toc 6"/>
    <w:basedOn w:val="1"/>
    <w:next w:val="1"/>
    <w:autoRedefine/>
    <w:qFormat/>
    <w:uiPriority w:val="0"/>
    <w:pPr>
      <w:ind w:left="2100" w:leftChars="1000"/>
    </w:pPr>
    <w:rPr>
      <w:szCs w:val="22"/>
    </w:rPr>
  </w:style>
  <w:style w:type="paragraph" w:styleId="9">
    <w:name w:val="Body Text Indent"/>
    <w:basedOn w:val="1"/>
    <w:autoRedefine/>
    <w:qFormat/>
    <w:uiPriority w:val="0"/>
    <w:pPr>
      <w:ind w:firstLine="570"/>
    </w:pPr>
    <w:rPr>
      <w:rFonts w:ascii="宋体" w:hAnsi="宋体"/>
      <w:sz w:val="28"/>
    </w:rPr>
  </w:style>
  <w:style w:type="paragraph" w:styleId="10">
    <w:name w:val="Plain Text"/>
    <w:basedOn w:val="1"/>
    <w:link w:val="32"/>
    <w:autoRedefine/>
    <w:qFormat/>
    <w:uiPriority w:val="0"/>
    <w:rPr>
      <w:rFonts w:ascii="宋体" w:hAnsi="Courier New" w:cs="Courier New"/>
      <w:szCs w:val="21"/>
    </w:rPr>
  </w:style>
  <w:style w:type="paragraph" w:styleId="11">
    <w:name w:val="Date"/>
    <w:basedOn w:val="1"/>
    <w:next w:val="1"/>
    <w:autoRedefine/>
    <w:qFormat/>
    <w:uiPriority w:val="0"/>
    <w:pPr>
      <w:ind w:left="100" w:leftChars="2500"/>
    </w:pPr>
  </w:style>
  <w:style w:type="paragraph" w:styleId="12">
    <w:name w:val="Balloon Text"/>
    <w:basedOn w:val="1"/>
    <w:link w:val="39"/>
    <w:autoRedefine/>
    <w:qFormat/>
    <w:uiPriority w:val="0"/>
    <w:rPr>
      <w:sz w:val="18"/>
      <w:szCs w:val="18"/>
    </w:rPr>
  </w:style>
  <w:style w:type="paragraph" w:styleId="13">
    <w:name w:val="footer"/>
    <w:basedOn w:val="1"/>
    <w:autoRedefine/>
    <w:qFormat/>
    <w:uiPriority w:val="0"/>
    <w:pPr>
      <w:tabs>
        <w:tab w:val="center" w:pos="4153"/>
        <w:tab w:val="right" w:pos="8306"/>
      </w:tabs>
      <w:snapToGrid w:val="0"/>
      <w:jc w:val="left"/>
    </w:pPr>
    <w:rPr>
      <w:sz w:val="18"/>
      <w:szCs w:val="18"/>
    </w:rPr>
  </w:style>
  <w:style w:type="paragraph" w:styleId="14">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15">
    <w:name w:val="Normal (Web)"/>
    <w:basedOn w:val="1"/>
    <w:autoRedefine/>
    <w:qFormat/>
    <w:uiPriority w:val="0"/>
    <w:pPr>
      <w:widowControl/>
      <w:spacing w:before="100" w:beforeAutospacing="1" w:after="100" w:afterAutospacing="1"/>
      <w:jc w:val="left"/>
    </w:pPr>
    <w:rPr>
      <w:rFonts w:ascii="宋体" w:hAnsi="宋体" w:cs="宋体"/>
      <w:kern w:val="0"/>
      <w:sz w:val="24"/>
    </w:rPr>
  </w:style>
  <w:style w:type="paragraph" w:styleId="16">
    <w:name w:val="annotation subject"/>
    <w:basedOn w:val="5"/>
    <w:next w:val="5"/>
    <w:link w:val="33"/>
    <w:autoRedefine/>
    <w:qFormat/>
    <w:uiPriority w:val="0"/>
    <w:rPr>
      <w:b/>
      <w:bCs/>
    </w:rPr>
  </w:style>
  <w:style w:type="character" w:styleId="19">
    <w:name w:val="page number"/>
    <w:basedOn w:val="18"/>
    <w:autoRedefine/>
    <w:qFormat/>
    <w:uiPriority w:val="0"/>
  </w:style>
  <w:style w:type="character" w:styleId="20">
    <w:name w:val="Hyperlink"/>
    <w:basedOn w:val="18"/>
    <w:autoRedefine/>
    <w:qFormat/>
    <w:uiPriority w:val="0"/>
    <w:rPr>
      <w:color w:val="0000FF"/>
      <w:u w:val="single"/>
    </w:rPr>
  </w:style>
  <w:style w:type="character" w:styleId="21">
    <w:name w:val="annotation reference"/>
    <w:basedOn w:val="18"/>
    <w:autoRedefine/>
    <w:qFormat/>
    <w:uiPriority w:val="0"/>
    <w:rPr>
      <w:sz w:val="21"/>
      <w:szCs w:val="21"/>
    </w:rPr>
  </w:style>
  <w:style w:type="paragraph" w:customStyle="1" w:styleId="22">
    <w:name w:val="Char2"/>
    <w:basedOn w:val="1"/>
    <w:autoRedefine/>
    <w:qFormat/>
    <w:uiPriority w:val="0"/>
    <w:rPr>
      <w:szCs w:val="20"/>
    </w:rPr>
  </w:style>
  <w:style w:type="paragraph" w:customStyle="1" w:styleId="23">
    <w:name w:val="BH5K0L"/>
    <w:basedOn w:val="1"/>
    <w:autoRedefine/>
    <w:qFormat/>
    <w:uiPriority w:val="0"/>
    <w:pPr>
      <w:spacing w:beforeLines="50" w:line="312" w:lineRule="auto"/>
    </w:pPr>
    <w:rPr>
      <w:rFonts w:ascii="仿宋" w:hAnsi="仿宋" w:eastAsia="仿宋"/>
    </w:rPr>
  </w:style>
  <w:style w:type="paragraph" w:customStyle="1" w:styleId="24">
    <w:name w:val="ZW5K2L"/>
    <w:basedOn w:val="23"/>
    <w:autoRedefine/>
    <w:qFormat/>
    <w:uiPriority w:val="0"/>
    <w:pPr>
      <w:ind w:firstLine="200" w:firstLineChars="200"/>
    </w:pPr>
    <w:rPr>
      <w:rFonts w:ascii="宋体" w:hAnsi="宋体" w:eastAsia="宋体"/>
      <w:szCs w:val="21"/>
    </w:rPr>
  </w:style>
  <w:style w:type="paragraph" w:customStyle="1" w:styleId="25">
    <w:name w:val="BG5K0L"/>
    <w:basedOn w:val="24"/>
    <w:autoRedefine/>
    <w:qFormat/>
    <w:uiPriority w:val="0"/>
    <w:pPr>
      <w:spacing w:beforeLines="0" w:line="240" w:lineRule="auto"/>
      <w:ind w:firstLine="0" w:firstLineChars="0"/>
    </w:pPr>
    <w:rPr>
      <w:rFonts w:eastAsia="仿宋"/>
    </w:rPr>
  </w:style>
  <w:style w:type="paragraph" w:customStyle="1" w:styleId="26">
    <w:name w:val="内文"/>
    <w:link w:val="36"/>
    <w:autoRedefine/>
    <w:qFormat/>
    <w:uiPriority w:val="0"/>
    <w:pPr>
      <w:adjustRightInd w:val="0"/>
      <w:snapToGrid w:val="0"/>
      <w:spacing w:line="400" w:lineRule="exact"/>
      <w:ind w:firstLine="200" w:firstLineChars="200"/>
      <w:jc w:val="both"/>
    </w:pPr>
    <w:rPr>
      <w:rFonts w:ascii="Arial" w:hAnsi="Arial" w:eastAsia="宋体" w:cs="Times New Roman"/>
      <w:kern w:val="2"/>
      <w:sz w:val="21"/>
      <w:lang w:val="en-US" w:eastAsia="zh-CN" w:bidi="ar-SA"/>
    </w:rPr>
  </w:style>
  <w:style w:type="paragraph" w:customStyle="1" w:styleId="27">
    <w:name w:val="Char Char Char Char1 Char"/>
    <w:basedOn w:val="1"/>
    <w:autoRedefine/>
    <w:qFormat/>
    <w:uiPriority w:val="0"/>
    <w:rPr>
      <w:rFonts w:ascii="仿宋_GB2312" w:eastAsia="仿宋_GB2312"/>
      <w:b/>
      <w:sz w:val="32"/>
      <w:szCs w:val="32"/>
    </w:rPr>
  </w:style>
  <w:style w:type="paragraph" w:customStyle="1" w:styleId="28">
    <w:name w:val="Char1"/>
    <w:basedOn w:val="1"/>
    <w:autoRedefine/>
    <w:qFormat/>
    <w:uiPriority w:val="0"/>
    <w:pPr>
      <w:spacing w:line="360" w:lineRule="auto"/>
      <w:ind w:firstLine="200" w:firstLineChars="200"/>
    </w:pPr>
    <w:rPr>
      <w:rFonts w:eastAsia="Times New Roman"/>
      <w:kern w:val="0"/>
      <w:sz w:val="20"/>
      <w:szCs w:val="20"/>
    </w:rPr>
  </w:style>
  <w:style w:type="paragraph" w:customStyle="1" w:styleId="29">
    <w:name w:val="列出段落1"/>
    <w:autoRedefine/>
    <w:qFormat/>
    <w:uiPriority w:val="34"/>
    <w:pPr>
      <w:ind w:firstLine="420" w:firstLineChars="200"/>
    </w:pPr>
    <w:rPr>
      <w:rFonts w:ascii="Times New Roman" w:hAnsi="Times New Roman" w:eastAsia="宋体" w:cs="Times New Roman"/>
      <w:lang w:val="en-US" w:eastAsia="zh-CN" w:bidi="ar-SA"/>
    </w:rPr>
  </w:style>
  <w:style w:type="paragraph" w:customStyle="1" w:styleId="30">
    <w:name w:val="Char"/>
    <w:basedOn w:val="1"/>
    <w:autoRedefine/>
    <w:qFormat/>
    <w:uiPriority w:val="0"/>
    <w:rPr>
      <w:szCs w:val="20"/>
    </w:rPr>
  </w:style>
  <w:style w:type="paragraph" w:customStyle="1" w:styleId="31">
    <w:name w:val="样式3"/>
    <w:basedOn w:val="1"/>
    <w:autoRedefine/>
    <w:qFormat/>
    <w:uiPriority w:val="0"/>
    <w:pPr>
      <w:spacing w:line="440" w:lineRule="exact"/>
      <w:ind w:firstLine="416" w:firstLineChars="198"/>
    </w:pPr>
    <w:rPr>
      <w:rFonts w:ascii="宋体" w:hAnsi="宋体"/>
      <w:bCs/>
      <w:szCs w:val="21"/>
    </w:rPr>
  </w:style>
  <w:style w:type="character" w:customStyle="1" w:styleId="32">
    <w:name w:val="纯文本 Char"/>
    <w:basedOn w:val="18"/>
    <w:link w:val="10"/>
    <w:autoRedefine/>
    <w:qFormat/>
    <w:uiPriority w:val="0"/>
    <w:rPr>
      <w:rFonts w:ascii="宋体" w:hAnsi="Courier New" w:eastAsia="宋体" w:cs="Courier New"/>
      <w:kern w:val="2"/>
      <w:sz w:val="21"/>
      <w:szCs w:val="21"/>
      <w:lang w:val="en-US" w:eastAsia="zh-CN" w:bidi="ar-SA"/>
    </w:rPr>
  </w:style>
  <w:style w:type="character" w:customStyle="1" w:styleId="33">
    <w:name w:val="批注主题 Char"/>
    <w:basedOn w:val="34"/>
    <w:link w:val="16"/>
    <w:autoRedefine/>
    <w:qFormat/>
    <w:uiPriority w:val="0"/>
  </w:style>
  <w:style w:type="character" w:customStyle="1" w:styleId="34">
    <w:name w:val="批注文字 Char"/>
    <w:basedOn w:val="18"/>
    <w:link w:val="5"/>
    <w:autoRedefine/>
    <w:qFormat/>
    <w:uiPriority w:val="0"/>
    <w:rPr>
      <w:kern w:val="2"/>
      <w:sz w:val="21"/>
      <w:szCs w:val="24"/>
    </w:rPr>
  </w:style>
  <w:style w:type="character" w:customStyle="1" w:styleId="35">
    <w:name w:val="style11"/>
    <w:basedOn w:val="18"/>
    <w:autoRedefine/>
    <w:qFormat/>
    <w:uiPriority w:val="0"/>
    <w:rPr>
      <w:b/>
      <w:bCs/>
      <w:color w:val="D54F2B"/>
      <w:sz w:val="21"/>
      <w:szCs w:val="21"/>
    </w:rPr>
  </w:style>
  <w:style w:type="character" w:customStyle="1" w:styleId="36">
    <w:name w:val="内文 Char"/>
    <w:basedOn w:val="18"/>
    <w:link w:val="26"/>
    <w:autoRedefine/>
    <w:qFormat/>
    <w:uiPriority w:val="0"/>
    <w:rPr>
      <w:rFonts w:ascii="Arial" w:hAnsi="Arial"/>
      <w:kern w:val="2"/>
      <w:sz w:val="21"/>
      <w:lang w:val="en-US" w:eastAsia="zh-CN" w:bidi="ar-SA"/>
    </w:rPr>
  </w:style>
  <w:style w:type="character" w:customStyle="1" w:styleId="37">
    <w:name w:val="dz1"/>
    <w:basedOn w:val="18"/>
    <w:autoRedefine/>
    <w:qFormat/>
    <w:uiPriority w:val="0"/>
  </w:style>
  <w:style w:type="character" w:customStyle="1" w:styleId="38">
    <w:name w:val="bulletintext"/>
    <w:basedOn w:val="18"/>
    <w:autoRedefine/>
    <w:qFormat/>
    <w:uiPriority w:val="0"/>
  </w:style>
  <w:style w:type="character" w:customStyle="1" w:styleId="39">
    <w:name w:val="批注框文本 Char"/>
    <w:basedOn w:val="18"/>
    <w:link w:val="12"/>
    <w:autoRedefine/>
    <w:qFormat/>
    <w:uiPriority w:val="0"/>
    <w:rPr>
      <w:kern w:val="2"/>
      <w:sz w:val="18"/>
      <w:szCs w:val="18"/>
    </w:rPr>
  </w:style>
  <w:style w:type="character" w:customStyle="1" w:styleId="40">
    <w:name w:val="textcontents"/>
    <w:basedOn w:val="18"/>
    <w:autoRedefine/>
    <w:qFormat/>
    <w:uiPriority w:val="0"/>
  </w:style>
  <w:style w:type="character" w:customStyle="1" w:styleId="41">
    <w:name w:val="style9"/>
    <w:basedOn w:val="18"/>
    <w:autoRedefine/>
    <w:qFormat/>
    <w:uiPriority w:val="0"/>
  </w:style>
  <w:style w:type="paragraph" w:styleId="42">
    <w:name w:val="List Paragraph"/>
    <w:basedOn w:val="1"/>
    <w:autoRedefine/>
    <w:qFormat/>
    <w:uiPriority w:val="34"/>
    <w:pPr>
      <w:ind w:firstLine="420" w:firstLineChars="200"/>
    </w:pPr>
  </w:style>
  <w:style w:type="paragraph" w:customStyle="1" w:styleId="43">
    <w:name w:val="Table Text"/>
    <w:basedOn w:val="1"/>
    <w:semiHidden/>
    <w:qFormat/>
    <w:uiPriority w:val="0"/>
    <w:rPr>
      <w:rFonts w:ascii="宋体" w:hAnsi="宋体" w:eastAsia="宋体" w:cs="宋体"/>
      <w:sz w:val="22"/>
      <w:szCs w:val="22"/>
      <w:lang w:val="en-US" w:eastAsia="en-US" w:bidi="ar-SA"/>
    </w:rPr>
  </w:style>
  <w:style w:type="table" w:customStyle="1" w:styleId="44">
    <w:name w:val="Table Normal"/>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E:\&#24037;&#31243;\&#26477;&#24030;&#34701;&#21019;&#23433;&#32622;&#25151;&#39033;&#30446;\&#24037;&#31243;&#37327;&#28165;&#21333;&#35828;&#26126;&#27169;&#26495;\&#25307;&#26631;&#24037;&#31243;&#37327;&#28165;&#21333;&#32534;&#21046;&#35828;&#26126;&#65288;&#26477;&#24030;&#65289;4.28&#20462;.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招标工程量清单编制说明（杭州）4.28修</Template>
  <Pages>9</Pages>
  <Words>4397</Words>
  <Characters>4591</Characters>
  <Lines>58</Lines>
  <Paragraphs>16</Paragraphs>
  <TotalTime>7</TotalTime>
  <ScaleCrop>false</ScaleCrop>
  <LinksUpToDate>false</LinksUpToDate>
  <CharactersWithSpaces>4844</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2020-06-18T05:41:00Z</dcterms:created>
  <dc:creator>高</dc:creator>
  <cp:lastModifiedBy>俞晨锋</cp:lastModifiedBy>
  <cp:lastPrinted>2022-01-12T09:34:00Z</cp:lastPrinted>
  <dcterms:modified xsi:type="dcterms:W3CDTF">2025-06-12T01:48:39Z</dcterms:modified>
  <dc:title>杭州东部创智天地工程招标工程量清单编制说明</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DEC206ABD6684A3E97E16F014D12E125_13</vt:lpwstr>
  </property>
  <property fmtid="{D5CDD505-2E9C-101B-9397-08002B2CF9AE}" pid="4" name="KSOTemplateDocerSaveRecord">
    <vt:lpwstr>eyJoZGlkIjoiZDIwNGEwMTYyMWQ4MTNiYjFkNDYwMTUwOWE0MzJmNDciLCJ1c2VySWQiOiIyOTYzNTk4ODcifQ==</vt:lpwstr>
  </property>
</Properties>
</file>