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5A550">
      <w:pPr>
        <w:spacing w:line="360" w:lineRule="auto"/>
        <w:jc w:val="center"/>
        <w:rPr>
          <w:rFonts w:hint="eastAsia" w:ascii="宋体" w:hAnsi="宋体" w:cs="宋体"/>
          <w:b/>
          <w:bCs/>
          <w:sz w:val="52"/>
          <w:szCs w:val="52"/>
          <w:lang w:val="en-US" w:eastAsia="zh-CN"/>
        </w:rPr>
      </w:pPr>
    </w:p>
    <w:p w14:paraId="79E481BC">
      <w:pPr>
        <w:spacing w:line="360" w:lineRule="auto"/>
        <w:jc w:val="center"/>
        <w:rPr>
          <w:rFonts w:hint="eastAsia" w:ascii="宋体" w:hAnsi="宋体" w:cs="宋体"/>
          <w:b/>
          <w:bCs/>
          <w:sz w:val="52"/>
          <w:szCs w:val="52"/>
          <w:lang w:val="en-US" w:eastAsia="zh-CN"/>
        </w:rPr>
      </w:pPr>
      <w:r>
        <w:rPr>
          <w:rFonts w:hint="eastAsia" w:ascii="宋体" w:hAnsi="宋体" w:cs="宋体"/>
          <w:b/>
          <w:bCs/>
          <w:sz w:val="52"/>
          <w:szCs w:val="52"/>
          <w:lang w:val="en-US" w:eastAsia="zh-CN"/>
        </w:rPr>
        <w:t xml:space="preserve">拱宸桥校区图信大楼消防改造工程  </w:t>
      </w:r>
    </w:p>
    <w:p w14:paraId="33B95CE0">
      <w:pPr>
        <w:spacing w:line="360" w:lineRule="auto"/>
        <w:jc w:val="center"/>
        <w:rPr>
          <w:rFonts w:hint="eastAsia" w:ascii="宋体" w:hAnsi="宋体" w:cs="宋体"/>
          <w:b/>
          <w:bCs/>
          <w:sz w:val="52"/>
          <w:szCs w:val="52"/>
          <w:lang w:val="en-US" w:eastAsia="zh-CN"/>
        </w:rPr>
      </w:pPr>
    </w:p>
    <w:p w14:paraId="7A8C84E4">
      <w:pPr>
        <w:spacing w:line="360" w:lineRule="auto"/>
        <w:ind w:firstLine="2610" w:firstLineChars="500"/>
        <w:jc w:val="both"/>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lang w:val="en-US" w:eastAsia="zh-CN"/>
        </w:rPr>
        <w:t>2025</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lang w:val="en-US" w:eastAsia="zh-CN"/>
        </w:rPr>
        <w:t>2025</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4B78624">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拱宸桥校区图信大楼消防改造工程</w:t>
            </w:r>
            <w:r>
              <w:rPr>
                <w:rFonts w:hint="eastAsia" w:ascii="宋体" w:hAnsi="宋体" w:eastAsia="宋体" w:cs="宋体"/>
                <w:sz w:val="21"/>
                <w:szCs w:val="21"/>
              </w:rPr>
              <w:t>。</w:t>
            </w:r>
          </w:p>
          <w:p w14:paraId="6F34716B">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w:t>
            </w:r>
            <w:r>
              <w:rPr>
                <w:rFonts w:hint="eastAsia" w:ascii="宋体" w:hAnsi="宋体" w:eastAsia="宋体" w:cs="宋体"/>
                <w:sz w:val="21"/>
                <w:szCs w:val="21"/>
                <w:lang w:val="en-US" w:eastAsia="zh-CN"/>
              </w:rPr>
              <w:t>杭州市拱墅区浙江树人学院拱宸桥校区</w:t>
            </w:r>
            <w:r>
              <w:rPr>
                <w:rFonts w:hint="eastAsia" w:ascii="宋体" w:hAnsi="宋体" w:eastAsia="宋体" w:cs="宋体"/>
                <w:sz w:val="21"/>
                <w:szCs w:val="21"/>
              </w:rPr>
              <w:t>。</w:t>
            </w:r>
          </w:p>
          <w:p w14:paraId="33D98F27">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w:t>
            </w:r>
            <w:r>
              <w:rPr>
                <w:rFonts w:hint="eastAsia" w:ascii="宋体" w:hAnsi="宋体" w:eastAsia="宋体" w:cs="宋体"/>
                <w:kern w:val="2"/>
                <w:sz w:val="21"/>
                <w:szCs w:val="21"/>
                <w:lang w:val="en-US" w:eastAsia="zh-CN" w:bidi="ar-SA"/>
              </w:rPr>
              <w:t>内容为拱宸桥校区图信大楼消防改造工程，主要内容为防火卷帘更换、卫生间吊顶隔断改造、大厅隔断升级、消防喷淋更换喷头、消防电气、应急照明系统设备及管线缆更换、地下室金属风管、支架、桥架、管道除锈刷漆、更换消防设备等改造，具体详见清单。</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bookmarkStart w:id="2" w:name="OLE_LINK9"/>
            <w:bookmarkStart w:id="3" w:name="OLE_LINK6"/>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3A8502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61472F8">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39C1C72C">
            <w:pPr>
              <w:widowControl/>
              <w:numPr>
                <w:ilvl w:val="0"/>
                <w:numId w:val="0"/>
              </w:numPr>
              <w:spacing w:line="360" w:lineRule="auto"/>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房屋建筑工程</w:t>
            </w:r>
          </w:p>
          <w:p w14:paraId="62BD21E1">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经设计明确，卷帘门尺寸以图纸中提供的卷帘表尺寸为准。</w:t>
            </w:r>
          </w:p>
          <w:p w14:paraId="0B2EF869">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经设计明确，卫生间隔断hpl板厚度为12厚，小便池隔断高度为900高，蹲坑隔断高度为2800高。</w:t>
            </w:r>
          </w:p>
          <w:p w14:paraId="7D886DB7">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经设计明确，防汛挡板尺寸为7600*500，具体做法参图集07FJ02，P133。</w:t>
            </w:r>
          </w:p>
          <w:p w14:paraId="2BA12C60">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经建设单位明确，卫生间吊顶为400*400铝扣板吊顶面层+U50系轻钢龙骨。</w:t>
            </w:r>
          </w:p>
          <w:p w14:paraId="6FF132DC">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经设计明确，卷帘门封箱做法为20*40*3镀锌方管框架@600，双向排布+2.0厚铝板面层。</w:t>
            </w:r>
          </w:p>
          <w:p w14:paraId="781C5D8A">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隔断二层高3700mm，三层高3400mm，间距1000mm（最终尺寸以现场测量为准，宽度同现场浅色铝板分缝，高度为本层通高）。做法采用落地玻璃固定扇。65系列隔热金属型材窗框K≤5.8[W/(m2·K)]，6mm高透光Low-E+12mm空气+6mm透明,传热系数[W/(m2·K)]3.40。</w:t>
            </w:r>
          </w:p>
          <w:p w14:paraId="696DE9BE">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经设计明确，屋顶雨蓬规格为6米*6米，高度为3.5米；框架是高强度钛铝合金，可抗大台风，棚顶是聚碳酸酯板材加工而成，名称Pc耐力板，隔热.透光.阻燃.防高空坠物.防紫外线。</w:t>
            </w:r>
          </w:p>
          <w:p w14:paraId="5D2F9E19">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经建设单位明确，现有卷帘门需进行现场实地排查，根据排查结果进行调试更换。目前清单工程量暂按施工图提供的卷帘表全计入（双侧轨道均按利旧考虑），实际更换樘数后期根据调试排查情况，按实结算。</w:t>
            </w:r>
          </w:p>
          <w:p w14:paraId="1F228389">
            <w:pPr>
              <w:widowControl/>
              <w:numPr>
                <w:ilvl w:val="0"/>
                <w:numId w:val="0"/>
              </w:numPr>
              <w:spacing w:line="360" w:lineRule="auto"/>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安装工程</w:t>
            </w:r>
          </w:p>
          <w:p w14:paraId="62EA180F">
            <w:pPr>
              <w:widowControl/>
              <w:numPr>
                <w:ilvl w:val="0"/>
                <w:numId w:val="4"/>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经设计明确，图信楼地下室新建桥架不计入本次招标工程量清单。</w:t>
            </w:r>
          </w:p>
          <w:p w14:paraId="180BE9D1">
            <w:pPr>
              <w:widowControl/>
              <w:numPr>
                <w:ilvl w:val="0"/>
                <w:numId w:val="4"/>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经设计明确，图信楼地下室喷淋泵扩容，喷淋泵进线电缆调整为WDZB1N-YJY-4*95+PE50，距离暂按150米，敷设方式按桥架敷设计入招标工程量清单。</w:t>
            </w:r>
          </w:p>
          <w:p w14:paraId="6F8B709B">
            <w:pPr>
              <w:widowControl/>
              <w:numPr>
                <w:ilvl w:val="0"/>
                <w:numId w:val="4"/>
              </w:numPr>
              <w:spacing w:line="360" w:lineRule="auto"/>
              <w:ind w:firstLine="420" w:firstLineChars="200"/>
              <w:jc w:val="left"/>
              <w:rPr>
                <w:rFonts w:hint="default" w:asciiTheme="minorEastAsia" w:hAnsiTheme="minorEastAsia" w:eastAsiaTheme="minorEastAsia" w:cstheme="minorEastAsia"/>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经设计明确，图信楼地上5、8、11层吊顶较为特殊，所以5、8、11层火灾自动报警系统仅做末端点位替换，此区域内管线缆不计入招标工程量清单。</w:t>
            </w:r>
          </w:p>
          <w:p w14:paraId="0F7A3752">
            <w:pPr>
              <w:numPr>
                <w:ilvl w:val="0"/>
                <w:numId w:val="5"/>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常用材料(设备)品牌清单</w:t>
            </w:r>
          </w:p>
          <w:p w14:paraId="50F627D7">
            <w:pPr>
              <w:numPr>
                <w:ilvl w:val="0"/>
                <w:numId w:val="0"/>
              </w:numPr>
              <w:spacing w:line="360" w:lineRule="auto"/>
              <w:jc w:val="both"/>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注：选定品牌实际施工均需与原有设备系统相兼容。</w:t>
            </w:r>
          </w:p>
          <w:tbl>
            <w:tblPr>
              <w:tblStyle w:val="44"/>
              <w:tblpPr w:leftFromText="180" w:rightFromText="180" w:vertAnchor="text" w:horzAnchor="page" w:tblpXSpec="center" w:tblpY="109"/>
              <w:tblOverlap w:val="never"/>
              <w:tblW w:w="9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
              <w:gridCol w:w="2312"/>
              <w:gridCol w:w="6028"/>
            </w:tblGrid>
            <w:tr w14:paraId="1389F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603BA682">
                  <w:pPr>
                    <w:pStyle w:val="43"/>
                    <w:spacing w:before="107" w:line="360" w:lineRule="auto"/>
                    <w:ind w:left="305" w:leftChars="0"/>
                    <w:jc w:val="center"/>
                    <w:rPr>
                      <w:rFonts w:hint="eastAsia" w:ascii="宋体" w:hAnsi="宋体" w:eastAsia="宋体" w:cs="宋体"/>
                      <w:sz w:val="21"/>
                      <w:szCs w:val="21"/>
                      <w:highlight w:val="none"/>
                    </w:rPr>
                  </w:pPr>
                </w:p>
              </w:tc>
              <w:tc>
                <w:tcPr>
                  <w:tcW w:w="8340" w:type="dxa"/>
                  <w:gridSpan w:val="2"/>
                  <w:noWrap w:val="0"/>
                  <w:vAlign w:val="top"/>
                </w:tcPr>
                <w:p w14:paraId="1BD28CAB">
                  <w:pPr>
                    <w:pStyle w:val="43"/>
                    <w:spacing w:before="51" w:line="360" w:lineRule="auto"/>
                    <w:ind w:left="0" w:leftChars="0" w:firstLine="2951" w:firstLineChars="1400"/>
                    <w:jc w:val="both"/>
                    <w:rPr>
                      <w:rFonts w:hint="eastAsia" w:cs="宋体"/>
                      <w:sz w:val="21"/>
                      <w:szCs w:val="21"/>
                      <w:highlight w:val="none"/>
                      <w:lang w:val="en-US" w:eastAsia="zh-CN"/>
                    </w:rPr>
                  </w:pPr>
                  <w:r>
                    <w:rPr>
                      <w:rFonts w:hint="eastAsia" w:cs="宋体"/>
                      <w:b/>
                      <w:bCs/>
                      <w:sz w:val="21"/>
                      <w:szCs w:val="21"/>
                      <w:highlight w:val="none"/>
                      <w:lang w:val="en-US" w:eastAsia="zh-CN"/>
                    </w:rPr>
                    <w:t>安装材料</w:t>
                  </w:r>
                </w:p>
              </w:tc>
            </w:tr>
            <w:tr w14:paraId="61575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4C772E73">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1</w:t>
                  </w:r>
                </w:p>
              </w:tc>
              <w:tc>
                <w:tcPr>
                  <w:tcW w:w="2312" w:type="dxa"/>
                  <w:noWrap w:val="0"/>
                  <w:vAlign w:val="top"/>
                </w:tcPr>
                <w:p w14:paraId="224AA137">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配电箱及元器件</w:t>
                  </w:r>
                </w:p>
              </w:tc>
              <w:tc>
                <w:tcPr>
                  <w:tcW w:w="6028" w:type="dxa"/>
                  <w:noWrap w:val="0"/>
                  <w:vAlign w:val="top"/>
                </w:tcPr>
                <w:p w14:paraId="6CC5ED70">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西门子、施耐德、ABB或同档次</w:t>
                  </w:r>
                </w:p>
              </w:tc>
            </w:tr>
            <w:tr w14:paraId="0667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3127EB44">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cs="宋体"/>
                      <w:sz w:val="21"/>
                      <w:szCs w:val="21"/>
                      <w:highlight w:val="none"/>
                      <w:lang w:val="en-US" w:eastAsia="zh-CN"/>
                    </w:rPr>
                    <w:t>2</w:t>
                  </w:r>
                </w:p>
              </w:tc>
              <w:tc>
                <w:tcPr>
                  <w:tcW w:w="2312" w:type="dxa"/>
                  <w:noWrap w:val="0"/>
                  <w:vAlign w:val="top"/>
                </w:tcPr>
                <w:p w14:paraId="67131BA7">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电线电缆</w:t>
                  </w:r>
                </w:p>
              </w:tc>
              <w:tc>
                <w:tcPr>
                  <w:tcW w:w="6028" w:type="dxa"/>
                  <w:noWrap w:val="0"/>
                  <w:vAlign w:val="top"/>
                </w:tcPr>
                <w:p w14:paraId="00E871B2">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浙江万马、江苏上上、中大元通或同档次</w:t>
                  </w:r>
                </w:p>
              </w:tc>
            </w:tr>
            <w:tr w14:paraId="11F01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4C3DBF69">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3</w:t>
                  </w:r>
                </w:p>
              </w:tc>
              <w:tc>
                <w:tcPr>
                  <w:tcW w:w="2312" w:type="dxa"/>
                  <w:noWrap w:val="0"/>
                  <w:vAlign w:val="top"/>
                </w:tcPr>
                <w:p w14:paraId="536F451E">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JDG管</w:t>
                  </w:r>
                </w:p>
              </w:tc>
              <w:tc>
                <w:tcPr>
                  <w:tcW w:w="6028" w:type="dxa"/>
                  <w:noWrap w:val="0"/>
                  <w:vAlign w:val="top"/>
                </w:tcPr>
                <w:p w14:paraId="5FF8EDCF">
                  <w:pPr>
                    <w:pStyle w:val="43"/>
                    <w:spacing w:before="51" w:line="360" w:lineRule="auto"/>
                    <w:ind w:left="0" w:leftChars="0"/>
                    <w:jc w:val="center"/>
                    <w:rPr>
                      <w:rFonts w:hint="eastAsia" w:cs="宋体"/>
                      <w:sz w:val="21"/>
                      <w:szCs w:val="21"/>
                      <w:highlight w:val="none"/>
                      <w:lang w:val="en-US" w:eastAsia="zh-CN"/>
                    </w:rPr>
                  </w:pPr>
                  <w:r>
                    <w:rPr>
                      <w:rFonts w:hint="eastAsia"/>
                      <w:sz w:val="21"/>
                      <w:szCs w:val="21"/>
                    </w:rPr>
                    <w:t>天津萧通、湖南常德武陵源、杭州天一</w:t>
                  </w:r>
                  <w:r>
                    <w:rPr>
                      <w:rFonts w:hint="eastAsia" w:cs="宋体"/>
                      <w:sz w:val="21"/>
                      <w:szCs w:val="21"/>
                      <w:highlight w:val="none"/>
                      <w:lang w:val="en-US" w:eastAsia="zh-CN"/>
                    </w:rPr>
                    <w:t>或同档次</w:t>
                  </w:r>
                </w:p>
              </w:tc>
            </w:tr>
            <w:tr w14:paraId="68F0C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6F9D4262">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cs="宋体"/>
                      <w:sz w:val="21"/>
                      <w:szCs w:val="21"/>
                      <w:highlight w:val="none"/>
                      <w:lang w:val="en-US" w:eastAsia="zh-CN"/>
                    </w:rPr>
                    <w:t>4</w:t>
                  </w:r>
                </w:p>
              </w:tc>
              <w:tc>
                <w:tcPr>
                  <w:tcW w:w="2312" w:type="dxa"/>
                  <w:noWrap w:val="0"/>
                  <w:vAlign w:val="top"/>
                </w:tcPr>
                <w:p w14:paraId="311D6180">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消防智能应急疏散照明集中控制系统</w:t>
                  </w:r>
                </w:p>
              </w:tc>
              <w:tc>
                <w:tcPr>
                  <w:tcW w:w="6028" w:type="dxa"/>
                  <w:noWrap w:val="0"/>
                  <w:vAlign w:val="top"/>
                </w:tcPr>
                <w:p w14:paraId="1E414A55">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浙江台谊、紫光新锐、北京动力源、西默电气或同档次</w:t>
                  </w:r>
                </w:p>
              </w:tc>
            </w:tr>
            <w:tr w14:paraId="7358D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37325BD5">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5</w:t>
                  </w:r>
                </w:p>
              </w:tc>
              <w:tc>
                <w:tcPr>
                  <w:tcW w:w="2312" w:type="dxa"/>
                  <w:noWrap w:val="0"/>
                  <w:vAlign w:val="top"/>
                </w:tcPr>
                <w:p w14:paraId="0A169D63">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消防报警设备（烟感、温感等）</w:t>
                  </w:r>
                </w:p>
              </w:tc>
              <w:tc>
                <w:tcPr>
                  <w:tcW w:w="6028" w:type="dxa"/>
                  <w:noWrap w:val="0"/>
                  <w:vAlign w:val="top"/>
                </w:tcPr>
                <w:p w14:paraId="71A0F6B3">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海湾科技、上海松江、利达消防或同档次</w:t>
                  </w:r>
                </w:p>
              </w:tc>
            </w:tr>
            <w:tr w14:paraId="116AE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7625F3BB">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6</w:t>
                  </w:r>
                </w:p>
              </w:tc>
              <w:tc>
                <w:tcPr>
                  <w:tcW w:w="2312" w:type="dxa"/>
                  <w:noWrap w:val="0"/>
                  <w:vAlign w:val="top"/>
                </w:tcPr>
                <w:p w14:paraId="31066F50">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喷洒系统水流指示器、洒水喷头</w:t>
                  </w:r>
                </w:p>
              </w:tc>
              <w:tc>
                <w:tcPr>
                  <w:tcW w:w="6028" w:type="dxa"/>
                  <w:noWrap w:val="0"/>
                  <w:vAlign w:val="top"/>
                </w:tcPr>
                <w:p w14:paraId="6F12C606">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上海金盾、杭州信达、杭州建安或同档次</w:t>
                  </w:r>
                </w:p>
              </w:tc>
            </w:tr>
            <w:tr w14:paraId="3AA6F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660" w:type="dxa"/>
                  <w:noWrap w:val="0"/>
                  <w:vAlign w:val="top"/>
                </w:tcPr>
                <w:p w14:paraId="5050107D">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7</w:t>
                  </w:r>
                </w:p>
              </w:tc>
              <w:tc>
                <w:tcPr>
                  <w:tcW w:w="2312" w:type="dxa"/>
                  <w:noWrap w:val="0"/>
                  <w:vAlign w:val="top"/>
                </w:tcPr>
                <w:p w14:paraId="547B0720">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消火栓</w:t>
                  </w:r>
                </w:p>
              </w:tc>
              <w:tc>
                <w:tcPr>
                  <w:tcW w:w="6028" w:type="dxa"/>
                  <w:noWrap w:val="0"/>
                  <w:vAlign w:val="top"/>
                </w:tcPr>
                <w:p w14:paraId="31760746">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杭州信达、海湾科技、上海金盾或同档次</w:t>
                  </w:r>
                </w:p>
              </w:tc>
            </w:tr>
            <w:tr w14:paraId="5E14D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660" w:type="dxa"/>
                  <w:noWrap w:val="0"/>
                  <w:vAlign w:val="top"/>
                </w:tcPr>
                <w:p w14:paraId="479047F1">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8</w:t>
                  </w:r>
                </w:p>
              </w:tc>
              <w:tc>
                <w:tcPr>
                  <w:tcW w:w="2312" w:type="dxa"/>
                  <w:noWrap w:val="0"/>
                  <w:vAlign w:val="top"/>
                </w:tcPr>
                <w:p w14:paraId="6F14CAA2">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消火栓泵、喷淋泵、稳压泵</w:t>
                  </w:r>
                </w:p>
              </w:tc>
              <w:tc>
                <w:tcPr>
                  <w:tcW w:w="6028" w:type="dxa"/>
                  <w:noWrap w:val="0"/>
                  <w:vAlign w:val="top"/>
                </w:tcPr>
                <w:p w14:paraId="7D5C43FD">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格兰富、威乐、上海凯泉、南方或同档次</w:t>
                  </w:r>
                </w:p>
              </w:tc>
            </w:tr>
            <w:tr w14:paraId="3C4EC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660" w:type="dxa"/>
                  <w:noWrap w:val="0"/>
                  <w:vAlign w:val="top"/>
                </w:tcPr>
                <w:p w14:paraId="617D5EA8">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9</w:t>
                  </w:r>
                </w:p>
              </w:tc>
              <w:tc>
                <w:tcPr>
                  <w:tcW w:w="2312" w:type="dxa"/>
                  <w:noWrap w:val="0"/>
                  <w:vAlign w:val="top"/>
                </w:tcPr>
                <w:p w14:paraId="660C32DD">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风机</w:t>
                  </w:r>
                </w:p>
              </w:tc>
              <w:tc>
                <w:tcPr>
                  <w:tcW w:w="6028" w:type="dxa"/>
                  <w:noWrap w:val="0"/>
                  <w:vAlign w:val="top"/>
                </w:tcPr>
                <w:p w14:paraId="522C9CC3">
                  <w:pPr>
                    <w:pStyle w:val="43"/>
                    <w:spacing w:before="51" w:line="360" w:lineRule="auto"/>
                    <w:ind w:left="0" w:leftChars="0"/>
                    <w:jc w:val="center"/>
                    <w:rPr>
                      <w:rFonts w:hint="eastAsia" w:cs="宋体"/>
                      <w:sz w:val="21"/>
                      <w:szCs w:val="21"/>
                      <w:highlight w:val="none"/>
                      <w:lang w:val="en-US" w:eastAsia="zh-CN"/>
                    </w:rPr>
                  </w:pPr>
                  <w:r>
                    <w:rPr>
                      <w:rFonts w:hint="eastAsia" w:cs="宋体"/>
                      <w:sz w:val="21"/>
                      <w:szCs w:val="21"/>
                      <w:highlight w:val="none"/>
                      <w:lang w:val="en-US" w:eastAsia="zh-CN"/>
                    </w:rPr>
                    <w:t>聚英风机、浙江上风、上海通用风机或同档次</w:t>
                  </w:r>
                </w:p>
              </w:tc>
            </w:tr>
          </w:tbl>
          <w:p w14:paraId="7146B51B">
            <w:pPr>
              <w:widowControl/>
              <w:numPr>
                <w:ilvl w:val="0"/>
                <w:numId w:val="0"/>
              </w:numPr>
              <w:spacing w:line="360" w:lineRule="auto"/>
              <w:ind w:firstLine="211" w:firstLineChars="100"/>
              <w:jc w:val="left"/>
              <w:rPr>
                <w:rFonts w:hint="default" w:asciiTheme="minorEastAsia" w:hAnsiTheme="minorEastAsia" w:eastAsiaTheme="minorEastAsia" w:cstheme="minorEastAsia"/>
                <w:b/>
                <w:bCs/>
                <w:color w:val="auto"/>
                <w:sz w:val="21"/>
                <w:szCs w:val="21"/>
                <w:highlight w:val="none"/>
                <w:lang w:val="en-US" w:eastAsia="zh-CN"/>
              </w:rPr>
            </w:pPr>
            <w:bookmarkStart w:id="5" w:name="_GoBack"/>
            <w:bookmarkEnd w:id="5"/>
          </w:p>
        </w:tc>
      </w:tr>
    </w:tbl>
    <w:p w14:paraId="7C5E55D5">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拱宸桥校区图信大楼消防改造工程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6</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8D83A551"/>
    <w:multiLevelType w:val="singleLevel"/>
    <w:tmpl w:val="8D83A551"/>
    <w:lvl w:ilvl="0" w:tentative="0">
      <w:start w:val="11"/>
      <w:numFmt w:val="chineseCounting"/>
      <w:suff w:val="nothing"/>
      <w:lvlText w:val="%1、"/>
      <w:lvlJc w:val="left"/>
      <w:rPr>
        <w:rFonts w:hint="eastAsia"/>
      </w:rPr>
    </w:lvl>
  </w:abstractNum>
  <w:abstractNum w:abstractNumId="2">
    <w:nsid w:val="206632BB"/>
    <w:multiLevelType w:val="singleLevel"/>
    <w:tmpl w:val="206632BB"/>
    <w:lvl w:ilvl="0" w:tentative="0">
      <w:start w:val="1"/>
      <w:numFmt w:val="decimal"/>
      <w:suff w:val="nothing"/>
      <w:lvlText w:val="%1、"/>
      <w:lvlJc w:val="left"/>
    </w:lvl>
  </w:abstractNum>
  <w:abstractNum w:abstractNumId="3">
    <w:nsid w:val="45865D96"/>
    <w:multiLevelType w:val="singleLevel"/>
    <w:tmpl w:val="45865D96"/>
    <w:lvl w:ilvl="0" w:tentative="0">
      <w:start w:val="1"/>
      <w:numFmt w:val="decimal"/>
      <w:suff w:val="nothing"/>
      <w:lvlText w:val="%1、"/>
      <w:lvlJc w:val="left"/>
      <w:rPr>
        <w:rFonts w:hint="default"/>
        <w:b w:val="0"/>
        <w:bCs w:val="0"/>
      </w:rPr>
    </w:lvl>
  </w:abstractNum>
  <w:abstractNum w:abstractNumId="4">
    <w:nsid w:val="4D0BC732"/>
    <w:multiLevelType w:val="singleLevel"/>
    <w:tmpl w:val="4D0BC732"/>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2144F"/>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967DCC"/>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6624E1"/>
    <w:rsid w:val="0A914248"/>
    <w:rsid w:val="0AB47515"/>
    <w:rsid w:val="0AB91AD1"/>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EC4007"/>
    <w:rsid w:val="15FB70AD"/>
    <w:rsid w:val="161F063E"/>
    <w:rsid w:val="16424E3B"/>
    <w:rsid w:val="164863B3"/>
    <w:rsid w:val="1651030E"/>
    <w:rsid w:val="16614A43"/>
    <w:rsid w:val="169E3974"/>
    <w:rsid w:val="16AE0D1D"/>
    <w:rsid w:val="16BF0C68"/>
    <w:rsid w:val="16DC5F4C"/>
    <w:rsid w:val="16F50311"/>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6D6AE7"/>
    <w:rsid w:val="1E775256"/>
    <w:rsid w:val="1E850FCE"/>
    <w:rsid w:val="1EA00B7B"/>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DE5462"/>
    <w:rsid w:val="24F93948"/>
    <w:rsid w:val="251A2000"/>
    <w:rsid w:val="25404A75"/>
    <w:rsid w:val="254104DF"/>
    <w:rsid w:val="25504061"/>
    <w:rsid w:val="25524FEF"/>
    <w:rsid w:val="257F7D90"/>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44CE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4E4CFA"/>
    <w:rsid w:val="2E5371F9"/>
    <w:rsid w:val="2E547B86"/>
    <w:rsid w:val="2E6028A0"/>
    <w:rsid w:val="2E681A1B"/>
    <w:rsid w:val="2E7A5191"/>
    <w:rsid w:val="2E8013E7"/>
    <w:rsid w:val="2E8B0409"/>
    <w:rsid w:val="2EA66FF1"/>
    <w:rsid w:val="2ED56D13"/>
    <w:rsid w:val="2F436812"/>
    <w:rsid w:val="2F5D3EB4"/>
    <w:rsid w:val="2FB92FCB"/>
    <w:rsid w:val="2FC710B8"/>
    <w:rsid w:val="2FE0269D"/>
    <w:rsid w:val="2FE211B0"/>
    <w:rsid w:val="300B186C"/>
    <w:rsid w:val="30146D72"/>
    <w:rsid w:val="301D7AE1"/>
    <w:rsid w:val="3038170D"/>
    <w:rsid w:val="305F1B4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1E030F"/>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353E90"/>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8E910BA"/>
    <w:rsid w:val="39205BF2"/>
    <w:rsid w:val="392B372F"/>
    <w:rsid w:val="393C4091"/>
    <w:rsid w:val="3944527F"/>
    <w:rsid w:val="394C2EA6"/>
    <w:rsid w:val="397B299E"/>
    <w:rsid w:val="398F1444"/>
    <w:rsid w:val="39B20F40"/>
    <w:rsid w:val="39B40D22"/>
    <w:rsid w:val="39D41354"/>
    <w:rsid w:val="39DC1592"/>
    <w:rsid w:val="3A092020"/>
    <w:rsid w:val="3A245C97"/>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B407DE"/>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65AB4"/>
    <w:rsid w:val="3EAA6689"/>
    <w:rsid w:val="3EB83517"/>
    <w:rsid w:val="3EDE362C"/>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6F72C1D"/>
    <w:rsid w:val="4701596E"/>
    <w:rsid w:val="47033502"/>
    <w:rsid w:val="470644FA"/>
    <w:rsid w:val="473625AB"/>
    <w:rsid w:val="47414CB1"/>
    <w:rsid w:val="475573AE"/>
    <w:rsid w:val="47575BA3"/>
    <w:rsid w:val="479E0163"/>
    <w:rsid w:val="47B20B12"/>
    <w:rsid w:val="47BE4B87"/>
    <w:rsid w:val="47D557C9"/>
    <w:rsid w:val="47F6293F"/>
    <w:rsid w:val="480A77CA"/>
    <w:rsid w:val="481F1B00"/>
    <w:rsid w:val="485E2406"/>
    <w:rsid w:val="486D4F16"/>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A94424"/>
    <w:rsid w:val="4CBD3CFA"/>
    <w:rsid w:val="4CCA7EF7"/>
    <w:rsid w:val="4D0E7086"/>
    <w:rsid w:val="4D617082"/>
    <w:rsid w:val="4D7E33D7"/>
    <w:rsid w:val="4DC94652"/>
    <w:rsid w:val="4E112475"/>
    <w:rsid w:val="4E444E98"/>
    <w:rsid w:val="4E4C0CEF"/>
    <w:rsid w:val="4E5D267A"/>
    <w:rsid w:val="4E684B53"/>
    <w:rsid w:val="4E883004"/>
    <w:rsid w:val="4E8F4E02"/>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0FD540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5722B"/>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110D1"/>
    <w:rsid w:val="59624336"/>
    <w:rsid w:val="59795021"/>
    <w:rsid w:val="599B50F5"/>
    <w:rsid w:val="59A04CCE"/>
    <w:rsid w:val="5A211258"/>
    <w:rsid w:val="5A2B56FD"/>
    <w:rsid w:val="5A2F2F32"/>
    <w:rsid w:val="5A322B7F"/>
    <w:rsid w:val="5A3E700A"/>
    <w:rsid w:val="5AC97A40"/>
    <w:rsid w:val="5ACB1A0A"/>
    <w:rsid w:val="5AD43284"/>
    <w:rsid w:val="5ADF3707"/>
    <w:rsid w:val="5B83679E"/>
    <w:rsid w:val="5BB63E9C"/>
    <w:rsid w:val="5C4C6B7A"/>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13940"/>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1E94541"/>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F5841"/>
    <w:rsid w:val="6974326C"/>
    <w:rsid w:val="69C14CEA"/>
    <w:rsid w:val="69D3114B"/>
    <w:rsid w:val="6A047047"/>
    <w:rsid w:val="6A440E91"/>
    <w:rsid w:val="6A480E85"/>
    <w:rsid w:val="6ACA5E83"/>
    <w:rsid w:val="6AD42062"/>
    <w:rsid w:val="6AFF6EE3"/>
    <w:rsid w:val="6B25428A"/>
    <w:rsid w:val="6B441250"/>
    <w:rsid w:val="6B485271"/>
    <w:rsid w:val="6B487674"/>
    <w:rsid w:val="6B593D2B"/>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CA62EF"/>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0D32CD"/>
    <w:rsid w:val="731C6E18"/>
    <w:rsid w:val="731F431B"/>
    <w:rsid w:val="73427BD6"/>
    <w:rsid w:val="73470EE1"/>
    <w:rsid w:val="73642133"/>
    <w:rsid w:val="737871FE"/>
    <w:rsid w:val="73A17354"/>
    <w:rsid w:val="73C117A4"/>
    <w:rsid w:val="73C33AE4"/>
    <w:rsid w:val="73E23154"/>
    <w:rsid w:val="73F15F3F"/>
    <w:rsid w:val="7402220E"/>
    <w:rsid w:val="74083497"/>
    <w:rsid w:val="7409362C"/>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4E2C2D"/>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E1C4CDA"/>
    <w:rsid w:val="7E21716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7</Pages>
  <Words>4519</Words>
  <Characters>4770</Characters>
  <Lines>58</Lines>
  <Paragraphs>16</Paragraphs>
  <TotalTime>1</TotalTime>
  <ScaleCrop>false</ScaleCrop>
  <LinksUpToDate>false</LinksUpToDate>
  <CharactersWithSpaces>5016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张春妹</cp:lastModifiedBy>
  <cp:lastPrinted>2022-01-12T09:34:00Z</cp:lastPrinted>
  <dcterms:modified xsi:type="dcterms:W3CDTF">2025-06-21T06:32:07Z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0595101C90264EECACC546C92DAB04F2_13</vt:lpwstr>
  </property>
  <property fmtid="{D5CDD505-2E9C-101B-9397-08002B2CF9AE}" pid="4" name="KSOTemplateDocerSaveRecord">
    <vt:lpwstr>eyJoZGlkIjoiN2YwOWYwMGFkNDNhMWU3MmJlNWJmODgwZmZlODlmYWQiLCJ1c2VySWQiOiI0MTIyMDcwMjIifQ==</vt:lpwstr>
  </property>
</Properties>
</file>