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05526">
      <w:r>
        <w:rPr>
          <w:rFonts w:hint="eastAsia"/>
        </w:rPr>
        <w:t>树人学院拱宸桥校区查济民大楼西面疏散楼梯外墙玻璃砖固定窗防水修缮：                                                                                     （一）原有查济民大楼西面疏散楼梯外墙弧形玻璃砖固定窗5.6米（弧长）x1.5米（高）（各层共6樘）外侧及内侧和墙面交接处清理干净，采用门窗专用防水结构密封胶进行封闭，确保密封胶牢固、贴合、防水。（二）原楼梯间弧形玻璃砖固定窗（共6樘）的窗下墙修复：1.  原窗下墙的墙体涂料铲除,清理干净,基层局部修补及打磨,使墙面的垂直度及平整度满足要求；2.使用专业设备吹干墙面；3.  素水泥浆一道（内掺建筑胶）；4. 水泥基渗透结晶防水涂料喷涂（三道）；5.  15厚M15水泥砂浆分两道粉平,铺贴抗裂耐碱纤维网格布；6.  2厚面层环保耐水腻子分遍刮</w:t>
      </w:r>
      <w:bookmarkStart w:id="0" w:name="_GoBack"/>
      <w:bookmarkEnd w:id="0"/>
      <w:r>
        <w:rPr>
          <w:rFonts w:hint="eastAsia"/>
        </w:rPr>
        <w:t>平；7.  无机涂料一底二面（燃烧性能等级A级）。</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B286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2025-05-29T02:48:19Z</dcterms:created>
  <dc:creator>zjsru'</dc:creator>
  <cp:lastModifiedBy>葛威杰</cp:lastModifiedBy>
  <dcterms:modified xsi:type="dcterms:W3CDTF">2025-05-29T02:48:23Z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eyJoZGlkIjoiOTBiMTg1NGQzYzI3NjQyMDg3MjA0NjYyYWQwMTk3OWYiLCJ1c2VySWQiOiIzOTY0MDkzNTkifQ==</vt:lpwstr>
  </property>
  <property fmtid="{D5CDD505-2E9C-101B-9397-08002B2CF9AE}" pid="4" name="ICV">
    <vt:lpwstr>FEB940943C124591974CE908CE307DD0_12</vt:lpwstr>
  </property>
</Properties>
</file>