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B5A550">
      <w:pPr>
        <w:spacing w:line="360" w:lineRule="auto"/>
        <w:jc w:val="center"/>
        <w:rPr>
          <w:rFonts w:hint="eastAsia" w:ascii="宋体" w:hAnsi="宋体" w:cs="宋体"/>
          <w:b/>
          <w:bCs/>
          <w:sz w:val="52"/>
          <w:szCs w:val="52"/>
          <w:lang w:val="en-US" w:eastAsia="zh-CN"/>
        </w:rPr>
      </w:pPr>
    </w:p>
    <w:p w14:paraId="79E481BC">
      <w:pPr>
        <w:spacing w:line="360" w:lineRule="auto"/>
        <w:jc w:val="center"/>
        <w:rPr>
          <w:rFonts w:hint="eastAsia" w:ascii="宋体" w:hAnsi="宋体" w:cs="宋体"/>
          <w:b/>
          <w:bCs/>
          <w:sz w:val="52"/>
          <w:szCs w:val="52"/>
          <w:lang w:val="en-US" w:eastAsia="zh-CN"/>
        </w:rPr>
      </w:pPr>
      <w:r>
        <w:rPr>
          <w:rFonts w:hint="eastAsia" w:ascii="宋体" w:hAnsi="宋体" w:cs="宋体"/>
          <w:b/>
          <w:bCs/>
          <w:sz w:val="52"/>
          <w:szCs w:val="52"/>
          <w:lang w:val="en-US" w:eastAsia="zh-CN"/>
        </w:rPr>
        <w:t xml:space="preserve">消防设施设备提升改造项目 </w:t>
      </w:r>
    </w:p>
    <w:p w14:paraId="33B95CE0">
      <w:pPr>
        <w:spacing w:line="360" w:lineRule="auto"/>
        <w:jc w:val="center"/>
        <w:rPr>
          <w:rFonts w:hint="eastAsia" w:ascii="宋体" w:hAnsi="宋体" w:cs="宋体"/>
          <w:b/>
          <w:bCs/>
          <w:sz w:val="52"/>
          <w:szCs w:val="52"/>
          <w:lang w:val="en-US" w:eastAsia="zh-CN"/>
        </w:rPr>
      </w:pPr>
    </w:p>
    <w:p w14:paraId="7A8C84E4">
      <w:pPr>
        <w:spacing w:line="360" w:lineRule="auto"/>
        <w:ind w:firstLine="2088" w:firstLineChars="400"/>
        <w:jc w:val="both"/>
        <w:rPr>
          <w:rFonts w:ascii="宋体" w:hAnsi="宋体" w:cs="宋体"/>
          <w:b/>
          <w:bCs/>
          <w:sz w:val="52"/>
          <w:szCs w:val="52"/>
        </w:rPr>
      </w:pPr>
      <w:r>
        <w:rPr>
          <w:rFonts w:hint="eastAsia" w:ascii="宋体" w:hAnsi="宋体" w:cs="宋体"/>
          <w:b/>
          <w:bCs/>
          <w:sz w:val="52"/>
          <w:szCs w:val="52"/>
        </w:rPr>
        <w:t>招 标 工 程 量 清 单</w:t>
      </w:r>
    </w:p>
    <w:p w14:paraId="59926DBD">
      <w:pPr>
        <w:pStyle w:val="4"/>
      </w:pPr>
    </w:p>
    <w:p w14:paraId="3AF1EEF1">
      <w:pPr>
        <w:spacing w:line="360" w:lineRule="auto"/>
        <w:ind w:left="480"/>
        <w:jc w:val="center"/>
        <w:rPr>
          <w:rFonts w:ascii="宋体" w:hAnsi="宋体" w:cs="宋体"/>
          <w:b/>
          <w:sz w:val="72"/>
          <w:szCs w:val="44"/>
        </w:rPr>
      </w:pPr>
    </w:p>
    <w:p w14:paraId="62F8D305">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招标人：</w:t>
      </w:r>
      <w:r>
        <w:rPr>
          <w:rFonts w:hint="eastAsia" w:ascii="宋体" w:hAnsi="宋体" w:cs="宋体"/>
          <w:b/>
          <w:bCs/>
          <w:sz w:val="32"/>
          <w:szCs w:val="32"/>
          <w:u w:val="single"/>
        </w:rPr>
        <w:t xml:space="preserve">                                        </w:t>
      </w:r>
      <w:r>
        <w:rPr>
          <w:rFonts w:hint="eastAsia" w:ascii="宋体" w:hAnsi="宋体" w:cs="宋体"/>
          <w:b/>
          <w:bCs/>
          <w:sz w:val="24"/>
        </w:rPr>
        <w:t>（单位盖章）</w:t>
      </w:r>
    </w:p>
    <w:p w14:paraId="1276C224">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（签字或盖章）</w:t>
      </w:r>
    </w:p>
    <w:p w14:paraId="6E13CD86">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中介机构：</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（单位盖章）</w:t>
      </w:r>
    </w:p>
    <w:p w14:paraId="5C1AF754">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（签字或盖章）</w:t>
      </w:r>
    </w:p>
    <w:p w14:paraId="7ADB236F">
      <w:pPr>
        <w:widowControl/>
        <w:autoSpaceDE w:val="0"/>
        <w:autoSpaceDN w:val="0"/>
        <w:spacing w:before="360" w:after="360" w:line="360" w:lineRule="auto"/>
        <w:jc w:val="left"/>
        <w:textAlignment w:val="bottom"/>
        <w:rPr>
          <w:rFonts w:ascii="宋体" w:hAnsi="宋体" w:cs="宋体"/>
          <w:b/>
          <w:bCs/>
          <w:sz w:val="24"/>
        </w:rPr>
      </w:pPr>
      <w:r>
        <w:rPr>
          <w:rFonts w:hint="eastAsia" w:ascii="宋体" w:hAnsi="宋体" w:cs="宋体"/>
          <w:b/>
          <w:bCs/>
          <w:sz w:val="32"/>
          <w:szCs w:val="32"/>
        </w:rPr>
        <w:t>编制人：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w:t>
      </w:r>
      <w:bookmarkStart w:id="0" w:name="OLE_LINK1"/>
      <w:r>
        <w:rPr>
          <w:rFonts w:hint="eastAsia" w:ascii="宋体" w:hAnsi="宋体" w:cs="宋体"/>
          <w:b/>
          <w:bCs/>
          <w:sz w:val="24"/>
        </w:rPr>
        <w:t>造价</w:t>
      </w:r>
      <w:bookmarkEnd w:id="0"/>
      <w:r>
        <w:rPr>
          <w:rFonts w:hint="eastAsia" w:ascii="宋体" w:hAnsi="宋体" w:cs="宋体"/>
          <w:b/>
          <w:bCs/>
          <w:sz w:val="24"/>
          <w:lang w:val="en-US" w:eastAsia="zh-CN"/>
        </w:rPr>
        <w:t>工程师</w:t>
      </w:r>
      <w:r>
        <w:rPr>
          <w:rFonts w:hint="eastAsia" w:ascii="宋体" w:hAnsi="宋体" w:cs="宋体"/>
          <w:b/>
          <w:bCs/>
          <w:sz w:val="24"/>
        </w:rPr>
        <w:t>签字盖专用章）</w:t>
      </w:r>
    </w:p>
    <w:p w14:paraId="089F9C2F">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复核人：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（造价</w:t>
      </w:r>
      <w:r>
        <w:rPr>
          <w:rFonts w:hint="eastAsia" w:ascii="宋体" w:hAnsi="宋体" w:cs="宋体"/>
          <w:b/>
          <w:bCs/>
          <w:sz w:val="24"/>
          <w:lang w:val="en-US" w:eastAsia="zh-CN"/>
        </w:rPr>
        <w:t>工程师</w:t>
      </w:r>
      <w:r>
        <w:rPr>
          <w:rFonts w:hint="eastAsia" w:ascii="宋体" w:hAnsi="宋体" w:cs="宋体"/>
          <w:b/>
          <w:bCs/>
          <w:sz w:val="24"/>
        </w:rPr>
        <w:t>签字盖专用章）</w:t>
      </w:r>
    </w:p>
    <w:p w14:paraId="150D75B6">
      <w:pPr>
        <w:widowControl/>
        <w:autoSpaceDE w:val="0"/>
        <w:autoSpaceDN w:val="0"/>
        <w:spacing w:before="360" w:after="360" w:line="360" w:lineRule="auto"/>
        <w:jc w:val="left"/>
        <w:textAlignment w:val="bottom"/>
        <w:rPr>
          <w:rFonts w:ascii="宋体" w:hAnsi="宋体" w:cs="宋体"/>
          <w:b/>
          <w:bCs/>
          <w:sz w:val="32"/>
          <w:szCs w:val="32"/>
        </w:rPr>
      </w:pPr>
    </w:p>
    <w:p w14:paraId="31FCE987">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编制时间：</w:t>
      </w:r>
      <w:r>
        <w:rPr>
          <w:rFonts w:hint="eastAsia" w:ascii="宋体" w:hAnsi="宋体" w:cs="宋体"/>
          <w:b/>
          <w:bCs/>
          <w:sz w:val="32"/>
          <w:szCs w:val="32"/>
          <w:u w:val="none"/>
          <w:lang w:val="en-US" w:eastAsia="zh-CN"/>
        </w:rPr>
        <w:t>2025</w:t>
      </w:r>
      <w:r>
        <w:rPr>
          <w:rFonts w:hint="eastAsia" w:ascii="宋体" w:hAnsi="宋体" w:cs="宋体"/>
          <w:b/>
          <w:bCs/>
          <w:sz w:val="32"/>
          <w:szCs w:val="32"/>
          <w:u w:val="none"/>
        </w:rPr>
        <w:t>年</w:t>
      </w:r>
      <w:r>
        <w:rPr>
          <w:rFonts w:hint="eastAsia" w:ascii="宋体" w:hAnsi="宋体" w:cs="宋体"/>
          <w:b/>
          <w:bCs/>
          <w:sz w:val="32"/>
          <w:szCs w:val="32"/>
          <w:u w:val="none"/>
          <w:lang w:val="en-US" w:eastAsia="zh-CN"/>
        </w:rPr>
        <w:t xml:space="preserve"> </w:t>
      </w:r>
      <w:r>
        <w:rPr>
          <w:rFonts w:hint="eastAsia" w:ascii="宋体" w:hAnsi="宋体" w:cs="宋体"/>
          <w:b/>
          <w:bCs/>
          <w:sz w:val="32"/>
          <w:szCs w:val="32"/>
          <w:u w:val="none"/>
        </w:rPr>
        <w:t xml:space="preserve">月  日  </w:t>
      </w:r>
      <w:r>
        <w:rPr>
          <w:rFonts w:hint="eastAsia" w:ascii="宋体" w:hAnsi="宋体" w:cs="宋体"/>
          <w:b/>
          <w:bCs/>
          <w:sz w:val="32"/>
          <w:szCs w:val="32"/>
        </w:rPr>
        <w:t xml:space="preserve">  </w:t>
      </w:r>
      <w:r>
        <w:rPr>
          <w:rFonts w:hint="eastAsia" w:ascii="宋体" w:hAnsi="宋体" w:cs="宋体"/>
          <w:b/>
          <w:bCs/>
          <w:sz w:val="32"/>
          <w:szCs w:val="32"/>
          <w:lang w:val="en-US" w:eastAsia="zh-CN"/>
        </w:rPr>
        <w:t xml:space="preserve">    </w:t>
      </w:r>
      <w:r>
        <w:rPr>
          <w:rFonts w:hint="eastAsia" w:ascii="宋体" w:hAnsi="宋体" w:cs="宋体"/>
          <w:b/>
          <w:bCs/>
          <w:strike w:val="0"/>
          <w:dstrike w:val="0"/>
          <w:sz w:val="32"/>
          <w:szCs w:val="32"/>
          <w:lang w:val="en-US" w:eastAsia="zh-CN"/>
        </w:rPr>
        <w:t>复</w:t>
      </w:r>
      <w:r>
        <w:rPr>
          <w:rFonts w:hint="eastAsia" w:ascii="宋体" w:hAnsi="宋体" w:cs="宋体"/>
          <w:b/>
          <w:bCs/>
          <w:strike w:val="0"/>
          <w:dstrike w:val="0"/>
          <w:sz w:val="32"/>
          <w:szCs w:val="32"/>
        </w:rPr>
        <w:t>核时间：</w:t>
      </w:r>
      <w:r>
        <w:rPr>
          <w:rFonts w:hint="eastAsia" w:ascii="宋体" w:hAnsi="宋体" w:cs="宋体"/>
          <w:b/>
          <w:bCs/>
          <w:strike w:val="0"/>
          <w:dstrike w:val="0"/>
          <w:sz w:val="32"/>
          <w:szCs w:val="32"/>
          <w:u w:val="none"/>
          <w:lang w:val="en-US" w:eastAsia="zh-CN"/>
        </w:rPr>
        <w:t>2025</w:t>
      </w:r>
      <w:r>
        <w:rPr>
          <w:rFonts w:hint="eastAsia" w:ascii="宋体" w:hAnsi="宋体" w:cs="宋体"/>
          <w:b/>
          <w:bCs/>
          <w:strike w:val="0"/>
          <w:dstrike w:val="0"/>
          <w:sz w:val="32"/>
          <w:szCs w:val="32"/>
          <w:u w:val="none"/>
        </w:rPr>
        <w:t>年</w:t>
      </w:r>
      <w:r>
        <w:rPr>
          <w:rFonts w:hint="eastAsia" w:ascii="宋体" w:hAnsi="宋体" w:cs="宋体"/>
          <w:b/>
          <w:bCs/>
          <w:strike w:val="0"/>
          <w:dstrike w:val="0"/>
          <w:sz w:val="32"/>
          <w:szCs w:val="32"/>
          <w:u w:val="none"/>
          <w:lang w:val="en-US" w:eastAsia="zh-CN"/>
        </w:rPr>
        <w:t xml:space="preserve"> </w:t>
      </w:r>
      <w:r>
        <w:rPr>
          <w:rFonts w:hint="eastAsia" w:ascii="宋体" w:hAnsi="宋体" w:cs="宋体"/>
          <w:b/>
          <w:bCs/>
          <w:strike w:val="0"/>
          <w:dstrike w:val="0"/>
          <w:sz w:val="32"/>
          <w:szCs w:val="32"/>
          <w:u w:val="none"/>
        </w:rPr>
        <w:t xml:space="preserve">月 </w:t>
      </w:r>
      <w:r>
        <w:rPr>
          <w:rFonts w:hint="eastAsia" w:ascii="宋体" w:hAnsi="宋体" w:cs="宋体"/>
          <w:b/>
          <w:bCs/>
          <w:strike w:val="0"/>
          <w:dstrike w:val="0"/>
          <w:sz w:val="32"/>
          <w:szCs w:val="32"/>
          <w:u w:val="none"/>
          <w:lang w:val="en-US" w:eastAsia="zh-CN"/>
        </w:rPr>
        <w:t xml:space="preserve"> </w:t>
      </w:r>
      <w:r>
        <w:rPr>
          <w:rFonts w:hint="eastAsia" w:ascii="宋体" w:hAnsi="宋体" w:cs="宋体"/>
          <w:b/>
          <w:bCs/>
          <w:strike w:val="0"/>
          <w:dstrike w:val="0"/>
          <w:sz w:val="32"/>
          <w:szCs w:val="32"/>
          <w:u w:val="none"/>
        </w:rPr>
        <w:t>日</w:t>
      </w:r>
    </w:p>
    <w:p w14:paraId="04787832">
      <w:pPr>
        <w:widowControl/>
        <w:autoSpaceDE w:val="0"/>
        <w:autoSpaceDN w:val="0"/>
        <w:spacing w:before="360" w:after="360" w:line="360" w:lineRule="auto"/>
        <w:jc w:val="left"/>
        <w:textAlignment w:val="bottom"/>
        <w:rPr>
          <w:rFonts w:ascii="宋体" w:hAnsi="宋体" w:cs="宋体"/>
          <w:b/>
          <w:bCs/>
          <w:sz w:val="32"/>
          <w:szCs w:val="32"/>
          <w:u w:val="single"/>
        </w:rPr>
      </w:pP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667B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9" w:hRule="atLeast"/>
        </w:trPr>
        <w:tc>
          <w:tcPr>
            <w:tcW w:w="9240" w:type="dxa"/>
            <w:shd w:val="clear" w:color="auto" w:fill="auto"/>
            <w:noWrap/>
          </w:tcPr>
          <w:p w14:paraId="4F28CE86">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一、工程概况</w:t>
            </w:r>
          </w:p>
          <w:p w14:paraId="74B78624">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1、工程名称：</w:t>
            </w:r>
            <w:r>
              <w:rPr>
                <w:rFonts w:hint="eastAsia" w:ascii="宋体" w:hAnsi="宋体" w:eastAsia="宋体" w:cs="宋体"/>
                <w:sz w:val="21"/>
                <w:szCs w:val="21"/>
                <w:lang w:val="en-US" w:eastAsia="zh-CN"/>
              </w:rPr>
              <w:t>消防设施设备提升改造项目</w:t>
            </w:r>
            <w:r>
              <w:rPr>
                <w:rFonts w:hint="eastAsia" w:ascii="宋体" w:hAnsi="宋体" w:eastAsia="宋体" w:cs="宋体"/>
                <w:sz w:val="21"/>
                <w:szCs w:val="21"/>
              </w:rPr>
              <w:t>。</w:t>
            </w:r>
          </w:p>
          <w:p w14:paraId="6F34716B">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2、工程地点：浙江省</w:t>
            </w:r>
            <w:r>
              <w:rPr>
                <w:rFonts w:hint="eastAsia" w:ascii="宋体" w:hAnsi="宋体" w:eastAsia="宋体" w:cs="宋体"/>
                <w:sz w:val="21"/>
                <w:szCs w:val="21"/>
                <w:lang w:val="en-US" w:eastAsia="zh-CN"/>
              </w:rPr>
              <w:t>杭州市拱墅区浙江树人学院拱宸桥、杨汛桥两校区</w:t>
            </w:r>
            <w:r>
              <w:rPr>
                <w:rFonts w:hint="eastAsia" w:ascii="宋体" w:hAnsi="宋体" w:eastAsia="宋体" w:cs="宋体"/>
                <w:sz w:val="21"/>
                <w:szCs w:val="21"/>
              </w:rPr>
              <w:t>。</w:t>
            </w:r>
          </w:p>
          <w:p w14:paraId="33D98F27">
            <w:pPr>
              <w:pStyle w:val="15"/>
              <w:keepNext w:val="0"/>
              <w:keepLines w:val="0"/>
              <w:widowControl/>
              <w:suppressLineNumbers w:val="0"/>
              <w:spacing w:before="0" w:beforeAutospacing="0" w:after="0" w:afterAutospacing="0" w:line="360" w:lineRule="auto"/>
              <w:ind w:left="0" w:right="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3、工程概况：本次改造设计主要</w:t>
            </w:r>
            <w:r>
              <w:rPr>
                <w:rFonts w:hint="eastAsia" w:ascii="宋体" w:hAnsi="宋体" w:eastAsia="宋体" w:cs="宋体"/>
                <w:kern w:val="2"/>
                <w:sz w:val="21"/>
                <w:szCs w:val="21"/>
                <w:lang w:val="en-US" w:eastAsia="zh-CN" w:bidi="ar-SA"/>
              </w:rPr>
              <w:t>内容为</w:t>
            </w:r>
            <w:r>
              <w:rPr>
                <w:rFonts w:hint="eastAsia" w:ascii="宋体" w:hAnsi="宋体" w:eastAsia="宋体" w:cs="宋体"/>
                <w:sz w:val="21"/>
                <w:szCs w:val="21"/>
                <w:lang w:val="en-US" w:eastAsia="zh-CN"/>
              </w:rPr>
              <w:t>拱宸桥、杨汛桥两校区</w:t>
            </w:r>
            <w:r>
              <w:rPr>
                <w:rFonts w:hint="eastAsia" w:ascii="宋体" w:hAnsi="宋体" w:eastAsia="宋体" w:cs="宋体"/>
                <w:kern w:val="2"/>
                <w:sz w:val="21"/>
                <w:szCs w:val="21"/>
                <w:lang w:val="en-US" w:eastAsia="zh-CN" w:bidi="ar-SA"/>
              </w:rPr>
              <w:t>消防门禁系统整改升级、两校区防冲撞升降柱系统设备安装、校园内卷帘门维修更换等改造，具体详见清单。</w:t>
            </w:r>
          </w:p>
          <w:p w14:paraId="58E98DB3">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二、工程招标范围</w:t>
            </w:r>
          </w:p>
          <w:p w14:paraId="5521142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根据</w:t>
            </w:r>
            <w:r>
              <w:rPr>
                <w:rFonts w:hint="eastAsia" w:ascii="宋体" w:hAnsi="宋体" w:eastAsia="宋体" w:cs="宋体"/>
                <w:sz w:val="21"/>
                <w:szCs w:val="21"/>
                <w:lang w:val="en-US" w:eastAsia="zh-CN"/>
              </w:rPr>
              <w:t>建设单位提供的施工图纸及资料</w:t>
            </w:r>
            <w:r>
              <w:rPr>
                <w:rFonts w:hint="eastAsia" w:ascii="宋体" w:hAnsi="宋体" w:eastAsia="宋体" w:cs="宋体"/>
                <w:sz w:val="21"/>
                <w:szCs w:val="21"/>
              </w:rPr>
              <w:t>明确的范围。</w:t>
            </w:r>
          </w:p>
          <w:p w14:paraId="45C1AF07">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三、招标工程量清单编制依据</w:t>
            </w:r>
          </w:p>
          <w:p w14:paraId="0277BFE5">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1、根据</w:t>
            </w:r>
            <w:r>
              <w:rPr>
                <w:rFonts w:hint="eastAsia" w:ascii="宋体" w:hAnsi="宋体" w:eastAsia="宋体" w:cs="宋体"/>
                <w:color w:val="auto"/>
                <w:sz w:val="21"/>
                <w:szCs w:val="21"/>
                <w:highlight w:val="none"/>
                <w:lang w:val="en-US" w:eastAsia="zh-CN"/>
              </w:rPr>
              <w:t>建设单位提供的施工图纸及资料</w:t>
            </w:r>
            <w:r>
              <w:rPr>
                <w:rFonts w:hint="eastAsia" w:ascii="宋体" w:hAnsi="宋体" w:eastAsia="宋体" w:cs="宋体"/>
                <w:color w:val="auto"/>
                <w:sz w:val="21"/>
                <w:szCs w:val="21"/>
                <w:highlight w:val="none"/>
              </w:rPr>
              <w:t>明确的范围。</w:t>
            </w:r>
          </w:p>
          <w:p w14:paraId="0118D7A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2、《建设工程工程量清单计价规范》（GB50500—2013）。</w:t>
            </w:r>
          </w:p>
          <w:p w14:paraId="3557D5F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3、《房屋建筑与装饰工程工程量计算规范》（GB50854—2013）。</w:t>
            </w:r>
          </w:p>
          <w:p w14:paraId="316CBF4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4、《通用安装工程工程量计算规范》（GB50856—2013）。</w:t>
            </w:r>
          </w:p>
          <w:p w14:paraId="1B8A8DD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bookmarkStart w:id="1" w:name="OLE_LINK2"/>
            <w:r>
              <w:rPr>
                <w:rFonts w:hint="eastAsia" w:ascii="宋体" w:hAnsi="宋体" w:eastAsia="宋体" w:cs="宋体"/>
                <w:color w:val="auto"/>
                <w:sz w:val="21"/>
                <w:szCs w:val="21"/>
                <w:highlight w:val="none"/>
              </w:rPr>
              <w:t>《浙江省建设工程计价规则》（2018版）</w:t>
            </w:r>
            <w:bookmarkEnd w:id="1"/>
            <w:r>
              <w:rPr>
                <w:rFonts w:hint="eastAsia" w:ascii="宋体" w:hAnsi="宋体" w:eastAsia="宋体" w:cs="宋体"/>
                <w:color w:val="auto"/>
                <w:sz w:val="21"/>
                <w:szCs w:val="21"/>
                <w:highlight w:val="none"/>
              </w:rPr>
              <w:t>。</w:t>
            </w:r>
          </w:p>
          <w:p w14:paraId="5839FAE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6、《杭州市建设工程工程量清单计价实施细则》（2018年修订）。</w:t>
            </w:r>
          </w:p>
          <w:p w14:paraId="4F83E8C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7、《关于颁发浙江省建设工程计价依据（2018版）的通知》（浙建建﹝2018﹞61号）。</w:t>
            </w:r>
          </w:p>
          <w:p w14:paraId="6E005BD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8、《关于印发《杭州市建设工程工程量清单计价实施细则》（2018年修订）的通知》（杭建市发（2018）578号）。</w:t>
            </w:r>
          </w:p>
          <w:p w14:paraId="456523B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9、《关于增值税调整后我省建设工程计价依据增值税税率及有关计价调整的通知》（浙建建发【2019】92号）。</w:t>
            </w:r>
          </w:p>
          <w:p w14:paraId="135434D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10、《省建设厅关于调整建筑工程安全文明施工费的通知》（浙建建发[2022] 37号）。</w:t>
            </w:r>
          </w:p>
          <w:p w14:paraId="46BE2D4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11、《关于贯彻（省建设厅关于调整建筑工程安全文明施工费的通知）的通知》（杭建市发【2022】54号）。</w:t>
            </w:r>
          </w:p>
          <w:p w14:paraId="007CD1D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12、招标文件。</w:t>
            </w:r>
          </w:p>
          <w:p w14:paraId="1DC9D5E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13、与建设项目相关的标准、图集、规范、技术资料、文件、法律法规和综合解释。</w:t>
            </w:r>
          </w:p>
          <w:p w14:paraId="6C0B4494">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四、工程质量、工期、材料、施工等要求</w:t>
            </w:r>
          </w:p>
          <w:p w14:paraId="0010E50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1、工程质量：根据招标文件要求。</w:t>
            </w:r>
          </w:p>
          <w:p w14:paraId="7A060BE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2、工期：根据招标文件要求。</w:t>
            </w:r>
          </w:p>
          <w:p w14:paraId="0358675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3、施工要求详见招标文件及技术规范。</w:t>
            </w:r>
          </w:p>
          <w:p w14:paraId="128CC088">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五、安全文明施工措施费用的取费计算基数和最低费率标准</w:t>
            </w:r>
          </w:p>
          <w:p w14:paraId="54C26181">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安全文明施工费由文明施工费、环境保护费、临时设施费、安全施工费组成。以实施标准划分，可分为安全文明施工基本费和创建安全文明施工标准化工地增加费（以下简称“标化工地增加费”）。</w:t>
            </w:r>
          </w:p>
          <w:p w14:paraId="38BCAD6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基本费报价不得低于《浙江省建设工程计价规则》（2018版）中规定的弹性费率下限的计算值。按照本项目地理位置情况确定为市区工程。各专业工程取费基数均为“分部分项工程费和施工技术措施项目费”计价中的“人工费十机械费”之和。</w:t>
            </w:r>
          </w:p>
          <w:p w14:paraId="4D1893F7">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安全文明基本费分档累进等全部取费内容，中标后不再调整费率，安全文明基本费按中标价一次性包干。</w:t>
            </w:r>
          </w:p>
          <w:p w14:paraId="3BE20BF7">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最低标准费率为</w:t>
            </w:r>
            <w:r>
              <w:rPr>
                <w:rFonts w:hint="eastAsia" w:ascii="宋体" w:hAnsi="宋体" w:eastAsia="宋体" w:cs="宋体"/>
                <w:b/>
                <w:bCs/>
                <w:color w:val="auto"/>
                <w:sz w:val="21"/>
                <w:szCs w:val="21"/>
                <w:highlight w:val="none"/>
              </w:rPr>
              <w:t>5.91%</w:t>
            </w:r>
            <w:r>
              <w:rPr>
                <w:rFonts w:hint="eastAsia" w:ascii="宋体" w:hAnsi="宋体" w:eastAsia="宋体" w:cs="宋体"/>
                <w:color w:val="auto"/>
                <w:sz w:val="21"/>
                <w:szCs w:val="21"/>
                <w:highlight w:val="none"/>
              </w:rPr>
              <w:t>；</w:t>
            </w:r>
            <w:bookmarkStart w:id="2" w:name="OLE_LINK6"/>
            <w:bookmarkStart w:id="3" w:name="OLE_LINK9"/>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7.35%</w:t>
            </w:r>
            <w:bookmarkEnd w:id="2"/>
            <w:bookmarkEnd w:id="3"/>
            <w:r>
              <w:rPr>
                <w:rFonts w:hint="eastAsia" w:ascii="宋体" w:hAnsi="宋体" w:eastAsia="宋体" w:cs="宋体"/>
                <w:color w:val="auto"/>
                <w:sz w:val="21"/>
                <w:szCs w:val="21"/>
                <w:highlight w:val="none"/>
              </w:rPr>
              <w:t>。</w:t>
            </w:r>
          </w:p>
          <w:p w14:paraId="2B444ADE">
            <w:pPr>
              <w:widowControl/>
              <w:numPr>
                <w:ilvl w:val="0"/>
                <w:numId w:val="1"/>
              </w:numPr>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标化工地增加费：根据《浙江省建设工程计价规则（2018版）》规定，相应费用以“分部分项工程费和施工技术措施项目费”计价中的“人工费十机械费”之和为计算基数:</w:t>
            </w:r>
          </w:p>
          <w:p w14:paraId="028EA98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本工程不创标化工地。</w:t>
            </w:r>
          </w:p>
          <w:p w14:paraId="3E336B32">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六、企业管理费用的取费计算基数和最低费率标准</w:t>
            </w:r>
          </w:p>
          <w:p w14:paraId="3B82DC50">
            <w:pPr>
              <w:spacing w:line="360" w:lineRule="auto"/>
              <w:ind w:firstLine="420" w:firstLineChars="200"/>
              <w:rPr>
                <w:rFonts w:hint="eastAsia" w:ascii="宋体" w:hAnsi="宋体" w:eastAsia="宋体" w:cs="宋体"/>
                <w:color w:val="auto"/>
                <w:sz w:val="21"/>
                <w:szCs w:val="21"/>
                <w:highlight w:val="none"/>
              </w:rPr>
            </w:pPr>
            <w:bookmarkStart w:id="4" w:name="OLE_LINK11"/>
            <w:r>
              <w:rPr>
                <w:rFonts w:hint="eastAsia" w:ascii="宋体" w:hAnsi="宋体" w:eastAsia="宋体" w:cs="宋体"/>
                <w:color w:val="auto"/>
                <w:sz w:val="21"/>
                <w:szCs w:val="21"/>
                <w:highlight w:val="none"/>
              </w:rPr>
              <w:t>根据《杭州市建设工程工程量清单计价实施细则（2018年修订）》文件规定，</w:t>
            </w:r>
            <w:bookmarkEnd w:id="4"/>
            <w:r>
              <w:rPr>
                <w:rFonts w:hint="eastAsia" w:ascii="宋体" w:hAnsi="宋体" w:eastAsia="宋体" w:cs="宋体"/>
                <w:color w:val="auto"/>
                <w:sz w:val="21"/>
                <w:szCs w:val="21"/>
                <w:highlight w:val="none"/>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企业管理费的取费基数为“分部分项工程费和施工技术措施项目费”计价中的“人工费十机械费”之和。</w:t>
            </w:r>
          </w:p>
          <w:p w14:paraId="33A8502E">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最低取费费率为</w:t>
            </w:r>
            <w:r>
              <w:rPr>
                <w:rFonts w:hint="eastAsia" w:ascii="宋体" w:hAnsi="宋体" w:eastAsia="宋体" w:cs="宋体"/>
                <w:b/>
                <w:bCs/>
                <w:color w:val="auto"/>
                <w:sz w:val="21"/>
                <w:szCs w:val="21"/>
                <w:highlight w:val="none"/>
              </w:rPr>
              <w:t>2.27%</w:t>
            </w:r>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3.26%</w:t>
            </w:r>
            <w:r>
              <w:rPr>
                <w:rFonts w:hint="eastAsia" w:ascii="宋体" w:hAnsi="宋体" w:eastAsia="宋体" w:cs="宋体"/>
                <w:color w:val="auto"/>
                <w:sz w:val="21"/>
                <w:szCs w:val="21"/>
                <w:highlight w:val="none"/>
              </w:rPr>
              <w:t>。</w:t>
            </w:r>
          </w:p>
          <w:p w14:paraId="39A09B2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七、规费、税金的取费要求</w:t>
            </w:r>
          </w:p>
          <w:p w14:paraId="08DCA10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规费按照《浙江省建设工程计价规则》（2018版）规定，由社会保险费（含养老保险费、失业保险费、医疗保险费、生育保险费、工伤保险费）和住房公积金组成。各专业工程取费基数均为“分部分项工程费和施工技术措施项目费”计价中的“人工费十机械费”之和，报价按《浙江省建设工程施工取费定额（2018）》不得低于费率乘以30%的规定执行。</w:t>
            </w:r>
          </w:p>
          <w:p w14:paraId="061472F8">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最低取费费率为</w:t>
            </w:r>
            <w:r>
              <w:rPr>
                <w:rFonts w:hint="eastAsia" w:ascii="宋体" w:hAnsi="宋体" w:eastAsia="宋体" w:cs="宋体"/>
                <w:b/>
                <w:bCs/>
                <w:color w:val="auto"/>
                <w:sz w:val="21"/>
                <w:szCs w:val="21"/>
                <w:highlight w:val="none"/>
              </w:rPr>
              <w:t>8.38%</w:t>
            </w:r>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9.19%</w:t>
            </w:r>
            <w:r>
              <w:rPr>
                <w:rFonts w:hint="eastAsia" w:ascii="宋体" w:hAnsi="宋体" w:eastAsia="宋体" w:cs="宋体"/>
                <w:color w:val="auto"/>
                <w:sz w:val="21"/>
                <w:szCs w:val="21"/>
                <w:highlight w:val="none"/>
              </w:rPr>
              <w:t>。</w:t>
            </w:r>
          </w:p>
          <w:p w14:paraId="302D8620">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税金费率按照《关于增值税调整后我省建设工程计价依据增值税税率及有关计价调整的通知》（浙建建发【2019】92号）文件规定计取，取费基数为税前工程造价。根据文件要求，本工程按一般计税法考虑，费率为</w:t>
            </w:r>
            <w:r>
              <w:rPr>
                <w:rFonts w:hint="eastAsia" w:ascii="宋体" w:hAnsi="宋体" w:eastAsia="宋体" w:cs="宋体"/>
                <w:b/>
                <w:bCs/>
                <w:color w:val="auto"/>
                <w:sz w:val="21"/>
                <w:szCs w:val="21"/>
                <w:highlight w:val="none"/>
              </w:rPr>
              <w:t>9%</w:t>
            </w:r>
            <w:r>
              <w:rPr>
                <w:rFonts w:hint="eastAsia" w:ascii="宋体" w:hAnsi="宋体" w:eastAsia="宋体" w:cs="宋体"/>
                <w:color w:val="auto"/>
                <w:sz w:val="21"/>
                <w:szCs w:val="21"/>
                <w:highlight w:val="none"/>
              </w:rPr>
              <w:t>。</w:t>
            </w:r>
          </w:p>
          <w:p w14:paraId="4C134055">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八、暂列金额的数量</w:t>
            </w:r>
          </w:p>
          <w:p w14:paraId="416E932A">
            <w:pPr>
              <w:widowControl/>
              <w:tabs>
                <w:tab w:val="left" w:pos="720"/>
              </w:tabs>
              <w:spacing w:line="360" w:lineRule="auto"/>
              <w:ind w:left="4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本工程暂估金额：</w:t>
            </w:r>
            <w:r>
              <w:rPr>
                <w:rFonts w:hint="eastAsia" w:ascii="宋体" w:hAnsi="宋体" w:eastAsia="宋体" w:cs="宋体"/>
                <w:color w:val="auto"/>
                <w:sz w:val="21"/>
                <w:szCs w:val="21"/>
                <w:highlight w:val="none"/>
                <w:lang w:val="en-US" w:eastAsia="zh-CN"/>
              </w:rPr>
              <w:t>无</w:t>
            </w:r>
            <w:r>
              <w:rPr>
                <w:rFonts w:hint="eastAsia" w:ascii="宋体" w:hAnsi="宋体" w:eastAsia="宋体" w:cs="宋体"/>
                <w:color w:val="auto"/>
                <w:sz w:val="21"/>
                <w:szCs w:val="21"/>
                <w:highlight w:val="none"/>
              </w:rPr>
              <w:t>。</w:t>
            </w:r>
          </w:p>
          <w:p w14:paraId="381F20EE">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九、招标人自行采购材料的名称、规格型号、数量，要求总承包人提供的服务内容</w:t>
            </w:r>
          </w:p>
          <w:p w14:paraId="026D4E8A">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1、总承包服务（配合）内容：</w:t>
            </w:r>
            <w:r>
              <w:rPr>
                <w:rFonts w:hint="eastAsia" w:ascii="宋体" w:hAnsi="宋体" w:eastAsia="宋体" w:cs="宋体"/>
                <w:color w:val="auto"/>
                <w:sz w:val="21"/>
                <w:szCs w:val="21"/>
                <w:highlight w:val="none"/>
                <w:lang w:val="en-US" w:eastAsia="zh-CN"/>
              </w:rPr>
              <w:t>详见招标文件要求</w:t>
            </w:r>
            <w:r>
              <w:rPr>
                <w:rFonts w:hint="eastAsia" w:ascii="宋体" w:hAnsi="宋体" w:eastAsia="宋体" w:cs="宋体"/>
                <w:color w:val="auto"/>
                <w:sz w:val="21"/>
                <w:szCs w:val="21"/>
                <w:highlight w:val="none"/>
              </w:rPr>
              <w:t>。</w:t>
            </w:r>
          </w:p>
          <w:p w14:paraId="7EC805A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十、其他需要说明的问题</w:t>
            </w:r>
          </w:p>
          <w:p w14:paraId="1C94E6C2">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（一）整体</w:t>
            </w:r>
          </w:p>
          <w:p w14:paraId="1775C77E">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分部分项工程量清单中的工程量是按实物净量计算的，一切损耗均应在投标报价的综合单价中考虑。</w:t>
            </w:r>
          </w:p>
          <w:p w14:paraId="208BC551">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投标单位在进行综合单价报价时必须结合施工图、相关图集、文件等进行编制，清单子目中未能对各节点详图进行完全性描述的必须按上述资料进行报价，否则视为已计入相应项目综合单价中，中标后将不调整综合单价。</w:t>
            </w:r>
          </w:p>
          <w:p w14:paraId="147DE37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清单与图纸描述不一致时，施工方需在招标答疑时提出疑问，如无疑义，则认为按照图纸施工且依据投标时综合单价进行结算。结算时不得以任何理由针对此项提出任何单价调整，中标后综合单价不做调整。</w:t>
            </w:r>
          </w:p>
          <w:p w14:paraId="6DC6F35B">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投标人应在综合单价中充分考虑施工中的各种损耗和需要增加的工程量，所报综合单价应包含该清单子目的所有工作内容，并考虑风险因素。</w:t>
            </w:r>
          </w:p>
          <w:p w14:paraId="72710C5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投标人未填报综合单价或合价的项目，其费用视为已分摊在其他项目的综合单价与合价中，该项工作实施后，招标人将不予支付。</w:t>
            </w:r>
          </w:p>
          <w:p w14:paraId="1ABD3B54">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投标人应将工程量清单充分结合图纸一起阅读并理解，对于清单描述不够详尽的，应结合图纸要求进行报价。</w:t>
            </w:r>
          </w:p>
          <w:p w14:paraId="16E1582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投标人自行补充的措施项目必须列清项目明细内容，并提供相应的措施项目清单综合单价计算表及工料机分析表。</w:t>
            </w:r>
          </w:p>
          <w:p w14:paraId="3431FAC6">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75A0B24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本工程的所有石材及瓷砖、玻璃、型材、装修建材、管线、灯具等材料进场前中标单位先提供样品由建设单位、设计和监理方确认后方可进场，请充分考虑风险后报价。</w:t>
            </w:r>
          </w:p>
          <w:p w14:paraId="69E87AF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所有铝合金门窗、防火门等门或窗安装所涉及的二次收口，请投标人自行编制相应施工方案并将相关费用考虑在报价内。</w:t>
            </w:r>
          </w:p>
          <w:p w14:paraId="06B1FAB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部分项工程量清单中对工程项目的项目特征及具体做法只作重点描述，详细情况见施工图设计、技术说明、技术措施表及相关标准图集。组价时应结合投标人现场勘察情况包括完成所有工序工作内容的全部费用，清单描述不能作为投标人漏项、漏序的借口。</w:t>
            </w:r>
          </w:p>
          <w:p w14:paraId="2456FDC9">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请投标人充分考虑本工程所有设备单体调试和系统调试完成且经甲方验收后所需的相关调试费用（如水电费等）、满足设备运行环境和储存环境产生的费用（如除湿、通风、照明等），并计入投标总价内，各投标单位需要在相应的子目中综合考虑费用整。</w:t>
            </w:r>
          </w:p>
          <w:p w14:paraId="604D2B0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工程量清单及其计价依据格式中的任何内容不得随意删除或涂改，若有错误，在招标答疑时及时提出，以“补充答疑”资料为准。</w:t>
            </w:r>
          </w:p>
          <w:p w14:paraId="43E5B29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本清单项目特征内未注明的单位均为mm（毫米）。</w:t>
            </w:r>
          </w:p>
          <w:p w14:paraId="74C2AB6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施工场地无法满足投标人临时设施布置需求，由投标人自行就近解决（场地租赁费用及场地到施工现场间的用水用电管线接通、道路接通、人材机的短驳转运及其余应达到市级标化工地标准而产生的费由投标人在组织措施费考虑包干），中标后招标人不再另行支付相关费用。</w:t>
            </w:r>
          </w:p>
          <w:p w14:paraId="212E104E">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措施费项目应包括完成该工程所需的全部技术措施项目费用，本招标工程量清单中的“原有建筑保护费等以“项”为计量单位的技术措施项目清单费用包干，由各投标人根据自己的施工组织设计、现场的各种风险因素进行报价。后期图纸引起的变更及技术联系单变更造成的技术措施费用均不再计算费用。</w:t>
            </w:r>
          </w:p>
          <w:p w14:paraId="27FD902C">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投标人根据自行确定的施工方案及招标文件相关要求，认为有必要增加的技术措施费，计入其他技术措施费当中，一旦中标不再调整。</w:t>
            </w:r>
          </w:p>
          <w:p w14:paraId="1819CA75">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所有饰面材料（涂料）、铝合金型材、玻璃等均未区分颜色，请投标单位自行充分考虑不同颜色和规格的报价的影响，实际施工时按业主、设计要求调整，中标后综合单价不变。</w:t>
            </w:r>
          </w:p>
          <w:p w14:paraId="1E53529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前门窗深化必须经设计人及招标人同意，铝合金型材系列因不同品牌和厂家的选用，比重会不一致，若有差异（包含系列不同），型材重新开模及含量增加费用等可能发生的费用，投标人自行考虑计入投标报价内，结算时不得调整。</w:t>
            </w:r>
          </w:p>
          <w:p w14:paraId="0702C430">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投标人在投标报价时应充分领会《浙江省建设工程量清单计价指引》中各项目所组合的工程内容。</w:t>
            </w:r>
          </w:p>
          <w:p w14:paraId="754AA6A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本工程施工图做法要求，及与其它相关工程配合所产生的开孔、防水密封等费用均应列入相应清单项目综合报价中，结算时不作调整。</w:t>
            </w:r>
          </w:p>
          <w:p w14:paraId="76D1A8F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施工单位需要考虑工程移交前工程范围内的卫生保洁费用，以及施工现场配备保安人员做好防盗、防损工作所需的费用，计入措施项目费中，否则视作优惠。</w:t>
            </w:r>
          </w:p>
          <w:p w14:paraId="32A9B06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根据杭建招标造价中心（2021）84号《关于明确杭州市建筑施工领域安全生产责任保险费用计取的通知》文件规定，投标人在投标报价时，应结合工程实际和企业信用状况将安责险列入企业管理费中进行自主报价。</w:t>
            </w:r>
          </w:p>
          <w:p w14:paraId="0F7A3752">
            <w:pPr>
              <w:numPr>
                <w:ilvl w:val="0"/>
                <w:numId w:val="3"/>
              </w:num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常用材料(设备)品牌清单</w:t>
            </w:r>
          </w:p>
          <w:p w14:paraId="50F627D7">
            <w:pPr>
              <w:numPr>
                <w:ilvl w:val="0"/>
                <w:numId w:val="0"/>
              </w:numPr>
              <w:spacing w:line="360" w:lineRule="auto"/>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注：选定品牌实际施工均需与原有设备系统相兼容。</w:t>
            </w:r>
          </w:p>
          <w:tbl>
            <w:tblPr>
              <w:tblStyle w:val="44"/>
              <w:tblpPr w:leftFromText="180" w:rightFromText="180" w:vertAnchor="text" w:horzAnchor="page" w:tblpXSpec="center" w:tblpY="109"/>
              <w:tblOverlap w:val="never"/>
              <w:tblW w:w="90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0"/>
              <w:gridCol w:w="2452"/>
              <w:gridCol w:w="6028"/>
            </w:tblGrid>
            <w:tr w14:paraId="1389F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20" w:type="dxa"/>
                  <w:noWrap w:val="0"/>
                  <w:vAlign w:val="top"/>
                </w:tcPr>
                <w:p w14:paraId="603BA682">
                  <w:pPr>
                    <w:pStyle w:val="43"/>
                    <w:spacing w:before="107" w:line="360" w:lineRule="auto"/>
                    <w:ind w:left="305" w:leftChars="0"/>
                    <w:jc w:val="center"/>
                    <w:rPr>
                      <w:rFonts w:hint="eastAsia" w:ascii="宋体" w:hAnsi="宋体" w:eastAsia="宋体" w:cs="宋体"/>
                      <w:sz w:val="21"/>
                      <w:szCs w:val="21"/>
                      <w:highlight w:val="none"/>
                    </w:rPr>
                  </w:pPr>
                </w:p>
              </w:tc>
              <w:tc>
                <w:tcPr>
                  <w:tcW w:w="8480" w:type="dxa"/>
                  <w:gridSpan w:val="2"/>
                  <w:noWrap w:val="0"/>
                  <w:vAlign w:val="top"/>
                </w:tcPr>
                <w:p w14:paraId="1BD28CAB">
                  <w:pPr>
                    <w:pStyle w:val="43"/>
                    <w:spacing w:before="51" w:line="360" w:lineRule="auto"/>
                    <w:ind w:left="0" w:leftChars="0" w:firstLine="2951" w:firstLineChars="1400"/>
                    <w:jc w:val="both"/>
                    <w:rPr>
                      <w:rFonts w:hint="eastAsia" w:ascii="宋体" w:hAnsi="宋体" w:eastAsia="宋体" w:cs="宋体"/>
                      <w:sz w:val="21"/>
                      <w:szCs w:val="21"/>
                      <w:highlight w:val="none"/>
                      <w:lang w:val="en-US" w:eastAsia="zh-CN"/>
                    </w:rPr>
                  </w:pPr>
                  <w:r>
                    <w:rPr>
                      <w:rFonts w:hint="eastAsia" w:ascii="宋体" w:hAnsi="宋体" w:eastAsia="宋体" w:cs="宋体"/>
                      <w:b/>
                      <w:bCs/>
                      <w:sz w:val="21"/>
                      <w:szCs w:val="21"/>
                      <w:highlight w:val="none"/>
                      <w:lang w:val="en-US" w:eastAsia="zh-CN"/>
                    </w:rPr>
                    <w:t>安装材料</w:t>
                  </w:r>
                </w:p>
              </w:tc>
            </w:tr>
            <w:tr w14:paraId="27A53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20" w:type="dxa"/>
                  <w:noWrap w:val="0"/>
                  <w:vAlign w:val="top"/>
                </w:tcPr>
                <w:p w14:paraId="141ABC7F">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2452" w:type="dxa"/>
                  <w:shd w:val="clear" w:color="auto" w:fill="auto"/>
                  <w:noWrap w:val="0"/>
                  <w:vAlign w:val="top"/>
                </w:tcPr>
                <w:p w14:paraId="29D3C892">
                  <w:pPr>
                    <w:pStyle w:val="43"/>
                    <w:spacing w:before="51" w:line="360" w:lineRule="auto"/>
                    <w:ind w:left="0" w:lef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门禁系统</w:t>
                  </w:r>
                </w:p>
              </w:tc>
              <w:tc>
                <w:tcPr>
                  <w:tcW w:w="6028" w:type="dxa"/>
                  <w:shd w:val="clear" w:color="auto" w:fill="auto"/>
                  <w:noWrap w:val="0"/>
                  <w:vAlign w:val="top"/>
                </w:tcPr>
                <w:p w14:paraId="541A52E1">
                  <w:pPr>
                    <w:pStyle w:val="43"/>
                    <w:spacing w:before="51" w:line="360" w:lineRule="auto"/>
                    <w:ind w:left="0" w:lef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海康威视、正元</w:t>
                  </w:r>
                  <w:r>
                    <w:rPr>
                      <w:rFonts w:hint="eastAsia" w:cs="宋体"/>
                      <w:sz w:val="21"/>
                      <w:szCs w:val="21"/>
                      <w:highlight w:val="none"/>
                      <w:lang w:val="en-US" w:eastAsia="zh-CN"/>
                    </w:rPr>
                    <w:t>、</w:t>
                  </w:r>
                  <w:r>
                    <w:rPr>
                      <w:rFonts w:hint="eastAsia" w:ascii="宋体" w:hAnsi="宋体" w:eastAsia="宋体" w:cs="宋体"/>
                      <w:sz w:val="21"/>
                      <w:szCs w:val="21"/>
                      <w:highlight w:val="none"/>
                      <w:lang w:val="en-US" w:eastAsia="zh-CN"/>
                    </w:rPr>
                    <w:t>世茂或同档次</w:t>
                  </w:r>
                </w:p>
              </w:tc>
            </w:tr>
            <w:tr w14:paraId="5FAA0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20" w:type="dxa"/>
                  <w:noWrap w:val="0"/>
                  <w:vAlign w:val="top"/>
                </w:tcPr>
                <w:p w14:paraId="62E376FD">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c>
                <w:tcPr>
                  <w:tcW w:w="2452" w:type="dxa"/>
                  <w:noWrap w:val="0"/>
                  <w:vAlign w:val="top"/>
                </w:tcPr>
                <w:p w14:paraId="6A728B97">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监控系统</w:t>
                  </w:r>
                </w:p>
              </w:tc>
              <w:tc>
                <w:tcPr>
                  <w:tcW w:w="6028" w:type="dxa"/>
                  <w:noWrap w:val="0"/>
                  <w:vAlign w:val="top"/>
                </w:tcPr>
                <w:p w14:paraId="7860C4D0">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cs="宋体"/>
                      <w:sz w:val="21"/>
                      <w:szCs w:val="21"/>
                      <w:highlight w:val="none"/>
                      <w:lang w:val="en-US" w:eastAsia="zh-CN"/>
                    </w:rPr>
                    <w:t>大华</w:t>
                  </w:r>
                  <w:bookmarkStart w:id="5" w:name="_GoBack"/>
                  <w:bookmarkEnd w:id="5"/>
                  <w:r>
                    <w:rPr>
                      <w:rFonts w:hint="eastAsia" w:cs="宋体"/>
                      <w:sz w:val="21"/>
                      <w:szCs w:val="21"/>
                      <w:highlight w:val="none"/>
                      <w:lang w:val="en-US" w:eastAsia="zh-CN"/>
                    </w:rPr>
                    <w:t>、</w:t>
                  </w:r>
                  <w:r>
                    <w:rPr>
                      <w:rFonts w:hint="eastAsia" w:ascii="宋体" w:hAnsi="宋体" w:eastAsia="宋体" w:cs="宋体"/>
                      <w:sz w:val="21"/>
                      <w:szCs w:val="21"/>
                      <w:highlight w:val="none"/>
                      <w:lang w:val="en-US" w:eastAsia="zh-CN"/>
                    </w:rPr>
                    <w:t>海康</w:t>
                  </w:r>
                  <w:r>
                    <w:rPr>
                      <w:rFonts w:hint="eastAsia" w:cs="宋体"/>
                      <w:sz w:val="21"/>
                      <w:szCs w:val="21"/>
                      <w:highlight w:val="none"/>
                      <w:lang w:val="en-US" w:eastAsia="zh-CN"/>
                    </w:rPr>
                    <w:t>、</w:t>
                  </w:r>
                  <w:r>
                    <w:rPr>
                      <w:rFonts w:hint="eastAsia" w:ascii="宋体" w:hAnsi="宋体" w:eastAsia="宋体" w:cs="宋体"/>
                      <w:sz w:val="21"/>
                      <w:szCs w:val="21"/>
                      <w:highlight w:val="none"/>
                      <w:lang w:val="en-US" w:eastAsia="zh-CN"/>
                    </w:rPr>
                    <w:t>宇视或同档次</w:t>
                  </w:r>
                </w:p>
              </w:tc>
            </w:tr>
            <w:tr w14:paraId="3C4EC9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20" w:type="dxa"/>
                  <w:noWrap w:val="0"/>
                  <w:vAlign w:val="top"/>
                </w:tcPr>
                <w:p w14:paraId="617D5EA8">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c>
                <w:tcPr>
                  <w:tcW w:w="2452" w:type="dxa"/>
                  <w:noWrap w:val="0"/>
                  <w:vAlign w:val="top"/>
                </w:tcPr>
                <w:p w14:paraId="660C32DD">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液压一体升降防撞柱</w:t>
                  </w:r>
                </w:p>
              </w:tc>
              <w:tc>
                <w:tcPr>
                  <w:tcW w:w="6028" w:type="dxa"/>
                  <w:noWrap w:val="0"/>
                  <w:vAlign w:val="top"/>
                </w:tcPr>
                <w:p w14:paraId="522C9CC3">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浙江大华、浙江宇视、上海励擎或同档次</w:t>
                  </w:r>
                </w:p>
              </w:tc>
            </w:tr>
          </w:tbl>
          <w:p w14:paraId="5417A2DE">
            <w:pPr>
              <w:widowControl/>
              <w:numPr>
                <w:ilvl w:val="0"/>
                <w:numId w:val="0"/>
              </w:numPr>
              <w:spacing w:line="360" w:lineRule="auto"/>
              <w:jc w:val="left"/>
              <w:rPr>
                <w:rFonts w:hint="eastAsia" w:ascii="宋体" w:hAnsi="宋体" w:eastAsia="宋体" w:cs="宋体"/>
                <w:color w:val="auto"/>
                <w:sz w:val="21"/>
                <w:szCs w:val="21"/>
                <w:highlight w:val="none"/>
                <w:lang w:val="en-US" w:eastAsia="zh-CN"/>
              </w:rPr>
            </w:pPr>
          </w:p>
          <w:p w14:paraId="7146B51B">
            <w:pPr>
              <w:widowControl/>
              <w:numPr>
                <w:ilvl w:val="0"/>
                <w:numId w:val="0"/>
              </w:numPr>
              <w:spacing w:line="360" w:lineRule="auto"/>
              <w:jc w:val="left"/>
              <w:rPr>
                <w:rFonts w:hint="default" w:asciiTheme="minorEastAsia" w:hAnsiTheme="minorEastAsia" w:eastAsiaTheme="minorEastAsia" w:cstheme="minorEastAsia"/>
                <w:b/>
                <w:bCs/>
                <w:color w:val="auto"/>
                <w:sz w:val="21"/>
                <w:szCs w:val="21"/>
                <w:highlight w:val="none"/>
                <w:lang w:val="en-US" w:eastAsia="zh-CN"/>
              </w:rPr>
            </w:pPr>
          </w:p>
        </w:tc>
      </w:tr>
    </w:tbl>
    <w:p w14:paraId="7C5E55D5">
      <w:pPr>
        <w:spacing w:line="360" w:lineRule="auto"/>
        <w:rPr>
          <w:rFonts w:hint="eastAsia" w:asciiTheme="minorEastAsia" w:hAnsiTheme="minorEastAsia" w:eastAsiaTheme="minorEastAsia" w:cstheme="minorEastAsia"/>
          <w:sz w:val="21"/>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14C00">
    <w:pPr>
      <w:pStyle w:val="13"/>
      <w:framePr w:wrap="around" w:vAnchor="text" w:hAnchor="margin" w:xAlign="center" w:y="1"/>
      <w:rPr>
        <w:rStyle w:val="19"/>
      </w:rPr>
    </w:pPr>
    <w:r>
      <w:fldChar w:fldCharType="begin"/>
    </w:r>
    <w:r>
      <w:rPr>
        <w:rStyle w:val="19"/>
      </w:rPr>
      <w:instrText xml:space="preserve">PAGE  </w:instrText>
    </w:r>
    <w:r>
      <w:fldChar w:fldCharType="end"/>
    </w:r>
  </w:p>
  <w:p w14:paraId="2C61691B">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3CBFE">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53A6B710">
    <w:pPr>
      <w:pStyle w:val="4"/>
      <w:ind w:left="0" w:leftChars="0" w:firstLine="0" w:firstLineChars="0"/>
      <w:jc w:val="both"/>
      <w:rPr>
        <w:rFonts w:ascii="宋体" w:hAnsi="宋体"/>
        <w:szCs w:val="21"/>
      </w:rPr>
    </w:pPr>
    <w:r>
      <w:rPr>
        <w:rStyle w:val="19"/>
        <w:rFonts w:hint="eastAsia" w:ascii="宋体" w:hAnsi="宋体"/>
        <w:kern w:val="0"/>
        <w:szCs w:val="21"/>
      </w:rPr>
      <w:t>工程名称：</w:t>
    </w:r>
    <w:r>
      <w:rPr>
        <w:rFonts w:hint="eastAsia" w:ascii="宋体" w:hAnsi="宋体" w:cs="宋体"/>
        <w:b w:val="0"/>
        <w:bCs w:val="0"/>
        <w:sz w:val="21"/>
        <w:szCs w:val="21"/>
        <w:lang w:val="en-US" w:eastAsia="zh-CN"/>
      </w:rPr>
      <w:t xml:space="preserve">消防设施设备提升改造项目                                        </w:t>
    </w:r>
    <w:r>
      <w:rPr>
        <w:rStyle w:val="19"/>
        <w:rFonts w:hint="eastAsia" w:ascii="宋体" w:hAnsi="宋体"/>
        <w:szCs w:val="21"/>
      </w:rPr>
      <w:t>第</w:t>
    </w:r>
    <w:r>
      <w:rPr>
        <w:rFonts w:ascii="宋体" w:hAnsi="宋体"/>
        <w:szCs w:val="21"/>
      </w:rPr>
      <w:fldChar w:fldCharType="begin"/>
    </w:r>
    <w:r>
      <w:rPr>
        <w:rStyle w:val="19"/>
        <w:rFonts w:ascii="宋体" w:hAnsi="宋体"/>
        <w:szCs w:val="21"/>
      </w:rPr>
      <w:instrText xml:space="preserve"> PAGE </w:instrText>
    </w:r>
    <w:r>
      <w:rPr>
        <w:rFonts w:ascii="宋体" w:hAnsi="宋体"/>
        <w:szCs w:val="21"/>
      </w:rPr>
      <w:fldChar w:fldCharType="separate"/>
    </w:r>
    <w:r>
      <w:rPr>
        <w:rStyle w:val="19"/>
        <w:rFonts w:ascii="宋体" w:hAnsi="宋体"/>
        <w:szCs w:val="21"/>
      </w:rPr>
      <w:t>9</w:t>
    </w:r>
    <w:r>
      <w:rPr>
        <w:rFonts w:ascii="宋体" w:hAnsi="宋体"/>
        <w:szCs w:val="21"/>
      </w:rPr>
      <w:fldChar w:fldCharType="end"/>
    </w:r>
    <w:r>
      <w:rPr>
        <w:rStyle w:val="19"/>
        <w:rFonts w:hint="eastAsia" w:ascii="宋体" w:hAnsi="宋体"/>
        <w:szCs w:val="21"/>
      </w:rPr>
      <w:t>页  共</w:t>
    </w:r>
    <w:r>
      <w:rPr>
        <w:rStyle w:val="19"/>
        <w:rFonts w:hint="eastAsia" w:ascii="宋体" w:hAnsi="宋体"/>
        <w:szCs w:val="21"/>
        <w:lang w:val="en-US" w:eastAsia="zh-CN"/>
      </w:rPr>
      <w:t>5</w:t>
    </w:r>
    <w:r>
      <w:rPr>
        <w:rStyle w:val="19"/>
        <w:rFonts w:hint="eastAsia" w:ascii="宋体" w:hAnsi="宋体"/>
        <w:szCs w:val="21"/>
      </w:rPr>
      <w:t>页</w:t>
    </w:r>
    <w:r>
      <w:rPr>
        <w:rFonts w:hint="eastAsia" w:ascii="宋体" w:hAnsi="宋体" w:cs="宋体"/>
        <w:szCs w:val="21"/>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6E8DE">
    <w:pPr>
      <w:pStyle w:val="14"/>
      <w:framePr w:wrap="around" w:vAnchor="text" w:hAnchor="margin" w:xAlign="right" w:y="1"/>
      <w:rPr>
        <w:rStyle w:val="19"/>
      </w:rPr>
    </w:pPr>
    <w:r>
      <w:fldChar w:fldCharType="begin"/>
    </w:r>
    <w:r>
      <w:rPr>
        <w:rStyle w:val="19"/>
      </w:rPr>
      <w:instrText xml:space="preserve">PAGE  </w:instrText>
    </w:r>
    <w:r>
      <w:fldChar w:fldCharType="end"/>
    </w:r>
  </w:p>
  <w:p w14:paraId="0F827FE7">
    <w:pPr>
      <w:pStyle w:val="1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150E7"/>
    <w:multiLevelType w:val="singleLevel"/>
    <w:tmpl w:val="812150E7"/>
    <w:lvl w:ilvl="0" w:tentative="0">
      <w:start w:val="2"/>
      <w:numFmt w:val="decimal"/>
      <w:suff w:val="nothing"/>
      <w:lvlText w:val="%1、"/>
      <w:lvlJc w:val="left"/>
    </w:lvl>
  </w:abstractNum>
  <w:abstractNum w:abstractNumId="1">
    <w:nsid w:val="8D83A551"/>
    <w:multiLevelType w:val="singleLevel"/>
    <w:tmpl w:val="8D83A551"/>
    <w:lvl w:ilvl="0" w:tentative="0">
      <w:start w:val="11"/>
      <w:numFmt w:val="chineseCounting"/>
      <w:suff w:val="nothing"/>
      <w:lvlText w:val="%1、"/>
      <w:lvlJc w:val="left"/>
      <w:rPr>
        <w:rFonts w:hint="eastAsia"/>
      </w:rPr>
    </w:lvl>
  </w:abstractNum>
  <w:abstractNum w:abstractNumId="2">
    <w:nsid w:val="206632BB"/>
    <w:multiLevelType w:val="singleLevel"/>
    <w:tmpl w:val="206632BB"/>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attachedTemplate r:id="rId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NGEwMTYyMWQ4MTNiYjFkNDYwMTUwOWE0MzJmNDcifQ=="/>
  </w:docVars>
  <w:rsids>
    <w:rsidRoot w:val="7F87223B"/>
    <w:rsid w:val="00005CA0"/>
    <w:rsid w:val="00010A13"/>
    <w:rsid w:val="00013ED1"/>
    <w:rsid w:val="0002144F"/>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93B04"/>
    <w:rsid w:val="013963C4"/>
    <w:rsid w:val="01457570"/>
    <w:rsid w:val="018140A2"/>
    <w:rsid w:val="01967DCC"/>
    <w:rsid w:val="01C64D9E"/>
    <w:rsid w:val="01D47C4B"/>
    <w:rsid w:val="01F178BE"/>
    <w:rsid w:val="021716AC"/>
    <w:rsid w:val="022E73C5"/>
    <w:rsid w:val="0239317A"/>
    <w:rsid w:val="02844960"/>
    <w:rsid w:val="02854787"/>
    <w:rsid w:val="028C11CF"/>
    <w:rsid w:val="02902A6D"/>
    <w:rsid w:val="02A04CCC"/>
    <w:rsid w:val="02CE29EB"/>
    <w:rsid w:val="02FD0397"/>
    <w:rsid w:val="03140261"/>
    <w:rsid w:val="032D26B9"/>
    <w:rsid w:val="033D795F"/>
    <w:rsid w:val="034436BF"/>
    <w:rsid w:val="0386710D"/>
    <w:rsid w:val="03B16165"/>
    <w:rsid w:val="03BF4AF2"/>
    <w:rsid w:val="03D570C1"/>
    <w:rsid w:val="03DC64A7"/>
    <w:rsid w:val="03F27CA5"/>
    <w:rsid w:val="03FA07F1"/>
    <w:rsid w:val="040947E8"/>
    <w:rsid w:val="04233C24"/>
    <w:rsid w:val="044D70CF"/>
    <w:rsid w:val="045D2E23"/>
    <w:rsid w:val="047724A6"/>
    <w:rsid w:val="0490044D"/>
    <w:rsid w:val="04C61382"/>
    <w:rsid w:val="04DF3B89"/>
    <w:rsid w:val="05023A2C"/>
    <w:rsid w:val="051F37F2"/>
    <w:rsid w:val="054001D4"/>
    <w:rsid w:val="0549354B"/>
    <w:rsid w:val="05611787"/>
    <w:rsid w:val="057B3BD4"/>
    <w:rsid w:val="05914C99"/>
    <w:rsid w:val="05B358E1"/>
    <w:rsid w:val="05C57529"/>
    <w:rsid w:val="06053772"/>
    <w:rsid w:val="06112117"/>
    <w:rsid w:val="061A04E2"/>
    <w:rsid w:val="06345E06"/>
    <w:rsid w:val="06B7622E"/>
    <w:rsid w:val="06FC215A"/>
    <w:rsid w:val="072A27EA"/>
    <w:rsid w:val="074847CC"/>
    <w:rsid w:val="07A011BF"/>
    <w:rsid w:val="07C01FDB"/>
    <w:rsid w:val="07C71AB7"/>
    <w:rsid w:val="07ED5ED3"/>
    <w:rsid w:val="08210711"/>
    <w:rsid w:val="084303D1"/>
    <w:rsid w:val="085D56CD"/>
    <w:rsid w:val="085E458D"/>
    <w:rsid w:val="086C1E32"/>
    <w:rsid w:val="08973053"/>
    <w:rsid w:val="08BF37D8"/>
    <w:rsid w:val="08D538D0"/>
    <w:rsid w:val="09131BC8"/>
    <w:rsid w:val="0936530C"/>
    <w:rsid w:val="09D75426"/>
    <w:rsid w:val="09ED142F"/>
    <w:rsid w:val="09FB45DE"/>
    <w:rsid w:val="0A1246B0"/>
    <w:rsid w:val="0A1E7616"/>
    <w:rsid w:val="0A2E173F"/>
    <w:rsid w:val="0A474C47"/>
    <w:rsid w:val="0A6417D9"/>
    <w:rsid w:val="0A6624E1"/>
    <w:rsid w:val="0A914248"/>
    <w:rsid w:val="0AB47515"/>
    <w:rsid w:val="0AB91AD1"/>
    <w:rsid w:val="0AD96E7C"/>
    <w:rsid w:val="0ADD2F10"/>
    <w:rsid w:val="0AE528C1"/>
    <w:rsid w:val="0AF65D7F"/>
    <w:rsid w:val="0B137D59"/>
    <w:rsid w:val="0B3F14D4"/>
    <w:rsid w:val="0B610F40"/>
    <w:rsid w:val="0B923EC8"/>
    <w:rsid w:val="0B9A0515"/>
    <w:rsid w:val="0B9E0194"/>
    <w:rsid w:val="0BAF35AE"/>
    <w:rsid w:val="0BD9091B"/>
    <w:rsid w:val="0BE14F5F"/>
    <w:rsid w:val="0BEE6D79"/>
    <w:rsid w:val="0BF16386"/>
    <w:rsid w:val="0C0B50B6"/>
    <w:rsid w:val="0C366727"/>
    <w:rsid w:val="0C3A4D7D"/>
    <w:rsid w:val="0C814FA5"/>
    <w:rsid w:val="0C9040A9"/>
    <w:rsid w:val="0C9E13B3"/>
    <w:rsid w:val="0CA27616"/>
    <w:rsid w:val="0CC442D7"/>
    <w:rsid w:val="0CD66CF7"/>
    <w:rsid w:val="0CEC092A"/>
    <w:rsid w:val="0CF62067"/>
    <w:rsid w:val="0D3945D5"/>
    <w:rsid w:val="0D3C216F"/>
    <w:rsid w:val="0D4233A4"/>
    <w:rsid w:val="0D4234FE"/>
    <w:rsid w:val="0D4D0AF9"/>
    <w:rsid w:val="0D5D4163"/>
    <w:rsid w:val="0D900586"/>
    <w:rsid w:val="0DF26469"/>
    <w:rsid w:val="0E2E5089"/>
    <w:rsid w:val="0E490011"/>
    <w:rsid w:val="0E68518B"/>
    <w:rsid w:val="0E6D7A2A"/>
    <w:rsid w:val="0E786FF3"/>
    <w:rsid w:val="0EB93D1B"/>
    <w:rsid w:val="0ED11E9F"/>
    <w:rsid w:val="0ED4462A"/>
    <w:rsid w:val="0EE14EC6"/>
    <w:rsid w:val="0F0569E4"/>
    <w:rsid w:val="0F0617B7"/>
    <w:rsid w:val="0F615969"/>
    <w:rsid w:val="0F955B67"/>
    <w:rsid w:val="0FA1275E"/>
    <w:rsid w:val="0FD91EF8"/>
    <w:rsid w:val="0FFB6F69"/>
    <w:rsid w:val="0FFC514B"/>
    <w:rsid w:val="10253F95"/>
    <w:rsid w:val="10466E69"/>
    <w:rsid w:val="10486792"/>
    <w:rsid w:val="104B0030"/>
    <w:rsid w:val="106272E9"/>
    <w:rsid w:val="10855BDB"/>
    <w:rsid w:val="10B0262C"/>
    <w:rsid w:val="10B97383"/>
    <w:rsid w:val="10C2298C"/>
    <w:rsid w:val="10D76103"/>
    <w:rsid w:val="10F7015B"/>
    <w:rsid w:val="110B7BF5"/>
    <w:rsid w:val="111616F3"/>
    <w:rsid w:val="11264990"/>
    <w:rsid w:val="114D089C"/>
    <w:rsid w:val="11500281"/>
    <w:rsid w:val="118906F7"/>
    <w:rsid w:val="11BE5E0C"/>
    <w:rsid w:val="11D101EE"/>
    <w:rsid w:val="12117D8F"/>
    <w:rsid w:val="121A2E99"/>
    <w:rsid w:val="12400D96"/>
    <w:rsid w:val="12525F91"/>
    <w:rsid w:val="12870CB0"/>
    <w:rsid w:val="12AE6A32"/>
    <w:rsid w:val="12B33BA8"/>
    <w:rsid w:val="12E52506"/>
    <w:rsid w:val="130265BC"/>
    <w:rsid w:val="1323348A"/>
    <w:rsid w:val="134275A5"/>
    <w:rsid w:val="13482EF0"/>
    <w:rsid w:val="13622204"/>
    <w:rsid w:val="13C27393"/>
    <w:rsid w:val="13C80442"/>
    <w:rsid w:val="13D630FB"/>
    <w:rsid w:val="13E963DC"/>
    <w:rsid w:val="13F97879"/>
    <w:rsid w:val="14037D5A"/>
    <w:rsid w:val="14045568"/>
    <w:rsid w:val="14213E6D"/>
    <w:rsid w:val="14364068"/>
    <w:rsid w:val="144E4A79"/>
    <w:rsid w:val="14C86057"/>
    <w:rsid w:val="14CC39DF"/>
    <w:rsid w:val="14DC5FE6"/>
    <w:rsid w:val="14E35FF0"/>
    <w:rsid w:val="14EE72CB"/>
    <w:rsid w:val="14EF57E0"/>
    <w:rsid w:val="14F14328"/>
    <w:rsid w:val="1500562E"/>
    <w:rsid w:val="15145348"/>
    <w:rsid w:val="152A795D"/>
    <w:rsid w:val="1538512D"/>
    <w:rsid w:val="15462231"/>
    <w:rsid w:val="15995CFB"/>
    <w:rsid w:val="15C026A8"/>
    <w:rsid w:val="15EC4007"/>
    <w:rsid w:val="15FB70AD"/>
    <w:rsid w:val="161F063E"/>
    <w:rsid w:val="16424E3B"/>
    <w:rsid w:val="164863B3"/>
    <w:rsid w:val="1651030E"/>
    <w:rsid w:val="16614A43"/>
    <w:rsid w:val="167816D5"/>
    <w:rsid w:val="169E3974"/>
    <w:rsid w:val="16AE0D1D"/>
    <w:rsid w:val="16BF0C68"/>
    <w:rsid w:val="16DC5F4C"/>
    <w:rsid w:val="16F50311"/>
    <w:rsid w:val="17046594"/>
    <w:rsid w:val="171F47AE"/>
    <w:rsid w:val="177C5C52"/>
    <w:rsid w:val="17871D41"/>
    <w:rsid w:val="17C84600"/>
    <w:rsid w:val="17E25150"/>
    <w:rsid w:val="17EF28C2"/>
    <w:rsid w:val="17FF2717"/>
    <w:rsid w:val="180E64B6"/>
    <w:rsid w:val="1820704F"/>
    <w:rsid w:val="186D1464"/>
    <w:rsid w:val="18747971"/>
    <w:rsid w:val="18860743"/>
    <w:rsid w:val="188B347D"/>
    <w:rsid w:val="189A41EE"/>
    <w:rsid w:val="18C069F5"/>
    <w:rsid w:val="18D436C7"/>
    <w:rsid w:val="18DB5F9C"/>
    <w:rsid w:val="193C0062"/>
    <w:rsid w:val="19572F04"/>
    <w:rsid w:val="1973044E"/>
    <w:rsid w:val="19782D58"/>
    <w:rsid w:val="198E357D"/>
    <w:rsid w:val="19960E59"/>
    <w:rsid w:val="19981DED"/>
    <w:rsid w:val="19F64A80"/>
    <w:rsid w:val="1A071EB4"/>
    <w:rsid w:val="1A1401D9"/>
    <w:rsid w:val="1A5A090E"/>
    <w:rsid w:val="1A6F39D0"/>
    <w:rsid w:val="1A9C47ED"/>
    <w:rsid w:val="1AA82C77"/>
    <w:rsid w:val="1AA90ECC"/>
    <w:rsid w:val="1ABF551B"/>
    <w:rsid w:val="1AC216A6"/>
    <w:rsid w:val="1AD17C72"/>
    <w:rsid w:val="1AD42C55"/>
    <w:rsid w:val="1B027E29"/>
    <w:rsid w:val="1B252BAB"/>
    <w:rsid w:val="1B383951"/>
    <w:rsid w:val="1B4D5548"/>
    <w:rsid w:val="1B5B5FC5"/>
    <w:rsid w:val="1B781073"/>
    <w:rsid w:val="1B7E7DF7"/>
    <w:rsid w:val="1B804ED5"/>
    <w:rsid w:val="1B8B11CF"/>
    <w:rsid w:val="1BA3289E"/>
    <w:rsid w:val="1BCF3AA0"/>
    <w:rsid w:val="1BD81810"/>
    <w:rsid w:val="1BDB41C0"/>
    <w:rsid w:val="1BF37FC4"/>
    <w:rsid w:val="1C4247F3"/>
    <w:rsid w:val="1C442942"/>
    <w:rsid w:val="1C6634CC"/>
    <w:rsid w:val="1C7F4030"/>
    <w:rsid w:val="1CA94A00"/>
    <w:rsid w:val="1CB10719"/>
    <w:rsid w:val="1CBE3E3B"/>
    <w:rsid w:val="1D17619B"/>
    <w:rsid w:val="1D334A9D"/>
    <w:rsid w:val="1D34630C"/>
    <w:rsid w:val="1D410307"/>
    <w:rsid w:val="1D4D519E"/>
    <w:rsid w:val="1DCE2499"/>
    <w:rsid w:val="1DE06B47"/>
    <w:rsid w:val="1DEE2FE7"/>
    <w:rsid w:val="1E5643DA"/>
    <w:rsid w:val="1E5B339F"/>
    <w:rsid w:val="1E6D6AE7"/>
    <w:rsid w:val="1E775256"/>
    <w:rsid w:val="1E850FCE"/>
    <w:rsid w:val="1EA00B7B"/>
    <w:rsid w:val="1EAC6A29"/>
    <w:rsid w:val="1EC52E28"/>
    <w:rsid w:val="1EEA5137"/>
    <w:rsid w:val="1EF8115B"/>
    <w:rsid w:val="1EF82641"/>
    <w:rsid w:val="1EFA5449"/>
    <w:rsid w:val="1F5453B1"/>
    <w:rsid w:val="1F5A349A"/>
    <w:rsid w:val="1F775289"/>
    <w:rsid w:val="1F7C2F3A"/>
    <w:rsid w:val="1F886294"/>
    <w:rsid w:val="1FCC5EE2"/>
    <w:rsid w:val="1FE21A71"/>
    <w:rsid w:val="203565E4"/>
    <w:rsid w:val="205B5145"/>
    <w:rsid w:val="207442AA"/>
    <w:rsid w:val="207D2F38"/>
    <w:rsid w:val="208838AF"/>
    <w:rsid w:val="20AC33B0"/>
    <w:rsid w:val="20F2162B"/>
    <w:rsid w:val="21004E58"/>
    <w:rsid w:val="211F1C26"/>
    <w:rsid w:val="2141734C"/>
    <w:rsid w:val="214E76C3"/>
    <w:rsid w:val="21554DCC"/>
    <w:rsid w:val="215D400B"/>
    <w:rsid w:val="216A5107"/>
    <w:rsid w:val="21817CF9"/>
    <w:rsid w:val="21BB3EAA"/>
    <w:rsid w:val="21E77C8A"/>
    <w:rsid w:val="21EA1F43"/>
    <w:rsid w:val="222372B4"/>
    <w:rsid w:val="22515A59"/>
    <w:rsid w:val="226A4C6C"/>
    <w:rsid w:val="22781D83"/>
    <w:rsid w:val="228C547B"/>
    <w:rsid w:val="22B967CD"/>
    <w:rsid w:val="22DF3955"/>
    <w:rsid w:val="23225693"/>
    <w:rsid w:val="23447230"/>
    <w:rsid w:val="23483CF2"/>
    <w:rsid w:val="236C5411"/>
    <w:rsid w:val="237B7324"/>
    <w:rsid w:val="23810BE7"/>
    <w:rsid w:val="23C25CB5"/>
    <w:rsid w:val="241F42DD"/>
    <w:rsid w:val="2424126C"/>
    <w:rsid w:val="243946D8"/>
    <w:rsid w:val="24692809"/>
    <w:rsid w:val="24CC1F3A"/>
    <w:rsid w:val="24DE5462"/>
    <w:rsid w:val="24F93948"/>
    <w:rsid w:val="251A2000"/>
    <w:rsid w:val="25404A75"/>
    <w:rsid w:val="254104DF"/>
    <w:rsid w:val="25504061"/>
    <w:rsid w:val="25524FEF"/>
    <w:rsid w:val="257F7D90"/>
    <w:rsid w:val="25AD6677"/>
    <w:rsid w:val="25CB511A"/>
    <w:rsid w:val="25D738C6"/>
    <w:rsid w:val="25F76954"/>
    <w:rsid w:val="25F909D8"/>
    <w:rsid w:val="25FF1B34"/>
    <w:rsid w:val="26C07516"/>
    <w:rsid w:val="26D7172C"/>
    <w:rsid w:val="26E1630F"/>
    <w:rsid w:val="26E25A8D"/>
    <w:rsid w:val="26E5175C"/>
    <w:rsid w:val="26E85FF8"/>
    <w:rsid w:val="26FB054E"/>
    <w:rsid w:val="270B6C75"/>
    <w:rsid w:val="270E6119"/>
    <w:rsid w:val="27175E99"/>
    <w:rsid w:val="27200C69"/>
    <w:rsid w:val="272F7AD6"/>
    <w:rsid w:val="274673D6"/>
    <w:rsid w:val="27555E87"/>
    <w:rsid w:val="277B51EB"/>
    <w:rsid w:val="27884C7A"/>
    <w:rsid w:val="28213FE4"/>
    <w:rsid w:val="282916BA"/>
    <w:rsid w:val="282E3934"/>
    <w:rsid w:val="28AD4154"/>
    <w:rsid w:val="28B37A5E"/>
    <w:rsid w:val="28C332ED"/>
    <w:rsid w:val="28D463C1"/>
    <w:rsid w:val="28DC7F0B"/>
    <w:rsid w:val="28E42977"/>
    <w:rsid w:val="28F41FD5"/>
    <w:rsid w:val="29002F8B"/>
    <w:rsid w:val="29585436"/>
    <w:rsid w:val="29FE3164"/>
    <w:rsid w:val="2A082718"/>
    <w:rsid w:val="2A202079"/>
    <w:rsid w:val="2A2B4192"/>
    <w:rsid w:val="2A415E87"/>
    <w:rsid w:val="2A44045E"/>
    <w:rsid w:val="2A9E6EED"/>
    <w:rsid w:val="2AA1189E"/>
    <w:rsid w:val="2AA831E5"/>
    <w:rsid w:val="2AB06E6A"/>
    <w:rsid w:val="2B091443"/>
    <w:rsid w:val="2B18248E"/>
    <w:rsid w:val="2B190002"/>
    <w:rsid w:val="2B203D75"/>
    <w:rsid w:val="2B513774"/>
    <w:rsid w:val="2B7A28AC"/>
    <w:rsid w:val="2B97486B"/>
    <w:rsid w:val="2BAC15CB"/>
    <w:rsid w:val="2BC12B6B"/>
    <w:rsid w:val="2BD44CEB"/>
    <w:rsid w:val="2BD575BF"/>
    <w:rsid w:val="2C001BF6"/>
    <w:rsid w:val="2C1A28FB"/>
    <w:rsid w:val="2C717B03"/>
    <w:rsid w:val="2C8B478B"/>
    <w:rsid w:val="2CAF3CD6"/>
    <w:rsid w:val="2CE931FA"/>
    <w:rsid w:val="2CFD5A53"/>
    <w:rsid w:val="2D26209C"/>
    <w:rsid w:val="2D6B1749"/>
    <w:rsid w:val="2D742E08"/>
    <w:rsid w:val="2D7A4D28"/>
    <w:rsid w:val="2D950D76"/>
    <w:rsid w:val="2D9D77C0"/>
    <w:rsid w:val="2DCC2C44"/>
    <w:rsid w:val="2DD01A31"/>
    <w:rsid w:val="2E2064F4"/>
    <w:rsid w:val="2E4E4CFA"/>
    <w:rsid w:val="2E5371F9"/>
    <w:rsid w:val="2E547B86"/>
    <w:rsid w:val="2E6028A0"/>
    <w:rsid w:val="2E681A1B"/>
    <w:rsid w:val="2E7A5191"/>
    <w:rsid w:val="2E8013E7"/>
    <w:rsid w:val="2E8B0409"/>
    <w:rsid w:val="2EA66FF1"/>
    <w:rsid w:val="2ED56D13"/>
    <w:rsid w:val="2F436812"/>
    <w:rsid w:val="2F5D3EB4"/>
    <w:rsid w:val="2FB92FCB"/>
    <w:rsid w:val="2FC710B8"/>
    <w:rsid w:val="2FE0269D"/>
    <w:rsid w:val="2FE211B0"/>
    <w:rsid w:val="300B186C"/>
    <w:rsid w:val="30146D72"/>
    <w:rsid w:val="301D7AE1"/>
    <w:rsid w:val="3038170D"/>
    <w:rsid w:val="305F1B4D"/>
    <w:rsid w:val="30831BB9"/>
    <w:rsid w:val="309129E9"/>
    <w:rsid w:val="30944265"/>
    <w:rsid w:val="30BC6051"/>
    <w:rsid w:val="30E3273D"/>
    <w:rsid w:val="314C266A"/>
    <w:rsid w:val="315B54ED"/>
    <w:rsid w:val="316800B6"/>
    <w:rsid w:val="31AE767E"/>
    <w:rsid w:val="31BB525A"/>
    <w:rsid w:val="31C658D2"/>
    <w:rsid w:val="31F2254D"/>
    <w:rsid w:val="322A2424"/>
    <w:rsid w:val="322B2B1A"/>
    <w:rsid w:val="32834ADD"/>
    <w:rsid w:val="329B0E37"/>
    <w:rsid w:val="329B3BA5"/>
    <w:rsid w:val="33165BD0"/>
    <w:rsid w:val="33286205"/>
    <w:rsid w:val="336F7D45"/>
    <w:rsid w:val="337374A7"/>
    <w:rsid w:val="337705FD"/>
    <w:rsid w:val="33784CD4"/>
    <w:rsid w:val="33995376"/>
    <w:rsid w:val="33B326A5"/>
    <w:rsid w:val="33B757FC"/>
    <w:rsid w:val="33CA24AE"/>
    <w:rsid w:val="33CE72AF"/>
    <w:rsid w:val="33D303AB"/>
    <w:rsid w:val="341E030F"/>
    <w:rsid w:val="343F7F85"/>
    <w:rsid w:val="34426DD3"/>
    <w:rsid w:val="3462363B"/>
    <w:rsid w:val="34695E46"/>
    <w:rsid w:val="34956190"/>
    <w:rsid w:val="34A05CCE"/>
    <w:rsid w:val="34C0565A"/>
    <w:rsid w:val="34D42C8E"/>
    <w:rsid w:val="34E801CD"/>
    <w:rsid w:val="34F860CC"/>
    <w:rsid w:val="35522499"/>
    <w:rsid w:val="35590A79"/>
    <w:rsid w:val="35602A90"/>
    <w:rsid w:val="35957CD7"/>
    <w:rsid w:val="35A15988"/>
    <w:rsid w:val="35C3472F"/>
    <w:rsid w:val="35D65F39"/>
    <w:rsid w:val="360517A3"/>
    <w:rsid w:val="361548B8"/>
    <w:rsid w:val="362F0E3F"/>
    <w:rsid w:val="36353E90"/>
    <w:rsid w:val="364E7611"/>
    <w:rsid w:val="366F47BE"/>
    <w:rsid w:val="3681538F"/>
    <w:rsid w:val="36CC15BF"/>
    <w:rsid w:val="36CC4733"/>
    <w:rsid w:val="36D65946"/>
    <w:rsid w:val="36F2592D"/>
    <w:rsid w:val="37266708"/>
    <w:rsid w:val="373D526A"/>
    <w:rsid w:val="3748231F"/>
    <w:rsid w:val="3782242F"/>
    <w:rsid w:val="37902503"/>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8E910BA"/>
    <w:rsid w:val="39205BF2"/>
    <w:rsid w:val="392B372F"/>
    <w:rsid w:val="393C4091"/>
    <w:rsid w:val="3944527F"/>
    <w:rsid w:val="394C2EA6"/>
    <w:rsid w:val="397B299E"/>
    <w:rsid w:val="398F1444"/>
    <w:rsid w:val="39B20F40"/>
    <w:rsid w:val="39B40D22"/>
    <w:rsid w:val="39D41354"/>
    <w:rsid w:val="39DC1592"/>
    <w:rsid w:val="3A092020"/>
    <w:rsid w:val="3A245C97"/>
    <w:rsid w:val="3A302BC7"/>
    <w:rsid w:val="3A650D67"/>
    <w:rsid w:val="3A744447"/>
    <w:rsid w:val="3A870B56"/>
    <w:rsid w:val="3A886145"/>
    <w:rsid w:val="3A943DC6"/>
    <w:rsid w:val="3AF70982"/>
    <w:rsid w:val="3AFF058E"/>
    <w:rsid w:val="3B1D7F9C"/>
    <w:rsid w:val="3B323D87"/>
    <w:rsid w:val="3B392F9B"/>
    <w:rsid w:val="3B661A92"/>
    <w:rsid w:val="3B690357"/>
    <w:rsid w:val="3BA849E3"/>
    <w:rsid w:val="3BCD3F79"/>
    <w:rsid w:val="3BE94C5B"/>
    <w:rsid w:val="3BEC3969"/>
    <w:rsid w:val="3C59737F"/>
    <w:rsid w:val="3C6A4571"/>
    <w:rsid w:val="3C737DA2"/>
    <w:rsid w:val="3C86638A"/>
    <w:rsid w:val="3C946E5D"/>
    <w:rsid w:val="3CA61BAE"/>
    <w:rsid w:val="3CAE7667"/>
    <w:rsid w:val="3CB407DE"/>
    <w:rsid w:val="3CD20D0D"/>
    <w:rsid w:val="3CE61B20"/>
    <w:rsid w:val="3CE968BC"/>
    <w:rsid w:val="3D032C48"/>
    <w:rsid w:val="3D193084"/>
    <w:rsid w:val="3D6702CB"/>
    <w:rsid w:val="3D9F075F"/>
    <w:rsid w:val="3DAE797D"/>
    <w:rsid w:val="3DDA34AA"/>
    <w:rsid w:val="3E0C2040"/>
    <w:rsid w:val="3E141F20"/>
    <w:rsid w:val="3E285C74"/>
    <w:rsid w:val="3E392D90"/>
    <w:rsid w:val="3E6C45EE"/>
    <w:rsid w:val="3E854E75"/>
    <w:rsid w:val="3E865BD4"/>
    <w:rsid w:val="3E905B72"/>
    <w:rsid w:val="3E99018A"/>
    <w:rsid w:val="3EA22F9B"/>
    <w:rsid w:val="3EA65AB4"/>
    <w:rsid w:val="3EAA6689"/>
    <w:rsid w:val="3EB83517"/>
    <w:rsid w:val="3EDE362C"/>
    <w:rsid w:val="3EED47C8"/>
    <w:rsid w:val="3EFD4684"/>
    <w:rsid w:val="3F0471CD"/>
    <w:rsid w:val="3F0E2FB0"/>
    <w:rsid w:val="3F263AD1"/>
    <w:rsid w:val="3F2A1578"/>
    <w:rsid w:val="3F427DD3"/>
    <w:rsid w:val="3F4C0C28"/>
    <w:rsid w:val="3F583B53"/>
    <w:rsid w:val="3F702906"/>
    <w:rsid w:val="3F7A0E56"/>
    <w:rsid w:val="3F897AD6"/>
    <w:rsid w:val="3F8B66EF"/>
    <w:rsid w:val="3FEE0662"/>
    <w:rsid w:val="40055FCB"/>
    <w:rsid w:val="402E19C4"/>
    <w:rsid w:val="402E5098"/>
    <w:rsid w:val="404F2F21"/>
    <w:rsid w:val="404F4FBB"/>
    <w:rsid w:val="4062799B"/>
    <w:rsid w:val="407D1FF3"/>
    <w:rsid w:val="40C07226"/>
    <w:rsid w:val="40C809A9"/>
    <w:rsid w:val="40D76629"/>
    <w:rsid w:val="40D923D6"/>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2926E8"/>
    <w:rsid w:val="422931B7"/>
    <w:rsid w:val="423E2823"/>
    <w:rsid w:val="425C0339"/>
    <w:rsid w:val="4286740D"/>
    <w:rsid w:val="428B7B59"/>
    <w:rsid w:val="42DF7208"/>
    <w:rsid w:val="42E163F2"/>
    <w:rsid w:val="42F965F2"/>
    <w:rsid w:val="430B346F"/>
    <w:rsid w:val="43300570"/>
    <w:rsid w:val="43320C1A"/>
    <w:rsid w:val="435B5FA0"/>
    <w:rsid w:val="43957818"/>
    <w:rsid w:val="43FE6A09"/>
    <w:rsid w:val="445E4335"/>
    <w:rsid w:val="44676E58"/>
    <w:rsid w:val="448242F3"/>
    <w:rsid w:val="449A10C5"/>
    <w:rsid w:val="44C7147B"/>
    <w:rsid w:val="44FA75A6"/>
    <w:rsid w:val="45091972"/>
    <w:rsid w:val="450C4F89"/>
    <w:rsid w:val="45285A9D"/>
    <w:rsid w:val="454632AB"/>
    <w:rsid w:val="454716C0"/>
    <w:rsid w:val="45634B52"/>
    <w:rsid w:val="458748A4"/>
    <w:rsid w:val="45BC5068"/>
    <w:rsid w:val="45E216A1"/>
    <w:rsid w:val="45E26F29"/>
    <w:rsid w:val="466312C3"/>
    <w:rsid w:val="466504F7"/>
    <w:rsid w:val="46715CDF"/>
    <w:rsid w:val="46932DB1"/>
    <w:rsid w:val="469F1F27"/>
    <w:rsid w:val="46B83F75"/>
    <w:rsid w:val="46CB563B"/>
    <w:rsid w:val="46E04C21"/>
    <w:rsid w:val="46E14787"/>
    <w:rsid w:val="46F72C1D"/>
    <w:rsid w:val="4701596E"/>
    <w:rsid w:val="47033502"/>
    <w:rsid w:val="470644FA"/>
    <w:rsid w:val="473625AB"/>
    <w:rsid w:val="47414CB1"/>
    <w:rsid w:val="475573AE"/>
    <w:rsid w:val="47575BA3"/>
    <w:rsid w:val="479E0163"/>
    <w:rsid w:val="47B20B12"/>
    <w:rsid w:val="47BE4B87"/>
    <w:rsid w:val="47D557C9"/>
    <w:rsid w:val="47F6293F"/>
    <w:rsid w:val="480A77CA"/>
    <w:rsid w:val="481F1B00"/>
    <w:rsid w:val="485E2406"/>
    <w:rsid w:val="486D4F16"/>
    <w:rsid w:val="48C50B7D"/>
    <w:rsid w:val="48CD26FF"/>
    <w:rsid w:val="48DA22BA"/>
    <w:rsid w:val="491D766A"/>
    <w:rsid w:val="493C6926"/>
    <w:rsid w:val="49423D6F"/>
    <w:rsid w:val="496C019A"/>
    <w:rsid w:val="49753881"/>
    <w:rsid w:val="498819E1"/>
    <w:rsid w:val="498C6693"/>
    <w:rsid w:val="49D812D9"/>
    <w:rsid w:val="49DD5379"/>
    <w:rsid w:val="49EF575D"/>
    <w:rsid w:val="49F876F8"/>
    <w:rsid w:val="4A01267D"/>
    <w:rsid w:val="4A0C2FB9"/>
    <w:rsid w:val="4A14705F"/>
    <w:rsid w:val="4A612BBC"/>
    <w:rsid w:val="4A6504DB"/>
    <w:rsid w:val="4A802A91"/>
    <w:rsid w:val="4A96363E"/>
    <w:rsid w:val="4ABF5671"/>
    <w:rsid w:val="4AF40480"/>
    <w:rsid w:val="4B0166B4"/>
    <w:rsid w:val="4B142950"/>
    <w:rsid w:val="4B466B11"/>
    <w:rsid w:val="4B5005D9"/>
    <w:rsid w:val="4B662845"/>
    <w:rsid w:val="4B8F38AC"/>
    <w:rsid w:val="4BA460D0"/>
    <w:rsid w:val="4BE57EC5"/>
    <w:rsid w:val="4C173F5D"/>
    <w:rsid w:val="4C2B6F44"/>
    <w:rsid w:val="4C373312"/>
    <w:rsid w:val="4C3E67D2"/>
    <w:rsid w:val="4C560717"/>
    <w:rsid w:val="4C6318A7"/>
    <w:rsid w:val="4C6D080A"/>
    <w:rsid w:val="4C724C4A"/>
    <w:rsid w:val="4C7D53DD"/>
    <w:rsid w:val="4C8D3001"/>
    <w:rsid w:val="4C9923D8"/>
    <w:rsid w:val="4CA94424"/>
    <w:rsid w:val="4CBD3CFA"/>
    <w:rsid w:val="4CCA7EF7"/>
    <w:rsid w:val="4D0E7086"/>
    <w:rsid w:val="4D617082"/>
    <w:rsid w:val="4D7E33D7"/>
    <w:rsid w:val="4DC94652"/>
    <w:rsid w:val="4E112475"/>
    <w:rsid w:val="4E444E98"/>
    <w:rsid w:val="4E4C0CEF"/>
    <w:rsid w:val="4E5D267A"/>
    <w:rsid w:val="4E684B53"/>
    <w:rsid w:val="4E883004"/>
    <w:rsid w:val="4E8F4E02"/>
    <w:rsid w:val="4E987C6F"/>
    <w:rsid w:val="4EBC24C6"/>
    <w:rsid w:val="4F060CD3"/>
    <w:rsid w:val="4F0F6D2A"/>
    <w:rsid w:val="4F164E1A"/>
    <w:rsid w:val="4F2F4C41"/>
    <w:rsid w:val="4F5C321A"/>
    <w:rsid w:val="4FC72C67"/>
    <w:rsid w:val="50235A92"/>
    <w:rsid w:val="5048609D"/>
    <w:rsid w:val="50680152"/>
    <w:rsid w:val="506F6CB9"/>
    <w:rsid w:val="508C6920"/>
    <w:rsid w:val="509E35AF"/>
    <w:rsid w:val="50C013A6"/>
    <w:rsid w:val="50CC2DF1"/>
    <w:rsid w:val="50EC4BCC"/>
    <w:rsid w:val="50FD540C"/>
    <w:rsid w:val="511F1381"/>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C75B32"/>
    <w:rsid w:val="53046EBA"/>
    <w:rsid w:val="53146370"/>
    <w:rsid w:val="537B019D"/>
    <w:rsid w:val="537E7606"/>
    <w:rsid w:val="53ED0E02"/>
    <w:rsid w:val="53FA073C"/>
    <w:rsid w:val="540548B5"/>
    <w:rsid w:val="542F32F6"/>
    <w:rsid w:val="543C5B7E"/>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48298E"/>
    <w:rsid w:val="55602708"/>
    <w:rsid w:val="55627D0A"/>
    <w:rsid w:val="55957979"/>
    <w:rsid w:val="55A2370B"/>
    <w:rsid w:val="55B73D7B"/>
    <w:rsid w:val="55DC7607"/>
    <w:rsid w:val="55E232DA"/>
    <w:rsid w:val="5626646A"/>
    <w:rsid w:val="563C64C0"/>
    <w:rsid w:val="5645722B"/>
    <w:rsid w:val="564D4DE6"/>
    <w:rsid w:val="56593530"/>
    <w:rsid w:val="567F6DD8"/>
    <w:rsid w:val="56A3485A"/>
    <w:rsid w:val="56DF6C95"/>
    <w:rsid w:val="56E10EA8"/>
    <w:rsid w:val="56E81055"/>
    <w:rsid w:val="56E86198"/>
    <w:rsid w:val="56F037C9"/>
    <w:rsid w:val="56FF760A"/>
    <w:rsid w:val="57022298"/>
    <w:rsid w:val="57085C52"/>
    <w:rsid w:val="571549AA"/>
    <w:rsid w:val="571B00C2"/>
    <w:rsid w:val="57363121"/>
    <w:rsid w:val="57412E89"/>
    <w:rsid w:val="57414501"/>
    <w:rsid w:val="574F4ADF"/>
    <w:rsid w:val="578D7B7C"/>
    <w:rsid w:val="578F2469"/>
    <w:rsid w:val="57A852D8"/>
    <w:rsid w:val="57AF656B"/>
    <w:rsid w:val="57E346DB"/>
    <w:rsid w:val="57EB6DC4"/>
    <w:rsid w:val="582C20C4"/>
    <w:rsid w:val="583012BA"/>
    <w:rsid w:val="58394A57"/>
    <w:rsid w:val="584511C0"/>
    <w:rsid w:val="584E7C2E"/>
    <w:rsid w:val="58707408"/>
    <w:rsid w:val="5875165E"/>
    <w:rsid w:val="58940E7A"/>
    <w:rsid w:val="589C6AF1"/>
    <w:rsid w:val="58C541CA"/>
    <w:rsid w:val="58E53C9F"/>
    <w:rsid w:val="58F15FF1"/>
    <w:rsid w:val="5914523B"/>
    <w:rsid w:val="593A7D6D"/>
    <w:rsid w:val="596110D1"/>
    <w:rsid w:val="59624336"/>
    <w:rsid w:val="59795021"/>
    <w:rsid w:val="599B50F5"/>
    <w:rsid w:val="59A04CCE"/>
    <w:rsid w:val="5A211258"/>
    <w:rsid w:val="5A2B56FD"/>
    <w:rsid w:val="5A2F2F32"/>
    <w:rsid w:val="5A322B7F"/>
    <w:rsid w:val="5A3E700A"/>
    <w:rsid w:val="5AC97A40"/>
    <w:rsid w:val="5ACB1A0A"/>
    <w:rsid w:val="5AD43284"/>
    <w:rsid w:val="5ADF3707"/>
    <w:rsid w:val="5B83679E"/>
    <w:rsid w:val="5BB63E9C"/>
    <w:rsid w:val="5C4C6B7A"/>
    <w:rsid w:val="5C4E28F2"/>
    <w:rsid w:val="5C712531"/>
    <w:rsid w:val="5CA01740"/>
    <w:rsid w:val="5CB117CD"/>
    <w:rsid w:val="5CB62F45"/>
    <w:rsid w:val="5CB65CF2"/>
    <w:rsid w:val="5CD70F87"/>
    <w:rsid w:val="5CEC51D4"/>
    <w:rsid w:val="5D057255"/>
    <w:rsid w:val="5D0D6309"/>
    <w:rsid w:val="5D315433"/>
    <w:rsid w:val="5D3665F9"/>
    <w:rsid w:val="5D4B6D34"/>
    <w:rsid w:val="5D6F75DE"/>
    <w:rsid w:val="5D963448"/>
    <w:rsid w:val="5DB06344"/>
    <w:rsid w:val="5DB12B5B"/>
    <w:rsid w:val="5DCF186A"/>
    <w:rsid w:val="5DD95ED2"/>
    <w:rsid w:val="5DE40ED1"/>
    <w:rsid w:val="5DF95BED"/>
    <w:rsid w:val="5E017386"/>
    <w:rsid w:val="5E0510B8"/>
    <w:rsid w:val="5E8D6E87"/>
    <w:rsid w:val="5EB009F1"/>
    <w:rsid w:val="5EB42574"/>
    <w:rsid w:val="5EBD7C71"/>
    <w:rsid w:val="5EC325D5"/>
    <w:rsid w:val="5EC32908"/>
    <w:rsid w:val="5EC32C90"/>
    <w:rsid w:val="5F7C55A9"/>
    <w:rsid w:val="5F9846EC"/>
    <w:rsid w:val="5FB6478B"/>
    <w:rsid w:val="5FB82903"/>
    <w:rsid w:val="5FB9611A"/>
    <w:rsid w:val="5FCC28EF"/>
    <w:rsid w:val="5FCE76A6"/>
    <w:rsid w:val="5FD13940"/>
    <w:rsid w:val="5FDE290E"/>
    <w:rsid w:val="5FE34700"/>
    <w:rsid w:val="60275F41"/>
    <w:rsid w:val="603C0CB4"/>
    <w:rsid w:val="604F4E8B"/>
    <w:rsid w:val="605C5D55"/>
    <w:rsid w:val="60634A76"/>
    <w:rsid w:val="60B03285"/>
    <w:rsid w:val="60BC2E73"/>
    <w:rsid w:val="61111455"/>
    <w:rsid w:val="61166780"/>
    <w:rsid w:val="611C2F36"/>
    <w:rsid w:val="61297EF1"/>
    <w:rsid w:val="612F70BF"/>
    <w:rsid w:val="61400F2C"/>
    <w:rsid w:val="617D7CEC"/>
    <w:rsid w:val="61990635"/>
    <w:rsid w:val="61997D23"/>
    <w:rsid w:val="619C1975"/>
    <w:rsid w:val="61B2747F"/>
    <w:rsid w:val="61C349A0"/>
    <w:rsid w:val="61E94541"/>
    <w:rsid w:val="62220842"/>
    <w:rsid w:val="624C242C"/>
    <w:rsid w:val="62610C5F"/>
    <w:rsid w:val="626223EA"/>
    <w:rsid w:val="627F17FD"/>
    <w:rsid w:val="6282392C"/>
    <w:rsid w:val="62950F73"/>
    <w:rsid w:val="62A656B7"/>
    <w:rsid w:val="62D765E1"/>
    <w:rsid w:val="62E73159"/>
    <w:rsid w:val="631657EC"/>
    <w:rsid w:val="634855E1"/>
    <w:rsid w:val="63782963"/>
    <w:rsid w:val="63A220EC"/>
    <w:rsid w:val="63A300AB"/>
    <w:rsid w:val="63AB062A"/>
    <w:rsid w:val="63B9287D"/>
    <w:rsid w:val="63BA4C2B"/>
    <w:rsid w:val="63BD3DCC"/>
    <w:rsid w:val="63DB1968"/>
    <w:rsid w:val="63E47698"/>
    <w:rsid w:val="63E80DAE"/>
    <w:rsid w:val="640D6AAD"/>
    <w:rsid w:val="64184044"/>
    <w:rsid w:val="64412D3D"/>
    <w:rsid w:val="645002AB"/>
    <w:rsid w:val="64637A73"/>
    <w:rsid w:val="64744EC0"/>
    <w:rsid w:val="648B5E5E"/>
    <w:rsid w:val="64C02268"/>
    <w:rsid w:val="64DE10BC"/>
    <w:rsid w:val="65257F68"/>
    <w:rsid w:val="655457F3"/>
    <w:rsid w:val="65614357"/>
    <w:rsid w:val="657B09C5"/>
    <w:rsid w:val="65A802C3"/>
    <w:rsid w:val="65CC38EE"/>
    <w:rsid w:val="65DE0CDA"/>
    <w:rsid w:val="65E676BD"/>
    <w:rsid w:val="65ED6CD8"/>
    <w:rsid w:val="660A1ED7"/>
    <w:rsid w:val="6616088B"/>
    <w:rsid w:val="661A2785"/>
    <w:rsid w:val="66586254"/>
    <w:rsid w:val="666B6B5D"/>
    <w:rsid w:val="66777068"/>
    <w:rsid w:val="669110B4"/>
    <w:rsid w:val="66954031"/>
    <w:rsid w:val="66A852F5"/>
    <w:rsid w:val="66CF6F74"/>
    <w:rsid w:val="66D5172B"/>
    <w:rsid w:val="673F5FA5"/>
    <w:rsid w:val="67741253"/>
    <w:rsid w:val="67760D1A"/>
    <w:rsid w:val="678E1F28"/>
    <w:rsid w:val="678F1749"/>
    <w:rsid w:val="67AF7FBD"/>
    <w:rsid w:val="67C96476"/>
    <w:rsid w:val="67DA7730"/>
    <w:rsid w:val="6816379F"/>
    <w:rsid w:val="68200845"/>
    <w:rsid w:val="684814B4"/>
    <w:rsid w:val="68832557"/>
    <w:rsid w:val="68C03768"/>
    <w:rsid w:val="69036DDF"/>
    <w:rsid w:val="69194543"/>
    <w:rsid w:val="692E38EB"/>
    <w:rsid w:val="69366686"/>
    <w:rsid w:val="695B664F"/>
    <w:rsid w:val="696F5841"/>
    <w:rsid w:val="6974326C"/>
    <w:rsid w:val="69C14CEA"/>
    <w:rsid w:val="69D3114B"/>
    <w:rsid w:val="6A047047"/>
    <w:rsid w:val="6A440E91"/>
    <w:rsid w:val="6A480E85"/>
    <w:rsid w:val="6ACA5E83"/>
    <w:rsid w:val="6AD42062"/>
    <w:rsid w:val="6AFF6EE3"/>
    <w:rsid w:val="6B25428A"/>
    <w:rsid w:val="6B441250"/>
    <w:rsid w:val="6B485271"/>
    <w:rsid w:val="6B487674"/>
    <w:rsid w:val="6B593D2B"/>
    <w:rsid w:val="6B5C609D"/>
    <w:rsid w:val="6B5E15A0"/>
    <w:rsid w:val="6B6E19E9"/>
    <w:rsid w:val="6B786C75"/>
    <w:rsid w:val="6B793D65"/>
    <w:rsid w:val="6B7D6E77"/>
    <w:rsid w:val="6B8005EE"/>
    <w:rsid w:val="6BA2393D"/>
    <w:rsid w:val="6BBD3D32"/>
    <w:rsid w:val="6BC44906"/>
    <w:rsid w:val="6BCF2E21"/>
    <w:rsid w:val="6BF04B47"/>
    <w:rsid w:val="6BF25B97"/>
    <w:rsid w:val="6BF57AA1"/>
    <w:rsid w:val="6C0D46C0"/>
    <w:rsid w:val="6C120DA2"/>
    <w:rsid w:val="6C3A69EF"/>
    <w:rsid w:val="6C7D39EF"/>
    <w:rsid w:val="6C8422AB"/>
    <w:rsid w:val="6CA566A0"/>
    <w:rsid w:val="6CED328C"/>
    <w:rsid w:val="6D0337BC"/>
    <w:rsid w:val="6D1E3C1B"/>
    <w:rsid w:val="6D3450DB"/>
    <w:rsid w:val="6D585A43"/>
    <w:rsid w:val="6D8F6931"/>
    <w:rsid w:val="6DC81303"/>
    <w:rsid w:val="6DDB3675"/>
    <w:rsid w:val="6DE1719F"/>
    <w:rsid w:val="6DEE4DF9"/>
    <w:rsid w:val="6E147F0B"/>
    <w:rsid w:val="6E3A48AD"/>
    <w:rsid w:val="6E531FEA"/>
    <w:rsid w:val="6E5B24BC"/>
    <w:rsid w:val="6E5B4A69"/>
    <w:rsid w:val="6E605517"/>
    <w:rsid w:val="6E71306F"/>
    <w:rsid w:val="6E92447D"/>
    <w:rsid w:val="6E925745"/>
    <w:rsid w:val="6ED241B4"/>
    <w:rsid w:val="6F094884"/>
    <w:rsid w:val="6F5D5D2C"/>
    <w:rsid w:val="6F966DF6"/>
    <w:rsid w:val="6F9722D5"/>
    <w:rsid w:val="6FB5351B"/>
    <w:rsid w:val="6FB8103A"/>
    <w:rsid w:val="6FB92C57"/>
    <w:rsid w:val="6FCA62EF"/>
    <w:rsid w:val="6FDE345A"/>
    <w:rsid w:val="6FE97F06"/>
    <w:rsid w:val="70385A2E"/>
    <w:rsid w:val="70396AE3"/>
    <w:rsid w:val="705A140E"/>
    <w:rsid w:val="706E47B8"/>
    <w:rsid w:val="70C70904"/>
    <w:rsid w:val="70D403D3"/>
    <w:rsid w:val="70F27898"/>
    <w:rsid w:val="716B5794"/>
    <w:rsid w:val="717619C3"/>
    <w:rsid w:val="71796C76"/>
    <w:rsid w:val="71AA0F82"/>
    <w:rsid w:val="71AF3F00"/>
    <w:rsid w:val="71E3268F"/>
    <w:rsid w:val="71F70F3D"/>
    <w:rsid w:val="721C7622"/>
    <w:rsid w:val="72284242"/>
    <w:rsid w:val="72351862"/>
    <w:rsid w:val="72697840"/>
    <w:rsid w:val="7270425A"/>
    <w:rsid w:val="72A829E5"/>
    <w:rsid w:val="72CA6BE1"/>
    <w:rsid w:val="730D32CD"/>
    <w:rsid w:val="731C6E18"/>
    <w:rsid w:val="731F431B"/>
    <w:rsid w:val="73427BD6"/>
    <w:rsid w:val="73470EE1"/>
    <w:rsid w:val="73642133"/>
    <w:rsid w:val="737871FE"/>
    <w:rsid w:val="73A17354"/>
    <w:rsid w:val="73C117A4"/>
    <w:rsid w:val="73C33AE4"/>
    <w:rsid w:val="73E23154"/>
    <w:rsid w:val="73F15F3F"/>
    <w:rsid w:val="7402220E"/>
    <w:rsid w:val="74083497"/>
    <w:rsid w:val="7409362C"/>
    <w:rsid w:val="74113365"/>
    <w:rsid w:val="74266FDD"/>
    <w:rsid w:val="744E5B24"/>
    <w:rsid w:val="744F06D5"/>
    <w:rsid w:val="7454015A"/>
    <w:rsid w:val="746873AF"/>
    <w:rsid w:val="7482683C"/>
    <w:rsid w:val="74953575"/>
    <w:rsid w:val="749C2889"/>
    <w:rsid w:val="74A05A7F"/>
    <w:rsid w:val="74E4107E"/>
    <w:rsid w:val="750008C6"/>
    <w:rsid w:val="750462F3"/>
    <w:rsid w:val="755632D2"/>
    <w:rsid w:val="756F2491"/>
    <w:rsid w:val="757A4300"/>
    <w:rsid w:val="763042EE"/>
    <w:rsid w:val="76450DD5"/>
    <w:rsid w:val="764E10B0"/>
    <w:rsid w:val="765362F6"/>
    <w:rsid w:val="766B55F3"/>
    <w:rsid w:val="7676585E"/>
    <w:rsid w:val="76817468"/>
    <w:rsid w:val="76945895"/>
    <w:rsid w:val="76A43C4B"/>
    <w:rsid w:val="76CB6C32"/>
    <w:rsid w:val="76F64856"/>
    <w:rsid w:val="76F83E8C"/>
    <w:rsid w:val="76F95218"/>
    <w:rsid w:val="774963C9"/>
    <w:rsid w:val="7766473C"/>
    <w:rsid w:val="77A52F18"/>
    <w:rsid w:val="77AD5A29"/>
    <w:rsid w:val="77BC3A18"/>
    <w:rsid w:val="77DD5E41"/>
    <w:rsid w:val="78295334"/>
    <w:rsid w:val="782A3530"/>
    <w:rsid w:val="785215E0"/>
    <w:rsid w:val="78537310"/>
    <w:rsid w:val="787B79C5"/>
    <w:rsid w:val="788E4B46"/>
    <w:rsid w:val="789470BD"/>
    <w:rsid w:val="789F4190"/>
    <w:rsid w:val="78BD789B"/>
    <w:rsid w:val="78D2705B"/>
    <w:rsid w:val="790A05A0"/>
    <w:rsid w:val="791C61EF"/>
    <w:rsid w:val="79573BF5"/>
    <w:rsid w:val="796F05E0"/>
    <w:rsid w:val="79914AC1"/>
    <w:rsid w:val="799811D2"/>
    <w:rsid w:val="79A25232"/>
    <w:rsid w:val="79A42017"/>
    <w:rsid w:val="79CA06D6"/>
    <w:rsid w:val="79F842AA"/>
    <w:rsid w:val="7A2D54BD"/>
    <w:rsid w:val="7A414C68"/>
    <w:rsid w:val="7A4778AC"/>
    <w:rsid w:val="7A482BB0"/>
    <w:rsid w:val="7A4E2C2D"/>
    <w:rsid w:val="7A7031DE"/>
    <w:rsid w:val="7A877901"/>
    <w:rsid w:val="7A8E13F5"/>
    <w:rsid w:val="7AAB3047"/>
    <w:rsid w:val="7ADE14E1"/>
    <w:rsid w:val="7AE83E46"/>
    <w:rsid w:val="7AEF081F"/>
    <w:rsid w:val="7AF1471D"/>
    <w:rsid w:val="7B055127"/>
    <w:rsid w:val="7B197F69"/>
    <w:rsid w:val="7B230DC1"/>
    <w:rsid w:val="7B871069"/>
    <w:rsid w:val="7CAE6B7A"/>
    <w:rsid w:val="7CCE0BC2"/>
    <w:rsid w:val="7D460D84"/>
    <w:rsid w:val="7D5947FB"/>
    <w:rsid w:val="7D66199A"/>
    <w:rsid w:val="7D6E6B48"/>
    <w:rsid w:val="7D821FA4"/>
    <w:rsid w:val="7D827C31"/>
    <w:rsid w:val="7D8C348B"/>
    <w:rsid w:val="7DDE7A40"/>
    <w:rsid w:val="7DE9671E"/>
    <w:rsid w:val="7E1C4CDA"/>
    <w:rsid w:val="7E21716A"/>
    <w:rsid w:val="7E293F7B"/>
    <w:rsid w:val="7E643773"/>
    <w:rsid w:val="7E712102"/>
    <w:rsid w:val="7E976035"/>
    <w:rsid w:val="7ECA45D2"/>
    <w:rsid w:val="7ECC31F5"/>
    <w:rsid w:val="7EDD10F9"/>
    <w:rsid w:val="7F025E79"/>
    <w:rsid w:val="7F222401"/>
    <w:rsid w:val="7F5248B7"/>
    <w:rsid w:val="7F87223B"/>
    <w:rsid w:val="7F8C5645"/>
    <w:rsid w:val="7FF73CE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420" w:firstLineChars="200"/>
    </w:pPr>
  </w:style>
  <w:style w:type="paragraph" w:styleId="5">
    <w:name w:val="annotation text"/>
    <w:basedOn w:val="1"/>
    <w:link w:val="34"/>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ind w:firstLine="420"/>
    </w:pPr>
  </w:style>
  <w:style w:type="paragraph" w:styleId="8">
    <w:name w:val="toc 6"/>
    <w:basedOn w:val="1"/>
    <w:next w:val="1"/>
    <w:autoRedefine/>
    <w:qFormat/>
    <w:uiPriority w:val="0"/>
    <w:pPr>
      <w:ind w:left="2100" w:leftChars="1000"/>
    </w:pPr>
    <w:rPr>
      <w:szCs w:val="22"/>
    </w:rPr>
  </w:style>
  <w:style w:type="paragraph" w:styleId="9">
    <w:name w:val="Body Text Indent"/>
    <w:basedOn w:val="1"/>
    <w:autoRedefine/>
    <w:qFormat/>
    <w:uiPriority w:val="0"/>
    <w:pPr>
      <w:ind w:firstLine="570"/>
    </w:pPr>
    <w:rPr>
      <w:rFonts w:ascii="宋体" w:hAnsi="宋体"/>
      <w:sz w:val="28"/>
    </w:rPr>
  </w:style>
  <w:style w:type="paragraph" w:styleId="10">
    <w:name w:val="Plain Text"/>
    <w:basedOn w:val="1"/>
    <w:link w:val="32"/>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39"/>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3"/>
    <w:autoRedefine/>
    <w:qFormat/>
    <w:uiPriority w:val="0"/>
    <w:rPr>
      <w:b/>
      <w:bCs/>
    </w:rPr>
  </w:style>
  <w:style w:type="character" w:styleId="19">
    <w:name w:val="page number"/>
    <w:basedOn w:val="18"/>
    <w:autoRedefine/>
    <w:qFormat/>
    <w:uiPriority w:val="0"/>
  </w:style>
  <w:style w:type="character" w:styleId="20">
    <w:name w:val="Hyperlink"/>
    <w:basedOn w:val="18"/>
    <w:autoRedefine/>
    <w:qFormat/>
    <w:uiPriority w:val="0"/>
    <w:rPr>
      <w:color w:val="0000FF"/>
      <w:u w:val="single"/>
    </w:rPr>
  </w:style>
  <w:style w:type="character" w:styleId="21">
    <w:name w:val="annotation reference"/>
    <w:basedOn w:val="18"/>
    <w:autoRedefine/>
    <w:qFormat/>
    <w:uiPriority w:val="0"/>
    <w:rPr>
      <w:sz w:val="21"/>
      <w:szCs w:val="21"/>
    </w:rPr>
  </w:style>
  <w:style w:type="paragraph" w:customStyle="1" w:styleId="22">
    <w:name w:val="Char2"/>
    <w:basedOn w:val="1"/>
    <w:autoRedefine/>
    <w:qFormat/>
    <w:uiPriority w:val="0"/>
    <w:rPr>
      <w:szCs w:val="20"/>
    </w:rPr>
  </w:style>
  <w:style w:type="paragraph" w:customStyle="1" w:styleId="23">
    <w:name w:val="BH5K0L"/>
    <w:basedOn w:val="1"/>
    <w:autoRedefine/>
    <w:qFormat/>
    <w:uiPriority w:val="0"/>
    <w:pPr>
      <w:spacing w:beforeLines="50" w:line="312" w:lineRule="auto"/>
    </w:pPr>
    <w:rPr>
      <w:rFonts w:ascii="仿宋" w:hAnsi="仿宋" w:eastAsia="仿宋"/>
    </w:rPr>
  </w:style>
  <w:style w:type="paragraph" w:customStyle="1" w:styleId="24">
    <w:name w:val="ZW5K2L"/>
    <w:basedOn w:val="23"/>
    <w:autoRedefine/>
    <w:qFormat/>
    <w:uiPriority w:val="0"/>
    <w:pPr>
      <w:ind w:firstLine="200" w:firstLineChars="200"/>
    </w:pPr>
    <w:rPr>
      <w:rFonts w:ascii="宋体" w:hAnsi="宋体" w:eastAsia="宋体"/>
      <w:szCs w:val="21"/>
    </w:rPr>
  </w:style>
  <w:style w:type="paragraph" w:customStyle="1" w:styleId="25">
    <w:name w:val="BG5K0L"/>
    <w:basedOn w:val="24"/>
    <w:autoRedefine/>
    <w:qFormat/>
    <w:uiPriority w:val="0"/>
    <w:pPr>
      <w:spacing w:beforeLines="0" w:line="240" w:lineRule="auto"/>
      <w:ind w:firstLine="0" w:firstLineChars="0"/>
    </w:pPr>
    <w:rPr>
      <w:rFonts w:eastAsia="仿宋"/>
    </w:rPr>
  </w:style>
  <w:style w:type="paragraph" w:customStyle="1" w:styleId="26">
    <w:name w:val="内文"/>
    <w:link w:val="36"/>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7">
    <w:name w:val="Char Char Char Char1 Char"/>
    <w:basedOn w:val="1"/>
    <w:autoRedefine/>
    <w:qFormat/>
    <w:uiPriority w:val="0"/>
    <w:rPr>
      <w:rFonts w:ascii="仿宋_GB2312" w:eastAsia="仿宋_GB2312"/>
      <w:b/>
      <w:sz w:val="32"/>
      <w:szCs w:val="32"/>
    </w:rPr>
  </w:style>
  <w:style w:type="paragraph" w:customStyle="1" w:styleId="28">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29">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0">
    <w:name w:val="Char"/>
    <w:basedOn w:val="1"/>
    <w:autoRedefine/>
    <w:qFormat/>
    <w:uiPriority w:val="0"/>
    <w:rPr>
      <w:szCs w:val="20"/>
    </w:rPr>
  </w:style>
  <w:style w:type="paragraph" w:customStyle="1" w:styleId="31">
    <w:name w:val="样式3"/>
    <w:basedOn w:val="1"/>
    <w:autoRedefine/>
    <w:qFormat/>
    <w:uiPriority w:val="0"/>
    <w:pPr>
      <w:spacing w:line="440" w:lineRule="exact"/>
      <w:ind w:firstLine="416" w:firstLineChars="198"/>
    </w:pPr>
    <w:rPr>
      <w:rFonts w:ascii="宋体" w:hAnsi="宋体"/>
      <w:bCs/>
      <w:szCs w:val="21"/>
    </w:rPr>
  </w:style>
  <w:style w:type="character" w:customStyle="1" w:styleId="32">
    <w:name w:val="纯文本 Char"/>
    <w:basedOn w:val="18"/>
    <w:link w:val="10"/>
    <w:autoRedefine/>
    <w:qFormat/>
    <w:uiPriority w:val="0"/>
    <w:rPr>
      <w:rFonts w:ascii="宋体" w:hAnsi="Courier New" w:eastAsia="宋体" w:cs="Courier New"/>
      <w:kern w:val="2"/>
      <w:sz w:val="21"/>
      <w:szCs w:val="21"/>
      <w:lang w:val="en-US" w:eastAsia="zh-CN" w:bidi="ar-SA"/>
    </w:rPr>
  </w:style>
  <w:style w:type="character" w:customStyle="1" w:styleId="33">
    <w:name w:val="批注主题 Char"/>
    <w:basedOn w:val="34"/>
    <w:link w:val="16"/>
    <w:autoRedefine/>
    <w:qFormat/>
    <w:uiPriority w:val="0"/>
  </w:style>
  <w:style w:type="character" w:customStyle="1" w:styleId="34">
    <w:name w:val="批注文字 Char"/>
    <w:basedOn w:val="18"/>
    <w:link w:val="5"/>
    <w:autoRedefine/>
    <w:qFormat/>
    <w:uiPriority w:val="0"/>
    <w:rPr>
      <w:kern w:val="2"/>
      <w:sz w:val="21"/>
      <w:szCs w:val="24"/>
    </w:rPr>
  </w:style>
  <w:style w:type="character" w:customStyle="1" w:styleId="35">
    <w:name w:val="style11"/>
    <w:basedOn w:val="18"/>
    <w:autoRedefine/>
    <w:qFormat/>
    <w:uiPriority w:val="0"/>
    <w:rPr>
      <w:b/>
      <w:bCs/>
      <w:color w:val="D54F2B"/>
      <w:sz w:val="21"/>
      <w:szCs w:val="21"/>
    </w:rPr>
  </w:style>
  <w:style w:type="character" w:customStyle="1" w:styleId="36">
    <w:name w:val="内文 Char"/>
    <w:basedOn w:val="18"/>
    <w:link w:val="26"/>
    <w:autoRedefine/>
    <w:qFormat/>
    <w:uiPriority w:val="0"/>
    <w:rPr>
      <w:rFonts w:ascii="Arial" w:hAnsi="Arial"/>
      <w:kern w:val="2"/>
      <w:sz w:val="21"/>
      <w:lang w:val="en-US" w:eastAsia="zh-CN" w:bidi="ar-SA"/>
    </w:rPr>
  </w:style>
  <w:style w:type="character" w:customStyle="1" w:styleId="37">
    <w:name w:val="dz1"/>
    <w:basedOn w:val="18"/>
    <w:autoRedefine/>
    <w:qFormat/>
    <w:uiPriority w:val="0"/>
  </w:style>
  <w:style w:type="character" w:customStyle="1" w:styleId="38">
    <w:name w:val="bulletintext"/>
    <w:basedOn w:val="18"/>
    <w:autoRedefine/>
    <w:qFormat/>
    <w:uiPriority w:val="0"/>
  </w:style>
  <w:style w:type="character" w:customStyle="1" w:styleId="39">
    <w:name w:val="批注框文本 Char"/>
    <w:basedOn w:val="18"/>
    <w:link w:val="12"/>
    <w:autoRedefine/>
    <w:qFormat/>
    <w:uiPriority w:val="0"/>
    <w:rPr>
      <w:kern w:val="2"/>
      <w:sz w:val="18"/>
      <w:szCs w:val="18"/>
    </w:rPr>
  </w:style>
  <w:style w:type="character" w:customStyle="1" w:styleId="40">
    <w:name w:val="textcontents"/>
    <w:basedOn w:val="18"/>
    <w:autoRedefine/>
    <w:qFormat/>
    <w:uiPriority w:val="0"/>
  </w:style>
  <w:style w:type="character" w:customStyle="1" w:styleId="41">
    <w:name w:val="style9"/>
    <w:basedOn w:val="18"/>
    <w:autoRedefine/>
    <w:qFormat/>
    <w:uiPriority w:val="0"/>
  </w:style>
  <w:style w:type="paragraph" w:styleId="42">
    <w:name w:val="List Paragraph"/>
    <w:basedOn w:val="1"/>
    <w:autoRedefine/>
    <w:qFormat/>
    <w:uiPriority w:val="34"/>
    <w:pPr>
      <w:ind w:firstLine="420" w:firstLineChars="200"/>
    </w:pPr>
  </w:style>
  <w:style w:type="paragraph" w:customStyle="1" w:styleId="43">
    <w:name w:val="Table Text"/>
    <w:basedOn w:val="1"/>
    <w:semiHidden/>
    <w:qFormat/>
    <w:uiPriority w:val="0"/>
    <w:rPr>
      <w:rFonts w:ascii="宋体" w:hAnsi="宋体" w:eastAsia="宋体" w:cs="宋体"/>
      <w:sz w:val="22"/>
      <w:szCs w:val="22"/>
      <w:lang w:val="en-US" w:eastAsia="en-US" w:bidi="ar-SA"/>
    </w:rPr>
  </w:style>
  <w:style w:type="table" w:customStyle="1" w:styleId="4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037;&#31243;\&#26477;&#24030;&#34701;&#21019;&#23433;&#32622;&#25151;&#39033;&#30446;\&#24037;&#31243;&#37327;&#28165;&#21333;&#35828;&#26126;&#27169;&#26495;\&#25307;&#26631;&#24037;&#31243;&#37327;&#28165;&#21333;&#32534;&#21046;&#35828;&#26126;&#65288;&#26477;&#24030;&#65289;4.28&#2046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招标工程量清单编制说明（杭州）4.28修</Template>
  <Pages>6</Pages>
  <Words>3683</Words>
  <Characters>3808</Characters>
  <Lines>58</Lines>
  <Paragraphs>16</Paragraphs>
  <TotalTime>0</TotalTime>
  <ScaleCrop>false</ScaleCrop>
  <LinksUpToDate>false</LinksUpToDate>
  <CharactersWithSpaces>4043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2020-06-18T05:41:00Z</dcterms:created>
  <dc:creator>高</dc:creator>
  <cp:lastModifiedBy>葛威杰</cp:lastModifiedBy>
  <cp:lastPrinted>2022-01-12T09:34:00Z</cp:lastPrinted>
  <dcterms:modified xsi:type="dcterms:W3CDTF">2025-06-26T01:26:27Z</dcterms:modified>
  <dc:title>杭州东部创智天地工程招标工程量清单编制说明</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0595101C90264EECACC546C92DAB04F2_13</vt:lpwstr>
  </property>
  <property fmtid="{D5CDD505-2E9C-101B-9397-08002B2CF9AE}" pid="4" name="KSOTemplateDocerSaveRecord">
    <vt:lpwstr>eyJoZGlkIjoiOTBiMTg1NGQzYzI3NjQyMDg3MjA0NjYyYWQwMTk3OWYiLCJ1c2VySWQiOiIzOTY0MDkzNTkifQ==</vt:lpwstr>
  </property>
</Properties>
</file>