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A8128">
      <w:pPr>
        <w:jc w:val="center"/>
        <w:rPr>
          <w:rFonts w:hint="eastAsia" w:ascii="宋体" w:hAnsi="宋体"/>
          <w:b/>
          <w:sz w:val="30"/>
          <w:szCs w:val="30"/>
        </w:rPr>
      </w:pPr>
      <w:r>
        <w:rPr>
          <w:rFonts w:hint="eastAsia" w:ascii="宋体" w:hAnsi="宋体"/>
          <w:b/>
          <w:sz w:val="30"/>
          <w:szCs w:val="30"/>
          <w:lang w:val="en-US" w:eastAsia="zh-CN"/>
        </w:rPr>
        <w:t>山北生活区架空层增加喷淋系统</w:t>
      </w:r>
      <w:r>
        <w:rPr>
          <w:rFonts w:hint="eastAsia" w:ascii="宋体" w:hAnsi="宋体"/>
          <w:b/>
          <w:sz w:val="30"/>
          <w:szCs w:val="30"/>
        </w:rPr>
        <w:t>工程量清单编制说明</w:t>
      </w:r>
    </w:p>
    <w:p w14:paraId="01B47466">
      <w:pPr>
        <w:spacing w:line="360" w:lineRule="auto"/>
        <w:ind w:firstLine="420"/>
        <w:rPr>
          <w:rFonts w:hint="eastAsia" w:ascii="宋体" w:hAnsi="宋体"/>
          <w:b/>
          <w:sz w:val="24"/>
          <w:szCs w:val="24"/>
        </w:rPr>
      </w:pPr>
    </w:p>
    <w:p w14:paraId="4BD9AD56">
      <w:pPr>
        <w:spacing w:line="360" w:lineRule="auto"/>
        <w:ind w:firstLine="420"/>
        <w:rPr>
          <w:rFonts w:hint="eastAsia" w:ascii="宋体" w:hAnsi="宋体"/>
          <w:b/>
          <w:sz w:val="24"/>
          <w:szCs w:val="24"/>
        </w:rPr>
      </w:pPr>
      <w:r>
        <w:rPr>
          <w:rFonts w:hint="eastAsia" w:ascii="宋体" w:hAnsi="宋体"/>
          <w:b/>
          <w:sz w:val="24"/>
          <w:szCs w:val="24"/>
        </w:rPr>
        <w:t>一、工程概况</w:t>
      </w:r>
    </w:p>
    <w:p w14:paraId="591C0470">
      <w:pPr>
        <w:numPr>
          <w:ilvl w:val="0"/>
          <w:numId w:val="1"/>
        </w:num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bCs/>
          <w:sz w:val="24"/>
          <w:szCs w:val="24"/>
        </w:rPr>
        <w:t>工程名称：山北生活区架空层增加喷淋系统</w:t>
      </w:r>
    </w:p>
    <w:p w14:paraId="2FFA8DC4">
      <w:pPr>
        <w:numPr>
          <w:ilvl w:val="0"/>
          <w:numId w:val="1"/>
        </w:num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bCs/>
          <w:sz w:val="24"/>
          <w:szCs w:val="24"/>
        </w:rPr>
        <w:t>工程地点：</w:t>
      </w:r>
      <w:r>
        <w:rPr>
          <w:rFonts w:hint="eastAsia" w:ascii="宋体" w:hAnsi="宋体" w:cs="宋体"/>
          <w:bCs/>
          <w:sz w:val="24"/>
          <w:szCs w:val="24"/>
          <w:highlight w:val="none"/>
        </w:rPr>
        <w:t>位于杭州市</w:t>
      </w:r>
      <w:r>
        <w:rPr>
          <w:rFonts w:hint="eastAsia" w:ascii="宋体" w:hAnsi="宋体" w:cs="宋体"/>
          <w:bCs/>
          <w:sz w:val="24"/>
          <w:szCs w:val="24"/>
          <w:highlight w:val="none"/>
          <w:lang w:val="en-US" w:eastAsia="zh-CN"/>
        </w:rPr>
        <w:t>西湖区转塘街道象山村352号</w:t>
      </w:r>
      <w:r>
        <w:rPr>
          <w:rFonts w:hint="eastAsia" w:ascii="宋体" w:hAnsi="宋体" w:cs="宋体"/>
          <w:bCs/>
          <w:sz w:val="24"/>
          <w:szCs w:val="24"/>
          <w:highlight w:val="none"/>
        </w:rPr>
        <w:t>。</w:t>
      </w:r>
    </w:p>
    <w:p w14:paraId="58F10AC7">
      <w:pPr>
        <w:spacing w:line="360" w:lineRule="auto"/>
        <w:ind w:firstLine="420"/>
        <w:rPr>
          <w:rFonts w:hint="eastAsia" w:ascii="宋体" w:hAnsi="宋体"/>
          <w:b/>
          <w:sz w:val="24"/>
          <w:szCs w:val="24"/>
        </w:rPr>
      </w:pPr>
      <w:r>
        <w:rPr>
          <w:rFonts w:ascii="宋体" w:hAnsi="宋体"/>
          <w:b/>
          <w:sz w:val="24"/>
          <w:szCs w:val="24"/>
        </w:rPr>
        <w:t>二、</w:t>
      </w:r>
      <w:r>
        <w:rPr>
          <w:rFonts w:hint="eastAsia" w:ascii="宋体" w:hAnsi="宋体"/>
          <w:b/>
          <w:sz w:val="24"/>
          <w:szCs w:val="24"/>
        </w:rPr>
        <w:t>招标</w:t>
      </w:r>
      <w:r>
        <w:rPr>
          <w:rFonts w:ascii="宋体" w:hAnsi="宋体"/>
          <w:b/>
          <w:sz w:val="24"/>
          <w:szCs w:val="24"/>
        </w:rPr>
        <w:t>范围</w:t>
      </w:r>
    </w:p>
    <w:p w14:paraId="5BF8385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cs="宋体"/>
          <w:sz w:val="24"/>
          <w:szCs w:val="24"/>
        </w:rPr>
      </w:pPr>
      <w:r>
        <w:rPr>
          <w:rFonts w:hint="eastAsia" w:ascii="宋体" w:hAnsi="宋体" w:cs="宋体"/>
          <w:sz w:val="24"/>
          <w:szCs w:val="24"/>
        </w:rPr>
        <w:t>本次招标的实</w:t>
      </w:r>
      <w:r>
        <w:rPr>
          <w:rFonts w:hint="eastAsia" w:ascii="宋体" w:hAnsi="宋体" w:eastAsia="宋体" w:cs="宋体"/>
          <w:sz w:val="24"/>
          <w:szCs w:val="24"/>
        </w:rPr>
        <w:t>行</w:t>
      </w:r>
      <w:r>
        <w:rPr>
          <w:rFonts w:hint="eastAsia" w:ascii="宋体" w:hAnsi="宋体" w:eastAsia="宋体" w:cs="宋体"/>
          <w:sz w:val="24"/>
          <w:szCs w:val="24"/>
          <w:highlight w:val="none"/>
        </w:rPr>
        <w:t>施工总承包</w:t>
      </w:r>
      <w:r>
        <w:rPr>
          <w:rFonts w:hint="eastAsia" w:ascii="宋体" w:hAnsi="宋体" w:eastAsia="宋体" w:cs="宋体"/>
          <w:sz w:val="24"/>
          <w:szCs w:val="24"/>
        </w:rPr>
        <w:t>，主</w:t>
      </w:r>
      <w:r>
        <w:rPr>
          <w:rFonts w:hint="eastAsia" w:ascii="宋体" w:hAnsi="宋体" w:cs="宋体"/>
          <w:sz w:val="24"/>
          <w:szCs w:val="24"/>
        </w:rPr>
        <w:t>要包括以下内容：</w:t>
      </w:r>
      <w:r>
        <w:rPr>
          <w:rFonts w:ascii="宋体" w:hAnsi="宋体" w:eastAsia="宋体" w:cs="宋体"/>
          <w:sz w:val="22"/>
          <w:szCs w:val="22"/>
        </w:rPr>
        <w:t>自动喷水灭火系统</w:t>
      </w:r>
      <w:r>
        <w:rPr>
          <w:rFonts w:hint="eastAsia" w:ascii="宋体" w:hAnsi="宋体" w:cs="宋体"/>
          <w:sz w:val="24"/>
          <w:szCs w:val="24"/>
          <w:lang w:val="en-US" w:eastAsia="zh-CN"/>
        </w:rPr>
        <w:t>等，具体详见</w:t>
      </w:r>
      <w:r>
        <w:rPr>
          <w:rFonts w:hint="eastAsia" w:cs="宋体"/>
          <w:sz w:val="24"/>
          <w:szCs w:val="24"/>
          <w:lang w:val="en-US" w:eastAsia="zh-CN"/>
        </w:rPr>
        <w:t>施工图纸及</w:t>
      </w:r>
      <w:r>
        <w:rPr>
          <w:rFonts w:hint="eastAsia" w:ascii="宋体" w:hAnsi="宋体" w:cs="宋体"/>
          <w:sz w:val="24"/>
          <w:szCs w:val="24"/>
        </w:rPr>
        <w:t>工程量清单。</w:t>
      </w:r>
    </w:p>
    <w:p w14:paraId="3DFCC4FD">
      <w:pPr>
        <w:spacing w:line="360" w:lineRule="auto"/>
        <w:ind w:firstLine="420"/>
        <w:rPr>
          <w:rFonts w:ascii="宋体" w:hAnsi="宋体"/>
          <w:b/>
          <w:sz w:val="24"/>
          <w:szCs w:val="24"/>
        </w:rPr>
      </w:pPr>
      <w:r>
        <w:rPr>
          <w:rFonts w:hint="eastAsia" w:ascii="宋体" w:hAnsi="宋体"/>
          <w:b/>
          <w:sz w:val="24"/>
          <w:szCs w:val="24"/>
        </w:rPr>
        <w:t>三、</w:t>
      </w:r>
      <w:r>
        <w:rPr>
          <w:rFonts w:hint="eastAsia" w:ascii="宋体" w:hAnsi="宋体" w:cs="宋体"/>
          <w:b/>
          <w:bCs/>
          <w:color w:val="000000"/>
          <w:sz w:val="24"/>
          <w:szCs w:val="24"/>
        </w:rPr>
        <w:t>工程质量、工期、材料、施工等要求：</w:t>
      </w:r>
    </w:p>
    <w:p w14:paraId="73695409">
      <w:pPr>
        <w:tabs>
          <w:tab w:val="left" w:pos="3060"/>
          <w:tab w:val="left" w:pos="9180"/>
          <w:tab w:val="left" w:pos="9360"/>
        </w:tabs>
        <w:spacing w:line="360" w:lineRule="auto"/>
        <w:ind w:right="359" w:rightChars="171"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1、工程质量：根据招标文件要求；</w:t>
      </w:r>
    </w:p>
    <w:p w14:paraId="6CDB59CF">
      <w:pPr>
        <w:tabs>
          <w:tab w:val="left" w:pos="3060"/>
          <w:tab w:val="left" w:pos="9180"/>
          <w:tab w:val="left" w:pos="9360"/>
        </w:tabs>
        <w:spacing w:line="360" w:lineRule="auto"/>
        <w:ind w:right="359" w:rightChars="171"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2、工期：根据招标文件要求；</w:t>
      </w:r>
    </w:p>
    <w:p w14:paraId="301673D9">
      <w:pPr>
        <w:tabs>
          <w:tab w:val="left" w:pos="3060"/>
          <w:tab w:val="left" w:pos="9180"/>
          <w:tab w:val="left" w:pos="9360"/>
        </w:tabs>
        <w:spacing w:line="360" w:lineRule="auto"/>
        <w:ind w:right="359" w:rightChars="171"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3、材料、施工要求详见技术规范。</w:t>
      </w:r>
    </w:p>
    <w:p w14:paraId="7CB8A9FA">
      <w:pPr>
        <w:spacing w:line="360" w:lineRule="auto"/>
        <w:ind w:firstLine="420"/>
        <w:rPr>
          <w:rFonts w:ascii="宋体" w:hAnsi="宋体"/>
          <w:b/>
          <w:sz w:val="24"/>
          <w:szCs w:val="24"/>
        </w:rPr>
      </w:pPr>
      <w:r>
        <w:rPr>
          <w:rFonts w:hint="eastAsia" w:ascii="宋体" w:hAnsi="宋体"/>
          <w:b/>
          <w:sz w:val="24"/>
          <w:szCs w:val="24"/>
        </w:rPr>
        <w:t>四、编制依据及方法</w:t>
      </w:r>
    </w:p>
    <w:p w14:paraId="253F611A">
      <w:pPr>
        <w:spacing w:line="360" w:lineRule="auto"/>
        <w:ind w:firstLine="460" w:firstLineChars="192"/>
        <w:rPr>
          <w:rFonts w:hint="eastAsia" w:ascii="宋体" w:hAnsi="宋体" w:cs="宋体"/>
          <w:sz w:val="24"/>
          <w:szCs w:val="24"/>
        </w:rPr>
      </w:pPr>
      <w:r>
        <w:rPr>
          <w:rFonts w:hint="eastAsia" w:ascii="宋体" w:hAnsi="宋体" w:cs="宋体"/>
          <w:sz w:val="24"/>
          <w:szCs w:val="24"/>
        </w:rPr>
        <w:t>1.招标人提供的</w:t>
      </w:r>
      <w:r>
        <w:rPr>
          <w:rFonts w:hint="eastAsia" w:ascii="宋体" w:hAnsi="宋体" w:cs="宋体"/>
          <w:sz w:val="24"/>
          <w:szCs w:val="24"/>
          <w:lang w:val="en-US" w:eastAsia="zh-CN"/>
        </w:rPr>
        <w:t>施工图纸及工程量清单</w:t>
      </w:r>
      <w:r>
        <w:rPr>
          <w:rFonts w:hint="eastAsia" w:ascii="宋体" w:hAnsi="宋体" w:cs="宋体"/>
          <w:sz w:val="24"/>
          <w:szCs w:val="24"/>
        </w:rPr>
        <w:t>；</w:t>
      </w:r>
    </w:p>
    <w:p w14:paraId="51D379A0">
      <w:pPr>
        <w:spacing w:line="360" w:lineRule="auto"/>
        <w:ind w:firstLine="460" w:firstLineChars="192"/>
        <w:rPr>
          <w:rFonts w:hint="eastAsia" w:ascii="宋体" w:hAnsi="宋体" w:cs="宋体"/>
          <w:sz w:val="24"/>
          <w:szCs w:val="24"/>
        </w:rPr>
      </w:pPr>
      <w:r>
        <w:rPr>
          <w:rFonts w:hint="eastAsia" w:ascii="宋体" w:hAnsi="宋体" w:cs="宋体"/>
          <w:sz w:val="24"/>
          <w:szCs w:val="24"/>
        </w:rPr>
        <w:t>2.《建设工程工程量清单计价规范》（GB50500-2013）及其相关专业工程的国家标准《工程量计算规范》、《浙江省建设工程工程量清单计价指引》（2013版）及浙江省有关补充规定；《杭州市建设工程工程量清单计价实施细则》（2018年修订）；</w:t>
      </w:r>
    </w:p>
    <w:p w14:paraId="3D9BD9C1">
      <w:pPr>
        <w:spacing w:line="360" w:lineRule="auto"/>
        <w:ind w:firstLine="460" w:firstLineChars="192"/>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.《关于增值税调整后我省建设工程计价依据增值税税率及有关计价调整的通知》（浙建建发[2019]92号）；</w:t>
      </w:r>
    </w:p>
    <w:p w14:paraId="519F00AC">
      <w:pPr>
        <w:spacing w:line="360" w:lineRule="auto"/>
        <w:ind w:firstLine="460" w:firstLineChars="192"/>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w:t>
      </w:r>
      <w:r>
        <w:rPr>
          <w:rFonts w:ascii="宋体" w:hAnsi="宋体" w:cs="宋体"/>
          <w:sz w:val="24"/>
          <w:szCs w:val="24"/>
        </w:rPr>
        <w:t>《浙江省建设工程计价</w:t>
      </w:r>
      <w:r>
        <w:rPr>
          <w:rFonts w:hint="eastAsia" w:ascii="宋体" w:hAnsi="宋体" w:cs="宋体"/>
          <w:sz w:val="24"/>
          <w:szCs w:val="24"/>
        </w:rPr>
        <w:t>依据</w:t>
      </w:r>
      <w:r>
        <w:rPr>
          <w:rFonts w:ascii="宋体" w:hAnsi="宋体" w:cs="宋体"/>
          <w:sz w:val="24"/>
          <w:szCs w:val="24"/>
        </w:rPr>
        <w:t>》（2018版）</w:t>
      </w:r>
      <w:r>
        <w:rPr>
          <w:rFonts w:hint="eastAsia" w:ascii="宋体" w:hAnsi="宋体" w:cs="宋体"/>
          <w:sz w:val="24"/>
          <w:szCs w:val="24"/>
        </w:rPr>
        <w:t>及</w:t>
      </w:r>
      <w:r>
        <w:rPr>
          <w:rFonts w:ascii="宋体" w:hAnsi="宋体" w:cs="宋体"/>
          <w:sz w:val="24"/>
          <w:szCs w:val="24"/>
        </w:rPr>
        <w:t>综合解释；</w:t>
      </w:r>
    </w:p>
    <w:p w14:paraId="0302B34B">
      <w:pPr>
        <w:spacing w:line="360" w:lineRule="auto"/>
        <w:ind w:firstLine="460" w:firstLineChars="192"/>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.《省建设厅关于调整建筑工程安全文明施工费的通知》（浙建建发[2022]37号）；《关于推进杭州市建筑施工领域安全生产责任保险工作的通知》（杭建工发[2021]384号）；</w:t>
      </w:r>
    </w:p>
    <w:p w14:paraId="32FB1F67">
      <w:pPr>
        <w:spacing w:line="360" w:lineRule="auto"/>
        <w:ind w:firstLine="460" w:firstLineChars="192"/>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.现行浙江省、杭州市相关文件，现行相关规范标准，施工现场情况、工程特点及常规施工方案，</w:t>
      </w:r>
      <w:r>
        <w:rPr>
          <w:rFonts w:hint="eastAsia" w:ascii="宋体" w:hAnsi="宋体" w:cs="宋体"/>
          <w:kern w:val="28"/>
          <w:sz w:val="24"/>
          <w:szCs w:val="24"/>
        </w:rPr>
        <w:t>招标人及设计疑问回复</w:t>
      </w:r>
      <w:r>
        <w:rPr>
          <w:rFonts w:hint="eastAsia" w:ascii="宋体" w:hAnsi="宋体" w:cs="宋体"/>
          <w:sz w:val="24"/>
          <w:szCs w:val="24"/>
        </w:rPr>
        <w:t>。</w:t>
      </w:r>
    </w:p>
    <w:p w14:paraId="07922165">
      <w:pPr>
        <w:numPr>
          <w:ilvl w:val="0"/>
          <w:numId w:val="2"/>
        </w:numPr>
        <w:spacing w:line="360" w:lineRule="auto"/>
        <w:ind w:firstLine="420"/>
        <w:rPr>
          <w:rFonts w:hint="eastAsia" w:ascii="宋体" w:hAnsi="宋体" w:cs="宋体"/>
          <w:b/>
          <w:bCs/>
          <w:sz w:val="24"/>
        </w:rPr>
      </w:pPr>
      <w:r>
        <w:rPr>
          <w:rFonts w:hint="eastAsia" w:ascii="宋体" w:hAnsi="宋体"/>
          <w:b/>
          <w:sz w:val="24"/>
          <w:szCs w:val="24"/>
        </w:rPr>
        <w:t>编制有关事项说明</w:t>
      </w:r>
    </w:p>
    <w:p w14:paraId="1E984E55">
      <w:pPr>
        <w:numPr>
          <w:ilvl w:val="0"/>
          <w:numId w:val="3"/>
        </w:numPr>
        <w:spacing w:line="360" w:lineRule="auto"/>
        <w:ind w:firstLine="241" w:firstLineChars="100"/>
        <w:rPr>
          <w:rFonts w:hint="eastAsia" w:ascii="宋体" w:hAnsi="宋体"/>
          <w:b/>
          <w:sz w:val="24"/>
          <w:szCs w:val="24"/>
        </w:rPr>
      </w:pPr>
      <w:r>
        <w:rPr>
          <w:rFonts w:hint="eastAsia" w:ascii="宋体" w:hAnsi="宋体"/>
          <w:b/>
          <w:sz w:val="24"/>
          <w:szCs w:val="24"/>
        </w:rPr>
        <w:t>费率说明</w:t>
      </w:r>
    </w:p>
    <w:p w14:paraId="080478ED">
      <w:pPr>
        <w:widowControl/>
        <w:tabs>
          <w:tab w:val="left" w:pos="720"/>
        </w:tabs>
        <w:spacing w:line="360" w:lineRule="auto"/>
        <w:ind w:firstLine="480" w:firstLineChars="200"/>
        <w:jc w:val="left"/>
        <w:rPr>
          <w:rFonts w:ascii="宋体" w:hAnsi="宋体" w:cs="宋体"/>
          <w:bCs/>
          <w:sz w:val="24"/>
          <w:szCs w:val="24"/>
        </w:rPr>
      </w:pPr>
      <w:bookmarkStart w:id="0" w:name="OLE_LINK11"/>
      <w:r>
        <w:rPr>
          <w:rFonts w:hint="eastAsia" w:ascii="宋体" w:hAnsi="宋体" w:cs="宋体"/>
          <w:bCs/>
          <w:sz w:val="24"/>
          <w:szCs w:val="24"/>
        </w:rPr>
        <w:t>根据《杭州市建设工程工程量清单计价实施细则（2018年修订）》文件规定，</w:t>
      </w:r>
      <w:bookmarkEnd w:id="0"/>
      <w:r>
        <w:rPr>
          <w:rFonts w:hint="eastAsia" w:ascii="宋体" w:hAnsi="宋体" w:cs="宋体"/>
          <w:bCs/>
          <w:sz w:val="24"/>
          <w:szCs w:val="24"/>
        </w:rPr>
        <w:t>投标报价时，企业管理费中应包括施工企业现场临时宿舍取暖降温费用，以及施工企业对</w:t>
      </w:r>
      <w:r>
        <w:rPr>
          <w:rFonts w:hint="eastAsia" w:ascii="宋体" w:hAnsi="宋体" w:cs="宋体"/>
          <w:bCs/>
          <w:sz w:val="24"/>
          <w:szCs w:val="24"/>
          <w:lang w:val="en-US" w:eastAsia="zh-CN"/>
        </w:rPr>
        <w:t>安装</w:t>
      </w:r>
      <w:r>
        <w:rPr>
          <w:rFonts w:hint="eastAsia" w:ascii="宋体" w:hAnsi="宋体" w:cs="宋体"/>
          <w:bCs/>
          <w:sz w:val="24"/>
          <w:szCs w:val="24"/>
        </w:rPr>
        <w:t>以及材料、构件进行一般鉴定、检查所发生的检验试验费等相关费用。为保障工程质量和安全，企业管理费报价不得低于省建设行政主管部门颁发的施工费用定额和相关取费计价文件规定的对应专业工程企业管理费弹性费率</w:t>
      </w:r>
      <w:r>
        <w:rPr>
          <w:rFonts w:hint="eastAsia" w:ascii="宋体" w:hAnsi="宋体" w:cs="宋体"/>
          <w:bCs/>
          <w:sz w:val="24"/>
          <w:szCs w:val="24"/>
          <w:lang w:val="en-US" w:eastAsia="zh-CN"/>
        </w:rPr>
        <w:t>下限</w:t>
      </w:r>
      <w:r>
        <w:rPr>
          <w:rFonts w:hint="eastAsia" w:ascii="宋体" w:hAnsi="宋体" w:cs="宋体"/>
          <w:bCs/>
          <w:sz w:val="24"/>
          <w:szCs w:val="24"/>
        </w:rPr>
        <w:t>乘以20%的计算值</w:t>
      </w:r>
      <w:r>
        <w:rPr>
          <w:rFonts w:hint="eastAsia" w:ascii="宋体" w:hAnsi="宋体" w:eastAsia="宋体" w:cs="宋体"/>
          <w:bCs/>
          <w:sz w:val="24"/>
          <w:szCs w:val="24"/>
        </w:rPr>
        <w:t>。</w:t>
      </w:r>
      <w:r>
        <w:rPr>
          <w:rFonts w:hint="eastAsia" w:ascii="宋体" w:hAnsi="宋体" w:cs="宋体"/>
          <w:bCs/>
          <w:sz w:val="24"/>
          <w:szCs w:val="24"/>
        </w:rPr>
        <w:t>同时，投标人必须对企业管理费中所包含的施工企业的现场临时宿舍取暖降温等费用，在相应的清单明细表中（表2-5）进行单独费用报价分析。企业管理费的取费基数为“分部分项工程费和施工技术措施项目费”计价中的“人工费</w:t>
      </w:r>
      <w:r>
        <w:rPr>
          <w:rFonts w:hint="eastAsia" w:ascii="宋体" w:hAnsi="宋体" w:cs="宋体"/>
          <w:bCs/>
          <w:sz w:val="24"/>
          <w:szCs w:val="24"/>
          <w:lang w:eastAsia="zh-CN"/>
        </w:rPr>
        <w:t>+</w:t>
      </w:r>
      <w:r>
        <w:rPr>
          <w:rFonts w:hint="eastAsia" w:ascii="宋体" w:hAnsi="宋体" w:cs="宋体"/>
          <w:bCs/>
          <w:sz w:val="24"/>
          <w:szCs w:val="24"/>
        </w:rPr>
        <w:t>机械费”之和；</w:t>
      </w:r>
    </w:p>
    <w:p w14:paraId="3B078AA7">
      <w:pPr>
        <w:widowControl/>
        <w:tabs>
          <w:tab w:val="left" w:pos="720"/>
        </w:tabs>
        <w:spacing w:line="360" w:lineRule="auto"/>
        <w:ind w:firstLine="480" w:firstLineChars="200"/>
        <w:jc w:val="left"/>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highlight w:val="none"/>
          <w:lang w:val="en-US" w:eastAsia="zh-CN"/>
        </w:rPr>
        <w:t>安装</w:t>
      </w:r>
      <w:r>
        <w:rPr>
          <w:rFonts w:hint="eastAsia" w:ascii="宋体" w:hAnsi="宋体" w:cs="宋体"/>
          <w:bCs/>
          <w:sz w:val="24"/>
          <w:szCs w:val="24"/>
          <w:highlight w:val="none"/>
        </w:rPr>
        <w:t>工程最低取费费率为</w:t>
      </w:r>
      <w:r>
        <w:rPr>
          <w:rFonts w:hint="eastAsia" w:ascii="宋体" w:hAnsi="宋体" w:cs="宋体"/>
          <w:bCs/>
          <w:sz w:val="24"/>
          <w:szCs w:val="24"/>
          <w:highlight w:val="none"/>
          <w:lang w:val="en-US" w:eastAsia="zh-CN"/>
        </w:rPr>
        <w:t>3.26</w:t>
      </w:r>
      <w:r>
        <w:rPr>
          <w:rFonts w:hint="eastAsia" w:ascii="宋体" w:hAnsi="宋体" w:cs="宋体"/>
          <w:bCs/>
          <w:sz w:val="24"/>
          <w:szCs w:val="24"/>
          <w:highlight w:val="none"/>
        </w:rPr>
        <w:t>%；</w:t>
      </w:r>
    </w:p>
    <w:p w14:paraId="2016C531">
      <w:pPr>
        <w:spacing w:line="440" w:lineRule="exact"/>
        <w:ind w:firstLine="480" w:firstLineChars="200"/>
        <w:rPr>
          <w:rFonts w:hint="eastAsia" w:ascii="宋体" w:hAnsi="宋体" w:cs="宋体"/>
          <w:color w:val="FF0000"/>
          <w:kern w:val="0"/>
          <w:sz w:val="24"/>
          <w:szCs w:val="24"/>
        </w:rPr>
      </w:pPr>
      <w:r>
        <w:rPr>
          <w:rFonts w:ascii="宋体" w:hAnsi="宋体" w:cs="宋体"/>
          <w:kern w:val="0"/>
          <w:sz w:val="24"/>
          <w:szCs w:val="24"/>
        </w:rPr>
        <w:t>2．</w:t>
      </w:r>
      <w:r>
        <w:rPr>
          <w:rFonts w:hint="eastAsia" w:ascii="宋体" w:hAnsi="宋体" w:cs="宋体"/>
          <w:bCs/>
          <w:sz w:val="24"/>
          <w:szCs w:val="24"/>
        </w:rPr>
        <w:t>根据《关于调整安全文明施工基本费组成及费率的通知》（浙建建发[2022]37号），安全文明施工基本费报价不得低于《浙江省建设工程计价规则》（2018版）中规定的弹性费率</w:t>
      </w:r>
      <w:r>
        <w:rPr>
          <w:rFonts w:hint="eastAsia" w:ascii="宋体" w:hAnsi="宋体" w:cs="宋体"/>
          <w:bCs/>
          <w:sz w:val="24"/>
          <w:szCs w:val="24"/>
          <w:lang w:val="en-US" w:eastAsia="zh-CN"/>
        </w:rPr>
        <w:t>下限</w:t>
      </w:r>
      <w:r>
        <w:rPr>
          <w:rFonts w:hint="eastAsia" w:ascii="宋体" w:hAnsi="宋体" w:cs="宋体"/>
          <w:bCs/>
          <w:sz w:val="24"/>
          <w:szCs w:val="24"/>
        </w:rPr>
        <w:t>取费基数乘以1.15</w:t>
      </w:r>
      <w:r>
        <w:rPr>
          <w:rFonts w:hint="eastAsia" w:ascii="宋体" w:hAnsi="宋体" w:eastAsia="宋体" w:cs="宋体"/>
          <w:bCs/>
          <w:sz w:val="24"/>
          <w:szCs w:val="24"/>
        </w:rPr>
        <w:t>。按照本项目地理位置情况确定为</w:t>
      </w:r>
      <w:r>
        <w:rPr>
          <w:rFonts w:hint="eastAsia" w:ascii="宋体" w:hAnsi="宋体" w:eastAsia="宋体" w:cs="宋体"/>
          <w:bCs/>
          <w:sz w:val="24"/>
          <w:szCs w:val="24"/>
          <w:highlight w:val="none"/>
        </w:rPr>
        <w:t>市区</w:t>
      </w:r>
      <w:r>
        <w:rPr>
          <w:rFonts w:hint="eastAsia" w:ascii="宋体" w:hAnsi="宋体" w:eastAsia="宋体" w:cs="宋体"/>
          <w:bCs/>
          <w:sz w:val="24"/>
          <w:szCs w:val="24"/>
        </w:rPr>
        <w:t>工</w:t>
      </w:r>
      <w:r>
        <w:rPr>
          <w:rFonts w:hint="eastAsia" w:ascii="宋体" w:hAnsi="宋体" w:cs="宋体"/>
          <w:bCs/>
          <w:sz w:val="24"/>
          <w:szCs w:val="24"/>
        </w:rPr>
        <w:t>程。各专业工程取费基数均为“分部分项工程费和施工技术措施项目费”计价中的“人工费+机械费”之和；</w:t>
      </w:r>
    </w:p>
    <w:p w14:paraId="021EDA2F">
      <w:pPr>
        <w:numPr>
          <w:ilvl w:val="1"/>
          <w:numId w:val="0"/>
        </w:numPr>
        <w:spacing w:line="440" w:lineRule="exact"/>
        <w:ind w:left="0" w:firstLine="480" w:firstLineChars="200"/>
        <w:rPr>
          <w:rFonts w:hint="eastAsia" w:ascii="宋体" w:hAnsi="宋体" w:cs="宋体"/>
          <w:color w:val="FF0000"/>
          <w:kern w:val="0"/>
          <w:sz w:val="24"/>
          <w:szCs w:val="24"/>
        </w:rPr>
      </w:pPr>
      <w:r>
        <w:rPr>
          <w:rFonts w:hint="eastAsia" w:ascii="宋体" w:hAnsi="宋体" w:cs="宋体"/>
          <w:bCs/>
          <w:sz w:val="24"/>
          <w:szCs w:val="24"/>
        </w:rPr>
        <w:t>（1）</w:t>
      </w:r>
      <w:r>
        <w:rPr>
          <w:rFonts w:hint="eastAsia" w:ascii="宋体" w:hAnsi="宋体" w:cs="宋体"/>
          <w:bCs/>
          <w:sz w:val="24"/>
          <w:szCs w:val="24"/>
          <w:lang w:val="en-US" w:eastAsia="zh-CN"/>
        </w:rPr>
        <w:t>安装</w:t>
      </w:r>
      <w:r>
        <w:rPr>
          <w:rFonts w:hint="eastAsia" w:ascii="宋体" w:hAnsi="宋体" w:cs="宋体"/>
          <w:bCs/>
          <w:sz w:val="24"/>
          <w:szCs w:val="24"/>
        </w:rPr>
        <w:t>工程</w:t>
      </w:r>
      <w:r>
        <w:rPr>
          <w:rFonts w:hint="eastAsia" w:ascii="宋体" w:hAnsi="宋体" w:cs="宋体"/>
          <w:bCs/>
          <w:color w:val="000000"/>
          <w:sz w:val="24"/>
          <w:szCs w:val="24"/>
        </w:rPr>
        <w:t>费率不得低于</w:t>
      </w:r>
      <w:r>
        <w:rPr>
          <w:rFonts w:hint="eastAsia" w:ascii="宋体" w:hAnsi="宋体" w:cs="宋体"/>
          <w:bCs/>
          <w:color w:val="000000"/>
          <w:sz w:val="24"/>
          <w:szCs w:val="24"/>
          <w:lang w:val="en-US" w:eastAsia="zh-CN"/>
        </w:rPr>
        <w:t>7.35</w:t>
      </w:r>
      <w:r>
        <w:rPr>
          <w:rFonts w:hint="eastAsia" w:ascii="宋体" w:hAnsi="宋体" w:cs="宋体"/>
          <w:bCs/>
          <w:color w:val="000000"/>
          <w:sz w:val="24"/>
          <w:szCs w:val="24"/>
        </w:rPr>
        <w:t>%；</w:t>
      </w:r>
    </w:p>
    <w:p w14:paraId="58A2296F">
      <w:pPr>
        <w:spacing w:line="440" w:lineRule="exact"/>
        <w:ind w:firstLine="480" w:firstLineChars="200"/>
        <w:rPr>
          <w:rFonts w:hint="eastAsia" w:ascii="宋体" w:hAnsi="宋体" w:cs="宋体"/>
          <w:color w:val="000000"/>
          <w:kern w:val="0"/>
          <w:sz w:val="24"/>
          <w:szCs w:val="24"/>
        </w:rPr>
      </w:pPr>
      <w:r>
        <w:rPr>
          <w:rFonts w:ascii="宋体" w:hAnsi="宋体" w:cs="宋体"/>
          <w:kern w:val="0"/>
          <w:sz w:val="24"/>
          <w:szCs w:val="24"/>
        </w:rPr>
        <w:t>3．</w:t>
      </w:r>
      <w:r>
        <w:rPr>
          <w:rFonts w:hint="eastAsia" w:ascii="宋体" w:hAnsi="宋体" w:cs="宋体"/>
          <w:color w:val="000000"/>
          <w:kern w:val="0"/>
          <w:sz w:val="24"/>
          <w:szCs w:val="24"/>
        </w:rPr>
        <w:t>规费费率按照</w:t>
      </w:r>
      <w:r>
        <w:rPr>
          <w:rFonts w:hint="eastAsia" w:ascii="宋体" w:hAnsi="宋体" w:cs="宋体"/>
          <w:color w:val="000000"/>
          <w:sz w:val="24"/>
          <w:szCs w:val="24"/>
        </w:rPr>
        <w:t>《浙江省建设工程计价规则》（2018版）</w:t>
      </w:r>
      <w:r>
        <w:rPr>
          <w:rFonts w:hint="eastAsia" w:ascii="宋体" w:hAnsi="宋体" w:cs="宋体"/>
          <w:color w:val="000000"/>
          <w:kern w:val="0"/>
          <w:sz w:val="24"/>
          <w:szCs w:val="24"/>
        </w:rPr>
        <w:t>规定计取，取费基数为"人工费+机械费"。投标人根据国家法律法规及自身缴纳规费的实际情况自主确定其投标费率，但在规费政策平稳过渡期内不得低于标准费率的30%，</w:t>
      </w:r>
      <w:r>
        <w:rPr>
          <w:rFonts w:hint="eastAsia" w:ascii="宋体" w:hAnsi="宋体" w:cs="宋体"/>
          <w:bCs/>
          <w:color w:val="000000"/>
          <w:sz w:val="24"/>
          <w:szCs w:val="24"/>
          <w:lang w:val="en-US" w:eastAsia="zh-CN"/>
        </w:rPr>
        <w:t>安装</w:t>
      </w:r>
      <w:r>
        <w:rPr>
          <w:rFonts w:hint="eastAsia" w:ascii="宋体" w:hAnsi="宋体" w:cs="宋体"/>
          <w:bCs/>
          <w:color w:val="000000"/>
          <w:sz w:val="24"/>
          <w:szCs w:val="24"/>
        </w:rPr>
        <w:t>工程</w:t>
      </w:r>
      <w:r>
        <w:rPr>
          <w:rFonts w:hint="eastAsia" w:ascii="宋体" w:hAnsi="宋体" w:cs="宋体"/>
          <w:color w:val="000000"/>
          <w:kern w:val="0"/>
          <w:sz w:val="24"/>
          <w:szCs w:val="24"/>
        </w:rPr>
        <w:t>费率</w:t>
      </w:r>
      <w:r>
        <w:rPr>
          <w:rFonts w:hint="eastAsia" w:ascii="宋体" w:hAnsi="宋体" w:cs="宋体"/>
          <w:sz w:val="24"/>
          <w:szCs w:val="24"/>
        </w:rPr>
        <w:t>不得低于</w:t>
      </w:r>
      <w:r>
        <w:rPr>
          <w:rFonts w:hint="eastAsia" w:ascii="宋体" w:hAnsi="宋体" w:cs="宋体"/>
          <w:color w:val="000000"/>
          <w:kern w:val="0"/>
          <w:sz w:val="24"/>
          <w:szCs w:val="24"/>
          <w:lang w:val="en-US" w:eastAsia="zh-CN"/>
        </w:rPr>
        <w:t>9.19</w:t>
      </w:r>
      <w:r>
        <w:rPr>
          <w:rFonts w:hint="eastAsia" w:ascii="宋体" w:hAnsi="宋体" w:cs="宋体"/>
          <w:color w:val="000000"/>
          <w:kern w:val="0"/>
          <w:sz w:val="24"/>
          <w:szCs w:val="24"/>
        </w:rPr>
        <w:t>%</w:t>
      </w:r>
      <w:r>
        <w:rPr>
          <w:rFonts w:hint="eastAsia" w:ascii="宋体" w:hAnsi="宋体" w:cs="宋体"/>
          <w:bCs/>
          <w:color w:val="000000"/>
          <w:sz w:val="24"/>
          <w:szCs w:val="24"/>
        </w:rPr>
        <w:t>；</w:t>
      </w:r>
    </w:p>
    <w:p w14:paraId="59EB7B59">
      <w:pPr>
        <w:spacing w:line="440" w:lineRule="exact"/>
        <w:ind w:firstLine="480" w:firstLineChars="200"/>
        <w:rPr>
          <w:rFonts w:hint="eastAsia" w:ascii="宋体" w:hAnsi="宋体" w:cs="宋体"/>
          <w:color w:val="000000"/>
          <w:kern w:val="0"/>
          <w:sz w:val="24"/>
          <w:szCs w:val="24"/>
        </w:rPr>
      </w:pPr>
      <w:r>
        <w:rPr>
          <w:rFonts w:ascii="宋体" w:hAnsi="宋体" w:cs="宋体"/>
          <w:kern w:val="0"/>
          <w:sz w:val="24"/>
          <w:szCs w:val="24"/>
        </w:rPr>
        <w:t>4．</w:t>
      </w:r>
      <w:r>
        <w:rPr>
          <w:rFonts w:hint="eastAsia" w:ascii="宋体" w:hAnsi="宋体" w:cs="宋体"/>
          <w:color w:val="000000"/>
          <w:kern w:val="0"/>
          <w:sz w:val="24"/>
          <w:szCs w:val="24"/>
        </w:rPr>
        <w:t>该工程采用一般计税方法计算。税金按浙江省住房和城乡建设厅文件浙建建发 (2019)92号“关于增值税调整后我省建设工程计价依据增值税税率及有关计价调整的通知”计取，税率为9%；</w:t>
      </w:r>
    </w:p>
    <w:p w14:paraId="652F01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rPr>
      </w:pPr>
      <w:r>
        <w:rPr>
          <w:rFonts w:ascii="宋体" w:hAnsi="宋体" w:cs="宋体"/>
          <w:kern w:val="0"/>
          <w:sz w:val="24"/>
          <w:szCs w:val="24"/>
        </w:rPr>
        <w:t>5．</w:t>
      </w:r>
      <w:r>
        <w:rPr>
          <w:rFonts w:hint="eastAsia" w:ascii="宋体" w:hAnsi="宋体" w:cs="宋体"/>
          <w:bCs/>
          <w:sz w:val="24"/>
          <w:szCs w:val="24"/>
          <w:highlight w:val="none"/>
        </w:rPr>
        <w:t>安全生产责任保险费率按照杭建招标造价中心〔2021〕84号“关于明确杭州市建筑施工领域安全生产责任保险费用计取的通知”</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投标人在投标报价时，应结合工程实际和企业信用状况将安责险列入企业管理费中进行自主报价；</w:t>
      </w:r>
    </w:p>
    <w:p w14:paraId="4284EAB2">
      <w:pPr>
        <w:spacing w:line="440" w:lineRule="exact"/>
        <w:ind w:firstLine="480" w:firstLineChars="200"/>
        <w:rPr>
          <w:rFonts w:hint="eastAsia" w:ascii="宋体" w:hAnsi="宋体" w:eastAsia="宋体" w:cs="宋体"/>
          <w:color w:val="FF0000"/>
          <w:kern w:val="0"/>
          <w:sz w:val="24"/>
          <w:szCs w:val="24"/>
          <w:lang w:eastAsia="zh-CN"/>
        </w:rPr>
      </w:pP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．本工程报价不考虑标化工地增加费及优质工程增加费</w:t>
      </w:r>
      <w:r>
        <w:rPr>
          <w:rFonts w:hint="eastAsia" w:ascii="宋体" w:hAnsi="宋体" w:cs="宋体"/>
          <w:color w:val="000000"/>
          <w:kern w:val="0"/>
          <w:sz w:val="24"/>
          <w:szCs w:val="24"/>
          <w:lang w:eastAsia="zh-CN"/>
        </w:rPr>
        <w:t>。</w:t>
      </w:r>
    </w:p>
    <w:p w14:paraId="1893B429">
      <w:pPr>
        <w:spacing w:line="360" w:lineRule="auto"/>
        <w:ind w:firstLine="241" w:firstLineChars="100"/>
        <w:rPr>
          <w:rFonts w:hint="eastAsia" w:ascii="宋体" w:hAnsi="宋体" w:cs="宋体"/>
          <w:b/>
          <w:bCs/>
          <w:kern w:val="0"/>
          <w:sz w:val="24"/>
          <w:szCs w:val="24"/>
        </w:rPr>
      </w:pPr>
      <w:r>
        <w:rPr>
          <w:rFonts w:hint="eastAsia" w:ascii="宋体" w:hAnsi="宋体" w:cs="宋体"/>
          <w:b/>
          <w:bCs/>
          <w:kern w:val="0"/>
          <w:sz w:val="24"/>
          <w:szCs w:val="24"/>
        </w:rPr>
        <w:t>（二）各单体及专业工程计量说明</w:t>
      </w:r>
    </w:p>
    <w:p w14:paraId="4CBE1E5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喷淋室内管道按</w:t>
      </w:r>
      <w:r>
        <w:t>内外壁热浸镀锌钢管</w:t>
      </w:r>
      <w:r>
        <w:rPr>
          <w:rFonts w:hint="eastAsia" w:ascii="宋体" w:hAnsi="宋体" w:cs="宋体"/>
          <w:color w:val="000000"/>
          <w:kern w:val="0"/>
          <w:sz w:val="24"/>
          <w:szCs w:val="24"/>
        </w:rPr>
        <w:t>计入；</w:t>
      </w:r>
    </w:p>
    <w:p w14:paraId="6C0D06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2.喷淋室外管道按钢丝网骨架复合管计入；</w:t>
      </w:r>
    </w:p>
    <w:p w14:paraId="5384E371">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b/>
          <w:bCs/>
          <w:color w:val="000000"/>
          <w:kern w:val="0"/>
          <w:sz w:val="24"/>
          <w:szCs w:val="24"/>
        </w:rPr>
      </w:pPr>
      <w:r>
        <w:rPr>
          <w:rFonts w:hint="eastAsia" w:ascii="宋体" w:hAnsi="宋体" w:cs="宋体"/>
          <w:b/>
          <w:bCs/>
          <w:kern w:val="0"/>
          <w:sz w:val="24"/>
          <w:szCs w:val="24"/>
        </w:rPr>
        <w:t>（三）报价说明</w:t>
      </w:r>
    </w:p>
    <w:p w14:paraId="476C7440">
      <w:pPr>
        <w:numPr>
          <w:ilvl w:val="0"/>
          <w:numId w:val="4"/>
        </w:numPr>
        <w:spacing w:line="360" w:lineRule="auto"/>
        <w:ind w:firstLine="480" w:firstLineChars="200"/>
        <w:rPr>
          <w:rFonts w:hint="eastAsia" w:ascii="宋体" w:hAnsi="宋体" w:cs="宋体"/>
          <w:sz w:val="24"/>
          <w:szCs w:val="24"/>
        </w:rPr>
      </w:pPr>
      <w:r>
        <w:rPr>
          <w:rFonts w:hint="eastAsia" w:ascii="宋体" w:hAnsi="宋体" w:cs="宋体"/>
          <w:sz w:val="24"/>
          <w:szCs w:val="24"/>
        </w:rPr>
        <w:t>投标报价（综合单价）依据招标文件以及招标人提供的工程项目清单、设计及施工规范标准等，并结合工程特点、现场勘察情况、市场因素及企业自身情况进行编制，投标人不得修改项目清单的数量和内容；</w:t>
      </w:r>
    </w:p>
    <w:p w14:paraId="5FEDE148">
      <w:pPr>
        <w:numPr>
          <w:ilvl w:val="0"/>
          <w:numId w:val="4"/>
        </w:numPr>
        <w:spacing w:line="360" w:lineRule="auto"/>
        <w:ind w:firstLine="480" w:firstLineChars="200"/>
        <w:rPr>
          <w:rFonts w:hint="eastAsia" w:ascii="宋体" w:hAnsi="宋体" w:cs="宋体"/>
          <w:sz w:val="24"/>
          <w:szCs w:val="24"/>
        </w:rPr>
      </w:pPr>
      <w:r>
        <w:rPr>
          <w:rFonts w:hint="eastAsia" w:ascii="宋体" w:hAnsi="宋体" w:cs="宋体"/>
          <w:sz w:val="24"/>
          <w:szCs w:val="24"/>
        </w:rPr>
        <w:t>招标文件中招标范围及《发包人要求》中的所有内容均需在本次报价中自行考虑，招标清单（工程量及做法）仅作为报价参考，投标人认为需要增加的费用项目可自行添加，并列明该项目的名称及金额，未列明的，考虑已自行计算在报价中，结算不再另行计算费用；</w:t>
      </w:r>
    </w:p>
    <w:p w14:paraId="5B722785">
      <w:pPr>
        <w:numPr>
          <w:ilvl w:val="0"/>
          <w:numId w:val="4"/>
        </w:numPr>
        <w:spacing w:line="360" w:lineRule="auto"/>
        <w:ind w:firstLine="480" w:firstLineChars="200"/>
        <w:rPr>
          <w:rFonts w:hint="eastAsia" w:ascii="宋体" w:hAnsi="宋体" w:cs="宋体"/>
          <w:sz w:val="24"/>
          <w:szCs w:val="24"/>
        </w:rPr>
      </w:pPr>
      <w:r>
        <w:rPr>
          <w:rFonts w:hint="eastAsia" w:ascii="宋体" w:hAnsi="宋体" w:cs="宋体"/>
          <w:sz w:val="24"/>
          <w:szCs w:val="24"/>
        </w:rPr>
        <w:t>清单措施费用由投标单位根据自行踏勘现场及自行编制的施工组织设计报价，投标人要对本工程可能发生的措施项目和措施费用做综合考虑，一旦报价即被认为包括了所有应该发生的措施项目的全部费用，结算时不再调整；</w:t>
      </w:r>
    </w:p>
    <w:p w14:paraId="6839DA73">
      <w:pPr>
        <w:numPr>
          <w:ilvl w:val="0"/>
          <w:numId w:val="4"/>
        </w:numPr>
        <w:spacing w:line="360" w:lineRule="auto"/>
        <w:ind w:firstLine="480" w:firstLineChars="200"/>
        <w:rPr>
          <w:rFonts w:hint="eastAsia" w:ascii="宋体" w:hAnsi="宋体" w:cs="宋体"/>
          <w:sz w:val="24"/>
          <w:szCs w:val="24"/>
        </w:rPr>
      </w:pPr>
      <w:r>
        <w:rPr>
          <w:rFonts w:hint="eastAsia" w:ascii="宋体" w:hAnsi="宋体" w:cs="宋体"/>
          <w:sz w:val="24"/>
          <w:szCs w:val="24"/>
        </w:rPr>
        <w:t>工程检测、材料试验费含常规、非常规实验等费用，要通过质检站验收所必须检测的全部检验费用，由投标单位总价包干，招标人不承担任何费用；</w:t>
      </w:r>
    </w:p>
    <w:p w14:paraId="7AE4EBEB">
      <w:pPr>
        <w:numPr>
          <w:ilvl w:val="0"/>
          <w:numId w:val="4"/>
        </w:numPr>
        <w:spacing w:line="360" w:lineRule="auto"/>
        <w:ind w:firstLine="480" w:firstLineChars="200"/>
        <w:rPr>
          <w:rFonts w:hint="eastAsia" w:ascii="宋体" w:hAnsi="宋体" w:cs="宋体"/>
          <w:sz w:val="24"/>
          <w:szCs w:val="24"/>
        </w:rPr>
      </w:pPr>
      <w:r>
        <w:rPr>
          <w:rFonts w:hint="eastAsia" w:ascii="宋体" w:hAnsi="宋体" w:cs="宋体"/>
          <w:sz w:val="24"/>
          <w:szCs w:val="24"/>
        </w:rPr>
        <w:t>工程量清单中所列项目的工程量以非实体工程编制，并已按照常规施工方案计取各种损耗和需要增加的工程量，招标人不为非实体项目增加费用；</w:t>
      </w:r>
    </w:p>
    <w:p w14:paraId="4C399B13">
      <w:pPr>
        <w:numPr>
          <w:ilvl w:val="0"/>
          <w:numId w:val="4"/>
        </w:numPr>
        <w:spacing w:line="360" w:lineRule="auto"/>
        <w:ind w:firstLine="480" w:firstLineChars="200"/>
        <w:rPr>
          <w:rFonts w:hint="eastAsia" w:ascii="宋体" w:hAnsi="宋体" w:cs="宋体"/>
          <w:sz w:val="24"/>
          <w:szCs w:val="24"/>
        </w:rPr>
      </w:pPr>
      <w:r>
        <w:rPr>
          <w:rFonts w:hint="eastAsia" w:ascii="宋体" w:hAnsi="宋体" w:cs="宋体"/>
          <w:sz w:val="24"/>
          <w:szCs w:val="24"/>
        </w:rPr>
        <w:t>本工程内，所有按“项”报价的子目，投标人均应结合招标文件、技术规范、设计施工图纸和现场勘察情况，谨慎仔细，一切损耗及发生的所有费用均已包括在综合单价中，中标后无论是否发生变更均不予调整；</w:t>
      </w:r>
    </w:p>
    <w:p w14:paraId="126E9E9A">
      <w:pPr>
        <w:numPr>
          <w:ilvl w:val="0"/>
          <w:numId w:val="4"/>
        </w:numPr>
        <w:spacing w:line="360" w:lineRule="auto"/>
        <w:ind w:firstLine="480" w:firstLineChars="200"/>
        <w:rPr>
          <w:rFonts w:hint="eastAsia" w:ascii="宋体" w:hAnsi="宋体" w:cs="宋体"/>
          <w:sz w:val="24"/>
          <w:szCs w:val="24"/>
        </w:rPr>
      </w:pPr>
      <w:r>
        <w:rPr>
          <w:rFonts w:hint="eastAsia" w:ascii="宋体" w:hAnsi="宋体" w:cs="宋体"/>
          <w:sz w:val="24"/>
          <w:szCs w:val="24"/>
        </w:rPr>
        <w:t>大型会议、活动、考试等涉及的停工、临时交通管制所产生的费用，费用投标单位自行计算并计入报价中，中标后不做调整；</w:t>
      </w:r>
    </w:p>
    <w:p w14:paraId="49531C69">
      <w:pPr>
        <w:numPr>
          <w:ilvl w:val="0"/>
          <w:numId w:val="4"/>
        </w:numPr>
        <w:spacing w:line="360" w:lineRule="auto"/>
        <w:ind w:firstLine="480" w:firstLineChars="200"/>
        <w:rPr>
          <w:rFonts w:hint="eastAsia" w:ascii="宋体" w:hAnsi="宋体" w:cs="宋体"/>
          <w:sz w:val="24"/>
          <w:szCs w:val="24"/>
        </w:rPr>
      </w:pPr>
      <w:r>
        <w:rPr>
          <w:rFonts w:hint="eastAsia" w:ascii="宋体" w:hAnsi="宋体" w:cs="宋体"/>
          <w:sz w:val="24"/>
          <w:szCs w:val="24"/>
        </w:rPr>
        <w:t>由政府部门要求配套并实施的工程，如燃气、数字电视、电信、电力、给水工程等，总承包人须免收总包服务费，并免费提供用水用电及临时用房、封堵、修补（含材料、人工等），相关费用已在合同总价中综合考虑；</w:t>
      </w:r>
    </w:p>
    <w:p w14:paraId="35543BFE">
      <w:pPr>
        <w:numPr>
          <w:ilvl w:val="0"/>
          <w:numId w:val="4"/>
        </w:numPr>
        <w:spacing w:line="360" w:lineRule="auto"/>
        <w:ind w:firstLine="480" w:firstLineChars="200"/>
        <w:rPr>
          <w:rFonts w:hint="eastAsia" w:ascii="宋体" w:hAnsi="宋体" w:cs="宋体"/>
          <w:sz w:val="24"/>
          <w:szCs w:val="24"/>
        </w:rPr>
      </w:pPr>
      <w:r>
        <w:rPr>
          <w:rFonts w:hint="eastAsia" w:ascii="宋体" w:hAnsi="宋体" w:cs="宋体"/>
          <w:sz w:val="24"/>
          <w:szCs w:val="24"/>
        </w:rPr>
        <w:t>未尽事宜，请参考招标文件合同专用条款。</w:t>
      </w:r>
    </w:p>
    <w:p w14:paraId="3A59533D">
      <w:pPr>
        <w:spacing w:line="440" w:lineRule="exact"/>
        <w:rPr>
          <w:rFonts w:hint="eastAsia" w:ascii="宋体" w:hAnsi="宋体" w:cs="宋体"/>
          <w:b/>
          <w:bCs/>
          <w:color w:val="000000"/>
          <w:kern w:val="0"/>
          <w:sz w:val="24"/>
          <w:szCs w:val="24"/>
        </w:rPr>
      </w:pPr>
      <w:r>
        <w:rPr>
          <w:rFonts w:hint="eastAsia" w:ascii="宋体" w:hAnsi="宋体" w:cs="宋体"/>
          <w:b/>
          <w:bCs/>
          <w:color w:val="000000"/>
          <w:kern w:val="0"/>
          <w:sz w:val="24"/>
          <w:szCs w:val="24"/>
        </w:rPr>
        <w:t>（四）材料说明</w:t>
      </w:r>
    </w:p>
    <w:p w14:paraId="0D8C04CD">
      <w:pPr>
        <w:pStyle w:val="21"/>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本招标文件涉及的主要设备材料及零星材料，各投标人须根据</w:t>
      </w:r>
      <w:r>
        <w:rPr>
          <w:rFonts w:hint="eastAsia" w:ascii="宋体" w:hAnsi="宋体" w:cs="宋体"/>
          <w:color w:val="000000"/>
          <w:sz w:val="24"/>
          <w:szCs w:val="24"/>
          <w:lang w:val="en-US" w:eastAsia="zh-CN"/>
        </w:rPr>
        <w:t>招标文件</w:t>
      </w:r>
      <w:r>
        <w:rPr>
          <w:rFonts w:hint="eastAsia" w:ascii="宋体" w:hAnsi="宋体" w:cs="宋体"/>
          <w:color w:val="000000"/>
          <w:sz w:val="24"/>
          <w:szCs w:val="24"/>
        </w:rPr>
        <w:t>的要求按中档以上的标准进行选材并报价，所有设备材料要求采用在行业内有较好信誉的品牌，生产厂家必须通过ISO质量认证，严禁选择不合设计要求的低档设备材料进行投标报价及组织施工实施。</w:t>
      </w:r>
    </w:p>
    <w:p w14:paraId="5DF4C792">
      <w:pPr>
        <w:pStyle w:val="21"/>
        <w:numPr>
          <w:ilvl w:val="0"/>
          <w:numId w:val="5"/>
        </w:num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投标人应选择</w:t>
      </w:r>
      <w:r>
        <w:rPr>
          <w:rFonts w:hint="eastAsia" w:ascii="宋体" w:hAnsi="宋体" w:cs="宋体"/>
          <w:sz w:val="24"/>
          <w:szCs w:val="24"/>
        </w:rPr>
        <w:t>《</w:t>
      </w:r>
      <w:r>
        <w:rPr>
          <w:rFonts w:hint="eastAsia" w:ascii="宋体" w:hAnsi="宋体" w:cs="宋体"/>
          <w:bCs/>
          <w:kern w:val="2"/>
          <w:sz w:val="24"/>
          <w:szCs w:val="24"/>
        </w:rPr>
        <w:t>主要材料（设备）品牌</w:t>
      </w:r>
      <w:r>
        <w:rPr>
          <w:rFonts w:hint="eastAsia" w:ascii="宋体" w:hAnsi="宋体" w:cs="宋体"/>
          <w:bCs/>
          <w:sz w:val="24"/>
          <w:szCs w:val="24"/>
        </w:rPr>
        <w:t>表》提供的品牌中的之一或相当于的品牌进入报价，并在《</w:t>
      </w:r>
      <w:r>
        <w:rPr>
          <w:rFonts w:hint="eastAsia" w:ascii="宋体" w:hAnsi="宋体" w:cs="宋体"/>
          <w:bCs/>
          <w:kern w:val="2"/>
          <w:sz w:val="24"/>
          <w:szCs w:val="24"/>
        </w:rPr>
        <w:t>主要材料（设备）品牌</w:t>
      </w:r>
      <w:r>
        <w:rPr>
          <w:rFonts w:hint="eastAsia" w:ascii="宋体" w:hAnsi="宋体" w:cs="宋体"/>
          <w:bCs/>
          <w:sz w:val="24"/>
          <w:szCs w:val="24"/>
        </w:rPr>
        <w:t>表</w:t>
      </w:r>
      <w:r>
        <w:rPr>
          <w:rFonts w:hint="eastAsia" w:ascii="宋体" w:hAnsi="宋体" w:cs="宋体"/>
          <w:sz w:val="24"/>
          <w:szCs w:val="24"/>
        </w:rPr>
        <w:t>》中注明所选品牌</w:t>
      </w:r>
      <w:r>
        <w:rPr>
          <w:rFonts w:hint="eastAsia" w:ascii="宋体" w:hAnsi="宋体" w:cs="宋体"/>
          <w:color w:val="000000"/>
          <w:sz w:val="24"/>
          <w:szCs w:val="24"/>
        </w:rPr>
        <w:t>。</w:t>
      </w:r>
    </w:p>
    <w:p w14:paraId="72190B5C">
      <w:pPr>
        <w:pStyle w:val="21"/>
        <w:numPr>
          <w:ilvl w:val="0"/>
          <w:numId w:val="5"/>
        </w:num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同品牌中有多个系列的应选择中档系列以上。</w:t>
      </w:r>
    </w:p>
    <w:p w14:paraId="0BA8E4AC">
      <w:pPr>
        <w:pStyle w:val="21"/>
        <w:numPr>
          <w:ilvl w:val="0"/>
          <w:numId w:val="5"/>
        </w:num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投标人在投标文件中若提供了招标人推荐品牌外的产品，应同时提供相当于招标人推荐品牌产品的证明材料。评标时，评标委员会应根据投标人的证明材料及专业水平进行谨慎评标。对推荐品牌外产品能否满足招标人要求作出明确说明。</w:t>
      </w:r>
    </w:p>
    <w:p w14:paraId="1DDC8CFC">
      <w:pPr>
        <w:pStyle w:val="21"/>
        <w:numPr>
          <w:ilvl w:val="0"/>
          <w:numId w:val="5"/>
        </w:num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如果施工单位因各种原因采购不到投标时所确定品牌的产品，允许在本说明附件的该材料的其它品牌中选购，但须得到招标人认可，且招标人不承担任何增加费用，若实际市场价格低于投标品牌，按实扣回。</w:t>
      </w:r>
    </w:p>
    <w:p w14:paraId="5AFF5A48">
      <w:pPr>
        <w:pStyle w:val="21"/>
        <w:numPr>
          <w:ilvl w:val="0"/>
          <w:numId w:val="5"/>
        </w:num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若投标人未在推荐的范围内选择其一，也未选择与其相当的其他生产厂家或品牌的，中标后，招标人有权在推荐的生产厂家或品牌中任选其一，投标人不得提出异议并不得修改投标价格。</w:t>
      </w:r>
    </w:p>
    <w:p w14:paraId="3E639FE2">
      <w:pPr>
        <w:pStyle w:val="21"/>
        <w:numPr>
          <w:ilvl w:val="0"/>
          <w:numId w:val="5"/>
        </w:numPr>
        <w:spacing w:line="384" w:lineRule="auto"/>
        <w:ind w:firstLine="480" w:firstLineChars="200"/>
        <w:rPr>
          <w:rFonts w:hint="eastAsia" w:ascii="宋体" w:hAnsi="宋体" w:cs="宋体"/>
          <w:b/>
          <w:bCs/>
          <w:color w:val="000000"/>
          <w:sz w:val="24"/>
          <w:szCs w:val="24"/>
        </w:rPr>
      </w:pPr>
      <w:r>
        <w:rPr>
          <w:rFonts w:hint="eastAsia" w:ascii="宋体" w:hAnsi="宋体" w:cs="宋体"/>
          <w:color w:val="000000"/>
          <w:sz w:val="24"/>
          <w:szCs w:val="24"/>
        </w:rPr>
        <w:t>凡招标文件中未写明材料品牌的，均按该材料品牌（价格）中等以上投标报价。</w:t>
      </w:r>
    </w:p>
    <w:p w14:paraId="6DBAA305">
      <w:pPr>
        <w:pStyle w:val="21"/>
        <w:spacing w:line="384" w:lineRule="auto"/>
        <w:jc w:val="center"/>
        <w:rPr>
          <w:rFonts w:hint="eastAsia" w:ascii="宋体" w:hAnsi="宋体" w:cs="宋体"/>
          <w:b/>
          <w:bCs/>
          <w:color w:val="FF0000"/>
          <w:sz w:val="24"/>
          <w:szCs w:val="24"/>
        </w:rPr>
      </w:pPr>
      <w:r>
        <w:rPr>
          <w:rFonts w:hint="eastAsia" w:ascii="宋体" w:hAnsi="宋体" w:cs="宋体"/>
          <w:b/>
          <w:bCs/>
          <w:color w:val="000000"/>
          <w:sz w:val="24"/>
          <w:szCs w:val="24"/>
        </w:rPr>
        <w:t>主要材料（设备）品牌表</w:t>
      </w:r>
    </w:p>
    <w:tbl>
      <w:tblPr>
        <w:tblStyle w:val="12"/>
        <w:tblW w:w="8467" w:type="dxa"/>
        <w:jc w:val="center"/>
        <w:tblLayout w:type="fixed"/>
        <w:tblCellMar>
          <w:top w:w="0" w:type="dxa"/>
          <w:left w:w="108" w:type="dxa"/>
          <w:bottom w:w="0" w:type="dxa"/>
          <w:right w:w="108" w:type="dxa"/>
        </w:tblCellMar>
      </w:tblPr>
      <w:tblGrid>
        <w:gridCol w:w="740"/>
        <w:gridCol w:w="2318"/>
        <w:gridCol w:w="3100"/>
        <w:gridCol w:w="1037"/>
        <w:gridCol w:w="1272"/>
      </w:tblGrid>
      <w:tr w14:paraId="5973E46F">
        <w:tblPrEx>
          <w:tblCellMar>
            <w:top w:w="0" w:type="dxa"/>
            <w:left w:w="108" w:type="dxa"/>
            <w:bottom w:w="0" w:type="dxa"/>
            <w:right w:w="108" w:type="dxa"/>
          </w:tblCellMar>
        </w:tblPrEx>
        <w:trPr>
          <w:trHeight w:val="2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E6B57F0">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序号</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2F602CB0">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材料</w:t>
            </w:r>
          </w:p>
        </w:tc>
        <w:tc>
          <w:tcPr>
            <w:tcW w:w="3100" w:type="dxa"/>
            <w:tcBorders>
              <w:top w:val="single" w:color="auto" w:sz="4" w:space="0"/>
              <w:left w:val="single" w:color="auto" w:sz="4" w:space="0"/>
              <w:bottom w:val="single" w:color="auto" w:sz="4" w:space="0"/>
              <w:right w:val="single" w:color="auto" w:sz="4" w:space="0"/>
            </w:tcBorders>
            <w:noWrap w:val="0"/>
            <w:vAlign w:val="center"/>
          </w:tcPr>
          <w:p w14:paraId="54F5191D">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参照品牌</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218E982">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等级</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0DC57248">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备注</w:t>
            </w:r>
          </w:p>
        </w:tc>
      </w:tr>
      <w:tr w14:paraId="7085EEBF">
        <w:tblPrEx>
          <w:tblCellMar>
            <w:top w:w="0" w:type="dxa"/>
            <w:left w:w="108" w:type="dxa"/>
            <w:bottom w:w="0" w:type="dxa"/>
            <w:right w:w="108" w:type="dxa"/>
          </w:tblCellMar>
        </w:tblPrEx>
        <w:trPr>
          <w:trHeight w:val="2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82B908B">
            <w:pPr>
              <w:widowControl/>
              <w:spacing w:line="384" w:lineRule="auto"/>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01214433">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镀锌钢管</w:t>
            </w:r>
          </w:p>
        </w:tc>
        <w:tc>
          <w:tcPr>
            <w:tcW w:w="3100" w:type="dxa"/>
            <w:tcBorders>
              <w:top w:val="single" w:color="auto" w:sz="4" w:space="0"/>
              <w:left w:val="single" w:color="auto" w:sz="4" w:space="0"/>
              <w:bottom w:val="single" w:color="auto" w:sz="4" w:space="0"/>
              <w:right w:val="single" w:color="auto" w:sz="4" w:space="0"/>
            </w:tcBorders>
            <w:noWrap w:val="0"/>
            <w:vAlign w:val="center"/>
          </w:tcPr>
          <w:p w14:paraId="0C04B6C7">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湖州金州、天津利达、衡水华岐、杭州欣达</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DE9A33A">
            <w:pPr>
              <w:widowControl/>
              <w:spacing w:line="384" w:lineRule="auto"/>
              <w:jc w:val="center"/>
              <w:rPr>
                <w:rFonts w:hint="eastAsia" w:ascii="宋体" w:hAnsi="宋体" w:cs="宋体"/>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6A284590">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或相当于</w:t>
            </w:r>
          </w:p>
        </w:tc>
      </w:tr>
      <w:tr w14:paraId="19A480DE">
        <w:tblPrEx>
          <w:tblCellMar>
            <w:top w:w="0" w:type="dxa"/>
            <w:left w:w="108" w:type="dxa"/>
            <w:bottom w:w="0" w:type="dxa"/>
            <w:right w:w="108" w:type="dxa"/>
          </w:tblCellMar>
        </w:tblPrEx>
        <w:trPr>
          <w:trHeight w:val="2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18218F2">
            <w:pPr>
              <w:widowControl/>
              <w:spacing w:line="384" w:lineRule="auto"/>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2B106498">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PVC-U塑料管</w:t>
            </w:r>
          </w:p>
        </w:tc>
        <w:tc>
          <w:tcPr>
            <w:tcW w:w="3100" w:type="dxa"/>
            <w:tcBorders>
              <w:top w:val="single" w:color="auto" w:sz="4" w:space="0"/>
              <w:left w:val="single" w:color="auto" w:sz="4" w:space="0"/>
              <w:bottom w:val="single" w:color="auto" w:sz="4" w:space="0"/>
              <w:right w:val="single" w:color="auto" w:sz="4" w:space="0"/>
            </w:tcBorders>
            <w:noWrap w:val="0"/>
            <w:vAlign w:val="center"/>
          </w:tcPr>
          <w:p w14:paraId="2A638FD5">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中财、伟星、公元、亿通</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8BB9B5A">
            <w:pPr>
              <w:widowControl/>
              <w:spacing w:line="384" w:lineRule="auto"/>
              <w:jc w:val="center"/>
              <w:rPr>
                <w:rFonts w:hint="eastAsia" w:ascii="宋体" w:hAnsi="宋体" w:cs="宋体"/>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751267A3">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或相当于</w:t>
            </w:r>
          </w:p>
        </w:tc>
      </w:tr>
      <w:tr w14:paraId="718CC0B1">
        <w:tblPrEx>
          <w:tblCellMar>
            <w:top w:w="0" w:type="dxa"/>
            <w:left w:w="108" w:type="dxa"/>
            <w:bottom w:w="0" w:type="dxa"/>
            <w:right w:w="108" w:type="dxa"/>
          </w:tblCellMar>
        </w:tblPrEx>
        <w:trPr>
          <w:trHeight w:val="2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9FEB9B8">
            <w:pPr>
              <w:widowControl/>
              <w:spacing w:line="384" w:lineRule="auto"/>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3E99F1F9">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沟槽管件、铸铁管件</w:t>
            </w:r>
          </w:p>
        </w:tc>
        <w:tc>
          <w:tcPr>
            <w:tcW w:w="3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D161C7">
            <w:pPr>
              <w:widowControl/>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上海威逊、上海瑞孚、大连唯特利、唐山建支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AADB92">
            <w:pPr>
              <w:widowControl/>
              <w:spacing w:line="384" w:lineRule="auto"/>
              <w:jc w:val="center"/>
              <w:rPr>
                <w:rFonts w:hint="eastAsia" w:ascii="宋体" w:hAnsi="宋体" w:eastAsia="宋体" w:cs="宋体"/>
                <w:color w:val="000000"/>
                <w:kern w:val="0"/>
                <w:sz w:val="24"/>
                <w:szCs w:val="24"/>
                <w:lang w:val="en-US" w:eastAsia="zh-CN" w:bidi="ar-SA"/>
              </w:rPr>
            </w:pPr>
          </w:p>
        </w:tc>
        <w:tc>
          <w:tcPr>
            <w:tcW w:w="12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127743">
            <w:pPr>
              <w:widowControl/>
              <w:spacing w:line="384" w:lineRule="auto"/>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或相当于</w:t>
            </w:r>
          </w:p>
        </w:tc>
      </w:tr>
      <w:tr w14:paraId="4AF69462">
        <w:tblPrEx>
          <w:tblCellMar>
            <w:top w:w="0" w:type="dxa"/>
            <w:left w:w="108" w:type="dxa"/>
            <w:bottom w:w="0" w:type="dxa"/>
            <w:right w:w="108" w:type="dxa"/>
          </w:tblCellMar>
        </w:tblPrEx>
        <w:trPr>
          <w:trHeight w:val="2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9855C7F">
            <w:pPr>
              <w:widowControl/>
              <w:spacing w:line="384" w:lineRule="auto"/>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3A816E68">
            <w:pPr>
              <w:widowControl/>
              <w:jc w:val="center"/>
              <w:rPr>
                <w:rFonts w:hint="eastAsia" w:ascii="宋体" w:hAnsi="宋体" w:eastAsia="宋体" w:cs="宋体"/>
                <w:sz w:val="24"/>
                <w:szCs w:val="24"/>
                <w:lang w:eastAsia="zh-CN"/>
              </w:rPr>
            </w:pPr>
            <w:r>
              <w:rPr>
                <w:rFonts w:hint="eastAsia" w:ascii="宋体" w:hAnsi="宋体" w:cs="宋体"/>
                <w:sz w:val="24"/>
                <w:szCs w:val="24"/>
                <w:lang w:val="en-US" w:eastAsia="zh-CN"/>
              </w:rPr>
              <w:t>阀门</w:t>
            </w:r>
          </w:p>
        </w:tc>
        <w:tc>
          <w:tcPr>
            <w:tcW w:w="3100" w:type="dxa"/>
            <w:tcBorders>
              <w:top w:val="single" w:color="auto" w:sz="4" w:space="0"/>
              <w:left w:val="single" w:color="auto" w:sz="4" w:space="0"/>
              <w:bottom w:val="single" w:color="auto" w:sz="4" w:space="0"/>
              <w:right w:val="single" w:color="auto" w:sz="4" w:space="0"/>
            </w:tcBorders>
            <w:noWrap w:val="0"/>
            <w:vAlign w:val="center"/>
          </w:tcPr>
          <w:p w14:paraId="45B206D6">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杭州春江、浙江桐江、宁波埃美柯、河北远大</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E540FC8">
            <w:pPr>
              <w:widowControl/>
              <w:spacing w:line="384" w:lineRule="auto"/>
              <w:jc w:val="center"/>
              <w:rPr>
                <w:rFonts w:hint="eastAsia" w:ascii="宋体" w:hAnsi="宋体" w:cs="宋体"/>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2B9CB3B1">
            <w:pPr>
              <w:widowControl/>
              <w:spacing w:line="384"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或相当于</w:t>
            </w:r>
          </w:p>
        </w:tc>
      </w:tr>
    </w:tbl>
    <w:p w14:paraId="29443A01">
      <w:pPr>
        <w:spacing w:line="360" w:lineRule="auto"/>
        <w:rPr>
          <w:rFonts w:hint="eastAsia" w:ascii="宋体" w:hAnsi="宋体" w:cs="宋体"/>
          <w:sz w:val="24"/>
          <w:szCs w:val="24"/>
        </w:rPr>
      </w:pPr>
      <w:bookmarkStart w:id="1" w:name="_GoBack"/>
      <w:bookmarkEnd w:id="1"/>
      <w:r>
        <w:rPr>
          <w:rFonts w:hint="eastAsia" w:ascii="宋体" w:hAnsi="宋体" w:cs="宋体"/>
          <w:sz w:val="24"/>
          <w:szCs w:val="24"/>
        </w:rPr>
        <w:t>注：其他未推荐的材料品牌投标人应参照设计说明中的材料选配表选择其一或相</w:t>
      </w:r>
    </w:p>
    <w:p w14:paraId="71E1DAFD">
      <w:pPr>
        <w:spacing w:line="360" w:lineRule="auto"/>
        <w:rPr>
          <w:rFonts w:hint="eastAsia" w:ascii="宋体" w:hAnsi="宋体" w:cs="宋体"/>
          <w:sz w:val="24"/>
          <w:szCs w:val="24"/>
        </w:rPr>
      </w:pPr>
      <w:r>
        <w:rPr>
          <w:rFonts w:hint="eastAsia" w:ascii="宋体" w:hAnsi="宋体" w:cs="宋体"/>
          <w:sz w:val="24"/>
          <w:szCs w:val="24"/>
        </w:rPr>
        <w:t>当于其品质的材料进行报价。若投标人未填写所报材料品牌，在施工时招标人有</w:t>
      </w:r>
    </w:p>
    <w:p w14:paraId="359EA4E8">
      <w:pPr>
        <w:pStyle w:val="21"/>
        <w:spacing w:line="384" w:lineRule="auto"/>
        <w:rPr>
          <w:rFonts w:hint="eastAsia"/>
          <w:lang w:val="en-US" w:eastAsia="zh-CN"/>
        </w:rPr>
      </w:pPr>
      <w:r>
        <w:rPr>
          <w:rFonts w:hint="eastAsia" w:ascii="宋体" w:hAnsi="宋体" w:cs="宋体"/>
          <w:sz w:val="24"/>
          <w:szCs w:val="24"/>
        </w:rPr>
        <w:t>权在推荐品牌表或者图纸中材料选配表中选择材料，价格不变。</w:t>
      </w:r>
    </w:p>
    <w:sectPr>
      <w:headerReference r:id="rId3" w:type="default"/>
      <w:footerReference r:id="rId4" w:type="even"/>
      <w:pgSz w:w="11906" w:h="16838"/>
      <w:pgMar w:top="1276" w:right="1474" w:bottom="1869"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D1CCB">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1BCE2D8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D27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8D05D"/>
    <w:multiLevelType w:val="singleLevel"/>
    <w:tmpl w:val="B538D05D"/>
    <w:lvl w:ilvl="0" w:tentative="0">
      <w:start w:val="1"/>
      <w:numFmt w:val="chineseCounting"/>
      <w:suff w:val="nothing"/>
      <w:lvlText w:val="（%1）"/>
      <w:lvlJc w:val="left"/>
      <w:rPr>
        <w:rFonts w:hint="eastAsia"/>
      </w:rPr>
    </w:lvl>
  </w:abstractNum>
  <w:abstractNum w:abstractNumId="1">
    <w:nsid w:val="BCC46343"/>
    <w:multiLevelType w:val="singleLevel"/>
    <w:tmpl w:val="BCC46343"/>
    <w:lvl w:ilvl="0" w:tentative="0">
      <w:start w:val="1"/>
      <w:numFmt w:val="decimal"/>
      <w:suff w:val="nothing"/>
      <w:lvlText w:val="%1．"/>
      <w:lvlJc w:val="left"/>
      <w:pPr>
        <w:ind w:left="0" w:firstLine="400"/>
      </w:pPr>
      <w:rPr>
        <w:rFonts w:hint="default"/>
      </w:rPr>
    </w:lvl>
  </w:abstractNum>
  <w:abstractNum w:abstractNumId="2">
    <w:nsid w:val="BF979DC9"/>
    <w:multiLevelType w:val="singleLevel"/>
    <w:tmpl w:val="BF979DC9"/>
    <w:lvl w:ilvl="0" w:tentative="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tentative="0">
      <w:start w:val="1"/>
      <w:numFmt w:val="decimal"/>
      <w:suff w:val="nothing"/>
      <w:lvlText w:val="%1、"/>
      <w:lvlJc w:val="left"/>
    </w:lvl>
  </w:abstractNum>
  <w:abstractNum w:abstractNumId="4">
    <w:nsid w:val="2D36B57D"/>
    <w:multiLevelType w:val="singleLevel"/>
    <w:tmpl w:val="2D36B57D"/>
    <w:lvl w:ilvl="0" w:tentative="0">
      <w:start w:val="4"/>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WE1ZTA0OGU0ZGUyYWFjMDI5NWE0ZDFkY2Q4YjcifQ=="/>
  </w:docVars>
  <w:rsids>
    <w:rsidRoot w:val="004022F2"/>
    <w:rsid w:val="00011325"/>
    <w:rsid w:val="000148E1"/>
    <w:rsid w:val="00021719"/>
    <w:rsid w:val="00071EB2"/>
    <w:rsid w:val="00091F7D"/>
    <w:rsid w:val="0009321D"/>
    <w:rsid w:val="00095527"/>
    <w:rsid w:val="000A3045"/>
    <w:rsid w:val="000A3621"/>
    <w:rsid w:val="000C356A"/>
    <w:rsid w:val="000D46F4"/>
    <w:rsid w:val="000E1F3F"/>
    <w:rsid w:val="000F34D9"/>
    <w:rsid w:val="000F59B1"/>
    <w:rsid w:val="0010207F"/>
    <w:rsid w:val="00102194"/>
    <w:rsid w:val="00107325"/>
    <w:rsid w:val="0011092D"/>
    <w:rsid w:val="00111FF3"/>
    <w:rsid w:val="0012309D"/>
    <w:rsid w:val="00133DE9"/>
    <w:rsid w:val="00143AF6"/>
    <w:rsid w:val="00152860"/>
    <w:rsid w:val="001563C9"/>
    <w:rsid w:val="001609B7"/>
    <w:rsid w:val="00161AD7"/>
    <w:rsid w:val="00180D9E"/>
    <w:rsid w:val="00181BE8"/>
    <w:rsid w:val="00184260"/>
    <w:rsid w:val="001A515A"/>
    <w:rsid w:val="001C1BC6"/>
    <w:rsid w:val="001C2060"/>
    <w:rsid w:val="001C4B24"/>
    <w:rsid w:val="001D66BF"/>
    <w:rsid w:val="001F7E2E"/>
    <w:rsid w:val="002031E7"/>
    <w:rsid w:val="002235C1"/>
    <w:rsid w:val="00226518"/>
    <w:rsid w:val="002334BA"/>
    <w:rsid w:val="00236AEA"/>
    <w:rsid w:val="0026405C"/>
    <w:rsid w:val="002940C7"/>
    <w:rsid w:val="002A040B"/>
    <w:rsid w:val="002A1AA6"/>
    <w:rsid w:val="002A35E0"/>
    <w:rsid w:val="002A5584"/>
    <w:rsid w:val="002A6883"/>
    <w:rsid w:val="002B2052"/>
    <w:rsid w:val="002B2CBF"/>
    <w:rsid w:val="002B4088"/>
    <w:rsid w:val="002B4F12"/>
    <w:rsid w:val="002B60AD"/>
    <w:rsid w:val="002C2D30"/>
    <w:rsid w:val="002C503C"/>
    <w:rsid w:val="002F2032"/>
    <w:rsid w:val="00306868"/>
    <w:rsid w:val="00311247"/>
    <w:rsid w:val="0031421B"/>
    <w:rsid w:val="00341D9C"/>
    <w:rsid w:val="00342135"/>
    <w:rsid w:val="00345ABB"/>
    <w:rsid w:val="00362987"/>
    <w:rsid w:val="00364AFF"/>
    <w:rsid w:val="00367811"/>
    <w:rsid w:val="003704F0"/>
    <w:rsid w:val="003751D9"/>
    <w:rsid w:val="00384528"/>
    <w:rsid w:val="00386FFC"/>
    <w:rsid w:val="00387FF2"/>
    <w:rsid w:val="00391E2D"/>
    <w:rsid w:val="00397404"/>
    <w:rsid w:val="003A3142"/>
    <w:rsid w:val="003A5A83"/>
    <w:rsid w:val="003A7A2B"/>
    <w:rsid w:val="003B6375"/>
    <w:rsid w:val="003C0BD2"/>
    <w:rsid w:val="003C3E3C"/>
    <w:rsid w:val="003D3F49"/>
    <w:rsid w:val="003D7199"/>
    <w:rsid w:val="003E1A4F"/>
    <w:rsid w:val="004022F2"/>
    <w:rsid w:val="00424272"/>
    <w:rsid w:val="004262D0"/>
    <w:rsid w:val="00434A7A"/>
    <w:rsid w:val="00441BA6"/>
    <w:rsid w:val="00446AF5"/>
    <w:rsid w:val="00453E1D"/>
    <w:rsid w:val="004765E3"/>
    <w:rsid w:val="00483AD0"/>
    <w:rsid w:val="00495B51"/>
    <w:rsid w:val="004974D9"/>
    <w:rsid w:val="00497D11"/>
    <w:rsid w:val="004A2DB2"/>
    <w:rsid w:val="004C5F6C"/>
    <w:rsid w:val="004D24AA"/>
    <w:rsid w:val="004E13A5"/>
    <w:rsid w:val="004E4C6E"/>
    <w:rsid w:val="004F3A9F"/>
    <w:rsid w:val="004F5D49"/>
    <w:rsid w:val="005006EF"/>
    <w:rsid w:val="00505FA7"/>
    <w:rsid w:val="005154EE"/>
    <w:rsid w:val="005200B5"/>
    <w:rsid w:val="00525B32"/>
    <w:rsid w:val="0052783F"/>
    <w:rsid w:val="005302EC"/>
    <w:rsid w:val="00537A74"/>
    <w:rsid w:val="0055221F"/>
    <w:rsid w:val="005652C8"/>
    <w:rsid w:val="00566B78"/>
    <w:rsid w:val="00566F32"/>
    <w:rsid w:val="005814F4"/>
    <w:rsid w:val="005849F0"/>
    <w:rsid w:val="00596D60"/>
    <w:rsid w:val="005A15F9"/>
    <w:rsid w:val="005B434E"/>
    <w:rsid w:val="005B797D"/>
    <w:rsid w:val="005C2517"/>
    <w:rsid w:val="005D79B2"/>
    <w:rsid w:val="005D7BCC"/>
    <w:rsid w:val="005E3275"/>
    <w:rsid w:val="005F2F86"/>
    <w:rsid w:val="005F408D"/>
    <w:rsid w:val="005F5431"/>
    <w:rsid w:val="0060199E"/>
    <w:rsid w:val="00611C88"/>
    <w:rsid w:val="006369D8"/>
    <w:rsid w:val="00646024"/>
    <w:rsid w:val="0066328F"/>
    <w:rsid w:val="00672777"/>
    <w:rsid w:val="006837EB"/>
    <w:rsid w:val="006922CD"/>
    <w:rsid w:val="00693CD7"/>
    <w:rsid w:val="006A22C5"/>
    <w:rsid w:val="006A26E0"/>
    <w:rsid w:val="006A49CA"/>
    <w:rsid w:val="006B3400"/>
    <w:rsid w:val="006C3972"/>
    <w:rsid w:val="006D10D4"/>
    <w:rsid w:val="006E0936"/>
    <w:rsid w:val="006F29BF"/>
    <w:rsid w:val="006F57A0"/>
    <w:rsid w:val="00721942"/>
    <w:rsid w:val="00723D3C"/>
    <w:rsid w:val="00733EB2"/>
    <w:rsid w:val="007343B9"/>
    <w:rsid w:val="00736CFD"/>
    <w:rsid w:val="00751BFA"/>
    <w:rsid w:val="00751F69"/>
    <w:rsid w:val="007652FA"/>
    <w:rsid w:val="00783F54"/>
    <w:rsid w:val="00783F80"/>
    <w:rsid w:val="0078795A"/>
    <w:rsid w:val="0079032B"/>
    <w:rsid w:val="00795A37"/>
    <w:rsid w:val="007B274D"/>
    <w:rsid w:val="007C2AED"/>
    <w:rsid w:val="007D552D"/>
    <w:rsid w:val="007E4A01"/>
    <w:rsid w:val="007E7452"/>
    <w:rsid w:val="007F140F"/>
    <w:rsid w:val="00823BE0"/>
    <w:rsid w:val="0082531E"/>
    <w:rsid w:val="00844F08"/>
    <w:rsid w:val="00846A11"/>
    <w:rsid w:val="00864C21"/>
    <w:rsid w:val="0089736F"/>
    <w:rsid w:val="008A155A"/>
    <w:rsid w:val="008A1BDF"/>
    <w:rsid w:val="008B5B17"/>
    <w:rsid w:val="008D2DB0"/>
    <w:rsid w:val="008E5137"/>
    <w:rsid w:val="008E5C2A"/>
    <w:rsid w:val="009049F7"/>
    <w:rsid w:val="00920A58"/>
    <w:rsid w:val="009215A0"/>
    <w:rsid w:val="009272D8"/>
    <w:rsid w:val="00930878"/>
    <w:rsid w:val="00930A08"/>
    <w:rsid w:val="00936E81"/>
    <w:rsid w:val="009406F2"/>
    <w:rsid w:val="00960CF9"/>
    <w:rsid w:val="0097592F"/>
    <w:rsid w:val="00981886"/>
    <w:rsid w:val="009A000E"/>
    <w:rsid w:val="009A6011"/>
    <w:rsid w:val="009B68D3"/>
    <w:rsid w:val="009B70A3"/>
    <w:rsid w:val="009B7F57"/>
    <w:rsid w:val="009C20FC"/>
    <w:rsid w:val="009C2A9F"/>
    <w:rsid w:val="009C4D2D"/>
    <w:rsid w:val="009E34AE"/>
    <w:rsid w:val="00A2570C"/>
    <w:rsid w:val="00A34099"/>
    <w:rsid w:val="00A35950"/>
    <w:rsid w:val="00A370A8"/>
    <w:rsid w:val="00A56C5D"/>
    <w:rsid w:val="00A638A7"/>
    <w:rsid w:val="00A67122"/>
    <w:rsid w:val="00A80429"/>
    <w:rsid w:val="00A93318"/>
    <w:rsid w:val="00A96025"/>
    <w:rsid w:val="00A964B1"/>
    <w:rsid w:val="00AC7D9C"/>
    <w:rsid w:val="00AD4F30"/>
    <w:rsid w:val="00AE1733"/>
    <w:rsid w:val="00AF4FAA"/>
    <w:rsid w:val="00B222DA"/>
    <w:rsid w:val="00B3433C"/>
    <w:rsid w:val="00B568B8"/>
    <w:rsid w:val="00B56F29"/>
    <w:rsid w:val="00B759AD"/>
    <w:rsid w:val="00B80972"/>
    <w:rsid w:val="00B82D2B"/>
    <w:rsid w:val="00B91C06"/>
    <w:rsid w:val="00B960C7"/>
    <w:rsid w:val="00BA5551"/>
    <w:rsid w:val="00BE13DF"/>
    <w:rsid w:val="00BE1FEA"/>
    <w:rsid w:val="00BE4661"/>
    <w:rsid w:val="00BF1429"/>
    <w:rsid w:val="00BF32F3"/>
    <w:rsid w:val="00C0731E"/>
    <w:rsid w:val="00C10819"/>
    <w:rsid w:val="00C14C00"/>
    <w:rsid w:val="00C17011"/>
    <w:rsid w:val="00C20DA6"/>
    <w:rsid w:val="00C20F50"/>
    <w:rsid w:val="00C31701"/>
    <w:rsid w:val="00C31A78"/>
    <w:rsid w:val="00C41C42"/>
    <w:rsid w:val="00C471F0"/>
    <w:rsid w:val="00C522B8"/>
    <w:rsid w:val="00C623E8"/>
    <w:rsid w:val="00C8019E"/>
    <w:rsid w:val="00C94193"/>
    <w:rsid w:val="00C97E61"/>
    <w:rsid w:val="00CA4B12"/>
    <w:rsid w:val="00CB0CA5"/>
    <w:rsid w:val="00CB7417"/>
    <w:rsid w:val="00CB78E0"/>
    <w:rsid w:val="00CC341A"/>
    <w:rsid w:val="00CE1348"/>
    <w:rsid w:val="00CE5256"/>
    <w:rsid w:val="00CE79AE"/>
    <w:rsid w:val="00CF116F"/>
    <w:rsid w:val="00CF2890"/>
    <w:rsid w:val="00D02834"/>
    <w:rsid w:val="00D05D89"/>
    <w:rsid w:val="00D065D9"/>
    <w:rsid w:val="00D16764"/>
    <w:rsid w:val="00D16F06"/>
    <w:rsid w:val="00D16F57"/>
    <w:rsid w:val="00D17756"/>
    <w:rsid w:val="00D21147"/>
    <w:rsid w:val="00D26814"/>
    <w:rsid w:val="00D4209A"/>
    <w:rsid w:val="00D4670B"/>
    <w:rsid w:val="00D46F19"/>
    <w:rsid w:val="00D47FCB"/>
    <w:rsid w:val="00D646E5"/>
    <w:rsid w:val="00D705D5"/>
    <w:rsid w:val="00D761DF"/>
    <w:rsid w:val="00D77407"/>
    <w:rsid w:val="00D85446"/>
    <w:rsid w:val="00D946F7"/>
    <w:rsid w:val="00DB2293"/>
    <w:rsid w:val="00DC092D"/>
    <w:rsid w:val="00DC09A4"/>
    <w:rsid w:val="00DD11C2"/>
    <w:rsid w:val="00DD3375"/>
    <w:rsid w:val="00DD5CCC"/>
    <w:rsid w:val="00DE43AE"/>
    <w:rsid w:val="00DE78CF"/>
    <w:rsid w:val="00DF240D"/>
    <w:rsid w:val="00E00166"/>
    <w:rsid w:val="00E01695"/>
    <w:rsid w:val="00E12AC1"/>
    <w:rsid w:val="00E13B85"/>
    <w:rsid w:val="00E35A2C"/>
    <w:rsid w:val="00E362FE"/>
    <w:rsid w:val="00E460D3"/>
    <w:rsid w:val="00E46655"/>
    <w:rsid w:val="00E52882"/>
    <w:rsid w:val="00E5296D"/>
    <w:rsid w:val="00E6454A"/>
    <w:rsid w:val="00E709BF"/>
    <w:rsid w:val="00E73D41"/>
    <w:rsid w:val="00E767E6"/>
    <w:rsid w:val="00E86269"/>
    <w:rsid w:val="00E94CA5"/>
    <w:rsid w:val="00E95AB2"/>
    <w:rsid w:val="00EC4583"/>
    <w:rsid w:val="00EE3355"/>
    <w:rsid w:val="00EE648C"/>
    <w:rsid w:val="00EF6E23"/>
    <w:rsid w:val="00F0558A"/>
    <w:rsid w:val="00F07EB9"/>
    <w:rsid w:val="00F132BF"/>
    <w:rsid w:val="00F2743A"/>
    <w:rsid w:val="00F66342"/>
    <w:rsid w:val="00F678CD"/>
    <w:rsid w:val="00F72F04"/>
    <w:rsid w:val="00F75235"/>
    <w:rsid w:val="00F756DE"/>
    <w:rsid w:val="00F76AFF"/>
    <w:rsid w:val="00F92088"/>
    <w:rsid w:val="00F9673F"/>
    <w:rsid w:val="00FA1E60"/>
    <w:rsid w:val="00FC386B"/>
    <w:rsid w:val="00FD0203"/>
    <w:rsid w:val="00FE23FD"/>
    <w:rsid w:val="00FE2CCB"/>
    <w:rsid w:val="00FE36A1"/>
    <w:rsid w:val="01CE2AE8"/>
    <w:rsid w:val="039D30A4"/>
    <w:rsid w:val="04351ED3"/>
    <w:rsid w:val="07463DCB"/>
    <w:rsid w:val="08F6746D"/>
    <w:rsid w:val="09CE0370"/>
    <w:rsid w:val="0B077F8D"/>
    <w:rsid w:val="0C2F69ED"/>
    <w:rsid w:val="0CB9317E"/>
    <w:rsid w:val="0DE819AF"/>
    <w:rsid w:val="0E702AB2"/>
    <w:rsid w:val="0FE54914"/>
    <w:rsid w:val="10AC2039"/>
    <w:rsid w:val="11614D46"/>
    <w:rsid w:val="11681501"/>
    <w:rsid w:val="1238675B"/>
    <w:rsid w:val="139F1F37"/>
    <w:rsid w:val="19E4333D"/>
    <w:rsid w:val="1B4D72F6"/>
    <w:rsid w:val="1B611461"/>
    <w:rsid w:val="1BD17023"/>
    <w:rsid w:val="1D26794D"/>
    <w:rsid w:val="1DF94972"/>
    <w:rsid w:val="1EBD5DB0"/>
    <w:rsid w:val="20884688"/>
    <w:rsid w:val="20BA2F81"/>
    <w:rsid w:val="236B28C9"/>
    <w:rsid w:val="25095830"/>
    <w:rsid w:val="268A58A2"/>
    <w:rsid w:val="285E7B6D"/>
    <w:rsid w:val="28BC5C7F"/>
    <w:rsid w:val="28ED4EB0"/>
    <w:rsid w:val="29151C2A"/>
    <w:rsid w:val="2A241B69"/>
    <w:rsid w:val="2BC758C7"/>
    <w:rsid w:val="2FFD044F"/>
    <w:rsid w:val="309C2073"/>
    <w:rsid w:val="30CF4809"/>
    <w:rsid w:val="314E373F"/>
    <w:rsid w:val="31E866CA"/>
    <w:rsid w:val="326369E8"/>
    <w:rsid w:val="34E0490E"/>
    <w:rsid w:val="35F745D6"/>
    <w:rsid w:val="36722213"/>
    <w:rsid w:val="36ED6642"/>
    <w:rsid w:val="38005F4F"/>
    <w:rsid w:val="396F230B"/>
    <w:rsid w:val="39F571AD"/>
    <w:rsid w:val="3C79617D"/>
    <w:rsid w:val="3D791352"/>
    <w:rsid w:val="3E6566D8"/>
    <w:rsid w:val="3F651701"/>
    <w:rsid w:val="3FC30FEB"/>
    <w:rsid w:val="3FCD5B99"/>
    <w:rsid w:val="417B60BB"/>
    <w:rsid w:val="43F43AE3"/>
    <w:rsid w:val="441B2AC5"/>
    <w:rsid w:val="442E68C6"/>
    <w:rsid w:val="49140883"/>
    <w:rsid w:val="4CF270BF"/>
    <w:rsid w:val="4D0B0A92"/>
    <w:rsid w:val="53DA3115"/>
    <w:rsid w:val="559E3417"/>
    <w:rsid w:val="566E13C5"/>
    <w:rsid w:val="5A9009D2"/>
    <w:rsid w:val="5CA649D9"/>
    <w:rsid w:val="60512112"/>
    <w:rsid w:val="61B8644E"/>
    <w:rsid w:val="64E02555"/>
    <w:rsid w:val="664802EF"/>
    <w:rsid w:val="66B1446C"/>
    <w:rsid w:val="6796520F"/>
    <w:rsid w:val="67F91FA2"/>
    <w:rsid w:val="6A1C3917"/>
    <w:rsid w:val="6B25580C"/>
    <w:rsid w:val="6D0E6AFC"/>
    <w:rsid w:val="700C27C9"/>
    <w:rsid w:val="714F0E73"/>
    <w:rsid w:val="71F238C8"/>
    <w:rsid w:val="73DF3716"/>
    <w:rsid w:val="75396AE8"/>
    <w:rsid w:val="76AF7FDA"/>
    <w:rsid w:val="7ADE0036"/>
    <w:rsid w:val="7D68163D"/>
    <w:rsid w:val="7E7561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link w:val="17"/>
    <w:qFormat/>
    <w:uiPriority w:val="0"/>
    <w:pPr>
      <w:spacing w:after="120"/>
    </w:pPr>
    <w:rPr>
      <w:szCs w:val="24"/>
    </w:rPr>
  </w:style>
  <w:style w:type="paragraph" w:styleId="4">
    <w:name w:val="Body Text Indent"/>
    <w:basedOn w:val="1"/>
    <w:qFormat/>
    <w:uiPriority w:val="0"/>
    <w:pPr>
      <w:spacing w:line="600" w:lineRule="exact"/>
      <w:ind w:firstLine="480"/>
    </w:pPr>
    <w:rPr>
      <w:sz w:val="24"/>
      <w:szCs w:val="24"/>
    </w:rPr>
  </w:style>
  <w:style w:type="paragraph" w:styleId="5">
    <w:name w:val="Plain Text"/>
    <w:basedOn w:val="1"/>
    <w:link w:val="18"/>
    <w:qFormat/>
    <w:uiPriority w:val="0"/>
    <w:rPr>
      <w:rFonts w:ascii="宋体" w:hAnsi="Courier New" w:cs="Courier New"/>
      <w:szCs w:val="21"/>
    </w:rPr>
  </w:style>
  <w:style w:type="paragraph" w:styleId="6">
    <w:name w:val="Date"/>
    <w:basedOn w:val="1"/>
    <w:next w:val="1"/>
    <w:link w:val="19"/>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customStyle="1" w:styleId="16">
    <w:name w:val="标题 1 字符"/>
    <w:link w:val="2"/>
    <w:qFormat/>
    <w:uiPriority w:val="9"/>
    <w:rPr>
      <w:rFonts w:ascii="宋体" w:hAnsi="宋体" w:cs="宋体"/>
      <w:b/>
      <w:bCs/>
      <w:kern w:val="36"/>
      <w:sz w:val="48"/>
      <w:szCs w:val="48"/>
    </w:rPr>
  </w:style>
  <w:style w:type="character" w:customStyle="1" w:styleId="17">
    <w:name w:val="正文文本 字符"/>
    <w:link w:val="3"/>
    <w:qFormat/>
    <w:uiPriority w:val="0"/>
    <w:rPr>
      <w:kern w:val="2"/>
      <w:sz w:val="21"/>
      <w:szCs w:val="24"/>
    </w:rPr>
  </w:style>
  <w:style w:type="character" w:customStyle="1" w:styleId="18">
    <w:name w:val="纯文本 字符"/>
    <w:link w:val="5"/>
    <w:qFormat/>
    <w:uiPriority w:val="0"/>
    <w:rPr>
      <w:rFonts w:ascii="宋体" w:hAnsi="Courier New" w:cs="Courier New"/>
      <w:kern w:val="2"/>
      <w:sz w:val="21"/>
      <w:szCs w:val="21"/>
    </w:rPr>
  </w:style>
  <w:style w:type="character" w:customStyle="1" w:styleId="19">
    <w:name w:val="日期 字符"/>
    <w:link w:val="6"/>
    <w:qFormat/>
    <w:uiPriority w:val="0"/>
    <w:rPr>
      <w:kern w:val="2"/>
      <w:sz w:val="21"/>
    </w:rPr>
  </w:style>
  <w:style w:type="character" w:customStyle="1" w:styleId="20">
    <w:name w:val="zbggmain style9"/>
    <w:qFormat/>
    <w:uiPriority w:val="0"/>
  </w:style>
  <w:style w:type="paragraph" w:customStyle="1" w:styleId="21">
    <w:name w:val="p0"/>
    <w:basedOn w:val="1"/>
    <w:qFormat/>
    <w:uiPriority w:val="0"/>
    <w:pPr>
      <w:widowControl/>
    </w:pPr>
    <w:rPr>
      <w:rFonts w:ascii="Calibri" w:hAnsi="Calibri" w:eastAsia="宋体" w:cs="Times New Roman"/>
      <w:kern w:val="0"/>
    </w:rPr>
  </w:style>
  <w:style w:type="paragraph" w:customStyle="1" w:styleId="22">
    <w:name w:val="_Style 21"/>
    <w:unhideWhenUsed/>
    <w:qFormat/>
    <w:uiPriority w:val="99"/>
    <w:rPr>
      <w:rFonts w:ascii="Times New Roman" w:hAnsi="Times New Roman" w:eastAsia="宋体" w:cs="Times New Roman"/>
      <w:kern w:val="2"/>
      <w:sz w:val="21"/>
      <w:lang w:val="en-US" w:eastAsia="zh-CN" w:bidi="ar-SA"/>
    </w:rPr>
  </w:style>
  <w:style w:type="paragraph" w:customStyle="1" w:styleId="23">
    <w:name w:val="样式 宋体 小四 加粗 行距: 1.5 倍行距"/>
    <w:basedOn w:val="1"/>
    <w:qFormat/>
    <w:uiPriority w:val="0"/>
    <w:pPr>
      <w:spacing w:line="360" w:lineRule="auto"/>
      <w:ind w:firstLine="200" w:firstLineChars="200"/>
    </w:pPr>
    <w:rPr>
      <w:rFonts w:ascii="宋体" w:hAnsi="宋体" w:cs="宋体"/>
      <w:b/>
      <w:bC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www.in9.cn</Company>
  <Pages>4</Pages>
  <Words>2995</Words>
  <Characters>3115</Characters>
  <Lines>42</Lines>
  <Paragraphs>12</Paragraphs>
  <TotalTime>0</TotalTime>
  <ScaleCrop>false</ScaleCrop>
  <LinksUpToDate>false</LinksUpToDate>
  <CharactersWithSpaces>3116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2023-05-25T07:05:00Z</dcterms:created>
  <dc:creator>孔令忠</dc:creator>
  <cp:lastModifiedBy>张浪浪</cp:lastModifiedBy>
  <cp:lastPrinted>2019-05-24T02:28:00Z</cp:lastPrinted>
  <dcterms:modified xsi:type="dcterms:W3CDTF">2025-07-05T02:22:01Z</dcterms:modified>
  <dc:subject>浙江建正2012文件</dc:subject>
  <dc:title>浙江建正2012文件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0E8D100CE96E4B6D8248C6675CE27FBB_13</vt:lpwstr>
  </property>
  <property fmtid="{D5CDD505-2E9C-101B-9397-08002B2CF9AE}" pid="4" name="KSOTemplateDocerSaveRecord">
    <vt:lpwstr>eyJoZGlkIjoiMGZmYzY1ZTY1MGUwMDQ5MDE0ZDVjZTdkMmVlODgzYzkiLCJ1c2VySWQiOiI0MzM3MDQxNjMifQ==</vt:lpwstr>
  </property>
</Properties>
</file>