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CFD06">
      <w:pPr>
        <w:jc w:val="center"/>
        <w:rPr>
          <w:rFonts w:hint="eastAsia" w:ascii="宋体" w:hAnsi="宋体"/>
          <w:b/>
          <w:sz w:val="30"/>
          <w:szCs w:val="30"/>
          <w:lang w:val="en-US" w:eastAsia="zh-CN"/>
        </w:rPr>
      </w:pPr>
      <w:r>
        <w:rPr>
          <w:rFonts w:hint="eastAsia" w:ascii="宋体" w:hAnsi="宋体"/>
          <w:b/>
          <w:sz w:val="30"/>
          <w:szCs w:val="30"/>
          <w:lang w:val="en-US" w:eastAsia="zh-CN"/>
        </w:rPr>
        <w:t>绘画学院教学空间提升项目（版画系、壁画系）</w:t>
      </w:r>
    </w:p>
    <w:p w14:paraId="1A6A8128">
      <w:pPr>
        <w:jc w:val="center"/>
        <w:rPr>
          <w:rFonts w:hint="eastAsia" w:ascii="宋体" w:hAnsi="宋体"/>
          <w:b/>
          <w:sz w:val="30"/>
          <w:szCs w:val="30"/>
        </w:rPr>
      </w:pPr>
      <w:r>
        <w:rPr>
          <w:rFonts w:hint="eastAsia" w:ascii="宋体" w:hAnsi="宋体"/>
          <w:b/>
          <w:sz w:val="30"/>
          <w:szCs w:val="30"/>
        </w:rPr>
        <w:t>工程量清单编制说明</w:t>
      </w:r>
    </w:p>
    <w:p w14:paraId="01B47466">
      <w:pPr>
        <w:spacing w:line="360" w:lineRule="auto"/>
        <w:ind w:firstLine="420"/>
        <w:rPr>
          <w:rFonts w:hint="eastAsia" w:ascii="宋体" w:hAnsi="宋体"/>
          <w:b/>
          <w:sz w:val="24"/>
          <w:szCs w:val="24"/>
        </w:rPr>
      </w:pPr>
    </w:p>
    <w:p w14:paraId="4BD9AD56">
      <w:pPr>
        <w:spacing w:line="360" w:lineRule="auto"/>
        <w:ind w:firstLine="420"/>
        <w:rPr>
          <w:rFonts w:hint="eastAsia" w:ascii="宋体" w:hAnsi="宋体"/>
          <w:b/>
          <w:sz w:val="24"/>
          <w:szCs w:val="24"/>
        </w:rPr>
      </w:pPr>
      <w:r>
        <w:rPr>
          <w:rFonts w:hint="eastAsia" w:ascii="宋体" w:hAnsi="宋体"/>
          <w:b/>
          <w:sz w:val="24"/>
          <w:szCs w:val="24"/>
        </w:rPr>
        <w:t>一、工程概况</w:t>
      </w:r>
    </w:p>
    <w:p w14:paraId="6522EC55">
      <w:pPr>
        <w:numPr>
          <w:ilvl w:val="0"/>
          <w:numId w:val="1"/>
        </w:numPr>
        <w:adjustRightInd w:val="0"/>
        <w:snapToGrid w:val="0"/>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工程名称：</w:t>
      </w:r>
      <w:r>
        <w:rPr>
          <w:rFonts w:hint="eastAsia" w:ascii="宋体" w:hAnsi="宋体" w:cs="宋体"/>
          <w:bCs/>
          <w:sz w:val="24"/>
          <w:szCs w:val="24"/>
          <w:lang w:val="en-US" w:eastAsia="zh-CN"/>
        </w:rPr>
        <w:t>绘画学院教学空间提升项目（版画系、壁画系）。</w:t>
      </w:r>
    </w:p>
    <w:p w14:paraId="188EBF01">
      <w:pPr>
        <w:numPr>
          <w:ilvl w:val="0"/>
          <w:numId w:val="1"/>
        </w:num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bCs/>
          <w:sz w:val="24"/>
          <w:szCs w:val="24"/>
        </w:rPr>
        <w:t>工程地点：</w:t>
      </w:r>
      <w:r>
        <w:rPr>
          <w:rFonts w:hint="eastAsia" w:ascii="宋体" w:hAnsi="宋体" w:eastAsia="宋体" w:cs="宋体"/>
          <w:sz w:val="24"/>
          <w:szCs w:val="24"/>
        </w:rPr>
        <w:t>杭州市</w:t>
      </w:r>
      <w:r>
        <w:rPr>
          <w:rFonts w:hint="eastAsia" w:ascii="宋体" w:hAnsi="宋体" w:cs="宋体"/>
          <w:sz w:val="24"/>
          <w:szCs w:val="24"/>
          <w:lang w:val="en-US" w:eastAsia="zh-CN"/>
        </w:rPr>
        <w:t>中国美术学院南山校区</w:t>
      </w:r>
      <w:r>
        <w:rPr>
          <w:rFonts w:hint="eastAsia" w:ascii="宋体" w:hAnsi="宋体" w:eastAsia="宋体" w:cs="宋体"/>
          <w:sz w:val="24"/>
          <w:szCs w:val="24"/>
          <w:highlight w:val="none"/>
          <w:lang w:val="en-US" w:eastAsia="zh-CN"/>
        </w:rPr>
        <w:t>。</w:t>
      </w:r>
    </w:p>
    <w:p w14:paraId="4F736630">
      <w:pPr>
        <w:numPr>
          <w:ilvl w:val="0"/>
          <w:numId w:val="1"/>
        </w:numPr>
        <w:adjustRightInd w:val="0"/>
        <w:snapToGrid w:val="0"/>
        <w:spacing w:line="360" w:lineRule="auto"/>
        <w:ind w:firstLine="480" w:firstLineChars="200"/>
        <w:jc w:val="left"/>
        <w:rPr>
          <w:rFonts w:hint="eastAsia" w:ascii="宋体" w:hAnsi="宋体" w:cs="宋体"/>
          <w:sz w:val="24"/>
          <w:szCs w:val="24"/>
        </w:rPr>
      </w:pPr>
      <w:r>
        <w:rPr>
          <w:rFonts w:hint="eastAsia" w:ascii="宋体" w:hAnsi="宋体" w:cs="宋体"/>
          <w:bCs/>
          <w:sz w:val="24"/>
          <w:szCs w:val="24"/>
        </w:rPr>
        <w:t>工程规模特征：</w:t>
      </w:r>
      <w:r>
        <w:rPr>
          <w:rFonts w:hint="eastAsia" w:ascii="宋体" w:hAnsi="宋体" w:cs="宋体"/>
          <w:sz w:val="24"/>
          <w:szCs w:val="24"/>
          <w:highlight w:val="none"/>
          <w:lang w:val="en-US" w:eastAsia="zh-CN"/>
        </w:rPr>
        <w:t>绘画学院教学空间3层装饰工程、电气工程</w:t>
      </w:r>
      <w:r>
        <w:rPr>
          <w:rFonts w:hint="eastAsia" w:ascii="宋体" w:hAnsi="宋体" w:cs="宋体"/>
          <w:sz w:val="24"/>
          <w:szCs w:val="24"/>
          <w:lang w:val="en-US" w:eastAsia="zh-CN"/>
        </w:rPr>
        <w:t>等</w:t>
      </w:r>
      <w:r>
        <w:rPr>
          <w:rFonts w:hint="eastAsia" w:ascii="宋体" w:hAnsi="宋体" w:eastAsia="宋体" w:cs="宋体"/>
          <w:sz w:val="24"/>
          <w:szCs w:val="24"/>
          <w:lang w:val="en-US" w:eastAsia="zh-CN"/>
        </w:rPr>
        <w:t>。</w:t>
      </w:r>
    </w:p>
    <w:p w14:paraId="58F10AC7">
      <w:pPr>
        <w:spacing w:line="360" w:lineRule="auto"/>
        <w:ind w:firstLine="420"/>
        <w:rPr>
          <w:rFonts w:hint="eastAsia" w:ascii="宋体" w:hAnsi="宋体"/>
          <w:b/>
          <w:sz w:val="24"/>
          <w:szCs w:val="24"/>
        </w:rPr>
      </w:pPr>
      <w:r>
        <w:rPr>
          <w:rFonts w:ascii="宋体" w:hAnsi="宋体"/>
          <w:b/>
          <w:sz w:val="24"/>
          <w:szCs w:val="24"/>
        </w:rPr>
        <w:t>二、</w:t>
      </w:r>
      <w:r>
        <w:rPr>
          <w:rFonts w:hint="eastAsia" w:ascii="宋体" w:hAnsi="宋体"/>
          <w:b/>
          <w:sz w:val="24"/>
          <w:szCs w:val="24"/>
        </w:rPr>
        <w:t>招标</w:t>
      </w:r>
      <w:r>
        <w:rPr>
          <w:rFonts w:ascii="宋体" w:hAnsi="宋体"/>
          <w:b/>
          <w:sz w:val="24"/>
          <w:szCs w:val="24"/>
        </w:rPr>
        <w:t>范围</w:t>
      </w:r>
    </w:p>
    <w:p w14:paraId="5BF83852">
      <w:pPr>
        <w:spacing w:line="360" w:lineRule="auto"/>
        <w:ind w:firstLine="460" w:firstLineChars="192"/>
        <w:rPr>
          <w:rFonts w:hint="eastAsia" w:ascii="宋体" w:hAnsi="宋体" w:cs="宋体"/>
          <w:sz w:val="24"/>
          <w:szCs w:val="24"/>
        </w:rPr>
      </w:pPr>
      <w:r>
        <w:rPr>
          <w:rFonts w:hint="eastAsia" w:ascii="宋体" w:hAnsi="宋体" w:cs="宋体"/>
          <w:sz w:val="24"/>
          <w:szCs w:val="24"/>
        </w:rPr>
        <w:t>本次招标的实</w:t>
      </w:r>
      <w:r>
        <w:rPr>
          <w:rFonts w:hint="eastAsia" w:ascii="宋体" w:hAnsi="宋体" w:eastAsia="宋体" w:cs="宋体"/>
          <w:sz w:val="24"/>
          <w:szCs w:val="24"/>
        </w:rPr>
        <w:t>行</w:t>
      </w:r>
      <w:r>
        <w:rPr>
          <w:rFonts w:hint="eastAsia" w:ascii="宋体" w:hAnsi="宋体" w:eastAsia="宋体" w:cs="宋体"/>
          <w:sz w:val="24"/>
          <w:szCs w:val="24"/>
          <w:highlight w:val="none"/>
        </w:rPr>
        <w:t>施工总承包</w:t>
      </w:r>
      <w:r>
        <w:rPr>
          <w:rFonts w:hint="eastAsia" w:ascii="宋体" w:hAnsi="宋体" w:eastAsia="宋体" w:cs="宋体"/>
          <w:sz w:val="24"/>
          <w:szCs w:val="24"/>
        </w:rPr>
        <w:t>，主</w:t>
      </w:r>
      <w:r>
        <w:rPr>
          <w:rFonts w:hint="eastAsia" w:ascii="宋体" w:hAnsi="宋体" w:cs="宋体"/>
          <w:sz w:val="24"/>
          <w:szCs w:val="24"/>
        </w:rPr>
        <w:t>要包括以下内容：装饰</w:t>
      </w:r>
      <w:r>
        <w:rPr>
          <w:rFonts w:hint="eastAsia" w:ascii="宋体" w:hAnsi="宋体" w:cs="宋体"/>
          <w:sz w:val="24"/>
          <w:szCs w:val="24"/>
          <w:lang w:val="en-US" w:eastAsia="zh-CN"/>
        </w:rPr>
        <w:t>改造</w:t>
      </w:r>
      <w:r>
        <w:rPr>
          <w:rFonts w:hint="eastAsia" w:ascii="宋体" w:hAnsi="宋体" w:cs="宋体"/>
          <w:sz w:val="24"/>
          <w:szCs w:val="24"/>
          <w:lang w:eastAsia="zh-CN"/>
        </w:rPr>
        <w:t>、</w:t>
      </w:r>
      <w:r>
        <w:rPr>
          <w:rFonts w:hint="eastAsia" w:ascii="宋体" w:hAnsi="宋体" w:cs="宋体"/>
          <w:sz w:val="24"/>
          <w:szCs w:val="24"/>
          <w:lang w:val="en-US" w:eastAsia="zh-CN"/>
        </w:rPr>
        <w:t>水电改造</w:t>
      </w:r>
      <w:r>
        <w:rPr>
          <w:rFonts w:hint="eastAsia" w:ascii="宋体" w:hAnsi="宋体" w:cs="宋体"/>
          <w:sz w:val="24"/>
          <w:szCs w:val="24"/>
        </w:rPr>
        <w:t>等，具体详见施工图纸及工程量清单。</w:t>
      </w:r>
    </w:p>
    <w:p w14:paraId="3DFCC4FD">
      <w:pPr>
        <w:spacing w:line="360" w:lineRule="auto"/>
        <w:ind w:firstLine="420"/>
        <w:rPr>
          <w:rFonts w:ascii="宋体" w:hAnsi="宋体"/>
          <w:b/>
          <w:sz w:val="24"/>
          <w:szCs w:val="24"/>
        </w:rPr>
      </w:pPr>
      <w:r>
        <w:rPr>
          <w:rFonts w:hint="eastAsia" w:ascii="宋体" w:hAnsi="宋体"/>
          <w:b/>
          <w:sz w:val="24"/>
          <w:szCs w:val="24"/>
        </w:rPr>
        <w:t>三、</w:t>
      </w:r>
      <w:r>
        <w:rPr>
          <w:rFonts w:hint="eastAsia" w:ascii="宋体" w:hAnsi="宋体" w:cs="宋体"/>
          <w:b/>
          <w:bCs/>
          <w:color w:val="000000"/>
          <w:sz w:val="24"/>
          <w:szCs w:val="24"/>
        </w:rPr>
        <w:t>工程质量、工期、材料、施工等要求：</w:t>
      </w:r>
    </w:p>
    <w:p w14:paraId="73695409">
      <w:pPr>
        <w:tabs>
          <w:tab w:val="left" w:pos="3060"/>
          <w:tab w:val="left" w:pos="9180"/>
          <w:tab w:val="left" w:pos="9360"/>
        </w:tabs>
        <w:spacing w:line="360" w:lineRule="auto"/>
        <w:ind w:right="359" w:rightChars="171" w:firstLine="480" w:firstLineChars="200"/>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1、工程质量：根据招标文件要求</w:t>
      </w:r>
      <w:r>
        <w:rPr>
          <w:rFonts w:hint="eastAsia" w:ascii="宋体" w:hAnsi="宋体" w:cs="宋体"/>
          <w:color w:val="000000"/>
          <w:kern w:val="0"/>
          <w:sz w:val="24"/>
          <w:szCs w:val="24"/>
          <w:lang w:eastAsia="zh-CN"/>
        </w:rPr>
        <w:t>。</w:t>
      </w:r>
    </w:p>
    <w:p w14:paraId="6CDB59CF">
      <w:pPr>
        <w:tabs>
          <w:tab w:val="left" w:pos="3060"/>
          <w:tab w:val="left" w:pos="9180"/>
          <w:tab w:val="left" w:pos="9360"/>
        </w:tabs>
        <w:spacing w:line="360" w:lineRule="auto"/>
        <w:ind w:right="359" w:rightChars="171" w:firstLine="480" w:firstLineChars="200"/>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2、工期：根据招标文件要求</w:t>
      </w:r>
      <w:r>
        <w:rPr>
          <w:rFonts w:hint="eastAsia" w:ascii="宋体" w:hAnsi="宋体" w:cs="宋体"/>
          <w:color w:val="000000"/>
          <w:kern w:val="0"/>
          <w:sz w:val="24"/>
          <w:szCs w:val="24"/>
          <w:lang w:eastAsia="zh-CN"/>
        </w:rPr>
        <w:t>。</w:t>
      </w:r>
    </w:p>
    <w:p w14:paraId="301673D9">
      <w:pPr>
        <w:tabs>
          <w:tab w:val="left" w:pos="3060"/>
          <w:tab w:val="left" w:pos="9180"/>
          <w:tab w:val="left" w:pos="9360"/>
        </w:tabs>
        <w:spacing w:line="360" w:lineRule="auto"/>
        <w:ind w:right="359" w:rightChars="171"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3、材料、施工要求详见施工图及技术规范。</w:t>
      </w:r>
    </w:p>
    <w:p w14:paraId="7CB8A9FA">
      <w:pPr>
        <w:spacing w:line="360" w:lineRule="auto"/>
        <w:ind w:firstLine="420"/>
        <w:rPr>
          <w:rFonts w:ascii="宋体" w:hAnsi="宋体"/>
          <w:b/>
          <w:sz w:val="24"/>
          <w:szCs w:val="24"/>
        </w:rPr>
      </w:pPr>
      <w:r>
        <w:rPr>
          <w:rFonts w:hint="eastAsia" w:ascii="宋体" w:hAnsi="宋体"/>
          <w:b/>
          <w:sz w:val="24"/>
          <w:szCs w:val="24"/>
        </w:rPr>
        <w:t>四、编制依据及方法</w:t>
      </w:r>
    </w:p>
    <w:p w14:paraId="253F611A">
      <w:pPr>
        <w:spacing w:line="360" w:lineRule="auto"/>
        <w:ind w:firstLine="460" w:firstLineChars="192"/>
        <w:rPr>
          <w:rFonts w:hint="eastAsia" w:ascii="宋体" w:hAnsi="宋体" w:eastAsia="宋体" w:cs="宋体"/>
          <w:sz w:val="24"/>
          <w:szCs w:val="24"/>
          <w:lang w:eastAsia="zh-CN"/>
        </w:rPr>
      </w:pPr>
      <w:r>
        <w:rPr>
          <w:rFonts w:hint="eastAsia" w:ascii="宋体" w:hAnsi="宋体" w:cs="宋体"/>
          <w:sz w:val="24"/>
          <w:szCs w:val="24"/>
        </w:rPr>
        <w:t>1.招标人提供的</w:t>
      </w:r>
      <w:r>
        <w:rPr>
          <w:rFonts w:hint="eastAsia" w:ascii="宋体" w:hAnsi="宋体" w:cs="宋体"/>
          <w:sz w:val="24"/>
          <w:szCs w:val="24"/>
          <w:lang w:val="en-US" w:eastAsia="zh-CN"/>
        </w:rPr>
        <w:t>施工图</w:t>
      </w:r>
      <w:r>
        <w:rPr>
          <w:rFonts w:hint="eastAsia" w:ascii="宋体" w:hAnsi="宋体" w:cs="宋体"/>
          <w:sz w:val="24"/>
          <w:szCs w:val="24"/>
          <w:lang w:eastAsia="zh-CN"/>
        </w:rPr>
        <w:t>。</w:t>
      </w:r>
    </w:p>
    <w:p w14:paraId="40E25B65">
      <w:pPr>
        <w:spacing w:line="360" w:lineRule="auto"/>
        <w:ind w:firstLine="460" w:firstLineChars="192"/>
        <w:rPr>
          <w:rFonts w:hint="eastAsia" w:ascii="宋体" w:hAnsi="宋体" w:eastAsia="宋体" w:cs="宋体"/>
          <w:sz w:val="24"/>
          <w:szCs w:val="24"/>
          <w:lang w:eastAsia="zh-CN"/>
        </w:rPr>
      </w:pPr>
      <w:r>
        <w:rPr>
          <w:rFonts w:hint="eastAsia" w:ascii="宋体" w:hAnsi="宋体" w:cs="宋体"/>
          <w:sz w:val="24"/>
          <w:szCs w:val="24"/>
        </w:rPr>
        <w:t>2.《建设工程工程量清单计价规范》（GB50500-2013）</w:t>
      </w:r>
      <w:r>
        <w:rPr>
          <w:rFonts w:hint="eastAsia" w:ascii="宋体" w:hAnsi="宋体" w:cs="宋体"/>
          <w:sz w:val="24"/>
          <w:szCs w:val="24"/>
          <w:lang w:eastAsia="zh-CN"/>
        </w:rPr>
        <w:t>。</w:t>
      </w:r>
    </w:p>
    <w:p w14:paraId="48BB5770">
      <w:pPr>
        <w:spacing w:line="360" w:lineRule="auto"/>
        <w:ind w:firstLine="460" w:firstLineChars="192"/>
        <w:rPr>
          <w:rFonts w:hint="eastAsia" w:ascii="宋体" w:hAnsi="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color w:val="000000"/>
          <w:sz w:val="24"/>
          <w:szCs w:val="24"/>
        </w:rPr>
        <w:t>《房屋建筑与装饰工程</w:t>
      </w:r>
      <w:r>
        <w:rPr>
          <w:rFonts w:hint="eastAsia" w:ascii="宋体" w:hAnsi="宋体" w:eastAsia="宋体" w:cs="宋体"/>
          <w:color w:val="000000"/>
          <w:sz w:val="24"/>
          <w:szCs w:val="24"/>
          <w:lang w:val="en-US" w:eastAsia="zh-CN"/>
        </w:rPr>
        <w:t>计量</w:t>
      </w:r>
      <w:r>
        <w:rPr>
          <w:rFonts w:hint="eastAsia" w:ascii="宋体" w:hAnsi="宋体" w:eastAsia="宋体" w:cs="宋体"/>
          <w:color w:val="000000"/>
          <w:sz w:val="24"/>
          <w:szCs w:val="24"/>
        </w:rPr>
        <w:t>规范》(GB50854-2013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通用安装工程计量</w:t>
      </w:r>
      <w:r>
        <w:rPr>
          <w:rFonts w:hint="eastAsia" w:ascii="宋体" w:hAnsi="宋体" w:eastAsia="宋体" w:cs="宋体"/>
          <w:color w:val="000000"/>
          <w:sz w:val="24"/>
          <w:szCs w:val="24"/>
          <w:highlight w:val="none"/>
        </w:rPr>
        <w:t>规范》</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GB508</w:t>
      </w:r>
      <w:r>
        <w:rPr>
          <w:rFonts w:hint="eastAsia" w:ascii="宋体" w:hAnsi="宋体" w:eastAsia="宋体" w:cs="宋体"/>
          <w:color w:val="000000"/>
          <w:sz w:val="24"/>
          <w:szCs w:val="24"/>
          <w:highlight w:val="none"/>
          <w:lang w:val="en-US" w:eastAsia="zh-CN"/>
        </w:rPr>
        <w:t>56</w:t>
      </w:r>
      <w:r>
        <w:rPr>
          <w:rFonts w:hint="eastAsia" w:ascii="宋体" w:hAnsi="宋体" w:eastAsia="宋体" w:cs="宋体"/>
          <w:color w:val="000000"/>
          <w:sz w:val="24"/>
          <w:szCs w:val="24"/>
          <w:highlight w:val="none"/>
        </w:rPr>
        <w:t>—2013）</w:t>
      </w:r>
      <w:r>
        <w:rPr>
          <w:rFonts w:hint="eastAsia" w:ascii="宋体" w:hAnsi="宋体" w:eastAsia="宋体" w:cs="宋体"/>
          <w:color w:val="000000"/>
          <w:sz w:val="24"/>
          <w:szCs w:val="24"/>
        </w:rPr>
        <w:t>及相关补充规定</w:t>
      </w:r>
      <w:r>
        <w:rPr>
          <w:rFonts w:hint="eastAsia" w:ascii="宋体" w:hAnsi="宋体" w:cs="宋体"/>
          <w:sz w:val="24"/>
          <w:szCs w:val="24"/>
          <w:lang w:eastAsia="zh-CN"/>
        </w:rPr>
        <w:t>。</w:t>
      </w:r>
    </w:p>
    <w:p w14:paraId="3D9BD9C1">
      <w:pPr>
        <w:spacing w:line="360" w:lineRule="auto"/>
        <w:ind w:firstLine="460" w:firstLineChars="192"/>
        <w:rPr>
          <w:rFonts w:hint="eastAsia" w:ascii="宋体" w:hAnsi="宋体" w:eastAsia="宋体" w:cs="宋体"/>
          <w:sz w:val="24"/>
          <w:szCs w:val="24"/>
          <w:lang w:eastAsia="zh-CN"/>
        </w:rPr>
      </w:pPr>
      <w:r>
        <w:rPr>
          <w:rFonts w:hint="eastAsia" w:ascii="宋体" w:hAnsi="宋体" w:cs="宋体"/>
          <w:sz w:val="24"/>
          <w:szCs w:val="24"/>
          <w:lang w:val="en-US" w:eastAsia="zh-CN"/>
        </w:rPr>
        <w:t>4</w:t>
      </w:r>
      <w:r>
        <w:rPr>
          <w:rFonts w:hint="eastAsia" w:ascii="宋体" w:hAnsi="宋体" w:cs="宋体"/>
          <w:sz w:val="24"/>
          <w:szCs w:val="24"/>
        </w:rPr>
        <w:t>.《关于增值税调整后我省建设工程计价依据增值税税率及有关计价调整的通知》（浙建建发[2019]92号）</w:t>
      </w:r>
      <w:r>
        <w:rPr>
          <w:rFonts w:hint="eastAsia" w:ascii="宋体" w:hAnsi="宋体" w:cs="宋体"/>
          <w:sz w:val="24"/>
          <w:szCs w:val="24"/>
          <w:lang w:eastAsia="zh-CN"/>
        </w:rPr>
        <w:t>。</w:t>
      </w:r>
    </w:p>
    <w:p w14:paraId="57F8A8A9">
      <w:pPr>
        <w:spacing w:line="360" w:lineRule="auto"/>
        <w:ind w:firstLine="460" w:firstLineChars="192"/>
        <w:rPr>
          <w:rFonts w:hint="eastAsia" w:ascii="宋体" w:hAnsi="宋体" w:cs="宋体"/>
          <w:sz w:val="24"/>
          <w:szCs w:val="24"/>
          <w:lang w:val="en-US" w:eastAsia="zh-CN"/>
        </w:rPr>
      </w:pPr>
      <w:r>
        <w:rPr>
          <w:rFonts w:hint="eastAsia" w:ascii="宋体" w:hAnsi="宋体" w:cs="宋体"/>
          <w:sz w:val="24"/>
          <w:szCs w:val="24"/>
          <w:lang w:val="en-US" w:eastAsia="zh-CN"/>
        </w:rPr>
        <w:t>5</w:t>
      </w:r>
      <w:r>
        <w:rPr>
          <w:rFonts w:hint="eastAsia" w:ascii="宋体" w:hAnsi="宋体" w:cs="宋体"/>
          <w:sz w:val="24"/>
          <w:szCs w:val="24"/>
        </w:rPr>
        <w:t>.《省建设厅关于调整建筑工程安全文明施工费的通知》（浙建建发[2022]37号）</w:t>
      </w:r>
      <w:r>
        <w:rPr>
          <w:rFonts w:hint="eastAsia" w:ascii="宋体" w:hAnsi="宋体" w:cs="宋体"/>
          <w:sz w:val="24"/>
          <w:szCs w:val="24"/>
          <w:lang w:val="en-US" w:eastAsia="zh-CN"/>
        </w:rPr>
        <w:t>。</w:t>
      </w:r>
    </w:p>
    <w:p w14:paraId="0302B34B">
      <w:pPr>
        <w:spacing w:line="360" w:lineRule="auto"/>
        <w:ind w:firstLine="460" w:firstLineChars="192"/>
        <w:rPr>
          <w:rFonts w:hint="eastAsia" w:ascii="宋体" w:hAnsi="宋体" w:eastAsia="宋体" w:cs="宋体"/>
          <w:sz w:val="24"/>
          <w:szCs w:val="24"/>
          <w:lang w:eastAsia="zh-CN"/>
        </w:rPr>
      </w:pPr>
      <w:r>
        <w:rPr>
          <w:rFonts w:hint="eastAsia" w:ascii="宋体" w:hAnsi="宋体" w:cs="宋体"/>
          <w:sz w:val="24"/>
          <w:szCs w:val="24"/>
          <w:lang w:val="en-US" w:eastAsia="zh-CN"/>
        </w:rPr>
        <w:t>6.</w:t>
      </w:r>
      <w:r>
        <w:rPr>
          <w:rFonts w:hint="eastAsia" w:ascii="宋体" w:hAnsi="宋体" w:cs="宋体"/>
          <w:sz w:val="24"/>
          <w:szCs w:val="24"/>
        </w:rPr>
        <w:t>《关于推进杭州市建筑施工领域安全生产责任保险工作的通知》（杭建工发[2021]384号）</w:t>
      </w:r>
      <w:r>
        <w:rPr>
          <w:rFonts w:hint="eastAsia" w:ascii="宋体" w:hAnsi="宋体" w:cs="宋体"/>
          <w:sz w:val="24"/>
          <w:szCs w:val="24"/>
          <w:lang w:eastAsia="zh-CN"/>
        </w:rPr>
        <w:t>。</w:t>
      </w:r>
    </w:p>
    <w:p w14:paraId="32FB1F67">
      <w:pPr>
        <w:spacing w:line="360" w:lineRule="auto"/>
        <w:ind w:firstLine="460" w:firstLineChars="192"/>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.现行浙江省、杭州市相关文件，现行相关规范标准，施工现场情况、工程特点及常规施工方案，</w:t>
      </w:r>
      <w:r>
        <w:rPr>
          <w:rFonts w:hint="eastAsia" w:ascii="宋体" w:hAnsi="宋体" w:cs="宋体"/>
          <w:kern w:val="28"/>
          <w:sz w:val="24"/>
          <w:szCs w:val="24"/>
        </w:rPr>
        <w:t>招标人及设计疑问回复</w:t>
      </w:r>
      <w:r>
        <w:rPr>
          <w:rFonts w:hint="eastAsia" w:ascii="宋体" w:hAnsi="宋体" w:cs="宋体"/>
          <w:sz w:val="24"/>
          <w:szCs w:val="24"/>
        </w:rPr>
        <w:t>。</w:t>
      </w:r>
    </w:p>
    <w:p w14:paraId="07922165">
      <w:pPr>
        <w:numPr>
          <w:ilvl w:val="0"/>
          <w:numId w:val="2"/>
        </w:numPr>
        <w:spacing w:line="360" w:lineRule="auto"/>
        <w:ind w:firstLine="420"/>
        <w:rPr>
          <w:rFonts w:hint="eastAsia" w:ascii="宋体" w:hAnsi="宋体" w:cs="宋体"/>
          <w:b/>
          <w:bCs/>
          <w:sz w:val="24"/>
        </w:rPr>
      </w:pPr>
      <w:r>
        <w:rPr>
          <w:rFonts w:hint="eastAsia" w:ascii="宋体" w:hAnsi="宋体"/>
          <w:b/>
          <w:sz w:val="24"/>
          <w:szCs w:val="24"/>
        </w:rPr>
        <w:t>编制有关事项说明</w:t>
      </w:r>
    </w:p>
    <w:p w14:paraId="1E984E55">
      <w:pPr>
        <w:numPr>
          <w:ilvl w:val="0"/>
          <w:numId w:val="3"/>
        </w:numPr>
        <w:spacing w:line="360" w:lineRule="auto"/>
        <w:ind w:firstLine="241" w:firstLineChars="100"/>
        <w:rPr>
          <w:rFonts w:hint="eastAsia" w:ascii="宋体" w:hAnsi="宋体"/>
          <w:b/>
          <w:sz w:val="24"/>
          <w:szCs w:val="24"/>
        </w:rPr>
      </w:pPr>
      <w:r>
        <w:rPr>
          <w:rFonts w:hint="eastAsia" w:ascii="宋体" w:hAnsi="宋体"/>
          <w:b/>
          <w:sz w:val="24"/>
          <w:szCs w:val="24"/>
        </w:rPr>
        <w:t>费率说明</w:t>
      </w:r>
    </w:p>
    <w:p w14:paraId="080478ED">
      <w:pPr>
        <w:widowControl/>
        <w:tabs>
          <w:tab w:val="left" w:pos="720"/>
        </w:tabs>
        <w:spacing w:line="360" w:lineRule="auto"/>
        <w:ind w:firstLine="480" w:firstLineChars="200"/>
        <w:jc w:val="left"/>
        <w:rPr>
          <w:rFonts w:hint="eastAsia" w:ascii="宋体" w:hAnsi="宋体" w:eastAsia="宋体" w:cs="宋体"/>
          <w:bCs/>
          <w:sz w:val="24"/>
          <w:szCs w:val="24"/>
          <w:lang w:eastAsia="zh-CN"/>
        </w:rPr>
      </w:pPr>
      <w:bookmarkStart w:id="0" w:name="OLE_LINK11"/>
      <w:r>
        <w:rPr>
          <w:rFonts w:hint="eastAsia" w:ascii="宋体" w:hAnsi="宋体" w:cs="宋体"/>
          <w:bCs/>
          <w:sz w:val="24"/>
          <w:szCs w:val="24"/>
        </w:rPr>
        <w:t>根据《杭州市建设工程工程量清单计价实施细则（2018年修订）》文件规定，</w:t>
      </w:r>
      <w:bookmarkEnd w:id="0"/>
      <w:r>
        <w:rPr>
          <w:rFonts w:hint="eastAsia" w:ascii="宋体" w:hAnsi="宋体" w:cs="宋体"/>
          <w:bCs/>
          <w:sz w:val="24"/>
          <w:szCs w:val="24"/>
        </w:rPr>
        <w:t>投标报价时，企业管理费中应包括施工企业现场临时宿舍取暖降温费用，以及施工企业对建筑以及材料、构件和建筑安装物进行一般鉴定、检查所发生的检验试验费等相关费用。为保障工程质量和安全，企业管理费报价不得低于省建设行政主管部门颁发的施工费用定额和相关取费计价文件规定的对应专业工程企业管理费弹性费率下限乘以20%的计算值</w:t>
      </w:r>
      <w:r>
        <w:rPr>
          <w:rFonts w:hint="eastAsia" w:ascii="宋体" w:hAnsi="宋体" w:eastAsia="宋体" w:cs="宋体"/>
          <w:bCs/>
          <w:sz w:val="24"/>
          <w:szCs w:val="24"/>
        </w:rPr>
        <w:t>。</w:t>
      </w:r>
      <w:r>
        <w:rPr>
          <w:rFonts w:hint="eastAsia" w:ascii="宋体" w:hAnsi="宋体" w:cs="宋体"/>
          <w:bCs/>
          <w:sz w:val="24"/>
          <w:szCs w:val="24"/>
        </w:rPr>
        <w:t>同时，投标人必须对企业管理费中所包含的施工企业的现场临时宿舍取暖降温等费用，在相应的清单明细表中（表2-5）进行单独费用报价分析。企业管理费的取费基数为“分部分项工程费和施工技术措施项目费”计价中的“人工费</w:t>
      </w:r>
      <w:r>
        <w:rPr>
          <w:rFonts w:hint="eastAsia" w:ascii="宋体" w:hAnsi="宋体" w:cs="宋体"/>
          <w:bCs/>
          <w:sz w:val="24"/>
          <w:szCs w:val="24"/>
          <w:lang w:eastAsia="zh-CN"/>
        </w:rPr>
        <w:t>+</w:t>
      </w:r>
      <w:r>
        <w:rPr>
          <w:rFonts w:hint="eastAsia" w:ascii="宋体" w:hAnsi="宋体" w:cs="宋体"/>
          <w:bCs/>
          <w:sz w:val="24"/>
          <w:szCs w:val="24"/>
        </w:rPr>
        <w:t>机械费”之和</w:t>
      </w:r>
      <w:r>
        <w:rPr>
          <w:rFonts w:hint="eastAsia" w:ascii="宋体" w:hAnsi="宋体" w:cs="宋体"/>
          <w:bCs/>
          <w:sz w:val="24"/>
          <w:szCs w:val="24"/>
          <w:lang w:eastAsia="zh-CN"/>
        </w:rPr>
        <w:t>。</w:t>
      </w:r>
    </w:p>
    <w:p w14:paraId="3B078AA7">
      <w:pPr>
        <w:widowControl/>
        <w:tabs>
          <w:tab w:val="left" w:pos="720"/>
        </w:tabs>
        <w:spacing w:line="360" w:lineRule="auto"/>
        <w:ind w:firstLine="480" w:firstLineChars="200"/>
        <w:jc w:val="left"/>
        <w:rPr>
          <w:rFonts w:hint="eastAsia" w:ascii="宋体" w:hAnsi="宋体" w:eastAsia="宋体" w:cs="宋体"/>
          <w:bCs/>
          <w:sz w:val="24"/>
          <w:szCs w:val="24"/>
          <w:lang w:eastAsia="zh-CN"/>
        </w:rPr>
      </w:pPr>
      <w:r>
        <w:rPr>
          <w:rFonts w:hint="eastAsia" w:ascii="宋体" w:hAnsi="宋体" w:cs="宋体"/>
          <w:bCs/>
          <w:sz w:val="24"/>
          <w:szCs w:val="24"/>
        </w:rPr>
        <w:t>（1）</w:t>
      </w:r>
      <w:r>
        <w:rPr>
          <w:rFonts w:hint="eastAsia" w:ascii="宋体" w:hAnsi="宋体" w:cs="宋体"/>
          <w:bCs/>
          <w:sz w:val="24"/>
          <w:szCs w:val="24"/>
          <w:lang w:val="en-US" w:eastAsia="zh-CN"/>
        </w:rPr>
        <w:t>单独</w:t>
      </w:r>
      <w:r>
        <w:rPr>
          <w:rFonts w:hint="eastAsia" w:ascii="宋体" w:hAnsi="宋体" w:cs="宋体"/>
          <w:bCs/>
          <w:sz w:val="24"/>
          <w:szCs w:val="24"/>
        </w:rPr>
        <w:t>装饰工程最低取费费率为2.</w:t>
      </w:r>
      <w:r>
        <w:rPr>
          <w:rFonts w:hint="eastAsia" w:ascii="宋体" w:hAnsi="宋体" w:cs="宋体"/>
          <w:bCs/>
          <w:sz w:val="24"/>
          <w:szCs w:val="24"/>
          <w:lang w:val="en-US" w:eastAsia="zh-CN"/>
        </w:rPr>
        <w:t>2</w:t>
      </w:r>
      <w:r>
        <w:rPr>
          <w:rFonts w:hint="eastAsia" w:ascii="宋体" w:hAnsi="宋体" w:cs="宋体"/>
          <w:bCs/>
          <w:sz w:val="24"/>
          <w:szCs w:val="24"/>
        </w:rPr>
        <w:t>7%</w:t>
      </w:r>
      <w:r>
        <w:rPr>
          <w:rFonts w:hint="eastAsia" w:ascii="宋体" w:hAnsi="宋体" w:cs="宋体"/>
          <w:bCs/>
          <w:sz w:val="24"/>
          <w:szCs w:val="24"/>
          <w:lang w:eastAsia="zh-CN"/>
        </w:rPr>
        <w:t>。</w:t>
      </w:r>
    </w:p>
    <w:p w14:paraId="1D0F297F">
      <w:pPr>
        <w:widowControl/>
        <w:tabs>
          <w:tab w:val="left" w:pos="720"/>
        </w:tabs>
        <w:spacing w:line="360" w:lineRule="auto"/>
        <w:ind w:firstLine="480" w:firstLineChars="200"/>
        <w:jc w:val="left"/>
        <w:rPr>
          <w:rFonts w:hint="eastAsia" w:ascii="宋体" w:hAnsi="宋体" w:eastAsia="宋体" w:cs="宋体"/>
          <w:bCs/>
          <w:sz w:val="24"/>
          <w:szCs w:val="24"/>
          <w:lang w:eastAsia="zh-CN"/>
        </w:rPr>
      </w:pPr>
      <w:r>
        <w:rPr>
          <w:rFonts w:hint="eastAsia" w:ascii="宋体" w:hAnsi="宋体" w:cs="宋体"/>
          <w:bCs/>
          <w:sz w:val="24"/>
          <w:szCs w:val="24"/>
        </w:rPr>
        <w:t>（2）通用安装工程最低取费费率为3.26%</w:t>
      </w:r>
      <w:r>
        <w:rPr>
          <w:rFonts w:hint="eastAsia" w:ascii="宋体" w:hAnsi="宋体" w:cs="宋体"/>
          <w:bCs/>
          <w:sz w:val="24"/>
          <w:szCs w:val="24"/>
          <w:lang w:eastAsia="zh-CN"/>
        </w:rPr>
        <w:t>。</w:t>
      </w:r>
    </w:p>
    <w:p w14:paraId="2016C531">
      <w:pPr>
        <w:spacing w:line="440" w:lineRule="exact"/>
        <w:ind w:firstLine="480" w:firstLineChars="200"/>
        <w:rPr>
          <w:rFonts w:hint="eastAsia" w:ascii="宋体" w:hAnsi="宋体" w:eastAsia="宋体" w:cs="宋体"/>
          <w:color w:val="FF0000"/>
          <w:kern w:val="0"/>
          <w:sz w:val="24"/>
          <w:szCs w:val="24"/>
          <w:lang w:eastAsia="zh-CN"/>
        </w:rPr>
      </w:pPr>
      <w:r>
        <w:rPr>
          <w:rFonts w:ascii="宋体" w:hAnsi="宋体" w:cs="宋体"/>
          <w:kern w:val="0"/>
          <w:sz w:val="24"/>
          <w:szCs w:val="24"/>
        </w:rPr>
        <w:t>2．</w:t>
      </w:r>
      <w:r>
        <w:rPr>
          <w:rFonts w:hint="eastAsia" w:ascii="宋体" w:hAnsi="宋体" w:cs="宋体"/>
          <w:bCs/>
          <w:sz w:val="24"/>
          <w:szCs w:val="24"/>
        </w:rPr>
        <w:t>根据《关于调整安全文明施工基本费组成及费率的通知》（浙建建发[2022]37号），安全文明施工基本费报价不得低于《浙江省建设工程计价规则》（2018版）中规定的弹性费率下限取费基数乘以1.15</w:t>
      </w:r>
      <w:r>
        <w:rPr>
          <w:rFonts w:hint="eastAsia" w:ascii="宋体" w:hAnsi="宋体" w:eastAsia="宋体" w:cs="宋体"/>
          <w:bCs/>
          <w:sz w:val="24"/>
          <w:szCs w:val="24"/>
        </w:rPr>
        <w:t>。按照本项目地理位置情况确定为</w:t>
      </w:r>
      <w:r>
        <w:rPr>
          <w:rFonts w:hint="eastAsia" w:ascii="宋体" w:hAnsi="宋体" w:eastAsia="宋体" w:cs="宋体"/>
          <w:bCs/>
          <w:sz w:val="24"/>
          <w:szCs w:val="24"/>
          <w:highlight w:val="none"/>
        </w:rPr>
        <w:t>市区</w:t>
      </w:r>
      <w:r>
        <w:rPr>
          <w:rFonts w:hint="eastAsia" w:ascii="宋体" w:hAnsi="宋体" w:eastAsia="宋体" w:cs="宋体"/>
          <w:bCs/>
          <w:sz w:val="24"/>
          <w:szCs w:val="24"/>
        </w:rPr>
        <w:t>工</w:t>
      </w:r>
      <w:r>
        <w:rPr>
          <w:rFonts w:hint="eastAsia" w:ascii="宋体" w:hAnsi="宋体" w:cs="宋体"/>
          <w:bCs/>
          <w:sz w:val="24"/>
          <w:szCs w:val="24"/>
        </w:rPr>
        <w:t>程。各专业工程取费基数均为“分部分项工程费和施工技术措施项目费”计价中的“人工费+机械费”之和</w:t>
      </w:r>
      <w:r>
        <w:rPr>
          <w:rFonts w:hint="eastAsia" w:ascii="宋体" w:hAnsi="宋体" w:cs="宋体"/>
          <w:bCs/>
          <w:sz w:val="24"/>
          <w:szCs w:val="24"/>
          <w:lang w:eastAsia="zh-CN"/>
        </w:rPr>
        <w:t>。</w:t>
      </w:r>
    </w:p>
    <w:p w14:paraId="021EDA2F">
      <w:pPr>
        <w:numPr>
          <w:ilvl w:val="1"/>
          <w:numId w:val="0"/>
        </w:numPr>
        <w:spacing w:line="440" w:lineRule="exact"/>
        <w:ind w:left="0" w:firstLine="480" w:firstLineChars="200"/>
        <w:rPr>
          <w:rFonts w:hint="eastAsia" w:ascii="宋体" w:hAnsi="宋体" w:eastAsia="宋体" w:cs="宋体"/>
          <w:color w:val="FF0000"/>
          <w:kern w:val="0"/>
          <w:sz w:val="24"/>
          <w:szCs w:val="24"/>
          <w:lang w:eastAsia="zh-CN"/>
        </w:rPr>
      </w:pPr>
      <w:r>
        <w:rPr>
          <w:rFonts w:hint="eastAsia" w:ascii="宋体" w:hAnsi="宋体" w:cs="宋体"/>
          <w:bCs/>
          <w:sz w:val="24"/>
          <w:szCs w:val="24"/>
        </w:rPr>
        <w:t>（1）</w:t>
      </w:r>
      <w:r>
        <w:rPr>
          <w:rFonts w:hint="eastAsia" w:ascii="宋体" w:hAnsi="宋体" w:cs="宋体"/>
          <w:bCs/>
          <w:sz w:val="24"/>
          <w:szCs w:val="24"/>
          <w:lang w:val="en-US" w:eastAsia="zh-CN"/>
        </w:rPr>
        <w:t>单独</w:t>
      </w:r>
      <w:r>
        <w:rPr>
          <w:rFonts w:hint="eastAsia" w:ascii="宋体" w:hAnsi="宋体" w:cs="宋体"/>
          <w:bCs/>
          <w:color w:val="000000"/>
          <w:sz w:val="24"/>
          <w:szCs w:val="24"/>
        </w:rPr>
        <w:t>装饰工程费率不得低于5.91%</w:t>
      </w:r>
      <w:r>
        <w:rPr>
          <w:rFonts w:hint="eastAsia" w:ascii="宋体" w:hAnsi="宋体" w:cs="宋体"/>
          <w:bCs/>
          <w:color w:val="000000"/>
          <w:sz w:val="24"/>
          <w:szCs w:val="24"/>
          <w:lang w:eastAsia="zh-CN"/>
        </w:rPr>
        <w:t>。</w:t>
      </w:r>
    </w:p>
    <w:p w14:paraId="736C02D7">
      <w:pPr>
        <w:numPr>
          <w:ilvl w:val="1"/>
          <w:numId w:val="0"/>
        </w:numPr>
        <w:spacing w:line="440" w:lineRule="exact"/>
        <w:ind w:left="0" w:firstLine="480" w:firstLineChars="200"/>
        <w:rPr>
          <w:rFonts w:hint="eastAsia" w:ascii="宋体" w:hAnsi="宋体" w:eastAsia="宋体" w:cs="宋体"/>
          <w:color w:val="FF0000"/>
          <w:kern w:val="0"/>
          <w:sz w:val="24"/>
          <w:szCs w:val="24"/>
          <w:lang w:eastAsia="zh-CN"/>
        </w:rPr>
      </w:pPr>
      <w:r>
        <w:rPr>
          <w:rFonts w:hint="eastAsia" w:ascii="宋体" w:hAnsi="宋体" w:cs="宋体"/>
          <w:bCs/>
          <w:sz w:val="24"/>
          <w:szCs w:val="24"/>
        </w:rPr>
        <w:t>（2）</w:t>
      </w:r>
      <w:r>
        <w:rPr>
          <w:rFonts w:hint="eastAsia" w:ascii="宋体" w:hAnsi="宋体" w:cs="宋体"/>
          <w:bCs/>
          <w:color w:val="000000"/>
          <w:sz w:val="24"/>
          <w:szCs w:val="24"/>
          <w:lang w:val="en-US" w:eastAsia="zh-CN"/>
        </w:rPr>
        <w:t>通用</w:t>
      </w:r>
      <w:r>
        <w:rPr>
          <w:rFonts w:hint="eastAsia" w:ascii="宋体" w:hAnsi="宋体" w:cs="宋体"/>
          <w:bCs/>
          <w:color w:val="000000"/>
          <w:sz w:val="24"/>
          <w:szCs w:val="24"/>
        </w:rPr>
        <w:t>安装工程</w:t>
      </w:r>
      <w:r>
        <w:rPr>
          <w:rFonts w:hint="eastAsia" w:ascii="宋体" w:hAnsi="宋体" w:cs="宋体"/>
          <w:color w:val="000000"/>
          <w:kern w:val="0"/>
          <w:sz w:val="24"/>
          <w:szCs w:val="24"/>
        </w:rPr>
        <w:t>费率不得低于7.3</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w:t>
      </w:r>
      <w:r>
        <w:rPr>
          <w:rFonts w:hint="eastAsia" w:ascii="宋体" w:hAnsi="宋体" w:cs="宋体"/>
          <w:color w:val="000000"/>
          <w:kern w:val="0"/>
          <w:sz w:val="24"/>
          <w:szCs w:val="24"/>
          <w:lang w:eastAsia="zh-CN"/>
        </w:rPr>
        <w:t>。</w:t>
      </w:r>
    </w:p>
    <w:p w14:paraId="58A2296F">
      <w:pPr>
        <w:spacing w:line="440" w:lineRule="exact"/>
        <w:ind w:firstLine="480" w:firstLineChars="200"/>
        <w:rPr>
          <w:rFonts w:hint="eastAsia" w:ascii="宋体" w:hAnsi="宋体" w:eastAsia="宋体" w:cs="宋体"/>
          <w:color w:val="000000"/>
          <w:kern w:val="0"/>
          <w:sz w:val="24"/>
          <w:szCs w:val="24"/>
          <w:lang w:eastAsia="zh-CN"/>
        </w:rPr>
      </w:pPr>
      <w:r>
        <w:rPr>
          <w:rFonts w:ascii="宋体" w:hAnsi="宋体" w:cs="宋体"/>
          <w:kern w:val="0"/>
          <w:sz w:val="24"/>
          <w:szCs w:val="24"/>
        </w:rPr>
        <w:t>3．</w:t>
      </w:r>
      <w:r>
        <w:rPr>
          <w:rFonts w:hint="eastAsia" w:ascii="宋体" w:hAnsi="宋体" w:cs="宋体"/>
          <w:color w:val="000000"/>
          <w:kern w:val="0"/>
          <w:sz w:val="24"/>
          <w:szCs w:val="24"/>
        </w:rPr>
        <w:t>规费费率按照</w:t>
      </w:r>
      <w:r>
        <w:rPr>
          <w:rFonts w:hint="eastAsia" w:ascii="宋体" w:hAnsi="宋体" w:cs="宋体"/>
          <w:color w:val="000000"/>
          <w:sz w:val="24"/>
          <w:szCs w:val="24"/>
        </w:rPr>
        <w:t>《浙江省建设工程计价规则》（2018版）</w:t>
      </w:r>
      <w:r>
        <w:rPr>
          <w:rFonts w:hint="eastAsia" w:ascii="宋体" w:hAnsi="宋体" w:cs="宋体"/>
          <w:color w:val="000000"/>
          <w:kern w:val="0"/>
          <w:sz w:val="24"/>
          <w:szCs w:val="24"/>
        </w:rPr>
        <w:t>规定计取，取费基数为"人工费+机械费"。投标人根据国家法律法规及自身缴纳规费的实际情况自主确定其投标费率，但在规费政策平稳过渡期内不得低于标准费率的30%，</w:t>
      </w:r>
      <w:r>
        <w:rPr>
          <w:rFonts w:hint="eastAsia" w:ascii="宋体" w:hAnsi="宋体" w:cs="宋体"/>
          <w:bCs/>
          <w:color w:val="000000"/>
          <w:sz w:val="24"/>
          <w:szCs w:val="24"/>
        </w:rPr>
        <w:t>建筑装饰工程</w:t>
      </w:r>
      <w:r>
        <w:rPr>
          <w:rFonts w:hint="eastAsia" w:ascii="宋体" w:hAnsi="宋体" w:cs="宋体"/>
          <w:color w:val="000000"/>
          <w:kern w:val="0"/>
          <w:sz w:val="24"/>
          <w:szCs w:val="24"/>
        </w:rPr>
        <w:t>费率</w:t>
      </w:r>
      <w:r>
        <w:rPr>
          <w:rFonts w:hint="eastAsia" w:ascii="宋体" w:hAnsi="宋体" w:cs="宋体"/>
          <w:sz w:val="24"/>
          <w:szCs w:val="24"/>
        </w:rPr>
        <w:t>不得低于</w:t>
      </w:r>
      <w:r>
        <w:rPr>
          <w:rFonts w:hint="eastAsia" w:ascii="宋体" w:hAnsi="宋体" w:cs="宋体"/>
          <w:color w:val="000000"/>
          <w:kern w:val="0"/>
          <w:sz w:val="24"/>
          <w:szCs w:val="24"/>
          <w:lang w:val="en-US" w:eastAsia="zh-CN"/>
        </w:rPr>
        <w:t>8.38</w:t>
      </w:r>
      <w:r>
        <w:rPr>
          <w:rFonts w:hint="eastAsia" w:ascii="宋体" w:hAnsi="宋体" w:cs="宋体"/>
          <w:color w:val="000000"/>
          <w:kern w:val="0"/>
          <w:sz w:val="24"/>
          <w:szCs w:val="24"/>
        </w:rPr>
        <w:t>%，</w:t>
      </w:r>
      <w:r>
        <w:rPr>
          <w:rFonts w:hint="eastAsia" w:ascii="宋体" w:hAnsi="宋体" w:cs="宋体"/>
          <w:bCs/>
          <w:color w:val="000000"/>
          <w:sz w:val="24"/>
          <w:szCs w:val="24"/>
        </w:rPr>
        <w:t>安装工程</w:t>
      </w:r>
      <w:r>
        <w:rPr>
          <w:rFonts w:hint="eastAsia" w:ascii="宋体" w:hAnsi="宋体" w:cs="宋体"/>
          <w:color w:val="000000"/>
          <w:kern w:val="0"/>
          <w:sz w:val="24"/>
          <w:szCs w:val="24"/>
        </w:rPr>
        <w:t>费率</w:t>
      </w:r>
      <w:r>
        <w:rPr>
          <w:rFonts w:hint="eastAsia" w:ascii="宋体" w:hAnsi="宋体" w:cs="宋体"/>
          <w:sz w:val="24"/>
          <w:szCs w:val="24"/>
        </w:rPr>
        <w:t>不得低于</w:t>
      </w:r>
      <w:r>
        <w:rPr>
          <w:rFonts w:hint="eastAsia" w:ascii="宋体" w:hAnsi="宋体" w:cs="宋体"/>
          <w:color w:val="000000"/>
          <w:kern w:val="0"/>
          <w:sz w:val="24"/>
          <w:szCs w:val="24"/>
          <w:lang w:val="en-US" w:eastAsia="zh-CN"/>
        </w:rPr>
        <w:t>9.19</w:t>
      </w:r>
      <w:r>
        <w:rPr>
          <w:rFonts w:hint="eastAsia" w:ascii="宋体" w:hAnsi="宋体" w:cs="宋体"/>
          <w:color w:val="000000"/>
          <w:kern w:val="0"/>
          <w:sz w:val="24"/>
          <w:szCs w:val="24"/>
        </w:rPr>
        <w:t>%</w:t>
      </w:r>
      <w:r>
        <w:rPr>
          <w:rFonts w:hint="eastAsia" w:ascii="宋体" w:hAnsi="宋体" w:cs="宋体"/>
          <w:bCs/>
          <w:color w:val="000000"/>
          <w:sz w:val="24"/>
          <w:szCs w:val="24"/>
          <w:lang w:eastAsia="zh-CN"/>
        </w:rPr>
        <w:t>。</w:t>
      </w:r>
    </w:p>
    <w:p w14:paraId="300AFB2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eastAsia="zh-CN"/>
        </w:rPr>
      </w:pPr>
      <w:r>
        <w:rPr>
          <w:rFonts w:ascii="宋体" w:hAnsi="宋体" w:cs="宋体"/>
          <w:kern w:val="0"/>
          <w:sz w:val="24"/>
          <w:szCs w:val="24"/>
        </w:rPr>
        <w:t>4．</w:t>
      </w:r>
      <w:r>
        <w:rPr>
          <w:rFonts w:hint="eastAsia" w:ascii="宋体" w:hAnsi="宋体" w:cs="宋体"/>
          <w:color w:val="000000"/>
          <w:kern w:val="0"/>
          <w:sz w:val="24"/>
          <w:szCs w:val="24"/>
        </w:rPr>
        <w:t>该工程采用一般计税方法计算。税金按浙江省住房和城乡建设厅文件浙建建发 (2019)92号“关于增值税调整后我省建设工程计价依据增值税税率及有关计价调整的通知”计取，税率为9%</w:t>
      </w:r>
      <w:r>
        <w:rPr>
          <w:rFonts w:hint="eastAsia" w:ascii="宋体" w:hAnsi="宋体" w:cs="宋体"/>
          <w:color w:val="000000"/>
          <w:kern w:val="0"/>
          <w:sz w:val="24"/>
          <w:szCs w:val="24"/>
          <w:lang w:eastAsia="zh-CN"/>
        </w:rPr>
        <w:t>。</w:t>
      </w:r>
    </w:p>
    <w:p w14:paraId="1A08E33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eastAsia="zh-CN"/>
        </w:rPr>
      </w:pPr>
      <w:r>
        <w:rPr>
          <w:rFonts w:ascii="宋体" w:hAnsi="宋体" w:cs="宋体"/>
          <w:kern w:val="0"/>
          <w:sz w:val="24"/>
          <w:szCs w:val="24"/>
        </w:rPr>
        <w:t>5．</w:t>
      </w:r>
      <w:r>
        <w:rPr>
          <w:rFonts w:hint="eastAsia" w:ascii="宋体" w:hAnsi="宋体" w:cs="宋体"/>
          <w:bCs/>
          <w:sz w:val="24"/>
          <w:szCs w:val="24"/>
          <w:highlight w:val="none"/>
        </w:rPr>
        <w:t>安全生产责任保险费率按照杭建招标造价中心〔2021〕84号“关于明确杭州市建筑施工领域安全生产责任保险费用计取的通知”</w:t>
      </w:r>
      <w:r>
        <w:rPr>
          <w:rFonts w:hint="eastAsia" w:ascii="宋体" w:hAnsi="宋体" w:cs="宋体"/>
          <w:bCs/>
          <w:sz w:val="24"/>
          <w:szCs w:val="24"/>
          <w:highlight w:val="none"/>
          <w:lang w:val="en-US" w:eastAsia="zh-CN"/>
        </w:rPr>
        <w:t>，</w:t>
      </w:r>
      <w:r>
        <w:rPr>
          <w:rFonts w:hint="eastAsia" w:ascii="宋体" w:hAnsi="宋体" w:cs="宋体"/>
          <w:bCs/>
          <w:sz w:val="24"/>
          <w:szCs w:val="24"/>
          <w:highlight w:val="none"/>
        </w:rPr>
        <w:t>投标人在投标报价时，应结合工程实际和企业信用状况将安责险列入企业管理费中进行自主报价</w:t>
      </w:r>
      <w:r>
        <w:rPr>
          <w:rFonts w:hint="eastAsia" w:ascii="宋体" w:hAnsi="宋体" w:cs="宋体"/>
          <w:bCs/>
          <w:sz w:val="24"/>
          <w:szCs w:val="24"/>
          <w:highlight w:val="none"/>
          <w:lang w:eastAsia="zh-CN"/>
        </w:rPr>
        <w:t>。</w:t>
      </w:r>
    </w:p>
    <w:p w14:paraId="4284EAB2">
      <w:pPr>
        <w:spacing w:line="440" w:lineRule="exact"/>
        <w:ind w:firstLine="480" w:firstLineChars="200"/>
        <w:rPr>
          <w:rFonts w:hint="eastAsia" w:ascii="宋体" w:hAnsi="宋体" w:eastAsia="宋体" w:cs="宋体"/>
          <w:color w:val="FF0000"/>
          <w:kern w:val="0"/>
          <w:sz w:val="24"/>
          <w:szCs w:val="24"/>
          <w:lang w:eastAsia="zh-CN"/>
        </w:rPr>
      </w:pP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．本工程报价不考虑标化工地增加费及优质工程增加费</w:t>
      </w:r>
      <w:r>
        <w:rPr>
          <w:rFonts w:hint="eastAsia" w:ascii="宋体" w:hAnsi="宋体" w:cs="宋体"/>
          <w:color w:val="000000"/>
          <w:kern w:val="0"/>
          <w:sz w:val="24"/>
          <w:szCs w:val="24"/>
          <w:lang w:eastAsia="zh-CN"/>
        </w:rPr>
        <w:t>。</w:t>
      </w:r>
    </w:p>
    <w:p w14:paraId="1893B429">
      <w:pPr>
        <w:spacing w:line="360" w:lineRule="auto"/>
        <w:ind w:firstLine="241" w:firstLineChars="100"/>
        <w:rPr>
          <w:rFonts w:hint="eastAsia" w:ascii="宋体" w:hAnsi="宋体" w:cs="宋体"/>
          <w:b/>
          <w:bCs/>
          <w:kern w:val="0"/>
          <w:sz w:val="24"/>
          <w:szCs w:val="24"/>
        </w:rPr>
      </w:pPr>
      <w:r>
        <w:rPr>
          <w:rFonts w:hint="eastAsia" w:ascii="宋体" w:hAnsi="宋体" w:cs="宋体"/>
          <w:b/>
          <w:bCs/>
          <w:kern w:val="0"/>
          <w:sz w:val="24"/>
          <w:szCs w:val="24"/>
        </w:rPr>
        <w:t>（二）各单体及专业工程计量说明</w:t>
      </w:r>
    </w:p>
    <w:p w14:paraId="64EDD588">
      <w:pPr>
        <w:numPr>
          <w:ilvl w:val="0"/>
          <w:numId w:val="4"/>
        </w:num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根据设计意见，本项目洗手台不锈钢挡板按1.2mm计入。</w:t>
      </w:r>
    </w:p>
    <w:p w14:paraId="473B7919">
      <w:pPr>
        <w:numPr>
          <w:ilvl w:val="0"/>
          <w:numId w:val="4"/>
        </w:num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根据设计意见，本项目窗帘盒基层板按12厚石膏基纤维板+12厚纸面石膏板。</w:t>
      </w:r>
    </w:p>
    <w:p w14:paraId="55DDEA07">
      <w:pPr>
        <w:numPr>
          <w:ilvl w:val="0"/>
          <w:numId w:val="4"/>
        </w:num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金属踢脚线按9mm阻燃板基层+1.2mm不锈钢面层计入。</w:t>
      </w:r>
    </w:p>
    <w:p w14:paraId="6A9E708E">
      <w:pPr>
        <w:numPr>
          <w:ilvl w:val="0"/>
          <w:numId w:val="4"/>
        </w:num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智能门锁按保护性拆除移位安装考虑。</w:t>
      </w:r>
    </w:p>
    <w:p w14:paraId="6AA03DCD">
      <w:pPr>
        <w:numPr>
          <w:ilvl w:val="0"/>
          <w:numId w:val="4"/>
        </w:num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根据设计意见，窗帘按单轨布艺窗帘计入。</w:t>
      </w:r>
    </w:p>
    <w:p w14:paraId="32925F3E">
      <w:pPr>
        <w:numPr>
          <w:ilvl w:val="0"/>
          <w:numId w:val="4"/>
        </w:num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墙面、天棚涂料按2遍计入。</w:t>
      </w:r>
    </w:p>
    <w:p w14:paraId="2153D3E3">
      <w:pPr>
        <w:numPr>
          <w:ilvl w:val="0"/>
          <w:numId w:val="4"/>
        </w:num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暂列金额按不含税22000元计入。</w:t>
      </w:r>
      <w:bookmarkStart w:id="2" w:name="_GoBack"/>
      <w:bookmarkEnd w:id="2"/>
    </w:p>
    <w:p w14:paraId="5384E371">
      <w:pPr>
        <w:spacing w:line="360" w:lineRule="auto"/>
        <w:rPr>
          <w:rFonts w:hint="eastAsia" w:ascii="宋体" w:hAnsi="宋体" w:cs="宋体"/>
          <w:b/>
          <w:bCs/>
          <w:color w:val="000000"/>
          <w:kern w:val="0"/>
          <w:sz w:val="24"/>
          <w:szCs w:val="24"/>
        </w:rPr>
      </w:pPr>
      <w:r>
        <w:rPr>
          <w:rFonts w:hint="eastAsia" w:ascii="宋体" w:hAnsi="宋体" w:cs="宋体"/>
          <w:b/>
          <w:bCs/>
          <w:kern w:val="0"/>
          <w:sz w:val="24"/>
          <w:szCs w:val="24"/>
        </w:rPr>
        <w:t>（三）报价说明</w:t>
      </w:r>
    </w:p>
    <w:p w14:paraId="476C7440">
      <w:pPr>
        <w:numPr>
          <w:ilvl w:val="0"/>
          <w:numId w:val="5"/>
        </w:numPr>
        <w:spacing w:line="360" w:lineRule="auto"/>
        <w:ind w:firstLine="480" w:firstLineChars="200"/>
        <w:rPr>
          <w:rFonts w:hint="eastAsia" w:ascii="宋体" w:hAnsi="宋体" w:cs="宋体"/>
          <w:sz w:val="24"/>
          <w:szCs w:val="24"/>
        </w:rPr>
      </w:pPr>
      <w:r>
        <w:rPr>
          <w:rFonts w:hint="eastAsia" w:ascii="宋体" w:hAnsi="宋体" w:cs="宋体"/>
          <w:sz w:val="24"/>
          <w:szCs w:val="24"/>
        </w:rPr>
        <w:t>投标报价（综合单价）依据招标文件以及招标人提供的工程项目清单、设计施工图纸、设计及施工规范标准等，并结合工程特点、现场勘察情况、市场因素及企业自身情况进行编制，投标人不得修改项目清单的数量和内容</w:t>
      </w:r>
      <w:r>
        <w:rPr>
          <w:rFonts w:hint="eastAsia" w:ascii="宋体" w:hAnsi="宋体" w:cs="宋体"/>
          <w:sz w:val="24"/>
          <w:szCs w:val="24"/>
          <w:lang w:eastAsia="zh-CN"/>
        </w:rPr>
        <w:t>。</w:t>
      </w:r>
    </w:p>
    <w:p w14:paraId="5FEDE148">
      <w:pPr>
        <w:numPr>
          <w:ilvl w:val="0"/>
          <w:numId w:val="5"/>
        </w:numPr>
        <w:spacing w:line="360" w:lineRule="auto"/>
        <w:ind w:firstLine="480" w:firstLineChars="200"/>
        <w:rPr>
          <w:rFonts w:hint="eastAsia" w:ascii="宋体" w:hAnsi="宋体" w:cs="宋体"/>
          <w:sz w:val="24"/>
          <w:szCs w:val="24"/>
        </w:rPr>
      </w:pPr>
      <w:r>
        <w:rPr>
          <w:rFonts w:hint="eastAsia" w:ascii="宋体" w:hAnsi="宋体" w:cs="宋体"/>
          <w:sz w:val="24"/>
          <w:szCs w:val="24"/>
        </w:rPr>
        <w:t>招标文件中招标范围及《发包人要求》中的所有内容均需在本次报价中自行考虑，招标清单（工程量及做法）仅作为报价参考，投标人认为需要增加的费用项目可自行添加，并列明该项目的名称及金额，未列明的，考虑已自行计算在报价中，结算不再另行计算费用</w:t>
      </w:r>
      <w:r>
        <w:rPr>
          <w:rFonts w:hint="eastAsia" w:ascii="宋体" w:hAnsi="宋体" w:cs="宋体"/>
          <w:sz w:val="24"/>
          <w:szCs w:val="24"/>
          <w:lang w:eastAsia="zh-CN"/>
        </w:rPr>
        <w:t>。</w:t>
      </w:r>
    </w:p>
    <w:p w14:paraId="5B722785">
      <w:pPr>
        <w:numPr>
          <w:ilvl w:val="0"/>
          <w:numId w:val="5"/>
        </w:numPr>
        <w:spacing w:line="360" w:lineRule="auto"/>
        <w:ind w:firstLine="480" w:firstLineChars="200"/>
        <w:rPr>
          <w:rFonts w:hint="eastAsia" w:ascii="宋体" w:hAnsi="宋体" w:cs="宋体"/>
          <w:sz w:val="24"/>
          <w:szCs w:val="24"/>
        </w:rPr>
      </w:pPr>
      <w:r>
        <w:rPr>
          <w:rFonts w:hint="eastAsia" w:ascii="宋体" w:hAnsi="宋体" w:cs="宋体"/>
          <w:sz w:val="24"/>
          <w:szCs w:val="24"/>
        </w:rPr>
        <w:t>清单措施费用由投标单位根据自行踏勘现场及自行编制的施工组织设计报价，投标人要对本工程可能发生的措施项目和措施费用做综合考虑，一旦报价即被认为包括了所有应该发生的措施项目的全部费用，结算时不再调整</w:t>
      </w:r>
      <w:r>
        <w:rPr>
          <w:rFonts w:hint="eastAsia" w:ascii="宋体" w:hAnsi="宋体" w:cs="宋体"/>
          <w:sz w:val="24"/>
          <w:szCs w:val="24"/>
          <w:lang w:eastAsia="zh-CN"/>
        </w:rPr>
        <w:t>。</w:t>
      </w:r>
    </w:p>
    <w:p w14:paraId="6839DA73">
      <w:pPr>
        <w:numPr>
          <w:ilvl w:val="0"/>
          <w:numId w:val="5"/>
        </w:numPr>
        <w:spacing w:line="360" w:lineRule="auto"/>
        <w:ind w:firstLine="480" w:firstLineChars="200"/>
        <w:rPr>
          <w:rFonts w:hint="eastAsia" w:ascii="宋体" w:hAnsi="宋体" w:cs="宋体"/>
          <w:sz w:val="24"/>
          <w:szCs w:val="24"/>
        </w:rPr>
      </w:pPr>
      <w:r>
        <w:rPr>
          <w:rFonts w:hint="eastAsia" w:ascii="宋体" w:hAnsi="宋体" w:cs="宋体"/>
          <w:sz w:val="24"/>
          <w:szCs w:val="24"/>
        </w:rPr>
        <w:t>工程检测、材料试验费含常规、非常规实验等费用，要通过质检站验收所必须检测的全部检验费用，由投标单位总价包干，招标人不承担任何费用</w:t>
      </w:r>
      <w:r>
        <w:rPr>
          <w:rFonts w:hint="eastAsia" w:ascii="宋体" w:hAnsi="宋体" w:cs="宋体"/>
          <w:sz w:val="24"/>
          <w:szCs w:val="24"/>
          <w:lang w:eastAsia="zh-CN"/>
        </w:rPr>
        <w:t>。</w:t>
      </w:r>
    </w:p>
    <w:p w14:paraId="7AE4EBEB">
      <w:pPr>
        <w:numPr>
          <w:ilvl w:val="0"/>
          <w:numId w:val="5"/>
        </w:numPr>
        <w:spacing w:line="360" w:lineRule="auto"/>
        <w:ind w:firstLine="480" w:firstLineChars="200"/>
        <w:rPr>
          <w:rFonts w:hint="eastAsia" w:ascii="宋体" w:hAnsi="宋体" w:cs="宋体"/>
          <w:sz w:val="24"/>
          <w:szCs w:val="24"/>
        </w:rPr>
      </w:pPr>
      <w:r>
        <w:rPr>
          <w:rFonts w:hint="eastAsia" w:ascii="宋体" w:hAnsi="宋体" w:cs="宋体"/>
          <w:sz w:val="24"/>
          <w:szCs w:val="24"/>
        </w:rPr>
        <w:t>工程量清单中所列项目的工程量以实体工程编制，并已按照常规施工方案计取各种损耗和需要增加的工程量，招标人不为非实体项目增加费用</w:t>
      </w:r>
      <w:r>
        <w:rPr>
          <w:rFonts w:hint="eastAsia" w:ascii="宋体" w:hAnsi="宋体" w:cs="宋体"/>
          <w:sz w:val="24"/>
          <w:szCs w:val="24"/>
          <w:lang w:eastAsia="zh-CN"/>
        </w:rPr>
        <w:t>。</w:t>
      </w:r>
    </w:p>
    <w:p w14:paraId="4C399B13">
      <w:pPr>
        <w:numPr>
          <w:ilvl w:val="0"/>
          <w:numId w:val="5"/>
        </w:numPr>
        <w:spacing w:line="360" w:lineRule="auto"/>
        <w:ind w:firstLine="480" w:firstLineChars="200"/>
        <w:rPr>
          <w:rFonts w:hint="eastAsia" w:ascii="宋体" w:hAnsi="宋体" w:cs="宋体"/>
          <w:sz w:val="24"/>
          <w:szCs w:val="24"/>
        </w:rPr>
      </w:pPr>
      <w:r>
        <w:rPr>
          <w:rFonts w:hint="eastAsia" w:ascii="宋体" w:hAnsi="宋体" w:cs="宋体"/>
          <w:sz w:val="24"/>
          <w:szCs w:val="24"/>
        </w:rPr>
        <w:t>本工程内，所有按“项”报价的子目，投标人均应结合招标文件、技术规范、设计施工图纸和现场勘察情况，谨慎仔细，一切损耗及发生的所有费用均已包括在综合单价中，中标后无论是否发生变更均不予调整</w:t>
      </w:r>
      <w:r>
        <w:rPr>
          <w:rFonts w:hint="eastAsia" w:ascii="宋体" w:hAnsi="宋体" w:cs="宋体"/>
          <w:sz w:val="24"/>
          <w:szCs w:val="24"/>
          <w:lang w:eastAsia="zh-CN"/>
        </w:rPr>
        <w:t>。</w:t>
      </w:r>
    </w:p>
    <w:p w14:paraId="126E9E9A">
      <w:pPr>
        <w:numPr>
          <w:ilvl w:val="0"/>
          <w:numId w:val="5"/>
        </w:numPr>
        <w:spacing w:line="360" w:lineRule="auto"/>
        <w:ind w:firstLine="480" w:firstLineChars="200"/>
        <w:rPr>
          <w:rFonts w:hint="eastAsia" w:ascii="宋体" w:hAnsi="宋体" w:cs="宋体"/>
          <w:sz w:val="24"/>
          <w:szCs w:val="24"/>
        </w:rPr>
      </w:pPr>
      <w:r>
        <w:rPr>
          <w:rFonts w:hint="eastAsia" w:ascii="宋体" w:hAnsi="宋体" w:cs="宋体"/>
          <w:sz w:val="24"/>
          <w:szCs w:val="24"/>
        </w:rPr>
        <w:t>大型会议、活动、考试等涉及的停工、临时交通管制所产生的费用，费用投标单位自行计算并计入报价中，中标后不做调整</w:t>
      </w:r>
      <w:r>
        <w:rPr>
          <w:rFonts w:hint="eastAsia" w:ascii="宋体" w:hAnsi="宋体" w:cs="宋体"/>
          <w:sz w:val="24"/>
          <w:szCs w:val="24"/>
          <w:lang w:eastAsia="zh-CN"/>
        </w:rPr>
        <w:t>。</w:t>
      </w:r>
    </w:p>
    <w:p w14:paraId="0E935201">
      <w:pPr>
        <w:numPr>
          <w:ilvl w:val="0"/>
          <w:numId w:val="5"/>
        </w:numPr>
        <w:spacing w:line="360" w:lineRule="auto"/>
        <w:ind w:firstLine="480" w:firstLineChars="200"/>
        <w:rPr>
          <w:rFonts w:hint="eastAsia" w:ascii="宋体" w:hAnsi="宋体" w:cs="宋体"/>
          <w:sz w:val="24"/>
          <w:szCs w:val="24"/>
        </w:rPr>
      </w:pPr>
      <w:r>
        <w:rPr>
          <w:rFonts w:hint="eastAsia" w:ascii="宋体" w:hAnsi="宋体" w:cs="宋体"/>
          <w:sz w:val="24"/>
          <w:szCs w:val="24"/>
        </w:rPr>
        <w:t>由政府部门要求配套并实施的工程，如燃气、数字电视、电信、电力、给水工程等，总承包人须免收总包服务费，并免费提供用水用电及临时用房、封堵、修补（含材料、人工等），相关费用已在合同总价中综合考虑</w:t>
      </w:r>
      <w:r>
        <w:rPr>
          <w:rFonts w:hint="eastAsia" w:ascii="宋体" w:hAnsi="宋体" w:cs="宋体"/>
          <w:sz w:val="24"/>
          <w:szCs w:val="24"/>
          <w:lang w:eastAsia="zh-CN"/>
        </w:rPr>
        <w:t>。</w:t>
      </w:r>
    </w:p>
    <w:p w14:paraId="246AC2F5">
      <w:pPr>
        <w:numPr>
          <w:ilvl w:val="0"/>
          <w:numId w:val="5"/>
        </w:numPr>
        <w:spacing w:line="360" w:lineRule="auto"/>
        <w:ind w:firstLine="480" w:firstLineChars="200"/>
        <w:rPr>
          <w:rFonts w:hint="eastAsia" w:ascii="宋体" w:hAnsi="宋体" w:cs="宋体"/>
          <w:sz w:val="24"/>
          <w:szCs w:val="24"/>
        </w:rPr>
      </w:pPr>
      <w:r>
        <w:rPr>
          <w:rFonts w:hint="eastAsia" w:ascii="宋体" w:hAnsi="宋体" w:cs="宋体"/>
          <w:sz w:val="24"/>
          <w:szCs w:val="24"/>
        </w:rPr>
        <w:t>本工程中所有吊顶、隔断、墙面、地面及其他部位等需要安装相关设备、灯具等而需在相关面层上预留孔洞或者开孔的，不同材料交接处打胶、阴阳角处理等，投标人应综合考虑，费用计入所涉及项目综合单价</w:t>
      </w:r>
      <w:r>
        <w:rPr>
          <w:rFonts w:hint="eastAsia" w:ascii="宋体" w:hAnsi="宋体" w:cs="宋体"/>
          <w:sz w:val="24"/>
          <w:szCs w:val="24"/>
          <w:lang w:eastAsia="zh-CN"/>
        </w:rPr>
        <w:t>。</w:t>
      </w:r>
    </w:p>
    <w:p w14:paraId="49531C69">
      <w:pPr>
        <w:numPr>
          <w:ilvl w:val="0"/>
          <w:numId w:val="5"/>
        </w:numPr>
        <w:spacing w:line="360" w:lineRule="auto"/>
        <w:ind w:firstLine="480" w:firstLineChars="200"/>
        <w:rPr>
          <w:rFonts w:hint="eastAsia" w:ascii="宋体" w:hAnsi="宋体" w:cs="宋体"/>
          <w:sz w:val="24"/>
          <w:szCs w:val="24"/>
        </w:rPr>
      </w:pPr>
      <w:r>
        <w:rPr>
          <w:rFonts w:hint="eastAsia" w:ascii="宋体" w:hAnsi="宋体" w:cs="宋体"/>
          <w:sz w:val="24"/>
          <w:szCs w:val="24"/>
        </w:rPr>
        <w:t>工程中所有的孔洞须修补完毕并满足建筑、防渗水、防火要求，费用投标单位自行计算并计入报价中，中标后不做调整</w:t>
      </w:r>
      <w:r>
        <w:rPr>
          <w:rFonts w:hint="eastAsia" w:ascii="宋体" w:hAnsi="宋体" w:cs="宋体"/>
          <w:sz w:val="24"/>
          <w:szCs w:val="24"/>
          <w:lang w:eastAsia="zh-CN"/>
        </w:rPr>
        <w:t>。</w:t>
      </w:r>
    </w:p>
    <w:p w14:paraId="35543BFE">
      <w:pPr>
        <w:numPr>
          <w:ilvl w:val="0"/>
          <w:numId w:val="5"/>
        </w:numPr>
        <w:spacing w:line="360" w:lineRule="auto"/>
        <w:ind w:firstLine="480" w:firstLineChars="200"/>
        <w:rPr>
          <w:rFonts w:hint="eastAsia" w:ascii="宋体" w:hAnsi="宋体" w:cs="宋体"/>
          <w:sz w:val="24"/>
          <w:szCs w:val="24"/>
        </w:rPr>
      </w:pPr>
      <w:r>
        <w:rPr>
          <w:rFonts w:hint="eastAsia" w:ascii="宋体" w:hAnsi="宋体" w:cs="宋体"/>
          <w:sz w:val="24"/>
          <w:szCs w:val="24"/>
        </w:rPr>
        <w:t>未尽事宜，请参考招标文件合同专用条款。</w:t>
      </w:r>
    </w:p>
    <w:p w14:paraId="3A59533D">
      <w:pPr>
        <w:spacing w:line="440" w:lineRule="exact"/>
        <w:rPr>
          <w:rFonts w:hint="eastAsia" w:ascii="宋体" w:hAnsi="宋体" w:cs="宋体"/>
          <w:b/>
          <w:bCs/>
          <w:color w:val="000000"/>
          <w:kern w:val="0"/>
          <w:sz w:val="24"/>
          <w:szCs w:val="24"/>
        </w:rPr>
      </w:pPr>
      <w:r>
        <w:rPr>
          <w:rFonts w:hint="eastAsia" w:ascii="宋体" w:hAnsi="宋体" w:cs="宋体"/>
          <w:b/>
          <w:bCs/>
          <w:color w:val="000000"/>
          <w:kern w:val="0"/>
          <w:sz w:val="24"/>
          <w:szCs w:val="24"/>
        </w:rPr>
        <w:t>（四）材料说明</w:t>
      </w:r>
    </w:p>
    <w:p w14:paraId="0D8C04CD">
      <w:pPr>
        <w:pStyle w:val="21"/>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本招标文件涉及的主要设备材料及零星材料，各投标人须根据设计施工图的要求按中档以上的标准进行选材并报价，所有设备材料要求采用在行业内有较好信誉的品牌，生产厂家必须通过ISO质量认证，严禁选择不合设计要求的低档设备材料进行投标报价及组织施工实施。</w:t>
      </w:r>
    </w:p>
    <w:p w14:paraId="5DF4C792">
      <w:pPr>
        <w:pStyle w:val="21"/>
        <w:numPr>
          <w:ilvl w:val="0"/>
          <w:numId w:val="6"/>
        </w:numPr>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投标人应选择</w:t>
      </w:r>
      <w:r>
        <w:rPr>
          <w:rFonts w:hint="eastAsia" w:ascii="宋体" w:hAnsi="宋体" w:cs="宋体"/>
          <w:sz w:val="24"/>
          <w:szCs w:val="24"/>
        </w:rPr>
        <w:t>《</w:t>
      </w:r>
      <w:r>
        <w:rPr>
          <w:rFonts w:hint="eastAsia" w:ascii="宋体" w:hAnsi="宋体" w:cs="宋体"/>
          <w:bCs/>
          <w:kern w:val="2"/>
          <w:sz w:val="24"/>
          <w:szCs w:val="24"/>
        </w:rPr>
        <w:t>主要材料（设备）品牌</w:t>
      </w:r>
      <w:r>
        <w:rPr>
          <w:rFonts w:hint="eastAsia" w:ascii="宋体" w:hAnsi="宋体" w:cs="宋体"/>
          <w:bCs/>
          <w:sz w:val="24"/>
          <w:szCs w:val="24"/>
        </w:rPr>
        <w:t>表》提供的品牌中的之一或相当于的品牌进入报价，并在《</w:t>
      </w:r>
      <w:r>
        <w:rPr>
          <w:rFonts w:hint="eastAsia" w:ascii="宋体" w:hAnsi="宋体" w:cs="宋体"/>
          <w:bCs/>
          <w:kern w:val="2"/>
          <w:sz w:val="24"/>
          <w:szCs w:val="24"/>
        </w:rPr>
        <w:t>主要材料（设备）品牌</w:t>
      </w:r>
      <w:r>
        <w:rPr>
          <w:rFonts w:hint="eastAsia" w:ascii="宋体" w:hAnsi="宋体" w:cs="宋体"/>
          <w:bCs/>
          <w:sz w:val="24"/>
          <w:szCs w:val="24"/>
        </w:rPr>
        <w:t>表</w:t>
      </w:r>
      <w:r>
        <w:rPr>
          <w:rFonts w:hint="eastAsia" w:ascii="宋体" w:hAnsi="宋体" w:cs="宋体"/>
          <w:sz w:val="24"/>
          <w:szCs w:val="24"/>
        </w:rPr>
        <w:t>》中注明所选品牌</w:t>
      </w:r>
      <w:r>
        <w:rPr>
          <w:rFonts w:hint="eastAsia" w:ascii="宋体" w:hAnsi="宋体" w:cs="宋体"/>
          <w:color w:val="000000"/>
          <w:sz w:val="24"/>
          <w:szCs w:val="24"/>
        </w:rPr>
        <w:t>。</w:t>
      </w:r>
    </w:p>
    <w:p w14:paraId="72190B5C">
      <w:pPr>
        <w:pStyle w:val="21"/>
        <w:numPr>
          <w:ilvl w:val="0"/>
          <w:numId w:val="6"/>
        </w:numPr>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同品牌中有多个系列的应选择中档系列以上。</w:t>
      </w:r>
    </w:p>
    <w:p w14:paraId="0BA8E4AC">
      <w:pPr>
        <w:pStyle w:val="21"/>
        <w:numPr>
          <w:ilvl w:val="0"/>
          <w:numId w:val="6"/>
        </w:numPr>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投标人在投标文件中若提供了招标人推荐品牌外的产品，应同时提供相当于招标人推荐品牌产品的证明材料。评标时，评标委员会应根据投标人的证明材料及专业水平进行谨慎评标。对推荐品牌外产品能否满足招标人要求作出明确说明。</w:t>
      </w:r>
    </w:p>
    <w:p w14:paraId="1DDC8CFC">
      <w:pPr>
        <w:pStyle w:val="21"/>
        <w:numPr>
          <w:ilvl w:val="0"/>
          <w:numId w:val="6"/>
        </w:numPr>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如果施工单位因各种原因采购不到投标时所确定品牌的产品，允许在本说明附件的该材料的其它品牌中选购，但须得到招标人认可，且招标人不承担任何增加费用，若实际市场价格低于投标品牌，按实扣回。</w:t>
      </w:r>
    </w:p>
    <w:p w14:paraId="5AFF5A48">
      <w:pPr>
        <w:pStyle w:val="21"/>
        <w:numPr>
          <w:ilvl w:val="0"/>
          <w:numId w:val="6"/>
        </w:numPr>
        <w:spacing w:line="384"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若投标人未在推荐的范围内选择其一，也未选择与其相当的其他生产厂家或品牌的，中标后，招标人有权在推荐的生产厂家或品牌中任选其一，投标人不得提出异议并不得修改投标价格。</w:t>
      </w:r>
    </w:p>
    <w:p w14:paraId="3E639FE2">
      <w:pPr>
        <w:pStyle w:val="21"/>
        <w:numPr>
          <w:ilvl w:val="0"/>
          <w:numId w:val="6"/>
        </w:numPr>
        <w:spacing w:line="384" w:lineRule="auto"/>
        <w:ind w:firstLine="480" w:firstLineChars="200"/>
        <w:rPr>
          <w:rFonts w:hint="eastAsia" w:ascii="宋体" w:hAnsi="宋体" w:cs="宋体"/>
          <w:b/>
          <w:bCs/>
          <w:color w:val="000000"/>
          <w:sz w:val="24"/>
          <w:szCs w:val="24"/>
        </w:rPr>
      </w:pPr>
      <w:r>
        <w:rPr>
          <w:rFonts w:hint="eastAsia" w:ascii="宋体" w:hAnsi="宋体" w:cs="宋体"/>
          <w:color w:val="000000"/>
          <w:sz w:val="24"/>
          <w:szCs w:val="24"/>
        </w:rPr>
        <w:t>凡招标文件中未写明材料品牌的，均按该材料品牌（价格）中等以上投标报价。</w:t>
      </w:r>
    </w:p>
    <w:p w14:paraId="6DBAA305">
      <w:pPr>
        <w:pStyle w:val="21"/>
        <w:spacing w:line="384" w:lineRule="auto"/>
        <w:jc w:val="center"/>
        <w:rPr>
          <w:rFonts w:hint="eastAsia" w:ascii="宋体" w:hAnsi="宋体" w:cs="宋体"/>
          <w:b/>
          <w:bCs/>
          <w:color w:val="000000"/>
          <w:sz w:val="24"/>
          <w:szCs w:val="24"/>
        </w:rPr>
      </w:pPr>
      <w:r>
        <w:rPr>
          <w:rFonts w:hint="eastAsia" w:ascii="宋体" w:hAnsi="宋体" w:cs="宋体"/>
          <w:b/>
          <w:bCs/>
          <w:color w:val="000000"/>
          <w:sz w:val="24"/>
          <w:szCs w:val="24"/>
        </w:rPr>
        <w:t>主要材料（设备）品牌表</w:t>
      </w:r>
    </w:p>
    <w:tbl>
      <w:tblPr>
        <w:tblStyle w:val="12"/>
        <w:tblW w:w="47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182"/>
        <w:gridCol w:w="5643"/>
      </w:tblGrid>
      <w:tr w14:paraId="2B6B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8" w:type="pct"/>
            <w:tcBorders>
              <w:top w:val="single" w:color="auto" w:sz="4" w:space="0"/>
              <w:left w:val="single" w:color="auto" w:sz="4" w:space="0"/>
              <w:bottom w:val="single" w:color="auto" w:sz="4" w:space="0"/>
              <w:right w:val="single" w:color="auto" w:sz="4" w:space="0"/>
            </w:tcBorders>
            <w:noWrap w:val="0"/>
            <w:vAlign w:val="center"/>
          </w:tcPr>
          <w:p w14:paraId="2C10A1B5">
            <w:pPr>
              <w:ind w:firstLine="0" w:firstLineChars="0"/>
              <w:jc w:val="center"/>
              <w:rPr>
                <w:rFonts w:hint="eastAsia" w:ascii="宋体" w:hAnsi="宋体" w:cs="宋体"/>
                <w:b/>
                <w:highlight w:val="none"/>
                <w:lang w:bidi="ar"/>
              </w:rPr>
            </w:pPr>
            <w:r>
              <w:rPr>
                <w:rFonts w:hint="eastAsia" w:ascii="宋体" w:hAnsi="宋体" w:cs="宋体"/>
                <w:b/>
                <w:highlight w:val="none"/>
                <w:lang w:bidi="ar"/>
              </w:rPr>
              <w:t>序号</w:t>
            </w:r>
          </w:p>
        </w:tc>
        <w:tc>
          <w:tcPr>
            <w:tcW w:w="1255" w:type="pct"/>
            <w:tcBorders>
              <w:top w:val="single" w:color="auto" w:sz="4" w:space="0"/>
              <w:left w:val="single" w:color="auto" w:sz="4" w:space="0"/>
              <w:bottom w:val="single" w:color="auto" w:sz="4" w:space="0"/>
              <w:right w:val="single" w:color="auto" w:sz="4" w:space="0"/>
            </w:tcBorders>
            <w:noWrap w:val="0"/>
            <w:vAlign w:val="center"/>
          </w:tcPr>
          <w:p w14:paraId="199C8F95">
            <w:pPr>
              <w:ind w:firstLine="0" w:firstLineChars="0"/>
              <w:jc w:val="center"/>
              <w:rPr>
                <w:rFonts w:hint="eastAsia" w:ascii="宋体" w:hAnsi="宋体" w:cs="宋体"/>
                <w:b/>
                <w:highlight w:val="none"/>
                <w:lang w:bidi="ar"/>
              </w:rPr>
            </w:pPr>
            <w:r>
              <w:rPr>
                <w:rFonts w:hint="eastAsia" w:ascii="宋体" w:hAnsi="宋体" w:cs="宋体"/>
                <w:b/>
                <w:highlight w:val="none"/>
                <w:lang w:bidi="ar"/>
              </w:rPr>
              <w:t>材料名称</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3D52F3A8">
            <w:pPr>
              <w:ind w:firstLine="0" w:firstLineChars="0"/>
              <w:jc w:val="center"/>
              <w:rPr>
                <w:rFonts w:hint="eastAsia" w:ascii="宋体" w:hAnsi="宋体" w:cs="宋体"/>
                <w:b/>
                <w:highlight w:val="none"/>
                <w:lang w:bidi="ar"/>
              </w:rPr>
            </w:pPr>
            <w:r>
              <w:rPr>
                <w:rFonts w:hint="eastAsia" w:ascii="宋体" w:hAnsi="宋体" w:cs="宋体"/>
                <w:b/>
                <w:highlight w:val="none"/>
                <w:lang w:bidi="ar"/>
              </w:rPr>
              <w:t>参考品牌（参照或相当于）</w:t>
            </w:r>
          </w:p>
        </w:tc>
      </w:tr>
      <w:tr w14:paraId="5913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98" w:type="pct"/>
            <w:tcBorders>
              <w:top w:val="single" w:color="auto" w:sz="4" w:space="0"/>
              <w:left w:val="single" w:color="auto" w:sz="4" w:space="0"/>
              <w:bottom w:val="single" w:color="auto" w:sz="4" w:space="0"/>
              <w:right w:val="single" w:color="auto" w:sz="4" w:space="0"/>
            </w:tcBorders>
            <w:noWrap w:val="0"/>
            <w:vAlign w:val="center"/>
          </w:tcPr>
          <w:p w14:paraId="3EC80B0D">
            <w:pPr>
              <w:ind w:firstLine="0" w:firstLineChars="0"/>
              <w:jc w:val="center"/>
              <w:rPr>
                <w:rFonts w:hint="eastAsia" w:ascii="宋体" w:hAnsi="宋体" w:cs="宋体"/>
                <w:bCs/>
                <w:highlight w:val="none"/>
              </w:rPr>
            </w:pPr>
            <w:r>
              <w:rPr>
                <w:rFonts w:hint="eastAsia" w:ascii="宋体" w:hAnsi="宋体" w:cs="宋体"/>
                <w:bCs/>
                <w:highlight w:val="none"/>
              </w:rPr>
              <w:t>1</w:t>
            </w:r>
          </w:p>
        </w:tc>
        <w:tc>
          <w:tcPr>
            <w:tcW w:w="1255" w:type="pct"/>
            <w:tcBorders>
              <w:top w:val="single" w:color="auto" w:sz="4" w:space="0"/>
              <w:left w:val="single" w:color="auto" w:sz="4" w:space="0"/>
              <w:bottom w:val="single" w:color="auto" w:sz="4" w:space="0"/>
              <w:right w:val="single" w:color="auto" w:sz="4" w:space="0"/>
            </w:tcBorders>
            <w:noWrap w:val="0"/>
            <w:vAlign w:val="center"/>
          </w:tcPr>
          <w:p w14:paraId="7C89A7D0">
            <w:pPr>
              <w:ind w:firstLine="0" w:firstLineChars="0"/>
              <w:jc w:val="center"/>
              <w:rPr>
                <w:rFonts w:hint="eastAsia" w:ascii="宋体" w:hAnsi="宋体" w:cs="宋体"/>
                <w:bCs/>
                <w:highlight w:val="none"/>
              </w:rPr>
            </w:pPr>
            <w:r>
              <w:rPr>
                <w:rFonts w:hint="eastAsia" w:ascii="宋体" w:hAnsi="宋体" w:cs="宋体"/>
                <w:bCs/>
                <w:highlight w:val="none"/>
              </w:rPr>
              <w:t>开关、插座</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4DB9C14F">
            <w:pPr>
              <w:ind w:firstLine="0" w:firstLineChars="0"/>
              <w:jc w:val="center"/>
              <w:rPr>
                <w:rFonts w:hint="eastAsia" w:ascii="宋体" w:hAnsi="宋体" w:cs="宋体"/>
                <w:bCs/>
                <w:highlight w:val="none"/>
              </w:rPr>
            </w:pPr>
            <w:r>
              <w:rPr>
                <w:rFonts w:hint="eastAsia" w:ascii="宋体" w:hAnsi="宋体" w:cs="宋体"/>
                <w:bCs/>
                <w:highlight w:val="none"/>
              </w:rPr>
              <w:t>西门子、TCL、松下</w:t>
            </w:r>
          </w:p>
        </w:tc>
      </w:tr>
      <w:tr w14:paraId="1150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98" w:type="pct"/>
            <w:tcBorders>
              <w:top w:val="single" w:color="auto" w:sz="4" w:space="0"/>
              <w:left w:val="single" w:color="auto" w:sz="4" w:space="0"/>
              <w:bottom w:val="single" w:color="auto" w:sz="4" w:space="0"/>
              <w:right w:val="single" w:color="auto" w:sz="4" w:space="0"/>
            </w:tcBorders>
            <w:noWrap w:val="0"/>
            <w:vAlign w:val="center"/>
          </w:tcPr>
          <w:p w14:paraId="15ECFA24">
            <w:pPr>
              <w:ind w:firstLine="0" w:firstLineChars="0"/>
              <w:jc w:val="center"/>
              <w:rPr>
                <w:rFonts w:hint="eastAsia" w:ascii="宋体" w:hAnsi="宋体" w:eastAsia="宋体" w:cs="宋体"/>
                <w:bCs/>
                <w:highlight w:val="none"/>
                <w:lang w:val="en-US" w:eastAsia="zh-CN"/>
              </w:rPr>
            </w:pPr>
            <w:bookmarkStart w:id="1" w:name="OLE_LINK1" w:colFirst="1" w:colLast="2"/>
            <w:r>
              <w:rPr>
                <w:rFonts w:hint="eastAsia" w:ascii="宋体" w:hAnsi="宋体" w:cs="宋体"/>
                <w:bCs/>
                <w:highlight w:val="none"/>
                <w:lang w:val="en-US" w:eastAsia="zh-CN"/>
              </w:rPr>
              <w:t>2</w:t>
            </w:r>
          </w:p>
        </w:tc>
        <w:tc>
          <w:tcPr>
            <w:tcW w:w="1255" w:type="pct"/>
            <w:tcBorders>
              <w:top w:val="single" w:color="auto" w:sz="4" w:space="0"/>
              <w:left w:val="single" w:color="auto" w:sz="4" w:space="0"/>
              <w:bottom w:val="single" w:color="auto" w:sz="4" w:space="0"/>
              <w:right w:val="single" w:color="auto" w:sz="4" w:space="0"/>
            </w:tcBorders>
            <w:noWrap w:val="0"/>
            <w:vAlign w:val="center"/>
          </w:tcPr>
          <w:p w14:paraId="5DC7CE13">
            <w:pPr>
              <w:ind w:firstLine="0" w:firstLineChars="0"/>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配电箱元器件</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6390C93C">
            <w:pPr>
              <w:ind w:firstLine="0" w:firstLineChars="0"/>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正泰、德力西、上海人民</w:t>
            </w:r>
          </w:p>
        </w:tc>
      </w:tr>
      <w:tr w14:paraId="51CF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98" w:type="pct"/>
            <w:tcBorders>
              <w:top w:val="single" w:color="auto" w:sz="4" w:space="0"/>
              <w:left w:val="single" w:color="auto" w:sz="4" w:space="0"/>
              <w:bottom w:val="single" w:color="auto" w:sz="4" w:space="0"/>
              <w:right w:val="single" w:color="auto" w:sz="4" w:space="0"/>
            </w:tcBorders>
            <w:noWrap w:val="0"/>
            <w:vAlign w:val="center"/>
          </w:tcPr>
          <w:p w14:paraId="3A73DADE">
            <w:pPr>
              <w:ind w:firstLine="0" w:firstLineChars="0"/>
              <w:jc w:val="center"/>
              <w:rPr>
                <w:rFonts w:hint="eastAsia" w:ascii="宋体" w:hAnsi="宋体" w:eastAsia="宋体" w:cs="宋体"/>
                <w:bCs/>
                <w:highlight w:val="none"/>
                <w:lang w:val="en-US" w:eastAsia="zh-CN"/>
              </w:rPr>
            </w:pPr>
            <w:r>
              <w:rPr>
                <w:rFonts w:hint="eastAsia" w:ascii="宋体" w:hAnsi="宋体" w:cs="宋体"/>
                <w:bCs/>
                <w:highlight w:val="none"/>
                <w:lang w:val="en-US" w:eastAsia="zh-CN"/>
              </w:rPr>
              <w:t>3</w:t>
            </w:r>
          </w:p>
        </w:tc>
        <w:tc>
          <w:tcPr>
            <w:tcW w:w="1255" w:type="pct"/>
            <w:tcBorders>
              <w:top w:val="single" w:color="auto" w:sz="4" w:space="0"/>
              <w:left w:val="single" w:color="auto" w:sz="4" w:space="0"/>
              <w:bottom w:val="single" w:color="auto" w:sz="4" w:space="0"/>
              <w:right w:val="single" w:color="auto" w:sz="4" w:space="0"/>
            </w:tcBorders>
            <w:noWrap w:val="0"/>
            <w:vAlign w:val="center"/>
          </w:tcPr>
          <w:p w14:paraId="1EB00D81">
            <w:pPr>
              <w:ind w:firstLine="0" w:firstLineChars="0"/>
              <w:jc w:val="center"/>
              <w:rPr>
                <w:rFonts w:hint="default" w:ascii="宋体" w:hAnsi="宋体" w:cs="宋体"/>
                <w:bCs/>
                <w:highlight w:val="none"/>
                <w:lang w:val="en-US" w:eastAsia="zh-CN"/>
              </w:rPr>
            </w:pPr>
            <w:r>
              <w:rPr>
                <w:rFonts w:hint="eastAsia" w:ascii="宋体" w:hAnsi="宋体" w:cs="宋体"/>
                <w:bCs/>
                <w:highlight w:val="none"/>
                <w:lang w:val="en-US" w:eastAsia="zh-CN"/>
              </w:rPr>
              <w:t>电线</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5DEAFE13">
            <w:pPr>
              <w:ind w:firstLine="0" w:firstLineChars="0"/>
              <w:jc w:val="center"/>
              <w:rPr>
                <w:rFonts w:hint="default" w:ascii="宋体" w:hAnsi="宋体" w:cs="宋体"/>
                <w:bCs/>
                <w:highlight w:val="none"/>
                <w:lang w:val="en-US" w:eastAsia="zh-CN"/>
              </w:rPr>
            </w:pPr>
            <w:r>
              <w:rPr>
                <w:rFonts w:hint="eastAsia" w:ascii="宋体" w:hAnsi="宋体" w:cs="宋体"/>
                <w:bCs/>
                <w:highlight w:val="none"/>
                <w:lang w:val="en-US" w:eastAsia="zh-CN"/>
              </w:rPr>
              <w:t>中策、远东、中大元通</w:t>
            </w:r>
          </w:p>
        </w:tc>
      </w:tr>
      <w:tr w14:paraId="3990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98" w:type="pct"/>
            <w:tcBorders>
              <w:top w:val="single" w:color="auto" w:sz="4" w:space="0"/>
              <w:left w:val="single" w:color="auto" w:sz="4" w:space="0"/>
              <w:bottom w:val="single" w:color="auto" w:sz="4" w:space="0"/>
              <w:right w:val="single" w:color="auto" w:sz="4" w:space="0"/>
            </w:tcBorders>
            <w:noWrap w:val="0"/>
            <w:vAlign w:val="center"/>
          </w:tcPr>
          <w:p w14:paraId="5DAAA88F">
            <w:pPr>
              <w:ind w:firstLine="0" w:firstLineChars="0"/>
              <w:jc w:val="center"/>
              <w:rPr>
                <w:rFonts w:hint="eastAsia" w:ascii="宋体" w:hAnsi="宋体" w:cs="宋体"/>
                <w:bCs/>
                <w:highlight w:val="none"/>
              </w:rPr>
            </w:pPr>
            <w:r>
              <w:rPr>
                <w:rFonts w:hint="eastAsia" w:ascii="宋体" w:hAnsi="宋体" w:cs="宋体"/>
                <w:bCs/>
                <w:highlight w:val="none"/>
              </w:rPr>
              <w:t>4</w:t>
            </w:r>
          </w:p>
        </w:tc>
        <w:tc>
          <w:tcPr>
            <w:tcW w:w="1255" w:type="pct"/>
            <w:tcBorders>
              <w:top w:val="single" w:color="auto" w:sz="4" w:space="0"/>
              <w:left w:val="single" w:color="auto" w:sz="4" w:space="0"/>
              <w:bottom w:val="single" w:color="auto" w:sz="4" w:space="0"/>
              <w:right w:val="single" w:color="auto" w:sz="4" w:space="0"/>
            </w:tcBorders>
            <w:noWrap w:val="0"/>
            <w:vAlign w:val="center"/>
          </w:tcPr>
          <w:p w14:paraId="0CB76359">
            <w:pPr>
              <w:ind w:firstLine="0" w:firstLineChars="0"/>
              <w:jc w:val="center"/>
              <w:rPr>
                <w:rFonts w:hint="eastAsia" w:ascii="宋体" w:hAnsi="宋体" w:cs="宋体"/>
                <w:bCs/>
                <w:highlight w:val="none"/>
              </w:rPr>
            </w:pPr>
            <w:r>
              <w:rPr>
                <w:rFonts w:hint="eastAsia" w:ascii="宋体" w:hAnsi="宋体" w:cs="宋体"/>
                <w:bCs/>
                <w:highlight w:val="none"/>
              </w:rPr>
              <w:t>照明灯具</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4F0C8EE6">
            <w:pPr>
              <w:ind w:firstLine="0" w:firstLineChars="0"/>
              <w:jc w:val="center"/>
              <w:rPr>
                <w:rFonts w:hint="eastAsia" w:ascii="宋体" w:hAnsi="宋体" w:cs="宋体"/>
                <w:bCs/>
                <w:highlight w:val="none"/>
              </w:rPr>
            </w:pPr>
            <w:r>
              <w:rPr>
                <w:rFonts w:hint="eastAsia" w:ascii="宋体" w:hAnsi="宋体" w:cs="宋体"/>
                <w:bCs/>
                <w:highlight w:val="none"/>
              </w:rPr>
              <w:t>飞利浦、阳光、佛山照明、西顿</w:t>
            </w:r>
          </w:p>
        </w:tc>
      </w:tr>
      <w:bookmarkEnd w:id="1"/>
      <w:tr w14:paraId="46D5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98" w:type="pct"/>
            <w:tcBorders>
              <w:top w:val="single" w:color="auto" w:sz="4" w:space="0"/>
              <w:left w:val="single" w:color="auto" w:sz="4" w:space="0"/>
              <w:bottom w:val="single" w:color="auto" w:sz="4" w:space="0"/>
              <w:right w:val="single" w:color="auto" w:sz="4" w:space="0"/>
            </w:tcBorders>
            <w:noWrap w:val="0"/>
            <w:vAlign w:val="center"/>
          </w:tcPr>
          <w:p w14:paraId="5CD53B6B">
            <w:pPr>
              <w:ind w:firstLine="0" w:firstLineChars="0"/>
              <w:jc w:val="center"/>
              <w:rPr>
                <w:rFonts w:hint="eastAsia" w:ascii="宋体" w:hAnsi="宋体" w:eastAsia="宋体" w:cs="宋体"/>
                <w:bCs/>
                <w:highlight w:val="none"/>
                <w:lang w:eastAsia="zh-CN"/>
              </w:rPr>
            </w:pPr>
            <w:r>
              <w:rPr>
                <w:rFonts w:hint="eastAsia" w:ascii="宋体" w:hAnsi="宋体" w:cs="宋体"/>
                <w:bCs/>
                <w:highlight w:val="none"/>
                <w:lang w:val="en-US" w:eastAsia="zh-CN"/>
              </w:rPr>
              <w:t>5</w:t>
            </w:r>
          </w:p>
        </w:tc>
        <w:tc>
          <w:tcPr>
            <w:tcW w:w="1255" w:type="pct"/>
            <w:tcBorders>
              <w:top w:val="single" w:color="auto" w:sz="4" w:space="0"/>
              <w:left w:val="single" w:color="auto" w:sz="4" w:space="0"/>
              <w:bottom w:val="single" w:color="auto" w:sz="4" w:space="0"/>
              <w:right w:val="single" w:color="auto" w:sz="4" w:space="0"/>
            </w:tcBorders>
            <w:noWrap w:val="0"/>
            <w:vAlign w:val="center"/>
          </w:tcPr>
          <w:p w14:paraId="62D02E6B">
            <w:pPr>
              <w:ind w:firstLine="0" w:firstLineChars="0"/>
              <w:jc w:val="center"/>
              <w:rPr>
                <w:rFonts w:hint="eastAsia" w:ascii="宋体" w:hAnsi="宋体" w:cs="宋体"/>
                <w:bCs/>
                <w:highlight w:val="none"/>
              </w:rPr>
            </w:pPr>
            <w:r>
              <w:rPr>
                <w:rFonts w:hint="eastAsia" w:ascii="宋体" w:hAnsi="宋体" w:cs="宋体"/>
                <w:bCs/>
                <w:highlight w:val="none"/>
              </w:rPr>
              <w:t>水泥</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2E69425E">
            <w:pPr>
              <w:ind w:firstLine="0" w:firstLineChars="0"/>
              <w:jc w:val="center"/>
              <w:rPr>
                <w:rFonts w:hint="eastAsia" w:ascii="宋体" w:hAnsi="宋体" w:cs="宋体"/>
                <w:bCs/>
                <w:highlight w:val="none"/>
              </w:rPr>
            </w:pPr>
            <w:r>
              <w:rPr>
                <w:rFonts w:hint="eastAsia" w:ascii="宋体" w:hAnsi="宋体" w:cs="宋体"/>
                <w:bCs/>
                <w:highlight w:val="none"/>
              </w:rPr>
              <w:t>海螺、钱潮、三狮、南方</w:t>
            </w:r>
          </w:p>
        </w:tc>
      </w:tr>
      <w:tr w14:paraId="7B958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98" w:type="pct"/>
            <w:tcBorders>
              <w:top w:val="single" w:color="auto" w:sz="4" w:space="0"/>
              <w:left w:val="single" w:color="auto" w:sz="4" w:space="0"/>
              <w:bottom w:val="single" w:color="auto" w:sz="4" w:space="0"/>
              <w:right w:val="single" w:color="auto" w:sz="4" w:space="0"/>
            </w:tcBorders>
            <w:noWrap w:val="0"/>
            <w:vAlign w:val="center"/>
          </w:tcPr>
          <w:p w14:paraId="20647C76">
            <w:pPr>
              <w:ind w:firstLine="0" w:firstLineChars="0"/>
              <w:jc w:val="center"/>
              <w:rPr>
                <w:rFonts w:hint="eastAsia" w:ascii="宋体" w:hAnsi="宋体" w:eastAsia="宋体" w:cs="宋体"/>
                <w:bCs/>
                <w:highlight w:val="none"/>
                <w:lang w:eastAsia="zh-CN"/>
              </w:rPr>
            </w:pPr>
            <w:r>
              <w:rPr>
                <w:rFonts w:hint="eastAsia" w:ascii="宋体" w:hAnsi="宋体" w:cs="宋体"/>
                <w:bCs/>
                <w:highlight w:val="none"/>
                <w:lang w:val="en-US" w:eastAsia="zh-CN"/>
              </w:rPr>
              <w:t>6</w:t>
            </w:r>
          </w:p>
        </w:tc>
        <w:tc>
          <w:tcPr>
            <w:tcW w:w="1255" w:type="pct"/>
            <w:tcBorders>
              <w:top w:val="single" w:color="auto" w:sz="4" w:space="0"/>
              <w:left w:val="single" w:color="auto" w:sz="4" w:space="0"/>
              <w:bottom w:val="single" w:color="auto" w:sz="4" w:space="0"/>
              <w:right w:val="single" w:color="auto" w:sz="4" w:space="0"/>
            </w:tcBorders>
            <w:noWrap w:val="0"/>
            <w:vAlign w:val="center"/>
          </w:tcPr>
          <w:p w14:paraId="48A66F50">
            <w:pPr>
              <w:ind w:firstLine="0" w:firstLineChars="0"/>
              <w:jc w:val="center"/>
              <w:rPr>
                <w:rFonts w:hint="eastAsia" w:ascii="宋体" w:hAnsi="宋体" w:eastAsia="宋体" w:cs="宋体"/>
                <w:bCs/>
                <w:highlight w:val="none"/>
                <w:lang w:eastAsia="zh-CN"/>
              </w:rPr>
            </w:pPr>
            <w:r>
              <w:rPr>
                <w:rFonts w:hint="eastAsia" w:ascii="宋体" w:hAnsi="宋体" w:cs="宋体"/>
                <w:bCs/>
                <w:highlight w:val="none"/>
                <w:lang w:val="en-US" w:eastAsia="zh-CN"/>
              </w:rPr>
              <w:t>涂料</w:t>
            </w:r>
          </w:p>
        </w:tc>
        <w:tc>
          <w:tcPr>
            <w:tcW w:w="3246" w:type="pct"/>
            <w:tcBorders>
              <w:top w:val="single" w:color="auto" w:sz="4" w:space="0"/>
              <w:left w:val="single" w:color="auto" w:sz="4" w:space="0"/>
              <w:bottom w:val="single" w:color="auto" w:sz="4" w:space="0"/>
              <w:right w:val="single" w:color="auto" w:sz="4" w:space="0"/>
            </w:tcBorders>
            <w:noWrap w:val="0"/>
            <w:vAlign w:val="center"/>
          </w:tcPr>
          <w:p w14:paraId="0980962E">
            <w:pPr>
              <w:ind w:firstLine="0" w:firstLineChars="0"/>
              <w:jc w:val="center"/>
              <w:rPr>
                <w:rFonts w:hint="default" w:ascii="宋体" w:hAnsi="宋体" w:eastAsia="宋体" w:cs="宋体"/>
                <w:bCs/>
                <w:highlight w:val="none"/>
                <w:lang w:val="en-US" w:eastAsia="zh-CN"/>
              </w:rPr>
            </w:pPr>
            <w:r>
              <w:rPr>
                <w:rFonts w:hint="eastAsia" w:ascii="宋体" w:hAnsi="宋体" w:cs="宋体"/>
                <w:bCs/>
                <w:highlight w:val="none"/>
                <w:lang w:val="en-US" w:eastAsia="zh-CN"/>
              </w:rPr>
              <w:t>立邦、多乐士、三棵树</w:t>
            </w:r>
          </w:p>
        </w:tc>
      </w:tr>
    </w:tbl>
    <w:p w14:paraId="3A26A2DF">
      <w:pPr>
        <w:pStyle w:val="21"/>
        <w:spacing w:line="384" w:lineRule="auto"/>
        <w:jc w:val="center"/>
        <w:rPr>
          <w:rFonts w:hint="eastAsia" w:ascii="宋体" w:hAnsi="宋体" w:cs="宋体"/>
          <w:b/>
          <w:bCs/>
          <w:color w:val="000000"/>
          <w:sz w:val="24"/>
          <w:szCs w:val="24"/>
        </w:rPr>
      </w:pPr>
    </w:p>
    <w:p w14:paraId="29443A01">
      <w:pPr>
        <w:spacing w:line="360" w:lineRule="auto"/>
        <w:rPr>
          <w:rFonts w:hint="eastAsia" w:ascii="宋体" w:hAnsi="宋体" w:cs="宋体"/>
          <w:sz w:val="24"/>
          <w:szCs w:val="24"/>
        </w:rPr>
      </w:pPr>
      <w:r>
        <w:rPr>
          <w:rFonts w:hint="eastAsia" w:ascii="宋体" w:hAnsi="宋体" w:cs="宋体"/>
          <w:sz w:val="24"/>
          <w:szCs w:val="24"/>
        </w:rPr>
        <w:t>注：其他未推荐的材料品牌投标人应参照设计说明中的材料选配表选择其一或相</w:t>
      </w:r>
    </w:p>
    <w:p w14:paraId="71E1DAFD">
      <w:pPr>
        <w:spacing w:line="360" w:lineRule="auto"/>
        <w:rPr>
          <w:rFonts w:hint="eastAsia" w:ascii="宋体" w:hAnsi="宋体" w:cs="宋体"/>
          <w:sz w:val="24"/>
          <w:szCs w:val="24"/>
        </w:rPr>
      </w:pPr>
      <w:r>
        <w:rPr>
          <w:rFonts w:hint="eastAsia" w:ascii="宋体" w:hAnsi="宋体" w:cs="宋体"/>
          <w:sz w:val="24"/>
          <w:szCs w:val="24"/>
        </w:rPr>
        <w:t>当于其品质的材料进行报价。若投标人未填写所报材料品牌，在施工时招标人有</w:t>
      </w:r>
    </w:p>
    <w:p w14:paraId="47E7E410">
      <w:pPr>
        <w:pStyle w:val="21"/>
        <w:spacing w:line="384" w:lineRule="auto"/>
        <w:rPr>
          <w:rFonts w:hint="eastAsia" w:ascii="宋体" w:hAnsi="宋体" w:cs="宋体"/>
          <w:color w:val="000000"/>
          <w:sz w:val="24"/>
          <w:szCs w:val="24"/>
        </w:rPr>
      </w:pPr>
      <w:r>
        <w:rPr>
          <w:rFonts w:hint="eastAsia" w:ascii="宋体" w:hAnsi="宋体" w:cs="宋体"/>
          <w:sz w:val="24"/>
          <w:szCs w:val="24"/>
        </w:rPr>
        <w:t>权在推荐品牌表或者图纸中材料选配表中选择材料，价格不变。</w:t>
      </w:r>
    </w:p>
    <w:p w14:paraId="114C665F">
      <w:pPr>
        <w:spacing w:line="360" w:lineRule="auto"/>
        <w:ind w:left="315" w:leftChars="150"/>
        <w:rPr>
          <w:rFonts w:hint="eastAsia" w:ascii="宋体" w:hAnsi="宋体" w:cs="宋体"/>
          <w:color w:val="000000"/>
          <w:kern w:val="0"/>
          <w:sz w:val="24"/>
          <w:szCs w:val="24"/>
        </w:rPr>
      </w:pPr>
    </w:p>
    <w:p w14:paraId="0C7DB957">
      <w:pPr>
        <w:pStyle w:val="2"/>
        <w:rPr>
          <w:rFonts w:hint="eastAsia"/>
        </w:rPr>
      </w:pPr>
    </w:p>
    <w:p w14:paraId="75038459">
      <w:pPr>
        <w:spacing w:line="360" w:lineRule="auto"/>
        <w:ind w:firstLine="241" w:firstLineChars="100"/>
        <w:rPr>
          <w:rFonts w:hint="eastAsia" w:ascii="宋体" w:hAnsi="宋体" w:cs="宋体"/>
          <w:b/>
          <w:bCs/>
          <w:kern w:val="0"/>
          <w:sz w:val="24"/>
          <w:szCs w:val="24"/>
        </w:rPr>
      </w:pPr>
    </w:p>
    <w:p w14:paraId="1B98DC98"/>
    <w:p w14:paraId="4749643A"/>
    <w:p w14:paraId="39E4C1B4"/>
    <w:p w14:paraId="4436882C"/>
    <w:p w14:paraId="1A952701"/>
    <w:p w14:paraId="431DF44C"/>
    <w:p w14:paraId="5921B715">
      <w:pPr>
        <w:rPr>
          <w:rFonts w:hint="eastAsia"/>
        </w:rPr>
      </w:pPr>
    </w:p>
    <w:p w14:paraId="4B32CA50">
      <w:pPr>
        <w:spacing w:line="360" w:lineRule="auto"/>
        <w:rPr>
          <w:rFonts w:hint="eastAsia" w:ascii="宋体" w:hAnsi="宋体"/>
          <w:b/>
          <w:sz w:val="36"/>
          <w:szCs w:val="36"/>
        </w:rPr>
      </w:pPr>
    </w:p>
    <w:sectPr>
      <w:headerReference r:id="rId3" w:type="default"/>
      <w:footerReference r:id="rId4" w:type="even"/>
      <w:pgSz w:w="11906" w:h="16838"/>
      <w:pgMar w:top="1276" w:right="1474" w:bottom="1869"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D1CCB">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14:paraId="1BCE2D82">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3D27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FD6D0"/>
    <w:multiLevelType w:val="singleLevel"/>
    <w:tmpl w:val="B09FD6D0"/>
    <w:lvl w:ilvl="0" w:tentative="0">
      <w:start w:val="1"/>
      <w:numFmt w:val="decimal"/>
      <w:suff w:val="nothing"/>
      <w:lvlText w:val="%1．"/>
      <w:lvlJc w:val="left"/>
      <w:pPr>
        <w:ind w:left="0" w:firstLine="400"/>
      </w:pPr>
      <w:rPr>
        <w:rFonts w:hint="default"/>
      </w:rPr>
    </w:lvl>
  </w:abstractNum>
  <w:abstractNum w:abstractNumId="1">
    <w:nsid w:val="B538D05D"/>
    <w:multiLevelType w:val="singleLevel"/>
    <w:tmpl w:val="B538D05D"/>
    <w:lvl w:ilvl="0" w:tentative="0">
      <w:start w:val="1"/>
      <w:numFmt w:val="chineseCounting"/>
      <w:suff w:val="nothing"/>
      <w:lvlText w:val="（%1）"/>
      <w:lvlJc w:val="left"/>
      <w:rPr>
        <w:rFonts w:hint="eastAsia"/>
      </w:rPr>
    </w:lvl>
  </w:abstractNum>
  <w:abstractNum w:abstractNumId="2">
    <w:nsid w:val="BCC46343"/>
    <w:multiLevelType w:val="singleLevel"/>
    <w:tmpl w:val="BCC46343"/>
    <w:lvl w:ilvl="0" w:tentative="0">
      <w:start w:val="1"/>
      <w:numFmt w:val="decimal"/>
      <w:suff w:val="nothing"/>
      <w:lvlText w:val="%1．"/>
      <w:lvlJc w:val="left"/>
      <w:pPr>
        <w:ind w:left="0" w:firstLine="400"/>
      </w:pPr>
      <w:rPr>
        <w:rFonts w:hint="default"/>
      </w:rPr>
    </w:lvl>
  </w:abstractNum>
  <w:abstractNum w:abstractNumId="3">
    <w:nsid w:val="00000008"/>
    <w:multiLevelType w:val="singleLevel"/>
    <w:tmpl w:val="00000008"/>
    <w:lvl w:ilvl="0" w:tentative="0">
      <w:start w:val="1"/>
      <w:numFmt w:val="decimal"/>
      <w:suff w:val="nothing"/>
      <w:lvlText w:val="%1、"/>
      <w:lvlJc w:val="left"/>
    </w:lvl>
  </w:abstractNum>
  <w:abstractNum w:abstractNumId="4">
    <w:nsid w:val="2D36B57D"/>
    <w:multiLevelType w:val="singleLevel"/>
    <w:tmpl w:val="2D36B57D"/>
    <w:lvl w:ilvl="0" w:tentative="0">
      <w:start w:val="4"/>
      <w:numFmt w:val="chineseCounting"/>
      <w:suff w:val="nothing"/>
      <w:lvlText w:val="%1、"/>
      <w:lvlJc w:val="left"/>
      <w:rPr>
        <w:rFonts w:hint="eastAsia"/>
      </w:rPr>
    </w:lvl>
  </w:abstractNum>
  <w:abstractNum w:abstractNumId="5">
    <w:nsid w:val="3E8C9FF4"/>
    <w:multiLevelType w:val="singleLevel"/>
    <w:tmpl w:val="3E8C9FF4"/>
    <w:lvl w:ilvl="0" w:tentative="0">
      <w:start w:val="1"/>
      <w:numFmt w:val="decimal"/>
      <w:suff w:val="nothing"/>
      <w:lvlText w:val="%1．"/>
      <w:lvlJc w:val="left"/>
      <w:pPr>
        <w:ind w:left="0" w:firstLine="400"/>
      </w:pPr>
      <w:rPr>
        <w:rFont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3YWE1ZTA0OGU0ZGUyYWFjMDI5NWE0ZDFkY2Q4YjcifQ=="/>
  </w:docVars>
  <w:rsids>
    <w:rsidRoot w:val="004022F2"/>
    <w:rsid w:val="00011325"/>
    <w:rsid w:val="000148E1"/>
    <w:rsid w:val="00021719"/>
    <w:rsid w:val="00071EB2"/>
    <w:rsid w:val="00091F7D"/>
    <w:rsid w:val="0009321D"/>
    <w:rsid w:val="00095527"/>
    <w:rsid w:val="000A3045"/>
    <w:rsid w:val="000A3621"/>
    <w:rsid w:val="000C356A"/>
    <w:rsid w:val="000D46F4"/>
    <w:rsid w:val="000E1F3F"/>
    <w:rsid w:val="000F34D9"/>
    <w:rsid w:val="000F59B1"/>
    <w:rsid w:val="0010207F"/>
    <w:rsid w:val="00102194"/>
    <w:rsid w:val="00107325"/>
    <w:rsid w:val="0011092D"/>
    <w:rsid w:val="00111FF3"/>
    <w:rsid w:val="0012309D"/>
    <w:rsid w:val="00133DE9"/>
    <w:rsid w:val="00143AF6"/>
    <w:rsid w:val="00152860"/>
    <w:rsid w:val="001563C9"/>
    <w:rsid w:val="001609B7"/>
    <w:rsid w:val="00161AD7"/>
    <w:rsid w:val="00180D9E"/>
    <w:rsid w:val="00181BE8"/>
    <w:rsid w:val="00184260"/>
    <w:rsid w:val="001A515A"/>
    <w:rsid w:val="001C1BC6"/>
    <w:rsid w:val="001C2060"/>
    <w:rsid w:val="001C4B24"/>
    <w:rsid w:val="001D66BF"/>
    <w:rsid w:val="001F7E2E"/>
    <w:rsid w:val="002031E7"/>
    <w:rsid w:val="002235C1"/>
    <w:rsid w:val="00226518"/>
    <w:rsid w:val="002334BA"/>
    <w:rsid w:val="00236AEA"/>
    <w:rsid w:val="0026405C"/>
    <w:rsid w:val="002940C7"/>
    <w:rsid w:val="002A040B"/>
    <w:rsid w:val="002A1AA6"/>
    <w:rsid w:val="002A35E0"/>
    <w:rsid w:val="002A5584"/>
    <w:rsid w:val="002A6883"/>
    <w:rsid w:val="002B2052"/>
    <w:rsid w:val="002B2CBF"/>
    <w:rsid w:val="002B4088"/>
    <w:rsid w:val="002B4F12"/>
    <w:rsid w:val="002B60AD"/>
    <w:rsid w:val="002C2D30"/>
    <w:rsid w:val="002C503C"/>
    <w:rsid w:val="002F2032"/>
    <w:rsid w:val="00306868"/>
    <w:rsid w:val="00311247"/>
    <w:rsid w:val="0031421B"/>
    <w:rsid w:val="00341D9C"/>
    <w:rsid w:val="00342135"/>
    <w:rsid w:val="00345ABB"/>
    <w:rsid w:val="00362987"/>
    <w:rsid w:val="00364AFF"/>
    <w:rsid w:val="00367811"/>
    <w:rsid w:val="003704F0"/>
    <w:rsid w:val="003751D9"/>
    <w:rsid w:val="00384528"/>
    <w:rsid w:val="00386FFC"/>
    <w:rsid w:val="00387FF2"/>
    <w:rsid w:val="00391E2D"/>
    <w:rsid w:val="00397404"/>
    <w:rsid w:val="003A3142"/>
    <w:rsid w:val="003A5A83"/>
    <w:rsid w:val="003A7A2B"/>
    <w:rsid w:val="003B6375"/>
    <w:rsid w:val="003C0BD2"/>
    <w:rsid w:val="003C3E3C"/>
    <w:rsid w:val="003D3F49"/>
    <w:rsid w:val="003D7199"/>
    <w:rsid w:val="003E1A4F"/>
    <w:rsid w:val="004022F2"/>
    <w:rsid w:val="00424272"/>
    <w:rsid w:val="004262D0"/>
    <w:rsid w:val="00434A7A"/>
    <w:rsid w:val="00441BA6"/>
    <w:rsid w:val="00446AF5"/>
    <w:rsid w:val="00453E1D"/>
    <w:rsid w:val="004765E3"/>
    <w:rsid w:val="00483AD0"/>
    <w:rsid w:val="00495B51"/>
    <w:rsid w:val="004974D9"/>
    <w:rsid w:val="00497D11"/>
    <w:rsid w:val="004A2DB2"/>
    <w:rsid w:val="004C5F6C"/>
    <w:rsid w:val="004D24AA"/>
    <w:rsid w:val="004E13A5"/>
    <w:rsid w:val="004E4C6E"/>
    <w:rsid w:val="004F3A9F"/>
    <w:rsid w:val="004F5D49"/>
    <w:rsid w:val="005006EF"/>
    <w:rsid w:val="00505FA7"/>
    <w:rsid w:val="005154EE"/>
    <w:rsid w:val="005200B5"/>
    <w:rsid w:val="00525B32"/>
    <w:rsid w:val="0052783F"/>
    <w:rsid w:val="005302EC"/>
    <w:rsid w:val="00537A74"/>
    <w:rsid w:val="0055221F"/>
    <w:rsid w:val="005652C8"/>
    <w:rsid w:val="00566B78"/>
    <w:rsid w:val="00566F32"/>
    <w:rsid w:val="005814F4"/>
    <w:rsid w:val="005849F0"/>
    <w:rsid w:val="00596D60"/>
    <w:rsid w:val="005A15F9"/>
    <w:rsid w:val="005B434E"/>
    <w:rsid w:val="005B797D"/>
    <w:rsid w:val="005C2517"/>
    <w:rsid w:val="005D79B2"/>
    <w:rsid w:val="005D7BCC"/>
    <w:rsid w:val="005E3275"/>
    <w:rsid w:val="005F2F86"/>
    <w:rsid w:val="005F408D"/>
    <w:rsid w:val="005F5431"/>
    <w:rsid w:val="0060199E"/>
    <w:rsid w:val="00611C88"/>
    <w:rsid w:val="006369D8"/>
    <w:rsid w:val="00646024"/>
    <w:rsid w:val="0066328F"/>
    <w:rsid w:val="00672777"/>
    <w:rsid w:val="006837EB"/>
    <w:rsid w:val="006922CD"/>
    <w:rsid w:val="00693CD7"/>
    <w:rsid w:val="006A22C5"/>
    <w:rsid w:val="006A26E0"/>
    <w:rsid w:val="006A49CA"/>
    <w:rsid w:val="006B3400"/>
    <w:rsid w:val="006C3972"/>
    <w:rsid w:val="006D10D4"/>
    <w:rsid w:val="006E0936"/>
    <w:rsid w:val="006F29BF"/>
    <w:rsid w:val="006F57A0"/>
    <w:rsid w:val="00721942"/>
    <w:rsid w:val="00723D3C"/>
    <w:rsid w:val="00733EB2"/>
    <w:rsid w:val="007343B9"/>
    <w:rsid w:val="00736CFD"/>
    <w:rsid w:val="00751BFA"/>
    <w:rsid w:val="00751F69"/>
    <w:rsid w:val="007652FA"/>
    <w:rsid w:val="00783F54"/>
    <w:rsid w:val="00783F80"/>
    <w:rsid w:val="0078795A"/>
    <w:rsid w:val="0079032B"/>
    <w:rsid w:val="00795A37"/>
    <w:rsid w:val="007B274D"/>
    <w:rsid w:val="007C2AED"/>
    <w:rsid w:val="007D552D"/>
    <w:rsid w:val="007E4A01"/>
    <w:rsid w:val="007E7452"/>
    <w:rsid w:val="007F140F"/>
    <w:rsid w:val="00823BE0"/>
    <w:rsid w:val="0082531E"/>
    <w:rsid w:val="00844F08"/>
    <w:rsid w:val="00846A11"/>
    <w:rsid w:val="00864C21"/>
    <w:rsid w:val="0089736F"/>
    <w:rsid w:val="008A155A"/>
    <w:rsid w:val="008A1BDF"/>
    <w:rsid w:val="008B5B17"/>
    <w:rsid w:val="008D2DB0"/>
    <w:rsid w:val="008E5137"/>
    <w:rsid w:val="008E5C2A"/>
    <w:rsid w:val="009049F7"/>
    <w:rsid w:val="00920A58"/>
    <w:rsid w:val="009215A0"/>
    <w:rsid w:val="009272D8"/>
    <w:rsid w:val="00930878"/>
    <w:rsid w:val="00930A08"/>
    <w:rsid w:val="00936E81"/>
    <w:rsid w:val="009406F2"/>
    <w:rsid w:val="00960CF9"/>
    <w:rsid w:val="0097592F"/>
    <w:rsid w:val="00981886"/>
    <w:rsid w:val="009A000E"/>
    <w:rsid w:val="009A6011"/>
    <w:rsid w:val="009B68D3"/>
    <w:rsid w:val="009B70A3"/>
    <w:rsid w:val="009B7F57"/>
    <w:rsid w:val="009C20FC"/>
    <w:rsid w:val="009C2A9F"/>
    <w:rsid w:val="009C4D2D"/>
    <w:rsid w:val="009E34AE"/>
    <w:rsid w:val="00A2570C"/>
    <w:rsid w:val="00A34099"/>
    <w:rsid w:val="00A35950"/>
    <w:rsid w:val="00A370A8"/>
    <w:rsid w:val="00A56C5D"/>
    <w:rsid w:val="00A638A7"/>
    <w:rsid w:val="00A67122"/>
    <w:rsid w:val="00A80429"/>
    <w:rsid w:val="00A93318"/>
    <w:rsid w:val="00A96025"/>
    <w:rsid w:val="00A964B1"/>
    <w:rsid w:val="00AC7D9C"/>
    <w:rsid w:val="00AD4F30"/>
    <w:rsid w:val="00AE1733"/>
    <w:rsid w:val="00AF4FAA"/>
    <w:rsid w:val="00B161BB"/>
    <w:rsid w:val="00B222DA"/>
    <w:rsid w:val="00B3433C"/>
    <w:rsid w:val="00B568B8"/>
    <w:rsid w:val="00B56F29"/>
    <w:rsid w:val="00B759AD"/>
    <w:rsid w:val="00B80972"/>
    <w:rsid w:val="00B82D2B"/>
    <w:rsid w:val="00B91C06"/>
    <w:rsid w:val="00B960C7"/>
    <w:rsid w:val="00BA5551"/>
    <w:rsid w:val="00BE13DF"/>
    <w:rsid w:val="00BE1FEA"/>
    <w:rsid w:val="00BE4661"/>
    <w:rsid w:val="00BF1429"/>
    <w:rsid w:val="00BF32F3"/>
    <w:rsid w:val="00C0731E"/>
    <w:rsid w:val="00C10819"/>
    <w:rsid w:val="00C14C00"/>
    <w:rsid w:val="00C17011"/>
    <w:rsid w:val="00C20DA6"/>
    <w:rsid w:val="00C20F50"/>
    <w:rsid w:val="00C31701"/>
    <w:rsid w:val="00C31A78"/>
    <w:rsid w:val="00C41C42"/>
    <w:rsid w:val="00C471F0"/>
    <w:rsid w:val="00C522B8"/>
    <w:rsid w:val="00C623E8"/>
    <w:rsid w:val="00C8019E"/>
    <w:rsid w:val="00C94193"/>
    <w:rsid w:val="00C97E61"/>
    <w:rsid w:val="00CA4B12"/>
    <w:rsid w:val="00CB0CA5"/>
    <w:rsid w:val="00CB7417"/>
    <w:rsid w:val="00CB78E0"/>
    <w:rsid w:val="00CC341A"/>
    <w:rsid w:val="00CE1348"/>
    <w:rsid w:val="00CE5256"/>
    <w:rsid w:val="00CE79AE"/>
    <w:rsid w:val="00CF116F"/>
    <w:rsid w:val="00CF2890"/>
    <w:rsid w:val="00D02834"/>
    <w:rsid w:val="00D05D89"/>
    <w:rsid w:val="00D065D9"/>
    <w:rsid w:val="00D16764"/>
    <w:rsid w:val="00D16F06"/>
    <w:rsid w:val="00D16F57"/>
    <w:rsid w:val="00D17756"/>
    <w:rsid w:val="00D21147"/>
    <w:rsid w:val="00D26814"/>
    <w:rsid w:val="00D4209A"/>
    <w:rsid w:val="00D4670B"/>
    <w:rsid w:val="00D46F19"/>
    <w:rsid w:val="00D47FCB"/>
    <w:rsid w:val="00D646E5"/>
    <w:rsid w:val="00D705D5"/>
    <w:rsid w:val="00D761DF"/>
    <w:rsid w:val="00D77407"/>
    <w:rsid w:val="00D85446"/>
    <w:rsid w:val="00D946F7"/>
    <w:rsid w:val="00DB2293"/>
    <w:rsid w:val="00DC092D"/>
    <w:rsid w:val="00DC09A4"/>
    <w:rsid w:val="00DD11C2"/>
    <w:rsid w:val="00DD3375"/>
    <w:rsid w:val="00DD5CCC"/>
    <w:rsid w:val="00DE43AE"/>
    <w:rsid w:val="00DE78CF"/>
    <w:rsid w:val="00DF240D"/>
    <w:rsid w:val="00E00166"/>
    <w:rsid w:val="00E01695"/>
    <w:rsid w:val="00E12AC1"/>
    <w:rsid w:val="00E13B85"/>
    <w:rsid w:val="00E35A2C"/>
    <w:rsid w:val="00E362FE"/>
    <w:rsid w:val="00E460D3"/>
    <w:rsid w:val="00E46655"/>
    <w:rsid w:val="00E52882"/>
    <w:rsid w:val="00E5296D"/>
    <w:rsid w:val="00E6454A"/>
    <w:rsid w:val="00E709BF"/>
    <w:rsid w:val="00E73D41"/>
    <w:rsid w:val="00E767E6"/>
    <w:rsid w:val="00E86269"/>
    <w:rsid w:val="00E94CA5"/>
    <w:rsid w:val="00E95AB2"/>
    <w:rsid w:val="00EC4583"/>
    <w:rsid w:val="00EE3355"/>
    <w:rsid w:val="00EE648C"/>
    <w:rsid w:val="00EF6E23"/>
    <w:rsid w:val="00F0558A"/>
    <w:rsid w:val="00F07EB9"/>
    <w:rsid w:val="00F132BF"/>
    <w:rsid w:val="00F2743A"/>
    <w:rsid w:val="00F66342"/>
    <w:rsid w:val="00F678CD"/>
    <w:rsid w:val="00F72F04"/>
    <w:rsid w:val="00F75235"/>
    <w:rsid w:val="00F756DE"/>
    <w:rsid w:val="00F76AFF"/>
    <w:rsid w:val="00F92088"/>
    <w:rsid w:val="00F9673F"/>
    <w:rsid w:val="00FA1E60"/>
    <w:rsid w:val="00FC386B"/>
    <w:rsid w:val="00FD0203"/>
    <w:rsid w:val="00FE23FD"/>
    <w:rsid w:val="00FE2CCB"/>
    <w:rsid w:val="00FE36A1"/>
    <w:rsid w:val="01CE2AE8"/>
    <w:rsid w:val="04351ED3"/>
    <w:rsid w:val="081738C6"/>
    <w:rsid w:val="08F6746D"/>
    <w:rsid w:val="0B077F8D"/>
    <w:rsid w:val="0C2F69ED"/>
    <w:rsid w:val="0DE819AF"/>
    <w:rsid w:val="0E702AB2"/>
    <w:rsid w:val="0FE268D2"/>
    <w:rsid w:val="0FE54914"/>
    <w:rsid w:val="10AC2039"/>
    <w:rsid w:val="11614D46"/>
    <w:rsid w:val="1238675B"/>
    <w:rsid w:val="12E42DB9"/>
    <w:rsid w:val="139F1F37"/>
    <w:rsid w:val="19E4333D"/>
    <w:rsid w:val="1BB27819"/>
    <w:rsid w:val="1BD17023"/>
    <w:rsid w:val="1C4A212B"/>
    <w:rsid w:val="1D26794D"/>
    <w:rsid w:val="1DF64BFA"/>
    <w:rsid w:val="1DF94972"/>
    <w:rsid w:val="1EBD5DB0"/>
    <w:rsid w:val="20BA2F81"/>
    <w:rsid w:val="22004B80"/>
    <w:rsid w:val="236B28C9"/>
    <w:rsid w:val="25095830"/>
    <w:rsid w:val="268A58A2"/>
    <w:rsid w:val="28154FEB"/>
    <w:rsid w:val="284C1ED6"/>
    <w:rsid w:val="28BC5C7F"/>
    <w:rsid w:val="28ED4EB0"/>
    <w:rsid w:val="29151C2A"/>
    <w:rsid w:val="2A241B69"/>
    <w:rsid w:val="2BC758C7"/>
    <w:rsid w:val="2C273B93"/>
    <w:rsid w:val="2D285E15"/>
    <w:rsid w:val="2FFD044F"/>
    <w:rsid w:val="300C37CC"/>
    <w:rsid w:val="30CF4809"/>
    <w:rsid w:val="314E373F"/>
    <w:rsid w:val="31E866CA"/>
    <w:rsid w:val="33B448CE"/>
    <w:rsid w:val="34E0490E"/>
    <w:rsid w:val="36722213"/>
    <w:rsid w:val="36792EB9"/>
    <w:rsid w:val="38005F4F"/>
    <w:rsid w:val="39F571AD"/>
    <w:rsid w:val="3B870C67"/>
    <w:rsid w:val="3C79617D"/>
    <w:rsid w:val="3D791352"/>
    <w:rsid w:val="3F651701"/>
    <w:rsid w:val="3FC30FEB"/>
    <w:rsid w:val="3FCD5B99"/>
    <w:rsid w:val="417B60BB"/>
    <w:rsid w:val="43F43AE3"/>
    <w:rsid w:val="441B2AC5"/>
    <w:rsid w:val="442E68C6"/>
    <w:rsid w:val="49140883"/>
    <w:rsid w:val="4973683E"/>
    <w:rsid w:val="4CF270BF"/>
    <w:rsid w:val="4D0B0A92"/>
    <w:rsid w:val="4E4715E6"/>
    <w:rsid w:val="53DA3115"/>
    <w:rsid w:val="5A9009D2"/>
    <w:rsid w:val="60512112"/>
    <w:rsid w:val="62400F9F"/>
    <w:rsid w:val="627704B1"/>
    <w:rsid w:val="664802EF"/>
    <w:rsid w:val="66B1446C"/>
    <w:rsid w:val="67F91FA2"/>
    <w:rsid w:val="6A1C3917"/>
    <w:rsid w:val="6B25580C"/>
    <w:rsid w:val="6B4B3FBD"/>
    <w:rsid w:val="6D0E6AFC"/>
    <w:rsid w:val="6D9B3C6C"/>
    <w:rsid w:val="700C27C9"/>
    <w:rsid w:val="71F238C8"/>
    <w:rsid w:val="75396AE8"/>
    <w:rsid w:val="76AF7FDA"/>
    <w:rsid w:val="7A3E17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link w:val="17"/>
    <w:qFormat/>
    <w:uiPriority w:val="0"/>
    <w:pPr>
      <w:spacing w:after="120"/>
    </w:pPr>
    <w:rPr>
      <w:szCs w:val="24"/>
    </w:rPr>
  </w:style>
  <w:style w:type="paragraph" w:styleId="4">
    <w:name w:val="Body Text Indent"/>
    <w:basedOn w:val="1"/>
    <w:qFormat/>
    <w:uiPriority w:val="0"/>
    <w:pPr>
      <w:spacing w:line="600" w:lineRule="exact"/>
      <w:ind w:firstLine="480"/>
    </w:pPr>
    <w:rPr>
      <w:sz w:val="24"/>
      <w:szCs w:val="24"/>
    </w:rPr>
  </w:style>
  <w:style w:type="paragraph" w:styleId="5">
    <w:name w:val="Plain Text"/>
    <w:basedOn w:val="1"/>
    <w:link w:val="18"/>
    <w:qFormat/>
    <w:uiPriority w:val="0"/>
    <w:rPr>
      <w:rFonts w:ascii="宋体" w:hAnsi="Courier New" w:cs="Courier New"/>
      <w:szCs w:val="21"/>
    </w:rPr>
  </w:style>
  <w:style w:type="paragraph" w:styleId="6">
    <w:name w:val="Date"/>
    <w:basedOn w:val="1"/>
    <w:next w:val="1"/>
    <w:link w:val="19"/>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customStyle="1" w:styleId="16">
    <w:name w:val="标题 1 字符"/>
    <w:link w:val="2"/>
    <w:qFormat/>
    <w:uiPriority w:val="9"/>
    <w:rPr>
      <w:rFonts w:ascii="宋体" w:hAnsi="宋体" w:cs="宋体"/>
      <w:b/>
      <w:bCs/>
      <w:kern w:val="36"/>
      <w:sz w:val="48"/>
      <w:szCs w:val="48"/>
    </w:rPr>
  </w:style>
  <w:style w:type="character" w:customStyle="1" w:styleId="17">
    <w:name w:val="正文文本 字符"/>
    <w:link w:val="3"/>
    <w:qFormat/>
    <w:uiPriority w:val="0"/>
    <w:rPr>
      <w:kern w:val="2"/>
      <w:sz w:val="21"/>
      <w:szCs w:val="24"/>
    </w:rPr>
  </w:style>
  <w:style w:type="character" w:customStyle="1" w:styleId="18">
    <w:name w:val="纯文本 字符"/>
    <w:link w:val="5"/>
    <w:qFormat/>
    <w:uiPriority w:val="0"/>
    <w:rPr>
      <w:rFonts w:ascii="宋体" w:hAnsi="Courier New" w:cs="Courier New"/>
      <w:kern w:val="2"/>
      <w:sz w:val="21"/>
      <w:szCs w:val="21"/>
    </w:rPr>
  </w:style>
  <w:style w:type="character" w:customStyle="1" w:styleId="19">
    <w:name w:val="日期 字符"/>
    <w:link w:val="6"/>
    <w:qFormat/>
    <w:uiPriority w:val="0"/>
    <w:rPr>
      <w:kern w:val="2"/>
      <w:sz w:val="21"/>
    </w:rPr>
  </w:style>
  <w:style w:type="character" w:customStyle="1" w:styleId="20">
    <w:name w:val="zbggmain style9"/>
    <w:qFormat/>
    <w:uiPriority w:val="0"/>
  </w:style>
  <w:style w:type="paragraph" w:customStyle="1" w:styleId="21">
    <w:name w:val="p0"/>
    <w:basedOn w:val="1"/>
    <w:qFormat/>
    <w:uiPriority w:val="0"/>
    <w:pPr>
      <w:widowControl/>
    </w:pPr>
    <w:rPr>
      <w:rFonts w:ascii="Calibri" w:hAnsi="Calibri" w:eastAsia="宋体" w:cs="Times New Roman"/>
      <w:kern w:val="0"/>
    </w:rPr>
  </w:style>
  <w:style w:type="paragraph" w:customStyle="1" w:styleId="22">
    <w:name w:val="_Style 21"/>
    <w:unhideWhenUsed/>
    <w:qFormat/>
    <w:uiPriority w:val="99"/>
    <w:rPr>
      <w:rFonts w:ascii="Times New Roman" w:hAnsi="Times New Roman" w:eastAsia="宋体" w:cs="Times New Roman"/>
      <w:kern w:val="2"/>
      <w:sz w:val="21"/>
      <w:lang w:val="en-US" w:eastAsia="zh-CN" w:bidi="ar-SA"/>
    </w:rPr>
  </w:style>
  <w:style w:type="paragraph" w:customStyle="1" w:styleId="23">
    <w:name w:val="样式 宋体 小四 加粗 行距: 1.5 倍行距"/>
    <w:basedOn w:val="1"/>
    <w:qFormat/>
    <w:uiPriority w:val="0"/>
    <w:pPr>
      <w:spacing w:line="360" w:lineRule="auto"/>
      <w:ind w:firstLine="200" w:firstLineChars="200"/>
    </w:pPr>
    <w:rPr>
      <w:rFonts w:ascii="宋体" w:hAnsi="宋体" w:cs="宋体"/>
      <w:b/>
      <w:bCs/>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www.in9.cn</Company>
  <Pages>5</Pages>
  <Words>3082</Words>
  <Characters>3219</Characters>
  <Lines>42</Lines>
  <Paragraphs>12</Paragraphs>
  <TotalTime>0</TotalTime>
  <ScaleCrop>false</ScaleCrop>
  <LinksUpToDate>false</LinksUpToDate>
  <CharactersWithSpaces>3220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2023-05-25T07:05:00Z</dcterms:created>
  <dc:creator>孔令忠</dc:creator>
  <cp:lastModifiedBy>张昊</cp:lastModifiedBy>
  <cp:lastPrinted>2019-05-24T02:28:00Z</cp:lastPrinted>
  <dcterms:modified xsi:type="dcterms:W3CDTF">2025-07-02T07:03:06Z</dcterms:modified>
  <dc:subject>浙江建正2012文件</dc:subject>
  <dc:title>浙江建正2012文件</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913E5D5F0B6A42C8B05FFF94438BDBBB_13</vt:lpwstr>
  </property>
  <property fmtid="{D5CDD505-2E9C-101B-9397-08002B2CF9AE}" pid="4" name="KSOTemplateDocerSaveRecord">
    <vt:lpwstr>eyJoZGlkIjoiZGRmMDNlYWYyMDc5NDJhM2U1NjIzMjEyZGQ5ZjBiZmEiLCJ1c2VySWQiOiIxNjM3MTM4MTk2In0=</vt:lpwstr>
  </property>
</Properties>
</file>