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DB7259">
      <w:pPr>
        <w:spacing w:line="560" w:lineRule="exact"/>
        <w:jc w:val="center"/>
        <w:rPr>
          <w:rFonts w:hint="eastAsia" w:ascii="宋体" w:hAnsi="宋体" w:eastAsia="宋体" w:cs="Times New Roman"/>
          <w:b/>
          <w:bCs/>
          <w:sz w:val="32"/>
          <w:szCs w:val="32"/>
        </w:rPr>
      </w:pPr>
      <w:r>
        <w:rPr>
          <w:rFonts w:hint="eastAsia" w:ascii="宋体" w:hAnsi="宋体" w:eastAsia="宋体" w:cs="Times New Roman"/>
          <w:b/>
          <w:bCs/>
          <w:sz w:val="32"/>
          <w:szCs w:val="32"/>
        </w:rPr>
        <w:t>围垦飞地5.2万亩城北横路道路维修工程</w:t>
      </w:r>
    </w:p>
    <w:p w14:paraId="1A461520">
      <w:pPr>
        <w:spacing w:line="560" w:lineRule="exact"/>
        <w:jc w:val="center"/>
        <w:rPr>
          <w:rFonts w:ascii="宋体" w:hAnsi="宋体" w:eastAsia="宋体" w:cs="Times New Roman"/>
          <w:b/>
          <w:bCs/>
          <w:sz w:val="32"/>
          <w:szCs w:val="32"/>
        </w:rPr>
      </w:pPr>
      <w:r>
        <w:rPr>
          <w:rFonts w:hint="eastAsia" w:ascii="宋体" w:hAnsi="宋体"/>
          <w:b/>
          <w:bCs/>
          <w:sz w:val="32"/>
          <w:szCs w:val="32"/>
        </w:rPr>
        <w:t>招标控制价</w:t>
      </w:r>
      <w:r>
        <w:rPr>
          <w:rFonts w:hint="eastAsia" w:ascii="宋体" w:hAnsi="宋体"/>
          <w:b/>
          <w:bCs/>
          <w:sz w:val="32"/>
          <w:szCs w:val="32"/>
          <w:lang w:val="en-US" w:eastAsia="zh-CN"/>
        </w:rPr>
        <w:t>审核</w:t>
      </w:r>
      <w:r>
        <w:rPr>
          <w:rFonts w:hint="eastAsia" w:ascii="宋体" w:hAnsi="宋体"/>
          <w:b/>
          <w:bCs/>
          <w:sz w:val="32"/>
          <w:szCs w:val="32"/>
        </w:rPr>
        <w:t>说明</w:t>
      </w:r>
    </w:p>
    <w:p w14:paraId="761620B7">
      <w:pPr>
        <w:spacing w:line="560" w:lineRule="exact"/>
        <w:jc w:val="center"/>
        <w:rPr>
          <w:rFonts w:ascii="仿宋" w:hAnsi="仿宋" w:eastAsia="仿宋"/>
          <w:b/>
          <w:bCs/>
          <w:sz w:val="28"/>
          <w:szCs w:val="28"/>
        </w:rPr>
      </w:pPr>
    </w:p>
    <w:p w14:paraId="6AE5BBB2">
      <w:pPr>
        <w:spacing w:line="520" w:lineRule="exact"/>
        <w:ind w:firstLine="562" w:firstLineChars="200"/>
        <w:rPr>
          <w:rFonts w:ascii="仿宋" w:hAnsi="仿宋" w:eastAsia="仿宋"/>
          <w:b/>
          <w:sz w:val="28"/>
          <w:szCs w:val="28"/>
        </w:rPr>
      </w:pPr>
      <w:r>
        <w:rPr>
          <w:rFonts w:hint="eastAsia" w:ascii="仿宋" w:hAnsi="仿宋" w:eastAsia="仿宋"/>
          <w:b/>
          <w:sz w:val="28"/>
          <w:szCs w:val="28"/>
        </w:rPr>
        <w:t>一、</w:t>
      </w:r>
      <w:r>
        <w:rPr>
          <w:rFonts w:hint="eastAsia" w:ascii="仿宋" w:hAnsi="仿宋" w:eastAsia="仿宋"/>
          <w:b/>
          <w:sz w:val="28"/>
          <w:szCs w:val="28"/>
          <w:lang w:val="en-US" w:eastAsia="zh-CN"/>
        </w:rPr>
        <w:t>审核</w:t>
      </w:r>
      <w:r>
        <w:rPr>
          <w:rFonts w:hint="eastAsia" w:ascii="仿宋" w:hAnsi="仿宋" w:eastAsia="仿宋"/>
          <w:b/>
          <w:sz w:val="28"/>
          <w:szCs w:val="28"/>
        </w:rPr>
        <w:t>依据</w:t>
      </w:r>
    </w:p>
    <w:p w14:paraId="430F67D4">
      <w:pPr>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1、根据</w:t>
      </w:r>
      <w:r>
        <w:rPr>
          <w:rFonts w:hint="eastAsia" w:ascii="宋体" w:hAnsi="宋体" w:eastAsia="宋体" w:cs="宋体"/>
          <w:sz w:val="28"/>
          <w:szCs w:val="28"/>
          <w:lang w:val="en-US" w:eastAsia="zh-CN"/>
        </w:rPr>
        <w:t>委托方</w:t>
      </w:r>
      <w:r>
        <w:rPr>
          <w:rFonts w:hint="eastAsia" w:ascii="宋体" w:hAnsi="宋体" w:eastAsia="宋体" w:cs="宋体"/>
          <w:sz w:val="28"/>
          <w:szCs w:val="28"/>
        </w:rPr>
        <w:t>提供的由</w:t>
      </w:r>
      <w:r>
        <w:rPr>
          <w:rFonts w:hint="eastAsia" w:ascii="宋体" w:hAnsi="宋体" w:eastAsia="宋体" w:cs="宋体"/>
          <w:sz w:val="28"/>
          <w:szCs w:val="28"/>
          <w:lang w:val="en-US" w:eastAsia="zh-CN"/>
        </w:rPr>
        <w:t>浙江易鑫交通设计有限公司</w:t>
      </w:r>
      <w:r>
        <w:rPr>
          <w:rFonts w:hint="eastAsia" w:ascii="宋体" w:hAnsi="宋体" w:eastAsia="宋体" w:cs="宋体"/>
          <w:sz w:val="28"/>
          <w:szCs w:val="28"/>
        </w:rPr>
        <w:t>设计的施工图纸（202</w:t>
      </w:r>
      <w:r>
        <w:rPr>
          <w:rFonts w:hint="eastAsia" w:ascii="宋体" w:hAnsi="宋体" w:eastAsia="宋体" w:cs="宋体"/>
          <w:sz w:val="28"/>
          <w:szCs w:val="28"/>
          <w:lang w:val="en-US" w:eastAsia="zh-CN"/>
        </w:rPr>
        <w:t>5.5</w:t>
      </w:r>
      <w:r>
        <w:rPr>
          <w:rFonts w:hint="eastAsia" w:ascii="宋体" w:hAnsi="宋体" w:eastAsia="宋体" w:cs="宋体"/>
          <w:sz w:val="28"/>
          <w:szCs w:val="28"/>
        </w:rPr>
        <w:t>）；</w:t>
      </w:r>
    </w:p>
    <w:p w14:paraId="64C0971A">
      <w:pPr>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2、交通运输部《公路工程基本建设项目概算预算编制方法》（JTG 3830-2018）；</w:t>
      </w:r>
    </w:p>
    <w:p w14:paraId="1CCD2153">
      <w:pPr>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3、交通运输部《公路工程预算定额》（JTG-T3832-2018）；</w:t>
      </w:r>
    </w:p>
    <w:p w14:paraId="259EAB38">
      <w:pPr>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4、交通运输部《公路工程机械台班费用定额》（JTG-T3833-2018）；</w:t>
      </w:r>
    </w:p>
    <w:p w14:paraId="035F1CBC">
      <w:pPr>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5、《交通建设工程工程量清单计价规范》（DB33/T 628.1-2021）；</w:t>
      </w:r>
    </w:p>
    <w:p w14:paraId="500A1351">
      <w:pPr>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6、《关于进一步规范交通建设工程量清单预算第100章总则部分费用计列内容和标准的指导意见》（浙交造价【2014】2号）；</w:t>
      </w:r>
    </w:p>
    <w:p w14:paraId="282AD55A">
      <w:pPr>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7、</w:t>
      </w:r>
      <w:r>
        <w:rPr>
          <w:rFonts w:hint="eastAsia" w:ascii="宋体" w:hAnsi="宋体" w:eastAsia="宋体" w:cs="宋体"/>
          <w:sz w:val="28"/>
          <w:szCs w:val="28"/>
          <w:lang w:val="zh-CN"/>
        </w:rPr>
        <w:t>浙江省交通运输厅浙交【201</w:t>
      </w:r>
      <w:r>
        <w:rPr>
          <w:rFonts w:hint="eastAsia" w:ascii="宋体" w:hAnsi="宋体" w:eastAsia="宋体" w:cs="宋体"/>
          <w:sz w:val="28"/>
          <w:szCs w:val="28"/>
        </w:rPr>
        <w:t>9</w:t>
      </w:r>
      <w:r>
        <w:rPr>
          <w:rFonts w:hint="eastAsia" w:ascii="宋体" w:hAnsi="宋体" w:eastAsia="宋体" w:cs="宋体"/>
          <w:sz w:val="28"/>
          <w:szCs w:val="28"/>
          <w:lang w:val="zh-CN"/>
        </w:rPr>
        <w:t>】</w:t>
      </w:r>
      <w:r>
        <w:rPr>
          <w:rFonts w:hint="eastAsia" w:ascii="宋体" w:hAnsi="宋体" w:eastAsia="宋体" w:cs="宋体"/>
          <w:sz w:val="28"/>
          <w:szCs w:val="28"/>
        </w:rPr>
        <w:t>116</w:t>
      </w:r>
      <w:r>
        <w:rPr>
          <w:rFonts w:hint="eastAsia" w:ascii="宋体" w:hAnsi="宋体" w:eastAsia="宋体" w:cs="宋体"/>
          <w:sz w:val="28"/>
          <w:szCs w:val="28"/>
          <w:lang w:val="zh-CN"/>
        </w:rPr>
        <w:t>号文公布的《转发交通运输部</w:t>
      </w:r>
      <w:r>
        <w:rPr>
          <w:rFonts w:hint="eastAsia" w:ascii="宋体" w:hAnsi="宋体" w:eastAsia="宋体" w:cs="宋体"/>
          <w:sz w:val="28"/>
          <w:szCs w:val="28"/>
        </w:rPr>
        <w:t>2018年第86号公告通知</w:t>
      </w:r>
      <w:r>
        <w:rPr>
          <w:rFonts w:hint="eastAsia" w:ascii="宋体" w:hAnsi="宋体" w:eastAsia="宋体" w:cs="宋体"/>
          <w:sz w:val="28"/>
          <w:szCs w:val="28"/>
          <w:lang w:val="zh-CN"/>
        </w:rPr>
        <w:t>》；</w:t>
      </w:r>
    </w:p>
    <w:p w14:paraId="05999446">
      <w:pPr>
        <w:spacing w:line="520" w:lineRule="exact"/>
        <w:ind w:firstLine="560" w:firstLineChars="200"/>
        <w:rPr>
          <w:rFonts w:hint="eastAsia" w:ascii="宋体" w:hAnsi="宋体" w:eastAsia="宋体" w:cs="宋体"/>
          <w:sz w:val="28"/>
          <w:szCs w:val="28"/>
          <w:lang w:val="zh-CN"/>
        </w:rPr>
      </w:pPr>
      <w:r>
        <w:rPr>
          <w:rFonts w:hint="eastAsia" w:ascii="宋体" w:hAnsi="宋体" w:eastAsia="宋体" w:cs="宋体"/>
          <w:sz w:val="28"/>
          <w:szCs w:val="28"/>
        </w:rPr>
        <w:t>8、浙江省交通运输厅浙交</w:t>
      </w:r>
      <w:r>
        <w:rPr>
          <w:rFonts w:hint="eastAsia" w:ascii="宋体" w:hAnsi="宋体" w:eastAsia="宋体" w:cs="宋体"/>
          <w:sz w:val="28"/>
          <w:szCs w:val="28"/>
          <w:lang w:val="zh-CN"/>
        </w:rPr>
        <w:t>【2020】104号文公布的《关于进一步加强全省交通建设工程安全生产管理工作的若干规定》；</w:t>
      </w:r>
    </w:p>
    <w:p w14:paraId="6C31085B">
      <w:pPr>
        <w:spacing w:line="520" w:lineRule="exact"/>
        <w:ind w:firstLine="560" w:firstLineChars="200"/>
        <w:rPr>
          <w:rFonts w:hint="eastAsia" w:ascii="宋体" w:hAnsi="宋体" w:eastAsia="宋体" w:cs="宋体"/>
          <w:sz w:val="28"/>
          <w:szCs w:val="28"/>
          <w:lang w:val="zh-CN"/>
        </w:rPr>
      </w:pPr>
      <w:r>
        <w:rPr>
          <w:rFonts w:hint="eastAsia" w:ascii="宋体" w:hAnsi="宋体" w:eastAsia="宋体" w:cs="宋体"/>
          <w:sz w:val="28"/>
          <w:szCs w:val="28"/>
        </w:rPr>
        <w:t>9</w:t>
      </w:r>
      <w:r>
        <w:rPr>
          <w:rFonts w:hint="eastAsia" w:ascii="宋体" w:hAnsi="宋体" w:eastAsia="宋体" w:cs="宋体"/>
          <w:sz w:val="28"/>
          <w:szCs w:val="28"/>
          <w:lang w:val="zh-CN"/>
        </w:rPr>
        <w:t>、浙交【2022】116号</w:t>
      </w:r>
      <w:r>
        <w:rPr>
          <w:rFonts w:hint="eastAsia" w:ascii="宋体" w:hAnsi="宋体" w:eastAsia="宋体" w:cs="宋体"/>
          <w:sz w:val="28"/>
          <w:szCs w:val="28"/>
        </w:rPr>
        <w:t>文公布的</w:t>
      </w:r>
      <w:r>
        <w:rPr>
          <w:rFonts w:hint="eastAsia" w:ascii="宋体" w:hAnsi="宋体" w:eastAsia="宋体" w:cs="宋体"/>
          <w:sz w:val="28"/>
          <w:szCs w:val="28"/>
          <w:lang w:val="zh-CN"/>
        </w:rPr>
        <w:t>《浙江省交通运输厅关于加强公路水运工程疫情防控和安全生产费用保障的指导意见》。</w:t>
      </w:r>
    </w:p>
    <w:p w14:paraId="06ED3497">
      <w:pPr>
        <w:spacing w:line="520" w:lineRule="exact"/>
        <w:ind w:firstLine="480" w:firstLineChars="200"/>
        <w:rPr>
          <w:rFonts w:ascii="宋体" w:hAnsi="宋体" w:eastAsia="宋体" w:cs="宋体"/>
          <w:sz w:val="24"/>
          <w:lang w:val="zh-CN"/>
        </w:rPr>
      </w:pPr>
    </w:p>
    <w:p w14:paraId="19BBA850">
      <w:pPr>
        <w:spacing w:line="520" w:lineRule="exact"/>
        <w:ind w:firstLine="562" w:firstLineChars="200"/>
        <w:rPr>
          <w:rFonts w:ascii="仿宋" w:hAnsi="仿宋" w:eastAsia="仿宋"/>
          <w:b/>
          <w:sz w:val="28"/>
          <w:szCs w:val="28"/>
        </w:rPr>
      </w:pPr>
      <w:r>
        <w:rPr>
          <w:rFonts w:hint="eastAsia" w:ascii="仿宋" w:hAnsi="仿宋" w:eastAsia="仿宋"/>
          <w:b/>
          <w:sz w:val="28"/>
          <w:szCs w:val="28"/>
        </w:rPr>
        <w:t>二、</w:t>
      </w:r>
      <w:r>
        <w:rPr>
          <w:rFonts w:hint="eastAsia" w:ascii="仿宋" w:hAnsi="仿宋" w:eastAsia="仿宋"/>
          <w:b/>
          <w:sz w:val="28"/>
          <w:szCs w:val="28"/>
          <w:lang w:val="en-US" w:eastAsia="zh-CN"/>
        </w:rPr>
        <w:t>审核</w:t>
      </w:r>
      <w:r>
        <w:rPr>
          <w:rFonts w:hint="eastAsia" w:ascii="仿宋" w:hAnsi="仿宋" w:eastAsia="仿宋"/>
          <w:b/>
          <w:sz w:val="28"/>
          <w:szCs w:val="28"/>
        </w:rPr>
        <w:t>范围</w:t>
      </w:r>
    </w:p>
    <w:p w14:paraId="214989E2">
      <w:pPr>
        <w:spacing w:line="520" w:lineRule="exact"/>
        <w:ind w:firstLine="560" w:firstLineChars="200"/>
        <w:rPr>
          <w:rFonts w:ascii="宋体" w:hAnsi="宋体" w:eastAsia="宋体" w:cs="宋体"/>
          <w:sz w:val="28"/>
          <w:szCs w:val="28"/>
          <w:lang w:val="zh-CN"/>
        </w:rPr>
      </w:pPr>
      <w:r>
        <w:rPr>
          <w:rFonts w:hint="eastAsia" w:ascii="宋体" w:hAnsi="宋体" w:eastAsia="宋体" w:cs="宋体"/>
          <w:sz w:val="28"/>
          <w:szCs w:val="28"/>
          <w:lang w:val="zh-CN"/>
        </w:rPr>
        <w:t>1、图纸范围内的</w:t>
      </w:r>
      <w:r>
        <w:rPr>
          <w:rFonts w:hint="eastAsia" w:ascii="宋体" w:hAnsi="宋体" w:eastAsia="宋体" w:cs="宋体"/>
          <w:sz w:val="28"/>
          <w:szCs w:val="28"/>
          <w:lang w:val="en-US" w:eastAsia="zh-CN"/>
        </w:rPr>
        <w:t>道路、挡墙、护栏</w:t>
      </w:r>
      <w:r>
        <w:rPr>
          <w:rFonts w:hint="eastAsia" w:ascii="宋体" w:hAnsi="宋体" w:eastAsia="宋体" w:cs="宋体"/>
          <w:sz w:val="28"/>
          <w:szCs w:val="28"/>
          <w:lang w:val="zh-CN"/>
        </w:rPr>
        <w:t>等</w:t>
      </w:r>
      <w:r>
        <w:rPr>
          <w:rFonts w:hint="eastAsia" w:ascii="宋体" w:hAnsi="宋体" w:eastAsia="宋体" w:cs="宋体"/>
          <w:sz w:val="28"/>
          <w:szCs w:val="28"/>
          <w:lang w:val="en-US" w:eastAsia="zh-CN"/>
        </w:rPr>
        <w:t>修复</w:t>
      </w:r>
      <w:r>
        <w:rPr>
          <w:rFonts w:hint="eastAsia" w:ascii="宋体" w:hAnsi="宋体" w:eastAsia="宋体" w:cs="宋体"/>
          <w:sz w:val="28"/>
          <w:szCs w:val="28"/>
          <w:lang w:val="zh-CN"/>
        </w:rPr>
        <w:t>工程。</w:t>
      </w:r>
    </w:p>
    <w:p w14:paraId="02D67466">
      <w:pPr>
        <w:spacing w:line="520" w:lineRule="exact"/>
        <w:ind w:firstLine="480" w:firstLineChars="200"/>
        <w:rPr>
          <w:rFonts w:ascii="宋体" w:hAnsi="宋体" w:eastAsia="宋体" w:cs="宋体"/>
          <w:sz w:val="24"/>
          <w:lang w:val="zh-CN"/>
        </w:rPr>
      </w:pPr>
    </w:p>
    <w:p w14:paraId="02132E3A">
      <w:pPr>
        <w:spacing w:line="520" w:lineRule="exact"/>
        <w:ind w:firstLine="562" w:firstLineChars="200"/>
        <w:rPr>
          <w:rFonts w:ascii="仿宋" w:hAnsi="仿宋" w:eastAsia="仿宋"/>
          <w:b/>
          <w:sz w:val="28"/>
          <w:szCs w:val="28"/>
        </w:rPr>
      </w:pPr>
      <w:r>
        <w:rPr>
          <w:rFonts w:hint="eastAsia" w:ascii="仿宋" w:hAnsi="仿宋" w:eastAsia="仿宋"/>
          <w:b/>
          <w:sz w:val="28"/>
          <w:szCs w:val="28"/>
        </w:rPr>
        <w:t>三、</w:t>
      </w:r>
      <w:r>
        <w:rPr>
          <w:rFonts w:hint="eastAsia" w:ascii="仿宋" w:hAnsi="仿宋" w:eastAsia="仿宋"/>
          <w:b/>
          <w:sz w:val="28"/>
          <w:szCs w:val="28"/>
          <w:lang w:val="en-US" w:eastAsia="zh-CN"/>
        </w:rPr>
        <w:t>审核</w:t>
      </w:r>
      <w:r>
        <w:rPr>
          <w:rFonts w:hint="eastAsia" w:ascii="仿宋" w:hAnsi="仿宋" w:eastAsia="仿宋"/>
          <w:b/>
          <w:sz w:val="28"/>
          <w:szCs w:val="28"/>
        </w:rPr>
        <w:t>原则及办法</w:t>
      </w:r>
    </w:p>
    <w:p w14:paraId="66F7A4F7">
      <w:pPr>
        <w:spacing w:line="520" w:lineRule="exact"/>
        <w:ind w:firstLine="560" w:firstLineChars="200"/>
        <w:rPr>
          <w:rFonts w:ascii="仿宋" w:hAnsi="仿宋" w:eastAsia="仿宋"/>
          <w:b/>
          <w:sz w:val="28"/>
          <w:szCs w:val="28"/>
        </w:rPr>
      </w:pPr>
      <w:r>
        <w:rPr>
          <w:rFonts w:hint="eastAsia" w:ascii="宋体" w:hAnsi="宋体" w:eastAsia="宋体" w:cs="宋体"/>
          <w:sz w:val="28"/>
          <w:szCs w:val="28"/>
        </w:rPr>
        <w:t>1、工程量按</w:t>
      </w:r>
      <w:r>
        <w:rPr>
          <w:rFonts w:hint="eastAsia" w:ascii="宋体" w:hAnsi="宋体" w:eastAsia="宋体" w:cs="宋体"/>
          <w:sz w:val="28"/>
          <w:szCs w:val="28"/>
          <w:lang w:val="en-US" w:eastAsia="zh-CN"/>
        </w:rPr>
        <w:t>委托方</w:t>
      </w:r>
      <w:r>
        <w:rPr>
          <w:rFonts w:hint="eastAsia" w:ascii="宋体" w:hAnsi="宋体" w:eastAsia="宋体" w:cs="宋体"/>
          <w:sz w:val="28"/>
          <w:szCs w:val="28"/>
        </w:rPr>
        <w:t>提供的由</w:t>
      </w:r>
      <w:r>
        <w:rPr>
          <w:rFonts w:hint="eastAsia" w:ascii="宋体" w:hAnsi="宋体" w:eastAsia="宋体" w:cs="宋体"/>
          <w:sz w:val="28"/>
          <w:szCs w:val="28"/>
          <w:lang w:val="en-US" w:eastAsia="zh-CN"/>
        </w:rPr>
        <w:t>浙江易鑫交通设计有限公司</w:t>
      </w:r>
      <w:r>
        <w:rPr>
          <w:rFonts w:hint="eastAsia" w:ascii="宋体" w:hAnsi="宋体" w:eastAsia="宋体" w:cs="宋体"/>
          <w:sz w:val="28"/>
          <w:szCs w:val="28"/>
        </w:rPr>
        <w:t>设计的施工图纸（202</w:t>
      </w:r>
      <w:r>
        <w:rPr>
          <w:rFonts w:hint="eastAsia" w:ascii="宋体" w:hAnsi="宋体" w:eastAsia="宋体" w:cs="宋体"/>
          <w:sz w:val="28"/>
          <w:szCs w:val="28"/>
          <w:lang w:val="en-US" w:eastAsia="zh-CN"/>
        </w:rPr>
        <w:t>5.5</w:t>
      </w:r>
      <w:r>
        <w:rPr>
          <w:rFonts w:hint="eastAsia" w:ascii="宋体" w:hAnsi="宋体" w:eastAsia="宋体" w:cs="宋体"/>
          <w:sz w:val="28"/>
          <w:szCs w:val="28"/>
        </w:rPr>
        <w:t>）计入；</w:t>
      </w:r>
    </w:p>
    <w:p w14:paraId="1523250D">
      <w:pPr>
        <w:spacing w:line="360" w:lineRule="auto"/>
        <w:ind w:firstLine="560" w:firstLineChars="200"/>
        <w:rPr>
          <w:rFonts w:ascii="宋体" w:hAnsi="宋体"/>
          <w:sz w:val="28"/>
          <w:szCs w:val="28"/>
        </w:rPr>
      </w:pPr>
      <w:r>
        <w:rPr>
          <w:rFonts w:hint="eastAsia" w:ascii="宋体" w:hAnsi="宋体"/>
          <w:sz w:val="28"/>
          <w:szCs w:val="28"/>
        </w:rPr>
        <w:t>2、</w:t>
      </w:r>
      <w:r>
        <w:rPr>
          <w:rFonts w:hint="eastAsia" w:ascii="宋体" w:hAnsi="宋体" w:cs="宋体"/>
          <w:sz w:val="28"/>
          <w:szCs w:val="28"/>
          <w:lang w:val="zh-CN"/>
        </w:rPr>
        <w:t>取费标准按浙江省公路工程概预算费率标准—浙交〔2019〕116号标准计取，利润7.42%计取，税金按9%计取。其他工程费：冬季施工增加费按准二区计；雨季施工增加费按Ⅱ区7个月计；行车干扰按</w:t>
      </w:r>
      <w:r>
        <w:rPr>
          <w:rFonts w:hint="eastAsia" w:ascii="宋体" w:hAnsi="宋体" w:cs="宋体"/>
          <w:sz w:val="28"/>
          <w:szCs w:val="28"/>
          <w:lang w:val="en-US" w:eastAsia="zh-CN"/>
        </w:rPr>
        <w:t>5</w:t>
      </w:r>
      <w:r>
        <w:rPr>
          <w:rFonts w:hint="eastAsia" w:ascii="宋体" w:hAnsi="宋体" w:cs="宋体"/>
          <w:sz w:val="28"/>
          <w:szCs w:val="28"/>
          <w:lang w:val="zh-CN"/>
        </w:rPr>
        <w:t>01~</w:t>
      </w:r>
      <w:r>
        <w:rPr>
          <w:rFonts w:hint="eastAsia" w:ascii="宋体" w:hAnsi="宋体" w:cs="宋体"/>
          <w:sz w:val="28"/>
          <w:szCs w:val="28"/>
          <w:lang w:val="en-US" w:eastAsia="zh-CN"/>
        </w:rPr>
        <w:t>1</w:t>
      </w:r>
      <w:r>
        <w:rPr>
          <w:rFonts w:hint="eastAsia" w:ascii="宋体" w:hAnsi="宋体" w:cs="宋体"/>
          <w:sz w:val="28"/>
          <w:szCs w:val="28"/>
          <w:lang w:val="zh-CN"/>
        </w:rPr>
        <w:t>000计；工地转移按50km计、综合里程按3km计；施工辅助、基本费用、职工探亲、财务费用、辅助生产间接费等均按编制办法规定予以计取；</w:t>
      </w:r>
    </w:p>
    <w:p w14:paraId="65AD0458">
      <w:pPr>
        <w:spacing w:line="520" w:lineRule="exact"/>
        <w:ind w:firstLine="560" w:firstLineChars="200"/>
        <w:rPr>
          <w:rFonts w:ascii="宋体" w:hAnsi="宋体" w:cs="宋体"/>
          <w:sz w:val="28"/>
          <w:szCs w:val="28"/>
          <w:lang w:val="zh-CN"/>
        </w:rPr>
      </w:pPr>
      <w:r>
        <w:rPr>
          <w:rFonts w:hint="eastAsia" w:ascii="宋体" w:hAnsi="宋体" w:cs="宋体"/>
          <w:sz w:val="28"/>
          <w:szCs w:val="28"/>
        </w:rPr>
        <w:t>3</w:t>
      </w:r>
      <w:r>
        <w:rPr>
          <w:rFonts w:hint="eastAsia" w:ascii="宋体" w:hAnsi="宋体" w:cs="宋体"/>
          <w:sz w:val="28"/>
          <w:szCs w:val="28"/>
          <w:lang w:val="zh-CN"/>
        </w:rPr>
        <w:t>、人工信息价：人工工日费取用浙交【2019】116号文件中的人工费（含机械工）按127.66元/工日的标准计取。</w:t>
      </w:r>
    </w:p>
    <w:p w14:paraId="760E4723">
      <w:pPr>
        <w:spacing w:line="520" w:lineRule="exact"/>
        <w:ind w:firstLine="560" w:firstLineChars="200"/>
        <w:rPr>
          <w:rFonts w:ascii="宋体" w:hAnsi="宋体" w:eastAsia="宋体" w:cs="宋体"/>
          <w:sz w:val="28"/>
          <w:szCs w:val="28"/>
          <w:lang w:val="zh-CN"/>
        </w:rPr>
      </w:pPr>
      <w:r>
        <w:rPr>
          <w:rFonts w:hint="eastAsia" w:ascii="宋体" w:hAnsi="宋体" w:eastAsia="宋体" w:cs="宋体"/>
          <w:sz w:val="28"/>
          <w:szCs w:val="28"/>
        </w:rPr>
        <w:t>4</w:t>
      </w:r>
      <w:r>
        <w:rPr>
          <w:rFonts w:hint="eastAsia" w:ascii="宋体" w:hAnsi="宋体" w:eastAsia="宋体" w:cs="宋体"/>
          <w:sz w:val="28"/>
          <w:szCs w:val="28"/>
          <w:lang w:val="zh-CN"/>
        </w:rPr>
        <w:t>、主要材料信息价按《</w:t>
      </w:r>
      <w:r>
        <w:rPr>
          <w:rFonts w:hint="eastAsia" w:ascii="宋体" w:hAnsi="宋体" w:eastAsia="宋体" w:cs="宋体"/>
          <w:sz w:val="28"/>
          <w:szCs w:val="28"/>
          <w:lang w:val="en-US" w:eastAsia="zh-CN"/>
        </w:rPr>
        <w:t>杭州交通工程造价管理</w:t>
      </w:r>
      <w:r>
        <w:rPr>
          <w:rFonts w:hint="eastAsia" w:ascii="宋体" w:hAnsi="宋体" w:eastAsia="宋体" w:cs="宋体"/>
          <w:sz w:val="28"/>
          <w:szCs w:val="28"/>
          <w:lang w:val="zh-CN"/>
        </w:rPr>
        <w:t>》202</w:t>
      </w:r>
      <w:r>
        <w:rPr>
          <w:rFonts w:hint="eastAsia" w:ascii="宋体" w:hAnsi="宋体" w:eastAsia="宋体" w:cs="宋体"/>
          <w:sz w:val="28"/>
          <w:szCs w:val="28"/>
          <w:lang w:val="en-US" w:eastAsia="zh-CN"/>
        </w:rPr>
        <w:t>5</w:t>
      </w:r>
      <w:r>
        <w:rPr>
          <w:rFonts w:hint="eastAsia" w:ascii="宋体" w:hAnsi="宋体" w:eastAsia="宋体" w:cs="宋体"/>
          <w:sz w:val="28"/>
          <w:szCs w:val="28"/>
          <w:lang w:val="zh-CN"/>
        </w:rPr>
        <w:t>年第</w:t>
      </w:r>
      <w:r>
        <w:rPr>
          <w:rFonts w:hint="eastAsia" w:ascii="宋体" w:hAnsi="宋体" w:eastAsia="宋体" w:cs="宋体"/>
          <w:sz w:val="28"/>
          <w:szCs w:val="28"/>
          <w:lang w:val="en-US" w:eastAsia="zh-CN"/>
        </w:rPr>
        <w:t>5</w:t>
      </w:r>
      <w:r>
        <w:rPr>
          <w:rFonts w:hint="eastAsia" w:ascii="宋体" w:hAnsi="宋体" w:eastAsia="宋体" w:cs="宋体"/>
          <w:sz w:val="28"/>
          <w:szCs w:val="28"/>
          <w:lang w:val="zh-CN"/>
        </w:rPr>
        <w:t>期除税价（杭州栏，钱塘区优先）、《杭州造价信息》202</w:t>
      </w:r>
      <w:r>
        <w:rPr>
          <w:rFonts w:hint="eastAsia" w:ascii="宋体" w:hAnsi="宋体" w:eastAsia="宋体" w:cs="宋体"/>
          <w:sz w:val="28"/>
          <w:szCs w:val="28"/>
          <w:lang w:val="en-US" w:eastAsia="zh-CN"/>
        </w:rPr>
        <w:t>5</w:t>
      </w:r>
      <w:r>
        <w:rPr>
          <w:rFonts w:hint="eastAsia" w:ascii="宋体" w:hAnsi="宋体" w:eastAsia="宋体" w:cs="宋体"/>
          <w:sz w:val="28"/>
          <w:szCs w:val="28"/>
          <w:lang w:val="zh-CN"/>
        </w:rPr>
        <w:t>年第</w:t>
      </w:r>
      <w:r>
        <w:rPr>
          <w:rFonts w:hint="eastAsia" w:ascii="宋体" w:hAnsi="宋体" w:eastAsia="宋体" w:cs="宋体"/>
          <w:sz w:val="28"/>
          <w:szCs w:val="28"/>
          <w:lang w:val="en-US" w:eastAsia="zh-CN"/>
        </w:rPr>
        <w:t>5</w:t>
      </w:r>
      <w:r>
        <w:rPr>
          <w:rFonts w:hint="eastAsia" w:ascii="宋体" w:hAnsi="宋体" w:eastAsia="宋体" w:cs="宋体"/>
          <w:sz w:val="28"/>
          <w:szCs w:val="28"/>
          <w:lang w:val="zh-CN"/>
        </w:rPr>
        <w:t>期除税价（钱塘区优先），《浙江造价信息》202</w:t>
      </w:r>
      <w:r>
        <w:rPr>
          <w:rFonts w:hint="eastAsia" w:ascii="宋体" w:hAnsi="宋体" w:eastAsia="宋体" w:cs="宋体"/>
          <w:sz w:val="28"/>
          <w:szCs w:val="28"/>
          <w:lang w:val="en-US" w:eastAsia="zh-CN"/>
        </w:rPr>
        <w:t>5</w:t>
      </w:r>
      <w:r>
        <w:rPr>
          <w:rFonts w:hint="eastAsia" w:ascii="宋体" w:hAnsi="宋体" w:eastAsia="宋体" w:cs="宋体"/>
          <w:sz w:val="28"/>
          <w:szCs w:val="28"/>
          <w:lang w:val="zh-CN"/>
        </w:rPr>
        <w:t>年第</w:t>
      </w:r>
      <w:r>
        <w:rPr>
          <w:rFonts w:hint="eastAsia" w:ascii="宋体" w:hAnsi="宋体" w:eastAsia="宋体" w:cs="宋体"/>
          <w:sz w:val="28"/>
          <w:szCs w:val="28"/>
          <w:lang w:val="en-US" w:eastAsia="zh-CN"/>
        </w:rPr>
        <w:t>5</w:t>
      </w:r>
      <w:r>
        <w:rPr>
          <w:rFonts w:hint="eastAsia" w:ascii="宋体" w:hAnsi="宋体" w:eastAsia="宋体" w:cs="宋体"/>
          <w:sz w:val="28"/>
          <w:szCs w:val="28"/>
          <w:lang w:val="zh-CN"/>
        </w:rPr>
        <w:t>期除税价，无价材料按除税市场价计入。</w:t>
      </w:r>
    </w:p>
    <w:p w14:paraId="214AC3C8">
      <w:pPr>
        <w:spacing w:line="520" w:lineRule="exact"/>
        <w:ind w:firstLine="413" w:firstLineChars="147"/>
        <w:rPr>
          <w:rFonts w:hint="eastAsia" w:ascii="仿宋" w:hAnsi="仿宋" w:eastAsia="仿宋"/>
          <w:b/>
          <w:bCs/>
          <w:sz w:val="28"/>
          <w:szCs w:val="28"/>
        </w:rPr>
      </w:pPr>
    </w:p>
    <w:p w14:paraId="5C435679">
      <w:pPr>
        <w:spacing w:line="520" w:lineRule="exact"/>
        <w:ind w:firstLine="413" w:firstLineChars="147"/>
        <w:rPr>
          <w:rFonts w:ascii="仿宋" w:hAnsi="仿宋" w:eastAsia="仿宋"/>
          <w:b/>
          <w:bCs/>
          <w:sz w:val="28"/>
          <w:szCs w:val="28"/>
        </w:rPr>
      </w:pPr>
      <w:r>
        <w:rPr>
          <w:rFonts w:hint="eastAsia" w:ascii="仿宋" w:hAnsi="仿宋" w:eastAsia="仿宋"/>
          <w:b/>
          <w:bCs/>
          <w:sz w:val="28"/>
          <w:szCs w:val="28"/>
        </w:rPr>
        <w:t>四、有关事项说明</w:t>
      </w:r>
    </w:p>
    <w:p w14:paraId="4A6125D9">
      <w:pPr>
        <w:pStyle w:val="9"/>
        <w:autoSpaceDE w:val="0"/>
        <w:autoSpaceDN w:val="0"/>
        <w:spacing w:line="360" w:lineRule="auto"/>
        <w:ind w:firstLine="480"/>
        <w:rPr>
          <w:rFonts w:ascii="宋体" w:hAnsi="宋体" w:cs="宋体"/>
          <w:sz w:val="28"/>
          <w:szCs w:val="28"/>
        </w:rPr>
      </w:pPr>
      <w:r>
        <w:rPr>
          <w:rFonts w:hint="eastAsia" w:ascii="宋体" w:hAnsi="宋体" w:cs="宋体"/>
          <w:sz w:val="28"/>
          <w:szCs w:val="28"/>
        </w:rPr>
        <w:t>1、工程一切险按清单100章至900章合计金额（不含保险费）的0.3%计取；安全生产责任险（含第三者责任险）按100章至900章合计金额（不含保险费）的0.25%计取；安全环保费按除100章外的1.5‰计取，安全生产费按总价的2%计取；</w:t>
      </w:r>
      <w:r>
        <w:rPr>
          <w:rFonts w:hint="eastAsia" w:ascii="宋体" w:hAnsi="宋体" w:cs="宋体"/>
          <w:sz w:val="28"/>
          <w:szCs w:val="28"/>
          <w:lang w:val="en-US" w:eastAsia="zh-CN"/>
        </w:rPr>
        <w:t>临时交通设施按5000元计入（除税）</w:t>
      </w:r>
      <w:r>
        <w:rPr>
          <w:rFonts w:hint="eastAsia" w:ascii="宋体" w:hAnsi="宋体" w:cs="宋体"/>
          <w:sz w:val="28"/>
          <w:szCs w:val="28"/>
        </w:rPr>
        <w:t>；承包人驻地建设按</w:t>
      </w:r>
      <w:r>
        <w:rPr>
          <w:rFonts w:hint="eastAsia" w:ascii="宋体" w:hAnsi="宋体" w:cs="宋体"/>
          <w:sz w:val="28"/>
          <w:szCs w:val="28"/>
          <w:lang w:val="en-US" w:eastAsia="zh-CN"/>
        </w:rPr>
        <w:t>10000</w:t>
      </w:r>
      <w:r>
        <w:rPr>
          <w:rFonts w:hint="eastAsia" w:ascii="宋体" w:hAnsi="宋体" w:cs="宋体"/>
          <w:sz w:val="28"/>
          <w:szCs w:val="28"/>
        </w:rPr>
        <w:t xml:space="preserve">元计入（含税）； </w:t>
      </w:r>
    </w:p>
    <w:p w14:paraId="0E61E0B3">
      <w:pPr>
        <w:spacing w:line="520" w:lineRule="exact"/>
        <w:ind w:firstLine="480"/>
        <w:rPr>
          <w:rFonts w:hint="eastAsia" w:ascii="宋体" w:hAnsi="宋体" w:eastAsia="宋体" w:cs="宋体"/>
          <w:sz w:val="28"/>
          <w:szCs w:val="28"/>
          <w:lang w:eastAsia="zh-CN"/>
        </w:rPr>
      </w:pPr>
      <w:r>
        <w:rPr>
          <w:rFonts w:hint="eastAsia" w:ascii="宋体" w:hAnsi="宋体" w:eastAsia="宋体"/>
          <w:color w:val="000000"/>
          <w:sz w:val="28"/>
          <w:szCs w:val="28"/>
        </w:rPr>
        <w:t>2、经咨询设计，</w:t>
      </w:r>
      <w:r>
        <w:rPr>
          <w:rFonts w:hint="eastAsia" w:ascii="宋体" w:hAnsi="宋体" w:eastAsia="宋体" w:cs="宋体"/>
          <w:sz w:val="28"/>
          <w:szCs w:val="28"/>
          <w:lang w:val="en-US" w:eastAsia="zh-CN"/>
        </w:rPr>
        <w:t>钢筋混凝土管按II级计入</w:t>
      </w:r>
      <w:r>
        <w:rPr>
          <w:rFonts w:hint="eastAsia" w:ascii="宋体" w:hAnsi="宋体" w:eastAsia="宋体" w:cs="宋体"/>
          <w:sz w:val="28"/>
          <w:szCs w:val="28"/>
          <w:lang w:eastAsia="zh-CN"/>
        </w:rPr>
        <w:t>；</w:t>
      </w:r>
    </w:p>
    <w:p w14:paraId="46904984">
      <w:pPr>
        <w:spacing w:line="520" w:lineRule="exact"/>
        <w:ind w:firstLine="480"/>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3、经咨询设计，钢筋混凝土管素砼回填长度按7米计入。</w:t>
      </w:r>
    </w:p>
    <w:p w14:paraId="398BB8C0">
      <w:pPr>
        <w:spacing w:line="360" w:lineRule="auto"/>
        <w:rPr>
          <w:rFonts w:ascii="宋体" w:hAnsi="宋体" w:cs="宋体"/>
          <w:sz w:val="24"/>
        </w:rPr>
      </w:pPr>
    </w:p>
    <w:p w14:paraId="2B66479B">
      <w:pPr>
        <w:keepNext w:val="0"/>
        <w:keepLines w:val="0"/>
        <w:pageBreakBefore w:val="0"/>
        <w:widowControl w:val="0"/>
        <w:kinsoku/>
        <w:wordWrap/>
        <w:overflowPunct/>
        <w:topLinePunct w:val="0"/>
        <w:autoSpaceDE/>
        <w:autoSpaceDN/>
        <w:bidi w:val="0"/>
        <w:adjustRightInd/>
        <w:snapToGrid/>
        <w:spacing w:line="520" w:lineRule="exact"/>
        <w:ind w:firstLine="4760" w:firstLineChars="1700"/>
        <w:textAlignment w:val="auto"/>
        <w:rPr>
          <w:rFonts w:ascii="宋体" w:hAnsi="宋体" w:cs="宋体"/>
          <w:sz w:val="28"/>
          <w:szCs w:val="28"/>
        </w:rPr>
      </w:pPr>
      <w:r>
        <w:rPr>
          <w:rFonts w:hint="eastAsia" w:ascii="宋体" w:hAnsi="宋体" w:cs="宋体"/>
          <w:sz w:val="28"/>
          <w:szCs w:val="28"/>
        </w:rPr>
        <w:t xml:space="preserve">中冠工程管理咨询有限公司 </w:t>
      </w:r>
    </w:p>
    <w:p w14:paraId="79E130EC">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center"/>
        <w:textAlignment w:val="auto"/>
        <w:rPr>
          <w:rFonts w:ascii="宋体" w:hAnsi="宋体" w:cs="宋体"/>
          <w:sz w:val="28"/>
          <w:szCs w:val="28"/>
        </w:rPr>
      </w:pPr>
      <w:r>
        <w:rPr>
          <w:rFonts w:hint="eastAsia" w:ascii="宋体" w:hAnsi="宋体" w:cs="宋体"/>
          <w:sz w:val="28"/>
          <w:szCs w:val="28"/>
          <w:lang w:val="en-US" w:eastAsia="zh-CN"/>
        </w:rPr>
        <w:t xml:space="preserve">                              </w:t>
      </w:r>
      <w:r>
        <w:rPr>
          <w:rFonts w:hint="eastAsia" w:ascii="宋体" w:hAnsi="宋体" w:cs="宋体"/>
          <w:sz w:val="28"/>
          <w:szCs w:val="28"/>
        </w:rPr>
        <w:t>202</w:t>
      </w:r>
      <w:r>
        <w:rPr>
          <w:rFonts w:hint="eastAsia" w:ascii="宋体" w:hAnsi="宋体" w:cs="宋体"/>
          <w:sz w:val="28"/>
          <w:szCs w:val="28"/>
          <w:lang w:val="en-US" w:eastAsia="zh-CN"/>
        </w:rPr>
        <w:t>5</w:t>
      </w:r>
      <w:r>
        <w:rPr>
          <w:rFonts w:ascii="宋体" w:hAnsi="宋体" w:cs="宋体"/>
          <w:sz w:val="28"/>
          <w:szCs w:val="28"/>
        </w:rPr>
        <w:t>年</w:t>
      </w:r>
      <w:r>
        <w:rPr>
          <w:rFonts w:hint="eastAsia" w:ascii="宋体" w:hAnsi="宋体" w:cs="宋体"/>
          <w:sz w:val="28"/>
          <w:szCs w:val="28"/>
          <w:lang w:val="en-US" w:eastAsia="zh-CN"/>
        </w:rPr>
        <w:t>6</w:t>
      </w:r>
      <w:r>
        <w:rPr>
          <w:rFonts w:ascii="宋体" w:hAnsi="宋体" w:cs="宋体"/>
          <w:sz w:val="28"/>
          <w:szCs w:val="28"/>
        </w:rPr>
        <w:t>月</w:t>
      </w:r>
      <w:r>
        <w:rPr>
          <w:rFonts w:hint="eastAsia" w:ascii="宋体" w:hAnsi="宋体" w:cs="宋体"/>
          <w:sz w:val="28"/>
          <w:szCs w:val="28"/>
          <w:lang w:val="en-US" w:eastAsia="zh-CN"/>
        </w:rPr>
        <w:t>21</w:t>
      </w:r>
      <w:r>
        <w:rPr>
          <w:rFonts w:ascii="宋体" w:hAnsi="宋体" w:cs="宋体"/>
          <w:sz w:val="28"/>
          <w:szCs w:val="28"/>
        </w:rPr>
        <w:t>日</w:t>
      </w:r>
      <w:bookmarkStart w:id="0" w:name="_GoBack"/>
      <w:bookmarkEnd w:id="0"/>
    </w:p>
    <w:p w14:paraId="1F2DB7EC">
      <w:pPr>
        <w:spacing w:line="360" w:lineRule="auto"/>
        <w:ind w:firstLine="420" w:firstLineChars="200"/>
        <w:jc w:val="righ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JiMzlmMTNhYjllMTVhMjI5Yjk5MDhhOThmNjNjMzUifQ=="/>
  </w:docVars>
  <w:rsids>
    <w:rsidRoot w:val="002551CD"/>
    <w:rsid w:val="000035AE"/>
    <w:rsid w:val="00003CDE"/>
    <w:rsid w:val="0001319B"/>
    <w:rsid w:val="000159B5"/>
    <w:rsid w:val="000303AE"/>
    <w:rsid w:val="0004057F"/>
    <w:rsid w:val="000407A3"/>
    <w:rsid w:val="00051B90"/>
    <w:rsid w:val="000577F5"/>
    <w:rsid w:val="000704E2"/>
    <w:rsid w:val="0008701F"/>
    <w:rsid w:val="00087DBE"/>
    <w:rsid w:val="000A2875"/>
    <w:rsid w:val="000C343D"/>
    <w:rsid w:val="000D118A"/>
    <w:rsid w:val="000D2900"/>
    <w:rsid w:val="000E66FD"/>
    <w:rsid w:val="000F4DDE"/>
    <w:rsid w:val="000F51C0"/>
    <w:rsid w:val="001045A3"/>
    <w:rsid w:val="00111137"/>
    <w:rsid w:val="00130C34"/>
    <w:rsid w:val="00132117"/>
    <w:rsid w:val="0013264A"/>
    <w:rsid w:val="0014454D"/>
    <w:rsid w:val="001447A3"/>
    <w:rsid w:val="001557EC"/>
    <w:rsid w:val="001567AB"/>
    <w:rsid w:val="00172B48"/>
    <w:rsid w:val="00177A90"/>
    <w:rsid w:val="00184DB0"/>
    <w:rsid w:val="001C3049"/>
    <w:rsid w:val="001E4A90"/>
    <w:rsid w:val="001E5B6A"/>
    <w:rsid w:val="00217AF1"/>
    <w:rsid w:val="002526D1"/>
    <w:rsid w:val="002551CD"/>
    <w:rsid w:val="00275D22"/>
    <w:rsid w:val="002A6CB7"/>
    <w:rsid w:val="002B5EFE"/>
    <w:rsid w:val="002D15DA"/>
    <w:rsid w:val="002E1E7F"/>
    <w:rsid w:val="002F0424"/>
    <w:rsid w:val="00306F6A"/>
    <w:rsid w:val="003079DB"/>
    <w:rsid w:val="0032260E"/>
    <w:rsid w:val="003259D5"/>
    <w:rsid w:val="00331F8B"/>
    <w:rsid w:val="0033432A"/>
    <w:rsid w:val="003405BE"/>
    <w:rsid w:val="00373C09"/>
    <w:rsid w:val="00395538"/>
    <w:rsid w:val="003C250A"/>
    <w:rsid w:val="003E77CC"/>
    <w:rsid w:val="00420857"/>
    <w:rsid w:val="00445609"/>
    <w:rsid w:val="00450281"/>
    <w:rsid w:val="00455D0C"/>
    <w:rsid w:val="004903DB"/>
    <w:rsid w:val="00490448"/>
    <w:rsid w:val="00496FB4"/>
    <w:rsid w:val="004976F2"/>
    <w:rsid w:val="004B3729"/>
    <w:rsid w:val="004B3FFA"/>
    <w:rsid w:val="004C5C41"/>
    <w:rsid w:val="004F03F3"/>
    <w:rsid w:val="00502732"/>
    <w:rsid w:val="0050719F"/>
    <w:rsid w:val="00512B58"/>
    <w:rsid w:val="00517A6C"/>
    <w:rsid w:val="00552C6E"/>
    <w:rsid w:val="005612DE"/>
    <w:rsid w:val="005908E1"/>
    <w:rsid w:val="005941D4"/>
    <w:rsid w:val="005A65A7"/>
    <w:rsid w:val="005A7637"/>
    <w:rsid w:val="005B2E62"/>
    <w:rsid w:val="005D4850"/>
    <w:rsid w:val="005E0F58"/>
    <w:rsid w:val="00634F12"/>
    <w:rsid w:val="0064247E"/>
    <w:rsid w:val="00677126"/>
    <w:rsid w:val="006B23CC"/>
    <w:rsid w:val="006D0131"/>
    <w:rsid w:val="006D2E04"/>
    <w:rsid w:val="00702199"/>
    <w:rsid w:val="00724DE3"/>
    <w:rsid w:val="0072755A"/>
    <w:rsid w:val="00755DD2"/>
    <w:rsid w:val="0076370E"/>
    <w:rsid w:val="00774EA2"/>
    <w:rsid w:val="00781AC0"/>
    <w:rsid w:val="007911E6"/>
    <w:rsid w:val="007A38BA"/>
    <w:rsid w:val="007C3241"/>
    <w:rsid w:val="007F2B68"/>
    <w:rsid w:val="00810BA2"/>
    <w:rsid w:val="008128BA"/>
    <w:rsid w:val="00817839"/>
    <w:rsid w:val="00831E9B"/>
    <w:rsid w:val="008403A6"/>
    <w:rsid w:val="00845926"/>
    <w:rsid w:val="008537D8"/>
    <w:rsid w:val="008551DF"/>
    <w:rsid w:val="00864D3E"/>
    <w:rsid w:val="008651F7"/>
    <w:rsid w:val="00876DD0"/>
    <w:rsid w:val="00880549"/>
    <w:rsid w:val="008A444F"/>
    <w:rsid w:val="008A4EC8"/>
    <w:rsid w:val="008C38F5"/>
    <w:rsid w:val="008D5D04"/>
    <w:rsid w:val="008D636B"/>
    <w:rsid w:val="008D6D96"/>
    <w:rsid w:val="008F1C55"/>
    <w:rsid w:val="008F6067"/>
    <w:rsid w:val="00951801"/>
    <w:rsid w:val="00977429"/>
    <w:rsid w:val="0098241D"/>
    <w:rsid w:val="00984213"/>
    <w:rsid w:val="009B29C9"/>
    <w:rsid w:val="009B3351"/>
    <w:rsid w:val="009B76CD"/>
    <w:rsid w:val="009C7A4B"/>
    <w:rsid w:val="009D7855"/>
    <w:rsid w:val="009E12C4"/>
    <w:rsid w:val="009E216C"/>
    <w:rsid w:val="009E5759"/>
    <w:rsid w:val="009E755B"/>
    <w:rsid w:val="00A5501A"/>
    <w:rsid w:val="00A56ADE"/>
    <w:rsid w:val="00A84061"/>
    <w:rsid w:val="00A9304C"/>
    <w:rsid w:val="00A94F8A"/>
    <w:rsid w:val="00A9655C"/>
    <w:rsid w:val="00A97425"/>
    <w:rsid w:val="00AA7925"/>
    <w:rsid w:val="00AB00C9"/>
    <w:rsid w:val="00AF1171"/>
    <w:rsid w:val="00B05B3B"/>
    <w:rsid w:val="00B31C95"/>
    <w:rsid w:val="00B37995"/>
    <w:rsid w:val="00B42D1B"/>
    <w:rsid w:val="00B439B3"/>
    <w:rsid w:val="00B47A18"/>
    <w:rsid w:val="00B505A0"/>
    <w:rsid w:val="00B55528"/>
    <w:rsid w:val="00B672C4"/>
    <w:rsid w:val="00B937D3"/>
    <w:rsid w:val="00B95FF0"/>
    <w:rsid w:val="00BA1424"/>
    <w:rsid w:val="00BB24B0"/>
    <w:rsid w:val="00BB6B8A"/>
    <w:rsid w:val="00BD1938"/>
    <w:rsid w:val="00BE72B3"/>
    <w:rsid w:val="00BF4C0D"/>
    <w:rsid w:val="00C12B9C"/>
    <w:rsid w:val="00C13CB2"/>
    <w:rsid w:val="00C1549C"/>
    <w:rsid w:val="00C25C15"/>
    <w:rsid w:val="00C555B4"/>
    <w:rsid w:val="00C66D45"/>
    <w:rsid w:val="00C92E51"/>
    <w:rsid w:val="00C93EA8"/>
    <w:rsid w:val="00CA1CD9"/>
    <w:rsid w:val="00CB4398"/>
    <w:rsid w:val="00CF6519"/>
    <w:rsid w:val="00D2190E"/>
    <w:rsid w:val="00D37095"/>
    <w:rsid w:val="00D4352E"/>
    <w:rsid w:val="00D57324"/>
    <w:rsid w:val="00D574E0"/>
    <w:rsid w:val="00D62CCD"/>
    <w:rsid w:val="00D77299"/>
    <w:rsid w:val="00D8009E"/>
    <w:rsid w:val="00D9144B"/>
    <w:rsid w:val="00DB48B6"/>
    <w:rsid w:val="00DF0A56"/>
    <w:rsid w:val="00DF3C33"/>
    <w:rsid w:val="00E001F7"/>
    <w:rsid w:val="00E107BB"/>
    <w:rsid w:val="00E13054"/>
    <w:rsid w:val="00EA1908"/>
    <w:rsid w:val="00EB2B9D"/>
    <w:rsid w:val="00EB38EA"/>
    <w:rsid w:val="00EC68AC"/>
    <w:rsid w:val="00EF30AB"/>
    <w:rsid w:val="00F11E43"/>
    <w:rsid w:val="00F148A1"/>
    <w:rsid w:val="00F21B04"/>
    <w:rsid w:val="00F832B5"/>
    <w:rsid w:val="00F85D09"/>
    <w:rsid w:val="00F93216"/>
    <w:rsid w:val="00F941D2"/>
    <w:rsid w:val="00FB2353"/>
    <w:rsid w:val="00FB4C05"/>
    <w:rsid w:val="00FC7954"/>
    <w:rsid w:val="00FD0D80"/>
    <w:rsid w:val="00FF2B43"/>
    <w:rsid w:val="086B40C1"/>
    <w:rsid w:val="11376CE4"/>
    <w:rsid w:val="1C71414A"/>
    <w:rsid w:val="1DDB1904"/>
    <w:rsid w:val="1FF274EA"/>
    <w:rsid w:val="2046668F"/>
    <w:rsid w:val="2287080A"/>
    <w:rsid w:val="3123485D"/>
    <w:rsid w:val="37B37525"/>
    <w:rsid w:val="39517B20"/>
    <w:rsid w:val="44E2786E"/>
    <w:rsid w:val="481E5427"/>
    <w:rsid w:val="4C3817EE"/>
    <w:rsid w:val="53CC5AC3"/>
    <w:rsid w:val="59D0689C"/>
    <w:rsid w:val="648944B1"/>
    <w:rsid w:val="6A085531"/>
    <w:rsid w:val="6D3D6BA4"/>
    <w:rsid w:val="6FCE7393"/>
    <w:rsid w:val="75956300"/>
    <w:rsid w:val="78CC1EDE"/>
    <w:rsid w:val="7CF754C5"/>
    <w:rsid w:val="7D0132D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0"/>
    <w:qFormat/>
    <w:uiPriority w:val="0"/>
    <w:pPr>
      <w:ind w:left="100" w:leftChars="2500"/>
    </w:p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kern w:val="2"/>
      <w:sz w:val="18"/>
      <w:szCs w:val="18"/>
    </w:rPr>
  </w:style>
  <w:style w:type="character" w:customStyle="1" w:styleId="8">
    <w:name w:val="页脚 Char"/>
    <w:basedOn w:val="6"/>
    <w:link w:val="3"/>
    <w:qFormat/>
    <w:uiPriority w:val="0"/>
    <w:rPr>
      <w:kern w:val="2"/>
      <w:sz w:val="18"/>
      <w:szCs w:val="18"/>
    </w:rPr>
  </w:style>
  <w:style w:type="paragraph" w:styleId="9">
    <w:name w:val="List Paragraph"/>
    <w:basedOn w:val="1"/>
    <w:qFormat/>
    <w:uiPriority w:val="34"/>
    <w:pPr>
      <w:ind w:firstLine="420" w:firstLineChars="200"/>
    </w:pPr>
    <w:rPr>
      <w:szCs w:val="22"/>
    </w:rPr>
  </w:style>
  <w:style w:type="character" w:customStyle="1" w:styleId="10">
    <w:name w:val="日期 Char"/>
    <w:basedOn w:val="6"/>
    <w:link w:val="2"/>
    <w:qFormat/>
    <w:uiPriority w:val="0"/>
    <w:rPr>
      <w:rFonts w:asciiTheme="minorHAnsi" w:hAnsiTheme="minorHAnsi" w:eastAsiaTheme="minorEastAsia" w:cstheme="minorBidi"/>
      <w:kern w:val="2"/>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934</Words>
  <Characters>1093</Characters>
  <Lines>10</Lines>
  <Paragraphs>2</Paragraphs>
  <TotalTime>6</TotalTime>
  <ScaleCrop>false</ScaleCrop>
  <LinksUpToDate>false</LinksUpToDate>
  <CharactersWithSpaces>1127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小陈</cp:lastModifiedBy>
  <cp:lastPrinted>2019-11-27T03:01:00Z</cp:lastPrinted>
  <dcterms:modified xsi:type="dcterms:W3CDTF">2025-06-24T06:57:33Z</dcterms:modified>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FF730141B59948FB8BCC72C46846CC2F</vt:lpwstr>
  </property>
  <property fmtid="{D5CDD505-2E9C-101B-9397-08002B2CF9AE}" pid="4" name="KSOTemplateDocerSaveRecord">
    <vt:lpwstr>eyJoZGlkIjoiYTcxYzRjMWU0ODQ4MjkwMjJmZjJjOGNjMDU0ZDdlOTkiLCJ1c2VySWQiOiIzODkxNzc4MDQifQ==</vt:lpwstr>
  </property>
</Properties>
</file>