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绍兴市人民医院灭菌产品采购项目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r>
        <w:rPr>
          <w:rFonts w:hint="eastAsia" w:ascii="仿宋" w:hAnsi="仿宋" w:eastAsia="仿宋" w:cs="仿宋"/>
          <w:sz w:val="44"/>
        </w:rPr>
        <w:t>（电子招投标）</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HCSY-2024-006</w:t>
      </w:r>
      <w:r>
        <w:rPr>
          <w:rFonts w:hint="eastAsia" w:ascii="仿宋" w:hAnsi="仿宋" w:eastAsia="仿宋" w:cs="仿宋"/>
          <w:b/>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 xml:space="preserve">二○二四年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rFonts w:ascii="仿宋" w:hAnsi="仿宋" w:eastAsia="仿宋" w:cs="仿宋"/>
              </w:rPr>
            </w:pPr>
            <w:r>
              <w:rPr>
                <w:rFonts w:hint="eastAsia" w:ascii="仿宋" w:hAnsi="仿宋" w:eastAsia="仿宋" w:cs="仿宋"/>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 w:hAnsi="仿宋" w:eastAsia="仿宋" w:cs="仿宋"/>
                      <w:szCs w:val="24"/>
                    </w:rPr>
                  </w:pPr>
                  <w:r>
                    <w:rPr>
                      <w:rFonts w:hint="eastAsia" w:ascii="仿宋" w:hAnsi="仿宋" w:eastAsia="仿宋" w:cs="仿宋"/>
                      <w:szCs w:val="24"/>
                    </w:rPr>
                    <w:t>项目概况：</w:t>
                  </w:r>
                </w:p>
                <w:p>
                  <w:pPr>
                    <w:pStyle w:val="97"/>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lang w:eastAsia="zh-CN"/>
                    </w:rPr>
                    <w:t>绍兴市人民医院灭菌产品采购项目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 xml:space="preserve"> </w:t>
                  </w:r>
                  <w:r>
                    <w:rPr>
                      <w:rFonts w:hint="eastAsia" w:ascii="仿宋" w:hAnsi="仿宋" w:eastAsia="仿宋" w:cs="仿宋"/>
                      <w:szCs w:val="24"/>
                    </w:rPr>
                    <w:t>月</w:t>
                  </w:r>
                  <w:r>
                    <w:rPr>
                      <w:rFonts w:hint="eastAsia" w:ascii="仿宋" w:hAnsi="仿宋" w:eastAsia="仿宋" w:cs="仿宋"/>
                      <w:szCs w:val="24"/>
                      <w:lang w:val="en-US" w:eastAsia="zh-CN"/>
                    </w:rPr>
                    <w:t xml:space="preserve"> </w:t>
                  </w:r>
                  <w:r>
                    <w:rPr>
                      <w:rFonts w:hint="eastAsia" w:ascii="仿宋" w:hAnsi="仿宋" w:eastAsia="仿宋" w:cs="仿宋"/>
                      <w:szCs w:val="24"/>
                    </w:rPr>
                    <w:t>日</w:t>
                  </w:r>
                  <w:r>
                    <w:rPr>
                      <w:rFonts w:hint="eastAsia" w:ascii="仿宋" w:hAnsi="仿宋" w:eastAsia="仿宋" w:cs="仿宋"/>
                      <w:szCs w:val="24"/>
                      <w:lang w:val="en-US" w:eastAsia="zh-CN"/>
                    </w:rPr>
                    <w:t xml:space="preserve"> </w:t>
                  </w:r>
                  <w:r>
                    <w:rPr>
                      <w:rFonts w:hint="eastAsia" w:ascii="仿宋" w:hAnsi="仿宋" w:eastAsia="仿宋" w:cs="仿宋"/>
                      <w:szCs w:val="24"/>
                    </w:rPr>
                    <w:t>点</w:t>
                  </w:r>
                  <w:r>
                    <w:rPr>
                      <w:rFonts w:hint="eastAsia" w:ascii="仿宋" w:hAnsi="仿宋" w:eastAsia="仿宋" w:cs="仿宋"/>
                      <w:szCs w:val="24"/>
                      <w:lang w:val="en-US" w:eastAsia="zh-CN"/>
                    </w:rPr>
                    <w:t xml:space="preserve"> </w:t>
                  </w:r>
                  <w:r>
                    <w:rPr>
                      <w:rFonts w:hint="eastAsia" w:ascii="仿宋" w:hAnsi="仿宋" w:eastAsia="仿宋" w:cs="仿宋"/>
                      <w:szCs w:val="24"/>
                    </w:rPr>
                    <w:t>分00秒（北京时间）前递交（上传）投标文件。</w:t>
                  </w:r>
                </w:p>
              </w:tc>
            </w:tr>
          </w:tbl>
          <w:p>
            <w:pPr>
              <w:pStyle w:val="97"/>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项目编号：</w:t>
            </w:r>
            <w:r>
              <w:rPr>
                <w:rFonts w:hint="eastAsia" w:ascii="仿宋" w:hAnsi="仿宋" w:eastAsia="仿宋" w:cs="仿宋"/>
                <w:b/>
                <w:szCs w:val="24"/>
                <w:lang w:eastAsia="zh-CN"/>
              </w:rPr>
              <w:t>HCSY-2024-006</w:t>
            </w:r>
            <w:r>
              <w:rPr>
                <w:rFonts w:hint="eastAsia" w:ascii="仿宋" w:hAnsi="仿宋" w:eastAsia="仿宋" w:cs="仿宋"/>
                <w:b/>
                <w:szCs w:val="24"/>
              </w:rPr>
              <w:t xml:space="preserve"> </w:t>
            </w:r>
            <w:r>
              <w:rPr>
                <w:rFonts w:hint="eastAsia" w:ascii="仿宋" w:hAnsi="仿宋" w:eastAsia="仿宋" w:cs="仿宋"/>
                <w:szCs w:val="24"/>
              </w:rPr>
              <w:t xml:space="preserve"> </w:t>
            </w:r>
          </w:p>
          <w:p>
            <w:pPr>
              <w:pStyle w:val="97"/>
              <w:spacing w:afterLines="0" w:line="440" w:lineRule="exact"/>
              <w:ind w:right="-508" w:rightChars="-242" w:firstLine="482"/>
              <w:rPr>
                <w:rFonts w:hint="eastAsia" w:ascii="仿宋" w:hAnsi="仿宋" w:eastAsia="仿宋" w:cs="仿宋"/>
                <w:szCs w:val="24"/>
                <w:lang w:eastAsia="zh-CN"/>
              </w:rPr>
            </w:pPr>
            <w:r>
              <w:rPr>
                <w:rFonts w:hint="eastAsia" w:ascii="仿宋" w:hAnsi="仿宋" w:eastAsia="仿宋" w:cs="仿宋"/>
                <w:b/>
                <w:szCs w:val="24"/>
              </w:rPr>
              <w:t>项目名称：</w:t>
            </w:r>
            <w:r>
              <w:rPr>
                <w:rFonts w:hint="eastAsia" w:ascii="仿宋" w:hAnsi="仿宋" w:eastAsia="仿宋" w:cs="仿宋"/>
                <w:szCs w:val="24"/>
                <w:lang w:eastAsia="zh-CN"/>
              </w:rPr>
              <w:t>绍兴市人民医院灭菌产品采购项目</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pPr>
              <w:pStyle w:val="97"/>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预算金额（元）：</w:t>
            </w:r>
            <w:r>
              <w:rPr>
                <w:rFonts w:hint="eastAsia" w:ascii="仿宋" w:hAnsi="仿宋" w:eastAsia="仿宋" w:cs="仿宋"/>
                <w:szCs w:val="24"/>
                <w:lang w:val="en-US" w:eastAsia="zh-CN"/>
              </w:rPr>
              <w:t>1509552</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最高限价（元）：</w:t>
            </w:r>
            <w:r>
              <w:rPr>
                <w:rFonts w:hint="eastAsia" w:ascii="仿宋" w:hAnsi="仿宋" w:eastAsia="仿宋" w:cs="仿宋"/>
                <w:szCs w:val="24"/>
                <w:lang w:val="en-US" w:eastAsia="zh-CN"/>
              </w:rPr>
              <w:t>1509552</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97"/>
              <w:spacing w:afterLines="0" w:line="440" w:lineRule="exact"/>
              <w:ind w:left="0" w:leftChars="0" w:firstLine="0" w:firstLineChars="0"/>
              <w:rPr>
                <w:rFonts w:hint="eastAsia" w:ascii="仿宋" w:hAnsi="仿宋" w:eastAsia="仿宋" w:cs="仿宋"/>
                <w:szCs w:val="24"/>
                <w:lang w:eastAsia="zh-CN"/>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标项名称:无纺布类</w:t>
            </w:r>
            <w:r>
              <w:rPr>
                <w:rFonts w:hint="eastAsia" w:ascii="仿宋" w:hAnsi="仿宋" w:eastAsia="仿宋" w:cs="仿宋"/>
                <w:szCs w:val="24"/>
                <w:lang w:val="en-US" w:eastAsia="zh-CN"/>
              </w:rPr>
              <w:t xml:space="preserve"> </w:t>
            </w:r>
          </w:p>
          <w:p>
            <w:pPr>
              <w:pStyle w:val="97"/>
              <w:spacing w:afterLines="0" w:line="440" w:lineRule="exact"/>
              <w:ind w:firstLine="480"/>
              <w:rPr>
                <w:rFonts w:hint="eastAsia"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预算金额（元）: 314865</w:t>
            </w:r>
          </w:p>
          <w:p>
            <w:pPr>
              <w:pStyle w:val="97"/>
              <w:spacing w:afterLines="0" w:line="440" w:lineRule="exact"/>
              <w:ind w:left="0" w:leftChars="0" w:firstLine="0" w:firstLineChars="0"/>
              <w:rPr>
                <w:rFonts w:hint="eastAsia" w:ascii="仿宋" w:hAnsi="仿宋" w:eastAsia="仿宋" w:cs="仿宋"/>
                <w:szCs w:val="24"/>
                <w:lang w:eastAsia="zh-CN"/>
              </w:rPr>
            </w:pPr>
            <w:r>
              <w:rPr>
                <w:rFonts w:hint="eastAsia" w:ascii="仿宋" w:hAnsi="仿宋" w:eastAsia="仿宋" w:cs="仿宋"/>
                <w:szCs w:val="24"/>
              </w:rPr>
              <w:t>标项</w:t>
            </w:r>
            <w:r>
              <w:rPr>
                <w:rFonts w:hint="eastAsia" w:ascii="仿宋" w:hAnsi="仿宋" w:eastAsia="仿宋" w:cs="仿宋"/>
                <w:szCs w:val="24"/>
                <w:lang w:val="en-US" w:eastAsia="zh-CN"/>
              </w:rPr>
              <w:t>二</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过氧化氢等离子体灭菌指示袋和卷</w:t>
            </w:r>
            <w:r>
              <w:rPr>
                <w:rFonts w:hint="eastAsia" w:ascii="仿宋" w:hAnsi="仿宋" w:eastAsia="仿宋" w:cs="仿宋"/>
                <w:szCs w:val="24"/>
                <w:lang w:val="en-US" w:eastAsia="zh-CN"/>
              </w:rPr>
              <w:t xml:space="preserve"> </w:t>
            </w:r>
          </w:p>
          <w:p>
            <w:pPr>
              <w:pStyle w:val="97"/>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xml:space="preserve">  预算金额（元）: </w:t>
            </w:r>
            <w:r>
              <w:rPr>
                <w:rFonts w:hint="eastAsia" w:ascii="宋体" w:hAnsi="宋体" w:eastAsia="宋体" w:cs="宋体"/>
                <w:color w:val="000000"/>
                <w:kern w:val="0"/>
                <w:sz w:val="24"/>
                <w:szCs w:val="24"/>
              </w:rPr>
              <w:t>571130</w:t>
            </w:r>
            <w:r>
              <w:rPr>
                <w:rFonts w:hint="eastAsia" w:ascii="仿宋" w:hAnsi="仿宋" w:eastAsia="仿宋" w:cs="仿宋"/>
                <w:szCs w:val="24"/>
              </w:rPr>
              <w:br w:type="textWrapping"/>
            </w:r>
            <w:r>
              <w:rPr>
                <w:rFonts w:hint="eastAsia" w:ascii="仿宋" w:hAnsi="仿宋" w:eastAsia="仿宋" w:cs="仿宋"/>
                <w:szCs w:val="24"/>
              </w:rPr>
              <w:t>标项</w:t>
            </w:r>
            <w:r>
              <w:rPr>
                <w:rFonts w:hint="eastAsia" w:ascii="仿宋" w:hAnsi="仿宋" w:eastAsia="仿宋" w:cs="仿宋"/>
                <w:szCs w:val="24"/>
                <w:lang w:val="en-US" w:eastAsia="zh-CN"/>
              </w:rPr>
              <w:t>三</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平面医用管袋类</w:t>
            </w:r>
          </w:p>
          <w:p>
            <w:pPr>
              <w:pStyle w:val="97"/>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宋体" w:hAnsi="宋体" w:eastAsia="宋体" w:cs="宋体"/>
                <w:color w:val="000000"/>
                <w:kern w:val="0"/>
                <w:sz w:val="24"/>
                <w:szCs w:val="24"/>
              </w:rPr>
              <w:t>282854</w:t>
            </w:r>
            <w:r>
              <w:rPr>
                <w:rFonts w:hint="eastAsia" w:ascii="仿宋" w:hAnsi="仿宋" w:eastAsia="仿宋" w:cs="仿宋"/>
                <w:szCs w:val="24"/>
              </w:rPr>
              <w:br w:type="textWrapping"/>
            </w:r>
            <w:r>
              <w:rPr>
                <w:rFonts w:hint="eastAsia" w:ascii="仿宋" w:hAnsi="仿宋" w:eastAsia="仿宋" w:cs="仿宋"/>
                <w:szCs w:val="24"/>
              </w:rPr>
              <w:t>标项</w:t>
            </w:r>
            <w:r>
              <w:rPr>
                <w:rFonts w:hint="eastAsia" w:ascii="仿宋" w:hAnsi="仿宋" w:eastAsia="仿宋" w:cs="仿宋"/>
                <w:szCs w:val="24"/>
                <w:lang w:val="en-US" w:eastAsia="zh-CN"/>
              </w:rPr>
              <w:t>四</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压力蒸汽灭菌化学指示卡类</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xml:space="preserve">  预算金额（元）: </w:t>
            </w:r>
            <w:r>
              <w:rPr>
                <w:rFonts w:hint="eastAsia" w:ascii="宋体" w:hAnsi="宋体" w:eastAsia="宋体" w:cs="宋体"/>
                <w:color w:val="000000"/>
                <w:kern w:val="0"/>
                <w:sz w:val="24"/>
                <w:szCs w:val="24"/>
              </w:rPr>
              <w:t>340703</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pPr>
              <w:pStyle w:val="97"/>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7"/>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0431160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点</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点</w:t>
            </w:r>
            <w:r>
              <w:rPr>
                <w:rFonts w:hint="eastAsia" w:ascii="仿宋" w:hAnsi="仿宋" w:eastAsia="仿宋" w:cs="仿宋"/>
                <w:sz w:val="24"/>
                <w:u w:val="single"/>
                <w:lang w:val="en-US" w:eastAsia="zh-CN"/>
              </w:rPr>
              <w:t xml:space="preserve"> 分</w:t>
            </w:r>
            <w:r>
              <w:rPr>
                <w:rFonts w:hint="eastAsia" w:ascii="仿宋" w:hAnsi="仿宋" w:eastAsia="仿宋" w:cs="仿宋"/>
                <w:sz w:val="24"/>
                <w:u w:val="single"/>
              </w:rPr>
              <w:t>00秒</w:t>
            </w:r>
            <w:r>
              <w:rPr>
                <w:rFonts w:hint="eastAsia" w:ascii="仿宋" w:hAnsi="仿宋" w:eastAsia="仿宋" w:cs="仿宋"/>
                <w:bCs/>
                <w:sz w:val="24"/>
                <w:u w:val="single"/>
              </w:rPr>
              <w:t xml:space="preserve">  </w:t>
            </w:r>
          </w:p>
          <w:p>
            <w:pPr>
              <w:pStyle w:val="97"/>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97"/>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项目联系人（询问）：高佳美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项目联系方式（询问）：0575-88558931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质疑联系人：王伟炳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质疑联系方式：0575-88558846</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sz w:val="24"/>
                <w:lang w:val="en-US" w:eastAsia="zh-CN"/>
              </w:rPr>
              <w:t>柯翔郎</w:t>
            </w:r>
          </w:p>
          <w:p>
            <w:pPr>
              <w:pStyle w:val="97"/>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numPr>
                <w:ilvl w:val="0"/>
                <w:numId w:val="6"/>
              </w:numPr>
              <w:spacing w:line="440" w:lineRule="exact"/>
              <w:rPr>
                <w:rFonts w:hint="eastAsia" w:ascii="仿宋" w:hAnsi="仿宋" w:eastAsia="仿宋" w:cs="仿宋"/>
                <w:snapToGrid w:val="0"/>
                <w:kern w:val="28"/>
                <w:sz w:val="24"/>
                <w:u w:val="single"/>
              </w:rPr>
            </w:pP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 xml:space="preserve"> </w:t>
            </w:r>
            <w:r>
              <w:rPr>
                <w:rFonts w:hint="eastAsia" w:ascii="仿宋" w:hAnsi="仿宋" w:eastAsia="仿宋" w:cs="仿宋"/>
                <w:snapToGrid w:val="0"/>
                <w:kern w:val="28"/>
                <w:sz w:val="24"/>
                <w:u w:val="single"/>
                <w:lang w:val="en-US" w:eastAsia="zh-CN"/>
              </w:rPr>
              <w:t>01标：</w:t>
            </w:r>
            <w:r>
              <w:rPr>
                <w:rFonts w:hint="eastAsia" w:ascii="仿宋" w:hAnsi="仿宋" w:eastAsia="仿宋" w:cs="仿宋"/>
                <w:snapToGrid w:val="0"/>
                <w:kern w:val="28"/>
                <w:sz w:val="24"/>
                <w:u w:val="single"/>
              </w:rPr>
              <w:t>医用灭菌包装无纺布（样品）</w:t>
            </w:r>
            <w:r>
              <w:rPr>
                <w:rFonts w:hint="eastAsia" w:ascii="仿宋" w:hAnsi="仿宋" w:eastAsia="仿宋" w:cs="仿宋"/>
                <w:snapToGrid w:val="0"/>
                <w:kern w:val="28"/>
                <w:sz w:val="24"/>
                <w:u w:val="single"/>
                <w:lang w:val="en-US" w:eastAsia="zh-CN"/>
              </w:rPr>
              <w:t>规格型号：</w:t>
            </w:r>
            <w:r>
              <w:rPr>
                <w:rFonts w:hint="eastAsia" w:ascii="仿宋" w:hAnsi="仿宋" w:eastAsia="仿宋" w:cs="仿宋"/>
                <w:snapToGrid w:val="0"/>
                <w:kern w:val="28"/>
                <w:sz w:val="24"/>
                <w:u w:val="single"/>
              </w:rPr>
              <w:t>120cm*120cm、克重≥60g/㎡；</w:t>
            </w:r>
          </w:p>
          <w:p>
            <w:pPr>
              <w:numPr>
                <w:ilvl w:val="0"/>
                <w:numId w:val="0"/>
              </w:numPr>
              <w:spacing w:line="440" w:lineRule="exact"/>
              <w:rPr>
                <w:rFonts w:hint="eastAsia" w:ascii="仿宋" w:hAnsi="仿宋" w:eastAsia="仿宋" w:cs="仿宋"/>
                <w:snapToGrid w:val="0"/>
                <w:kern w:val="28"/>
                <w:sz w:val="24"/>
                <w:u w:val="single"/>
                <w:lang w:val="en-US" w:eastAsia="zh-CN"/>
              </w:rPr>
            </w:pPr>
            <w:r>
              <w:rPr>
                <w:rFonts w:hint="eastAsia" w:ascii="仿宋" w:hAnsi="仿宋" w:eastAsia="仿宋" w:cs="仿宋"/>
                <w:snapToGrid w:val="0"/>
                <w:kern w:val="28"/>
                <w:sz w:val="24"/>
                <w:u w:val="single"/>
                <w:lang w:val="en-US" w:eastAsia="zh-CN"/>
              </w:rPr>
              <w:t>02标：过氧化氢等离子体灭菌指示袋和卷（样品）规格型号：</w:t>
            </w:r>
            <w:r>
              <w:rPr>
                <w:rFonts w:hint="eastAsia" w:ascii="仿宋" w:hAnsi="仿宋" w:eastAsia="仿宋" w:cs="仿宋"/>
                <w:snapToGrid w:val="0"/>
                <w:kern w:val="28"/>
                <w:sz w:val="24"/>
                <w:u w:val="single"/>
              </w:rPr>
              <w:t>宽度200mm*长度100m</w:t>
            </w:r>
            <w:r>
              <w:rPr>
                <w:rFonts w:hint="eastAsia" w:ascii="仿宋" w:hAnsi="仿宋" w:eastAsia="仿宋" w:cs="仿宋"/>
                <w:snapToGrid w:val="0"/>
                <w:kern w:val="28"/>
                <w:sz w:val="24"/>
                <w:u w:val="single"/>
                <w:lang w:val="en-US" w:eastAsia="zh-CN"/>
              </w:rPr>
              <w:t xml:space="preserve"> ；</w:t>
            </w:r>
          </w:p>
          <w:p>
            <w:pPr>
              <w:numPr>
                <w:ilvl w:val="0"/>
                <w:numId w:val="0"/>
              </w:numPr>
              <w:spacing w:line="440" w:lineRule="exact"/>
              <w:rPr>
                <w:rFonts w:hint="eastAsia" w:ascii="仿宋" w:hAnsi="仿宋" w:eastAsia="仿宋" w:cs="仿宋"/>
                <w:snapToGrid w:val="0"/>
                <w:kern w:val="28"/>
                <w:sz w:val="24"/>
                <w:u w:val="single"/>
                <w:lang w:val="en-US" w:eastAsia="zh-CN"/>
              </w:rPr>
            </w:pPr>
            <w:r>
              <w:rPr>
                <w:rFonts w:hint="eastAsia" w:ascii="仿宋" w:hAnsi="仿宋" w:eastAsia="仿宋" w:cs="仿宋"/>
                <w:snapToGrid w:val="0"/>
                <w:kern w:val="28"/>
                <w:sz w:val="24"/>
                <w:u w:val="single"/>
                <w:lang w:val="en-US" w:eastAsia="zh-CN"/>
              </w:rPr>
              <w:t>03标：平面医用管袋（核心产品、样品）规格型号：200mm*200m；</w:t>
            </w:r>
          </w:p>
          <w:p>
            <w:pPr>
              <w:numPr>
                <w:ilvl w:val="0"/>
                <w:numId w:val="0"/>
              </w:numPr>
              <w:spacing w:line="440" w:lineRule="exact"/>
              <w:rPr>
                <w:rFonts w:hint="default" w:ascii="仿宋" w:hAnsi="仿宋" w:eastAsia="仿宋" w:cs="仿宋"/>
                <w:snapToGrid w:val="0"/>
                <w:kern w:val="28"/>
                <w:sz w:val="24"/>
                <w:u w:val="single"/>
                <w:lang w:val="en-US" w:eastAsia="zh-CN"/>
              </w:rPr>
            </w:pPr>
            <w:r>
              <w:rPr>
                <w:rFonts w:hint="eastAsia" w:ascii="仿宋" w:hAnsi="仿宋" w:eastAsia="仿宋" w:cs="仿宋"/>
                <w:snapToGrid w:val="0"/>
                <w:kern w:val="28"/>
                <w:sz w:val="24"/>
                <w:u w:val="single"/>
                <w:lang w:val="en-US" w:eastAsia="zh-CN"/>
              </w:rPr>
              <w:t>04标：134℃压力蒸汽灭菌化学指示卡（核心产品、样品）规格型号：防水覆膜型、200片/盒、</w:t>
            </w:r>
            <w:bookmarkStart w:id="164" w:name="_GoBack"/>
            <w:r>
              <w:rPr>
                <w:rFonts w:hint="eastAsia" w:ascii="仿宋" w:hAnsi="仿宋" w:eastAsia="仿宋" w:cs="仿宋"/>
                <w:snapToGrid w:val="0"/>
                <w:kern w:val="28"/>
                <w:sz w:val="24"/>
                <w:u w:val="single"/>
                <w:lang w:val="en-US" w:eastAsia="zh-CN"/>
              </w:rPr>
              <w:t xml:space="preserve">长度：10cm-15cm/片  </w:t>
            </w:r>
            <w:bookmarkEnd w:id="164"/>
            <w:r>
              <w:rPr>
                <w:rFonts w:hint="eastAsia" w:ascii="仿宋" w:hAnsi="仿宋" w:eastAsia="仿宋" w:cs="仿宋"/>
                <w:snapToGrid w:val="0"/>
                <w:kern w:val="28"/>
                <w:sz w:val="24"/>
                <w:u w:val="single"/>
                <w:lang w:val="en-US" w:eastAsia="zh-CN"/>
              </w:rPr>
              <w:t xml:space="preserve">                                   </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详见采购文件</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sz w:val="24"/>
              </w:rPr>
            </w:pPr>
            <w:r>
              <w:rPr>
                <w:rFonts w:hint="eastAsia" w:ascii="仿宋" w:hAnsi="仿宋" w:eastAsia="仿宋" w:cs="仿宋"/>
                <w:sz w:val="24"/>
              </w:rPr>
              <w:t>（5）提供样品的时间：提交投标文件截止时间前；绍兴市越城区越西路800号金德隆商业中心8幢二楼华诚工程咨询集团有限公司代理部；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360" w:lineRule="auto"/>
              <w:rPr>
                <w:rFonts w:hint="eastAsia" w:ascii="仿宋" w:hAnsi="仿宋" w:eastAsia="仿宋" w:cs="仿宋"/>
                <w:sz w:val="24"/>
                <w:u w:val="single"/>
                <w:lang w:val="en-US" w:eastAsia="zh-CN"/>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01标：医用灭菌包装无纺布；02标：过氧化氢等离子体灭菌指示袋和卷；03标：平面医用管袋；04标：134℃压力蒸汽灭菌化学指示卡。</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零售业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pPr>
              <w:snapToGrid w:val="0"/>
              <w:spacing w:line="360" w:lineRule="auto"/>
              <w:rPr>
                <w:rFonts w:ascii="仿宋" w:hAnsi="仿宋" w:eastAsia="仿宋" w:cs="仿宋"/>
              </w:rPr>
            </w:pP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 w:hAnsi="仿宋" w:eastAsia="仿宋" w:cs="仿宋"/>
          <w:b/>
          <w:sz w:val="36"/>
          <w:szCs w:val="36"/>
        </w:rPr>
      </w:pPr>
    </w:p>
    <w:p>
      <w:pPr>
        <w:snapToGrid w:val="0"/>
        <w:spacing w:before="120" w:beforeLines="50" w:after="120" w:afterLines="50"/>
        <w:jc w:val="center"/>
        <w:rPr>
          <w:rFonts w:ascii="仿宋" w:hAnsi="仿宋" w:eastAsia="仿宋" w:cs="仿宋"/>
          <w:b/>
          <w:sz w:val="36"/>
          <w:szCs w:val="36"/>
        </w:rPr>
      </w:pP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bookmarkStart w:id="1" w:name="_Toc84325929"/>
      <w:bookmarkStart w:id="2" w:name="_Toc81372776"/>
      <w:bookmarkStart w:id="3" w:name="_Toc81372953"/>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 w:hAnsi="仿宋" w:eastAsia="仿宋" w:cs="仿宋"/>
          <w:b/>
        </w:rPr>
      </w:pPr>
      <w:r>
        <w:rPr>
          <w:rFonts w:hint="eastAsia" w:ascii="仿宋" w:hAnsi="仿宋" w:eastAsia="仿宋" w:cs="仿宋"/>
          <w:b/>
          <w:sz w:val="24"/>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81"/>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1"/>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1"/>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adjustRightInd w:val="0"/>
        <w:spacing w:line="360" w:lineRule="auto"/>
        <w:ind w:firstLine="726"/>
        <w:jc w:val="center"/>
        <w:rPr>
          <w:rFonts w:ascii="仿宋" w:hAnsi="仿宋" w:eastAsia="仿宋" w:cs="仿宋"/>
          <w:b/>
          <w:snapToGrid w:val="0"/>
          <w:sz w:val="32"/>
          <w:szCs w:val="32"/>
        </w:rPr>
      </w:pPr>
    </w:p>
    <w:p>
      <w:pPr>
        <w:pStyle w:val="32"/>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pPr>
        <w:rPr>
          <w:rFonts w:ascii="仿宋" w:hAnsi="仿宋" w:eastAsia="仿宋" w:cs="仿宋"/>
          <w:b/>
          <w:bCs/>
          <w:sz w:val="24"/>
          <w:szCs w:val="20"/>
        </w:rPr>
      </w:pPr>
      <w:r>
        <w:rPr>
          <w:rFonts w:hint="eastAsia" w:ascii="仿宋" w:hAnsi="仿宋" w:eastAsia="仿宋" w:cs="仿宋"/>
          <w:b/>
          <w:bCs/>
          <w:sz w:val="24"/>
          <w:szCs w:val="20"/>
        </w:rPr>
        <w:br w:type="page"/>
      </w:r>
    </w:p>
    <w:p>
      <w:pPr>
        <w:numPr>
          <w:ilvl w:val="0"/>
          <w:numId w:val="7"/>
        </w:num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招标项目范围及要求</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1.招标项目名称及数量：</w:t>
      </w:r>
    </w:p>
    <w:p>
      <w:pPr>
        <w:pStyle w:val="117"/>
        <w:numPr>
          <w:ilvl w:val="0"/>
          <w:numId w:val="0"/>
        </w:numPr>
        <w:ind w:left="432" w:leftChars="0" w:hanging="432" w:firstLineChars="0"/>
        <w:rPr>
          <w:rFonts w:hint="eastAsia" w:ascii="仿宋" w:hAnsi="仿宋" w:eastAsia="仿宋" w:cs="仿宋"/>
          <w:b/>
          <w:bCs/>
          <w:sz w:val="24"/>
          <w:szCs w:val="24"/>
        </w:rPr>
      </w:pPr>
      <w:bookmarkStart w:id="4" w:name="_Toc84325981"/>
      <w:bookmarkStart w:id="5" w:name="_Toc81372787"/>
      <w:bookmarkStart w:id="6" w:name="_Toc80157775"/>
      <w:bookmarkStart w:id="7" w:name="_Toc81372964"/>
      <w:r>
        <w:rPr>
          <w:rFonts w:hint="eastAsia" w:ascii="仿宋" w:hAnsi="仿宋" w:eastAsia="仿宋" w:cs="仿宋"/>
          <w:b/>
          <w:bCs/>
          <w:kern w:val="0"/>
          <w:sz w:val="24"/>
          <w:szCs w:val="24"/>
          <w:lang w:val="en-US" w:eastAsia="zh-CN" w:bidi="ar-SA"/>
        </w:rPr>
        <w:t>一、</w:t>
      </w:r>
      <w:r>
        <w:rPr>
          <w:rFonts w:hint="eastAsia" w:ascii="仿宋" w:hAnsi="仿宋" w:eastAsia="仿宋" w:cs="仿宋"/>
          <w:b/>
          <w:bCs/>
          <w:sz w:val="24"/>
          <w:szCs w:val="24"/>
        </w:rPr>
        <w:t>标段及目录清单</w:t>
      </w:r>
    </w:p>
    <w:tbl>
      <w:tblPr>
        <w:tblStyle w:val="63"/>
        <w:tblW w:w="9634" w:type="dxa"/>
        <w:tblInd w:w="0" w:type="dxa"/>
        <w:tblLayout w:type="autofit"/>
        <w:tblCellMar>
          <w:top w:w="0" w:type="dxa"/>
          <w:left w:w="108" w:type="dxa"/>
          <w:bottom w:w="0" w:type="dxa"/>
          <w:right w:w="108" w:type="dxa"/>
        </w:tblCellMar>
      </w:tblPr>
      <w:tblGrid>
        <w:gridCol w:w="776"/>
        <w:gridCol w:w="1913"/>
        <w:gridCol w:w="2528"/>
        <w:gridCol w:w="790"/>
        <w:gridCol w:w="1076"/>
        <w:gridCol w:w="1290"/>
        <w:gridCol w:w="1261"/>
      </w:tblGrid>
      <w:tr>
        <w:tblPrEx>
          <w:tblCellMar>
            <w:top w:w="0" w:type="dxa"/>
            <w:left w:w="108" w:type="dxa"/>
            <w:bottom w:w="0" w:type="dxa"/>
            <w:right w:w="108" w:type="dxa"/>
          </w:tblCellMar>
        </w:tblPrEx>
        <w:trPr>
          <w:trHeight w:val="312" w:hRule="atLeast"/>
        </w:trPr>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标段</w:t>
            </w:r>
          </w:p>
        </w:tc>
        <w:tc>
          <w:tcPr>
            <w:tcW w:w="19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物资名称</w:t>
            </w:r>
          </w:p>
        </w:tc>
        <w:tc>
          <w:tcPr>
            <w:tcW w:w="25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7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单位</w:t>
            </w:r>
          </w:p>
        </w:tc>
        <w:tc>
          <w:tcPr>
            <w:tcW w:w="10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val="en-US" w:eastAsia="zh-CN"/>
              </w:rPr>
              <w:t>上限</w:t>
            </w:r>
            <w:r>
              <w:rPr>
                <w:rFonts w:hint="eastAsia" w:ascii="仿宋" w:hAnsi="仿宋" w:eastAsia="仿宋" w:cs="仿宋"/>
                <w:b/>
                <w:bCs/>
                <w:kern w:val="0"/>
                <w:sz w:val="24"/>
                <w:szCs w:val="24"/>
              </w:rPr>
              <w:t>单价</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2年预估量</w:t>
            </w:r>
          </w:p>
        </w:tc>
        <w:tc>
          <w:tcPr>
            <w:tcW w:w="1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金额（元）</w:t>
            </w:r>
          </w:p>
        </w:tc>
      </w:tr>
      <w:tr>
        <w:tblPrEx>
          <w:tblCellMar>
            <w:top w:w="0" w:type="dxa"/>
            <w:left w:w="108" w:type="dxa"/>
            <w:bottom w:w="0" w:type="dxa"/>
            <w:right w:w="108" w:type="dxa"/>
          </w:tblCellMar>
        </w:tblPrEx>
        <w:trPr>
          <w:trHeight w:val="312" w:hRule="atLeast"/>
        </w:trPr>
        <w:tc>
          <w:tcPr>
            <w:tcW w:w="7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01标</w:t>
            </w:r>
            <w:r>
              <w:rPr>
                <w:rFonts w:hint="eastAsia" w:ascii="仿宋" w:hAnsi="仿宋" w:eastAsia="仿宋" w:cs="仿宋"/>
                <w:b/>
                <w:sz w:val="24"/>
                <w:szCs w:val="24"/>
              </w:rPr>
              <w:t>无纺布类</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t xml:space="preserve"> </w:t>
            </w: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50cm*50cm、克重≥50g/㎡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0.4</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216000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86400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60cm*60cm、克重≥50g/㎡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0.58</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97200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56376</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70cm*70cm、克重≥50g/㎡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0.78</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77237</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60244.86</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80cm*80cm、克重≥50g/㎡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1.02</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3927</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4005.54</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90cm*90cm、克重≥50g/㎡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19964</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25953.2</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医用灭菌包装无纺布</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100cm*100cm、克重≥50g/㎡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16365</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26184</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医用灭菌包装无纺布（</w:t>
            </w:r>
            <w:r>
              <w:rPr>
                <w:rFonts w:hint="eastAsia" w:ascii="仿宋" w:hAnsi="仿宋" w:eastAsia="仿宋" w:cs="仿宋"/>
                <w:color w:val="000000"/>
                <w:kern w:val="0"/>
                <w:sz w:val="24"/>
                <w:szCs w:val="24"/>
                <w:highlight w:val="none"/>
                <w:lang w:val="en-US" w:eastAsia="zh-CN"/>
              </w:rPr>
              <w:t>核心产品、</w:t>
            </w:r>
            <w:r>
              <w:rPr>
                <w:rFonts w:hint="eastAsia" w:ascii="仿宋" w:hAnsi="仿宋" w:eastAsia="仿宋" w:cs="仿宋"/>
                <w:color w:val="000000"/>
                <w:kern w:val="0"/>
                <w:sz w:val="24"/>
                <w:szCs w:val="24"/>
                <w:highlight w:val="none"/>
              </w:rPr>
              <w:t>样品）</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120cm*120cm、克重≥60g/㎡</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张</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2.3</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24218</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55701.4</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合计</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90" w:type="dxa"/>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314865</w:t>
            </w: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color w:val="000000"/>
                <w:kern w:val="0"/>
                <w:sz w:val="24"/>
                <w:szCs w:val="24"/>
                <w:highlight w:val="none"/>
              </w:rPr>
            </w:pPr>
          </w:p>
        </w:tc>
        <w:tc>
          <w:tcPr>
            <w:tcW w:w="1913"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913"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 xml:space="preserve"> 标段</w:t>
            </w:r>
          </w:p>
        </w:tc>
        <w:tc>
          <w:tcPr>
            <w:tcW w:w="19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物资名称</w:t>
            </w:r>
          </w:p>
        </w:tc>
        <w:tc>
          <w:tcPr>
            <w:tcW w:w="25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规格型号</w:t>
            </w:r>
          </w:p>
        </w:tc>
        <w:tc>
          <w:tcPr>
            <w:tcW w:w="7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单位</w:t>
            </w:r>
          </w:p>
        </w:tc>
        <w:tc>
          <w:tcPr>
            <w:tcW w:w="10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lang w:val="en-US" w:eastAsia="zh-CN"/>
              </w:rPr>
              <w:t>上限</w:t>
            </w:r>
            <w:r>
              <w:rPr>
                <w:rFonts w:hint="eastAsia" w:ascii="仿宋" w:hAnsi="仿宋" w:eastAsia="仿宋" w:cs="仿宋"/>
                <w:b/>
                <w:bCs/>
                <w:kern w:val="0"/>
                <w:sz w:val="24"/>
                <w:szCs w:val="24"/>
                <w:highlight w:val="none"/>
              </w:rPr>
              <w:t>单价</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2年预估量</w:t>
            </w:r>
          </w:p>
        </w:tc>
        <w:tc>
          <w:tcPr>
            <w:tcW w:w="1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金额（元）</w:t>
            </w:r>
          </w:p>
        </w:tc>
      </w:tr>
      <w:tr>
        <w:tblPrEx>
          <w:tblCellMar>
            <w:top w:w="0" w:type="dxa"/>
            <w:left w:w="108" w:type="dxa"/>
            <w:bottom w:w="0" w:type="dxa"/>
            <w:right w:w="108" w:type="dxa"/>
          </w:tblCellMar>
        </w:tblPrEx>
        <w:trPr>
          <w:trHeight w:val="624" w:hRule="atLeast"/>
        </w:trPr>
        <w:tc>
          <w:tcPr>
            <w:tcW w:w="7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02标</w:t>
            </w:r>
            <w:r>
              <w:rPr>
                <w:rFonts w:hint="eastAsia" w:ascii="仿宋" w:hAnsi="仿宋" w:eastAsia="仿宋" w:cs="仿宋"/>
                <w:sz w:val="24"/>
                <w:szCs w:val="24"/>
                <w:highlight w:val="none"/>
                <w:lang w:eastAsia="zh-CN"/>
              </w:rPr>
              <w:t>过氧化氢等离子体灭菌指示袋和卷</w:t>
            </w: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过氧化氢等离子体灭菌指示袋和卷</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宽度100mm*长度100m</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480</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141</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67680</w:t>
            </w:r>
          </w:p>
        </w:tc>
      </w:tr>
      <w:tr>
        <w:tblPrEx>
          <w:tblCellMar>
            <w:top w:w="0" w:type="dxa"/>
            <w:left w:w="108" w:type="dxa"/>
            <w:bottom w:w="0" w:type="dxa"/>
            <w:right w:w="108" w:type="dxa"/>
          </w:tblCellMar>
        </w:tblPrEx>
        <w:trPr>
          <w:trHeight w:val="624"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过氧化氢等离子体灭菌指示袋和卷</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宽度150mm*长度100m</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580</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136</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78880</w:t>
            </w:r>
          </w:p>
        </w:tc>
      </w:tr>
      <w:tr>
        <w:tblPrEx>
          <w:tblCellMar>
            <w:top w:w="0" w:type="dxa"/>
            <w:left w:w="108" w:type="dxa"/>
            <w:bottom w:w="0" w:type="dxa"/>
            <w:right w:w="108" w:type="dxa"/>
          </w:tblCellMar>
        </w:tblPrEx>
        <w:trPr>
          <w:trHeight w:val="624"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过氧化氢等离子体灭菌指示袋和卷（</w:t>
            </w:r>
            <w:r>
              <w:rPr>
                <w:rFonts w:hint="eastAsia" w:ascii="仿宋" w:hAnsi="仿宋" w:eastAsia="仿宋" w:cs="仿宋"/>
                <w:color w:val="000000"/>
                <w:kern w:val="0"/>
                <w:sz w:val="24"/>
                <w:szCs w:val="24"/>
                <w:highlight w:val="none"/>
                <w:lang w:val="en-US" w:eastAsia="zh-CN"/>
              </w:rPr>
              <w:t>核心产品、</w:t>
            </w:r>
            <w:r>
              <w:rPr>
                <w:rFonts w:hint="eastAsia" w:ascii="仿宋" w:hAnsi="仿宋" w:eastAsia="仿宋" w:cs="仿宋"/>
                <w:color w:val="000000"/>
                <w:kern w:val="0"/>
                <w:sz w:val="24"/>
                <w:szCs w:val="24"/>
                <w:highlight w:val="none"/>
              </w:rPr>
              <w:t>样品）</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宽度200mm*长度100m</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820</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375</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307500</w:t>
            </w:r>
          </w:p>
        </w:tc>
      </w:tr>
      <w:tr>
        <w:tblPrEx>
          <w:tblCellMar>
            <w:top w:w="0" w:type="dxa"/>
            <w:left w:w="108" w:type="dxa"/>
            <w:bottom w:w="0" w:type="dxa"/>
            <w:right w:w="108" w:type="dxa"/>
          </w:tblCellMar>
        </w:tblPrEx>
        <w:trPr>
          <w:trHeight w:val="624"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过氧化氢等离子体灭菌指示袋和卷</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宽度250mm*长度100m</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890</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83</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73870</w:t>
            </w:r>
          </w:p>
        </w:tc>
      </w:tr>
      <w:tr>
        <w:tblPrEx>
          <w:tblCellMar>
            <w:top w:w="0" w:type="dxa"/>
            <w:left w:w="108" w:type="dxa"/>
            <w:bottom w:w="0" w:type="dxa"/>
            <w:right w:w="108" w:type="dxa"/>
          </w:tblCellMar>
        </w:tblPrEx>
        <w:trPr>
          <w:trHeight w:val="624"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过氧化氢等离子体灭菌指示袋和卷</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宽度300mm*长度100m</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1200</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43200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合计</w:t>
            </w:r>
          </w:p>
        </w:tc>
        <w:tc>
          <w:tcPr>
            <w:tcW w:w="252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7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571130</w:t>
            </w: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color w:val="000000"/>
                <w:kern w:val="0"/>
                <w:sz w:val="24"/>
                <w:szCs w:val="24"/>
                <w:highlight w:val="none"/>
              </w:rPr>
            </w:pPr>
          </w:p>
        </w:tc>
        <w:tc>
          <w:tcPr>
            <w:tcW w:w="1913"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913"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913"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标段</w:t>
            </w:r>
          </w:p>
        </w:tc>
        <w:tc>
          <w:tcPr>
            <w:tcW w:w="19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物资名称</w:t>
            </w:r>
          </w:p>
        </w:tc>
        <w:tc>
          <w:tcPr>
            <w:tcW w:w="25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规格型号</w:t>
            </w:r>
          </w:p>
        </w:tc>
        <w:tc>
          <w:tcPr>
            <w:tcW w:w="7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单位</w:t>
            </w:r>
          </w:p>
        </w:tc>
        <w:tc>
          <w:tcPr>
            <w:tcW w:w="10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单价</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2年预估量</w:t>
            </w:r>
          </w:p>
        </w:tc>
        <w:tc>
          <w:tcPr>
            <w:tcW w:w="1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金额（元）</w:t>
            </w:r>
          </w:p>
        </w:tc>
      </w:tr>
      <w:tr>
        <w:tblPrEx>
          <w:tblCellMar>
            <w:top w:w="0" w:type="dxa"/>
            <w:left w:w="108" w:type="dxa"/>
            <w:bottom w:w="0" w:type="dxa"/>
            <w:right w:w="108" w:type="dxa"/>
          </w:tblCellMar>
        </w:tblPrEx>
        <w:trPr>
          <w:trHeight w:val="312" w:hRule="atLeast"/>
        </w:trPr>
        <w:tc>
          <w:tcPr>
            <w:tcW w:w="7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03标</w:t>
            </w:r>
            <w:r>
              <w:rPr>
                <w:rFonts w:hint="eastAsia" w:ascii="仿宋" w:hAnsi="仿宋" w:eastAsia="仿宋" w:cs="仿宋"/>
                <w:sz w:val="24"/>
                <w:szCs w:val="24"/>
                <w:highlight w:val="none"/>
                <w:lang w:eastAsia="zh-CN"/>
              </w:rPr>
              <w:t>平面医用管袋类</w:t>
            </w: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高温灭菌指示包装袋和卷</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100mm*250mm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个</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0.3</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150000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45000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高温灭菌指示包装袋和卷</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125mm*250mm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个</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0.35</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9000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3150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55mm*200m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112</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182</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20384</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75mm*200m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160</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252</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40320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220</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175</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38500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150mm*200m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295</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11800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r>
              <w:rPr>
                <w:rFonts w:hint="eastAsia" w:ascii="仿宋" w:hAnsi="仿宋" w:eastAsia="仿宋" w:cs="仿宋"/>
                <w:kern w:val="0"/>
                <w:sz w:val="24"/>
                <w:szCs w:val="24"/>
                <w:highlight w:val="none"/>
                <w:lang w:val="en-US" w:eastAsia="zh-CN"/>
              </w:rPr>
              <w:t>核心产品、</w:t>
            </w:r>
            <w:r>
              <w:rPr>
                <w:rFonts w:hint="eastAsia" w:ascii="仿宋" w:hAnsi="仿宋" w:eastAsia="仿宋" w:cs="仿宋"/>
                <w:kern w:val="0"/>
                <w:sz w:val="24"/>
                <w:szCs w:val="24"/>
                <w:highlight w:val="none"/>
              </w:rPr>
              <w:t>样品）</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425</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180</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76500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250mm*200m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490</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59</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28910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平面医用管袋</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300mm*200m</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卷</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590</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31</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18290</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color w:val="000000"/>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xml:space="preserve"> 合计</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282854</w:t>
            </w: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color w:val="000000"/>
                <w:kern w:val="0"/>
                <w:sz w:val="24"/>
                <w:szCs w:val="24"/>
                <w:highlight w:val="none"/>
              </w:rPr>
            </w:pPr>
          </w:p>
        </w:tc>
        <w:tc>
          <w:tcPr>
            <w:tcW w:w="1913"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nil"/>
              <w:left w:val="nil"/>
              <w:bottom w:val="nil"/>
              <w:right w:val="nil"/>
            </w:tcBorders>
            <w:shd w:val="clear" w:color="auto" w:fill="auto"/>
            <w:vAlign w:val="center"/>
          </w:tcPr>
          <w:p>
            <w:pPr>
              <w:widowControl/>
              <w:jc w:val="center"/>
              <w:rPr>
                <w:rFonts w:hint="eastAsia" w:ascii="仿宋" w:hAnsi="仿宋" w:eastAsia="仿宋" w:cs="仿宋"/>
                <w:kern w:val="0"/>
                <w:sz w:val="24"/>
                <w:szCs w:val="24"/>
                <w:highlight w:val="none"/>
              </w:rPr>
            </w:pPr>
          </w:p>
        </w:tc>
        <w:tc>
          <w:tcPr>
            <w:tcW w:w="1913"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2528"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790"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076"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290"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c>
          <w:tcPr>
            <w:tcW w:w="1261" w:type="dxa"/>
            <w:tcBorders>
              <w:top w:val="nil"/>
              <w:left w:val="nil"/>
              <w:bottom w:val="nil"/>
              <w:right w:val="nil"/>
            </w:tcBorders>
            <w:shd w:val="clear" w:color="auto" w:fill="auto"/>
            <w:vAlign w:val="center"/>
          </w:tcPr>
          <w:p>
            <w:pPr>
              <w:widowControl/>
              <w:jc w:val="left"/>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312" w:hRule="atLeast"/>
        </w:trPr>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标段</w:t>
            </w:r>
          </w:p>
        </w:tc>
        <w:tc>
          <w:tcPr>
            <w:tcW w:w="19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物资名称</w:t>
            </w:r>
          </w:p>
        </w:tc>
        <w:tc>
          <w:tcPr>
            <w:tcW w:w="25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规格型号</w:t>
            </w:r>
          </w:p>
        </w:tc>
        <w:tc>
          <w:tcPr>
            <w:tcW w:w="7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单位</w:t>
            </w:r>
          </w:p>
        </w:tc>
        <w:tc>
          <w:tcPr>
            <w:tcW w:w="10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单价</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2年预估量</w:t>
            </w:r>
          </w:p>
        </w:tc>
        <w:tc>
          <w:tcPr>
            <w:tcW w:w="1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金额（元）</w:t>
            </w:r>
          </w:p>
        </w:tc>
      </w:tr>
      <w:tr>
        <w:tblPrEx>
          <w:tblCellMar>
            <w:top w:w="0" w:type="dxa"/>
            <w:left w:w="108" w:type="dxa"/>
            <w:bottom w:w="0" w:type="dxa"/>
            <w:right w:w="108" w:type="dxa"/>
          </w:tblCellMar>
        </w:tblPrEx>
        <w:trPr>
          <w:trHeight w:val="624" w:hRule="atLeast"/>
        </w:trPr>
        <w:tc>
          <w:tcPr>
            <w:tcW w:w="7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rPr>
              <w:t>04标</w:t>
            </w:r>
            <w:r>
              <w:rPr>
                <w:rFonts w:hint="eastAsia" w:ascii="仿宋" w:hAnsi="仿宋" w:eastAsia="仿宋" w:cs="仿宋"/>
                <w:kern w:val="0"/>
                <w:sz w:val="24"/>
                <w:szCs w:val="24"/>
                <w:highlight w:val="none"/>
              </w:rPr>
              <w:t>压力蒸汽灭菌化学指示卡</w:t>
            </w:r>
            <w:r>
              <w:rPr>
                <w:rFonts w:hint="eastAsia" w:ascii="仿宋" w:hAnsi="仿宋" w:eastAsia="仿宋" w:cs="仿宋"/>
                <w:kern w:val="0"/>
                <w:sz w:val="24"/>
                <w:szCs w:val="24"/>
                <w:highlight w:val="none"/>
                <w:lang w:val="en-US" w:eastAsia="zh-CN"/>
              </w:rPr>
              <w:t>类</w:t>
            </w: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121℃压力蒸汽灭菌化学指示卡</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200片</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盒</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23</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368</w:t>
            </w:r>
          </w:p>
        </w:tc>
      </w:tr>
      <w:tr>
        <w:tblPrEx>
          <w:tblCellMar>
            <w:top w:w="0" w:type="dxa"/>
            <w:left w:w="108" w:type="dxa"/>
            <w:bottom w:w="0" w:type="dxa"/>
            <w:right w:w="108" w:type="dxa"/>
          </w:tblCellMar>
        </w:tblPrEx>
        <w:trPr>
          <w:trHeight w:val="624"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134℃压力蒸汽灭菌化学指示卡（核心产品、样品）</w:t>
            </w:r>
          </w:p>
        </w:tc>
        <w:tc>
          <w:tcPr>
            <w:tcW w:w="252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防水覆膜型、200片/盒、长度：按需提供</w:t>
            </w:r>
          </w:p>
        </w:tc>
        <w:tc>
          <w:tcPr>
            <w:tcW w:w="79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盒</w:t>
            </w:r>
          </w:p>
        </w:tc>
        <w:tc>
          <w:tcPr>
            <w:tcW w:w="1076"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45</w:t>
            </w:r>
          </w:p>
        </w:tc>
        <w:tc>
          <w:tcPr>
            <w:tcW w:w="1290"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7563</w:t>
            </w:r>
          </w:p>
        </w:tc>
        <w:tc>
          <w:tcPr>
            <w:tcW w:w="126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340335</w:t>
            </w:r>
          </w:p>
        </w:tc>
      </w:tr>
      <w:tr>
        <w:tblPrEx>
          <w:tblCellMar>
            <w:top w:w="0" w:type="dxa"/>
            <w:left w:w="108" w:type="dxa"/>
            <w:bottom w:w="0" w:type="dxa"/>
            <w:right w:w="108" w:type="dxa"/>
          </w:tblCellMar>
        </w:tblPrEx>
        <w:trPr>
          <w:trHeight w:val="312" w:hRule="atLeast"/>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bCs/>
                <w:kern w:val="0"/>
                <w:sz w:val="24"/>
                <w:szCs w:val="24"/>
                <w:highlight w:val="none"/>
              </w:rPr>
            </w:pPr>
          </w:p>
        </w:tc>
        <w:tc>
          <w:tcPr>
            <w:tcW w:w="191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合计</w:t>
            </w:r>
          </w:p>
        </w:tc>
        <w:tc>
          <w:tcPr>
            <w:tcW w:w="2528" w:type="dxa"/>
            <w:tcBorders>
              <w:top w:val="nil"/>
              <w:left w:val="nil"/>
              <w:bottom w:val="single" w:color="auto" w:sz="4" w:space="0"/>
              <w:right w:val="single" w:color="auto" w:sz="4" w:space="0"/>
            </w:tcBorders>
            <w:shd w:val="clear" w:color="auto" w:fill="auto"/>
            <w:vAlign w:val="bottom"/>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790" w:type="dxa"/>
            <w:tcBorders>
              <w:top w:val="nil"/>
              <w:left w:val="nil"/>
              <w:bottom w:val="single" w:color="auto" w:sz="4" w:space="0"/>
              <w:right w:val="single" w:color="auto" w:sz="4" w:space="0"/>
            </w:tcBorders>
            <w:shd w:val="clear" w:color="auto" w:fill="auto"/>
            <w:vAlign w:val="bottom"/>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076" w:type="dxa"/>
            <w:tcBorders>
              <w:top w:val="nil"/>
              <w:left w:val="nil"/>
              <w:bottom w:val="single" w:color="auto" w:sz="4" w:space="0"/>
              <w:right w:val="single" w:color="auto" w:sz="4" w:space="0"/>
            </w:tcBorders>
            <w:shd w:val="clear" w:color="auto" w:fill="auto"/>
            <w:vAlign w:val="bottom"/>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90" w:type="dxa"/>
            <w:tcBorders>
              <w:top w:val="nil"/>
              <w:left w:val="nil"/>
              <w:bottom w:val="single" w:color="auto" w:sz="4" w:space="0"/>
              <w:right w:val="single" w:color="auto" w:sz="4" w:space="0"/>
            </w:tcBorders>
            <w:shd w:val="clear" w:color="auto" w:fill="auto"/>
            <w:vAlign w:val="bottom"/>
          </w:tcPr>
          <w:p>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261" w:type="dxa"/>
            <w:tcBorders>
              <w:top w:val="nil"/>
              <w:left w:val="nil"/>
              <w:bottom w:val="single" w:color="auto" w:sz="4" w:space="0"/>
              <w:right w:val="single" w:color="auto" w:sz="4" w:space="0"/>
            </w:tcBorders>
            <w:shd w:val="clear" w:color="auto" w:fill="auto"/>
            <w:vAlign w:val="bottom"/>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340703</w:t>
            </w:r>
          </w:p>
        </w:tc>
      </w:tr>
      <w:tr>
        <w:tblPrEx>
          <w:tblCellMar>
            <w:top w:w="0" w:type="dxa"/>
            <w:left w:w="108" w:type="dxa"/>
            <w:bottom w:w="0" w:type="dxa"/>
            <w:right w:w="108" w:type="dxa"/>
          </w:tblCellMar>
        </w:tblPrEx>
        <w:trPr>
          <w:trHeight w:val="742" w:hRule="atLeast"/>
        </w:trPr>
        <w:tc>
          <w:tcPr>
            <w:tcW w:w="9634" w:type="dxa"/>
            <w:gridSpan w:val="7"/>
            <w:tcBorders>
              <w:top w:val="nil"/>
              <w:left w:val="nil"/>
              <w:bottom w:val="nil"/>
              <w:right w:val="nil"/>
            </w:tcBorders>
            <w:shd w:val="clear" w:color="auto" w:fill="auto"/>
            <w:noWrap/>
            <w:vAlign w:val="center"/>
          </w:tcPr>
          <w:p>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注：所投标段内所有产品种类必须全部覆盖。02标03标须提供相配套的切割工具。</w:t>
            </w:r>
          </w:p>
        </w:tc>
      </w:tr>
    </w:tbl>
    <w:p>
      <w:pPr>
        <w:snapToGrid w:val="0"/>
        <w:spacing w:line="420" w:lineRule="exact"/>
        <w:jc w:val="left"/>
        <w:rPr>
          <w:b/>
          <w:bCs/>
          <w:color w:val="auto"/>
          <w:sz w:val="28"/>
          <w:szCs w:val="28"/>
          <w:highlight w:val="none"/>
        </w:rPr>
      </w:pPr>
      <w:r>
        <w:rPr>
          <w:rFonts w:hint="eastAsia" w:ascii="仿宋" w:hAnsi="仿宋" w:eastAsia="仿宋" w:cs="仿宋"/>
          <w:b/>
          <w:bCs/>
          <w:color w:val="auto"/>
          <w:sz w:val="24"/>
          <w:szCs w:val="24"/>
          <w:highlight w:val="none"/>
          <w:lang w:val="en-US" w:eastAsia="zh-CN"/>
        </w:rPr>
        <w:t xml:space="preserve"> 二、其他要求</w:t>
      </w:r>
    </w:p>
    <w:p>
      <w:pPr>
        <w:snapToGrid w:val="0"/>
        <w:spacing w:line="420" w:lineRule="exact"/>
        <w:jc w:val="left"/>
        <w:rPr>
          <w:rFonts w:ascii="仿宋" w:hAnsi="仿宋" w:eastAsia="仿宋" w:cs="仿宋_GB2312"/>
          <w:color w:val="auto"/>
          <w:kern w:val="0"/>
          <w:sz w:val="24"/>
        </w:rPr>
      </w:pPr>
      <w:r>
        <w:rPr>
          <w:rFonts w:ascii="仿宋" w:hAnsi="仿宋" w:eastAsia="仿宋" w:cs="仿宋_GB2312"/>
          <w:color w:val="auto"/>
          <w:kern w:val="0"/>
          <w:sz w:val="24"/>
          <w:highlight w:val="none"/>
        </w:rPr>
        <w:t>1</w:t>
      </w:r>
      <w:r>
        <w:rPr>
          <w:rFonts w:hint="eastAsia" w:ascii="仿宋" w:hAnsi="仿宋" w:eastAsia="仿宋" w:cs="仿宋_GB2312"/>
          <w:color w:val="auto"/>
          <w:kern w:val="0"/>
          <w:sz w:val="24"/>
          <w:highlight w:val="none"/>
        </w:rPr>
        <w:t>、在合同期内因产品自身问题，出现不符合院感要求，影响临床科室正常消毒灭菌工作的，中标供应商须根据采购人要求无条件提供解决方案，直至问题解决，不得影响临床正常工作。</w:t>
      </w:r>
    </w:p>
    <w:p>
      <w:pPr>
        <w:spacing w:line="420" w:lineRule="exact"/>
        <w:rPr>
          <w:rFonts w:ascii="仿宋" w:hAnsi="仿宋" w:eastAsia="仿宋" w:cs="仿宋_GB2312"/>
          <w:kern w:val="0"/>
          <w:sz w:val="24"/>
          <w:lang w:val="zh-CN"/>
        </w:rPr>
      </w:pPr>
      <w:r>
        <w:rPr>
          <w:rFonts w:ascii="仿宋" w:hAnsi="仿宋" w:eastAsia="仿宋" w:cs="仿宋_GB2312"/>
          <w:kern w:val="0"/>
          <w:sz w:val="24"/>
        </w:rPr>
        <w:t>2</w:t>
      </w:r>
      <w:r>
        <w:rPr>
          <w:rFonts w:hint="eastAsia" w:ascii="仿宋" w:hAnsi="仿宋" w:eastAsia="仿宋" w:cs="仿宋_GB2312"/>
          <w:kern w:val="0"/>
          <w:sz w:val="24"/>
        </w:rPr>
        <w:t>、</w:t>
      </w:r>
      <w:r>
        <w:rPr>
          <w:rFonts w:hint="eastAsia" w:ascii="仿宋" w:hAnsi="仿宋" w:eastAsia="仿宋" w:cs="仿宋_GB2312"/>
          <w:kern w:val="0"/>
          <w:sz w:val="24"/>
          <w:lang w:val="zh-CN"/>
        </w:rPr>
        <w:t>产品投标单</w:t>
      </w:r>
      <w:r>
        <w:rPr>
          <w:rFonts w:ascii="仿宋" w:hAnsi="仿宋" w:eastAsia="仿宋" w:cs="仿宋_GB2312"/>
          <w:kern w:val="0"/>
          <w:sz w:val="24"/>
          <w:lang w:val="zh-CN"/>
        </w:rPr>
        <w:t>价</w:t>
      </w:r>
      <w:r>
        <w:rPr>
          <w:rFonts w:hint="eastAsia" w:ascii="仿宋" w:hAnsi="仿宋" w:eastAsia="仿宋" w:cs="仿宋_GB2312"/>
          <w:kern w:val="0"/>
          <w:sz w:val="24"/>
          <w:lang w:val="zh-CN"/>
        </w:rPr>
        <w:t>高于</w:t>
      </w:r>
      <w:r>
        <w:rPr>
          <w:rFonts w:ascii="仿宋" w:hAnsi="仿宋" w:eastAsia="仿宋" w:cs="仿宋_GB2312"/>
          <w:kern w:val="0"/>
          <w:sz w:val="24"/>
          <w:lang w:val="zh-CN"/>
        </w:rPr>
        <w:t>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作为无效投标处理。</w:t>
      </w:r>
    </w:p>
    <w:p>
      <w:pPr>
        <w:spacing w:line="420" w:lineRule="exact"/>
        <w:rPr>
          <w:rFonts w:ascii="仿宋" w:hAnsi="仿宋" w:eastAsia="仿宋" w:cs="仿宋_GB2312"/>
          <w:kern w:val="0"/>
          <w:sz w:val="24"/>
          <w:lang w:val="zh-CN"/>
        </w:rPr>
      </w:pPr>
      <w:r>
        <w:rPr>
          <w:rFonts w:ascii="仿宋" w:hAnsi="仿宋" w:eastAsia="仿宋" w:cs="仿宋"/>
          <w:sz w:val="24"/>
        </w:rPr>
        <w:t>3</w:t>
      </w:r>
      <w:r>
        <w:rPr>
          <w:rFonts w:hint="eastAsia" w:ascii="仿宋" w:hAnsi="仿宋" w:eastAsia="仿宋" w:cs="仿宋"/>
          <w:sz w:val="24"/>
        </w:rPr>
        <w:t>、本项目数量为预估数量，采购人按实际需要量分批采购，根据中标单价按实结算，至合同供货期满或相应标段预算金额采购完止。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功能全力推动经济稳进提质的通知》（浙财采监〔2022〕3号）等文件要求执行，具体付款方式由双方协商后在合同中明确。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w:t>
      </w:r>
      <w:bookmarkStart w:id="8" w:name="_Hlk146034005"/>
      <w:r>
        <w:rPr>
          <w:rFonts w:hint="eastAsia" w:ascii="仿宋" w:hAnsi="仿宋" w:eastAsia="仿宋"/>
          <w:kern w:val="0"/>
          <w:sz w:val="24"/>
        </w:rPr>
        <w:t>供应商</w:t>
      </w:r>
      <w:bookmarkEnd w:id="8"/>
      <w:r>
        <w:rPr>
          <w:rFonts w:hint="eastAsia" w:ascii="仿宋" w:hAnsi="仿宋" w:eastAsia="仿宋"/>
          <w:kern w:val="0"/>
          <w:sz w:val="24"/>
        </w:rPr>
        <w:t>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adjustRightInd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napToGrid w:val="0"/>
        <w:spacing w:line="440" w:lineRule="exact"/>
        <w:jc w:val="left"/>
        <w:rPr>
          <w:rFonts w:ascii="仿宋" w:hAnsi="仿宋" w:eastAsia="仿宋"/>
          <w:kern w:val="0"/>
          <w:sz w:val="24"/>
        </w:rPr>
      </w:pPr>
    </w:p>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310"/>
        <w:ind w:left="0" w:leftChars="0" w:firstLine="0" w:firstLineChars="0"/>
        <w:rPr>
          <w:rFonts w:ascii="仿宋" w:hAnsi="仿宋" w:eastAsia="仿宋" w:cs="仿宋"/>
          <w:szCs w:val="24"/>
        </w:rPr>
      </w:pPr>
    </w:p>
    <w:p>
      <w:pPr>
        <w:pStyle w:val="310"/>
        <w:jc w:val="center"/>
        <w:rPr>
          <w:rFonts w:ascii="仿宋" w:hAnsi="仿宋" w:eastAsia="仿宋" w:cs="仿宋"/>
          <w:szCs w:val="24"/>
        </w:rPr>
      </w:pPr>
    </w:p>
    <w:p>
      <w:pPr>
        <w:pStyle w:val="310"/>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310"/>
        <w:rPr>
          <w:rFonts w:ascii="仿宋" w:hAnsi="仿宋" w:eastAsia="仿宋" w:cs="仿宋"/>
          <w:szCs w:val="24"/>
        </w:rPr>
      </w:pPr>
    </w:p>
    <w:p>
      <w:pPr>
        <w:pStyle w:val="310"/>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309"/>
        <w:spacing w:before="120" w:line="22" w:lineRule="atLeast"/>
        <w:rPr>
          <w:rFonts w:ascii="仿宋" w:hAnsi="仿宋" w:eastAsia="仿宋" w:cs="仿宋"/>
          <w:szCs w:val="24"/>
        </w:rPr>
      </w:pPr>
    </w:p>
    <w:p>
      <w:pPr>
        <w:pStyle w:val="30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9" w:name="_Toc2232"/>
      <w:bookmarkStart w:id="10" w:name="_Toc3029"/>
      <w:bookmarkStart w:id="11" w:name="_Toc24059"/>
      <w:r>
        <w:rPr>
          <w:rFonts w:hint="eastAsia" w:ascii="仿宋" w:hAnsi="仿宋" w:eastAsia="仿宋" w:cs="仿宋"/>
          <w:b/>
          <w:sz w:val="24"/>
        </w:rPr>
        <w:t>1.1 合同组成部分</w:t>
      </w:r>
      <w:bookmarkEnd w:id="9"/>
      <w:bookmarkEnd w:id="10"/>
      <w:bookmarkEnd w:id="11"/>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2" w:name="_Toc21295"/>
      <w:bookmarkStart w:id="13" w:name="_Toc24300"/>
      <w:bookmarkStart w:id="14" w:name="_Toc27126"/>
      <w:r>
        <w:rPr>
          <w:rFonts w:hint="eastAsia" w:ascii="仿宋" w:hAnsi="仿宋" w:eastAsia="仿宋" w:cs="仿宋"/>
          <w:b/>
          <w:sz w:val="24"/>
        </w:rPr>
        <w:t>1.2 货物</w:t>
      </w:r>
      <w:bookmarkEnd w:id="12"/>
      <w:bookmarkEnd w:id="13"/>
      <w:bookmarkEnd w:id="14"/>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15" w:name="_Toc23292"/>
      <w:bookmarkStart w:id="16" w:name="_Toc21631"/>
      <w:bookmarkStart w:id="17" w:name="_Toc21551"/>
      <w:r>
        <w:rPr>
          <w:rFonts w:hint="eastAsia" w:ascii="仿宋" w:hAnsi="仿宋" w:eastAsia="仿宋" w:cs="仿宋"/>
          <w:b/>
          <w:sz w:val="24"/>
        </w:rPr>
        <w:t>1.3 价款</w:t>
      </w:r>
      <w:bookmarkEnd w:id="15"/>
      <w:bookmarkEnd w:id="16"/>
      <w:bookmarkEnd w:id="17"/>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bl>
    <w:p>
      <w:pPr>
        <w:pStyle w:val="311"/>
        <w:spacing w:before="0" w:beforeAutospacing="0" w:after="0" w:afterAutospacing="0" w:line="360" w:lineRule="auto"/>
        <w:ind w:firstLine="480"/>
        <w:rPr>
          <w:rFonts w:ascii="仿宋" w:hAnsi="仿宋" w:eastAsia="仿宋" w:cs="仿宋"/>
          <w:b/>
        </w:rPr>
      </w:pPr>
      <w:bookmarkStart w:id="18" w:name="_Toc10340"/>
      <w:bookmarkStart w:id="19" w:name="_Toc22618"/>
      <w:bookmarkStart w:id="20" w:name="_Toc1814"/>
      <w:r>
        <w:rPr>
          <w:rFonts w:hint="eastAsia" w:ascii="仿宋" w:hAnsi="仿宋" w:eastAsia="仿宋" w:cs="仿宋"/>
          <w:b/>
        </w:rPr>
        <w:t>1.4履约保证金</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18"/>
      <w:bookmarkEnd w:id="19"/>
      <w:bookmarkEnd w:id="20"/>
      <w:r>
        <w:rPr>
          <w:rFonts w:hint="eastAsia" w:ascii="仿宋" w:hAnsi="仿宋" w:eastAsia="仿宋" w:cs="仿宋"/>
          <w:b/>
          <w:sz w:val="24"/>
        </w:rPr>
        <w:t>预付款</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1" w:name="_Toc2846"/>
      <w:bookmarkStart w:id="22" w:name="_Toc19304"/>
      <w:bookmarkStart w:id="23" w:name="_Toc32071"/>
      <w:r>
        <w:rPr>
          <w:rFonts w:hint="eastAsia" w:ascii="仿宋" w:hAnsi="仿宋" w:eastAsia="仿宋" w:cs="仿宋"/>
          <w:b/>
          <w:sz w:val="24"/>
        </w:rPr>
        <w:t>1.7货物交付期限、地点和方式</w:t>
      </w:r>
      <w:bookmarkEnd w:id="21"/>
      <w:bookmarkEnd w:id="22"/>
      <w:bookmarkEnd w:id="23"/>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4" w:name="_Toc19554"/>
      <w:bookmarkStart w:id="25" w:name="_Toc27250"/>
      <w:bookmarkStart w:id="26" w:name="_Toc21423"/>
      <w:r>
        <w:rPr>
          <w:rFonts w:hint="eastAsia" w:ascii="仿宋" w:hAnsi="仿宋" w:eastAsia="仿宋" w:cs="仿宋"/>
          <w:b/>
          <w:sz w:val="24"/>
        </w:rPr>
        <w:t>1.8违约责任</w:t>
      </w:r>
      <w:bookmarkEnd w:id="24"/>
      <w:bookmarkEnd w:id="25"/>
      <w:bookmarkEnd w:id="26"/>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27" w:name="_Toc28375"/>
      <w:bookmarkStart w:id="28" w:name="_Toc15583"/>
      <w:bookmarkStart w:id="29" w:name="_Toc16021"/>
      <w:r>
        <w:rPr>
          <w:rFonts w:hint="eastAsia" w:ascii="仿宋" w:hAnsi="仿宋" w:eastAsia="仿宋" w:cs="仿宋"/>
          <w:b/>
          <w:sz w:val="24"/>
        </w:rPr>
        <w:t>1.9合同争议的解决</w:t>
      </w:r>
      <w:bookmarkEnd w:id="27"/>
      <w:bookmarkEnd w:id="28"/>
      <w:bookmarkEnd w:id="29"/>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0" w:name="_Toc7245"/>
      <w:bookmarkStart w:id="31" w:name="_Toc11173"/>
      <w:bookmarkStart w:id="32" w:name="_Toc15322"/>
      <w:r>
        <w:rPr>
          <w:rFonts w:hint="eastAsia" w:ascii="仿宋" w:hAnsi="仿宋" w:eastAsia="仿宋" w:cs="仿宋"/>
          <w:b/>
          <w:sz w:val="24"/>
        </w:rPr>
        <w:t>2.0 合同生效</w:t>
      </w:r>
      <w:bookmarkEnd w:id="30"/>
      <w:bookmarkEnd w:id="31"/>
      <w:bookmarkEnd w:id="32"/>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10"/>
        <w:spacing w:line="560" w:lineRule="exact"/>
        <w:ind w:firstLine="482"/>
        <w:jc w:val="center"/>
        <w:rPr>
          <w:rFonts w:ascii="仿宋" w:hAnsi="仿宋" w:eastAsia="仿宋" w:cs="仿宋"/>
          <w:b/>
          <w:szCs w:val="24"/>
        </w:rPr>
      </w:pPr>
    </w:p>
    <w:p>
      <w:pPr>
        <w:pStyle w:val="31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33" w:name="_Ref467379109"/>
      <w:bookmarkStart w:id="34" w:name="_Ref467379195"/>
      <w:bookmarkStart w:id="35" w:name="_Ref467378499"/>
      <w:bookmarkStart w:id="36" w:name="_Toc279701240"/>
      <w:bookmarkStart w:id="37" w:name="_Ref467379094"/>
      <w:bookmarkStart w:id="38" w:name="_Toc28763"/>
      <w:bookmarkStart w:id="39" w:name="_Toc19614"/>
      <w:bookmarkStart w:id="40" w:name="_Ref467378463"/>
      <w:bookmarkStart w:id="41" w:name="_Toc487900349"/>
      <w:bookmarkStart w:id="42" w:name="_Ref467379101"/>
      <w:bookmarkStart w:id="43" w:name="_Ref467378404"/>
      <w:bookmarkStart w:id="44" w:name="_Ref467379214"/>
      <w:bookmarkStart w:id="45" w:name="_Ref467379225"/>
      <w:bookmarkStart w:id="46" w:name="_Toc16917"/>
      <w:bookmarkStart w:id="47" w:name="_Ref467379205"/>
      <w:bookmarkStart w:id="48" w:name="_Toc259093669"/>
      <w:r>
        <w:rPr>
          <w:rFonts w:hint="eastAsia" w:ascii="仿宋" w:hAnsi="仿宋" w:eastAsia="仿宋" w:cs="仿宋"/>
          <w:b/>
          <w:sz w:val="24"/>
        </w:rPr>
        <w:t>2.1 定义</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49" w:name="_Ref467378840"/>
      <w:r>
        <w:rPr>
          <w:rFonts w:hint="eastAsia" w:ascii="仿宋" w:hAnsi="仿宋" w:eastAsia="仿宋" w:cs="仿宋"/>
          <w:sz w:val="24"/>
        </w:rPr>
        <w:t>2.1.4 “甲方”系指与中标或成交供应商签署合同的采购人</w:t>
      </w:r>
      <w:bookmarkEnd w:id="49"/>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50" w:name="_Ref467379400"/>
      <w:r>
        <w:rPr>
          <w:rFonts w:hint="eastAsia" w:ascii="仿宋" w:hAnsi="仿宋" w:eastAsia="仿宋" w:cs="仿宋"/>
          <w:sz w:val="24"/>
        </w:rPr>
        <w:t>2.1.5 “乙方”系指根据合同约定交付货物的中标或成交供应商</w:t>
      </w:r>
      <w:bookmarkEnd w:id="50"/>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1" w:name="_Ref467379436"/>
      <w:r>
        <w:rPr>
          <w:rFonts w:hint="eastAsia" w:ascii="仿宋" w:hAnsi="仿宋" w:eastAsia="仿宋" w:cs="仿宋"/>
          <w:sz w:val="24"/>
        </w:rPr>
        <w:t>2.1.6 “现场”系指合同约定货物将要运至或者安装的地点。</w:t>
      </w:r>
      <w:bookmarkEnd w:id="51"/>
    </w:p>
    <w:p>
      <w:pPr>
        <w:spacing w:line="560" w:lineRule="exact"/>
        <w:ind w:firstLine="482" w:firstLineChars="200"/>
        <w:outlineLvl w:val="0"/>
        <w:rPr>
          <w:rFonts w:ascii="仿宋" w:hAnsi="仿宋" w:eastAsia="仿宋" w:cs="仿宋"/>
          <w:b/>
          <w:sz w:val="24"/>
        </w:rPr>
      </w:pPr>
      <w:bookmarkStart w:id="52" w:name="_Toc487900350"/>
      <w:bookmarkStart w:id="53" w:name="_Toc13336"/>
      <w:bookmarkStart w:id="54" w:name="_Toc259093670"/>
      <w:bookmarkStart w:id="55" w:name="_Toc279701241"/>
      <w:bookmarkStart w:id="56" w:name="_Toc27635"/>
      <w:bookmarkStart w:id="57" w:name="_Toc32504"/>
      <w:r>
        <w:rPr>
          <w:rFonts w:hint="eastAsia" w:ascii="仿宋" w:hAnsi="仿宋" w:eastAsia="仿宋" w:cs="仿宋"/>
          <w:b/>
          <w:sz w:val="24"/>
        </w:rPr>
        <w:t>2.2 技术规范</w:t>
      </w:r>
      <w:bookmarkEnd w:id="52"/>
      <w:bookmarkEnd w:id="53"/>
      <w:bookmarkEnd w:id="54"/>
      <w:bookmarkEnd w:id="55"/>
      <w:bookmarkEnd w:id="56"/>
      <w:bookmarkEnd w:id="57"/>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58" w:name="_Toc9829"/>
      <w:bookmarkStart w:id="59" w:name="_Toc487900351"/>
      <w:bookmarkStart w:id="60" w:name="_Toc27853"/>
      <w:bookmarkStart w:id="61" w:name="_Toc259093671"/>
      <w:bookmarkStart w:id="62" w:name="_Toc31634"/>
      <w:bookmarkStart w:id="63" w:name="_Toc279701242"/>
      <w:r>
        <w:rPr>
          <w:rFonts w:hint="eastAsia" w:ascii="仿宋" w:hAnsi="仿宋" w:eastAsia="仿宋" w:cs="仿宋"/>
          <w:b/>
          <w:sz w:val="24"/>
        </w:rPr>
        <w:t>2.3 知识产权</w:t>
      </w:r>
      <w:bookmarkEnd w:id="58"/>
      <w:bookmarkEnd w:id="59"/>
      <w:bookmarkEnd w:id="60"/>
      <w:bookmarkEnd w:id="61"/>
      <w:bookmarkEnd w:id="62"/>
      <w:bookmarkEnd w:id="63"/>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4" w:name="_Toc29149"/>
      <w:bookmarkStart w:id="65" w:name="_Toc4194"/>
      <w:bookmarkStart w:id="66" w:name="_Toc11932"/>
      <w:r>
        <w:rPr>
          <w:rFonts w:hint="eastAsia" w:ascii="仿宋" w:hAnsi="仿宋" w:eastAsia="仿宋" w:cs="仿宋"/>
          <w:b/>
          <w:sz w:val="24"/>
        </w:rPr>
        <w:t>2.4 包装和装运</w:t>
      </w:r>
      <w:bookmarkEnd w:id="64"/>
      <w:bookmarkEnd w:id="65"/>
      <w:bookmarkEnd w:id="66"/>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7" w:name="_Ref467379536"/>
      <w:bookmarkStart w:id="68" w:name="_Ref467378541"/>
      <w:bookmarkStart w:id="69" w:name="_Ref467379542"/>
      <w:bookmarkStart w:id="70" w:name="_Toc259093674"/>
      <w:bookmarkStart w:id="71" w:name="_Toc279701245"/>
      <w:bookmarkStart w:id="72" w:name="_Ref467379527"/>
      <w:bookmarkStart w:id="73" w:name="_Ref467378591"/>
      <w:bookmarkStart w:id="74" w:name="_Toc487900354"/>
      <w:bookmarkStart w:id="75" w:name="_Toc30272"/>
      <w:bookmarkStart w:id="76" w:name="_Toc19074"/>
      <w:bookmarkStart w:id="77" w:name="_Toc26182"/>
      <w:r>
        <w:rPr>
          <w:rFonts w:hint="eastAsia" w:ascii="仿宋" w:hAnsi="仿宋" w:eastAsia="仿宋" w:cs="仿宋"/>
          <w:b/>
          <w:sz w:val="24"/>
        </w:rPr>
        <w:t>2.</w:t>
      </w:r>
      <w:bookmarkEnd w:id="67"/>
      <w:bookmarkEnd w:id="68"/>
      <w:bookmarkEnd w:id="69"/>
      <w:bookmarkEnd w:id="70"/>
      <w:bookmarkEnd w:id="71"/>
      <w:bookmarkEnd w:id="72"/>
      <w:bookmarkEnd w:id="73"/>
      <w:bookmarkEnd w:id="74"/>
      <w:r>
        <w:rPr>
          <w:rFonts w:hint="eastAsia" w:ascii="仿宋" w:hAnsi="仿宋" w:eastAsia="仿宋" w:cs="仿宋"/>
          <w:b/>
          <w:sz w:val="24"/>
        </w:rPr>
        <w:t>5 履约检查和问题反馈</w:t>
      </w:r>
      <w:bookmarkEnd w:id="75"/>
      <w:bookmarkEnd w:id="76"/>
      <w:bookmarkEnd w:id="77"/>
    </w:p>
    <w:p>
      <w:pPr>
        <w:spacing w:line="560" w:lineRule="exact"/>
        <w:ind w:firstLine="480" w:firstLineChars="200"/>
        <w:rPr>
          <w:rFonts w:ascii="仿宋" w:hAnsi="仿宋" w:eastAsia="仿宋" w:cs="仿宋"/>
          <w:sz w:val="24"/>
        </w:rPr>
      </w:pPr>
      <w:bookmarkStart w:id="78" w:name="_Ref467379657"/>
      <w:r>
        <w:rPr>
          <w:rFonts w:hint="eastAsia" w:ascii="仿宋" w:hAnsi="仿宋" w:eastAsia="仿宋" w:cs="仿宋"/>
          <w:sz w:val="24"/>
        </w:rPr>
        <w:t>2.5.1</w:t>
      </w:r>
      <w:bookmarkEnd w:id="78"/>
      <w:bookmarkStart w:id="79" w:name="_Toc186431854"/>
      <w:bookmarkStart w:id="80" w:name="_Toc487900357"/>
      <w:bookmarkStart w:id="81" w:name="_Ref467379807"/>
      <w:bookmarkStart w:id="82" w:name="_Toc259093676"/>
      <w:bookmarkStart w:id="83" w:name="_Ref467379793"/>
      <w:bookmarkStart w:id="84"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79"/>
      <w:bookmarkStart w:id="85" w:name="_Toc186431855"/>
      <w:r>
        <w:rPr>
          <w:rFonts w:hint="eastAsia" w:ascii="仿宋" w:hAnsi="仿宋" w:eastAsia="仿宋" w:cs="仿宋"/>
          <w:sz w:val="24"/>
        </w:rPr>
        <w:t>。</w:t>
      </w:r>
    </w:p>
    <w:bookmarkEnd w:id="80"/>
    <w:bookmarkEnd w:id="81"/>
    <w:bookmarkEnd w:id="82"/>
    <w:bookmarkEnd w:id="83"/>
    <w:bookmarkEnd w:id="84"/>
    <w:bookmarkEnd w:id="85"/>
    <w:p>
      <w:pPr>
        <w:spacing w:line="560" w:lineRule="exact"/>
        <w:ind w:firstLine="482" w:firstLineChars="200"/>
        <w:outlineLvl w:val="0"/>
        <w:rPr>
          <w:rFonts w:ascii="仿宋" w:hAnsi="仿宋" w:eastAsia="仿宋" w:cs="仿宋"/>
          <w:b/>
          <w:sz w:val="24"/>
        </w:rPr>
      </w:pPr>
      <w:bookmarkStart w:id="86" w:name="_Toc487900358"/>
      <w:bookmarkStart w:id="87" w:name="_Ref467379863"/>
      <w:bookmarkStart w:id="88" w:name="_Ref467379923"/>
      <w:bookmarkStart w:id="89" w:name="_Toc279701248"/>
      <w:bookmarkStart w:id="90" w:name="_Toc259093677"/>
      <w:bookmarkStart w:id="91" w:name="_Ref467379852"/>
      <w:bookmarkStart w:id="92" w:name="_Toc3225"/>
      <w:bookmarkStart w:id="93" w:name="_Toc774"/>
      <w:bookmarkStart w:id="94" w:name="_Toc16110"/>
      <w:r>
        <w:rPr>
          <w:rFonts w:hint="eastAsia" w:ascii="仿宋" w:hAnsi="仿宋" w:eastAsia="仿宋" w:cs="仿宋"/>
          <w:b/>
          <w:sz w:val="24"/>
        </w:rPr>
        <w:t>2.6 技术资料</w:t>
      </w:r>
      <w:bookmarkEnd w:id="86"/>
      <w:bookmarkEnd w:id="87"/>
      <w:bookmarkEnd w:id="88"/>
      <w:bookmarkEnd w:id="89"/>
      <w:bookmarkEnd w:id="90"/>
      <w:bookmarkEnd w:id="91"/>
      <w:r>
        <w:rPr>
          <w:rFonts w:hint="eastAsia" w:ascii="仿宋" w:hAnsi="仿宋" w:eastAsia="仿宋" w:cs="仿宋"/>
          <w:b/>
          <w:sz w:val="24"/>
        </w:rPr>
        <w:t>和保密义务</w:t>
      </w:r>
      <w:bookmarkEnd w:id="92"/>
      <w:bookmarkEnd w:id="93"/>
      <w:bookmarkEnd w:id="94"/>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95" w:name="_Toc7860"/>
      <w:r>
        <w:rPr>
          <w:rFonts w:hint="eastAsia" w:ascii="仿宋" w:hAnsi="仿宋" w:eastAsia="仿宋" w:cs="仿宋"/>
          <w:b/>
          <w:sz w:val="24"/>
        </w:rPr>
        <w:t>2.7 质量保证</w:t>
      </w:r>
      <w:bookmarkEnd w:id="95"/>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96" w:name="_Toc17244"/>
      <w:bookmarkStart w:id="97" w:name="_Toc487900362"/>
      <w:bookmarkStart w:id="98" w:name="_Toc259093681"/>
      <w:bookmarkStart w:id="99" w:name="_Toc279701252"/>
      <w:r>
        <w:rPr>
          <w:rFonts w:hint="eastAsia" w:ascii="仿宋" w:hAnsi="仿宋" w:eastAsia="仿宋" w:cs="仿宋"/>
          <w:b/>
          <w:sz w:val="24"/>
        </w:rPr>
        <w:t>2.8 货物的风险负担</w:t>
      </w:r>
      <w:bookmarkEnd w:id="96"/>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0" w:name="_Toc14055"/>
      <w:r>
        <w:rPr>
          <w:rFonts w:hint="eastAsia" w:ascii="仿宋" w:hAnsi="仿宋" w:eastAsia="仿宋" w:cs="仿宋"/>
          <w:b/>
          <w:sz w:val="24"/>
        </w:rPr>
        <w:t>2.9 延迟交货</w:t>
      </w:r>
      <w:bookmarkEnd w:id="97"/>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1" w:name="_Toc7502"/>
      <w:bookmarkStart w:id="102" w:name="_Toc487900364"/>
      <w:bookmarkStart w:id="103" w:name="_Ref467378121"/>
      <w:bookmarkStart w:id="104" w:name="_Toc259093683"/>
      <w:bookmarkStart w:id="105" w:name="_Toc279701254"/>
      <w:r>
        <w:rPr>
          <w:rFonts w:hint="eastAsia" w:ascii="仿宋" w:hAnsi="仿宋" w:eastAsia="仿宋" w:cs="仿宋"/>
          <w:b/>
          <w:sz w:val="24"/>
        </w:rPr>
        <w:t>2.10 合同变更</w:t>
      </w:r>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06" w:name="_Toc487900369"/>
      <w:bookmarkStart w:id="107" w:name="_Toc279701259"/>
      <w:bookmarkStart w:id="108" w:name="_Toc259093688"/>
    </w:p>
    <w:p>
      <w:pPr>
        <w:spacing w:line="560" w:lineRule="exact"/>
        <w:ind w:firstLine="482" w:firstLineChars="200"/>
        <w:outlineLvl w:val="0"/>
        <w:rPr>
          <w:rFonts w:ascii="仿宋" w:hAnsi="仿宋" w:eastAsia="仿宋" w:cs="仿宋"/>
          <w:b/>
          <w:sz w:val="24"/>
        </w:rPr>
      </w:pPr>
      <w:bookmarkStart w:id="109" w:name="_Toc15237"/>
      <w:bookmarkStart w:id="110" w:name="_Toc10366"/>
      <w:bookmarkStart w:id="111" w:name="_Toc22955"/>
      <w:r>
        <w:rPr>
          <w:rFonts w:hint="eastAsia" w:ascii="仿宋" w:hAnsi="仿宋" w:eastAsia="仿宋" w:cs="仿宋"/>
          <w:b/>
          <w:sz w:val="24"/>
        </w:rPr>
        <w:t>2.11 合同转让</w:t>
      </w:r>
      <w:bookmarkEnd w:id="106"/>
      <w:bookmarkEnd w:id="107"/>
      <w:bookmarkEnd w:id="108"/>
      <w:r>
        <w:rPr>
          <w:rFonts w:hint="eastAsia" w:ascii="仿宋" w:hAnsi="仿宋" w:eastAsia="仿宋" w:cs="仿宋"/>
          <w:b/>
          <w:sz w:val="24"/>
        </w:rPr>
        <w:t>和分包</w:t>
      </w:r>
      <w:bookmarkEnd w:id="109"/>
      <w:bookmarkEnd w:id="110"/>
      <w:bookmarkEnd w:id="111"/>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2" w:name="_Toc14066"/>
      <w:bookmarkStart w:id="113" w:name="_Toc13566"/>
      <w:bookmarkStart w:id="114" w:name="_Toc16508"/>
      <w:r>
        <w:rPr>
          <w:rFonts w:hint="eastAsia" w:ascii="仿宋" w:hAnsi="仿宋" w:eastAsia="仿宋" w:cs="仿宋"/>
          <w:b/>
          <w:sz w:val="24"/>
        </w:rPr>
        <w:t>2.12 不可抗力</w:t>
      </w:r>
      <w:bookmarkEnd w:id="112"/>
      <w:bookmarkEnd w:id="113"/>
      <w:bookmarkEnd w:id="114"/>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15" w:name="_Toc30676"/>
      <w:bookmarkStart w:id="116" w:name="_Toc279701255"/>
      <w:bookmarkStart w:id="117" w:name="_Toc6969"/>
      <w:bookmarkStart w:id="118" w:name="_Toc487900365"/>
      <w:bookmarkStart w:id="119" w:name="_Toc259093684"/>
      <w:bookmarkStart w:id="120" w:name="_Toc689"/>
      <w:r>
        <w:rPr>
          <w:rFonts w:hint="eastAsia" w:ascii="仿宋" w:hAnsi="仿宋" w:eastAsia="仿宋" w:cs="仿宋"/>
          <w:b/>
          <w:sz w:val="24"/>
        </w:rPr>
        <w:t>2.13 税费</w:t>
      </w:r>
      <w:bookmarkEnd w:id="115"/>
      <w:bookmarkEnd w:id="116"/>
      <w:bookmarkEnd w:id="117"/>
      <w:bookmarkEnd w:id="118"/>
      <w:bookmarkEnd w:id="119"/>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1" w:name="_Toc259093687"/>
      <w:bookmarkStart w:id="122" w:name="_Toc487900368"/>
      <w:bookmarkStart w:id="123" w:name="_Toc8298"/>
      <w:bookmarkStart w:id="124" w:name="_Toc7102"/>
      <w:bookmarkStart w:id="125" w:name="_Toc279701258"/>
      <w:bookmarkStart w:id="126" w:name="_Toc16959"/>
      <w:r>
        <w:rPr>
          <w:rFonts w:hint="eastAsia" w:ascii="仿宋" w:hAnsi="仿宋" w:eastAsia="仿宋" w:cs="仿宋"/>
          <w:b/>
          <w:sz w:val="24"/>
        </w:rPr>
        <w:t>2.14乙方破产</w:t>
      </w:r>
      <w:bookmarkEnd w:id="121"/>
      <w:bookmarkEnd w:id="122"/>
      <w:bookmarkEnd w:id="123"/>
      <w:bookmarkEnd w:id="124"/>
      <w:bookmarkEnd w:id="125"/>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27" w:name="_Toc6134"/>
      <w:bookmarkStart w:id="128" w:name="_Toc29333"/>
      <w:bookmarkStart w:id="129" w:name="_Toc15387"/>
      <w:r>
        <w:rPr>
          <w:rFonts w:hint="eastAsia" w:ascii="仿宋" w:hAnsi="仿宋" w:eastAsia="仿宋" w:cs="仿宋"/>
          <w:b/>
          <w:sz w:val="24"/>
        </w:rPr>
        <w:t>2.15 合同中止、终止</w:t>
      </w:r>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0" w:name="_Toc1125"/>
      <w:bookmarkStart w:id="131" w:name="_Toc14563"/>
      <w:bookmarkStart w:id="132" w:name="_Toc6596"/>
      <w:r>
        <w:rPr>
          <w:rFonts w:hint="eastAsia" w:ascii="仿宋" w:hAnsi="仿宋" w:eastAsia="仿宋" w:cs="仿宋"/>
          <w:b/>
          <w:sz w:val="24"/>
        </w:rPr>
        <w:t>2.16检验和验收</w:t>
      </w:r>
      <w:bookmarkEnd w:id="130"/>
      <w:bookmarkEnd w:id="131"/>
      <w:bookmarkEnd w:id="132"/>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2"/>
    <w:bookmarkEnd w:id="103"/>
    <w:bookmarkEnd w:id="104"/>
    <w:bookmarkEnd w:id="105"/>
    <w:p>
      <w:pPr>
        <w:spacing w:line="560" w:lineRule="exact"/>
        <w:ind w:firstLine="482" w:firstLineChars="200"/>
        <w:outlineLvl w:val="0"/>
        <w:rPr>
          <w:rFonts w:ascii="仿宋" w:hAnsi="仿宋" w:eastAsia="仿宋" w:cs="仿宋"/>
          <w:b/>
          <w:sz w:val="24"/>
        </w:rPr>
      </w:pPr>
      <w:bookmarkStart w:id="133" w:name="_Toc279701261"/>
      <w:bookmarkStart w:id="134" w:name="_Toc487900371"/>
      <w:bookmarkStart w:id="135" w:name="_Toc259093690"/>
      <w:bookmarkStart w:id="136" w:name="_Toc11284"/>
      <w:bookmarkStart w:id="137" w:name="_Toc25182"/>
      <w:bookmarkStart w:id="138" w:name="_Toc19604"/>
      <w:r>
        <w:rPr>
          <w:rFonts w:hint="eastAsia" w:ascii="仿宋" w:hAnsi="仿宋" w:eastAsia="仿宋" w:cs="仿宋"/>
          <w:b/>
          <w:sz w:val="24"/>
        </w:rPr>
        <w:t>2.17 通知</w:t>
      </w:r>
      <w:bookmarkEnd w:id="133"/>
      <w:bookmarkEnd w:id="134"/>
      <w:bookmarkEnd w:id="135"/>
      <w:r>
        <w:rPr>
          <w:rFonts w:hint="eastAsia" w:ascii="仿宋" w:hAnsi="仿宋" w:eastAsia="仿宋" w:cs="仿宋"/>
          <w:b/>
          <w:sz w:val="24"/>
        </w:rPr>
        <w:t>和送达</w:t>
      </w:r>
      <w:bookmarkEnd w:id="136"/>
      <w:bookmarkEnd w:id="137"/>
      <w:bookmarkEnd w:id="138"/>
    </w:p>
    <w:p>
      <w:pPr>
        <w:spacing w:line="560" w:lineRule="exact"/>
        <w:ind w:firstLine="480" w:firstLineChars="200"/>
        <w:rPr>
          <w:rFonts w:ascii="仿宋" w:hAnsi="仿宋" w:eastAsia="仿宋" w:cs="仿宋"/>
          <w:sz w:val="24"/>
        </w:rPr>
      </w:pPr>
      <w:bookmarkStart w:id="139" w:name="_Toc6698"/>
      <w:bookmarkStart w:id="140" w:name="_Toc3135"/>
      <w:bookmarkStart w:id="141" w:name="_Toc487900372"/>
      <w:bookmarkStart w:id="142" w:name="_Toc279701262"/>
      <w:bookmarkStart w:id="143"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39"/>
      <w:bookmarkEnd w:id="140"/>
    </w:p>
    <w:p>
      <w:pPr>
        <w:spacing w:line="560" w:lineRule="exact"/>
        <w:ind w:firstLine="480" w:firstLineChars="200"/>
        <w:rPr>
          <w:rFonts w:ascii="仿宋" w:hAnsi="仿宋" w:eastAsia="仿宋" w:cs="仿宋"/>
          <w:sz w:val="24"/>
        </w:rPr>
      </w:pPr>
      <w:bookmarkStart w:id="144" w:name="_Toc23128"/>
      <w:bookmarkStart w:id="145"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0"/>
        <w:rPr>
          <w:rFonts w:ascii="仿宋" w:hAnsi="仿宋" w:eastAsia="仿宋" w:cs="仿宋"/>
          <w:b/>
          <w:sz w:val="24"/>
        </w:rPr>
      </w:pPr>
      <w:bookmarkStart w:id="146" w:name="_Toc18540"/>
      <w:bookmarkStart w:id="147" w:name="_Toc4355"/>
      <w:bookmarkStart w:id="148" w:name="_Toc30599"/>
      <w:r>
        <w:rPr>
          <w:rFonts w:hint="eastAsia" w:ascii="仿宋" w:hAnsi="仿宋" w:eastAsia="仿宋" w:cs="仿宋"/>
          <w:b/>
          <w:sz w:val="24"/>
        </w:rPr>
        <w:t>2.18 计量单位</w:t>
      </w:r>
      <w:bookmarkEnd w:id="141"/>
      <w:bookmarkEnd w:id="142"/>
      <w:bookmarkEnd w:id="143"/>
      <w:bookmarkEnd w:id="146"/>
      <w:bookmarkEnd w:id="147"/>
      <w:bookmarkEnd w:id="148"/>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49" w:name="_Toc487900373"/>
      <w:bookmarkStart w:id="150" w:name="_Toc12773"/>
      <w:bookmarkStart w:id="151" w:name="_Toc18567"/>
      <w:bookmarkStart w:id="152" w:name="_Toc279701263"/>
      <w:bookmarkStart w:id="153" w:name="_Toc10330"/>
      <w:bookmarkStart w:id="154" w:name="_Toc259093692"/>
      <w:r>
        <w:rPr>
          <w:rFonts w:hint="eastAsia" w:ascii="仿宋" w:hAnsi="仿宋" w:eastAsia="仿宋" w:cs="仿宋"/>
          <w:b/>
          <w:sz w:val="24"/>
        </w:rPr>
        <w:t>2.19 合同使用的文字和适用的法律</w:t>
      </w:r>
      <w:bookmarkEnd w:id="149"/>
      <w:bookmarkEnd w:id="150"/>
      <w:bookmarkEnd w:id="151"/>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55" w:name="_Toc14001"/>
      <w:bookmarkStart w:id="156" w:name="_Toc19890"/>
      <w:bookmarkStart w:id="157" w:name="_Toc6885"/>
      <w:r>
        <w:rPr>
          <w:rFonts w:hint="eastAsia" w:ascii="仿宋" w:hAnsi="仿宋" w:eastAsia="仿宋" w:cs="仿宋"/>
          <w:b/>
          <w:sz w:val="24"/>
        </w:rPr>
        <w:t>2.20 合同份数</w:t>
      </w:r>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pStyle w:val="32"/>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2.1商务技术分（60分）</w:t>
      </w:r>
      <w:r>
        <w:rPr>
          <w:rFonts w:hint="eastAsia" w:ascii="仿宋" w:hAnsi="仿宋" w:eastAsia="仿宋" w:cs="仿宋"/>
          <w:sz w:val="20"/>
          <w:szCs w:val="20"/>
          <w:shd w:val="clear" w:color="auto" w:fill="FFFFFF"/>
        </w:rPr>
        <w:t> </w:t>
      </w:r>
    </w:p>
    <w:tbl>
      <w:tblPr>
        <w:tblStyle w:val="63"/>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1872" w:type="dxa"/>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6804" w:type="dxa"/>
            <w:vAlign w:val="center"/>
          </w:tcPr>
          <w:p>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872"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（4分）</w:t>
            </w:r>
          </w:p>
        </w:tc>
        <w:tc>
          <w:tcPr>
            <w:tcW w:w="6804" w:type="dxa"/>
            <w:vAlign w:val="center"/>
          </w:tcPr>
          <w:p>
            <w:pPr>
              <w:adjustRightInd w:val="0"/>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color w:val="auto"/>
                <w:sz w:val="24"/>
              </w:rPr>
            </w:pPr>
            <w:r>
              <w:rPr>
                <w:rFonts w:hint="eastAsia" w:ascii="仿宋" w:hAnsi="仿宋" w:eastAsia="仿宋" w:cs="仿宋"/>
                <w:color w:val="auto"/>
                <w:sz w:val="24"/>
              </w:rPr>
              <w:t>注：每个案例均须提供合同和发票复印件须加盖投标人公章，同一医院只计一分，不提供不得分。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872" w:type="dxa"/>
            <w:vAlign w:val="center"/>
          </w:tcPr>
          <w:p>
            <w:pPr>
              <w:ind w:left="-88" w:leftChars="-42" w:right="-113" w:rightChars="-54"/>
              <w:jc w:val="center"/>
              <w:rPr>
                <w:rFonts w:ascii="仿宋" w:hAnsi="仿宋" w:eastAsia="仿宋"/>
                <w:color w:val="auto"/>
                <w:sz w:val="24"/>
                <w:szCs w:val="24"/>
              </w:rPr>
            </w:pPr>
            <w:r>
              <w:rPr>
                <w:rFonts w:hint="eastAsia" w:ascii="仿宋" w:hAnsi="仿宋" w:eastAsia="仿宋"/>
                <w:color w:val="auto"/>
                <w:sz w:val="24"/>
                <w:szCs w:val="24"/>
              </w:rPr>
              <w:t>认证证书</w:t>
            </w:r>
          </w:p>
          <w:p>
            <w:pPr>
              <w:ind w:left="-88" w:leftChars="-42" w:right="-113" w:rightChars="-54"/>
              <w:jc w:val="center"/>
              <w:rPr>
                <w:color w:val="auto"/>
              </w:rPr>
            </w:pPr>
            <w:r>
              <w:rPr>
                <w:rFonts w:hint="eastAsia" w:ascii="仿宋" w:hAnsi="仿宋" w:eastAsia="仿宋"/>
                <w:color w:val="auto"/>
                <w:sz w:val="24"/>
                <w:szCs w:val="24"/>
              </w:rPr>
              <w:t>（3分）</w:t>
            </w:r>
          </w:p>
        </w:tc>
        <w:tc>
          <w:tcPr>
            <w:tcW w:w="6804" w:type="dxa"/>
            <w:vAlign w:val="center"/>
          </w:tcPr>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投标人具有ISO9001质量管理体系认证证书得1分。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投标人具有ISO45001职业健康安全管理体系认证证书得1分。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投标人具有ISO14001环境管理体系认证证书得1分。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需提供认证证书复印件加盖公章，不提供不得分。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restar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872" w:type="dxa"/>
            <w:vMerge w:val="restar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投标人综合实力</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2</w:t>
            </w:r>
            <w:r>
              <w:rPr>
                <w:rFonts w:hint="eastAsia" w:ascii="仿宋" w:hAnsi="仿宋" w:eastAsia="仿宋" w:cs="仿宋"/>
                <w:color w:val="auto"/>
                <w:sz w:val="24"/>
              </w:rPr>
              <w:t>分）</w:t>
            </w:r>
          </w:p>
        </w:tc>
        <w:tc>
          <w:tcPr>
            <w:tcW w:w="6804" w:type="dxa"/>
            <w:vAlign w:val="center"/>
          </w:tcPr>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 xml:space="preserve">对投标人建立的企业管理制度，包括企业文化、企业组织结构、企业各项规章制度、企业管理流程等进行评价打分， </w:t>
            </w:r>
            <w:r>
              <w:rPr>
                <w:rFonts w:ascii="仿宋" w:hAnsi="仿宋" w:eastAsia="仿宋"/>
                <w:color w:val="auto"/>
                <w:sz w:val="24"/>
                <w:szCs w:val="24"/>
              </w:rPr>
              <w:t>0-3</w:t>
            </w:r>
            <w:r>
              <w:rPr>
                <w:rFonts w:hint="eastAsia" w:ascii="仿宋" w:hAnsi="仿宋" w:eastAsia="仿宋"/>
                <w:color w:val="auto"/>
                <w:sz w:val="24"/>
                <w:szCs w:val="24"/>
              </w:rPr>
              <w:t>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color w:val="auto"/>
                <w:sz w:val="24"/>
              </w:rPr>
            </w:pPr>
          </w:p>
        </w:tc>
        <w:tc>
          <w:tcPr>
            <w:tcW w:w="1872" w:type="dxa"/>
            <w:vMerge w:val="continue"/>
            <w:vAlign w:val="center"/>
          </w:tcPr>
          <w:p>
            <w:pPr>
              <w:spacing w:line="300" w:lineRule="exact"/>
              <w:jc w:val="center"/>
              <w:rPr>
                <w:rFonts w:ascii="仿宋" w:hAnsi="仿宋" w:eastAsia="仿宋" w:cs="仿宋"/>
                <w:color w:val="auto"/>
                <w:sz w:val="24"/>
              </w:rPr>
            </w:pPr>
          </w:p>
        </w:tc>
        <w:tc>
          <w:tcPr>
            <w:tcW w:w="6804" w:type="dxa"/>
            <w:vAlign w:val="center"/>
          </w:tcPr>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对投标人质量保证体系的规范性、全面性、有效性、可行性进行评价打分，0</w:t>
            </w:r>
            <w:r>
              <w:rPr>
                <w:rFonts w:ascii="仿宋" w:hAnsi="仿宋" w:eastAsia="仿宋"/>
                <w:color w:val="auto"/>
                <w:sz w:val="24"/>
                <w:szCs w:val="24"/>
              </w:rPr>
              <w:t>-3</w:t>
            </w:r>
            <w:r>
              <w:rPr>
                <w:rFonts w:hint="eastAsia" w:ascii="仿宋" w:hAnsi="仿宋" w:eastAsia="仿宋"/>
                <w:color w:val="auto"/>
                <w:sz w:val="24"/>
                <w:szCs w:val="24"/>
              </w:rPr>
              <w:t>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color w:val="auto"/>
                <w:sz w:val="24"/>
              </w:rPr>
            </w:pPr>
          </w:p>
        </w:tc>
        <w:tc>
          <w:tcPr>
            <w:tcW w:w="1872" w:type="dxa"/>
            <w:vMerge w:val="continue"/>
            <w:vAlign w:val="center"/>
          </w:tcPr>
          <w:p>
            <w:pPr>
              <w:spacing w:line="300" w:lineRule="exact"/>
              <w:jc w:val="center"/>
              <w:rPr>
                <w:rFonts w:ascii="仿宋" w:hAnsi="仿宋" w:eastAsia="仿宋" w:cs="仿宋"/>
                <w:color w:val="auto"/>
                <w:sz w:val="24"/>
              </w:rPr>
            </w:pPr>
          </w:p>
        </w:tc>
        <w:tc>
          <w:tcPr>
            <w:tcW w:w="6804" w:type="dxa"/>
            <w:vAlign w:val="center"/>
          </w:tcPr>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对投标人运营情况及效率，如经营能力和水平、经营产品的优异性等进行评价打分，0</w:t>
            </w:r>
            <w:r>
              <w:rPr>
                <w:rFonts w:ascii="仿宋" w:hAnsi="仿宋" w:eastAsia="仿宋"/>
                <w:color w:val="auto"/>
                <w:sz w:val="24"/>
                <w:szCs w:val="24"/>
              </w:rPr>
              <w:t>-3</w:t>
            </w:r>
            <w:r>
              <w:rPr>
                <w:rFonts w:hint="eastAsia" w:ascii="仿宋" w:hAnsi="仿宋" w:eastAsia="仿宋"/>
                <w:color w:val="auto"/>
                <w:sz w:val="24"/>
                <w:szCs w:val="24"/>
              </w:rPr>
              <w:t>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7" w:type="dxa"/>
            <w:vMerge w:val="continue"/>
            <w:vAlign w:val="center"/>
          </w:tcPr>
          <w:p>
            <w:pPr>
              <w:spacing w:line="340" w:lineRule="exact"/>
              <w:jc w:val="center"/>
              <w:rPr>
                <w:rFonts w:ascii="仿宋" w:hAnsi="仿宋" w:eastAsia="仿宋" w:cs="仿宋"/>
                <w:color w:val="auto"/>
                <w:sz w:val="24"/>
              </w:rPr>
            </w:pPr>
          </w:p>
        </w:tc>
        <w:tc>
          <w:tcPr>
            <w:tcW w:w="1872" w:type="dxa"/>
            <w:vMerge w:val="continue"/>
            <w:vAlign w:val="center"/>
          </w:tcPr>
          <w:p>
            <w:pPr>
              <w:spacing w:line="300" w:lineRule="exact"/>
              <w:jc w:val="center"/>
              <w:rPr>
                <w:rFonts w:ascii="仿宋" w:hAnsi="仿宋" w:eastAsia="仿宋" w:cs="仿宋"/>
                <w:color w:val="auto"/>
                <w:sz w:val="24"/>
              </w:rPr>
            </w:pPr>
          </w:p>
        </w:tc>
        <w:tc>
          <w:tcPr>
            <w:tcW w:w="6804" w:type="dxa"/>
            <w:vAlign w:val="center"/>
          </w:tcPr>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对投标人配套服务能力，即提供本项目相关服务的工作人员的学历、职称、工作年限、培训经历、相关证书、客户或相关部门考核评价结果，以及为采购人服务的工作人员数量等方面进行评价打分，0</w:t>
            </w:r>
            <w:r>
              <w:rPr>
                <w:rFonts w:ascii="仿宋" w:hAnsi="仿宋" w:eastAsia="仿宋"/>
                <w:color w:val="auto"/>
                <w:sz w:val="24"/>
                <w:szCs w:val="24"/>
              </w:rPr>
              <w:t>-3</w:t>
            </w:r>
            <w:r>
              <w:rPr>
                <w:rFonts w:hint="eastAsia" w:ascii="仿宋" w:hAnsi="仿宋" w:eastAsia="仿宋"/>
                <w:color w:val="auto"/>
                <w:sz w:val="24"/>
                <w:szCs w:val="24"/>
              </w:rPr>
              <w:t>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根据投标人提供的，反映服务水平和能力的人员材料进行评价打分，无材料的，不得分。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872"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样品</w:t>
            </w:r>
          </w:p>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w:t>
            </w:r>
            <w:r>
              <w:rPr>
                <w:rFonts w:ascii="仿宋" w:hAnsi="仿宋" w:eastAsia="仿宋" w:cs="仿宋"/>
                <w:bCs/>
                <w:iCs/>
                <w:color w:val="auto"/>
                <w:sz w:val="24"/>
              </w:rPr>
              <w:t>9</w:t>
            </w:r>
            <w:r>
              <w:rPr>
                <w:rFonts w:hint="eastAsia" w:ascii="仿宋" w:hAnsi="仿宋" w:eastAsia="仿宋" w:cs="仿宋"/>
                <w:bCs/>
                <w:iCs/>
                <w:color w:val="auto"/>
                <w:sz w:val="24"/>
              </w:rPr>
              <w:t>分）</w:t>
            </w:r>
          </w:p>
        </w:tc>
        <w:tc>
          <w:tcPr>
            <w:tcW w:w="6804" w:type="dxa"/>
            <w:vAlign w:val="center"/>
          </w:tcPr>
          <w:p>
            <w:pPr>
              <w:snapToGrid w:val="0"/>
              <w:spacing w:line="276" w:lineRule="auto"/>
              <w:ind w:right="-130"/>
              <w:rPr>
                <w:rFonts w:ascii="仿宋" w:hAnsi="仿宋" w:eastAsia="仿宋" w:cs="仿宋"/>
                <w:bCs/>
                <w:iCs/>
                <w:color w:val="auto"/>
                <w:sz w:val="24"/>
              </w:rPr>
            </w:pPr>
            <w:r>
              <w:rPr>
                <w:rFonts w:hint="eastAsia" w:ascii="仿宋" w:hAnsi="仿宋" w:eastAsia="仿宋" w:cs="仿宋"/>
                <w:bCs/>
                <w:iCs/>
                <w:color w:val="auto"/>
                <w:sz w:val="24"/>
              </w:rPr>
              <w:t>专家根据各投标人提供的样品情况综合打分：</w:t>
            </w:r>
          </w:p>
          <w:p>
            <w:pPr>
              <w:pStyle w:val="117"/>
              <w:numPr>
                <w:ilvl w:val="0"/>
                <w:numId w:val="8"/>
              </w:numPr>
              <w:snapToGrid w:val="0"/>
              <w:spacing w:line="276" w:lineRule="auto"/>
              <w:ind w:right="-130" w:firstLineChars="0"/>
              <w:rPr>
                <w:rFonts w:ascii="仿宋" w:hAnsi="仿宋" w:eastAsia="仿宋" w:cs="仿宋"/>
                <w:bCs/>
                <w:iCs/>
                <w:color w:val="auto"/>
                <w:sz w:val="24"/>
              </w:rPr>
            </w:pPr>
            <w:r>
              <w:rPr>
                <w:rFonts w:hint="eastAsia" w:ascii="仿宋" w:hAnsi="仿宋" w:eastAsia="仿宋" w:cs="仿宋"/>
                <w:bCs/>
                <w:iCs/>
                <w:color w:val="auto"/>
                <w:sz w:val="24"/>
              </w:rPr>
              <w:t>样品的制造工艺水平0</w:t>
            </w:r>
            <w:r>
              <w:rPr>
                <w:rFonts w:ascii="仿宋" w:hAnsi="仿宋" w:eastAsia="仿宋" w:cs="仿宋"/>
                <w:bCs/>
                <w:iCs/>
                <w:color w:val="auto"/>
                <w:sz w:val="24"/>
              </w:rPr>
              <w:t>-3</w:t>
            </w:r>
            <w:r>
              <w:rPr>
                <w:rFonts w:hint="eastAsia" w:ascii="仿宋" w:hAnsi="仿宋" w:eastAsia="仿宋" w:cs="仿宋"/>
                <w:bCs/>
                <w:iCs/>
                <w:color w:val="auto"/>
                <w:sz w:val="24"/>
              </w:rPr>
              <w:t>分；（需提供相关证明材料）</w:t>
            </w:r>
          </w:p>
          <w:p>
            <w:pPr>
              <w:pStyle w:val="117"/>
              <w:numPr>
                <w:ilvl w:val="0"/>
                <w:numId w:val="8"/>
              </w:numPr>
              <w:snapToGrid w:val="0"/>
              <w:spacing w:line="276" w:lineRule="auto"/>
              <w:ind w:right="-130" w:firstLineChars="0"/>
              <w:rPr>
                <w:rFonts w:ascii="仿宋" w:hAnsi="仿宋" w:eastAsia="仿宋" w:cs="仿宋"/>
                <w:bCs/>
                <w:iCs/>
                <w:color w:val="auto"/>
                <w:sz w:val="24"/>
              </w:rPr>
            </w:pPr>
            <w:r>
              <w:rPr>
                <w:rFonts w:hint="eastAsia" w:ascii="仿宋" w:hAnsi="仿宋" w:eastAsia="仿宋" w:cs="仿宋"/>
                <w:bCs/>
                <w:iCs/>
                <w:color w:val="auto"/>
                <w:sz w:val="24"/>
              </w:rPr>
              <w:t>样品的手感、厚薄程度0</w:t>
            </w:r>
            <w:r>
              <w:rPr>
                <w:rFonts w:ascii="仿宋" w:hAnsi="仿宋" w:eastAsia="仿宋" w:cs="仿宋"/>
                <w:bCs/>
                <w:iCs/>
                <w:color w:val="auto"/>
                <w:sz w:val="24"/>
              </w:rPr>
              <w:t>-3</w:t>
            </w:r>
            <w:r>
              <w:rPr>
                <w:rFonts w:hint="eastAsia" w:ascii="仿宋" w:hAnsi="仿宋" w:eastAsia="仿宋" w:cs="仿宋"/>
                <w:bCs/>
                <w:iCs/>
                <w:color w:val="auto"/>
                <w:sz w:val="24"/>
              </w:rPr>
              <w:t>分；</w:t>
            </w:r>
          </w:p>
          <w:p>
            <w:pPr>
              <w:pStyle w:val="117"/>
              <w:numPr>
                <w:ilvl w:val="0"/>
                <w:numId w:val="8"/>
              </w:numPr>
              <w:snapToGrid w:val="0"/>
              <w:spacing w:line="276" w:lineRule="auto"/>
              <w:ind w:right="-130" w:firstLineChars="0"/>
              <w:rPr>
                <w:rFonts w:ascii="仿宋" w:hAnsi="仿宋" w:eastAsia="仿宋" w:cs="仿宋"/>
                <w:bCs/>
                <w:iCs/>
                <w:color w:val="auto"/>
                <w:sz w:val="24"/>
              </w:rPr>
            </w:pPr>
            <w:r>
              <w:rPr>
                <w:rFonts w:hint="eastAsia" w:ascii="仿宋" w:hAnsi="仿宋" w:eastAsia="仿宋" w:cs="仿宋"/>
                <w:bCs/>
                <w:iCs/>
                <w:color w:val="auto"/>
                <w:sz w:val="24"/>
              </w:rPr>
              <w:t>通过对样品的撕扯、气味等情况0</w:t>
            </w:r>
            <w:r>
              <w:rPr>
                <w:rFonts w:ascii="仿宋" w:hAnsi="仿宋" w:eastAsia="仿宋" w:cs="仿宋"/>
                <w:bCs/>
                <w:iCs/>
                <w:color w:val="auto"/>
                <w:sz w:val="24"/>
              </w:rPr>
              <w:t>-3</w:t>
            </w:r>
            <w:r>
              <w:rPr>
                <w:rFonts w:hint="eastAsia" w:ascii="仿宋" w:hAnsi="仿宋" w:eastAsia="仿宋" w:cs="仿宋"/>
                <w:bCs/>
                <w:iCs/>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5</w:t>
            </w:r>
          </w:p>
        </w:tc>
        <w:tc>
          <w:tcPr>
            <w:tcW w:w="1872"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检测报告</w:t>
            </w:r>
          </w:p>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w:t>
            </w:r>
            <w:r>
              <w:rPr>
                <w:rFonts w:ascii="仿宋" w:hAnsi="仿宋" w:eastAsia="仿宋" w:cs="仿宋"/>
                <w:bCs/>
                <w:iCs/>
                <w:color w:val="auto"/>
                <w:sz w:val="24"/>
              </w:rPr>
              <w:t>2</w:t>
            </w:r>
            <w:r>
              <w:rPr>
                <w:rFonts w:hint="eastAsia" w:ascii="仿宋" w:hAnsi="仿宋" w:eastAsia="仿宋" w:cs="仿宋"/>
                <w:bCs/>
                <w:iCs/>
                <w:color w:val="auto"/>
                <w:sz w:val="24"/>
              </w:rPr>
              <w:t>分）</w:t>
            </w:r>
          </w:p>
        </w:tc>
        <w:tc>
          <w:tcPr>
            <w:tcW w:w="6804" w:type="dxa"/>
            <w:vAlign w:val="center"/>
          </w:tcPr>
          <w:p>
            <w:pPr>
              <w:snapToGrid w:val="0"/>
              <w:spacing w:line="276" w:lineRule="auto"/>
              <w:ind w:right="-130"/>
              <w:rPr>
                <w:rFonts w:ascii="仿宋" w:hAnsi="仿宋" w:eastAsia="仿宋" w:cs="仿宋"/>
                <w:bCs/>
                <w:iCs/>
                <w:color w:val="auto"/>
                <w:sz w:val="24"/>
              </w:rPr>
            </w:pPr>
            <w:r>
              <w:rPr>
                <w:rFonts w:hint="eastAsia" w:ascii="仿宋" w:hAnsi="仿宋" w:eastAsia="仿宋" w:cs="仿宋"/>
                <w:bCs/>
                <w:iCs/>
                <w:color w:val="auto"/>
                <w:sz w:val="24"/>
              </w:rPr>
              <w:t>投标人提供所投标段相关产品的带有CMA或CNAS标志的合格的“质量检测报告”得</w:t>
            </w:r>
            <w:r>
              <w:rPr>
                <w:rFonts w:ascii="仿宋" w:hAnsi="仿宋" w:eastAsia="仿宋" w:cs="仿宋"/>
                <w:bCs/>
                <w:iCs/>
                <w:color w:val="auto"/>
                <w:sz w:val="24"/>
              </w:rPr>
              <w:t>2</w:t>
            </w:r>
            <w:r>
              <w:rPr>
                <w:rFonts w:hint="eastAsia" w:ascii="仿宋" w:hAnsi="仿宋" w:eastAsia="仿宋" w:cs="仿宋"/>
                <w:bCs/>
                <w:iCs/>
                <w:color w:val="auto"/>
                <w:sz w:val="24"/>
              </w:rPr>
              <w:t>分，不提供不得分。</w:t>
            </w:r>
            <w:r>
              <w:rPr>
                <w:rFonts w:ascii="仿宋" w:hAnsi="仿宋" w:eastAsia="仿宋" w:cs="仿宋"/>
                <w:bCs/>
                <w:iCs/>
                <w:color w:val="auto"/>
                <w:sz w:val="24"/>
              </w:rPr>
              <w:t xml:space="preserve"> </w:t>
            </w:r>
          </w:p>
          <w:p>
            <w:pPr>
              <w:snapToGrid w:val="0"/>
              <w:spacing w:line="276" w:lineRule="auto"/>
              <w:ind w:right="-130"/>
              <w:rPr>
                <w:rFonts w:ascii="仿宋" w:hAnsi="仿宋" w:eastAsia="仿宋" w:cs="仿宋"/>
                <w:bCs/>
                <w:iCs/>
                <w:color w:val="auto"/>
                <w:sz w:val="24"/>
              </w:rPr>
            </w:pPr>
            <w:r>
              <w:rPr>
                <w:rFonts w:hint="eastAsia" w:ascii="仿宋" w:hAnsi="仿宋" w:eastAsia="仿宋" w:cs="仿宋"/>
                <w:bCs/>
                <w:iCs/>
                <w:color w:val="auto"/>
                <w:sz w:val="24"/>
              </w:rPr>
              <w:t>需提供相关的证明资料并加盖投标人公章。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6</w:t>
            </w:r>
          </w:p>
        </w:tc>
        <w:tc>
          <w:tcPr>
            <w:tcW w:w="1872"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供应服务能力承诺</w:t>
            </w:r>
          </w:p>
          <w:p>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w:t>
            </w:r>
            <w:r>
              <w:rPr>
                <w:rFonts w:ascii="仿宋" w:hAnsi="仿宋" w:eastAsia="仿宋" w:cs="仿宋"/>
                <w:bCs/>
                <w:iCs/>
                <w:color w:val="auto"/>
                <w:sz w:val="24"/>
              </w:rPr>
              <w:t>6</w:t>
            </w:r>
            <w:r>
              <w:rPr>
                <w:rFonts w:hint="eastAsia" w:ascii="仿宋" w:hAnsi="仿宋" w:eastAsia="仿宋" w:cs="仿宋"/>
                <w:bCs/>
                <w:iCs/>
                <w:color w:val="auto"/>
                <w:sz w:val="24"/>
              </w:rPr>
              <w:t>分）</w:t>
            </w:r>
          </w:p>
        </w:tc>
        <w:tc>
          <w:tcPr>
            <w:tcW w:w="6804" w:type="dxa"/>
            <w:vAlign w:val="center"/>
          </w:tcPr>
          <w:p>
            <w:pPr>
              <w:snapToGrid w:val="0"/>
              <w:spacing w:line="276" w:lineRule="auto"/>
              <w:ind w:right="-130"/>
              <w:rPr>
                <w:rFonts w:ascii="仿宋" w:hAnsi="仿宋" w:eastAsia="仿宋" w:cs="仿宋"/>
                <w:bCs/>
                <w:iCs/>
                <w:color w:val="auto"/>
                <w:sz w:val="24"/>
              </w:rPr>
            </w:pPr>
            <w:r>
              <w:rPr>
                <w:rFonts w:hint="eastAsia" w:ascii="仿宋" w:hAnsi="仿宋" w:eastAsia="仿宋" w:cs="仿宋"/>
                <w:bCs/>
                <w:iCs/>
                <w:color w:val="auto"/>
                <w:sz w:val="24"/>
              </w:rPr>
              <w:t>1、信息化程度：投标人具有接收电子订单、配送的能力，提供相关佐证材料的得</w:t>
            </w:r>
            <w:r>
              <w:rPr>
                <w:rFonts w:ascii="仿宋" w:hAnsi="仿宋" w:eastAsia="仿宋" w:cs="仿宋"/>
                <w:bCs/>
                <w:iCs/>
                <w:color w:val="auto"/>
                <w:sz w:val="24"/>
              </w:rPr>
              <w:t>3</w:t>
            </w:r>
            <w:r>
              <w:rPr>
                <w:rFonts w:hint="eastAsia" w:ascii="仿宋" w:hAnsi="仿宋" w:eastAsia="仿宋" w:cs="仿宋"/>
                <w:bCs/>
                <w:iCs/>
                <w:color w:val="auto"/>
                <w:sz w:val="24"/>
              </w:rPr>
              <w:t>分，不提供不得分。</w:t>
            </w:r>
          </w:p>
          <w:p>
            <w:pPr>
              <w:snapToGrid w:val="0"/>
              <w:spacing w:line="276" w:lineRule="auto"/>
              <w:ind w:right="-130"/>
              <w:jc w:val="left"/>
              <w:rPr>
                <w:rFonts w:ascii="仿宋" w:hAnsi="仿宋" w:eastAsia="仿宋" w:cs="仿宋"/>
                <w:bCs/>
                <w:iCs/>
                <w:color w:val="auto"/>
                <w:sz w:val="24"/>
              </w:rPr>
            </w:pPr>
            <w:r>
              <w:rPr>
                <w:rFonts w:ascii="仿宋" w:hAnsi="仿宋" w:eastAsia="仿宋" w:cs="仿宋"/>
                <w:bCs/>
                <w:iCs/>
                <w:color w:val="auto"/>
                <w:sz w:val="24"/>
              </w:rPr>
              <w:t>2</w:t>
            </w:r>
            <w:r>
              <w:rPr>
                <w:rFonts w:hint="eastAsia" w:ascii="仿宋" w:hAnsi="仿宋" w:eastAsia="仿宋" w:cs="仿宋"/>
                <w:bCs/>
                <w:iCs/>
                <w:color w:val="auto"/>
                <w:sz w:val="24"/>
              </w:rPr>
              <w:t>、根据投标人及时响应能力和售后服务内容的可行性进行打分，0-</w:t>
            </w:r>
            <w:r>
              <w:rPr>
                <w:rFonts w:ascii="仿宋" w:hAnsi="仿宋" w:eastAsia="仿宋" w:cs="仿宋"/>
                <w:bCs/>
                <w:iCs/>
                <w:color w:val="auto"/>
                <w:sz w:val="24"/>
              </w:rPr>
              <w:t>3</w:t>
            </w:r>
            <w:r>
              <w:rPr>
                <w:rFonts w:hint="eastAsia" w:ascii="仿宋" w:hAnsi="仿宋" w:eastAsia="仿宋" w:cs="仿宋"/>
                <w:bCs/>
                <w:iCs/>
                <w:color w:val="auto"/>
                <w:sz w:val="24"/>
              </w:rPr>
              <w:t>分，不符合或不提供不得分。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7</w:t>
            </w:r>
          </w:p>
        </w:tc>
        <w:tc>
          <w:tcPr>
            <w:tcW w:w="1872"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售后保障</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rPr>
              <w:t>分）</w:t>
            </w:r>
          </w:p>
        </w:tc>
        <w:tc>
          <w:tcPr>
            <w:tcW w:w="6804" w:type="dxa"/>
            <w:vAlign w:val="center"/>
          </w:tcPr>
          <w:p>
            <w:pPr>
              <w:pStyle w:val="117"/>
              <w:widowControl/>
              <w:numPr>
                <w:ilvl w:val="0"/>
                <w:numId w:val="9"/>
              </w:numPr>
              <w:spacing w:after="200" w:line="276" w:lineRule="auto"/>
              <w:ind w:right="-113" w:rightChars="-54" w:firstLineChars="0"/>
              <w:contextualSpacing/>
              <w:jc w:val="left"/>
              <w:rPr>
                <w:rFonts w:ascii="仿宋" w:hAnsi="仿宋" w:eastAsia="仿宋" w:cs="仿宋"/>
                <w:color w:val="auto"/>
                <w:sz w:val="24"/>
                <w:szCs w:val="24"/>
              </w:rPr>
            </w:pPr>
            <w:r>
              <w:rPr>
                <w:rFonts w:hint="eastAsia" w:ascii="仿宋" w:hAnsi="仿宋" w:eastAsia="仿宋" w:cs="仿宋"/>
                <w:color w:val="auto"/>
                <w:sz w:val="24"/>
                <w:szCs w:val="24"/>
              </w:rPr>
              <w:t>投标人承诺能满足医院退换货的得2分，不承诺不得分。</w:t>
            </w:r>
          </w:p>
          <w:p>
            <w:pPr>
              <w:pStyle w:val="117"/>
              <w:widowControl/>
              <w:numPr>
                <w:ilvl w:val="0"/>
                <w:numId w:val="9"/>
              </w:numPr>
              <w:spacing w:after="200" w:line="276" w:lineRule="auto"/>
              <w:ind w:right="-113" w:rightChars="-54" w:firstLineChars="0"/>
              <w:contextualSpacing/>
              <w:jc w:val="left"/>
              <w:rPr>
                <w:rFonts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rPr>
              <w:t>承诺</w:t>
            </w:r>
            <w:r>
              <w:rPr>
                <w:rFonts w:ascii="仿宋" w:hAnsi="仿宋" w:eastAsia="仿宋" w:cs="仿宋"/>
                <w:color w:val="auto"/>
                <w:sz w:val="24"/>
              </w:rPr>
              <w:t>能满足</w:t>
            </w:r>
            <w:r>
              <w:rPr>
                <w:rFonts w:hint="eastAsia" w:ascii="仿宋" w:hAnsi="仿宋" w:eastAsia="仿宋" w:cs="仿宋"/>
                <w:color w:val="auto"/>
                <w:sz w:val="24"/>
              </w:rPr>
              <w:t>应</w:t>
            </w:r>
            <w:r>
              <w:rPr>
                <w:rFonts w:ascii="仿宋" w:hAnsi="仿宋" w:eastAsia="仿宋" w:cs="仿宋"/>
                <w:color w:val="auto"/>
                <w:sz w:val="24"/>
              </w:rPr>
              <w:t>急或突发事件，</w:t>
            </w:r>
            <w:r>
              <w:rPr>
                <w:rFonts w:hint="eastAsia" w:ascii="仿宋" w:hAnsi="仿宋" w:eastAsia="仿宋" w:cs="仿宋"/>
                <w:color w:val="auto"/>
                <w:sz w:val="24"/>
              </w:rPr>
              <w:t>到</w:t>
            </w:r>
            <w:r>
              <w:rPr>
                <w:rFonts w:ascii="仿宋" w:hAnsi="仿宋" w:eastAsia="仿宋" w:cs="仿宋"/>
                <w:color w:val="auto"/>
                <w:sz w:val="24"/>
              </w:rPr>
              <w:t>货时间在6</w:t>
            </w:r>
            <w:r>
              <w:rPr>
                <w:rFonts w:hint="eastAsia" w:ascii="仿宋" w:hAnsi="仿宋" w:eastAsia="仿宋" w:cs="仿宋"/>
                <w:color w:val="auto"/>
                <w:sz w:val="24"/>
              </w:rPr>
              <w:t>小</w:t>
            </w:r>
            <w:r>
              <w:rPr>
                <w:rFonts w:ascii="仿宋" w:hAnsi="仿宋" w:eastAsia="仿宋" w:cs="仿宋"/>
                <w:color w:val="auto"/>
                <w:sz w:val="24"/>
              </w:rPr>
              <w:t>时内的得6.0</w:t>
            </w:r>
            <w:r>
              <w:rPr>
                <w:rFonts w:hint="eastAsia" w:ascii="仿宋" w:hAnsi="仿宋" w:eastAsia="仿宋" w:cs="仿宋"/>
                <w:color w:val="auto"/>
                <w:sz w:val="24"/>
              </w:rPr>
              <w:t>分</w:t>
            </w:r>
            <w:r>
              <w:rPr>
                <w:rFonts w:ascii="仿宋" w:hAnsi="仿宋" w:eastAsia="仿宋" w:cs="仿宋"/>
                <w:color w:val="auto"/>
                <w:sz w:val="24"/>
              </w:rPr>
              <w:t>，6~12</w:t>
            </w:r>
            <w:r>
              <w:rPr>
                <w:rFonts w:hint="eastAsia" w:ascii="仿宋" w:hAnsi="仿宋" w:eastAsia="仿宋" w:cs="仿宋"/>
                <w:color w:val="auto"/>
                <w:sz w:val="24"/>
              </w:rPr>
              <w:t>小</w:t>
            </w:r>
            <w:r>
              <w:rPr>
                <w:rFonts w:ascii="仿宋" w:hAnsi="仿宋" w:eastAsia="仿宋" w:cs="仿宋"/>
                <w:color w:val="auto"/>
                <w:sz w:val="24"/>
              </w:rPr>
              <w:t>时的得</w:t>
            </w:r>
            <w:r>
              <w:rPr>
                <w:rFonts w:hint="eastAsia" w:ascii="仿宋" w:hAnsi="仿宋" w:eastAsia="仿宋" w:cs="仿宋"/>
                <w:color w:val="auto"/>
                <w:sz w:val="24"/>
              </w:rPr>
              <w:t>3</w:t>
            </w:r>
            <w:r>
              <w:rPr>
                <w:rFonts w:ascii="仿宋" w:hAnsi="仿宋" w:eastAsia="仿宋" w:cs="仿宋"/>
                <w:color w:val="auto"/>
                <w:sz w:val="24"/>
              </w:rPr>
              <w:t>.0</w:t>
            </w:r>
            <w:r>
              <w:rPr>
                <w:rFonts w:hint="eastAsia" w:ascii="仿宋" w:hAnsi="仿宋" w:eastAsia="仿宋" w:cs="仿宋"/>
                <w:color w:val="auto"/>
                <w:sz w:val="24"/>
              </w:rPr>
              <w:t>分</w:t>
            </w:r>
            <w:r>
              <w:rPr>
                <w:rFonts w:ascii="仿宋" w:hAnsi="仿宋" w:eastAsia="仿宋" w:cs="仿宋"/>
                <w:color w:val="auto"/>
                <w:sz w:val="24"/>
              </w:rPr>
              <w:t>，超过12</w:t>
            </w:r>
            <w:r>
              <w:rPr>
                <w:rFonts w:hint="eastAsia" w:ascii="仿宋" w:hAnsi="仿宋" w:eastAsia="仿宋" w:cs="仿宋"/>
                <w:color w:val="auto"/>
                <w:sz w:val="24"/>
              </w:rPr>
              <w:t>小</w:t>
            </w:r>
            <w:r>
              <w:rPr>
                <w:rFonts w:ascii="仿宋" w:hAnsi="仿宋" w:eastAsia="仿宋" w:cs="仿宋"/>
                <w:color w:val="auto"/>
                <w:sz w:val="24"/>
              </w:rPr>
              <w:t>时</w:t>
            </w:r>
            <w:r>
              <w:rPr>
                <w:rFonts w:hint="eastAsia" w:ascii="仿宋" w:hAnsi="仿宋" w:eastAsia="仿宋" w:cs="仿宋"/>
                <w:color w:val="auto"/>
                <w:sz w:val="24"/>
              </w:rPr>
              <w:t>的</w:t>
            </w:r>
            <w:r>
              <w:rPr>
                <w:rFonts w:ascii="仿宋" w:hAnsi="仿宋" w:eastAsia="仿宋" w:cs="仿宋"/>
                <w:color w:val="auto"/>
                <w:sz w:val="24"/>
              </w:rPr>
              <w:t>不得分</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8</w:t>
            </w:r>
          </w:p>
        </w:tc>
        <w:tc>
          <w:tcPr>
            <w:tcW w:w="1872"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产品成份</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（5分）</w:t>
            </w:r>
          </w:p>
        </w:tc>
        <w:tc>
          <w:tcPr>
            <w:tcW w:w="6804" w:type="dxa"/>
            <w:vAlign w:val="center"/>
          </w:tcPr>
          <w:p>
            <w:pPr>
              <w:spacing w:line="276" w:lineRule="auto"/>
              <w:ind w:right="-113" w:rightChars="-54"/>
              <w:jc w:val="left"/>
              <w:rPr>
                <w:rFonts w:ascii="仿宋" w:hAnsi="仿宋" w:eastAsia="仿宋" w:cs="仿宋"/>
                <w:color w:val="auto"/>
                <w:sz w:val="24"/>
              </w:rPr>
            </w:pPr>
            <w:r>
              <w:rPr>
                <w:rFonts w:hint="eastAsia" w:ascii="仿宋" w:hAnsi="仿宋" w:eastAsia="仿宋" w:cs="仿宋"/>
                <w:color w:val="auto"/>
                <w:sz w:val="24"/>
              </w:rPr>
              <w:t>根据投标人所投产品的主要有效成份及其含量、适用范围等进行书面描述，需提供说明书、主要成份及适用范围等相关证明材料，0-5分。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9</w:t>
            </w:r>
          </w:p>
        </w:tc>
        <w:tc>
          <w:tcPr>
            <w:tcW w:w="1872"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产品质量</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（5分）</w:t>
            </w:r>
          </w:p>
        </w:tc>
        <w:tc>
          <w:tcPr>
            <w:tcW w:w="6804" w:type="dxa"/>
            <w:vAlign w:val="center"/>
          </w:tcPr>
          <w:p>
            <w:pPr>
              <w:spacing w:line="300" w:lineRule="exact"/>
              <w:jc w:val="left"/>
              <w:rPr>
                <w:rFonts w:ascii="仿宋" w:hAnsi="仿宋" w:eastAsia="仿宋" w:cs="仿宋"/>
                <w:color w:val="auto"/>
                <w:sz w:val="24"/>
                <w:szCs w:val="24"/>
              </w:rPr>
            </w:pPr>
            <w:r>
              <w:rPr>
                <w:rFonts w:hint="eastAsia" w:ascii="仿宋" w:hAnsi="仿宋" w:eastAsia="仿宋"/>
                <w:color w:val="auto"/>
                <w:sz w:val="24"/>
                <w:szCs w:val="24"/>
              </w:rPr>
              <w:t>对所投产品的操作便捷性、方便易用性进行评价打分，</w:t>
            </w:r>
            <w:r>
              <w:rPr>
                <w:rFonts w:ascii="仿宋" w:hAnsi="仿宋" w:eastAsia="仿宋"/>
                <w:color w:val="auto"/>
                <w:sz w:val="24"/>
                <w:szCs w:val="24"/>
              </w:rPr>
              <w:t>0-5</w:t>
            </w:r>
            <w:r>
              <w:rPr>
                <w:rFonts w:hint="eastAsia" w:ascii="仿宋" w:hAnsi="仿宋" w:eastAsia="仿宋"/>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color w:val="auto"/>
                <w:sz w:val="24"/>
              </w:rPr>
            </w:pPr>
            <w:r>
              <w:rPr>
                <w:rFonts w:ascii="仿宋" w:hAnsi="仿宋" w:eastAsia="仿宋" w:cs="仿宋"/>
                <w:color w:val="auto"/>
                <w:sz w:val="24"/>
              </w:rPr>
              <w:t>10</w:t>
            </w:r>
          </w:p>
        </w:tc>
        <w:tc>
          <w:tcPr>
            <w:tcW w:w="1872"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优惠条件</w:t>
            </w:r>
          </w:p>
          <w:p>
            <w:pPr>
              <w:spacing w:line="300" w:lineRule="exact"/>
              <w:jc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分）</w:t>
            </w:r>
          </w:p>
        </w:tc>
        <w:tc>
          <w:tcPr>
            <w:tcW w:w="6804" w:type="dxa"/>
            <w:vAlign w:val="center"/>
          </w:tcPr>
          <w:p>
            <w:pPr>
              <w:spacing w:line="300" w:lineRule="exact"/>
              <w:jc w:val="left"/>
              <w:rPr>
                <w:rFonts w:ascii="仿宋" w:hAnsi="仿宋" w:eastAsia="仿宋" w:cs="仿宋"/>
                <w:color w:val="auto"/>
                <w:sz w:val="24"/>
              </w:rPr>
            </w:pPr>
            <w:r>
              <w:rPr>
                <w:rFonts w:hint="eastAsia" w:ascii="仿宋" w:hAnsi="仿宋" w:eastAsia="仿宋" w:cs="仿宋"/>
                <w:color w:val="auto"/>
                <w:sz w:val="24"/>
              </w:rPr>
              <w:t>根据投标人提供的其它实质性优惠条件进行综合打分，每提供一个得2分，最高得</w:t>
            </w:r>
            <w:r>
              <w:rPr>
                <w:rFonts w:ascii="仿宋" w:hAnsi="仿宋" w:eastAsia="仿宋" w:cs="仿宋"/>
                <w:color w:val="auto"/>
                <w:sz w:val="24"/>
              </w:rPr>
              <w:t>6</w:t>
            </w:r>
            <w:r>
              <w:rPr>
                <w:rFonts w:hint="eastAsia" w:ascii="仿宋" w:hAnsi="仿宋" w:eastAsia="仿宋" w:cs="仿宋"/>
                <w:color w:val="auto"/>
                <w:sz w:val="24"/>
              </w:rPr>
              <w:t xml:space="preserve">分，不提供不得分。 </w:t>
            </w:r>
          </w:p>
        </w:tc>
      </w:tr>
    </w:tbl>
    <w:p>
      <w:pPr>
        <w:spacing w:line="440" w:lineRule="exact"/>
        <w:rPr>
          <w:rFonts w:ascii="仿宋" w:hAnsi="仿宋" w:eastAsia="仿宋" w:cs="仿宋"/>
          <w:sz w:val="20"/>
          <w:szCs w:val="20"/>
          <w:shd w:val="clear" w:color="auto" w:fill="FFFFFF"/>
        </w:rPr>
      </w:pPr>
    </w:p>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即：投标报价得分=(评标基准价／投标报价)×40</w:t>
      </w:r>
    </w:p>
    <w:p>
      <w:pPr>
        <w:snapToGrid w:val="0"/>
        <w:rPr>
          <w:rFonts w:ascii="仿宋" w:hAnsi="仿宋" w:eastAsia="仿宋" w:cs="仿宋"/>
          <w:b/>
          <w:sz w:val="24"/>
          <w:u w:val="single"/>
        </w:rPr>
      </w:pPr>
    </w:p>
    <w:bookmarkEnd w:id="4"/>
    <w:bookmarkEnd w:id="5"/>
    <w:bookmarkEnd w:id="6"/>
    <w:bookmarkEnd w:id="7"/>
    <w:p>
      <w:pPr>
        <w:snapToGrid w:val="0"/>
        <w:spacing w:line="360" w:lineRule="auto"/>
        <w:jc w:val="center"/>
        <w:rPr>
          <w:rFonts w:ascii="仿宋" w:hAnsi="仿宋" w:eastAsia="仿宋" w:cs="仿宋"/>
          <w:b/>
          <w:sz w:val="36"/>
          <w:szCs w:val="20"/>
        </w:rPr>
      </w:pPr>
    </w:p>
    <w:p>
      <w:pPr>
        <w:snapToGrid w:val="0"/>
        <w:spacing w:line="360" w:lineRule="auto"/>
        <w:jc w:val="center"/>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4"/>
        <w:spacing w:line="800" w:lineRule="atLeast"/>
        <w:ind w:left="0" w:leftChars="0"/>
        <w:rPr>
          <w:rFonts w:ascii="仿宋" w:hAnsi="仿宋" w:eastAsia="仿宋" w:cs="仿宋"/>
          <w:b/>
          <w:sz w:val="36"/>
          <w:szCs w:val="36"/>
        </w:rPr>
      </w:pPr>
    </w:p>
    <w:p>
      <w:pPr>
        <w:pStyle w:val="24"/>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绍兴市人民医院灭菌产品采购项目</w:t>
      </w:r>
      <w:r>
        <w:rPr>
          <w:rFonts w:hint="eastAsia" w:ascii="仿宋" w:hAnsi="仿宋" w:eastAsia="仿宋" w:cs="仿宋"/>
          <w:sz w:val="24"/>
        </w:rPr>
        <w:t xml:space="preserve">（招标编号: </w:t>
      </w:r>
      <w:r>
        <w:rPr>
          <w:rFonts w:hint="eastAsia" w:ascii="仿宋" w:hAnsi="仿宋" w:eastAsia="仿宋" w:cs="仿宋"/>
          <w:sz w:val="24"/>
          <w:lang w:eastAsia="zh-CN"/>
        </w:rPr>
        <w:t>HCSY-2024-006</w:t>
      </w:r>
      <w:r>
        <w:rPr>
          <w:rFonts w:hint="eastAsia" w:ascii="仿宋" w:hAnsi="仿宋" w:eastAsia="仿宋" w:cs="仿宋"/>
          <w:sz w:val="24"/>
        </w:rPr>
        <w:t xml:space="preserve">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14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1"/>
        <w:spacing w:line="336" w:lineRule="auto"/>
        <w:ind w:left="0" w:firstLine="0" w:firstLineChars="0"/>
        <w:rPr>
          <w:rFonts w:ascii="仿宋" w:eastAsia="仿宋" w:cs="仿宋"/>
        </w:rPr>
      </w:pPr>
      <w:r>
        <w:rPr>
          <w:rFonts w:hint="eastAsia" w:ascii="仿宋" w:eastAsia="仿宋" w:cs="仿宋"/>
        </w:rPr>
        <w:t>（1）投标函……………………………………………………………………… （页码）</w:t>
      </w:r>
    </w:p>
    <w:p>
      <w:pPr>
        <w:pStyle w:val="221"/>
        <w:spacing w:line="336" w:lineRule="auto"/>
        <w:ind w:left="0" w:firstLine="0" w:firstLineChars="0"/>
        <w:rPr>
          <w:rFonts w:ascii="仿宋" w:eastAsia="仿宋" w:cs="仿宋"/>
        </w:rPr>
      </w:pPr>
      <w:r>
        <w:rPr>
          <w:rFonts w:hint="eastAsia" w:ascii="仿宋" w:eastAsia="仿宋" w:cs="仿宋"/>
        </w:rPr>
        <w:t>（2）法定代表人授权书………………………………………………………… （页码）</w:t>
      </w:r>
    </w:p>
    <w:p>
      <w:pPr>
        <w:pStyle w:val="221"/>
        <w:spacing w:line="336" w:lineRule="auto"/>
        <w:ind w:left="0" w:firstLine="0" w:firstLineChars="0"/>
        <w:rPr>
          <w:rFonts w:ascii="仿宋" w:eastAsia="仿宋" w:cs="仿宋"/>
        </w:rPr>
      </w:pPr>
      <w:r>
        <w:rPr>
          <w:rFonts w:hint="eastAsia" w:ascii="仿宋" w:eastAsia="仿宋" w:cs="仿宋"/>
        </w:rPr>
        <w:t>（3）授权代表社保证明………………………………………………………… （页码）</w:t>
      </w:r>
    </w:p>
    <w:p>
      <w:pPr>
        <w:pStyle w:val="221"/>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pPr>
        <w:pStyle w:val="221"/>
        <w:spacing w:line="336" w:lineRule="auto"/>
        <w:ind w:left="0" w:firstLine="0" w:firstLineChars="0"/>
        <w:rPr>
          <w:rFonts w:ascii="仿宋" w:eastAsia="仿宋" w:cs="仿宋"/>
        </w:rPr>
      </w:pPr>
      <w:r>
        <w:rPr>
          <w:rFonts w:hint="eastAsia" w:ascii="仿宋" w:eastAsia="仿宋" w:cs="仿宋"/>
        </w:rPr>
        <w:t>（5）法定代表人身份证明书…………………………………………………… （页码）</w:t>
      </w:r>
    </w:p>
    <w:p>
      <w:pPr>
        <w:pStyle w:val="221"/>
        <w:spacing w:line="336" w:lineRule="auto"/>
        <w:ind w:left="0" w:firstLine="0" w:firstLineChars="0"/>
        <w:rPr>
          <w:rFonts w:ascii="仿宋" w:eastAsia="仿宋" w:cs="仿宋"/>
        </w:rPr>
      </w:pPr>
      <w:r>
        <w:rPr>
          <w:rFonts w:hint="eastAsia" w:ascii="仿宋" w:eastAsia="仿宋" w:cs="仿宋"/>
        </w:rPr>
        <w:t>（6）商务技术偏离表…………………………………………………………… （页码）</w:t>
      </w:r>
    </w:p>
    <w:p>
      <w:pPr>
        <w:pStyle w:val="221"/>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lang w:eastAsia="zh-CN"/>
        </w:rPr>
        <w:t>绍兴市人民医院灭菌产品采购项目</w:t>
      </w:r>
      <w:r>
        <w:rPr>
          <w:rFonts w:hint="eastAsia" w:ascii="仿宋" w:hAnsi="仿宋" w:eastAsia="仿宋" w:cs="仿宋"/>
          <w:u w:val="single"/>
        </w:rPr>
        <w:t>（招标编号:</w:t>
      </w:r>
      <w:r>
        <w:rPr>
          <w:rFonts w:hint="eastAsia" w:ascii="仿宋" w:hAnsi="仿宋" w:eastAsia="仿宋" w:cs="仿宋"/>
          <w:u w:val="single"/>
          <w:lang w:eastAsia="zh-CN"/>
        </w:rPr>
        <w:t>HCSY-2024-006</w:t>
      </w:r>
      <w:r>
        <w:rPr>
          <w:rFonts w:hint="eastAsia" w:ascii="仿宋" w:hAnsi="仿宋" w:eastAsia="仿宋" w:cs="仿宋"/>
          <w:u w:val="single"/>
        </w:rPr>
        <w:t>）</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97"/>
        <w:spacing w:after="120" w:line="336" w:lineRule="auto"/>
        <w:ind w:firstLine="480"/>
        <w:rPr>
          <w:rFonts w:ascii="仿宋" w:hAnsi="仿宋" w:eastAsia="仿宋" w:cs="仿宋"/>
          <w:szCs w:val="24"/>
        </w:rPr>
      </w:pP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绍兴市人民医院灭菌产品采购项目</w:t>
      </w:r>
      <w:r>
        <w:rPr>
          <w:rFonts w:hint="eastAsia" w:ascii="仿宋" w:hAnsi="仿宋" w:eastAsia="仿宋" w:cs="仿宋"/>
          <w:sz w:val="24"/>
          <w:u w:val="single"/>
        </w:rPr>
        <w:t>（招标编号:</w:t>
      </w:r>
      <w:r>
        <w:rPr>
          <w:rFonts w:hint="eastAsia" w:ascii="仿宋" w:hAnsi="仿宋" w:eastAsia="仿宋" w:cs="仿宋"/>
          <w:sz w:val="24"/>
          <w:u w:val="single"/>
          <w:lang w:eastAsia="zh-CN"/>
        </w:rPr>
        <w:t>HCSY-2024-006</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绍兴市人民医院灭菌产品采购项目</w:t>
      </w:r>
      <w:r>
        <w:rPr>
          <w:rFonts w:hint="eastAsia" w:ascii="仿宋" w:hAnsi="仿宋" w:eastAsia="仿宋" w:cs="仿宋"/>
          <w:sz w:val="24"/>
          <w:u w:val="single"/>
        </w:rPr>
        <w:t>（招标编号:</w:t>
      </w:r>
      <w:r>
        <w:rPr>
          <w:rFonts w:hint="eastAsia" w:ascii="仿宋" w:hAnsi="仿宋" w:eastAsia="仿宋" w:cs="仿宋"/>
          <w:sz w:val="24"/>
          <w:u w:val="single"/>
          <w:lang w:eastAsia="zh-CN"/>
        </w:rPr>
        <w:t>HCSY-2024-006</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22"/>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14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15"/>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绍兴市人民医院灭菌产品采购项目</w:t>
      </w:r>
      <w:r>
        <w:rPr>
          <w:rFonts w:hint="eastAsia" w:ascii="仿宋" w:hAnsi="仿宋" w:eastAsia="仿宋" w:cs="仿宋"/>
          <w:sz w:val="24"/>
        </w:rPr>
        <w:t>（招标编号:</w:t>
      </w:r>
      <w:r>
        <w:rPr>
          <w:rFonts w:hint="eastAsia" w:ascii="仿宋" w:hAnsi="仿宋" w:eastAsia="仿宋" w:cs="仿宋"/>
          <w:sz w:val="24"/>
          <w:lang w:eastAsia="zh-CN"/>
        </w:rPr>
        <w:t>HCSY-2024-006</w:t>
      </w:r>
      <w:r>
        <w:rPr>
          <w:rFonts w:hint="eastAsia" w:ascii="仿宋" w:hAnsi="仿宋" w:eastAsia="仿宋" w:cs="仿宋"/>
          <w:sz w:val="24"/>
        </w:rPr>
        <w:t>）的实施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p>
      <w:pPr>
        <w:spacing w:line="360" w:lineRule="auto"/>
        <w:jc w:val="left"/>
        <w:rPr>
          <w:rFonts w:hint="default" w:ascii="仿宋" w:hAnsi="仿宋" w:eastAsia="仿宋" w:cs="仿宋"/>
          <w:b/>
          <w:kern w:val="0"/>
          <w:sz w:val="24"/>
          <w:lang w:val="en-US" w:eastAsia="zh-CN"/>
        </w:rPr>
      </w:pPr>
      <w:r>
        <w:rPr>
          <w:rFonts w:hint="eastAsia" w:ascii="仿宋" w:hAnsi="仿宋" w:eastAsia="仿宋" w:cs="仿宋"/>
          <w:b/>
          <w:kern w:val="0"/>
          <w:sz w:val="24"/>
          <w:lang w:val="en-US" w:eastAsia="zh-CN"/>
        </w:rPr>
        <w:t>标项：</w:t>
      </w:r>
      <w:r>
        <w:rPr>
          <w:rFonts w:hint="eastAsia" w:ascii="仿宋" w:hAnsi="仿宋" w:eastAsia="仿宋" w:cs="仿宋"/>
          <w:b/>
          <w:kern w:val="0"/>
          <w:sz w:val="24"/>
          <w:u w:val="single"/>
          <w:lang w:val="en-US" w:eastAsia="zh-CN"/>
        </w:rPr>
        <w:t xml:space="preserve">          </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rPr>
          <w:rFonts w:ascii="仿宋" w:hAnsi="仿宋" w:eastAsia="仿宋" w:cs="仿宋"/>
          <w:b/>
          <w:color w:val="FF0000"/>
          <w:kern w:val="0"/>
          <w:sz w:val="24"/>
        </w:rPr>
      </w:pPr>
      <w:r>
        <w:rPr>
          <w:rFonts w:hint="eastAsia" w:ascii="仿宋" w:hAnsi="仿宋" w:eastAsia="仿宋" w:cs="仿宋"/>
          <w:b/>
          <w:kern w:val="0"/>
          <w:sz w:val="24"/>
        </w:rPr>
        <w:t xml:space="preserve">    </w:t>
      </w:r>
      <w:r>
        <w:rPr>
          <w:rFonts w:hint="eastAsia" w:ascii="仿宋" w:hAnsi="仿宋" w:eastAsia="仿宋" w:cs="仿宋"/>
          <w:b/>
          <w:color w:val="FF0000"/>
          <w:kern w:val="0"/>
          <w:sz w:val="24"/>
        </w:rPr>
        <w:t>注1：</w:t>
      </w:r>
      <w:r>
        <w:rPr>
          <w:rFonts w:hint="eastAsia" w:ascii="仿宋" w:hAnsi="仿宋" w:eastAsia="仿宋" w:cs="仿宋_GB2312"/>
          <w:b/>
          <w:color w:val="FF0000"/>
          <w:kern w:val="0"/>
          <w:sz w:val="24"/>
          <w:lang w:val="zh-CN"/>
        </w:rPr>
        <w:t>产品投标单</w:t>
      </w:r>
      <w:r>
        <w:rPr>
          <w:rFonts w:ascii="仿宋" w:hAnsi="仿宋" w:eastAsia="仿宋" w:cs="仿宋_GB2312"/>
          <w:b/>
          <w:color w:val="FF0000"/>
          <w:kern w:val="0"/>
          <w:sz w:val="24"/>
          <w:lang w:val="zh-CN"/>
        </w:rPr>
        <w:t>价</w:t>
      </w:r>
      <w:r>
        <w:rPr>
          <w:rFonts w:hint="eastAsia" w:ascii="仿宋" w:hAnsi="仿宋" w:eastAsia="仿宋" w:cs="仿宋_GB2312"/>
          <w:b/>
          <w:color w:val="FF0000"/>
          <w:kern w:val="0"/>
          <w:sz w:val="24"/>
          <w:lang w:val="zh-CN"/>
        </w:rPr>
        <w:t>高于</w:t>
      </w:r>
      <w:r>
        <w:rPr>
          <w:rFonts w:ascii="仿宋" w:hAnsi="仿宋" w:eastAsia="仿宋" w:cs="仿宋_GB2312"/>
          <w:b/>
          <w:color w:val="FF0000"/>
          <w:kern w:val="0"/>
          <w:sz w:val="24"/>
          <w:lang w:val="zh-CN"/>
        </w:rPr>
        <w:t>医院</w:t>
      </w:r>
      <w:r>
        <w:rPr>
          <w:rFonts w:hint="eastAsia" w:ascii="仿宋" w:hAnsi="仿宋" w:eastAsia="仿宋" w:cs="仿宋_GB2312"/>
          <w:b/>
          <w:color w:val="FF0000"/>
          <w:kern w:val="0"/>
          <w:sz w:val="24"/>
          <w:lang w:val="zh-CN"/>
        </w:rPr>
        <w:t>上限单</w:t>
      </w:r>
      <w:r>
        <w:rPr>
          <w:rFonts w:ascii="仿宋" w:hAnsi="仿宋" w:eastAsia="仿宋" w:cs="仿宋_GB2312"/>
          <w:b/>
          <w:color w:val="FF0000"/>
          <w:kern w:val="0"/>
          <w:sz w:val="24"/>
          <w:lang w:val="zh-CN"/>
        </w:rPr>
        <w:t>价的</w:t>
      </w:r>
      <w:r>
        <w:rPr>
          <w:rFonts w:hint="eastAsia" w:ascii="仿宋" w:hAnsi="仿宋" w:eastAsia="仿宋" w:cs="仿宋_GB2312"/>
          <w:b/>
          <w:color w:val="FF0000"/>
          <w:kern w:val="0"/>
          <w:sz w:val="24"/>
          <w:lang w:val="zh-CN"/>
        </w:rPr>
        <w:t>作为无效投标处理。</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r>
        <w:rPr>
          <w:rFonts w:hint="eastAsia" w:ascii="仿宋" w:hAnsi="仿宋" w:eastAsia="仿宋" w:cs="仿宋"/>
          <w:b/>
          <w:kern w:val="0"/>
          <w:sz w:val="24"/>
        </w:rPr>
        <w:t>2</w:t>
      </w:r>
      <w:r>
        <w:rPr>
          <w:rFonts w:hint="eastAsia" w:ascii="仿宋" w:hAnsi="仿宋" w:eastAsia="仿宋" w:cs="仿宋"/>
          <w:b/>
          <w:kern w:val="0"/>
          <w:sz w:val="24"/>
          <w:lang w:val="zh-CN"/>
        </w:rPr>
        <w:t>：</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8" w:name="_Hlk101259491"/>
      <w:r>
        <w:rPr>
          <w:rFonts w:hint="eastAsia" w:ascii="仿宋" w:hAnsi="仿宋" w:eastAsia="仿宋" w:cs="仿宋"/>
          <w:sz w:val="32"/>
          <w:szCs w:val="32"/>
        </w:rPr>
        <w:t>（如果有）</w:t>
      </w:r>
      <w:bookmarkEnd w:id="158"/>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ascii="仿宋" w:hAnsi="仿宋" w:eastAsia="仿宋" w:cs="仿宋"/>
          <w:b/>
          <w:color w:val="auto"/>
        </w:rPr>
      </w:pPr>
    </w:p>
    <w:p>
      <w:pPr>
        <w:pStyle w:val="315"/>
        <w:rPr>
          <w:rFonts w:ascii="仿宋" w:hAnsi="仿宋" w:eastAsia="仿宋" w:cs="仿宋"/>
          <w:b/>
          <w:sz w:val="24"/>
        </w:rPr>
      </w:pPr>
    </w:p>
    <w:p>
      <w:pPr>
        <w:rPr>
          <w:rFonts w:ascii="仿宋" w:hAnsi="仿宋" w:eastAsia="仿宋" w:cs="仿宋"/>
          <w:b/>
          <w:sz w:val="24"/>
        </w:rPr>
      </w:pPr>
    </w:p>
    <w:p>
      <w:pPr>
        <w:pStyle w:val="140"/>
        <w:rPr>
          <w:rFonts w:ascii="仿宋" w:hAnsi="仿宋" w:eastAsia="仿宋" w:cs="仿宋"/>
          <w:b/>
          <w:color w:val="auto"/>
        </w:rPr>
      </w:pPr>
    </w:p>
    <w:p>
      <w:pPr>
        <w:pStyle w:val="315"/>
        <w:rPr>
          <w:rFonts w:ascii="仿宋" w:hAnsi="仿宋" w:eastAsia="仿宋" w:cs="仿宋"/>
        </w:rPr>
      </w:pPr>
    </w:p>
    <w:p>
      <w:pPr>
        <w:pStyle w:val="315"/>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140"/>
        <w:widowControl/>
        <w:spacing w:line="360" w:lineRule="auto"/>
        <w:ind w:firstLine="120" w:firstLineChars="50"/>
        <w:rPr>
          <w:rFonts w:ascii="仿宋" w:hAnsi="仿宋" w:eastAsia="仿宋" w:cs="仿宋"/>
          <w:b/>
          <w:color w:val="auto"/>
        </w:rPr>
      </w:pPr>
    </w:p>
    <w:p>
      <w:pPr>
        <w:pStyle w:val="315"/>
        <w:spacing w:line="360" w:lineRule="auto"/>
        <w:ind w:left="0" w:firstLine="120" w:firstLineChars="50"/>
        <w:jc w:val="left"/>
        <w:rPr>
          <w:rFonts w:ascii="仿宋" w:hAnsi="仿宋" w:eastAsia="仿宋" w:cs="仿宋"/>
          <w:b/>
          <w:sz w:val="24"/>
        </w:rPr>
      </w:pPr>
    </w:p>
    <w:p>
      <w:pPr>
        <w:pStyle w:val="218"/>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59" w:name="_Toc465665161"/>
      <w:r>
        <w:rPr>
          <w:rFonts w:hint="eastAsia" w:ascii="仿宋" w:hAnsi="仿宋" w:eastAsia="仿宋" w:cs="仿宋"/>
        </w:rPr>
        <w:t>附件</w:t>
      </w:r>
      <w:bookmarkEnd w:id="159"/>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14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6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0"/>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1"/>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b/>
          <w:spacing w:val="6"/>
          <w:sz w:val="32"/>
          <w:szCs w:val="32"/>
        </w:rPr>
      </w:pPr>
    </w:p>
    <w:p>
      <w:pP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rPr>
      </w:pPr>
    </w:p>
    <w:p>
      <w:pPr>
        <w:spacing w:line="360" w:lineRule="auto"/>
        <w:rPr>
          <w:rFonts w:ascii="仿宋" w:hAnsi="仿宋" w:eastAsia="仿宋" w:cs="仿宋"/>
          <w:b/>
          <w:spacing w:val="6"/>
          <w:sz w:val="32"/>
          <w:szCs w:val="32"/>
        </w:rPr>
      </w:pPr>
      <w:bookmarkStart w:id="162" w:name="OLE_LINK13"/>
      <w:bookmarkStart w:id="163" w:name="OLE_LINK14"/>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62"/>
    <w:bookmarkEnd w:id="163"/>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3AB7844"/>
    <w:multiLevelType w:val="multilevel"/>
    <w:tmpl w:val="03AB78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7DB0248"/>
    <w:multiLevelType w:val="multilevel"/>
    <w:tmpl w:val="07DB02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6FE98588"/>
    <w:multiLevelType w:val="singleLevel"/>
    <w:tmpl w:val="6FE98588"/>
    <w:lvl w:ilvl="0" w:tentative="0">
      <w:start w:val="1"/>
      <w:numFmt w:val="decimal"/>
      <w:suff w:val="nothing"/>
      <w:lvlText w:val="（%1）"/>
      <w:lvlJc w:val="left"/>
    </w:lvl>
  </w:abstractNum>
  <w:num w:numId="1">
    <w:abstractNumId w:val="7"/>
  </w:num>
  <w:num w:numId="2">
    <w:abstractNumId w:val="3"/>
  </w:num>
  <w:num w:numId="3">
    <w:abstractNumId w:val="2"/>
  </w:num>
  <w:num w:numId="4">
    <w:abstractNumId w:val="8"/>
  </w:num>
  <w:num w:numId="5">
    <w:abstractNumId w:val="1"/>
  </w:num>
  <w:num w:numId="6">
    <w:abstractNumId w:val="9"/>
  </w:num>
  <w:num w:numId="7">
    <w:abstractNumId w:val="0"/>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2186A33"/>
    <w:rsid w:val="02820350"/>
    <w:rsid w:val="03C862ED"/>
    <w:rsid w:val="04B8274F"/>
    <w:rsid w:val="04F32F1E"/>
    <w:rsid w:val="050F5BE2"/>
    <w:rsid w:val="052052E9"/>
    <w:rsid w:val="0614418F"/>
    <w:rsid w:val="06E05361"/>
    <w:rsid w:val="06E8168C"/>
    <w:rsid w:val="0A6F3777"/>
    <w:rsid w:val="0B996E37"/>
    <w:rsid w:val="0C566F3C"/>
    <w:rsid w:val="0C600DE7"/>
    <w:rsid w:val="0C7B29E0"/>
    <w:rsid w:val="0D943643"/>
    <w:rsid w:val="0FC03ECB"/>
    <w:rsid w:val="12E1536A"/>
    <w:rsid w:val="13EB29FA"/>
    <w:rsid w:val="14132899"/>
    <w:rsid w:val="14BC7601"/>
    <w:rsid w:val="19CF064A"/>
    <w:rsid w:val="1B207089"/>
    <w:rsid w:val="1BBF69D0"/>
    <w:rsid w:val="1D1044FE"/>
    <w:rsid w:val="215F5FD5"/>
    <w:rsid w:val="25832EDA"/>
    <w:rsid w:val="25986BD5"/>
    <w:rsid w:val="262F57FF"/>
    <w:rsid w:val="2651306C"/>
    <w:rsid w:val="27E82557"/>
    <w:rsid w:val="294D3355"/>
    <w:rsid w:val="2989420F"/>
    <w:rsid w:val="2A6C50BF"/>
    <w:rsid w:val="2AC43C1C"/>
    <w:rsid w:val="2B25495E"/>
    <w:rsid w:val="2B3E0FD4"/>
    <w:rsid w:val="2B697E73"/>
    <w:rsid w:val="2C014D5C"/>
    <w:rsid w:val="2D246AFA"/>
    <w:rsid w:val="2D5E1836"/>
    <w:rsid w:val="2E1F10B4"/>
    <w:rsid w:val="2EC604E1"/>
    <w:rsid w:val="2FA54326"/>
    <w:rsid w:val="30907F59"/>
    <w:rsid w:val="31997B93"/>
    <w:rsid w:val="345D0B3F"/>
    <w:rsid w:val="359238FC"/>
    <w:rsid w:val="362B6676"/>
    <w:rsid w:val="37CE1367"/>
    <w:rsid w:val="397E08D1"/>
    <w:rsid w:val="3988184A"/>
    <w:rsid w:val="3A39340F"/>
    <w:rsid w:val="3BE237FA"/>
    <w:rsid w:val="3CD532AE"/>
    <w:rsid w:val="40F7503B"/>
    <w:rsid w:val="41816A18"/>
    <w:rsid w:val="45C73FC5"/>
    <w:rsid w:val="47287B2B"/>
    <w:rsid w:val="476867B5"/>
    <w:rsid w:val="480E5EDB"/>
    <w:rsid w:val="4A513E5D"/>
    <w:rsid w:val="4A6B3037"/>
    <w:rsid w:val="4D2B308B"/>
    <w:rsid w:val="4DA753F5"/>
    <w:rsid w:val="4E41243B"/>
    <w:rsid w:val="505A68FA"/>
    <w:rsid w:val="525C5344"/>
    <w:rsid w:val="529C6374"/>
    <w:rsid w:val="53083527"/>
    <w:rsid w:val="53940F7C"/>
    <w:rsid w:val="56FE5C92"/>
    <w:rsid w:val="57540BD5"/>
    <w:rsid w:val="587D3144"/>
    <w:rsid w:val="5E224037"/>
    <w:rsid w:val="5E5162ED"/>
    <w:rsid w:val="5EB10F16"/>
    <w:rsid w:val="603217C2"/>
    <w:rsid w:val="61B336CF"/>
    <w:rsid w:val="62AC0373"/>
    <w:rsid w:val="62EC6150"/>
    <w:rsid w:val="62F87114"/>
    <w:rsid w:val="63144A8C"/>
    <w:rsid w:val="65184F95"/>
    <w:rsid w:val="65DC08D3"/>
    <w:rsid w:val="669026FE"/>
    <w:rsid w:val="68D12D45"/>
    <w:rsid w:val="6A261A93"/>
    <w:rsid w:val="6B757B61"/>
    <w:rsid w:val="6C272818"/>
    <w:rsid w:val="6E7837FF"/>
    <w:rsid w:val="6EDB63E4"/>
    <w:rsid w:val="6F5E29F5"/>
    <w:rsid w:val="701A0B7B"/>
    <w:rsid w:val="71C81281"/>
    <w:rsid w:val="71F648F1"/>
    <w:rsid w:val="726C4EFD"/>
    <w:rsid w:val="72E87C49"/>
    <w:rsid w:val="73AD2E8B"/>
    <w:rsid w:val="76FB6D08"/>
    <w:rsid w:val="78884595"/>
    <w:rsid w:val="7D6A4E96"/>
    <w:rsid w:val="7DD81BC4"/>
    <w:rsid w:val="7DFBB8BB"/>
    <w:rsid w:val="7E161FF2"/>
    <w:rsid w:val="7E5616D1"/>
    <w:rsid w:val="7E632CCC"/>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next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customStyle="1" w:styleId="80">
    <w:name w:val="标题 1 字符1"/>
    <w:link w:val="2"/>
    <w:autoRedefine/>
    <w:qFormat/>
    <w:uiPriority w:val="9"/>
    <w:rPr>
      <w:rFonts w:eastAsia="仿宋_GB2312"/>
      <w:b/>
      <w:kern w:val="44"/>
      <w:sz w:val="44"/>
      <w:lang w:val="en-US" w:eastAsia="zh-CN" w:bidi="ar-SA"/>
    </w:rPr>
  </w:style>
  <w:style w:type="character" w:customStyle="1" w:styleId="81">
    <w:name w:val="正文缩进 字符2"/>
    <w:link w:val="5"/>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字符1"/>
    <w:link w:val="3"/>
    <w:autoRedefine/>
    <w:qFormat/>
    <w:uiPriority w:val="0"/>
    <w:rPr>
      <w:rFonts w:ascii="Arial" w:hAnsi="Arial" w:eastAsia="黑体"/>
      <w:b/>
      <w:kern w:val="2"/>
      <w:sz w:val="32"/>
      <w:lang w:val="en-US" w:eastAsia="zh-CN" w:bidi="ar-SA"/>
    </w:rPr>
  </w:style>
  <w:style w:type="character" w:customStyle="1" w:styleId="84">
    <w:name w:val="标题 3 字符1"/>
    <w:link w:val="4"/>
    <w:autoRedefine/>
    <w:qFormat/>
    <w:uiPriority w:val="0"/>
    <w:rPr>
      <w:rFonts w:eastAsia="仿宋_GB2312"/>
      <w:b/>
      <w:kern w:val="2"/>
      <w:sz w:val="32"/>
      <w:lang w:val="en-US" w:eastAsia="zh-CN" w:bidi="ar-SA"/>
    </w:rPr>
  </w:style>
  <w:style w:type="character" w:customStyle="1" w:styleId="85">
    <w:name w:val="标题 4 字符1"/>
    <w:link w:val="6"/>
    <w:autoRedefine/>
    <w:qFormat/>
    <w:uiPriority w:val="9"/>
    <w:rPr>
      <w:rFonts w:ascii="Arial" w:hAnsi="Arial" w:eastAsia="黑体"/>
      <w:b/>
      <w:kern w:val="2"/>
      <w:sz w:val="28"/>
      <w:lang w:val="en-US" w:eastAsia="zh-CN" w:bidi="ar-SA"/>
    </w:rPr>
  </w:style>
  <w:style w:type="character" w:customStyle="1" w:styleId="86">
    <w:name w:val="标题 5 字符"/>
    <w:link w:val="7"/>
    <w:autoRedefine/>
    <w:qFormat/>
    <w:uiPriority w:val="0"/>
    <w:rPr>
      <w:rFonts w:eastAsia="宋体"/>
      <w:sz w:val="24"/>
      <w:lang w:val="en-US" w:eastAsia="zh-CN" w:bidi="ar-SA"/>
    </w:rPr>
  </w:style>
  <w:style w:type="character" w:customStyle="1" w:styleId="87">
    <w:name w:val="标题 6 字符"/>
    <w:link w:val="8"/>
    <w:autoRedefine/>
    <w:qFormat/>
    <w:uiPriority w:val="0"/>
    <w:rPr>
      <w:rFonts w:ascii="宋体" w:hAnsi="Arial" w:eastAsia="宋体"/>
      <w:sz w:val="24"/>
      <w:lang w:val="en-US" w:eastAsia="zh-CN" w:bidi="ar-SA"/>
    </w:rPr>
  </w:style>
  <w:style w:type="character" w:customStyle="1" w:styleId="88">
    <w:name w:val="标题 7 字符"/>
    <w:link w:val="9"/>
    <w:autoRedefine/>
    <w:qFormat/>
    <w:uiPriority w:val="0"/>
    <w:rPr>
      <w:rFonts w:ascii="宋体" w:hAnsi="Arial" w:eastAsia="宋体"/>
      <w:b/>
      <w:sz w:val="24"/>
      <w:lang w:val="en-US" w:eastAsia="zh-CN" w:bidi="ar-SA"/>
    </w:rPr>
  </w:style>
  <w:style w:type="character" w:customStyle="1" w:styleId="89">
    <w:name w:val="标题 8 字符"/>
    <w:link w:val="10"/>
    <w:autoRedefine/>
    <w:qFormat/>
    <w:uiPriority w:val="0"/>
    <w:rPr>
      <w:rFonts w:ascii="Arial" w:hAnsi="Arial" w:eastAsia="黑体"/>
      <w:sz w:val="24"/>
      <w:lang w:val="en-US" w:eastAsia="zh-CN" w:bidi="ar-SA"/>
    </w:rPr>
  </w:style>
  <w:style w:type="character" w:customStyle="1" w:styleId="90">
    <w:name w:val="标题 9 字符"/>
    <w:link w:val="11"/>
    <w:autoRedefine/>
    <w:qFormat/>
    <w:uiPriority w:val="0"/>
    <w:rPr>
      <w:rFonts w:ascii="Arial" w:hAnsi="Arial" w:eastAsia="黑体"/>
      <w:sz w:val="24"/>
      <w:lang w:val="en-US" w:eastAsia="zh-CN" w:bidi="ar-SA"/>
    </w:rPr>
  </w:style>
  <w:style w:type="character" w:customStyle="1" w:styleId="91">
    <w:name w:val="纯文本 字符1"/>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字符1"/>
    <w:link w:val="24"/>
    <w:autoRedefine/>
    <w:qFormat/>
    <w:uiPriority w:val="0"/>
    <w:rPr>
      <w:rFonts w:eastAsia="宋体"/>
      <w:kern w:val="2"/>
      <w:sz w:val="21"/>
      <w:szCs w:val="24"/>
      <w:lang w:val="en-US" w:eastAsia="zh-CN" w:bidi="ar-SA"/>
    </w:rPr>
  </w:style>
  <w:style w:type="character" w:customStyle="1" w:styleId="94">
    <w:name w:val="日期 字符"/>
    <w:link w:val="35"/>
    <w:autoRedefine/>
    <w:qFormat/>
    <w:uiPriority w:val="0"/>
    <w:rPr>
      <w:rFonts w:ascii="楷体_GB2312" w:eastAsia="楷体_GB2312"/>
      <w:b/>
      <w:kern w:val="2"/>
      <w:sz w:val="28"/>
      <w:lang w:val="en-US" w:eastAsia="zh-CN" w:bidi="ar-SA"/>
    </w:rPr>
  </w:style>
  <w:style w:type="character" w:customStyle="1" w:styleId="95">
    <w:name w:val="页眉 字符2"/>
    <w:link w:val="40"/>
    <w:autoRedefine/>
    <w:qFormat/>
    <w:uiPriority w:val="0"/>
    <w:rPr>
      <w:rFonts w:eastAsia="宋体"/>
      <w:kern w:val="2"/>
      <w:sz w:val="18"/>
      <w:szCs w:val="18"/>
      <w:lang w:val="en-US" w:eastAsia="zh-CN" w:bidi="ar-SA"/>
    </w:rPr>
  </w:style>
  <w:style w:type="character" w:customStyle="1" w:styleId="96">
    <w:name w:val="页脚 字符2"/>
    <w:link w:val="39"/>
    <w:autoRedefine/>
    <w:qFormat/>
    <w:locked/>
    <w:uiPriority w:val="0"/>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字符1"/>
    <w:link w:val="19"/>
    <w:autoRedefine/>
    <w:qFormat/>
    <w:uiPriority w:val="0"/>
    <w:rPr>
      <w:rFonts w:eastAsia="宋体"/>
      <w:kern w:val="2"/>
      <w:sz w:val="21"/>
      <w:szCs w:val="24"/>
      <w:lang w:val="en-US" w:eastAsia="zh-CN" w:bidi="ar-SA"/>
    </w:rPr>
  </w:style>
  <w:style w:type="character" w:customStyle="1" w:styleId="100">
    <w:name w:val="正文文本 2 字符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6"/>
    <w:autoRedefine/>
    <w:qFormat/>
    <w:locked/>
    <w:uiPriority w:val="99"/>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字符"/>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5"/>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99"/>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9"/>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0"/>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2"/>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99"/>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字符1"/>
    <w:basedOn w:val="70"/>
    <w:link w:val="38"/>
    <w:autoRedefine/>
    <w:qFormat/>
    <w:uiPriority w:val="0"/>
    <w:rPr>
      <w:kern w:val="2"/>
      <w:sz w:val="18"/>
      <w:szCs w:val="18"/>
    </w:rPr>
  </w:style>
  <w:style w:type="character" w:customStyle="1" w:styleId="227">
    <w:name w:val="正文文本缩进 3 字符"/>
    <w:basedOn w:val="70"/>
    <w:link w:val="52"/>
    <w:autoRedefine/>
    <w:qFormat/>
    <w:uiPriority w:val="0"/>
    <w:rPr>
      <w:kern w:val="2"/>
      <w:sz w:val="16"/>
      <w:szCs w:val="16"/>
    </w:rPr>
  </w:style>
  <w:style w:type="character" w:customStyle="1" w:styleId="228">
    <w:name w:val="HTML 预设格式 字符"/>
    <w:basedOn w:val="70"/>
    <w:link w:val="57"/>
    <w:autoRedefine/>
    <w:qFormat/>
    <w:uiPriority w:val="0"/>
    <w:rPr>
      <w:rFonts w:ascii="黑体" w:hAnsi="Courier New" w:eastAsia="黑体" w:cs="Courier New"/>
    </w:rPr>
  </w:style>
  <w:style w:type="character" w:customStyle="1" w:styleId="229">
    <w:name w:val="批注主题 字符"/>
    <w:basedOn w:val="196"/>
    <w:link w:val="60"/>
    <w:autoRedefine/>
    <w:qFormat/>
    <w:uiPriority w:val="0"/>
    <w:rPr>
      <w:rFonts w:eastAsia="宋体"/>
      <w:b/>
      <w:bCs/>
      <w:kern w:val="2"/>
      <w:sz w:val="24"/>
      <w:szCs w:val="24"/>
      <w:lang w:val="en-US" w:eastAsia="zh-CN" w:bidi="ar-SA"/>
    </w:rPr>
  </w:style>
  <w:style w:type="character" w:customStyle="1" w:styleId="230">
    <w:name w:val="正文首行缩进 字符"/>
    <w:basedOn w:val="191"/>
    <w:link w:val="61"/>
    <w:autoRedefine/>
    <w:qFormat/>
    <w:uiPriority w:val="0"/>
    <w:rPr>
      <w:rFonts w:eastAsia="仿宋_GB2312"/>
      <w:kern w:val="2"/>
      <w:sz w:val="21"/>
      <w:szCs w:val="24"/>
      <w:lang w:val="en-US" w:eastAsia="zh-CN" w:bidi="ar-SA"/>
    </w:rPr>
  </w:style>
  <w:style w:type="character" w:customStyle="1" w:styleId="231">
    <w:name w:val="正文首行缩进 2 字符"/>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0"/>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0"/>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0"/>
    <w:autoRedefine/>
    <w:qFormat/>
    <w:uiPriority w:val="0"/>
    <w:rPr>
      <w:rFonts w:ascii="仿宋_GB2312" w:eastAsia="仿宋_GB2312"/>
      <w:kern w:val="2"/>
      <w:sz w:val="28"/>
    </w:rPr>
  </w:style>
  <w:style w:type="character" w:customStyle="1" w:styleId="317">
    <w:name w:val="正文文本 3 字符"/>
    <w:basedOn w:val="70"/>
    <w:link w:val="21"/>
    <w:autoRedefine/>
    <w:qFormat/>
    <w:uiPriority w:val="0"/>
    <w:rPr>
      <w:kern w:val="2"/>
      <w:sz w:val="21"/>
    </w:rPr>
  </w:style>
  <w:style w:type="character" w:customStyle="1" w:styleId="318">
    <w:name w:val="HTML 地址 字符"/>
    <w:basedOn w:val="70"/>
    <w:link w:val="29"/>
    <w:autoRedefine/>
    <w:qFormat/>
    <w:uiPriority w:val="0"/>
    <w:rPr>
      <w:rFonts w:ascii="宋体" w:hAnsi="宋体"/>
      <w:i/>
      <w:iCs/>
      <w:sz w:val="24"/>
      <w:szCs w:val="24"/>
    </w:rPr>
  </w:style>
  <w:style w:type="character" w:customStyle="1" w:styleId="319">
    <w:name w:val="尾注文本 字符"/>
    <w:basedOn w:val="70"/>
    <w:link w:val="37"/>
    <w:autoRedefine/>
    <w:qFormat/>
    <w:uiPriority w:val="0"/>
    <w:rPr>
      <w:kern w:val="2"/>
      <w:sz w:val="21"/>
      <w:szCs w:val="24"/>
      <w:lang w:val="zh-CN"/>
    </w:rPr>
  </w:style>
  <w:style w:type="character" w:customStyle="1" w:styleId="320">
    <w:name w:val="签名 字符"/>
    <w:basedOn w:val="70"/>
    <w:link w:val="41"/>
    <w:autoRedefine/>
    <w:qFormat/>
    <w:uiPriority w:val="0"/>
    <w:rPr>
      <w:rFonts w:eastAsia="仿宋_GB2312"/>
      <w:sz w:val="24"/>
    </w:rPr>
  </w:style>
  <w:style w:type="character" w:customStyle="1" w:styleId="321">
    <w:name w:val="副标题 字符"/>
    <w:basedOn w:val="70"/>
    <w:link w:val="46"/>
    <w:autoRedefine/>
    <w:qFormat/>
    <w:uiPriority w:val="0"/>
    <w:rPr>
      <w:rFonts w:ascii="Arial" w:hAnsi="Arial" w:eastAsia="隶书"/>
      <w:b/>
      <w:bCs/>
      <w:kern w:val="28"/>
      <w:sz w:val="44"/>
      <w:szCs w:val="32"/>
    </w:rPr>
  </w:style>
  <w:style w:type="character" w:customStyle="1" w:styleId="322">
    <w:name w:val="脚注文本 字符"/>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1"/>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autoRedefine/>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8389</Words>
  <Characters>47818</Characters>
  <Lines>398</Lines>
  <Paragraphs>112</Paragraphs>
  <TotalTime>1</TotalTime>
  <ScaleCrop>false</ScaleCrop>
  <LinksUpToDate>false</LinksUpToDate>
  <CharactersWithSpaces>56095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2024-04-24T08:35:47Z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