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A7743">
      <w:pPr>
        <w:adjustRightInd w:val="0"/>
        <w:snapToGrid w:val="0"/>
        <w:spacing w:line="600" w:lineRule="exact"/>
        <w:rPr>
          <w:rFonts w:ascii="仿宋" w:hAnsi="仿宋" w:eastAsia="仿宋" w:cs="仿宋"/>
          <w:b/>
          <w:color w:val="auto"/>
          <w:kern w:val="0"/>
          <w:sz w:val="48"/>
          <w:szCs w:val="48"/>
          <w:highlight w:val="none"/>
        </w:rPr>
      </w:pPr>
    </w:p>
    <w:p w14:paraId="72CFBE17">
      <w:pPr>
        <w:widowControl/>
        <w:spacing w:line="900" w:lineRule="exact"/>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湖州市生态环境局</w:t>
      </w:r>
    </w:p>
    <w:p w14:paraId="7FC87458">
      <w:pPr>
        <w:widowControl/>
        <w:spacing w:line="900" w:lineRule="exact"/>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湖州市2025</w:t>
      </w:r>
      <w:r>
        <w:rPr>
          <w:rFonts w:hint="eastAsia" w:ascii="仿宋" w:hAnsi="仿宋" w:eastAsia="仿宋" w:cs="仿宋"/>
          <w:b/>
          <w:bCs/>
          <w:color w:val="auto"/>
          <w:sz w:val="52"/>
          <w:szCs w:val="52"/>
          <w:highlight w:val="none"/>
          <w:lang w:val="en-US" w:eastAsia="zh-CN"/>
        </w:rPr>
        <w:t>年度</w:t>
      </w:r>
      <w:r>
        <w:rPr>
          <w:rFonts w:hint="eastAsia" w:ascii="仿宋" w:hAnsi="仿宋" w:eastAsia="仿宋" w:cs="仿宋"/>
          <w:b/>
          <w:bCs/>
          <w:color w:val="auto"/>
          <w:sz w:val="52"/>
          <w:szCs w:val="52"/>
          <w:highlight w:val="none"/>
          <w:lang w:eastAsia="zh-CN"/>
        </w:rPr>
        <w:t>大气综合技术服务项目</w:t>
      </w:r>
    </w:p>
    <w:p w14:paraId="67A725EB">
      <w:pPr>
        <w:widowControl/>
        <w:spacing w:line="900" w:lineRule="exact"/>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52"/>
          <w:szCs w:val="52"/>
          <w:highlight w:val="none"/>
          <w:lang w:eastAsia="zh-CN"/>
        </w:rPr>
        <w:t xml:space="preserve"> </w:t>
      </w:r>
      <w:r>
        <w:rPr>
          <w:rFonts w:hint="eastAsia" w:ascii="仿宋" w:hAnsi="仿宋" w:eastAsia="仿宋" w:cs="仿宋"/>
          <w:color w:val="auto"/>
          <w:sz w:val="30"/>
          <w:szCs w:val="30"/>
          <w:highlight w:val="none"/>
        </w:rPr>
        <w:t>（财政审批编号:</w:t>
      </w:r>
      <w:r>
        <w:rPr>
          <w:rFonts w:hint="eastAsia" w:ascii="仿宋" w:hAnsi="仿宋" w:eastAsia="仿宋" w:cs="仿宋"/>
          <w:color w:val="auto"/>
          <w:sz w:val="30"/>
          <w:szCs w:val="30"/>
          <w:highlight w:val="none"/>
          <w:lang w:val="en-US" w:eastAsia="zh-CN"/>
        </w:rPr>
        <w:t>湖</w:t>
      </w:r>
      <w:r>
        <w:rPr>
          <w:rFonts w:hint="eastAsia" w:ascii="仿宋" w:hAnsi="仿宋" w:eastAsia="仿宋" w:cs="仿宋"/>
          <w:color w:val="auto"/>
          <w:sz w:val="30"/>
          <w:szCs w:val="30"/>
          <w:highlight w:val="none"/>
        </w:rPr>
        <w:t>财采确[2025]</w:t>
      </w:r>
      <w:r>
        <w:rPr>
          <w:rFonts w:hint="eastAsia" w:ascii="仿宋" w:hAnsi="仿宋" w:eastAsia="仿宋" w:cs="仿宋"/>
          <w:color w:val="auto"/>
          <w:sz w:val="30"/>
          <w:szCs w:val="30"/>
          <w:highlight w:val="none"/>
          <w:lang w:val="en-US" w:eastAsia="zh-CN"/>
        </w:rPr>
        <w:t>12505、12506</w:t>
      </w:r>
      <w:r>
        <w:rPr>
          <w:rFonts w:hint="eastAsia" w:ascii="仿宋" w:hAnsi="仿宋" w:eastAsia="仿宋" w:cs="仿宋"/>
          <w:color w:val="auto"/>
          <w:sz w:val="30"/>
          <w:szCs w:val="30"/>
          <w:highlight w:val="none"/>
        </w:rPr>
        <w:t>号）</w:t>
      </w:r>
    </w:p>
    <w:p w14:paraId="7368345F">
      <w:pPr>
        <w:adjustRightInd w:val="0"/>
        <w:snapToGrid w:val="0"/>
        <w:spacing w:line="600" w:lineRule="exact"/>
        <w:rPr>
          <w:rFonts w:ascii="仿宋" w:hAnsi="仿宋" w:eastAsia="仿宋" w:cs="仿宋"/>
          <w:b/>
          <w:snapToGrid w:val="0"/>
          <w:color w:val="auto"/>
          <w:sz w:val="84"/>
          <w:szCs w:val="84"/>
          <w:highlight w:val="none"/>
        </w:rPr>
      </w:pPr>
    </w:p>
    <w:p w14:paraId="28091951">
      <w:pPr>
        <w:adjustRightInd w:val="0"/>
        <w:snapToGrid w:val="0"/>
        <w:spacing w:line="600" w:lineRule="exact"/>
        <w:jc w:val="center"/>
        <w:rPr>
          <w:rFonts w:ascii="仿宋" w:hAnsi="仿宋" w:eastAsia="仿宋" w:cs="仿宋"/>
          <w:b/>
          <w:snapToGrid w:val="0"/>
          <w:color w:val="auto"/>
          <w:sz w:val="84"/>
          <w:szCs w:val="84"/>
          <w:highlight w:val="none"/>
        </w:rPr>
      </w:pPr>
    </w:p>
    <w:p w14:paraId="2A15F75B">
      <w:pPr>
        <w:pStyle w:val="36"/>
        <w:rPr>
          <w:color w:val="auto"/>
          <w:highlight w:val="none"/>
        </w:rPr>
      </w:pPr>
    </w:p>
    <w:p w14:paraId="0C71BD83">
      <w:pPr>
        <w:adjustRightInd w:val="0"/>
        <w:snapToGrid w:val="0"/>
        <w:spacing w:line="800" w:lineRule="atLeast"/>
        <w:jc w:val="center"/>
        <w:rPr>
          <w:rFonts w:ascii="仿宋" w:hAnsi="仿宋" w:eastAsia="仿宋" w:cs="仿宋"/>
          <w:b/>
          <w:snapToGrid w:val="0"/>
          <w:color w:val="auto"/>
          <w:sz w:val="84"/>
          <w:szCs w:val="84"/>
          <w:highlight w:val="none"/>
        </w:rPr>
      </w:pPr>
      <w:r>
        <w:rPr>
          <w:rFonts w:hint="eastAsia" w:ascii="仿宋" w:hAnsi="仿宋" w:eastAsia="仿宋" w:cs="仿宋"/>
          <w:b/>
          <w:snapToGrid w:val="0"/>
          <w:color w:val="auto"/>
          <w:sz w:val="72"/>
          <w:szCs w:val="72"/>
          <w:highlight w:val="none"/>
        </w:rPr>
        <w:t>竞争性磋商文件</w:t>
      </w:r>
    </w:p>
    <w:p w14:paraId="3F977E89">
      <w:pPr>
        <w:adjustRightInd w:val="0"/>
        <w:snapToGrid w:val="0"/>
        <w:spacing w:line="500" w:lineRule="exact"/>
        <w:jc w:val="center"/>
        <w:rPr>
          <w:rFonts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（全流程电子）</w:t>
      </w:r>
    </w:p>
    <w:p w14:paraId="2EAC172E">
      <w:pPr>
        <w:adjustRightInd w:val="0"/>
        <w:snapToGrid w:val="0"/>
        <w:spacing w:line="500" w:lineRule="exact"/>
        <w:rPr>
          <w:rFonts w:ascii="仿宋" w:hAnsi="仿宋" w:eastAsia="仿宋" w:cs="仿宋"/>
          <w:bCs/>
          <w:snapToGrid w:val="0"/>
          <w:color w:val="auto"/>
          <w:sz w:val="32"/>
          <w:highlight w:val="none"/>
        </w:rPr>
      </w:pPr>
    </w:p>
    <w:p w14:paraId="2805FDE3">
      <w:pPr>
        <w:adjustRightInd w:val="0"/>
        <w:snapToGrid w:val="0"/>
        <w:spacing w:line="500" w:lineRule="exact"/>
        <w:rPr>
          <w:rFonts w:ascii="仿宋" w:hAnsi="仿宋" w:eastAsia="仿宋" w:cs="仿宋"/>
          <w:bCs/>
          <w:snapToGrid w:val="0"/>
          <w:color w:val="auto"/>
          <w:sz w:val="32"/>
          <w:highlight w:val="none"/>
        </w:rPr>
      </w:pPr>
    </w:p>
    <w:p w14:paraId="37B6EF27">
      <w:pPr>
        <w:adjustRightInd w:val="0"/>
        <w:snapToGrid w:val="0"/>
        <w:spacing w:line="500" w:lineRule="exact"/>
        <w:rPr>
          <w:rFonts w:ascii="仿宋" w:hAnsi="仿宋" w:eastAsia="仿宋" w:cs="仿宋"/>
          <w:bCs/>
          <w:snapToGrid w:val="0"/>
          <w:color w:val="auto"/>
          <w:sz w:val="32"/>
          <w:highlight w:val="none"/>
        </w:rPr>
      </w:pPr>
    </w:p>
    <w:p w14:paraId="4BB5CF2A">
      <w:pPr>
        <w:adjustRightInd w:val="0"/>
        <w:snapToGrid w:val="0"/>
        <w:spacing w:line="640" w:lineRule="exact"/>
        <w:ind w:firstLine="281" w:firstLineChars="100"/>
        <w:rPr>
          <w:rFonts w:ascii="仿宋" w:hAnsi="仿宋" w:eastAsia="仿宋" w:cs="仿宋"/>
          <w:snapToGrid w:val="0"/>
          <w:color w:val="auto"/>
          <w:sz w:val="28"/>
          <w:szCs w:val="28"/>
          <w:highlight w:val="none"/>
          <w:u w:val="single"/>
        </w:rPr>
      </w:pPr>
      <w:r>
        <w:rPr>
          <w:rFonts w:hint="eastAsia" w:ascii="仿宋" w:hAnsi="仿宋" w:eastAsia="仿宋" w:cs="仿宋"/>
          <w:b/>
          <w:snapToGrid w:val="0"/>
          <w:color w:val="auto"/>
          <w:sz w:val="28"/>
          <w:szCs w:val="28"/>
          <w:highlight w:val="none"/>
        </w:rPr>
        <w:t>项目编号</w:t>
      </w:r>
      <w:r>
        <w:rPr>
          <w:rFonts w:hint="eastAsia" w:ascii="仿宋" w:hAnsi="仿宋" w:eastAsia="仿宋" w:cs="仿宋"/>
          <w:snapToGrid w:val="0"/>
          <w:color w:val="auto"/>
          <w:sz w:val="28"/>
          <w:szCs w:val="28"/>
          <w:highlight w:val="none"/>
        </w:rPr>
        <w:t>：</w:t>
      </w:r>
      <w:r>
        <w:rPr>
          <w:rFonts w:hint="eastAsia" w:ascii="仿宋" w:hAnsi="仿宋" w:eastAsia="仿宋" w:cs="仿宋"/>
          <w:snapToGrid w:val="0"/>
          <w:color w:val="auto"/>
          <w:sz w:val="28"/>
          <w:szCs w:val="28"/>
          <w:highlight w:val="none"/>
          <w:u w:val="single"/>
        </w:rPr>
        <w:t>XCXHZ-2025-0</w:t>
      </w:r>
      <w:r>
        <w:rPr>
          <w:rFonts w:hint="eastAsia" w:ascii="仿宋" w:hAnsi="仿宋" w:eastAsia="仿宋" w:cs="仿宋"/>
          <w:snapToGrid w:val="0"/>
          <w:color w:val="auto"/>
          <w:sz w:val="28"/>
          <w:szCs w:val="28"/>
          <w:highlight w:val="none"/>
          <w:u w:val="single"/>
          <w:lang w:val="en-US" w:eastAsia="zh-CN"/>
        </w:rPr>
        <w:t>37</w:t>
      </w:r>
      <w:r>
        <w:rPr>
          <w:rFonts w:hint="eastAsia" w:ascii="仿宋" w:hAnsi="仿宋" w:eastAsia="仿宋" w:cs="仿宋"/>
          <w:snapToGrid w:val="0"/>
          <w:color w:val="auto"/>
          <w:sz w:val="28"/>
          <w:szCs w:val="28"/>
          <w:highlight w:val="none"/>
          <w:u w:val="single"/>
        </w:rPr>
        <w:t xml:space="preserve">（CG）                                        </w:t>
      </w:r>
    </w:p>
    <w:p w14:paraId="70C075A7">
      <w:pPr>
        <w:adjustRightInd w:val="0"/>
        <w:snapToGrid w:val="0"/>
        <w:spacing w:line="600" w:lineRule="exact"/>
        <w:ind w:firstLine="281" w:firstLineChars="100"/>
        <w:rPr>
          <w:rFonts w:ascii="仿宋" w:hAnsi="仿宋" w:eastAsia="仿宋" w:cs="仿宋"/>
          <w:snapToGrid w:val="0"/>
          <w:color w:val="auto"/>
          <w:sz w:val="28"/>
          <w:szCs w:val="28"/>
          <w:highlight w:val="none"/>
          <w:u w:val="single"/>
        </w:rPr>
      </w:pPr>
      <w:r>
        <w:rPr>
          <w:rFonts w:hint="eastAsia" w:ascii="仿宋" w:hAnsi="仿宋" w:eastAsia="仿宋" w:cs="仿宋"/>
          <w:b/>
          <w:snapToGrid w:val="0"/>
          <w:color w:val="auto"/>
          <w:sz w:val="28"/>
          <w:szCs w:val="28"/>
          <w:highlight w:val="none"/>
        </w:rPr>
        <w:t>项目名称：</w:t>
      </w:r>
      <w:r>
        <w:rPr>
          <w:rFonts w:hint="eastAsia" w:ascii="仿宋" w:hAnsi="仿宋" w:eastAsia="仿宋" w:cs="仿宋"/>
          <w:snapToGrid w:val="0"/>
          <w:color w:val="auto"/>
          <w:sz w:val="28"/>
          <w:szCs w:val="28"/>
          <w:highlight w:val="none"/>
          <w:u w:val="single"/>
          <w:lang w:eastAsia="zh-CN"/>
        </w:rPr>
        <w:t>湖州市2025</w:t>
      </w:r>
      <w:r>
        <w:rPr>
          <w:rFonts w:hint="eastAsia" w:ascii="仿宋" w:hAnsi="仿宋" w:eastAsia="仿宋" w:cs="仿宋"/>
          <w:snapToGrid w:val="0"/>
          <w:color w:val="auto"/>
          <w:sz w:val="28"/>
          <w:szCs w:val="28"/>
          <w:highlight w:val="none"/>
          <w:u w:val="single"/>
          <w:lang w:val="en-US" w:eastAsia="zh-CN"/>
        </w:rPr>
        <w:t>年度</w:t>
      </w:r>
      <w:r>
        <w:rPr>
          <w:rFonts w:hint="eastAsia" w:ascii="仿宋" w:hAnsi="仿宋" w:eastAsia="仿宋" w:cs="仿宋"/>
          <w:snapToGrid w:val="0"/>
          <w:color w:val="auto"/>
          <w:sz w:val="28"/>
          <w:szCs w:val="28"/>
          <w:highlight w:val="none"/>
          <w:u w:val="single"/>
          <w:lang w:eastAsia="zh-CN"/>
        </w:rPr>
        <w:t xml:space="preserve">大气综合技术服务项目 </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w:t>
      </w:r>
      <w:r>
        <w:rPr>
          <w:rFonts w:hint="eastAsia" w:ascii="仿宋" w:hAnsi="仿宋" w:eastAsia="仿宋" w:cs="仿宋"/>
          <w:snapToGrid w:val="0"/>
          <w:color w:val="auto"/>
          <w:sz w:val="28"/>
          <w:szCs w:val="28"/>
          <w:highlight w:val="none"/>
          <w:u w:val="single"/>
          <w:lang w:val="en-US" w:eastAsia="zh-CN"/>
        </w:rPr>
        <w:t xml:space="preserve">       </w:t>
      </w:r>
      <w:r>
        <w:rPr>
          <w:rFonts w:hint="eastAsia" w:ascii="仿宋" w:hAnsi="仿宋" w:eastAsia="仿宋" w:cs="仿宋"/>
          <w:snapToGrid w:val="0"/>
          <w:color w:val="auto"/>
          <w:sz w:val="28"/>
          <w:szCs w:val="28"/>
          <w:highlight w:val="none"/>
          <w:u w:val="single"/>
        </w:rPr>
        <w:t xml:space="preserve">   </w:t>
      </w:r>
    </w:p>
    <w:p w14:paraId="2FC0CCEA">
      <w:pPr>
        <w:pStyle w:val="2"/>
        <w:keepNext w:val="0"/>
        <w:keepLines w:val="0"/>
        <w:widowControl/>
        <w:spacing w:line="600" w:lineRule="exact"/>
        <w:ind w:firstLine="281" w:firstLineChars="100"/>
        <w:jc w:val="left"/>
        <w:rPr>
          <w:rFonts w:ascii="仿宋" w:hAnsi="仿宋" w:eastAsia="仿宋" w:cs="仿宋"/>
          <w:b w:val="0"/>
          <w:bCs w:val="0"/>
          <w:snapToGrid w:val="0"/>
          <w:color w:val="auto"/>
          <w:kern w:val="2"/>
          <w:sz w:val="28"/>
          <w:szCs w:val="28"/>
          <w:highlight w:val="none"/>
          <w:u w:val="single"/>
        </w:rPr>
      </w:pPr>
      <w:r>
        <w:rPr>
          <w:rFonts w:hint="eastAsia" w:ascii="仿宋" w:hAnsi="仿宋" w:eastAsia="仿宋" w:cs="仿宋"/>
          <w:snapToGrid w:val="0"/>
          <w:color w:val="auto"/>
          <w:sz w:val="28"/>
          <w:szCs w:val="28"/>
          <w:highlight w:val="none"/>
        </w:rPr>
        <w:t>采购单位：</w:t>
      </w:r>
      <w:r>
        <w:rPr>
          <w:rFonts w:hint="eastAsia" w:ascii="仿宋" w:hAnsi="仿宋" w:eastAsia="仿宋" w:cs="仿宋"/>
          <w:b w:val="0"/>
          <w:bCs w:val="0"/>
          <w:snapToGrid w:val="0"/>
          <w:color w:val="auto"/>
          <w:kern w:val="2"/>
          <w:sz w:val="28"/>
          <w:szCs w:val="28"/>
          <w:highlight w:val="none"/>
          <w:u w:val="single"/>
          <w:lang w:eastAsia="zh-CN"/>
        </w:rPr>
        <w:t>湖州市生态环境局</w:t>
      </w:r>
      <w:r>
        <w:rPr>
          <w:rFonts w:hint="eastAsia" w:ascii="仿宋" w:hAnsi="仿宋" w:eastAsia="仿宋" w:cs="仿宋"/>
          <w:b w:val="0"/>
          <w:bCs w:val="0"/>
          <w:snapToGrid w:val="0"/>
          <w:color w:val="auto"/>
          <w:kern w:val="2"/>
          <w:sz w:val="28"/>
          <w:szCs w:val="28"/>
          <w:highlight w:val="none"/>
          <w:u w:val="single"/>
        </w:rPr>
        <w:t xml:space="preserve">                          </w:t>
      </w:r>
      <w:r>
        <w:rPr>
          <w:rFonts w:hint="eastAsia" w:ascii="仿宋" w:hAnsi="仿宋" w:eastAsia="仿宋" w:cs="仿宋"/>
          <w:b w:val="0"/>
          <w:bCs w:val="0"/>
          <w:snapToGrid w:val="0"/>
          <w:color w:val="auto"/>
          <w:kern w:val="2"/>
          <w:sz w:val="28"/>
          <w:szCs w:val="28"/>
          <w:highlight w:val="none"/>
          <w:u w:val="single"/>
          <w:lang w:val="en-US" w:eastAsia="zh-CN"/>
        </w:rPr>
        <w:t xml:space="preserve">      </w:t>
      </w:r>
      <w:r>
        <w:rPr>
          <w:rFonts w:hint="eastAsia" w:ascii="仿宋" w:hAnsi="仿宋" w:eastAsia="仿宋" w:cs="仿宋"/>
          <w:b w:val="0"/>
          <w:bCs w:val="0"/>
          <w:snapToGrid w:val="0"/>
          <w:color w:val="auto"/>
          <w:kern w:val="2"/>
          <w:sz w:val="28"/>
          <w:szCs w:val="28"/>
          <w:highlight w:val="none"/>
          <w:u w:val="single"/>
        </w:rPr>
        <w:t xml:space="preserve"> （盖章）</w:t>
      </w:r>
    </w:p>
    <w:p w14:paraId="015E5412">
      <w:pPr>
        <w:adjustRightInd w:val="0"/>
        <w:snapToGrid w:val="0"/>
        <w:spacing w:line="640" w:lineRule="exact"/>
        <w:ind w:firstLine="281" w:firstLineChars="100"/>
        <w:rPr>
          <w:rFonts w:ascii="仿宋" w:hAnsi="仿宋" w:eastAsia="仿宋" w:cs="仿宋"/>
          <w:bCs/>
          <w:snapToGrid w:val="0"/>
          <w:color w:val="auto"/>
          <w:sz w:val="28"/>
          <w:szCs w:val="28"/>
          <w:highlight w:val="none"/>
        </w:rPr>
      </w:pPr>
      <w:r>
        <w:rPr>
          <w:rFonts w:hint="eastAsia" w:ascii="仿宋" w:hAnsi="仿宋" w:eastAsia="仿宋" w:cs="仿宋"/>
          <w:b/>
          <w:snapToGrid w:val="0"/>
          <w:color w:val="auto"/>
          <w:sz w:val="28"/>
          <w:szCs w:val="28"/>
          <w:highlight w:val="none"/>
        </w:rPr>
        <w:t>代理机构：</w:t>
      </w:r>
      <w:r>
        <w:rPr>
          <w:rFonts w:hint="eastAsia" w:ascii="仿宋" w:hAnsi="仿宋" w:eastAsia="仿宋" w:cs="仿宋"/>
          <w:snapToGrid w:val="0"/>
          <w:color w:val="auto"/>
          <w:sz w:val="28"/>
          <w:szCs w:val="28"/>
          <w:highlight w:val="none"/>
          <w:u w:val="single"/>
        </w:rPr>
        <w:t>浙江新诚信工程咨询有限公司                       （盖章）</w:t>
      </w:r>
    </w:p>
    <w:p w14:paraId="46ABAF27">
      <w:pPr>
        <w:spacing w:line="640" w:lineRule="exact"/>
        <w:jc w:val="center"/>
        <w:rPr>
          <w:rFonts w:ascii="仿宋" w:hAnsi="仿宋" w:eastAsia="仿宋" w:cs="仿宋"/>
          <w:b/>
          <w:snapToGrid w:val="0"/>
          <w:color w:val="auto"/>
          <w:sz w:val="30"/>
          <w:szCs w:val="30"/>
          <w:highlight w:val="none"/>
        </w:rPr>
      </w:pPr>
    </w:p>
    <w:p w14:paraId="5AC72233">
      <w:pPr>
        <w:pStyle w:val="12"/>
        <w:rPr>
          <w:color w:val="auto"/>
          <w:highlight w:val="none"/>
        </w:rPr>
      </w:pPr>
    </w:p>
    <w:p w14:paraId="29586035">
      <w:pPr>
        <w:spacing w:line="640" w:lineRule="exact"/>
        <w:jc w:val="center"/>
        <w:rPr>
          <w:rFonts w:ascii="仿宋" w:hAnsi="仿宋" w:eastAsia="仿宋" w:cs="仿宋"/>
          <w:b/>
          <w:color w:val="auto"/>
          <w:sz w:val="30"/>
          <w:szCs w:val="30"/>
          <w:highlight w:val="none"/>
        </w:rPr>
      </w:pPr>
      <w:r>
        <w:rPr>
          <w:rFonts w:hint="eastAsia" w:ascii="仿宋" w:hAnsi="仿宋" w:eastAsia="仿宋" w:cs="仿宋"/>
          <w:b/>
          <w:snapToGrid w:val="0"/>
          <w:color w:val="auto"/>
          <w:sz w:val="30"/>
          <w:szCs w:val="30"/>
          <w:highlight w:val="none"/>
        </w:rPr>
        <w:t>2025年</w:t>
      </w:r>
      <w:r>
        <w:rPr>
          <w:rFonts w:hint="eastAsia" w:ascii="仿宋" w:hAnsi="仿宋" w:eastAsia="仿宋" w:cs="仿宋"/>
          <w:b/>
          <w:snapToGrid w:val="0"/>
          <w:color w:val="auto"/>
          <w:sz w:val="30"/>
          <w:szCs w:val="30"/>
          <w:highlight w:val="none"/>
          <w:lang w:val="en-US" w:eastAsia="zh-CN"/>
        </w:rPr>
        <w:t>7</w:t>
      </w:r>
      <w:r>
        <w:rPr>
          <w:rFonts w:hint="eastAsia" w:ascii="仿宋" w:hAnsi="仿宋" w:eastAsia="仿宋" w:cs="仿宋"/>
          <w:b/>
          <w:snapToGrid w:val="0"/>
          <w:color w:val="auto"/>
          <w:sz w:val="30"/>
          <w:szCs w:val="30"/>
          <w:highlight w:val="none"/>
        </w:rPr>
        <w:t>月</w:t>
      </w:r>
    </w:p>
    <w:p w14:paraId="03AEEB0E">
      <w:pPr>
        <w:rPr>
          <w:rFonts w:ascii="仿宋" w:hAnsi="仿宋" w:eastAsia="仿宋" w:cs="仿宋"/>
          <w:b/>
          <w:color w:val="auto"/>
          <w:sz w:val="44"/>
          <w:szCs w:val="44"/>
          <w:highlight w:val="none"/>
        </w:rPr>
      </w:pPr>
    </w:p>
    <w:p w14:paraId="4E674C19">
      <w:pPr>
        <w:jc w:val="center"/>
        <w:rPr>
          <w:rFonts w:ascii="仿宋" w:hAnsi="仿宋" w:eastAsia="仿宋" w:cs="仿宋"/>
          <w:b/>
          <w:color w:val="auto"/>
          <w:sz w:val="44"/>
          <w:szCs w:val="44"/>
          <w:highlight w:val="none"/>
        </w:rPr>
        <w:sectPr>
          <w:headerReference r:id="rId3" w:type="default"/>
          <w:footerReference r:id="rId4" w:type="default"/>
          <w:pgSz w:w="11906" w:h="16838"/>
          <w:pgMar w:top="1134" w:right="1134" w:bottom="1134" w:left="1134" w:header="113" w:footer="113" w:gutter="0"/>
          <w:cols w:space="0" w:num="1"/>
          <w:titlePg/>
          <w:docGrid w:linePitch="312" w:charSpace="0"/>
        </w:sectPr>
      </w:pPr>
    </w:p>
    <w:p w14:paraId="48FE200E">
      <w:pPr>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11FEAEA4">
      <w:pPr>
        <w:adjustRightInd w:val="0"/>
        <w:snapToGrid w:val="0"/>
        <w:spacing w:line="360" w:lineRule="auto"/>
        <w:rPr>
          <w:rFonts w:ascii="仿宋" w:hAnsi="仿宋" w:eastAsia="仿宋" w:cs="仿宋"/>
          <w:color w:val="auto"/>
          <w:sz w:val="30"/>
          <w:szCs w:val="30"/>
          <w:highlight w:val="none"/>
        </w:rPr>
      </w:pPr>
    </w:p>
    <w:p w14:paraId="6095AB82">
      <w:pPr>
        <w:numPr>
          <w:ilvl w:val="0"/>
          <w:numId w:val="2"/>
        </w:numPr>
        <w:adjustRightInd w:val="0"/>
        <w:snapToGrid w:val="0"/>
        <w:spacing w:line="700" w:lineRule="exact"/>
        <w:jc w:val="distribute"/>
        <w:rPr>
          <w:rFonts w:ascii="仿宋" w:hAnsi="仿宋" w:eastAsia="仿宋" w:cs="仿宋"/>
          <w:b/>
          <w:bCs/>
          <w:color w:val="auto"/>
          <w:sz w:val="30"/>
          <w:szCs w:val="30"/>
          <w:highlight w:val="none"/>
        </w:rPr>
      </w:pPr>
      <w:r>
        <w:rPr>
          <w:rFonts w:hint="eastAsia" w:ascii="仿宋" w:hAnsi="仿宋" w:eastAsia="仿宋" w:cs="仿宋"/>
          <w:b/>
          <w:color w:val="auto"/>
          <w:sz w:val="30"/>
          <w:szCs w:val="30"/>
          <w:highlight w:val="none"/>
        </w:rPr>
        <w:t>竞争性磋商公告</w:t>
      </w:r>
      <w:r>
        <w:rPr>
          <w:rFonts w:hint="eastAsia" w:ascii="仿宋" w:hAnsi="仿宋" w:eastAsia="仿宋" w:cs="仿宋"/>
          <w:b/>
          <w:bCs/>
          <w:color w:val="auto"/>
          <w:sz w:val="30"/>
          <w:szCs w:val="30"/>
          <w:highlight w:val="none"/>
        </w:rPr>
        <w:t>……………………………………………01</w:t>
      </w:r>
    </w:p>
    <w:p w14:paraId="6FFACA64">
      <w:pPr>
        <w:numPr>
          <w:ilvl w:val="0"/>
          <w:numId w:val="2"/>
        </w:numPr>
        <w:adjustRightInd w:val="0"/>
        <w:snapToGrid w:val="0"/>
        <w:spacing w:line="700" w:lineRule="exact"/>
        <w:jc w:val="distribute"/>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项目采购需求………………………………………0</w:t>
      </w:r>
      <w:r>
        <w:rPr>
          <w:rFonts w:hint="eastAsia" w:ascii="仿宋" w:hAnsi="仿宋" w:eastAsia="仿宋" w:cs="仿宋"/>
          <w:b/>
          <w:bCs/>
          <w:color w:val="auto"/>
          <w:sz w:val="30"/>
          <w:szCs w:val="30"/>
          <w:highlight w:val="none"/>
          <w:lang w:val="en-US" w:eastAsia="zh-CN"/>
        </w:rPr>
        <w:t>6</w:t>
      </w:r>
    </w:p>
    <w:p w14:paraId="7C38D3C2">
      <w:pPr>
        <w:adjustRightInd w:val="0"/>
        <w:snapToGrid w:val="0"/>
        <w:spacing w:line="700" w:lineRule="exact"/>
        <w:jc w:val="distribute"/>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第三章 供应商须知…………………………………………………</w:t>
      </w:r>
      <w:r>
        <w:rPr>
          <w:rFonts w:hint="eastAsia" w:ascii="仿宋" w:hAnsi="仿宋" w:eastAsia="仿宋" w:cs="仿宋"/>
          <w:b/>
          <w:bCs/>
          <w:color w:val="auto"/>
          <w:sz w:val="30"/>
          <w:szCs w:val="30"/>
          <w:highlight w:val="none"/>
          <w:lang w:val="en-US" w:eastAsia="zh-CN"/>
        </w:rPr>
        <w:t>08</w:t>
      </w:r>
      <w:r>
        <w:rPr>
          <w:rFonts w:hint="eastAsia" w:ascii="仿宋" w:hAnsi="仿宋" w:eastAsia="仿宋" w:cs="仿宋"/>
          <w:color w:val="auto"/>
          <w:sz w:val="30"/>
          <w:szCs w:val="30"/>
          <w:highlight w:val="none"/>
        </w:rPr>
        <w:t xml:space="preserve">      </w:t>
      </w:r>
    </w:p>
    <w:p w14:paraId="09A49F9E">
      <w:pPr>
        <w:adjustRightInd w:val="0"/>
        <w:snapToGrid w:val="0"/>
        <w:spacing w:line="700" w:lineRule="exact"/>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第四章 合同主要条款………………………………………………</w:t>
      </w:r>
      <w:r>
        <w:rPr>
          <w:rFonts w:hint="eastAsia" w:ascii="仿宋" w:hAnsi="仿宋" w:eastAsia="仿宋" w:cs="仿宋"/>
          <w:b/>
          <w:bCs/>
          <w:color w:val="auto"/>
          <w:sz w:val="30"/>
          <w:szCs w:val="30"/>
          <w:highlight w:val="none"/>
          <w:lang w:val="en-US" w:eastAsia="zh-CN"/>
        </w:rPr>
        <w:t>25</w:t>
      </w:r>
    </w:p>
    <w:p w14:paraId="32729509">
      <w:pPr>
        <w:adjustRightInd w:val="0"/>
        <w:snapToGrid w:val="0"/>
        <w:spacing w:line="700" w:lineRule="exact"/>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第五章 响应文件格式………………………………………………</w:t>
      </w:r>
      <w:r>
        <w:rPr>
          <w:rFonts w:hint="eastAsia" w:ascii="仿宋" w:hAnsi="仿宋" w:eastAsia="仿宋" w:cs="仿宋"/>
          <w:b/>
          <w:bCs/>
          <w:color w:val="auto"/>
          <w:sz w:val="30"/>
          <w:szCs w:val="30"/>
          <w:highlight w:val="none"/>
          <w:lang w:val="en-US" w:eastAsia="zh-CN"/>
        </w:rPr>
        <w:t>29</w:t>
      </w:r>
    </w:p>
    <w:p w14:paraId="37234DD6">
      <w:pPr>
        <w:adjustRightInd w:val="0"/>
        <w:snapToGrid w:val="0"/>
        <w:spacing w:line="700" w:lineRule="exact"/>
        <w:jc w:val="distribute"/>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第六章 磋商办法及评分标准………………………………………</w:t>
      </w:r>
      <w:r>
        <w:rPr>
          <w:rFonts w:hint="eastAsia" w:ascii="仿宋" w:hAnsi="仿宋" w:eastAsia="仿宋" w:cs="仿宋"/>
          <w:b/>
          <w:color w:val="auto"/>
          <w:sz w:val="30"/>
          <w:szCs w:val="30"/>
          <w:highlight w:val="none"/>
          <w:lang w:val="en-US" w:eastAsia="zh-CN"/>
        </w:rPr>
        <w:t>45</w:t>
      </w:r>
    </w:p>
    <w:p w14:paraId="1BB13A20">
      <w:pPr>
        <w:spacing w:line="600" w:lineRule="exact"/>
        <w:rPr>
          <w:rFonts w:ascii="仿宋" w:hAnsi="仿宋" w:eastAsia="仿宋" w:cs="仿宋"/>
          <w:color w:val="auto"/>
          <w:sz w:val="30"/>
          <w:szCs w:val="30"/>
          <w:highlight w:val="none"/>
        </w:rPr>
      </w:pPr>
    </w:p>
    <w:p w14:paraId="759E5754">
      <w:pPr>
        <w:spacing w:line="600" w:lineRule="exact"/>
        <w:rPr>
          <w:rFonts w:ascii="仿宋" w:hAnsi="仿宋" w:eastAsia="仿宋" w:cs="仿宋"/>
          <w:b/>
          <w:color w:val="auto"/>
          <w:sz w:val="36"/>
          <w:szCs w:val="36"/>
          <w:highlight w:val="none"/>
        </w:rPr>
      </w:pPr>
    </w:p>
    <w:p w14:paraId="28AFCF4B">
      <w:pPr>
        <w:spacing w:line="600" w:lineRule="exact"/>
        <w:rPr>
          <w:rFonts w:ascii="仿宋" w:hAnsi="仿宋" w:eastAsia="仿宋" w:cs="仿宋"/>
          <w:b/>
          <w:color w:val="auto"/>
          <w:sz w:val="36"/>
          <w:szCs w:val="36"/>
          <w:highlight w:val="none"/>
        </w:rPr>
      </w:pPr>
    </w:p>
    <w:p w14:paraId="3D52EC12">
      <w:pPr>
        <w:numPr>
          <w:ilvl w:val="0"/>
          <w:numId w:val="3"/>
        </w:numPr>
        <w:spacing w:line="600" w:lineRule="exact"/>
        <w:jc w:val="center"/>
        <w:outlineLvl w:val="0"/>
        <w:rPr>
          <w:rFonts w:ascii="仿宋" w:hAnsi="仿宋" w:eastAsia="仿宋" w:cs="仿宋"/>
          <w:b/>
          <w:color w:val="auto"/>
          <w:sz w:val="36"/>
          <w:szCs w:val="36"/>
          <w:highlight w:val="none"/>
        </w:rPr>
        <w:sectPr>
          <w:footerReference r:id="rId6" w:type="first"/>
          <w:footerReference r:id="rId5" w:type="default"/>
          <w:pgSz w:w="11906" w:h="16838"/>
          <w:pgMar w:top="1134" w:right="1247" w:bottom="1134" w:left="1247" w:header="113" w:footer="113" w:gutter="0"/>
          <w:cols w:space="720" w:num="1"/>
          <w:titlePg/>
          <w:docGrid w:linePitch="312" w:charSpace="0"/>
        </w:sectPr>
      </w:pPr>
    </w:p>
    <w:p w14:paraId="60CA566F">
      <w:pPr>
        <w:numPr>
          <w:ilvl w:val="0"/>
          <w:numId w:val="3"/>
        </w:numPr>
        <w:spacing w:line="600" w:lineRule="exact"/>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竞争性磋商公告</w:t>
      </w:r>
    </w:p>
    <w:p w14:paraId="2F0A2A3B">
      <w:pPr>
        <w:spacing w:line="500" w:lineRule="exact"/>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（本项目为电子磋商项目）</w:t>
      </w:r>
    </w:p>
    <w:p w14:paraId="0971F020">
      <w:pPr>
        <w:pStyle w:val="25"/>
        <w:rPr>
          <w:color w:val="auto"/>
          <w:highlight w:val="none"/>
        </w:rPr>
      </w:pPr>
    </w:p>
    <w:p w14:paraId="46D6D503">
      <w:pPr>
        <w:adjustRightInd w:val="0"/>
        <w:snapToGrid w:val="0"/>
        <w:spacing w:line="60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rPr>
        <w:t>根据《中华人民共和国政府采购法》、《政府采购竞争性磋商采购方式管理暂行办法》及相关法律、法规等规定，经</w:t>
      </w:r>
      <w:r>
        <w:rPr>
          <w:rFonts w:hint="eastAsia" w:ascii="仿宋" w:hAnsi="仿宋" w:eastAsia="仿宋" w:cs="宋体"/>
          <w:color w:val="auto"/>
          <w:kern w:val="0"/>
          <w:sz w:val="24"/>
          <w:highlight w:val="none"/>
          <w:lang w:val="en-US" w:eastAsia="zh-CN"/>
        </w:rPr>
        <w:t>湖州市</w:t>
      </w:r>
      <w:r>
        <w:rPr>
          <w:rFonts w:hint="eastAsia" w:ascii="仿宋" w:hAnsi="仿宋" w:eastAsia="仿宋"/>
          <w:color w:val="auto"/>
          <w:sz w:val="24"/>
          <w:highlight w:val="none"/>
        </w:rPr>
        <w:t>财政局(财政审批编号：</w:t>
      </w:r>
      <w:r>
        <w:rPr>
          <w:rFonts w:hint="eastAsia" w:ascii="仿宋" w:hAnsi="仿宋" w:eastAsia="仿宋"/>
          <w:color w:val="auto"/>
          <w:sz w:val="24"/>
          <w:highlight w:val="none"/>
          <w:u w:val="single"/>
          <w:lang w:val="en-US" w:eastAsia="zh-CN"/>
        </w:rPr>
        <w:t>湖</w:t>
      </w:r>
      <w:r>
        <w:rPr>
          <w:rFonts w:hint="eastAsia" w:ascii="仿宋" w:hAnsi="仿宋" w:eastAsia="仿宋"/>
          <w:color w:val="auto"/>
          <w:sz w:val="24"/>
          <w:highlight w:val="none"/>
          <w:u w:val="single"/>
        </w:rPr>
        <w:t>财采确[2025]</w:t>
      </w:r>
      <w:r>
        <w:rPr>
          <w:rFonts w:hint="eastAsia" w:ascii="仿宋" w:hAnsi="仿宋" w:eastAsia="仿宋"/>
          <w:color w:val="auto"/>
          <w:sz w:val="24"/>
          <w:highlight w:val="none"/>
          <w:u w:val="single"/>
          <w:lang w:val="en-US" w:eastAsia="zh-CN"/>
        </w:rPr>
        <w:t>12505、12506</w:t>
      </w:r>
      <w:r>
        <w:rPr>
          <w:rFonts w:hint="eastAsia" w:ascii="仿宋" w:hAnsi="仿宋" w:eastAsia="仿宋"/>
          <w:color w:val="auto"/>
          <w:sz w:val="24"/>
          <w:highlight w:val="none"/>
          <w:u w:val="single"/>
        </w:rPr>
        <w:t>号)</w:t>
      </w:r>
      <w:r>
        <w:rPr>
          <w:rFonts w:hint="eastAsia" w:ascii="仿宋" w:hAnsi="仿宋" w:eastAsia="仿宋" w:cs="宋体"/>
          <w:color w:val="auto"/>
          <w:kern w:val="0"/>
          <w:sz w:val="24"/>
          <w:highlight w:val="none"/>
        </w:rPr>
        <w:t>批准，</w:t>
      </w:r>
      <w:r>
        <w:rPr>
          <w:rFonts w:hint="eastAsia" w:ascii="仿宋" w:hAnsi="仿宋" w:eastAsia="仿宋" w:cs="宋体"/>
          <w:b/>
          <w:color w:val="auto"/>
          <w:kern w:val="0"/>
          <w:sz w:val="24"/>
          <w:highlight w:val="none"/>
          <w:u w:val="single"/>
        </w:rPr>
        <w:t>浙江新诚信工程咨询有限公司</w:t>
      </w:r>
      <w:r>
        <w:rPr>
          <w:rFonts w:hint="eastAsia" w:ascii="仿宋" w:hAnsi="仿宋" w:eastAsia="仿宋" w:cs="宋体"/>
          <w:color w:val="auto"/>
          <w:kern w:val="0"/>
          <w:sz w:val="24"/>
          <w:highlight w:val="none"/>
        </w:rPr>
        <w:t>受</w:t>
      </w:r>
      <w:r>
        <w:rPr>
          <w:rFonts w:hint="eastAsia" w:ascii="仿宋" w:hAnsi="仿宋" w:eastAsia="仿宋" w:cs="宋体"/>
          <w:b/>
          <w:color w:val="auto"/>
          <w:sz w:val="24"/>
          <w:highlight w:val="none"/>
          <w:u w:val="single"/>
          <w:lang w:eastAsia="zh-CN"/>
        </w:rPr>
        <w:t>湖州市生态环境局</w:t>
      </w:r>
      <w:r>
        <w:rPr>
          <w:rFonts w:hint="eastAsia" w:ascii="仿宋" w:hAnsi="仿宋" w:eastAsia="仿宋" w:cs="宋体"/>
          <w:color w:val="auto"/>
          <w:kern w:val="0"/>
          <w:sz w:val="24"/>
          <w:highlight w:val="none"/>
        </w:rPr>
        <w:t>的委托，就</w:t>
      </w:r>
      <w:r>
        <w:rPr>
          <w:rFonts w:hint="eastAsia" w:ascii="仿宋" w:hAnsi="仿宋" w:eastAsia="仿宋" w:cs="宋体"/>
          <w:b/>
          <w:color w:val="auto"/>
          <w:sz w:val="24"/>
          <w:highlight w:val="none"/>
          <w:u w:val="single"/>
          <w:lang w:eastAsia="zh-CN"/>
        </w:rPr>
        <w:t xml:space="preserve">湖州市2025年度大气综合技术服务项目 </w:t>
      </w:r>
      <w:r>
        <w:rPr>
          <w:rFonts w:hint="eastAsia" w:ascii="仿宋" w:hAnsi="仿宋" w:eastAsia="仿宋" w:cs="宋体"/>
          <w:color w:val="auto"/>
          <w:kern w:val="0"/>
          <w:sz w:val="24"/>
          <w:highlight w:val="none"/>
        </w:rPr>
        <w:t>进行竞争性磋商，欢迎国内合格的供应商前来参加磋商。</w:t>
      </w:r>
    </w:p>
    <w:p w14:paraId="16013139">
      <w:pPr>
        <w:widowControl/>
        <w:tabs>
          <w:tab w:val="left" w:pos="8689"/>
        </w:tabs>
        <w:spacing w:line="500" w:lineRule="exact"/>
        <w:ind w:right="60" w:firstLine="482" w:firstLineChars="200"/>
        <w:outlineLvl w:val="1"/>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一、磋商项目编号</w:t>
      </w:r>
      <w:r>
        <w:rPr>
          <w:rFonts w:hint="eastAsia" w:ascii="仿宋" w:hAnsi="仿宋" w:eastAsia="仿宋" w:cs="仿宋"/>
          <w:color w:val="auto"/>
          <w:kern w:val="0"/>
          <w:sz w:val="24"/>
          <w:highlight w:val="none"/>
        </w:rPr>
        <w:t>：XCXHZ-2025-0</w:t>
      </w:r>
      <w:r>
        <w:rPr>
          <w:rFonts w:hint="eastAsia" w:ascii="仿宋" w:hAnsi="仿宋" w:eastAsia="仿宋" w:cs="仿宋"/>
          <w:color w:val="auto"/>
          <w:kern w:val="0"/>
          <w:sz w:val="24"/>
          <w:highlight w:val="none"/>
          <w:lang w:val="en-US" w:eastAsia="zh-CN"/>
        </w:rPr>
        <w:t>37</w:t>
      </w:r>
      <w:r>
        <w:rPr>
          <w:rFonts w:hint="eastAsia" w:ascii="仿宋" w:hAnsi="仿宋" w:eastAsia="仿宋" w:cs="仿宋"/>
          <w:color w:val="auto"/>
          <w:kern w:val="0"/>
          <w:sz w:val="24"/>
          <w:highlight w:val="none"/>
        </w:rPr>
        <w:t>（CG）</w:t>
      </w:r>
      <w:r>
        <w:rPr>
          <w:rFonts w:hint="eastAsia" w:ascii="仿宋" w:hAnsi="仿宋" w:eastAsia="仿宋" w:cs="仿宋"/>
          <w:color w:val="auto"/>
          <w:kern w:val="0"/>
          <w:sz w:val="24"/>
          <w:highlight w:val="none"/>
        </w:rPr>
        <w:tab/>
      </w:r>
    </w:p>
    <w:p w14:paraId="5308AB43">
      <w:pPr>
        <w:snapToGrid w:val="0"/>
        <w:spacing w:line="500" w:lineRule="exact"/>
        <w:ind w:firstLine="472" w:firstLineChars="196"/>
        <w:outlineLvl w:val="1"/>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二、磋商项目概况（内容、用途、数量、简要技术要求等）</w:t>
      </w:r>
      <w:r>
        <w:rPr>
          <w:rFonts w:hint="eastAsia" w:ascii="仿宋" w:hAnsi="仿宋" w:eastAsia="仿宋" w:cs="仿宋"/>
          <w:color w:val="auto"/>
          <w:kern w:val="0"/>
          <w:sz w:val="24"/>
          <w:highlight w:val="none"/>
        </w:rPr>
        <w:t>：</w:t>
      </w:r>
      <w:bookmarkStart w:id="0" w:name="B09_招标内容"/>
      <w:bookmarkEnd w:id="0"/>
    </w:p>
    <w:tbl>
      <w:tblPr>
        <w:tblStyle w:val="26"/>
        <w:tblW w:w="9907" w:type="dxa"/>
        <w:jc w:val="center"/>
        <w:tblLayout w:type="fixed"/>
        <w:tblCellMar>
          <w:top w:w="0" w:type="dxa"/>
          <w:left w:w="10" w:type="dxa"/>
          <w:bottom w:w="0" w:type="dxa"/>
          <w:right w:w="10" w:type="dxa"/>
        </w:tblCellMar>
      </w:tblPr>
      <w:tblGrid>
        <w:gridCol w:w="885"/>
        <w:gridCol w:w="3547"/>
        <w:gridCol w:w="1650"/>
        <w:gridCol w:w="1830"/>
        <w:gridCol w:w="1995"/>
      </w:tblGrid>
      <w:tr w14:paraId="1B4C80D7">
        <w:tblPrEx>
          <w:tblCellMar>
            <w:top w:w="0" w:type="dxa"/>
            <w:left w:w="10" w:type="dxa"/>
            <w:bottom w:w="0" w:type="dxa"/>
            <w:right w:w="10" w:type="dxa"/>
          </w:tblCellMar>
        </w:tblPrEx>
        <w:trPr>
          <w:trHeight w:val="262" w:hRule="atLeast"/>
          <w:jc w:val="center"/>
        </w:trPr>
        <w:tc>
          <w:tcPr>
            <w:tcW w:w="885" w:type="dxa"/>
            <w:tcBorders>
              <w:top w:val="single" w:color="auto" w:sz="6" w:space="0"/>
              <w:left w:val="single" w:color="auto" w:sz="6" w:space="0"/>
              <w:bottom w:val="single" w:color="auto" w:sz="4" w:space="0"/>
              <w:right w:val="single" w:color="auto" w:sz="6" w:space="0"/>
            </w:tcBorders>
            <w:noWrap/>
            <w:vAlign w:val="center"/>
          </w:tcPr>
          <w:p w14:paraId="40DE82C0">
            <w:pPr>
              <w:keepNext w:val="0"/>
              <w:keepLines w:val="0"/>
              <w:widowControl/>
              <w:suppressLineNumbers w:val="0"/>
              <w:spacing w:before="0" w:beforeAutospacing="0" w:after="0" w:afterAutospacing="0"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序号</w:t>
            </w:r>
          </w:p>
        </w:tc>
        <w:tc>
          <w:tcPr>
            <w:tcW w:w="3547" w:type="dxa"/>
            <w:tcBorders>
              <w:top w:val="single" w:color="auto" w:sz="6" w:space="0"/>
              <w:left w:val="single" w:color="auto" w:sz="4" w:space="0"/>
              <w:bottom w:val="single" w:color="auto" w:sz="4" w:space="0"/>
              <w:right w:val="single" w:color="auto" w:sz="4" w:space="0"/>
            </w:tcBorders>
            <w:noWrap/>
            <w:vAlign w:val="center"/>
          </w:tcPr>
          <w:p w14:paraId="75597531">
            <w:pPr>
              <w:keepNext w:val="0"/>
              <w:keepLines w:val="0"/>
              <w:widowControl/>
              <w:suppressLineNumbers w:val="0"/>
              <w:spacing w:before="0" w:beforeAutospacing="0" w:after="0" w:afterAutospacing="0" w:line="500" w:lineRule="exact"/>
              <w:ind w:left="60" w:right="6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1650" w:type="dxa"/>
            <w:tcBorders>
              <w:top w:val="single" w:color="auto" w:sz="6" w:space="0"/>
              <w:left w:val="single" w:color="auto" w:sz="4" w:space="0"/>
              <w:bottom w:val="single" w:color="auto" w:sz="4" w:space="0"/>
              <w:right w:val="single" w:color="auto" w:sz="4" w:space="0"/>
            </w:tcBorders>
            <w:shd w:val="clear" w:color="auto" w:fill="auto"/>
            <w:noWrap/>
            <w:vAlign w:val="center"/>
          </w:tcPr>
          <w:p w14:paraId="7BCF6044">
            <w:pPr>
              <w:keepNext w:val="0"/>
              <w:keepLines w:val="0"/>
              <w:widowControl/>
              <w:suppressLineNumbers w:val="0"/>
              <w:spacing w:before="0" w:beforeAutospacing="0" w:after="0" w:afterAutospacing="0" w:line="500" w:lineRule="exact"/>
              <w:ind w:left="60" w:leftChars="0" w:right="60" w:right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预算金额</w:t>
            </w:r>
          </w:p>
          <w:p w14:paraId="352A4601">
            <w:pPr>
              <w:keepNext w:val="0"/>
              <w:keepLines w:val="0"/>
              <w:widowControl/>
              <w:suppressLineNumbers w:val="0"/>
              <w:spacing w:before="0" w:beforeAutospacing="0" w:after="0" w:afterAutospacing="0" w:line="500" w:lineRule="exact"/>
              <w:ind w:left="60" w:leftChars="0" w:right="6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最高限价</w:t>
            </w:r>
            <w:r>
              <w:rPr>
                <w:rFonts w:hint="eastAsia" w:ascii="仿宋" w:hAnsi="仿宋" w:eastAsia="仿宋" w:cs="仿宋"/>
                <w:color w:val="auto"/>
                <w:kern w:val="0"/>
                <w:sz w:val="24"/>
                <w:highlight w:val="none"/>
                <w:lang w:eastAsia="zh-CN"/>
              </w:rPr>
              <w:t>）</w:t>
            </w:r>
          </w:p>
        </w:tc>
        <w:tc>
          <w:tcPr>
            <w:tcW w:w="1830" w:type="dxa"/>
            <w:tcBorders>
              <w:top w:val="single" w:color="auto" w:sz="6" w:space="0"/>
              <w:left w:val="single" w:color="auto" w:sz="4" w:space="0"/>
              <w:bottom w:val="single" w:color="auto" w:sz="4" w:space="0"/>
              <w:right w:val="single" w:color="auto" w:sz="4" w:space="0"/>
            </w:tcBorders>
            <w:noWrap/>
            <w:vAlign w:val="center"/>
          </w:tcPr>
          <w:p w14:paraId="209D1C38">
            <w:pPr>
              <w:keepNext w:val="0"/>
              <w:keepLines w:val="0"/>
              <w:widowControl/>
              <w:suppressLineNumbers w:val="0"/>
              <w:spacing w:before="0" w:beforeAutospacing="0" w:after="0" w:afterAutospacing="0" w:line="500" w:lineRule="exact"/>
              <w:ind w:left="60" w:leftChars="0" w:right="60" w:rightChars="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服务期</w:t>
            </w:r>
          </w:p>
        </w:tc>
        <w:tc>
          <w:tcPr>
            <w:tcW w:w="1995" w:type="dxa"/>
            <w:tcBorders>
              <w:top w:val="single" w:color="auto" w:sz="6" w:space="0"/>
              <w:left w:val="single" w:color="auto" w:sz="4" w:space="0"/>
              <w:bottom w:val="single" w:color="auto" w:sz="4" w:space="0"/>
              <w:right w:val="single" w:color="auto" w:sz="6" w:space="0"/>
            </w:tcBorders>
            <w:noWrap/>
            <w:vAlign w:val="center"/>
          </w:tcPr>
          <w:p w14:paraId="583D0B6F">
            <w:pPr>
              <w:keepNext w:val="0"/>
              <w:keepLines w:val="0"/>
              <w:widowControl/>
              <w:suppressLineNumbers w:val="0"/>
              <w:spacing w:before="0" w:beforeAutospacing="0" w:after="0" w:afterAutospacing="0" w:line="500" w:lineRule="exact"/>
              <w:ind w:left="60" w:leftChars="0" w:right="60" w:right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技术要求</w:t>
            </w:r>
          </w:p>
        </w:tc>
      </w:tr>
      <w:tr w14:paraId="5D2C7979">
        <w:tblPrEx>
          <w:tblCellMar>
            <w:top w:w="0" w:type="dxa"/>
            <w:left w:w="10" w:type="dxa"/>
            <w:bottom w:w="0" w:type="dxa"/>
            <w:right w:w="10" w:type="dxa"/>
          </w:tblCellMar>
        </w:tblPrEx>
        <w:trPr>
          <w:trHeight w:val="828" w:hRule="atLeast"/>
          <w:jc w:val="center"/>
        </w:trPr>
        <w:tc>
          <w:tcPr>
            <w:tcW w:w="885" w:type="dxa"/>
            <w:tcBorders>
              <w:top w:val="single" w:color="auto" w:sz="4" w:space="0"/>
              <w:left w:val="single" w:color="auto" w:sz="4" w:space="0"/>
              <w:bottom w:val="single" w:color="auto" w:sz="4" w:space="0"/>
              <w:right w:val="single" w:color="auto" w:sz="4" w:space="0"/>
            </w:tcBorders>
            <w:noWrap/>
            <w:vAlign w:val="center"/>
          </w:tcPr>
          <w:p w14:paraId="791E990A">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一</w:t>
            </w:r>
          </w:p>
        </w:tc>
        <w:tc>
          <w:tcPr>
            <w:tcW w:w="3547" w:type="dxa"/>
            <w:tcBorders>
              <w:top w:val="single" w:color="auto" w:sz="4" w:space="0"/>
              <w:left w:val="single" w:color="auto" w:sz="4" w:space="0"/>
              <w:bottom w:val="single" w:color="auto" w:sz="4" w:space="0"/>
              <w:right w:val="single" w:color="auto" w:sz="4" w:space="0"/>
            </w:tcBorders>
            <w:noWrap/>
            <w:vAlign w:val="center"/>
          </w:tcPr>
          <w:p w14:paraId="6313161D">
            <w:pPr>
              <w:keepNext w:val="0"/>
              <w:keepLines w:val="0"/>
              <w:suppressLineNumbers w:val="0"/>
              <w:spacing w:before="0" w:beforeAutospacing="0" w:after="0" w:afterAutospacing="0" w:line="500" w:lineRule="exact"/>
              <w:ind w:left="0" w:leftChars="0" w:right="60" w:rightChars="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湖州市2025年度大气综合</w:t>
            </w:r>
          </w:p>
          <w:p w14:paraId="4876449C">
            <w:pPr>
              <w:keepNext w:val="0"/>
              <w:keepLines w:val="0"/>
              <w:suppressLineNumbers w:val="0"/>
              <w:spacing w:before="0" w:beforeAutospacing="0" w:after="0" w:afterAutospacing="0" w:line="500" w:lineRule="exact"/>
              <w:ind w:left="0" w:leftChars="0" w:right="60" w:rightChars="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技术服务</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52949">
            <w:pPr>
              <w:keepNext w:val="0"/>
              <w:keepLines w:val="0"/>
              <w:widowControl/>
              <w:suppressLineNumbers w:val="0"/>
              <w:spacing w:before="0" w:beforeAutospacing="0" w:after="0" w:afterAutospacing="0" w:line="500" w:lineRule="exact"/>
              <w:ind w:left="0" w:leftChars="0" w:right="6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80万元</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41B20">
            <w:pPr>
              <w:keepNext w:val="0"/>
              <w:keepLines w:val="0"/>
              <w:widowControl/>
              <w:suppressLineNumbers w:val="0"/>
              <w:spacing w:before="0" w:beforeAutospacing="0" w:after="0" w:afterAutospacing="0" w:line="500" w:lineRule="exact"/>
              <w:ind w:left="60" w:leftChars="0" w:right="60" w:rightChars="0"/>
              <w:jc w:val="center"/>
              <w:rPr>
                <w:rFonts w:hint="eastAsia" w:ascii="仿宋" w:hAnsi="仿宋" w:eastAsia="仿宋" w:cs="仿宋"/>
                <w:color w:val="auto"/>
                <w:kern w:val="0"/>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
              </w:rPr>
              <w:t>自合同签订之日起至2</w:t>
            </w:r>
            <w:r>
              <w:rPr>
                <w:rFonts w:hint="eastAsia" w:ascii="仿宋" w:hAnsi="仿宋" w:eastAsia="仿宋" w:cs="仿宋"/>
                <w:color w:val="auto"/>
                <w:kern w:val="2"/>
                <w:sz w:val="24"/>
                <w:szCs w:val="24"/>
                <w:highlight w:val="none"/>
                <w:lang w:val="en-US" w:eastAsia="zh-CN" w:bidi="ar"/>
              </w:rPr>
              <w:t>02</w:t>
            </w:r>
            <w:r>
              <w:rPr>
                <w:rFonts w:hint="default" w:ascii="仿宋" w:hAnsi="仿宋" w:eastAsia="仿宋" w:cs="仿宋"/>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年</w:t>
            </w:r>
            <w:r>
              <w:rPr>
                <w:rFonts w:hint="default" w:ascii="仿宋" w:hAnsi="仿宋" w:eastAsia="仿宋" w:cs="仿宋"/>
                <w:color w:val="auto"/>
                <w:kern w:val="2"/>
                <w:sz w:val="24"/>
                <w:szCs w:val="24"/>
                <w:highlight w:val="none"/>
                <w:lang w:val="en-US" w:eastAsia="zh-CN" w:bidi="ar"/>
              </w:rPr>
              <w:t>12</w:t>
            </w:r>
            <w:r>
              <w:rPr>
                <w:rFonts w:hint="eastAsia" w:ascii="仿宋" w:hAnsi="仿宋" w:eastAsia="仿宋" w:cs="仿宋"/>
                <w:color w:val="auto"/>
                <w:kern w:val="2"/>
                <w:sz w:val="24"/>
                <w:szCs w:val="24"/>
                <w:highlight w:val="none"/>
                <w:lang w:val="en-US" w:eastAsia="zh-CN" w:bidi="ar"/>
              </w:rPr>
              <w:t>月31日前完成</w:t>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B54F3">
            <w:pPr>
              <w:keepNext w:val="0"/>
              <w:keepLines w:val="0"/>
              <w:suppressLineNumbers w:val="0"/>
              <w:spacing w:before="0" w:beforeAutospacing="0" w:after="0" w:afterAutospacing="0" w:line="500" w:lineRule="exact"/>
              <w:ind w:left="0" w:leftChars="0" w:right="60" w:right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w:t>
            </w:r>
            <w:r>
              <w:rPr>
                <w:rFonts w:hint="eastAsia" w:ascii="仿宋" w:hAnsi="仿宋" w:eastAsia="仿宋" w:cs="仿宋"/>
                <w:color w:val="auto"/>
                <w:kern w:val="0"/>
                <w:sz w:val="24"/>
                <w:highlight w:val="none"/>
                <w:lang w:val="en-US" w:eastAsia="zh-CN"/>
              </w:rPr>
              <w:t>第二章采购需求</w:t>
            </w:r>
          </w:p>
        </w:tc>
      </w:tr>
    </w:tbl>
    <w:p w14:paraId="5376707D">
      <w:pPr>
        <w:widowControl/>
        <w:spacing w:line="500" w:lineRule="exact"/>
        <w:ind w:right="60"/>
        <w:outlineLvl w:val="1"/>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三、供应商资格要求</w:t>
      </w:r>
      <w:r>
        <w:rPr>
          <w:rFonts w:hint="eastAsia" w:ascii="仿宋" w:hAnsi="仿宋" w:eastAsia="仿宋" w:cs="仿宋"/>
          <w:color w:val="auto"/>
          <w:kern w:val="0"/>
          <w:sz w:val="24"/>
          <w:highlight w:val="none"/>
        </w:rPr>
        <w:t>：</w:t>
      </w:r>
    </w:p>
    <w:p w14:paraId="69A1A6F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且未被“信用中国”（www.creditchina.gov.cn）、“中国政府采购网”（www.ccgp.gov.cn）等列入失信被执行人、重大税收违法案件当事人名单、政府采购严重违法失信行为记录名单。</w:t>
      </w:r>
    </w:p>
    <w:p w14:paraId="7239BCA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、本项目不接受联合体磋商。</w:t>
      </w:r>
    </w:p>
    <w:p w14:paraId="7466FF5B">
      <w:pPr>
        <w:spacing w:line="500" w:lineRule="exact"/>
        <w:ind w:firstLine="482" w:firstLineChars="200"/>
        <w:outlineLvl w:val="1"/>
        <w:rPr>
          <w:rFonts w:ascii="仿宋" w:hAnsi="仿宋" w:eastAsia="仿宋" w:cs="仿宋"/>
          <w:color w:val="auto"/>
          <w:sz w:val="24"/>
          <w:highlight w:val="none"/>
        </w:rPr>
      </w:pPr>
      <w:r>
        <w:rPr>
          <w:rFonts w:hint="eastAsia" w:ascii="仿宋" w:hAnsi="仿宋" w:eastAsia="仿宋" w:cs="仿宋"/>
          <w:b/>
          <w:color w:val="auto"/>
          <w:kern w:val="0"/>
          <w:sz w:val="24"/>
          <w:highlight w:val="none"/>
        </w:rPr>
        <w:t>四、报名及获取磋商文件时间:</w:t>
      </w:r>
    </w:p>
    <w:p w14:paraId="1FA7DD04">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1、报名及获取磋商文件时间：2025年月日至磋商截止时间止(潜在供应商报名及获取磋商文件前应当在政采云电子交易平台上注册账号并登录，截止时间后不再接受潜在供应商报名及获取磋商文件)。</w:t>
      </w:r>
    </w:p>
    <w:p w14:paraId="53B073DE">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49DA9C4A">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3、免费注册网址：浙江政府采购网（供应商注册页面：https://middle.zcygov.cn/settle-front/#/registry“政采云”，咨询电话：95763。）已经注册成功的供应商无需重复注册。</w:t>
      </w:r>
    </w:p>
    <w:p w14:paraId="1E704CC5">
      <w:pPr>
        <w:snapToGrid w:val="0"/>
        <w:spacing w:line="500" w:lineRule="exact"/>
        <w:ind w:firstLine="472" w:firstLineChars="196"/>
        <w:outlineLvl w:val="1"/>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五、响应文件的递交及相关事宜：</w:t>
      </w:r>
    </w:p>
    <w:p w14:paraId="6895C713">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1、响应文件递交的截止时间（磋商截止时间，下同）：2025年月日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：00（北京时间）。</w:t>
      </w:r>
    </w:p>
    <w:p w14:paraId="6E3CB022">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2、响应文件的递交方式：</w:t>
      </w:r>
    </w:p>
    <w:p w14:paraId="7D164198">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2.1电子响应文件：按政采云平台项目采购-电子交易操作指南及本磋商文件要求制作、加密并递交。供应商应于2025年月日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：00（北京时间）前将制作、加密的电子版响应文件上传到政采云系统中（未准时上传的视为放弃磋商资格，作未提交响应文件处理）；</w:t>
      </w:r>
    </w:p>
    <w:p w14:paraId="62A37613">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浙江新诚信工程咨询有限公司[</w:t>
      </w:r>
      <w:r>
        <w:rPr>
          <w:rFonts w:hint="eastAsia" w:ascii="仿宋" w:hAnsi="仿宋" w:eastAsia="仿宋" w:cs="仿宋"/>
          <w:color w:val="auto"/>
          <w:sz w:val="24"/>
          <w:highlight w:val="none"/>
        </w:rPr>
        <w:t>湖州市太湖路1155号14层1402室</w:t>
      </w:r>
      <w:r>
        <w:rPr>
          <w:rFonts w:hint="eastAsia" w:ascii="仿宋" w:hAnsi="仿宋" w:eastAsia="仿宋" w:cs="仿宋"/>
          <w:color w:val="auto"/>
          <w:kern w:val="0"/>
          <w:sz w:val="24"/>
          <w:highlight w:val="none"/>
        </w:rPr>
        <w:t>]，联系电话：18768247439。邮寄截止时间：供应商应于2025年月日17:00时前准时送达，逾期不予受理。供应商须留足响应文件邮寄时间,确保数据电子备份响应文件（U盘）于规定的时间前送达指定地点，未按时送达的，均按未提供处理。</w:t>
      </w:r>
    </w:p>
    <w:p w14:paraId="75322F8A">
      <w:pPr>
        <w:snapToGrid w:val="0"/>
        <w:spacing w:line="500" w:lineRule="exact"/>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注：</w:t>
      </w:r>
      <w:r>
        <w:rPr>
          <w:rFonts w:hint="eastAsia" w:ascii="仿宋" w:hAnsi="仿宋" w:eastAsia="仿宋" w:cs="仿宋"/>
          <w:b/>
          <w:color w:val="auto"/>
          <w:kern w:val="0"/>
          <w:sz w:val="24"/>
          <w:highlight w:val="none"/>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color w:val="auto"/>
          <w:kern w:val="0"/>
          <w:sz w:val="24"/>
          <w:highlight w:val="none"/>
        </w:rPr>
        <w:t>。</w:t>
      </w:r>
    </w:p>
    <w:p w14:paraId="2CC903BF">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6624995D">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须在线获取CA数字证书（完成CA数字证书办理预计一周左右，建议各供应商自行把握时间，申领流程请自行前往“浙江政府采购网-下载专区-电子交易客户端-CA驱动和申领流程”进行查阅)，并登陆“浙江政府采购网”（https://zfcg.czt.zj.gov.cn/），进入“下载专区”下载“电子交易客户端”，制作响应文件。</w:t>
      </w:r>
    </w:p>
    <w:p w14:paraId="16A75353">
      <w:pPr>
        <w:snapToGrid w:val="0"/>
        <w:spacing w:line="5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5、供应商须将制作、加密后的电子版响应文件于磋商截止时间前上传到政采云系统中，超过磋商截止时间上传的，均按无效标处理。</w:t>
      </w:r>
    </w:p>
    <w:p w14:paraId="670309F8">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6、供应商通过政采云平台电子投标工具制作响应文件，电子投标工具请供应商自行前往浙江省政府采购网下载并安装，供应商电子交易操作指南详见网址：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Style w:val="31"/>
          <w:rFonts w:hint="eastAsia" w:ascii="仿宋" w:hAnsi="仿宋" w:eastAsia="仿宋" w:cs="仿宋"/>
          <w:color w:val="auto"/>
          <w:kern w:val="0"/>
          <w:sz w:val="24"/>
          <w:highlight w:val="none"/>
        </w:rPr>
        <w:t>https://zfcg.czt.zj.gov.cn/</w:t>
      </w:r>
      <w:r>
        <w:rPr>
          <w:rStyle w:val="31"/>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w:t>
      </w:r>
    </w:p>
    <w:p w14:paraId="5873F3BE">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7、本项目采取“不见面”形式进行磋商活动,法定代表人或其授权代理人无须到</w:t>
      </w:r>
      <w:r>
        <w:rPr>
          <w:rFonts w:hint="eastAsia" w:ascii="仿宋" w:hAnsi="仿宋" w:eastAsia="仿宋" w:cs="仿宋"/>
          <w:color w:val="auto"/>
          <w:kern w:val="0"/>
          <w:sz w:val="24"/>
          <w:highlight w:val="none"/>
          <w:lang w:val="en-US" w:eastAsia="zh-CN"/>
        </w:rPr>
        <w:t>开标室现场</w:t>
      </w:r>
      <w:r>
        <w:rPr>
          <w:rFonts w:hint="eastAsia" w:ascii="仿宋" w:hAnsi="仿宋" w:eastAsia="仿宋" w:cs="仿宋"/>
          <w:color w:val="auto"/>
          <w:kern w:val="0"/>
          <w:sz w:val="24"/>
          <w:highlight w:val="none"/>
        </w:rPr>
        <w:t>，在线响应即可。</w:t>
      </w:r>
    </w:p>
    <w:p w14:paraId="6531B8A5">
      <w:pPr>
        <w:snapToGrid w:val="0"/>
        <w:spacing w:line="500" w:lineRule="exact"/>
        <w:ind w:firstLine="472" w:firstLineChars="196"/>
        <w:outlineLvl w:val="1"/>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六、响应文件提交地点：</w:t>
      </w:r>
      <w:r>
        <w:rPr>
          <w:rFonts w:hint="eastAsia" w:ascii="仿宋" w:hAnsi="仿宋" w:eastAsia="仿宋" w:cs="仿宋"/>
          <w:color w:val="auto"/>
          <w:sz w:val="24"/>
          <w:highlight w:val="none"/>
        </w:rPr>
        <w:t>湖州市公共资源交易中心开标室（湖州市仁皇山片区金盖山路66号2号楼，届时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w:t>
      </w:r>
    </w:p>
    <w:p w14:paraId="67869AF2">
      <w:pPr>
        <w:snapToGrid w:val="0"/>
        <w:spacing w:line="500" w:lineRule="exact"/>
        <w:ind w:firstLine="472" w:firstLineChars="196"/>
        <w:outlineLvl w:val="1"/>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七、磋商时间：</w:t>
      </w:r>
      <w:r>
        <w:rPr>
          <w:rFonts w:hint="eastAsia" w:ascii="仿宋" w:hAnsi="仿宋" w:eastAsia="仿宋" w:cs="仿宋"/>
          <w:color w:val="auto"/>
          <w:kern w:val="0"/>
          <w:sz w:val="24"/>
          <w:highlight w:val="none"/>
        </w:rPr>
        <w:t>2025年月日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：00</w:t>
      </w:r>
    </w:p>
    <w:p w14:paraId="209C0850">
      <w:pPr>
        <w:snapToGrid w:val="0"/>
        <w:spacing w:line="500" w:lineRule="exact"/>
        <w:ind w:firstLine="472" w:firstLineChars="196"/>
        <w:outlineLvl w:val="1"/>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八、磋商地点：</w:t>
      </w:r>
      <w:r>
        <w:rPr>
          <w:rFonts w:hint="eastAsia" w:ascii="仿宋" w:hAnsi="仿宋" w:eastAsia="仿宋" w:cs="仿宋"/>
          <w:color w:val="auto"/>
          <w:sz w:val="24"/>
          <w:highlight w:val="none"/>
        </w:rPr>
        <w:t>湖州市公共资源交易中心开标室（湖州市仁皇山片区金盖山路66号2号楼，届时</w:t>
      </w:r>
      <w:r>
        <w:rPr>
          <w:rFonts w:hint="eastAsia" w:ascii="仿宋" w:hAnsi="仿宋" w:eastAsia="仿宋" w:cs="仿宋"/>
          <w:color w:val="auto"/>
          <w:kern w:val="0"/>
          <w:sz w:val="24"/>
          <w:highlight w:val="none"/>
        </w:rPr>
        <w:t>详见二楼休息区电子显示屏</w:t>
      </w:r>
      <w:r>
        <w:rPr>
          <w:rFonts w:hint="eastAsia" w:ascii="仿宋" w:hAnsi="仿宋" w:eastAsia="仿宋" w:cs="仿宋"/>
          <w:color w:val="auto"/>
          <w:sz w:val="24"/>
          <w:highlight w:val="none"/>
        </w:rPr>
        <w:t>）。未按时上传电子响应文件的视为放弃磋商资格，作未提交响应文件处理。</w:t>
      </w:r>
    </w:p>
    <w:p w14:paraId="1E547A13">
      <w:pPr>
        <w:snapToGrid w:val="0"/>
        <w:spacing w:line="500" w:lineRule="exact"/>
        <w:ind w:firstLine="482" w:firstLineChars="200"/>
        <w:outlineLvl w:val="1"/>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九、其他事项：</w:t>
      </w:r>
    </w:p>
    <w:p w14:paraId="6A9E9FE4">
      <w:pPr>
        <w:snapToGrid w:val="0"/>
        <w:spacing w:line="5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066E65F7">
      <w:pPr>
        <w:snapToGrid w:val="0"/>
        <w:spacing w:line="5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2、潜在供应商已依法获取其可质疑的磋商文件的，可以对该文件提出质疑。未按照规定方式依法获取磋商文件的，不得对磋商文件提起质疑投诉。</w:t>
      </w:r>
    </w:p>
    <w:p w14:paraId="6D19941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在法定质疑期内须一次性提出针对同一采购程序环节的质疑，否则采购代理机构有权拒绝第一次质疑以外其他所有质疑。质疑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7C6BC46F">
      <w:pPr>
        <w:snapToGrid w:val="0"/>
        <w:spacing w:line="5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4、答疑内容是磋商文件的组成部分，并将在网上发布补充（答疑、澄清）文件，潜在供应商应自行关注网站公告，采购人不再一一通知，供应商因自身贻误行为导致磋商失效的，责任自负。</w:t>
      </w:r>
    </w:p>
    <w:p w14:paraId="4938B756">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5、参与政府采购项目的注册供应商，需登录浙江政府采购云平台（http://www.zcygov.cn）进行网上报名，尚未注册的供应商应当先在浙江政府采购云平台上申请注册，注册终审通过后再进行网上报名。</w:t>
      </w:r>
    </w:p>
    <w:p w14:paraId="5269706A">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AC69EB4">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7、本项目是否专门面向中小企业采购：</w:t>
      </w:r>
      <w:r>
        <w:rPr>
          <w:rFonts w:hint="eastAsia" w:ascii="仿宋" w:hAnsi="仿宋" w:eastAsia="仿宋" w:cs="仿宋"/>
          <w:color w:val="auto"/>
          <w:sz w:val="24"/>
          <w:highlight w:val="none"/>
          <w:lang w:val="en-US" w:eastAsia="zh-CN"/>
        </w:rPr>
        <w:t>否</w:t>
      </w:r>
      <w:r>
        <w:rPr>
          <w:rFonts w:hint="eastAsia" w:ascii="仿宋" w:hAnsi="仿宋" w:eastAsia="仿宋" w:cs="仿宋"/>
          <w:color w:val="auto"/>
          <w:sz w:val="24"/>
          <w:highlight w:val="none"/>
        </w:rPr>
        <w:t>。</w:t>
      </w:r>
    </w:p>
    <w:p w14:paraId="50460750">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8、本次磋商有关信息刊登在：</w:t>
      </w:r>
    </w:p>
    <w:p w14:paraId="4F5C90B5">
      <w:pPr>
        <w:snapToGrid w:val="0"/>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8.1浙江政府采购网：https://zfcg.czt.zj.gov.cn/</w:t>
      </w:r>
    </w:p>
    <w:p w14:paraId="795A3094">
      <w:pPr>
        <w:snapToGrid w:val="0"/>
        <w:spacing w:line="480" w:lineRule="exact"/>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8.2湖州市公共资源交易信息网：http://ggzyjy.huzhou.gov.cn/</w:t>
      </w:r>
    </w:p>
    <w:p w14:paraId="780D45EF">
      <w:pPr>
        <w:snapToGrid w:val="0"/>
        <w:spacing w:line="480" w:lineRule="exact"/>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十、业务咨询：</w:t>
      </w:r>
    </w:p>
    <w:p w14:paraId="3E64DB0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1、采购代理机构名称：浙江新诚信工程咨询有限公司</w:t>
      </w:r>
    </w:p>
    <w:p w14:paraId="1B0B48A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联系人：郭婷            联系电话：18768247439 </w:t>
      </w:r>
    </w:p>
    <w:p w14:paraId="197FE8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质疑函接收人：赵丽娅      联系电话：0572-2051833</w:t>
      </w:r>
    </w:p>
    <w:p w14:paraId="5A30545B">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地址：湖州市太湖路1155号中新商务大厦14层1402室</w:t>
      </w:r>
    </w:p>
    <w:p w14:paraId="7D03A351">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2、采购人名称：</w:t>
      </w:r>
      <w:r>
        <w:rPr>
          <w:rFonts w:hint="eastAsia" w:ascii="仿宋" w:hAnsi="仿宋" w:eastAsia="仿宋" w:cs="仿宋"/>
          <w:color w:val="auto"/>
          <w:sz w:val="24"/>
          <w:highlight w:val="none"/>
          <w:lang w:eastAsia="zh-CN"/>
        </w:rPr>
        <w:t>湖州市生态环境局</w:t>
      </w:r>
    </w:p>
    <w:p w14:paraId="04A947C7">
      <w:pPr>
        <w:snapToGrid w:val="0"/>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张女士  </w:t>
      </w:r>
      <w:r>
        <w:rPr>
          <w:rFonts w:hint="eastAsia" w:ascii="仿宋" w:hAnsi="仿宋" w:eastAsia="仿宋" w:cs="仿宋"/>
          <w:color w:val="auto"/>
          <w:sz w:val="24"/>
          <w:highlight w:val="none"/>
        </w:rPr>
        <w:t>           联系电话：</w:t>
      </w:r>
      <w:r>
        <w:rPr>
          <w:rFonts w:hint="eastAsia" w:ascii="仿宋" w:hAnsi="仿宋" w:eastAsia="仿宋" w:cs="仿宋"/>
          <w:color w:val="auto"/>
          <w:sz w:val="24"/>
          <w:highlight w:val="none"/>
          <w:lang w:val="en-US" w:eastAsia="zh-CN"/>
        </w:rPr>
        <w:t>0572-2666132</w:t>
      </w:r>
    </w:p>
    <w:p w14:paraId="6941BD19">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3、政府采购行政监管及投诉受理部门：湖州市财政局政府采购监管处</w:t>
      </w:r>
    </w:p>
    <w:p w14:paraId="184A092C">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联系人：程先生         联系电话：0572-2150216</w:t>
      </w:r>
    </w:p>
    <w:p w14:paraId="5BF8B64E">
      <w:pPr>
        <w:snapToGrid w:val="0"/>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地址：湖州市龙王山路518号</w:t>
      </w:r>
    </w:p>
    <w:p w14:paraId="611A49DF">
      <w:pPr>
        <w:snapToGrid w:val="0"/>
        <w:spacing w:line="560" w:lineRule="exact"/>
        <w:ind w:left="238" w:right="480"/>
        <w:jc w:val="right"/>
        <w:rPr>
          <w:rFonts w:ascii="仿宋" w:hAnsi="仿宋" w:eastAsia="仿宋" w:cs="仿宋"/>
          <w:bCs/>
          <w:color w:val="auto"/>
          <w:sz w:val="24"/>
          <w:highlight w:val="none"/>
        </w:rPr>
      </w:pPr>
    </w:p>
    <w:p w14:paraId="50B2B8D4">
      <w:pPr>
        <w:pStyle w:val="2"/>
        <w:rPr>
          <w:rFonts w:ascii="仿宋" w:hAnsi="仿宋" w:eastAsia="仿宋" w:cs="仿宋"/>
          <w:bCs/>
          <w:color w:val="auto"/>
          <w:sz w:val="24"/>
          <w:highlight w:val="none"/>
        </w:rPr>
      </w:pPr>
    </w:p>
    <w:p w14:paraId="4D37C849">
      <w:pPr>
        <w:rPr>
          <w:rFonts w:ascii="仿宋" w:hAnsi="仿宋" w:eastAsia="仿宋" w:cs="仿宋"/>
          <w:bCs/>
          <w:color w:val="auto"/>
          <w:sz w:val="24"/>
          <w:highlight w:val="none"/>
        </w:rPr>
      </w:pPr>
    </w:p>
    <w:p w14:paraId="56C93FB5">
      <w:pPr>
        <w:pStyle w:val="2"/>
        <w:rPr>
          <w:rFonts w:ascii="仿宋" w:hAnsi="仿宋" w:eastAsia="仿宋" w:cs="仿宋"/>
          <w:bCs/>
          <w:color w:val="auto"/>
          <w:sz w:val="24"/>
          <w:highlight w:val="none"/>
        </w:rPr>
      </w:pPr>
    </w:p>
    <w:p w14:paraId="72643A24">
      <w:pPr>
        <w:rPr>
          <w:rFonts w:ascii="仿宋" w:hAnsi="仿宋" w:eastAsia="仿宋" w:cs="仿宋"/>
          <w:bCs/>
          <w:color w:val="auto"/>
          <w:sz w:val="24"/>
          <w:highlight w:val="none"/>
        </w:rPr>
      </w:pPr>
    </w:p>
    <w:p w14:paraId="3A33BB3E">
      <w:pPr>
        <w:pStyle w:val="2"/>
        <w:rPr>
          <w:rFonts w:ascii="仿宋" w:hAnsi="仿宋" w:eastAsia="仿宋" w:cs="仿宋"/>
          <w:bCs/>
          <w:color w:val="auto"/>
          <w:sz w:val="24"/>
          <w:highlight w:val="none"/>
        </w:rPr>
      </w:pPr>
    </w:p>
    <w:p w14:paraId="0F057E88">
      <w:pPr>
        <w:rPr>
          <w:rFonts w:ascii="仿宋" w:hAnsi="仿宋" w:eastAsia="仿宋" w:cs="仿宋"/>
          <w:bCs/>
          <w:color w:val="auto"/>
          <w:sz w:val="24"/>
          <w:highlight w:val="none"/>
        </w:rPr>
      </w:pPr>
    </w:p>
    <w:p w14:paraId="4CB64808">
      <w:pPr>
        <w:pStyle w:val="2"/>
        <w:rPr>
          <w:color w:val="auto"/>
          <w:highlight w:val="none"/>
        </w:rPr>
      </w:pPr>
    </w:p>
    <w:p w14:paraId="20A7B02D">
      <w:pPr>
        <w:rPr>
          <w:color w:val="auto"/>
          <w:highlight w:val="none"/>
        </w:rPr>
      </w:pPr>
    </w:p>
    <w:p w14:paraId="0765412D">
      <w:pPr>
        <w:pStyle w:val="2"/>
        <w:rPr>
          <w:color w:val="auto"/>
          <w:highlight w:val="none"/>
        </w:rPr>
      </w:pPr>
    </w:p>
    <w:p w14:paraId="2A6A91E4">
      <w:pPr>
        <w:rPr>
          <w:color w:val="auto"/>
          <w:highlight w:val="none"/>
        </w:rPr>
      </w:pPr>
    </w:p>
    <w:p w14:paraId="43D21117">
      <w:pPr>
        <w:pStyle w:val="2"/>
        <w:rPr>
          <w:color w:val="auto"/>
          <w:highlight w:val="none"/>
        </w:rPr>
      </w:pPr>
    </w:p>
    <w:p w14:paraId="0BF5123B">
      <w:pPr>
        <w:rPr>
          <w:color w:val="auto"/>
          <w:highlight w:val="none"/>
        </w:rPr>
      </w:pPr>
    </w:p>
    <w:p w14:paraId="02F23874">
      <w:pPr>
        <w:pStyle w:val="2"/>
        <w:rPr>
          <w:color w:val="auto"/>
          <w:highlight w:val="none"/>
        </w:rPr>
      </w:pPr>
    </w:p>
    <w:p w14:paraId="6F6F9996">
      <w:pPr>
        <w:rPr>
          <w:color w:val="auto"/>
          <w:highlight w:val="none"/>
        </w:rPr>
      </w:pPr>
    </w:p>
    <w:p w14:paraId="385DD8A6">
      <w:pPr>
        <w:pStyle w:val="2"/>
        <w:rPr>
          <w:color w:val="auto"/>
          <w:highlight w:val="none"/>
        </w:rPr>
      </w:pPr>
    </w:p>
    <w:p w14:paraId="1AE29112">
      <w:pPr>
        <w:rPr>
          <w:color w:val="auto"/>
          <w:highlight w:val="none"/>
        </w:rPr>
      </w:pPr>
    </w:p>
    <w:p w14:paraId="659859EA">
      <w:pPr>
        <w:snapToGrid w:val="0"/>
        <w:spacing w:line="560" w:lineRule="exact"/>
        <w:ind w:left="238" w:right="480"/>
        <w:jc w:val="right"/>
        <w:rPr>
          <w:rFonts w:ascii="仿宋" w:hAnsi="仿宋" w:eastAsia="仿宋" w:cs="仿宋"/>
          <w:bCs/>
          <w:color w:val="auto"/>
          <w:sz w:val="24"/>
          <w:highlight w:val="none"/>
        </w:rPr>
      </w:pPr>
    </w:p>
    <w:p w14:paraId="1B914492">
      <w:pPr>
        <w:pStyle w:val="2"/>
        <w:numPr>
          <w:ilvl w:val="0"/>
          <w:numId w:val="3"/>
        </w:numPr>
        <w:spacing w:line="460" w:lineRule="exact"/>
        <w:jc w:val="center"/>
        <w:rPr>
          <w:rFonts w:ascii="仿宋" w:hAnsi="仿宋" w:eastAsia="仿宋" w:cs="仿宋"/>
          <w:color w:val="auto"/>
          <w:sz w:val="36"/>
          <w:szCs w:val="36"/>
          <w:highlight w:val="none"/>
        </w:rPr>
      </w:pPr>
      <w:bookmarkStart w:id="1" w:name="_Toc452995894"/>
      <w:r>
        <w:rPr>
          <w:rFonts w:hint="eastAsia" w:ascii="仿宋" w:hAnsi="仿宋" w:eastAsia="仿宋" w:cs="仿宋"/>
          <w:color w:val="auto"/>
          <w:sz w:val="36"/>
          <w:szCs w:val="36"/>
          <w:highlight w:val="none"/>
        </w:rPr>
        <w:t xml:space="preserve"> 项目采购需求</w:t>
      </w:r>
    </w:p>
    <w:bookmarkEnd w:id="1"/>
    <w:p w14:paraId="7B4F3890">
      <w:pPr>
        <w:spacing w:line="340" w:lineRule="exact"/>
        <w:rPr>
          <w:rFonts w:ascii="仿宋" w:hAnsi="仿宋" w:eastAsia="仿宋" w:cs="仿宋"/>
          <w:b/>
          <w:color w:val="auto"/>
          <w:sz w:val="28"/>
          <w:szCs w:val="28"/>
          <w:highlight w:val="none"/>
        </w:rPr>
      </w:pPr>
      <w:bookmarkStart w:id="2" w:name="_Toc424544531"/>
      <w:bookmarkStart w:id="3" w:name="_Toc424544810"/>
      <w:bookmarkStart w:id="4" w:name="_Toc489518973"/>
      <w:bookmarkStart w:id="5" w:name="_Toc452995895"/>
    </w:p>
    <w:bookmarkEnd w:id="2"/>
    <w:bookmarkEnd w:id="3"/>
    <w:bookmarkEnd w:id="4"/>
    <w:p w14:paraId="2C115E2F">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color w:val="auto"/>
          <w:sz w:val="24"/>
          <w:highlight w:val="none"/>
        </w:rPr>
        <w:t>项目编号：</w:t>
      </w:r>
      <w:r>
        <w:rPr>
          <w:rFonts w:hint="eastAsia" w:ascii="仿宋" w:hAnsi="仿宋" w:eastAsia="仿宋" w:cs="仿宋"/>
          <w:color w:val="auto"/>
          <w:kern w:val="0"/>
          <w:sz w:val="24"/>
          <w:highlight w:val="none"/>
        </w:rPr>
        <w:t>XCXHZ-2025-0</w:t>
      </w:r>
      <w:r>
        <w:rPr>
          <w:rFonts w:hint="eastAsia" w:ascii="仿宋" w:hAnsi="仿宋" w:eastAsia="仿宋" w:cs="仿宋"/>
          <w:color w:val="auto"/>
          <w:kern w:val="0"/>
          <w:sz w:val="24"/>
          <w:highlight w:val="none"/>
          <w:lang w:val="en-US" w:eastAsia="zh-CN"/>
        </w:rPr>
        <w:t>37</w:t>
      </w:r>
      <w:r>
        <w:rPr>
          <w:rFonts w:hint="eastAsia" w:ascii="仿宋" w:hAnsi="仿宋" w:eastAsia="仿宋" w:cs="仿宋"/>
          <w:color w:val="auto"/>
          <w:kern w:val="0"/>
          <w:sz w:val="24"/>
          <w:highlight w:val="none"/>
        </w:rPr>
        <w:t>（CG）</w:t>
      </w:r>
    </w:p>
    <w:p w14:paraId="72503C17">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二、采购人名称：</w:t>
      </w:r>
      <w:r>
        <w:rPr>
          <w:rFonts w:hint="eastAsia" w:ascii="仿宋" w:hAnsi="仿宋" w:eastAsia="仿宋" w:cs="仿宋"/>
          <w:bCs/>
          <w:color w:val="auto"/>
          <w:sz w:val="24"/>
          <w:highlight w:val="none"/>
          <w:lang w:eastAsia="zh-CN"/>
        </w:rPr>
        <w:t>湖州市生态环境局</w:t>
      </w:r>
    </w:p>
    <w:p w14:paraId="1A1F5FD9">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三、项目</w:t>
      </w:r>
      <w:r>
        <w:rPr>
          <w:rFonts w:hint="eastAsia" w:ascii="仿宋" w:hAnsi="仿宋" w:eastAsia="仿宋" w:cs="仿宋"/>
          <w:b/>
          <w:color w:val="auto"/>
          <w:sz w:val="24"/>
          <w:highlight w:val="none"/>
          <w:lang w:val="en-US" w:eastAsia="zh-CN"/>
        </w:rPr>
        <w:t>名称</w:t>
      </w:r>
      <w:r>
        <w:rPr>
          <w:rFonts w:hint="eastAsia" w:ascii="仿宋" w:hAnsi="仿宋" w:eastAsia="仿宋" w:cs="仿宋"/>
          <w:b/>
          <w:color w:val="auto"/>
          <w:sz w:val="24"/>
          <w:highlight w:val="none"/>
        </w:rPr>
        <w:t>：</w:t>
      </w:r>
      <w:r>
        <w:rPr>
          <w:rFonts w:hint="eastAsia" w:ascii="仿宋" w:hAnsi="仿宋" w:eastAsia="仿宋" w:cs="仿宋"/>
          <w:bCs/>
          <w:color w:val="auto"/>
          <w:sz w:val="24"/>
          <w:highlight w:val="none"/>
          <w:lang w:eastAsia="zh-CN"/>
        </w:rPr>
        <w:t>湖州市2025</w:t>
      </w:r>
      <w:r>
        <w:rPr>
          <w:rFonts w:hint="eastAsia" w:ascii="仿宋" w:hAnsi="仿宋" w:eastAsia="仿宋" w:cs="仿宋"/>
          <w:bCs/>
          <w:color w:val="auto"/>
          <w:sz w:val="24"/>
          <w:highlight w:val="none"/>
          <w:lang w:val="en-US" w:eastAsia="zh-CN"/>
        </w:rPr>
        <w:t>年度</w:t>
      </w:r>
      <w:r>
        <w:rPr>
          <w:rFonts w:hint="eastAsia" w:ascii="仿宋" w:hAnsi="仿宋" w:eastAsia="仿宋" w:cs="仿宋"/>
          <w:bCs/>
          <w:color w:val="auto"/>
          <w:sz w:val="24"/>
          <w:highlight w:val="none"/>
          <w:lang w:eastAsia="zh-CN"/>
        </w:rPr>
        <w:t xml:space="preserve">大气综合技术服务项目 </w:t>
      </w:r>
      <w:r>
        <w:rPr>
          <w:rFonts w:hint="eastAsia" w:ascii="仿宋" w:hAnsi="仿宋" w:eastAsia="仿宋" w:cs="仿宋"/>
          <w:bCs/>
          <w:color w:val="auto"/>
          <w:sz w:val="24"/>
          <w:highlight w:val="none"/>
        </w:rPr>
        <w:t xml:space="preserve"> </w:t>
      </w:r>
    </w:p>
    <w:p w14:paraId="2BB03A7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w:t>
      </w:r>
    </w:p>
    <w:p w14:paraId="4BE6BBA1">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本项目包括大气污染物与温室气体融合清单更新工作、重污染天气应急减排清单更新和绩效提级培育工作两项内容。</w:t>
      </w:r>
    </w:p>
    <w:p w14:paraId="37E8F723">
      <w:pPr>
        <w:spacing w:line="560" w:lineRule="exact"/>
        <w:ind w:firstLine="482" w:firstLineChars="200"/>
        <w:jc w:val="left"/>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（一）融合清单更新工作</w:t>
      </w:r>
    </w:p>
    <w:p w14:paraId="4C337192">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1.项目背景</w:t>
      </w:r>
    </w:p>
    <w:p w14:paraId="65761534">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生态环境部办公厅印发的《关于开展大气污染物与温室气体融合排放清单编制工作的通知》（环办便函〔2024〕171号）要求，京津冀及周边地区、长三角地区和汾渭平原各城市自2024年起全面开展融合清单编制工作，并逐年进行更新，2025年起，每年9月底前上报更新清单。湖州市作为国家重点区域城市之一，须按照国家和省相关要求组织开展大气污染物和温室气体融合排放清单更新工作。</w:t>
      </w:r>
    </w:p>
    <w:p w14:paraId="33D91DAE">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2.项目具体内容</w:t>
      </w:r>
    </w:p>
    <w:p w14:paraId="13BF413C">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展2025年湖州市大气污染物与温室气体融合排放清单（2024年度数据）更新，完成国家系统上报。全面更新工业源、非工业源数据信息，包括活动水平数据、末端治理设施信息等，工业源重点更新新建项目信息、淘汰关停项目信息、治理水平提升信息。通过“大气污染物及温室气体融合排放清单编制和分析系统”完成更新信息系统填报及结果计算，计算排放量并进行审核，提高融合清单时空精度。</w:t>
      </w:r>
    </w:p>
    <w:p w14:paraId="466F542F">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3.项目绩效</w:t>
      </w:r>
    </w:p>
    <w:p w14:paraId="2551DC08">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完成2025年度湖州市大气污染物与温室气体融合排放清单数据集（2024年度数据）更新，满足生态环境部时间要求上报国家系统平台。</w:t>
      </w:r>
    </w:p>
    <w:p w14:paraId="034C703D">
      <w:pPr>
        <w:spacing w:line="560" w:lineRule="exact"/>
        <w:ind w:firstLine="482" w:firstLineChars="200"/>
        <w:jc w:val="left"/>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（二）应急减排清单更新和绩效提级培育工作</w:t>
      </w:r>
    </w:p>
    <w:p w14:paraId="2B441F31">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1.项目背景</w:t>
      </w:r>
    </w:p>
    <w:p w14:paraId="25A73CA1">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生态环境部《关于进一步优化重污染天气应对机制的指导意见》要求，应急减排清单需动态更新并强化差异化管控，以落实“精准治污、科学治污、依法治污”目标。长三角区域联防联控方案及浙江省、湖州市应急预案明确要求，重点行业企业绩效分级需与减排措施挂钩，避免“一刀切”，实现减排与生产平衡。为此，需开展2025年度湖州市应急减排清单更新，并实施重点企业绩效提级培育工作，进一步完善本市重污染天气应对机制。</w:t>
      </w:r>
    </w:p>
    <w:p w14:paraId="499A67F3">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2.项目具体内容</w:t>
      </w:r>
    </w:p>
    <w:p w14:paraId="31CF9DDB">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（1）重污染天气应急管控清单更新。按照上级要求修订完善工业源、扬尘源等管控清单；同时根据湖州市实际情况，指导确定可行的减排措施。</w:t>
      </w:r>
    </w:p>
    <w:p w14:paraId="7C4E3058">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（2）开展绩效提级培育服务。根据大气污染绩效评级工作要求，对企业进行培训，通过大气污染防治绩效评级系统，指导企业完善材料整理，对重点培育企业开展现场核查。</w:t>
      </w:r>
    </w:p>
    <w:p w14:paraId="0B5B871E">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3.项目绩效</w:t>
      </w:r>
    </w:p>
    <w:p w14:paraId="72FDA5F9">
      <w:pPr>
        <w:spacing w:line="560" w:lineRule="exact"/>
        <w:ind w:firstLine="480" w:firstLineChars="200"/>
        <w:jc w:val="left"/>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完成2025年度湖州市重污染天气应急管控清单更新，进一步完善重点行业企业重污染天气应急管控分级及减排措施要求。</w:t>
      </w:r>
    </w:p>
    <w:p w14:paraId="73199149">
      <w:pPr>
        <w:spacing w:line="560" w:lineRule="exact"/>
        <w:ind w:firstLine="480" w:firstLineChars="200"/>
        <w:jc w:val="left"/>
        <w:outlineLvl w:val="9"/>
        <w:rPr>
          <w:rFonts w:hint="eastAsia" w:ascii="仿宋" w:hAnsi="仿宋" w:eastAsia="仿宋" w:cs="仿宋"/>
          <w:bCs/>
          <w:color w:val="auto"/>
          <w:sz w:val="24"/>
          <w:highlight w:val="none"/>
          <w:lang w:val="en-US" w:eastAsia="zh-CN"/>
        </w:rPr>
      </w:pPr>
      <w:r>
        <w:rPr>
          <w:rFonts w:hint="eastAsia" w:ascii="仿宋" w:hAnsi="仿宋" w:eastAsia="仿宋" w:cs="仿宋"/>
          <w:b w:val="0"/>
          <w:bCs/>
          <w:color w:val="auto"/>
          <w:sz w:val="24"/>
          <w:szCs w:val="24"/>
          <w:highlight w:val="none"/>
          <w:lang w:val="en-US" w:eastAsia="zh-CN"/>
        </w:rPr>
        <w:t>线上培育创建一批A、B级或引领性先进企业，现场指导或协助审核A/B级申报企业不少于60家。</w:t>
      </w:r>
    </w:p>
    <w:p w14:paraId="34ED31A6">
      <w:pPr>
        <w:keepNext w:val="0"/>
        <w:keepLines w:val="0"/>
        <w:pageBreakBefore w:val="0"/>
        <w:widowControl w:val="0"/>
        <w:suppressLineNumbers w:val="0"/>
        <w:tabs>
          <w:tab w:val="left" w:pos="900"/>
        </w:tabs>
        <w:kinsoku/>
        <w:wordWrap/>
        <w:overflowPunct/>
        <w:topLinePunct w:val="0"/>
        <w:autoSpaceDE/>
        <w:autoSpaceDN/>
        <w:bidi w:val="0"/>
        <w:spacing w:before="0" w:beforeAutospacing="0" w:after="0" w:afterAutospacing="0" w:line="560" w:lineRule="exact"/>
        <w:ind w:left="0" w:right="0"/>
        <w:jc w:val="both"/>
        <w:textAlignment w:val="auto"/>
        <w:rPr>
          <w:rFonts w:hint="eastAsia" w:ascii="仿宋" w:hAnsi="仿宋" w:eastAsia="仿宋" w:cs="仿宋"/>
          <w:b/>
          <w:bCs w:val="0"/>
          <w:color w:val="auto"/>
          <w:kern w:val="0"/>
          <w:sz w:val="24"/>
          <w:szCs w:val="24"/>
          <w:highlight w:val="none"/>
          <w:lang w:val="en-US" w:eastAsia="zh-CN" w:bidi="ar"/>
        </w:rPr>
      </w:pPr>
      <w:r>
        <w:rPr>
          <w:rFonts w:hint="eastAsia" w:ascii="仿宋" w:hAnsi="仿宋" w:eastAsia="仿宋" w:cs="仿宋"/>
          <w:b/>
          <w:bCs w:val="0"/>
          <w:color w:val="auto"/>
          <w:kern w:val="0"/>
          <w:sz w:val="24"/>
          <w:szCs w:val="24"/>
          <w:highlight w:val="none"/>
          <w:lang w:val="en-US" w:eastAsia="zh-CN" w:bidi="ar"/>
        </w:rPr>
        <w:t>五、商务条款</w:t>
      </w:r>
    </w:p>
    <w:p w14:paraId="03589414">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8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1.服务期：</w:t>
      </w:r>
      <w:r>
        <w:rPr>
          <w:rFonts w:hint="eastAsia" w:ascii="仿宋" w:hAnsi="仿宋" w:eastAsia="仿宋" w:cs="仿宋"/>
          <w:b w:val="0"/>
          <w:bCs w:val="0"/>
          <w:color w:val="auto"/>
          <w:kern w:val="2"/>
          <w:sz w:val="24"/>
          <w:szCs w:val="24"/>
          <w:highlight w:val="none"/>
          <w:lang w:val="en-US" w:eastAsia="zh-CN" w:bidi="ar"/>
        </w:rPr>
        <w:t>自合同签订之日起至2</w:t>
      </w:r>
      <w:r>
        <w:rPr>
          <w:rFonts w:hint="eastAsia" w:ascii="仿宋" w:hAnsi="仿宋" w:eastAsia="仿宋" w:cs="仿宋"/>
          <w:color w:val="auto"/>
          <w:kern w:val="2"/>
          <w:sz w:val="24"/>
          <w:szCs w:val="24"/>
          <w:highlight w:val="none"/>
          <w:lang w:val="en-US" w:eastAsia="zh-CN" w:bidi="ar"/>
        </w:rPr>
        <w:t>025年12月31日完成。</w:t>
      </w:r>
    </w:p>
    <w:p w14:paraId="4AF7E81B">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80"/>
        <w:jc w:val="left"/>
        <w:textAlignment w:val="auto"/>
        <w:rPr>
          <w:rFonts w:hint="eastAsia" w:ascii="仿宋" w:hAnsi="仿宋" w:eastAsia="仿宋" w:cs="仿宋"/>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2.付款方式:</w:t>
      </w:r>
      <w:r>
        <w:rPr>
          <w:rFonts w:hint="eastAsia" w:ascii="仿宋" w:hAnsi="仿宋" w:eastAsia="仿宋" w:cs="仿宋"/>
          <w:b/>
          <w:bCs/>
          <w:color w:val="auto"/>
          <w:kern w:val="0"/>
          <w:sz w:val="24"/>
          <w:szCs w:val="24"/>
          <w:highlight w:val="none"/>
          <w:lang w:val="en-US" w:eastAsia="zh-CN" w:bidi="ar"/>
        </w:rPr>
        <w:t xml:space="preserve"> </w:t>
      </w:r>
    </w:p>
    <w:p w14:paraId="372AF722">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70" w:firstLineChars="196"/>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bCs/>
          <w:color w:val="auto"/>
          <w:kern w:val="2"/>
          <w:sz w:val="24"/>
          <w:szCs w:val="24"/>
          <w:highlight w:val="none"/>
          <w:lang w:val="en-US" w:eastAsia="zh-CN" w:bidi="ar"/>
        </w:rPr>
        <w:t>合同生效及具备实施条件后7个工作日内支付合同价款的40%为预付款；服务完成并</w:t>
      </w:r>
      <w:r>
        <w:rPr>
          <w:rFonts w:hint="eastAsia" w:ascii="仿宋" w:hAnsi="仿宋" w:eastAsia="仿宋" w:cs="仿宋"/>
          <w:b w:val="0"/>
          <w:bCs w:val="0"/>
          <w:color w:val="auto"/>
          <w:sz w:val="24"/>
          <w:highlight w:val="none"/>
          <w:lang w:val="en-US" w:eastAsia="zh-CN"/>
        </w:rPr>
        <w:t>提交成果后支付至合同价款的90%，经采购人验收合格后支付至合同价款的100%（实际付款时间以财政资金下达时间为准）。</w:t>
      </w:r>
    </w:p>
    <w:p w14:paraId="252EE306">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70" w:firstLineChars="196"/>
        <w:jc w:val="both"/>
        <w:textAlignment w:val="auto"/>
        <w:rPr>
          <w:rFonts w:hint="eastAsia" w:ascii="仿宋" w:hAnsi="仿宋" w:eastAsia="仿宋" w:cs="仿宋"/>
          <w:bCs/>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采购人在收到成交供应商开具的相应等额有效的增值税发票后支付相关费用。</w:t>
      </w:r>
    </w:p>
    <w:p w14:paraId="4B876C0F">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70" w:firstLineChars="196"/>
        <w:jc w:val="both"/>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kern w:val="2"/>
          <w:sz w:val="24"/>
          <w:szCs w:val="24"/>
          <w:highlight w:val="none"/>
          <w:lang w:val="en-US" w:eastAsia="zh-CN" w:bidi="ar"/>
        </w:rPr>
        <w:t>税费：本服务执行中相关的一切税费均由成交供应商负担。</w:t>
      </w:r>
    </w:p>
    <w:p w14:paraId="30EF7F35">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70" w:firstLineChars="196"/>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
        </w:rPr>
        <w:t>注：</w:t>
      </w:r>
      <w:r>
        <w:rPr>
          <w:rFonts w:hint="eastAsia" w:ascii="仿宋" w:hAnsi="仿宋" w:eastAsia="仿宋" w:cs="仿宋"/>
          <w:b w:val="0"/>
          <w:bCs w:val="0"/>
          <w:color w:val="auto"/>
          <w:kern w:val="2"/>
          <w:sz w:val="24"/>
          <w:szCs w:val="24"/>
          <w:highlight w:val="none"/>
          <w:u w:val="single"/>
          <w:lang w:val="en-US" w:eastAsia="zh-CN" w:bidi="ar"/>
        </w:rPr>
        <w:t>若成交供应商明确表示无需预付款或者主动要求降低预付款比例的，采购人可不适用前述规定。</w:t>
      </w:r>
    </w:p>
    <w:p w14:paraId="358A5B4B">
      <w:pPr>
        <w:widowControl/>
        <w:spacing w:line="440" w:lineRule="exact"/>
        <w:ind w:right="60" w:firstLine="3253" w:firstLineChars="900"/>
        <w:jc w:val="both"/>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第三章  供应商须知</w:t>
      </w:r>
    </w:p>
    <w:p w14:paraId="103BD1F6">
      <w:pPr>
        <w:pStyle w:val="3"/>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前 附 表</w:t>
      </w:r>
      <w:bookmarkEnd w:id="5"/>
    </w:p>
    <w:tbl>
      <w:tblPr>
        <w:tblStyle w:val="26"/>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3821F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DD581F9">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4EB6D43E">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E49E4">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内容与要求</w:t>
            </w:r>
          </w:p>
        </w:tc>
      </w:tr>
      <w:tr w14:paraId="662DF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D12DDD2">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240C25B">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77854FBD">
            <w:pPr>
              <w:rPr>
                <w:rFonts w:hint="eastAsia" w:ascii="仿宋" w:hAnsi="仿宋" w:eastAsia="仿宋" w:cs="仿宋"/>
                <w:bCs/>
                <w:color w:val="auto"/>
                <w:spacing w:val="-4"/>
                <w:sz w:val="24"/>
                <w:highlight w:val="none"/>
                <w:lang w:eastAsia="zh-CN"/>
              </w:rPr>
            </w:pPr>
            <w:r>
              <w:rPr>
                <w:rFonts w:hint="eastAsia" w:ascii="仿宋" w:hAnsi="仿宋" w:eastAsia="仿宋" w:cs="宋体"/>
                <w:bCs/>
                <w:color w:val="auto"/>
                <w:sz w:val="24"/>
                <w:highlight w:val="none"/>
                <w:lang w:eastAsia="zh-CN"/>
              </w:rPr>
              <w:t xml:space="preserve">湖州市2025年度大气综合技术服务项目 </w:t>
            </w:r>
          </w:p>
        </w:tc>
      </w:tr>
      <w:tr w14:paraId="0B433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4E3D708">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7D40447C">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719BCAE5">
            <w:pPr>
              <w:spacing w:line="530" w:lineRule="exact"/>
              <w:rPr>
                <w:rFonts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磋商文件编号：XCXHZ-2025-0</w:t>
            </w:r>
            <w:r>
              <w:rPr>
                <w:rFonts w:hint="eastAsia" w:ascii="仿宋" w:hAnsi="仿宋" w:eastAsia="仿宋" w:cs="仿宋"/>
                <w:bCs/>
                <w:color w:val="auto"/>
                <w:spacing w:val="-4"/>
                <w:sz w:val="24"/>
                <w:highlight w:val="none"/>
                <w:lang w:val="en-US" w:eastAsia="zh-CN"/>
              </w:rPr>
              <w:t>37</w:t>
            </w:r>
            <w:r>
              <w:rPr>
                <w:rFonts w:hint="eastAsia" w:ascii="仿宋" w:hAnsi="仿宋" w:eastAsia="仿宋" w:cs="仿宋"/>
                <w:bCs/>
                <w:color w:val="auto"/>
                <w:spacing w:val="-4"/>
                <w:sz w:val="24"/>
                <w:highlight w:val="none"/>
              </w:rPr>
              <w:t>（CG）</w:t>
            </w:r>
          </w:p>
          <w:p w14:paraId="1793AA83">
            <w:pPr>
              <w:spacing w:line="530" w:lineRule="exact"/>
              <w:rPr>
                <w:rFonts w:ascii="仿宋" w:hAnsi="仿宋" w:eastAsia="仿宋" w:cs="仿宋"/>
                <w:bCs/>
                <w:color w:val="auto"/>
                <w:spacing w:val="-4"/>
                <w:sz w:val="24"/>
                <w:highlight w:val="none"/>
              </w:rPr>
            </w:pPr>
            <w:r>
              <w:rPr>
                <w:rFonts w:hint="eastAsia" w:ascii="仿宋" w:hAnsi="仿宋" w:eastAsia="仿宋" w:cs="仿宋"/>
                <w:bCs/>
                <w:color w:val="auto"/>
                <w:spacing w:val="-4"/>
                <w:sz w:val="24"/>
                <w:highlight w:val="none"/>
              </w:rPr>
              <w:t>财政审批编号：</w:t>
            </w:r>
            <w:r>
              <w:rPr>
                <w:rFonts w:hint="eastAsia" w:ascii="仿宋" w:hAnsi="仿宋" w:eastAsia="仿宋" w:cs="仿宋"/>
                <w:bCs/>
                <w:color w:val="auto"/>
                <w:spacing w:val="-4"/>
                <w:sz w:val="24"/>
                <w:highlight w:val="none"/>
                <w:lang w:val="en-US" w:eastAsia="zh-CN"/>
              </w:rPr>
              <w:t>湖</w:t>
            </w:r>
            <w:r>
              <w:rPr>
                <w:rFonts w:hint="eastAsia" w:ascii="仿宋" w:hAnsi="仿宋" w:eastAsia="仿宋" w:cs="仿宋"/>
                <w:bCs/>
                <w:color w:val="auto"/>
                <w:spacing w:val="-4"/>
                <w:sz w:val="24"/>
                <w:highlight w:val="none"/>
              </w:rPr>
              <w:t>财采确[2025]</w:t>
            </w:r>
            <w:r>
              <w:rPr>
                <w:rFonts w:hint="eastAsia" w:ascii="仿宋" w:hAnsi="仿宋" w:eastAsia="仿宋" w:cs="仿宋"/>
                <w:bCs/>
                <w:color w:val="auto"/>
                <w:spacing w:val="-4"/>
                <w:sz w:val="24"/>
                <w:highlight w:val="none"/>
                <w:lang w:val="en-US" w:eastAsia="zh-CN"/>
              </w:rPr>
              <w:t>12505、12506</w:t>
            </w:r>
            <w:r>
              <w:rPr>
                <w:rFonts w:hint="eastAsia" w:ascii="仿宋" w:hAnsi="仿宋" w:eastAsia="仿宋" w:cs="仿宋"/>
                <w:bCs/>
                <w:color w:val="auto"/>
                <w:spacing w:val="-4"/>
                <w:sz w:val="24"/>
                <w:highlight w:val="none"/>
              </w:rPr>
              <w:t>号</w:t>
            </w:r>
          </w:p>
        </w:tc>
      </w:tr>
      <w:tr w14:paraId="55AA1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98E77F2">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2225749C">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15D90614">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宋体"/>
                <w:bCs/>
                <w:color w:val="auto"/>
                <w:sz w:val="24"/>
                <w:highlight w:val="none"/>
                <w:lang w:eastAsia="zh-CN"/>
              </w:rPr>
              <w:t xml:space="preserve">湖州市2025年度大气综合技术服务项目 </w:t>
            </w:r>
          </w:p>
        </w:tc>
      </w:tr>
      <w:tr w14:paraId="5B9DA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3FD3B76">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5EB005C6">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501E52A2">
            <w:pPr>
              <w:spacing w:line="530" w:lineRule="exact"/>
              <w:rPr>
                <w:rFonts w:ascii="仿宋" w:hAnsi="仿宋" w:eastAsia="仿宋" w:cs="仿宋"/>
                <w:bCs/>
                <w:color w:val="auto"/>
                <w:spacing w:val="-4"/>
                <w:sz w:val="24"/>
                <w:highlight w:val="none"/>
              </w:rPr>
            </w:pPr>
            <w:r>
              <w:rPr>
                <w:rFonts w:hint="eastAsia" w:ascii="仿宋" w:hAnsi="仿宋" w:eastAsia="仿宋" w:cs="仿宋"/>
                <w:color w:val="auto"/>
                <w:sz w:val="24"/>
                <w:highlight w:val="none"/>
              </w:rPr>
              <w:t>根据采购人指定</w:t>
            </w:r>
          </w:p>
        </w:tc>
      </w:tr>
      <w:tr w14:paraId="56EAD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DC4C0B">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0D85162D">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答疑与澄清</w:t>
            </w:r>
          </w:p>
        </w:tc>
        <w:tc>
          <w:tcPr>
            <w:tcW w:w="7512" w:type="dxa"/>
            <w:tcBorders>
              <w:top w:val="single" w:color="auto" w:sz="4" w:space="0"/>
              <w:left w:val="single" w:color="auto" w:sz="4" w:space="0"/>
              <w:bottom w:val="single" w:color="auto" w:sz="4" w:space="0"/>
              <w:right w:val="single" w:color="auto" w:sz="4" w:space="0"/>
            </w:tcBorders>
            <w:noWrap/>
            <w:vAlign w:val="center"/>
          </w:tcPr>
          <w:p w14:paraId="4DCA5231">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如认为采购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采购文件的组成部分，并将在网上发布补充（答疑、澄清）文件，潜在供应商应自行关注网站公告，采购人不再一一通知，供应商因自身贻误行为导致投标失效的，责任自负。</w:t>
            </w:r>
          </w:p>
        </w:tc>
      </w:tr>
      <w:tr w14:paraId="4F484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42AD036">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7F0C8506">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382FF03C">
            <w:pPr>
              <w:numPr>
                <w:ilvl w:val="-1"/>
                <w:numId w:val="0"/>
              </w:numPr>
              <w:spacing w:line="53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响应文件的制作：本项目实行电子磋商。</w:t>
            </w:r>
          </w:p>
          <w:p w14:paraId="3DC9C21E">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2、供应商应按要求提供电子响应文件及数据电子备份响应文件（U盘），具体内容如下： </w:t>
            </w:r>
          </w:p>
          <w:p w14:paraId="0F334087">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2.1电子响应文件：按政采云平台项目采购-电子交易操作指南及本磋商文件要求制作、加密并递交，超过上传时间的视为放弃磋商资格，作无效标处理；</w:t>
            </w:r>
          </w:p>
          <w:p w14:paraId="5A3C165B">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F6F8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4DA52B">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17257B0E">
            <w:pPr>
              <w:spacing w:line="53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FF018A1">
            <w:pPr>
              <w:snapToGrid w:val="0"/>
              <w:spacing w:line="53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2025年月日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：00</w:t>
            </w:r>
          </w:p>
        </w:tc>
      </w:tr>
      <w:tr w14:paraId="7481E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068DAEF">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44C6A76A">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5A3C45C">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磋商时间：</w:t>
            </w:r>
            <w:r>
              <w:rPr>
                <w:rFonts w:hint="eastAsia" w:ascii="仿宋" w:hAnsi="仿宋" w:eastAsia="仿宋" w:cs="仿宋"/>
                <w:color w:val="auto"/>
                <w:kern w:val="0"/>
                <w:sz w:val="24"/>
                <w:highlight w:val="none"/>
              </w:rPr>
              <w:t>2025年月日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：00</w:t>
            </w:r>
          </w:p>
          <w:p w14:paraId="4F0B6EAF">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磋商地点：湖州市公共资源交易中心开标室（湖州市仁皇山片区金盖山路66号2号楼二楼），具体详见二楼休息区电子显示屏。</w:t>
            </w:r>
          </w:p>
          <w:p w14:paraId="48CB8F43">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29B4D1AF">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浙江新诚信工程咨询有限公司[湖州市太湖路1155号14层1402室]，联系电话：18768247439。邮寄截止时间：供应商应于2025年月日17:00时前准时送达，逾期不予受理。未按时送达的，均按未提供处理。</w:t>
            </w:r>
          </w:p>
          <w:p w14:paraId="1D3FE278">
            <w:pPr>
              <w:spacing w:line="530" w:lineRule="exact"/>
              <w:rPr>
                <w:rFonts w:ascii="仿宋" w:hAnsi="仿宋" w:eastAsia="仿宋" w:cs="仿宋"/>
                <w:b/>
                <w:color w:val="auto"/>
                <w:sz w:val="24"/>
                <w:highlight w:val="none"/>
              </w:rPr>
            </w:pPr>
            <w:r>
              <w:rPr>
                <w:rFonts w:hint="eastAsia" w:ascii="仿宋" w:hAnsi="仿宋" w:eastAsia="仿宋" w:cs="仿宋"/>
                <w:b w:val="0"/>
                <w:bCs/>
                <w:color w:val="auto"/>
                <w:sz w:val="24"/>
                <w:highlight w:val="none"/>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tc>
      </w:tr>
      <w:tr w14:paraId="0C5D6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903FCA0">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A26DF">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1CC408B8">
            <w:pPr>
              <w:spacing w:line="53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2025年月日</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：00</w:t>
            </w:r>
            <w:r>
              <w:rPr>
                <w:rFonts w:hint="eastAsia" w:ascii="仿宋" w:hAnsi="仿宋" w:eastAsia="仿宋" w:cs="仿宋"/>
                <w:color w:val="auto"/>
                <w:sz w:val="24"/>
                <w:highlight w:val="none"/>
              </w:rPr>
              <w:t>整</w:t>
            </w:r>
          </w:p>
        </w:tc>
      </w:tr>
      <w:tr w14:paraId="77B1E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74A1D7C">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1AF86D50">
            <w:pPr>
              <w:spacing w:line="53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4F1F98EB">
            <w:pPr>
              <w:spacing w:line="53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湖州市公共资源交易中心开标室（湖州市仁皇山片区金盖山路66号2号楼二楼，届时详见二楼休息区电子显示屏），未按时上传电子响应文件的将拒绝接收，作无效标处理。</w:t>
            </w:r>
          </w:p>
        </w:tc>
      </w:tr>
      <w:tr w14:paraId="49A30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289C8F7">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5F2819FF">
            <w:pPr>
              <w:spacing w:line="530" w:lineRule="exact"/>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50B4FF8C">
            <w:pPr>
              <w:spacing w:line="53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无</w:t>
            </w:r>
          </w:p>
        </w:tc>
      </w:tr>
      <w:tr w14:paraId="7A4F9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EB28804">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84D4864">
            <w:pPr>
              <w:spacing w:line="53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磋商</w:t>
            </w:r>
            <w:r>
              <w:rPr>
                <w:rFonts w:hint="eastAsia" w:ascii="仿宋" w:hAnsi="仿宋" w:eastAsia="仿宋" w:cs="仿宋"/>
                <w:bCs/>
                <w:color w:val="auto"/>
                <w:sz w:val="24"/>
                <w:highlight w:val="none"/>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0E7C66C9">
            <w:pPr>
              <w:spacing w:line="530" w:lineRule="exact"/>
              <w:rPr>
                <w:rFonts w:ascii="仿宋" w:hAnsi="仿宋" w:eastAsia="仿宋" w:cs="仿宋"/>
                <w:color w:val="auto"/>
                <w:sz w:val="24"/>
                <w:highlight w:val="none"/>
              </w:rPr>
            </w:pPr>
            <w:r>
              <w:rPr>
                <w:rFonts w:hint="eastAsia" w:ascii="仿宋" w:hAnsi="仿宋" w:eastAsia="仿宋" w:cs="仿宋"/>
                <w:color w:val="auto"/>
                <w:sz w:val="24"/>
                <w:highlight w:val="none"/>
              </w:rPr>
              <w:t>60天（日历天）</w:t>
            </w:r>
          </w:p>
        </w:tc>
      </w:tr>
      <w:tr w14:paraId="5BA48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59BCBD0">
            <w:pPr>
              <w:spacing w:line="53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686D4766">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6F0FCD93">
            <w:pPr>
              <w:spacing w:line="53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详见磋商文件第六章</w:t>
            </w:r>
          </w:p>
        </w:tc>
      </w:tr>
      <w:tr w14:paraId="418E4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33AE235">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356AD22A">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666F287E">
            <w:pPr>
              <w:spacing w:line="530" w:lineRule="exac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湖州市生态环境局</w:t>
            </w:r>
          </w:p>
        </w:tc>
      </w:tr>
      <w:tr w14:paraId="5498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248BAB7">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55E568D1">
            <w:pPr>
              <w:spacing w:line="53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20812F84">
            <w:pPr>
              <w:spacing w:line="53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在确定成交供应商后，签订合同前，成交供应商须提供二份完整的纸质响应文件</w:t>
            </w:r>
            <w:r>
              <w:rPr>
                <w:rFonts w:hint="eastAsia" w:ascii="仿宋" w:hAnsi="仿宋" w:eastAsia="仿宋" w:cs="仿宋"/>
                <w:b/>
                <w:bCs/>
                <w:color w:val="auto"/>
                <w:sz w:val="24"/>
                <w:highlight w:val="none"/>
              </w:rPr>
              <w:t>（包括最后报价文件）</w:t>
            </w:r>
            <w:r>
              <w:rPr>
                <w:rFonts w:hint="eastAsia" w:ascii="仿宋" w:hAnsi="仿宋" w:eastAsia="仿宋" w:cs="仿宋"/>
                <w:bCs/>
                <w:color w:val="auto"/>
                <w:sz w:val="24"/>
                <w:highlight w:val="none"/>
              </w:rPr>
              <w:t>给采购人，纸质响应文件须与电子响应文件格式及内容一致。</w:t>
            </w:r>
          </w:p>
        </w:tc>
      </w:tr>
    </w:tbl>
    <w:p w14:paraId="0AEADCA0">
      <w:pPr>
        <w:pStyle w:val="3"/>
        <w:spacing w:line="560" w:lineRule="exact"/>
        <w:jc w:val="center"/>
        <w:rPr>
          <w:rFonts w:ascii="仿宋" w:hAnsi="仿宋" w:eastAsia="仿宋" w:cs="仿宋"/>
          <w:color w:val="auto"/>
          <w:sz w:val="28"/>
          <w:szCs w:val="28"/>
          <w:highlight w:val="none"/>
        </w:rPr>
      </w:pPr>
      <w:bookmarkStart w:id="6" w:name="_Toc113441587"/>
      <w:bookmarkStart w:id="7" w:name="_Toc452995896"/>
      <w:r>
        <w:rPr>
          <w:rFonts w:hint="eastAsia" w:ascii="仿宋" w:hAnsi="仿宋" w:eastAsia="仿宋" w:cs="仿宋"/>
          <w:color w:val="auto"/>
          <w:sz w:val="28"/>
          <w:szCs w:val="28"/>
          <w:highlight w:val="none"/>
        </w:rPr>
        <w:t>一、</w:t>
      </w:r>
      <w:bookmarkEnd w:id="6"/>
      <w:r>
        <w:rPr>
          <w:rFonts w:hint="eastAsia" w:ascii="仿宋" w:hAnsi="仿宋" w:eastAsia="仿宋" w:cs="仿宋"/>
          <w:color w:val="auto"/>
          <w:sz w:val="28"/>
          <w:szCs w:val="28"/>
          <w:highlight w:val="none"/>
        </w:rPr>
        <w:t>总  则</w:t>
      </w:r>
      <w:bookmarkEnd w:id="7"/>
    </w:p>
    <w:p w14:paraId="1286000C">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1．概况</w:t>
      </w:r>
    </w:p>
    <w:p w14:paraId="7048BA6A">
      <w:pPr>
        <w:tabs>
          <w:tab w:val="left" w:pos="90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1.1项目名称：</w:t>
      </w:r>
      <w:r>
        <w:rPr>
          <w:rFonts w:hint="eastAsia" w:ascii="仿宋" w:hAnsi="仿宋" w:eastAsia="仿宋" w:cs="宋体"/>
          <w:bCs/>
          <w:color w:val="auto"/>
          <w:sz w:val="24"/>
          <w:highlight w:val="none"/>
          <w:lang w:eastAsia="zh-CN"/>
        </w:rPr>
        <w:t>湖州市2025年度大气综合技术服务项目</w:t>
      </w:r>
      <w:r>
        <w:rPr>
          <w:rFonts w:hint="eastAsia" w:ascii="仿宋" w:hAnsi="仿宋" w:eastAsia="仿宋" w:cs="宋体"/>
          <w:bCs/>
          <w:color w:val="auto"/>
          <w:sz w:val="24"/>
          <w:highlight w:val="none"/>
        </w:rPr>
        <w:t>；</w:t>
      </w:r>
    </w:p>
    <w:p w14:paraId="3D0DDB4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1.2采购人：</w:t>
      </w:r>
      <w:r>
        <w:rPr>
          <w:rFonts w:hint="eastAsia" w:ascii="仿宋" w:hAnsi="仿宋" w:eastAsia="仿宋" w:cs="仿宋"/>
          <w:bCs/>
          <w:color w:val="auto"/>
          <w:sz w:val="24"/>
          <w:highlight w:val="none"/>
          <w:lang w:eastAsia="zh-CN"/>
        </w:rPr>
        <w:t>湖州市生态环境局</w:t>
      </w:r>
      <w:r>
        <w:rPr>
          <w:rFonts w:hint="eastAsia" w:ascii="仿宋" w:hAnsi="仿宋" w:eastAsia="仿宋" w:cs="仿宋"/>
          <w:color w:val="auto"/>
          <w:sz w:val="24"/>
          <w:highlight w:val="none"/>
        </w:rPr>
        <w:t>；</w:t>
      </w:r>
    </w:p>
    <w:p w14:paraId="42B1CB0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1.3监管部门: 湖州市财政局政府采购监管处；</w:t>
      </w:r>
    </w:p>
    <w:p w14:paraId="22A2D2F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1.4项目资金来源：已得到政府有关部门的批准，其资金来源已落实；</w:t>
      </w:r>
    </w:p>
    <w:p w14:paraId="17D2C5C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1.5采购方式:竞争性磋商；</w:t>
      </w:r>
    </w:p>
    <w:p w14:paraId="450EF83D">
      <w:pPr>
        <w:spacing w:line="56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1.6采购项目服务地点：</w:t>
      </w:r>
      <w:r>
        <w:rPr>
          <w:rFonts w:hint="eastAsia" w:ascii="仿宋" w:hAnsi="仿宋" w:eastAsia="仿宋" w:cs="仿宋"/>
          <w:bCs/>
          <w:color w:val="auto"/>
          <w:sz w:val="24"/>
          <w:highlight w:val="none"/>
        </w:rPr>
        <w:t>根据采购人指令</w:t>
      </w:r>
      <w:r>
        <w:rPr>
          <w:rFonts w:hint="eastAsia" w:ascii="仿宋" w:hAnsi="仿宋" w:eastAsia="仿宋" w:cs="仿宋"/>
          <w:color w:val="auto"/>
          <w:sz w:val="24"/>
          <w:highlight w:val="none"/>
        </w:rPr>
        <w:t>；</w:t>
      </w:r>
    </w:p>
    <w:p w14:paraId="4E383BB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color w:val="auto"/>
          <w:sz w:val="24"/>
          <w:highlight w:val="none"/>
        </w:rPr>
        <w:t>采购代理机构：浙江新诚信工程咨询有限公司 ；</w:t>
      </w:r>
    </w:p>
    <w:p w14:paraId="4CF373D3">
      <w:pPr>
        <w:tabs>
          <w:tab w:val="left" w:pos="90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1.8本磋商文件适用于</w:t>
      </w:r>
      <w:r>
        <w:rPr>
          <w:rFonts w:hint="eastAsia" w:ascii="仿宋" w:hAnsi="仿宋" w:eastAsia="仿宋" w:cs="仿宋"/>
          <w:bCs/>
          <w:color w:val="auto"/>
          <w:sz w:val="24"/>
          <w:highlight w:val="none"/>
        </w:rPr>
        <w:t>本</w:t>
      </w:r>
      <w:r>
        <w:rPr>
          <w:rFonts w:hint="eastAsia" w:ascii="仿宋" w:hAnsi="仿宋" w:eastAsia="仿宋" w:cs="仿宋"/>
          <w:color w:val="auto"/>
          <w:sz w:val="24"/>
          <w:highlight w:val="none"/>
        </w:rPr>
        <w:t>项目的磋商、成交、验收、合同履约、付款等（如法律、法规或省级以上规范性文件另有规定的，从其规定）。</w:t>
      </w:r>
    </w:p>
    <w:p w14:paraId="56C6AEBB">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2．供应商的资格条件</w:t>
      </w:r>
    </w:p>
    <w:p w14:paraId="26A27DB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符合《中华人民共和国政府采购法》第二十二条规定且未被“信用中国”（www.creditchina.gov.cn）、“中国政府采购网”（www.ccgp.gov.cn）等列入失信被执行人、重大税收违法案件当事人名单、政府采购严重违法失信行为记录名单。</w:t>
      </w:r>
    </w:p>
    <w:p w14:paraId="19732DD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本项目不接受联合体磋商。</w:t>
      </w:r>
    </w:p>
    <w:p w14:paraId="3FB5F6A4">
      <w:pPr>
        <w:spacing w:line="5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3．磋商费用</w:t>
      </w:r>
    </w:p>
    <w:p w14:paraId="4D24820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3.1无论磋商采购结果如何，供应商均应自行承担所有与参加本次磋商采购有关的全部费用。</w:t>
      </w:r>
      <w:r>
        <w:rPr>
          <w:rFonts w:hint="eastAsia" w:ascii="仿宋" w:hAnsi="仿宋" w:eastAsia="仿宋" w:cs="仿宋"/>
          <w:color w:val="auto"/>
          <w:sz w:val="24"/>
          <w:highlight w:val="none"/>
        </w:rPr>
        <w:t>不论磋商结果如何，采购代理机构对上述费用不负任何责任；</w:t>
      </w:r>
    </w:p>
    <w:p w14:paraId="5D8D64AD">
      <w:pPr>
        <w:spacing w:line="560" w:lineRule="exact"/>
        <w:ind w:firstLine="480" w:firstLineChars="200"/>
        <w:rPr>
          <w:rFonts w:ascii="仿宋" w:hAnsi="仿宋" w:eastAsia="仿宋" w:cs="仿宋"/>
          <w:b/>
          <w:color w:val="auto"/>
          <w:sz w:val="44"/>
          <w:szCs w:val="44"/>
          <w:highlight w:val="none"/>
        </w:rPr>
      </w:pPr>
      <w:r>
        <w:rPr>
          <w:rFonts w:hint="eastAsia" w:ascii="仿宋" w:hAnsi="仿宋" w:eastAsia="仿宋" w:cs="仿宋"/>
          <w:bCs/>
          <w:color w:val="auto"/>
          <w:sz w:val="24"/>
          <w:highlight w:val="none"/>
        </w:rPr>
        <w:t>3.2本项目磋商代理费按人民币</w:t>
      </w:r>
      <w:r>
        <w:rPr>
          <w:rFonts w:hint="eastAsia" w:ascii="仿宋" w:hAnsi="仿宋" w:eastAsia="仿宋" w:cs="仿宋"/>
          <w:b/>
          <w:color w:val="auto"/>
          <w:sz w:val="24"/>
          <w:highlight w:val="none"/>
          <w:u w:val="single"/>
          <w:lang w:val="en-US" w:eastAsia="zh-CN"/>
        </w:rPr>
        <w:t>10800元</w:t>
      </w:r>
      <w:r>
        <w:rPr>
          <w:rFonts w:hint="eastAsia" w:ascii="仿宋" w:hAnsi="仿宋" w:eastAsia="仿宋" w:cs="仿宋"/>
          <w:bCs/>
          <w:color w:val="auto"/>
          <w:sz w:val="24"/>
          <w:highlight w:val="none"/>
        </w:rPr>
        <w:t>计取，由成交供应商在领取成交通知书前一次性支付给采购代理机构，该费用请综合考虑在响应报价中。</w:t>
      </w:r>
    </w:p>
    <w:p w14:paraId="358B8B7D">
      <w:pPr>
        <w:pStyle w:val="3"/>
        <w:spacing w:line="560" w:lineRule="exact"/>
        <w:jc w:val="center"/>
        <w:rPr>
          <w:rFonts w:ascii="仿宋" w:hAnsi="仿宋" w:eastAsia="仿宋" w:cs="仿宋"/>
          <w:color w:val="auto"/>
          <w:kern w:val="44"/>
          <w:sz w:val="28"/>
          <w:szCs w:val="28"/>
          <w:highlight w:val="none"/>
        </w:rPr>
      </w:pPr>
      <w:bookmarkStart w:id="8" w:name="_Toc452995897"/>
      <w:r>
        <w:rPr>
          <w:rFonts w:hint="eastAsia" w:ascii="仿宋" w:hAnsi="仿宋" w:eastAsia="仿宋" w:cs="仿宋"/>
          <w:color w:val="auto"/>
          <w:kern w:val="44"/>
          <w:sz w:val="28"/>
          <w:szCs w:val="28"/>
          <w:highlight w:val="none"/>
        </w:rPr>
        <w:t>二、磋商文件的说明</w:t>
      </w:r>
      <w:bookmarkEnd w:id="8"/>
    </w:p>
    <w:p w14:paraId="6D55026E">
      <w:pPr>
        <w:spacing w:line="560" w:lineRule="exact"/>
        <w:rPr>
          <w:rFonts w:ascii="仿宋" w:hAnsi="仿宋" w:eastAsia="仿宋" w:cs="仿宋"/>
          <w:color w:val="auto"/>
          <w:kern w:val="44"/>
          <w:sz w:val="24"/>
          <w:highlight w:val="none"/>
        </w:rPr>
      </w:pPr>
      <w:bookmarkStart w:id="9" w:name="_Toc113441589"/>
      <w:r>
        <w:rPr>
          <w:rFonts w:hint="eastAsia" w:ascii="仿宋" w:hAnsi="仿宋" w:eastAsia="仿宋" w:cs="仿宋"/>
          <w:color w:val="auto"/>
          <w:kern w:val="44"/>
          <w:sz w:val="24"/>
          <w:highlight w:val="none"/>
        </w:rPr>
        <w:t>4．磋商文件</w:t>
      </w:r>
      <w:bookmarkEnd w:id="9"/>
      <w:r>
        <w:rPr>
          <w:rFonts w:hint="eastAsia" w:ascii="仿宋" w:hAnsi="仿宋" w:eastAsia="仿宋" w:cs="仿宋"/>
          <w:color w:val="auto"/>
          <w:kern w:val="44"/>
          <w:sz w:val="24"/>
          <w:highlight w:val="none"/>
        </w:rPr>
        <w:t>的组成</w:t>
      </w:r>
    </w:p>
    <w:p w14:paraId="065CB4B0">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bCs/>
          <w:color w:val="auto"/>
          <w:sz w:val="24"/>
          <w:highlight w:val="none"/>
        </w:rPr>
        <w:t>磋商文件为本次采购人发出的竞争性磋商文件；响应文件为参加磋商的供应商提交的磋商响应文件。</w:t>
      </w:r>
    </w:p>
    <w:p w14:paraId="56826BAE">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4.2磋商文件包括以下内容：</w:t>
      </w:r>
    </w:p>
    <w:p w14:paraId="0823FFE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4.2.1第一章  竞争性磋商公告</w:t>
      </w:r>
    </w:p>
    <w:p w14:paraId="231613C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4.2.2第二章  项目采购需求</w:t>
      </w:r>
    </w:p>
    <w:p w14:paraId="48EA4EB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4.2.3第三章  供应商须知</w:t>
      </w:r>
    </w:p>
    <w:p w14:paraId="578285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4.2.4第四章  合同主要条款</w:t>
      </w:r>
    </w:p>
    <w:p w14:paraId="7D3936C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4.2.5第五章  响应文件格式</w:t>
      </w:r>
    </w:p>
    <w:p w14:paraId="282A99B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4.2.6第六章  磋商办法及评分标准</w:t>
      </w:r>
    </w:p>
    <w:p w14:paraId="3882EE3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 采购代理机构在磋商截止时间前，以书面形式发出的对磋商文件的澄清或修改内容，均为磋商文件的组成部分，对采购人和供应商起约束作用；</w:t>
      </w:r>
    </w:p>
    <w:p w14:paraId="6F559568">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4.4供应商获取磋商文件后，应仔细检查磋商文件的所有内容，如有残缺等问题，均应在获得磋商文件后在1个工作日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7A915789">
      <w:pPr>
        <w:spacing w:line="560" w:lineRule="exact"/>
        <w:rPr>
          <w:rFonts w:ascii="仿宋" w:hAnsi="仿宋" w:eastAsia="仿宋" w:cs="仿宋"/>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color w:val="auto"/>
          <w:sz w:val="24"/>
          <w:highlight w:val="none"/>
        </w:rPr>
        <w:t>磋商文件的答疑</w:t>
      </w:r>
    </w:p>
    <w:p w14:paraId="7EF8562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供应商如认为采购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采购文件的组成部分，并将在网上发布补充（答疑、澄清）文件，潜在供应商应自行关注网站公告，采购人不再一一通知，供应商因自身贻误行为导致投标失效的，责任自负；</w:t>
      </w:r>
    </w:p>
    <w:p w14:paraId="2E92868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5.2答疑内容是磋商文件的组成部分，并将在网上发布补充（答疑、澄清）文件，潜在供应商应自行关注网站公告，采购人不再一一通知，供应商因自身贻误行为导致磋商失效的，责任自负。</w:t>
      </w:r>
    </w:p>
    <w:p w14:paraId="44A7020E">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6.磋商文件的澄清、修改</w:t>
      </w:r>
    </w:p>
    <w:p w14:paraId="2A12EE81">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bCs/>
          <w:color w:val="auto"/>
          <w:sz w:val="24"/>
          <w:highlight w:val="none"/>
        </w:rPr>
        <w:t>在磋商截止时间前，采购人及采购代理机构无论出于自己的考虑，还是出于对供应商提问的澄清，均可对磋商文件用补充文件的方式进行修改</w:t>
      </w:r>
      <w:r>
        <w:rPr>
          <w:rFonts w:hint="eastAsia" w:ascii="仿宋" w:hAnsi="仿宋" w:eastAsia="仿宋" w:cs="仿宋"/>
          <w:color w:val="auto"/>
          <w:sz w:val="24"/>
          <w:highlight w:val="none"/>
        </w:rPr>
        <w:t>；</w:t>
      </w:r>
    </w:p>
    <w:p w14:paraId="01647780">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bCs/>
          <w:color w:val="auto"/>
          <w:sz w:val="24"/>
          <w:highlight w:val="none"/>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color w:val="auto"/>
          <w:sz w:val="24"/>
          <w:highlight w:val="none"/>
        </w:rPr>
        <w:t>。</w:t>
      </w:r>
    </w:p>
    <w:p w14:paraId="4A40259B">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3B0DC54A">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8.响应文件的签署</w:t>
      </w:r>
    </w:p>
    <w:p w14:paraId="675872DB">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8.1响应文件的形式与效力：</w:t>
      </w:r>
    </w:p>
    <w:p w14:paraId="380ACA36">
      <w:pPr>
        <w:tabs>
          <w:tab w:val="left" w:pos="3870"/>
          <w:tab w:val="left" w:pos="4085"/>
        </w:tabs>
        <w:snapToGrid w:val="0"/>
        <w:spacing w:line="560" w:lineRule="exact"/>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（一）响应文件分为电子响应文件及数据电子备份响应文件（U盘），具体内容如下：</w:t>
      </w:r>
    </w:p>
    <w:p w14:paraId="50A646A0">
      <w:pPr>
        <w:tabs>
          <w:tab w:val="left" w:pos="3870"/>
          <w:tab w:val="left" w:pos="4085"/>
        </w:tabs>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（1）电子响应文件：按政采云平台项目采购-电子交易操作指南及本磋商文件要求制作、加密并递交，供应商电子交易操作指南详见网址：https://zfcg.czt.zj.gov.cn/）。</w:t>
      </w:r>
    </w:p>
    <w:p w14:paraId="3C530931">
      <w:pPr>
        <w:tabs>
          <w:tab w:val="left" w:pos="3870"/>
          <w:tab w:val="left" w:pos="4085"/>
        </w:tabs>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794C4BD8">
      <w:pPr>
        <w:tabs>
          <w:tab w:val="left" w:pos="3870"/>
          <w:tab w:val="left" w:pos="4085"/>
        </w:tabs>
        <w:snapToGrid w:val="0"/>
        <w:spacing w:line="560" w:lineRule="exact"/>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（二）响应文件的效力：</w:t>
      </w:r>
    </w:p>
    <w:p w14:paraId="7614F038">
      <w:pPr>
        <w:tabs>
          <w:tab w:val="left" w:pos="3870"/>
          <w:tab w:val="left" w:pos="4085"/>
        </w:tabs>
        <w:snapToGrid w:val="0"/>
        <w:spacing w:line="5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4F7B540">
      <w:pPr>
        <w:tabs>
          <w:tab w:val="left" w:pos="3870"/>
          <w:tab w:val="left" w:pos="4085"/>
        </w:tabs>
        <w:snapToGrid w:val="0"/>
        <w:spacing w:line="5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8.2响应文件的组成（如无格式、格式自拟）</w:t>
      </w:r>
    </w:p>
    <w:p w14:paraId="4FA0459A">
      <w:pPr>
        <w:tabs>
          <w:tab w:val="left" w:pos="3870"/>
          <w:tab w:val="left" w:pos="4085"/>
        </w:tabs>
        <w:snapToGrid w:val="0"/>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响应文件（包括电子响应文件及数据电子备份响应文件（U盘））由</w:t>
      </w:r>
      <w:bookmarkStart w:id="10" w:name="_Hlk69030389"/>
      <w:r>
        <w:rPr>
          <w:rFonts w:hint="eastAsia" w:ascii="仿宋" w:hAnsi="仿宋" w:eastAsia="仿宋" w:cs="仿宋"/>
          <w:color w:val="auto"/>
          <w:sz w:val="24"/>
          <w:highlight w:val="none"/>
        </w:rPr>
        <w:t>《技术、商务、资信及其他文件》</w:t>
      </w:r>
      <w:bookmarkEnd w:id="10"/>
      <w:r>
        <w:rPr>
          <w:rFonts w:hint="eastAsia" w:ascii="仿宋" w:hAnsi="仿宋" w:eastAsia="仿宋" w:cs="仿宋"/>
          <w:color w:val="auto"/>
          <w:sz w:val="24"/>
          <w:highlight w:val="none"/>
        </w:rPr>
        <w:t>和《首次报价文件》两部分组成，其中电子响应文件中所须加盖公章部分均采用CA签章。</w:t>
      </w:r>
    </w:p>
    <w:p w14:paraId="380F6D96">
      <w:pPr>
        <w:tabs>
          <w:tab w:val="left" w:pos="3870"/>
          <w:tab w:val="left" w:pos="4085"/>
        </w:tabs>
        <w:snapToGrid w:val="0"/>
        <w:spacing w:line="560" w:lineRule="exact"/>
        <w:jc w:val="left"/>
        <w:rPr>
          <w:rFonts w:ascii="仿宋" w:hAnsi="仿宋" w:eastAsia="仿宋" w:cs="仿宋"/>
          <w:b/>
          <w:bCs/>
          <w:color w:val="auto"/>
          <w:sz w:val="24"/>
          <w:highlight w:val="none"/>
        </w:rPr>
      </w:pPr>
      <w:bookmarkStart w:id="11" w:name="_Hlk69030881"/>
      <w:r>
        <w:rPr>
          <w:rFonts w:hint="eastAsia" w:ascii="仿宋" w:hAnsi="仿宋" w:eastAsia="仿宋" w:cs="仿宋"/>
          <w:b/>
          <w:bCs/>
          <w:color w:val="auto"/>
          <w:sz w:val="24"/>
          <w:highlight w:val="none"/>
        </w:rPr>
        <w:t>（一）《技术、商务、资信及其他文件</w:t>
      </w:r>
      <w:bookmarkEnd w:id="11"/>
      <w:r>
        <w:rPr>
          <w:rFonts w:hint="eastAsia" w:ascii="仿宋" w:hAnsi="仿宋" w:eastAsia="仿宋" w:cs="仿宋"/>
          <w:b/>
          <w:bCs/>
          <w:color w:val="auto"/>
          <w:sz w:val="24"/>
          <w:highlight w:val="none"/>
        </w:rPr>
        <w:t>》</w:t>
      </w:r>
    </w:p>
    <w:p w14:paraId="72AEA211">
      <w:pPr>
        <w:tabs>
          <w:tab w:val="left" w:pos="3870"/>
          <w:tab w:val="left" w:pos="4085"/>
        </w:tabs>
        <w:snapToGrid w:val="0"/>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（1）供应商自评分索引表</w:t>
      </w:r>
      <w:r>
        <w:rPr>
          <w:rFonts w:hint="eastAsia" w:ascii="仿宋" w:hAnsi="仿宋" w:eastAsia="仿宋" w:cs="仿宋"/>
          <w:color w:val="auto"/>
          <w:sz w:val="24"/>
          <w:highlight w:val="none"/>
        </w:rPr>
        <w:t>（格式见第五章）；</w:t>
      </w:r>
    </w:p>
    <w:p w14:paraId="3CC4EFCC">
      <w:pPr>
        <w:tabs>
          <w:tab w:val="left" w:pos="3870"/>
          <w:tab w:val="left" w:pos="4085"/>
        </w:tabs>
        <w:snapToGrid w:val="0"/>
        <w:spacing w:line="56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（2）技术部分：</w:t>
      </w:r>
    </w:p>
    <w:p w14:paraId="37A0444C">
      <w:pPr>
        <w:tabs>
          <w:tab w:val="left" w:pos="3870"/>
          <w:tab w:val="left" w:pos="4085"/>
        </w:tabs>
        <w:snapToGrid w:val="0"/>
        <w:spacing w:line="560" w:lineRule="exact"/>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color w:val="auto"/>
          <w:sz w:val="24"/>
          <w:highlight w:val="none"/>
          <w:lang w:val="en-US" w:eastAsia="zh-CN"/>
        </w:rPr>
        <w:t>①</w:t>
      </w:r>
      <w:r>
        <w:rPr>
          <w:rFonts w:hint="eastAsia" w:ascii="仿宋" w:hAnsi="仿宋" w:eastAsia="仿宋" w:cs="仿宋"/>
          <w:b w:val="0"/>
          <w:bCs w:val="0"/>
          <w:color w:val="auto"/>
          <w:kern w:val="2"/>
          <w:sz w:val="24"/>
          <w:szCs w:val="24"/>
          <w:highlight w:val="none"/>
          <w:lang w:val="en-US" w:eastAsia="zh-CN" w:bidi="ar-SA"/>
        </w:rPr>
        <w:t>项目实施方案；</w:t>
      </w:r>
    </w:p>
    <w:p w14:paraId="0A07DE07">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②</w:t>
      </w:r>
      <w:r>
        <w:rPr>
          <w:rFonts w:hint="eastAsia" w:ascii="仿宋" w:hAnsi="仿宋" w:eastAsia="仿宋" w:cs="仿宋"/>
          <w:b w:val="0"/>
          <w:color w:val="auto"/>
          <w:kern w:val="2"/>
          <w:sz w:val="24"/>
          <w:szCs w:val="24"/>
          <w:highlight w:val="none"/>
          <w:lang w:val="en-US" w:eastAsia="zh-CN" w:bidi="ar-SA"/>
        </w:rPr>
        <w:t>拟投入本项目实施人员</w:t>
      </w:r>
      <w:r>
        <w:rPr>
          <w:rFonts w:hint="eastAsia" w:ascii="仿宋" w:hAnsi="仿宋" w:eastAsia="仿宋" w:cs="仿宋"/>
          <w:color w:val="auto"/>
          <w:sz w:val="24"/>
          <w:highlight w:val="none"/>
        </w:rPr>
        <w:t>（格式见第五章）</w:t>
      </w:r>
      <w:r>
        <w:rPr>
          <w:rFonts w:hint="eastAsia" w:ascii="仿宋" w:hAnsi="仿宋" w:eastAsia="仿宋" w:cs="仿宋"/>
          <w:b w:val="0"/>
          <w:color w:val="auto"/>
          <w:kern w:val="2"/>
          <w:sz w:val="24"/>
          <w:szCs w:val="24"/>
          <w:highlight w:val="none"/>
          <w:lang w:val="en-US" w:eastAsia="zh-CN" w:bidi="ar-SA"/>
        </w:rPr>
        <w:t>；</w:t>
      </w:r>
    </w:p>
    <w:p w14:paraId="51970E9C">
      <w:pPr>
        <w:tabs>
          <w:tab w:val="left" w:pos="3870"/>
          <w:tab w:val="left" w:pos="4085"/>
        </w:tabs>
        <w:snapToGrid w:val="0"/>
        <w:spacing w:line="56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（3）商务部分：</w:t>
      </w:r>
    </w:p>
    <w:p w14:paraId="0F1A9278">
      <w:pPr>
        <w:tabs>
          <w:tab w:val="left" w:pos="3870"/>
          <w:tab w:val="left" w:pos="4085"/>
        </w:tabs>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①商务响应表（格式见第五章）；</w:t>
      </w:r>
    </w:p>
    <w:p w14:paraId="0BC2DD19">
      <w:pPr>
        <w:tabs>
          <w:tab w:val="left" w:pos="3870"/>
          <w:tab w:val="left" w:pos="4085"/>
        </w:tabs>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②售后服务承诺；</w:t>
      </w:r>
    </w:p>
    <w:p w14:paraId="727BC58D">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val="en-US" w:eastAsia="zh-CN"/>
        </w:rPr>
        <w:t>企业业绩</w:t>
      </w:r>
      <w:r>
        <w:rPr>
          <w:rFonts w:hint="eastAsia" w:ascii="仿宋" w:hAnsi="仿宋" w:eastAsia="仿宋" w:cs="仿宋"/>
          <w:color w:val="auto"/>
          <w:sz w:val="24"/>
          <w:highlight w:val="none"/>
        </w:rPr>
        <w:t>（格式见第五章）；</w:t>
      </w:r>
    </w:p>
    <w:p w14:paraId="0B4EBB17">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④企业认证</w:t>
      </w:r>
      <w:r>
        <w:rPr>
          <w:rFonts w:hint="eastAsia" w:ascii="仿宋" w:hAnsi="仿宋" w:eastAsia="仿宋" w:cs="仿宋"/>
          <w:color w:val="auto"/>
          <w:sz w:val="24"/>
          <w:highlight w:val="none"/>
          <w:lang w:eastAsia="zh-CN"/>
        </w:rPr>
        <w:t>；</w:t>
      </w:r>
    </w:p>
    <w:p w14:paraId="0673BC63">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⑤企业荣誉</w:t>
      </w:r>
      <w:r>
        <w:rPr>
          <w:rFonts w:hint="eastAsia" w:ascii="仿宋" w:hAnsi="仿宋" w:eastAsia="仿宋" w:cs="仿宋"/>
          <w:color w:val="auto"/>
          <w:sz w:val="24"/>
          <w:highlight w:val="none"/>
          <w:lang w:eastAsia="zh-CN"/>
        </w:rPr>
        <w:t>；</w:t>
      </w:r>
    </w:p>
    <w:p w14:paraId="67619304">
      <w:pPr>
        <w:tabs>
          <w:tab w:val="left" w:pos="3870"/>
          <w:tab w:val="left" w:pos="4085"/>
        </w:tabs>
        <w:snapToGrid w:val="0"/>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⑥企业实力。</w:t>
      </w:r>
    </w:p>
    <w:p w14:paraId="533FF4A7">
      <w:pPr>
        <w:spacing w:line="56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（4）资信及其他部分：</w:t>
      </w:r>
    </w:p>
    <w:p w14:paraId="26AD1EAF">
      <w:pPr>
        <w:snapToGrid w:val="0"/>
        <w:spacing w:line="560" w:lineRule="exact"/>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rPr>
        <w:t>①有效的营业执照、税务登记证、组织机构代码证或“三证合一”的营业执照或“五证合一”的营业执照</w:t>
      </w:r>
      <w:r>
        <w:rPr>
          <w:rFonts w:hint="eastAsia" w:ascii="仿宋" w:hAnsi="仿宋" w:eastAsia="仿宋" w:cs="仿宋"/>
          <w:b/>
          <w:color w:val="auto"/>
          <w:sz w:val="24"/>
          <w:highlight w:val="none"/>
        </w:rPr>
        <w:t>（资格审查条款）</w:t>
      </w:r>
      <w:r>
        <w:rPr>
          <w:rFonts w:hint="eastAsia" w:ascii="仿宋" w:hAnsi="仿宋" w:eastAsia="仿宋" w:cs="仿宋"/>
          <w:color w:val="auto"/>
          <w:sz w:val="24"/>
          <w:highlight w:val="none"/>
        </w:rPr>
        <w:t>；</w:t>
      </w:r>
    </w:p>
    <w:p w14:paraId="676483EE">
      <w:pPr>
        <w:snapToGrid w:val="0"/>
        <w:spacing w:line="56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②法定代表人有效身份证明书及身份证（法定代表人参加磋商提供）或法定代表人授权书及授权委托人身份证、授权委托人</w:t>
      </w:r>
      <w:r>
        <w:rPr>
          <w:rFonts w:hint="eastAsia" w:ascii="仿宋" w:hAnsi="仿宋" w:eastAsia="仿宋" w:cs="仿宋"/>
          <w:b w:val="0"/>
          <w:bCs w:val="0"/>
          <w:color w:val="auto"/>
          <w:sz w:val="24"/>
          <w:szCs w:val="24"/>
          <w:highlight w:val="none"/>
          <w:vertAlign w:val="baseline"/>
          <w:lang w:val="en-US" w:eastAsia="zh-CN"/>
        </w:rPr>
        <w:t>近三个月中任意一个月的社保证明</w:t>
      </w:r>
      <w:r>
        <w:rPr>
          <w:rFonts w:hint="eastAsia" w:ascii="仿宋" w:hAnsi="仿宋" w:eastAsia="仿宋" w:cs="仿宋"/>
          <w:color w:val="auto"/>
          <w:sz w:val="24"/>
          <w:highlight w:val="none"/>
        </w:rPr>
        <w:t>（法定代表人授权委托人参加磋商提供）</w:t>
      </w:r>
      <w:r>
        <w:rPr>
          <w:rFonts w:hint="eastAsia" w:ascii="仿宋" w:hAnsi="仿宋" w:eastAsia="仿宋" w:cs="仿宋"/>
          <w:b/>
          <w:color w:val="auto"/>
          <w:sz w:val="24"/>
          <w:highlight w:val="none"/>
        </w:rPr>
        <w:t>（资格审查条款）</w:t>
      </w:r>
      <w:r>
        <w:rPr>
          <w:rFonts w:hint="eastAsia" w:ascii="仿宋" w:hAnsi="仿宋" w:eastAsia="仿宋" w:cs="仿宋"/>
          <w:color w:val="auto"/>
          <w:sz w:val="24"/>
          <w:highlight w:val="none"/>
        </w:rPr>
        <w:t>；</w:t>
      </w:r>
    </w:p>
    <w:p w14:paraId="0067A455">
      <w:pPr>
        <w:snapToGrid w:val="0"/>
        <w:spacing w:line="560" w:lineRule="exact"/>
        <w:ind w:left="488" w:leftChars="228" w:hanging="9" w:hangingChars="4"/>
        <w:jc w:val="left"/>
        <w:rPr>
          <w:rFonts w:ascii="仿宋" w:hAnsi="仿宋" w:eastAsia="仿宋" w:cs="仿宋"/>
          <w:color w:val="auto"/>
          <w:sz w:val="24"/>
          <w:highlight w:val="none"/>
        </w:rPr>
      </w:pPr>
      <w:r>
        <w:rPr>
          <w:rFonts w:hint="eastAsia" w:ascii="仿宋" w:hAnsi="仿宋" w:eastAsia="仿宋" w:cs="仿宋"/>
          <w:color w:val="auto"/>
          <w:sz w:val="24"/>
          <w:highlight w:val="none"/>
        </w:rPr>
        <w:t>③承诺书（格式见第五章，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p>
    <w:p w14:paraId="79182068">
      <w:pPr>
        <w:snapToGrid w:val="0"/>
        <w:spacing w:line="560" w:lineRule="exact"/>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rPr>
        <w:t>④信用承诺书（格式见第五章，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p>
    <w:p w14:paraId="6D742B1A">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（5）其他磋商文件要求提供的或供应商认为需要说明的技术、商务、资信及其他文件内容。</w:t>
      </w:r>
    </w:p>
    <w:p w14:paraId="5079162F">
      <w:pPr>
        <w:spacing w:line="5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（二）《首次报价文件》：</w:t>
      </w:r>
    </w:p>
    <w:p w14:paraId="1DB4B477">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（1）响应函（格式见第五章）；</w:t>
      </w:r>
    </w:p>
    <w:p w14:paraId="5E71FE65">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（2）磋商报价表（首次报价）（格式见第五章）；</w:t>
      </w:r>
    </w:p>
    <w:p w14:paraId="26295DAE">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（3）报价明细表（如有，格式自拟）；</w:t>
      </w:r>
    </w:p>
    <w:p w14:paraId="5A7CF48B">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（4）中小企业声明函（</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rPr>
        <w:t>本项目所属行业：其他未列明行业，格式见第五章）；</w:t>
      </w:r>
    </w:p>
    <w:p w14:paraId="239D8FF9">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监狱企业声明函（如有，格式见第五章）；</w:t>
      </w:r>
    </w:p>
    <w:p w14:paraId="5F646AFF">
      <w:pPr>
        <w:snapToGrid w:val="0"/>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残疾人福利性单位声明函（如有，格式见第五章）</w:t>
      </w:r>
      <w:r>
        <w:rPr>
          <w:rFonts w:hint="eastAsia" w:ascii="仿宋" w:hAnsi="仿宋" w:eastAsia="仿宋" w:cs="仿宋"/>
          <w:color w:val="auto"/>
          <w:sz w:val="24"/>
          <w:highlight w:val="none"/>
          <w:lang w:eastAsia="zh-CN"/>
        </w:rPr>
        <w:t>；</w:t>
      </w:r>
    </w:p>
    <w:p w14:paraId="01CA8BDC">
      <w:pPr>
        <w:snapToGrid w:val="0"/>
        <w:spacing w:line="560" w:lineRule="exact"/>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磋商代理服务费承诺函（格式见第五章）；</w:t>
      </w:r>
    </w:p>
    <w:p w14:paraId="2CCD82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）供应商针对报价需要说明的其他材料（格式自拟）。</w:t>
      </w:r>
    </w:p>
    <w:p w14:paraId="7EBD6E3F">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9.磋商报价说明</w:t>
      </w:r>
    </w:p>
    <w:p w14:paraId="6031514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9.1响应报价应按采购文件中相关附表格式填写；</w:t>
      </w:r>
    </w:p>
    <w:p w14:paraId="23DAA6E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9.2供应商应按本磋商文件提供相应的报价，不得缺项和漏项，每一项目只允许有一个报价，任何有选择性的报价，将不予接受；</w:t>
      </w:r>
    </w:p>
    <w:p w14:paraId="6C2B2184">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供应商的报价应是完成本磋商文件规定内容所需发生的全部费用（包含税金、运输、保险、服务及其他应由供应商承担的费用），应为履行合同的最终价格，凡未列入表达清楚的，将被视为均已包含在投标总报价中；</w:t>
      </w:r>
    </w:p>
    <w:p w14:paraId="13DA3B6F">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9.4如实际服务中发生服务内容的调整须经采购人同意，增减服务内容的结算按相应成交价格计算；</w:t>
      </w:r>
    </w:p>
    <w:p w14:paraId="61FFF3D7">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9.5供应商的最后报价由供应商自担全部风险责任，成交后不得以任何理由调报价或追加任何费用；</w:t>
      </w:r>
    </w:p>
    <w:p w14:paraId="4243F5F1">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9.6各供应商拟采取的竞争措施和提供给采购人的优惠条件应在响应文件中列明，开标后提出的优惠条件一律不予考虑；</w:t>
      </w:r>
    </w:p>
    <w:p w14:paraId="7ADE4F7A">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9.7供应商所有优惠条件和优惠费用不得降低和影响本采购项目质量；</w:t>
      </w:r>
    </w:p>
    <w:p w14:paraId="1408C596">
      <w:pPr>
        <w:spacing w:line="5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9.8供应商对磋商文件里有关响应报价的全部内容应仔细确认，若有个别异议，应在开标前五天提出修改意见，否则视同全部确认；</w:t>
      </w:r>
    </w:p>
    <w:p w14:paraId="6248388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bCs/>
          <w:color w:val="auto"/>
          <w:sz w:val="24"/>
          <w:highlight w:val="none"/>
        </w:rPr>
        <w:t>供应商要按磋商项目内容、数量及服务要求，就采购事项按格式要求规范填写，并由法定代表人或授权代理人签署，未经采购人书面同意，</w:t>
      </w:r>
      <w:r>
        <w:rPr>
          <w:rFonts w:hint="eastAsia" w:ascii="仿宋" w:hAnsi="仿宋" w:eastAsia="仿宋" w:cs="仿宋"/>
          <w:color w:val="auto"/>
          <w:sz w:val="24"/>
          <w:highlight w:val="none"/>
        </w:rPr>
        <w:t>不得随意更改项目名称、计量单位，否则有可能被视为无效磋商；</w:t>
      </w:r>
    </w:p>
    <w:p w14:paraId="1D503F4B">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9.10磋商分二轮进行，首次报价在响应文件中体现；</w:t>
      </w:r>
    </w:p>
    <w:p w14:paraId="1D0CACDD">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9.11最后报价应通过政采云系统进行在线磋商、报价，若因系统原因无法在线磋商、报价时，可通过如下方式：代理机构通过电子邮箱（2756977296@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75DBE87D">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9.12各供应商应事先做好充足准备，如未能在规定的时间内进行最后报价，作自动放弃处理；</w:t>
      </w:r>
    </w:p>
    <w:p w14:paraId="3D6A4C4A">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9.13</w:t>
      </w:r>
      <w:r>
        <w:rPr>
          <w:rFonts w:hint="eastAsia" w:ascii="仿宋" w:hAnsi="仿宋" w:eastAsia="仿宋" w:cs="仿宋"/>
          <w:bCs/>
          <w:color w:val="auto"/>
          <w:sz w:val="24"/>
          <w:highlight w:val="none"/>
        </w:rPr>
        <w:t>响应文件中的所有报价均以人民币（元）为单位；</w:t>
      </w:r>
    </w:p>
    <w:p w14:paraId="4D69C78F">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9.14采购人不接受备选方案。</w:t>
      </w:r>
    </w:p>
    <w:p w14:paraId="70A0488B">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10.磋商有效期</w:t>
      </w:r>
    </w:p>
    <w:p w14:paraId="46E2949B">
      <w:pPr>
        <w:tabs>
          <w:tab w:val="left" w:pos="1440"/>
          <w:tab w:val="left" w:pos="1620"/>
        </w:tabs>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Cs/>
          <w:color w:val="auto"/>
          <w:sz w:val="24"/>
          <w:highlight w:val="none"/>
        </w:rPr>
        <w:t>自磋商开始之日起60天内。有效期短于这个规定期限的响应文件，将被拒绝；</w:t>
      </w:r>
    </w:p>
    <w:p w14:paraId="7FF8986D">
      <w:pPr>
        <w:tabs>
          <w:tab w:val="left" w:pos="1440"/>
          <w:tab w:val="left" w:pos="16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6E66339D">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11.响应文件的签署和份数</w:t>
      </w:r>
    </w:p>
    <w:p w14:paraId="6304F215">
      <w:pPr>
        <w:tabs>
          <w:tab w:val="left" w:pos="1440"/>
          <w:tab w:val="left" w:pos="1620"/>
        </w:tabs>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11.1电子响应文件：</w:t>
      </w:r>
    </w:p>
    <w:p w14:paraId="0BF4F068">
      <w:pPr>
        <w:tabs>
          <w:tab w:val="left" w:pos="1440"/>
          <w:tab w:val="left" w:pos="16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3E5375BD">
      <w:pPr>
        <w:tabs>
          <w:tab w:val="left" w:pos="1440"/>
          <w:tab w:val="left" w:pos="1620"/>
        </w:tabs>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11.2数据电子备份响应文件（U盘）：</w:t>
      </w:r>
    </w:p>
    <w:p w14:paraId="123DC00B">
      <w:pPr>
        <w:tabs>
          <w:tab w:val="left" w:pos="1440"/>
          <w:tab w:val="left" w:pos="16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3F99D620">
      <w:pPr>
        <w:autoSpaceDE w:val="0"/>
        <w:autoSpaceDN w:val="0"/>
        <w:spacing w:line="5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kern w:val="0"/>
          <w:sz w:val="24"/>
          <w:highlight w:val="none"/>
        </w:rPr>
        <w:t>响应文件需按磋商文件要求的格式填写，未按规定格式填写将有可能视为无效响应文件；</w:t>
      </w:r>
    </w:p>
    <w:p w14:paraId="05726DCA">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kern w:val="0"/>
          <w:sz w:val="24"/>
          <w:highlight w:val="none"/>
        </w:rPr>
        <w:t>除供应商对错处做必要修改外，响应文件不得行间插字、涂改和增删，如有修改错漏处，应由供应商加盖校对章。</w:t>
      </w:r>
    </w:p>
    <w:p w14:paraId="4FB7CF7D">
      <w:pPr>
        <w:pStyle w:val="3"/>
        <w:spacing w:line="560" w:lineRule="exact"/>
        <w:jc w:val="center"/>
        <w:rPr>
          <w:rFonts w:ascii="仿宋" w:hAnsi="仿宋" w:eastAsia="仿宋" w:cs="仿宋"/>
          <w:color w:val="auto"/>
          <w:kern w:val="44"/>
          <w:sz w:val="28"/>
          <w:szCs w:val="28"/>
          <w:highlight w:val="none"/>
        </w:rPr>
      </w:pPr>
      <w:bookmarkStart w:id="12" w:name="_Toc452995898"/>
      <w:r>
        <w:rPr>
          <w:rFonts w:hint="eastAsia" w:ascii="仿宋" w:hAnsi="仿宋" w:eastAsia="仿宋" w:cs="仿宋"/>
          <w:color w:val="auto"/>
          <w:kern w:val="44"/>
          <w:sz w:val="28"/>
          <w:szCs w:val="28"/>
          <w:highlight w:val="none"/>
        </w:rPr>
        <w:t>三、响应文件的提交</w:t>
      </w:r>
      <w:bookmarkEnd w:id="12"/>
    </w:p>
    <w:p w14:paraId="0E5AD51B">
      <w:pPr>
        <w:tabs>
          <w:tab w:val="left" w:pos="720"/>
        </w:tabs>
        <w:spacing w:line="5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Cs/>
          <w:color w:val="auto"/>
          <w:sz w:val="24"/>
          <w:highlight w:val="none"/>
        </w:rPr>
        <w:t>.数据电子备份响应文件（U盘）的密封及标记</w:t>
      </w:r>
    </w:p>
    <w:p w14:paraId="6E1AE0A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12.1供应商在数据电子备份响应文件（U盘）包封上应注明项目名称、项目编号、供应商名称并加盖供应商盖章；</w:t>
      </w:r>
    </w:p>
    <w:p w14:paraId="5930F11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12.2如果数据电子备份响应文件（U盘）未按上述要求密封和加写标记，采购人有权予以拒绝此响应文件，视为未提供，并退回供应商；</w:t>
      </w:r>
    </w:p>
    <w:p w14:paraId="3BA70B3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12.3如果因密封不严、标记不明而造成过早启封、失密等情况，</w:t>
      </w:r>
      <w:r>
        <w:rPr>
          <w:rFonts w:hint="eastAsia" w:ascii="仿宋" w:hAnsi="仿宋" w:eastAsia="仿宋" w:cs="仿宋"/>
          <w:bCs/>
          <w:color w:val="auto"/>
          <w:sz w:val="24"/>
          <w:highlight w:val="none"/>
        </w:rPr>
        <w:t>采购代理机构</w:t>
      </w:r>
      <w:r>
        <w:rPr>
          <w:rFonts w:hint="eastAsia" w:ascii="仿宋" w:hAnsi="仿宋" w:eastAsia="仿宋" w:cs="仿宋"/>
          <w:color w:val="auto"/>
          <w:sz w:val="24"/>
          <w:highlight w:val="none"/>
        </w:rPr>
        <w:t>概不负责。</w:t>
      </w:r>
    </w:p>
    <w:p w14:paraId="0A6FD4EE">
      <w:pPr>
        <w:tabs>
          <w:tab w:val="left" w:pos="720"/>
        </w:tabs>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13.响应文件的递交及磋商截止时间：</w:t>
      </w:r>
    </w:p>
    <w:p w14:paraId="5CCE5C3E">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29D1D9A5">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顺丰），邮寄地址为：浙江新诚信工程咨询有限公司  [湖州市太湖路1155号14层1402室]，联系电话：18768247439。邮寄截止时间：供应商应于2025年月日17:00时前准时送达，逾期不予受理，未按时送达的，均按未提供处理；</w:t>
      </w:r>
    </w:p>
    <w:p w14:paraId="777DC4C8">
      <w:pPr>
        <w:tabs>
          <w:tab w:val="left" w:pos="720"/>
        </w:tabs>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w:t>
      </w:r>
    </w:p>
    <w:p w14:paraId="2F68ED17">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13.4采购代理机构可通过修改磋商文件酌情延长递交响应文件的截止时间，在此情况下，供应商的所有权利和义务以及供应商的磋商截止时间均应以延长后新的截止时间为准；</w:t>
      </w:r>
    </w:p>
    <w:p w14:paraId="57EC7C68">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13.5供应商的修改书和撤回通知应在规定的磋商截止日期前按规定的时间及方式（邮箱或传真等）送达；</w:t>
      </w:r>
    </w:p>
    <w:p w14:paraId="239B2D7E">
      <w:pPr>
        <w:tabs>
          <w:tab w:val="left" w:pos="72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13.6采购代理机构收到供应商的响应文件或修改撤回通知书后，应当出具签收单（或收回签收单），通过邮箱或传真等方式送达；</w:t>
      </w:r>
    </w:p>
    <w:p w14:paraId="2670EB42">
      <w:pPr>
        <w:tabs>
          <w:tab w:val="left" w:pos="720"/>
        </w:tabs>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7755148">
      <w:pPr>
        <w:tabs>
          <w:tab w:val="left" w:pos="720"/>
        </w:tabs>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14.迟交的响应文件</w:t>
      </w:r>
    </w:p>
    <w:p w14:paraId="517DC19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采购人将不接受在规定的磋商截止时间后收到的任何响应文件。</w:t>
      </w:r>
    </w:p>
    <w:p w14:paraId="2C2413E6">
      <w:pPr>
        <w:tabs>
          <w:tab w:val="left" w:pos="720"/>
        </w:tabs>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15.响应文件的修改和撤回</w:t>
      </w:r>
    </w:p>
    <w:p w14:paraId="7158213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15.1供应商在提交响应文件后，可以修改或撤回其响应文件，但这种修改和撤回通知，必须在规定的磋商截止时间前，以书面形式（包括邮箱或传真等方式）通知采购代理机构；</w:t>
      </w:r>
    </w:p>
    <w:p w14:paraId="7E8D511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15.2在磋商截止时间至规定的磋商有效期满之间的这段时间，供应商不得撤回其响应文件。</w:t>
      </w:r>
    </w:p>
    <w:p w14:paraId="518A4089">
      <w:pPr>
        <w:tabs>
          <w:tab w:val="left" w:pos="720"/>
        </w:tabs>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16.出现以下情形，导致电子交易平台无法正常进行，或者无法保证电子交易的公平、公正和安全时，中止电子交易活动：</w:t>
      </w:r>
    </w:p>
    <w:p w14:paraId="0C9317B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16.1电子交易平台发生故障而无法登录访问的；</w:t>
      </w:r>
    </w:p>
    <w:p w14:paraId="23F8197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16.2电子交易平台应用或数据库出现错误，不能进行正常操作的；</w:t>
      </w:r>
    </w:p>
    <w:p w14:paraId="6CCCAEE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16.3电子交易平台发现严重安全漏洞，有潜在泄密危险的；</w:t>
      </w:r>
    </w:p>
    <w:p w14:paraId="02A53EB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16.4病毒发作导致不能进行正常操作的；</w:t>
      </w:r>
    </w:p>
    <w:p w14:paraId="4711BA0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16.5其他无法保证电子交易的公平、公正和安全的情况。</w:t>
      </w:r>
    </w:p>
    <w:p w14:paraId="4F5AC50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1219D1E0">
      <w:pPr>
        <w:pStyle w:val="3"/>
        <w:spacing w:line="560" w:lineRule="exact"/>
        <w:jc w:val="center"/>
        <w:rPr>
          <w:rFonts w:ascii="仿宋" w:hAnsi="仿宋" w:eastAsia="仿宋" w:cs="仿宋"/>
          <w:color w:val="auto"/>
          <w:sz w:val="28"/>
          <w:szCs w:val="28"/>
          <w:highlight w:val="none"/>
        </w:rPr>
      </w:pPr>
      <w:bookmarkStart w:id="13" w:name="_Toc452995899"/>
      <w:r>
        <w:rPr>
          <w:rFonts w:hint="eastAsia" w:ascii="仿宋" w:hAnsi="仿宋" w:eastAsia="仿宋" w:cs="仿宋"/>
          <w:color w:val="auto"/>
          <w:kern w:val="44"/>
          <w:sz w:val="28"/>
          <w:szCs w:val="28"/>
          <w:highlight w:val="none"/>
        </w:rPr>
        <w:t>四、</w:t>
      </w:r>
      <w:r>
        <w:rPr>
          <w:rFonts w:hint="eastAsia" w:ascii="仿宋" w:hAnsi="仿宋" w:eastAsia="仿宋" w:cs="仿宋"/>
          <w:color w:val="auto"/>
          <w:sz w:val="28"/>
          <w:szCs w:val="28"/>
          <w:highlight w:val="none"/>
        </w:rPr>
        <w:t>磋商</w:t>
      </w:r>
      <w:r>
        <w:rPr>
          <w:rFonts w:hint="eastAsia" w:ascii="仿宋" w:hAnsi="仿宋" w:eastAsia="仿宋" w:cs="仿宋"/>
          <w:color w:val="auto"/>
          <w:spacing w:val="14"/>
          <w:sz w:val="28"/>
          <w:szCs w:val="28"/>
          <w:highlight w:val="none"/>
        </w:rPr>
        <w:t>规则、</w:t>
      </w:r>
      <w:r>
        <w:rPr>
          <w:rFonts w:hint="eastAsia" w:ascii="仿宋" w:hAnsi="仿宋" w:eastAsia="仿宋" w:cs="仿宋"/>
          <w:color w:val="auto"/>
          <w:sz w:val="28"/>
          <w:szCs w:val="28"/>
          <w:highlight w:val="none"/>
        </w:rPr>
        <w:t>程序</w:t>
      </w:r>
      <w:bookmarkEnd w:id="13"/>
    </w:p>
    <w:p w14:paraId="409EF002">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17.磋商规则</w:t>
      </w:r>
    </w:p>
    <w:p w14:paraId="3A9FC12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17.1采购代理机构将于本须知前附表规定的时间和地点召开磋商会，所有供应商均应准时参加磋商会，本项目的磋商会采用不见面线上模式，供应商登录政采云平台在线响应；</w:t>
      </w:r>
    </w:p>
    <w:p w14:paraId="0227F63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17.2磋商会由采购代理机构主持。</w:t>
      </w:r>
    </w:p>
    <w:p w14:paraId="3640335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17.3对供应商的磋商文件出现下列情况之一的，按照无效响应文件处理：</w:t>
      </w:r>
    </w:p>
    <w:p w14:paraId="35D3B9E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17.3.1电子响应文件逾期未上传、传输的将拒绝接收；</w:t>
      </w:r>
    </w:p>
    <w:p w14:paraId="5EFFE2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17.3.2不具备磋商文件中规定的资格条件要求的；</w:t>
      </w:r>
    </w:p>
    <w:p w14:paraId="3C4BE9C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17.3.3供应商提交两份或两份以上内容不同的响应文件，或在一份响应文件中对同一采购项目有两个或两个以上报价的；</w:t>
      </w:r>
    </w:p>
    <w:p w14:paraId="26DDC69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17.3.4响应文件载明的采购项目完成期限超过磋商文件规定的期限，采购人不能接受的；</w:t>
      </w:r>
    </w:p>
    <w:p w14:paraId="631EF1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17.3.5响应文件载明的采购项目磋商有效期、服务期少于磋商文件规定期限的；</w:t>
      </w:r>
    </w:p>
    <w:p w14:paraId="1D68669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17.3.6响应文件未响应磋商文件规定的付款方式的；</w:t>
      </w:r>
    </w:p>
    <w:p w14:paraId="1E70FE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17.3.7响应货物或服务的技术规范、技术标准明显不符合国家强制性要求的；</w:t>
      </w:r>
    </w:p>
    <w:p w14:paraId="23796B4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17.3.8响应货物或服务载明的验收标准和方法等不符合国家规定及竞争性磋商文件要求的；</w:t>
      </w:r>
    </w:p>
    <w:p w14:paraId="73EC09B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17.3.9响应文件字迹模糊辨认不清的（磋商小组一致认为难以确认）；</w:t>
      </w:r>
    </w:p>
    <w:p w14:paraId="23F588C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17.3.10提供不真实资料的；</w:t>
      </w:r>
    </w:p>
    <w:p w14:paraId="276637F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17.3.11不符合法律、法规和磋商文件规定的其他实质性要求（磋商小组一致认定）的；</w:t>
      </w:r>
    </w:p>
    <w:p w14:paraId="786EA9C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17.3.12磋商服务的服务指标、参数等存在实质性偏离（磋商小组一致认定）的；</w:t>
      </w:r>
    </w:p>
    <w:p w14:paraId="06B3C29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17.3.13二分之一以上的磋商小组认为供应商报价明显高于市场平均价的；</w:t>
      </w:r>
    </w:p>
    <w:p w14:paraId="304EE36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17.3.14未在浙江政府采购网（政采云平台）完成本项目网上报名的；</w:t>
      </w:r>
    </w:p>
    <w:p w14:paraId="36356F9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17.3.15法律、法规、规章及省级以上规范性文件等规定的其他情形；</w:t>
      </w:r>
    </w:p>
    <w:p w14:paraId="17FC7F7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17.3.16未响应磋商文件中“▲”实质性条款。</w:t>
      </w:r>
    </w:p>
    <w:p w14:paraId="51E42D49">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18.磋商小组与磋商原则</w:t>
      </w:r>
    </w:p>
    <w:p w14:paraId="0E65C9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磋商小组由采购代理机构依法组建，负责磋商活动。磋商小组遵循公开、公平、公正、科学合理，竞争择优的原则。</w:t>
      </w:r>
    </w:p>
    <w:p w14:paraId="0C9AFDDE">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19.磋商过程的保密</w:t>
      </w:r>
    </w:p>
    <w:p w14:paraId="4EE4C0D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19.1磋商会开始后，直至授予成交供应商合同为止，凡属于对响应文件的审查、澄清、评判和比较的有关资料、成交候选供应商的推荐情况及与磋商有关的其他任何情况均依法严格保密；</w:t>
      </w:r>
    </w:p>
    <w:p w14:paraId="4BC3F9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19.2在响应文件的评判和比较、成交候选供应商推荐以及授予合同的过程中，供应商向采购人和磋商小组施加影响的任何行为，都将会导致其磋商被拒绝；</w:t>
      </w:r>
    </w:p>
    <w:p w14:paraId="2FE1D1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19.3磋商小组通过政采云系统分别与各供应商进行技术、商务、资信及价格磋商，在磋商过程中，磋商小组成员不得透露其他供应商的磋商信息，严守商业秘密；</w:t>
      </w:r>
    </w:p>
    <w:p w14:paraId="46B1B4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19.4供应商有下列情形之一的，视为供应商串通磋商，其磋商无效：</w:t>
      </w:r>
    </w:p>
    <w:p w14:paraId="6FF7A37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19.4.1不同供应商的响应文件由同一单位或者个人编制；</w:t>
      </w:r>
    </w:p>
    <w:p w14:paraId="7EAE09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19.4.2不同供应商委托同一单位或者个人办理磋商事宜；</w:t>
      </w:r>
    </w:p>
    <w:p w14:paraId="69C05E5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19.4.3不同供应商的响应文件载明的项目管理成员或者联系人员为同一人；</w:t>
      </w:r>
    </w:p>
    <w:p w14:paraId="2084959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19.4.4不同供应商的响应文件异常一致或者响应报价呈规律性差异；</w:t>
      </w:r>
    </w:p>
    <w:p w14:paraId="53D0402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19.4.5不同供应商的数据电子备份响应文件（U盘）相互混装。</w:t>
      </w:r>
    </w:p>
    <w:p w14:paraId="7E17DA9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19.5供应商有下列情形之一的，属于恶意串通，其磋商无效：</w:t>
      </w:r>
    </w:p>
    <w:p w14:paraId="05082DB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19.5.1供应商直接或者间接从采购人或者采购代理机构处获得其他供应商的相关情况并修改其响应文件；</w:t>
      </w:r>
    </w:p>
    <w:p w14:paraId="28B9370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19.5.2供应商按照采购人或者采购代理机构的授意撤换、修改响应文件；</w:t>
      </w:r>
    </w:p>
    <w:p w14:paraId="5A2EA25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19.5.3供应商之间协商报价、技术方案等响应文件的实质性内容；</w:t>
      </w:r>
    </w:p>
    <w:p w14:paraId="2F1838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19.5.4属于同一集团、协会、商会等组织成员的供应商按照该组织要求协同参加政府采购活动；</w:t>
      </w:r>
    </w:p>
    <w:p w14:paraId="7786933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19.5.5供应商之间事先约定由某一特定供应商成交；</w:t>
      </w:r>
    </w:p>
    <w:p w14:paraId="5F7CE5E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19.5.6供应商之间商定部分供应商放弃参加政府采购活动或者放弃成交；</w:t>
      </w:r>
    </w:p>
    <w:p w14:paraId="66329E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19.5.7供应商与采购人或者采购代理机构之间、供应商相互之间，为谋求特定供应商成交或者排斥其他供应商的其他串通行为。</w:t>
      </w:r>
    </w:p>
    <w:p w14:paraId="360767D3">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供应商存在下列情形之一且无法合理解释的，其投标(响应)文件无效</w:t>
      </w:r>
      <w:r>
        <w:rPr>
          <w:rFonts w:hint="eastAsia" w:ascii="仿宋" w:hAnsi="仿宋" w:eastAsia="仿宋" w:cs="仿宋"/>
          <w:color w:val="auto"/>
          <w:sz w:val="24"/>
          <w:highlight w:val="none"/>
          <w:lang w:eastAsia="zh-CN"/>
        </w:rPr>
        <w:t>：</w:t>
      </w:r>
    </w:p>
    <w:p w14:paraId="4F77FEAB">
      <w:pPr>
        <w:numPr>
          <w:ilvl w:val="0"/>
          <w:numId w:val="0"/>
        </w:num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19.6.1</w:t>
      </w:r>
      <w:r>
        <w:rPr>
          <w:rFonts w:hint="eastAsia" w:ascii="仿宋" w:hAnsi="仿宋" w:eastAsia="仿宋" w:cs="仿宋"/>
          <w:color w:val="auto"/>
          <w:sz w:val="24"/>
          <w:highlight w:val="none"/>
        </w:rPr>
        <w:t>不同供应商的电子投标(响应)文件上传计算机的网卡MAC 地址或硬盘序列号等硬件信息相同的；</w:t>
      </w:r>
    </w:p>
    <w:p w14:paraId="63337307">
      <w:pPr>
        <w:numPr>
          <w:ilvl w:val="0"/>
          <w:numId w:val="0"/>
        </w:num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19.6.2上传的电子投标(响应)文件若出现使用本项目其他投标(响应)供应商的数字证书加密的，或者加盖本项目其他投标(响应)供应商的电子印章的；</w:t>
      </w:r>
    </w:p>
    <w:p w14:paraId="538C7C59">
      <w:pPr>
        <w:numPr>
          <w:ilvl w:val="0"/>
          <w:numId w:val="0"/>
        </w:numPr>
        <w:spacing w:line="560" w:lineRule="exact"/>
        <w:ind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19.6.3</w:t>
      </w:r>
      <w:r>
        <w:rPr>
          <w:rFonts w:hint="eastAsia" w:ascii="仿宋" w:hAnsi="仿宋" w:eastAsia="仿宋" w:cs="仿宋"/>
          <w:color w:val="auto"/>
          <w:sz w:val="24"/>
          <w:highlight w:val="none"/>
        </w:rPr>
        <w:t>不同供应商的投标(响应)文件的内容存在3处(含)以上错误一致的；</w:t>
      </w:r>
    </w:p>
    <w:p w14:paraId="4E373296">
      <w:pPr>
        <w:numPr>
          <w:ilvl w:val="0"/>
          <w:numId w:val="0"/>
        </w:numPr>
        <w:spacing w:line="560" w:lineRule="exact"/>
        <w:ind w:leftChars="20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19.6.4</w:t>
      </w:r>
      <w:r>
        <w:rPr>
          <w:rFonts w:hint="eastAsia" w:ascii="仿宋" w:hAnsi="仿宋" w:eastAsia="仿宋" w:cs="仿宋"/>
          <w:color w:val="auto"/>
          <w:sz w:val="24"/>
          <w:highlight w:val="none"/>
        </w:rPr>
        <w:t>不同供应商联系人为同一人或不同联系人的联系电话一致的。</w:t>
      </w:r>
    </w:p>
    <w:p w14:paraId="217BA488">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20.响应文件的澄清</w:t>
      </w:r>
    </w:p>
    <w:p w14:paraId="294D550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为有助于响应文件的审查、评判和比较，磋商小组可以要求供应商对响应文件含义不明确的内容作必要的澄清或说明，供应商应通过政采云系统采用书面形式进行必要的澄清、说明或承诺。</w:t>
      </w:r>
    </w:p>
    <w:p w14:paraId="40FF26B9">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pacing w:val="14"/>
          <w:sz w:val="24"/>
          <w:highlight w:val="none"/>
        </w:rPr>
        <w:t>磋商程序与方法</w:t>
      </w:r>
    </w:p>
    <w:p w14:paraId="22DCED3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21.1资格性审查</w:t>
      </w:r>
    </w:p>
    <w:p w14:paraId="4E1178D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磋商小组依据法律、法规和磋商文件规定，对响应文件中的资格证明等进行审查，以确定供应商是否具备磋商资格。</w:t>
      </w:r>
      <w:r>
        <w:rPr>
          <w:rFonts w:hint="eastAsia" w:ascii="仿宋" w:hAnsi="仿宋" w:eastAsia="仿宋" w:cs="仿宋"/>
          <w:b/>
          <w:color w:val="auto"/>
          <w:sz w:val="24"/>
          <w:highlight w:val="none"/>
          <w:u w:val="single"/>
        </w:rPr>
        <w:t>审查内容详见响应文件组成中资格审查条款1-</w:t>
      </w:r>
      <w:r>
        <w:rPr>
          <w:rFonts w:hint="eastAsia" w:ascii="仿宋" w:hAnsi="仿宋" w:eastAsia="仿宋" w:cs="仿宋"/>
          <w:b/>
          <w:color w:val="auto"/>
          <w:sz w:val="24"/>
          <w:highlight w:val="none"/>
          <w:u w:val="single"/>
          <w:lang w:val="en-US" w:eastAsia="zh-CN"/>
        </w:rPr>
        <w:t>4</w:t>
      </w:r>
      <w:r>
        <w:rPr>
          <w:rFonts w:hint="eastAsia" w:ascii="仿宋" w:hAnsi="仿宋" w:eastAsia="仿宋" w:cs="仿宋"/>
          <w:color w:val="auto"/>
          <w:sz w:val="24"/>
          <w:highlight w:val="none"/>
        </w:rPr>
        <w:t>。</w:t>
      </w:r>
    </w:p>
    <w:p w14:paraId="7B2A4C8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21.2初步审查</w:t>
      </w:r>
    </w:p>
    <w:p w14:paraId="3C16CC6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磋商小组对通过资格性检查的供应商进行</w:t>
      </w:r>
      <w:r>
        <w:rPr>
          <w:rFonts w:hint="eastAsia" w:ascii="仿宋" w:hAnsi="仿宋" w:eastAsia="仿宋" w:cs="仿宋"/>
          <w:bCs/>
          <w:color w:val="auto"/>
          <w:sz w:val="24"/>
          <w:highlight w:val="none"/>
        </w:rPr>
        <w:t>符合性</w:t>
      </w:r>
      <w:r>
        <w:rPr>
          <w:rFonts w:hint="eastAsia" w:ascii="仿宋" w:hAnsi="仿宋" w:eastAsia="仿宋" w:cs="仿宋"/>
          <w:color w:val="auto"/>
          <w:sz w:val="24"/>
          <w:highlight w:val="none"/>
        </w:rPr>
        <w:t>检查。依据磋商文件的规定，从响应文件的有效性、完整性和对磋商文件的响应程度进行初步审查，以确定是否对磋商文件的实质性要求作出响应。</w:t>
      </w:r>
    </w:p>
    <w:p w14:paraId="3B51A57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13A3A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21.4响应文件计算错误的修正</w:t>
      </w:r>
    </w:p>
    <w:p w14:paraId="14FDD37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21.4.1响应文件中磋商报价一览表内容与响应文件中磋商分项报价表内容不一致的，以磋商报价一览表为准；</w:t>
      </w:r>
    </w:p>
    <w:p w14:paraId="2434ABE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21.4.2响应文件的大写金额和小写金额不一致的，以大写金额为准；</w:t>
      </w:r>
    </w:p>
    <w:p w14:paraId="3BE490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21.4.3总</w:t>
      </w:r>
      <w:r>
        <w:rPr>
          <w:rFonts w:hint="eastAsia" w:ascii="仿宋" w:hAnsi="仿宋" w:eastAsia="仿宋" w:cs="仿宋"/>
          <w:color w:val="auto"/>
          <w:spacing w:val="-8"/>
          <w:sz w:val="24"/>
          <w:highlight w:val="none"/>
        </w:rPr>
        <w:t>价金额与按单价汇总金额不一致的，以单价金额计算结果为准</w:t>
      </w:r>
      <w:r>
        <w:rPr>
          <w:rFonts w:hint="eastAsia" w:ascii="仿宋" w:hAnsi="仿宋" w:eastAsia="仿宋" w:cs="仿宋"/>
          <w:color w:val="auto"/>
          <w:sz w:val="24"/>
          <w:highlight w:val="none"/>
        </w:rPr>
        <w:t>。</w:t>
      </w:r>
    </w:p>
    <w:p w14:paraId="23A4ECF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21.4.4单价金额小数点有明显错位的，应以总价为准，并修改单价；</w:t>
      </w:r>
    </w:p>
    <w:p w14:paraId="3DF134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21.4.5对不同文字文本响应文件的解释发生异议的，以中文文本为准。</w:t>
      </w:r>
    </w:p>
    <w:p w14:paraId="45B3BAC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21.5技术、商务、资信及其他部分磋商结束后，所有供应商须按磋商小组要求，在规定时间内通过政采云系统进行最后报价，并提交至磋商小组。</w:t>
      </w:r>
    </w:p>
    <w:p w14:paraId="532505DB">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21.6</w:t>
      </w:r>
      <w:r>
        <w:rPr>
          <w:rFonts w:hint="eastAsia" w:ascii="仿宋" w:hAnsi="仿宋" w:eastAsia="仿宋" w:cs="仿宋"/>
          <w:bCs/>
          <w:color w:val="auto"/>
          <w:sz w:val="24"/>
          <w:highlight w:val="none"/>
        </w:rPr>
        <w:t>确定成交供应商</w:t>
      </w:r>
    </w:p>
    <w:p w14:paraId="3217268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21.6.1在全部满足磋商文件实质性要求的前提下，按综合得分高低确定成交供应商。</w:t>
      </w:r>
    </w:p>
    <w:p w14:paraId="3DA22AD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21.6.2采购代理机构应当在磋商结束后二个工作日内将磋商评审报告送采购人确认。</w:t>
      </w:r>
    </w:p>
    <w:p w14:paraId="025A3BA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21.6.3采购人应当在收到磋商评审报告后五个工作日内，按照磋商评审报告中推荐的排列顺序依法确定成交供应商。</w:t>
      </w:r>
    </w:p>
    <w:p w14:paraId="23C9B5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70F18C49">
      <w:pPr>
        <w:spacing w:line="5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Cs/>
          <w:color w:val="auto"/>
          <w:sz w:val="24"/>
          <w:highlight w:val="none"/>
        </w:rPr>
        <w:t>成交公告</w:t>
      </w:r>
    </w:p>
    <w:p w14:paraId="575E1CD8">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采购代理机构应当在收到采购人书面确定的成交供应商通知后将成交结果在原发布磋商公告的媒体上予以公告。公告期按有关规定执行。</w:t>
      </w:r>
    </w:p>
    <w:p w14:paraId="48758516">
      <w:pPr>
        <w:spacing w:line="5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23.成交通知</w:t>
      </w:r>
    </w:p>
    <w:p w14:paraId="36B3C9C9">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bCs/>
          <w:color w:val="auto"/>
          <w:sz w:val="24"/>
          <w:highlight w:val="none"/>
        </w:rPr>
        <w:t>在磋商有效期内，</w:t>
      </w:r>
      <w:r>
        <w:rPr>
          <w:rFonts w:hint="eastAsia" w:ascii="仿宋" w:hAnsi="仿宋" w:eastAsia="仿宋" w:cs="仿宋"/>
          <w:color w:val="auto"/>
          <w:sz w:val="24"/>
          <w:highlight w:val="none"/>
        </w:rPr>
        <w:t>采购代理机构</w:t>
      </w:r>
      <w:r>
        <w:rPr>
          <w:rFonts w:hint="eastAsia" w:ascii="仿宋" w:hAnsi="仿宋" w:eastAsia="仿宋" w:cs="仿宋"/>
          <w:bCs/>
          <w:color w:val="auto"/>
          <w:sz w:val="24"/>
          <w:highlight w:val="none"/>
        </w:rPr>
        <w:t>可以书面形式通知所选定的成交供应商。通知也可以传真、信函的形式，但需要以书面确认，</w:t>
      </w:r>
      <w:r>
        <w:rPr>
          <w:rFonts w:hint="eastAsia" w:ascii="仿宋" w:hAnsi="仿宋" w:eastAsia="仿宋" w:cs="仿宋"/>
          <w:color w:val="auto"/>
          <w:sz w:val="24"/>
          <w:highlight w:val="none"/>
        </w:rPr>
        <w:t>领取成交通知书前须完成以下事项：</w:t>
      </w:r>
    </w:p>
    <w:p w14:paraId="792D526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23.2成交通知书为双方签订合同的依据；</w:t>
      </w:r>
    </w:p>
    <w:p w14:paraId="1422DD3E">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sz w:val="24"/>
          <w:highlight w:val="none"/>
        </w:rPr>
        <w:t>23.3成交供应商应根据成交通知书中规定的时间内，由法定代表人或其授权代理人与采购人签订合同。</w:t>
      </w:r>
    </w:p>
    <w:p w14:paraId="76D1AE03">
      <w:pPr>
        <w:spacing w:line="5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bCs/>
          <w:color w:val="auto"/>
          <w:sz w:val="24"/>
          <w:highlight w:val="none"/>
        </w:rPr>
        <w:t>废标</w:t>
      </w:r>
    </w:p>
    <w:p w14:paraId="2816190F">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在磋商中，出现下列情形之一的，应予废标：</w:t>
      </w:r>
    </w:p>
    <w:p w14:paraId="0455C8B1">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24.1出现影响采购公正的违法、违规行为的；</w:t>
      </w:r>
    </w:p>
    <w:p w14:paraId="3D61793C">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24.2因重大变故，采购任务取消的；</w:t>
      </w:r>
    </w:p>
    <w:p w14:paraId="6A757DFF">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24.3供应商的报价均超采购预算的，采购人不能支付的；</w:t>
      </w:r>
    </w:p>
    <w:p w14:paraId="6DDED4E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24.4</w:t>
      </w:r>
      <w:r>
        <w:rPr>
          <w:rFonts w:hint="eastAsia" w:ascii="仿宋" w:hAnsi="仿宋" w:eastAsia="仿宋" w:cs="仿宋"/>
          <w:bCs/>
          <w:snapToGrid w:val="0"/>
          <w:color w:val="auto"/>
          <w:sz w:val="24"/>
          <w:highlight w:val="none"/>
        </w:rPr>
        <w:t>法律、法规、规章等规定的其他情形除外。</w:t>
      </w:r>
    </w:p>
    <w:p w14:paraId="23E8DD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废标后，采购代理机构将废标理由通知所有供应商。</w:t>
      </w:r>
    </w:p>
    <w:p w14:paraId="4B453416">
      <w:pPr>
        <w:spacing w:line="560" w:lineRule="exact"/>
        <w:ind w:firstLine="536" w:firstLineChars="200"/>
        <w:rPr>
          <w:rFonts w:ascii="仿宋" w:hAnsi="仿宋" w:eastAsia="仿宋" w:cs="仿宋"/>
          <w:bCs/>
          <w:color w:val="auto"/>
          <w:spacing w:val="14"/>
          <w:sz w:val="24"/>
          <w:highlight w:val="none"/>
          <w:u w:val="single"/>
        </w:rPr>
      </w:pPr>
      <w:r>
        <w:rPr>
          <w:rFonts w:hint="eastAsia" w:ascii="仿宋" w:hAnsi="仿宋" w:eastAsia="仿宋" w:cs="仿宋"/>
          <w:bCs/>
          <w:color w:val="auto"/>
          <w:spacing w:val="14"/>
          <w:sz w:val="24"/>
          <w:highlight w:val="none"/>
        </w:rPr>
        <w:t>本磋商规则及</w:t>
      </w:r>
      <w:r>
        <w:rPr>
          <w:rFonts w:hint="eastAsia" w:ascii="仿宋" w:hAnsi="仿宋" w:eastAsia="仿宋" w:cs="仿宋"/>
          <w:bCs/>
          <w:color w:val="auto"/>
          <w:sz w:val="24"/>
          <w:highlight w:val="none"/>
        </w:rPr>
        <w:t>程序</w:t>
      </w:r>
      <w:r>
        <w:rPr>
          <w:rFonts w:hint="eastAsia" w:ascii="仿宋" w:hAnsi="仿宋" w:eastAsia="仿宋" w:cs="仿宋"/>
          <w:bCs/>
          <w:color w:val="auto"/>
          <w:spacing w:val="14"/>
          <w:sz w:val="24"/>
          <w:highlight w:val="none"/>
        </w:rPr>
        <w:t>只适用于</w:t>
      </w:r>
      <w:r>
        <w:rPr>
          <w:rFonts w:hint="eastAsia" w:ascii="仿宋" w:hAnsi="仿宋" w:eastAsia="仿宋" w:cs="宋体"/>
          <w:b/>
          <w:color w:val="auto"/>
          <w:sz w:val="24"/>
          <w:highlight w:val="none"/>
          <w:u w:val="single"/>
          <w:lang w:eastAsia="zh-CN"/>
        </w:rPr>
        <w:t xml:space="preserve">湖州市2025年度大气综合技术服务项目 </w:t>
      </w:r>
      <w:r>
        <w:rPr>
          <w:rFonts w:hint="eastAsia" w:ascii="仿宋" w:hAnsi="仿宋" w:eastAsia="仿宋" w:cs="仿宋"/>
          <w:bCs/>
          <w:color w:val="auto"/>
          <w:spacing w:val="-4"/>
          <w:sz w:val="24"/>
          <w:szCs w:val="21"/>
          <w:highlight w:val="none"/>
        </w:rPr>
        <w:t>（</w:t>
      </w:r>
      <w:r>
        <w:rPr>
          <w:rFonts w:hint="eastAsia" w:ascii="仿宋" w:hAnsi="仿宋" w:eastAsia="仿宋" w:cs="仿宋"/>
          <w:bCs/>
          <w:color w:val="auto"/>
          <w:spacing w:val="14"/>
          <w:sz w:val="24"/>
          <w:highlight w:val="none"/>
        </w:rPr>
        <w:t>编号：XCXHZ-2025-0</w:t>
      </w:r>
      <w:r>
        <w:rPr>
          <w:rFonts w:hint="eastAsia" w:ascii="仿宋" w:hAnsi="仿宋" w:eastAsia="仿宋" w:cs="仿宋"/>
          <w:bCs/>
          <w:color w:val="auto"/>
          <w:spacing w:val="14"/>
          <w:sz w:val="24"/>
          <w:highlight w:val="none"/>
          <w:lang w:val="en-US" w:eastAsia="zh-CN"/>
        </w:rPr>
        <w:t>37</w:t>
      </w:r>
      <w:r>
        <w:rPr>
          <w:rFonts w:hint="eastAsia" w:ascii="仿宋" w:hAnsi="仿宋" w:eastAsia="仿宋" w:cs="仿宋"/>
          <w:bCs/>
          <w:color w:val="auto"/>
          <w:spacing w:val="14"/>
          <w:sz w:val="24"/>
          <w:highlight w:val="none"/>
        </w:rPr>
        <w:t>（CG）)磋商文件。</w:t>
      </w:r>
    </w:p>
    <w:p w14:paraId="1E62EDC2">
      <w:pPr>
        <w:pStyle w:val="3"/>
        <w:spacing w:line="560" w:lineRule="exact"/>
        <w:jc w:val="center"/>
        <w:rPr>
          <w:rFonts w:ascii="仿宋" w:hAnsi="仿宋" w:eastAsia="仿宋" w:cs="仿宋"/>
          <w:color w:val="auto"/>
          <w:spacing w:val="14"/>
          <w:sz w:val="28"/>
          <w:szCs w:val="28"/>
          <w:highlight w:val="none"/>
        </w:rPr>
      </w:pPr>
      <w:bookmarkStart w:id="14" w:name="_Toc452995900"/>
      <w:r>
        <w:rPr>
          <w:rFonts w:hint="eastAsia" w:ascii="仿宋" w:hAnsi="仿宋" w:eastAsia="仿宋" w:cs="仿宋"/>
          <w:color w:val="auto"/>
          <w:spacing w:val="14"/>
          <w:sz w:val="28"/>
          <w:szCs w:val="28"/>
          <w:highlight w:val="none"/>
        </w:rPr>
        <w:t>五、授予合同</w:t>
      </w:r>
      <w:bookmarkEnd w:id="14"/>
    </w:p>
    <w:p w14:paraId="11AC6F7B">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25.授予合同的依据</w:t>
      </w:r>
    </w:p>
    <w:p w14:paraId="4B169D7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采购代理机构签发的成交通知书；</w:t>
      </w:r>
    </w:p>
    <w:p w14:paraId="6FEB885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磋商文件、磋商文件的修改及补充通知（函）；</w:t>
      </w:r>
    </w:p>
    <w:p w14:paraId="662F655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响应文件和磋商时供应商作出的书面澄清、说明、纠正、承诺等；</w:t>
      </w:r>
    </w:p>
    <w:p w14:paraId="07180038">
      <w:pPr>
        <w:spacing w:line="5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26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合同签订</w:t>
      </w:r>
    </w:p>
    <w:p w14:paraId="675530F1">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26.1成交供应商与采购人应按成交通知书中规定的时间、地点签订合同，否则应承担相应的法律责任。</w:t>
      </w:r>
    </w:p>
    <w:p w14:paraId="17243FC9">
      <w:pPr>
        <w:spacing w:line="560" w:lineRule="exact"/>
        <w:ind w:firstLine="480" w:firstLineChars="200"/>
        <w:rPr>
          <w:rFonts w:ascii="仿宋" w:hAnsi="仿宋" w:eastAsia="仿宋" w:cs="仿宋"/>
          <w:b/>
          <w:bCs/>
          <w:color w:val="auto"/>
          <w:sz w:val="24"/>
          <w:highlight w:val="none"/>
        </w:rPr>
      </w:pPr>
      <w:r>
        <w:rPr>
          <w:rFonts w:hint="eastAsia" w:ascii="仿宋" w:hAnsi="仿宋" w:eastAsia="仿宋" w:cs="仿宋"/>
          <w:bCs/>
          <w:color w:val="auto"/>
          <w:sz w:val="24"/>
          <w:highlight w:val="none"/>
        </w:rPr>
        <w:t>26.2磋商文件、成交供应商的响应文件及磋商过程中有关澄清文件和承诺均为合同附件。</w:t>
      </w:r>
    </w:p>
    <w:p w14:paraId="6BE393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w:t>
      </w:r>
      <w:r>
        <w:rPr>
          <w:rFonts w:hint="eastAsia" w:ascii="仿宋" w:hAnsi="仿宋" w:eastAsia="仿宋" w:cs="仿宋"/>
          <w:snapToGrid w:val="0"/>
          <w:color w:val="auto"/>
          <w:sz w:val="24"/>
          <w:highlight w:val="none"/>
        </w:rPr>
        <w:t>采购人与成交供应商将根据《中华人民共和国</w:t>
      </w:r>
      <w:r>
        <w:rPr>
          <w:rFonts w:hint="eastAsia" w:ascii="仿宋" w:hAnsi="仿宋" w:eastAsia="仿宋" w:cs="仿宋"/>
          <w:snapToGrid w:val="0"/>
          <w:color w:val="auto"/>
          <w:sz w:val="24"/>
          <w:highlight w:val="none"/>
          <w:lang w:val="en-US" w:eastAsia="zh-CN"/>
        </w:rPr>
        <w:t>民法典</w:t>
      </w:r>
      <w:r>
        <w:rPr>
          <w:rFonts w:hint="eastAsia" w:ascii="仿宋" w:hAnsi="仿宋" w:eastAsia="仿宋" w:cs="仿宋"/>
          <w:snapToGrid w:val="0"/>
          <w:color w:val="auto"/>
          <w:sz w:val="24"/>
          <w:highlight w:val="none"/>
        </w:rPr>
        <w:t>》的规定，依据磋商文件和成交供应商的响应文件签订书面合同。</w:t>
      </w:r>
    </w:p>
    <w:p w14:paraId="07E16CD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26.4采购人如不与</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供应商订立合同，或者采购人、</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供应商订立背离合同实质性内容的协议，由政府有关部门责令改正，同时依法承担相应法律责任；</w:t>
      </w:r>
    </w:p>
    <w:p w14:paraId="593C63E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26.5</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供应商如不按规定与采购人订立合同，则采购代理机构将废除授标，保证金不予退还，给采购人造成的损失超过响应担保数额的，还应当对超过部分予以赔偿，同时依法承担相应法律责任。</w:t>
      </w:r>
    </w:p>
    <w:p w14:paraId="654A175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26.6</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供应商应当按照合同约定履行义务，完成</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项目各项工作，不得将</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项目违法转让（转包）给他人；</w:t>
      </w:r>
    </w:p>
    <w:p w14:paraId="57F226E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26.7如果</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供应商未能遵守本须知第26.6条的规定，则可取消其</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资格。在此情况下，可将合同授予排序在</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供应商之后的第一位</w:t>
      </w:r>
      <w:r>
        <w:rPr>
          <w:rFonts w:hint="eastAsia" w:ascii="仿宋" w:hAnsi="仿宋" w:eastAsia="仿宋" w:cs="仿宋"/>
          <w:snapToGrid w:val="0"/>
          <w:color w:val="auto"/>
          <w:sz w:val="24"/>
          <w:highlight w:val="none"/>
        </w:rPr>
        <w:t>成交</w:t>
      </w:r>
      <w:r>
        <w:rPr>
          <w:rFonts w:hint="eastAsia" w:ascii="仿宋" w:hAnsi="仿宋" w:eastAsia="仿宋" w:cs="仿宋"/>
          <w:color w:val="auto"/>
          <w:sz w:val="24"/>
          <w:highlight w:val="none"/>
        </w:rPr>
        <w:t>候选供应商。</w:t>
      </w:r>
    </w:p>
    <w:p w14:paraId="033408EB">
      <w:pPr>
        <w:pStyle w:val="13"/>
        <w:ind w:firstLine="0"/>
        <w:rPr>
          <w:color w:val="auto"/>
          <w:highlight w:val="none"/>
        </w:rPr>
      </w:pPr>
    </w:p>
    <w:p w14:paraId="4B4A71DA">
      <w:pPr>
        <w:pStyle w:val="3"/>
        <w:spacing w:line="560" w:lineRule="exact"/>
        <w:jc w:val="center"/>
        <w:rPr>
          <w:rFonts w:ascii="仿宋" w:hAnsi="仿宋" w:eastAsia="仿宋" w:cs="仿宋"/>
          <w:color w:val="auto"/>
          <w:spacing w:val="14"/>
          <w:sz w:val="28"/>
          <w:szCs w:val="28"/>
          <w:highlight w:val="none"/>
        </w:rPr>
      </w:pPr>
      <w:r>
        <w:rPr>
          <w:rFonts w:hint="eastAsia" w:ascii="仿宋" w:hAnsi="仿宋" w:eastAsia="仿宋" w:cs="仿宋"/>
          <w:color w:val="auto"/>
          <w:spacing w:val="14"/>
          <w:sz w:val="28"/>
          <w:szCs w:val="28"/>
          <w:highlight w:val="none"/>
        </w:rPr>
        <w:t>六、其他内容</w:t>
      </w:r>
    </w:p>
    <w:p w14:paraId="41A9C6C6">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0B6F314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27.1供应商在提交磋商（响应）文件截止时间后撤回磋商（响应）文件的；</w:t>
      </w:r>
    </w:p>
    <w:p w14:paraId="18ED02C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27.2供应商在磋商（响应）文件中提交虚假材料的；</w:t>
      </w:r>
    </w:p>
    <w:p w14:paraId="013262A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27.3除因不可抗力或磋商文件认可的情形以外，成交供应商不与采购人签订合同的；</w:t>
      </w:r>
    </w:p>
    <w:p w14:paraId="4BDBFCA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27.4供应商与采购人、其他供应商或者采购代理机构恶意串通的；</w:t>
      </w:r>
    </w:p>
    <w:p w14:paraId="073ECAB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27.5磋商文件规定的其他情形。</w:t>
      </w:r>
    </w:p>
    <w:p w14:paraId="17A98857">
      <w:pPr>
        <w:rPr>
          <w:rFonts w:ascii="仿宋" w:hAnsi="仿宋" w:eastAsia="仿宋" w:cs="仿宋"/>
          <w:color w:val="auto"/>
          <w:sz w:val="24"/>
          <w:highlight w:val="none"/>
        </w:rPr>
      </w:pPr>
    </w:p>
    <w:p w14:paraId="0B13E923">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977E4AC">
      <w:pPr>
        <w:tabs>
          <w:tab w:val="left" w:pos="8100"/>
        </w:tabs>
        <w:spacing w:line="560" w:lineRule="exact"/>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合同主要条款</w:t>
      </w:r>
      <w:bookmarkStart w:id="15" w:name="_GoBack"/>
      <w:bookmarkEnd w:id="15"/>
    </w:p>
    <w:p w14:paraId="2CFB62FB">
      <w:pPr>
        <w:pStyle w:val="2"/>
        <w:spacing w:line="500" w:lineRule="exact"/>
        <w:jc w:val="center"/>
        <w:rPr>
          <w:rFonts w:ascii="仿宋" w:hAnsi="仿宋" w:eastAsia="仿宋" w:cs="仿宋"/>
          <w:b w:val="0"/>
          <w:bCs w:val="0"/>
          <w:snapToGrid w:val="0"/>
          <w:color w:val="auto"/>
          <w:sz w:val="36"/>
          <w:szCs w:val="36"/>
          <w:highlight w:val="none"/>
        </w:rPr>
      </w:pPr>
      <w:r>
        <w:rPr>
          <w:rFonts w:hint="eastAsia" w:ascii="仿宋" w:hAnsi="仿宋" w:eastAsia="仿宋" w:cs="仿宋"/>
          <w:color w:val="auto"/>
          <w:sz w:val="28"/>
          <w:szCs w:val="28"/>
          <w:highlight w:val="none"/>
        </w:rPr>
        <w:t>（仅供参考，以正式合同为准）</w:t>
      </w:r>
    </w:p>
    <w:p w14:paraId="30231D3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财政审批编号:</w:t>
      </w:r>
      <w:r>
        <w:rPr>
          <w:rFonts w:hint="eastAsia" w:ascii="仿宋" w:hAnsi="仿宋" w:eastAsia="仿宋" w:cs="仿宋"/>
          <w:color w:val="auto"/>
          <w:sz w:val="24"/>
          <w:highlight w:val="none"/>
          <w:lang w:val="en-US" w:eastAsia="zh-CN"/>
        </w:rPr>
        <w:t>湖</w:t>
      </w:r>
      <w:r>
        <w:rPr>
          <w:rFonts w:hint="eastAsia" w:ascii="仿宋" w:hAnsi="仿宋" w:eastAsia="仿宋" w:cs="仿宋"/>
          <w:color w:val="auto"/>
          <w:sz w:val="24"/>
          <w:highlight w:val="none"/>
        </w:rPr>
        <w:t>财采确[2025]</w:t>
      </w:r>
      <w:r>
        <w:rPr>
          <w:rFonts w:hint="eastAsia" w:ascii="仿宋" w:hAnsi="仿宋" w:eastAsia="仿宋" w:cs="仿宋"/>
          <w:color w:val="auto"/>
          <w:sz w:val="24"/>
          <w:highlight w:val="none"/>
          <w:lang w:val="en-US" w:eastAsia="zh-CN"/>
        </w:rPr>
        <w:t>12505、12506</w:t>
      </w:r>
      <w:r>
        <w:rPr>
          <w:rFonts w:hint="eastAsia" w:ascii="仿宋" w:hAnsi="仿宋" w:eastAsia="仿宋" w:cs="仿宋"/>
          <w:color w:val="auto"/>
          <w:sz w:val="24"/>
          <w:highlight w:val="none"/>
        </w:rPr>
        <w:t>号  采购文件编号: XCXHZ-2025-0</w:t>
      </w:r>
      <w:r>
        <w:rPr>
          <w:rFonts w:hint="eastAsia" w:ascii="仿宋" w:hAnsi="仿宋" w:eastAsia="仿宋" w:cs="仿宋"/>
          <w:color w:val="auto"/>
          <w:sz w:val="24"/>
          <w:highlight w:val="none"/>
          <w:lang w:val="en-US" w:eastAsia="zh-CN"/>
        </w:rPr>
        <w:t>37</w:t>
      </w:r>
      <w:r>
        <w:rPr>
          <w:rFonts w:hint="eastAsia" w:ascii="仿宋" w:hAnsi="仿宋" w:eastAsia="仿宋" w:cs="仿宋"/>
          <w:color w:val="auto"/>
          <w:sz w:val="24"/>
          <w:highlight w:val="none"/>
        </w:rPr>
        <w:t>（CG）</w:t>
      </w:r>
    </w:p>
    <w:p w14:paraId="6FDD34AD">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甲方（采购人）：</w:t>
      </w:r>
    </w:p>
    <w:p w14:paraId="26FA8E2A">
      <w:pPr>
        <w:snapToGrid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乙方（成交人）：</w:t>
      </w:r>
    </w:p>
    <w:p w14:paraId="6A99450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rPr>
        <w:t xml:space="preserve">浙江新诚信工程咨询有限公司 </w:t>
      </w:r>
      <w:r>
        <w:rPr>
          <w:rFonts w:hint="eastAsia" w:ascii="仿宋" w:hAnsi="仿宋" w:eastAsia="仿宋" w:cs="仿宋"/>
          <w:color w:val="auto"/>
          <w:sz w:val="24"/>
          <w:highlight w:val="none"/>
        </w:rPr>
        <w:t>关于</w:t>
      </w:r>
      <w:r>
        <w:rPr>
          <w:rFonts w:hint="eastAsia" w:ascii="仿宋" w:hAnsi="仿宋" w:eastAsia="仿宋" w:cs="宋体"/>
          <w:bCs/>
          <w:color w:val="auto"/>
          <w:sz w:val="24"/>
          <w:highlight w:val="none"/>
          <w:u w:val="single"/>
          <w:lang w:eastAsia="zh-CN"/>
        </w:rPr>
        <w:t xml:space="preserve">湖州市2025年度大气综合技术服务项目 </w:t>
      </w:r>
      <w:r>
        <w:rPr>
          <w:rFonts w:hint="eastAsia" w:ascii="仿宋" w:hAnsi="仿宋" w:eastAsia="仿宋" w:cs="仿宋"/>
          <w:color w:val="auto"/>
          <w:sz w:val="24"/>
          <w:highlight w:val="none"/>
        </w:rPr>
        <w:t>竞争性磋商的结果，签署本合同。</w:t>
      </w:r>
    </w:p>
    <w:p w14:paraId="5966F8B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1.定义</w:t>
      </w:r>
    </w:p>
    <w:p w14:paraId="4891543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04E5A7B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48EA682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1.2“合同价”系指根据合同规定，甲方在供应商完全履行合同义务后应付给的价格；</w:t>
      </w:r>
    </w:p>
    <w:p w14:paraId="6ADDCE8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1.3“货物”系指乙方根据合同规定向采购人提供的一切货物、质量保证书和其他技术资料及技术参数；</w:t>
      </w:r>
    </w:p>
    <w:p w14:paraId="229BC3E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77027AF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3ABC9AF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14:paraId="5038F90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5442FECA">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2.1合同项目：</w:t>
      </w:r>
      <w:r>
        <w:rPr>
          <w:rFonts w:hint="eastAsia" w:ascii="仿宋" w:hAnsi="仿宋" w:eastAsia="仿宋" w:cs="宋体"/>
          <w:bCs/>
          <w:color w:val="auto"/>
          <w:sz w:val="24"/>
          <w:highlight w:val="none"/>
          <w:lang w:eastAsia="zh-CN"/>
        </w:rPr>
        <w:t xml:space="preserve">湖州市2025年度大气综合技术服务项目 </w:t>
      </w:r>
    </w:p>
    <w:p w14:paraId="5BBAA2A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2.2内容：</w:t>
      </w:r>
    </w:p>
    <w:p w14:paraId="4DA8CAE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2.3合同价款：</w:t>
      </w:r>
    </w:p>
    <w:p w14:paraId="4FB432D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14:paraId="42B5374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服务时间：由甲方指定。</w:t>
      </w:r>
    </w:p>
    <w:p w14:paraId="3F03FDC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服务地点：由甲方指定。</w:t>
      </w:r>
    </w:p>
    <w:p w14:paraId="6850E43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78F18BC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4.1、乙方必须按照磋商文件和询标过程中承诺的条款以及成交通知书中规定的时间、地点与甲方签订合同；</w:t>
      </w:r>
    </w:p>
    <w:p w14:paraId="443CDEB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4.2、所签订的合同内容不得对磋商文件和乙方的磋商文件作实质性修改；</w:t>
      </w:r>
    </w:p>
    <w:p w14:paraId="7AB79D2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4.3、甲方不得向供应商提出任何不合理的要求，作为签订合同的条件，不得与乙方私下订立背离合同实质性内容的协议；</w:t>
      </w:r>
    </w:p>
    <w:p w14:paraId="7D32CFC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6F04066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14:paraId="4155109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提供和交付的服务技术规范应与磋商文件规定的技术规范相一致。</w:t>
      </w:r>
    </w:p>
    <w:p w14:paraId="2A8C8F1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6.知识产权</w:t>
      </w:r>
    </w:p>
    <w:p w14:paraId="0C74A98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14:paraId="4DB88C5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14:paraId="5AE56AA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8.支付：</w:t>
      </w:r>
    </w:p>
    <w:p w14:paraId="3F4EDA3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p w14:paraId="239E65D1">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70" w:firstLineChars="196"/>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bCs/>
          <w:color w:val="auto"/>
          <w:kern w:val="2"/>
          <w:sz w:val="24"/>
          <w:szCs w:val="24"/>
          <w:highlight w:val="none"/>
          <w:lang w:val="en-US" w:eastAsia="zh-CN" w:bidi="ar"/>
        </w:rPr>
        <w:t>合同生效及具备实施条件后7个工作日内支付合同价款的40%为预付款；服务完成并</w:t>
      </w:r>
      <w:r>
        <w:rPr>
          <w:rFonts w:hint="eastAsia" w:ascii="仿宋" w:hAnsi="仿宋" w:eastAsia="仿宋" w:cs="仿宋"/>
          <w:b w:val="0"/>
          <w:bCs w:val="0"/>
          <w:color w:val="auto"/>
          <w:sz w:val="24"/>
          <w:highlight w:val="none"/>
          <w:lang w:val="en-US" w:eastAsia="zh-CN"/>
        </w:rPr>
        <w:t>提交成果后支付至合同价款的90%，经采购人验收合格后支付至合同价款的100%（实际付款时间以财政资金下达时间为准）。</w:t>
      </w:r>
    </w:p>
    <w:p w14:paraId="118E1C2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采购人应自收到供应商开具的发票后7个工作日内将上述相关款项支付到合同约定的供应商账户。</w:t>
      </w:r>
    </w:p>
    <w:p w14:paraId="01C6834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在签订合同时，供应商明确表示无需预付款或者主动要求降低预付款比例的，采购合同可不适用前述规定。</w:t>
      </w:r>
    </w:p>
    <w:p w14:paraId="5F3C615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9.技术服务</w:t>
      </w:r>
    </w:p>
    <w:p w14:paraId="7C6B0EA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乙方应负责安排采购人相关人员进行操作、维修的培训。具体时间及培训内容在磋商时由供应商提出建议；</w:t>
      </w:r>
    </w:p>
    <w:p w14:paraId="0D90410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14:paraId="5515F57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14:paraId="047E9CC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10.2售后服务期：</w:t>
      </w:r>
      <w:r>
        <w:rPr>
          <w:rFonts w:hint="eastAsia" w:ascii="仿宋" w:hAnsi="仿宋" w:eastAsia="仿宋" w:cs="仿宋"/>
          <w:color w:val="auto"/>
          <w:sz w:val="24"/>
          <w:szCs w:val="28"/>
          <w:highlight w:val="none"/>
        </w:rPr>
        <w:t>。</w:t>
      </w:r>
    </w:p>
    <w:p w14:paraId="0D80268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14:paraId="232F494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11.1 履约保证金：无</w:t>
      </w:r>
    </w:p>
    <w:p w14:paraId="79512BD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11.2乙方应按磋商文件规定的服务标准向采购人提供服务。</w:t>
      </w:r>
    </w:p>
    <w:p w14:paraId="12347B6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11.3 如甲方检查发现供应商提供的服务服务不符合标准要求，乙方应立即进行整改，直到符合要求为止。甲方可根据考核标准中扣除供应商因检查不合格而应该扣罚的款项（扣罚款项在签订合同时明确）。</w:t>
      </w:r>
    </w:p>
    <w:p w14:paraId="6A5F8E4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14:paraId="5DAADC8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由于乙方服务人员原因在服务工作中给甲方的设施、材料造成损失，供应商应负责赔偿。</w:t>
      </w:r>
    </w:p>
    <w:p w14:paraId="7C48D2A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在使用过程中发生问题，乙方在接到甲方通知后在小时内到达采购人现场。</w:t>
      </w:r>
    </w:p>
    <w:p w14:paraId="6F435A1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14:paraId="04E9834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12.违约责任</w:t>
      </w:r>
    </w:p>
    <w:p w14:paraId="040A365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甲方无正当理由拒收接受服务的，甲方向供应商偿付合同款项百分之五作为违约金。</w:t>
      </w:r>
    </w:p>
    <w:p w14:paraId="4E95660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甲方无故逾期验收和办理款项支付手续的,甲方应按逾期付款总额每日万分之五向乙方支付违约金。</w:t>
      </w:r>
    </w:p>
    <w:p w14:paraId="11FBF4F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64FD335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12.4如乙方提供的服务或与服务相关的物品存在知识产权纠纷而导致本合同无法继续履行，在甲方发函要求解决相关知识产权问题后 日内仍未解决的，则甲方有权单方终止本合同的履行，并要求乙方承担相应赔偿责任。</w:t>
      </w:r>
    </w:p>
    <w:p w14:paraId="159DAB8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14:paraId="5A18D37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14:paraId="18C6B48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14:paraId="07B05C0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14:paraId="04F6AC9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14.争议解决</w:t>
      </w:r>
    </w:p>
    <w:p w14:paraId="3E13D17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14:paraId="659EBBD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14:paraId="58149F6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（2）直接向采购人所在地有管辖权的人民法院起诉。</w:t>
      </w:r>
    </w:p>
    <w:p w14:paraId="4D64453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14:paraId="07AE3E1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14:paraId="1311C38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15.转让或分包</w:t>
      </w:r>
    </w:p>
    <w:p w14:paraId="0E7DE37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15.1本合同范围的服务，应由乙方提供，不得转让他人供应；</w:t>
      </w:r>
    </w:p>
    <w:p w14:paraId="7CBB4BC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4F7C44F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15.3本合同全部或部分的分包不能减轻乙方承担的责任，乙方仍须将分包人的任何行动、错误或疏忽当作是自己完成的并负全责；</w:t>
      </w:r>
    </w:p>
    <w:p w14:paraId="54D1EB2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15.4在任何分包合同中，须注明分包人按分包合同的范围履行，在乙方按本合同的履行终止时（不论任何原因），亦同时一并终止；</w:t>
      </w:r>
    </w:p>
    <w:p w14:paraId="1DA090B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15.5如有转让和未经甲方同意的分包行为，甲方有权给予终止合同。</w:t>
      </w:r>
    </w:p>
    <w:p w14:paraId="19DA084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16.验收要求 </w:t>
      </w:r>
    </w:p>
    <w:p w14:paraId="2BCF892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按照采购文件要求、乙方的响应文件（承诺）及签订的合同约定标准进行验收。 </w:t>
      </w:r>
    </w:p>
    <w:p w14:paraId="31E1A15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17.适用法律</w:t>
      </w:r>
    </w:p>
    <w:p w14:paraId="5D13204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合同适用法律有《中华人民共和国民法典》、《中华人民共和国产品质量法》和浙江省有关条例等。</w:t>
      </w:r>
    </w:p>
    <w:p w14:paraId="3AEFC85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18.合同生效及其它</w:t>
      </w:r>
    </w:p>
    <w:p w14:paraId="1820FA6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1）合同经双方法定代表人或授权代理人签字并加盖单位公章后生效。</w:t>
      </w:r>
    </w:p>
    <w:p w14:paraId="0B39515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2）合同执行中涉及采购资金和采购内容修改或补充的，须经财政部门审批，并签书面补充协议报政府采购监督管理部门备案，方可作为主合同不可分割的一部分。</w:t>
      </w:r>
    </w:p>
    <w:p w14:paraId="37DF758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3）本合同未尽事宜，遵照《中华人民共和国民法典》有关条文执行。</w:t>
      </w:r>
    </w:p>
    <w:p w14:paraId="5E94BF0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4）本合同一式六份，其中甲乙双方各执三份。</w:t>
      </w:r>
    </w:p>
    <w:p w14:paraId="3AAC0DF0">
      <w:pPr>
        <w:pStyle w:val="24"/>
        <w:rPr>
          <w:color w:val="auto"/>
          <w:highlight w:val="none"/>
        </w:rPr>
      </w:pPr>
    </w:p>
    <w:p w14:paraId="1C3D05A3">
      <w:pPr>
        <w:spacing w:line="440" w:lineRule="exact"/>
        <w:ind w:firstLine="480" w:firstLineChars="200"/>
        <w:rPr>
          <w:rFonts w:ascii="仿宋" w:hAnsi="仿宋" w:eastAsia="仿宋" w:cs="仿宋"/>
          <w:bCs/>
          <w:color w:val="auto"/>
          <w:sz w:val="24"/>
          <w:highlight w:val="none"/>
        </w:rPr>
      </w:pPr>
    </w:p>
    <w:p w14:paraId="6A0C95F5">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采购人：                                 供应商： </w:t>
      </w:r>
    </w:p>
    <w:p w14:paraId="41573768">
      <w:pPr>
        <w:spacing w:line="440" w:lineRule="exact"/>
        <w:ind w:firstLine="480" w:firstLineChars="200"/>
        <w:rPr>
          <w:rFonts w:ascii="仿宋" w:hAnsi="仿宋" w:eastAsia="仿宋" w:cs="仿宋"/>
          <w:bCs/>
          <w:color w:val="auto"/>
          <w:sz w:val="24"/>
          <w:highlight w:val="none"/>
        </w:rPr>
      </w:pPr>
    </w:p>
    <w:p w14:paraId="2EACBC22">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68D606DC">
      <w:pPr>
        <w:spacing w:line="440" w:lineRule="exact"/>
        <w:ind w:firstLine="480" w:firstLineChars="200"/>
        <w:rPr>
          <w:rFonts w:ascii="仿宋" w:hAnsi="仿宋" w:eastAsia="仿宋" w:cs="仿宋"/>
          <w:bCs/>
          <w:color w:val="auto"/>
          <w:sz w:val="24"/>
          <w:highlight w:val="none"/>
        </w:rPr>
      </w:pPr>
    </w:p>
    <w:p w14:paraId="16633E95">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11D1FE56">
      <w:pPr>
        <w:pStyle w:val="25"/>
        <w:rPr>
          <w:rFonts w:ascii="仿宋" w:hAnsi="仿宋" w:eastAsia="仿宋" w:cs="仿宋"/>
          <w:color w:val="auto"/>
          <w:highlight w:val="none"/>
        </w:rPr>
      </w:pPr>
    </w:p>
    <w:p w14:paraId="1B03444D">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7F5D657F">
      <w:pPr>
        <w:autoSpaceDE w:val="0"/>
        <w:autoSpaceDN w:val="0"/>
        <w:adjustRightInd w:val="0"/>
        <w:spacing w:line="540" w:lineRule="exact"/>
        <w:contextualSpacing/>
        <w:jc w:val="center"/>
        <w:outlineLvl w:val="0"/>
        <w:rPr>
          <w:rFonts w:ascii="仿宋" w:hAnsi="仿宋" w:eastAsia="仿宋" w:cs="仿宋"/>
          <w:b/>
          <w:color w:val="auto"/>
          <w:sz w:val="36"/>
          <w:szCs w:val="36"/>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6"/>
          <w:szCs w:val="36"/>
          <w:highlight w:val="none"/>
        </w:rPr>
        <w:t>第五章  响应文件格式</w:t>
      </w:r>
    </w:p>
    <w:p w14:paraId="153FE6AC">
      <w:pPr>
        <w:pStyle w:val="36"/>
        <w:rPr>
          <w:rFonts w:ascii="仿宋" w:hAnsi="仿宋" w:eastAsia="仿宋" w:cs="Times New Roman"/>
          <w:color w:val="auto"/>
          <w:highlight w:val="none"/>
        </w:rPr>
      </w:pPr>
    </w:p>
    <w:p w14:paraId="76FA5F4F">
      <w:pPr>
        <w:pStyle w:val="36"/>
        <w:rPr>
          <w:rFonts w:ascii="仿宋" w:hAnsi="仿宋" w:eastAsia="仿宋" w:cs="Times New Roman"/>
          <w:b/>
          <w:color w:val="auto"/>
          <w:highlight w:val="none"/>
        </w:rPr>
      </w:pPr>
      <w:r>
        <w:rPr>
          <w:rFonts w:ascii="仿宋" w:hAnsi="仿宋" w:eastAsia="仿宋" w:cs="Times New Roman"/>
          <w:color w:val="auto"/>
          <w:highlight w:val="none"/>
        </w:rPr>
        <w:t>封面格式</w:t>
      </w:r>
      <w:r>
        <w:rPr>
          <w:rFonts w:hint="eastAsia" w:ascii="仿宋" w:hAnsi="仿宋" w:eastAsia="仿宋" w:cs="Times New Roman"/>
          <w:b/>
          <w:color w:val="auto"/>
          <w:highlight w:val="none"/>
        </w:rPr>
        <w:t>（成交后提供的纸质版本格式）</w:t>
      </w:r>
    </w:p>
    <w:p w14:paraId="676C5A82">
      <w:pPr>
        <w:pStyle w:val="36"/>
        <w:rPr>
          <w:rFonts w:ascii="仿宋" w:hAnsi="仿宋" w:eastAsia="仿宋" w:cs="Times New Roman"/>
          <w:color w:val="auto"/>
          <w:highlight w:val="none"/>
        </w:rPr>
      </w:pPr>
    </w:p>
    <w:p w14:paraId="3EA63E3D">
      <w:pPr>
        <w:pStyle w:val="36"/>
        <w:rPr>
          <w:rFonts w:ascii="仿宋" w:hAnsi="仿宋" w:eastAsia="仿宋" w:cs="Times New Roman"/>
          <w:color w:val="auto"/>
          <w:highlight w:val="none"/>
        </w:rPr>
      </w:pPr>
    </w:p>
    <w:p w14:paraId="48685546">
      <w:pPr>
        <w:pStyle w:val="36"/>
        <w:rPr>
          <w:rFonts w:ascii="仿宋" w:hAnsi="仿宋" w:eastAsia="仿宋" w:cs="Times New Roman"/>
          <w:color w:val="auto"/>
          <w:sz w:val="36"/>
          <w:szCs w:val="36"/>
          <w:highlight w:val="none"/>
        </w:rPr>
      </w:pPr>
    </w:p>
    <w:p w14:paraId="13B45C07">
      <w:pPr>
        <w:pStyle w:val="36"/>
        <w:jc w:val="center"/>
        <w:rPr>
          <w:rFonts w:ascii="仿宋" w:hAnsi="仿宋" w:eastAsia="仿宋" w:cs="Times New Roman"/>
          <w:color w:val="auto"/>
          <w:sz w:val="36"/>
          <w:szCs w:val="36"/>
          <w:highlight w:val="none"/>
        </w:rPr>
      </w:pPr>
      <w:r>
        <w:rPr>
          <w:rFonts w:hint="eastAsia" w:ascii="仿宋" w:hAnsi="仿宋" w:eastAsia="仿宋" w:cs="Times New Roman"/>
          <w:b/>
          <w:color w:val="auto"/>
          <w:sz w:val="36"/>
          <w:szCs w:val="36"/>
          <w:highlight w:val="none"/>
        </w:rPr>
        <w:t>磋商响应文件</w:t>
      </w:r>
    </w:p>
    <w:p w14:paraId="0E80A2CB">
      <w:pPr>
        <w:pStyle w:val="36"/>
        <w:jc w:val="right"/>
        <w:rPr>
          <w:rFonts w:ascii="仿宋" w:hAnsi="仿宋" w:eastAsia="仿宋" w:cs="Times New Roman"/>
          <w:color w:val="auto"/>
          <w:highlight w:val="none"/>
        </w:rPr>
      </w:pPr>
    </w:p>
    <w:p w14:paraId="549FF280">
      <w:pPr>
        <w:pStyle w:val="36"/>
        <w:jc w:val="center"/>
        <w:rPr>
          <w:rFonts w:ascii="仿宋" w:hAnsi="仿宋" w:eastAsia="仿宋" w:cs="Times New Roman"/>
          <w:b/>
          <w:color w:val="auto"/>
          <w:highlight w:val="none"/>
        </w:rPr>
      </w:pPr>
      <w:r>
        <w:rPr>
          <w:rFonts w:ascii="仿宋" w:hAnsi="仿宋" w:eastAsia="仿宋" w:cs="Times New Roman"/>
          <w:b/>
          <w:color w:val="auto"/>
          <w:highlight w:val="none"/>
        </w:rPr>
        <w:t>技术、商务、资信及其他文件</w:t>
      </w:r>
      <w:r>
        <w:rPr>
          <w:rFonts w:hint="eastAsia" w:ascii="仿宋" w:hAnsi="仿宋" w:eastAsia="仿宋" w:cs="Times New Roman"/>
          <w:b/>
          <w:color w:val="auto"/>
          <w:highlight w:val="none"/>
        </w:rPr>
        <w:t>/</w:t>
      </w:r>
      <w:r>
        <w:rPr>
          <w:rFonts w:hint="eastAsia" w:ascii="仿宋" w:hAnsi="仿宋" w:eastAsia="仿宋" w:cs="Times New Roman"/>
          <w:b/>
          <w:color w:val="auto"/>
          <w:highlight w:val="none"/>
          <w:lang w:val="en-US" w:eastAsia="zh-CN"/>
        </w:rPr>
        <w:t>首次</w:t>
      </w:r>
      <w:r>
        <w:rPr>
          <w:rFonts w:hint="eastAsia" w:ascii="仿宋" w:hAnsi="仿宋" w:eastAsia="仿宋" w:cs="Times New Roman"/>
          <w:b/>
          <w:color w:val="auto"/>
          <w:highlight w:val="none"/>
        </w:rPr>
        <w:t>报价文件</w:t>
      </w:r>
    </w:p>
    <w:p w14:paraId="36A77639">
      <w:pPr>
        <w:pStyle w:val="36"/>
        <w:jc w:val="center"/>
        <w:rPr>
          <w:rFonts w:ascii="仿宋" w:hAnsi="仿宋" w:eastAsia="仿宋" w:cs="Times New Roman"/>
          <w:b/>
          <w:color w:val="auto"/>
          <w:highlight w:val="none"/>
        </w:rPr>
      </w:pPr>
    </w:p>
    <w:p w14:paraId="0B2BA838">
      <w:pPr>
        <w:pStyle w:val="36"/>
        <w:jc w:val="center"/>
        <w:rPr>
          <w:rFonts w:ascii="仿宋" w:hAnsi="仿宋" w:eastAsia="仿宋" w:cs="Times New Roman"/>
          <w:b/>
          <w:color w:val="auto"/>
          <w:highlight w:val="none"/>
        </w:rPr>
      </w:pPr>
    </w:p>
    <w:p w14:paraId="7FD97621">
      <w:pPr>
        <w:pStyle w:val="36"/>
        <w:jc w:val="center"/>
        <w:rPr>
          <w:rFonts w:ascii="仿宋" w:hAnsi="仿宋" w:eastAsia="仿宋" w:cs="Times New Roman"/>
          <w:b/>
          <w:color w:val="auto"/>
          <w:highlight w:val="none"/>
        </w:rPr>
      </w:pPr>
    </w:p>
    <w:p w14:paraId="540D98A1">
      <w:pPr>
        <w:pStyle w:val="36"/>
        <w:jc w:val="center"/>
        <w:rPr>
          <w:rFonts w:ascii="仿宋" w:hAnsi="仿宋" w:eastAsia="仿宋" w:cs="Times New Roman"/>
          <w:b/>
          <w:color w:val="auto"/>
          <w:highlight w:val="none"/>
        </w:rPr>
      </w:pPr>
    </w:p>
    <w:p w14:paraId="2E6B467F">
      <w:pPr>
        <w:pStyle w:val="36"/>
        <w:rPr>
          <w:rFonts w:ascii="仿宋" w:hAnsi="仿宋" w:eastAsia="仿宋" w:cs="Times New Roman"/>
          <w:color w:val="auto"/>
          <w:highlight w:val="none"/>
        </w:rPr>
      </w:pPr>
    </w:p>
    <w:p w14:paraId="62F2DE2C">
      <w:pPr>
        <w:pStyle w:val="36"/>
        <w:rPr>
          <w:rFonts w:hint="default" w:ascii="仿宋" w:hAnsi="仿宋" w:eastAsia="仿宋" w:cs="Times New Roman"/>
          <w:color w:val="auto"/>
          <w:highlight w:val="none"/>
          <w:lang w:val="en-US" w:eastAsia="zh-CN"/>
        </w:rPr>
      </w:pPr>
      <w:r>
        <w:rPr>
          <w:rFonts w:ascii="仿宋" w:hAnsi="仿宋" w:eastAsia="仿宋" w:cs="Times New Roman"/>
          <w:color w:val="auto"/>
          <w:highlight w:val="none"/>
        </w:rPr>
        <w:t xml:space="preserve">项目名称： </w:t>
      </w:r>
      <w:r>
        <w:rPr>
          <w:rFonts w:hint="eastAsia" w:ascii="仿宋" w:hAnsi="仿宋" w:eastAsia="仿宋" w:cs="Times New Roman"/>
          <w:color w:val="auto"/>
          <w:highlight w:val="none"/>
          <w:lang w:val="en-US" w:eastAsia="zh-CN"/>
        </w:rPr>
        <w:t xml:space="preserve">  </w:t>
      </w:r>
    </w:p>
    <w:p w14:paraId="5490F54B">
      <w:pPr>
        <w:pStyle w:val="36"/>
        <w:rPr>
          <w:rFonts w:ascii="仿宋" w:hAnsi="仿宋" w:eastAsia="仿宋" w:cs="Times New Roman"/>
          <w:color w:val="auto"/>
          <w:highlight w:val="none"/>
        </w:rPr>
      </w:pPr>
    </w:p>
    <w:p w14:paraId="298C423A">
      <w:pPr>
        <w:pStyle w:val="36"/>
        <w:rPr>
          <w:rFonts w:ascii="仿宋" w:hAnsi="仿宋" w:eastAsia="仿宋" w:cs="Times New Roman"/>
          <w:color w:val="auto"/>
          <w:highlight w:val="none"/>
        </w:rPr>
      </w:pPr>
      <w:r>
        <w:rPr>
          <w:rFonts w:ascii="仿宋" w:hAnsi="仿宋" w:eastAsia="仿宋" w:cs="Times New Roman"/>
          <w:color w:val="auto"/>
          <w:highlight w:val="none"/>
        </w:rPr>
        <w:t>项目编号</w:t>
      </w:r>
      <w:r>
        <w:rPr>
          <w:rFonts w:hint="eastAsia" w:ascii="仿宋" w:hAnsi="仿宋" w:eastAsia="仿宋" w:cs="Times New Roman"/>
          <w:color w:val="auto"/>
          <w:highlight w:val="none"/>
        </w:rPr>
        <w:t>：</w:t>
      </w:r>
    </w:p>
    <w:p w14:paraId="23FDC88E">
      <w:pPr>
        <w:pStyle w:val="36"/>
        <w:rPr>
          <w:rFonts w:ascii="仿宋" w:hAnsi="仿宋" w:eastAsia="仿宋" w:cs="Times New Roman"/>
          <w:color w:val="auto"/>
          <w:highlight w:val="none"/>
        </w:rPr>
      </w:pPr>
    </w:p>
    <w:p w14:paraId="1DD37AF5">
      <w:pPr>
        <w:pStyle w:val="36"/>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参加标项：</w:t>
      </w:r>
    </w:p>
    <w:p w14:paraId="7F8DFFFD">
      <w:pPr>
        <w:pStyle w:val="36"/>
        <w:rPr>
          <w:rFonts w:hint="eastAsia" w:ascii="仿宋" w:hAnsi="仿宋" w:eastAsia="仿宋" w:cs="Times New Roman"/>
          <w:color w:val="auto"/>
          <w:highlight w:val="none"/>
        </w:rPr>
      </w:pPr>
    </w:p>
    <w:p w14:paraId="05E1D74E">
      <w:pPr>
        <w:pStyle w:val="36"/>
        <w:rPr>
          <w:rFonts w:ascii="仿宋" w:hAnsi="仿宋" w:eastAsia="仿宋" w:cs="Times New Roman"/>
          <w:color w:val="auto"/>
          <w:highlight w:val="none"/>
        </w:rPr>
      </w:pPr>
      <w:r>
        <w:rPr>
          <w:rFonts w:hint="eastAsia" w:ascii="仿宋" w:hAnsi="仿宋" w:eastAsia="仿宋" w:cs="Times New Roman"/>
          <w:color w:val="auto"/>
          <w:highlight w:val="none"/>
        </w:rPr>
        <w:t>响应</w:t>
      </w:r>
      <w:r>
        <w:rPr>
          <w:rFonts w:ascii="仿宋" w:hAnsi="仿宋" w:eastAsia="仿宋" w:cs="Times New Roman"/>
          <w:color w:val="auto"/>
          <w:highlight w:val="none"/>
        </w:rPr>
        <w:t xml:space="preserve">文件名称：技术、商务资信及其他文件 </w:t>
      </w:r>
      <w:r>
        <w:rPr>
          <w:rFonts w:hint="eastAsia" w:ascii="仿宋" w:hAnsi="仿宋" w:eastAsia="仿宋" w:cs="Times New Roman"/>
          <w:color w:val="auto"/>
          <w:highlight w:val="none"/>
        </w:rPr>
        <w:t>/</w:t>
      </w:r>
      <w:r>
        <w:rPr>
          <w:rFonts w:hint="eastAsia" w:ascii="仿宋" w:hAnsi="仿宋" w:eastAsia="仿宋" w:cs="Times New Roman"/>
          <w:color w:val="auto"/>
          <w:highlight w:val="none"/>
          <w:lang w:val="en-US" w:eastAsia="zh-CN"/>
        </w:rPr>
        <w:t>首次</w:t>
      </w:r>
      <w:r>
        <w:rPr>
          <w:rFonts w:hint="eastAsia" w:ascii="仿宋" w:hAnsi="仿宋" w:eastAsia="仿宋" w:cs="Times New Roman"/>
          <w:color w:val="auto"/>
          <w:highlight w:val="none"/>
        </w:rPr>
        <w:t>报价文件</w:t>
      </w:r>
    </w:p>
    <w:p w14:paraId="4D441D8F">
      <w:pPr>
        <w:pStyle w:val="36"/>
        <w:rPr>
          <w:rFonts w:ascii="仿宋" w:hAnsi="仿宋" w:eastAsia="仿宋" w:cs="Times New Roman"/>
          <w:color w:val="auto"/>
          <w:highlight w:val="none"/>
        </w:rPr>
      </w:pPr>
    </w:p>
    <w:p w14:paraId="6F7E4DC1">
      <w:pPr>
        <w:pStyle w:val="36"/>
        <w:rPr>
          <w:rFonts w:ascii="仿宋" w:hAnsi="仿宋" w:eastAsia="仿宋" w:cs="Times New Roman"/>
          <w:color w:val="auto"/>
          <w:highlight w:val="none"/>
        </w:rPr>
      </w:pPr>
      <w:r>
        <w:rPr>
          <w:rFonts w:hint="eastAsia" w:ascii="仿宋" w:hAnsi="仿宋" w:eastAsia="仿宋" w:cs="Times New Roman"/>
          <w:color w:val="auto"/>
          <w:highlight w:val="none"/>
        </w:rPr>
        <w:t>供应商</w:t>
      </w:r>
      <w:r>
        <w:rPr>
          <w:rFonts w:ascii="仿宋" w:hAnsi="仿宋" w:eastAsia="仿宋" w:cs="Times New Roman"/>
          <w:color w:val="auto"/>
          <w:highlight w:val="none"/>
        </w:rPr>
        <w:t xml:space="preserve">名称： </w:t>
      </w:r>
    </w:p>
    <w:p w14:paraId="61DE6E20">
      <w:pPr>
        <w:pStyle w:val="36"/>
        <w:rPr>
          <w:rFonts w:ascii="仿宋" w:hAnsi="仿宋" w:eastAsia="仿宋" w:cs="Times New Roman"/>
          <w:color w:val="auto"/>
          <w:highlight w:val="none"/>
        </w:rPr>
      </w:pPr>
    </w:p>
    <w:p w14:paraId="0FFC8A28">
      <w:pPr>
        <w:pStyle w:val="36"/>
        <w:rPr>
          <w:rFonts w:ascii="仿宋" w:hAnsi="仿宋" w:eastAsia="仿宋" w:cs="Times New Roman"/>
          <w:color w:val="auto"/>
          <w:highlight w:val="none"/>
        </w:rPr>
      </w:pPr>
      <w:r>
        <w:rPr>
          <w:rFonts w:hint="eastAsia" w:ascii="仿宋" w:hAnsi="仿宋" w:eastAsia="仿宋" w:cs="Times New Roman"/>
          <w:color w:val="auto"/>
          <w:highlight w:val="none"/>
        </w:rPr>
        <w:t>供应商</w:t>
      </w:r>
      <w:r>
        <w:rPr>
          <w:rFonts w:ascii="仿宋" w:hAnsi="仿宋" w:eastAsia="仿宋" w:cs="Times New Roman"/>
          <w:color w:val="auto"/>
          <w:highlight w:val="none"/>
        </w:rPr>
        <w:t xml:space="preserve">地址： </w:t>
      </w:r>
    </w:p>
    <w:p w14:paraId="041455C3">
      <w:pPr>
        <w:pStyle w:val="36"/>
        <w:rPr>
          <w:rFonts w:ascii="仿宋" w:hAnsi="仿宋" w:eastAsia="仿宋" w:cs="Times New Roman"/>
          <w:color w:val="auto"/>
          <w:highlight w:val="none"/>
        </w:rPr>
      </w:pPr>
    </w:p>
    <w:p w14:paraId="382BE50B">
      <w:pPr>
        <w:pStyle w:val="36"/>
        <w:rPr>
          <w:rFonts w:ascii="仿宋" w:hAnsi="仿宋" w:eastAsia="仿宋" w:cs="Times New Roman"/>
          <w:color w:val="auto"/>
          <w:highlight w:val="none"/>
        </w:rPr>
      </w:pPr>
    </w:p>
    <w:p w14:paraId="09B3426A">
      <w:pPr>
        <w:wordWrap w:val="0"/>
        <w:ind w:firstLine="480" w:firstLineChars="200"/>
        <w:jc w:val="right"/>
        <w:rPr>
          <w:rFonts w:ascii="仿宋" w:hAnsi="仿宋" w:eastAsia="仿宋"/>
          <w:color w:val="auto"/>
          <w:sz w:val="24"/>
          <w:highlight w:val="none"/>
        </w:rPr>
      </w:pPr>
      <w:r>
        <w:rPr>
          <w:rFonts w:ascii="仿宋" w:hAnsi="仿宋" w:eastAsia="仿宋"/>
          <w:color w:val="auto"/>
          <w:sz w:val="24"/>
          <w:highlight w:val="none"/>
        </w:rPr>
        <w:t>年 月 日</w:t>
      </w:r>
    </w:p>
    <w:p w14:paraId="150483FB">
      <w:pPr>
        <w:pStyle w:val="38"/>
        <w:spacing w:before="156"/>
        <w:rPr>
          <w:rFonts w:ascii="仿宋" w:hAnsi="仿宋" w:eastAsia="仿宋"/>
          <w:color w:val="auto"/>
          <w:highlight w:val="none"/>
        </w:rPr>
      </w:pPr>
    </w:p>
    <w:p w14:paraId="0F54924B">
      <w:pPr>
        <w:pStyle w:val="38"/>
        <w:spacing w:before="156"/>
        <w:rPr>
          <w:rFonts w:ascii="仿宋" w:hAnsi="仿宋" w:eastAsia="仿宋"/>
          <w:color w:val="auto"/>
          <w:highlight w:val="none"/>
        </w:rPr>
      </w:pPr>
    </w:p>
    <w:p w14:paraId="02422F3D">
      <w:pPr>
        <w:pStyle w:val="38"/>
        <w:spacing w:before="156"/>
        <w:rPr>
          <w:rFonts w:ascii="仿宋" w:hAnsi="仿宋" w:eastAsia="仿宋"/>
          <w:color w:val="auto"/>
          <w:highlight w:val="none"/>
        </w:rPr>
      </w:pPr>
    </w:p>
    <w:p w14:paraId="07021F52">
      <w:pPr>
        <w:pStyle w:val="38"/>
        <w:spacing w:before="156"/>
        <w:rPr>
          <w:rFonts w:ascii="仿宋" w:hAnsi="仿宋" w:eastAsia="仿宋"/>
          <w:color w:val="auto"/>
          <w:highlight w:val="none"/>
        </w:rPr>
      </w:pPr>
    </w:p>
    <w:p w14:paraId="1C9394C7">
      <w:pPr>
        <w:pStyle w:val="38"/>
        <w:spacing w:before="156"/>
        <w:rPr>
          <w:rFonts w:ascii="仿宋" w:hAnsi="仿宋" w:eastAsia="仿宋"/>
          <w:color w:val="auto"/>
          <w:highlight w:val="none"/>
        </w:rPr>
      </w:pPr>
    </w:p>
    <w:p w14:paraId="43AC4DF3">
      <w:pPr>
        <w:pStyle w:val="38"/>
        <w:spacing w:before="156"/>
        <w:rPr>
          <w:rFonts w:ascii="仿宋" w:hAnsi="仿宋" w:eastAsia="仿宋"/>
          <w:color w:val="auto"/>
          <w:highlight w:val="none"/>
        </w:rPr>
      </w:pPr>
    </w:p>
    <w:p w14:paraId="362277D1">
      <w:pPr>
        <w:pStyle w:val="38"/>
        <w:spacing w:before="156"/>
        <w:rPr>
          <w:rFonts w:ascii="仿宋" w:hAnsi="仿宋" w:eastAsia="仿宋"/>
          <w:color w:val="auto"/>
          <w:highlight w:val="none"/>
        </w:rPr>
      </w:pPr>
    </w:p>
    <w:p w14:paraId="67E0A5D8">
      <w:pPr>
        <w:pStyle w:val="38"/>
        <w:spacing w:before="156"/>
        <w:rPr>
          <w:rFonts w:ascii="仿宋" w:hAnsi="仿宋" w:eastAsia="仿宋"/>
          <w:color w:val="auto"/>
          <w:highlight w:val="none"/>
        </w:rPr>
      </w:pPr>
    </w:p>
    <w:p w14:paraId="4EE08D65">
      <w:pPr>
        <w:autoSpaceDE w:val="0"/>
        <w:autoSpaceDN w:val="0"/>
        <w:adjustRightInd w:val="0"/>
        <w:spacing w:line="540" w:lineRule="exact"/>
        <w:contextualSpacing/>
        <w:jc w:val="center"/>
        <w:rPr>
          <w:rFonts w:ascii="仿宋" w:hAnsi="仿宋" w:eastAsia="仿宋" w:cs="仿宋"/>
          <w:b/>
          <w:color w:val="auto"/>
          <w:sz w:val="36"/>
          <w:szCs w:val="36"/>
          <w:highlight w:val="none"/>
        </w:rPr>
      </w:pPr>
    </w:p>
    <w:p w14:paraId="12256D5D">
      <w:pPr>
        <w:snapToGrid w:val="0"/>
        <w:spacing w:before="50" w:after="50" w:line="360" w:lineRule="auto"/>
        <w:jc w:val="center"/>
        <w:rPr>
          <w:rFonts w:ascii="仿宋" w:hAnsi="仿宋" w:eastAsia="仿宋" w:cs="仿宋"/>
          <w:color w:val="auto"/>
          <w:sz w:val="24"/>
          <w:szCs w:val="28"/>
          <w:highlight w:val="none"/>
        </w:rPr>
      </w:pPr>
      <w:r>
        <w:rPr>
          <w:rFonts w:hint="eastAsia" w:ascii="仿宋" w:hAnsi="仿宋" w:eastAsia="仿宋" w:cs="仿宋"/>
          <w:color w:val="auto"/>
          <w:sz w:val="28"/>
          <w:szCs w:val="28"/>
          <w:highlight w:val="none"/>
        </w:rPr>
        <w:t>目   录</w:t>
      </w:r>
    </w:p>
    <w:p w14:paraId="4B502099">
      <w:pPr>
        <w:pStyle w:val="38"/>
        <w:spacing w:before="156"/>
        <w:rPr>
          <w:color w:val="auto"/>
          <w:highlight w:val="none"/>
        </w:rPr>
      </w:pPr>
    </w:p>
    <w:p w14:paraId="00ED41C6">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1、技术、商务资信及其他文件目录（具体参考第三章供应商须知“响应文件的组成”）</w:t>
      </w:r>
    </w:p>
    <w:p w14:paraId="64F7FBA2">
      <w:pPr>
        <w:snapToGrid w:val="0"/>
        <w:spacing w:before="50" w:after="50" w:line="360" w:lineRule="auto"/>
        <w:rPr>
          <w:rFonts w:ascii="仿宋" w:hAnsi="仿宋" w:eastAsia="仿宋" w:cs="仿宋"/>
          <w:color w:val="auto"/>
          <w:sz w:val="24"/>
          <w:szCs w:val="28"/>
          <w:highlight w:val="none"/>
        </w:rPr>
      </w:pPr>
    </w:p>
    <w:p w14:paraId="0F1C4E86">
      <w:pPr>
        <w:snapToGrid w:val="0"/>
        <w:spacing w:before="50" w:after="50" w:line="360" w:lineRule="auto"/>
        <w:rPr>
          <w:rFonts w:ascii="仿宋" w:hAnsi="仿宋" w:eastAsia="仿宋" w:cs="仿宋"/>
          <w:color w:val="auto"/>
          <w:szCs w:val="28"/>
          <w:highlight w:val="none"/>
        </w:rPr>
      </w:pPr>
    </w:p>
    <w:p w14:paraId="6D4C92D7">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lang w:val="en-US" w:eastAsia="zh-CN"/>
        </w:rPr>
        <w:t>首次</w:t>
      </w:r>
      <w:r>
        <w:rPr>
          <w:rFonts w:hint="eastAsia" w:ascii="仿宋" w:hAnsi="仿宋" w:eastAsia="仿宋" w:cs="仿宋"/>
          <w:color w:val="auto"/>
          <w:sz w:val="24"/>
          <w:szCs w:val="28"/>
          <w:highlight w:val="none"/>
        </w:rPr>
        <w:t>报价文件目录（具体参考第三章供应商须知“响应文件的组成”）</w:t>
      </w:r>
    </w:p>
    <w:p w14:paraId="67FD0B40">
      <w:pPr>
        <w:snapToGrid w:val="0"/>
        <w:spacing w:before="50" w:afterLines="50" w:line="360" w:lineRule="auto"/>
        <w:jc w:val="left"/>
        <w:rPr>
          <w:rFonts w:ascii="仿宋" w:hAnsi="仿宋" w:eastAsia="仿宋" w:cs="仿宋"/>
          <w:color w:val="auto"/>
          <w:szCs w:val="28"/>
          <w:highlight w:val="none"/>
        </w:rPr>
      </w:pPr>
    </w:p>
    <w:p w14:paraId="22C534FE">
      <w:pPr>
        <w:snapToGrid w:val="0"/>
        <w:spacing w:before="50" w:afterLines="50" w:line="360" w:lineRule="auto"/>
        <w:jc w:val="left"/>
        <w:rPr>
          <w:rFonts w:ascii="仿宋" w:hAnsi="仿宋" w:eastAsia="仿宋" w:cs="仿宋"/>
          <w:color w:val="auto"/>
          <w:szCs w:val="28"/>
          <w:highlight w:val="none"/>
        </w:rPr>
      </w:pPr>
    </w:p>
    <w:p w14:paraId="366ED35C">
      <w:pPr>
        <w:snapToGrid w:val="0"/>
        <w:spacing w:before="50" w:afterLines="50" w:line="360" w:lineRule="auto"/>
        <w:jc w:val="left"/>
        <w:rPr>
          <w:rFonts w:ascii="仿宋" w:hAnsi="仿宋" w:eastAsia="仿宋" w:cs="仿宋"/>
          <w:color w:val="auto"/>
          <w:szCs w:val="28"/>
          <w:highlight w:val="none"/>
        </w:rPr>
      </w:pPr>
    </w:p>
    <w:p w14:paraId="26D716F5">
      <w:pPr>
        <w:snapToGrid w:val="0"/>
        <w:spacing w:before="50" w:afterLines="5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（本章仅提供部分标准通用表格，具体格式内容请参照本磋商文件中对响应文件编制要求）</w:t>
      </w:r>
    </w:p>
    <w:p w14:paraId="2C671A0D">
      <w:pPr>
        <w:snapToGrid w:val="0"/>
        <w:spacing w:before="50" w:afterLines="50" w:line="360" w:lineRule="auto"/>
        <w:jc w:val="left"/>
        <w:rPr>
          <w:rFonts w:ascii="仿宋" w:hAnsi="仿宋" w:eastAsia="仿宋" w:cs="仿宋"/>
          <w:color w:val="auto"/>
          <w:sz w:val="24"/>
          <w:highlight w:val="none"/>
        </w:rPr>
      </w:pPr>
    </w:p>
    <w:p w14:paraId="0EAC8D1A">
      <w:pPr>
        <w:snapToGrid w:val="0"/>
        <w:spacing w:before="50" w:afterLines="50" w:line="360" w:lineRule="auto"/>
        <w:jc w:val="left"/>
        <w:rPr>
          <w:rFonts w:ascii="仿宋" w:hAnsi="仿宋" w:eastAsia="仿宋" w:cs="仿宋"/>
          <w:color w:val="auto"/>
          <w:sz w:val="24"/>
          <w:highlight w:val="none"/>
        </w:rPr>
      </w:pPr>
    </w:p>
    <w:p w14:paraId="2CF678DE">
      <w:pPr>
        <w:snapToGrid w:val="0"/>
        <w:spacing w:before="50" w:afterLines="50" w:line="360" w:lineRule="auto"/>
        <w:jc w:val="left"/>
        <w:rPr>
          <w:rFonts w:ascii="仿宋" w:hAnsi="仿宋" w:eastAsia="仿宋" w:cs="仿宋"/>
          <w:color w:val="auto"/>
          <w:sz w:val="24"/>
          <w:highlight w:val="none"/>
        </w:rPr>
      </w:pPr>
    </w:p>
    <w:p w14:paraId="7CA38E70">
      <w:pPr>
        <w:snapToGrid w:val="0"/>
        <w:spacing w:before="50" w:afterLines="50" w:line="360" w:lineRule="auto"/>
        <w:jc w:val="left"/>
        <w:rPr>
          <w:rFonts w:ascii="仿宋" w:hAnsi="仿宋" w:eastAsia="仿宋" w:cs="仿宋"/>
          <w:color w:val="auto"/>
          <w:sz w:val="24"/>
          <w:highlight w:val="none"/>
        </w:rPr>
      </w:pPr>
    </w:p>
    <w:p w14:paraId="4D07D11A">
      <w:pPr>
        <w:snapToGrid w:val="0"/>
        <w:spacing w:before="50" w:afterLines="50" w:line="360" w:lineRule="auto"/>
        <w:jc w:val="left"/>
        <w:rPr>
          <w:rFonts w:ascii="仿宋" w:hAnsi="仿宋" w:eastAsia="仿宋" w:cs="仿宋"/>
          <w:color w:val="auto"/>
          <w:sz w:val="24"/>
          <w:highlight w:val="none"/>
        </w:rPr>
      </w:pPr>
    </w:p>
    <w:p w14:paraId="1D64F5C2">
      <w:pPr>
        <w:snapToGrid w:val="0"/>
        <w:spacing w:before="50" w:afterLines="50" w:line="360" w:lineRule="auto"/>
        <w:jc w:val="left"/>
        <w:rPr>
          <w:rFonts w:ascii="仿宋" w:hAnsi="仿宋" w:eastAsia="仿宋" w:cs="仿宋"/>
          <w:color w:val="auto"/>
          <w:sz w:val="24"/>
          <w:highlight w:val="none"/>
        </w:rPr>
      </w:pPr>
    </w:p>
    <w:p w14:paraId="007643F5">
      <w:pPr>
        <w:snapToGrid w:val="0"/>
        <w:spacing w:before="50" w:afterLines="50" w:line="360" w:lineRule="auto"/>
        <w:jc w:val="left"/>
        <w:rPr>
          <w:rFonts w:ascii="仿宋" w:hAnsi="仿宋" w:eastAsia="仿宋" w:cs="仿宋"/>
          <w:color w:val="auto"/>
          <w:sz w:val="24"/>
          <w:highlight w:val="none"/>
        </w:rPr>
      </w:pPr>
    </w:p>
    <w:p w14:paraId="02C6CB6F">
      <w:pPr>
        <w:snapToGrid w:val="0"/>
        <w:spacing w:before="50" w:afterLines="50" w:line="360" w:lineRule="auto"/>
        <w:jc w:val="left"/>
        <w:rPr>
          <w:rFonts w:ascii="仿宋" w:hAnsi="仿宋" w:eastAsia="仿宋" w:cs="仿宋"/>
          <w:color w:val="auto"/>
          <w:sz w:val="24"/>
          <w:highlight w:val="none"/>
        </w:rPr>
      </w:pPr>
    </w:p>
    <w:p w14:paraId="72AE5493">
      <w:pPr>
        <w:snapToGrid w:val="0"/>
        <w:spacing w:before="50" w:afterLines="50" w:line="360" w:lineRule="auto"/>
        <w:jc w:val="left"/>
        <w:rPr>
          <w:rFonts w:ascii="仿宋" w:hAnsi="仿宋" w:eastAsia="仿宋" w:cs="仿宋"/>
          <w:color w:val="auto"/>
          <w:sz w:val="24"/>
          <w:highlight w:val="none"/>
        </w:rPr>
      </w:pPr>
    </w:p>
    <w:p w14:paraId="09B2BAFE">
      <w:pPr>
        <w:snapToGrid w:val="0"/>
        <w:spacing w:before="50" w:afterLines="50" w:line="360" w:lineRule="auto"/>
        <w:jc w:val="left"/>
        <w:rPr>
          <w:rFonts w:ascii="仿宋" w:hAnsi="仿宋" w:eastAsia="仿宋" w:cs="仿宋"/>
          <w:color w:val="auto"/>
          <w:sz w:val="24"/>
          <w:highlight w:val="none"/>
        </w:rPr>
      </w:pPr>
    </w:p>
    <w:p w14:paraId="5AA987DE">
      <w:pPr>
        <w:snapToGrid w:val="0"/>
        <w:spacing w:before="50" w:afterLines="50" w:line="360" w:lineRule="auto"/>
        <w:jc w:val="left"/>
        <w:rPr>
          <w:rFonts w:ascii="仿宋" w:hAnsi="仿宋" w:eastAsia="仿宋" w:cs="仿宋"/>
          <w:color w:val="auto"/>
          <w:sz w:val="24"/>
          <w:highlight w:val="none"/>
        </w:rPr>
      </w:pPr>
    </w:p>
    <w:p w14:paraId="26B6CEC3">
      <w:pPr>
        <w:snapToGrid w:val="0"/>
        <w:spacing w:before="50" w:after="50" w:line="480" w:lineRule="auto"/>
        <w:rPr>
          <w:rFonts w:ascii="仿宋" w:hAnsi="仿宋" w:eastAsia="仿宋" w:cs="仿宋"/>
          <w:color w:val="auto"/>
          <w:sz w:val="24"/>
          <w:highlight w:val="none"/>
        </w:rPr>
      </w:pPr>
    </w:p>
    <w:p w14:paraId="5AD71FD1">
      <w:pPr>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7B881CE">
      <w:pPr>
        <w:snapToGrid w:val="0"/>
        <w:spacing w:before="50" w:after="50"/>
        <w:jc w:val="center"/>
        <w:rPr>
          <w:rFonts w:ascii="仿宋" w:hAnsi="仿宋" w:eastAsia="仿宋" w:cs="仿宋"/>
          <w:b/>
          <w:bCs/>
          <w:color w:val="auto"/>
          <w:sz w:val="28"/>
          <w:szCs w:val="28"/>
          <w:highlight w:val="none"/>
        </w:rPr>
      </w:pPr>
    </w:p>
    <w:p w14:paraId="654AF5D4">
      <w:pPr>
        <w:snapToGrid w:val="0"/>
        <w:spacing w:before="50" w:after="50"/>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供应商自评分索引表</w:t>
      </w:r>
    </w:p>
    <w:p w14:paraId="317365ED">
      <w:pPr>
        <w:snapToGrid w:val="0"/>
        <w:spacing w:before="50"/>
        <w:jc w:val="center"/>
        <w:rPr>
          <w:rFonts w:ascii="仿宋" w:hAnsi="仿宋" w:eastAsia="仿宋" w:cs="仿宋"/>
          <w:b/>
          <w:color w:val="auto"/>
          <w:szCs w:val="28"/>
          <w:highlight w:val="none"/>
        </w:rPr>
      </w:pPr>
    </w:p>
    <w:p w14:paraId="143F48B0">
      <w:pPr>
        <w:pStyle w:val="36"/>
        <w:spacing w:line="460" w:lineRule="exact"/>
        <w:ind w:firstLine="720" w:firstLineChars="300"/>
        <w:rPr>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 xml:space="preserve">湖州市2025年度大气综合技术服务项目 </w:t>
      </w:r>
      <w:r>
        <w:rPr>
          <w:rFonts w:hint="eastAsia" w:ascii="仿宋" w:hAnsi="仿宋" w:eastAsia="仿宋" w:cs="仿宋"/>
          <w:color w:val="auto"/>
          <w:highlight w:val="none"/>
          <w:lang w:val="en-US" w:eastAsia="zh-CN"/>
        </w:rPr>
        <w:t xml:space="preserve">                   </w:t>
      </w:r>
    </w:p>
    <w:tbl>
      <w:tblPr>
        <w:tblStyle w:val="26"/>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0A73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4E2323C4">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22876A30">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19955258">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1327546F">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响应文件页码</w:t>
            </w:r>
          </w:p>
        </w:tc>
      </w:tr>
      <w:tr w14:paraId="133A1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75B88E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对应第六章</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6C9C89BA">
            <w:pPr>
              <w:snapToGrid w:val="0"/>
              <w:spacing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C18A732">
            <w:pPr>
              <w:snapToGrid w:val="0"/>
              <w:spacing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4C596BF">
            <w:pPr>
              <w:snapToGrid w:val="0"/>
              <w:spacing w:beforeLines="50"/>
              <w:jc w:val="center"/>
              <w:rPr>
                <w:rFonts w:ascii="仿宋" w:hAnsi="仿宋" w:eastAsia="仿宋" w:cs="仿宋"/>
                <w:color w:val="auto"/>
                <w:sz w:val="24"/>
                <w:highlight w:val="none"/>
              </w:rPr>
            </w:pPr>
          </w:p>
        </w:tc>
      </w:tr>
      <w:tr w14:paraId="1C6E1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0A1FD76">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6CD58E79">
            <w:pPr>
              <w:snapToGrid w:val="0"/>
              <w:spacing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4605C8B">
            <w:pPr>
              <w:snapToGrid w:val="0"/>
              <w:spacing w:beforeLines="50"/>
              <w:ind w:left="43"/>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3042FE7">
            <w:pPr>
              <w:snapToGrid w:val="0"/>
              <w:spacing w:beforeLines="50"/>
              <w:ind w:left="43"/>
              <w:jc w:val="center"/>
              <w:rPr>
                <w:rFonts w:ascii="仿宋" w:hAnsi="仿宋" w:eastAsia="仿宋" w:cs="仿宋"/>
                <w:color w:val="auto"/>
                <w:sz w:val="24"/>
                <w:highlight w:val="none"/>
              </w:rPr>
            </w:pPr>
          </w:p>
        </w:tc>
      </w:tr>
      <w:tr w14:paraId="0BA86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5D86A9">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2E5A73C">
            <w:pPr>
              <w:snapToGrid w:val="0"/>
              <w:spacing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245A131">
            <w:pPr>
              <w:snapToGrid w:val="0"/>
              <w:spacing w:beforeLines="50"/>
              <w:ind w:left="43"/>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1223F43">
            <w:pPr>
              <w:snapToGrid w:val="0"/>
              <w:spacing w:beforeLines="50"/>
              <w:ind w:left="43"/>
              <w:jc w:val="center"/>
              <w:rPr>
                <w:rFonts w:ascii="仿宋" w:hAnsi="仿宋" w:eastAsia="仿宋" w:cs="仿宋"/>
                <w:color w:val="auto"/>
                <w:sz w:val="24"/>
                <w:highlight w:val="none"/>
              </w:rPr>
            </w:pPr>
          </w:p>
        </w:tc>
      </w:tr>
      <w:tr w14:paraId="3E09B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E3E2653">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1FD7F29">
            <w:pPr>
              <w:snapToGrid w:val="0"/>
              <w:spacing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6EB584D">
            <w:pPr>
              <w:snapToGrid w:val="0"/>
              <w:spacing w:beforeLines="50"/>
              <w:ind w:left="43"/>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1A5D47B">
            <w:pPr>
              <w:snapToGrid w:val="0"/>
              <w:spacing w:beforeLines="50"/>
              <w:ind w:left="43"/>
              <w:jc w:val="center"/>
              <w:rPr>
                <w:rFonts w:ascii="仿宋" w:hAnsi="仿宋" w:eastAsia="仿宋" w:cs="仿宋"/>
                <w:color w:val="auto"/>
                <w:sz w:val="24"/>
                <w:highlight w:val="none"/>
              </w:rPr>
            </w:pPr>
          </w:p>
        </w:tc>
      </w:tr>
      <w:tr w14:paraId="25BA7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5042FC8">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48E08DA">
            <w:pPr>
              <w:snapToGrid w:val="0"/>
              <w:spacing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6FBABC3">
            <w:pPr>
              <w:snapToGrid w:val="0"/>
              <w:spacing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D4C568B">
            <w:pPr>
              <w:snapToGrid w:val="0"/>
              <w:spacing w:beforeLines="50"/>
              <w:jc w:val="center"/>
              <w:rPr>
                <w:rFonts w:ascii="仿宋" w:hAnsi="仿宋" w:eastAsia="仿宋" w:cs="仿宋"/>
                <w:color w:val="auto"/>
                <w:sz w:val="24"/>
                <w:highlight w:val="none"/>
              </w:rPr>
            </w:pPr>
          </w:p>
        </w:tc>
      </w:tr>
      <w:tr w14:paraId="4A997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D9ED283">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D6B8284">
            <w:pPr>
              <w:snapToGrid w:val="0"/>
              <w:spacing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70E1375">
            <w:pPr>
              <w:snapToGrid w:val="0"/>
              <w:spacing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78296B8">
            <w:pPr>
              <w:snapToGrid w:val="0"/>
              <w:spacing w:beforeLines="50"/>
              <w:jc w:val="center"/>
              <w:rPr>
                <w:rFonts w:ascii="仿宋" w:hAnsi="仿宋" w:eastAsia="仿宋" w:cs="仿宋"/>
                <w:color w:val="auto"/>
                <w:sz w:val="24"/>
                <w:highlight w:val="none"/>
              </w:rPr>
            </w:pPr>
          </w:p>
        </w:tc>
      </w:tr>
      <w:tr w14:paraId="61BB4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0DC3932A">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6F22B97">
            <w:pPr>
              <w:snapToGrid w:val="0"/>
              <w:spacing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F37D4B6">
            <w:pPr>
              <w:snapToGrid w:val="0"/>
              <w:spacing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36E3AFB">
            <w:pPr>
              <w:snapToGrid w:val="0"/>
              <w:spacing w:beforeLines="50"/>
              <w:jc w:val="center"/>
              <w:rPr>
                <w:rFonts w:ascii="仿宋" w:hAnsi="仿宋" w:eastAsia="仿宋" w:cs="仿宋"/>
                <w:color w:val="auto"/>
                <w:sz w:val="24"/>
                <w:highlight w:val="none"/>
              </w:rPr>
            </w:pPr>
          </w:p>
        </w:tc>
      </w:tr>
      <w:tr w14:paraId="76897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D7905B2">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5DF969F">
            <w:pPr>
              <w:snapToGrid w:val="0"/>
              <w:spacing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C37F205">
            <w:pPr>
              <w:snapToGrid w:val="0"/>
              <w:spacing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46C6520">
            <w:pPr>
              <w:snapToGrid w:val="0"/>
              <w:spacing w:beforeLines="50"/>
              <w:jc w:val="center"/>
              <w:rPr>
                <w:rFonts w:ascii="仿宋" w:hAnsi="仿宋" w:eastAsia="仿宋" w:cs="仿宋"/>
                <w:color w:val="auto"/>
                <w:sz w:val="24"/>
                <w:highlight w:val="none"/>
              </w:rPr>
            </w:pPr>
          </w:p>
        </w:tc>
      </w:tr>
      <w:tr w14:paraId="64F46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B5E1854">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D900A13">
            <w:pPr>
              <w:snapToGrid w:val="0"/>
              <w:spacing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AE8F156">
            <w:pPr>
              <w:snapToGrid w:val="0"/>
              <w:spacing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C0A3132">
            <w:pPr>
              <w:snapToGrid w:val="0"/>
              <w:spacing w:beforeLines="50"/>
              <w:jc w:val="center"/>
              <w:rPr>
                <w:rFonts w:ascii="仿宋" w:hAnsi="仿宋" w:eastAsia="仿宋" w:cs="仿宋"/>
                <w:color w:val="auto"/>
                <w:sz w:val="24"/>
                <w:highlight w:val="none"/>
              </w:rPr>
            </w:pPr>
          </w:p>
        </w:tc>
      </w:tr>
    </w:tbl>
    <w:p w14:paraId="540FE6F1">
      <w:pPr>
        <w:snapToGrid w:val="0"/>
        <w:spacing w:line="460" w:lineRule="exact"/>
        <w:ind w:firstLine="240" w:firstLineChars="100"/>
        <w:rPr>
          <w:rFonts w:ascii="仿宋" w:hAnsi="仿宋" w:eastAsia="仿宋" w:cs="仿宋"/>
          <w:color w:val="auto"/>
          <w:sz w:val="24"/>
          <w:highlight w:val="none"/>
        </w:rPr>
      </w:pPr>
    </w:p>
    <w:p w14:paraId="7A7209CE">
      <w:pPr>
        <w:pStyle w:val="9"/>
        <w:snapToGrid w:val="0"/>
        <w:ind w:firstLine="240" w:firstLineChars="100"/>
        <w:rPr>
          <w:rFonts w:hint="eastAsia" w:ascii="仿宋" w:hAnsi="仿宋" w:eastAsia="仿宋" w:cs="仿宋"/>
          <w:color w:val="auto"/>
          <w:sz w:val="24"/>
          <w:szCs w:val="24"/>
          <w:highlight w:val="none"/>
        </w:rPr>
      </w:pPr>
    </w:p>
    <w:p w14:paraId="5A8534E9">
      <w:pPr>
        <w:pStyle w:val="9"/>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供应商全称（加盖公章）：</w:t>
      </w:r>
    </w:p>
    <w:p w14:paraId="4F8DE415">
      <w:pPr>
        <w:snapToGrid w:val="0"/>
        <w:spacing w:line="4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132BDE69">
      <w:pPr>
        <w:snapToGrid w:val="0"/>
        <w:spacing w:line="460" w:lineRule="exact"/>
        <w:ind w:firstLine="480" w:firstLineChars="200"/>
        <w:jc w:val="left"/>
        <w:rPr>
          <w:rFonts w:ascii="仿宋" w:hAnsi="仿宋" w:eastAsia="仿宋" w:cs="仿宋"/>
          <w:b/>
          <w:color w:val="auto"/>
          <w:sz w:val="28"/>
          <w:szCs w:val="28"/>
          <w:highlight w:val="none"/>
        </w:rPr>
      </w:pPr>
      <w:r>
        <w:rPr>
          <w:rFonts w:hint="eastAsia" w:ascii="仿宋" w:hAnsi="仿宋" w:eastAsia="仿宋" w:cs="仿宋"/>
          <w:color w:val="auto"/>
          <w:sz w:val="24"/>
          <w:highlight w:val="none"/>
        </w:rPr>
        <w:t>日期：    年  月   日</w:t>
      </w:r>
      <w:r>
        <w:rPr>
          <w:rFonts w:hint="eastAsia" w:ascii="仿宋" w:hAnsi="仿宋" w:eastAsia="仿宋" w:cs="仿宋"/>
          <w:b/>
          <w:color w:val="auto"/>
          <w:sz w:val="28"/>
          <w:szCs w:val="28"/>
          <w:highlight w:val="none"/>
        </w:rPr>
        <w:br w:type="page"/>
      </w:r>
    </w:p>
    <w:p w14:paraId="7A3A8D31">
      <w:pPr>
        <w:pStyle w:val="36"/>
        <w:pageBreakBefore/>
        <w:jc w:val="center"/>
        <w:outlineLvl w:val="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项目实施人员配置表</w:t>
      </w:r>
    </w:p>
    <w:p w14:paraId="39CF8316">
      <w:pPr>
        <w:pStyle w:val="36"/>
        <w:spacing w:line="460" w:lineRule="exact"/>
        <w:rPr>
          <w:rFonts w:hint="eastAsia"/>
          <w:color w:val="auto"/>
          <w:highlight w:val="none"/>
          <w:lang w:val="en-US"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 xml:space="preserve">湖州市2025年度大气综合技术服务项目 </w:t>
      </w:r>
      <w:r>
        <w:rPr>
          <w:rFonts w:hint="eastAsia" w:ascii="仿宋" w:hAnsi="仿宋" w:eastAsia="仿宋" w:cs="仿宋"/>
          <w:color w:val="auto"/>
          <w:highlight w:val="none"/>
          <w:lang w:val="en-US" w:eastAsia="zh-CN"/>
        </w:rPr>
        <w:t xml:space="preserve">                  </w:t>
      </w:r>
    </w:p>
    <w:tbl>
      <w:tblPr>
        <w:tblStyle w:val="26"/>
        <w:tblW w:w="981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0"/>
        <w:gridCol w:w="1127"/>
        <w:gridCol w:w="1049"/>
        <w:gridCol w:w="1013"/>
        <w:gridCol w:w="980"/>
        <w:gridCol w:w="925"/>
        <w:gridCol w:w="1462"/>
        <w:gridCol w:w="1155"/>
        <w:gridCol w:w="1260"/>
      </w:tblGrid>
      <w:tr w14:paraId="52A35A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40" w:type="dxa"/>
            <w:tcBorders>
              <w:top w:val="single" w:color="auto" w:sz="12" w:space="0"/>
              <w:left w:val="single" w:color="auto" w:sz="12" w:space="0"/>
              <w:bottom w:val="single" w:color="auto" w:sz="4" w:space="0"/>
              <w:right w:val="single" w:color="auto" w:sz="4" w:space="0"/>
            </w:tcBorders>
            <w:noWrap w:val="0"/>
            <w:vAlign w:val="center"/>
          </w:tcPr>
          <w:p w14:paraId="5E324BD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27" w:type="dxa"/>
            <w:tcBorders>
              <w:top w:val="single" w:color="auto" w:sz="12" w:space="0"/>
              <w:left w:val="single" w:color="auto" w:sz="4" w:space="0"/>
              <w:bottom w:val="single" w:color="auto" w:sz="4" w:space="0"/>
              <w:right w:val="single" w:color="auto" w:sz="4" w:space="0"/>
            </w:tcBorders>
            <w:noWrap w:val="0"/>
            <w:vAlign w:val="center"/>
          </w:tcPr>
          <w:p w14:paraId="36FC11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049" w:type="dxa"/>
            <w:tcBorders>
              <w:top w:val="single" w:color="auto" w:sz="12" w:space="0"/>
              <w:left w:val="single" w:color="auto" w:sz="4" w:space="0"/>
              <w:bottom w:val="single" w:color="auto" w:sz="4" w:space="0"/>
              <w:right w:val="single" w:color="auto" w:sz="4" w:space="0"/>
            </w:tcBorders>
            <w:noWrap w:val="0"/>
            <w:vAlign w:val="center"/>
          </w:tcPr>
          <w:p w14:paraId="14BB588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13" w:type="dxa"/>
            <w:tcBorders>
              <w:top w:val="single" w:color="auto" w:sz="12" w:space="0"/>
              <w:left w:val="single" w:color="auto" w:sz="4" w:space="0"/>
              <w:bottom w:val="single" w:color="auto" w:sz="4" w:space="0"/>
              <w:right w:val="single" w:color="auto" w:sz="4" w:space="0"/>
            </w:tcBorders>
            <w:noWrap w:val="0"/>
            <w:vAlign w:val="center"/>
          </w:tcPr>
          <w:p w14:paraId="6FCDC62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980" w:type="dxa"/>
            <w:tcBorders>
              <w:top w:val="single" w:color="auto" w:sz="12" w:space="0"/>
              <w:left w:val="single" w:color="auto" w:sz="4" w:space="0"/>
              <w:bottom w:val="single" w:color="auto" w:sz="4" w:space="0"/>
              <w:right w:val="single" w:color="auto" w:sz="4" w:space="0"/>
            </w:tcBorders>
            <w:noWrap w:val="0"/>
            <w:vAlign w:val="center"/>
          </w:tcPr>
          <w:p w14:paraId="03E35DD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25" w:type="dxa"/>
            <w:tcBorders>
              <w:top w:val="single" w:color="auto" w:sz="12" w:space="0"/>
              <w:left w:val="single" w:color="auto" w:sz="4" w:space="0"/>
              <w:bottom w:val="single" w:color="auto" w:sz="4" w:space="0"/>
              <w:right w:val="single" w:color="auto" w:sz="4" w:space="0"/>
            </w:tcBorders>
            <w:noWrap w:val="0"/>
            <w:vAlign w:val="center"/>
          </w:tcPr>
          <w:p w14:paraId="41F762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462" w:type="dxa"/>
            <w:tcBorders>
              <w:top w:val="single" w:color="auto" w:sz="12" w:space="0"/>
              <w:left w:val="single" w:color="auto" w:sz="4" w:space="0"/>
              <w:bottom w:val="single" w:color="auto" w:sz="4" w:space="0"/>
              <w:right w:val="single" w:color="auto" w:sz="4" w:space="0"/>
            </w:tcBorders>
            <w:noWrap w:val="0"/>
            <w:vAlign w:val="center"/>
          </w:tcPr>
          <w:p w14:paraId="397A7C1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证书及编号</w:t>
            </w:r>
          </w:p>
        </w:tc>
        <w:tc>
          <w:tcPr>
            <w:tcW w:w="1155" w:type="dxa"/>
            <w:tcBorders>
              <w:top w:val="single" w:color="auto" w:sz="12" w:space="0"/>
              <w:left w:val="single" w:color="auto" w:sz="4" w:space="0"/>
              <w:bottom w:val="single" w:color="auto" w:sz="4" w:space="0"/>
              <w:right w:val="single" w:color="auto" w:sz="4" w:space="0"/>
            </w:tcBorders>
            <w:noWrap w:val="0"/>
            <w:vAlign w:val="center"/>
          </w:tcPr>
          <w:p w14:paraId="4BEA4A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w:t>
            </w:r>
          </w:p>
          <w:p w14:paraId="00D30F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260" w:type="dxa"/>
            <w:tcBorders>
              <w:top w:val="single" w:color="auto" w:sz="12" w:space="0"/>
              <w:left w:val="single" w:color="auto" w:sz="4" w:space="0"/>
              <w:bottom w:val="single" w:color="auto" w:sz="4" w:space="0"/>
              <w:right w:val="single" w:color="auto" w:sz="12" w:space="0"/>
            </w:tcBorders>
            <w:noWrap w:val="0"/>
            <w:vAlign w:val="center"/>
          </w:tcPr>
          <w:p w14:paraId="629790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拟任职务</w:t>
            </w:r>
          </w:p>
        </w:tc>
      </w:tr>
      <w:tr w14:paraId="10E7F1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2D0A890C">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303B071">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4AC448BF">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2BB84E2">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B8879D1">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81735E2">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7E9581A4">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5887B17">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17D083AB">
            <w:pPr>
              <w:spacing w:line="360" w:lineRule="auto"/>
              <w:jc w:val="center"/>
              <w:rPr>
                <w:rFonts w:hint="eastAsia" w:ascii="仿宋" w:hAnsi="仿宋" w:eastAsia="仿宋" w:cs="仿宋"/>
                <w:color w:val="auto"/>
                <w:sz w:val="24"/>
                <w:highlight w:val="none"/>
              </w:rPr>
            </w:pPr>
          </w:p>
        </w:tc>
      </w:tr>
      <w:tr w14:paraId="77B71C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0725922F">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8B83298">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6974B753">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7F34DFE1">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38C501E1">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8B7E923">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31FCE087">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2FA3E88">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34CF3BFF">
            <w:pPr>
              <w:spacing w:line="360" w:lineRule="auto"/>
              <w:jc w:val="center"/>
              <w:rPr>
                <w:rFonts w:hint="eastAsia" w:ascii="仿宋" w:hAnsi="仿宋" w:eastAsia="仿宋" w:cs="仿宋"/>
                <w:color w:val="auto"/>
                <w:sz w:val="24"/>
                <w:highlight w:val="none"/>
              </w:rPr>
            </w:pPr>
          </w:p>
        </w:tc>
      </w:tr>
      <w:tr w14:paraId="0209036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4A4DE8C0">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2EA584E4">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60A5E00E">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01D4E746">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2F770A8">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2FBF8A0">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595112B8">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4A3D08C">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098F7A79">
            <w:pPr>
              <w:spacing w:line="360" w:lineRule="auto"/>
              <w:jc w:val="center"/>
              <w:rPr>
                <w:rFonts w:hint="eastAsia" w:ascii="仿宋" w:hAnsi="仿宋" w:eastAsia="仿宋" w:cs="仿宋"/>
                <w:color w:val="auto"/>
                <w:sz w:val="24"/>
                <w:highlight w:val="none"/>
              </w:rPr>
            </w:pPr>
          </w:p>
        </w:tc>
      </w:tr>
      <w:tr w14:paraId="127A4B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730A7962">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47831A8">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529F00F7">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24B9E95">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52D443D">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471A9AA">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584C220E">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11E0583">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2D9247A7">
            <w:pPr>
              <w:spacing w:line="360" w:lineRule="auto"/>
              <w:jc w:val="center"/>
              <w:rPr>
                <w:rFonts w:hint="eastAsia" w:ascii="仿宋" w:hAnsi="仿宋" w:eastAsia="仿宋" w:cs="仿宋"/>
                <w:color w:val="auto"/>
                <w:sz w:val="24"/>
                <w:highlight w:val="none"/>
              </w:rPr>
            </w:pPr>
          </w:p>
        </w:tc>
      </w:tr>
      <w:tr w14:paraId="55502B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2EFA267E">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BF55041">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09137E15">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E20DC32">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7D5C4A4C">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226CA18">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0FA7B1ED">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B55637E">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64C43868">
            <w:pPr>
              <w:spacing w:line="360" w:lineRule="auto"/>
              <w:jc w:val="center"/>
              <w:rPr>
                <w:rFonts w:hint="eastAsia" w:ascii="仿宋" w:hAnsi="仿宋" w:eastAsia="仿宋" w:cs="仿宋"/>
                <w:color w:val="auto"/>
                <w:sz w:val="24"/>
                <w:highlight w:val="none"/>
              </w:rPr>
            </w:pPr>
          </w:p>
        </w:tc>
      </w:tr>
      <w:tr w14:paraId="089D5F9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3808D655">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1B544FD3">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00281724">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E2ABA9A">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36916557">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F9647D3">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7D46B79F">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719F7E1">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766CEC53">
            <w:pPr>
              <w:spacing w:line="360" w:lineRule="auto"/>
              <w:jc w:val="center"/>
              <w:rPr>
                <w:rFonts w:hint="eastAsia" w:ascii="仿宋" w:hAnsi="仿宋" w:eastAsia="仿宋" w:cs="仿宋"/>
                <w:color w:val="auto"/>
                <w:sz w:val="24"/>
                <w:highlight w:val="none"/>
              </w:rPr>
            </w:pPr>
          </w:p>
        </w:tc>
      </w:tr>
      <w:tr w14:paraId="6B497F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0B74C7EF">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A1FC3C9">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279B9463">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EA5E73B">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A02CA6F">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DF098B2">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61BBD453">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558BD11">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521E8BEE">
            <w:pPr>
              <w:spacing w:line="360" w:lineRule="auto"/>
              <w:jc w:val="center"/>
              <w:rPr>
                <w:rFonts w:hint="eastAsia" w:ascii="仿宋" w:hAnsi="仿宋" w:eastAsia="仿宋" w:cs="仿宋"/>
                <w:color w:val="auto"/>
                <w:sz w:val="24"/>
                <w:highlight w:val="none"/>
              </w:rPr>
            </w:pPr>
          </w:p>
        </w:tc>
      </w:tr>
      <w:tr w14:paraId="34E00EB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5AF81785">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4A4B3544">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2AF8AA66">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EB51A06">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A9F2787">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39F777F">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50A6C297">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512CB05">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4A424A9E">
            <w:pPr>
              <w:spacing w:line="360" w:lineRule="auto"/>
              <w:jc w:val="center"/>
              <w:rPr>
                <w:rFonts w:hint="eastAsia" w:ascii="仿宋" w:hAnsi="仿宋" w:eastAsia="仿宋" w:cs="仿宋"/>
                <w:color w:val="auto"/>
                <w:sz w:val="24"/>
                <w:highlight w:val="none"/>
              </w:rPr>
            </w:pPr>
          </w:p>
        </w:tc>
      </w:tr>
      <w:tr w14:paraId="646494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27447E38">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740E74F">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7238936E">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0AC8AA4">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9A317B5">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77B774E">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32C24B49">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0FCDD58">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62608573">
            <w:pPr>
              <w:spacing w:line="360" w:lineRule="auto"/>
              <w:jc w:val="center"/>
              <w:rPr>
                <w:rFonts w:hint="eastAsia" w:ascii="仿宋" w:hAnsi="仿宋" w:eastAsia="仿宋" w:cs="仿宋"/>
                <w:color w:val="auto"/>
                <w:sz w:val="24"/>
                <w:highlight w:val="none"/>
              </w:rPr>
            </w:pPr>
          </w:p>
        </w:tc>
      </w:tr>
      <w:tr w14:paraId="142F1F1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66F599C1">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AE20FE7">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564E65E4">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821A918">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58C80762">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5B84549">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591E5207">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7B1420E">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6C4B2418">
            <w:pPr>
              <w:spacing w:line="360" w:lineRule="auto"/>
              <w:jc w:val="center"/>
              <w:rPr>
                <w:rFonts w:hint="eastAsia" w:ascii="仿宋" w:hAnsi="仿宋" w:eastAsia="仿宋" w:cs="仿宋"/>
                <w:color w:val="auto"/>
                <w:sz w:val="24"/>
                <w:highlight w:val="none"/>
              </w:rPr>
            </w:pPr>
          </w:p>
        </w:tc>
      </w:tr>
      <w:tr w14:paraId="6148E1E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40" w:type="dxa"/>
            <w:tcBorders>
              <w:top w:val="single" w:color="auto" w:sz="4" w:space="0"/>
              <w:left w:val="single" w:color="auto" w:sz="12" w:space="0"/>
              <w:bottom w:val="single" w:color="auto" w:sz="4" w:space="0"/>
              <w:right w:val="single" w:color="auto" w:sz="4" w:space="0"/>
            </w:tcBorders>
            <w:noWrap w:val="0"/>
            <w:vAlign w:val="center"/>
          </w:tcPr>
          <w:p w14:paraId="56971816">
            <w:pPr>
              <w:spacing w:line="360" w:lineRule="auto"/>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949FE59">
            <w:pPr>
              <w:spacing w:line="360" w:lineRule="auto"/>
              <w:jc w:val="center"/>
              <w:rPr>
                <w:rFonts w:hint="eastAsia" w:ascii="仿宋" w:hAnsi="仿宋" w:eastAsia="仿宋" w:cs="仿宋"/>
                <w:color w:val="auto"/>
                <w:sz w:val="24"/>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14:paraId="02CFB7F6">
            <w:pPr>
              <w:spacing w:line="360" w:lineRule="auto"/>
              <w:jc w:val="center"/>
              <w:rPr>
                <w:rFonts w:hint="eastAsia" w:ascii="仿宋" w:hAnsi="仿宋" w:eastAsia="仿宋" w:cs="仿宋"/>
                <w:color w:val="auto"/>
                <w:sz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0B6BDC59">
            <w:pPr>
              <w:spacing w:line="360" w:lineRule="auto"/>
              <w:jc w:val="center"/>
              <w:rPr>
                <w:rFonts w:hint="eastAsia" w:ascii="仿宋" w:hAnsi="仿宋" w:eastAsia="仿宋" w:cs="仿宋"/>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33C30D30">
            <w:pPr>
              <w:spacing w:line="360" w:lineRule="auto"/>
              <w:jc w:val="center"/>
              <w:rPr>
                <w:rFonts w:hint="eastAsia" w:ascii="仿宋" w:hAnsi="仿宋" w:eastAsia="仿宋" w:cs="仿宋"/>
                <w:color w:val="auto"/>
                <w:sz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2BC5D9C3">
            <w:pPr>
              <w:spacing w:line="360" w:lineRule="auto"/>
              <w:jc w:val="center"/>
              <w:rPr>
                <w:rFonts w:hint="eastAsia" w:ascii="仿宋" w:hAnsi="仿宋" w:eastAsia="仿宋" w:cs="仿宋"/>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14:paraId="7A75D332">
            <w:pPr>
              <w:spacing w:line="360" w:lineRule="auto"/>
              <w:jc w:val="center"/>
              <w:rPr>
                <w:rFonts w:hint="eastAsia" w:ascii="仿宋" w:hAnsi="仿宋" w:eastAsia="仿宋" w:cs="仿宋"/>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704ACEE">
            <w:pPr>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12" w:space="0"/>
            </w:tcBorders>
            <w:noWrap w:val="0"/>
            <w:vAlign w:val="center"/>
          </w:tcPr>
          <w:p w14:paraId="0801ADDD">
            <w:pPr>
              <w:spacing w:line="360" w:lineRule="auto"/>
              <w:jc w:val="center"/>
              <w:rPr>
                <w:rFonts w:hint="eastAsia" w:ascii="仿宋" w:hAnsi="仿宋" w:eastAsia="仿宋" w:cs="仿宋"/>
                <w:color w:val="auto"/>
                <w:sz w:val="24"/>
                <w:highlight w:val="none"/>
              </w:rPr>
            </w:pPr>
          </w:p>
        </w:tc>
      </w:tr>
    </w:tbl>
    <w:p w14:paraId="75D16BF1">
      <w:pPr>
        <w:adjustRightInd w:val="0"/>
        <w:snapToGrid w:val="0"/>
        <w:spacing w:line="360" w:lineRule="auto"/>
        <w:rPr>
          <w:rFonts w:hint="eastAsia" w:ascii="仿宋" w:hAnsi="仿宋" w:eastAsia="仿宋" w:cs="仿宋"/>
          <w:color w:val="auto"/>
          <w:sz w:val="24"/>
          <w:highlight w:val="none"/>
        </w:rPr>
      </w:pPr>
    </w:p>
    <w:p w14:paraId="0A85106F">
      <w:pPr>
        <w:snapToGrid w:val="0"/>
        <w:spacing w:beforeLines="50" w:after="50"/>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注：</w:t>
      </w:r>
      <w:r>
        <w:rPr>
          <w:rFonts w:hint="eastAsia" w:ascii="仿宋" w:hAnsi="仿宋" w:eastAsia="仿宋" w:cs="仿宋"/>
          <w:b/>
          <w:color w:val="auto"/>
          <w:sz w:val="24"/>
          <w:highlight w:val="none"/>
        </w:rPr>
        <w:t>此表仅提供了表格形式，投标人应根据需要准备足够数量的表格来填写</w:t>
      </w:r>
      <w:r>
        <w:rPr>
          <w:rFonts w:hint="eastAsia" w:ascii="仿宋" w:hAnsi="仿宋" w:eastAsia="仿宋" w:cs="仿宋"/>
          <w:b/>
          <w:color w:val="auto"/>
          <w:sz w:val="24"/>
          <w:highlight w:val="none"/>
          <w:lang w:eastAsia="zh-CN"/>
        </w:rPr>
        <w:t>。</w:t>
      </w:r>
    </w:p>
    <w:p w14:paraId="26B14B41">
      <w:pPr>
        <w:spacing w:line="360" w:lineRule="auto"/>
        <w:rPr>
          <w:rFonts w:hint="eastAsia" w:ascii="仿宋" w:hAnsi="仿宋" w:eastAsia="仿宋" w:cs="仿宋"/>
          <w:color w:val="auto"/>
          <w:sz w:val="24"/>
          <w:highlight w:val="none"/>
        </w:rPr>
      </w:pPr>
    </w:p>
    <w:p w14:paraId="1C4CD61D">
      <w:pPr>
        <w:widowControl/>
        <w:jc w:val="left"/>
        <w:rPr>
          <w:rFonts w:hint="eastAsia" w:ascii="仿宋" w:hAnsi="仿宋" w:eastAsia="仿宋" w:cs="仿宋"/>
          <w:color w:val="auto"/>
          <w:kern w:val="0"/>
          <w:sz w:val="24"/>
          <w:highlight w:val="none"/>
        </w:rPr>
      </w:pPr>
    </w:p>
    <w:p w14:paraId="2617578F">
      <w:pPr>
        <w:widowControl/>
        <w:jc w:val="left"/>
        <w:rPr>
          <w:rFonts w:hint="eastAsia" w:ascii="仿宋" w:hAnsi="仿宋" w:eastAsia="仿宋" w:cs="仿宋"/>
          <w:color w:val="auto"/>
          <w:kern w:val="0"/>
          <w:sz w:val="24"/>
          <w:highlight w:val="none"/>
        </w:rPr>
      </w:pPr>
    </w:p>
    <w:p w14:paraId="29AFDAA9">
      <w:pPr>
        <w:widowControl/>
        <w:jc w:val="left"/>
        <w:rPr>
          <w:rFonts w:hint="eastAsia" w:ascii="仿宋" w:hAnsi="仿宋" w:eastAsia="仿宋" w:cs="仿宋"/>
          <w:color w:val="auto"/>
          <w:kern w:val="0"/>
          <w:sz w:val="24"/>
          <w:highlight w:val="none"/>
        </w:rPr>
      </w:pPr>
    </w:p>
    <w:p w14:paraId="530179F6">
      <w:pPr>
        <w:pStyle w:val="36"/>
        <w:jc w:val="left"/>
        <w:rPr>
          <w:rFonts w:ascii="仿宋" w:hAnsi="仿宋" w:eastAsia="仿宋" w:cs="仿宋"/>
          <w:color w:val="auto"/>
          <w:kern w:val="0"/>
          <w:sz w:val="24"/>
          <w:highlight w:val="none"/>
        </w:rPr>
      </w:pPr>
      <w:r>
        <w:rPr>
          <w:rFonts w:hint="eastAsia" w:ascii="仿宋" w:hAnsi="仿宋" w:eastAsia="仿宋" w:cs="仿宋"/>
          <w:color w:val="auto"/>
          <w:highlight w:val="none"/>
        </w:rPr>
        <w:t>供应商全称（加盖公章）：</w:t>
      </w:r>
    </w:p>
    <w:p w14:paraId="1089FE5B">
      <w:pPr>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w:t>
      </w:r>
      <w:r>
        <w:rPr>
          <w:rFonts w:hint="eastAsia" w:ascii="仿宋" w:hAnsi="仿宋" w:eastAsia="仿宋" w:cs="仿宋"/>
          <w:color w:val="auto"/>
          <w:sz w:val="24"/>
          <w:highlight w:val="none"/>
          <w:lang w:val="en-US" w:eastAsia="zh-CN"/>
        </w:rPr>
        <w:t>字</w:t>
      </w:r>
      <w:r>
        <w:rPr>
          <w:rFonts w:hint="eastAsia" w:ascii="仿宋" w:hAnsi="仿宋" w:eastAsia="仿宋" w:cs="仿宋"/>
          <w:color w:val="auto"/>
          <w:sz w:val="24"/>
          <w:highlight w:val="none"/>
        </w:rPr>
        <w:t>或盖章：</w:t>
      </w:r>
    </w:p>
    <w:p w14:paraId="5B018035">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1CFB1100">
      <w:pPr>
        <w:spacing w:line="560" w:lineRule="exact"/>
        <w:jc w:val="center"/>
        <w:outlineLvl w:val="1"/>
        <w:rPr>
          <w:rFonts w:hint="eastAsia" w:ascii="仿宋" w:hAnsi="仿宋" w:eastAsia="仿宋" w:cs="仿宋"/>
          <w:b/>
          <w:color w:val="auto"/>
          <w:sz w:val="28"/>
          <w:szCs w:val="28"/>
          <w:highlight w:val="none"/>
        </w:rPr>
      </w:pPr>
    </w:p>
    <w:p w14:paraId="612A004D">
      <w:pPr>
        <w:spacing w:line="560" w:lineRule="exact"/>
        <w:jc w:val="center"/>
        <w:outlineLvl w:val="1"/>
        <w:rPr>
          <w:rFonts w:hint="eastAsia" w:ascii="仿宋" w:hAnsi="仿宋" w:eastAsia="仿宋" w:cs="仿宋"/>
          <w:b/>
          <w:color w:val="auto"/>
          <w:sz w:val="28"/>
          <w:szCs w:val="28"/>
          <w:highlight w:val="none"/>
        </w:rPr>
      </w:pPr>
    </w:p>
    <w:p w14:paraId="6D685DF3">
      <w:pPr>
        <w:spacing w:line="56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商务响应表</w:t>
      </w:r>
    </w:p>
    <w:p w14:paraId="1B3211F2">
      <w:pPr>
        <w:pStyle w:val="25"/>
        <w:rPr>
          <w:color w:val="auto"/>
          <w:highlight w:val="none"/>
        </w:rPr>
      </w:pPr>
    </w:p>
    <w:p w14:paraId="58E0137B">
      <w:pPr>
        <w:pStyle w:val="36"/>
        <w:spacing w:line="460" w:lineRule="exact"/>
        <w:ind w:firstLine="240" w:firstLineChars="100"/>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 xml:space="preserve">湖州市2025年度大气综合技术服务项目 </w:t>
      </w:r>
      <w:r>
        <w:rPr>
          <w:rFonts w:hint="eastAsia" w:ascii="仿宋" w:hAnsi="仿宋" w:eastAsia="仿宋" w:cs="仿宋"/>
          <w:color w:val="auto"/>
          <w:highlight w:val="none"/>
          <w:lang w:val="en-US" w:eastAsia="zh-CN"/>
        </w:rPr>
        <w:t xml:space="preserve">                  </w:t>
      </w:r>
    </w:p>
    <w:tbl>
      <w:tblPr>
        <w:tblStyle w:val="26"/>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3380"/>
      </w:tblGrid>
      <w:tr w14:paraId="31D6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14:paraId="07A2838C">
            <w:pPr>
              <w:spacing w:line="4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w:t>
            </w:r>
          </w:p>
        </w:tc>
        <w:tc>
          <w:tcPr>
            <w:tcW w:w="2409" w:type="dxa"/>
            <w:vAlign w:val="center"/>
          </w:tcPr>
          <w:p w14:paraId="2DAB4878">
            <w:pPr>
              <w:spacing w:line="4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磋商文件要求</w:t>
            </w:r>
          </w:p>
        </w:tc>
        <w:tc>
          <w:tcPr>
            <w:tcW w:w="1843" w:type="dxa"/>
            <w:vAlign w:val="center"/>
          </w:tcPr>
          <w:p w14:paraId="330DD85F">
            <w:pPr>
              <w:spacing w:line="4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是否响应</w:t>
            </w:r>
          </w:p>
        </w:tc>
        <w:tc>
          <w:tcPr>
            <w:tcW w:w="3380" w:type="dxa"/>
            <w:vAlign w:val="center"/>
          </w:tcPr>
          <w:p w14:paraId="0E6A317C">
            <w:pPr>
              <w:spacing w:line="4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供应商的承诺或说明</w:t>
            </w:r>
          </w:p>
        </w:tc>
      </w:tr>
      <w:tr w14:paraId="6556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0D19FC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服务期</w:t>
            </w:r>
          </w:p>
        </w:tc>
        <w:tc>
          <w:tcPr>
            <w:tcW w:w="2409" w:type="dxa"/>
            <w:vAlign w:val="center"/>
          </w:tcPr>
          <w:p w14:paraId="68C82D87">
            <w:pPr>
              <w:spacing w:line="460" w:lineRule="exact"/>
              <w:jc w:val="center"/>
              <w:rPr>
                <w:rFonts w:ascii="仿宋" w:hAnsi="仿宋" w:eastAsia="仿宋" w:cs="仿宋"/>
                <w:color w:val="auto"/>
                <w:kern w:val="0"/>
                <w:sz w:val="24"/>
                <w:highlight w:val="none"/>
              </w:rPr>
            </w:pPr>
          </w:p>
        </w:tc>
        <w:tc>
          <w:tcPr>
            <w:tcW w:w="1843" w:type="dxa"/>
            <w:vAlign w:val="center"/>
          </w:tcPr>
          <w:p w14:paraId="0FE633D4">
            <w:pPr>
              <w:spacing w:line="460" w:lineRule="exact"/>
              <w:jc w:val="center"/>
              <w:rPr>
                <w:rFonts w:ascii="仿宋" w:hAnsi="仿宋" w:eastAsia="仿宋" w:cs="仿宋"/>
                <w:color w:val="auto"/>
                <w:kern w:val="0"/>
                <w:sz w:val="24"/>
                <w:highlight w:val="none"/>
              </w:rPr>
            </w:pPr>
          </w:p>
        </w:tc>
        <w:tc>
          <w:tcPr>
            <w:tcW w:w="3380" w:type="dxa"/>
            <w:vAlign w:val="center"/>
          </w:tcPr>
          <w:p w14:paraId="1086BE3B">
            <w:pPr>
              <w:spacing w:line="460" w:lineRule="exact"/>
              <w:jc w:val="center"/>
              <w:rPr>
                <w:rFonts w:ascii="仿宋" w:hAnsi="仿宋" w:eastAsia="仿宋" w:cs="仿宋"/>
                <w:color w:val="auto"/>
                <w:kern w:val="0"/>
                <w:sz w:val="24"/>
                <w:highlight w:val="none"/>
              </w:rPr>
            </w:pPr>
          </w:p>
        </w:tc>
      </w:tr>
      <w:tr w14:paraId="5D41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3509B98">
            <w:pPr>
              <w:spacing w:line="4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付款方式</w:t>
            </w:r>
          </w:p>
        </w:tc>
        <w:tc>
          <w:tcPr>
            <w:tcW w:w="2409" w:type="dxa"/>
            <w:vAlign w:val="center"/>
          </w:tcPr>
          <w:p w14:paraId="6E47F3FA">
            <w:pPr>
              <w:spacing w:line="460" w:lineRule="exact"/>
              <w:jc w:val="center"/>
              <w:rPr>
                <w:rFonts w:ascii="仿宋" w:hAnsi="仿宋" w:eastAsia="仿宋" w:cs="仿宋"/>
                <w:color w:val="auto"/>
                <w:kern w:val="0"/>
                <w:sz w:val="24"/>
                <w:highlight w:val="none"/>
              </w:rPr>
            </w:pPr>
          </w:p>
        </w:tc>
        <w:tc>
          <w:tcPr>
            <w:tcW w:w="1843" w:type="dxa"/>
            <w:vAlign w:val="center"/>
          </w:tcPr>
          <w:p w14:paraId="7E768496">
            <w:pPr>
              <w:spacing w:line="460" w:lineRule="exact"/>
              <w:jc w:val="center"/>
              <w:rPr>
                <w:rFonts w:ascii="仿宋" w:hAnsi="仿宋" w:eastAsia="仿宋" w:cs="仿宋"/>
                <w:color w:val="auto"/>
                <w:kern w:val="0"/>
                <w:sz w:val="24"/>
                <w:highlight w:val="none"/>
              </w:rPr>
            </w:pPr>
          </w:p>
        </w:tc>
        <w:tc>
          <w:tcPr>
            <w:tcW w:w="3380" w:type="dxa"/>
            <w:vAlign w:val="center"/>
          </w:tcPr>
          <w:p w14:paraId="4530F010">
            <w:pPr>
              <w:spacing w:line="460" w:lineRule="exact"/>
              <w:jc w:val="center"/>
              <w:rPr>
                <w:rFonts w:ascii="仿宋" w:hAnsi="仿宋" w:eastAsia="仿宋" w:cs="仿宋"/>
                <w:color w:val="auto"/>
                <w:kern w:val="0"/>
                <w:sz w:val="24"/>
                <w:highlight w:val="none"/>
              </w:rPr>
            </w:pPr>
          </w:p>
        </w:tc>
      </w:tr>
      <w:tr w14:paraId="2741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93A409D">
            <w:pPr>
              <w:spacing w:line="460" w:lineRule="exact"/>
              <w:jc w:val="center"/>
              <w:rPr>
                <w:rFonts w:ascii="仿宋" w:hAnsi="仿宋" w:eastAsia="仿宋" w:cs="仿宋"/>
                <w:color w:val="auto"/>
                <w:kern w:val="0"/>
                <w:sz w:val="24"/>
                <w:highlight w:val="none"/>
              </w:rPr>
            </w:pPr>
          </w:p>
        </w:tc>
        <w:tc>
          <w:tcPr>
            <w:tcW w:w="2409" w:type="dxa"/>
            <w:vAlign w:val="center"/>
          </w:tcPr>
          <w:p w14:paraId="60433171">
            <w:pPr>
              <w:spacing w:line="460" w:lineRule="exact"/>
              <w:jc w:val="center"/>
              <w:rPr>
                <w:rFonts w:ascii="仿宋" w:hAnsi="仿宋" w:eastAsia="仿宋" w:cs="仿宋"/>
                <w:color w:val="auto"/>
                <w:kern w:val="0"/>
                <w:sz w:val="24"/>
                <w:highlight w:val="none"/>
              </w:rPr>
            </w:pPr>
          </w:p>
        </w:tc>
        <w:tc>
          <w:tcPr>
            <w:tcW w:w="1843" w:type="dxa"/>
            <w:vAlign w:val="center"/>
          </w:tcPr>
          <w:p w14:paraId="20BE75A1">
            <w:pPr>
              <w:spacing w:line="460" w:lineRule="exact"/>
              <w:jc w:val="center"/>
              <w:rPr>
                <w:rFonts w:ascii="仿宋" w:hAnsi="仿宋" w:eastAsia="仿宋" w:cs="仿宋"/>
                <w:color w:val="auto"/>
                <w:kern w:val="0"/>
                <w:sz w:val="24"/>
                <w:highlight w:val="none"/>
              </w:rPr>
            </w:pPr>
          </w:p>
        </w:tc>
        <w:tc>
          <w:tcPr>
            <w:tcW w:w="3380" w:type="dxa"/>
            <w:vAlign w:val="center"/>
          </w:tcPr>
          <w:p w14:paraId="2C171F01">
            <w:pPr>
              <w:spacing w:line="460" w:lineRule="exact"/>
              <w:jc w:val="center"/>
              <w:rPr>
                <w:rFonts w:ascii="仿宋" w:hAnsi="仿宋" w:eastAsia="仿宋" w:cs="仿宋"/>
                <w:color w:val="auto"/>
                <w:kern w:val="0"/>
                <w:sz w:val="24"/>
                <w:highlight w:val="none"/>
              </w:rPr>
            </w:pPr>
          </w:p>
        </w:tc>
      </w:tr>
      <w:tr w14:paraId="7EB8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8462D75">
            <w:pPr>
              <w:spacing w:line="460" w:lineRule="exact"/>
              <w:jc w:val="center"/>
              <w:rPr>
                <w:rFonts w:hint="default" w:ascii="仿宋" w:hAnsi="仿宋" w:eastAsia="仿宋" w:cs="仿宋"/>
                <w:color w:val="auto"/>
                <w:kern w:val="0"/>
                <w:sz w:val="24"/>
                <w:highlight w:val="none"/>
                <w:lang w:val="en-US" w:eastAsia="zh-CN"/>
              </w:rPr>
            </w:pPr>
          </w:p>
        </w:tc>
        <w:tc>
          <w:tcPr>
            <w:tcW w:w="2409" w:type="dxa"/>
            <w:vAlign w:val="center"/>
          </w:tcPr>
          <w:p w14:paraId="469A76CB">
            <w:pPr>
              <w:spacing w:line="460" w:lineRule="exact"/>
              <w:jc w:val="center"/>
              <w:rPr>
                <w:rFonts w:ascii="仿宋" w:hAnsi="仿宋" w:eastAsia="仿宋" w:cs="仿宋"/>
                <w:color w:val="auto"/>
                <w:kern w:val="0"/>
                <w:sz w:val="24"/>
                <w:highlight w:val="none"/>
              </w:rPr>
            </w:pPr>
          </w:p>
        </w:tc>
        <w:tc>
          <w:tcPr>
            <w:tcW w:w="1843" w:type="dxa"/>
            <w:vAlign w:val="center"/>
          </w:tcPr>
          <w:p w14:paraId="58CD6E34">
            <w:pPr>
              <w:spacing w:line="460" w:lineRule="exact"/>
              <w:jc w:val="center"/>
              <w:rPr>
                <w:rFonts w:ascii="仿宋" w:hAnsi="仿宋" w:eastAsia="仿宋" w:cs="仿宋"/>
                <w:color w:val="auto"/>
                <w:kern w:val="0"/>
                <w:sz w:val="24"/>
                <w:highlight w:val="none"/>
              </w:rPr>
            </w:pPr>
          </w:p>
        </w:tc>
        <w:tc>
          <w:tcPr>
            <w:tcW w:w="3380" w:type="dxa"/>
            <w:vAlign w:val="center"/>
          </w:tcPr>
          <w:p w14:paraId="44AD169F">
            <w:pPr>
              <w:spacing w:line="460" w:lineRule="exact"/>
              <w:jc w:val="center"/>
              <w:rPr>
                <w:rFonts w:ascii="仿宋" w:hAnsi="仿宋" w:eastAsia="仿宋" w:cs="仿宋"/>
                <w:color w:val="auto"/>
                <w:kern w:val="0"/>
                <w:sz w:val="24"/>
                <w:highlight w:val="none"/>
              </w:rPr>
            </w:pPr>
          </w:p>
        </w:tc>
      </w:tr>
      <w:tr w14:paraId="5B8F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05A1685">
            <w:pPr>
              <w:spacing w:line="460" w:lineRule="exact"/>
              <w:jc w:val="center"/>
              <w:rPr>
                <w:rFonts w:ascii="仿宋" w:hAnsi="仿宋" w:eastAsia="仿宋" w:cs="仿宋"/>
                <w:color w:val="auto"/>
                <w:sz w:val="24"/>
                <w:highlight w:val="none"/>
              </w:rPr>
            </w:pPr>
          </w:p>
        </w:tc>
        <w:tc>
          <w:tcPr>
            <w:tcW w:w="2409" w:type="dxa"/>
            <w:vAlign w:val="center"/>
          </w:tcPr>
          <w:p w14:paraId="63550D1C">
            <w:pPr>
              <w:spacing w:line="460" w:lineRule="exact"/>
              <w:jc w:val="center"/>
              <w:rPr>
                <w:rFonts w:ascii="仿宋" w:hAnsi="仿宋" w:eastAsia="仿宋" w:cs="仿宋"/>
                <w:color w:val="auto"/>
                <w:kern w:val="0"/>
                <w:sz w:val="24"/>
                <w:highlight w:val="none"/>
              </w:rPr>
            </w:pPr>
          </w:p>
        </w:tc>
        <w:tc>
          <w:tcPr>
            <w:tcW w:w="1843" w:type="dxa"/>
            <w:vAlign w:val="center"/>
          </w:tcPr>
          <w:p w14:paraId="6339796E">
            <w:pPr>
              <w:spacing w:line="460" w:lineRule="exact"/>
              <w:jc w:val="center"/>
              <w:rPr>
                <w:rFonts w:ascii="仿宋" w:hAnsi="仿宋" w:eastAsia="仿宋" w:cs="仿宋"/>
                <w:color w:val="auto"/>
                <w:kern w:val="0"/>
                <w:sz w:val="24"/>
                <w:highlight w:val="none"/>
              </w:rPr>
            </w:pPr>
          </w:p>
        </w:tc>
        <w:tc>
          <w:tcPr>
            <w:tcW w:w="3380" w:type="dxa"/>
            <w:vAlign w:val="center"/>
          </w:tcPr>
          <w:p w14:paraId="5775644F">
            <w:pPr>
              <w:spacing w:line="460" w:lineRule="exact"/>
              <w:jc w:val="center"/>
              <w:rPr>
                <w:rFonts w:ascii="仿宋" w:hAnsi="仿宋" w:eastAsia="仿宋" w:cs="仿宋"/>
                <w:color w:val="auto"/>
                <w:kern w:val="0"/>
                <w:sz w:val="24"/>
                <w:highlight w:val="none"/>
              </w:rPr>
            </w:pPr>
          </w:p>
        </w:tc>
      </w:tr>
      <w:tr w14:paraId="3C0F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08129BB">
            <w:pPr>
              <w:spacing w:line="460" w:lineRule="exact"/>
              <w:jc w:val="center"/>
              <w:rPr>
                <w:rFonts w:ascii="仿宋" w:hAnsi="仿宋" w:eastAsia="仿宋" w:cs="仿宋"/>
                <w:color w:val="auto"/>
                <w:sz w:val="24"/>
                <w:highlight w:val="none"/>
              </w:rPr>
            </w:pPr>
          </w:p>
        </w:tc>
        <w:tc>
          <w:tcPr>
            <w:tcW w:w="2409" w:type="dxa"/>
            <w:vAlign w:val="center"/>
          </w:tcPr>
          <w:p w14:paraId="236E043B">
            <w:pPr>
              <w:spacing w:line="460" w:lineRule="exact"/>
              <w:jc w:val="center"/>
              <w:rPr>
                <w:rFonts w:ascii="仿宋" w:hAnsi="仿宋" w:eastAsia="仿宋" w:cs="仿宋"/>
                <w:color w:val="auto"/>
                <w:kern w:val="0"/>
                <w:sz w:val="24"/>
                <w:highlight w:val="none"/>
              </w:rPr>
            </w:pPr>
          </w:p>
        </w:tc>
        <w:tc>
          <w:tcPr>
            <w:tcW w:w="1843" w:type="dxa"/>
            <w:vAlign w:val="center"/>
          </w:tcPr>
          <w:p w14:paraId="0905A9A3">
            <w:pPr>
              <w:spacing w:line="460" w:lineRule="exact"/>
              <w:jc w:val="center"/>
              <w:rPr>
                <w:rFonts w:ascii="仿宋" w:hAnsi="仿宋" w:eastAsia="仿宋" w:cs="仿宋"/>
                <w:color w:val="auto"/>
                <w:kern w:val="0"/>
                <w:sz w:val="24"/>
                <w:highlight w:val="none"/>
              </w:rPr>
            </w:pPr>
          </w:p>
        </w:tc>
        <w:tc>
          <w:tcPr>
            <w:tcW w:w="3380" w:type="dxa"/>
            <w:vAlign w:val="center"/>
          </w:tcPr>
          <w:p w14:paraId="04DBB9D6">
            <w:pPr>
              <w:spacing w:line="460" w:lineRule="exact"/>
              <w:jc w:val="center"/>
              <w:rPr>
                <w:rFonts w:ascii="仿宋" w:hAnsi="仿宋" w:eastAsia="仿宋" w:cs="仿宋"/>
                <w:color w:val="auto"/>
                <w:kern w:val="0"/>
                <w:sz w:val="24"/>
                <w:highlight w:val="none"/>
              </w:rPr>
            </w:pPr>
          </w:p>
        </w:tc>
      </w:tr>
    </w:tbl>
    <w:p w14:paraId="36A4FB18">
      <w:pPr>
        <w:pStyle w:val="36"/>
        <w:jc w:val="left"/>
        <w:rPr>
          <w:rFonts w:hint="eastAsia" w:ascii="仿宋" w:hAnsi="仿宋" w:eastAsia="仿宋" w:cs="仿宋"/>
          <w:color w:val="auto"/>
          <w:highlight w:val="none"/>
        </w:rPr>
      </w:pPr>
    </w:p>
    <w:p w14:paraId="1B26CD58">
      <w:pPr>
        <w:pStyle w:val="36"/>
        <w:jc w:val="left"/>
        <w:rPr>
          <w:rFonts w:hint="eastAsia" w:ascii="仿宋" w:hAnsi="仿宋" w:eastAsia="仿宋" w:cs="仿宋"/>
          <w:color w:val="auto"/>
          <w:highlight w:val="none"/>
        </w:rPr>
      </w:pPr>
    </w:p>
    <w:p w14:paraId="6FABEA07">
      <w:pPr>
        <w:pStyle w:val="36"/>
        <w:jc w:val="left"/>
        <w:rPr>
          <w:rFonts w:hint="eastAsia" w:ascii="仿宋" w:hAnsi="仿宋" w:eastAsia="仿宋" w:cs="仿宋"/>
          <w:color w:val="auto"/>
          <w:highlight w:val="none"/>
        </w:rPr>
      </w:pPr>
    </w:p>
    <w:p w14:paraId="01A35816">
      <w:pPr>
        <w:pStyle w:val="36"/>
        <w:jc w:val="left"/>
        <w:rPr>
          <w:rFonts w:ascii="仿宋" w:hAnsi="仿宋" w:eastAsia="仿宋" w:cs="仿宋"/>
          <w:color w:val="auto"/>
          <w:kern w:val="0"/>
          <w:sz w:val="24"/>
          <w:highlight w:val="none"/>
        </w:rPr>
      </w:pPr>
      <w:r>
        <w:rPr>
          <w:rFonts w:hint="eastAsia" w:ascii="仿宋" w:hAnsi="仿宋" w:eastAsia="仿宋" w:cs="仿宋"/>
          <w:color w:val="auto"/>
          <w:highlight w:val="none"/>
        </w:rPr>
        <w:t>供应商全称（加盖公章）：</w:t>
      </w:r>
    </w:p>
    <w:p w14:paraId="4BB81460">
      <w:pPr>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w:t>
      </w:r>
      <w:r>
        <w:rPr>
          <w:rFonts w:hint="eastAsia" w:ascii="仿宋" w:hAnsi="仿宋" w:eastAsia="仿宋" w:cs="仿宋"/>
          <w:color w:val="auto"/>
          <w:sz w:val="24"/>
          <w:highlight w:val="none"/>
          <w:lang w:val="en-US" w:eastAsia="zh-CN"/>
        </w:rPr>
        <w:t>字</w:t>
      </w:r>
      <w:r>
        <w:rPr>
          <w:rFonts w:hint="eastAsia" w:ascii="仿宋" w:hAnsi="仿宋" w:eastAsia="仿宋" w:cs="仿宋"/>
          <w:color w:val="auto"/>
          <w:sz w:val="24"/>
          <w:highlight w:val="none"/>
        </w:rPr>
        <w:t>或盖章：</w:t>
      </w:r>
    </w:p>
    <w:p w14:paraId="37EA6FFC">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4B1D7B9">
      <w:pPr>
        <w:rPr>
          <w:rFonts w:ascii="仿宋" w:hAnsi="仿宋" w:eastAsia="仿宋" w:cs="仿宋"/>
          <w:b/>
          <w:color w:val="auto"/>
          <w:sz w:val="24"/>
          <w:highlight w:val="none"/>
        </w:rPr>
      </w:pPr>
    </w:p>
    <w:p w14:paraId="5518C73E">
      <w:pPr>
        <w:snapToGrid w:val="0"/>
        <w:spacing w:before="50" w:afterLines="50"/>
        <w:jc w:val="left"/>
        <w:rPr>
          <w:rFonts w:ascii="仿宋" w:hAnsi="仿宋" w:eastAsia="仿宋" w:cs="仿宋"/>
          <w:b/>
          <w:color w:val="auto"/>
          <w:sz w:val="24"/>
          <w:highlight w:val="none"/>
        </w:rPr>
      </w:pPr>
    </w:p>
    <w:p w14:paraId="15235BCD">
      <w:pPr>
        <w:snapToGrid w:val="0"/>
        <w:spacing w:before="50" w:afterLines="50"/>
        <w:jc w:val="left"/>
        <w:rPr>
          <w:rFonts w:ascii="仿宋" w:hAnsi="仿宋" w:eastAsia="仿宋" w:cs="仿宋"/>
          <w:b/>
          <w:color w:val="auto"/>
          <w:sz w:val="24"/>
          <w:highlight w:val="none"/>
        </w:rPr>
      </w:pPr>
    </w:p>
    <w:p w14:paraId="2EB3D64C">
      <w:pPr>
        <w:snapToGrid w:val="0"/>
        <w:spacing w:before="50" w:afterLines="50"/>
        <w:jc w:val="left"/>
        <w:rPr>
          <w:rFonts w:ascii="仿宋" w:hAnsi="仿宋" w:eastAsia="仿宋" w:cs="仿宋"/>
          <w:b/>
          <w:color w:val="auto"/>
          <w:sz w:val="24"/>
          <w:highlight w:val="none"/>
        </w:rPr>
      </w:pPr>
    </w:p>
    <w:p w14:paraId="1217160B">
      <w:pPr>
        <w:snapToGrid w:val="0"/>
        <w:spacing w:before="50" w:afterLines="50"/>
        <w:jc w:val="left"/>
        <w:rPr>
          <w:rFonts w:ascii="仿宋" w:hAnsi="仿宋" w:eastAsia="仿宋" w:cs="仿宋"/>
          <w:b/>
          <w:color w:val="auto"/>
          <w:sz w:val="24"/>
          <w:highlight w:val="none"/>
        </w:rPr>
      </w:pPr>
    </w:p>
    <w:p w14:paraId="0E7A0695">
      <w:pPr>
        <w:snapToGrid w:val="0"/>
        <w:spacing w:before="50" w:afterLines="50"/>
        <w:jc w:val="left"/>
        <w:rPr>
          <w:rFonts w:ascii="仿宋" w:hAnsi="仿宋" w:eastAsia="仿宋" w:cs="仿宋"/>
          <w:b/>
          <w:color w:val="auto"/>
          <w:szCs w:val="28"/>
          <w:highlight w:val="none"/>
        </w:rPr>
      </w:pPr>
    </w:p>
    <w:p w14:paraId="260D6FD7">
      <w:pPr>
        <w:autoSpaceDE w:val="0"/>
        <w:autoSpaceDN w:val="0"/>
        <w:adjustRightInd w:val="0"/>
        <w:snapToGrid w:val="0"/>
        <w:spacing w:line="440" w:lineRule="exact"/>
        <w:jc w:val="center"/>
        <w:outlineLvl w:val="2"/>
        <w:rPr>
          <w:rFonts w:hint="eastAsia" w:ascii="仿宋" w:hAnsi="仿宋" w:eastAsia="仿宋" w:cs="仿宋"/>
          <w:b/>
          <w:color w:val="auto"/>
          <w:sz w:val="28"/>
          <w:szCs w:val="28"/>
          <w:highlight w:val="none"/>
        </w:rPr>
      </w:pPr>
      <w:r>
        <w:rPr>
          <w:rFonts w:hint="eastAsia" w:ascii="仿宋" w:hAnsi="仿宋" w:eastAsia="仿宋" w:cs="仿宋"/>
          <w:b/>
          <w:bCs/>
          <w:color w:val="auto"/>
          <w:spacing w:val="24"/>
          <w:sz w:val="28"/>
          <w:szCs w:val="28"/>
          <w:highlight w:val="none"/>
        </w:rPr>
        <w:br w:type="page"/>
      </w:r>
      <w:r>
        <w:rPr>
          <w:rFonts w:hint="eastAsia" w:ascii="仿宋" w:hAnsi="仿宋" w:eastAsia="仿宋" w:cs="仿宋"/>
          <w:b/>
          <w:color w:val="auto"/>
          <w:sz w:val="28"/>
          <w:szCs w:val="28"/>
          <w:highlight w:val="none"/>
        </w:rPr>
        <w:t>企业业绩</w:t>
      </w:r>
    </w:p>
    <w:p w14:paraId="49003B3D">
      <w:pPr>
        <w:pStyle w:val="36"/>
        <w:spacing w:line="460" w:lineRule="exact"/>
        <w:rPr>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 xml:space="preserve">湖州市2025年度大气综合技术服务项目 </w:t>
      </w:r>
      <w:r>
        <w:rPr>
          <w:rFonts w:hint="eastAsia" w:ascii="仿宋" w:hAnsi="仿宋" w:eastAsia="仿宋" w:cs="仿宋"/>
          <w:color w:val="auto"/>
          <w:highlight w:val="none"/>
          <w:lang w:val="en-US" w:eastAsia="zh-CN"/>
        </w:rPr>
        <w:t xml:space="preserve">                  </w:t>
      </w:r>
    </w:p>
    <w:tbl>
      <w:tblPr>
        <w:tblStyle w:val="26"/>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81"/>
        <w:gridCol w:w="1857"/>
        <w:gridCol w:w="2121"/>
        <w:gridCol w:w="2510"/>
        <w:gridCol w:w="2355"/>
      </w:tblGrid>
      <w:tr w14:paraId="140AEA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31" w:hRule="atLeast"/>
          <w:jc w:val="center"/>
        </w:trPr>
        <w:tc>
          <w:tcPr>
            <w:tcW w:w="406" w:type="pct"/>
            <w:tcBorders>
              <w:tl2br w:val="nil"/>
              <w:tr2bl w:val="nil"/>
            </w:tcBorders>
            <w:noWrap/>
            <w:vAlign w:val="center"/>
          </w:tcPr>
          <w:p w14:paraId="0BFC4854">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64" w:type="pct"/>
            <w:tcBorders>
              <w:tl2br w:val="nil"/>
              <w:tr2bl w:val="nil"/>
            </w:tcBorders>
            <w:noWrap/>
            <w:vAlign w:val="center"/>
          </w:tcPr>
          <w:p w14:paraId="461A416A">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101" w:type="pct"/>
            <w:tcBorders>
              <w:tl2br w:val="nil"/>
              <w:tr2bl w:val="nil"/>
            </w:tcBorders>
            <w:noWrap/>
            <w:vAlign w:val="center"/>
          </w:tcPr>
          <w:p w14:paraId="3E1515F9">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项目实施时间</w:t>
            </w:r>
          </w:p>
        </w:tc>
        <w:tc>
          <w:tcPr>
            <w:tcW w:w="1303" w:type="pct"/>
            <w:tcBorders>
              <w:tl2br w:val="nil"/>
              <w:tr2bl w:val="nil"/>
            </w:tcBorders>
            <w:noWrap/>
            <w:vAlign w:val="center"/>
          </w:tcPr>
          <w:p w14:paraId="5DA4DD3A">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项目单位名称</w:t>
            </w:r>
          </w:p>
          <w:p w14:paraId="423229DA">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地址及联系方式</w:t>
            </w:r>
          </w:p>
        </w:tc>
        <w:tc>
          <w:tcPr>
            <w:tcW w:w="1223" w:type="pct"/>
            <w:tcBorders>
              <w:tl2br w:val="nil"/>
              <w:tr2bl w:val="nil"/>
            </w:tcBorders>
            <w:noWrap/>
            <w:vAlign w:val="center"/>
          </w:tcPr>
          <w:p w14:paraId="7E6C5422">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项目合同金额</w:t>
            </w:r>
          </w:p>
          <w:p w14:paraId="2D3AAF91">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（单位：万元）</w:t>
            </w:r>
          </w:p>
        </w:tc>
      </w:tr>
      <w:tr w14:paraId="54045E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5B646A52">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24D28A2D">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07D2F23A">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62DD8610">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1EAB9ECA">
            <w:pPr>
              <w:spacing w:line="360" w:lineRule="exact"/>
              <w:jc w:val="center"/>
              <w:rPr>
                <w:rFonts w:ascii="仿宋" w:hAnsi="仿宋" w:eastAsia="仿宋" w:cs="仿宋"/>
                <w:color w:val="auto"/>
                <w:sz w:val="24"/>
                <w:highlight w:val="none"/>
              </w:rPr>
            </w:pPr>
          </w:p>
        </w:tc>
      </w:tr>
      <w:tr w14:paraId="48CA3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0E78B5B4">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63AF6D2A">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32205D32">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35FDE3E3">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1933F949">
            <w:pPr>
              <w:spacing w:line="360" w:lineRule="exact"/>
              <w:jc w:val="center"/>
              <w:rPr>
                <w:rFonts w:ascii="仿宋" w:hAnsi="仿宋" w:eastAsia="仿宋" w:cs="仿宋"/>
                <w:color w:val="auto"/>
                <w:sz w:val="24"/>
                <w:highlight w:val="none"/>
              </w:rPr>
            </w:pPr>
          </w:p>
        </w:tc>
      </w:tr>
      <w:tr w14:paraId="38FECF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48394D39">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75DEDA2B">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44EE08EB">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0B190723">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16805F4E">
            <w:pPr>
              <w:spacing w:line="360" w:lineRule="exact"/>
              <w:jc w:val="center"/>
              <w:rPr>
                <w:rFonts w:ascii="仿宋" w:hAnsi="仿宋" w:eastAsia="仿宋" w:cs="仿宋"/>
                <w:color w:val="auto"/>
                <w:sz w:val="24"/>
                <w:highlight w:val="none"/>
              </w:rPr>
            </w:pPr>
          </w:p>
        </w:tc>
      </w:tr>
      <w:tr w14:paraId="2F3575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34046DBD">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53ADAE58">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1B44A86F">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258D4F54">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355E5028">
            <w:pPr>
              <w:spacing w:line="360" w:lineRule="exact"/>
              <w:jc w:val="center"/>
              <w:rPr>
                <w:rFonts w:ascii="仿宋" w:hAnsi="仿宋" w:eastAsia="仿宋" w:cs="仿宋"/>
                <w:color w:val="auto"/>
                <w:sz w:val="24"/>
                <w:highlight w:val="none"/>
              </w:rPr>
            </w:pPr>
          </w:p>
        </w:tc>
      </w:tr>
      <w:tr w14:paraId="259CC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678FA4C6">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175D11B8">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4A8BB05C">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3901911E">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13C0B532">
            <w:pPr>
              <w:spacing w:line="360" w:lineRule="exact"/>
              <w:jc w:val="center"/>
              <w:rPr>
                <w:rFonts w:ascii="仿宋" w:hAnsi="仿宋" w:eastAsia="仿宋" w:cs="仿宋"/>
                <w:color w:val="auto"/>
                <w:sz w:val="24"/>
                <w:highlight w:val="none"/>
              </w:rPr>
            </w:pPr>
          </w:p>
        </w:tc>
      </w:tr>
      <w:tr w14:paraId="2702D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29C1AC12">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1B56B798">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1BEC88D4">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38337EF0">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7A4AA768">
            <w:pPr>
              <w:spacing w:line="360" w:lineRule="exact"/>
              <w:jc w:val="center"/>
              <w:rPr>
                <w:rFonts w:ascii="仿宋" w:hAnsi="仿宋" w:eastAsia="仿宋" w:cs="仿宋"/>
                <w:color w:val="auto"/>
                <w:sz w:val="24"/>
                <w:highlight w:val="none"/>
              </w:rPr>
            </w:pPr>
          </w:p>
        </w:tc>
      </w:tr>
      <w:tr w14:paraId="627FA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5509C183">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64CE2437">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0F42ECB7">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7E866634">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74921337">
            <w:pPr>
              <w:spacing w:line="360" w:lineRule="exact"/>
              <w:jc w:val="center"/>
              <w:rPr>
                <w:rFonts w:ascii="仿宋" w:hAnsi="仿宋" w:eastAsia="仿宋" w:cs="仿宋"/>
                <w:color w:val="auto"/>
                <w:sz w:val="24"/>
                <w:highlight w:val="none"/>
              </w:rPr>
            </w:pPr>
          </w:p>
        </w:tc>
      </w:tr>
      <w:tr w14:paraId="58F34B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028257B2">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1C50C0EA">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2E454288">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2ED7CC2B">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49FC001D">
            <w:pPr>
              <w:spacing w:line="360" w:lineRule="exact"/>
              <w:jc w:val="center"/>
              <w:rPr>
                <w:rFonts w:ascii="仿宋" w:hAnsi="仿宋" w:eastAsia="仿宋" w:cs="仿宋"/>
                <w:color w:val="auto"/>
                <w:sz w:val="24"/>
                <w:highlight w:val="none"/>
              </w:rPr>
            </w:pPr>
          </w:p>
        </w:tc>
      </w:tr>
      <w:tr w14:paraId="63CFE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5B5B7B70">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302D53DE">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4B177881">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6AE88B51">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77E24797">
            <w:pPr>
              <w:spacing w:line="360" w:lineRule="exact"/>
              <w:jc w:val="center"/>
              <w:rPr>
                <w:rFonts w:ascii="仿宋" w:hAnsi="仿宋" w:eastAsia="仿宋" w:cs="仿宋"/>
                <w:color w:val="auto"/>
                <w:sz w:val="24"/>
                <w:highlight w:val="none"/>
              </w:rPr>
            </w:pPr>
          </w:p>
        </w:tc>
      </w:tr>
      <w:tr w14:paraId="16A7FC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5" w:hRule="exact"/>
          <w:jc w:val="center"/>
        </w:trPr>
        <w:tc>
          <w:tcPr>
            <w:tcW w:w="406" w:type="pct"/>
            <w:tcBorders>
              <w:tl2br w:val="nil"/>
              <w:tr2bl w:val="nil"/>
            </w:tcBorders>
            <w:noWrap/>
            <w:vAlign w:val="center"/>
          </w:tcPr>
          <w:p w14:paraId="01153BD7">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561A4FB4">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7625E4B3">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7883AD13">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70E211E2">
            <w:pPr>
              <w:spacing w:line="360" w:lineRule="exact"/>
              <w:jc w:val="center"/>
              <w:rPr>
                <w:rFonts w:ascii="仿宋" w:hAnsi="仿宋" w:eastAsia="仿宋" w:cs="仿宋"/>
                <w:color w:val="auto"/>
                <w:sz w:val="24"/>
                <w:highlight w:val="none"/>
              </w:rPr>
            </w:pPr>
          </w:p>
        </w:tc>
      </w:tr>
      <w:tr w14:paraId="78A0A3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5" w:hRule="exact"/>
          <w:jc w:val="center"/>
        </w:trPr>
        <w:tc>
          <w:tcPr>
            <w:tcW w:w="406" w:type="pct"/>
            <w:tcBorders>
              <w:tl2br w:val="nil"/>
              <w:tr2bl w:val="nil"/>
            </w:tcBorders>
            <w:noWrap/>
            <w:vAlign w:val="center"/>
          </w:tcPr>
          <w:p w14:paraId="2032BC86">
            <w:pPr>
              <w:spacing w:line="360" w:lineRule="exact"/>
              <w:jc w:val="center"/>
              <w:rPr>
                <w:rFonts w:ascii="仿宋" w:hAnsi="仿宋" w:eastAsia="仿宋" w:cs="仿宋"/>
                <w:color w:val="auto"/>
                <w:sz w:val="24"/>
                <w:highlight w:val="none"/>
              </w:rPr>
            </w:pPr>
          </w:p>
        </w:tc>
        <w:tc>
          <w:tcPr>
            <w:tcW w:w="964" w:type="pct"/>
            <w:tcBorders>
              <w:tl2br w:val="nil"/>
              <w:tr2bl w:val="nil"/>
            </w:tcBorders>
            <w:noWrap/>
            <w:vAlign w:val="center"/>
          </w:tcPr>
          <w:p w14:paraId="342D176F">
            <w:pPr>
              <w:spacing w:line="360" w:lineRule="exact"/>
              <w:jc w:val="center"/>
              <w:rPr>
                <w:rFonts w:ascii="仿宋" w:hAnsi="仿宋" w:eastAsia="仿宋" w:cs="仿宋"/>
                <w:color w:val="auto"/>
                <w:sz w:val="24"/>
                <w:highlight w:val="none"/>
              </w:rPr>
            </w:pPr>
          </w:p>
        </w:tc>
        <w:tc>
          <w:tcPr>
            <w:tcW w:w="1101" w:type="pct"/>
            <w:tcBorders>
              <w:tl2br w:val="nil"/>
              <w:tr2bl w:val="nil"/>
            </w:tcBorders>
            <w:noWrap/>
            <w:vAlign w:val="center"/>
          </w:tcPr>
          <w:p w14:paraId="2A471AF3">
            <w:pPr>
              <w:spacing w:line="360" w:lineRule="exact"/>
              <w:jc w:val="center"/>
              <w:rPr>
                <w:rFonts w:ascii="仿宋" w:hAnsi="仿宋" w:eastAsia="仿宋" w:cs="仿宋"/>
                <w:color w:val="auto"/>
                <w:sz w:val="24"/>
                <w:highlight w:val="none"/>
              </w:rPr>
            </w:pPr>
          </w:p>
        </w:tc>
        <w:tc>
          <w:tcPr>
            <w:tcW w:w="1303" w:type="pct"/>
            <w:tcBorders>
              <w:tl2br w:val="nil"/>
              <w:tr2bl w:val="nil"/>
            </w:tcBorders>
            <w:noWrap/>
            <w:vAlign w:val="center"/>
          </w:tcPr>
          <w:p w14:paraId="7DAF199D">
            <w:pPr>
              <w:spacing w:line="360" w:lineRule="exact"/>
              <w:jc w:val="center"/>
              <w:rPr>
                <w:rFonts w:ascii="仿宋" w:hAnsi="仿宋" w:eastAsia="仿宋" w:cs="仿宋"/>
                <w:color w:val="auto"/>
                <w:sz w:val="24"/>
                <w:highlight w:val="none"/>
              </w:rPr>
            </w:pPr>
          </w:p>
        </w:tc>
        <w:tc>
          <w:tcPr>
            <w:tcW w:w="1223" w:type="pct"/>
            <w:tcBorders>
              <w:tl2br w:val="nil"/>
              <w:tr2bl w:val="nil"/>
            </w:tcBorders>
            <w:noWrap/>
            <w:vAlign w:val="center"/>
          </w:tcPr>
          <w:p w14:paraId="23493593">
            <w:pPr>
              <w:spacing w:line="360" w:lineRule="exact"/>
              <w:jc w:val="center"/>
              <w:rPr>
                <w:rFonts w:ascii="仿宋" w:hAnsi="仿宋" w:eastAsia="仿宋" w:cs="仿宋"/>
                <w:color w:val="auto"/>
                <w:sz w:val="24"/>
                <w:highlight w:val="none"/>
              </w:rPr>
            </w:pPr>
          </w:p>
        </w:tc>
      </w:tr>
    </w:tbl>
    <w:p w14:paraId="63F8A3D2">
      <w:pPr>
        <w:snapToGrid w:val="0"/>
        <w:spacing w:beforeLines="50"/>
        <w:ind w:firstLine="480" w:firstLineChars="200"/>
        <w:rPr>
          <w:rFonts w:ascii="仿宋" w:hAnsi="仿宋" w:eastAsia="仿宋" w:cs="仿宋"/>
          <w:color w:val="auto"/>
          <w:sz w:val="24"/>
          <w:highlight w:val="none"/>
        </w:rPr>
      </w:pPr>
    </w:p>
    <w:p w14:paraId="0490809F">
      <w:pPr>
        <w:pStyle w:val="2"/>
        <w:rPr>
          <w:rFonts w:ascii="仿宋" w:hAnsi="仿宋" w:eastAsia="仿宋" w:cs="仿宋"/>
          <w:color w:val="auto"/>
          <w:sz w:val="24"/>
          <w:highlight w:val="none"/>
        </w:rPr>
      </w:pPr>
    </w:p>
    <w:p w14:paraId="3451DA29">
      <w:pPr>
        <w:rPr>
          <w:color w:val="auto"/>
          <w:highlight w:val="none"/>
        </w:rPr>
      </w:pPr>
    </w:p>
    <w:p w14:paraId="18B7C06F">
      <w:pPr>
        <w:pStyle w:val="36"/>
        <w:jc w:val="left"/>
        <w:rPr>
          <w:rFonts w:ascii="仿宋" w:hAnsi="仿宋" w:eastAsia="仿宋" w:cs="仿宋"/>
          <w:color w:val="auto"/>
          <w:kern w:val="0"/>
          <w:sz w:val="24"/>
          <w:highlight w:val="none"/>
        </w:rPr>
      </w:pPr>
      <w:r>
        <w:rPr>
          <w:rFonts w:hint="eastAsia" w:ascii="仿宋" w:hAnsi="仿宋" w:eastAsia="仿宋" w:cs="仿宋"/>
          <w:color w:val="auto"/>
          <w:highlight w:val="none"/>
        </w:rPr>
        <w:t>供应商全称（加盖公章）：</w:t>
      </w:r>
    </w:p>
    <w:p w14:paraId="49AD85CC">
      <w:pPr>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w:t>
      </w:r>
      <w:r>
        <w:rPr>
          <w:rFonts w:hint="eastAsia" w:ascii="仿宋" w:hAnsi="仿宋" w:eastAsia="仿宋" w:cs="仿宋"/>
          <w:color w:val="auto"/>
          <w:sz w:val="24"/>
          <w:highlight w:val="none"/>
          <w:lang w:val="en-US" w:eastAsia="zh-CN"/>
        </w:rPr>
        <w:t>字</w:t>
      </w:r>
      <w:r>
        <w:rPr>
          <w:rFonts w:hint="eastAsia" w:ascii="仿宋" w:hAnsi="仿宋" w:eastAsia="仿宋" w:cs="仿宋"/>
          <w:color w:val="auto"/>
          <w:sz w:val="24"/>
          <w:highlight w:val="none"/>
        </w:rPr>
        <w:t>或盖章：</w:t>
      </w:r>
    </w:p>
    <w:p w14:paraId="4F9A3CC3">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557233D7">
      <w:pPr>
        <w:pStyle w:val="2"/>
        <w:rPr>
          <w:rFonts w:ascii="仿宋" w:hAnsi="仿宋" w:eastAsia="仿宋" w:cs="仿宋"/>
          <w:b w:val="0"/>
          <w:bCs w:val="0"/>
          <w:color w:val="auto"/>
          <w:sz w:val="24"/>
          <w:szCs w:val="24"/>
          <w:highlight w:val="none"/>
        </w:rPr>
      </w:pPr>
    </w:p>
    <w:p w14:paraId="264BCAF1">
      <w:pPr>
        <w:rPr>
          <w:color w:val="auto"/>
          <w:highlight w:val="none"/>
        </w:rPr>
      </w:pPr>
    </w:p>
    <w:p w14:paraId="702F5CB0">
      <w:pPr>
        <w:pStyle w:val="2"/>
        <w:rPr>
          <w:rFonts w:ascii="仿宋" w:hAnsi="仿宋" w:eastAsia="仿宋" w:cs="仿宋"/>
          <w:b w:val="0"/>
          <w:bCs w:val="0"/>
          <w:color w:val="auto"/>
          <w:sz w:val="24"/>
          <w:szCs w:val="24"/>
          <w:highlight w:val="none"/>
        </w:rPr>
      </w:pPr>
    </w:p>
    <w:p w14:paraId="2A049D7B">
      <w:pPr>
        <w:rPr>
          <w:rFonts w:ascii="仿宋" w:hAnsi="仿宋" w:eastAsia="仿宋" w:cs="仿宋"/>
          <w:color w:val="auto"/>
          <w:sz w:val="24"/>
          <w:highlight w:val="none"/>
        </w:rPr>
      </w:pPr>
    </w:p>
    <w:p w14:paraId="2707DD2C">
      <w:pPr>
        <w:pStyle w:val="2"/>
        <w:rPr>
          <w:color w:val="auto"/>
          <w:highlight w:val="none"/>
        </w:rPr>
      </w:pPr>
    </w:p>
    <w:p w14:paraId="48776974">
      <w:pPr>
        <w:pStyle w:val="24"/>
        <w:rPr>
          <w:color w:val="auto"/>
          <w:highlight w:val="none"/>
        </w:rPr>
      </w:pPr>
    </w:p>
    <w:p w14:paraId="0AE0158F">
      <w:pPr>
        <w:rPr>
          <w:color w:val="auto"/>
          <w:highlight w:val="none"/>
        </w:rPr>
      </w:pPr>
    </w:p>
    <w:p w14:paraId="5A10A578">
      <w:pPr>
        <w:pStyle w:val="24"/>
        <w:rPr>
          <w:color w:val="auto"/>
          <w:highlight w:val="none"/>
        </w:rPr>
      </w:pPr>
    </w:p>
    <w:p w14:paraId="73724F7F">
      <w:pPr>
        <w:pStyle w:val="7"/>
        <w:spacing w:line="360" w:lineRule="auto"/>
        <w:ind w:firstLine="0"/>
        <w:jc w:val="center"/>
        <w:outlineLvl w:val="1"/>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法定代表人有效身份证明书</w:t>
      </w:r>
    </w:p>
    <w:p w14:paraId="08AF7094">
      <w:pPr>
        <w:pStyle w:val="7"/>
        <w:spacing w:line="360" w:lineRule="auto"/>
        <w:ind w:firstLine="513" w:firstLineChars="156"/>
        <w:jc w:val="center"/>
        <w:rPr>
          <w:rFonts w:ascii="仿宋" w:hAnsi="仿宋" w:eastAsia="仿宋" w:cs="仿宋"/>
          <w:b/>
          <w:bCs/>
          <w:color w:val="auto"/>
          <w:spacing w:val="24"/>
          <w:sz w:val="28"/>
          <w:szCs w:val="28"/>
          <w:highlight w:val="none"/>
        </w:rPr>
      </w:pPr>
    </w:p>
    <w:p w14:paraId="370F2B5E">
      <w:pPr>
        <w:pStyle w:val="7"/>
        <w:spacing w:line="480" w:lineRule="auto"/>
        <w:ind w:firstLine="840" w:firstLineChars="3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（单位全称）</w:t>
      </w:r>
      <w:r>
        <w:rPr>
          <w:rFonts w:hint="eastAsia" w:ascii="仿宋" w:hAnsi="仿宋" w:eastAsia="仿宋" w:cs="仿宋"/>
          <w:color w:val="auto"/>
          <w:sz w:val="24"/>
          <w:szCs w:val="24"/>
          <w:highlight w:val="none"/>
        </w:rPr>
        <w:t>的法定代表人，身份证号码为。</w:t>
      </w:r>
    </w:p>
    <w:p w14:paraId="0D09F43A">
      <w:pPr>
        <w:pStyle w:val="7"/>
        <w:spacing w:line="480" w:lineRule="auto"/>
        <w:ind w:firstLine="374" w:firstLineChars="156"/>
        <w:rPr>
          <w:rFonts w:ascii="仿宋" w:hAnsi="仿宋" w:eastAsia="仿宋" w:cs="仿宋"/>
          <w:color w:val="auto"/>
          <w:sz w:val="24"/>
          <w:szCs w:val="24"/>
          <w:highlight w:val="none"/>
        </w:rPr>
      </w:pPr>
    </w:p>
    <w:p w14:paraId="6C7FFC3A">
      <w:pPr>
        <w:pStyle w:val="7"/>
        <w:spacing w:line="480" w:lineRule="auto"/>
        <w:ind w:firstLine="374" w:firstLineChars="1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特此证明</w:t>
      </w:r>
    </w:p>
    <w:p w14:paraId="16C239FF">
      <w:pPr>
        <w:pStyle w:val="7"/>
        <w:spacing w:line="480" w:lineRule="auto"/>
        <w:ind w:firstLine="0"/>
        <w:rPr>
          <w:rFonts w:ascii="仿宋" w:hAnsi="仿宋" w:eastAsia="仿宋" w:cs="仿宋"/>
          <w:color w:val="auto"/>
          <w:sz w:val="24"/>
          <w:szCs w:val="24"/>
          <w:highlight w:val="none"/>
        </w:rPr>
      </w:pPr>
    </w:p>
    <w:p w14:paraId="55442F98">
      <w:pPr>
        <w:pStyle w:val="7"/>
        <w:spacing w:line="48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供应商：（盖章）                  </w:t>
      </w:r>
    </w:p>
    <w:p w14:paraId="6720648D">
      <w:pPr>
        <w:pStyle w:val="7"/>
        <w:spacing w:line="480" w:lineRule="auto"/>
        <w:ind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法定代表人或其授权代理人（签名或盖章）</w:t>
      </w:r>
      <w:r>
        <w:rPr>
          <w:rFonts w:hint="eastAsia" w:ascii="仿宋" w:hAnsi="仿宋" w:eastAsia="仿宋" w:cs="仿宋"/>
          <w:color w:val="auto"/>
          <w:sz w:val="24"/>
          <w:szCs w:val="24"/>
          <w:highlight w:val="none"/>
          <w:lang w:eastAsia="zh-CN"/>
        </w:rPr>
        <w:t>：</w:t>
      </w:r>
    </w:p>
    <w:p w14:paraId="7AD6C0C2">
      <w:pPr>
        <w:pStyle w:val="7"/>
        <w:spacing w:line="48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B5E1B6F">
      <w:pPr>
        <w:pStyle w:val="7"/>
        <w:spacing w:line="480" w:lineRule="auto"/>
        <w:ind w:firstLine="0"/>
        <w:rPr>
          <w:rFonts w:ascii="仿宋" w:hAnsi="仿宋" w:eastAsia="仿宋" w:cs="仿宋"/>
          <w:color w:val="auto"/>
          <w:sz w:val="24"/>
          <w:szCs w:val="24"/>
          <w:highlight w:val="none"/>
        </w:rPr>
      </w:pPr>
    </w:p>
    <w:p w14:paraId="7BD66E01">
      <w:pPr>
        <w:pStyle w:val="7"/>
        <w:spacing w:line="480" w:lineRule="auto"/>
        <w:ind w:firstLine="0"/>
        <w:rPr>
          <w:rFonts w:ascii="仿宋" w:hAnsi="仿宋" w:eastAsia="仿宋" w:cs="仿宋"/>
          <w:color w:val="auto"/>
          <w:sz w:val="24"/>
          <w:szCs w:val="24"/>
          <w:highlight w:val="none"/>
        </w:rPr>
      </w:pPr>
    </w:p>
    <w:p w14:paraId="6F1DE22C">
      <w:pPr>
        <w:pStyle w:val="7"/>
        <w:pBdr>
          <w:bottom w:val="single" w:color="auto" w:sz="6" w:space="1"/>
        </w:pBdr>
        <w:spacing w:line="480" w:lineRule="auto"/>
        <w:ind w:firstLine="0"/>
        <w:rPr>
          <w:rFonts w:ascii="仿宋" w:hAnsi="仿宋" w:eastAsia="仿宋" w:cs="仿宋"/>
          <w:color w:val="auto"/>
          <w:sz w:val="24"/>
          <w:szCs w:val="24"/>
          <w:highlight w:val="none"/>
        </w:rPr>
      </w:pPr>
    </w:p>
    <w:p w14:paraId="33E594EE">
      <w:pPr>
        <w:pStyle w:val="7"/>
        <w:spacing w:line="480" w:lineRule="auto"/>
        <w:ind w:firstLine="0"/>
        <w:rPr>
          <w:rFonts w:ascii="仿宋" w:hAnsi="仿宋" w:eastAsia="仿宋" w:cs="仿宋"/>
          <w:color w:val="auto"/>
          <w:sz w:val="24"/>
          <w:szCs w:val="24"/>
          <w:highlight w:val="none"/>
        </w:rPr>
      </w:pPr>
    </w:p>
    <w:p w14:paraId="08899ED7">
      <w:pPr>
        <w:pStyle w:val="7"/>
        <w:spacing w:line="480" w:lineRule="auto"/>
        <w:ind w:firstLine="0"/>
        <w:rPr>
          <w:rFonts w:ascii="仿宋" w:hAnsi="仿宋" w:eastAsia="仿宋" w:cs="仿宋"/>
          <w:color w:val="auto"/>
          <w:sz w:val="24"/>
          <w:szCs w:val="24"/>
          <w:highlight w:val="none"/>
        </w:rPr>
      </w:pPr>
    </w:p>
    <w:p w14:paraId="74D1BD82">
      <w:pPr>
        <w:pStyle w:val="7"/>
        <w:spacing w:line="48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有效身份证明复印件粘贴处</w:t>
      </w:r>
    </w:p>
    <w:p w14:paraId="41B01CF1">
      <w:pPr>
        <w:pStyle w:val="7"/>
        <w:spacing w:line="360" w:lineRule="auto"/>
        <w:ind w:firstLine="545" w:firstLineChars="156"/>
        <w:jc w:val="center"/>
        <w:rPr>
          <w:rFonts w:ascii="仿宋" w:hAnsi="仿宋" w:eastAsia="仿宋" w:cs="仿宋"/>
          <w:b/>
          <w:bCs/>
          <w:color w:val="auto"/>
          <w:spacing w:val="24"/>
          <w:sz w:val="30"/>
          <w:highlight w:val="none"/>
        </w:rPr>
      </w:pPr>
    </w:p>
    <w:p w14:paraId="177125BD">
      <w:pPr>
        <w:pStyle w:val="7"/>
        <w:spacing w:line="360" w:lineRule="auto"/>
        <w:ind w:firstLine="0"/>
        <w:jc w:val="center"/>
        <w:rPr>
          <w:rFonts w:ascii="仿宋" w:hAnsi="仿宋" w:eastAsia="仿宋" w:cs="仿宋"/>
          <w:b/>
          <w:bCs/>
          <w:color w:val="auto"/>
          <w:spacing w:val="24"/>
          <w:sz w:val="30"/>
          <w:highlight w:val="none"/>
        </w:rPr>
      </w:pPr>
    </w:p>
    <w:p w14:paraId="680CB4F0">
      <w:pPr>
        <w:pStyle w:val="7"/>
        <w:spacing w:line="360" w:lineRule="auto"/>
        <w:ind w:firstLine="0"/>
        <w:jc w:val="center"/>
        <w:rPr>
          <w:rFonts w:ascii="仿宋" w:hAnsi="仿宋" w:eastAsia="仿宋" w:cs="仿宋"/>
          <w:b/>
          <w:bCs/>
          <w:color w:val="auto"/>
          <w:spacing w:val="24"/>
          <w:sz w:val="30"/>
          <w:highlight w:val="none"/>
        </w:rPr>
      </w:pPr>
    </w:p>
    <w:p w14:paraId="4D90CB08">
      <w:pPr>
        <w:pStyle w:val="7"/>
        <w:spacing w:line="360" w:lineRule="auto"/>
        <w:ind w:firstLine="0"/>
        <w:jc w:val="center"/>
        <w:rPr>
          <w:rFonts w:ascii="仿宋" w:hAnsi="仿宋" w:eastAsia="仿宋" w:cs="仿宋"/>
          <w:b/>
          <w:bCs/>
          <w:color w:val="auto"/>
          <w:spacing w:val="24"/>
          <w:sz w:val="30"/>
          <w:highlight w:val="none"/>
        </w:rPr>
      </w:pPr>
    </w:p>
    <w:p w14:paraId="3B272350">
      <w:pPr>
        <w:pStyle w:val="7"/>
        <w:spacing w:line="360" w:lineRule="auto"/>
        <w:ind w:firstLine="0"/>
        <w:jc w:val="center"/>
        <w:rPr>
          <w:rFonts w:ascii="仿宋" w:hAnsi="仿宋" w:eastAsia="仿宋" w:cs="仿宋"/>
          <w:b/>
          <w:bCs/>
          <w:color w:val="auto"/>
          <w:spacing w:val="24"/>
          <w:sz w:val="30"/>
          <w:highlight w:val="none"/>
        </w:rPr>
      </w:pPr>
    </w:p>
    <w:p w14:paraId="2A96B69A">
      <w:pPr>
        <w:pStyle w:val="8"/>
        <w:rPr>
          <w:color w:val="auto"/>
          <w:highlight w:val="none"/>
        </w:rPr>
      </w:pPr>
    </w:p>
    <w:p w14:paraId="0F0F3327">
      <w:pPr>
        <w:pStyle w:val="7"/>
        <w:spacing w:line="360" w:lineRule="auto"/>
        <w:ind w:firstLine="0"/>
        <w:jc w:val="center"/>
        <w:rPr>
          <w:rFonts w:ascii="仿宋" w:hAnsi="仿宋" w:eastAsia="仿宋" w:cs="仿宋"/>
          <w:b/>
          <w:bCs/>
          <w:color w:val="auto"/>
          <w:spacing w:val="24"/>
          <w:sz w:val="28"/>
          <w:szCs w:val="28"/>
          <w:highlight w:val="none"/>
        </w:rPr>
      </w:pPr>
    </w:p>
    <w:p w14:paraId="7DE947AD">
      <w:pPr>
        <w:rPr>
          <w:rFonts w:ascii="仿宋" w:hAnsi="仿宋" w:eastAsia="仿宋" w:cs="仿宋"/>
          <w:b/>
          <w:bCs/>
          <w:color w:val="auto"/>
          <w:spacing w:val="24"/>
          <w:sz w:val="28"/>
          <w:szCs w:val="28"/>
          <w:highlight w:val="none"/>
        </w:rPr>
      </w:pPr>
    </w:p>
    <w:p w14:paraId="15C748CB">
      <w:pPr>
        <w:pStyle w:val="7"/>
        <w:spacing w:line="360" w:lineRule="auto"/>
        <w:ind w:firstLine="0"/>
        <w:jc w:val="center"/>
        <w:outlineLvl w:val="1"/>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法定代表人授权委托书</w:t>
      </w:r>
    </w:p>
    <w:p w14:paraId="5C4CA11F">
      <w:pPr>
        <w:spacing w:line="360" w:lineRule="auto"/>
        <w:ind w:firstLine="600" w:firstLineChars="200"/>
        <w:rPr>
          <w:rFonts w:ascii="仿宋" w:hAnsi="仿宋" w:eastAsia="仿宋" w:cs="仿宋"/>
          <w:color w:val="auto"/>
          <w:sz w:val="30"/>
          <w:highlight w:val="none"/>
        </w:rPr>
      </w:pPr>
    </w:p>
    <w:p w14:paraId="05733833">
      <w:pPr>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为我单位授权代理人，以本单位的名义参加</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的磋商活动。授权代理人在投标、开标、磋商、合同谈判过程中所签署的一切文件和处理与之有关的一切事务，我均予以承认。</w:t>
      </w:r>
    </w:p>
    <w:p w14:paraId="5732D6AD">
      <w:pPr>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授权代理人无转委托权，特此委托。</w:t>
      </w:r>
    </w:p>
    <w:p w14:paraId="433F5109">
      <w:pPr>
        <w:spacing w:after="156" w:line="480" w:lineRule="auto"/>
        <w:rPr>
          <w:rFonts w:ascii="仿宋" w:hAnsi="仿宋" w:eastAsia="仿宋" w:cs="仿宋"/>
          <w:b/>
          <w:color w:val="auto"/>
          <w:sz w:val="24"/>
          <w:highlight w:val="none"/>
        </w:rPr>
      </w:pPr>
    </w:p>
    <w:p w14:paraId="505B70C5">
      <w:pPr>
        <w:spacing w:line="480" w:lineRule="auto"/>
        <w:ind w:left="2699"/>
        <w:rPr>
          <w:rFonts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14:paraId="33238342">
      <w:pPr>
        <w:spacing w:line="480" w:lineRule="auto"/>
        <w:ind w:left="2699"/>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lang w:val="en-US" w:eastAsia="zh-CN"/>
        </w:rPr>
        <w:t xml:space="preserve">                                  </w:t>
      </w:r>
    </w:p>
    <w:p w14:paraId="50599194">
      <w:pPr>
        <w:spacing w:line="480" w:lineRule="auto"/>
        <w:ind w:left="2699"/>
        <w:rPr>
          <w:rFonts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627440A9">
      <w:pPr>
        <w:spacing w:line="480" w:lineRule="auto"/>
        <w:ind w:left="2699"/>
        <w:rPr>
          <w:rFonts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（盖章）</w:t>
      </w:r>
    </w:p>
    <w:p w14:paraId="1111481C">
      <w:pPr>
        <w:spacing w:line="480" w:lineRule="auto"/>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（签名或盖章）</w:t>
      </w:r>
    </w:p>
    <w:p w14:paraId="20AA96F9">
      <w:pPr>
        <w:pStyle w:val="7"/>
        <w:spacing w:line="480" w:lineRule="auto"/>
        <w:ind w:firstLine="2774" w:firstLineChars="115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7F815D5">
      <w:pPr>
        <w:pStyle w:val="7"/>
        <w:pBdr>
          <w:bottom w:val="single" w:color="auto" w:sz="6" w:space="1"/>
        </w:pBdr>
        <w:spacing w:line="480" w:lineRule="auto"/>
        <w:ind w:firstLine="2774" w:firstLineChars="1156"/>
        <w:rPr>
          <w:rFonts w:ascii="仿宋" w:hAnsi="仿宋" w:eastAsia="仿宋" w:cs="仿宋"/>
          <w:color w:val="auto"/>
          <w:sz w:val="24"/>
          <w:szCs w:val="24"/>
          <w:highlight w:val="none"/>
        </w:rPr>
      </w:pPr>
    </w:p>
    <w:p w14:paraId="513D884B">
      <w:pPr>
        <w:pStyle w:val="7"/>
        <w:spacing w:line="480" w:lineRule="auto"/>
        <w:ind w:firstLine="0"/>
        <w:rPr>
          <w:rFonts w:ascii="仿宋" w:hAnsi="仿宋" w:eastAsia="仿宋" w:cs="仿宋"/>
          <w:color w:val="auto"/>
          <w:sz w:val="24"/>
          <w:szCs w:val="24"/>
          <w:highlight w:val="none"/>
        </w:rPr>
      </w:pPr>
    </w:p>
    <w:p w14:paraId="65D5F603">
      <w:pPr>
        <w:pStyle w:val="7"/>
        <w:spacing w:line="480" w:lineRule="auto"/>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授权代理人有效身份证明复印件粘贴处</w:t>
      </w:r>
    </w:p>
    <w:p w14:paraId="22AB0E1A">
      <w:pPr>
        <w:pStyle w:val="7"/>
        <w:spacing w:line="480" w:lineRule="auto"/>
        <w:ind w:firstLine="0"/>
        <w:rPr>
          <w:rFonts w:ascii="仿宋" w:hAnsi="仿宋" w:eastAsia="仿宋" w:cs="仿宋"/>
          <w:color w:val="auto"/>
          <w:sz w:val="24"/>
          <w:szCs w:val="24"/>
          <w:highlight w:val="none"/>
        </w:rPr>
      </w:pPr>
    </w:p>
    <w:p w14:paraId="0E12103E">
      <w:pPr>
        <w:pStyle w:val="7"/>
        <w:spacing w:line="480" w:lineRule="auto"/>
        <w:ind w:firstLine="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（后附授权委托人近三个月中任意一个月的社保证明）</w:t>
      </w:r>
    </w:p>
    <w:p w14:paraId="7F796C54">
      <w:pPr>
        <w:snapToGrid w:val="0"/>
        <w:spacing w:beforeLines="50" w:after="50"/>
        <w:jc w:val="center"/>
        <w:rPr>
          <w:rFonts w:ascii="仿宋" w:hAnsi="仿宋" w:eastAsia="仿宋" w:cs="仿宋"/>
          <w:b/>
          <w:color w:val="auto"/>
          <w:szCs w:val="28"/>
          <w:highlight w:val="none"/>
        </w:rPr>
      </w:pPr>
    </w:p>
    <w:p w14:paraId="14A8A443">
      <w:pP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14:paraId="3D3241A8">
      <w:pPr>
        <w:snapToGrid w:val="0"/>
        <w:spacing w:line="56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承诺书</w:t>
      </w:r>
    </w:p>
    <w:p w14:paraId="03E06D09">
      <w:pPr>
        <w:snapToGrid w:val="0"/>
        <w:spacing w:line="560" w:lineRule="exact"/>
        <w:jc w:val="center"/>
        <w:rPr>
          <w:rFonts w:ascii="仿宋" w:hAnsi="仿宋" w:eastAsia="仿宋" w:cs="仿宋"/>
          <w:b/>
          <w:color w:val="auto"/>
          <w:sz w:val="28"/>
          <w:szCs w:val="28"/>
          <w:highlight w:val="none"/>
        </w:rPr>
      </w:pPr>
    </w:p>
    <w:p w14:paraId="12F7374F">
      <w:pPr>
        <w:tabs>
          <w:tab w:val="left" w:pos="1650"/>
        </w:tabs>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14:paraId="71DEA638">
      <w:pPr>
        <w:tabs>
          <w:tab w:val="left" w:pos="1650"/>
        </w:tabs>
        <w:jc w:val="left"/>
        <w:rPr>
          <w:rFonts w:ascii="仿宋" w:hAnsi="仿宋" w:eastAsia="仿宋" w:cs="仿宋"/>
          <w:color w:val="auto"/>
          <w:sz w:val="24"/>
          <w:highlight w:val="none"/>
          <w:u w:val="single"/>
        </w:rPr>
      </w:pPr>
    </w:p>
    <w:p w14:paraId="0FBEA593">
      <w:pPr>
        <w:tabs>
          <w:tab w:val="left" w:pos="1650"/>
        </w:tabs>
        <w:spacing w:line="6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17927C6F">
      <w:pPr>
        <w:pStyle w:val="10"/>
        <w:rPr>
          <w:rFonts w:ascii="仿宋" w:hAnsi="仿宋" w:eastAsia="仿宋" w:cs="仿宋"/>
          <w:b/>
          <w:color w:val="auto"/>
          <w:sz w:val="28"/>
          <w:szCs w:val="28"/>
          <w:highlight w:val="none"/>
        </w:rPr>
      </w:pPr>
    </w:p>
    <w:p w14:paraId="2F8428EA">
      <w:pPr>
        <w:rPr>
          <w:rFonts w:ascii="仿宋" w:hAnsi="仿宋" w:eastAsia="仿宋" w:cs="仿宋"/>
          <w:b/>
          <w:color w:val="auto"/>
          <w:sz w:val="28"/>
          <w:szCs w:val="28"/>
          <w:highlight w:val="none"/>
        </w:rPr>
      </w:pPr>
    </w:p>
    <w:p w14:paraId="36810963">
      <w:pPr>
        <w:pStyle w:val="10"/>
        <w:rPr>
          <w:rFonts w:ascii="仿宋" w:hAnsi="仿宋" w:eastAsia="仿宋" w:cs="仿宋"/>
          <w:b/>
          <w:color w:val="auto"/>
          <w:sz w:val="28"/>
          <w:szCs w:val="28"/>
          <w:highlight w:val="none"/>
        </w:rPr>
      </w:pPr>
    </w:p>
    <w:p w14:paraId="6883AB1C">
      <w:pPr>
        <w:rPr>
          <w:rFonts w:ascii="仿宋" w:hAnsi="仿宋" w:eastAsia="仿宋" w:cs="仿宋"/>
          <w:b/>
          <w:color w:val="auto"/>
          <w:sz w:val="28"/>
          <w:szCs w:val="28"/>
          <w:highlight w:val="none"/>
        </w:rPr>
      </w:pPr>
    </w:p>
    <w:p w14:paraId="7B009354">
      <w:pPr>
        <w:pStyle w:val="10"/>
        <w:rPr>
          <w:rFonts w:ascii="仿宋" w:hAnsi="仿宋" w:eastAsia="仿宋" w:cs="仿宋"/>
          <w:b/>
          <w:color w:val="auto"/>
          <w:sz w:val="28"/>
          <w:szCs w:val="28"/>
          <w:highlight w:val="none"/>
        </w:rPr>
      </w:pPr>
    </w:p>
    <w:p w14:paraId="73642355">
      <w:pPr>
        <w:rPr>
          <w:rFonts w:ascii="仿宋" w:hAnsi="仿宋" w:eastAsia="仿宋" w:cs="仿宋"/>
          <w:b/>
          <w:color w:val="auto"/>
          <w:sz w:val="28"/>
          <w:szCs w:val="28"/>
          <w:highlight w:val="none"/>
        </w:rPr>
      </w:pPr>
    </w:p>
    <w:p w14:paraId="3B5EBE32">
      <w:pPr>
        <w:pStyle w:val="10"/>
        <w:rPr>
          <w:rFonts w:ascii="仿宋" w:hAnsi="仿宋" w:eastAsia="仿宋" w:cs="仿宋"/>
          <w:b/>
          <w:color w:val="auto"/>
          <w:sz w:val="28"/>
          <w:szCs w:val="28"/>
          <w:highlight w:val="none"/>
        </w:rPr>
      </w:pPr>
    </w:p>
    <w:p w14:paraId="4EA332CE">
      <w:pPr>
        <w:pStyle w:val="39"/>
        <w:spacing w:before="0" w:beforeAutospacing="0" w:after="0" w:afterAutospacing="0" w:line="560" w:lineRule="exact"/>
        <w:ind w:firstLine="3240" w:firstLineChars="1350"/>
        <w:rPr>
          <w:rFonts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14:paraId="091925BF">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14:paraId="71F4489D">
      <w:pPr>
        <w:spacing w:line="600" w:lineRule="exact"/>
        <w:jc w:val="center"/>
        <w:rPr>
          <w:rFonts w:ascii="仿宋" w:hAnsi="仿宋" w:eastAsia="仿宋" w:cs="仿宋"/>
          <w:b/>
          <w:bCs/>
          <w:color w:val="auto"/>
          <w:spacing w:val="24"/>
          <w:sz w:val="28"/>
          <w:szCs w:val="28"/>
          <w:highlight w:val="none"/>
        </w:rPr>
      </w:pPr>
    </w:p>
    <w:p w14:paraId="4A145003">
      <w:pPr>
        <w:spacing w:line="600" w:lineRule="exact"/>
        <w:jc w:val="center"/>
        <w:rPr>
          <w:rFonts w:ascii="仿宋" w:hAnsi="仿宋" w:eastAsia="仿宋" w:cs="仿宋"/>
          <w:b/>
          <w:bCs/>
          <w:color w:val="auto"/>
          <w:spacing w:val="24"/>
          <w:sz w:val="28"/>
          <w:szCs w:val="28"/>
          <w:highlight w:val="none"/>
        </w:rPr>
      </w:pPr>
    </w:p>
    <w:p w14:paraId="3C2CE2B6">
      <w:pPr>
        <w:spacing w:line="600" w:lineRule="exact"/>
        <w:jc w:val="center"/>
        <w:rPr>
          <w:rFonts w:ascii="仿宋" w:hAnsi="仿宋" w:eastAsia="仿宋" w:cs="仿宋"/>
          <w:b/>
          <w:bCs/>
          <w:color w:val="auto"/>
          <w:spacing w:val="24"/>
          <w:sz w:val="28"/>
          <w:szCs w:val="28"/>
          <w:highlight w:val="none"/>
        </w:rPr>
      </w:pPr>
    </w:p>
    <w:p w14:paraId="5F090395">
      <w:pPr>
        <w:spacing w:line="600" w:lineRule="exact"/>
        <w:jc w:val="center"/>
        <w:rPr>
          <w:rFonts w:ascii="仿宋" w:hAnsi="仿宋" w:eastAsia="仿宋" w:cs="仿宋"/>
          <w:b/>
          <w:bCs/>
          <w:color w:val="auto"/>
          <w:spacing w:val="24"/>
          <w:sz w:val="28"/>
          <w:szCs w:val="28"/>
          <w:highlight w:val="none"/>
        </w:rPr>
      </w:pPr>
    </w:p>
    <w:p w14:paraId="04C4C3B1">
      <w:pPr>
        <w:spacing w:line="600" w:lineRule="exact"/>
        <w:jc w:val="center"/>
        <w:rPr>
          <w:rFonts w:ascii="仿宋" w:hAnsi="仿宋" w:eastAsia="仿宋" w:cs="仿宋"/>
          <w:b/>
          <w:bCs/>
          <w:color w:val="auto"/>
          <w:spacing w:val="24"/>
          <w:sz w:val="28"/>
          <w:szCs w:val="28"/>
          <w:highlight w:val="none"/>
        </w:rPr>
      </w:pPr>
    </w:p>
    <w:p w14:paraId="2A406A20">
      <w:pPr>
        <w:spacing w:line="600" w:lineRule="exact"/>
        <w:jc w:val="center"/>
        <w:rPr>
          <w:rFonts w:ascii="仿宋" w:hAnsi="仿宋" w:eastAsia="仿宋" w:cs="仿宋"/>
          <w:b/>
          <w:bCs/>
          <w:color w:val="auto"/>
          <w:spacing w:val="24"/>
          <w:sz w:val="28"/>
          <w:szCs w:val="28"/>
          <w:highlight w:val="none"/>
        </w:rPr>
      </w:pPr>
    </w:p>
    <w:p w14:paraId="24F8B785">
      <w:pPr>
        <w:spacing w:line="600" w:lineRule="exact"/>
        <w:rPr>
          <w:rFonts w:ascii="仿宋" w:hAnsi="仿宋" w:eastAsia="仿宋" w:cs="仿宋"/>
          <w:b/>
          <w:bCs/>
          <w:color w:val="auto"/>
          <w:spacing w:val="24"/>
          <w:sz w:val="28"/>
          <w:szCs w:val="28"/>
          <w:highlight w:val="none"/>
        </w:rPr>
      </w:pPr>
    </w:p>
    <w:p w14:paraId="6ED1A386">
      <w:pPr>
        <w:spacing w:line="600" w:lineRule="exact"/>
        <w:jc w:val="center"/>
        <w:outlineLvl w:val="1"/>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信用承诺书</w:t>
      </w:r>
    </w:p>
    <w:p w14:paraId="040E5975">
      <w:pPr>
        <w:tabs>
          <w:tab w:val="left" w:pos="1650"/>
        </w:tabs>
        <w:spacing w:line="6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（采购项目）</w:t>
      </w:r>
      <w:r>
        <w:rPr>
          <w:rFonts w:hint="eastAsia" w:ascii="仿宋" w:hAnsi="仿宋" w:eastAsia="仿宋" w:cs="仿宋"/>
          <w:color w:val="auto"/>
          <w:sz w:val="24"/>
          <w:highlight w:val="none"/>
        </w:rPr>
        <w:t>政府采购活动，郑重承诺如下：</w:t>
      </w:r>
    </w:p>
    <w:p w14:paraId="49A86F23">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1、对所提供的资料合法性、真实性、准确性和有效性负责；</w:t>
      </w:r>
    </w:p>
    <w:p w14:paraId="534478D7">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2、严格按照国家法律、法规和规章，依法开展相关经济活动，全面履行应尽的责任和义务；</w:t>
      </w:r>
    </w:p>
    <w:p w14:paraId="2BFDD24C">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3、加强自我约束、自我规范、自我管理，不制假售假、不虚假宣传、不违约毁约、不恶意逃债、不偷税漏税，诚信依法经营；</w:t>
      </w:r>
    </w:p>
    <w:p w14:paraId="5E579259">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4、自愿接受行政主管部门的依法检查、违背承诺约定将自愿承担违约责任，并接受法律法规和相关部门规章制度的惩戒和约束；</w:t>
      </w:r>
    </w:p>
    <w:p w14:paraId="0776C7D5">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C450BA0">
      <w:pPr>
        <w:tabs>
          <w:tab w:val="left" w:pos="1650"/>
        </w:tabs>
        <w:spacing w:line="640" w:lineRule="exact"/>
        <w:rPr>
          <w:rFonts w:ascii="仿宋" w:hAnsi="仿宋" w:eastAsia="仿宋" w:cs="仿宋"/>
          <w:color w:val="auto"/>
          <w:sz w:val="24"/>
          <w:highlight w:val="none"/>
          <w:u w:val="single"/>
        </w:rPr>
      </w:pPr>
    </w:p>
    <w:p w14:paraId="53125641">
      <w:pPr>
        <w:tabs>
          <w:tab w:val="left" w:pos="1650"/>
        </w:tabs>
        <w:spacing w:line="640" w:lineRule="exact"/>
        <w:rPr>
          <w:rFonts w:ascii="仿宋" w:hAnsi="仿宋" w:eastAsia="仿宋" w:cs="仿宋"/>
          <w:color w:val="auto"/>
          <w:sz w:val="24"/>
          <w:highlight w:val="none"/>
          <w:u w:val="single"/>
        </w:rPr>
      </w:pPr>
    </w:p>
    <w:p w14:paraId="0C133248">
      <w:pPr>
        <w:pStyle w:val="39"/>
        <w:spacing w:before="0" w:beforeAutospacing="0" w:after="0" w:afterAutospacing="0" w:line="640" w:lineRule="exact"/>
        <w:ind w:firstLine="600" w:firstLineChars="250"/>
        <w:rPr>
          <w:rFonts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14:paraId="678E0A01">
      <w:pPr>
        <w:pStyle w:val="39"/>
        <w:spacing w:before="0" w:beforeAutospacing="0" w:after="0" w:afterAutospacing="0" w:line="640" w:lineRule="exact"/>
        <w:rPr>
          <w:rFonts w:ascii="仿宋" w:hAnsi="仿宋" w:eastAsia="仿宋" w:cs="仿宋"/>
          <w:color w:val="auto"/>
          <w:highlight w:val="none"/>
        </w:rPr>
      </w:pPr>
    </w:p>
    <w:p w14:paraId="434EDDC3">
      <w:pPr>
        <w:pStyle w:val="39"/>
        <w:spacing w:before="0" w:beforeAutospacing="0" w:after="0" w:afterAutospacing="0" w:line="640" w:lineRule="exact"/>
        <w:rPr>
          <w:rFonts w:ascii="仿宋" w:hAnsi="仿宋" w:eastAsia="仿宋" w:cs="仿宋"/>
          <w:color w:val="auto"/>
          <w:highlight w:val="none"/>
        </w:rPr>
      </w:pPr>
    </w:p>
    <w:p w14:paraId="5A6637D7">
      <w:pPr>
        <w:pStyle w:val="39"/>
        <w:spacing w:before="0" w:beforeAutospacing="0" w:after="0" w:afterAutospacing="0" w:line="640" w:lineRule="exact"/>
        <w:ind w:firstLine="3240" w:firstLineChars="1350"/>
        <w:jc w:val="right"/>
        <w:rPr>
          <w:rFonts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14:paraId="1BCBCD97">
      <w:pPr>
        <w:spacing w:line="64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   间：  年  月  日</w:t>
      </w:r>
    </w:p>
    <w:p w14:paraId="2E1BA271">
      <w:pPr>
        <w:pStyle w:val="7"/>
        <w:spacing w:line="600" w:lineRule="exact"/>
        <w:ind w:firstLine="0"/>
        <w:jc w:val="center"/>
        <w:rPr>
          <w:rFonts w:ascii="仿宋" w:hAnsi="仿宋" w:eastAsia="仿宋" w:cs="仿宋"/>
          <w:color w:val="auto"/>
          <w:sz w:val="24"/>
          <w:szCs w:val="24"/>
          <w:highlight w:val="none"/>
        </w:rPr>
      </w:pPr>
    </w:p>
    <w:p w14:paraId="00A05B59">
      <w:pP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br w:type="page"/>
      </w:r>
    </w:p>
    <w:p w14:paraId="28980130">
      <w:pPr>
        <w:snapToGrid w:val="0"/>
        <w:spacing w:beforeLines="50" w:after="50" w:line="4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 应 函</w:t>
      </w:r>
    </w:p>
    <w:p w14:paraId="01B09B5A">
      <w:pPr>
        <w:snapToGrid w:val="0"/>
        <w:spacing w:line="60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35250C88">
      <w:pPr>
        <w:snapToGrid w:val="0"/>
        <w:spacing w:line="600" w:lineRule="exact"/>
        <w:ind w:firstLine="600" w:firstLineChars="250"/>
        <w:rPr>
          <w:rFonts w:ascii="仿宋" w:hAnsi="仿宋" w:eastAsia="仿宋" w:cs="仿宋"/>
          <w:color w:val="auto"/>
          <w:sz w:val="24"/>
          <w:szCs w:val="20"/>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项目的磋商公告</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（全名）</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提交《技术、商务、资信及其他文件》和《首次报价文件》。</w:t>
      </w:r>
    </w:p>
    <w:p w14:paraId="0C47EBDA">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据此函，签字代表宣布同意如下：</w:t>
      </w:r>
    </w:p>
    <w:p w14:paraId="4015656C">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293A069B">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2.供应商在磋商之前已经与贵方进行了充分的沟通，完全理解并接受磋商文件的各项规定和要求，对磋商文件的合理性、合法性不再有异议。</w:t>
      </w:r>
    </w:p>
    <w:p w14:paraId="6E11C67C">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3.本磋商有效期自开标日起</w:t>
      </w:r>
      <w:r>
        <w:rPr>
          <w:rFonts w:hint="eastAsia" w:ascii="仿宋" w:hAnsi="仿宋" w:eastAsia="仿宋" w:cs="仿宋"/>
          <w:color w:val="auto"/>
          <w:sz w:val="24"/>
          <w:highlight w:val="none"/>
          <w:u w:val="single"/>
        </w:rPr>
        <w:t>60</w:t>
      </w:r>
      <w:r>
        <w:rPr>
          <w:rFonts w:hint="eastAsia" w:ascii="仿宋" w:hAnsi="仿宋" w:eastAsia="仿宋" w:cs="仿宋"/>
          <w:color w:val="auto"/>
          <w:sz w:val="24"/>
          <w:highlight w:val="none"/>
        </w:rPr>
        <w:t>个日历天。</w:t>
      </w:r>
    </w:p>
    <w:p w14:paraId="2C6404E6">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4.如成交，本响应文件至本项目合同履行完毕止均保持有效，本供应商将按“磋商文件”及政府采购法律、法规的规定履行合同责任和义务。</w:t>
      </w:r>
    </w:p>
    <w:p w14:paraId="1A9C5D32">
      <w:pPr>
        <w:snapToGrid w:val="0"/>
        <w:spacing w:line="6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5.供应商同意按照贵方要求提供与磋商有关的一切数据或资料。</w:t>
      </w:r>
    </w:p>
    <w:p w14:paraId="7B5803A4">
      <w:pPr>
        <w:snapToGrid w:val="0"/>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6.与本磋商有关的一切正式往来信函请寄：</w:t>
      </w:r>
    </w:p>
    <w:p w14:paraId="06D72A02">
      <w:pPr>
        <w:snapToGrid w:val="0"/>
        <w:spacing w:line="600" w:lineRule="exact"/>
        <w:ind w:firstLine="480" w:firstLineChars="200"/>
        <w:rPr>
          <w:rFonts w:ascii="仿宋" w:hAnsi="仿宋" w:eastAsia="仿宋" w:cs="仿宋"/>
          <w:color w:val="auto"/>
          <w:sz w:val="24"/>
          <w:szCs w:val="20"/>
          <w:highlight w:val="none"/>
        </w:rPr>
      </w:pPr>
    </w:p>
    <w:p w14:paraId="13684B13">
      <w:pPr>
        <w:snapToGrid w:val="0"/>
        <w:spacing w:line="60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地址：                       邮编：                        电话：</w:t>
      </w:r>
    </w:p>
    <w:p w14:paraId="7D4E6563">
      <w:pPr>
        <w:snapToGrid w:val="0"/>
        <w:spacing w:line="60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传真：                       供应商代表姓名：              职务：</w:t>
      </w:r>
    </w:p>
    <w:p w14:paraId="2FE78FBE">
      <w:pPr>
        <w:snapToGrid w:val="0"/>
        <w:spacing w:line="6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w:t>
      </w:r>
    </w:p>
    <w:p w14:paraId="62C2F9AC">
      <w:pPr>
        <w:snapToGrid w:val="0"/>
        <w:spacing w:line="600" w:lineRule="exact"/>
        <w:rPr>
          <w:rFonts w:ascii="仿宋" w:hAnsi="仿宋" w:eastAsia="仿宋" w:cs="仿宋"/>
          <w:color w:val="auto"/>
          <w:sz w:val="24"/>
          <w:szCs w:val="20"/>
          <w:highlight w:val="none"/>
        </w:rPr>
      </w:pPr>
      <w:r>
        <w:rPr>
          <w:rFonts w:hint="eastAsia" w:ascii="仿宋" w:hAnsi="仿宋" w:eastAsia="仿宋" w:cs="仿宋"/>
          <w:color w:val="auto"/>
          <w:sz w:val="24"/>
          <w:highlight w:val="none"/>
        </w:rPr>
        <w:t>开户银行：                   银行帐号：</w:t>
      </w:r>
    </w:p>
    <w:p w14:paraId="3C078254">
      <w:pPr>
        <w:snapToGrid w:val="0"/>
        <w:spacing w:line="600" w:lineRule="exact"/>
        <w:rPr>
          <w:rFonts w:ascii="仿宋" w:hAnsi="仿宋" w:eastAsia="仿宋" w:cs="仿宋"/>
          <w:color w:val="auto"/>
          <w:sz w:val="30"/>
          <w:szCs w:val="20"/>
          <w:highlight w:val="none"/>
        </w:rPr>
      </w:pPr>
      <w:r>
        <w:rPr>
          <w:rFonts w:hint="eastAsia" w:ascii="仿宋" w:hAnsi="仿宋" w:eastAsia="仿宋" w:cs="仿宋"/>
          <w:color w:val="auto"/>
          <w:sz w:val="24"/>
          <w:highlight w:val="none"/>
          <w:lang w:val="en-US" w:eastAsia="zh-CN"/>
        </w:rPr>
        <w:t>法定代表人或</w:t>
      </w:r>
      <w:r>
        <w:rPr>
          <w:rFonts w:hint="eastAsia" w:ascii="仿宋" w:hAnsi="仿宋" w:eastAsia="仿宋" w:cs="仿宋"/>
          <w:color w:val="auto"/>
          <w:sz w:val="24"/>
          <w:highlight w:val="none"/>
        </w:rPr>
        <w:t>授权代理人签字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              日期:年月日</w:t>
      </w:r>
    </w:p>
    <w:p w14:paraId="3292F8FD">
      <w:pPr>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br w:type="page"/>
      </w:r>
    </w:p>
    <w:p w14:paraId="0791B01D">
      <w:pPr>
        <w:snapToGrid w:val="0"/>
        <w:spacing w:beforeLines="50" w:after="50"/>
        <w:jc w:val="center"/>
        <w:outlineLvl w:val="1"/>
        <w:rPr>
          <w:rFonts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磋商报价表（首次报价）</w:t>
      </w:r>
    </w:p>
    <w:p w14:paraId="7C7903D4">
      <w:pPr>
        <w:autoSpaceDE w:val="0"/>
        <w:autoSpaceDN w:val="0"/>
        <w:adjustRightInd w:val="0"/>
        <w:spacing w:line="600" w:lineRule="exact"/>
        <w:ind w:firstLine="6720" w:firstLineChars="2800"/>
        <w:rPr>
          <w:rFonts w:ascii="仿宋" w:hAnsi="仿宋" w:eastAsia="仿宋" w:cs="仿宋"/>
          <w:color w:val="auto"/>
          <w:sz w:val="24"/>
          <w:highlight w:val="none"/>
        </w:rPr>
      </w:pPr>
      <w:r>
        <w:rPr>
          <w:rFonts w:hint="eastAsia" w:ascii="仿宋" w:hAnsi="仿宋" w:eastAsia="仿宋" w:cs="仿宋"/>
          <w:color w:val="auto"/>
          <w:sz w:val="24"/>
          <w:highlight w:val="none"/>
          <w:lang w:val="zh-CN"/>
        </w:rPr>
        <w:t>报价单位：</w:t>
      </w:r>
      <w:r>
        <w:rPr>
          <w:rFonts w:hint="eastAsia" w:ascii="仿宋" w:hAnsi="仿宋" w:eastAsia="仿宋" w:cs="仿宋"/>
          <w:color w:val="auto"/>
          <w:sz w:val="24"/>
          <w:highlight w:val="none"/>
        </w:rPr>
        <w:t>元</w:t>
      </w:r>
    </w:p>
    <w:tbl>
      <w:tblPr>
        <w:tblStyle w:val="26"/>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11"/>
      </w:tblGrid>
      <w:tr w14:paraId="5C90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68" w:type="dxa"/>
            <w:tcBorders>
              <w:top w:val="single" w:color="auto" w:sz="4" w:space="0"/>
            </w:tcBorders>
            <w:noWrap/>
            <w:vAlign w:val="center"/>
          </w:tcPr>
          <w:p w14:paraId="01FE9748">
            <w:pPr>
              <w:spacing w:line="5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8211" w:type="dxa"/>
            <w:tcBorders>
              <w:top w:val="single" w:color="auto" w:sz="4" w:space="0"/>
              <w:bottom w:val="single" w:color="auto" w:sz="4" w:space="0"/>
            </w:tcBorders>
            <w:noWrap/>
            <w:vAlign w:val="center"/>
          </w:tcPr>
          <w:p w14:paraId="0FD49452">
            <w:pPr>
              <w:spacing w:line="540" w:lineRule="exact"/>
              <w:jc w:val="center"/>
              <w:rPr>
                <w:rFonts w:hint="eastAsia" w:ascii="仿宋" w:hAnsi="仿宋" w:eastAsia="仿宋" w:cs="仿宋"/>
                <w:color w:val="auto"/>
                <w:sz w:val="24"/>
                <w:highlight w:val="none"/>
                <w:lang w:eastAsia="zh-CN"/>
              </w:rPr>
            </w:pPr>
            <w:r>
              <w:rPr>
                <w:rFonts w:hint="eastAsia" w:ascii="仿宋" w:hAnsi="仿宋" w:eastAsia="仿宋" w:cs="宋体"/>
                <w:bCs/>
                <w:color w:val="auto"/>
                <w:sz w:val="24"/>
                <w:highlight w:val="none"/>
                <w:lang w:eastAsia="zh-CN"/>
              </w:rPr>
              <w:t xml:space="preserve">湖州市2025年度大气综合技术服务项目 </w:t>
            </w:r>
          </w:p>
        </w:tc>
      </w:tr>
      <w:tr w14:paraId="3073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368" w:type="dxa"/>
            <w:tcBorders>
              <w:top w:val="single" w:color="auto" w:sz="4" w:space="0"/>
            </w:tcBorders>
            <w:noWrap/>
            <w:vAlign w:val="center"/>
          </w:tcPr>
          <w:p w14:paraId="27D3FAA9">
            <w:pPr>
              <w:autoSpaceDE w:val="0"/>
              <w:autoSpaceDN w:val="0"/>
              <w:adjustRightInd w:val="0"/>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zh-CN"/>
              </w:rPr>
              <w:t>项目编号</w:t>
            </w:r>
          </w:p>
        </w:tc>
        <w:tc>
          <w:tcPr>
            <w:tcW w:w="8211" w:type="dxa"/>
            <w:tcBorders>
              <w:top w:val="single" w:color="auto" w:sz="4" w:space="0"/>
              <w:bottom w:val="single" w:color="auto" w:sz="4" w:space="0"/>
            </w:tcBorders>
            <w:noWrap/>
            <w:vAlign w:val="center"/>
          </w:tcPr>
          <w:p w14:paraId="2661C0C8">
            <w:pPr>
              <w:spacing w:line="540" w:lineRule="exact"/>
              <w:jc w:val="center"/>
              <w:rPr>
                <w:rFonts w:ascii="仿宋" w:hAnsi="仿宋" w:eastAsia="仿宋" w:cs="仿宋"/>
                <w:color w:val="auto"/>
                <w:sz w:val="24"/>
                <w:highlight w:val="none"/>
              </w:rPr>
            </w:pPr>
            <w:r>
              <w:rPr>
                <w:rFonts w:hint="eastAsia" w:ascii="仿宋" w:hAnsi="仿宋" w:eastAsia="仿宋" w:cs="宋体"/>
                <w:bCs/>
                <w:color w:val="auto"/>
                <w:sz w:val="24"/>
                <w:highlight w:val="none"/>
              </w:rPr>
              <w:t>XCXHZ-2025-</w:t>
            </w:r>
            <w:r>
              <w:rPr>
                <w:rFonts w:hint="eastAsia" w:ascii="仿宋" w:hAnsi="仿宋" w:eastAsia="仿宋" w:cs="宋体"/>
                <w:bCs/>
                <w:color w:val="auto"/>
                <w:sz w:val="24"/>
                <w:highlight w:val="none"/>
                <w:lang w:val="en-US" w:eastAsia="zh-CN"/>
              </w:rPr>
              <w:t>037</w:t>
            </w:r>
            <w:r>
              <w:rPr>
                <w:rFonts w:hint="eastAsia" w:ascii="仿宋" w:hAnsi="仿宋" w:eastAsia="仿宋" w:cs="宋体"/>
                <w:bCs/>
                <w:color w:val="auto"/>
                <w:sz w:val="24"/>
                <w:highlight w:val="none"/>
              </w:rPr>
              <w:t>（CG）</w:t>
            </w:r>
          </w:p>
        </w:tc>
      </w:tr>
      <w:tr w14:paraId="1DBF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368" w:type="dxa"/>
            <w:noWrap/>
            <w:vAlign w:val="center"/>
          </w:tcPr>
          <w:p w14:paraId="3A730512">
            <w:pPr>
              <w:spacing w:line="5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8211" w:type="dxa"/>
            <w:tcBorders>
              <w:top w:val="single" w:color="auto" w:sz="4" w:space="0"/>
              <w:bottom w:val="single" w:color="auto" w:sz="4" w:space="0"/>
            </w:tcBorders>
            <w:noWrap/>
            <w:vAlign w:val="center"/>
          </w:tcPr>
          <w:p w14:paraId="0B0AB8F6">
            <w:pPr>
              <w:spacing w:line="5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p w14:paraId="1368391E">
            <w:pPr>
              <w:spacing w:line="540" w:lineRule="exact"/>
              <w:jc w:val="left"/>
              <w:rPr>
                <w:rFonts w:ascii="仿宋" w:hAnsi="仿宋" w:eastAsia="仿宋" w:cs="仿宋"/>
                <w:bCs/>
                <w:color w:val="auto"/>
                <w:kern w:val="0"/>
                <w:sz w:val="24"/>
                <w:highlight w:val="none"/>
              </w:rPr>
            </w:pPr>
            <w:r>
              <w:rPr>
                <w:rFonts w:hint="eastAsia" w:ascii="仿宋" w:hAnsi="仿宋" w:eastAsia="仿宋" w:cs="仿宋"/>
                <w:color w:val="auto"/>
                <w:sz w:val="24"/>
                <w:highlight w:val="none"/>
              </w:rPr>
              <w:t>大写：</w:t>
            </w:r>
          </w:p>
        </w:tc>
      </w:tr>
    </w:tbl>
    <w:p w14:paraId="302DCCAD">
      <w:pPr>
        <w:pStyle w:val="15"/>
        <w:spacing w:before="156" w:after="156" w:line="480" w:lineRule="exact"/>
        <w:ind w:firstLine="480" w:firstLineChars="200"/>
        <w:rPr>
          <w:rFonts w:ascii="仿宋" w:hAnsi="仿宋" w:eastAsia="仿宋" w:cs="仿宋"/>
          <w:bCs/>
          <w:color w:val="auto"/>
          <w:highlight w:val="none"/>
          <w:u w:val="single"/>
        </w:rPr>
      </w:pPr>
      <w:r>
        <w:rPr>
          <w:rFonts w:hint="eastAsia" w:ascii="仿宋" w:hAnsi="仿宋" w:eastAsia="仿宋" w:cs="仿宋"/>
          <w:bCs/>
          <w:color w:val="auto"/>
          <w:highlight w:val="none"/>
        </w:rPr>
        <w:t>注：1、报价一经涂改，应在涂改处加盖单位公章或者由法定代表人或授权委托人签字或盖章，否则其磋商作无效标处理。</w:t>
      </w:r>
    </w:p>
    <w:p w14:paraId="22B00122">
      <w:pPr>
        <w:pStyle w:val="15"/>
        <w:spacing w:before="156" w:after="156" w:line="48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2、应包含服务所发生的费用及供应商认为完成本磋商文件规定内容所需发生的其它费用，凡未列入的，将被视为均已包含在磋商总报价中。只允许有一个报价，任何有选择的或有条件的报价将不予接受。</w:t>
      </w:r>
    </w:p>
    <w:p w14:paraId="67E17B80">
      <w:pPr>
        <w:pStyle w:val="15"/>
        <w:spacing w:before="156" w:after="156" w:line="48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3、不提供此表格的将视为没有实质性响应磋商文件。</w:t>
      </w:r>
    </w:p>
    <w:p w14:paraId="67B1FC29">
      <w:pPr>
        <w:autoSpaceDE w:val="0"/>
        <w:autoSpaceDN w:val="0"/>
        <w:adjustRightInd w:val="0"/>
        <w:spacing w:line="600" w:lineRule="exact"/>
        <w:rPr>
          <w:color w:val="auto"/>
          <w:highlight w:val="none"/>
          <w:lang w:val="zh-CN"/>
        </w:rPr>
      </w:pPr>
      <w:r>
        <w:rPr>
          <w:rFonts w:hint="eastAsia" w:ascii="仿宋" w:hAnsi="仿宋" w:eastAsia="仿宋" w:cs="仿宋"/>
          <w:color w:val="auto"/>
          <w:sz w:val="24"/>
          <w:highlight w:val="none"/>
        </w:rPr>
        <w:t>供应商名称（公章）：</w:t>
      </w:r>
    </w:p>
    <w:p w14:paraId="79097B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26040ABB">
      <w:pPr>
        <w:spacing w:line="360" w:lineRule="auto"/>
        <w:rPr>
          <w:rFonts w:ascii="仿宋" w:hAnsi="仿宋" w:eastAsia="仿宋" w:cs="仿宋"/>
          <w:b/>
          <w:color w:val="auto"/>
          <w:szCs w:val="28"/>
          <w:highlight w:val="none"/>
        </w:rPr>
      </w:pPr>
      <w:r>
        <w:rPr>
          <w:rFonts w:hint="eastAsia" w:ascii="仿宋" w:hAnsi="仿宋" w:eastAsia="仿宋" w:cs="仿宋"/>
          <w:color w:val="auto"/>
          <w:sz w:val="24"/>
          <w:highlight w:val="none"/>
        </w:rPr>
        <w:t>日期：  年   月  日</w:t>
      </w:r>
    </w:p>
    <w:p w14:paraId="24834996">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中小企业声明函（工程、 服务）</w:t>
      </w:r>
    </w:p>
    <w:p w14:paraId="1AF17083">
      <w:pPr>
        <w:spacing w:line="56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w:t>
      </w:r>
    </w:p>
    <w:p w14:paraId="32E6CCE8">
      <w:pPr>
        <w:spacing w:line="5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库﹝2020﹞46 号）的规定，本公司 （联合体）参加</w:t>
      </w:r>
      <w:r>
        <w:rPr>
          <w:rFonts w:hint="eastAsia" w:ascii="仿宋" w:hAnsi="仿宋" w:eastAsia="仿宋" w:cs="仿宋"/>
          <w:color w:val="auto"/>
          <w:sz w:val="24"/>
          <w:highlight w:val="none"/>
          <w:u w:val="single"/>
        </w:rPr>
        <w:t xml:space="preserve"> </w:t>
      </w:r>
      <w:r>
        <w:rPr>
          <w:rFonts w:hint="eastAsia" w:ascii="仿宋" w:hAnsi="仿宋" w:eastAsia="仿宋" w:cs="仿宋"/>
          <w:i/>
          <w:iCs/>
          <w:color w:val="auto"/>
          <w:sz w:val="24"/>
          <w:highlight w:val="none"/>
          <w:u w:val="single"/>
        </w:rPr>
        <w:t>（ 单位名称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i/>
          <w:iCs/>
          <w:color w:val="auto"/>
          <w:sz w:val="24"/>
          <w:highlight w:val="none"/>
          <w:u w:val="single"/>
        </w:rPr>
        <w:t>（ 项目名称 ）</w:t>
      </w:r>
      <w:r>
        <w:rPr>
          <w:rFonts w:hint="eastAsia" w:ascii="仿宋" w:hAnsi="仿宋" w:eastAsia="仿宋" w:cs="仿宋"/>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AFCDC8F">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i/>
          <w:iCs/>
          <w:color w:val="auto"/>
          <w:sz w:val="24"/>
          <w:highlight w:val="none"/>
          <w:u w:val="single"/>
        </w:rPr>
        <w:t>（ 标的名称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i/>
          <w:iCs/>
          <w:color w:val="auto"/>
          <w:sz w:val="24"/>
          <w:highlight w:val="none"/>
          <w:u w:val="single"/>
        </w:rPr>
        <w:t xml:space="preserve">（ </w:t>
      </w:r>
      <w:r>
        <w:rPr>
          <w:rFonts w:hint="eastAsia" w:ascii="仿宋" w:hAnsi="仿宋" w:eastAsia="仿宋"/>
          <w:i/>
          <w:iCs/>
          <w:color w:val="auto"/>
          <w:sz w:val="24"/>
          <w:highlight w:val="none"/>
          <w:u w:val="single"/>
        </w:rPr>
        <w:t>采购文件中明确的所属行业</w:t>
      </w:r>
      <w:r>
        <w:rPr>
          <w:rFonts w:hint="eastAsia" w:ascii="仿宋" w:hAnsi="仿宋" w:eastAsia="仿宋" w:cs="仿宋"/>
          <w:i/>
          <w:iCs/>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i/>
          <w:iCs/>
          <w:color w:val="auto"/>
          <w:sz w:val="24"/>
          <w:highlight w:val="none"/>
          <w:u w:val="single"/>
        </w:rPr>
        <w:t>（ 企业名称）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vertAlign w:val="superscript"/>
          <w:lang w:val="en-US" w:eastAsia="zh-CN"/>
        </w:rPr>
        <w:t>1</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i/>
          <w:iCs/>
          <w:color w:val="auto"/>
          <w:sz w:val="24"/>
          <w:highlight w:val="none"/>
          <w:u w:val="single"/>
        </w:rPr>
        <w:t xml:space="preserve">（中型企业 、小型企业 、微型企业 ） </w:t>
      </w:r>
      <w:r>
        <w:rPr>
          <w:rFonts w:hint="eastAsia" w:ascii="仿宋" w:hAnsi="仿宋" w:eastAsia="仿宋" w:cs="仿宋"/>
          <w:color w:val="auto"/>
          <w:sz w:val="24"/>
          <w:highlight w:val="none"/>
        </w:rPr>
        <w:t xml:space="preserve">； </w:t>
      </w:r>
    </w:p>
    <w:p w14:paraId="79DD94CC">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i/>
          <w:iCs/>
          <w:color w:val="auto"/>
          <w:sz w:val="24"/>
          <w:highlight w:val="none"/>
          <w:u w:val="single"/>
        </w:rPr>
        <w:t>（ 标的名称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i/>
          <w:iCs/>
          <w:color w:val="auto"/>
          <w:sz w:val="24"/>
          <w:highlight w:val="none"/>
          <w:u w:val="single"/>
        </w:rPr>
        <w:t xml:space="preserve">（ </w:t>
      </w:r>
      <w:r>
        <w:rPr>
          <w:rFonts w:hint="eastAsia" w:ascii="仿宋" w:hAnsi="仿宋" w:eastAsia="仿宋"/>
          <w:i/>
          <w:iCs/>
          <w:color w:val="auto"/>
          <w:sz w:val="24"/>
          <w:highlight w:val="none"/>
          <w:u w:val="single"/>
        </w:rPr>
        <w:t>采购文件中明确的所属行业</w:t>
      </w:r>
      <w:r>
        <w:rPr>
          <w:rFonts w:hint="eastAsia" w:ascii="仿宋" w:hAnsi="仿宋" w:eastAsia="仿宋" w:cs="仿宋"/>
          <w:i/>
          <w:iCs/>
          <w:color w:val="auto"/>
          <w:sz w:val="24"/>
          <w:highlight w:val="none"/>
          <w:u w:val="single"/>
        </w:rPr>
        <w:t xml:space="preserve"> ）</w:t>
      </w:r>
      <w:r>
        <w:rPr>
          <w:rFonts w:hint="eastAsia" w:ascii="仿宋" w:hAnsi="仿宋" w:eastAsia="仿宋" w:cs="仿宋"/>
          <w:i/>
          <w:iCs/>
          <w:color w:val="auto"/>
          <w:sz w:val="24"/>
          <w:highlight w:val="none"/>
        </w:rPr>
        <w:t xml:space="preserve"> </w:t>
      </w:r>
      <w:r>
        <w:rPr>
          <w:rFonts w:hint="eastAsia" w:ascii="仿宋" w:hAnsi="仿宋" w:eastAsia="仿宋" w:cs="仿宋"/>
          <w:color w:val="auto"/>
          <w:sz w:val="24"/>
          <w:highlight w:val="none"/>
        </w:rPr>
        <w:t>； 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i/>
          <w:iCs/>
          <w:color w:val="auto"/>
          <w:sz w:val="24"/>
          <w:highlight w:val="none"/>
          <w:u w:val="single"/>
        </w:rPr>
        <w:t>（ 企业名称）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i/>
          <w:iCs/>
          <w:color w:val="auto"/>
          <w:sz w:val="24"/>
          <w:highlight w:val="none"/>
          <w:u w:val="single"/>
        </w:rPr>
        <w:t>（中型企业 、小型企业 、微型企业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9A9F88D">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97BCE04">
      <w:pPr>
        <w:spacing w:line="5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以上企业，不属于大企业的分支机构，不存在控股股东为大企业的情形，也不存在与大企业的负责人为同一人的情形。 </w:t>
      </w:r>
    </w:p>
    <w:p w14:paraId="49223E4F">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本企业对上述声明内容的真实性负责。如有虚假，将依法承担相应责任。 </w:t>
      </w:r>
    </w:p>
    <w:p w14:paraId="0B1A8638">
      <w:pPr>
        <w:tabs>
          <w:tab w:val="left" w:pos="2996"/>
        </w:tabs>
        <w:spacing w:line="600" w:lineRule="exact"/>
        <w:ind w:firstLine="480" w:firstLineChars="200"/>
        <w:rPr>
          <w:rFonts w:ascii="仿宋" w:hAnsi="仿宋" w:eastAsia="仿宋" w:cs="仿宋"/>
          <w:color w:val="auto"/>
          <w:sz w:val="24"/>
          <w:highlight w:val="none"/>
        </w:rPr>
      </w:pPr>
    </w:p>
    <w:p w14:paraId="2CF011CD">
      <w:pPr>
        <w:tabs>
          <w:tab w:val="left" w:pos="2996"/>
        </w:tabs>
        <w:spacing w:line="600" w:lineRule="exact"/>
        <w:ind w:firstLine="480" w:firstLineChars="200"/>
        <w:rPr>
          <w:rFonts w:ascii="仿宋" w:hAnsi="仿宋" w:eastAsia="仿宋" w:cs="仿宋"/>
          <w:color w:val="auto"/>
          <w:sz w:val="24"/>
          <w:highlight w:val="none"/>
        </w:rPr>
      </w:pPr>
    </w:p>
    <w:p w14:paraId="0524B773">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企业</w:t>
      </w:r>
      <w:r>
        <w:rPr>
          <w:rFonts w:hint="eastAsia" w:ascii="仿宋" w:hAnsi="仿宋" w:eastAsia="仿宋" w:cs="仿宋"/>
          <w:color w:val="auto"/>
          <w:sz w:val="24"/>
          <w:highlight w:val="none"/>
        </w:rPr>
        <w:t>名称（盖章）：</w:t>
      </w:r>
    </w:p>
    <w:p w14:paraId="1270AB7C">
      <w:pPr>
        <w:tabs>
          <w:tab w:val="left" w:pos="2996"/>
        </w:tabs>
        <w:spacing w:line="600" w:lineRule="exact"/>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p>
    <w:p w14:paraId="114BA34B">
      <w:pPr>
        <w:widowControl/>
        <w:jc w:val="left"/>
        <w:rPr>
          <w:rFonts w:ascii="Times New Roman" w:hAnsi="Times New Roman"/>
          <w:color w:val="auto"/>
          <w:kern w:val="0"/>
          <w:sz w:val="11"/>
          <w:szCs w:val="11"/>
          <w:highlight w:val="none"/>
        </w:rPr>
      </w:pPr>
    </w:p>
    <w:p w14:paraId="3E542A88">
      <w:pPr>
        <w:widowControl/>
        <w:jc w:val="left"/>
        <w:rPr>
          <w:rFonts w:ascii="Times New Roman" w:hAnsi="Times New Roman"/>
          <w:color w:val="auto"/>
          <w:kern w:val="0"/>
          <w:sz w:val="11"/>
          <w:szCs w:val="11"/>
          <w:highlight w:val="none"/>
        </w:rPr>
      </w:pPr>
    </w:p>
    <w:p w14:paraId="69207F02">
      <w:pPr>
        <w:widowControl/>
        <w:jc w:val="left"/>
        <w:rPr>
          <w:rFonts w:hint="default" w:ascii="Times New Roman" w:hAnsi="Times New Roman" w:eastAsia="宋体"/>
          <w:color w:val="auto"/>
          <w:kern w:val="0"/>
          <w:sz w:val="11"/>
          <w:szCs w:val="11"/>
          <w:highlight w:val="none"/>
          <w:u w:val="single"/>
          <w:lang w:val="en-US" w:eastAsia="zh-CN"/>
        </w:rPr>
      </w:pPr>
      <w:r>
        <w:rPr>
          <w:rFonts w:hint="eastAsia" w:ascii="Times New Roman" w:hAnsi="Times New Roman"/>
          <w:color w:val="auto"/>
          <w:kern w:val="0"/>
          <w:sz w:val="11"/>
          <w:szCs w:val="11"/>
          <w:highlight w:val="none"/>
          <w:u w:val="single"/>
          <w:lang w:val="en-US" w:eastAsia="zh-CN"/>
        </w:rPr>
        <w:t xml:space="preserve">                                                      </w:t>
      </w:r>
    </w:p>
    <w:p w14:paraId="4A3FC4EF">
      <w:pPr>
        <w:widowControl/>
        <w:jc w:val="left"/>
        <w:rPr>
          <w:color w:val="auto"/>
          <w:highlight w:val="none"/>
        </w:rPr>
      </w:pPr>
      <w:r>
        <w:rPr>
          <w:rFonts w:ascii="Times New Roman" w:hAnsi="Times New Roman"/>
          <w:color w:val="auto"/>
          <w:kern w:val="0"/>
          <w:sz w:val="11"/>
          <w:szCs w:val="11"/>
          <w:highlight w:val="none"/>
        </w:rPr>
        <w:t>1</w:t>
      </w:r>
      <w:r>
        <w:rPr>
          <w:rFonts w:hint="eastAsia" w:ascii="宋体" w:hAnsi="宋体" w:cs="宋体"/>
          <w:color w:val="auto"/>
          <w:kern w:val="0"/>
          <w:sz w:val="18"/>
          <w:szCs w:val="18"/>
          <w:highlight w:val="none"/>
        </w:rPr>
        <w:t>从业人员、营业收入、资产总额填报上一年度数据，无上一年度数据的新成立企业可不填报。</w:t>
      </w:r>
    </w:p>
    <w:p w14:paraId="7CECDEFA">
      <w:pPr>
        <w:spacing w:line="360" w:lineRule="auto"/>
        <w:outlineLvl w:val="1"/>
        <w:rPr>
          <w:rFonts w:ascii="仿宋" w:hAnsi="仿宋" w:eastAsia="仿宋" w:cs="仿宋"/>
          <w:b/>
          <w:bCs/>
          <w:color w:val="auto"/>
          <w:sz w:val="28"/>
          <w:szCs w:val="28"/>
          <w:highlight w:val="none"/>
        </w:rPr>
      </w:pPr>
      <w:r>
        <w:rPr>
          <w:rFonts w:hint="eastAsia" w:ascii="仿宋" w:hAnsi="仿宋" w:eastAsia="仿宋" w:cs="仿宋"/>
          <w:color w:val="auto"/>
          <w:sz w:val="24"/>
          <w:highlight w:val="none"/>
        </w:rPr>
        <w:t>本项目所属行业：其他未列明行业</w:t>
      </w:r>
    </w:p>
    <w:p w14:paraId="3B61874F">
      <w:pPr>
        <w:pStyle w:val="3"/>
        <w:rPr>
          <w:color w:val="auto"/>
          <w:highlight w:val="none"/>
        </w:rPr>
      </w:pPr>
    </w:p>
    <w:p w14:paraId="473CE0BC">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监狱企业声明函</w:t>
      </w:r>
    </w:p>
    <w:p w14:paraId="6FC5E703">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【非监狱企业的不用提供】</w:t>
      </w:r>
    </w:p>
    <w:p w14:paraId="1444CA40">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本企业郑重声明，根据《关于政府采购支持监狱企业发展有关问题的通知》(财库[2014]68号）的规定，本企业为监狱企业。</w:t>
      </w:r>
    </w:p>
    <w:p w14:paraId="0DA69837">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根据上述标准，我企业属于监狱企业的理由为:</w:t>
      </w:r>
    </w:p>
    <w:p w14:paraId="451FD4DE">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本企业为参加(项目名称:) (项目编号:)采购活动提供本企业的产品。</w:t>
      </w:r>
    </w:p>
    <w:p w14:paraId="00DC7894">
      <w:pPr>
        <w:spacing w:line="60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本企业对上述声明的真实性负责。如有虚假，将依法承担相应责任。</w:t>
      </w:r>
    </w:p>
    <w:p w14:paraId="3967EF50">
      <w:pPr>
        <w:spacing w:line="600" w:lineRule="exact"/>
        <w:rPr>
          <w:rFonts w:ascii="仿宋" w:hAnsi="仿宋" w:eastAsia="仿宋" w:cs="仿宋"/>
          <w:color w:val="auto"/>
          <w:sz w:val="24"/>
          <w:highlight w:val="none"/>
        </w:rPr>
      </w:pPr>
    </w:p>
    <w:p w14:paraId="18882B16">
      <w:pPr>
        <w:spacing w:line="600" w:lineRule="exact"/>
        <w:ind w:firstLine="360" w:firstLineChars="15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供应商名称(盖章) :</w:t>
      </w:r>
    </w:p>
    <w:p w14:paraId="4ADAC2A3">
      <w:pPr>
        <w:spacing w:line="600" w:lineRule="exact"/>
        <w:ind w:firstLine="360" w:firstLineChars="150"/>
        <w:jc w:val="righ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FE9E207">
      <w:pPr>
        <w:spacing w:line="600" w:lineRule="exact"/>
        <w:ind w:firstLine="360" w:firstLineChars="150"/>
        <w:jc w:val="right"/>
        <w:rPr>
          <w:rFonts w:ascii="仿宋" w:hAnsi="仿宋" w:eastAsia="仿宋" w:cs="仿宋"/>
          <w:color w:val="auto"/>
          <w:sz w:val="24"/>
          <w:highlight w:val="none"/>
        </w:rPr>
      </w:pPr>
    </w:p>
    <w:p w14:paraId="37242AB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5F1E1232">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2、监狱企业参加政府采购活动时，应当提供由省级以上监狱管理局、戒毒管理局(含新疆生产建设兵团)出具的属于监狱企业的证明文件；</w:t>
      </w:r>
    </w:p>
    <w:p w14:paraId="7AFF805D">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3AB4B5">
      <w:pPr>
        <w:spacing w:line="540" w:lineRule="exact"/>
        <w:rPr>
          <w:rFonts w:ascii="仿宋" w:hAnsi="仿宋" w:eastAsia="仿宋" w:cs="仿宋"/>
          <w:color w:val="auto"/>
          <w:sz w:val="24"/>
          <w:highlight w:val="none"/>
        </w:rPr>
      </w:pPr>
    </w:p>
    <w:p w14:paraId="74E16487">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2CBABFB">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628D4A9D">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【非残疾人福利性单位不用提供】</w:t>
      </w:r>
    </w:p>
    <w:p w14:paraId="5662ABD4">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302E6EF9">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本单位对上述声明的真实性负责，如有虚假，将依法承但相应责任。</w:t>
      </w:r>
    </w:p>
    <w:p w14:paraId="3CBBF629">
      <w:pPr>
        <w:spacing w:line="600" w:lineRule="exact"/>
        <w:ind w:firstLine="480" w:firstLineChars="200"/>
        <w:rPr>
          <w:rFonts w:ascii="仿宋" w:hAnsi="仿宋" w:eastAsia="仿宋" w:cs="仿宋"/>
          <w:color w:val="auto"/>
          <w:sz w:val="24"/>
          <w:highlight w:val="none"/>
        </w:rPr>
      </w:pPr>
    </w:p>
    <w:p w14:paraId="742CDF23">
      <w:pPr>
        <w:spacing w:line="600" w:lineRule="exact"/>
        <w:ind w:firstLine="480" w:firstLineChars="200"/>
        <w:rPr>
          <w:rFonts w:ascii="仿宋" w:hAnsi="仿宋" w:eastAsia="仿宋" w:cs="仿宋"/>
          <w:color w:val="auto"/>
          <w:sz w:val="24"/>
          <w:highlight w:val="none"/>
        </w:rPr>
      </w:pPr>
    </w:p>
    <w:p w14:paraId="12AECD1A">
      <w:pPr>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14:paraId="07B6D022">
      <w:pPr>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8C239CF">
      <w:pPr>
        <w:spacing w:line="360" w:lineRule="auto"/>
        <w:rPr>
          <w:rFonts w:ascii="仿宋" w:hAnsi="仿宋" w:eastAsia="仿宋" w:cs="仿宋"/>
          <w:b/>
          <w:color w:val="auto"/>
          <w:szCs w:val="28"/>
          <w:highlight w:val="none"/>
        </w:rPr>
      </w:pPr>
    </w:p>
    <w:p w14:paraId="46B93AFE">
      <w:pPr>
        <w:spacing w:line="360" w:lineRule="auto"/>
        <w:rPr>
          <w:rFonts w:ascii="仿宋" w:hAnsi="仿宋" w:eastAsia="仿宋" w:cs="仿宋"/>
          <w:b/>
          <w:color w:val="auto"/>
          <w:szCs w:val="28"/>
          <w:highlight w:val="none"/>
        </w:rPr>
      </w:pPr>
    </w:p>
    <w:p w14:paraId="231A9ABC">
      <w:pPr>
        <w:spacing w:line="360" w:lineRule="auto"/>
        <w:rPr>
          <w:rFonts w:ascii="仿宋" w:hAnsi="仿宋" w:eastAsia="仿宋" w:cs="仿宋"/>
          <w:b/>
          <w:color w:val="auto"/>
          <w:szCs w:val="28"/>
          <w:highlight w:val="none"/>
        </w:rPr>
      </w:pPr>
    </w:p>
    <w:p w14:paraId="32186D8C">
      <w:pPr>
        <w:spacing w:line="600" w:lineRule="exact"/>
        <w:rPr>
          <w:rFonts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 号）规定的条件并提供《残疾人福利性单位声明函》的残疾人福利性单位视同小型、微型企业。</w:t>
      </w:r>
    </w:p>
    <w:p w14:paraId="5F2BEC2F">
      <w:pPr>
        <w:rPr>
          <w:rFonts w:ascii="仿宋" w:hAnsi="仿宋" w:eastAsia="仿宋" w:cs="仿宋"/>
          <w:b/>
          <w:bCs/>
          <w:color w:val="auto"/>
          <w:sz w:val="28"/>
          <w:szCs w:val="28"/>
          <w:highlight w:val="none"/>
        </w:rPr>
      </w:pPr>
    </w:p>
    <w:p w14:paraId="6883587B">
      <w:pPr>
        <w:pStyle w:val="7"/>
        <w:spacing w:line="500" w:lineRule="exact"/>
        <w:jc w:val="center"/>
        <w:outlineLvl w:val="1"/>
        <w:rPr>
          <w:rFonts w:hint="eastAsia" w:ascii="仿宋" w:hAnsi="仿宋" w:eastAsia="仿宋" w:cs="仿宋"/>
          <w:b/>
          <w:bCs/>
          <w:color w:val="auto"/>
          <w:sz w:val="28"/>
          <w:szCs w:val="28"/>
          <w:highlight w:val="none"/>
        </w:rPr>
      </w:pPr>
    </w:p>
    <w:p w14:paraId="47FDA5C0">
      <w:pPr>
        <w:pStyle w:val="7"/>
        <w:spacing w:line="500" w:lineRule="exact"/>
        <w:jc w:val="center"/>
        <w:outlineLvl w:val="1"/>
        <w:rPr>
          <w:rFonts w:hint="eastAsia" w:ascii="仿宋" w:hAnsi="仿宋" w:eastAsia="仿宋" w:cs="仿宋"/>
          <w:b/>
          <w:bCs/>
          <w:color w:val="auto"/>
          <w:sz w:val="28"/>
          <w:szCs w:val="28"/>
          <w:highlight w:val="none"/>
        </w:rPr>
      </w:pPr>
    </w:p>
    <w:p w14:paraId="574C6740">
      <w:pPr>
        <w:pStyle w:val="7"/>
        <w:spacing w:line="500" w:lineRule="exact"/>
        <w:jc w:val="center"/>
        <w:outlineLvl w:val="1"/>
        <w:rPr>
          <w:rFonts w:hint="eastAsia" w:ascii="仿宋" w:hAnsi="仿宋" w:eastAsia="仿宋" w:cs="仿宋"/>
          <w:b/>
          <w:bCs/>
          <w:color w:val="auto"/>
          <w:sz w:val="28"/>
          <w:szCs w:val="28"/>
          <w:highlight w:val="none"/>
        </w:rPr>
      </w:pPr>
    </w:p>
    <w:p w14:paraId="49BF9825">
      <w:pPr>
        <w:pStyle w:val="7"/>
        <w:spacing w:line="500" w:lineRule="exact"/>
        <w:jc w:val="center"/>
        <w:outlineLvl w:val="1"/>
        <w:rPr>
          <w:rFonts w:hint="eastAsia" w:ascii="仿宋" w:hAnsi="仿宋" w:eastAsia="仿宋" w:cs="仿宋"/>
          <w:b/>
          <w:bCs/>
          <w:color w:val="auto"/>
          <w:sz w:val="28"/>
          <w:szCs w:val="28"/>
          <w:highlight w:val="none"/>
        </w:rPr>
      </w:pPr>
    </w:p>
    <w:p w14:paraId="44167719">
      <w:pPr>
        <w:pStyle w:val="7"/>
        <w:spacing w:line="500" w:lineRule="exact"/>
        <w:jc w:val="center"/>
        <w:outlineLvl w:val="1"/>
        <w:rPr>
          <w:rFonts w:hint="eastAsia" w:ascii="仿宋" w:hAnsi="仿宋" w:eastAsia="仿宋" w:cs="仿宋"/>
          <w:b/>
          <w:bCs/>
          <w:color w:val="auto"/>
          <w:sz w:val="28"/>
          <w:szCs w:val="28"/>
          <w:highlight w:val="none"/>
        </w:rPr>
      </w:pPr>
    </w:p>
    <w:p w14:paraId="1FB27EBF">
      <w:pPr>
        <w:pStyle w:val="7"/>
        <w:spacing w:line="500" w:lineRule="exact"/>
        <w:jc w:val="center"/>
        <w:outlineLvl w:val="1"/>
        <w:rPr>
          <w:rFonts w:hint="eastAsia" w:ascii="仿宋" w:hAnsi="仿宋" w:eastAsia="仿宋" w:cs="仿宋"/>
          <w:b/>
          <w:bCs/>
          <w:color w:val="auto"/>
          <w:sz w:val="28"/>
          <w:szCs w:val="28"/>
          <w:highlight w:val="none"/>
        </w:rPr>
      </w:pPr>
    </w:p>
    <w:p w14:paraId="1D5C1487">
      <w:pPr>
        <w:pStyle w:val="7"/>
        <w:spacing w:line="500" w:lineRule="exact"/>
        <w:jc w:val="center"/>
        <w:outlineLvl w:val="1"/>
        <w:rPr>
          <w:rFonts w:hint="eastAsia" w:ascii="仿宋" w:hAnsi="仿宋" w:eastAsia="仿宋" w:cs="仿宋"/>
          <w:b/>
          <w:bCs/>
          <w:color w:val="auto"/>
          <w:sz w:val="28"/>
          <w:szCs w:val="28"/>
          <w:highlight w:val="none"/>
        </w:rPr>
      </w:pPr>
    </w:p>
    <w:p w14:paraId="0E0000EF">
      <w:pPr>
        <w:pStyle w:val="7"/>
        <w:spacing w:line="500" w:lineRule="exact"/>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磋商代理服务费承诺函</w:t>
      </w:r>
    </w:p>
    <w:p w14:paraId="17F8F2FC">
      <w:pPr>
        <w:pStyle w:val="7"/>
        <w:spacing w:line="500" w:lineRule="exact"/>
        <w:jc w:val="center"/>
        <w:rPr>
          <w:rFonts w:ascii="仿宋" w:hAnsi="仿宋" w:eastAsia="仿宋" w:cs="仿宋"/>
          <w:b/>
          <w:color w:val="auto"/>
          <w:sz w:val="28"/>
          <w:szCs w:val="28"/>
          <w:highlight w:val="none"/>
        </w:rPr>
      </w:pPr>
    </w:p>
    <w:p w14:paraId="342FD577">
      <w:pPr>
        <w:pStyle w:val="7"/>
        <w:spacing w:line="72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浙江新诚信工程咨询有限公司 ：</w:t>
      </w:r>
    </w:p>
    <w:p w14:paraId="40CF0506">
      <w:pPr>
        <w:pStyle w:val="7"/>
        <w:spacing w:line="7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根据磋商文件的规定，一旦我公司成交，我公司同意按磋商文件要求向贵公司交纳成交项目的磋商代理服务费，在收到成交通知书后的当天一次性结清。</w:t>
      </w:r>
    </w:p>
    <w:p w14:paraId="23E87AD1">
      <w:pPr>
        <w:pStyle w:val="7"/>
        <w:spacing w:line="7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本承诺函自开标之日起至本次采购期满有效。</w:t>
      </w:r>
    </w:p>
    <w:p w14:paraId="377A2B69">
      <w:pPr>
        <w:pStyle w:val="7"/>
        <w:spacing w:line="720" w:lineRule="exact"/>
        <w:jc w:val="left"/>
        <w:rPr>
          <w:rFonts w:ascii="仿宋" w:hAnsi="仿宋" w:eastAsia="仿宋" w:cs="仿宋"/>
          <w:color w:val="auto"/>
          <w:sz w:val="24"/>
          <w:highlight w:val="none"/>
        </w:rPr>
      </w:pPr>
    </w:p>
    <w:p w14:paraId="1D1319F9">
      <w:pPr>
        <w:pStyle w:val="7"/>
        <w:spacing w:line="720" w:lineRule="exact"/>
        <w:jc w:val="left"/>
        <w:rPr>
          <w:rFonts w:ascii="仿宋" w:hAnsi="仿宋" w:eastAsia="仿宋" w:cs="仿宋"/>
          <w:color w:val="auto"/>
          <w:sz w:val="24"/>
          <w:highlight w:val="none"/>
        </w:rPr>
      </w:pPr>
    </w:p>
    <w:p w14:paraId="09237765">
      <w:pPr>
        <w:pStyle w:val="7"/>
        <w:spacing w:line="72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w:t>
      </w:r>
    </w:p>
    <w:p w14:paraId="50FB52B1">
      <w:pPr>
        <w:pStyle w:val="7"/>
        <w:spacing w:line="72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7DBBA298">
      <w:pPr>
        <w:pStyle w:val="7"/>
        <w:spacing w:line="72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日期：2025年  月  日</w:t>
      </w:r>
    </w:p>
    <w:p w14:paraId="333B5F8B">
      <w:pPr>
        <w:pBdr>
          <w:bottom w:val="single" w:color="auto" w:sz="6" w:space="1"/>
        </w:pBdr>
        <w:spacing w:line="540" w:lineRule="exact"/>
        <w:rPr>
          <w:rFonts w:ascii="仿宋" w:hAnsi="仿宋" w:eastAsia="仿宋" w:cs="仿宋"/>
          <w:color w:val="auto"/>
          <w:sz w:val="24"/>
          <w:highlight w:val="none"/>
        </w:rPr>
      </w:pPr>
    </w:p>
    <w:p w14:paraId="757BBA95">
      <w:pPr>
        <w:spacing w:line="540" w:lineRule="exact"/>
        <w:rPr>
          <w:rFonts w:ascii="仿宋" w:hAnsi="仿宋" w:eastAsia="仿宋" w:cs="仿宋"/>
          <w:color w:val="auto"/>
          <w:sz w:val="24"/>
          <w:highlight w:val="none"/>
        </w:rPr>
      </w:pPr>
    </w:p>
    <w:p w14:paraId="0D6E3A76">
      <w:pPr>
        <w:autoSpaceDE w:val="0"/>
        <w:autoSpaceDN w:val="0"/>
        <w:adjustRightInd w:val="0"/>
        <w:spacing w:line="460" w:lineRule="atLeast"/>
        <w:ind w:firstLine="360"/>
        <w:jc w:val="left"/>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lang w:val="zh-CN"/>
        </w:rPr>
        <w:t>代理费汇款账号：</w:t>
      </w:r>
    </w:p>
    <w:p w14:paraId="433F5EDE">
      <w:pPr>
        <w:autoSpaceDE w:val="0"/>
        <w:autoSpaceDN w:val="0"/>
        <w:adjustRightInd w:val="0"/>
        <w:spacing w:line="460" w:lineRule="atLeast"/>
        <w:ind w:firstLine="360"/>
        <w:jc w:val="left"/>
        <w:rPr>
          <w:rFonts w:ascii="仿宋" w:hAnsi="仿宋" w:eastAsia="仿宋" w:cs="仿宋"/>
          <w:b/>
          <w:bCs/>
          <w:color w:val="auto"/>
          <w:kern w:val="0"/>
          <w:sz w:val="24"/>
          <w:highlight w:val="none"/>
          <w:u w:val="single"/>
        </w:rPr>
      </w:pPr>
    </w:p>
    <w:p w14:paraId="4A0D05A6">
      <w:pPr>
        <w:widowControl/>
        <w:spacing w:line="360" w:lineRule="auto"/>
        <w:ind w:left="750" w:leftChars="300" w:hanging="120" w:hangingChars="50"/>
        <w:rPr>
          <w:rFonts w:ascii="仿宋" w:hAnsi="仿宋" w:eastAsia="仿宋" w:cs="仿宋"/>
          <w:color w:val="auto"/>
          <w:sz w:val="24"/>
          <w:highlight w:val="none"/>
        </w:rPr>
      </w:pPr>
      <w:r>
        <w:rPr>
          <w:rFonts w:hint="eastAsia" w:ascii="仿宋" w:hAnsi="仿宋" w:eastAsia="仿宋" w:cs="仿宋"/>
          <w:color w:val="auto"/>
          <w:sz w:val="24"/>
          <w:highlight w:val="none"/>
        </w:rPr>
        <w:t>账户名称：浙江新诚信工程咨询有限公司湖州分公司</w:t>
      </w:r>
    </w:p>
    <w:p w14:paraId="07523411">
      <w:pPr>
        <w:widowControl/>
        <w:spacing w:line="360" w:lineRule="auto"/>
        <w:ind w:left="750" w:leftChars="300" w:hanging="120" w:hangingChars="50"/>
        <w:rPr>
          <w:rFonts w:ascii="仿宋" w:hAnsi="仿宋" w:eastAsia="仿宋" w:cs="仿宋"/>
          <w:color w:val="auto"/>
          <w:sz w:val="24"/>
          <w:highlight w:val="none"/>
        </w:rPr>
      </w:pPr>
      <w:r>
        <w:rPr>
          <w:rFonts w:hint="eastAsia" w:ascii="仿宋" w:hAnsi="仿宋" w:eastAsia="仿宋" w:cs="仿宋"/>
          <w:color w:val="auto"/>
          <w:sz w:val="24"/>
          <w:highlight w:val="none"/>
        </w:rPr>
        <w:t>开户银行：湖州银行股份有限公司南园支行           </w:t>
      </w:r>
    </w:p>
    <w:p w14:paraId="439873BB">
      <w:pPr>
        <w:widowControl/>
        <w:spacing w:line="360" w:lineRule="auto"/>
        <w:ind w:left="750" w:leftChars="300" w:hanging="120" w:hangingChars="50"/>
        <w:rPr>
          <w:rFonts w:ascii="仿宋" w:hAnsi="仿宋" w:eastAsia="仿宋" w:cs="仿宋"/>
          <w:color w:val="auto"/>
          <w:sz w:val="24"/>
          <w:highlight w:val="none"/>
        </w:rPr>
      </w:pPr>
      <w:r>
        <w:rPr>
          <w:rFonts w:hint="eastAsia" w:ascii="仿宋" w:hAnsi="仿宋" w:eastAsia="仿宋" w:cs="仿宋"/>
          <w:color w:val="auto"/>
          <w:sz w:val="24"/>
          <w:highlight w:val="none"/>
        </w:rPr>
        <w:t>银行账号：800028090000155</w:t>
      </w:r>
    </w:p>
    <w:p w14:paraId="2D1A7EDF">
      <w:pPr>
        <w:widowControl/>
        <w:spacing w:line="360" w:lineRule="auto"/>
        <w:ind w:left="750" w:leftChars="300" w:hanging="120" w:hangingChars="50"/>
        <w:rPr>
          <w:rFonts w:ascii="仿宋" w:hAnsi="仿宋" w:eastAsia="仿宋" w:cs="仿宋"/>
          <w:color w:val="auto"/>
          <w:sz w:val="24"/>
          <w:highlight w:val="none"/>
        </w:rPr>
      </w:pPr>
      <w:r>
        <w:rPr>
          <w:rFonts w:hint="eastAsia" w:ascii="仿宋" w:hAnsi="仿宋" w:eastAsia="仿宋" w:cs="仿宋"/>
          <w:color w:val="auto"/>
          <w:sz w:val="24"/>
          <w:highlight w:val="none"/>
        </w:rPr>
        <w:t>“用途”一栏注明项目编号XCXHZ-2025-0</w:t>
      </w:r>
      <w:r>
        <w:rPr>
          <w:rFonts w:hint="eastAsia" w:ascii="仿宋" w:hAnsi="仿宋" w:eastAsia="仿宋" w:cs="仿宋"/>
          <w:color w:val="auto"/>
          <w:sz w:val="24"/>
          <w:highlight w:val="none"/>
          <w:lang w:val="en-US" w:eastAsia="zh-CN"/>
        </w:rPr>
        <w:t>37</w:t>
      </w:r>
      <w:r>
        <w:rPr>
          <w:rFonts w:hint="eastAsia" w:ascii="仿宋" w:hAnsi="仿宋" w:eastAsia="仿宋" w:cs="仿宋"/>
          <w:color w:val="auto"/>
          <w:sz w:val="24"/>
          <w:highlight w:val="none"/>
        </w:rPr>
        <w:t>(CG)</w:t>
      </w:r>
    </w:p>
    <w:p w14:paraId="73A05514">
      <w:pPr>
        <w:snapToGrid w:val="0"/>
        <w:spacing w:beforeLines="50" w:after="50"/>
        <w:jc w:val="center"/>
        <w:rPr>
          <w:rFonts w:ascii="仿宋" w:hAnsi="仿宋" w:eastAsia="仿宋" w:cs="仿宋"/>
          <w:b/>
          <w:color w:val="auto"/>
          <w:sz w:val="28"/>
          <w:szCs w:val="28"/>
          <w:highlight w:val="none"/>
          <w:lang w:val="zh-CN"/>
        </w:rPr>
      </w:pPr>
    </w:p>
    <w:p w14:paraId="047ED079">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649025C">
      <w:pPr>
        <w:pStyle w:val="2"/>
        <w:spacing w:line="460" w:lineRule="exact"/>
        <w:jc w:val="center"/>
        <w:rPr>
          <w:rFonts w:ascii="仿宋" w:hAnsi="仿宋" w:eastAsia="仿宋" w:cs="仿宋"/>
          <w:color w:val="auto"/>
          <w:sz w:val="36"/>
          <w:szCs w:val="36"/>
          <w:highlight w:val="none"/>
        </w:rPr>
      </w:pPr>
      <w:r>
        <w:rPr>
          <w:rFonts w:hint="eastAsia" w:ascii="仿宋" w:hAnsi="仿宋" w:eastAsia="仿宋" w:cs="仿宋"/>
          <w:color w:val="auto"/>
          <w:kern w:val="2"/>
          <w:sz w:val="36"/>
          <w:szCs w:val="36"/>
          <w:highlight w:val="none"/>
        </w:rPr>
        <w:t>第六章 磋商办法及评分标准</w:t>
      </w:r>
    </w:p>
    <w:p w14:paraId="7A5F49F4">
      <w:pPr>
        <w:spacing w:line="550" w:lineRule="exact"/>
        <w:ind w:firstLine="420"/>
        <w:rPr>
          <w:rFonts w:ascii="仿宋" w:hAnsi="仿宋" w:eastAsia="仿宋" w:cs="仿宋"/>
          <w:bCs/>
          <w:color w:val="auto"/>
          <w:sz w:val="24"/>
          <w:highlight w:val="none"/>
        </w:rPr>
      </w:pPr>
      <w:r>
        <w:rPr>
          <w:rFonts w:hint="eastAsia" w:ascii="仿宋" w:hAnsi="仿宋" w:eastAsia="仿宋" w:cs="仿宋"/>
          <w:bCs/>
          <w:color w:val="auto"/>
          <w:sz w:val="24"/>
          <w:highlight w:val="none"/>
        </w:rPr>
        <w:t>为公正、公平、科学地选择成交供应商，根据《中华人民共和国政府采购法》、《政府采购竞争性磋商采购方式管理暂行办法》等有关法律法规的规定，并结合本项目的实际，制定本办法。</w:t>
      </w:r>
    </w:p>
    <w:p w14:paraId="4D473D84">
      <w:pPr>
        <w:spacing w:line="550" w:lineRule="exact"/>
        <w:ind w:firstLine="472" w:firstLineChars="196"/>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14:paraId="07B120B7">
      <w:pPr>
        <w:spacing w:line="550" w:lineRule="exact"/>
        <w:ind w:left="472"/>
        <w:rPr>
          <w:rFonts w:ascii="仿宋" w:hAnsi="仿宋" w:eastAsia="仿宋" w:cs="仿宋"/>
          <w:color w:val="auto"/>
          <w:sz w:val="24"/>
          <w:highlight w:val="none"/>
        </w:rPr>
      </w:pPr>
      <w:r>
        <w:rPr>
          <w:rFonts w:hint="eastAsia" w:ascii="仿宋" w:hAnsi="仿宋" w:eastAsia="仿宋" w:cs="仿宋"/>
          <w:color w:val="auto"/>
          <w:sz w:val="24"/>
          <w:highlight w:val="none"/>
        </w:rPr>
        <w:t>（一）磋商小组遵循公开、公平、公正、科学合理、竞争择优的原则；</w:t>
      </w:r>
    </w:p>
    <w:p w14:paraId="4F9A8CC4">
      <w:pPr>
        <w:spacing w:line="55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（二）磋商由磋商小组负责，磋商小组由采购人依据有关规定组建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人组成，其中技术、经济专家于磋商前在监管人员的监督下从专家库中随机抽取。有关人员对磋商小组成员名单必须严格保密，与磋商有利害关系的人员不得参加磋商会；</w:t>
      </w:r>
    </w:p>
    <w:p w14:paraId="4F4AF0A1">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（三）磋商小组成员及参加磋商的其他相关人员应严格遵守国家有关保密的法律、法规和规定，并接受有关部门的监督；</w:t>
      </w:r>
    </w:p>
    <w:p w14:paraId="417D0A65">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（四）磋商小组应按磋商文件规定的程序进行磋商；</w:t>
      </w:r>
    </w:p>
    <w:p w14:paraId="768CA07C">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（五）通讯工具管理：在磋商期间，磋商小组每个成员的手机都必须关机；</w:t>
      </w:r>
    </w:p>
    <w:p w14:paraId="0EAC9E39">
      <w:pPr>
        <w:spacing w:line="55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4D1BAE0A">
      <w:pPr>
        <w:spacing w:line="550" w:lineRule="exact"/>
        <w:ind w:firstLine="360" w:firstLineChars="150"/>
        <w:rPr>
          <w:rFonts w:hint="eastAsia" w:ascii="仿宋" w:hAnsi="仿宋" w:eastAsia="仿宋" w:cs="宋体"/>
          <w:bCs/>
          <w:color w:val="auto"/>
          <w:sz w:val="24"/>
          <w:highlight w:val="none"/>
        </w:rPr>
      </w:pPr>
      <w:r>
        <w:rPr>
          <w:rFonts w:hint="eastAsia" w:ascii="仿宋" w:hAnsi="仿宋" w:eastAsia="仿宋" w:cs="仿宋"/>
          <w:bCs/>
          <w:color w:val="auto"/>
          <w:sz w:val="24"/>
          <w:highlight w:val="none"/>
        </w:rPr>
        <w:t>（七）</w:t>
      </w:r>
      <w:r>
        <w:rPr>
          <w:rFonts w:hint="eastAsia" w:ascii="仿宋" w:hAnsi="仿宋" w:eastAsia="仿宋" w:cs="宋体"/>
          <w:bCs/>
          <w:color w:val="auto"/>
          <w:sz w:val="24"/>
          <w:highlight w:val="none"/>
        </w:rPr>
        <w:t>本次磋商采用综合评分法，总分为100分，其中价格分</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0分；技术、商务、资信及其他</w:t>
      </w:r>
      <w:r>
        <w:rPr>
          <w:rFonts w:hint="eastAsia" w:ascii="仿宋" w:hAnsi="仿宋" w:eastAsia="仿宋" w:cs="宋体"/>
          <w:bCs/>
          <w:color w:val="auto"/>
          <w:sz w:val="24"/>
          <w:highlight w:val="none"/>
          <w:lang w:val="en-US" w:eastAsia="zh-CN"/>
        </w:rPr>
        <w:t>9</w:t>
      </w:r>
      <w:r>
        <w:rPr>
          <w:rFonts w:hint="eastAsia" w:ascii="仿宋" w:hAnsi="仿宋" w:eastAsia="仿宋" w:cs="宋体"/>
          <w:bCs/>
          <w:color w:val="auto"/>
          <w:sz w:val="24"/>
          <w:highlight w:val="none"/>
        </w:rPr>
        <w:t>0分。合格供应商的评标得分为各项目汇总得分，成交候选资格按评标得分由高到低顺序排列，得分相同的，按磋商报价由低到高顺序排列；得分且磋商报价相同的，按技术得分由高到低顺序排列。技术部分得分仍相同的，由采购人采用随机抽取的方式决定。排名第一的供应商为第一成交候选人,其他供应商成交候选资格依此类推。第一成交候选人放弃成交或者因不可抗力提出不能履行合同，采购人可以确定第二成交候选人为成交人，排名第二的成交候选人因前款同样的原因不能签订合同，采购人可以确定排名第三的成交候选人为成交人，采购人也可选择重新采购。评分过程中采用四舍五入法，并保留小数2位。</w:t>
      </w:r>
    </w:p>
    <w:p w14:paraId="5F7887D8">
      <w:pPr>
        <w:tabs>
          <w:tab w:val="left" w:pos="3870"/>
          <w:tab w:val="left" w:pos="4085"/>
        </w:tabs>
        <w:snapToGrid w:val="0"/>
        <w:spacing w:line="55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二、计算方法：（按评分标准）</w:t>
      </w:r>
    </w:p>
    <w:p w14:paraId="467CE735">
      <w:pPr>
        <w:spacing w:line="360" w:lineRule="auto"/>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10分</w:t>
      </w:r>
    </w:p>
    <w:p w14:paraId="1C4AFCF7">
      <w:pPr>
        <w:spacing w:line="360" w:lineRule="auto"/>
        <w:ind w:firstLine="42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1、价格分采用低价优先法计算、即满足</w:t>
      </w:r>
      <w:r>
        <w:rPr>
          <w:rFonts w:hint="eastAsia" w:ascii="仿宋" w:hAnsi="仿宋" w:eastAsia="仿宋" w:cs="仿宋"/>
          <w:color w:val="auto"/>
          <w:sz w:val="24"/>
          <w:szCs w:val="24"/>
          <w:highlight w:val="none"/>
          <w:lang w:val="en-US" w:eastAsia="zh-CN"/>
        </w:rPr>
        <w:t>磋商文件</w:t>
      </w:r>
      <w:r>
        <w:rPr>
          <w:rFonts w:hint="eastAsia" w:ascii="仿宋" w:hAnsi="仿宋" w:eastAsia="仿宋" w:cs="仿宋"/>
          <w:color w:val="auto"/>
          <w:sz w:val="24"/>
          <w:szCs w:val="24"/>
          <w:highlight w:val="none"/>
        </w:rPr>
        <w:t>要求且最后报价最低的供应商的价格为磋商基准价，其价格分为满分、其他供</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商的价格分统一按照下列公式计算</w:t>
      </w:r>
      <w:r>
        <w:rPr>
          <w:rFonts w:hint="eastAsia" w:ascii="仿宋" w:hAnsi="仿宋" w:eastAsia="仿宋" w:cs="仿宋"/>
          <w:color w:val="auto"/>
          <w:sz w:val="24"/>
          <w:szCs w:val="24"/>
          <w:highlight w:val="none"/>
          <w:lang w:eastAsia="zh-CN"/>
        </w:rPr>
        <w:t>：</w:t>
      </w:r>
    </w:p>
    <w:p w14:paraId="1893FA7F">
      <w:pPr>
        <w:spacing w:line="360" w:lineRule="auto"/>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基准价/磋商报价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p w14:paraId="4E90BFB1">
      <w:pPr>
        <w:spacing w:line="550" w:lineRule="exact"/>
        <w:ind w:firstLine="480" w:firstLineChars="200"/>
        <w:jc w:val="left"/>
        <w:rPr>
          <w:rFonts w:ascii="仿宋" w:hAnsi="仿宋" w:eastAsia="仿宋" w:cs="宋体"/>
          <w:bCs/>
          <w:color w:val="auto"/>
          <w:sz w:val="24"/>
          <w:highlight w:val="none"/>
        </w:rPr>
      </w:pPr>
      <w:r>
        <w:rPr>
          <w:rFonts w:ascii="仿宋" w:hAnsi="仿宋" w:eastAsia="仿宋" w:cs="宋体"/>
          <w:bCs/>
          <w:color w:val="auto"/>
          <w:sz w:val="24"/>
          <w:highlight w:val="none"/>
        </w:rPr>
        <w:t>落实政府采购政策：</w:t>
      </w:r>
    </w:p>
    <w:p w14:paraId="7572BDD9">
      <w:pPr>
        <w:spacing w:line="550" w:lineRule="exact"/>
        <w:ind w:firstLine="480" w:firstLineChars="20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根据财政部《关于进一步加大政府采购支持中小企业力度的通知》（财库〔2022〕19号），对符合规定的小微企业投标报价给予10%的扣除，并用扣除后的价格计算价格评分。</w:t>
      </w:r>
    </w:p>
    <w:p w14:paraId="18B85292">
      <w:pPr>
        <w:spacing w:line="550" w:lineRule="exact"/>
        <w:ind w:firstLine="480" w:firstLineChars="200"/>
        <w:jc w:val="left"/>
        <w:rPr>
          <w:rFonts w:ascii="仿宋" w:hAnsi="仿宋" w:eastAsia="仿宋" w:cs="宋体"/>
          <w:bCs/>
          <w:color w:val="auto"/>
          <w:sz w:val="24"/>
          <w:highlight w:val="none"/>
        </w:rPr>
      </w:pPr>
      <w:r>
        <w:rPr>
          <w:rFonts w:ascii="仿宋" w:hAnsi="仿宋" w:eastAsia="仿宋" w:cs="宋体"/>
          <w:bCs/>
          <w:color w:val="auto"/>
          <w:sz w:val="24"/>
          <w:highlight w:val="none"/>
        </w:rPr>
        <w:t>符合以下所有要求的供应商被认定为小型、微型企业</w:t>
      </w:r>
      <w:r>
        <w:rPr>
          <w:rFonts w:hint="eastAsia" w:ascii="仿宋" w:hAnsi="仿宋" w:eastAsia="仿宋" w:cs="宋体"/>
          <w:bCs/>
          <w:color w:val="auto"/>
          <w:sz w:val="24"/>
          <w:highlight w:val="none"/>
        </w:rPr>
        <w:t>：</w:t>
      </w:r>
    </w:p>
    <w:p w14:paraId="34889A33">
      <w:pPr>
        <w:spacing w:line="550" w:lineRule="exact"/>
        <w:ind w:firstLine="480" w:firstLineChars="200"/>
        <w:jc w:val="left"/>
        <w:rPr>
          <w:rFonts w:ascii="仿宋" w:hAnsi="仿宋" w:eastAsia="仿宋" w:cs="宋体"/>
          <w:bCs/>
          <w:color w:val="auto"/>
          <w:sz w:val="24"/>
          <w:highlight w:val="none"/>
        </w:rPr>
      </w:pPr>
      <w:r>
        <w:rPr>
          <w:rFonts w:ascii="仿宋" w:hAnsi="仿宋" w:eastAsia="仿宋" w:cs="宋体"/>
          <w:bCs/>
          <w:color w:val="auto"/>
          <w:sz w:val="24"/>
          <w:highlight w:val="none"/>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8F913CE">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监狱企业参加投标【提供《监狱企业声明函》及其相关的证明材料】，视为小型、微型企业，享受小微企业政策扶持，监狱企业属于小型、微型企业的，不重复享受政策。</w:t>
      </w:r>
    </w:p>
    <w:p w14:paraId="45A9442C">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3）</w:t>
      </w:r>
      <w:r>
        <w:rPr>
          <w:rFonts w:ascii="仿宋" w:hAnsi="仿宋" w:eastAsia="仿宋" w:cs="宋体"/>
          <w:bCs/>
          <w:color w:val="auto"/>
          <w:sz w:val="24"/>
          <w:highlight w:val="none"/>
        </w:rPr>
        <w:t>残疾人福利性单位参加投标【提供《残疾人福利性单位声明函》】，视为小型、微型企业，享受小微企业政策扶持，残疾人福利性单位属于小型、微型企业的，不重复享受政策。</w:t>
      </w:r>
    </w:p>
    <w:p w14:paraId="3C7CD4E8">
      <w:pPr>
        <w:spacing w:line="550" w:lineRule="exact"/>
        <w:ind w:firstLine="480" w:firstLineChars="200"/>
        <w:jc w:val="left"/>
        <w:rPr>
          <w:rFonts w:hint="eastAsia"/>
          <w:color w:val="auto"/>
          <w:highlight w:val="none"/>
        </w:rPr>
      </w:pPr>
      <w:r>
        <w:rPr>
          <w:rFonts w:ascii="仿宋" w:hAnsi="仿宋" w:eastAsia="仿宋" w:cs="宋体"/>
          <w:bCs/>
          <w:color w:val="auto"/>
          <w:sz w:val="24"/>
          <w:highlight w:val="none"/>
        </w:rPr>
        <w:t>供应商按照规定提供声明函内容不实的，属于提供虚假材料谋取中标（成交），依照《中华人民共和国政府采购法》等国家有关规定追究相应责任。</w:t>
      </w:r>
    </w:p>
    <w:p w14:paraId="377B8376">
      <w:pPr>
        <w:pStyle w:val="18"/>
        <w:rPr>
          <w:rFonts w:hint="eastAsia"/>
          <w:color w:val="auto"/>
          <w:highlight w:val="none"/>
        </w:rPr>
      </w:pPr>
    </w:p>
    <w:p w14:paraId="13AB5B17">
      <w:pPr>
        <w:spacing w:line="360" w:lineRule="auto"/>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技术分、商务资信及其他分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w:t>
      </w:r>
    </w:p>
    <w:p w14:paraId="5BA2E41C">
      <w:pPr>
        <w:spacing w:line="360" w:lineRule="auto"/>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sz w:val="24"/>
          <w:szCs w:val="24"/>
          <w:highlight w:val="none"/>
        </w:rPr>
        <w:t>设技术分</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rPr>
        <w:t>分、商务资信及其他分</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分</w:t>
      </w:r>
    </w:p>
    <w:p w14:paraId="6AB9F9A8">
      <w:pPr>
        <w:spacing w:line="360" w:lineRule="auto"/>
        <w:ind w:firstLine="42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2、技术分、商务资信及其他分的计算</w:t>
      </w:r>
      <w:r>
        <w:rPr>
          <w:rFonts w:hint="eastAsia" w:ascii="仿宋" w:hAnsi="仿宋" w:eastAsia="仿宋" w:cs="仿宋"/>
          <w:color w:val="auto"/>
          <w:sz w:val="24"/>
          <w:szCs w:val="24"/>
          <w:highlight w:val="none"/>
          <w:lang w:eastAsia="zh-CN"/>
        </w:rPr>
        <w:t>：</w:t>
      </w:r>
    </w:p>
    <w:p w14:paraId="55CCD91E">
      <w:pPr>
        <w:spacing w:line="360" w:lineRule="auto"/>
        <w:ind w:firstLine="42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技术分、商务资信及其他分按照磋商小组成员的独立评分结果汇总数的算术平均分计算，计算公式为</w:t>
      </w:r>
      <w:r>
        <w:rPr>
          <w:rFonts w:hint="eastAsia" w:ascii="仿宋" w:hAnsi="仿宋" w:eastAsia="仿宋" w:cs="仿宋"/>
          <w:color w:val="auto"/>
          <w:sz w:val="24"/>
          <w:szCs w:val="24"/>
          <w:highlight w:val="none"/>
          <w:lang w:eastAsia="zh-CN"/>
        </w:rPr>
        <w:t>：</w:t>
      </w:r>
    </w:p>
    <w:p w14:paraId="16C8229E">
      <w:pPr>
        <w:spacing w:line="360" w:lineRule="auto"/>
        <w:ind w:firstLine="42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技术分、商务资信及其他分=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磋商小组所有成员评分合计数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磋商小组人员数</w:t>
      </w:r>
      <w:r>
        <w:rPr>
          <w:rFonts w:hint="eastAsia" w:ascii="仿宋" w:hAnsi="仿宋" w:eastAsia="仿宋" w:cs="仿宋"/>
          <w:color w:val="auto"/>
          <w:sz w:val="24"/>
          <w:szCs w:val="24"/>
          <w:highlight w:val="none"/>
          <w:lang w:val="en-US" w:eastAsia="zh-CN"/>
        </w:rPr>
        <w:t>）</w:t>
      </w:r>
    </w:p>
    <w:p w14:paraId="47D7660D">
      <w:pPr>
        <w:spacing w:line="55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磋商小组在评审时发现供应商</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明显高于</w:t>
      </w:r>
      <w:r>
        <w:rPr>
          <w:rFonts w:hint="eastAsia" w:ascii="仿宋" w:hAnsi="仿宋" w:eastAsia="仿宋" w:cs="仿宋"/>
          <w:color w:val="auto"/>
          <w:sz w:val="24"/>
          <w:szCs w:val="24"/>
          <w:highlight w:val="none"/>
        </w:rPr>
        <w:t>其市场报价或低于成本价的，应当要求供应商书面说明并提供相关证明材料。供应商不能当场合理说明原因并提供证明材料的，磋商小组应将该供应商的磋商文件作无效处理，并在评审报告中说明</w:t>
      </w:r>
      <w:r>
        <w:rPr>
          <w:rFonts w:hint="eastAsia" w:ascii="仿宋" w:hAnsi="仿宋" w:eastAsia="仿宋" w:cs="仿宋"/>
          <w:color w:val="auto"/>
          <w:sz w:val="24"/>
          <w:szCs w:val="24"/>
          <w:highlight w:val="none"/>
          <w:lang w:eastAsia="zh-CN"/>
        </w:rPr>
        <w:t>。</w:t>
      </w:r>
    </w:p>
    <w:tbl>
      <w:tblPr>
        <w:tblStyle w:val="26"/>
        <w:tblW w:w="97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8"/>
        <w:gridCol w:w="1184"/>
        <w:gridCol w:w="6938"/>
        <w:gridCol w:w="787"/>
      </w:tblGrid>
      <w:tr w14:paraId="201AD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14:paraId="5BF4719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序号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7CE704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评审</w:t>
            </w:r>
          </w:p>
          <w:p w14:paraId="1C18E78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内容</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48B7C2E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评分标准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046065D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分值</w:t>
            </w:r>
          </w:p>
        </w:tc>
      </w:tr>
      <w:tr w14:paraId="10DD4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10" w:type="dxa"/>
            <w:gridSpan w:val="3"/>
            <w:tcBorders>
              <w:top w:val="single" w:color="auto" w:sz="4" w:space="0"/>
              <w:left w:val="single" w:color="auto" w:sz="4" w:space="0"/>
              <w:bottom w:val="single" w:color="auto" w:sz="4" w:space="0"/>
              <w:right w:val="single" w:color="auto" w:sz="4" w:space="0"/>
            </w:tcBorders>
            <w:noWrap w:val="0"/>
            <w:vAlign w:val="center"/>
          </w:tcPr>
          <w:p w14:paraId="4E0AA82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技术分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402E6FE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58分 </w:t>
            </w:r>
          </w:p>
        </w:tc>
      </w:tr>
      <w:tr w14:paraId="580FD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14:paraId="76BFD0B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884003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项目实施</w:t>
            </w:r>
          </w:p>
          <w:p w14:paraId="40A2BB9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方案</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0C8DF6B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针对本项目特征对项目方案各个部分进行综合评定：</w:t>
            </w:r>
          </w:p>
          <w:p w14:paraId="70DB77B3">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根据供应商对本项目的项目背景理解、目标、任务分析</w:t>
            </w:r>
            <w:r>
              <w:rPr>
                <w:rFonts w:hint="eastAsia" w:ascii="仿宋" w:hAnsi="仿宋" w:eastAsia="仿宋" w:cs="仿宋"/>
                <w:b/>
                <w:bCs/>
                <w:color w:val="auto"/>
                <w:sz w:val="24"/>
                <w:szCs w:val="24"/>
                <w:highlight w:val="none"/>
                <w:lang w:val="en-US" w:eastAsia="zh-CN"/>
              </w:rPr>
              <w:t>进行评分（0-8分）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描述清晰、分析到位的且有助于本项目实施的得</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lang w:eastAsia="zh-CN"/>
              </w:rPr>
              <w:t>；对本项目的项目背景理解、目标、任务分析明确合理的得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分；对本项目的项目背景理解、目标、任务分析欠缺、不清晰的得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分；对本项目的项目背景理解、目标、任务分析有相关描述、不全面的得</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lang w:eastAsia="zh-CN"/>
              </w:rPr>
              <w:t>对本项目的项目背景理解、目标、任务分析不到位的得</w:t>
            </w:r>
            <w:r>
              <w:rPr>
                <w:rFonts w:hint="eastAsia" w:ascii="仿宋" w:hAnsi="仿宋" w:eastAsia="仿宋" w:cs="仿宋"/>
                <w:color w:val="auto"/>
                <w:sz w:val="24"/>
                <w:szCs w:val="24"/>
                <w:highlight w:val="none"/>
                <w:lang w:val="en-US" w:eastAsia="zh-CN"/>
              </w:rPr>
              <w:t>1分</w:t>
            </w:r>
            <w:r>
              <w:rPr>
                <w:rFonts w:hint="eastAsia" w:ascii="仿宋" w:hAnsi="仿宋" w:eastAsia="仿宋" w:cs="仿宋"/>
                <w:color w:val="auto"/>
                <w:sz w:val="24"/>
                <w:szCs w:val="24"/>
                <w:highlight w:val="none"/>
                <w:lang w:eastAsia="zh-CN"/>
              </w:rPr>
              <w:t>。最高得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 xml:space="preserve">  </w:t>
            </w:r>
          </w:p>
          <w:p w14:paraId="12E4388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2、根据</w:t>
            </w:r>
            <w:r>
              <w:rPr>
                <w:rFonts w:hint="eastAsia" w:ascii="仿宋" w:hAnsi="仿宋" w:eastAsia="仿宋" w:cs="仿宋"/>
                <w:b/>
                <w:bCs/>
                <w:color w:val="auto"/>
                <w:sz w:val="24"/>
                <w:highlight w:val="none"/>
              </w:rPr>
              <w:t>供应商对项目所在地</w:t>
            </w:r>
            <w:r>
              <w:rPr>
                <w:rFonts w:hint="eastAsia" w:ascii="仿宋" w:hAnsi="仿宋" w:eastAsia="仿宋" w:cs="仿宋"/>
                <w:b/>
                <w:bCs/>
                <w:color w:val="auto"/>
                <w:sz w:val="24"/>
                <w:highlight w:val="none"/>
                <w:lang w:eastAsia="zh-CN"/>
              </w:rPr>
              <w:t>涉气工业源排放特征、污染源类型</w:t>
            </w:r>
            <w:r>
              <w:rPr>
                <w:rFonts w:hint="eastAsia" w:ascii="仿宋" w:hAnsi="仿宋" w:eastAsia="仿宋" w:cs="仿宋"/>
                <w:b/>
                <w:bCs/>
                <w:color w:val="auto"/>
                <w:sz w:val="24"/>
                <w:highlight w:val="none"/>
                <w:lang w:val="zh-TW" w:eastAsia="zh-CN"/>
              </w:rPr>
              <w:t>提出的</w:t>
            </w:r>
            <w:r>
              <w:rPr>
                <w:rFonts w:hint="eastAsia" w:ascii="仿宋" w:hAnsi="仿宋" w:eastAsia="仿宋" w:cs="仿宋"/>
                <w:b/>
                <w:bCs/>
                <w:color w:val="auto"/>
                <w:sz w:val="24"/>
                <w:highlight w:val="none"/>
                <w:lang w:val="zh-TW"/>
              </w:rPr>
              <w:t>研究内容</w:t>
            </w:r>
            <w:r>
              <w:rPr>
                <w:rFonts w:hint="eastAsia" w:ascii="仿宋" w:hAnsi="仿宋" w:eastAsia="仿宋" w:cs="仿宋"/>
                <w:b/>
                <w:bCs/>
                <w:color w:val="auto"/>
                <w:sz w:val="24"/>
                <w:highlight w:val="none"/>
              </w:rPr>
              <w:t>进行理解及阐述</w:t>
            </w:r>
            <w:r>
              <w:rPr>
                <w:rFonts w:hint="eastAsia" w:ascii="仿宋" w:hAnsi="仿宋" w:eastAsia="仿宋" w:cs="仿宋"/>
                <w:b/>
                <w:bCs/>
                <w:color w:val="auto"/>
                <w:sz w:val="24"/>
                <w:highlight w:val="none"/>
                <w:lang w:val="en-US" w:eastAsia="zh-CN"/>
              </w:rPr>
              <w:t>进行评分</w:t>
            </w:r>
            <w:r>
              <w:rPr>
                <w:rFonts w:hint="eastAsia" w:ascii="仿宋" w:hAnsi="仿宋" w:eastAsia="仿宋" w:cs="仿宋"/>
                <w:b/>
                <w:bCs/>
                <w:color w:val="auto"/>
                <w:sz w:val="24"/>
                <w:szCs w:val="24"/>
                <w:highlight w:val="none"/>
                <w:lang w:val="en-US" w:eastAsia="zh-CN"/>
              </w:rPr>
              <w:t>（0-8分）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rPr>
              <w:t>阐述内容准确、详实，对项目所在地实际发展理解非常贴切的得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分；阐述内容较为准确且对项目所在地实际发展有一定理解的得</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分；阐述内容不具有时效性或较为简易无实质性内容的得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分；阐述内容较为普遍的得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阐述内容较为简易且与项目所在地无关</w:t>
            </w:r>
            <w:r>
              <w:rPr>
                <w:rFonts w:hint="eastAsia" w:ascii="仿宋" w:hAnsi="仿宋" w:eastAsia="仿宋" w:cs="仿宋"/>
                <w:color w:val="auto"/>
                <w:sz w:val="24"/>
                <w:highlight w:val="none"/>
                <w:lang w:val="en-US" w:eastAsia="zh-CN"/>
              </w:rPr>
              <w:t>的得1分。</w:t>
            </w:r>
            <w:r>
              <w:rPr>
                <w:rFonts w:hint="eastAsia" w:ascii="仿宋" w:hAnsi="仿宋" w:eastAsia="仿宋" w:cs="仿宋"/>
                <w:color w:val="auto"/>
                <w:sz w:val="24"/>
                <w:highlight w:val="none"/>
              </w:rPr>
              <w:t>本项不提供者不得分，最高得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w:t>
            </w:r>
          </w:p>
          <w:p w14:paraId="457DC7D1">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val="en-US" w:eastAsia="zh-CN"/>
              </w:rPr>
              <w:t>3、根据</w:t>
            </w:r>
            <w:r>
              <w:rPr>
                <w:rFonts w:hint="eastAsia" w:ascii="仿宋" w:hAnsi="仿宋" w:eastAsia="仿宋" w:cs="仿宋"/>
                <w:b/>
                <w:bCs/>
                <w:color w:val="auto"/>
                <w:sz w:val="24"/>
                <w:szCs w:val="24"/>
                <w:highlight w:val="none"/>
                <w:lang w:eastAsia="zh-CN"/>
              </w:rPr>
              <w:t>供应商提供的项目整体实施方案</w:t>
            </w:r>
            <w:r>
              <w:rPr>
                <w:rFonts w:hint="eastAsia" w:ascii="仿宋" w:hAnsi="仿宋" w:eastAsia="仿宋" w:cs="仿宋"/>
                <w:b/>
                <w:bCs/>
                <w:color w:val="auto"/>
                <w:sz w:val="24"/>
                <w:szCs w:val="24"/>
                <w:highlight w:val="none"/>
                <w:lang w:val="en-US" w:eastAsia="zh-CN"/>
              </w:rPr>
              <w:t>进行评分（0-8分）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内容全面、合理</w:t>
            </w: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highlight w:val="none"/>
              </w:rPr>
              <w:t>对本项目实施有推进作用的得</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rPr>
              <w:t>方案内容全面、合理，符合本项目实际需求</w:t>
            </w:r>
            <w:r>
              <w:rPr>
                <w:rFonts w:hint="eastAsia" w:ascii="仿宋" w:hAnsi="仿宋" w:eastAsia="仿宋" w:cs="仿宋"/>
                <w:color w:val="auto"/>
                <w:sz w:val="24"/>
                <w:szCs w:val="24"/>
                <w:highlight w:val="none"/>
                <w:lang w:eastAsia="zh-CN"/>
              </w:rPr>
              <w:t>的得</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方案内容较为全面、合理，可行性一般的得</w:t>
            </w:r>
            <w:r>
              <w:rPr>
                <w:rFonts w:hint="eastAsia" w:ascii="仿宋" w:hAnsi="仿宋" w:eastAsia="仿宋" w:cs="仿宋"/>
                <w:bCs/>
                <w:color w:val="auto"/>
                <w:sz w:val="24"/>
                <w:szCs w:val="24"/>
                <w:highlight w:val="none"/>
                <w:lang w:val="en-US" w:eastAsia="zh-CN"/>
              </w:rPr>
              <w:t>5分；</w:t>
            </w:r>
            <w:r>
              <w:rPr>
                <w:rFonts w:hint="eastAsia" w:ascii="仿宋" w:hAnsi="仿宋" w:eastAsia="仿宋" w:cs="仿宋"/>
                <w:color w:val="auto"/>
                <w:sz w:val="24"/>
                <w:szCs w:val="24"/>
                <w:highlight w:val="none"/>
              </w:rPr>
              <w:t>方案内容不全面、有结合本项目实际需求的得3分</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方案欠缺、不合理的得1分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最高得</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w:t>
            </w:r>
          </w:p>
          <w:p w14:paraId="73414F7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lang w:val="en-US" w:eastAsia="zh-CN"/>
              </w:rPr>
              <w:t>4、根据供应商提供的实施过程中涉及与相关政府机构、相关部门的沟通和协作，组织协调方案</w:t>
            </w:r>
            <w:r>
              <w:rPr>
                <w:rFonts w:hint="eastAsia" w:ascii="仿宋" w:hAnsi="仿宋" w:eastAsia="仿宋" w:cs="仿宋"/>
                <w:b/>
                <w:bCs w:val="0"/>
                <w:color w:val="auto"/>
                <w:kern w:val="0"/>
                <w:sz w:val="24"/>
                <w:highlight w:val="none"/>
                <w:lang w:eastAsia="zh-CN"/>
              </w:rPr>
              <w:t>及相关措施</w:t>
            </w:r>
            <w:r>
              <w:rPr>
                <w:rFonts w:hint="eastAsia" w:ascii="仿宋" w:hAnsi="仿宋" w:eastAsia="仿宋" w:cs="仿宋"/>
                <w:b/>
                <w:bCs w:val="0"/>
                <w:color w:val="auto"/>
                <w:kern w:val="0"/>
                <w:sz w:val="24"/>
                <w:highlight w:val="none"/>
                <w:lang w:val="en-US" w:eastAsia="zh-CN"/>
              </w:rPr>
              <w:t>进行评分</w:t>
            </w:r>
            <w:r>
              <w:rPr>
                <w:rFonts w:hint="eastAsia" w:ascii="仿宋" w:hAnsi="仿宋" w:eastAsia="仿宋" w:cs="仿宋"/>
                <w:b/>
                <w:bCs w:val="0"/>
                <w:color w:val="auto"/>
                <w:sz w:val="24"/>
                <w:szCs w:val="24"/>
                <w:highlight w:val="none"/>
                <w:lang w:val="en-US" w:eastAsia="zh-CN"/>
              </w:rPr>
              <w:t>（0-6分）</w:t>
            </w:r>
            <w:r>
              <w:rPr>
                <w:rFonts w:hint="eastAsia" w:ascii="仿宋" w:hAnsi="仿宋" w:eastAsia="仿宋" w:cs="仿宋"/>
                <w:color w:val="auto"/>
                <w:sz w:val="24"/>
                <w:szCs w:val="24"/>
                <w:highlight w:val="none"/>
                <w:lang w:val="en-US" w:eastAsia="zh-CN"/>
              </w:rPr>
              <w:t>：措施内容</w:t>
            </w:r>
            <w:r>
              <w:rPr>
                <w:rFonts w:hint="eastAsia" w:ascii="仿宋" w:hAnsi="仿宋" w:eastAsia="仿宋" w:cs="仿宋"/>
                <w:bCs/>
                <w:color w:val="auto"/>
                <w:kern w:val="0"/>
                <w:sz w:val="24"/>
                <w:highlight w:val="none"/>
                <w:lang w:eastAsia="zh-CN"/>
              </w:rPr>
              <w:t>完善、合理、可行性高</w:t>
            </w: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highlight w:val="none"/>
              </w:rPr>
              <w:t>对本项目实施有推进作用的得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lang w:eastAsia="zh-CN"/>
              </w:rPr>
              <w:t>措施</w:t>
            </w:r>
            <w:r>
              <w:rPr>
                <w:rFonts w:hint="eastAsia" w:ascii="仿宋" w:hAnsi="仿宋" w:eastAsia="仿宋" w:cs="仿宋"/>
                <w:color w:val="auto"/>
                <w:sz w:val="24"/>
                <w:szCs w:val="24"/>
                <w:highlight w:val="none"/>
              </w:rPr>
              <w:t>内容全面、合理，符合本项目实际需求</w:t>
            </w:r>
            <w:r>
              <w:rPr>
                <w:rFonts w:hint="eastAsia" w:ascii="仿宋" w:hAnsi="仿宋" w:eastAsia="仿宋" w:cs="仿宋"/>
                <w:color w:val="auto"/>
                <w:sz w:val="24"/>
                <w:szCs w:val="24"/>
                <w:highlight w:val="none"/>
                <w:lang w:eastAsia="zh-CN"/>
              </w:rPr>
              <w:t>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lang w:eastAsia="zh-CN"/>
              </w:rPr>
              <w:t>措施</w:t>
            </w:r>
            <w:r>
              <w:rPr>
                <w:rFonts w:hint="eastAsia" w:ascii="仿宋" w:hAnsi="仿宋" w:eastAsia="仿宋" w:cs="仿宋"/>
                <w:color w:val="auto"/>
                <w:sz w:val="24"/>
                <w:szCs w:val="24"/>
                <w:highlight w:val="none"/>
              </w:rPr>
              <w:t>内容不全面、有结合本项目实际需求的得3分</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措施</w:t>
            </w:r>
            <w:r>
              <w:rPr>
                <w:rFonts w:hint="eastAsia" w:ascii="仿宋" w:hAnsi="仿宋" w:eastAsia="仿宋" w:cs="仿宋"/>
                <w:color w:val="auto"/>
                <w:sz w:val="24"/>
                <w:szCs w:val="24"/>
                <w:highlight w:val="none"/>
              </w:rPr>
              <w:t>欠缺、不合理的得1分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最高得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p w14:paraId="636737A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napToGrid w:val="0"/>
                <w:color w:val="auto"/>
                <w:kern w:val="0"/>
                <w:sz w:val="24"/>
                <w:highlight w:val="none"/>
                <w:lang w:eastAsia="zh-CN"/>
              </w:rPr>
            </w:pPr>
            <w:r>
              <w:rPr>
                <w:rFonts w:hint="eastAsia" w:ascii="仿宋" w:hAnsi="仿宋" w:eastAsia="仿宋" w:cs="仿宋"/>
                <w:b/>
                <w:bCs w:val="0"/>
                <w:color w:val="auto"/>
                <w:sz w:val="24"/>
                <w:szCs w:val="24"/>
                <w:highlight w:val="none"/>
                <w:lang w:val="en-US" w:eastAsia="zh-CN"/>
              </w:rPr>
              <w:t>5</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根据供应商提供的</w:t>
            </w:r>
            <w:r>
              <w:rPr>
                <w:rFonts w:hint="eastAsia" w:ascii="仿宋" w:hAnsi="仿宋" w:eastAsia="仿宋" w:cs="仿宋"/>
                <w:b/>
                <w:bCs w:val="0"/>
                <w:color w:val="auto"/>
                <w:sz w:val="24"/>
                <w:szCs w:val="24"/>
                <w:highlight w:val="none"/>
              </w:rPr>
              <w:t>进度保证措施与质量保证措施</w:t>
            </w:r>
            <w:r>
              <w:rPr>
                <w:rFonts w:hint="eastAsia" w:ascii="仿宋" w:hAnsi="仿宋" w:eastAsia="仿宋" w:cs="仿宋"/>
                <w:b/>
                <w:bCs w:val="0"/>
                <w:color w:val="auto"/>
                <w:sz w:val="24"/>
                <w:szCs w:val="24"/>
                <w:highlight w:val="none"/>
                <w:lang w:val="en-US" w:eastAsia="zh-CN"/>
              </w:rPr>
              <w:t>进行评分（0-6分）：</w:t>
            </w:r>
            <w:r>
              <w:rPr>
                <w:rFonts w:hint="eastAsia" w:ascii="仿宋" w:hAnsi="仿宋" w:eastAsia="仿宋" w:cs="仿宋"/>
                <w:bCs/>
                <w:color w:val="auto"/>
                <w:sz w:val="24"/>
                <w:szCs w:val="24"/>
                <w:highlight w:val="none"/>
              </w:rPr>
              <w:t>进度内容安排科学合理可行、针对性强，质量保证</w:t>
            </w:r>
            <w:r>
              <w:rPr>
                <w:rFonts w:hint="eastAsia" w:ascii="仿宋" w:hAnsi="仿宋" w:eastAsia="仿宋" w:cs="仿宋"/>
                <w:bCs/>
                <w:color w:val="auto"/>
                <w:sz w:val="24"/>
                <w:szCs w:val="24"/>
                <w:highlight w:val="none"/>
                <w:lang w:val="zh-CN"/>
              </w:rPr>
              <w:t>措施科学合理、切实可行</w:t>
            </w:r>
            <w:r>
              <w:rPr>
                <w:rFonts w:hint="eastAsia" w:ascii="仿宋" w:hAnsi="仿宋" w:eastAsia="仿宋" w:cs="仿宋"/>
                <w:bCs/>
                <w:color w:val="auto"/>
                <w:sz w:val="24"/>
                <w:szCs w:val="24"/>
                <w:highlight w:val="none"/>
              </w:rPr>
              <w:t>且对本项目实施有推进作用的得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分；进度内容科学合理可行性好、针对性强，质量保证措施合理的得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分；进度内容科学合理，针对性较强，质量保证措施比较合理的得3分；进度内容可行性、针对性一般，质量保证</w:t>
            </w:r>
            <w:r>
              <w:rPr>
                <w:rFonts w:hint="eastAsia" w:ascii="仿宋" w:hAnsi="仿宋" w:eastAsia="仿宋" w:cs="仿宋"/>
                <w:bCs/>
                <w:color w:val="auto"/>
                <w:sz w:val="24"/>
                <w:szCs w:val="24"/>
                <w:highlight w:val="none"/>
                <w:lang w:val="zh-CN"/>
              </w:rPr>
              <w:t>措施基本可行</w:t>
            </w:r>
            <w:r>
              <w:rPr>
                <w:rFonts w:hint="eastAsia" w:ascii="仿宋" w:hAnsi="仿宋" w:eastAsia="仿宋" w:cs="仿宋"/>
                <w:bCs/>
                <w:color w:val="auto"/>
                <w:sz w:val="24"/>
                <w:szCs w:val="24"/>
                <w:highlight w:val="none"/>
              </w:rPr>
              <w:t>的得1分，最高得</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w:t>
            </w:r>
          </w:p>
          <w:p w14:paraId="558A33A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highlight w:val="none"/>
                <w:lang w:val="en-US" w:eastAsia="zh-CN"/>
              </w:rPr>
              <w:t>6、根据供应商提供的与采购人的配合方案进行评分（0-2分）</w:t>
            </w:r>
            <w:r>
              <w:rPr>
                <w:rFonts w:hint="eastAsia" w:ascii="仿宋" w:hAnsi="仿宋" w:eastAsia="仿宋" w:cs="仿宋"/>
                <w:color w:val="auto"/>
                <w:sz w:val="24"/>
                <w:highlight w:val="none"/>
                <w:lang w:val="en-US" w:eastAsia="zh-CN"/>
              </w:rPr>
              <w:t>：</w:t>
            </w:r>
            <w:r>
              <w:rPr>
                <w:rFonts w:hint="eastAsia" w:ascii="仿宋" w:hAnsi="仿宋" w:eastAsia="仿宋" w:cs="仿宋"/>
                <w:bCs/>
                <w:color w:val="auto"/>
                <w:kern w:val="2"/>
                <w:sz w:val="24"/>
                <w:szCs w:val="24"/>
                <w:highlight w:val="none"/>
                <w:lang w:val="en-US" w:eastAsia="zh-CN" w:bidi="ar-SA"/>
              </w:rPr>
              <w:t>每提供1条有效的方案得1分，最高得2分。</w:t>
            </w:r>
          </w:p>
          <w:p w14:paraId="68BF8B0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仿宋" w:hAnsi="仿宋" w:eastAsia="仿宋" w:cs="仿宋"/>
                <w:b/>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以上1-6项方案未提供不得分。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8AC0AC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38分</w:t>
            </w:r>
          </w:p>
        </w:tc>
      </w:tr>
      <w:tr w14:paraId="06481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5"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14:paraId="3654DEB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2CFD1F0">
            <w:pPr>
              <w:keepNext w:val="0"/>
              <w:keepLines w:val="0"/>
              <w:pageBreakBefore w:val="0"/>
              <w:widowControl w:val="0"/>
              <w:tabs>
                <w:tab w:val="left" w:pos="8100"/>
              </w:tabs>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拟投入本项目实施人员</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57925DD7">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400" w:lineRule="exact"/>
              <w:ind w:firstLine="241" w:firstLineChars="100"/>
              <w:jc w:val="both"/>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项目负责人（0-6分）：</w:t>
            </w:r>
          </w:p>
          <w:p w14:paraId="3F72DC98">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400" w:lineRule="exact"/>
              <w:ind w:firstLine="240" w:firstLineChars="1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（1）拟投入本项目的项目负责人具备环保相关专业高级职称</w:t>
            </w:r>
            <w:r>
              <w:rPr>
                <w:rFonts w:hint="eastAsia" w:ascii="仿宋" w:hAnsi="仿宋" w:eastAsia="仿宋" w:cs="仿宋"/>
                <w:color w:val="auto"/>
                <w:kern w:val="2"/>
                <w:sz w:val="24"/>
                <w:szCs w:val="21"/>
                <w:highlight w:val="none"/>
                <w:lang w:val="en-US" w:eastAsia="zh-CN" w:bidi="ar-SA"/>
              </w:rPr>
              <w:t>的得2分；为环保相关专业正高职称的得4分</w:t>
            </w:r>
            <w:r>
              <w:rPr>
                <w:rFonts w:hint="eastAsia" w:ascii="仿宋" w:hAnsi="仿宋" w:eastAsia="仿宋" w:cs="仿宋"/>
                <w:color w:val="auto"/>
                <w:kern w:val="2"/>
                <w:sz w:val="24"/>
                <w:szCs w:val="24"/>
                <w:highlight w:val="none"/>
                <w:lang w:val="en-US" w:eastAsia="zh-CN" w:bidi="ar-SA"/>
              </w:rPr>
              <w:t>。本项最高得4分。</w:t>
            </w:r>
          </w:p>
          <w:p w14:paraId="3F33DB98">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）拟投入本项目的项目负责人具有注册环评工程师</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bCs/>
                <w:color w:val="auto"/>
                <w:sz w:val="24"/>
                <w:szCs w:val="24"/>
                <w:highlight w:val="none"/>
                <w:lang w:eastAsia="zh-CN"/>
              </w:rPr>
              <w:t>得1分；具有注册环保工程师的得</w:t>
            </w:r>
            <w:r>
              <w:rPr>
                <w:rFonts w:hint="eastAsia" w:ascii="仿宋" w:hAnsi="仿宋" w:eastAsia="仿宋" w:cs="仿宋"/>
                <w:bCs/>
                <w:color w:val="auto"/>
                <w:sz w:val="24"/>
                <w:szCs w:val="24"/>
                <w:highlight w:val="none"/>
                <w:lang w:val="en-US" w:eastAsia="zh-CN"/>
              </w:rPr>
              <w:t>1分；本项最高得2分。</w:t>
            </w:r>
          </w:p>
          <w:p w14:paraId="0F08E4D1">
            <w:pPr>
              <w:keepNext w:val="0"/>
              <w:keepLines w:val="0"/>
              <w:pageBreakBefore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eastAsia="zh-CN"/>
              </w:rPr>
              <w:t>项目团队成员（除项目负责人外）（</w:t>
            </w:r>
            <w:r>
              <w:rPr>
                <w:rFonts w:hint="eastAsia" w:ascii="仿宋" w:hAnsi="仿宋" w:eastAsia="仿宋" w:cs="仿宋"/>
                <w:b/>
                <w:bCs w:val="0"/>
                <w:color w:val="auto"/>
                <w:sz w:val="24"/>
                <w:szCs w:val="24"/>
                <w:highlight w:val="none"/>
                <w:lang w:val="en-US" w:eastAsia="zh-CN"/>
              </w:rPr>
              <w:t>0-8分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Cs/>
                <w:color w:val="auto"/>
                <w:sz w:val="24"/>
                <w:szCs w:val="24"/>
                <w:highlight w:val="none"/>
                <w:lang w:eastAsia="zh-CN"/>
              </w:rPr>
              <w:t>拟投入本项目团队成员</w:t>
            </w:r>
            <w:r>
              <w:rPr>
                <w:rFonts w:hint="eastAsia" w:ascii="仿宋" w:hAnsi="仿宋" w:eastAsia="仿宋" w:cs="仿宋"/>
                <w:bCs/>
                <w:color w:val="auto"/>
                <w:sz w:val="24"/>
                <w:szCs w:val="24"/>
                <w:highlight w:val="none"/>
                <w:lang w:val="en-US" w:eastAsia="zh-CN"/>
              </w:rPr>
              <w:t>中具有环保相关专业高级及以上职称的，每提供1位得1分；具有环保相关专业中级及以上职称的，每提供1位得0.5分。同一人不重复得分。最高得8分。</w:t>
            </w:r>
          </w:p>
          <w:p w14:paraId="57C37381">
            <w:pPr>
              <w:keepNext w:val="0"/>
              <w:keepLines w:val="0"/>
              <w:pageBreakBefore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根据拟投入本项目人员的人力资源安排、职责岗位分工进行评审</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0-6分</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安排合理、职责分工明确</w:t>
            </w:r>
            <w:r>
              <w:rPr>
                <w:rFonts w:hint="eastAsia" w:ascii="仿宋" w:hAnsi="仿宋" w:eastAsia="仿宋" w:cs="仿宋"/>
                <w:color w:val="auto"/>
                <w:sz w:val="24"/>
                <w:highlight w:val="none"/>
                <w:lang w:eastAsia="zh-CN"/>
              </w:rPr>
              <w:t>且对本项目有推进作用</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安排合理，职责分工明确的得</w:t>
            </w:r>
            <w:r>
              <w:rPr>
                <w:rFonts w:hint="eastAsia" w:ascii="仿宋" w:hAnsi="仿宋" w:eastAsia="仿宋" w:cs="仿宋"/>
                <w:color w:val="auto"/>
                <w:sz w:val="24"/>
                <w:highlight w:val="none"/>
                <w:lang w:val="en-US" w:eastAsia="zh-CN"/>
              </w:rPr>
              <w:t>4分；安排有欠缺，职责不明确的得3分；安排不合理的得1分。</w:t>
            </w:r>
          </w:p>
          <w:p w14:paraId="25FF600D">
            <w:pPr>
              <w:keepNext w:val="0"/>
              <w:keepLines w:val="0"/>
              <w:pageBreakBefore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rPr>
              <w:t>注：提供以上相关人员证书</w:t>
            </w:r>
            <w:r>
              <w:rPr>
                <w:rFonts w:hint="eastAsia" w:ascii="仿宋" w:hAnsi="仿宋" w:eastAsia="仿宋" w:cs="仿宋"/>
                <w:b/>
                <w:bCs/>
                <w:color w:val="auto"/>
                <w:sz w:val="24"/>
                <w:szCs w:val="24"/>
                <w:highlight w:val="none"/>
                <w:u w:val="single"/>
                <w:lang w:eastAsia="zh-CN"/>
              </w:rPr>
              <w:t>复印件</w:t>
            </w:r>
            <w:r>
              <w:rPr>
                <w:rFonts w:hint="eastAsia" w:ascii="仿宋" w:hAnsi="仿宋" w:eastAsia="仿宋" w:cs="仿宋"/>
                <w:b/>
                <w:bCs/>
                <w:color w:val="auto"/>
                <w:sz w:val="24"/>
                <w:szCs w:val="24"/>
                <w:highlight w:val="none"/>
                <w:u w:val="single"/>
              </w:rPr>
              <w:t>及</w:t>
            </w:r>
            <w:r>
              <w:rPr>
                <w:rFonts w:hint="eastAsia" w:ascii="仿宋" w:hAnsi="仿宋" w:eastAsia="仿宋" w:cs="仿宋"/>
                <w:b/>
                <w:bCs/>
                <w:color w:val="auto"/>
                <w:sz w:val="24"/>
                <w:szCs w:val="24"/>
                <w:highlight w:val="none"/>
                <w:u w:val="single"/>
                <w:lang w:val="en-US" w:eastAsia="zh-CN"/>
              </w:rPr>
              <w:t>至磋商截止日</w:t>
            </w:r>
            <w:r>
              <w:rPr>
                <w:rFonts w:hint="eastAsia" w:ascii="仿宋" w:hAnsi="仿宋" w:eastAsia="仿宋" w:cs="仿宋"/>
                <w:b/>
                <w:bCs/>
                <w:color w:val="auto"/>
                <w:sz w:val="24"/>
                <w:szCs w:val="24"/>
                <w:highlight w:val="none"/>
                <w:u w:val="single"/>
              </w:rPr>
              <w:t>近</w:t>
            </w:r>
            <w:r>
              <w:rPr>
                <w:rFonts w:hint="eastAsia" w:ascii="仿宋" w:hAnsi="仿宋" w:eastAsia="仿宋" w:cs="仿宋"/>
                <w:b/>
                <w:bCs/>
                <w:color w:val="auto"/>
                <w:sz w:val="24"/>
                <w:szCs w:val="24"/>
                <w:highlight w:val="none"/>
                <w:u w:val="single"/>
                <w:lang w:val="en-US" w:eastAsia="zh-CN"/>
              </w:rPr>
              <w:t>3个月中任意</w:t>
            </w:r>
            <w:r>
              <w:rPr>
                <w:rFonts w:hint="eastAsia" w:ascii="仿宋" w:hAnsi="仿宋" w:eastAsia="仿宋" w:cs="仿宋"/>
                <w:b/>
                <w:bCs/>
                <w:color w:val="auto"/>
                <w:sz w:val="24"/>
                <w:szCs w:val="24"/>
                <w:highlight w:val="none"/>
                <w:u w:val="single"/>
              </w:rPr>
              <w:t>一个月由供应商单位交纳的社保证明资料复印件盖公章。</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E0A330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20分</w:t>
            </w:r>
          </w:p>
        </w:tc>
      </w:tr>
      <w:tr w14:paraId="175D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9010" w:type="dxa"/>
            <w:gridSpan w:val="3"/>
            <w:tcBorders>
              <w:top w:val="single" w:color="auto" w:sz="4" w:space="0"/>
              <w:left w:val="single" w:color="auto" w:sz="4" w:space="0"/>
              <w:bottom w:val="single" w:color="auto" w:sz="4" w:space="0"/>
              <w:right w:val="single" w:color="auto" w:sz="4" w:space="0"/>
            </w:tcBorders>
            <w:noWrap w:val="0"/>
            <w:vAlign w:val="center"/>
          </w:tcPr>
          <w:p w14:paraId="75C6912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商务分、</w:t>
            </w:r>
            <w:r>
              <w:rPr>
                <w:rFonts w:hint="eastAsia" w:ascii="仿宋" w:hAnsi="仿宋" w:eastAsia="仿宋" w:cs="仿宋"/>
                <w:b/>
                <w:bCs/>
                <w:color w:val="auto"/>
                <w:sz w:val="24"/>
                <w:szCs w:val="24"/>
                <w:highlight w:val="none"/>
              </w:rPr>
              <w:t>资信及其他分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2A8DC1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32分</w:t>
            </w:r>
          </w:p>
        </w:tc>
      </w:tr>
      <w:tr w14:paraId="3670A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8" w:type="dxa"/>
            <w:tcBorders>
              <w:left w:val="single" w:color="auto" w:sz="4" w:space="0"/>
              <w:bottom w:val="single" w:color="auto" w:sz="4" w:space="0"/>
              <w:right w:val="single" w:color="auto" w:sz="4" w:space="0"/>
            </w:tcBorders>
            <w:noWrap w:val="0"/>
            <w:vAlign w:val="center"/>
          </w:tcPr>
          <w:p w14:paraId="46E5DE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84" w:type="dxa"/>
            <w:tcBorders>
              <w:left w:val="single" w:color="auto" w:sz="4" w:space="0"/>
              <w:bottom w:val="single" w:color="auto" w:sz="4" w:space="0"/>
              <w:right w:val="single" w:color="auto" w:sz="4" w:space="0"/>
            </w:tcBorders>
            <w:noWrap w:val="0"/>
            <w:vAlign w:val="center"/>
          </w:tcPr>
          <w:p w14:paraId="0FE28246">
            <w:pPr>
              <w:keepNext w:val="0"/>
              <w:keepLines w:val="0"/>
              <w:pageBreakBefore w:val="0"/>
              <w:tabs>
                <w:tab w:val="left" w:pos="1080"/>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售后服务承诺</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249BF59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售后服务优惠承诺（0-6分）：售后服务方案、售后服务体系、服务内容响应、售后服务质量等内容全面周到且适用于本项目实施的得6分；各项方案较全面，但可行性一般的得5分；各项方案有缺失且可行性一般的得3分；方案简单且与本项目实施无关联的得1分。最高得6分。</w:t>
            </w:r>
          </w:p>
          <w:p w14:paraId="5E523109">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highlight w:val="none"/>
                <w:lang w:val="en-US" w:eastAsia="zh-CN"/>
              </w:rPr>
              <w:t>响应时间：接到申报电话（电话、电传等）后3小时现场响应得1分，每减少0.5小时加1分，最高得3分。（提供承诺函）</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4C436A1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r>
      <w:tr w14:paraId="13545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8" w:type="dxa"/>
            <w:tcBorders>
              <w:left w:val="single" w:color="auto" w:sz="4" w:space="0"/>
              <w:bottom w:val="single" w:color="auto" w:sz="4" w:space="0"/>
              <w:right w:val="single" w:color="auto" w:sz="4" w:space="0"/>
            </w:tcBorders>
            <w:noWrap w:val="0"/>
            <w:vAlign w:val="center"/>
          </w:tcPr>
          <w:p w14:paraId="75DCE80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184" w:type="dxa"/>
            <w:tcBorders>
              <w:left w:val="single" w:color="auto" w:sz="4" w:space="0"/>
              <w:bottom w:val="single" w:color="auto" w:sz="4" w:space="0"/>
              <w:right w:val="single" w:color="auto" w:sz="4" w:space="0"/>
            </w:tcBorders>
            <w:noWrap w:val="0"/>
            <w:vAlign w:val="center"/>
          </w:tcPr>
          <w:p w14:paraId="0F0A263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企业业绩</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6A1BF312">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Cs/>
                <w:color w:val="auto"/>
                <w:sz w:val="24"/>
                <w:szCs w:val="24"/>
                <w:highlight w:val="none"/>
                <w:lang w:val="zh-TW"/>
              </w:rPr>
            </w:pPr>
            <w:r>
              <w:rPr>
                <w:rFonts w:hint="eastAsia" w:ascii="仿宋" w:hAnsi="仿宋" w:eastAsia="仿宋" w:cs="仿宋"/>
                <w:bCs/>
                <w:color w:val="auto"/>
                <w:sz w:val="24"/>
                <w:szCs w:val="24"/>
                <w:highlight w:val="none"/>
                <w:lang w:val="zh-TW"/>
              </w:rPr>
              <w:t>20</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lang w:val="zh-TW"/>
              </w:rPr>
              <w:t>年至今供应商承接过与本项目类似</w:t>
            </w:r>
            <w:r>
              <w:rPr>
                <w:rFonts w:hint="eastAsia" w:ascii="仿宋" w:hAnsi="仿宋" w:eastAsia="仿宋" w:cs="仿宋"/>
                <w:bCs/>
                <w:color w:val="auto"/>
                <w:sz w:val="24"/>
                <w:szCs w:val="24"/>
                <w:highlight w:val="none"/>
                <w:lang w:val="zh-TW" w:eastAsia="zh-CN"/>
              </w:rPr>
              <w:t>（</w:t>
            </w:r>
            <w:r>
              <w:rPr>
                <w:rFonts w:hint="eastAsia" w:ascii="仿宋" w:hAnsi="仿宋" w:eastAsia="仿宋" w:cs="仿宋"/>
                <w:bCs/>
                <w:color w:val="auto"/>
                <w:sz w:val="24"/>
                <w:highlight w:val="none"/>
                <w:lang w:eastAsia="zh-CN"/>
              </w:rPr>
              <w:t>大气</w:t>
            </w:r>
            <w:r>
              <w:rPr>
                <w:rFonts w:hint="eastAsia" w:ascii="仿宋" w:hAnsi="仿宋" w:eastAsia="仿宋" w:cs="仿宋"/>
                <w:bCs/>
                <w:color w:val="auto"/>
                <w:sz w:val="24"/>
                <w:highlight w:val="none"/>
                <w:lang w:val="en-US" w:eastAsia="zh-CN"/>
              </w:rPr>
              <w:t>污染源清单编制或应急减排清单编制</w:t>
            </w:r>
            <w:r>
              <w:rPr>
                <w:rFonts w:hint="eastAsia" w:ascii="仿宋" w:hAnsi="仿宋" w:eastAsia="仿宋" w:cs="仿宋"/>
                <w:bCs/>
                <w:color w:val="auto"/>
                <w:sz w:val="24"/>
                <w:szCs w:val="24"/>
                <w:highlight w:val="none"/>
                <w:lang w:val="zh-TW" w:eastAsia="zh-CN"/>
              </w:rPr>
              <w:t>）</w:t>
            </w:r>
            <w:r>
              <w:rPr>
                <w:rFonts w:hint="eastAsia" w:ascii="仿宋" w:hAnsi="仿宋" w:eastAsia="仿宋" w:cs="仿宋"/>
                <w:bCs/>
                <w:color w:val="auto"/>
                <w:sz w:val="24"/>
                <w:szCs w:val="24"/>
                <w:highlight w:val="none"/>
                <w:lang w:val="zh-TW"/>
              </w:rPr>
              <w:t>的业绩项目进行评审，每个项目得</w:t>
            </w:r>
            <w:r>
              <w:rPr>
                <w:rFonts w:hint="eastAsia" w:ascii="仿宋" w:hAnsi="仿宋" w:eastAsia="仿宋" w:cs="仿宋"/>
                <w:bCs/>
                <w:color w:val="auto"/>
                <w:sz w:val="24"/>
                <w:szCs w:val="24"/>
                <w:highlight w:val="none"/>
                <w:lang w:val="en-US" w:eastAsia="zh-CN"/>
              </w:rPr>
              <w:t>0.5</w:t>
            </w:r>
            <w:r>
              <w:rPr>
                <w:rFonts w:hint="eastAsia" w:ascii="仿宋" w:hAnsi="仿宋" w:eastAsia="仿宋" w:cs="仿宋"/>
                <w:bCs/>
                <w:color w:val="auto"/>
                <w:sz w:val="24"/>
                <w:szCs w:val="24"/>
                <w:highlight w:val="none"/>
                <w:lang w:val="zh-TW"/>
              </w:rPr>
              <w:t>分。本项最高</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TW"/>
              </w:rPr>
              <w:t>分。</w:t>
            </w:r>
          </w:p>
          <w:p w14:paraId="135004DA">
            <w:pPr>
              <w:keepNext w:val="0"/>
              <w:keepLines w:val="0"/>
              <w:pageBreakBefore w:val="0"/>
              <w:kinsoku/>
              <w:wordWrap/>
              <w:overflowPunct/>
              <w:topLinePunct w:val="0"/>
              <w:autoSpaceDE/>
              <w:autoSpaceDN/>
              <w:bidi w:val="0"/>
              <w:adjustRightInd/>
              <w:snapToGrid/>
              <w:spacing w:line="400" w:lineRule="exact"/>
              <w:ind w:firstLine="269" w:firstLineChars="100"/>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pacing w:val="14"/>
                <w:sz w:val="24"/>
                <w:szCs w:val="24"/>
                <w:highlight w:val="none"/>
                <w:u w:val="single"/>
                <w:lang w:val="en-US" w:eastAsia="zh-CN"/>
              </w:rPr>
              <w:t>注：</w:t>
            </w:r>
            <w:r>
              <w:rPr>
                <w:rFonts w:hint="eastAsia" w:ascii="仿宋" w:hAnsi="仿宋" w:eastAsia="仿宋" w:cs="仿宋"/>
                <w:b/>
                <w:color w:val="auto"/>
                <w:spacing w:val="14"/>
                <w:sz w:val="24"/>
                <w:szCs w:val="24"/>
                <w:highlight w:val="none"/>
                <w:u w:val="single"/>
              </w:rPr>
              <w:t>提供中标（成交）通知书或合同</w:t>
            </w:r>
            <w:r>
              <w:rPr>
                <w:rFonts w:hint="eastAsia" w:ascii="仿宋" w:hAnsi="仿宋" w:eastAsia="仿宋" w:cs="仿宋"/>
                <w:b/>
                <w:color w:val="auto"/>
                <w:spacing w:val="14"/>
                <w:sz w:val="24"/>
                <w:szCs w:val="24"/>
                <w:highlight w:val="none"/>
                <w:u w:val="single"/>
                <w:lang w:eastAsia="zh-CN"/>
              </w:rPr>
              <w:t>复印件</w:t>
            </w:r>
            <w:r>
              <w:rPr>
                <w:rFonts w:hint="eastAsia" w:ascii="仿宋" w:hAnsi="仿宋" w:eastAsia="仿宋" w:cs="仿宋"/>
                <w:b/>
                <w:color w:val="auto"/>
                <w:spacing w:val="14"/>
                <w:sz w:val="24"/>
                <w:szCs w:val="24"/>
                <w:highlight w:val="none"/>
                <w:u w:val="single"/>
              </w:rPr>
              <w:t>并加盖公章。</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4DF32B9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1分</w:t>
            </w:r>
          </w:p>
        </w:tc>
      </w:tr>
      <w:tr w14:paraId="410D7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14:paraId="7C48D8F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C571BE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企业认证</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58384246">
            <w:pPr>
              <w:keepNext w:val="0"/>
              <w:keepLines w:val="0"/>
              <w:pageBreakBefore w:val="0"/>
              <w:tabs>
                <w:tab w:val="left" w:pos="1080"/>
              </w:tabs>
              <w:suppressAutoHyphen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、供应商具有有效质量管理体系认证证书的得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3F852E63">
            <w:pPr>
              <w:keepNext w:val="0"/>
              <w:keepLines w:val="0"/>
              <w:pageBreakBefore w:val="0"/>
              <w:tabs>
                <w:tab w:val="left" w:pos="1080"/>
              </w:tabs>
              <w:suppressAutoHyphen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供应商具有有效职业健康与安全管理体系认证证书的得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591D980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3、供应商具有有效的环境管理体系认证证书的得1分；</w:t>
            </w:r>
          </w:p>
          <w:p w14:paraId="40B295A1">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Cs/>
                <w:color w:val="auto"/>
                <w:sz w:val="24"/>
                <w:szCs w:val="24"/>
                <w:highlight w:val="none"/>
                <w:lang w:val="zh-TW"/>
              </w:rPr>
            </w:pPr>
            <w:r>
              <w:rPr>
                <w:rFonts w:hint="eastAsia" w:ascii="仿宋" w:hAnsi="仿宋" w:eastAsia="仿宋" w:cs="仿宋"/>
                <w:b/>
                <w:bCs/>
                <w:color w:val="auto"/>
                <w:kern w:val="2"/>
                <w:sz w:val="24"/>
                <w:szCs w:val="24"/>
                <w:highlight w:val="none"/>
                <w:lang w:val="en-US" w:eastAsia="zh-CN" w:bidi="ar-SA"/>
              </w:rPr>
              <w:t>注：</w:t>
            </w:r>
            <w:r>
              <w:rPr>
                <w:rFonts w:hint="eastAsia" w:ascii="仿宋" w:hAnsi="仿宋" w:eastAsia="仿宋" w:cs="仿宋"/>
                <w:color w:val="auto"/>
                <w:sz w:val="24"/>
                <w:highlight w:val="none"/>
                <w:lang w:eastAsia="zh-CN"/>
              </w:rPr>
              <w:t>须提供相关证书及全国认证认可信息公共服务平台http://cx.cnca.cn/的网页查询截图，复印件或扫描件并加盖</w:t>
            </w:r>
            <w:r>
              <w:rPr>
                <w:rFonts w:hint="eastAsia" w:ascii="仿宋" w:hAnsi="仿宋" w:eastAsia="仿宋" w:cs="仿宋"/>
                <w:color w:val="auto"/>
                <w:sz w:val="24"/>
                <w:highlight w:val="none"/>
                <w:lang w:val="en-US" w:eastAsia="zh-CN"/>
              </w:rPr>
              <w:t>供应商单位</w:t>
            </w:r>
            <w:r>
              <w:rPr>
                <w:rFonts w:hint="eastAsia" w:ascii="仿宋" w:hAnsi="仿宋" w:eastAsia="仿宋" w:cs="仿宋"/>
                <w:color w:val="auto"/>
                <w:sz w:val="24"/>
                <w:highlight w:val="none"/>
                <w:lang w:eastAsia="zh-CN"/>
              </w:rPr>
              <w:t>公章，否则评分不予认可。</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458FEC5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r w14:paraId="053F7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14:paraId="35176EF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FD733D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企业荣誉</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6767711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根据供应商提供有效的政府行政职能部门或行业主管部门授予的投标企业荣誉</w:t>
            </w:r>
            <w:r>
              <w:rPr>
                <w:rFonts w:hint="eastAsia" w:ascii="仿宋" w:hAnsi="仿宋" w:eastAsia="仿宋" w:cs="仿宋"/>
                <w:bCs/>
                <w:color w:val="auto"/>
                <w:sz w:val="24"/>
                <w:highlight w:val="none"/>
                <w:lang w:eastAsia="zh-CN"/>
              </w:rPr>
              <w:t>（大气</w:t>
            </w:r>
            <w:r>
              <w:rPr>
                <w:rFonts w:hint="eastAsia" w:ascii="仿宋" w:hAnsi="仿宋" w:eastAsia="仿宋" w:cs="仿宋"/>
                <w:bCs/>
                <w:color w:val="auto"/>
                <w:sz w:val="24"/>
                <w:highlight w:val="none"/>
                <w:lang w:val="en-US" w:eastAsia="zh-CN"/>
              </w:rPr>
              <w:t>污染源清单编制</w:t>
            </w:r>
            <w:r>
              <w:rPr>
                <w:rFonts w:hint="eastAsia" w:ascii="仿宋" w:hAnsi="仿宋" w:eastAsia="仿宋" w:cs="仿宋"/>
                <w:bCs/>
                <w:color w:val="auto"/>
                <w:sz w:val="24"/>
                <w:highlight w:val="none"/>
                <w:lang w:eastAsia="zh-CN"/>
              </w:rPr>
              <w:t>相关课题）</w:t>
            </w:r>
            <w:r>
              <w:rPr>
                <w:rFonts w:hint="eastAsia" w:ascii="仿宋" w:hAnsi="仿宋" w:eastAsia="仿宋" w:cs="仿宋"/>
                <w:bCs/>
                <w:color w:val="auto"/>
                <w:sz w:val="24"/>
                <w:highlight w:val="none"/>
              </w:rPr>
              <w:t>进行评分：</w:t>
            </w:r>
          </w:p>
          <w:p w14:paraId="684B8DD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市级，包含市政府所属的部、委、办、局或区、县政府授予的荣誉</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每提供一个</w:t>
            </w:r>
            <w:r>
              <w:rPr>
                <w:rFonts w:hint="eastAsia" w:ascii="仿宋" w:hAnsi="仿宋" w:eastAsia="仿宋" w:cs="仿宋"/>
                <w:bCs/>
                <w:color w:val="auto"/>
                <w:sz w:val="24"/>
                <w:highlight w:val="none"/>
              </w:rPr>
              <w:t>得1分。</w:t>
            </w:r>
          </w:p>
          <w:p w14:paraId="2867BA1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省级及以上</w:t>
            </w:r>
            <w:r>
              <w:rPr>
                <w:rFonts w:hint="eastAsia" w:ascii="仿宋" w:hAnsi="仿宋" w:eastAsia="仿宋" w:cs="仿宋"/>
                <w:bCs/>
                <w:color w:val="auto"/>
                <w:sz w:val="24"/>
                <w:highlight w:val="none"/>
              </w:rPr>
              <w:t>政府行政职能部门或行业主管部门授予</w:t>
            </w:r>
            <w:r>
              <w:rPr>
                <w:rFonts w:hint="eastAsia" w:ascii="仿宋" w:hAnsi="仿宋" w:eastAsia="仿宋" w:cs="仿宋"/>
                <w:bCs/>
                <w:color w:val="auto"/>
                <w:sz w:val="24"/>
                <w:highlight w:val="none"/>
                <w:lang w:eastAsia="zh-CN"/>
              </w:rPr>
              <w:t>的荣誉，</w:t>
            </w:r>
            <w:r>
              <w:rPr>
                <w:rFonts w:hint="eastAsia" w:ascii="仿宋" w:hAnsi="仿宋" w:eastAsia="仿宋" w:cs="仿宋"/>
                <w:bCs/>
                <w:color w:val="auto"/>
                <w:sz w:val="24"/>
                <w:highlight w:val="none"/>
                <w:lang w:val="en-US" w:eastAsia="zh-CN"/>
              </w:rPr>
              <w:t>每提供一个</w:t>
            </w:r>
            <w:r>
              <w:rPr>
                <w:rFonts w:hint="eastAsia" w:ascii="仿宋" w:hAnsi="仿宋" w:eastAsia="仿宋" w:cs="仿宋"/>
                <w:bCs/>
                <w:color w:val="auto"/>
                <w:sz w:val="24"/>
                <w:highlight w:val="none"/>
                <w:lang w:eastAsia="zh-CN"/>
              </w:rPr>
              <w:t>得</w:t>
            </w:r>
            <w:r>
              <w:rPr>
                <w:rFonts w:hint="eastAsia" w:ascii="仿宋" w:hAnsi="仿宋" w:eastAsia="仿宋" w:cs="仿宋"/>
                <w:bCs/>
                <w:color w:val="auto"/>
                <w:sz w:val="24"/>
                <w:highlight w:val="none"/>
                <w:lang w:val="en-US" w:eastAsia="zh-CN"/>
              </w:rPr>
              <w:t>3分。</w:t>
            </w:r>
          </w:p>
          <w:p w14:paraId="1FD0A8A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分值</w:t>
            </w:r>
            <w:r>
              <w:rPr>
                <w:rFonts w:hint="eastAsia" w:ascii="仿宋" w:hAnsi="仿宋" w:eastAsia="仿宋" w:cs="仿宋"/>
                <w:color w:val="auto"/>
                <w:sz w:val="24"/>
                <w:highlight w:val="none"/>
                <w:lang w:eastAsia="zh-CN"/>
              </w:rPr>
              <w:t>可</w:t>
            </w:r>
            <w:r>
              <w:rPr>
                <w:rFonts w:hint="eastAsia" w:ascii="仿宋" w:hAnsi="仿宋" w:eastAsia="仿宋" w:cs="仿宋"/>
                <w:color w:val="auto"/>
                <w:sz w:val="24"/>
                <w:highlight w:val="none"/>
              </w:rPr>
              <w:t>重复计算，未提供不得分。</w:t>
            </w:r>
            <w:r>
              <w:rPr>
                <w:rFonts w:hint="eastAsia" w:ascii="仿宋" w:hAnsi="仿宋" w:eastAsia="仿宋" w:cs="仿宋"/>
                <w:bCs/>
                <w:color w:val="auto"/>
                <w:sz w:val="24"/>
                <w:highlight w:val="none"/>
              </w:rPr>
              <w:t>本项最高得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p w14:paraId="49AC45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u w:val="none"/>
                <w:lang w:val="en-US" w:eastAsia="zh-CN"/>
              </w:rPr>
              <w:t>须提供荣誉证明复印件或相关证明材料并加盖供应商公章（相应证明资料中不能体现供应商名称的不得分）。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335B039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r w14:paraId="7F9F2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14:paraId="54F3F8D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52705D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企业实力</w:t>
            </w:r>
          </w:p>
        </w:tc>
        <w:tc>
          <w:tcPr>
            <w:tcW w:w="6938" w:type="dxa"/>
            <w:tcBorders>
              <w:top w:val="single" w:color="auto" w:sz="4" w:space="0"/>
              <w:left w:val="single" w:color="auto" w:sz="4" w:space="0"/>
              <w:bottom w:val="single" w:color="auto" w:sz="4" w:space="0"/>
              <w:right w:val="single" w:color="auto" w:sz="4" w:space="0"/>
            </w:tcBorders>
            <w:noWrap w:val="0"/>
            <w:vAlign w:val="center"/>
          </w:tcPr>
          <w:p w14:paraId="470C3A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sz w:val="24"/>
                <w:highlight w:val="none"/>
                <w:lang w:val="en-US" w:eastAsia="zh-CN"/>
              </w:rPr>
              <w:t>供应商具备大气污染物排放核算能力：制定过市级及以上重点行业大气污染物排放量计算方法，具有市级主管部门出具证明的得1分；具有省级及以上主管部门出具证明的得3分。最高得3分。</w:t>
            </w:r>
          </w:p>
          <w:p w14:paraId="044369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注：出具相关证明材料</w:t>
            </w:r>
            <w:r>
              <w:rPr>
                <w:rFonts w:hint="eastAsia" w:ascii="仿宋" w:hAnsi="仿宋" w:eastAsia="仿宋" w:cs="仿宋"/>
                <w:b/>
                <w:bCs/>
                <w:color w:val="auto"/>
                <w:kern w:val="2"/>
                <w:sz w:val="24"/>
                <w:szCs w:val="24"/>
                <w:highlight w:val="none"/>
                <w:lang w:val="en-US" w:eastAsia="zh-CN" w:bidi="ar-SA"/>
              </w:rPr>
              <w:t>复印件</w:t>
            </w:r>
            <w:r>
              <w:rPr>
                <w:rFonts w:hint="eastAsia" w:ascii="仿宋" w:hAnsi="仿宋" w:eastAsia="仿宋" w:cs="仿宋"/>
                <w:b/>
                <w:bCs/>
                <w:color w:val="auto"/>
                <w:sz w:val="24"/>
                <w:highlight w:val="none"/>
                <w:lang w:val="en-US" w:eastAsia="zh-CN"/>
              </w:rPr>
              <w:t>或彩色图片加盖</w:t>
            </w:r>
            <w:r>
              <w:rPr>
                <w:rFonts w:hint="eastAsia" w:ascii="仿宋" w:hAnsi="仿宋" w:eastAsia="仿宋" w:cs="仿宋"/>
                <w:b/>
                <w:color w:val="auto"/>
                <w:kern w:val="2"/>
                <w:sz w:val="24"/>
                <w:szCs w:val="24"/>
                <w:highlight w:val="none"/>
                <w:lang w:val="en-US" w:eastAsia="zh-CN" w:bidi="ar"/>
              </w:rPr>
              <w:t>供应商公章</w:t>
            </w:r>
            <w:r>
              <w:rPr>
                <w:rFonts w:hint="eastAsia" w:ascii="仿宋" w:hAnsi="仿宋" w:eastAsia="仿宋" w:cs="仿宋"/>
                <w:b/>
                <w:bCs/>
                <w:color w:val="auto"/>
                <w:sz w:val="24"/>
                <w:highlight w:val="none"/>
                <w:lang w:val="en-US" w:eastAsia="zh-CN"/>
              </w:rPr>
              <w:t>，不提供不得分。</w:t>
            </w:r>
          </w:p>
          <w:p w14:paraId="457CA6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sz w:val="24"/>
                <w:highlight w:val="none"/>
                <w:lang w:val="en-US" w:eastAsia="zh-CN"/>
              </w:rPr>
              <w:t>供应商具备制定大气污染排放系数的能力，熟悉重点行业大气污染排放特征，制定过市级及以上重点行业大气污染排放系数并公布的，每个行业得1分；最高得3分。</w:t>
            </w:r>
          </w:p>
          <w:p w14:paraId="431E869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41" w:firstLineChars="100"/>
              <w:textAlignment w:val="auto"/>
              <w:rPr>
                <w:rFonts w:hint="eastAsia" w:ascii="仿宋" w:hAnsi="仿宋" w:eastAsia="仿宋" w:cs="仿宋"/>
                <w:color w:val="auto"/>
                <w:highlight w:val="none"/>
                <w:lang w:val="en-US" w:eastAsia="zh-CN"/>
              </w:rPr>
            </w:pPr>
            <w:r>
              <w:rPr>
                <w:rFonts w:hint="eastAsia" w:ascii="仿宋" w:hAnsi="仿宋" w:eastAsia="仿宋" w:cs="仿宋"/>
                <w:b/>
                <w:color w:val="auto"/>
                <w:kern w:val="2"/>
                <w:sz w:val="24"/>
                <w:szCs w:val="24"/>
                <w:highlight w:val="none"/>
                <w:lang w:val="en-US" w:eastAsia="zh-CN" w:bidi="ar"/>
              </w:rPr>
              <w:t>注：出具公开发表论文、系数手册及其他相关证明材料扫描件或彩色图片加盖供应商公章，不提供不得分。</w:t>
            </w:r>
          </w:p>
          <w:p w14:paraId="04E997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3</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0"/>
                <w:highlight w:val="none"/>
                <w:lang w:val="en-US" w:eastAsia="zh-CN" w:bidi="ar-SA"/>
              </w:rPr>
              <w:t>投标人主持过省级及以上重点行业（需属于绩效分级39个重点行业或浙江省4个省级重点行业（</w:t>
            </w:r>
            <w:r>
              <w:rPr>
                <w:rFonts w:hint="eastAsia" w:ascii="仿宋" w:hAnsi="仿宋" w:eastAsia="仿宋" w:cs="仿宋"/>
                <w:color w:val="auto"/>
                <w:sz w:val="24"/>
                <w:szCs w:val="20"/>
                <w:highlight w:val="none"/>
              </w:rPr>
              <w:t>化纤，印染，精细化工，电子制造</w:t>
            </w:r>
            <w:r>
              <w:rPr>
                <w:rFonts w:hint="eastAsia" w:ascii="仿宋" w:hAnsi="仿宋" w:eastAsia="仿宋" w:cs="仿宋"/>
                <w:b w:val="0"/>
                <w:bCs w:val="0"/>
                <w:color w:val="auto"/>
                <w:kern w:val="2"/>
                <w:sz w:val="24"/>
                <w:szCs w:val="20"/>
                <w:highlight w:val="none"/>
                <w:lang w:val="en-US" w:eastAsia="zh-CN" w:bidi="ar-SA"/>
              </w:rPr>
              <w:t>））大气污染防治技术规范、技术指南、实施方案编制并发布的：每个技术政策得2分；主持过地市级重点行业大气污染防治技术规范、技术指南、实施方案编制并发布的，每个技术政策得1分；累计最高得10分。</w:t>
            </w:r>
          </w:p>
          <w:p w14:paraId="15F583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color w:val="auto"/>
                <w:kern w:val="2"/>
                <w:sz w:val="24"/>
                <w:szCs w:val="24"/>
                <w:highlight w:val="none"/>
                <w:lang w:val="en-US" w:eastAsia="zh-CN" w:bidi="ar"/>
              </w:rPr>
              <w:t>注：出具技术政策文件的封面和前言页及其他相关证明材料复印件</w:t>
            </w:r>
            <w:r>
              <w:rPr>
                <w:rFonts w:hint="eastAsia" w:ascii="仿宋" w:hAnsi="仿宋" w:eastAsia="仿宋" w:cs="仿宋"/>
                <w:b/>
                <w:bCs/>
                <w:color w:val="auto"/>
                <w:sz w:val="24"/>
                <w:highlight w:val="none"/>
                <w:lang w:val="en-US" w:eastAsia="zh-CN"/>
              </w:rPr>
              <w:t>或彩色图片加盖供应商公章</w:t>
            </w:r>
            <w:r>
              <w:rPr>
                <w:rFonts w:hint="eastAsia" w:ascii="仿宋" w:hAnsi="仿宋" w:eastAsia="仿宋" w:cs="仿宋"/>
                <w:b/>
                <w:color w:val="auto"/>
                <w:kern w:val="2"/>
                <w:sz w:val="24"/>
                <w:szCs w:val="24"/>
                <w:highlight w:val="none"/>
                <w:lang w:val="en-US" w:eastAsia="zh-CN" w:bidi="ar"/>
              </w:rPr>
              <w:t>，</w:t>
            </w:r>
            <w:r>
              <w:rPr>
                <w:rFonts w:hint="eastAsia" w:ascii="仿宋" w:hAnsi="仿宋" w:eastAsia="仿宋" w:cs="仿宋"/>
                <w:b/>
                <w:bCs/>
                <w:color w:val="auto"/>
                <w:sz w:val="24"/>
                <w:highlight w:val="none"/>
                <w:lang w:val="en-US" w:eastAsia="zh-CN"/>
              </w:rPr>
              <w:t>不提供不得分。</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10ED0AE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16分</w:t>
            </w:r>
          </w:p>
        </w:tc>
      </w:tr>
    </w:tbl>
    <w:p w14:paraId="32B91271">
      <w:pPr>
        <w:pStyle w:val="23"/>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color w:val="auto"/>
          <w:kern w:val="2"/>
          <w:sz w:val="24"/>
          <w:szCs w:val="24"/>
          <w:highlight w:val="none"/>
          <w:lang w:val="en-US" w:eastAsia="zh-CN" w:bidi="ar"/>
        </w:rPr>
      </w:pPr>
    </w:p>
    <w:p w14:paraId="095FD4EA">
      <w:pPr>
        <w:spacing w:line="540" w:lineRule="exact"/>
        <w:ind w:right="420" w:rightChars="200"/>
        <w:rPr>
          <w:rFonts w:ascii="仿宋" w:hAnsi="仿宋" w:eastAsia="仿宋" w:cs="仿宋"/>
          <w:color w:val="auto"/>
          <w:highlight w:val="none"/>
        </w:rPr>
      </w:pPr>
    </w:p>
    <w:sectPr>
      <w:headerReference r:id="rId7" w:type="default"/>
      <w:footerReference r:id="rId8" w:type="default"/>
      <w:pgSz w:w="11906" w:h="16838"/>
      <w:pgMar w:top="1134" w:right="1247" w:bottom="1032" w:left="1247"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8064">
    <w:pPr>
      <w:pStyle w:val="18"/>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浙江新诚信工程咨询有限公司                                0572-2615598</w:t>
    </w:r>
  </w:p>
  <w:p w14:paraId="5B1979E9">
    <w:pPr>
      <w:pStyle w:val="18"/>
      <w:jc w:val="center"/>
      <w:rPr>
        <w:rFonts w:ascii="仿宋" w:hAnsi="仿宋" w:eastAsia="仿宋" w:cs="仿宋"/>
        <w:sz w:val="21"/>
        <w:szCs w:val="21"/>
      </w:rPr>
    </w:pPr>
  </w:p>
  <w:p w14:paraId="0983AF0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D29A5">
    <w:pPr>
      <w:pStyle w:val="18"/>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浙江新诚信工程咨询有限公司                                0572-2615598</w:t>
    </w:r>
  </w:p>
  <w:p w14:paraId="2AE6FC21">
    <w:pPr>
      <w:pStyle w:val="18"/>
      <w:jc w:val="center"/>
      <w:rPr>
        <w:rFonts w:ascii="仿宋" w:hAnsi="仿宋" w:eastAsia="仿宋" w:cs="仿宋"/>
        <w:sz w:val="21"/>
        <w:szCs w:val="21"/>
      </w:rPr>
    </w:pPr>
  </w:p>
  <w:p w14:paraId="256DBACA">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051D">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A71C3">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937969">
                          <w:pPr>
                            <w:pStyle w:val="18"/>
                            <w:rPr>
                              <w:rStyle w:val="30"/>
                            </w:rPr>
                          </w:pPr>
                          <w:r>
                            <w:rPr>
                              <w:rStyle w:val="30"/>
                            </w:rPr>
                            <w:fldChar w:fldCharType="begin"/>
                          </w:r>
                          <w:r>
                            <w:rPr>
                              <w:rStyle w:val="30"/>
                            </w:rPr>
                            <w:instrText xml:space="preserve"> PAGE  \* MERGEFORMAT </w:instrText>
                          </w:r>
                          <w:r>
                            <w:rPr>
                              <w:rStyle w:val="30"/>
                            </w:rPr>
                            <w:fldChar w:fldCharType="separate"/>
                          </w:r>
                          <w:r>
                            <w:rPr>
                              <w:rStyle w:val="30"/>
                            </w:rPr>
                            <w:t>1</w:t>
                          </w:r>
                          <w:r>
                            <w:rPr>
                              <w:rStyle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BRZELTAAAABwEAAA8AAAAAAAAAAQAgAAAAIgAAAGRycy9kb3ducmV2LnhtbFBLAQIU&#10;ABQAAAAIAIdO4kCG8Zm0MQIAAGMEAAAOAAAAAAAAAAEAIAAAACIBAABkcnMvZTJvRG9jLnhtbFBL&#10;BQYAAAAABgAGAFkBAADFBQAAAAA=&#10;">
              <v:fill on="f" focussize="0,0"/>
              <v:stroke on="f" weight="0.5pt"/>
              <v:imagedata o:title=""/>
              <o:lock v:ext="edit" aspectratio="f"/>
              <v:textbox inset="0mm,0mm,0mm,0mm" style="mso-fit-shape-to-text:t;">
                <w:txbxContent>
                  <w:p w14:paraId="75937969">
                    <w:pPr>
                      <w:pStyle w:val="18"/>
                      <w:rPr>
                        <w:rStyle w:val="30"/>
                      </w:rPr>
                    </w:pPr>
                    <w:r>
                      <w:rPr>
                        <w:rStyle w:val="30"/>
                      </w:rPr>
                      <w:fldChar w:fldCharType="begin"/>
                    </w:r>
                    <w:r>
                      <w:rPr>
                        <w:rStyle w:val="30"/>
                      </w:rPr>
                      <w:instrText xml:space="preserve"> PAGE  \* MERGEFORMAT </w:instrText>
                    </w:r>
                    <w:r>
                      <w:rPr>
                        <w:rStyle w:val="30"/>
                      </w:rPr>
                      <w:fldChar w:fldCharType="separate"/>
                    </w:r>
                    <w:r>
                      <w:rPr>
                        <w:rStyle w:val="30"/>
                      </w:rPr>
                      <w:t>1</w:t>
                    </w:r>
                    <w:r>
                      <w:rPr>
                        <w:rStyle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03197">
    <w:pPr>
      <w:pStyle w:val="19"/>
      <w:pBdr>
        <w:bottom w:val="none" w:color="auto" w:sz="0" w:space="1"/>
      </w:pBdr>
      <w:ind w:left="7770" w:hanging="7770" w:hangingChars="3700"/>
      <w:jc w:val="left"/>
      <w:rPr>
        <w:rFonts w:ascii="仿宋" w:hAnsi="仿宋" w:eastAsia="仿宋" w:cs="仿宋"/>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43B3">
    <w:pPr>
      <w:widowControl/>
      <w:spacing w:line="660" w:lineRule="exact"/>
      <w:rPr>
        <w:rFonts w:ascii="仿宋" w:hAnsi="仿宋" w:eastAsia="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2230CC"/>
    <w:multiLevelType w:val="singleLevel"/>
    <w:tmpl w:val="2F2230CC"/>
    <w:lvl w:ilvl="0" w:tentative="0">
      <w:start w:val="1"/>
      <w:numFmt w:val="decimal"/>
      <w:suff w:val="nothing"/>
      <w:lvlText w:val="%1、"/>
      <w:lvlJc w:val="left"/>
    </w:lvl>
  </w:abstractNum>
  <w:abstractNum w:abstractNumId="2">
    <w:nsid w:val="3E39D6FF"/>
    <w:multiLevelType w:val="singleLevel"/>
    <w:tmpl w:val="3E39D6FF"/>
    <w:lvl w:ilvl="0" w:tentative="0">
      <w:start w:val="1"/>
      <w:numFmt w:val="chineseCounting"/>
      <w:suff w:val="space"/>
      <w:lvlText w:val="第%1章"/>
      <w:lvlJc w:val="left"/>
      <w:rPr>
        <w:rFonts w:hint="eastAsia"/>
      </w:rPr>
    </w:lvl>
  </w:abstractNum>
  <w:abstractNum w:abstractNumId="3">
    <w:nsid w:val="4CA46F2E"/>
    <w:multiLevelType w:val="multilevel"/>
    <w:tmpl w:val="4CA46F2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zdlMDU1MTc1YzQ3NzExMmIxNTAyNDE2NzA4MjgifQ=="/>
    <w:docVar w:name="KSO_WPS_MARK_KEY" w:val="bf0cebdd-ff94-4ef8-b352-e53529499eaf"/>
  </w:docVars>
  <w:rsids>
    <w:rsidRoot w:val="00172A27"/>
    <w:rsid w:val="00097F54"/>
    <w:rsid w:val="00100786"/>
    <w:rsid w:val="00172A27"/>
    <w:rsid w:val="00461156"/>
    <w:rsid w:val="009A5857"/>
    <w:rsid w:val="00B46961"/>
    <w:rsid w:val="00C72553"/>
    <w:rsid w:val="00C955C5"/>
    <w:rsid w:val="00D35A12"/>
    <w:rsid w:val="00E332D4"/>
    <w:rsid w:val="00F03612"/>
    <w:rsid w:val="00F470EA"/>
    <w:rsid w:val="013D4B60"/>
    <w:rsid w:val="01594AA8"/>
    <w:rsid w:val="019901BF"/>
    <w:rsid w:val="01C4065D"/>
    <w:rsid w:val="01EE10E5"/>
    <w:rsid w:val="023B4457"/>
    <w:rsid w:val="02436A73"/>
    <w:rsid w:val="02973924"/>
    <w:rsid w:val="02A1245A"/>
    <w:rsid w:val="02CA69C3"/>
    <w:rsid w:val="02D8723E"/>
    <w:rsid w:val="031B4DCD"/>
    <w:rsid w:val="03B40A04"/>
    <w:rsid w:val="03C66B76"/>
    <w:rsid w:val="042B2A2D"/>
    <w:rsid w:val="04385A96"/>
    <w:rsid w:val="04693B3D"/>
    <w:rsid w:val="04D82D56"/>
    <w:rsid w:val="052D1615"/>
    <w:rsid w:val="05372020"/>
    <w:rsid w:val="05A4454E"/>
    <w:rsid w:val="05C23B25"/>
    <w:rsid w:val="05C537BE"/>
    <w:rsid w:val="05D2339D"/>
    <w:rsid w:val="0671352A"/>
    <w:rsid w:val="06820426"/>
    <w:rsid w:val="068943A3"/>
    <w:rsid w:val="06BB3CE5"/>
    <w:rsid w:val="070B26EF"/>
    <w:rsid w:val="072478F4"/>
    <w:rsid w:val="0771579B"/>
    <w:rsid w:val="07E15B19"/>
    <w:rsid w:val="080B4FC2"/>
    <w:rsid w:val="08246E93"/>
    <w:rsid w:val="082D0FEC"/>
    <w:rsid w:val="088F5575"/>
    <w:rsid w:val="08C63771"/>
    <w:rsid w:val="08CB75BD"/>
    <w:rsid w:val="0904563C"/>
    <w:rsid w:val="09340DEA"/>
    <w:rsid w:val="093A1CD8"/>
    <w:rsid w:val="093F3F82"/>
    <w:rsid w:val="09CC161A"/>
    <w:rsid w:val="0A2509B7"/>
    <w:rsid w:val="0A3C7180"/>
    <w:rsid w:val="0A412ECB"/>
    <w:rsid w:val="0A9915BA"/>
    <w:rsid w:val="0AB06A35"/>
    <w:rsid w:val="0ACB306F"/>
    <w:rsid w:val="0AD376B8"/>
    <w:rsid w:val="0ADA7B8E"/>
    <w:rsid w:val="0B1008C8"/>
    <w:rsid w:val="0B20482E"/>
    <w:rsid w:val="0B347FF6"/>
    <w:rsid w:val="0B4F7C07"/>
    <w:rsid w:val="0B64718D"/>
    <w:rsid w:val="0B6E767D"/>
    <w:rsid w:val="0B77573F"/>
    <w:rsid w:val="0B7A6EF9"/>
    <w:rsid w:val="0BA92DF2"/>
    <w:rsid w:val="0BC0559A"/>
    <w:rsid w:val="0BDE68A5"/>
    <w:rsid w:val="0BEB24AE"/>
    <w:rsid w:val="0C0158DF"/>
    <w:rsid w:val="0C07111F"/>
    <w:rsid w:val="0C0E2E19"/>
    <w:rsid w:val="0C2C180D"/>
    <w:rsid w:val="0C3255ED"/>
    <w:rsid w:val="0C3969CD"/>
    <w:rsid w:val="0C6A5B49"/>
    <w:rsid w:val="0CAE17F9"/>
    <w:rsid w:val="0CE71E24"/>
    <w:rsid w:val="0CF65BDD"/>
    <w:rsid w:val="0CFC185B"/>
    <w:rsid w:val="0D3B2BC7"/>
    <w:rsid w:val="0D646E08"/>
    <w:rsid w:val="0D690623"/>
    <w:rsid w:val="0D961F69"/>
    <w:rsid w:val="0DA341AF"/>
    <w:rsid w:val="0DD86730"/>
    <w:rsid w:val="0DDA1011"/>
    <w:rsid w:val="0DF3026D"/>
    <w:rsid w:val="0E0013EF"/>
    <w:rsid w:val="0E137E11"/>
    <w:rsid w:val="0E163CB6"/>
    <w:rsid w:val="0E3538B1"/>
    <w:rsid w:val="0E4512A2"/>
    <w:rsid w:val="0E5728E3"/>
    <w:rsid w:val="0EA32867"/>
    <w:rsid w:val="0F27485B"/>
    <w:rsid w:val="0F2B4043"/>
    <w:rsid w:val="0F36417B"/>
    <w:rsid w:val="0FA14F53"/>
    <w:rsid w:val="0FDF3286"/>
    <w:rsid w:val="10130D68"/>
    <w:rsid w:val="108B2B3B"/>
    <w:rsid w:val="10B7486C"/>
    <w:rsid w:val="10F5757C"/>
    <w:rsid w:val="111749F9"/>
    <w:rsid w:val="11617E2F"/>
    <w:rsid w:val="11861A0E"/>
    <w:rsid w:val="11D30DBF"/>
    <w:rsid w:val="120B614A"/>
    <w:rsid w:val="12135469"/>
    <w:rsid w:val="123B7D46"/>
    <w:rsid w:val="12A10CC2"/>
    <w:rsid w:val="12A72D69"/>
    <w:rsid w:val="12CD0AA7"/>
    <w:rsid w:val="12F26E2C"/>
    <w:rsid w:val="13164819"/>
    <w:rsid w:val="13242569"/>
    <w:rsid w:val="1335758E"/>
    <w:rsid w:val="133656E5"/>
    <w:rsid w:val="13944620"/>
    <w:rsid w:val="14135A37"/>
    <w:rsid w:val="14282CBE"/>
    <w:rsid w:val="1430271A"/>
    <w:rsid w:val="147B0A12"/>
    <w:rsid w:val="14993759"/>
    <w:rsid w:val="14F0527E"/>
    <w:rsid w:val="153100E0"/>
    <w:rsid w:val="15593193"/>
    <w:rsid w:val="15887DFB"/>
    <w:rsid w:val="15ED5270"/>
    <w:rsid w:val="16443A9D"/>
    <w:rsid w:val="16740EF4"/>
    <w:rsid w:val="16764CEA"/>
    <w:rsid w:val="16A77330"/>
    <w:rsid w:val="16B6444E"/>
    <w:rsid w:val="16CB6312"/>
    <w:rsid w:val="170F6114"/>
    <w:rsid w:val="17171279"/>
    <w:rsid w:val="1740285C"/>
    <w:rsid w:val="177D2588"/>
    <w:rsid w:val="17966920"/>
    <w:rsid w:val="17AB5D47"/>
    <w:rsid w:val="17EB2569"/>
    <w:rsid w:val="17FAC4D3"/>
    <w:rsid w:val="183606C3"/>
    <w:rsid w:val="18801768"/>
    <w:rsid w:val="18DA121D"/>
    <w:rsid w:val="18E45469"/>
    <w:rsid w:val="19317DF2"/>
    <w:rsid w:val="193B23CF"/>
    <w:rsid w:val="19514BD9"/>
    <w:rsid w:val="1990646A"/>
    <w:rsid w:val="19942328"/>
    <w:rsid w:val="19E35BF1"/>
    <w:rsid w:val="19F85670"/>
    <w:rsid w:val="1A05130C"/>
    <w:rsid w:val="1A7A70EF"/>
    <w:rsid w:val="1ABC72D1"/>
    <w:rsid w:val="1AD93112"/>
    <w:rsid w:val="1B276316"/>
    <w:rsid w:val="1B3F77E9"/>
    <w:rsid w:val="1B4F4DFB"/>
    <w:rsid w:val="1BE877C1"/>
    <w:rsid w:val="1C06768E"/>
    <w:rsid w:val="1C1A0C21"/>
    <w:rsid w:val="1C2F2E9F"/>
    <w:rsid w:val="1CA84555"/>
    <w:rsid w:val="1CCE7A03"/>
    <w:rsid w:val="1DA87390"/>
    <w:rsid w:val="1DBB0A71"/>
    <w:rsid w:val="1DFB7C65"/>
    <w:rsid w:val="1E035D66"/>
    <w:rsid w:val="1E327280"/>
    <w:rsid w:val="1EF603BC"/>
    <w:rsid w:val="1EF6339E"/>
    <w:rsid w:val="1F152820"/>
    <w:rsid w:val="1F2418C4"/>
    <w:rsid w:val="1F505D79"/>
    <w:rsid w:val="1F6A6616"/>
    <w:rsid w:val="1F8C6C4C"/>
    <w:rsid w:val="1FAA740D"/>
    <w:rsid w:val="1FC37230"/>
    <w:rsid w:val="1FCF796F"/>
    <w:rsid w:val="1FEC4899"/>
    <w:rsid w:val="20922CB7"/>
    <w:rsid w:val="20A53B59"/>
    <w:rsid w:val="21AB6153"/>
    <w:rsid w:val="223219B2"/>
    <w:rsid w:val="224A2BFB"/>
    <w:rsid w:val="227B1896"/>
    <w:rsid w:val="2281728D"/>
    <w:rsid w:val="228A2AFC"/>
    <w:rsid w:val="22B54189"/>
    <w:rsid w:val="22BA6B35"/>
    <w:rsid w:val="22F64C82"/>
    <w:rsid w:val="232D20FA"/>
    <w:rsid w:val="237F7C33"/>
    <w:rsid w:val="23881862"/>
    <w:rsid w:val="23A719B6"/>
    <w:rsid w:val="23D1105D"/>
    <w:rsid w:val="23F54417"/>
    <w:rsid w:val="24935653"/>
    <w:rsid w:val="249A47EB"/>
    <w:rsid w:val="24A21A72"/>
    <w:rsid w:val="24E87D94"/>
    <w:rsid w:val="250E1CE4"/>
    <w:rsid w:val="25302054"/>
    <w:rsid w:val="25414148"/>
    <w:rsid w:val="25A4390E"/>
    <w:rsid w:val="262A5111"/>
    <w:rsid w:val="26373CBC"/>
    <w:rsid w:val="268D73AC"/>
    <w:rsid w:val="26915D55"/>
    <w:rsid w:val="269C249C"/>
    <w:rsid w:val="270333F6"/>
    <w:rsid w:val="2733555C"/>
    <w:rsid w:val="27797A29"/>
    <w:rsid w:val="2783150D"/>
    <w:rsid w:val="2814527D"/>
    <w:rsid w:val="2830745C"/>
    <w:rsid w:val="28365677"/>
    <w:rsid w:val="284449AE"/>
    <w:rsid w:val="288874AD"/>
    <w:rsid w:val="289831A1"/>
    <w:rsid w:val="28D728F5"/>
    <w:rsid w:val="28DE3252"/>
    <w:rsid w:val="291034CC"/>
    <w:rsid w:val="29112458"/>
    <w:rsid w:val="291D4D0A"/>
    <w:rsid w:val="298927F8"/>
    <w:rsid w:val="29B8498C"/>
    <w:rsid w:val="29BE15C6"/>
    <w:rsid w:val="29F55728"/>
    <w:rsid w:val="2A233FCE"/>
    <w:rsid w:val="2A384496"/>
    <w:rsid w:val="2A492A2D"/>
    <w:rsid w:val="2A787807"/>
    <w:rsid w:val="2A7953A1"/>
    <w:rsid w:val="2AC07052"/>
    <w:rsid w:val="2AD43590"/>
    <w:rsid w:val="2AE9491C"/>
    <w:rsid w:val="2B0214BD"/>
    <w:rsid w:val="2B0B3754"/>
    <w:rsid w:val="2B190124"/>
    <w:rsid w:val="2B552DF1"/>
    <w:rsid w:val="2BD8709E"/>
    <w:rsid w:val="2BE74A05"/>
    <w:rsid w:val="2BEC28A4"/>
    <w:rsid w:val="2BF65827"/>
    <w:rsid w:val="2BFB2E19"/>
    <w:rsid w:val="2C3F2F17"/>
    <w:rsid w:val="2C475AEE"/>
    <w:rsid w:val="2CAA6070"/>
    <w:rsid w:val="2CBB6D5D"/>
    <w:rsid w:val="2CC444C4"/>
    <w:rsid w:val="2CE832F7"/>
    <w:rsid w:val="2D0314F6"/>
    <w:rsid w:val="2D2773D1"/>
    <w:rsid w:val="2D2C2DED"/>
    <w:rsid w:val="2DEE4968"/>
    <w:rsid w:val="2E09179F"/>
    <w:rsid w:val="2E2020E1"/>
    <w:rsid w:val="2E8A2E93"/>
    <w:rsid w:val="2E9F2E49"/>
    <w:rsid w:val="2EAB2B9C"/>
    <w:rsid w:val="2EE87A66"/>
    <w:rsid w:val="2EF02C89"/>
    <w:rsid w:val="2EF8624D"/>
    <w:rsid w:val="2EFB6551"/>
    <w:rsid w:val="2F6A7BFA"/>
    <w:rsid w:val="2F9E6908"/>
    <w:rsid w:val="2FA26989"/>
    <w:rsid w:val="2FAA4FA4"/>
    <w:rsid w:val="2FD31C9E"/>
    <w:rsid w:val="30180020"/>
    <w:rsid w:val="302E5E9B"/>
    <w:rsid w:val="30497D75"/>
    <w:rsid w:val="304F650E"/>
    <w:rsid w:val="308253DB"/>
    <w:rsid w:val="31063B63"/>
    <w:rsid w:val="31267F1E"/>
    <w:rsid w:val="31300690"/>
    <w:rsid w:val="31357775"/>
    <w:rsid w:val="31482F68"/>
    <w:rsid w:val="31552F9F"/>
    <w:rsid w:val="315E7873"/>
    <w:rsid w:val="319525C0"/>
    <w:rsid w:val="31C335E3"/>
    <w:rsid w:val="31C70619"/>
    <w:rsid w:val="31CC6AA5"/>
    <w:rsid w:val="3255145A"/>
    <w:rsid w:val="326205EA"/>
    <w:rsid w:val="32A004DC"/>
    <w:rsid w:val="32D50F5A"/>
    <w:rsid w:val="33013677"/>
    <w:rsid w:val="332E52E9"/>
    <w:rsid w:val="333B3FD9"/>
    <w:rsid w:val="33435798"/>
    <w:rsid w:val="33466BF6"/>
    <w:rsid w:val="338A0FFE"/>
    <w:rsid w:val="33B31EB4"/>
    <w:rsid w:val="33C03E65"/>
    <w:rsid w:val="33C24980"/>
    <w:rsid w:val="33D623CD"/>
    <w:rsid w:val="33F92805"/>
    <w:rsid w:val="340547AC"/>
    <w:rsid w:val="3444432F"/>
    <w:rsid w:val="348A2F11"/>
    <w:rsid w:val="349A7A3F"/>
    <w:rsid w:val="34B85698"/>
    <w:rsid w:val="34F15104"/>
    <w:rsid w:val="35305866"/>
    <w:rsid w:val="35D7315E"/>
    <w:rsid w:val="360867E3"/>
    <w:rsid w:val="36765044"/>
    <w:rsid w:val="36D35A1E"/>
    <w:rsid w:val="36EE5669"/>
    <w:rsid w:val="370E607B"/>
    <w:rsid w:val="37441298"/>
    <w:rsid w:val="37725351"/>
    <w:rsid w:val="378B5DCC"/>
    <w:rsid w:val="381A2417"/>
    <w:rsid w:val="3838732A"/>
    <w:rsid w:val="387664FA"/>
    <w:rsid w:val="38A26F76"/>
    <w:rsid w:val="38A320EF"/>
    <w:rsid w:val="38B669E3"/>
    <w:rsid w:val="39E67C4A"/>
    <w:rsid w:val="39F50A51"/>
    <w:rsid w:val="39F64DC7"/>
    <w:rsid w:val="3A0B34EA"/>
    <w:rsid w:val="3A3A3B2A"/>
    <w:rsid w:val="3A4C711F"/>
    <w:rsid w:val="3B2640A1"/>
    <w:rsid w:val="3B3910A0"/>
    <w:rsid w:val="3B3C195C"/>
    <w:rsid w:val="3B45726A"/>
    <w:rsid w:val="3B4856EB"/>
    <w:rsid w:val="3B646736"/>
    <w:rsid w:val="3B6F09CF"/>
    <w:rsid w:val="3B7D5E85"/>
    <w:rsid w:val="3B8829D4"/>
    <w:rsid w:val="3BDD3C05"/>
    <w:rsid w:val="3C3209F8"/>
    <w:rsid w:val="3C342695"/>
    <w:rsid w:val="3C62707C"/>
    <w:rsid w:val="3C7374BE"/>
    <w:rsid w:val="3CD10311"/>
    <w:rsid w:val="3CEB2520"/>
    <w:rsid w:val="3D001434"/>
    <w:rsid w:val="3D0038A0"/>
    <w:rsid w:val="3D053ED7"/>
    <w:rsid w:val="3D5D60A8"/>
    <w:rsid w:val="3DC201B3"/>
    <w:rsid w:val="3DC924E9"/>
    <w:rsid w:val="3DD57961"/>
    <w:rsid w:val="3DFE4168"/>
    <w:rsid w:val="3E1201FF"/>
    <w:rsid w:val="3E373433"/>
    <w:rsid w:val="3E5B3103"/>
    <w:rsid w:val="3E667279"/>
    <w:rsid w:val="3E78202C"/>
    <w:rsid w:val="3F42139D"/>
    <w:rsid w:val="3F454EB3"/>
    <w:rsid w:val="3F5600D8"/>
    <w:rsid w:val="3F634A8A"/>
    <w:rsid w:val="3F664BFC"/>
    <w:rsid w:val="3F861B34"/>
    <w:rsid w:val="3FA037AF"/>
    <w:rsid w:val="3FAB3381"/>
    <w:rsid w:val="3FBB1A3C"/>
    <w:rsid w:val="3FD37E62"/>
    <w:rsid w:val="401A3413"/>
    <w:rsid w:val="403C65F0"/>
    <w:rsid w:val="408D1DBF"/>
    <w:rsid w:val="4113053B"/>
    <w:rsid w:val="412A4986"/>
    <w:rsid w:val="413127D1"/>
    <w:rsid w:val="415D4B3C"/>
    <w:rsid w:val="418424EB"/>
    <w:rsid w:val="41B31CF9"/>
    <w:rsid w:val="41E06866"/>
    <w:rsid w:val="41E43C4C"/>
    <w:rsid w:val="42192802"/>
    <w:rsid w:val="421D3616"/>
    <w:rsid w:val="423C5C2A"/>
    <w:rsid w:val="4243251F"/>
    <w:rsid w:val="42A145F4"/>
    <w:rsid w:val="42B653D8"/>
    <w:rsid w:val="42D9110E"/>
    <w:rsid w:val="431959A7"/>
    <w:rsid w:val="435E5276"/>
    <w:rsid w:val="43E75F34"/>
    <w:rsid w:val="44383774"/>
    <w:rsid w:val="447B39B3"/>
    <w:rsid w:val="449776B0"/>
    <w:rsid w:val="44991EDC"/>
    <w:rsid w:val="44D07F90"/>
    <w:rsid w:val="44E03886"/>
    <w:rsid w:val="44EB3285"/>
    <w:rsid w:val="451070A1"/>
    <w:rsid w:val="4528655A"/>
    <w:rsid w:val="45630CC0"/>
    <w:rsid w:val="457B2D49"/>
    <w:rsid w:val="45BF52DB"/>
    <w:rsid w:val="45C30031"/>
    <w:rsid w:val="45DC5C7F"/>
    <w:rsid w:val="460F771A"/>
    <w:rsid w:val="462417D4"/>
    <w:rsid w:val="464956A3"/>
    <w:rsid w:val="464B3AF8"/>
    <w:rsid w:val="464F25F8"/>
    <w:rsid w:val="46805F22"/>
    <w:rsid w:val="46C44412"/>
    <w:rsid w:val="46DC70FD"/>
    <w:rsid w:val="470775A3"/>
    <w:rsid w:val="47356752"/>
    <w:rsid w:val="47CD3790"/>
    <w:rsid w:val="47D864D4"/>
    <w:rsid w:val="480C5D35"/>
    <w:rsid w:val="48234C0F"/>
    <w:rsid w:val="48271645"/>
    <w:rsid w:val="483D1C62"/>
    <w:rsid w:val="486B1FD7"/>
    <w:rsid w:val="48C12F4D"/>
    <w:rsid w:val="49211B63"/>
    <w:rsid w:val="49661035"/>
    <w:rsid w:val="49DA10FE"/>
    <w:rsid w:val="4A123756"/>
    <w:rsid w:val="4A1C197E"/>
    <w:rsid w:val="4A4C71A1"/>
    <w:rsid w:val="4A550FBD"/>
    <w:rsid w:val="4A773957"/>
    <w:rsid w:val="4A8065F0"/>
    <w:rsid w:val="4A9A7C03"/>
    <w:rsid w:val="4A9F0EFE"/>
    <w:rsid w:val="4AA778D1"/>
    <w:rsid w:val="4AA82F6B"/>
    <w:rsid w:val="4ACA72FB"/>
    <w:rsid w:val="4B1D60B4"/>
    <w:rsid w:val="4BB74194"/>
    <w:rsid w:val="4BB900ED"/>
    <w:rsid w:val="4BCE24FB"/>
    <w:rsid w:val="4BF60E13"/>
    <w:rsid w:val="4C1244F7"/>
    <w:rsid w:val="4C29643C"/>
    <w:rsid w:val="4C441543"/>
    <w:rsid w:val="4C5E3F3B"/>
    <w:rsid w:val="4CA85A8C"/>
    <w:rsid w:val="4CE42200"/>
    <w:rsid w:val="4D060757"/>
    <w:rsid w:val="4D152A86"/>
    <w:rsid w:val="4D490D09"/>
    <w:rsid w:val="4D963E29"/>
    <w:rsid w:val="4DA370C6"/>
    <w:rsid w:val="4DAC067B"/>
    <w:rsid w:val="4DB73B3A"/>
    <w:rsid w:val="4DC725B8"/>
    <w:rsid w:val="4DE414E3"/>
    <w:rsid w:val="4DF11073"/>
    <w:rsid w:val="4E094FEC"/>
    <w:rsid w:val="4E0B4E03"/>
    <w:rsid w:val="4E1E03F4"/>
    <w:rsid w:val="4E213FB1"/>
    <w:rsid w:val="4E246514"/>
    <w:rsid w:val="4E292B41"/>
    <w:rsid w:val="4E526418"/>
    <w:rsid w:val="4E710F72"/>
    <w:rsid w:val="4E7A5B06"/>
    <w:rsid w:val="4E894AA6"/>
    <w:rsid w:val="4EF86F9D"/>
    <w:rsid w:val="4F0E0B39"/>
    <w:rsid w:val="4F1373BE"/>
    <w:rsid w:val="4F5C3E56"/>
    <w:rsid w:val="4F6E20F8"/>
    <w:rsid w:val="4F9B24F4"/>
    <w:rsid w:val="4FA36F0E"/>
    <w:rsid w:val="4FAA3EB4"/>
    <w:rsid w:val="4FCD042A"/>
    <w:rsid w:val="50594CB7"/>
    <w:rsid w:val="506E2C10"/>
    <w:rsid w:val="50E52447"/>
    <w:rsid w:val="51051586"/>
    <w:rsid w:val="51331AED"/>
    <w:rsid w:val="51C838E3"/>
    <w:rsid w:val="51DE6483"/>
    <w:rsid w:val="51E33D99"/>
    <w:rsid w:val="51EB4B97"/>
    <w:rsid w:val="52103846"/>
    <w:rsid w:val="52360E0C"/>
    <w:rsid w:val="523942DD"/>
    <w:rsid w:val="524D4E26"/>
    <w:rsid w:val="5275657F"/>
    <w:rsid w:val="52866565"/>
    <w:rsid w:val="52D4387D"/>
    <w:rsid w:val="52DF5181"/>
    <w:rsid w:val="52EF3704"/>
    <w:rsid w:val="530214BD"/>
    <w:rsid w:val="53090C02"/>
    <w:rsid w:val="532F71C7"/>
    <w:rsid w:val="539D19BB"/>
    <w:rsid w:val="53A86C1F"/>
    <w:rsid w:val="54077C82"/>
    <w:rsid w:val="543C2103"/>
    <w:rsid w:val="54A35CBB"/>
    <w:rsid w:val="54AF02B1"/>
    <w:rsid w:val="54D32A41"/>
    <w:rsid w:val="54E30B20"/>
    <w:rsid w:val="54F95460"/>
    <w:rsid w:val="54FB30C3"/>
    <w:rsid w:val="55456726"/>
    <w:rsid w:val="555A5DEC"/>
    <w:rsid w:val="555B3075"/>
    <w:rsid w:val="556B5097"/>
    <w:rsid w:val="55F25770"/>
    <w:rsid w:val="561A6F04"/>
    <w:rsid w:val="568E14BC"/>
    <w:rsid w:val="56BC4005"/>
    <w:rsid w:val="56E81AE4"/>
    <w:rsid w:val="57072008"/>
    <w:rsid w:val="572341B6"/>
    <w:rsid w:val="57247B1F"/>
    <w:rsid w:val="57862D68"/>
    <w:rsid w:val="5799311F"/>
    <w:rsid w:val="57E36383"/>
    <w:rsid w:val="57F62CC3"/>
    <w:rsid w:val="583E0CB1"/>
    <w:rsid w:val="585322D1"/>
    <w:rsid w:val="5871327B"/>
    <w:rsid w:val="58991383"/>
    <w:rsid w:val="58D03A3A"/>
    <w:rsid w:val="58D22B7F"/>
    <w:rsid w:val="5929028C"/>
    <w:rsid w:val="5934586C"/>
    <w:rsid w:val="596013A4"/>
    <w:rsid w:val="596A270D"/>
    <w:rsid w:val="59AF0A45"/>
    <w:rsid w:val="59CC0D4E"/>
    <w:rsid w:val="59DB1BD3"/>
    <w:rsid w:val="59DB2571"/>
    <w:rsid w:val="5A2426D0"/>
    <w:rsid w:val="5A767910"/>
    <w:rsid w:val="5A7D391C"/>
    <w:rsid w:val="5A87548E"/>
    <w:rsid w:val="5A8A26E4"/>
    <w:rsid w:val="5AE31B30"/>
    <w:rsid w:val="5B0E7B48"/>
    <w:rsid w:val="5B386973"/>
    <w:rsid w:val="5B5B7E08"/>
    <w:rsid w:val="5B694BE9"/>
    <w:rsid w:val="5BC86593"/>
    <w:rsid w:val="5C3A5362"/>
    <w:rsid w:val="5C3E6229"/>
    <w:rsid w:val="5C4A4966"/>
    <w:rsid w:val="5C6C59CD"/>
    <w:rsid w:val="5C970AB9"/>
    <w:rsid w:val="5CCB2E26"/>
    <w:rsid w:val="5CD1185B"/>
    <w:rsid w:val="5CD35D3E"/>
    <w:rsid w:val="5CE7404B"/>
    <w:rsid w:val="5D6A05DC"/>
    <w:rsid w:val="5D7F13FC"/>
    <w:rsid w:val="5DFA0558"/>
    <w:rsid w:val="5E2F1776"/>
    <w:rsid w:val="5E541E21"/>
    <w:rsid w:val="5E7A26E4"/>
    <w:rsid w:val="5E9A2473"/>
    <w:rsid w:val="5EA7453C"/>
    <w:rsid w:val="5EC26AB0"/>
    <w:rsid w:val="5ED66BCF"/>
    <w:rsid w:val="5F423DF6"/>
    <w:rsid w:val="5F4E49D2"/>
    <w:rsid w:val="5F641286"/>
    <w:rsid w:val="5FEE72CA"/>
    <w:rsid w:val="602010AE"/>
    <w:rsid w:val="60361BA1"/>
    <w:rsid w:val="605E5CF5"/>
    <w:rsid w:val="60786190"/>
    <w:rsid w:val="610E08A2"/>
    <w:rsid w:val="611575D5"/>
    <w:rsid w:val="61273D49"/>
    <w:rsid w:val="613025C6"/>
    <w:rsid w:val="614318D6"/>
    <w:rsid w:val="618A73AA"/>
    <w:rsid w:val="61E27004"/>
    <w:rsid w:val="620B4C69"/>
    <w:rsid w:val="620B4DE2"/>
    <w:rsid w:val="62220A71"/>
    <w:rsid w:val="6229295F"/>
    <w:rsid w:val="628A16C5"/>
    <w:rsid w:val="62C47861"/>
    <w:rsid w:val="63006606"/>
    <w:rsid w:val="63007459"/>
    <w:rsid w:val="63226E50"/>
    <w:rsid w:val="633A4C72"/>
    <w:rsid w:val="633D6D7A"/>
    <w:rsid w:val="63797AC3"/>
    <w:rsid w:val="63811457"/>
    <w:rsid w:val="63936E3D"/>
    <w:rsid w:val="63C57B95"/>
    <w:rsid w:val="63CE48B3"/>
    <w:rsid w:val="63D146D3"/>
    <w:rsid w:val="63D70ECA"/>
    <w:rsid w:val="645D3FD0"/>
    <w:rsid w:val="64615B78"/>
    <w:rsid w:val="648A2EBA"/>
    <w:rsid w:val="64E01F98"/>
    <w:rsid w:val="65221D5E"/>
    <w:rsid w:val="65235F13"/>
    <w:rsid w:val="653852E6"/>
    <w:rsid w:val="658878B1"/>
    <w:rsid w:val="65A43583"/>
    <w:rsid w:val="65C81BB4"/>
    <w:rsid w:val="663A016C"/>
    <w:rsid w:val="667E2906"/>
    <w:rsid w:val="668A7943"/>
    <w:rsid w:val="6691078F"/>
    <w:rsid w:val="669B2A06"/>
    <w:rsid w:val="66BC3D6A"/>
    <w:rsid w:val="66E52CB4"/>
    <w:rsid w:val="66EF6B73"/>
    <w:rsid w:val="66F652E5"/>
    <w:rsid w:val="671F17EB"/>
    <w:rsid w:val="67211A33"/>
    <w:rsid w:val="673749DB"/>
    <w:rsid w:val="67562CB8"/>
    <w:rsid w:val="67731D8A"/>
    <w:rsid w:val="677A1D46"/>
    <w:rsid w:val="6793565D"/>
    <w:rsid w:val="67D363A2"/>
    <w:rsid w:val="67F644A0"/>
    <w:rsid w:val="68025E35"/>
    <w:rsid w:val="68141B8B"/>
    <w:rsid w:val="681450EA"/>
    <w:rsid w:val="684A5B95"/>
    <w:rsid w:val="689C6793"/>
    <w:rsid w:val="68D75C06"/>
    <w:rsid w:val="6916677A"/>
    <w:rsid w:val="691804DB"/>
    <w:rsid w:val="694C6837"/>
    <w:rsid w:val="696E786B"/>
    <w:rsid w:val="69AB16BB"/>
    <w:rsid w:val="69BD19C1"/>
    <w:rsid w:val="6A1432B1"/>
    <w:rsid w:val="6A3B43ED"/>
    <w:rsid w:val="6A70682E"/>
    <w:rsid w:val="6ACE0985"/>
    <w:rsid w:val="6AD4435E"/>
    <w:rsid w:val="6AF814A5"/>
    <w:rsid w:val="6B4950A9"/>
    <w:rsid w:val="6B5109DA"/>
    <w:rsid w:val="6B6C2B09"/>
    <w:rsid w:val="6B740057"/>
    <w:rsid w:val="6B7A55A4"/>
    <w:rsid w:val="6B994AD4"/>
    <w:rsid w:val="6BA82C30"/>
    <w:rsid w:val="6BD76DDA"/>
    <w:rsid w:val="6BFC1338"/>
    <w:rsid w:val="6BFF1784"/>
    <w:rsid w:val="6C2E4B41"/>
    <w:rsid w:val="6CAE44ED"/>
    <w:rsid w:val="6CC41357"/>
    <w:rsid w:val="6CF13D2F"/>
    <w:rsid w:val="6CF546C4"/>
    <w:rsid w:val="6D0E5786"/>
    <w:rsid w:val="6D3558E2"/>
    <w:rsid w:val="6D99465B"/>
    <w:rsid w:val="6DD5685C"/>
    <w:rsid w:val="6DF2085E"/>
    <w:rsid w:val="6E3379D9"/>
    <w:rsid w:val="6E37145A"/>
    <w:rsid w:val="6E671469"/>
    <w:rsid w:val="6E97376B"/>
    <w:rsid w:val="6ED4637D"/>
    <w:rsid w:val="6EE70FDE"/>
    <w:rsid w:val="6EF571EF"/>
    <w:rsid w:val="6F433E0D"/>
    <w:rsid w:val="6F4A42DA"/>
    <w:rsid w:val="6F652652"/>
    <w:rsid w:val="6F6C40D6"/>
    <w:rsid w:val="6F7EA9E9"/>
    <w:rsid w:val="6F873C8C"/>
    <w:rsid w:val="6FBB73E4"/>
    <w:rsid w:val="6FE75F47"/>
    <w:rsid w:val="70121EEF"/>
    <w:rsid w:val="70A96034"/>
    <w:rsid w:val="713B0382"/>
    <w:rsid w:val="718169FE"/>
    <w:rsid w:val="718F3E5B"/>
    <w:rsid w:val="71A1306D"/>
    <w:rsid w:val="71B75B64"/>
    <w:rsid w:val="71C829EA"/>
    <w:rsid w:val="72515C8C"/>
    <w:rsid w:val="728D39C8"/>
    <w:rsid w:val="72CD18F7"/>
    <w:rsid w:val="72E24852"/>
    <w:rsid w:val="73666B57"/>
    <w:rsid w:val="739A7603"/>
    <w:rsid w:val="73CD4756"/>
    <w:rsid w:val="73F94001"/>
    <w:rsid w:val="74122000"/>
    <w:rsid w:val="742F3CB1"/>
    <w:rsid w:val="74330669"/>
    <w:rsid w:val="746E2ABD"/>
    <w:rsid w:val="74777719"/>
    <w:rsid w:val="74852ECC"/>
    <w:rsid w:val="74A44223"/>
    <w:rsid w:val="74A67F54"/>
    <w:rsid w:val="74EA09B6"/>
    <w:rsid w:val="74F00563"/>
    <w:rsid w:val="74F556AA"/>
    <w:rsid w:val="74FF2F33"/>
    <w:rsid w:val="75130EA2"/>
    <w:rsid w:val="75460206"/>
    <w:rsid w:val="75F51DD2"/>
    <w:rsid w:val="76515259"/>
    <w:rsid w:val="765637C0"/>
    <w:rsid w:val="76E121E0"/>
    <w:rsid w:val="773F40B1"/>
    <w:rsid w:val="77763C00"/>
    <w:rsid w:val="779D52B1"/>
    <w:rsid w:val="78704423"/>
    <w:rsid w:val="788F055B"/>
    <w:rsid w:val="78AC5046"/>
    <w:rsid w:val="78BB2C99"/>
    <w:rsid w:val="78E63D42"/>
    <w:rsid w:val="78F572F7"/>
    <w:rsid w:val="79216FB6"/>
    <w:rsid w:val="792A07ED"/>
    <w:rsid w:val="794C38BE"/>
    <w:rsid w:val="797D6FDD"/>
    <w:rsid w:val="798412AA"/>
    <w:rsid w:val="79C4103C"/>
    <w:rsid w:val="79C67B14"/>
    <w:rsid w:val="79F341C6"/>
    <w:rsid w:val="7A42133E"/>
    <w:rsid w:val="7A7D5833"/>
    <w:rsid w:val="7B1138F9"/>
    <w:rsid w:val="7B160EDC"/>
    <w:rsid w:val="7B66762B"/>
    <w:rsid w:val="7B9945BC"/>
    <w:rsid w:val="7BD960B7"/>
    <w:rsid w:val="7C4E1AFC"/>
    <w:rsid w:val="7C973EA1"/>
    <w:rsid w:val="7CC01B5A"/>
    <w:rsid w:val="7D1D41F4"/>
    <w:rsid w:val="7D246948"/>
    <w:rsid w:val="7D41467E"/>
    <w:rsid w:val="7D4B095E"/>
    <w:rsid w:val="7D783EEB"/>
    <w:rsid w:val="7D7F5576"/>
    <w:rsid w:val="7D9B444F"/>
    <w:rsid w:val="7DAA0ADC"/>
    <w:rsid w:val="7DB23A4C"/>
    <w:rsid w:val="7DF726D2"/>
    <w:rsid w:val="7E3753DA"/>
    <w:rsid w:val="7E4A540F"/>
    <w:rsid w:val="7E64769F"/>
    <w:rsid w:val="7E8C3332"/>
    <w:rsid w:val="7E8E7D1F"/>
    <w:rsid w:val="7EA865E1"/>
    <w:rsid w:val="7EC148B6"/>
    <w:rsid w:val="7ECD35DF"/>
    <w:rsid w:val="7ED93E46"/>
    <w:rsid w:val="7F0F3592"/>
    <w:rsid w:val="7F896EDB"/>
    <w:rsid w:val="7F9E6E81"/>
    <w:rsid w:val="7FCB5E84"/>
    <w:rsid w:val="9ED780EE"/>
    <w:rsid w:val="BDDB9517"/>
    <w:rsid w:val="FF8FBBDD"/>
    <w:rsid w:val="FFCF0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99"/>
    <w:pPr>
      <w:keepNext/>
      <w:keepLines/>
      <w:numPr>
        <w:ilvl w:val="2"/>
        <w:numId w:val="1"/>
      </w:numPr>
      <w:outlineLvl w:val="2"/>
    </w:pPr>
    <w:rPr>
      <w:rFonts w:ascii="仿宋" w:hAnsi="仿宋"/>
      <w:b/>
      <w:bCs/>
      <w:sz w:val="30"/>
      <w:szCs w:val="32"/>
    </w:rPr>
  </w:style>
  <w:style w:type="paragraph" w:styleId="5">
    <w:name w:val="heading 4"/>
    <w:basedOn w:val="4"/>
    <w:next w:val="1"/>
    <w:qFormat/>
    <w:uiPriority w:val="9"/>
    <w:pPr>
      <w:numPr>
        <w:ilvl w:val="3"/>
      </w:numPr>
      <w:outlineLvl w:val="3"/>
    </w:pPr>
    <w:rPr>
      <w:sz w:val="28"/>
      <w:szCs w:val="28"/>
    </w:rPr>
  </w:style>
  <w:style w:type="paragraph" w:styleId="6">
    <w:name w:val="heading 5"/>
    <w:basedOn w:val="1"/>
    <w:next w:val="1"/>
    <w:qFormat/>
    <w:uiPriority w:val="9"/>
    <w:pPr>
      <w:keepNext/>
      <w:keepLines/>
      <w:numPr>
        <w:ilvl w:val="4"/>
        <w:numId w:val="1"/>
      </w:numPr>
      <w:spacing w:before="120" w:after="120" w:line="377" w:lineRule="auto"/>
      <w:outlineLvl w:val="4"/>
    </w:pPr>
    <w:rPr>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9">
    <w:name w:val="caption"/>
    <w:basedOn w:val="1"/>
    <w:next w:val="1"/>
    <w:qFormat/>
    <w:uiPriority w:val="0"/>
    <w:rPr>
      <w:rFonts w:ascii="Arial" w:hAnsi="Arial" w:eastAsia="黑体"/>
      <w:sz w:val="20"/>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w:basedOn w:val="1"/>
    <w:next w:val="13"/>
    <w:qFormat/>
    <w:uiPriority w:val="0"/>
    <w:rPr>
      <w:rFonts w:ascii="宋体" w:hAnsi="宋体"/>
      <w:sz w:val="28"/>
    </w:rPr>
  </w:style>
  <w:style w:type="paragraph" w:styleId="13">
    <w:name w:val="Body Text First Indent"/>
    <w:basedOn w:val="12"/>
    <w:next w:val="1"/>
    <w:qFormat/>
    <w:uiPriority w:val="0"/>
    <w:pPr>
      <w:spacing w:line="312" w:lineRule="auto"/>
      <w:ind w:firstLine="420"/>
    </w:pPr>
  </w:style>
  <w:style w:type="paragraph" w:styleId="14">
    <w:name w:val="Block Text"/>
    <w:basedOn w:val="1"/>
    <w:qFormat/>
    <w:uiPriority w:val="99"/>
    <w:pPr>
      <w:adjustRightInd w:val="0"/>
      <w:ind w:left="420" w:right="33"/>
      <w:textAlignment w:val="baseline"/>
    </w:pPr>
    <w:rPr>
      <w:sz w:val="24"/>
    </w:rPr>
  </w:style>
  <w:style w:type="paragraph" w:styleId="15">
    <w:name w:val="Plain Text"/>
    <w:basedOn w:val="1"/>
    <w:next w:val="1"/>
    <w:qFormat/>
    <w:uiPriority w:val="0"/>
    <w:pPr>
      <w:spacing w:beforeLines="50" w:afterLines="50" w:line="400" w:lineRule="exact"/>
    </w:pPr>
    <w:rPr>
      <w:rFonts w:ascii="宋体" w:hAnsi="Courier New"/>
      <w:sz w:val="24"/>
    </w:rPr>
  </w:style>
  <w:style w:type="paragraph" w:styleId="16">
    <w:name w:val="Body Text Indent 2"/>
    <w:basedOn w:val="1"/>
    <w:qFormat/>
    <w:uiPriority w:val="0"/>
    <w:pPr>
      <w:spacing w:line="480" w:lineRule="auto"/>
      <w:ind w:left="420" w:leftChars="200"/>
    </w:pPr>
  </w:style>
  <w:style w:type="paragraph" w:styleId="17">
    <w:name w:val="Balloon Text"/>
    <w:basedOn w:val="1"/>
    <w:link w:val="52"/>
    <w:qFormat/>
    <w:uiPriority w:val="0"/>
    <w:rPr>
      <w:sz w:val="18"/>
      <w:szCs w:val="18"/>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0">
    <w:name w:val="toc 6"/>
    <w:basedOn w:val="1"/>
    <w:next w:val="1"/>
    <w:qFormat/>
    <w:uiPriority w:val="0"/>
    <w:pPr>
      <w:ind w:left="1050"/>
      <w:jc w:val="left"/>
    </w:pPr>
    <w:rPr>
      <w:sz w:val="18"/>
      <w:szCs w:val="18"/>
    </w:rPr>
  </w:style>
  <w:style w:type="paragraph" w:styleId="21">
    <w:name w:val="Body Text Indent 3"/>
    <w:basedOn w:val="1"/>
    <w:qFormat/>
    <w:uiPriority w:val="99"/>
    <w:pPr>
      <w:spacing w:line="500" w:lineRule="atLeast"/>
      <w:ind w:firstLine="720" w:firstLineChars="300"/>
    </w:pPr>
    <w:rPr>
      <w:rFonts w:ascii="Times New Roman" w:hAnsi="Times New Roman"/>
      <w:sz w:val="24"/>
    </w:rPr>
  </w:style>
  <w:style w:type="paragraph" w:styleId="22">
    <w:name w:val="toc 2"/>
    <w:basedOn w:val="1"/>
    <w:next w:val="1"/>
    <w:qFormat/>
    <w:uiPriority w:val="39"/>
    <w:pPr>
      <w:ind w:left="420" w:leftChars="200"/>
    </w:pPr>
    <w:rPr>
      <w:szCs w:val="20"/>
    </w:rPr>
  </w:style>
  <w:style w:type="paragraph" w:styleId="23">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4">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5">
    <w:name w:val="Body Text First Indent 2"/>
    <w:basedOn w:val="8"/>
    <w:qFormat/>
    <w:uiPriority w:val="99"/>
    <w:pPr>
      <w:tabs>
        <w:tab w:val="left" w:pos="0"/>
        <w:tab w:val="left" w:pos="993"/>
        <w:tab w:val="left" w:pos="1134"/>
      </w:tabs>
      <w:spacing w:after="120" w:line="240" w:lineRule="auto"/>
      <w:ind w:left="420" w:leftChars="200" w:firstLine="420"/>
    </w:pPr>
    <w:rPr>
      <w:sz w:val="21"/>
      <w:szCs w:val="21"/>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qFormat/>
    <w:uiPriority w:val="0"/>
  </w:style>
  <w:style w:type="character" w:styleId="31">
    <w:name w:val="Hyperlink"/>
    <w:qFormat/>
    <w:uiPriority w:val="99"/>
    <w:rPr>
      <w:color w:val="1F1F1F"/>
      <w:u w:val="none"/>
    </w:rPr>
  </w:style>
  <w:style w:type="character" w:styleId="32">
    <w:name w:val="annotation reference"/>
    <w:basedOn w:val="28"/>
    <w:qFormat/>
    <w:uiPriority w:val="0"/>
    <w:rPr>
      <w:sz w:val="21"/>
      <w:szCs w:val="21"/>
    </w:rPr>
  </w:style>
  <w:style w:type="character" w:styleId="33">
    <w:name w:val="HTML Sample"/>
    <w:basedOn w:val="28"/>
    <w:qFormat/>
    <w:uiPriority w:val="0"/>
    <w:rPr>
      <w:rFonts w:ascii="Courier New" w:hAnsi="Courier New"/>
    </w:rPr>
  </w:style>
  <w:style w:type="paragraph" w:customStyle="1" w:styleId="34">
    <w:name w:val="正文格式"/>
    <w:basedOn w:val="1"/>
    <w:qFormat/>
    <w:uiPriority w:val="0"/>
    <w:pPr>
      <w:widowControl/>
      <w:adjustRightInd w:val="0"/>
      <w:snapToGrid w:val="0"/>
      <w:spacing w:line="400" w:lineRule="atLeast"/>
      <w:ind w:firstLine="482"/>
      <w:textAlignment w:val="baseline"/>
    </w:pPr>
    <w:rPr>
      <w:kern w:val="0"/>
      <w:sz w:val="24"/>
      <w:szCs w:val="22"/>
    </w:rPr>
  </w:style>
  <w:style w:type="paragraph" w:customStyle="1" w:styleId="35">
    <w:name w:val="_Style 1"/>
    <w:qFormat/>
    <w:uiPriority w:val="0"/>
    <w:rPr>
      <w:rFonts w:ascii="Times New Roman" w:hAnsi="Times New Roman" w:eastAsia="宋体" w:cs="Times New Roman"/>
      <w:kern w:val="2"/>
      <w:sz w:val="28"/>
      <w:szCs w:val="22"/>
      <w:lang w:val="en-US" w:eastAsia="zh-CN" w:bidi="ar-SA"/>
    </w:rPr>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表格文字"/>
    <w:basedOn w:val="1"/>
    <w:next w:val="12"/>
    <w:qFormat/>
    <w:uiPriority w:val="0"/>
    <w:pPr>
      <w:adjustRightInd w:val="0"/>
      <w:spacing w:line="420" w:lineRule="atLeast"/>
      <w:jc w:val="left"/>
      <w:textAlignment w:val="baseline"/>
    </w:pPr>
    <w:rPr>
      <w:kern w:val="0"/>
      <w:szCs w:val="21"/>
    </w:rPr>
  </w:style>
  <w:style w:type="paragraph" w:customStyle="1" w:styleId="38">
    <w:name w:val="章正文"/>
    <w:basedOn w:val="1"/>
    <w:qFormat/>
    <w:uiPriority w:val="0"/>
    <w:pPr>
      <w:spacing w:beforeLines="50" w:after="120" w:line="300" w:lineRule="auto"/>
      <w:ind w:firstLine="480"/>
    </w:pPr>
    <w:rPr>
      <w:rFonts w:ascii="Helvetica" w:hAnsi="Helvetica"/>
      <w:kern w:val="0"/>
      <w:sz w:val="24"/>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BodyText1I2"/>
    <w:basedOn w:val="41"/>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1">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2">
    <w:name w:val="Table Paragraph"/>
    <w:basedOn w:val="1"/>
    <w:qFormat/>
    <w:uiPriority w:val="1"/>
  </w:style>
  <w:style w:type="paragraph" w:customStyle="1" w:styleId="43">
    <w:name w:val="列出段落1"/>
    <w:basedOn w:val="1"/>
    <w:qFormat/>
    <w:uiPriority w:val="0"/>
    <w:pPr>
      <w:ind w:firstLine="420" w:firstLineChars="200"/>
    </w:pPr>
  </w:style>
  <w:style w:type="paragraph" w:customStyle="1" w:styleId="44">
    <w:name w:val="正文段"/>
    <w:basedOn w:val="1"/>
    <w:qFormat/>
    <w:uiPriority w:val="0"/>
    <w:pPr>
      <w:widowControl/>
      <w:snapToGrid w:val="0"/>
      <w:spacing w:afterLines="50"/>
      <w:ind w:firstLine="200" w:firstLineChars="200"/>
    </w:pPr>
    <w:rPr>
      <w:kern w:val="0"/>
      <w:sz w:val="24"/>
      <w:szCs w:val="20"/>
    </w:rPr>
  </w:style>
  <w:style w:type="paragraph" w:customStyle="1" w:styleId="45">
    <w:name w:val="BodyText1I"/>
    <w:basedOn w:val="46"/>
    <w:qFormat/>
    <w:uiPriority w:val="0"/>
    <w:pPr>
      <w:tabs>
        <w:tab w:val="left" w:pos="3380"/>
      </w:tabs>
      <w:ind w:firstLine="420" w:firstLineChars="100"/>
    </w:pPr>
    <w:rPr>
      <w:rFonts w:ascii="宋体" w:hAnsi="宋体"/>
      <w:sz w:val="28"/>
      <w:szCs w:val="28"/>
    </w:rPr>
  </w:style>
  <w:style w:type="paragraph" w:customStyle="1" w:styleId="46">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7">
    <w:name w:val="[Normal]"/>
    <w:qFormat/>
    <w:uiPriority w:val="0"/>
    <w:rPr>
      <w:rFonts w:ascii="宋体" w:hAnsi="宋体" w:eastAsia="宋体" w:cs="Times New Roman"/>
      <w:sz w:val="24"/>
      <w:szCs w:val="22"/>
      <w:lang w:val="zh-CN" w:eastAsia="zh-CN" w:bidi="ar-SA"/>
    </w:rPr>
  </w:style>
  <w:style w:type="character" w:customStyle="1" w:styleId="48">
    <w:name w:val="font41"/>
    <w:basedOn w:val="28"/>
    <w:qFormat/>
    <w:uiPriority w:val="0"/>
    <w:rPr>
      <w:rFonts w:hint="eastAsia" w:ascii="宋体" w:hAnsi="宋体" w:eastAsia="宋体" w:cs="宋体"/>
      <w:color w:val="000000"/>
      <w:sz w:val="20"/>
      <w:szCs w:val="20"/>
      <w:u w:val="none"/>
    </w:rPr>
  </w:style>
  <w:style w:type="character" w:customStyle="1" w:styleId="49">
    <w:name w:val="NormalCharacter"/>
    <w:qFormat/>
    <w:uiPriority w:val="0"/>
  </w:style>
  <w:style w:type="paragraph" w:customStyle="1" w:styleId="50">
    <w:name w:val="*正文"/>
    <w:basedOn w:val="1"/>
    <w:next w:val="1"/>
    <w:qFormat/>
    <w:uiPriority w:val="0"/>
    <w:pPr>
      <w:widowControl/>
      <w:ind w:firstLine="200" w:firstLineChars="200"/>
      <w:jc w:val="left"/>
    </w:pPr>
    <w:rPr>
      <w:rFonts w:ascii="仿宋_GB2312" w:eastAsia="仿宋_GB2312"/>
      <w:szCs w:val="28"/>
    </w:rPr>
  </w:style>
  <w:style w:type="paragraph" w:customStyle="1" w:styleId="51">
    <w:name w:val="sp-正文"/>
    <w:basedOn w:val="1"/>
    <w:qFormat/>
    <w:uiPriority w:val="9"/>
  </w:style>
  <w:style w:type="character" w:customStyle="1" w:styleId="52">
    <w:name w:val="批注框文本 Char"/>
    <w:basedOn w:val="28"/>
    <w:link w:val="17"/>
    <w:qFormat/>
    <w:uiPriority w:val="0"/>
    <w:rPr>
      <w:rFonts w:ascii="Calibri" w:hAnsi="Calibri"/>
      <w:kern w:val="2"/>
      <w:sz w:val="18"/>
      <w:szCs w:val="18"/>
    </w:rPr>
  </w:style>
  <w:style w:type="character" w:customStyle="1" w:styleId="53">
    <w:name w:val="font21"/>
    <w:basedOn w:val="28"/>
    <w:qFormat/>
    <w:uiPriority w:val="0"/>
    <w:rPr>
      <w:rFonts w:hint="eastAsia" w:ascii="仿宋" w:hAnsi="仿宋" w:eastAsia="仿宋" w:cs="仿宋"/>
      <w:color w:val="000000"/>
      <w:sz w:val="24"/>
      <w:szCs w:val="24"/>
      <w:u w:val="single"/>
    </w:rPr>
  </w:style>
  <w:style w:type="character" w:customStyle="1" w:styleId="54">
    <w:name w:val="font11"/>
    <w:basedOn w:val="28"/>
    <w:qFormat/>
    <w:uiPriority w:val="0"/>
    <w:rPr>
      <w:rFonts w:hint="eastAsia" w:ascii="仿宋" w:hAnsi="仿宋" w:eastAsia="仿宋" w:cs="仿宋"/>
      <w:color w:val="000000"/>
      <w:sz w:val="24"/>
      <w:szCs w:val="24"/>
      <w:u w:val="none"/>
    </w:rPr>
  </w:style>
  <w:style w:type="paragraph" w:customStyle="1" w:styleId="55">
    <w:name w:val="样式 正文文本缩进 + 首行缩进:  2 字符 行距: 1.5 倍行距"/>
    <w:basedOn w:val="8"/>
    <w:qFormat/>
    <w:uiPriority w:val="0"/>
    <w:pPr>
      <w:spacing w:before="156"/>
      <w:ind w:firstLine="482"/>
    </w:pPr>
    <w:rPr>
      <w:rFonts w:cs="宋体"/>
      <w:b/>
    </w:rPr>
  </w:style>
  <w:style w:type="paragraph" w:customStyle="1" w:styleId="56">
    <w:name w:val="列表段落1"/>
    <w:basedOn w:val="1"/>
    <w:qFormat/>
    <w:uiPriority w:val="99"/>
    <w:pPr>
      <w:spacing w:line="360" w:lineRule="auto"/>
      <w:ind w:firstLine="420"/>
    </w:pPr>
    <w:rPr>
      <w:rFonts w:eastAsia="仿宋_GB2312" w:asciiTheme="minorHAnsi" w:hAnsiTheme="minorHAnsi"/>
      <w:spacing w:val="6"/>
      <w:szCs w:val="20"/>
    </w:rPr>
  </w:style>
  <w:style w:type="paragraph" w:customStyle="1" w:styleId="57">
    <w:name w:val="Heading3"/>
    <w:basedOn w:val="1"/>
    <w:next w:val="1"/>
    <w:qFormat/>
    <w:uiPriority w:val="0"/>
    <w:pPr>
      <w:spacing w:before="120" w:after="120" w:line="300" w:lineRule="auto"/>
    </w:pPr>
    <w:rPr>
      <w:sz w:val="24"/>
      <w:szCs w:val="20"/>
    </w:rPr>
  </w:style>
  <w:style w:type="character" w:customStyle="1" w:styleId="58">
    <w:name w:val="font31"/>
    <w:basedOn w:val="28"/>
    <w:qFormat/>
    <w:uiPriority w:val="0"/>
    <w:rPr>
      <w:rFonts w:hint="eastAsia" w:ascii="宋体" w:hAnsi="宋体" w:eastAsia="宋体" w:cs="宋体"/>
      <w:color w:val="000000"/>
      <w:sz w:val="20"/>
      <w:szCs w:val="20"/>
      <w:u w:val="none"/>
    </w:rPr>
  </w:style>
  <w:style w:type="paragraph" w:customStyle="1" w:styleId="59">
    <w:name w:val="DAS正文"/>
    <w:basedOn w:val="1"/>
    <w:qFormat/>
    <w:uiPriority w:val="0"/>
    <w:pPr>
      <w:spacing w:line="360" w:lineRule="auto"/>
      <w:ind w:right="181" w:firstLine="480" w:firstLineChars="200"/>
    </w:pPr>
    <w:rPr>
      <w:rFonts w:ascii="Verdana" w:hAnsi="Verdana" w:cs="Verdana"/>
    </w:rPr>
  </w:style>
  <w:style w:type="paragraph" w:styleId="60">
    <w:name w:val="No Spacing"/>
    <w:basedOn w:val="1"/>
    <w:qFormat/>
    <w:uiPriority w:val="1"/>
    <w:pPr>
      <w:widowControl w:val="0"/>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18010</Words>
  <Characters>19494</Characters>
  <Lines>192</Lines>
  <Paragraphs>54</Paragraphs>
  <TotalTime>0</TotalTime>
  <ScaleCrop>false</ScaleCrop>
  <LinksUpToDate>false</LinksUpToDate>
  <CharactersWithSpaces>19870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2025-03-03T17:52:00Z</dcterms:created>
  <dc:creator>Administrator.PC-20160716QTOZ</dc:creator>
  <cp:lastModifiedBy>Administrator</cp:lastModifiedBy>
  <cp:lastPrinted>2025-04-24T08:30:00Z</cp:lastPrinted>
  <dcterms:modified xsi:type="dcterms:W3CDTF">2025-07-15T08:33:00Z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88133ECF265C4D2A9DC20DE097DFB9E2_13</vt:lpwstr>
  </property>
  <property fmtid="{D5CDD505-2E9C-101B-9397-08002B2CF9AE}" pid="4" name="KSOSaveFontToCloudKey">
    <vt:lpwstr>240195731_btnclosed</vt:lpwstr>
  </property>
  <property fmtid="{D5CDD505-2E9C-101B-9397-08002B2CF9AE}" pid="5" name="KSOTemplateDocerSaveRecord">
    <vt:lpwstr>eyJoZGlkIjoiNGYwMzdlMDU1MTc1YzQ3NzExMmIxNTAyNDE2NzA4MjgiLCJ1c2VySWQiOiI1MDAxMDEzNjUifQ==</vt:lpwstr>
  </property>
</Properties>
</file>