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9D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11B2D1">
      <w:pPr>
        <w:rPr>
          <w:rFonts w:hint="eastAsia"/>
        </w:rPr>
      </w:pPr>
    </w:p>
    <w:p w14:paraId="59A43403">
      <w:pPr>
        <w:rPr>
          <w:rFonts w:hint="eastAsia"/>
          <w:b/>
        </w:rPr>
      </w:pPr>
      <w:r>
        <w:rPr>
          <w:rFonts w:hint="eastAsia"/>
          <w:b/>
        </w:rPr>
        <w:t>标段编号：QTCG-GK-2025-070</w:t>
      </w:r>
    </w:p>
    <w:p w14:paraId="1FB970DC">
      <w:pPr>
        <w:rPr>
          <w:rFonts w:hint="eastAsia"/>
          <w:b/>
        </w:rPr>
      </w:pPr>
      <w:r>
        <w:rPr>
          <w:rFonts w:hint="eastAsia"/>
          <w:b/>
        </w:rPr>
        <w:t>标段名称：2025年钱塘区住建行业纠纷人民调解工作服务项目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46D9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98BDB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5CDB62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79DF80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25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757691D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 w14:paraId="275EB8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杭州嘉沃商务信息咨询有限公司</w:t>
            </w:r>
          </w:p>
        </w:tc>
        <w:tc>
          <w:tcPr>
            <w:tcW w:w="3329" w:type="dxa"/>
            <w:vAlign w:val="center"/>
          </w:tcPr>
          <w:p w14:paraId="3C6942C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总分：60.8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2234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B50C4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 w14:paraId="547A1E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杭州零启信息技术有限公司</w:t>
            </w:r>
          </w:p>
        </w:tc>
        <w:tc>
          <w:tcPr>
            <w:tcW w:w="3329" w:type="dxa"/>
            <w:vAlign w:val="center"/>
          </w:tcPr>
          <w:p w14:paraId="43A4B2C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总分：39.36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</w:tbl>
    <w:p w14:paraId="6097C057"/>
    <w:p w14:paraId="6F0E920C">
      <w:pPr>
        <w:rPr>
          <w:rFonts w:hint="eastAsia"/>
        </w:rPr>
      </w:pPr>
    </w:p>
    <w:p w14:paraId="76F4547F"/>
    <w:p w14:paraId="3DAB18C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4F056E16"/>
    <w:rsid w:val="772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2025-06-05T06:25:19Z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A315CC1F46DF488B933BB010F8667788_13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