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新魏" w:hAnsi="宋体" w:eastAsia="华文新魏"/>
          <w:b/>
          <w:sz w:val="52"/>
          <w:szCs w:val="52"/>
        </w:rPr>
      </w:pPr>
      <w:bookmarkStart w:id="0" w:name="OLE_LINK1"/>
    </w:p>
    <w:p>
      <w:pPr>
        <w:jc w:val="center"/>
        <w:rPr>
          <w:rFonts w:ascii="华文新魏" w:hAnsi="宋体" w:eastAsia="华文新魏"/>
          <w:b/>
          <w:spacing w:val="-14"/>
          <w:sz w:val="52"/>
          <w:szCs w:val="52"/>
        </w:rPr>
      </w:pPr>
    </w:p>
    <w:p>
      <w:pPr>
        <w:jc w:val="center"/>
        <w:rPr>
          <w:rFonts w:ascii="华文新魏" w:hAnsi="华文新魏" w:eastAsia="华文新魏"/>
          <w:b/>
          <w:sz w:val="52"/>
        </w:rPr>
      </w:pPr>
      <w:r>
        <w:rPr>
          <w:rFonts w:hint="eastAsia" w:ascii="华文新魏" w:hAnsi="华文新魏" w:eastAsia="华文新魏"/>
          <w:b/>
          <w:sz w:val="52"/>
        </w:rPr>
        <w:t>岱山县第一人民医院设备采购项目</w:t>
      </w:r>
    </w:p>
    <w:p>
      <w:pPr>
        <w:snapToGrid w:val="0"/>
        <w:spacing w:line="312" w:lineRule="auto"/>
        <w:rPr>
          <w:rFonts w:ascii="华文新魏" w:hAnsi="华文新魏" w:eastAsia="华文新魏"/>
          <w:b/>
          <w:sz w:val="52"/>
        </w:rPr>
      </w:pPr>
    </w:p>
    <w:p>
      <w:pPr>
        <w:snapToGrid w:val="0"/>
        <w:spacing w:line="312" w:lineRule="auto"/>
        <w:jc w:val="center"/>
        <w:rPr>
          <w:rFonts w:ascii="华文新魏" w:hAnsi="华文新魏" w:eastAsia="华文新魏"/>
          <w:b/>
          <w:sz w:val="52"/>
        </w:rPr>
      </w:pPr>
      <w:r>
        <w:rPr>
          <w:rFonts w:hint="eastAsia" w:ascii="华文新魏" w:hAnsi="华文新魏" w:eastAsia="华文新魏"/>
          <w:b/>
          <w:sz w:val="52"/>
        </w:rPr>
        <w:t>招标文件</w:t>
      </w:r>
    </w:p>
    <w:p>
      <w:pPr>
        <w:snapToGrid w:val="0"/>
        <w:spacing w:before="120" w:line="312" w:lineRule="auto"/>
        <w:rPr>
          <w:rFonts w:ascii="华文新魏" w:hAnsi="华文新魏" w:eastAsia="华文新魏"/>
          <w:b/>
          <w:sz w:val="32"/>
        </w:rPr>
      </w:pPr>
    </w:p>
    <w:p>
      <w:pPr>
        <w:snapToGrid w:val="0"/>
        <w:spacing w:before="120" w:line="312" w:lineRule="auto"/>
        <w:rPr>
          <w:rFonts w:ascii="华文新魏" w:hAnsi="宋体" w:eastAsia="华文新魏"/>
          <w:b/>
          <w:sz w:val="32"/>
        </w:rPr>
      </w:pPr>
      <w:r>
        <w:rPr>
          <w:rFonts w:hint="eastAsia" w:ascii="华文新魏" w:hAnsi="华文新魏" w:eastAsia="华文新魏"/>
          <w:b/>
          <w:sz w:val="32"/>
        </w:rPr>
        <w:t>项目编号：</w:t>
      </w:r>
      <w:r>
        <w:rPr>
          <w:rFonts w:ascii="华文新魏" w:hAnsi="宋体" w:eastAsia="华文新魏"/>
          <w:b/>
          <w:sz w:val="32"/>
        </w:rPr>
        <w:t>SZGXZS2021165</w:t>
      </w:r>
    </w:p>
    <w:p>
      <w:pPr>
        <w:snapToGrid w:val="0"/>
        <w:spacing w:before="120" w:line="312" w:lineRule="auto"/>
        <w:ind w:left="1602" w:hanging="1602" w:hangingChars="500"/>
        <w:rPr>
          <w:rFonts w:ascii="华文新魏" w:hAnsi="华文新魏" w:eastAsia="华文新魏"/>
          <w:b/>
          <w:sz w:val="32"/>
        </w:rPr>
      </w:pPr>
    </w:p>
    <w:p>
      <w:pPr>
        <w:snapToGrid w:val="0"/>
        <w:spacing w:before="120" w:line="312" w:lineRule="auto"/>
        <w:ind w:left="1602" w:hanging="1602" w:hangingChars="500"/>
        <w:rPr>
          <w:rFonts w:ascii="华文新魏" w:hAnsi="华文新魏" w:eastAsia="华文新魏"/>
          <w:sz w:val="32"/>
        </w:rPr>
      </w:pPr>
      <w:r>
        <w:rPr>
          <w:rFonts w:hint="eastAsia" w:ascii="华文新魏" w:hAnsi="华文新魏" w:eastAsia="华文新魏"/>
          <w:b/>
          <w:sz w:val="32"/>
        </w:rPr>
        <w:t>项目名称</w:t>
      </w:r>
      <w:r>
        <w:rPr>
          <w:rFonts w:hint="eastAsia" w:ascii="华文新魏" w:hAnsi="华文新魏" w:eastAsia="华文新魏"/>
          <w:sz w:val="32"/>
        </w:rPr>
        <w:t>：</w:t>
      </w:r>
      <w:r>
        <w:rPr>
          <w:rFonts w:hint="eastAsia" w:ascii="华文新魏" w:hAnsi="华文新魏" w:eastAsia="华文新魏"/>
          <w:b/>
          <w:sz w:val="32"/>
        </w:rPr>
        <w:t>岱山县第一人民医院设备采购项目</w:t>
      </w:r>
    </w:p>
    <w:p>
      <w:pPr>
        <w:snapToGrid w:val="0"/>
        <w:spacing w:before="120" w:line="312" w:lineRule="auto"/>
        <w:rPr>
          <w:rFonts w:ascii="华文新魏" w:hAnsi="华文新魏" w:eastAsia="华文新魏"/>
          <w:b/>
          <w:w w:val="95"/>
          <w:sz w:val="32"/>
        </w:rPr>
      </w:pPr>
    </w:p>
    <w:p>
      <w:pPr>
        <w:snapToGrid w:val="0"/>
        <w:spacing w:before="120" w:line="312" w:lineRule="auto"/>
        <w:ind w:left="1523" w:hanging="1522" w:hangingChars="500"/>
        <w:rPr>
          <w:rFonts w:ascii="华文新魏" w:hAnsi="华文新魏" w:eastAsia="华文新魏"/>
          <w:sz w:val="32"/>
        </w:rPr>
      </w:pPr>
      <w:r>
        <w:rPr>
          <w:rFonts w:hint="eastAsia" w:ascii="华文新魏" w:hAnsi="华文新魏" w:eastAsia="华文新魏"/>
          <w:b/>
          <w:w w:val="95"/>
          <w:sz w:val="32"/>
        </w:rPr>
        <w:t>采购单位：</w:t>
      </w:r>
      <w:r>
        <w:rPr>
          <w:rFonts w:hint="eastAsia" w:ascii="华文新魏" w:hAnsi="华文新魏" w:eastAsia="华文新魏"/>
          <w:b/>
          <w:sz w:val="32"/>
        </w:rPr>
        <w:t>岱山县第一人民医院</w:t>
      </w:r>
    </w:p>
    <w:p>
      <w:pPr>
        <w:snapToGrid w:val="0"/>
        <w:spacing w:before="120" w:line="312" w:lineRule="auto"/>
        <w:rPr>
          <w:rFonts w:ascii="华文新魏" w:hAnsi="华文新魏" w:eastAsia="华文新魏"/>
          <w:b/>
          <w:w w:val="95"/>
          <w:sz w:val="32"/>
        </w:rPr>
      </w:pPr>
    </w:p>
    <w:p>
      <w:pPr>
        <w:snapToGrid w:val="0"/>
        <w:spacing w:before="120" w:line="312" w:lineRule="auto"/>
        <w:rPr>
          <w:rFonts w:ascii="华文新魏" w:hAnsi="华文新魏" w:eastAsia="华文新魏"/>
          <w:b/>
          <w:w w:val="95"/>
          <w:sz w:val="32"/>
        </w:rPr>
      </w:pPr>
      <w:r>
        <w:rPr>
          <w:rFonts w:hint="eastAsia" w:ascii="华文新魏" w:hAnsi="华文新魏" w:eastAsia="华文新魏"/>
          <w:b/>
          <w:w w:val="95"/>
          <w:sz w:val="32"/>
        </w:rPr>
        <w:t>代理机构：深圳市国信招标有限公司</w:t>
      </w:r>
    </w:p>
    <w:p>
      <w:pPr>
        <w:snapToGrid w:val="0"/>
        <w:spacing w:before="120" w:line="312" w:lineRule="auto"/>
        <w:ind w:left="5974" w:hanging="5968" w:hangingChars="1961"/>
        <w:rPr>
          <w:rFonts w:ascii="华文新魏" w:hAnsi="华文新魏" w:eastAsia="华文新魏"/>
          <w:b/>
          <w:w w:val="95"/>
          <w:sz w:val="32"/>
        </w:rPr>
      </w:pPr>
    </w:p>
    <w:p>
      <w:pPr>
        <w:snapToGrid w:val="0"/>
        <w:spacing w:before="120" w:line="312" w:lineRule="auto"/>
        <w:rPr>
          <w:rFonts w:ascii="华文新魏" w:hAnsi="华文新魏" w:eastAsia="华文新魏"/>
          <w:b/>
          <w:w w:val="95"/>
          <w:sz w:val="32"/>
        </w:rPr>
      </w:pPr>
    </w:p>
    <w:p>
      <w:pPr>
        <w:snapToGrid w:val="0"/>
        <w:spacing w:before="120" w:line="312" w:lineRule="auto"/>
        <w:ind w:left="6046" w:leftChars="2625" w:hanging="533" w:hangingChars="175"/>
        <w:rPr>
          <w:rFonts w:ascii="华文新魏" w:hAnsi="华文新魏" w:eastAsia="华文新魏"/>
          <w:b/>
          <w:w w:val="95"/>
          <w:sz w:val="32"/>
        </w:rPr>
      </w:pPr>
      <w:r>
        <w:rPr>
          <w:rFonts w:ascii="华文新魏" w:hAnsi="华文新魏" w:eastAsia="华文新魏"/>
          <w:b/>
          <w:w w:val="95"/>
          <w:sz w:val="32"/>
        </w:rPr>
        <w:t>2021</w:t>
      </w:r>
      <w:r>
        <w:rPr>
          <w:rFonts w:hint="eastAsia" w:ascii="华文新魏" w:hAnsi="华文新魏" w:eastAsia="华文新魏"/>
          <w:b/>
          <w:w w:val="95"/>
          <w:sz w:val="32"/>
        </w:rPr>
        <w:t>年10月</w:t>
      </w:r>
      <w:r>
        <w:rPr>
          <w:rFonts w:hint="eastAsia" w:ascii="华文新魏" w:hAnsi="华文新魏" w:eastAsia="华文新魏"/>
          <w:b/>
          <w:w w:val="95"/>
          <w:sz w:val="32"/>
          <w:lang w:val="en-US" w:eastAsia="zh-CN"/>
        </w:rPr>
        <w:t>22</w:t>
      </w:r>
      <w:r>
        <w:rPr>
          <w:rFonts w:hint="eastAsia" w:ascii="华文新魏" w:hAnsi="华文新魏" w:eastAsia="华文新魏"/>
          <w:b/>
          <w:w w:val="95"/>
          <w:sz w:val="32"/>
        </w:rPr>
        <w:t>日</w:t>
      </w:r>
    </w:p>
    <w:p>
      <w:pPr>
        <w:snapToGrid w:val="0"/>
        <w:spacing w:before="120" w:line="312" w:lineRule="auto"/>
        <w:ind w:left="6057" w:leftChars="2409" w:hanging="998" w:hangingChars="328"/>
        <w:rPr>
          <w:rFonts w:ascii="华文新魏" w:hAnsi="华文新魏" w:eastAsia="华文新魏"/>
          <w:b/>
          <w:w w:val="95"/>
          <w:sz w:val="32"/>
        </w:rPr>
      </w:pPr>
    </w:p>
    <w:p>
      <w:pPr>
        <w:snapToGrid w:val="0"/>
        <w:spacing w:before="120" w:line="312" w:lineRule="auto"/>
        <w:rPr>
          <w:rFonts w:ascii="创艺简标宋" w:hAnsi="宋体" w:eastAsia="创艺简标宋"/>
          <w:sz w:val="44"/>
        </w:rPr>
        <w:sectPr>
          <w:footerReference r:id="rId3" w:type="default"/>
          <w:footerReference r:id="rId4" w:type="even"/>
          <w:pgSz w:w="11906" w:h="16838"/>
          <w:pgMar w:top="1304" w:right="1106" w:bottom="1304" w:left="1531" w:header="1304" w:footer="1304" w:gutter="0"/>
          <w:cols w:space="720" w:num="1"/>
        </w:sectPr>
      </w:pPr>
    </w:p>
    <w:p>
      <w:pPr>
        <w:snapToGrid w:val="0"/>
        <w:spacing w:before="120" w:line="312" w:lineRule="auto"/>
        <w:rPr>
          <w:rFonts w:ascii="创艺简标宋" w:hAnsi="宋体" w:eastAsia="创艺简标宋"/>
          <w:sz w:val="44"/>
        </w:rPr>
      </w:pPr>
    </w:p>
    <w:p>
      <w:pPr>
        <w:snapToGrid w:val="0"/>
        <w:spacing w:before="120" w:line="312" w:lineRule="auto"/>
        <w:jc w:val="center"/>
        <w:rPr>
          <w:rFonts w:ascii="宋体"/>
          <w:b/>
          <w:sz w:val="44"/>
        </w:rPr>
      </w:pPr>
      <w:r>
        <w:rPr>
          <w:rFonts w:hint="eastAsia" w:ascii="宋体" w:hAnsi="宋体"/>
          <w:b/>
          <w:sz w:val="44"/>
        </w:rPr>
        <w:t>目录</w:t>
      </w:r>
    </w:p>
    <w:p>
      <w:pPr>
        <w:widowControl/>
        <w:numPr>
          <w:ilvl w:val="0"/>
          <w:numId w:val="4"/>
        </w:numPr>
        <w:overflowPunct w:val="0"/>
        <w:autoSpaceDE w:val="0"/>
        <w:autoSpaceDN w:val="0"/>
        <w:adjustRightInd w:val="0"/>
        <w:snapToGrid w:val="0"/>
        <w:spacing w:line="360" w:lineRule="auto"/>
        <w:textAlignment w:val="baseline"/>
        <w:rPr>
          <w:rFonts w:ascii="宋体"/>
          <w:sz w:val="24"/>
        </w:rPr>
      </w:pPr>
      <w:r>
        <w:rPr>
          <w:rFonts w:hint="eastAsia" w:ascii="宋体" w:hAnsi="宋体"/>
          <w:sz w:val="24"/>
        </w:rPr>
        <w:t>采购公告</w:t>
      </w:r>
    </w:p>
    <w:p>
      <w:pPr>
        <w:widowControl/>
        <w:numPr>
          <w:ilvl w:val="0"/>
          <w:numId w:val="4"/>
        </w:numPr>
        <w:overflowPunct w:val="0"/>
        <w:autoSpaceDE w:val="0"/>
        <w:autoSpaceDN w:val="0"/>
        <w:adjustRightInd w:val="0"/>
        <w:snapToGrid w:val="0"/>
        <w:spacing w:line="360" w:lineRule="auto"/>
        <w:textAlignment w:val="baseline"/>
        <w:rPr>
          <w:rFonts w:ascii="宋体"/>
          <w:sz w:val="24"/>
        </w:rPr>
      </w:pPr>
      <w:r>
        <w:rPr>
          <w:rFonts w:hint="eastAsia" w:ascii="宋体" w:hAnsi="宋体"/>
          <w:sz w:val="24"/>
        </w:rPr>
        <w:t>招标需求</w:t>
      </w:r>
    </w:p>
    <w:p>
      <w:pPr>
        <w:widowControl/>
        <w:numPr>
          <w:ilvl w:val="0"/>
          <w:numId w:val="4"/>
        </w:numPr>
        <w:overflowPunct w:val="0"/>
        <w:autoSpaceDE w:val="0"/>
        <w:autoSpaceDN w:val="0"/>
        <w:adjustRightInd w:val="0"/>
        <w:snapToGrid w:val="0"/>
        <w:spacing w:line="360" w:lineRule="auto"/>
        <w:textAlignment w:val="baseline"/>
        <w:rPr>
          <w:rFonts w:ascii="宋体"/>
          <w:sz w:val="24"/>
        </w:rPr>
      </w:pPr>
      <w:r>
        <w:rPr>
          <w:rFonts w:hint="eastAsia" w:ascii="宋体" w:hAnsi="宋体"/>
          <w:sz w:val="24"/>
        </w:rPr>
        <w:t>投标人须知</w:t>
      </w:r>
    </w:p>
    <w:p>
      <w:pPr>
        <w:snapToGrid w:val="0"/>
        <w:spacing w:line="360" w:lineRule="auto"/>
        <w:ind w:left="1440"/>
        <w:rPr>
          <w:rFonts w:ascii="宋体"/>
          <w:sz w:val="24"/>
        </w:rPr>
      </w:pPr>
      <w:r>
        <w:rPr>
          <w:rFonts w:hint="eastAsia" w:ascii="宋体" w:hAnsi="宋体"/>
          <w:sz w:val="24"/>
        </w:rPr>
        <w:t>前附表</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sz w:val="24"/>
        </w:rPr>
      </w:pPr>
      <w:r>
        <w:rPr>
          <w:rFonts w:hint="eastAsia" w:ascii="宋体" w:hAnsi="宋体"/>
          <w:sz w:val="24"/>
        </w:rPr>
        <w:t>总则</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sz w:val="24"/>
        </w:rPr>
      </w:pPr>
      <w:r>
        <w:rPr>
          <w:rFonts w:hint="eastAsia" w:ascii="宋体" w:hAnsi="宋体"/>
          <w:sz w:val="24"/>
        </w:rPr>
        <w:t>招标文件</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sz w:val="24"/>
        </w:rPr>
      </w:pPr>
      <w:r>
        <w:rPr>
          <w:rFonts w:hint="eastAsia" w:ascii="宋体" w:hAnsi="宋体"/>
          <w:sz w:val="24"/>
        </w:rPr>
        <w:t>投标文件编制</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sz w:val="24"/>
        </w:rPr>
      </w:pPr>
      <w:r>
        <w:rPr>
          <w:rFonts w:hint="eastAsia" w:ascii="宋体" w:hAnsi="宋体"/>
          <w:sz w:val="24"/>
        </w:rPr>
        <w:t>开标</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sz w:val="24"/>
        </w:rPr>
      </w:pPr>
      <w:r>
        <w:rPr>
          <w:rFonts w:hint="eastAsia" w:ascii="宋体" w:hAnsi="宋体"/>
          <w:sz w:val="24"/>
        </w:rPr>
        <w:t>评标</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sz w:val="24"/>
        </w:rPr>
      </w:pPr>
      <w:r>
        <w:rPr>
          <w:rFonts w:hint="eastAsia" w:ascii="宋体" w:hAnsi="宋体"/>
          <w:sz w:val="24"/>
        </w:rPr>
        <w:t>定标</w:t>
      </w:r>
    </w:p>
    <w:p>
      <w:pPr>
        <w:widowControl/>
        <w:numPr>
          <w:ilvl w:val="1"/>
          <w:numId w:val="5"/>
        </w:numPr>
        <w:tabs>
          <w:tab w:val="left" w:pos="1305"/>
        </w:tabs>
        <w:overflowPunct w:val="0"/>
        <w:autoSpaceDE w:val="0"/>
        <w:autoSpaceDN w:val="0"/>
        <w:adjustRightInd w:val="0"/>
        <w:snapToGrid w:val="0"/>
        <w:spacing w:line="360" w:lineRule="auto"/>
        <w:textAlignment w:val="baseline"/>
        <w:rPr>
          <w:rFonts w:ascii="宋体"/>
          <w:sz w:val="24"/>
        </w:rPr>
      </w:pPr>
      <w:r>
        <w:rPr>
          <w:rFonts w:hint="eastAsia" w:ascii="宋体" w:hAnsi="宋体"/>
          <w:sz w:val="24"/>
        </w:rPr>
        <w:t>合同授予</w:t>
      </w:r>
    </w:p>
    <w:p>
      <w:pPr>
        <w:widowControl/>
        <w:overflowPunct w:val="0"/>
        <w:autoSpaceDE w:val="0"/>
        <w:autoSpaceDN w:val="0"/>
        <w:adjustRightInd w:val="0"/>
        <w:snapToGrid w:val="0"/>
        <w:spacing w:line="360" w:lineRule="auto"/>
        <w:ind w:left="165"/>
        <w:textAlignment w:val="baseline"/>
        <w:rPr>
          <w:rFonts w:ascii="宋体"/>
          <w:sz w:val="24"/>
        </w:rPr>
      </w:pPr>
      <w:r>
        <w:rPr>
          <w:rFonts w:hint="eastAsia" w:ascii="宋体" w:hAnsi="宋体"/>
          <w:sz w:val="24"/>
        </w:rPr>
        <w:t>第四章   评标办法及评分标准</w:t>
      </w:r>
    </w:p>
    <w:p>
      <w:pPr>
        <w:widowControl/>
        <w:overflowPunct w:val="0"/>
        <w:autoSpaceDE w:val="0"/>
        <w:autoSpaceDN w:val="0"/>
        <w:adjustRightInd w:val="0"/>
        <w:snapToGrid w:val="0"/>
        <w:spacing w:line="360" w:lineRule="auto"/>
        <w:ind w:left="165"/>
        <w:textAlignment w:val="baseline"/>
        <w:rPr>
          <w:rFonts w:ascii="宋体"/>
          <w:sz w:val="24"/>
        </w:rPr>
      </w:pPr>
      <w:r>
        <w:rPr>
          <w:rFonts w:hint="eastAsia" w:ascii="宋体" w:hAnsi="宋体"/>
          <w:sz w:val="24"/>
        </w:rPr>
        <w:t>第五章    政府采购合同主要条款</w:t>
      </w:r>
    </w:p>
    <w:p>
      <w:pPr>
        <w:widowControl/>
        <w:overflowPunct w:val="0"/>
        <w:autoSpaceDE w:val="0"/>
        <w:autoSpaceDN w:val="0"/>
        <w:adjustRightInd w:val="0"/>
        <w:snapToGrid w:val="0"/>
        <w:spacing w:line="360" w:lineRule="auto"/>
        <w:ind w:left="165"/>
        <w:textAlignment w:val="baseline"/>
        <w:rPr>
          <w:rFonts w:ascii="宋体"/>
          <w:sz w:val="24"/>
        </w:rPr>
      </w:pPr>
      <w:r>
        <w:rPr>
          <w:rFonts w:hint="eastAsia" w:ascii="宋体" w:hAnsi="宋体"/>
          <w:sz w:val="24"/>
        </w:rPr>
        <w:t>第六章    投标文件相关格式</w:t>
      </w: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pPr>
    </w:p>
    <w:p>
      <w:pPr>
        <w:snapToGrid w:val="0"/>
        <w:spacing w:before="120" w:line="312" w:lineRule="auto"/>
        <w:outlineLvl w:val="0"/>
        <w:rPr>
          <w:rFonts w:hAnsi="宋体"/>
        </w:rPr>
        <w:sectPr>
          <w:pgSz w:w="11906" w:h="16838"/>
          <w:pgMar w:top="1304" w:right="1106" w:bottom="1304" w:left="1531" w:header="1304" w:footer="1304" w:gutter="0"/>
          <w:cols w:space="720" w:num="1"/>
        </w:sectPr>
      </w:pPr>
    </w:p>
    <w:p>
      <w:pPr>
        <w:snapToGrid w:val="0"/>
        <w:spacing w:before="120" w:line="312" w:lineRule="auto"/>
        <w:jc w:val="center"/>
        <w:outlineLvl w:val="0"/>
        <w:rPr>
          <w:rFonts w:ascii="黑体" w:hAnsi="宋体" w:eastAsia="黑体"/>
          <w:sz w:val="30"/>
        </w:rPr>
      </w:pPr>
      <w:r>
        <w:rPr>
          <w:rFonts w:hint="eastAsia" w:ascii="黑体" w:hAnsi="宋体" w:eastAsia="黑体"/>
          <w:sz w:val="30"/>
        </w:rPr>
        <w:t>第一章  公开招标采购公告</w:t>
      </w:r>
    </w:p>
    <w:p>
      <w:pPr>
        <w:spacing w:line="312" w:lineRule="auto"/>
        <w:rPr>
          <w:rFonts w:hAnsi="宋体"/>
        </w:rPr>
      </w:pPr>
    </w:p>
    <w:p>
      <w:pPr>
        <w:spacing w:line="360" w:lineRule="auto"/>
        <w:ind w:firstLine="420" w:firstLineChars="200"/>
        <w:rPr>
          <w:szCs w:val="21"/>
        </w:rPr>
      </w:pPr>
      <w:r>
        <w:rPr>
          <w:rFonts w:hint="eastAsia"/>
        </w:rPr>
        <w:t>根据《中华人民</w:t>
      </w:r>
      <w:r>
        <w:rPr>
          <w:rFonts w:hint="eastAsia"/>
          <w:szCs w:val="21"/>
        </w:rPr>
        <w:t>共和国政府采购法》等规定，受岱山县第一人民医院委托，现就岱山县第一人民医院设备采购项目进行公开招标，欢迎符合资质要求并能提供相关服务的供应商参加投标。</w:t>
      </w:r>
    </w:p>
    <w:p>
      <w:pPr>
        <w:widowControl/>
        <w:spacing w:line="360" w:lineRule="auto"/>
        <w:jc w:val="left"/>
        <w:rPr>
          <w:rStyle w:val="38"/>
          <w:rFonts w:hAnsi="宋体"/>
          <w:bCs/>
          <w:szCs w:val="21"/>
        </w:rPr>
      </w:pPr>
      <w:r>
        <w:rPr>
          <w:rStyle w:val="38"/>
          <w:rFonts w:hint="eastAsia" w:hAnsi="宋体"/>
          <w:bCs/>
          <w:szCs w:val="21"/>
        </w:rPr>
        <w:t>一、项目名称：</w:t>
      </w:r>
      <w:r>
        <w:rPr>
          <w:rFonts w:hint="eastAsia" w:ascii="宋体"/>
          <w:szCs w:val="21"/>
        </w:rPr>
        <w:t>岱山县第一人民医院设备采购项目</w:t>
      </w:r>
    </w:p>
    <w:p>
      <w:pPr>
        <w:widowControl/>
        <w:spacing w:line="360" w:lineRule="auto"/>
        <w:jc w:val="left"/>
        <w:rPr>
          <w:rFonts w:ascii="宋体"/>
          <w:b/>
          <w:bCs/>
          <w:sz w:val="28"/>
          <w:szCs w:val="28"/>
        </w:rPr>
      </w:pPr>
      <w:r>
        <w:rPr>
          <w:rStyle w:val="38"/>
          <w:rFonts w:hint="eastAsia" w:hAnsi="宋体"/>
          <w:bCs/>
          <w:szCs w:val="21"/>
        </w:rPr>
        <w:t>二、招标项目编号：</w:t>
      </w:r>
      <w:r>
        <w:rPr>
          <w:rFonts w:ascii="宋体" w:hAnsi="宋体"/>
          <w:kern w:val="0"/>
          <w:szCs w:val="21"/>
          <w:shd w:val="clear" w:color="auto" w:fill="FFFFFF"/>
        </w:rPr>
        <w:t>SZGXZS2021165</w:t>
      </w:r>
    </w:p>
    <w:p>
      <w:pPr>
        <w:pStyle w:val="77"/>
        <w:spacing w:beforeAutospacing="0" w:afterAutospacing="0" w:line="360" w:lineRule="auto"/>
        <w:jc w:val="both"/>
        <w:rPr>
          <w:sz w:val="21"/>
          <w:szCs w:val="21"/>
          <w:shd w:val="clear" w:color="auto" w:fill="FFFFFF"/>
        </w:rPr>
      </w:pPr>
      <w:r>
        <w:rPr>
          <w:rStyle w:val="38"/>
          <w:rFonts w:hint="eastAsia"/>
          <w:bCs/>
          <w:sz w:val="21"/>
          <w:szCs w:val="21"/>
        </w:rPr>
        <w:t>三、采购组织类型：</w:t>
      </w:r>
      <w:r>
        <w:rPr>
          <w:rFonts w:hint="eastAsia"/>
          <w:sz w:val="21"/>
          <w:szCs w:val="21"/>
          <w:shd w:val="clear" w:color="auto" w:fill="FFFFFF"/>
        </w:rPr>
        <w:t>分散采购委托代理</w:t>
      </w:r>
    </w:p>
    <w:p>
      <w:pPr>
        <w:pStyle w:val="77"/>
        <w:spacing w:beforeAutospacing="0" w:afterAutospacing="0" w:line="360" w:lineRule="auto"/>
        <w:jc w:val="both"/>
        <w:rPr>
          <w:rFonts w:cs="宋体"/>
          <w:color w:val="000000"/>
          <w:sz w:val="21"/>
          <w:szCs w:val="21"/>
        </w:rPr>
      </w:pPr>
      <w:r>
        <w:rPr>
          <w:rStyle w:val="38"/>
          <w:rFonts w:hint="eastAsia"/>
          <w:bCs/>
          <w:sz w:val="21"/>
          <w:szCs w:val="21"/>
        </w:rPr>
        <w:t>四、招标项目概况（内容、用途、数量、简要技术要求等）</w:t>
      </w:r>
      <w:r>
        <w:rPr>
          <w:rStyle w:val="38"/>
          <w:bCs/>
          <w:sz w:val="21"/>
          <w:szCs w:val="21"/>
        </w:rPr>
        <w:t>:</w:t>
      </w:r>
      <w:r>
        <w:rPr>
          <w:rFonts w:hint="eastAsia" w:cs="宋体"/>
          <w:color w:val="000000"/>
          <w:sz w:val="21"/>
          <w:szCs w:val="21"/>
        </w:rPr>
        <w:t xml:space="preserve"> </w:t>
      </w:r>
    </w:p>
    <w:tbl>
      <w:tblPr>
        <w:tblStyle w:val="35"/>
        <w:tblW w:w="8084"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4"/>
        <w:gridCol w:w="2694"/>
        <w:gridCol w:w="708"/>
        <w:gridCol w:w="851"/>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rPr>
        <w:tc>
          <w:tcPr>
            <w:tcW w:w="854" w:type="dxa"/>
            <w:vAlign w:val="center"/>
          </w:tcPr>
          <w:p>
            <w:pPr>
              <w:pStyle w:val="107"/>
              <w:spacing w:line="360" w:lineRule="auto"/>
              <w:ind w:firstLine="101" w:firstLineChars="5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编号</w:t>
            </w:r>
          </w:p>
        </w:tc>
        <w:tc>
          <w:tcPr>
            <w:tcW w:w="2694" w:type="dxa"/>
            <w:vAlign w:val="center"/>
          </w:tcPr>
          <w:p>
            <w:pPr>
              <w:pStyle w:val="107"/>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采购内容</w:t>
            </w:r>
          </w:p>
        </w:tc>
        <w:tc>
          <w:tcPr>
            <w:tcW w:w="708" w:type="dxa"/>
            <w:vAlign w:val="center"/>
          </w:tcPr>
          <w:p>
            <w:pPr>
              <w:pStyle w:val="107"/>
              <w:spacing w:line="360" w:lineRule="auto"/>
              <w:ind w:firstLine="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w:t>
            </w:r>
          </w:p>
        </w:tc>
        <w:tc>
          <w:tcPr>
            <w:tcW w:w="851" w:type="dxa"/>
            <w:vAlign w:val="center"/>
          </w:tcPr>
          <w:p>
            <w:pPr>
              <w:pStyle w:val="107"/>
              <w:spacing w:line="360" w:lineRule="auto"/>
              <w:ind w:firstLine="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数量</w:t>
            </w:r>
          </w:p>
        </w:tc>
        <w:tc>
          <w:tcPr>
            <w:tcW w:w="1701" w:type="dxa"/>
            <w:vAlign w:val="center"/>
          </w:tcPr>
          <w:p>
            <w:pPr>
              <w:pStyle w:val="107"/>
              <w:spacing w:line="360" w:lineRule="auto"/>
              <w:ind w:firstLine="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预算金额</w:t>
            </w:r>
          </w:p>
        </w:tc>
        <w:tc>
          <w:tcPr>
            <w:tcW w:w="1276" w:type="dxa"/>
            <w:vAlign w:val="center"/>
          </w:tcPr>
          <w:p>
            <w:pPr>
              <w:pStyle w:val="107"/>
              <w:spacing w:line="360" w:lineRule="auto"/>
              <w:ind w:firstLine="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trPr>
        <w:tc>
          <w:tcPr>
            <w:tcW w:w="854" w:type="dxa"/>
            <w:vAlign w:val="center"/>
          </w:tcPr>
          <w:p>
            <w:pPr>
              <w:pStyle w:val="107"/>
              <w:spacing w:line="360" w:lineRule="auto"/>
              <w:ind w:firstLine="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2694" w:type="dxa"/>
            <w:vAlign w:val="center"/>
          </w:tcPr>
          <w:p>
            <w:pPr>
              <w:pStyle w:val="107"/>
              <w:spacing w:line="360" w:lineRule="auto"/>
              <w:ind w:firstLine="202" w:firstLineChars="100"/>
              <w:rPr>
                <w:rFonts w:asciiTheme="minorEastAsia" w:hAnsiTheme="minorEastAsia" w:eastAsiaTheme="minorEastAsia"/>
                <w:sz w:val="21"/>
                <w:szCs w:val="21"/>
                <w:lang w:eastAsia="zh-TW"/>
              </w:rPr>
            </w:pPr>
            <w:r>
              <w:rPr>
                <w:rFonts w:hint="eastAsia" w:asciiTheme="minorEastAsia" w:hAnsiTheme="minorEastAsia" w:eastAsiaTheme="minorEastAsia"/>
                <w:sz w:val="21"/>
                <w:szCs w:val="21"/>
              </w:rPr>
              <w:t>电子支气管镜</w:t>
            </w:r>
          </w:p>
        </w:tc>
        <w:tc>
          <w:tcPr>
            <w:tcW w:w="708" w:type="dxa"/>
            <w:vAlign w:val="center"/>
          </w:tcPr>
          <w:p>
            <w:pPr>
              <w:pStyle w:val="107"/>
              <w:spacing w:line="360" w:lineRule="auto"/>
              <w:ind w:firstLine="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套</w:t>
            </w:r>
          </w:p>
        </w:tc>
        <w:tc>
          <w:tcPr>
            <w:tcW w:w="851" w:type="dxa"/>
            <w:vAlign w:val="center"/>
          </w:tcPr>
          <w:p>
            <w:pPr>
              <w:pStyle w:val="107"/>
              <w:spacing w:line="360" w:lineRule="auto"/>
              <w:ind w:firstLine="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701" w:type="dxa"/>
            <w:vAlign w:val="center"/>
          </w:tcPr>
          <w:p>
            <w:pPr>
              <w:pStyle w:val="107"/>
              <w:spacing w:line="360" w:lineRule="auto"/>
              <w:ind w:firstLine="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150万元</w:t>
            </w:r>
          </w:p>
        </w:tc>
        <w:tc>
          <w:tcPr>
            <w:tcW w:w="1276" w:type="dxa"/>
            <w:vAlign w:val="center"/>
          </w:tcPr>
          <w:p>
            <w:pPr>
              <w:pStyle w:val="107"/>
              <w:spacing w:line="360" w:lineRule="auto"/>
              <w:ind w:firstLine="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进口</w:t>
            </w:r>
          </w:p>
        </w:tc>
      </w:tr>
    </w:tbl>
    <w:p>
      <w:pPr>
        <w:pStyle w:val="77"/>
        <w:spacing w:beforeAutospacing="0" w:afterAutospacing="0" w:line="360" w:lineRule="auto"/>
        <w:jc w:val="both"/>
        <w:rPr>
          <w:rStyle w:val="38"/>
          <w:bCs/>
          <w:sz w:val="21"/>
          <w:szCs w:val="21"/>
        </w:rPr>
      </w:pPr>
    </w:p>
    <w:p>
      <w:pPr>
        <w:pStyle w:val="77"/>
        <w:spacing w:beforeAutospacing="0" w:afterAutospacing="0" w:line="360" w:lineRule="auto"/>
        <w:jc w:val="both"/>
        <w:rPr>
          <w:rStyle w:val="38"/>
          <w:b w:val="0"/>
          <w:sz w:val="21"/>
          <w:szCs w:val="21"/>
        </w:rPr>
      </w:pPr>
      <w:r>
        <w:rPr>
          <w:rStyle w:val="38"/>
          <w:rFonts w:hint="eastAsia"/>
          <w:bCs/>
          <w:sz w:val="21"/>
          <w:szCs w:val="21"/>
        </w:rPr>
        <w:t>五、投标供应商资格要求</w:t>
      </w:r>
      <w:r>
        <w:rPr>
          <w:rStyle w:val="38"/>
          <w:bCs/>
          <w:sz w:val="21"/>
          <w:szCs w:val="21"/>
        </w:rPr>
        <w:t>:</w:t>
      </w:r>
    </w:p>
    <w:p>
      <w:pPr>
        <w:pStyle w:val="77"/>
        <w:shd w:val="clear" w:color="auto" w:fill="FFFFFF"/>
        <w:spacing w:beforeAutospacing="0" w:afterAutospacing="0" w:line="360" w:lineRule="auto"/>
        <w:ind w:firstLine="420" w:firstLineChars="200"/>
        <w:rPr>
          <w:sz w:val="21"/>
          <w:szCs w:val="21"/>
        </w:rPr>
      </w:pPr>
      <w:r>
        <w:rPr>
          <w:sz w:val="21"/>
          <w:szCs w:val="21"/>
        </w:rPr>
        <w:t>1</w:t>
      </w:r>
      <w:r>
        <w:rPr>
          <w:rFonts w:hint="eastAsia"/>
          <w:sz w:val="21"/>
          <w:szCs w:val="21"/>
        </w:rPr>
        <w:t>、①具有独立承担民事责任的能力；②具有良好的商业信誉和健全的财务会计制度；③具有履行合同所必需的设备和专业技术能力；④参加政府采购活动前三年内，无依法缴纳税收和社会保障资金的不良记录；⑤参加政府采购活动前三年内，在经营活动中没有重大违法记录；⑥法律、行政法规规定的其他条件。</w:t>
      </w:r>
    </w:p>
    <w:p>
      <w:pPr>
        <w:pStyle w:val="77"/>
        <w:shd w:val="clear" w:color="auto" w:fill="FFFFFF"/>
        <w:spacing w:beforeAutospacing="0" w:afterAutospacing="0" w:line="360" w:lineRule="auto"/>
        <w:ind w:firstLine="420" w:firstLineChars="200"/>
        <w:rPr>
          <w:sz w:val="21"/>
          <w:szCs w:val="21"/>
        </w:rPr>
      </w:pPr>
      <w:r>
        <w:rPr>
          <w:sz w:val="21"/>
          <w:szCs w:val="21"/>
        </w:rPr>
        <w:t>2</w:t>
      </w:r>
      <w:r>
        <w:rPr>
          <w:rFonts w:hint="eastAsia"/>
          <w:sz w:val="21"/>
          <w:szCs w:val="21"/>
        </w:rPr>
        <w:t>、未被“信用中国”（</w:t>
      </w:r>
      <w:r>
        <w:rPr>
          <w:sz w:val="21"/>
          <w:szCs w:val="21"/>
        </w:rPr>
        <w:t>www.creditchina.gov.cn</w:t>
      </w:r>
      <w:r>
        <w:rPr>
          <w:rFonts w:hint="eastAsia"/>
          <w:sz w:val="21"/>
          <w:szCs w:val="21"/>
        </w:rPr>
        <w:t>）、中国政府采购网（</w:t>
      </w:r>
      <w:r>
        <w:rPr>
          <w:sz w:val="21"/>
          <w:szCs w:val="21"/>
        </w:rPr>
        <w:t>www.ccgp.gov.cn</w:t>
      </w:r>
      <w:r>
        <w:rPr>
          <w:rFonts w:hint="eastAsia"/>
          <w:sz w:val="21"/>
          <w:szCs w:val="21"/>
        </w:rPr>
        <w:t>）列入失信被执行人、重大税收违法案件当事人名单、政府采购严重违法失信行为记录名单。</w:t>
      </w:r>
    </w:p>
    <w:p>
      <w:pPr>
        <w:pStyle w:val="77"/>
        <w:shd w:val="clear" w:color="auto" w:fill="FFFFFF"/>
        <w:spacing w:beforeAutospacing="0" w:afterAutospacing="0" w:line="360" w:lineRule="auto"/>
        <w:rPr>
          <w:rFonts w:ascii="Times New Roman" w:hAnsi="Times New Roman"/>
          <w:sz w:val="21"/>
          <w:szCs w:val="21"/>
        </w:rPr>
      </w:pPr>
      <w:r>
        <w:rPr>
          <w:rStyle w:val="38"/>
          <w:rFonts w:hint="eastAsia"/>
          <w:bCs/>
          <w:sz w:val="21"/>
          <w:szCs w:val="21"/>
        </w:rPr>
        <w:t>六、</w:t>
      </w:r>
      <w:r>
        <w:rPr>
          <w:rFonts w:hint="eastAsia" w:cs="宋体"/>
          <w:b/>
          <w:sz w:val="21"/>
          <w:szCs w:val="21"/>
        </w:rPr>
        <w:t>公告期限：</w:t>
      </w:r>
      <w:r>
        <w:rPr>
          <w:rFonts w:hint="eastAsia" w:cs="宋体"/>
          <w:b/>
          <w:sz w:val="21"/>
          <w:szCs w:val="21"/>
          <w:u w:val="single"/>
        </w:rPr>
        <w:t>自公告发布之日起</w:t>
      </w:r>
      <w:r>
        <w:rPr>
          <w:rFonts w:cs="宋体"/>
          <w:b/>
          <w:sz w:val="21"/>
          <w:szCs w:val="21"/>
          <w:u w:val="single"/>
        </w:rPr>
        <w:t>5</w:t>
      </w:r>
      <w:r>
        <w:rPr>
          <w:rFonts w:hint="eastAsia" w:cs="宋体"/>
          <w:b/>
          <w:sz w:val="21"/>
          <w:szCs w:val="21"/>
          <w:u w:val="single"/>
        </w:rPr>
        <w:t>个工作日</w:t>
      </w:r>
    </w:p>
    <w:p>
      <w:pPr>
        <w:snapToGrid w:val="0"/>
        <w:spacing w:line="360" w:lineRule="auto"/>
        <w:rPr>
          <w:rFonts w:ascii="宋体" w:cs="宋体"/>
          <w:szCs w:val="21"/>
        </w:rPr>
      </w:pPr>
      <w:r>
        <w:rPr>
          <w:rFonts w:hint="eastAsia" w:ascii="宋体" w:hAnsi="宋体" w:cs="宋体"/>
          <w:b/>
          <w:bCs/>
          <w:szCs w:val="21"/>
        </w:rPr>
        <w:t>七</w:t>
      </w:r>
      <w:r>
        <w:rPr>
          <w:rFonts w:ascii="宋体" w:cs="宋体"/>
          <w:b/>
          <w:bCs/>
          <w:szCs w:val="21"/>
        </w:rPr>
        <w:t>.</w:t>
      </w:r>
      <w:r>
        <w:rPr>
          <w:rFonts w:hint="eastAsia" w:ascii="宋体" w:hAnsi="宋体" w:cs="宋体"/>
          <w:b/>
          <w:bCs/>
          <w:szCs w:val="21"/>
        </w:rPr>
        <w:t>注册及采购文件的获取</w:t>
      </w:r>
      <w:r>
        <w:rPr>
          <w:rFonts w:hint="eastAsia" w:ascii="宋体" w:hAnsi="宋体" w:cs="宋体"/>
          <w:szCs w:val="21"/>
        </w:rPr>
        <w:t>：</w:t>
      </w:r>
    </w:p>
    <w:p>
      <w:pPr>
        <w:pStyle w:val="77"/>
        <w:shd w:val="clear" w:color="auto" w:fill="FFFFFF"/>
        <w:spacing w:beforeAutospacing="0" w:afterAutospacing="0" w:line="360" w:lineRule="auto"/>
        <w:ind w:firstLine="417" w:firstLineChars="198"/>
        <w:rPr>
          <w:rFonts w:cs="宋体"/>
          <w:b/>
          <w:bCs/>
          <w:sz w:val="21"/>
          <w:szCs w:val="21"/>
          <w:shd w:val="clear" w:color="auto" w:fill="FFFFFF"/>
        </w:rPr>
      </w:pPr>
      <w:r>
        <w:rPr>
          <w:rFonts w:cs="宋体"/>
          <w:b/>
          <w:bCs/>
          <w:sz w:val="21"/>
          <w:szCs w:val="21"/>
          <w:shd w:val="clear" w:color="auto" w:fill="FFFFFF"/>
        </w:rPr>
        <w:t>1</w:t>
      </w:r>
      <w:r>
        <w:rPr>
          <w:rFonts w:hint="eastAsia" w:cs="宋体"/>
          <w:b/>
          <w:bCs/>
          <w:sz w:val="21"/>
          <w:szCs w:val="21"/>
          <w:shd w:val="clear" w:color="auto" w:fill="FFFFFF"/>
        </w:rPr>
        <w:t>、本项目只实行网上获取采购文件。</w:t>
      </w:r>
    </w:p>
    <w:p>
      <w:pPr>
        <w:pStyle w:val="77"/>
        <w:shd w:val="clear" w:color="auto" w:fill="FFFFFF"/>
        <w:spacing w:beforeAutospacing="0" w:afterAutospacing="0" w:line="360" w:lineRule="auto"/>
        <w:ind w:firstLine="417" w:firstLineChars="198"/>
        <w:rPr>
          <w:rFonts w:cs="宋体"/>
          <w:b/>
          <w:bCs/>
          <w:sz w:val="21"/>
          <w:szCs w:val="21"/>
          <w:shd w:val="clear" w:color="auto" w:fill="FFFFFF"/>
        </w:rPr>
      </w:pPr>
      <w:r>
        <w:rPr>
          <w:rFonts w:cs="宋体"/>
          <w:b/>
          <w:bCs/>
          <w:sz w:val="21"/>
          <w:szCs w:val="21"/>
          <w:shd w:val="clear" w:color="auto" w:fill="FFFFFF"/>
        </w:rPr>
        <w:t>2</w:t>
      </w:r>
      <w:r>
        <w:rPr>
          <w:rFonts w:hint="eastAsia" w:cs="宋体"/>
          <w:b/>
          <w:bCs/>
          <w:sz w:val="21"/>
          <w:szCs w:val="21"/>
          <w:shd w:val="clear" w:color="auto" w:fill="FFFFFF"/>
        </w:rPr>
        <w:t>、获取采购文件网址</w:t>
      </w:r>
      <w:r>
        <w:rPr>
          <w:rFonts w:hint="eastAsia" w:cs="宋体"/>
          <w:sz w:val="21"/>
          <w:szCs w:val="21"/>
          <w:shd w:val="clear" w:color="auto" w:fill="FFFFFF"/>
        </w:rPr>
        <w:t>：浙江省政府采购网</w:t>
      </w:r>
      <w:r>
        <w:fldChar w:fldCharType="begin"/>
      </w:r>
      <w:r>
        <w:instrText xml:space="preserve"> HYPERLINK "http://www.zjzfcg.gov.cn" </w:instrText>
      </w:r>
      <w:r>
        <w:fldChar w:fldCharType="separate"/>
      </w:r>
      <w:r>
        <w:rPr>
          <w:rFonts w:cs="宋体"/>
          <w:sz w:val="21"/>
          <w:szCs w:val="21"/>
          <w:u w:val="single"/>
          <w:shd w:val="clear" w:color="auto" w:fill="FFFFFF"/>
        </w:rPr>
        <w:t>www.zjzfcg.gov.cn</w:t>
      </w:r>
      <w:r>
        <w:rPr>
          <w:rFonts w:cs="宋体"/>
          <w:sz w:val="21"/>
          <w:szCs w:val="21"/>
          <w:u w:val="single"/>
          <w:shd w:val="clear" w:color="auto" w:fill="FFFFFF"/>
        </w:rPr>
        <w:fldChar w:fldCharType="end"/>
      </w:r>
      <w:r>
        <w:rPr>
          <w:rFonts w:hint="eastAsia" w:cs="宋体"/>
          <w:sz w:val="21"/>
          <w:szCs w:val="21"/>
          <w:shd w:val="clear" w:color="auto" w:fill="FFFFFF"/>
        </w:rPr>
        <w:t>（用“政采云”注册账号、密码登录系统后获取采购文件）</w:t>
      </w:r>
    </w:p>
    <w:p>
      <w:pPr>
        <w:pStyle w:val="77"/>
        <w:shd w:val="clear" w:color="auto" w:fill="FFFFFF"/>
        <w:spacing w:beforeAutospacing="0" w:afterAutospacing="0" w:line="360" w:lineRule="auto"/>
        <w:ind w:left="416" w:leftChars="198"/>
        <w:rPr>
          <w:rFonts w:cs="宋体"/>
          <w:sz w:val="21"/>
          <w:szCs w:val="21"/>
          <w:shd w:val="clear" w:color="auto" w:fill="FFFFFF"/>
        </w:rPr>
      </w:pPr>
      <w:r>
        <w:rPr>
          <w:rFonts w:cs="宋体"/>
          <w:b/>
          <w:bCs/>
          <w:sz w:val="21"/>
          <w:szCs w:val="21"/>
          <w:shd w:val="clear" w:color="auto" w:fill="FFFFFF"/>
        </w:rPr>
        <w:t>3</w:t>
      </w:r>
      <w:r>
        <w:rPr>
          <w:rFonts w:hint="eastAsia" w:cs="宋体"/>
          <w:b/>
          <w:bCs/>
          <w:sz w:val="21"/>
          <w:szCs w:val="21"/>
          <w:shd w:val="clear" w:color="auto" w:fill="FFFFFF"/>
        </w:rPr>
        <w:t>、免费注册网址：浙江政府采购网（供应商注册页面）：</w:t>
      </w:r>
      <w:r>
        <w:rPr>
          <w:rFonts w:cs="宋体"/>
          <w:sz w:val="21"/>
          <w:szCs w:val="21"/>
          <w:u w:val="single"/>
          <w:shd w:val="clear" w:color="auto" w:fill="FFFFFF"/>
        </w:rPr>
        <w:t>https://middle.zcygov.cn/settle-front/#/registry</w:t>
      </w:r>
      <w:r>
        <w:rPr>
          <w:rFonts w:hint="eastAsia" w:cs="宋体"/>
          <w:sz w:val="21"/>
          <w:szCs w:val="21"/>
          <w:shd w:val="clear" w:color="auto" w:fill="FFFFFF"/>
        </w:rPr>
        <w:t>“政采云”，咨询电话：</w:t>
      </w:r>
      <w:r>
        <w:rPr>
          <w:rFonts w:cs="宋体"/>
          <w:sz w:val="21"/>
          <w:szCs w:val="21"/>
          <w:shd w:val="clear" w:color="auto" w:fill="FFFFFF"/>
        </w:rPr>
        <w:t>400-881-7190</w:t>
      </w:r>
      <w:r>
        <w:rPr>
          <w:rFonts w:hint="eastAsia" w:cs="宋体"/>
          <w:sz w:val="21"/>
          <w:szCs w:val="21"/>
          <w:shd w:val="clear" w:color="auto" w:fill="FFFFFF"/>
        </w:rPr>
        <w:t>。</w:t>
      </w:r>
    </w:p>
    <w:p>
      <w:pPr>
        <w:pStyle w:val="77"/>
        <w:shd w:val="clear" w:color="auto" w:fill="FFFFFF"/>
        <w:spacing w:beforeAutospacing="0" w:afterAutospacing="0" w:line="360" w:lineRule="auto"/>
        <w:rPr>
          <w:rFonts w:cs="宋体"/>
          <w:sz w:val="21"/>
          <w:szCs w:val="21"/>
          <w:shd w:val="clear" w:color="auto" w:fill="FFFFFF"/>
        </w:rPr>
      </w:pPr>
      <w:r>
        <w:rPr>
          <w:rFonts w:hint="eastAsia" w:cs="宋体"/>
          <w:sz w:val="21"/>
          <w:szCs w:val="21"/>
          <w:shd w:val="clear" w:color="auto" w:fill="FFFFFF"/>
        </w:rPr>
        <w:t>已经注册成功的供应商无需重复注册。</w:t>
      </w:r>
    </w:p>
    <w:p>
      <w:pPr>
        <w:pStyle w:val="77"/>
        <w:shd w:val="clear" w:color="auto" w:fill="FFFFFF"/>
        <w:spacing w:beforeAutospacing="0" w:afterAutospacing="0" w:line="360" w:lineRule="auto"/>
        <w:ind w:firstLine="417" w:firstLineChars="198"/>
        <w:rPr>
          <w:rFonts w:cs="宋体"/>
          <w:sz w:val="21"/>
          <w:szCs w:val="21"/>
          <w:shd w:val="clear" w:color="auto" w:fill="FFFFFF"/>
        </w:rPr>
      </w:pPr>
      <w:r>
        <w:rPr>
          <w:rFonts w:cs="宋体"/>
          <w:b/>
          <w:bCs/>
          <w:sz w:val="21"/>
          <w:szCs w:val="21"/>
          <w:shd w:val="clear" w:color="auto" w:fill="FFFFFF"/>
        </w:rPr>
        <w:t>4</w:t>
      </w:r>
      <w:r>
        <w:rPr>
          <w:rFonts w:hint="eastAsia" w:cs="宋体"/>
          <w:b/>
          <w:bCs/>
          <w:sz w:val="21"/>
          <w:szCs w:val="21"/>
          <w:shd w:val="clear" w:color="auto" w:fill="FFFFFF"/>
        </w:rPr>
        <w:t>、获取采购文件时间：</w:t>
      </w:r>
      <w:r>
        <w:rPr>
          <w:rFonts w:hint="eastAsia" w:cs="宋体"/>
          <w:sz w:val="21"/>
          <w:szCs w:val="21"/>
          <w:shd w:val="clear" w:color="auto" w:fill="FFFFFF"/>
        </w:rPr>
        <w:t>公告发布之日至投标截止时间。</w:t>
      </w:r>
    </w:p>
    <w:p>
      <w:pPr>
        <w:pStyle w:val="77"/>
        <w:shd w:val="clear" w:color="auto" w:fill="FFFFFF"/>
        <w:spacing w:beforeAutospacing="0" w:afterAutospacing="0" w:line="360" w:lineRule="auto"/>
        <w:ind w:firstLine="417" w:firstLineChars="198"/>
        <w:rPr>
          <w:rFonts w:cs="宋体"/>
          <w:b/>
          <w:bCs/>
          <w:kern w:val="2"/>
          <w:sz w:val="21"/>
          <w:szCs w:val="21"/>
        </w:rPr>
      </w:pPr>
      <w:r>
        <w:rPr>
          <w:rFonts w:hint="eastAsia" w:cs="宋体"/>
          <w:b/>
          <w:bCs/>
          <w:kern w:val="2"/>
          <w:sz w:val="21"/>
          <w:szCs w:val="21"/>
        </w:rPr>
        <w:t>八、投标文件的制作及递交</w:t>
      </w:r>
      <w:r>
        <w:rPr>
          <w:rFonts w:cs="宋体"/>
          <w:b/>
          <w:bCs/>
          <w:kern w:val="2"/>
          <w:sz w:val="21"/>
          <w:szCs w:val="21"/>
        </w:rPr>
        <w:t>;</w:t>
      </w:r>
    </w:p>
    <w:p>
      <w:pPr>
        <w:pStyle w:val="77"/>
        <w:shd w:val="clear" w:color="auto" w:fill="FFFFFF"/>
        <w:spacing w:beforeAutospacing="0" w:afterAutospacing="0" w:line="360" w:lineRule="auto"/>
        <w:ind w:firstLine="420" w:firstLineChars="200"/>
        <w:rPr>
          <w:rFonts w:cs="宋体"/>
          <w:sz w:val="21"/>
          <w:szCs w:val="21"/>
          <w:shd w:val="clear" w:color="auto" w:fill="FFFFFF"/>
        </w:rPr>
      </w:pPr>
      <w:r>
        <w:rPr>
          <w:rFonts w:cs="宋体"/>
          <w:sz w:val="21"/>
          <w:szCs w:val="21"/>
          <w:shd w:val="clear" w:color="auto" w:fill="FFFFFF"/>
        </w:rPr>
        <w:t>1</w:t>
      </w:r>
      <w:r>
        <w:rPr>
          <w:rFonts w:hint="eastAsia" w:cs="宋体"/>
          <w:sz w:val="21"/>
          <w:szCs w:val="21"/>
          <w:shd w:val="clear" w:color="auto" w:fill="FFFFFF"/>
        </w:rPr>
        <w:t>、供应商须</w:t>
      </w:r>
      <w:r>
        <w:rPr>
          <w:rFonts w:hint="eastAsia" w:cs="宋体"/>
          <w:b/>
          <w:bCs/>
          <w:sz w:val="21"/>
          <w:szCs w:val="21"/>
          <w:shd w:val="clear" w:color="auto" w:fill="FFFFFF"/>
        </w:rPr>
        <w:t>在线获取</w:t>
      </w:r>
      <w:r>
        <w:rPr>
          <w:rFonts w:cs="宋体"/>
          <w:b/>
          <w:bCs/>
          <w:sz w:val="21"/>
          <w:szCs w:val="21"/>
          <w:shd w:val="clear" w:color="auto" w:fill="FFFFFF"/>
        </w:rPr>
        <w:t>CA</w:t>
      </w:r>
      <w:r>
        <w:rPr>
          <w:rFonts w:hint="eastAsia" w:cs="宋体"/>
          <w:b/>
          <w:bCs/>
          <w:sz w:val="21"/>
          <w:szCs w:val="21"/>
          <w:shd w:val="clear" w:color="auto" w:fill="FFFFFF"/>
        </w:rPr>
        <w:t>数字证书</w:t>
      </w:r>
      <w:r>
        <w:rPr>
          <w:rFonts w:hint="eastAsia" w:cs="宋体"/>
          <w:sz w:val="21"/>
          <w:szCs w:val="21"/>
          <w:shd w:val="clear" w:color="auto" w:fill="FFFFFF"/>
        </w:rPr>
        <w:t>（完成</w:t>
      </w:r>
      <w:r>
        <w:rPr>
          <w:rFonts w:cs="宋体"/>
          <w:sz w:val="21"/>
          <w:szCs w:val="21"/>
          <w:shd w:val="clear" w:color="auto" w:fill="FFFFFF"/>
        </w:rPr>
        <w:t>CA</w:t>
      </w:r>
      <w:r>
        <w:rPr>
          <w:rFonts w:hint="eastAsia" w:cs="宋体"/>
          <w:sz w:val="21"/>
          <w:szCs w:val="21"/>
          <w:shd w:val="clear" w:color="auto" w:fill="FFFFFF"/>
        </w:rPr>
        <w:t>数字证书办理预计一周左右，建议各投标人自行把握时间）</w:t>
      </w:r>
      <w:r>
        <w:rPr>
          <w:rFonts w:hint="eastAsia" w:cs="宋体"/>
          <w:b/>
          <w:bCs/>
          <w:sz w:val="21"/>
          <w:szCs w:val="21"/>
          <w:shd w:val="clear" w:color="auto" w:fill="FFFFFF"/>
        </w:rPr>
        <w:t>，</w:t>
      </w:r>
      <w:r>
        <w:rPr>
          <w:rFonts w:hint="eastAsia" w:cs="宋体"/>
          <w:sz w:val="21"/>
          <w:szCs w:val="21"/>
          <w:shd w:val="clear" w:color="auto" w:fill="FFFFFF"/>
        </w:rPr>
        <w:t>并登陆“浙江省政府采购网”（</w:t>
      </w:r>
      <w:r>
        <w:fldChar w:fldCharType="begin"/>
      </w:r>
      <w:r>
        <w:instrText xml:space="preserve"> HYPERLINK "http://www.zjzfcg.gov.cn" </w:instrText>
      </w:r>
      <w:r>
        <w:fldChar w:fldCharType="separate"/>
      </w:r>
      <w:r>
        <w:rPr>
          <w:rFonts w:cs="宋体"/>
          <w:sz w:val="21"/>
          <w:szCs w:val="21"/>
          <w:shd w:val="clear" w:color="auto" w:fill="FFFFFF"/>
        </w:rPr>
        <w:t>www.zjzfcg.gov.cn</w:t>
      </w:r>
      <w:r>
        <w:rPr>
          <w:rFonts w:cs="宋体"/>
          <w:sz w:val="21"/>
          <w:szCs w:val="21"/>
          <w:shd w:val="clear" w:color="auto" w:fill="FFFFFF"/>
        </w:rPr>
        <w:fldChar w:fldCharType="end"/>
      </w:r>
      <w:r>
        <w:rPr>
          <w:rFonts w:hint="eastAsia" w:cs="宋体"/>
          <w:sz w:val="21"/>
          <w:szCs w:val="21"/>
          <w:shd w:val="clear" w:color="auto" w:fill="FFFFFF"/>
        </w:rPr>
        <w:t>），进入“下载专区”下载“电子交易客户端”，制作投标文件。</w:t>
      </w:r>
    </w:p>
    <w:p>
      <w:pPr>
        <w:pStyle w:val="77"/>
        <w:spacing w:beforeAutospacing="0" w:afterAutospacing="0" w:line="360" w:lineRule="auto"/>
        <w:ind w:firstLine="420" w:firstLineChars="200"/>
        <w:jc w:val="both"/>
        <w:rPr>
          <w:rFonts w:cs="宋体"/>
          <w:sz w:val="21"/>
          <w:szCs w:val="21"/>
          <w:shd w:val="clear" w:color="auto" w:fill="FFFFFF"/>
        </w:rPr>
      </w:pPr>
      <w:r>
        <w:rPr>
          <w:rFonts w:cs="宋体"/>
          <w:sz w:val="21"/>
          <w:szCs w:val="21"/>
          <w:shd w:val="clear" w:color="auto" w:fill="FFFFFF"/>
        </w:rPr>
        <w:t>2</w:t>
      </w:r>
      <w:r>
        <w:rPr>
          <w:rFonts w:hint="eastAsia" w:cs="宋体"/>
          <w:sz w:val="21"/>
          <w:szCs w:val="21"/>
          <w:shd w:val="clear" w:color="auto" w:fill="FFFFFF"/>
        </w:rPr>
        <w:t>、投标人将加密的电子版投标文件于投标截止时间前上传到政采云系统中。</w:t>
      </w:r>
    </w:p>
    <w:p>
      <w:pPr>
        <w:pStyle w:val="77"/>
        <w:shd w:val="clear" w:color="auto" w:fill="FFFFFF"/>
        <w:spacing w:beforeAutospacing="0" w:afterAutospacing="0" w:line="360" w:lineRule="auto"/>
        <w:ind w:left="420" w:leftChars="200"/>
        <w:rPr>
          <w:rFonts w:cs="宋体"/>
          <w:sz w:val="21"/>
          <w:szCs w:val="21"/>
          <w:u w:val="single"/>
          <w:shd w:val="clear" w:color="auto" w:fill="FFFFFF"/>
        </w:rPr>
      </w:pPr>
      <w:r>
        <w:rPr>
          <w:rFonts w:cs="宋体"/>
          <w:sz w:val="21"/>
          <w:szCs w:val="21"/>
          <w:shd w:val="clear" w:color="auto" w:fill="FFFFFF"/>
        </w:rPr>
        <w:t>3</w:t>
      </w:r>
      <w:r>
        <w:rPr>
          <w:rFonts w:hint="eastAsia" w:cs="宋体"/>
          <w:sz w:val="21"/>
          <w:szCs w:val="21"/>
          <w:shd w:val="clear" w:color="auto" w:fill="FFFFFF"/>
        </w:rPr>
        <w:t>、具体的投标文件加密上传等操作详见政采云平台操作指南。</w:t>
      </w:r>
      <w:r>
        <w:fldChar w:fldCharType="begin"/>
      </w:r>
      <w:r>
        <w:instrText xml:space="preserve"> HYPERLINK "https://edu.zcygov.cn/luban/e-biding?utm=a0004.2ef5001f.0001.0109.da8b35e0da8611e98d8937b7ef8a3544" </w:instrText>
      </w:r>
      <w:r>
        <w:fldChar w:fldCharType="separate"/>
      </w:r>
      <w:r>
        <w:rPr>
          <w:rFonts w:cs="宋体"/>
          <w:sz w:val="21"/>
          <w:szCs w:val="21"/>
          <w:u w:val="single"/>
          <w:shd w:val="clear" w:color="auto" w:fill="FFFFFF"/>
        </w:rPr>
        <w:t>https://edu.zcygov.cn/luban/e-biding?utm=a0004.2ef5001f.0001.0109.da8b35e0da8611e98d8937b7ef8a3544</w:t>
      </w:r>
      <w:r>
        <w:rPr>
          <w:rFonts w:cs="宋体"/>
          <w:sz w:val="21"/>
          <w:szCs w:val="21"/>
          <w:u w:val="single"/>
          <w:shd w:val="clear" w:color="auto" w:fill="FFFFFF"/>
        </w:rPr>
        <w:fldChar w:fldCharType="end"/>
      </w:r>
    </w:p>
    <w:p>
      <w:pPr>
        <w:pStyle w:val="77"/>
        <w:spacing w:beforeAutospacing="0" w:afterAutospacing="0" w:line="360" w:lineRule="auto"/>
        <w:jc w:val="both"/>
        <w:rPr>
          <w:rStyle w:val="38"/>
          <w:b w:val="0"/>
          <w:sz w:val="21"/>
          <w:szCs w:val="21"/>
        </w:rPr>
      </w:pPr>
      <w:r>
        <w:rPr>
          <w:rStyle w:val="38"/>
          <w:rFonts w:hint="eastAsia"/>
          <w:bCs/>
          <w:sz w:val="21"/>
          <w:szCs w:val="21"/>
        </w:rPr>
        <w:t>九、投标保证金：无。</w:t>
      </w:r>
    </w:p>
    <w:p>
      <w:pPr>
        <w:pStyle w:val="77"/>
        <w:spacing w:beforeAutospacing="0" w:afterAutospacing="0" w:line="360" w:lineRule="auto"/>
        <w:jc w:val="both"/>
        <w:rPr>
          <w:rStyle w:val="38"/>
          <w:bCs/>
          <w:sz w:val="21"/>
          <w:szCs w:val="21"/>
        </w:rPr>
      </w:pPr>
      <w:r>
        <w:rPr>
          <w:rStyle w:val="38"/>
          <w:rFonts w:hint="eastAsia"/>
          <w:bCs/>
          <w:sz w:val="21"/>
          <w:szCs w:val="21"/>
        </w:rPr>
        <w:t>十、投标截止时间和地址：</w:t>
      </w:r>
    </w:p>
    <w:p>
      <w:pPr>
        <w:spacing w:line="360" w:lineRule="auto"/>
        <w:rPr>
          <w:rFonts w:ascii="宋体"/>
          <w:szCs w:val="21"/>
        </w:rPr>
      </w:pPr>
      <w:r>
        <w:rPr>
          <w:rFonts w:ascii="宋体" w:hAnsi="宋体"/>
          <w:szCs w:val="21"/>
        </w:rPr>
        <w:t xml:space="preserve">     1</w:t>
      </w:r>
      <w:r>
        <w:rPr>
          <w:rFonts w:hint="eastAsia" w:ascii="宋体" w:hAnsi="宋体"/>
          <w:szCs w:val="21"/>
        </w:rPr>
        <w:t>、本项目实行电子投标。</w:t>
      </w:r>
    </w:p>
    <w:p>
      <w:pPr>
        <w:spacing w:line="360" w:lineRule="auto"/>
        <w:rPr>
          <w:rFonts w:ascii="宋体"/>
          <w:szCs w:val="21"/>
        </w:rPr>
      </w:pPr>
      <w:r>
        <w:rPr>
          <w:rFonts w:hint="eastAsia" w:ascii="宋体" w:hAnsi="宋体"/>
          <w:szCs w:val="21"/>
        </w:rPr>
        <w:t>投标人应准备电子投标文件、以介质存储的数据电文形式的备份投标文件、纸质备份投标文件三类：</w:t>
      </w:r>
    </w:p>
    <w:p>
      <w:pPr>
        <w:spacing w:line="360" w:lineRule="auto"/>
        <w:rPr>
          <w:rFonts w:ascii="宋体"/>
          <w:szCs w:val="21"/>
        </w:rPr>
      </w:pPr>
      <w:r>
        <w:rPr>
          <w:rFonts w:hint="eastAsia" w:ascii="宋体" w:hAnsi="宋体"/>
          <w:szCs w:val="21"/>
        </w:rPr>
        <w:t>（</w:t>
      </w:r>
      <w:r>
        <w:rPr>
          <w:rFonts w:ascii="宋体" w:hAnsi="宋体"/>
          <w:szCs w:val="21"/>
        </w:rPr>
        <w:t>1</w:t>
      </w:r>
      <w:r>
        <w:rPr>
          <w:rFonts w:hint="eastAsia" w:ascii="宋体" w:hAnsi="宋体"/>
          <w:szCs w:val="21"/>
        </w:rPr>
        <w:t>）电子投标文件，按政采云平台项目采购</w:t>
      </w:r>
      <w:r>
        <w:rPr>
          <w:rFonts w:ascii="宋体"/>
          <w:szCs w:val="21"/>
        </w:rPr>
        <w:t>-</w:t>
      </w:r>
      <w:r>
        <w:rPr>
          <w:rFonts w:hint="eastAsia" w:ascii="宋体" w:hAnsi="宋体"/>
          <w:szCs w:val="21"/>
        </w:rPr>
        <w:t>电子交易操作指南及本招标文件要求递交。</w:t>
      </w:r>
      <w:r>
        <w:rPr>
          <w:rFonts w:hint="eastAsia" w:ascii="宋体" w:hAnsi="宋体" w:cs="宋体"/>
          <w:szCs w:val="21"/>
          <w:shd w:val="clear" w:color="auto" w:fill="FFFFFF"/>
        </w:rPr>
        <w:t>投标人应于</w:t>
      </w:r>
      <w:r>
        <w:rPr>
          <w:rFonts w:ascii="宋体" w:hAnsi="宋体" w:cs="宋体"/>
          <w:szCs w:val="21"/>
          <w:shd w:val="clear" w:color="auto" w:fill="FFFFFF"/>
        </w:rPr>
        <w:t>2021</w:t>
      </w:r>
      <w:r>
        <w:rPr>
          <w:rFonts w:hint="eastAsia" w:ascii="宋体" w:hAnsi="宋体" w:cs="宋体"/>
          <w:szCs w:val="21"/>
          <w:shd w:val="clear" w:color="auto" w:fill="FFFFFF"/>
        </w:rPr>
        <w:t>年</w:t>
      </w:r>
      <w:r>
        <w:rPr>
          <w:rFonts w:hint="eastAsia" w:ascii="宋体" w:hAnsi="宋体" w:cs="宋体"/>
          <w:szCs w:val="21"/>
          <w:shd w:val="clear" w:color="auto" w:fill="FFFFFF"/>
          <w:lang w:val="en-US" w:eastAsia="zh-CN"/>
        </w:rPr>
        <w:t>11</w:t>
      </w:r>
      <w:r>
        <w:rPr>
          <w:rFonts w:hint="eastAsia" w:ascii="宋体" w:hAnsi="宋体" w:cs="宋体"/>
          <w:szCs w:val="21"/>
          <w:shd w:val="clear" w:color="auto" w:fill="FFFFFF"/>
        </w:rPr>
        <w:t>月</w:t>
      </w:r>
      <w:r>
        <w:rPr>
          <w:rFonts w:hint="eastAsia" w:ascii="宋体" w:hAnsi="宋体" w:cs="宋体"/>
          <w:szCs w:val="21"/>
          <w:shd w:val="clear" w:color="auto" w:fill="FFFFFF"/>
          <w:lang w:val="en-US" w:eastAsia="zh-CN"/>
        </w:rPr>
        <w:t>17</w:t>
      </w:r>
      <w:r>
        <w:rPr>
          <w:rFonts w:hint="eastAsia" w:ascii="宋体" w:hAnsi="宋体" w:cs="宋体"/>
          <w:szCs w:val="21"/>
          <w:shd w:val="clear" w:color="auto" w:fill="FFFFFF"/>
        </w:rPr>
        <w:t>日9:30（北京时间）前将加密的电子版投标文件上传到政采云系统中（不准时上传视为无效标）。</w:t>
      </w:r>
      <w:r>
        <w:rPr>
          <w:rFonts w:ascii="宋体" w:hAnsi="宋体" w:cs="宋体"/>
          <w:b/>
          <w:szCs w:val="21"/>
          <w:shd w:val="clear" w:color="auto" w:fill="FFFFFF"/>
        </w:rPr>
        <w:t>CA</w:t>
      </w:r>
      <w:r>
        <w:rPr>
          <w:rFonts w:hint="eastAsia" w:ascii="宋体" w:hAnsi="宋体" w:cs="宋体"/>
          <w:b/>
          <w:szCs w:val="21"/>
          <w:shd w:val="clear" w:color="auto" w:fill="FFFFFF"/>
        </w:rPr>
        <w:t>数字证书随身携带或准时解码。</w:t>
      </w:r>
    </w:p>
    <w:p>
      <w:pPr>
        <w:spacing w:line="360" w:lineRule="auto"/>
        <w:rPr>
          <w:rFonts w:ascii="宋体"/>
          <w:szCs w:val="21"/>
        </w:rPr>
      </w:pPr>
      <w:r>
        <w:rPr>
          <w:rFonts w:hint="eastAsia" w:ascii="宋体" w:hAnsi="宋体"/>
          <w:szCs w:val="21"/>
        </w:rPr>
        <w:t>（</w:t>
      </w:r>
      <w:r>
        <w:rPr>
          <w:rFonts w:ascii="宋体" w:hAnsi="宋体"/>
          <w:szCs w:val="21"/>
        </w:rPr>
        <w:t>2</w:t>
      </w:r>
      <w:r>
        <w:rPr>
          <w:rFonts w:hint="eastAsia" w:ascii="宋体" w:hAnsi="宋体"/>
          <w:szCs w:val="21"/>
        </w:rPr>
        <w:t>）以介质存储的数据电文形式的备份投标文件，按政采云平台项目采购</w:t>
      </w:r>
      <w:r>
        <w:rPr>
          <w:rFonts w:ascii="宋体"/>
          <w:szCs w:val="21"/>
        </w:rPr>
        <w:t>-</w:t>
      </w:r>
      <w:r>
        <w:rPr>
          <w:rFonts w:hint="eastAsia" w:ascii="宋体" w:hAnsi="宋体"/>
          <w:szCs w:val="21"/>
        </w:rPr>
        <w:t>电子交易操作指南中上传的电子投标文件格式，以</w:t>
      </w:r>
      <w:r>
        <w:rPr>
          <w:rFonts w:ascii="宋体" w:hAnsi="宋体"/>
          <w:szCs w:val="21"/>
        </w:rPr>
        <w:t>U</w:t>
      </w:r>
      <w:r>
        <w:rPr>
          <w:rFonts w:hint="eastAsia" w:ascii="宋体" w:hAnsi="宋体"/>
          <w:szCs w:val="21"/>
        </w:rPr>
        <w:t>盘形式存储提供。数量为</w:t>
      </w:r>
      <w:r>
        <w:rPr>
          <w:rFonts w:ascii="宋体" w:hAnsi="宋体"/>
          <w:szCs w:val="21"/>
        </w:rPr>
        <w:t>1</w:t>
      </w:r>
      <w:r>
        <w:rPr>
          <w:rFonts w:hint="eastAsia" w:ascii="宋体" w:hAnsi="宋体"/>
          <w:szCs w:val="21"/>
        </w:rPr>
        <w:t>份。</w:t>
      </w:r>
    </w:p>
    <w:p>
      <w:pPr>
        <w:spacing w:line="360" w:lineRule="auto"/>
        <w:ind w:firstLine="420"/>
        <w:rPr>
          <w:rFonts w:ascii="宋体"/>
          <w:szCs w:val="21"/>
        </w:rPr>
      </w:pPr>
      <w:r>
        <w:rPr>
          <w:rFonts w:hint="eastAsia" w:ascii="宋体" w:hAnsi="宋体"/>
          <w:szCs w:val="21"/>
        </w:rPr>
        <w:t>（</w:t>
      </w:r>
      <w:r>
        <w:rPr>
          <w:rFonts w:ascii="宋体" w:hAnsi="宋体"/>
          <w:szCs w:val="21"/>
        </w:rPr>
        <w:t>3</w:t>
      </w:r>
      <w:r>
        <w:rPr>
          <w:rFonts w:hint="eastAsia" w:ascii="宋体" w:hAnsi="宋体"/>
          <w:szCs w:val="21"/>
        </w:rPr>
        <w:t>）纸质备份投标文件将以纸质文件的形式递交。数量为：正本、副本各</w:t>
      </w:r>
      <w:r>
        <w:rPr>
          <w:rFonts w:ascii="宋体" w:hAnsi="宋体"/>
          <w:szCs w:val="21"/>
        </w:rPr>
        <w:t>1</w:t>
      </w:r>
      <w:r>
        <w:rPr>
          <w:rFonts w:hint="eastAsia" w:ascii="宋体" w:hAnsi="宋体"/>
          <w:szCs w:val="21"/>
        </w:rPr>
        <w:t>份。</w:t>
      </w:r>
    </w:p>
    <w:p>
      <w:pPr>
        <w:pStyle w:val="77"/>
        <w:shd w:val="clear" w:color="auto" w:fill="FFFFFF"/>
        <w:spacing w:beforeAutospacing="0" w:afterAutospacing="0" w:line="360" w:lineRule="auto"/>
        <w:ind w:firstLine="516" w:firstLineChars="246"/>
        <w:rPr>
          <w:rFonts w:cs="(使用中文字体)"/>
          <w:sz w:val="21"/>
          <w:szCs w:val="21"/>
        </w:rPr>
      </w:pPr>
      <w:r>
        <w:rPr>
          <w:rFonts w:hint="eastAsia" w:cs="(使用中文字体)"/>
          <w:sz w:val="21"/>
          <w:szCs w:val="21"/>
        </w:rPr>
        <w:t>投标人应于</w:t>
      </w:r>
      <w:r>
        <w:rPr>
          <w:rFonts w:cs="(使用中文字体)"/>
          <w:sz w:val="21"/>
          <w:szCs w:val="21"/>
        </w:rPr>
        <w:t>2021</w:t>
      </w:r>
      <w:r>
        <w:rPr>
          <w:rFonts w:hint="eastAsia" w:cs="(使用中文字体)"/>
          <w:sz w:val="21"/>
          <w:szCs w:val="21"/>
        </w:rPr>
        <w:t>年</w:t>
      </w:r>
      <w:r>
        <w:rPr>
          <w:rFonts w:hint="eastAsia" w:cs="(使用中文字体)"/>
          <w:sz w:val="21"/>
          <w:szCs w:val="21"/>
          <w:lang w:val="en-US" w:eastAsia="zh-CN"/>
        </w:rPr>
        <w:t>11</w:t>
      </w:r>
      <w:r>
        <w:rPr>
          <w:rFonts w:hint="eastAsia" w:cs="(使用中文字体)"/>
          <w:sz w:val="21"/>
          <w:szCs w:val="21"/>
        </w:rPr>
        <w:t>月</w:t>
      </w:r>
      <w:r>
        <w:rPr>
          <w:rFonts w:hint="eastAsia" w:cs="(使用中文字体)"/>
          <w:sz w:val="21"/>
          <w:szCs w:val="21"/>
          <w:lang w:val="en-US" w:eastAsia="zh-CN"/>
        </w:rPr>
        <w:t>16</w:t>
      </w:r>
      <w:r>
        <w:rPr>
          <w:rFonts w:hint="eastAsia" w:cs="(使用中文字体)"/>
          <w:sz w:val="21"/>
          <w:szCs w:val="21"/>
        </w:rPr>
        <w:t>日</w:t>
      </w:r>
      <w:r>
        <w:rPr>
          <w:rFonts w:cs="(使用中文字体)"/>
          <w:sz w:val="21"/>
          <w:szCs w:val="21"/>
        </w:rPr>
        <w:t>11</w:t>
      </w:r>
      <w:r>
        <w:rPr>
          <w:rFonts w:hint="eastAsia" w:cs="(使用中文字体)"/>
          <w:sz w:val="21"/>
          <w:szCs w:val="21"/>
        </w:rPr>
        <w:t>：</w:t>
      </w:r>
      <w:r>
        <w:rPr>
          <w:rFonts w:cs="(使用中文字体)"/>
          <w:sz w:val="21"/>
          <w:szCs w:val="21"/>
        </w:rPr>
        <w:t>30</w:t>
      </w:r>
      <w:r>
        <w:rPr>
          <w:rFonts w:hint="eastAsia" w:cs="(使用中文字体)"/>
          <w:sz w:val="21"/>
          <w:szCs w:val="21"/>
        </w:rPr>
        <w:t>（北京时间）前将备份的投标文件寄于采购代理公司，地址：舟山市定海区昌国路</w:t>
      </w:r>
      <w:r>
        <w:rPr>
          <w:rFonts w:cs="(使用中文字体)"/>
          <w:sz w:val="21"/>
          <w:szCs w:val="21"/>
        </w:rPr>
        <w:t>232</w:t>
      </w:r>
      <w:r>
        <w:rPr>
          <w:rFonts w:hint="eastAsia" w:cs="(使用中文字体)"/>
          <w:sz w:val="21"/>
          <w:szCs w:val="21"/>
        </w:rPr>
        <w:t>号中楼</w:t>
      </w:r>
      <w:r>
        <w:rPr>
          <w:rFonts w:cs="(使用中文字体)"/>
          <w:sz w:val="21"/>
          <w:szCs w:val="21"/>
        </w:rPr>
        <w:t xml:space="preserve">202  </w:t>
      </w:r>
      <w:r>
        <w:rPr>
          <w:rFonts w:hint="eastAsia" w:cs="(使用中文字体)"/>
          <w:sz w:val="21"/>
          <w:szCs w:val="21"/>
        </w:rPr>
        <w:t>深圳市国信招标有限公司舟山分公司，未按时寄到的自行承担风险。也可开标会现场递交。</w:t>
      </w:r>
    </w:p>
    <w:p>
      <w:pPr>
        <w:pStyle w:val="77"/>
        <w:shd w:val="clear" w:color="auto" w:fill="FFFFFF"/>
        <w:spacing w:beforeAutospacing="0" w:afterAutospacing="0" w:line="360" w:lineRule="auto"/>
        <w:ind w:firstLine="519" w:firstLineChars="246"/>
        <w:rPr>
          <w:rFonts w:cs="(使用中文字体)"/>
          <w:b/>
          <w:sz w:val="21"/>
          <w:szCs w:val="21"/>
        </w:rPr>
      </w:pPr>
      <w:r>
        <w:rPr>
          <w:rFonts w:hint="eastAsia" w:cs="(使用中文字体)"/>
          <w:b/>
          <w:sz w:val="21"/>
          <w:szCs w:val="21"/>
        </w:rPr>
        <w:t>投标人可以不提供备份投标文件，造成项目开评标活动无法进行下去的，投标无效，相关风险由投标人自行承担。</w:t>
      </w:r>
    </w:p>
    <w:p>
      <w:pPr>
        <w:pStyle w:val="77"/>
        <w:shd w:val="clear" w:color="auto" w:fill="FFFFFF"/>
        <w:spacing w:beforeAutospacing="0" w:afterAutospacing="0" w:line="360" w:lineRule="auto"/>
        <w:ind w:firstLine="413" w:firstLineChars="196"/>
        <w:rPr>
          <w:rFonts w:cs="宋体"/>
          <w:bCs/>
          <w:kern w:val="2"/>
          <w:sz w:val="21"/>
          <w:szCs w:val="21"/>
        </w:rPr>
      </w:pPr>
      <w:r>
        <w:rPr>
          <w:rFonts w:cs="宋体"/>
          <w:b/>
          <w:bCs/>
          <w:kern w:val="2"/>
          <w:sz w:val="21"/>
          <w:szCs w:val="21"/>
        </w:rPr>
        <w:t>2</w:t>
      </w:r>
      <w:r>
        <w:rPr>
          <w:rFonts w:hint="eastAsia" w:cs="宋体"/>
          <w:b/>
          <w:bCs/>
          <w:kern w:val="2"/>
          <w:sz w:val="21"/>
          <w:szCs w:val="21"/>
        </w:rPr>
        <w:t>、开标时间：</w:t>
      </w:r>
      <w:r>
        <w:rPr>
          <w:rFonts w:cs="宋体"/>
          <w:bCs/>
          <w:kern w:val="2"/>
          <w:sz w:val="21"/>
          <w:szCs w:val="21"/>
        </w:rPr>
        <w:t>2021</w:t>
      </w:r>
      <w:r>
        <w:rPr>
          <w:rFonts w:hint="eastAsia" w:cs="宋体"/>
          <w:bCs/>
          <w:kern w:val="2"/>
          <w:sz w:val="21"/>
          <w:szCs w:val="21"/>
        </w:rPr>
        <w:t>年</w:t>
      </w:r>
      <w:r>
        <w:rPr>
          <w:rFonts w:hint="eastAsia" w:cs="宋体"/>
          <w:bCs/>
          <w:kern w:val="2"/>
          <w:sz w:val="21"/>
          <w:szCs w:val="21"/>
          <w:lang w:val="en-US" w:eastAsia="zh-CN"/>
        </w:rPr>
        <w:t>11</w:t>
      </w:r>
      <w:r>
        <w:rPr>
          <w:rFonts w:hint="eastAsia" w:cs="宋体"/>
          <w:bCs/>
          <w:kern w:val="2"/>
          <w:sz w:val="21"/>
          <w:szCs w:val="21"/>
        </w:rPr>
        <w:t>月</w:t>
      </w:r>
      <w:r>
        <w:rPr>
          <w:rFonts w:hint="eastAsia" w:cs="宋体"/>
          <w:bCs/>
          <w:kern w:val="2"/>
          <w:sz w:val="21"/>
          <w:szCs w:val="21"/>
          <w:lang w:val="en-US" w:eastAsia="zh-CN"/>
        </w:rPr>
        <w:t>17</w:t>
      </w:r>
      <w:r>
        <w:rPr>
          <w:rFonts w:hint="eastAsia" w:cs="宋体"/>
          <w:bCs/>
          <w:kern w:val="2"/>
          <w:sz w:val="21"/>
          <w:szCs w:val="21"/>
        </w:rPr>
        <w:t>日</w:t>
      </w:r>
      <w:r>
        <w:rPr>
          <w:rFonts w:hint="eastAsia" w:cs="宋体"/>
          <w:bCs/>
          <w:kern w:val="2"/>
          <w:sz w:val="21"/>
          <w:szCs w:val="21"/>
          <w:lang w:val="en-US" w:eastAsia="zh-CN"/>
        </w:rPr>
        <w:t>上</w:t>
      </w:r>
      <w:r>
        <w:rPr>
          <w:rFonts w:hint="eastAsia" w:cs="宋体"/>
          <w:bCs/>
          <w:kern w:val="2"/>
          <w:sz w:val="21"/>
          <w:szCs w:val="21"/>
        </w:rPr>
        <w:t>午9</w:t>
      </w:r>
      <w:r>
        <w:rPr>
          <w:rFonts w:cs="宋体"/>
          <w:bCs/>
          <w:kern w:val="2"/>
          <w:sz w:val="21"/>
          <w:szCs w:val="21"/>
        </w:rPr>
        <w:t>:</w:t>
      </w:r>
      <w:r>
        <w:rPr>
          <w:rFonts w:hint="eastAsia" w:cs="宋体"/>
          <w:bCs/>
          <w:kern w:val="2"/>
          <w:sz w:val="21"/>
          <w:szCs w:val="21"/>
        </w:rPr>
        <w:t>30（北京时间）</w:t>
      </w:r>
    </w:p>
    <w:p>
      <w:pPr>
        <w:pStyle w:val="77"/>
        <w:shd w:val="clear" w:color="auto" w:fill="FFFFFF"/>
        <w:spacing w:beforeAutospacing="0" w:afterAutospacing="0" w:line="360" w:lineRule="auto"/>
        <w:ind w:firstLine="430"/>
        <w:rPr>
          <w:rFonts w:cs="宋体"/>
          <w:bCs/>
          <w:kern w:val="2"/>
          <w:sz w:val="21"/>
          <w:szCs w:val="21"/>
        </w:rPr>
      </w:pPr>
      <w:r>
        <w:rPr>
          <w:rFonts w:cs="宋体"/>
          <w:b/>
          <w:bCs/>
          <w:kern w:val="2"/>
          <w:sz w:val="21"/>
          <w:szCs w:val="21"/>
        </w:rPr>
        <w:t>3</w:t>
      </w:r>
      <w:r>
        <w:rPr>
          <w:rFonts w:hint="eastAsia" w:cs="宋体"/>
          <w:b/>
          <w:bCs/>
          <w:kern w:val="2"/>
          <w:sz w:val="21"/>
          <w:szCs w:val="21"/>
        </w:rPr>
        <w:t>、开标地点：</w:t>
      </w:r>
      <w:r>
        <w:rPr>
          <w:rFonts w:hint="eastAsia" w:cs="宋体"/>
          <w:bCs/>
          <w:kern w:val="2"/>
          <w:sz w:val="21"/>
          <w:szCs w:val="21"/>
        </w:rPr>
        <w:t>岱山县高亭镇星河路250号3楼（交通大楼裙楼3楼）</w:t>
      </w:r>
    </w:p>
    <w:p>
      <w:pPr>
        <w:pStyle w:val="77"/>
        <w:shd w:val="clear" w:color="auto" w:fill="FFFFFF"/>
        <w:spacing w:beforeAutospacing="0" w:afterAutospacing="0" w:line="360" w:lineRule="auto"/>
        <w:rPr>
          <w:rStyle w:val="38"/>
          <w:b w:val="0"/>
          <w:sz w:val="21"/>
          <w:szCs w:val="21"/>
        </w:rPr>
      </w:pPr>
      <w:r>
        <w:rPr>
          <w:rStyle w:val="38"/>
          <w:rFonts w:hint="eastAsia"/>
          <w:bCs/>
          <w:sz w:val="21"/>
          <w:szCs w:val="21"/>
        </w:rPr>
        <w:t>十一．其他事项：</w:t>
      </w:r>
    </w:p>
    <w:p>
      <w:pPr>
        <w:spacing w:line="360" w:lineRule="auto"/>
        <w:ind w:firstLine="420" w:firstLineChars="200"/>
      </w:pPr>
      <w:r>
        <w:rPr>
          <w:rFonts w:ascii="宋体" w:hAnsi="宋体" w:cs="宋体"/>
          <w:szCs w:val="21"/>
        </w:rPr>
        <w:t>1</w:t>
      </w:r>
      <w:r>
        <w:rPr>
          <w:rFonts w:hint="eastAsia" w:ascii="宋体" w:hAnsi="宋体" w:cs="宋体"/>
          <w:szCs w:val="21"/>
        </w:rPr>
        <w:t>、</w:t>
      </w:r>
      <w:r>
        <w:t> </w:t>
      </w:r>
      <w:r>
        <w:rPr>
          <w:rFonts w:hint="eastAsia"/>
        </w:rPr>
        <w:t>本项目公告期限为</w:t>
      </w:r>
      <w:r>
        <w:t>5</w:t>
      </w:r>
      <w:r>
        <w:rPr>
          <w:rFonts w:hint="eastAsia"/>
        </w:rPr>
        <w:t>个工作日，供应商认为采购文件使自己的权益受到损害的，可以自获取采购文件之日或者采购文件公告期限届满之日（公告期限届满后获取采购文件的，以公告期限届满之日为准）起</w:t>
      </w:r>
      <w:r>
        <w:t>7</w:t>
      </w:r>
      <w:r>
        <w:rPr>
          <w:rFonts w:hint="eastAsia"/>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、投标人应在合同签订前成为浙江政府采购网正式注册供应商。</w:t>
      </w:r>
    </w:p>
    <w:p>
      <w:pPr>
        <w:pStyle w:val="77"/>
        <w:spacing w:beforeAutospacing="0" w:afterAutospacing="0" w:line="360" w:lineRule="auto"/>
        <w:jc w:val="both"/>
        <w:rPr>
          <w:rStyle w:val="38"/>
          <w:b w:val="0"/>
          <w:sz w:val="21"/>
          <w:szCs w:val="21"/>
        </w:rPr>
      </w:pPr>
      <w:r>
        <w:rPr>
          <w:rStyle w:val="38"/>
          <w:rFonts w:hint="eastAsia"/>
          <w:bCs/>
          <w:sz w:val="21"/>
          <w:szCs w:val="21"/>
        </w:rPr>
        <w:t>十二．联系方式：</w:t>
      </w:r>
    </w:p>
    <w:p>
      <w:pPr>
        <w:pStyle w:val="31"/>
        <w:spacing w:before="0" w:beforeAutospacing="0" w:after="0" w:afterAutospacing="0" w:line="360" w:lineRule="auto"/>
        <w:ind w:firstLine="420"/>
        <w:jc w:val="both"/>
        <w:rPr>
          <w:rFonts w:ascii="宋体"/>
          <w:sz w:val="21"/>
          <w:szCs w:val="21"/>
          <w:shd w:val="clear" w:color="auto" w:fill="FFFFFF"/>
        </w:rPr>
      </w:pPr>
      <w:r>
        <w:rPr>
          <w:rFonts w:ascii="宋体" w:hAnsi="宋体"/>
          <w:sz w:val="21"/>
          <w:szCs w:val="21"/>
          <w:shd w:val="clear" w:color="auto" w:fill="FFFFFF"/>
        </w:rPr>
        <w:t>1</w:t>
      </w:r>
      <w:r>
        <w:rPr>
          <w:rFonts w:hint="eastAsia" w:ascii="宋体" w:hAnsi="宋体"/>
          <w:sz w:val="21"/>
          <w:szCs w:val="21"/>
          <w:shd w:val="clear" w:color="auto" w:fill="FFFFFF"/>
        </w:rPr>
        <w:t>、采购代理机构名称：深圳市国信招标有限公司舟山分公司</w:t>
      </w:r>
    </w:p>
    <w:p>
      <w:pPr>
        <w:pStyle w:val="31"/>
        <w:spacing w:before="0" w:beforeAutospacing="0" w:after="0" w:afterAutospacing="0" w:line="360" w:lineRule="auto"/>
        <w:ind w:firstLine="420"/>
        <w:jc w:val="both"/>
        <w:rPr>
          <w:rFonts w:ascii="宋体"/>
          <w:sz w:val="21"/>
          <w:szCs w:val="21"/>
          <w:shd w:val="clear" w:color="auto" w:fill="FFFFFF"/>
        </w:rPr>
      </w:pPr>
      <w:r>
        <w:rPr>
          <w:rFonts w:hint="eastAsia" w:ascii="宋体" w:hAnsi="宋体"/>
          <w:sz w:val="21"/>
          <w:szCs w:val="21"/>
          <w:shd w:val="clear" w:color="auto" w:fill="FFFFFF"/>
        </w:rPr>
        <w:t>联系人：朱女士、任女士</w:t>
      </w:r>
    </w:p>
    <w:p>
      <w:pPr>
        <w:pStyle w:val="31"/>
        <w:spacing w:before="0" w:beforeAutospacing="0" w:after="0" w:afterAutospacing="0" w:line="360" w:lineRule="auto"/>
        <w:ind w:firstLine="420"/>
        <w:jc w:val="both"/>
        <w:rPr>
          <w:rFonts w:ascii="宋体"/>
          <w:sz w:val="21"/>
          <w:szCs w:val="21"/>
          <w:shd w:val="clear" w:color="auto" w:fill="FFFFFF"/>
        </w:rPr>
      </w:pPr>
      <w:r>
        <w:rPr>
          <w:rFonts w:hint="eastAsia" w:ascii="宋体" w:hAnsi="宋体"/>
          <w:sz w:val="21"/>
          <w:szCs w:val="21"/>
          <w:shd w:val="clear" w:color="auto" w:fill="FFFFFF"/>
        </w:rPr>
        <w:t>联系电话：</w:t>
      </w:r>
      <w:r>
        <w:rPr>
          <w:rFonts w:ascii="宋体" w:hAnsi="宋体"/>
          <w:sz w:val="21"/>
          <w:szCs w:val="21"/>
          <w:shd w:val="clear" w:color="auto" w:fill="FFFFFF"/>
        </w:rPr>
        <w:t>0580-2054476</w:t>
      </w:r>
      <w:r>
        <w:rPr>
          <w:rFonts w:hint="eastAsia" w:ascii="宋体" w:hAnsi="宋体"/>
          <w:sz w:val="21"/>
          <w:szCs w:val="21"/>
          <w:shd w:val="clear" w:color="auto" w:fill="FFFFFF"/>
        </w:rPr>
        <w:t>，</w:t>
      </w:r>
      <w:r>
        <w:rPr>
          <w:rFonts w:ascii="宋体" w:hAnsi="宋体"/>
          <w:sz w:val="21"/>
          <w:szCs w:val="21"/>
          <w:shd w:val="clear" w:color="auto" w:fill="FFFFFF"/>
        </w:rPr>
        <w:t>13857236444</w:t>
      </w:r>
      <w:r>
        <w:rPr>
          <w:rFonts w:hint="eastAsia" w:ascii="宋体" w:hAnsi="宋体"/>
          <w:sz w:val="21"/>
          <w:szCs w:val="21"/>
          <w:shd w:val="clear" w:color="auto" w:fill="FFFFFF"/>
        </w:rPr>
        <w:t>，</w:t>
      </w:r>
      <w:r>
        <w:rPr>
          <w:rFonts w:ascii="宋体" w:hAnsi="宋体"/>
          <w:sz w:val="21"/>
          <w:szCs w:val="21"/>
          <w:shd w:val="clear" w:color="auto" w:fill="FFFFFF"/>
        </w:rPr>
        <w:t>13567673203</w:t>
      </w:r>
    </w:p>
    <w:p>
      <w:pPr>
        <w:pStyle w:val="31"/>
        <w:spacing w:before="0" w:beforeAutospacing="0" w:after="0" w:afterAutospacing="0" w:line="360" w:lineRule="auto"/>
        <w:ind w:firstLine="420"/>
        <w:jc w:val="both"/>
        <w:rPr>
          <w:rFonts w:ascii="宋体"/>
          <w:sz w:val="21"/>
          <w:szCs w:val="21"/>
          <w:shd w:val="clear" w:color="auto" w:fill="FFFFFF"/>
        </w:rPr>
      </w:pPr>
      <w:r>
        <w:rPr>
          <w:rFonts w:hint="eastAsia" w:ascii="宋体" w:hAnsi="宋体"/>
          <w:sz w:val="21"/>
          <w:szCs w:val="21"/>
          <w:shd w:val="clear" w:color="auto" w:fill="FFFFFF"/>
        </w:rPr>
        <w:t>质疑答复联系人：王女士</w:t>
      </w:r>
    </w:p>
    <w:p>
      <w:pPr>
        <w:pStyle w:val="31"/>
        <w:spacing w:before="0" w:beforeAutospacing="0" w:after="0" w:afterAutospacing="0" w:line="360" w:lineRule="auto"/>
        <w:ind w:firstLine="420"/>
        <w:jc w:val="both"/>
        <w:rPr>
          <w:rFonts w:ascii="宋体"/>
          <w:sz w:val="21"/>
          <w:szCs w:val="21"/>
          <w:shd w:val="clear" w:color="auto" w:fill="FFFFFF"/>
        </w:rPr>
      </w:pPr>
      <w:r>
        <w:rPr>
          <w:rFonts w:hint="eastAsia" w:ascii="宋体" w:hAnsi="宋体"/>
          <w:sz w:val="21"/>
          <w:szCs w:val="21"/>
          <w:shd w:val="clear" w:color="auto" w:fill="FFFFFF"/>
        </w:rPr>
        <w:t>联系电话：</w:t>
      </w:r>
      <w:r>
        <w:rPr>
          <w:rFonts w:ascii="宋体" w:hAnsi="宋体"/>
          <w:sz w:val="21"/>
          <w:szCs w:val="21"/>
          <w:shd w:val="clear" w:color="auto" w:fill="FFFFFF"/>
        </w:rPr>
        <w:t>0580-2054476</w:t>
      </w:r>
      <w:r>
        <w:rPr>
          <w:rFonts w:hint="eastAsia" w:ascii="宋体" w:hAnsi="宋体"/>
          <w:sz w:val="21"/>
          <w:szCs w:val="21"/>
          <w:shd w:val="clear" w:color="auto" w:fill="FFFFFF"/>
        </w:rPr>
        <w:t>，</w:t>
      </w:r>
      <w:r>
        <w:rPr>
          <w:rFonts w:ascii="宋体" w:hAnsi="宋体"/>
          <w:sz w:val="21"/>
          <w:szCs w:val="21"/>
          <w:shd w:val="clear" w:color="auto" w:fill="FFFFFF"/>
        </w:rPr>
        <w:t>13587045176</w:t>
      </w:r>
    </w:p>
    <w:p>
      <w:pPr>
        <w:pStyle w:val="31"/>
        <w:spacing w:before="0" w:beforeAutospacing="0" w:after="0" w:afterAutospacing="0" w:line="360" w:lineRule="auto"/>
        <w:ind w:firstLine="420"/>
        <w:jc w:val="both"/>
        <w:rPr>
          <w:rFonts w:ascii="宋体"/>
          <w:sz w:val="21"/>
          <w:szCs w:val="21"/>
          <w:shd w:val="clear" w:color="auto" w:fill="FFFFFF"/>
        </w:rPr>
      </w:pPr>
      <w:r>
        <w:rPr>
          <w:rFonts w:hint="eastAsia" w:ascii="宋体" w:hAnsi="宋体"/>
          <w:sz w:val="21"/>
          <w:szCs w:val="21"/>
          <w:shd w:val="clear" w:color="auto" w:fill="FFFFFF"/>
        </w:rPr>
        <w:t>传真：</w:t>
      </w:r>
      <w:r>
        <w:rPr>
          <w:rFonts w:ascii="宋体" w:hAnsi="宋体"/>
          <w:sz w:val="21"/>
          <w:szCs w:val="21"/>
          <w:shd w:val="clear" w:color="auto" w:fill="FFFFFF"/>
        </w:rPr>
        <w:t xml:space="preserve"> 0580-2054476</w:t>
      </w:r>
    </w:p>
    <w:p>
      <w:pPr>
        <w:pStyle w:val="31"/>
        <w:spacing w:before="0" w:beforeAutospacing="0" w:after="0" w:afterAutospacing="0" w:line="360" w:lineRule="auto"/>
        <w:ind w:firstLine="420"/>
        <w:jc w:val="both"/>
        <w:rPr>
          <w:rFonts w:ascii="宋体"/>
          <w:sz w:val="21"/>
          <w:szCs w:val="21"/>
          <w:shd w:val="clear" w:color="auto" w:fill="FFFFFF"/>
        </w:rPr>
      </w:pPr>
      <w:r>
        <w:rPr>
          <w:rFonts w:hint="eastAsia" w:ascii="宋体" w:hAnsi="宋体"/>
          <w:sz w:val="21"/>
          <w:szCs w:val="21"/>
          <w:shd w:val="clear" w:color="auto" w:fill="FFFFFF"/>
        </w:rPr>
        <w:t>地点：舟山市定海区昌国路</w:t>
      </w:r>
      <w:r>
        <w:rPr>
          <w:rFonts w:ascii="宋体" w:hAnsi="宋体"/>
          <w:sz w:val="21"/>
          <w:szCs w:val="21"/>
          <w:shd w:val="clear" w:color="auto" w:fill="FFFFFF"/>
        </w:rPr>
        <w:t>232</w:t>
      </w:r>
      <w:r>
        <w:rPr>
          <w:rFonts w:hint="eastAsia" w:ascii="宋体" w:hAnsi="宋体"/>
          <w:sz w:val="21"/>
          <w:szCs w:val="21"/>
          <w:shd w:val="clear" w:color="auto" w:fill="FFFFFF"/>
        </w:rPr>
        <w:t>号中楼</w:t>
      </w:r>
      <w:r>
        <w:rPr>
          <w:rFonts w:ascii="宋体" w:hAnsi="宋体"/>
          <w:sz w:val="21"/>
          <w:szCs w:val="21"/>
          <w:shd w:val="clear" w:color="auto" w:fill="FFFFFF"/>
        </w:rPr>
        <w:t>202</w:t>
      </w:r>
    </w:p>
    <w:p>
      <w:pPr>
        <w:spacing w:line="360" w:lineRule="auto"/>
        <w:ind w:firstLine="472" w:firstLineChars="225"/>
        <w:rPr>
          <w:rFonts w:ascii="宋体"/>
          <w:color w:val="auto"/>
          <w:szCs w:val="21"/>
        </w:rPr>
      </w:pPr>
      <w:r>
        <w:rPr>
          <w:rFonts w:ascii="宋体" w:hAnsi="宋体"/>
          <w:color w:val="auto"/>
          <w:szCs w:val="21"/>
          <w:shd w:val="clear" w:color="auto" w:fill="FFFFFF"/>
        </w:rPr>
        <w:t>2</w:t>
      </w:r>
      <w:r>
        <w:rPr>
          <w:rFonts w:hint="eastAsia" w:ascii="宋体" w:hAnsi="宋体"/>
          <w:color w:val="auto"/>
          <w:szCs w:val="21"/>
          <w:shd w:val="clear" w:color="auto" w:fill="FFFFFF"/>
        </w:rPr>
        <w:t>、采购人：</w:t>
      </w:r>
      <w:r>
        <w:rPr>
          <w:rFonts w:hint="eastAsia" w:ascii="宋体" w:hAnsi="宋体"/>
          <w:color w:val="auto"/>
          <w:szCs w:val="21"/>
        </w:rPr>
        <w:t>岱山县第一人民医院</w:t>
      </w:r>
    </w:p>
    <w:p>
      <w:pPr>
        <w:spacing w:line="360" w:lineRule="auto"/>
        <w:ind w:firstLine="472" w:firstLineChars="225"/>
        <w:rPr>
          <w:rFonts w:ascii="宋体" w:hAnsi="宋体" w:cs="(使用中文字体)"/>
          <w:color w:val="auto"/>
          <w:kern w:val="0"/>
          <w:szCs w:val="21"/>
          <w:shd w:val="clear" w:color="auto" w:fill="FFFFFF"/>
        </w:rPr>
      </w:pPr>
      <w:r>
        <w:rPr>
          <w:rFonts w:hint="eastAsia" w:ascii="宋体" w:hAnsi="宋体" w:cs="(使用中文字体)"/>
          <w:color w:val="auto"/>
          <w:kern w:val="0"/>
          <w:szCs w:val="21"/>
          <w:shd w:val="clear" w:color="auto" w:fill="FFFFFF"/>
        </w:rPr>
        <w:t xml:space="preserve">联系人：高先生 </w:t>
      </w:r>
    </w:p>
    <w:p>
      <w:pPr>
        <w:spacing w:line="360" w:lineRule="auto"/>
        <w:ind w:firstLine="472" w:firstLineChars="225"/>
        <w:rPr>
          <w:rFonts w:ascii="宋体" w:hAnsi="宋体" w:cs="(使用中文字体)"/>
          <w:color w:val="auto"/>
          <w:kern w:val="0"/>
          <w:szCs w:val="21"/>
          <w:shd w:val="clear" w:color="auto" w:fill="FFFFFF"/>
        </w:rPr>
      </w:pPr>
      <w:r>
        <w:rPr>
          <w:rFonts w:hint="eastAsia" w:ascii="宋体" w:hAnsi="宋体" w:cs="(使用中文字体)"/>
          <w:color w:val="auto"/>
          <w:kern w:val="0"/>
          <w:szCs w:val="21"/>
          <w:shd w:val="clear" w:color="auto" w:fill="FFFFFF"/>
        </w:rPr>
        <w:t xml:space="preserve">联系电话：0580-7337659 </w:t>
      </w:r>
    </w:p>
    <w:p>
      <w:pPr>
        <w:spacing w:line="360" w:lineRule="auto"/>
        <w:ind w:firstLine="472" w:firstLineChars="225"/>
        <w:rPr>
          <w:rFonts w:ascii="宋体" w:hAnsi="宋体" w:cs="(使用中文字体)"/>
          <w:color w:val="auto"/>
          <w:kern w:val="0"/>
          <w:szCs w:val="21"/>
          <w:shd w:val="clear" w:color="auto" w:fill="FFFFFF"/>
        </w:rPr>
      </w:pPr>
      <w:r>
        <w:rPr>
          <w:rFonts w:hint="eastAsia" w:ascii="宋体" w:hAnsi="宋体" w:cs="(使用中文字体)"/>
          <w:color w:val="auto"/>
          <w:kern w:val="0"/>
          <w:szCs w:val="21"/>
          <w:shd w:val="clear" w:color="auto" w:fill="FFFFFF"/>
        </w:rPr>
        <w:t>质疑答复联系人：严先生</w:t>
      </w:r>
    </w:p>
    <w:p>
      <w:pPr>
        <w:spacing w:line="360" w:lineRule="auto"/>
        <w:ind w:firstLine="472" w:firstLineChars="225"/>
        <w:rPr>
          <w:rFonts w:ascii="宋体" w:hAnsi="宋体" w:cs="(使用中文字体)"/>
          <w:color w:val="auto"/>
          <w:kern w:val="0"/>
          <w:szCs w:val="21"/>
          <w:shd w:val="clear" w:color="auto" w:fill="FFFFFF"/>
        </w:rPr>
      </w:pPr>
      <w:r>
        <w:rPr>
          <w:rFonts w:hint="eastAsia" w:ascii="宋体" w:hAnsi="宋体" w:cs="(使用中文字体)"/>
          <w:color w:val="auto"/>
          <w:kern w:val="0"/>
          <w:szCs w:val="21"/>
          <w:shd w:val="clear" w:color="auto" w:fill="FFFFFF"/>
        </w:rPr>
        <w:t>联系电话：0580-7339680</w:t>
      </w:r>
    </w:p>
    <w:p>
      <w:pPr>
        <w:pStyle w:val="2"/>
        <w:ind w:firstLine="210"/>
        <w:rPr>
          <w:color w:val="auto"/>
        </w:rPr>
      </w:pPr>
      <w:r>
        <w:rPr>
          <w:rFonts w:hint="eastAsia"/>
          <w:color w:val="auto"/>
        </w:rPr>
        <w:t xml:space="preserve">  地址：岱山县高亭镇康健路88号</w:t>
      </w:r>
    </w:p>
    <w:p>
      <w:pPr>
        <w:spacing w:line="360" w:lineRule="auto"/>
        <w:ind w:firstLine="472" w:firstLineChars="225"/>
        <w:rPr>
          <w:rFonts w:ascii="宋体" w:hAnsi="宋体"/>
          <w:szCs w:val="21"/>
        </w:rPr>
      </w:pPr>
      <w:r>
        <w:rPr>
          <w:rFonts w:hint="eastAsia" w:ascii="宋体" w:hAnsi="宋体"/>
          <w:szCs w:val="21"/>
        </w:rPr>
        <w:t>3、</w:t>
      </w:r>
      <w:r>
        <w:rPr>
          <w:rFonts w:hint="eastAsia" w:ascii="宋体" w:hAnsi="宋体" w:cs="宋体"/>
          <w:szCs w:val="21"/>
          <w:shd w:val="clear" w:color="auto" w:fill="FFFFFF"/>
        </w:rPr>
        <w:t>同级政府采购监督管理部门名称</w:t>
      </w:r>
      <w:r>
        <w:rPr>
          <w:rFonts w:hint="eastAsia" w:ascii="宋体" w:hAnsi="宋体"/>
          <w:szCs w:val="21"/>
        </w:rPr>
        <w:t>：岱山县财政局政府采购管理科</w:t>
      </w:r>
    </w:p>
    <w:p>
      <w:pPr>
        <w:spacing w:line="360" w:lineRule="auto"/>
        <w:ind w:firstLine="472" w:firstLineChars="225"/>
        <w:rPr>
          <w:b/>
          <w:sz w:val="30"/>
        </w:rPr>
      </w:pPr>
      <w:r>
        <w:rPr>
          <w:rFonts w:hint="eastAsia" w:ascii="宋体" w:hAnsi="宋体"/>
          <w:szCs w:val="21"/>
        </w:rPr>
        <w:t>监督投诉电话：</w:t>
      </w:r>
      <w:r>
        <w:rPr>
          <w:rFonts w:ascii="宋体" w:hAnsi="宋体"/>
          <w:szCs w:val="21"/>
        </w:rPr>
        <w:t>0580-4481480</w:t>
      </w:r>
    </w:p>
    <w:p>
      <w:pPr>
        <w:spacing w:line="360" w:lineRule="auto"/>
        <w:ind w:firstLine="678" w:firstLineChars="225"/>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rPr>
          <w:b/>
          <w:sz w:val="30"/>
        </w:rPr>
      </w:pPr>
    </w:p>
    <w:p>
      <w:pPr>
        <w:snapToGrid w:val="0"/>
        <w:spacing w:line="312" w:lineRule="auto"/>
        <w:rPr>
          <w:b/>
          <w:sz w:val="30"/>
        </w:rPr>
      </w:pPr>
    </w:p>
    <w:p>
      <w:pPr>
        <w:pStyle w:val="70"/>
      </w:pPr>
    </w:p>
    <w:p>
      <w:pPr>
        <w:pStyle w:val="3"/>
      </w:pPr>
    </w:p>
    <w:p>
      <w:pPr>
        <w:pStyle w:val="3"/>
      </w:pPr>
    </w:p>
    <w:p>
      <w:pPr>
        <w:pStyle w:val="3"/>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b/>
          <w:sz w:val="30"/>
        </w:rPr>
      </w:pPr>
    </w:p>
    <w:p>
      <w:pPr>
        <w:snapToGrid w:val="0"/>
        <w:spacing w:line="312" w:lineRule="auto"/>
        <w:jc w:val="center"/>
        <w:rPr>
          <w:rFonts w:ascii="黑体" w:hAnsi="宋体" w:eastAsia="黑体"/>
          <w:sz w:val="30"/>
        </w:rPr>
      </w:pPr>
      <w:r>
        <w:rPr>
          <w:rFonts w:hint="eastAsia"/>
          <w:b/>
          <w:sz w:val="30"/>
        </w:rPr>
        <w:t>第二章招标需求</w:t>
      </w:r>
    </w:p>
    <w:p>
      <w:pPr>
        <w:pStyle w:val="2"/>
        <w:ind w:firstLine="0" w:firstLineChars="0"/>
      </w:pPr>
    </w:p>
    <w:p>
      <w:pPr>
        <w:pStyle w:val="3"/>
        <w:rPr>
          <w:rFonts w:ascii="Times New Roman" w:hAnsi="Times New Roman"/>
          <w:b/>
          <w:kern w:val="2"/>
          <w:sz w:val="24"/>
          <w:szCs w:val="24"/>
        </w:rPr>
      </w:pPr>
      <w:r>
        <w:rPr>
          <w:rFonts w:hint="eastAsia" w:ascii="Times New Roman" w:hAnsi="Times New Roman"/>
          <w:b/>
          <w:kern w:val="2"/>
          <w:sz w:val="24"/>
          <w:szCs w:val="24"/>
        </w:rPr>
        <w:t>一、技术要求</w:t>
      </w:r>
    </w:p>
    <w:tbl>
      <w:tblPr>
        <w:tblStyle w:val="35"/>
        <w:tblW w:w="9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7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序号</w:t>
            </w:r>
          </w:p>
        </w:tc>
        <w:tc>
          <w:tcPr>
            <w:tcW w:w="78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采购规格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
                <w:bCs/>
                <w:szCs w:val="21"/>
              </w:rPr>
              <w:t>一</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ind w:left="843" w:hanging="843" w:hangingChars="400"/>
              <w:rPr>
                <w:rFonts w:ascii="宋体" w:hAnsi="宋体" w:cs="宋体"/>
                <w:color w:val="000000"/>
                <w:kern w:val="0"/>
                <w:szCs w:val="21"/>
              </w:rPr>
            </w:pPr>
            <w:r>
              <w:rPr>
                <w:rFonts w:hint="eastAsia" w:ascii="宋体" w:hAnsi="宋体"/>
                <w:b/>
                <w:szCs w:val="21"/>
              </w:rPr>
              <w:t>适用范围： 内镜中心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b/>
                <w:bCs/>
                <w:szCs w:val="21"/>
              </w:rPr>
              <w:t>二</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b/>
                <w:bCs/>
                <w:szCs w:val="21"/>
              </w:rPr>
              <w:t xml:space="preserve">总体要求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szCs w:val="21"/>
              </w:rPr>
              <w:t xml:space="preserve">   1</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cs="宋体"/>
                <w:color w:val="000000"/>
                <w:kern w:val="0"/>
                <w:szCs w:val="21"/>
              </w:rPr>
            </w:pPr>
            <w:r>
              <w:rPr>
                <w:rFonts w:hint="eastAsia" w:ascii="宋体" w:hAnsi="宋体"/>
                <w:szCs w:val="21"/>
              </w:rPr>
              <w:t>国际内窥镜知名品牌，配置代表目前世界上电子镜技术先进水平.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szCs w:val="21"/>
              </w:rPr>
              <w:t>2</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cs="宋体"/>
                <w:color w:val="000000"/>
                <w:kern w:val="0"/>
                <w:szCs w:val="21"/>
              </w:rPr>
            </w:pPr>
            <w:r>
              <w:rPr>
                <w:rFonts w:hint="eastAsia" w:ascii="宋体" w:hAnsi="宋体"/>
                <w:szCs w:val="21"/>
              </w:rPr>
              <w:t>制造商在国内设有厂家维修工厂，省内设有维修站.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color w:val="000000"/>
                <w:szCs w:val="21"/>
              </w:rPr>
            </w:pPr>
            <w:r>
              <w:rPr>
                <w:rFonts w:hint="eastAsia" w:ascii="宋体" w:hAnsi="宋体"/>
                <w:b/>
                <w:szCs w:val="21"/>
              </w:rPr>
              <w:t xml:space="preserve">   </w:t>
            </w:r>
            <w:r>
              <w:rPr>
                <w:rFonts w:hint="eastAsia" w:ascii="宋体" w:hAnsi="宋体"/>
                <w:szCs w:val="21"/>
              </w:rPr>
              <w:t>3</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b/>
                <w:color w:val="000000"/>
                <w:szCs w:val="21"/>
              </w:rPr>
            </w:pPr>
            <w:r>
              <w:rPr>
                <w:rFonts w:hint="eastAsia" w:ascii="宋体" w:hAnsi="宋体"/>
                <w:szCs w:val="21"/>
              </w:rPr>
              <w:t>图像处理中心和光源分体式设计.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b/>
                <w:szCs w:val="21"/>
              </w:rPr>
              <w:t xml:space="preserve"> ★</w:t>
            </w:r>
            <w:r>
              <w:rPr>
                <w:rFonts w:hint="eastAsia" w:ascii="宋体" w:hAnsi="宋体"/>
                <w:szCs w:val="21"/>
              </w:rPr>
              <w:t>4</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b/>
                <w:szCs w:val="21"/>
              </w:rPr>
            </w:pPr>
            <w:r>
              <w:rPr>
                <w:rFonts w:hint="eastAsia" w:ascii="宋体" w:hAnsi="宋体"/>
                <w:szCs w:val="21"/>
              </w:rPr>
              <w:t>镜身使用黑白CCD，顺次式扫描方式.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szCs w:val="21"/>
              </w:rPr>
              <w:t xml:space="preserve">   5</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szCs w:val="21"/>
              </w:rPr>
            </w:pPr>
            <w:r>
              <w:rPr>
                <w:rFonts w:hint="eastAsia" w:ascii="宋体" w:hAnsi="宋体"/>
                <w:szCs w:val="21"/>
              </w:rPr>
              <w:t>镜子采用一键式拔插,无需防水盖，不需要使用传统内镜电缆，减少洗消导致的故障维修成本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r>
              <w:rPr>
                <w:rFonts w:hint="eastAsia" w:ascii="宋体" w:hAnsi="宋体"/>
                <w:b/>
                <w:szCs w:val="21"/>
              </w:rPr>
              <w:t xml:space="preserve">   </w:t>
            </w:r>
            <w:r>
              <w:rPr>
                <w:rFonts w:hint="eastAsia" w:ascii="宋体" w:hAnsi="宋体"/>
                <w:szCs w:val="21"/>
              </w:rPr>
              <w:t>6</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szCs w:val="21"/>
              </w:rPr>
            </w:pPr>
            <w:r>
              <w:rPr>
                <w:rFonts w:hint="eastAsia"/>
                <w:color w:val="000000" w:themeColor="text1"/>
                <w:szCs w:val="21"/>
              </w:rPr>
              <w:t>具有插入管旋转功能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bCs/>
                <w:szCs w:val="21"/>
              </w:rPr>
              <w:t>三</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b/>
                <w:szCs w:val="21"/>
              </w:rPr>
              <w:t xml:space="preserve">技术参数和功能配置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Cs w:val="21"/>
              </w:rPr>
            </w:pPr>
            <w:r>
              <w:rPr>
                <w:rFonts w:hint="eastAsia" w:ascii="宋体" w:hAnsi="宋体"/>
                <w:b/>
                <w:szCs w:val="21"/>
              </w:rPr>
              <w:t>1</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b/>
                <w:szCs w:val="21"/>
              </w:rPr>
            </w:pPr>
            <w:r>
              <w:rPr>
                <w:rFonts w:hint="eastAsia" w:ascii="宋体" w:hAnsi="宋体"/>
                <w:b/>
                <w:szCs w:val="21"/>
              </w:rPr>
              <w:t>图像处理装置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1.1</w:t>
            </w:r>
          </w:p>
        </w:tc>
        <w:tc>
          <w:tcPr>
            <w:tcW w:w="7873" w:type="dxa"/>
            <w:tcBorders>
              <w:top w:val="single" w:color="auto" w:sz="4" w:space="0"/>
              <w:left w:val="single" w:color="auto" w:sz="4" w:space="0"/>
              <w:bottom w:val="single" w:color="auto" w:sz="4" w:space="0"/>
              <w:right w:val="single" w:color="auto" w:sz="4" w:space="0"/>
            </w:tcBorders>
            <w:vAlign w:val="center"/>
          </w:tcPr>
          <w:p>
            <w:pPr>
              <w:tabs>
                <w:tab w:val="left" w:pos="1470"/>
              </w:tabs>
              <w:spacing w:line="360" w:lineRule="auto"/>
              <w:rPr>
                <w:rFonts w:ascii="宋体" w:hAnsi="宋体"/>
                <w:b/>
                <w:szCs w:val="21"/>
              </w:rPr>
            </w:pPr>
            <w:r>
              <w:rPr>
                <w:rFonts w:hint="eastAsia" w:ascii="宋体" w:hAnsi="宋体"/>
                <w:szCs w:val="21"/>
              </w:rPr>
              <w:t>具有降噪功能：在图像处理过程中校正噪点功能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1.2</w:t>
            </w:r>
          </w:p>
        </w:tc>
        <w:tc>
          <w:tcPr>
            <w:tcW w:w="7873" w:type="dxa"/>
            <w:tcBorders>
              <w:top w:val="single" w:color="auto" w:sz="4" w:space="0"/>
              <w:left w:val="single" w:color="auto" w:sz="4" w:space="0"/>
              <w:bottom w:val="single" w:color="auto" w:sz="4" w:space="0"/>
              <w:right w:val="single" w:color="auto" w:sz="4" w:space="0"/>
            </w:tcBorders>
            <w:vAlign w:val="center"/>
          </w:tcPr>
          <w:p>
            <w:pPr>
              <w:tabs>
                <w:tab w:val="left" w:pos="1470"/>
              </w:tabs>
              <w:spacing w:line="360" w:lineRule="auto"/>
              <w:rPr>
                <w:rFonts w:ascii="宋体" w:hAnsi="宋体"/>
                <w:b/>
                <w:szCs w:val="21"/>
              </w:rPr>
            </w:pPr>
            <w:r>
              <w:rPr>
                <w:rFonts w:hint="eastAsia" w:ascii="宋体" w:hAnsi="宋体"/>
                <w:szCs w:val="21"/>
              </w:rPr>
              <w:t>具有YPBPR和DVI等信号输出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1.3</w:t>
            </w:r>
          </w:p>
        </w:tc>
        <w:tc>
          <w:tcPr>
            <w:tcW w:w="78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szCs w:val="21"/>
              </w:rPr>
            </w:pPr>
            <w:r>
              <w:rPr>
                <w:rFonts w:hint="eastAsia" w:ascii="宋体" w:hAnsi="宋体"/>
                <w:szCs w:val="21"/>
              </w:rPr>
              <w:t>具有画中画及索引功能，以及可以兼容PC卡储存图像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1.4</w:t>
            </w:r>
          </w:p>
        </w:tc>
        <w:tc>
          <w:tcPr>
            <w:tcW w:w="78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szCs w:val="21"/>
              </w:rPr>
            </w:pPr>
            <w:r>
              <w:rPr>
                <w:rFonts w:hint="eastAsia" w:ascii="宋体" w:hAnsi="宋体"/>
                <w:szCs w:val="21"/>
              </w:rPr>
              <w:t>色调调节：“R”调节：±8档 ， “B”调节：±8档，“C”调节：±8档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1.5</w:t>
            </w:r>
          </w:p>
        </w:tc>
        <w:tc>
          <w:tcPr>
            <w:tcW w:w="7873" w:type="dxa"/>
            <w:tcBorders>
              <w:top w:val="single" w:color="auto" w:sz="4" w:space="0"/>
              <w:left w:val="single" w:color="auto" w:sz="4" w:space="0"/>
              <w:bottom w:val="single" w:color="auto" w:sz="4" w:space="0"/>
              <w:right w:val="single" w:color="auto" w:sz="4" w:space="0"/>
            </w:tcBorders>
            <w:vAlign w:val="center"/>
          </w:tcPr>
          <w:p>
            <w:pPr>
              <w:tabs>
                <w:tab w:val="left" w:pos="4620"/>
              </w:tabs>
              <w:spacing w:line="360" w:lineRule="auto"/>
              <w:rPr>
                <w:rFonts w:ascii="宋体" w:hAnsi="宋体"/>
                <w:b/>
                <w:szCs w:val="21"/>
              </w:rPr>
            </w:pPr>
            <w:r>
              <w:rPr>
                <w:rFonts w:hint="eastAsia" w:ascii="宋体" w:hAnsi="宋体"/>
                <w:szCs w:val="21"/>
              </w:rPr>
              <w:t>具有自动增益控制（AGC）</w:t>
            </w:r>
            <w:r>
              <w:rPr>
                <w:rFonts w:hint="eastAsia" w:ascii="宋体" w:hAnsi="宋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1.6</w:t>
            </w:r>
          </w:p>
        </w:tc>
        <w:tc>
          <w:tcPr>
            <w:tcW w:w="78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szCs w:val="21"/>
              </w:rPr>
            </w:pPr>
            <w:r>
              <w:rPr>
                <w:rFonts w:hint="eastAsia" w:ascii="宋体" w:hAnsi="宋体"/>
                <w:szCs w:val="21"/>
              </w:rPr>
              <w:t>具有图像电子放大、冻结功能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1.7</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szCs w:val="21"/>
              </w:rPr>
              <w:t>测光模式：平均测光、峰值测光、全自动测光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1.8</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szCs w:val="21"/>
              </w:rPr>
              <w:t>构造强调设定, 轮廓强调设定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1.9</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szCs w:val="21"/>
              </w:rPr>
              <w:t>可调用并显示存储在内镜记忆芯片中的相关信息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1.10</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b/>
                <w:szCs w:val="21"/>
              </w:rPr>
            </w:pPr>
            <w:r>
              <w:rPr>
                <w:rFonts w:hint="eastAsia" w:ascii="宋体" w:hAnsi="宋体"/>
                <w:szCs w:val="21"/>
              </w:rPr>
              <w:t>16:9和16:10的输出模式可兼容HDTV监视器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1.11</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b/>
                <w:szCs w:val="21"/>
              </w:rPr>
            </w:pPr>
            <w:r>
              <w:rPr>
                <w:rFonts w:hint="eastAsia" w:ascii="宋体" w:hAnsi="宋体"/>
                <w:szCs w:val="21"/>
              </w:rPr>
              <w:t>与外部设备的直接连接避免了复杂的电缆连接，并加快了传输速度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 xml:space="preserve"> </w:t>
            </w:r>
            <w:r>
              <w:rPr>
                <w:rFonts w:hint="eastAsia" w:ascii="宋体" w:hAnsi="宋体"/>
                <w:szCs w:val="21"/>
              </w:rPr>
              <w:t>1.12</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szCs w:val="21"/>
              </w:rPr>
              <w:t>具有窄波光成像技术，可以清晰的显示毛细血管的形态结构，从而帮助医生有效的检查并确定病变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w:t>
            </w:r>
            <w:r>
              <w:rPr>
                <w:rFonts w:hint="eastAsia" w:ascii="宋体" w:hAnsi="宋体"/>
                <w:szCs w:val="21"/>
              </w:rPr>
              <w:t>1.13</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r>
              <w:rPr>
                <w:rFonts w:hint="eastAsia" w:ascii="宋体" w:hAnsi="宋体"/>
                <w:szCs w:val="21"/>
              </w:rPr>
              <w:t xml:space="preserve">具有AFI荧光观察技术，可提高病变识别的敏感度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2</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b/>
                <w:szCs w:val="21"/>
              </w:rPr>
              <w:t>内窥镜冷光源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2.1</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szCs w:val="21"/>
              </w:rPr>
              <w:t>自动亮度控制模式：伺服光圈模式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2.2</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szCs w:val="21"/>
              </w:rPr>
              <w:t>自动曝光：≥17档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2.3</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szCs w:val="21"/>
              </w:rPr>
              <w:t>气泵：横膈膜式气泵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2.4</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szCs w:val="21"/>
              </w:rPr>
              <w:t xml:space="preserve">气泵压力开关：≥4级（关、低、中、高）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2.5</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szCs w:val="21"/>
              </w:rPr>
              <w:t>灯泡：≥300W氙气短弧灯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2.6</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szCs w:val="21"/>
              </w:rPr>
              <w:t xml:space="preserve">灯泡平均寿命：≥500小时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szCs w:val="21"/>
              </w:rPr>
              <w:t xml:space="preserve">   2.7</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szCs w:val="21"/>
              </w:rPr>
              <w:t>应急灯：≥35W卤素灯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szCs w:val="21"/>
              </w:rPr>
              <w:t>2.8</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szCs w:val="21"/>
              </w:rPr>
              <w:t xml:space="preserve">应急灯平均寿命：≥500小时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w:t>
            </w:r>
            <w:r>
              <w:rPr>
                <w:rFonts w:hint="eastAsia" w:ascii="宋体" w:hAnsi="宋体"/>
                <w:szCs w:val="21"/>
              </w:rPr>
              <w:t>2.9</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Cs w:val="21"/>
              </w:rPr>
            </w:pPr>
            <w:r>
              <w:rPr>
                <w:rFonts w:hint="eastAsia" w:ascii="宋体" w:hAnsi="宋体"/>
                <w:szCs w:val="21"/>
              </w:rPr>
              <w:t>具备NBI窄波光和AFI荧光专用滤光系统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3</w:t>
            </w:r>
          </w:p>
        </w:tc>
        <w:tc>
          <w:tcPr>
            <w:tcW w:w="7873" w:type="dxa"/>
            <w:tcBorders>
              <w:top w:val="single" w:color="auto" w:sz="4" w:space="0"/>
              <w:left w:val="single" w:color="auto" w:sz="4" w:space="0"/>
              <w:bottom w:val="single" w:color="auto" w:sz="4" w:space="0"/>
              <w:right w:val="single" w:color="auto" w:sz="4" w:space="0"/>
            </w:tcBorders>
          </w:tcPr>
          <w:p>
            <w:pPr>
              <w:spacing w:line="360" w:lineRule="auto"/>
              <w:rPr>
                <w:b/>
                <w:color w:val="000000" w:themeColor="text1"/>
                <w:szCs w:val="21"/>
              </w:rPr>
            </w:pPr>
            <w:r>
              <w:rPr>
                <w:rFonts w:hint="eastAsia"/>
                <w:b/>
                <w:color w:val="000000" w:themeColor="text1"/>
                <w:szCs w:val="21"/>
              </w:rPr>
              <w:t>高画质电子支气管镜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Cs w:val="21"/>
              </w:rPr>
            </w:pPr>
            <w:r>
              <w:rPr>
                <w:rFonts w:hint="eastAsia" w:ascii="宋体" w:hAnsi="宋体"/>
                <w:szCs w:val="21"/>
              </w:rPr>
              <w:t>3.1</w:t>
            </w:r>
          </w:p>
        </w:tc>
        <w:tc>
          <w:tcPr>
            <w:tcW w:w="7873" w:type="dxa"/>
            <w:tcBorders>
              <w:top w:val="single" w:color="auto" w:sz="4" w:space="0"/>
              <w:left w:val="single" w:color="auto" w:sz="4" w:space="0"/>
              <w:bottom w:val="single" w:color="auto" w:sz="4" w:space="0"/>
              <w:right w:val="single" w:color="auto" w:sz="4" w:space="0"/>
            </w:tcBorders>
          </w:tcPr>
          <w:p>
            <w:pPr>
              <w:spacing w:line="360" w:lineRule="auto"/>
              <w:rPr>
                <w:color w:val="000000" w:themeColor="text1"/>
                <w:szCs w:val="21"/>
              </w:rPr>
            </w:pPr>
            <w:r>
              <w:rPr>
                <w:rFonts w:hint="eastAsia"/>
                <w:color w:val="000000" w:themeColor="text1"/>
                <w:szCs w:val="21"/>
              </w:rPr>
              <w:t>视野角：</w:t>
            </w:r>
            <w:r>
              <w:rPr>
                <w:color w:val="000000" w:themeColor="text1"/>
                <w:szCs w:val="21"/>
              </w:rPr>
              <w:t>120</w:t>
            </w:r>
            <w:r>
              <w:rPr>
                <w:rFonts w:hint="eastAsia"/>
                <w:color w:val="000000" w:themeColor="text1"/>
                <w:szCs w:val="21"/>
              </w:rPr>
              <w:t>°</w:t>
            </w:r>
            <w:r>
              <w:rPr>
                <w:color w:val="000000" w:themeColor="text1"/>
                <w:szCs w:val="21"/>
              </w:rPr>
              <w:t>(</w:t>
            </w:r>
            <w:r>
              <w:rPr>
                <w:rFonts w:hint="eastAsia"/>
                <w:color w:val="000000" w:themeColor="text1"/>
                <w:szCs w:val="21"/>
              </w:rPr>
              <w:t>直视</w:t>
            </w:r>
            <w:r>
              <w:rPr>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Cs w:val="21"/>
              </w:rPr>
            </w:pPr>
            <w:r>
              <w:rPr>
                <w:rFonts w:hint="eastAsia" w:ascii="宋体" w:hAnsi="宋体"/>
                <w:szCs w:val="21"/>
              </w:rPr>
              <w:t>3.2</w:t>
            </w:r>
          </w:p>
        </w:tc>
        <w:tc>
          <w:tcPr>
            <w:tcW w:w="7873" w:type="dxa"/>
            <w:tcBorders>
              <w:top w:val="single" w:color="auto" w:sz="4" w:space="0"/>
              <w:left w:val="single" w:color="auto" w:sz="4" w:space="0"/>
              <w:bottom w:val="single" w:color="auto" w:sz="4" w:space="0"/>
              <w:right w:val="single" w:color="auto" w:sz="4" w:space="0"/>
            </w:tcBorders>
          </w:tcPr>
          <w:p>
            <w:pPr>
              <w:spacing w:line="360" w:lineRule="auto"/>
              <w:rPr>
                <w:color w:val="000000" w:themeColor="text1"/>
                <w:szCs w:val="21"/>
              </w:rPr>
            </w:pPr>
            <w:r>
              <w:rPr>
                <w:rFonts w:hint="eastAsia"/>
                <w:color w:val="000000" w:themeColor="text1"/>
                <w:szCs w:val="21"/>
              </w:rPr>
              <w:t>景深：</w:t>
            </w:r>
            <w:r>
              <w:rPr>
                <w:color w:val="000000" w:themeColor="text1"/>
                <w:szCs w:val="21"/>
              </w:rPr>
              <w:t>2</w:t>
            </w:r>
            <w:r>
              <w:rPr>
                <w:rFonts w:hint="eastAsia"/>
                <w:color w:val="000000" w:themeColor="text1"/>
                <w:szCs w:val="21"/>
              </w:rPr>
              <w:t>～</w:t>
            </w:r>
            <w:r>
              <w:rPr>
                <w:color w:val="000000" w:themeColor="text1"/>
                <w:szCs w:val="21"/>
              </w:rPr>
              <w:t>100mm</w:t>
            </w:r>
            <w:r>
              <w:rPr>
                <w:rFonts w:hint="eastAsia"/>
                <w:color w:val="000000" w:themeColor="text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Cs w:val="21"/>
              </w:rPr>
            </w:pPr>
            <w:r>
              <w:rPr>
                <w:rFonts w:hint="eastAsia" w:ascii="宋体" w:hAnsi="宋体"/>
                <w:szCs w:val="21"/>
              </w:rPr>
              <w:t>3.3</w:t>
            </w:r>
          </w:p>
        </w:tc>
        <w:tc>
          <w:tcPr>
            <w:tcW w:w="7873" w:type="dxa"/>
            <w:tcBorders>
              <w:top w:val="single" w:color="auto" w:sz="4" w:space="0"/>
              <w:left w:val="single" w:color="auto" w:sz="4" w:space="0"/>
              <w:bottom w:val="single" w:color="auto" w:sz="4" w:space="0"/>
              <w:right w:val="single" w:color="auto" w:sz="4" w:space="0"/>
            </w:tcBorders>
          </w:tcPr>
          <w:p>
            <w:pPr>
              <w:spacing w:line="360" w:lineRule="auto"/>
              <w:rPr>
                <w:color w:val="000000" w:themeColor="text1"/>
                <w:szCs w:val="21"/>
              </w:rPr>
            </w:pPr>
            <w:r>
              <w:rPr>
                <w:rFonts w:hint="eastAsia"/>
                <w:color w:val="000000" w:themeColor="text1"/>
                <w:szCs w:val="21"/>
              </w:rPr>
              <w:t>插入部外径：≤</w:t>
            </w:r>
            <w:r>
              <w:rPr>
                <w:color w:val="000000" w:themeColor="text1"/>
                <w:szCs w:val="21"/>
              </w:rPr>
              <w:t>4.9mm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Cs w:val="21"/>
              </w:rPr>
            </w:pPr>
            <w:r>
              <w:rPr>
                <w:rFonts w:hint="eastAsia" w:ascii="宋体" w:hAnsi="宋体"/>
                <w:szCs w:val="21"/>
              </w:rPr>
              <w:t>3.4</w:t>
            </w:r>
          </w:p>
        </w:tc>
        <w:tc>
          <w:tcPr>
            <w:tcW w:w="7873" w:type="dxa"/>
            <w:tcBorders>
              <w:top w:val="single" w:color="auto" w:sz="4" w:space="0"/>
              <w:left w:val="single" w:color="auto" w:sz="4" w:space="0"/>
              <w:bottom w:val="single" w:color="auto" w:sz="4" w:space="0"/>
              <w:right w:val="single" w:color="auto" w:sz="4" w:space="0"/>
            </w:tcBorders>
          </w:tcPr>
          <w:p>
            <w:pPr>
              <w:spacing w:line="360" w:lineRule="auto"/>
              <w:rPr>
                <w:color w:val="000000" w:themeColor="text1"/>
                <w:szCs w:val="21"/>
              </w:rPr>
            </w:pPr>
            <w:r>
              <w:rPr>
                <w:rFonts w:hint="eastAsia"/>
                <w:color w:val="000000" w:themeColor="text1"/>
                <w:szCs w:val="21"/>
              </w:rPr>
              <w:t>先端部外径：≤</w:t>
            </w:r>
            <w:r>
              <w:rPr>
                <w:color w:val="000000" w:themeColor="text1"/>
                <w:szCs w:val="21"/>
              </w:rPr>
              <w:t>4.8mm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Cs w:val="21"/>
              </w:rPr>
            </w:pPr>
            <w:r>
              <w:rPr>
                <w:rFonts w:hint="eastAsia" w:ascii="宋体" w:hAnsi="宋体"/>
                <w:szCs w:val="21"/>
              </w:rPr>
              <w:t>3.5</w:t>
            </w:r>
          </w:p>
        </w:tc>
        <w:tc>
          <w:tcPr>
            <w:tcW w:w="7873" w:type="dxa"/>
            <w:tcBorders>
              <w:top w:val="single" w:color="auto" w:sz="4" w:space="0"/>
              <w:left w:val="single" w:color="auto" w:sz="4" w:space="0"/>
              <w:bottom w:val="single" w:color="auto" w:sz="4" w:space="0"/>
              <w:right w:val="single" w:color="auto" w:sz="4" w:space="0"/>
            </w:tcBorders>
          </w:tcPr>
          <w:p>
            <w:pPr>
              <w:spacing w:line="360" w:lineRule="auto"/>
              <w:rPr>
                <w:color w:val="000000" w:themeColor="text1"/>
                <w:szCs w:val="21"/>
              </w:rPr>
            </w:pPr>
            <w:r>
              <w:rPr>
                <w:rFonts w:hint="eastAsia"/>
                <w:color w:val="000000" w:themeColor="text1"/>
                <w:szCs w:val="21"/>
              </w:rPr>
              <w:t>弯曲部弯曲角度：上≥</w:t>
            </w:r>
            <w:r>
              <w:rPr>
                <w:color w:val="000000" w:themeColor="text1"/>
                <w:szCs w:val="21"/>
              </w:rPr>
              <w:t>210</w:t>
            </w:r>
            <w:r>
              <w:rPr>
                <w:rFonts w:hint="eastAsia"/>
                <w:color w:val="000000" w:themeColor="text1"/>
                <w:szCs w:val="21"/>
              </w:rPr>
              <w:t>°，下≥</w:t>
            </w:r>
            <w:r>
              <w:rPr>
                <w:color w:val="000000" w:themeColor="text1"/>
                <w:szCs w:val="21"/>
              </w:rPr>
              <w:t>130</w:t>
            </w: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Cs w:val="21"/>
              </w:rPr>
            </w:pPr>
            <w:r>
              <w:rPr>
                <w:rFonts w:hint="eastAsia" w:ascii="宋体" w:hAnsi="宋体"/>
                <w:b/>
                <w:szCs w:val="21"/>
              </w:rPr>
              <w:t>★</w:t>
            </w:r>
            <w:r>
              <w:rPr>
                <w:rFonts w:hint="eastAsia" w:ascii="宋体" w:hAnsi="宋体"/>
                <w:szCs w:val="21"/>
              </w:rPr>
              <w:t>3.6</w:t>
            </w:r>
          </w:p>
        </w:tc>
        <w:tc>
          <w:tcPr>
            <w:tcW w:w="7873" w:type="dxa"/>
            <w:tcBorders>
              <w:top w:val="single" w:color="auto" w:sz="4" w:space="0"/>
              <w:left w:val="single" w:color="auto" w:sz="4" w:space="0"/>
              <w:bottom w:val="single" w:color="auto" w:sz="4" w:space="0"/>
              <w:right w:val="single" w:color="auto" w:sz="4" w:space="0"/>
            </w:tcBorders>
          </w:tcPr>
          <w:p>
            <w:pPr>
              <w:spacing w:line="360" w:lineRule="auto"/>
              <w:rPr>
                <w:color w:val="000000" w:themeColor="text1"/>
                <w:szCs w:val="21"/>
              </w:rPr>
            </w:pPr>
            <w:r>
              <w:rPr>
                <w:rFonts w:hint="eastAsia" w:ascii="宋体" w:hAnsi="宋体"/>
                <w:szCs w:val="21"/>
              </w:rPr>
              <w:t>具有插入管旋转功能,旋转角度：左≥120°、右≥120°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Cs w:val="21"/>
              </w:rPr>
            </w:pPr>
            <w:r>
              <w:rPr>
                <w:rFonts w:hint="eastAsia" w:ascii="宋体" w:hAnsi="宋体"/>
                <w:szCs w:val="21"/>
              </w:rPr>
              <w:t>3.7</w:t>
            </w:r>
          </w:p>
        </w:tc>
        <w:tc>
          <w:tcPr>
            <w:tcW w:w="7873" w:type="dxa"/>
            <w:tcBorders>
              <w:top w:val="single" w:color="auto" w:sz="4" w:space="0"/>
              <w:left w:val="single" w:color="auto" w:sz="4" w:space="0"/>
              <w:bottom w:val="single" w:color="auto" w:sz="4" w:space="0"/>
              <w:right w:val="single" w:color="auto" w:sz="4" w:space="0"/>
            </w:tcBorders>
          </w:tcPr>
          <w:p>
            <w:pPr>
              <w:spacing w:line="360" w:lineRule="auto"/>
              <w:rPr>
                <w:color w:val="000000" w:themeColor="text1"/>
                <w:szCs w:val="21"/>
              </w:rPr>
            </w:pPr>
            <w:r>
              <w:rPr>
                <w:rFonts w:hint="eastAsia"/>
                <w:color w:val="000000" w:themeColor="text1"/>
                <w:szCs w:val="21"/>
              </w:rPr>
              <w:t>管道内径：≥</w:t>
            </w:r>
            <w:r>
              <w:rPr>
                <w:color w:val="000000" w:themeColor="text1"/>
                <w:szCs w:val="21"/>
              </w:rPr>
              <w:t>1.95mm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Cs w:val="21"/>
              </w:rPr>
            </w:pPr>
            <w:r>
              <w:rPr>
                <w:rFonts w:hint="eastAsia" w:ascii="宋体" w:hAnsi="宋体"/>
                <w:szCs w:val="21"/>
              </w:rPr>
              <w:t>3.8</w:t>
            </w:r>
          </w:p>
        </w:tc>
        <w:tc>
          <w:tcPr>
            <w:tcW w:w="7873" w:type="dxa"/>
            <w:tcBorders>
              <w:top w:val="single" w:color="auto" w:sz="4" w:space="0"/>
              <w:left w:val="single" w:color="auto" w:sz="4" w:space="0"/>
              <w:bottom w:val="single" w:color="auto" w:sz="4" w:space="0"/>
              <w:right w:val="single" w:color="auto" w:sz="4" w:space="0"/>
            </w:tcBorders>
          </w:tcPr>
          <w:p>
            <w:pPr>
              <w:spacing w:line="360" w:lineRule="auto"/>
              <w:rPr>
                <w:color w:val="000000" w:themeColor="text1"/>
                <w:szCs w:val="21"/>
              </w:rPr>
            </w:pPr>
            <w:r>
              <w:rPr>
                <w:rFonts w:hint="eastAsia"/>
                <w:color w:val="000000" w:themeColor="text1"/>
                <w:szCs w:val="21"/>
              </w:rPr>
              <w:t>高频兼容性：可以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Cs w:val="21"/>
              </w:rPr>
            </w:pPr>
            <w:r>
              <w:rPr>
                <w:rFonts w:hint="eastAsia" w:ascii="宋体" w:hAnsi="宋体"/>
                <w:szCs w:val="21"/>
              </w:rPr>
              <w:t>3.9</w:t>
            </w:r>
          </w:p>
        </w:tc>
        <w:tc>
          <w:tcPr>
            <w:tcW w:w="7873" w:type="dxa"/>
            <w:tcBorders>
              <w:top w:val="single" w:color="auto" w:sz="4" w:space="0"/>
              <w:left w:val="single" w:color="auto" w:sz="4" w:space="0"/>
              <w:bottom w:val="single" w:color="auto" w:sz="4" w:space="0"/>
              <w:right w:val="single" w:color="auto" w:sz="4" w:space="0"/>
            </w:tcBorders>
          </w:tcPr>
          <w:p>
            <w:pPr>
              <w:spacing w:line="360" w:lineRule="auto"/>
              <w:rPr>
                <w:color w:val="000000" w:themeColor="text1"/>
                <w:szCs w:val="21"/>
              </w:rPr>
            </w:pPr>
            <w:r>
              <w:rPr>
                <w:rFonts w:hint="eastAsia"/>
                <w:color w:val="000000" w:themeColor="text1"/>
                <w:szCs w:val="21"/>
              </w:rPr>
              <w:t>激光兼容性：可以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Cs w:val="21"/>
              </w:rPr>
            </w:pPr>
            <w:r>
              <w:rPr>
                <w:rFonts w:hint="eastAsia" w:ascii="宋体" w:hAnsi="宋体"/>
                <w:b/>
                <w:szCs w:val="21"/>
              </w:rPr>
              <w:t>4</w:t>
            </w:r>
          </w:p>
        </w:tc>
        <w:tc>
          <w:tcPr>
            <w:tcW w:w="787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b/>
                <w:bCs/>
                <w:szCs w:val="21"/>
              </w:rPr>
              <w:t>高清液晶监视器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Cs w:val="21"/>
              </w:rPr>
            </w:pPr>
            <w:r>
              <w:rPr>
                <w:rFonts w:hint="eastAsia" w:ascii="宋体" w:hAnsi="宋体"/>
                <w:szCs w:val="21"/>
              </w:rPr>
              <w:t>4.1</w:t>
            </w:r>
          </w:p>
        </w:tc>
        <w:tc>
          <w:tcPr>
            <w:tcW w:w="7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宋体" w:hAnsi="宋体"/>
                <w:color w:val="000000"/>
                <w:szCs w:val="21"/>
              </w:rPr>
            </w:pPr>
            <w:r>
              <w:rPr>
                <w:rFonts w:hint="eastAsia" w:ascii="宋体" w:hAnsi="宋体"/>
                <w:color w:val="000000"/>
                <w:szCs w:val="21"/>
              </w:rPr>
              <w:t>输出端：YPrPb；R/G/B；Y/C；S端；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Cs w:val="21"/>
              </w:rPr>
            </w:pPr>
            <w:r>
              <w:rPr>
                <w:rFonts w:hint="eastAsia" w:ascii="宋体" w:hAnsi="宋体"/>
                <w:szCs w:val="21"/>
              </w:rPr>
              <w:t>4.2</w:t>
            </w:r>
          </w:p>
        </w:tc>
        <w:tc>
          <w:tcPr>
            <w:tcW w:w="7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宋体" w:hAnsi="宋体"/>
                <w:color w:val="000000"/>
                <w:szCs w:val="21"/>
              </w:rPr>
            </w:pPr>
            <w:r>
              <w:rPr>
                <w:rFonts w:hint="eastAsia" w:ascii="宋体" w:hAnsi="宋体"/>
                <w:color w:val="000000"/>
                <w:szCs w:val="21"/>
              </w:rPr>
              <w:t>分辨率：1080水平线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Cs w:val="21"/>
              </w:rPr>
            </w:pPr>
            <w:r>
              <w:rPr>
                <w:rFonts w:hint="eastAsia" w:ascii="宋体" w:hAnsi="宋体"/>
                <w:szCs w:val="21"/>
              </w:rPr>
              <w:t>4.3</w:t>
            </w:r>
          </w:p>
        </w:tc>
        <w:tc>
          <w:tcPr>
            <w:tcW w:w="7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宋体" w:hAnsi="宋体"/>
                <w:szCs w:val="21"/>
              </w:rPr>
            </w:pPr>
            <w:r>
              <w:rPr>
                <w:rFonts w:hint="eastAsia" w:ascii="宋体" w:hAnsi="宋体"/>
                <w:color w:val="000000"/>
                <w:szCs w:val="21"/>
              </w:rPr>
              <w:t>屏幕：</w:t>
            </w:r>
            <w:r>
              <w:rPr>
                <w:rFonts w:hint="eastAsia" w:ascii="宋体" w:hAnsi="宋体"/>
                <w:szCs w:val="21"/>
              </w:rPr>
              <w:t>27</w:t>
            </w:r>
            <w:r>
              <w:rPr>
                <w:rFonts w:hint="eastAsia" w:ascii="宋体" w:hAnsi="宋体"/>
                <w:color w:val="000000"/>
                <w:szCs w:val="21"/>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bCs/>
                <w:szCs w:val="21"/>
              </w:rPr>
            </w:pPr>
            <w:r>
              <w:rPr>
                <w:rFonts w:hint="eastAsia" w:ascii="宋体" w:hAnsi="宋体"/>
                <w:b/>
                <w:bCs/>
                <w:szCs w:val="21"/>
              </w:rPr>
              <w:t>5</w:t>
            </w:r>
          </w:p>
        </w:tc>
        <w:tc>
          <w:tcPr>
            <w:tcW w:w="7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宋体" w:hAnsi="宋体"/>
                <w:b/>
                <w:bCs/>
                <w:szCs w:val="21"/>
              </w:rPr>
            </w:pPr>
            <w:r>
              <w:rPr>
                <w:rFonts w:hint="eastAsia" w:ascii="宋体" w:hAnsi="宋体"/>
                <w:b/>
                <w:bCs/>
                <w:szCs w:val="21"/>
              </w:rPr>
              <w:t>同品牌原装进口台车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
                <w:szCs w:val="21"/>
              </w:rPr>
            </w:pPr>
            <w:r>
              <w:rPr>
                <w:rFonts w:hint="eastAsia" w:ascii="宋体" w:hAnsi="宋体"/>
                <w:b/>
                <w:szCs w:val="21"/>
              </w:rPr>
              <w:t>四</w:t>
            </w:r>
          </w:p>
        </w:tc>
        <w:tc>
          <w:tcPr>
            <w:tcW w:w="7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宋体" w:hAnsi="宋体"/>
                <w:b/>
                <w:bCs/>
                <w:color w:val="000000"/>
                <w:szCs w:val="21"/>
              </w:rPr>
            </w:pPr>
            <w:r>
              <w:rPr>
                <w:rFonts w:hint="eastAsia" w:ascii="宋体" w:hAnsi="宋体"/>
                <w:b/>
                <w:bCs/>
                <w:color w:val="000000"/>
                <w:szCs w:val="21"/>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Cs/>
                <w:szCs w:val="21"/>
              </w:rPr>
            </w:pPr>
            <w:r>
              <w:rPr>
                <w:rFonts w:hint="eastAsia" w:ascii="宋体" w:hAnsi="宋体"/>
                <w:bCs/>
                <w:szCs w:val="21"/>
              </w:rPr>
              <w:t>4.1</w:t>
            </w:r>
          </w:p>
        </w:tc>
        <w:tc>
          <w:tcPr>
            <w:tcW w:w="7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宋体" w:hAnsi="宋体"/>
                <w:bCs/>
                <w:szCs w:val="21"/>
              </w:rPr>
            </w:pPr>
            <w:r>
              <w:rPr>
                <w:rFonts w:hint="eastAsia" w:ascii="宋体" w:hAnsi="宋体"/>
                <w:bCs/>
                <w:szCs w:val="21"/>
              </w:rPr>
              <w:t>图像处理装置:1台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Cs/>
                <w:szCs w:val="21"/>
              </w:rPr>
            </w:pPr>
            <w:r>
              <w:rPr>
                <w:rFonts w:hint="eastAsia" w:ascii="宋体" w:hAnsi="宋体"/>
                <w:bCs/>
                <w:szCs w:val="21"/>
              </w:rPr>
              <w:t>4.2</w:t>
            </w:r>
          </w:p>
        </w:tc>
        <w:tc>
          <w:tcPr>
            <w:tcW w:w="7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宋体" w:hAnsi="宋体"/>
                <w:bCs/>
                <w:szCs w:val="21"/>
              </w:rPr>
            </w:pPr>
            <w:r>
              <w:rPr>
                <w:rFonts w:hint="eastAsia" w:ascii="宋体" w:hAnsi="宋体"/>
                <w:bCs/>
                <w:szCs w:val="21"/>
              </w:rPr>
              <w:t xml:space="preserve">内窥镜冷光源：1台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Cs/>
                <w:szCs w:val="21"/>
              </w:rPr>
            </w:pPr>
            <w:r>
              <w:rPr>
                <w:rFonts w:hint="eastAsia" w:ascii="宋体" w:hAnsi="宋体"/>
                <w:bCs/>
                <w:szCs w:val="21"/>
              </w:rPr>
              <w:t>4.3</w:t>
            </w:r>
          </w:p>
        </w:tc>
        <w:tc>
          <w:tcPr>
            <w:tcW w:w="7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宋体" w:hAnsi="宋体"/>
                <w:bCs/>
                <w:szCs w:val="21"/>
              </w:rPr>
            </w:pPr>
            <w:r>
              <w:rPr>
                <w:rFonts w:hint="eastAsia" w:ascii="宋体" w:hAnsi="宋体"/>
                <w:bCs/>
                <w:szCs w:val="21"/>
              </w:rPr>
              <w:t>高画质电子支气管镜：1根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Cs/>
                <w:szCs w:val="21"/>
              </w:rPr>
            </w:pPr>
            <w:r>
              <w:rPr>
                <w:rFonts w:hint="eastAsia" w:ascii="宋体" w:hAnsi="宋体"/>
                <w:bCs/>
                <w:szCs w:val="21"/>
              </w:rPr>
              <w:t>4.4</w:t>
            </w:r>
          </w:p>
        </w:tc>
        <w:tc>
          <w:tcPr>
            <w:tcW w:w="7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宋体" w:hAnsi="宋体"/>
                <w:bCs/>
                <w:szCs w:val="21"/>
              </w:rPr>
            </w:pPr>
            <w:r>
              <w:rPr>
                <w:rFonts w:hint="eastAsia" w:ascii="宋体" w:hAnsi="宋体"/>
                <w:bCs/>
                <w:szCs w:val="21"/>
              </w:rPr>
              <w:t>高清液晶监视器：1台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bCs/>
                <w:szCs w:val="21"/>
              </w:rPr>
            </w:pPr>
            <w:r>
              <w:rPr>
                <w:rFonts w:hint="eastAsia" w:ascii="宋体" w:hAnsi="宋体"/>
                <w:bCs/>
                <w:szCs w:val="21"/>
              </w:rPr>
              <w:t>4.5</w:t>
            </w:r>
          </w:p>
        </w:tc>
        <w:tc>
          <w:tcPr>
            <w:tcW w:w="78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rFonts w:ascii="宋体" w:hAnsi="宋体"/>
                <w:bCs/>
                <w:szCs w:val="21"/>
              </w:rPr>
            </w:pPr>
            <w:r>
              <w:rPr>
                <w:rFonts w:hint="eastAsia" w:ascii="宋体" w:hAnsi="宋体"/>
                <w:bCs/>
                <w:szCs w:val="21"/>
              </w:rPr>
              <w:t>同品牌原装进口台车：1辆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b/>
                <w:bCs/>
                <w:szCs w:val="21"/>
              </w:rPr>
              <w:t>五</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ind w:left="843" w:hanging="843" w:hangingChars="400"/>
              <w:rPr>
                <w:rFonts w:ascii="宋体" w:hAnsi="宋体"/>
                <w:szCs w:val="21"/>
              </w:rPr>
            </w:pPr>
            <w:r>
              <w:rPr>
                <w:rFonts w:hint="eastAsia" w:ascii="宋体" w:hAnsi="宋体"/>
                <w:b/>
                <w:bCs/>
                <w:szCs w:val="21"/>
              </w:rPr>
              <w:t xml:space="preserve">其他要求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Cs w:val="21"/>
              </w:rPr>
            </w:pPr>
            <w:r>
              <w:rPr>
                <w:rFonts w:hint="eastAsia" w:ascii="宋体" w:hAnsi="宋体"/>
                <w:szCs w:val="21"/>
              </w:rPr>
              <w:t>1</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szCs w:val="21"/>
              </w:rPr>
            </w:pPr>
            <w:r>
              <w:rPr>
                <w:rFonts w:hint="eastAsia" w:ascii="宋体" w:hAnsi="宋体"/>
                <w:szCs w:val="21"/>
              </w:rPr>
              <w:t>提供详细的配置清单及配件、消耗品的报价清单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Cs w:val="21"/>
              </w:rPr>
            </w:pPr>
            <w:r>
              <w:rPr>
                <w:rFonts w:hint="eastAsia" w:ascii="宋体" w:hAnsi="宋体"/>
                <w:szCs w:val="21"/>
              </w:rPr>
              <w:t>2</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szCs w:val="21"/>
              </w:rPr>
            </w:pPr>
            <w:r>
              <w:rPr>
                <w:rFonts w:hint="eastAsia" w:ascii="宋体" w:hAnsi="宋体"/>
                <w:szCs w:val="21"/>
              </w:rPr>
              <w:t>提供中文用户操作手册和维修手册；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Cs w:val="21"/>
              </w:rPr>
            </w:pPr>
            <w:r>
              <w:rPr>
                <w:rFonts w:hint="eastAsia" w:ascii="宋体" w:hAnsi="宋体"/>
                <w:szCs w:val="21"/>
              </w:rPr>
              <w:t>3</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szCs w:val="21"/>
              </w:rPr>
            </w:pPr>
            <w:r>
              <w:rPr>
                <w:rFonts w:hint="eastAsia" w:ascii="宋体" w:hAnsi="宋体"/>
                <w:szCs w:val="21"/>
              </w:rPr>
              <w:t>提供进口医疗器械注册证及产品注册登记表；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Cs w:val="21"/>
              </w:rPr>
            </w:pPr>
            <w:r>
              <w:rPr>
                <w:rFonts w:hint="eastAsia" w:ascii="宋体" w:hAnsi="宋体"/>
                <w:szCs w:val="21"/>
              </w:rPr>
              <w:t>4</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szCs w:val="21"/>
              </w:rPr>
            </w:pPr>
            <w:r>
              <w:rPr>
                <w:rFonts w:hint="eastAsia" w:ascii="宋体" w:hAnsi="宋体"/>
                <w:szCs w:val="21"/>
              </w:rPr>
              <w:t xml:space="preserve">提供设备产地和制造厂名称，推出时间和国内用户名单。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Cs w:val="21"/>
              </w:rPr>
            </w:pPr>
            <w:r>
              <w:rPr>
                <w:rFonts w:hint="eastAsia" w:ascii="宋体" w:hAnsi="宋体"/>
                <w:szCs w:val="21"/>
              </w:rPr>
              <w:t>5</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szCs w:val="21"/>
              </w:rPr>
            </w:pPr>
            <w:r>
              <w:rPr>
                <w:rFonts w:hint="eastAsia" w:ascii="宋体" w:hAnsi="宋体"/>
                <w:szCs w:val="21"/>
              </w:rPr>
              <w:t>提供货物时提供海关报关单</w:t>
            </w:r>
            <w:r>
              <w:rPr>
                <w:rFonts w:hint="eastAsia" w:ascii="宋体" w:hAnsi="宋体"/>
                <w:color w:val="000000"/>
                <w:szCs w:val="21"/>
              </w:rPr>
              <w:t>及商检证书等其他相关证件；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b/>
                <w:bCs/>
                <w:szCs w:val="21"/>
              </w:rPr>
              <w:t>六</w:t>
            </w:r>
          </w:p>
        </w:tc>
        <w:tc>
          <w:tcPr>
            <w:tcW w:w="787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b/>
                <w:bCs/>
                <w:szCs w:val="21"/>
              </w:rPr>
              <w:t>维修与质量保证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szCs w:val="21"/>
              </w:rPr>
            </w:pPr>
            <w:r>
              <w:rPr>
                <w:rFonts w:hint="eastAsia" w:ascii="宋体" w:hAnsi="宋体"/>
                <w:szCs w:val="21"/>
              </w:rPr>
              <w:t>设备验收合格后质保期：一年，终身维修；质保期后不收任何维修费、差旅费等，仅收取配件费；(除人为因素损坏)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szCs w:val="21"/>
              </w:rPr>
              <w:t>2</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cs="宋体"/>
                <w:color w:val="000000"/>
                <w:kern w:val="0"/>
                <w:szCs w:val="21"/>
              </w:rPr>
            </w:pPr>
            <w:r>
              <w:rPr>
                <w:rFonts w:hint="eastAsia" w:ascii="宋体" w:hAnsi="宋体" w:cs="宋体"/>
                <w:szCs w:val="21"/>
              </w:rPr>
              <w:t>免费提供操作和维修培训；</w:t>
            </w:r>
            <w:r>
              <w:rPr>
                <w:rFonts w:hint="eastAsia"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b/>
                <w:bCs/>
                <w:szCs w:val="21"/>
              </w:rPr>
              <w:t>七</w:t>
            </w:r>
          </w:p>
        </w:tc>
        <w:tc>
          <w:tcPr>
            <w:tcW w:w="78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r>
              <w:rPr>
                <w:rFonts w:hint="eastAsia" w:ascii="宋体" w:hAnsi="宋体"/>
                <w:b/>
                <w:bCs/>
                <w:szCs w:val="21"/>
              </w:rPr>
              <w:t>安装与验收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szCs w:val="21"/>
              </w:rPr>
            </w:pPr>
            <w:r>
              <w:rPr>
                <w:rFonts w:hint="eastAsia" w:ascii="宋体" w:hAnsi="宋体"/>
                <w:szCs w:val="21"/>
              </w:rPr>
              <w:t>交货时间：合同签定后90天内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szCs w:val="21"/>
              </w:rPr>
            </w:pPr>
            <w:r>
              <w:rPr>
                <w:rFonts w:hint="eastAsia" w:ascii="宋体" w:hAnsi="宋体"/>
                <w:szCs w:val="21"/>
              </w:rPr>
              <w:t>安装地点：医院内指定科室；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szCs w:val="21"/>
              </w:rPr>
            </w:pPr>
            <w:r>
              <w:rPr>
                <w:rFonts w:hint="eastAsia" w:ascii="宋体" w:hAnsi="宋体"/>
                <w:szCs w:val="21"/>
              </w:rPr>
              <w:t xml:space="preserve">安装完成时间：接买方通知后7天内；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4</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szCs w:val="21"/>
              </w:rPr>
            </w:pPr>
            <w:r>
              <w:rPr>
                <w:rFonts w:hint="eastAsia" w:ascii="宋体" w:hAnsi="宋体"/>
                <w:szCs w:val="21"/>
              </w:rPr>
              <w:t>安装标准：符合我国国家有关技术规范和技术标准；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5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5</w:t>
            </w:r>
          </w:p>
        </w:tc>
        <w:tc>
          <w:tcPr>
            <w:tcW w:w="7873"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szCs w:val="21"/>
              </w:rPr>
            </w:pPr>
            <w:r>
              <w:rPr>
                <w:rFonts w:hint="eastAsia" w:ascii="宋体" w:hAnsi="宋体" w:cs="宋体"/>
                <w:szCs w:val="21"/>
              </w:rPr>
              <w:t>验收标准：与产品原始样本技术数据及标书技术文件一致，符合国家有关技术规范和技术标准。</w:t>
            </w:r>
          </w:p>
        </w:tc>
      </w:tr>
    </w:tbl>
    <w:p/>
    <w:p>
      <w:pPr>
        <w:spacing w:line="360" w:lineRule="auto"/>
        <w:ind w:firstLine="422" w:firstLineChars="200"/>
        <w:rPr>
          <w:rFonts w:hint="eastAsia"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★中标公告期限届满之日内（7个工作日内）提供原厂商授权函原件（加盖公章）；如无法提供作无效标处理，并追究相关责任。</w:t>
      </w:r>
    </w:p>
    <w:p>
      <w:pPr>
        <w:spacing w:line="288" w:lineRule="auto"/>
        <w:ind w:firstLine="422" w:firstLineChars="200"/>
        <w:rPr>
          <w:rFonts w:hint="eastAsia" w:cs="宋体" w:asciiTheme="minorEastAsia" w:hAnsiTheme="minorEastAsia" w:eastAsiaTheme="minorEastAsia"/>
          <w:b/>
          <w:szCs w:val="21"/>
        </w:rPr>
      </w:pPr>
    </w:p>
    <w:p>
      <w:pPr>
        <w:spacing w:line="288"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注：投标供应商应在投标文件中说明本次投标产品的技术参数是否与官网上公开的技术参数一致，如不一致，要求明确哪些参数不一致，不一致的原因以及使用何种技术可以达到投标产品参数。</w:t>
      </w:r>
    </w:p>
    <w:p>
      <w:pPr>
        <w:snapToGrid w:val="0"/>
        <w:spacing w:line="288" w:lineRule="auto"/>
        <w:ind w:firstLine="411" w:firstLineChars="196"/>
        <w:rPr>
          <w:b/>
          <w:color w:val="FF0000"/>
          <w:szCs w:val="21"/>
        </w:rPr>
      </w:pPr>
      <w:r>
        <w:rPr>
          <w:rFonts w:hint="eastAsia"/>
        </w:rPr>
        <w:t xml:space="preserve"> </w:t>
      </w:r>
      <w:r>
        <w:rPr>
          <w:rFonts w:hint="eastAsia"/>
          <w:b/>
          <w:color w:val="FF0000"/>
        </w:rPr>
        <w:t xml:space="preserve"> </w:t>
      </w:r>
    </w:p>
    <w:p>
      <w:pPr>
        <w:snapToGrid w:val="0"/>
        <w:spacing w:line="312" w:lineRule="auto"/>
        <w:rPr>
          <w:rFonts w:ascii="宋体" w:hAnsi="宋体" w:cs="宋体"/>
          <w:szCs w:val="21"/>
        </w:rPr>
      </w:pPr>
      <w:r>
        <w:rPr>
          <w:rFonts w:hint="eastAsia"/>
          <w:b/>
          <w:sz w:val="24"/>
        </w:rPr>
        <w:t>二、系统安装、测试与验收要求</w:t>
      </w:r>
    </w:p>
    <w:p>
      <w:pPr>
        <w:snapToGrid w:val="0"/>
        <w:spacing w:line="312" w:lineRule="auto"/>
        <w:rPr>
          <w:rFonts w:ascii="宋体" w:hAnsi="宋体"/>
          <w:b/>
        </w:rPr>
      </w:pPr>
      <w:r>
        <w:rPr>
          <w:rFonts w:hint="eastAsia" w:ascii="宋体" w:hAnsi="宋体"/>
          <w:b/>
        </w:rPr>
        <w:t>1. 安装</w:t>
      </w:r>
    </w:p>
    <w:p>
      <w:pPr>
        <w:adjustRightInd w:val="0"/>
        <w:snapToGrid w:val="0"/>
        <w:spacing w:line="312" w:lineRule="auto"/>
        <w:ind w:firstLine="412" w:firstLineChars="200"/>
        <w:rPr>
          <w:rFonts w:ascii="宋体" w:hAnsi="宋体"/>
        </w:rPr>
      </w:pPr>
      <w:r>
        <w:rPr>
          <w:rFonts w:hint="eastAsia" w:ascii="宋体" w:hAnsi="宋体"/>
          <w:spacing w:val="-2"/>
          <w:position w:val="-2"/>
        </w:rPr>
        <w:t>投标人必须向用户方提供标书中采购的所有软件安装和维护服务的全</w:t>
      </w:r>
      <w:r>
        <w:rPr>
          <w:rFonts w:hint="eastAsia" w:ascii="宋体" w:hAnsi="宋体"/>
        </w:rPr>
        <w:t>部内容，并在需要的时候配合使用单位完成整个系统的调试工作。若本标书中所采购的软件产品等方面的配置或要求中出现不合理或不完整的问题时，投标人有责任和义务在投标书中提出补充修改方案并征得本项目单位同意后付诸实施。</w:t>
      </w:r>
    </w:p>
    <w:p>
      <w:pPr>
        <w:adjustRightInd w:val="0"/>
        <w:snapToGrid w:val="0"/>
        <w:spacing w:line="312" w:lineRule="auto"/>
        <w:rPr>
          <w:rFonts w:ascii="宋体" w:hAnsi="宋体"/>
        </w:rPr>
      </w:pPr>
      <w:r>
        <w:rPr>
          <w:rFonts w:hint="eastAsia" w:ascii="宋体" w:hAnsi="宋体"/>
        </w:rPr>
        <w:t>对投标人要求：</w:t>
      </w:r>
    </w:p>
    <w:p>
      <w:pPr>
        <w:adjustRightInd w:val="0"/>
        <w:snapToGrid w:val="0"/>
        <w:spacing w:line="312" w:lineRule="auto"/>
        <w:rPr>
          <w:rFonts w:ascii="宋体" w:hAnsi="宋体"/>
        </w:rPr>
      </w:pPr>
      <w:r>
        <w:rPr>
          <w:rFonts w:hint="eastAsia" w:ascii="宋体" w:hAnsi="宋体"/>
        </w:rPr>
        <w:t xml:space="preserve">    1)本标书要求投标人必须具有良好信誉和相关实力的技术队伍；</w:t>
      </w:r>
    </w:p>
    <w:p>
      <w:pPr>
        <w:adjustRightInd w:val="0"/>
        <w:snapToGrid w:val="0"/>
        <w:spacing w:line="312" w:lineRule="auto"/>
        <w:jc w:val="left"/>
        <w:rPr>
          <w:rFonts w:ascii="宋体" w:hAnsi="宋体"/>
        </w:rPr>
      </w:pPr>
      <w:r>
        <w:rPr>
          <w:rFonts w:hint="eastAsia" w:ascii="宋体" w:hAnsi="宋体"/>
        </w:rPr>
        <w:t xml:space="preserve">    2)投标人应本着认真负责态度，组织技术队伍，做好投标的整体方案，自仪</w:t>
      </w:r>
      <w:r>
        <w:rPr>
          <w:rFonts w:hint="eastAsia" w:ascii="MS UI Gothic" w:hAnsi="MS UI Gothic"/>
        </w:rPr>
        <w:t>器</w:t>
      </w:r>
      <w:r>
        <w:rPr>
          <w:rFonts w:hint="eastAsia" w:ascii="宋体" w:hAnsi="宋体"/>
        </w:rPr>
        <w:t>设备</w:t>
      </w:r>
      <w:r>
        <w:rPr>
          <w:rFonts w:hint="eastAsia" w:ascii="MS UI Gothic" w:hAnsi="MS UI Gothic"/>
        </w:rPr>
        <w:t>最</w:t>
      </w:r>
      <w:r>
        <w:rPr>
          <w:rFonts w:hint="eastAsia" w:ascii="宋体" w:hAnsi="宋体"/>
        </w:rPr>
        <w:t>终验</w:t>
      </w:r>
      <w:r>
        <w:rPr>
          <w:rFonts w:hint="eastAsia" w:ascii="MS UI Gothic" w:hAnsi="MS UI Gothic"/>
        </w:rPr>
        <w:t>收合格之日起，供</w:t>
      </w:r>
      <w:r>
        <w:rPr>
          <w:rFonts w:hint="eastAsia" w:ascii="宋体" w:hAnsi="宋体"/>
        </w:rPr>
        <w:t>货</w:t>
      </w:r>
      <w:r>
        <w:rPr>
          <w:rFonts w:hint="eastAsia" w:ascii="MS UI Gothic" w:hAnsi="MS UI Gothic"/>
        </w:rPr>
        <w:t>或服</w:t>
      </w:r>
      <w:r>
        <w:rPr>
          <w:rFonts w:hint="eastAsia" w:ascii="宋体" w:hAnsi="宋体"/>
        </w:rPr>
        <w:t>务</w:t>
      </w:r>
      <w:r>
        <w:rPr>
          <w:rFonts w:hint="eastAsia" w:ascii="MS UI Gothic" w:hAnsi="MS UI Gothic"/>
        </w:rPr>
        <w:t>商</w:t>
      </w:r>
      <w:r>
        <w:rPr>
          <w:rFonts w:hint="eastAsia" w:ascii="宋体" w:hAnsi="宋体"/>
        </w:rPr>
        <w:t>应</w:t>
      </w:r>
      <w:r>
        <w:rPr>
          <w:rFonts w:hint="eastAsia" w:ascii="MS UI Gothic" w:hAnsi="MS UI Gothic"/>
        </w:rPr>
        <w:t>保</w:t>
      </w:r>
      <w:r>
        <w:rPr>
          <w:rFonts w:hint="eastAsia" w:ascii="宋体" w:hAnsi="宋体"/>
        </w:rPr>
        <w:t>证</w:t>
      </w:r>
      <w:r>
        <w:rPr>
          <w:rFonts w:hint="eastAsia" w:ascii="MS UI Gothic" w:hAnsi="MS UI Gothic"/>
        </w:rPr>
        <w:t>提供一年以上的免</w:t>
      </w:r>
      <w:r>
        <w:rPr>
          <w:rFonts w:hint="eastAsia" w:ascii="宋体" w:hAnsi="宋体"/>
        </w:rPr>
        <w:t>费</w:t>
      </w:r>
      <w:r>
        <w:rPr>
          <w:rFonts w:hint="eastAsia" w:ascii="MS UI Gothic" w:hAnsi="MS UI Gothic"/>
        </w:rPr>
        <w:t>保修服</w:t>
      </w:r>
      <w:r>
        <w:rPr>
          <w:rFonts w:hint="eastAsia" w:ascii="宋体" w:hAnsi="宋体"/>
        </w:rPr>
        <w:t>务（除特殊说明外）</w:t>
      </w:r>
      <w:r>
        <w:rPr>
          <w:rFonts w:hint="eastAsia" w:ascii="MS UI Gothic" w:hAnsi="MS UI Gothic"/>
        </w:rPr>
        <w:t>。</w:t>
      </w:r>
    </w:p>
    <w:p>
      <w:pPr>
        <w:adjustRightInd w:val="0"/>
        <w:snapToGrid w:val="0"/>
        <w:spacing w:line="312" w:lineRule="auto"/>
        <w:rPr>
          <w:rFonts w:ascii="宋体" w:hAnsi="宋体"/>
        </w:rPr>
      </w:pPr>
      <w:r>
        <w:rPr>
          <w:rFonts w:hint="eastAsia" w:ascii="宋体" w:hAnsi="宋体"/>
        </w:rPr>
        <w:t xml:space="preserve">    3)所有产品均须由投标人送货上门并负责安装调试，用户不再支付任何费用；</w:t>
      </w:r>
    </w:p>
    <w:p>
      <w:pPr>
        <w:adjustRightInd w:val="0"/>
        <w:snapToGrid w:val="0"/>
        <w:spacing w:line="312" w:lineRule="auto"/>
        <w:rPr>
          <w:rFonts w:ascii="宋体" w:hAnsi="宋体"/>
        </w:rPr>
      </w:pPr>
      <w:r>
        <w:rPr>
          <w:rFonts w:hint="eastAsia" w:ascii="宋体" w:hAnsi="宋体"/>
        </w:rPr>
        <w:t xml:space="preserve">    4)自安装工作一开始，投标人应允许项目单位的工作人员一起参与现场的系统安装、测试、诊断及解决遇到的问题等各项工作；</w:t>
      </w:r>
    </w:p>
    <w:p>
      <w:pPr>
        <w:snapToGrid w:val="0"/>
        <w:spacing w:line="312" w:lineRule="auto"/>
        <w:rPr>
          <w:rFonts w:ascii="宋体" w:hAnsi="宋体"/>
          <w:b/>
        </w:rPr>
      </w:pPr>
      <w:r>
        <w:rPr>
          <w:rFonts w:hint="eastAsia" w:ascii="宋体" w:hAnsi="宋体"/>
          <w:b/>
        </w:rPr>
        <w:t>2. 安装地点</w:t>
      </w:r>
    </w:p>
    <w:p>
      <w:pPr>
        <w:snapToGrid w:val="0"/>
        <w:spacing w:line="312" w:lineRule="auto"/>
        <w:ind w:firstLine="420" w:firstLineChars="200"/>
        <w:rPr>
          <w:rFonts w:ascii="宋体" w:hAnsi="宋体"/>
        </w:rPr>
      </w:pPr>
      <w:r>
        <w:rPr>
          <w:rFonts w:hint="eastAsia" w:ascii="宋体" w:hAnsi="宋体"/>
          <w:szCs w:val="21"/>
        </w:rPr>
        <w:t>岱山县第一人民医院内指定科室；</w:t>
      </w:r>
    </w:p>
    <w:p>
      <w:pPr>
        <w:snapToGrid w:val="0"/>
        <w:spacing w:line="312" w:lineRule="auto"/>
        <w:rPr>
          <w:rFonts w:ascii="宋体" w:hAnsi="宋体"/>
          <w:b/>
        </w:rPr>
      </w:pPr>
      <w:r>
        <w:rPr>
          <w:rFonts w:hint="eastAsia" w:ascii="宋体" w:hAnsi="宋体"/>
          <w:b/>
        </w:rPr>
        <w:t>3. 安装、验收标准</w:t>
      </w:r>
    </w:p>
    <w:p>
      <w:pPr>
        <w:snapToGrid w:val="0"/>
        <w:spacing w:line="312" w:lineRule="auto"/>
        <w:ind w:left="924" w:leftChars="240" w:hanging="420" w:hangingChars="200"/>
        <w:rPr>
          <w:rFonts w:ascii="宋体" w:hAnsi="宋体"/>
        </w:rPr>
      </w:pPr>
      <w:r>
        <w:rPr>
          <w:rFonts w:hint="eastAsia" w:ascii="宋体" w:hAnsi="宋体"/>
        </w:rPr>
        <w:t>3.1投标人必须派技术人员到现场安装调试，安装完毕投标人派专业人员检查安装质量。</w:t>
      </w:r>
    </w:p>
    <w:p>
      <w:pPr>
        <w:adjustRightInd w:val="0"/>
        <w:snapToGrid w:val="0"/>
        <w:spacing w:line="312" w:lineRule="auto"/>
        <w:ind w:left="899" w:leftChars="228" w:hanging="420" w:hangingChars="200"/>
        <w:rPr>
          <w:rFonts w:ascii="宋体" w:hAnsi="宋体"/>
          <w:b/>
        </w:rPr>
      </w:pPr>
      <w:r>
        <w:rPr>
          <w:rFonts w:hint="eastAsia" w:ascii="宋体" w:hAnsi="宋体"/>
        </w:rPr>
        <w:t>3.2 投标人必须为使用单位设计、安装、调试、维修、使用提供足够的技术资料和技术保障。提供有关证明，如产地、出厂合格证、质量保证书和测试合格证等。</w:t>
      </w:r>
      <w:r>
        <w:rPr>
          <w:rFonts w:hint="eastAsia" w:ascii="宋体" w:hAnsi="宋体"/>
          <w:b/>
        </w:rPr>
        <w:t>进口产品应提供进口报关单原件或复印件（复印件需加盖乙方公章）。</w:t>
      </w:r>
    </w:p>
    <w:p>
      <w:pPr>
        <w:adjustRightInd w:val="0"/>
        <w:snapToGrid w:val="0"/>
        <w:spacing w:line="312" w:lineRule="auto"/>
        <w:ind w:left="899" w:leftChars="228" w:hanging="420" w:hangingChars="200"/>
        <w:rPr>
          <w:rFonts w:ascii="宋体" w:hAnsi="宋体"/>
        </w:rPr>
      </w:pPr>
      <w:r>
        <w:rPr>
          <w:rFonts w:hint="eastAsia" w:ascii="宋体" w:hAnsi="宋体"/>
        </w:rPr>
        <w:t>3.3 若产品验收时有关技术参数不能满足招标文件技术要求，使用单位有权要求更换，同时有权要求索赔，所产生的一切费用（含所有检验费用）由中标人全部承担。</w:t>
      </w:r>
    </w:p>
    <w:p>
      <w:pPr>
        <w:adjustRightInd w:val="0"/>
        <w:snapToGrid w:val="0"/>
        <w:spacing w:line="312" w:lineRule="auto"/>
        <w:ind w:left="899" w:leftChars="228" w:hanging="420" w:hangingChars="200"/>
        <w:rPr>
          <w:rFonts w:ascii="宋体" w:hAnsi="宋体"/>
        </w:rPr>
      </w:pPr>
      <w:r>
        <w:rPr>
          <w:rFonts w:hint="eastAsia" w:ascii="宋体" w:hAnsi="宋体"/>
        </w:rPr>
        <w:t>3.4系统测试要求</w:t>
      </w:r>
    </w:p>
    <w:p>
      <w:pPr>
        <w:adjustRightInd w:val="0"/>
        <w:snapToGrid w:val="0"/>
        <w:spacing w:line="312" w:lineRule="auto"/>
        <w:ind w:left="958" w:leftChars="456"/>
        <w:rPr>
          <w:rFonts w:ascii="宋体" w:hAnsi="宋体"/>
        </w:rPr>
      </w:pPr>
      <w:r>
        <w:rPr>
          <w:rFonts w:hint="eastAsia" w:ascii="宋体" w:hAnsi="宋体"/>
        </w:rPr>
        <w:t>系统安装完成后，由设备使用单位进行设备或网络测试，投标人必须给予充分的配合。</w:t>
      </w:r>
    </w:p>
    <w:p>
      <w:pPr>
        <w:adjustRightInd w:val="0"/>
        <w:snapToGrid w:val="0"/>
        <w:spacing w:line="312" w:lineRule="auto"/>
        <w:ind w:left="899" w:leftChars="228" w:hanging="420" w:hangingChars="200"/>
        <w:rPr>
          <w:rFonts w:ascii="宋体" w:hAnsi="宋体"/>
        </w:rPr>
      </w:pPr>
      <w:r>
        <w:rPr>
          <w:rFonts w:hint="eastAsia" w:ascii="宋体" w:hAnsi="宋体"/>
        </w:rPr>
        <w:t>3.5 单项测试</w:t>
      </w:r>
    </w:p>
    <w:p>
      <w:pPr>
        <w:adjustRightInd w:val="0"/>
        <w:snapToGrid w:val="0"/>
        <w:spacing w:line="312" w:lineRule="auto"/>
        <w:ind w:left="958" w:leftChars="456"/>
        <w:rPr>
          <w:rFonts w:ascii="宋体" w:hAnsi="宋体"/>
        </w:rPr>
      </w:pPr>
      <w:r>
        <w:rPr>
          <w:rFonts w:hint="eastAsia" w:ascii="宋体" w:hAnsi="宋体"/>
        </w:rPr>
        <w:t>单项产品安装完成后，由投标人进行产品自身性能的测试。</w:t>
      </w:r>
    </w:p>
    <w:p>
      <w:pPr>
        <w:adjustRightInd w:val="0"/>
        <w:snapToGrid w:val="0"/>
        <w:spacing w:line="312" w:lineRule="auto"/>
        <w:ind w:left="899" w:leftChars="228" w:hanging="420" w:hangingChars="200"/>
        <w:rPr>
          <w:rFonts w:ascii="宋体" w:hAnsi="宋体"/>
        </w:rPr>
      </w:pPr>
      <w:r>
        <w:rPr>
          <w:rFonts w:hint="eastAsia" w:ascii="宋体" w:hAnsi="宋体"/>
        </w:rPr>
        <w:t>3.6供货</w:t>
      </w:r>
      <w:r>
        <w:rPr>
          <w:rFonts w:hint="eastAsia" w:ascii="MS UI Gothic" w:hAnsi="MS UI Gothic"/>
        </w:rPr>
        <w:t>或服</w:t>
      </w:r>
      <w:r>
        <w:rPr>
          <w:rFonts w:hint="eastAsia" w:ascii="宋体" w:hAnsi="宋体"/>
        </w:rPr>
        <w:t>务</w:t>
      </w:r>
      <w:r>
        <w:rPr>
          <w:rFonts w:hint="eastAsia" w:ascii="MS UI Gothic" w:hAnsi="MS UI Gothic"/>
        </w:rPr>
        <w:t>商</w:t>
      </w:r>
      <w:r>
        <w:rPr>
          <w:rFonts w:hint="eastAsia" w:ascii="宋体" w:hAnsi="宋体"/>
        </w:rPr>
        <w:t>应</w:t>
      </w:r>
      <w:r>
        <w:rPr>
          <w:rFonts w:hint="eastAsia" w:ascii="MS UI Gothic" w:hAnsi="MS UI Gothic"/>
        </w:rPr>
        <w:t>提供所有</w:t>
      </w:r>
      <w:r>
        <w:rPr>
          <w:rFonts w:hint="eastAsia" w:ascii="宋体" w:hAnsi="宋体"/>
        </w:rPr>
        <w:t>仪</w:t>
      </w:r>
      <w:r>
        <w:rPr>
          <w:rFonts w:hint="eastAsia" w:ascii="MS UI Gothic" w:hAnsi="MS UI Gothic"/>
        </w:rPr>
        <w:t>器</w:t>
      </w:r>
      <w:r>
        <w:rPr>
          <w:rFonts w:hint="eastAsia" w:ascii="宋体" w:hAnsi="宋体"/>
        </w:rPr>
        <w:t>设备详细</w:t>
      </w:r>
      <w:r>
        <w:rPr>
          <w:rFonts w:hint="eastAsia" w:ascii="MS UI Gothic" w:hAnsi="MS UI Gothic"/>
        </w:rPr>
        <w:t>的英文和中文操作手册，</w:t>
      </w:r>
      <w:r>
        <w:rPr>
          <w:rFonts w:hint="eastAsia" w:ascii="宋体" w:hAnsi="宋体"/>
        </w:rPr>
        <w:t>详细</w:t>
      </w:r>
      <w:r>
        <w:rPr>
          <w:rFonts w:hint="eastAsia" w:ascii="MS UI Gothic" w:hAnsi="MS UI Gothic"/>
        </w:rPr>
        <w:t>的系</w:t>
      </w:r>
      <w:r>
        <w:rPr>
          <w:rFonts w:hint="eastAsia" w:ascii="宋体" w:hAnsi="宋体"/>
        </w:rPr>
        <w:t>统</w:t>
      </w:r>
      <w:r>
        <w:rPr>
          <w:rFonts w:hint="eastAsia" w:ascii="MS UI Gothic" w:hAnsi="MS UI Gothic"/>
        </w:rPr>
        <w:t>操作和</w:t>
      </w:r>
      <w:r>
        <w:rPr>
          <w:rFonts w:hint="eastAsia" w:ascii="宋体" w:hAnsi="宋体"/>
        </w:rPr>
        <w:t>维护</w:t>
      </w:r>
      <w:r>
        <w:rPr>
          <w:rFonts w:hint="eastAsia" w:ascii="MS UI Gothic" w:hAnsi="MS UI Gothic"/>
        </w:rPr>
        <w:t>手册，</w:t>
      </w:r>
      <w:r>
        <w:rPr>
          <w:rFonts w:hint="eastAsia" w:ascii="宋体" w:hAnsi="宋体"/>
        </w:rPr>
        <w:t>详细</w:t>
      </w:r>
      <w:r>
        <w:rPr>
          <w:rFonts w:hint="eastAsia" w:ascii="MS UI Gothic" w:hAnsi="MS UI Gothic"/>
        </w:rPr>
        <w:t>的</w:t>
      </w:r>
      <w:r>
        <w:rPr>
          <w:rFonts w:hint="eastAsia" w:ascii="宋体" w:hAnsi="宋体"/>
        </w:rPr>
        <w:t>软</w:t>
      </w:r>
      <w:r>
        <w:rPr>
          <w:rFonts w:hint="eastAsia" w:ascii="MS UI Gothic" w:hAnsi="MS UI Gothic"/>
        </w:rPr>
        <w:t>件使用手册。</w:t>
      </w:r>
    </w:p>
    <w:p>
      <w:pPr>
        <w:adjustRightInd w:val="0"/>
        <w:snapToGrid w:val="0"/>
        <w:spacing w:line="312" w:lineRule="auto"/>
        <w:ind w:left="899" w:leftChars="228" w:hanging="420" w:hangingChars="200"/>
        <w:rPr>
          <w:rFonts w:ascii="宋体" w:hAnsi="宋体"/>
        </w:rPr>
      </w:pPr>
      <w:r>
        <w:rPr>
          <w:rFonts w:hint="eastAsia" w:ascii="宋体" w:hAnsi="宋体"/>
        </w:rPr>
        <w:t>3.7供货</w:t>
      </w:r>
      <w:r>
        <w:rPr>
          <w:rFonts w:hint="eastAsia" w:ascii="MS UI Gothic" w:hAnsi="MS UI Gothic"/>
        </w:rPr>
        <w:t>或服</w:t>
      </w:r>
      <w:r>
        <w:rPr>
          <w:rFonts w:hint="eastAsia" w:ascii="宋体" w:hAnsi="宋体"/>
        </w:rPr>
        <w:t>务</w:t>
      </w:r>
      <w:r>
        <w:rPr>
          <w:rFonts w:hint="eastAsia" w:ascii="MS UI Gothic" w:hAnsi="MS UI Gothic"/>
        </w:rPr>
        <w:t>商</w:t>
      </w:r>
      <w:r>
        <w:rPr>
          <w:rFonts w:hint="eastAsia" w:ascii="宋体" w:hAnsi="宋体"/>
        </w:rPr>
        <w:t>应</w:t>
      </w:r>
      <w:r>
        <w:rPr>
          <w:rFonts w:hint="eastAsia" w:ascii="MS UI Gothic" w:hAnsi="MS UI Gothic"/>
        </w:rPr>
        <w:t>提供完整的</w:t>
      </w:r>
      <w:r>
        <w:rPr>
          <w:rFonts w:hint="eastAsia" w:ascii="宋体" w:hAnsi="宋体"/>
        </w:rPr>
        <w:t>专</w:t>
      </w:r>
      <w:r>
        <w:rPr>
          <w:rFonts w:hint="eastAsia" w:ascii="MS UI Gothic" w:hAnsi="MS UI Gothic"/>
        </w:rPr>
        <w:t>用工具，以便</w:t>
      </w:r>
      <w:r>
        <w:rPr>
          <w:rFonts w:hint="eastAsia" w:ascii="宋体" w:hAnsi="宋体"/>
        </w:rPr>
        <w:t>维护</w:t>
      </w:r>
      <w:r>
        <w:rPr>
          <w:rFonts w:hint="eastAsia" w:ascii="MS UI Gothic" w:hAnsi="MS UI Gothic"/>
        </w:rPr>
        <w:t>、</w:t>
      </w:r>
      <w:r>
        <w:rPr>
          <w:rFonts w:hint="eastAsia" w:ascii="宋体" w:hAnsi="宋体"/>
        </w:rPr>
        <w:t>维</w:t>
      </w:r>
      <w:r>
        <w:rPr>
          <w:rFonts w:hint="eastAsia" w:ascii="MS UI Gothic" w:hAnsi="MS UI Gothic"/>
        </w:rPr>
        <w:t>修所</w:t>
      </w:r>
      <w:r>
        <w:rPr>
          <w:rFonts w:hint="eastAsia" w:ascii="宋体" w:hAnsi="宋体"/>
        </w:rPr>
        <w:t>供仪</w:t>
      </w:r>
      <w:r>
        <w:rPr>
          <w:rFonts w:hint="eastAsia" w:ascii="MS UI Gothic" w:hAnsi="MS UI Gothic"/>
        </w:rPr>
        <w:t>器</w:t>
      </w:r>
      <w:r>
        <w:rPr>
          <w:rFonts w:hint="eastAsia" w:ascii="宋体" w:hAnsi="宋体"/>
        </w:rPr>
        <w:t>设备</w:t>
      </w:r>
    </w:p>
    <w:p>
      <w:pPr>
        <w:widowControl/>
        <w:autoSpaceDE w:val="0"/>
        <w:autoSpaceDN w:val="0"/>
        <w:snapToGrid w:val="0"/>
        <w:spacing w:line="312" w:lineRule="auto"/>
        <w:ind w:right="-53" w:rightChars="-25"/>
        <w:textAlignment w:val="bottom"/>
        <w:rPr>
          <w:b/>
          <w:sz w:val="24"/>
        </w:rPr>
      </w:pPr>
    </w:p>
    <w:p>
      <w:pPr>
        <w:widowControl/>
        <w:autoSpaceDE w:val="0"/>
        <w:autoSpaceDN w:val="0"/>
        <w:snapToGrid w:val="0"/>
        <w:spacing w:line="312" w:lineRule="auto"/>
        <w:ind w:right="-53" w:rightChars="-25"/>
        <w:textAlignment w:val="bottom"/>
        <w:rPr>
          <w:rFonts w:ascii="宋体" w:hAnsi="宋体"/>
          <w:b/>
          <w:sz w:val="24"/>
        </w:rPr>
      </w:pPr>
      <w:r>
        <w:rPr>
          <w:rFonts w:hint="eastAsia"/>
          <w:b/>
          <w:sz w:val="24"/>
        </w:rPr>
        <w:t>三、培训要求</w:t>
      </w:r>
    </w:p>
    <w:p>
      <w:pPr>
        <w:snapToGrid w:val="0"/>
        <w:spacing w:line="312" w:lineRule="auto"/>
        <w:ind w:firstLine="525" w:firstLineChars="250"/>
        <w:rPr>
          <w:rFonts w:ascii="宋体" w:hAnsi="宋体"/>
        </w:rPr>
      </w:pPr>
      <w:r>
        <w:rPr>
          <w:rFonts w:hint="eastAsia" w:ascii="宋体" w:hAnsi="宋体"/>
        </w:rPr>
        <w:t>1、 培训计划</w:t>
      </w:r>
    </w:p>
    <w:p>
      <w:pPr>
        <w:snapToGrid w:val="0"/>
        <w:spacing w:line="312" w:lineRule="auto"/>
        <w:ind w:firstLine="525" w:firstLineChars="250"/>
        <w:rPr>
          <w:rFonts w:ascii="宋体" w:hAnsi="宋体"/>
        </w:rPr>
      </w:pPr>
      <w:r>
        <w:rPr>
          <w:rFonts w:hint="eastAsia" w:ascii="宋体" w:hAnsi="宋体"/>
        </w:rPr>
        <w:t>中选方除安装调试时为用户进行免费操作培训外，还必须提供详细的培训方案，以保证用户能熟练使用该系统。所有的培训费用必须计入投标总价。</w:t>
      </w:r>
    </w:p>
    <w:p>
      <w:pPr>
        <w:snapToGrid w:val="0"/>
        <w:spacing w:line="312" w:lineRule="auto"/>
        <w:ind w:firstLine="525" w:firstLineChars="250"/>
        <w:rPr>
          <w:rFonts w:ascii="宋体" w:hAnsi="宋体"/>
        </w:rPr>
      </w:pPr>
      <w:r>
        <w:rPr>
          <w:rFonts w:hint="eastAsia" w:ascii="宋体" w:hAnsi="宋体"/>
        </w:rPr>
        <w:t>2、 操作维护手册</w:t>
      </w:r>
    </w:p>
    <w:p>
      <w:pPr>
        <w:snapToGrid w:val="0"/>
        <w:spacing w:line="312" w:lineRule="auto"/>
        <w:ind w:firstLine="525" w:firstLineChars="250"/>
        <w:rPr>
          <w:rFonts w:ascii="宋体" w:hAnsi="宋体"/>
        </w:rPr>
      </w:pPr>
      <w:r>
        <w:rPr>
          <w:rFonts w:hint="eastAsia" w:ascii="宋体" w:hAnsi="宋体"/>
        </w:rPr>
        <w:t>供货或服务商应提供所有仪器设备详细的英文和中文操作手册，详细的系统操作和维护手册，详细的软件使用手册。</w:t>
      </w:r>
    </w:p>
    <w:p>
      <w:pPr>
        <w:snapToGrid w:val="0"/>
        <w:spacing w:line="312" w:lineRule="auto"/>
        <w:ind w:firstLine="525" w:firstLineChars="250"/>
        <w:rPr>
          <w:rFonts w:ascii="宋体" w:hAnsi="宋体"/>
        </w:rPr>
      </w:pPr>
      <w:r>
        <w:rPr>
          <w:rFonts w:hint="eastAsia" w:ascii="宋体" w:hAnsi="宋体"/>
        </w:rPr>
        <w:t>3、 专用工具</w:t>
      </w:r>
    </w:p>
    <w:p>
      <w:pPr>
        <w:snapToGrid w:val="0"/>
        <w:spacing w:line="312" w:lineRule="auto"/>
        <w:ind w:firstLine="525" w:firstLineChars="250"/>
        <w:rPr>
          <w:rFonts w:ascii="宋体" w:hAnsi="宋体"/>
        </w:rPr>
      </w:pPr>
      <w:r>
        <w:rPr>
          <w:rFonts w:hint="eastAsia" w:ascii="宋体" w:hAnsi="宋体"/>
        </w:rPr>
        <w:t>供货或服务商应提供完整的专用工具，以便维护、维修所供仪器设备。</w:t>
      </w:r>
    </w:p>
    <w:p>
      <w:pPr>
        <w:autoSpaceDE w:val="0"/>
        <w:autoSpaceDN w:val="0"/>
        <w:adjustRightInd w:val="0"/>
        <w:snapToGrid w:val="0"/>
        <w:spacing w:line="312" w:lineRule="auto"/>
        <w:ind w:firstLine="420" w:firstLineChars="200"/>
        <w:jc w:val="left"/>
        <w:outlineLvl w:val="0"/>
        <w:rPr>
          <w:rFonts w:ascii="宋体" w:hAnsi="宋体"/>
          <w:lang w:val="zh-CN"/>
        </w:rPr>
      </w:pPr>
      <w:r>
        <w:rPr>
          <w:rFonts w:hint="eastAsia" w:ascii="宋体" w:hAnsi="宋体"/>
          <w:szCs w:val="21"/>
        </w:rPr>
        <w:t xml:space="preserve"> </w:t>
      </w:r>
    </w:p>
    <w:p>
      <w:pPr>
        <w:widowControl/>
        <w:autoSpaceDE w:val="0"/>
        <w:autoSpaceDN w:val="0"/>
        <w:snapToGrid w:val="0"/>
        <w:spacing w:line="312" w:lineRule="auto"/>
        <w:ind w:right="-53" w:rightChars="-25"/>
        <w:textAlignment w:val="bottom"/>
        <w:rPr>
          <w:rFonts w:ascii="宋体" w:hAnsi="宋体"/>
          <w:b/>
          <w:sz w:val="24"/>
        </w:rPr>
      </w:pPr>
    </w:p>
    <w:p>
      <w:pPr>
        <w:widowControl/>
        <w:autoSpaceDE w:val="0"/>
        <w:autoSpaceDN w:val="0"/>
        <w:snapToGrid w:val="0"/>
        <w:spacing w:line="312" w:lineRule="auto"/>
        <w:ind w:right="-53" w:rightChars="-25"/>
        <w:textAlignment w:val="bottom"/>
        <w:rPr>
          <w:rFonts w:ascii="宋体" w:hAnsi="宋体"/>
          <w:b/>
          <w:sz w:val="24"/>
        </w:rPr>
      </w:pPr>
      <w:r>
        <w:rPr>
          <w:rFonts w:hint="eastAsia" w:ascii="宋体" w:hAnsi="宋体"/>
          <w:b/>
          <w:sz w:val="24"/>
        </w:rPr>
        <w:t>四、到货要求</w:t>
      </w:r>
    </w:p>
    <w:p>
      <w:pPr>
        <w:autoSpaceDE w:val="0"/>
        <w:autoSpaceDN w:val="0"/>
        <w:adjustRightInd w:val="0"/>
        <w:snapToGrid w:val="0"/>
        <w:spacing w:line="312" w:lineRule="auto"/>
        <w:ind w:firstLine="420" w:firstLineChars="200"/>
        <w:rPr>
          <w:rFonts w:ascii="宋体" w:hAnsi="宋体"/>
          <w:lang w:val="zh-CN"/>
        </w:rPr>
      </w:pPr>
      <w:r>
        <w:rPr>
          <w:rFonts w:hint="eastAsia" w:ascii="宋体" w:hAnsi="宋体"/>
          <w:lang w:val="zh-CN"/>
        </w:rPr>
        <w:t>投标人必须响应并承诺下列要求</w:t>
      </w:r>
    </w:p>
    <w:p>
      <w:pPr>
        <w:autoSpaceDE w:val="0"/>
        <w:autoSpaceDN w:val="0"/>
        <w:adjustRightInd w:val="0"/>
        <w:snapToGrid w:val="0"/>
        <w:spacing w:line="312" w:lineRule="auto"/>
        <w:ind w:firstLine="360"/>
        <w:rPr>
          <w:rFonts w:ascii="宋体" w:hAnsi="宋体"/>
          <w:color w:val="auto"/>
          <w:lang w:val="zh-CN"/>
        </w:rPr>
      </w:pPr>
      <w:r>
        <w:rPr>
          <w:rFonts w:hint="eastAsia" w:ascii="宋体" w:hAnsi="宋体"/>
          <w:lang w:val="zh-CN"/>
        </w:rPr>
        <w:t>1. 交货期要求</w:t>
      </w:r>
    </w:p>
    <w:p>
      <w:pPr>
        <w:autoSpaceDE w:val="0"/>
        <w:autoSpaceDN w:val="0"/>
        <w:adjustRightInd w:val="0"/>
        <w:snapToGrid w:val="0"/>
        <w:spacing w:line="312" w:lineRule="auto"/>
        <w:ind w:firstLine="777" w:firstLineChars="370"/>
        <w:rPr>
          <w:rFonts w:ascii="宋体" w:hAnsi="宋体"/>
          <w:color w:val="auto"/>
          <w:lang w:val="zh-CN"/>
        </w:rPr>
      </w:pPr>
      <w:r>
        <w:rPr>
          <w:rFonts w:hint="eastAsia" w:ascii="宋体" w:hAnsi="宋体"/>
          <w:color w:val="auto"/>
          <w:szCs w:val="21"/>
        </w:rPr>
        <w:t>合同签定后90天内，</w:t>
      </w:r>
      <w:r>
        <w:rPr>
          <w:rFonts w:hint="eastAsia" w:ascii="宋体" w:hAnsi="宋体"/>
          <w:color w:val="auto"/>
          <w:lang w:val="zh-CN"/>
        </w:rPr>
        <w:t>接用户通知后7天内全部安装调试完成。</w:t>
      </w:r>
    </w:p>
    <w:p>
      <w:pPr>
        <w:autoSpaceDE w:val="0"/>
        <w:autoSpaceDN w:val="0"/>
        <w:adjustRightInd w:val="0"/>
        <w:snapToGrid w:val="0"/>
        <w:spacing w:line="312" w:lineRule="auto"/>
        <w:ind w:firstLine="360"/>
        <w:rPr>
          <w:rFonts w:ascii="宋体" w:hAnsi="宋体"/>
          <w:color w:val="auto"/>
          <w:lang w:val="zh-CN"/>
        </w:rPr>
      </w:pPr>
      <w:r>
        <w:rPr>
          <w:rFonts w:hint="eastAsia" w:ascii="宋体" w:hAnsi="宋体"/>
          <w:color w:val="auto"/>
          <w:lang w:val="zh-CN"/>
        </w:rPr>
        <w:t>2. 交货地点要求</w:t>
      </w:r>
    </w:p>
    <w:p>
      <w:pPr>
        <w:autoSpaceDE w:val="0"/>
        <w:autoSpaceDN w:val="0"/>
        <w:adjustRightInd w:val="0"/>
        <w:snapToGrid w:val="0"/>
        <w:spacing w:line="312" w:lineRule="auto"/>
        <w:ind w:left="1257" w:hanging="480"/>
        <w:rPr>
          <w:rFonts w:ascii="宋体" w:hAnsi="宋体"/>
          <w:color w:val="auto"/>
          <w:lang w:val="zh-CN"/>
        </w:rPr>
      </w:pPr>
      <w:r>
        <w:rPr>
          <w:rFonts w:hint="eastAsia" w:ascii="宋体" w:hAnsi="宋体"/>
          <w:color w:val="auto"/>
          <w:lang w:val="zh-CN"/>
        </w:rPr>
        <w:t>2.1 交货地点：使用单位——</w:t>
      </w:r>
      <w:r>
        <w:rPr>
          <w:rFonts w:hint="eastAsia" w:ascii="宋体" w:hAnsi="宋体"/>
          <w:color w:val="auto"/>
          <w:szCs w:val="21"/>
        </w:rPr>
        <w:t>岱山县第一人民医院</w:t>
      </w:r>
      <w:r>
        <w:rPr>
          <w:rFonts w:hint="eastAsia" w:ascii="宋体" w:hAnsi="宋体"/>
          <w:color w:val="auto"/>
          <w:lang w:val="zh-CN"/>
        </w:rPr>
        <w:t>指定地点。</w:t>
      </w:r>
    </w:p>
    <w:p>
      <w:pPr>
        <w:adjustRightInd w:val="0"/>
        <w:snapToGrid w:val="0"/>
        <w:spacing w:line="312" w:lineRule="auto"/>
        <w:ind w:left="1197" w:leftChars="370" w:hanging="420" w:hangingChars="200"/>
        <w:rPr>
          <w:rFonts w:ascii="宋体" w:hAnsi="宋体"/>
          <w:color w:val="auto"/>
        </w:rPr>
      </w:pPr>
      <w:r>
        <w:rPr>
          <w:color w:val="auto"/>
          <w:lang w:val="zh-CN"/>
        </w:rPr>
        <w:t>2.2</w:t>
      </w:r>
      <w:r>
        <w:rPr>
          <w:rFonts w:hint="eastAsia" w:ascii="宋体" w:hAnsi="宋体"/>
          <w:color w:val="auto"/>
        </w:rPr>
        <w:t>投标人须派专业人员将产品送到指定地点，其所有费用由投标人承担。</w:t>
      </w:r>
    </w:p>
    <w:p>
      <w:pPr>
        <w:spacing w:line="312" w:lineRule="auto"/>
        <w:rPr>
          <w:rFonts w:ascii="宋体" w:hAnsi="宋体"/>
          <w:b/>
          <w:bCs/>
          <w:color w:val="auto"/>
          <w:sz w:val="24"/>
          <w:szCs w:val="24"/>
        </w:rPr>
      </w:pPr>
    </w:p>
    <w:p>
      <w:pPr>
        <w:spacing w:line="312" w:lineRule="auto"/>
        <w:rPr>
          <w:rFonts w:ascii="宋体" w:hAnsi="宋体"/>
          <w:b/>
          <w:bCs/>
          <w:color w:val="auto"/>
          <w:sz w:val="24"/>
          <w:szCs w:val="24"/>
        </w:rPr>
      </w:pPr>
      <w:r>
        <w:rPr>
          <w:rFonts w:hint="eastAsia" w:ascii="宋体" w:hAnsi="宋体"/>
          <w:b/>
          <w:bCs/>
          <w:color w:val="auto"/>
          <w:sz w:val="24"/>
          <w:szCs w:val="24"/>
        </w:rPr>
        <w:t>五、付款方式：</w:t>
      </w:r>
    </w:p>
    <w:p>
      <w:pPr>
        <w:spacing w:line="312" w:lineRule="auto"/>
        <w:ind w:firstLine="420" w:firstLineChars="200"/>
        <w:rPr>
          <w:rFonts w:ascii="宋体" w:hAnsi="宋体"/>
          <w:bCs/>
          <w:color w:val="auto"/>
          <w:szCs w:val="21"/>
        </w:rPr>
      </w:pPr>
      <w:r>
        <w:rPr>
          <w:rFonts w:hint="eastAsia" w:ascii="宋体" w:hAnsi="宋体"/>
          <w:bCs/>
          <w:color w:val="auto"/>
          <w:szCs w:val="21"/>
        </w:rPr>
        <w:t>合同签订后，支付合同金额的40%，同时支付5%的履约保证金（</w:t>
      </w:r>
      <w:r>
        <w:rPr>
          <w:rFonts w:hint="eastAsia" w:asciiTheme="minorEastAsia" w:hAnsiTheme="minorEastAsia" w:eastAsiaTheme="minorEastAsia"/>
          <w:color w:val="auto"/>
          <w:szCs w:val="21"/>
        </w:rPr>
        <w:t>可以通过担保机构出具的保函等法律法规允许的方式缴纳</w:t>
      </w:r>
      <w:r>
        <w:rPr>
          <w:rFonts w:hint="eastAsia" w:ascii="宋体" w:hAnsi="宋体"/>
          <w:bCs/>
          <w:color w:val="auto"/>
          <w:szCs w:val="21"/>
        </w:rPr>
        <w:t>），全部货物安装完毕，系统经试运行并通过验收合格后一个月内付清合同总额。5%履约保证金作为整体质量保证金，待质保期满后一次性退回。</w:t>
      </w:r>
    </w:p>
    <w:p>
      <w:pPr>
        <w:spacing w:line="312" w:lineRule="auto"/>
        <w:rPr>
          <w:rFonts w:ascii="宋体" w:hAnsi="宋体"/>
          <w:b/>
          <w:bCs/>
          <w:color w:val="auto"/>
          <w:sz w:val="24"/>
          <w:szCs w:val="24"/>
        </w:rPr>
      </w:pPr>
    </w:p>
    <w:p>
      <w:pPr>
        <w:spacing w:line="312" w:lineRule="auto"/>
        <w:rPr>
          <w:rFonts w:ascii="宋体" w:hAnsi="宋体"/>
          <w:b/>
          <w:bCs/>
          <w:sz w:val="24"/>
          <w:szCs w:val="24"/>
        </w:rPr>
      </w:pPr>
      <w:r>
        <w:rPr>
          <w:rFonts w:hint="eastAsia" w:ascii="宋体" w:hAnsi="宋体"/>
          <w:b/>
          <w:bCs/>
          <w:sz w:val="24"/>
          <w:szCs w:val="24"/>
        </w:rPr>
        <w:t>六、报价要求</w:t>
      </w:r>
    </w:p>
    <w:p>
      <w:pPr>
        <w:spacing w:line="312" w:lineRule="auto"/>
        <w:ind w:firstLine="420" w:firstLineChars="200"/>
        <w:rPr>
          <w:rFonts w:ascii="宋体" w:hAnsi="宋体"/>
          <w:szCs w:val="21"/>
        </w:rPr>
      </w:pPr>
      <w:r>
        <w:rPr>
          <w:rFonts w:hint="eastAsia" w:ascii="宋体" w:hAnsi="宋体"/>
          <w:szCs w:val="21"/>
        </w:rPr>
        <w:t>1、投标人应根据招标文件报出合同总价。合同总价一旦核实确认，不得再做更改。对投标人漏报设备致使系统未能达到需求的功能和效果，其费用和后果由投标人自行负责。</w:t>
      </w:r>
    </w:p>
    <w:p>
      <w:pPr>
        <w:spacing w:line="312" w:lineRule="auto"/>
        <w:ind w:firstLine="420" w:firstLineChars="200"/>
        <w:rPr>
          <w:rFonts w:ascii="宋体" w:hAnsi="宋体"/>
          <w:szCs w:val="21"/>
        </w:rPr>
      </w:pPr>
      <w:r>
        <w:rPr>
          <w:rFonts w:hint="eastAsia" w:ascii="宋体" w:hAnsi="宋体"/>
          <w:szCs w:val="21"/>
        </w:rPr>
        <w:t xml:space="preserve">2、投标人对每种设备的报价必须是唯一的。招标人不接受有任何选择的报价。 </w:t>
      </w:r>
    </w:p>
    <w:p>
      <w:pPr>
        <w:spacing w:line="312" w:lineRule="auto"/>
        <w:ind w:firstLine="420" w:firstLineChars="200"/>
        <w:rPr>
          <w:rFonts w:ascii="宋体" w:hAnsi="宋体"/>
          <w:szCs w:val="21"/>
        </w:rPr>
      </w:pPr>
      <w:r>
        <w:rPr>
          <w:rFonts w:hint="eastAsia" w:ascii="宋体" w:hAnsi="宋体"/>
          <w:szCs w:val="21"/>
        </w:rPr>
        <w:t xml:space="preserve">3、所有报价均应已包含国家规定的所有税费。 </w:t>
      </w:r>
    </w:p>
    <w:p>
      <w:pPr>
        <w:spacing w:line="312" w:lineRule="auto"/>
        <w:ind w:firstLine="420" w:firstLineChars="200"/>
        <w:rPr>
          <w:rFonts w:ascii="宋体" w:hAnsi="宋体"/>
          <w:szCs w:val="21"/>
        </w:rPr>
      </w:pPr>
      <w:r>
        <w:rPr>
          <w:rFonts w:hint="eastAsia" w:ascii="宋体" w:hAnsi="宋体"/>
          <w:szCs w:val="21"/>
        </w:rPr>
        <w:t>4、投标总报价应等于“详细产品报价清单”的设备总报价、保修期内售后服务费用之和。应包括材料价、损耗价、运至业主指定地点的运输费、装卸费、保险费、制作、安装、加固、调试、验收等配套工程及税金等一切费用。</w:t>
      </w:r>
    </w:p>
    <w:p>
      <w:pPr>
        <w:tabs>
          <w:tab w:val="left" w:pos="0"/>
        </w:tabs>
        <w:adjustRightInd w:val="0"/>
        <w:snapToGrid w:val="0"/>
        <w:spacing w:line="312" w:lineRule="auto"/>
        <w:ind w:firstLine="420" w:firstLineChars="200"/>
        <w:jc w:val="left"/>
        <w:rPr>
          <w:rFonts w:cs="宋体" w:asciiTheme="minorEastAsia" w:hAnsiTheme="minorEastAsia" w:eastAsiaTheme="minorEastAsia"/>
          <w:bCs/>
          <w:szCs w:val="21"/>
        </w:rPr>
      </w:pPr>
      <w:r>
        <w:rPr>
          <w:rFonts w:hint="eastAsia" w:ascii="宋体" w:hAnsi="宋体"/>
        </w:rPr>
        <w:t>5、</w:t>
      </w:r>
      <w:r>
        <w:rPr>
          <w:rFonts w:hint="eastAsia" w:cs="宋体" w:asciiTheme="minorEastAsia" w:hAnsiTheme="minorEastAsia" w:eastAsiaTheme="minorEastAsia"/>
          <w:bCs/>
          <w:szCs w:val="21"/>
        </w:rPr>
        <w:t>扶持政策说明：</w:t>
      </w:r>
    </w:p>
    <w:p>
      <w:pPr>
        <w:spacing w:line="312" w:lineRule="auto"/>
        <w:ind w:firstLine="420" w:firstLineChars="200"/>
        <w:rPr>
          <w:rFonts w:asciiTheme="minorEastAsia" w:hAnsiTheme="minorEastAsia"/>
        </w:rPr>
      </w:pPr>
      <w:r>
        <w:rPr>
          <w:rFonts w:hint="eastAsia" w:asciiTheme="minorEastAsia" w:hAnsiTheme="minorEastAsia"/>
        </w:rPr>
        <w:t>（1）根据财政部发布的关于印发《政府采购促进中小企业发展管理办法》的通知（财库﹝2020﹞46 号）规定，本项目对小型和微型企业的价格给予6%的扣除。属于小型和微型企业的，投标文件中投标人必须提供《中小企业声明函》。</w:t>
      </w:r>
    </w:p>
    <w:p>
      <w:pPr>
        <w:spacing w:line="312" w:lineRule="auto"/>
        <w:ind w:firstLine="420" w:firstLineChars="200"/>
        <w:rPr>
          <w:rFonts w:asciiTheme="minorEastAsia" w:hAnsiTheme="minorEastAsia"/>
        </w:rPr>
      </w:pPr>
      <w:r>
        <w:rPr>
          <w:rFonts w:hint="eastAsia" w:asciiTheme="minorEastAsia" w:hAnsiTheme="minorEastAsia"/>
        </w:rPr>
        <w:t>未提供完整证明材料的，投标报价不予扣减。</w:t>
      </w:r>
    </w:p>
    <w:p>
      <w:pPr>
        <w:spacing w:line="312" w:lineRule="auto"/>
        <w:ind w:firstLine="420" w:firstLineChars="200"/>
        <w:rPr>
          <w:rFonts w:asciiTheme="minorEastAsia" w:hAnsiTheme="minorEastAsia"/>
        </w:rPr>
      </w:pPr>
      <w:r>
        <w:rPr>
          <w:rFonts w:hint="eastAsia" w:asciiTheme="minorEastAsia" w:hAnsiTheme="minorEastAsia"/>
        </w:rPr>
        <w:t>（2）根据《关于政府采购支持监狱企业发展有关问题的通知》（财库[2014]68号）的规定，供应商如为监狱企业且所投产品为小型或微型企业生产的，其投标报价扣除6%后参与评审。</w:t>
      </w:r>
    </w:p>
    <w:p>
      <w:pPr>
        <w:spacing w:line="312" w:lineRule="auto"/>
        <w:ind w:firstLine="420" w:firstLineChars="200"/>
        <w:rPr>
          <w:rFonts w:asciiTheme="minorEastAsia" w:hAnsiTheme="minorEastAsia"/>
        </w:rPr>
      </w:pPr>
      <w:r>
        <w:rPr>
          <w:rFonts w:hint="eastAsia" w:asciiTheme="minorEastAsia" w:hAnsiTheme="minorEastAsia"/>
        </w:rPr>
        <w:t>投标文件中须同时提供：供应商的省级以上监狱管理局、戒毒管理局（含新疆生产建设兵团）出具的属于监狱企业的证明文件，投标产品制造商的小微企业证明，未提供完整证明材料的，投标报价不予扣减。</w:t>
      </w:r>
    </w:p>
    <w:p>
      <w:pPr>
        <w:spacing w:line="312" w:lineRule="auto"/>
        <w:ind w:firstLine="420" w:firstLineChars="200"/>
        <w:rPr>
          <w:rFonts w:asciiTheme="minorEastAsia" w:hAnsiTheme="minorEastAsia"/>
        </w:rPr>
      </w:pPr>
      <w:r>
        <w:rPr>
          <w:rFonts w:hint="eastAsia" w:asciiTheme="minorEastAsia" w:hAnsiTheme="minorEastAsia"/>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spacing w:line="312" w:lineRule="auto"/>
        <w:ind w:firstLine="420" w:firstLineChars="200"/>
        <w:rPr>
          <w:rFonts w:asciiTheme="minorEastAsia" w:hAnsiTheme="minorEastAsia"/>
        </w:rPr>
      </w:pPr>
      <w:r>
        <w:rPr>
          <w:rFonts w:hint="eastAsia" w:asciiTheme="minorEastAsia" w:hAnsiTheme="minorEastAsia"/>
        </w:rPr>
        <w:t>投标文件中须提供：《残疾人福利性单位声明函》，未提供完整证明材料的，投标报价不予扣减。</w:t>
      </w:r>
    </w:p>
    <w:p>
      <w:pPr>
        <w:spacing w:line="312" w:lineRule="auto"/>
        <w:ind w:firstLine="420" w:firstLineChars="200"/>
        <w:rPr>
          <w:rFonts w:asciiTheme="minorEastAsia" w:hAnsiTheme="minorEastAsia"/>
        </w:rPr>
      </w:pPr>
      <w:r>
        <w:rPr>
          <w:rFonts w:hint="eastAsia" w:asciiTheme="minorEastAsia" w:hAnsiTheme="minorEastAsia"/>
        </w:rPr>
        <w:t>上述（1），（2），（3）政策不重复计算。</w:t>
      </w:r>
    </w:p>
    <w:p>
      <w:pPr>
        <w:spacing w:line="312" w:lineRule="auto"/>
        <w:ind w:firstLine="420" w:firstLineChars="200"/>
        <w:rPr>
          <w:rFonts w:asciiTheme="minorEastAsia" w:hAnsiTheme="minorEastAsia"/>
        </w:rPr>
      </w:pPr>
      <w:r>
        <w:rPr>
          <w:rFonts w:hint="eastAsia" w:asciiTheme="minorEastAsia" w:hAnsiTheme="minorEastAsia"/>
        </w:rPr>
        <w:t>此项由评标委员会集体核实后统一打分。</w:t>
      </w:r>
    </w:p>
    <w:p>
      <w:pPr>
        <w:spacing w:line="312" w:lineRule="auto"/>
        <w:ind w:firstLine="420" w:firstLineChars="200"/>
        <w:rPr>
          <w:rFonts w:ascii="宋体"/>
          <w:b/>
          <w:szCs w:val="21"/>
        </w:rPr>
      </w:pPr>
      <w:r>
        <w:rPr>
          <w:rFonts w:hint="eastAsia" w:ascii="宋体" w:hAnsi="宋体"/>
          <w:szCs w:val="21"/>
        </w:rPr>
        <w:t>6、</w:t>
      </w:r>
      <w:r>
        <w:rPr>
          <w:rFonts w:hint="eastAsia" w:ascii="宋体" w:hAnsi="宋体"/>
          <w:b/>
          <w:szCs w:val="21"/>
        </w:rPr>
        <w:t>本次项目的预算金额为：人民币壹佰伍拾万元整（1，50</w:t>
      </w:r>
      <w:r>
        <w:rPr>
          <w:rFonts w:ascii="宋体"/>
          <w:b/>
          <w:szCs w:val="21"/>
        </w:rPr>
        <w:t>0</w:t>
      </w:r>
      <w:r>
        <w:rPr>
          <w:rFonts w:hint="eastAsia" w:ascii="宋体" w:hAnsi="宋体"/>
          <w:b/>
          <w:szCs w:val="21"/>
        </w:rPr>
        <w:t>，</w:t>
      </w:r>
      <w:r>
        <w:rPr>
          <w:rFonts w:ascii="宋体"/>
          <w:b/>
          <w:szCs w:val="21"/>
        </w:rPr>
        <w:t>000.00</w:t>
      </w:r>
      <w:r>
        <w:rPr>
          <w:rFonts w:hint="eastAsia" w:ascii="宋体" w:hAnsi="宋体"/>
          <w:b/>
          <w:szCs w:val="21"/>
        </w:rPr>
        <w:t>元）。</w:t>
      </w:r>
    </w:p>
    <w:p>
      <w:pPr>
        <w:pageBreakBefore/>
        <w:snapToGrid w:val="0"/>
        <w:jc w:val="center"/>
        <w:rPr>
          <w:sz w:val="28"/>
        </w:rPr>
      </w:pPr>
      <w:r>
        <w:rPr>
          <w:rFonts w:hint="eastAsia" w:ascii="宋体"/>
          <w:b/>
          <w:sz w:val="32"/>
        </w:rPr>
        <w:t>第三章</w:t>
      </w:r>
      <w:r>
        <w:rPr>
          <w:rFonts w:hint="eastAsia"/>
          <w:b/>
          <w:sz w:val="32"/>
        </w:rPr>
        <w:t>投标人须知</w:t>
      </w:r>
    </w:p>
    <w:p>
      <w:pPr>
        <w:snapToGrid w:val="0"/>
        <w:ind w:firstLine="4340" w:firstLineChars="1550"/>
        <w:rPr>
          <w:sz w:val="28"/>
        </w:rPr>
      </w:pPr>
      <w:r>
        <w:rPr>
          <w:rFonts w:hint="eastAsia"/>
          <w:sz w:val="28"/>
        </w:rPr>
        <w:t>前附表</w:t>
      </w:r>
    </w:p>
    <w:tbl>
      <w:tblPr>
        <w:tblStyle w:val="35"/>
        <w:tblW w:w="9652"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26"/>
        <w:gridCol w:w="4856"/>
        <w:gridCol w:w="1098"/>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hint="eastAsia" w:ascii="宋体" w:hAnsi="宋体"/>
                <w:b/>
              </w:rPr>
              <w:t>序号</w:t>
            </w:r>
          </w:p>
        </w:tc>
        <w:tc>
          <w:tcPr>
            <w:tcW w:w="9122" w:type="dxa"/>
            <w:gridSpan w:val="4"/>
            <w:tcMar>
              <w:top w:w="15" w:type="dxa"/>
              <w:left w:w="15" w:type="dxa"/>
              <w:bottom w:w="15" w:type="dxa"/>
              <w:right w:w="15" w:type="dxa"/>
            </w:tcMar>
            <w:vAlign w:val="center"/>
          </w:tcPr>
          <w:p>
            <w:pPr>
              <w:snapToGrid w:val="0"/>
              <w:spacing w:line="240" w:lineRule="exact"/>
              <w:jc w:val="center"/>
              <w:rPr>
                <w:rFonts w:ascii="宋体"/>
                <w:b/>
              </w:rPr>
            </w:pPr>
            <w:r>
              <w:rPr>
                <w:rFonts w:hint="eastAsia" w:ascii="宋体" w:hAnsi="宋体"/>
                <w:b/>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1</w:t>
            </w:r>
          </w:p>
        </w:tc>
        <w:tc>
          <w:tcPr>
            <w:tcW w:w="1512" w:type="dxa"/>
            <w:tcMar>
              <w:top w:w="15" w:type="dxa"/>
              <w:left w:w="15" w:type="dxa"/>
              <w:bottom w:w="15" w:type="dxa"/>
              <w:right w:w="15" w:type="dxa"/>
            </w:tcMar>
            <w:vAlign w:val="center"/>
          </w:tcPr>
          <w:p>
            <w:pPr>
              <w:spacing w:line="240" w:lineRule="exact"/>
              <w:jc w:val="center"/>
              <w:rPr>
                <w:rFonts w:ascii="宋体"/>
                <w:b/>
              </w:rPr>
            </w:pPr>
            <w:r>
              <w:rPr>
                <w:rFonts w:hint="eastAsia" w:ascii="宋体" w:hAnsi="宋体"/>
                <w:b/>
              </w:rPr>
              <w:t>项目名称</w:t>
            </w:r>
          </w:p>
        </w:tc>
        <w:tc>
          <w:tcPr>
            <w:tcW w:w="4842" w:type="dxa"/>
            <w:tcMar>
              <w:top w:w="15" w:type="dxa"/>
              <w:left w:w="15" w:type="dxa"/>
              <w:bottom w:w="15" w:type="dxa"/>
              <w:right w:w="15" w:type="dxa"/>
            </w:tcMar>
            <w:vAlign w:val="center"/>
          </w:tcPr>
          <w:p>
            <w:pPr>
              <w:spacing w:line="240" w:lineRule="exact"/>
              <w:rPr>
                <w:rFonts w:ascii="宋体"/>
                <w:bCs/>
                <w:lang w:val="zh-CN"/>
              </w:rPr>
            </w:pPr>
            <w:r>
              <w:rPr>
                <w:rFonts w:hint="eastAsia"/>
              </w:rPr>
              <w:t>岱山县第一人民医院设备采购项目</w:t>
            </w:r>
          </w:p>
        </w:tc>
        <w:tc>
          <w:tcPr>
            <w:tcW w:w="1084" w:type="dxa"/>
            <w:tcMar>
              <w:top w:w="15" w:type="dxa"/>
              <w:left w:w="15" w:type="dxa"/>
              <w:bottom w:w="15" w:type="dxa"/>
              <w:right w:w="15" w:type="dxa"/>
            </w:tcMar>
            <w:vAlign w:val="center"/>
          </w:tcPr>
          <w:p>
            <w:pPr>
              <w:spacing w:line="240" w:lineRule="exact"/>
              <w:jc w:val="center"/>
              <w:rPr>
                <w:rFonts w:ascii="宋体"/>
                <w:bCs/>
              </w:rPr>
            </w:pPr>
            <w:r>
              <w:rPr>
                <w:rFonts w:hint="eastAsia" w:ascii="宋体" w:hAnsi="宋体"/>
                <w:b/>
              </w:rPr>
              <w:t>招标编号</w:t>
            </w:r>
          </w:p>
        </w:tc>
        <w:tc>
          <w:tcPr>
            <w:tcW w:w="1642" w:type="dxa"/>
            <w:tcMar>
              <w:top w:w="15" w:type="dxa"/>
              <w:left w:w="15" w:type="dxa"/>
              <w:bottom w:w="15" w:type="dxa"/>
              <w:right w:w="15" w:type="dxa"/>
            </w:tcMar>
            <w:vAlign w:val="center"/>
          </w:tcPr>
          <w:p>
            <w:pPr>
              <w:spacing w:line="240" w:lineRule="exact"/>
              <w:rPr>
                <w:rFonts w:ascii="宋体"/>
                <w:bCs/>
              </w:rPr>
            </w:pPr>
            <w:r>
              <w:rPr>
                <w:rFonts w:ascii="宋体" w:hAnsi="宋体"/>
              </w:rPr>
              <w:t>SZGXZS2021165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2</w:t>
            </w:r>
          </w:p>
        </w:tc>
        <w:tc>
          <w:tcPr>
            <w:tcW w:w="1512" w:type="dxa"/>
            <w:tcMar>
              <w:top w:w="15" w:type="dxa"/>
              <w:left w:w="15" w:type="dxa"/>
              <w:bottom w:w="15" w:type="dxa"/>
              <w:right w:w="15" w:type="dxa"/>
            </w:tcMar>
            <w:vAlign w:val="center"/>
          </w:tcPr>
          <w:p>
            <w:pPr>
              <w:spacing w:line="240" w:lineRule="exact"/>
              <w:jc w:val="center"/>
              <w:rPr>
                <w:rFonts w:ascii="宋体"/>
                <w:b/>
              </w:rPr>
            </w:pPr>
            <w:r>
              <w:rPr>
                <w:rFonts w:hint="eastAsia" w:ascii="宋体" w:hAnsi="宋体"/>
                <w:b/>
              </w:rPr>
              <w:t>采购单位名称</w:t>
            </w:r>
          </w:p>
        </w:tc>
        <w:tc>
          <w:tcPr>
            <w:tcW w:w="7596" w:type="dxa"/>
            <w:gridSpan w:val="3"/>
            <w:tcMar>
              <w:top w:w="15" w:type="dxa"/>
              <w:left w:w="15" w:type="dxa"/>
              <w:bottom w:w="15" w:type="dxa"/>
              <w:right w:w="15" w:type="dxa"/>
            </w:tcMar>
            <w:vAlign w:val="center"/>
          </w:tcPr>
          <w:p>
            <w:pPr>
              <w:spacing w:line="240" w:lineRule="exact"/>
              <w:rPr>
                <w:bCs/>
              </w:rPr>
            </w:pPr>
            <w:r>
              <w:rPr>
                <w:rFonts w:hint="eastAsia"/>
              </w:rPr>
              <w:t>岱山县第一人民医院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3</w:t>
            </w:r>
          </w:p>
        </w:tc>
        <w:tc>
          <w:tcPr>
            <w:tcW w:w="1512" w:type="dxa"/>
            <w:tcMar>
              <w:top w:w="15" w:type="dxa"/>
              <w:left w:w="15" w:type="dxa"/>
              <w:bottom w:w="15" w:type="dxa"/>
              <w:right w:w="15" w:type="dxa"/>
            </w:tcMar>
            <w:vAlign w:val="center"/>
          </w:tcPr>
          <w:p>
            <w:pPr>
              <w:spacing w:line="240" w:lineRule="exact"/>
              <w:jc w:val="center"/>
              <w:rPr>
                <w:rFonts w:ascii="宋体"/>
                <w:b/>
              </w:rPr>
            </w:pPr>
            <w:r>
              <w:rPr>
                <w:rFonts w:hint="eastAsia" w:ascii="宋体" w:hAnsi="宋体"/>
                <w:b/>
              </w:rPr>
              <w:t>采购内容</w:t>
            </w:r>
          </w:p>
        </w:tc>
        <w:tc>
          <w:tcPr>
            <w:tcW w:w="7596" w:type="dxa"/>
            <w:gridSpan w:val="3"/>
            <w:tcMar>
              <w:top w:w="15" w:type="dxa"/>
              <w:left w:w="15" w:type="dxa"/>
              <w:bottom w:w="15" w:type="dxa"/>
              <w:right w:w="15" w:type="dxa"/>
            </w:tcMar>
            <w:vAlign w:val="center"/>
          </w:tcPr>
          <w:tbl>
            <w:tblPr>
              <w:tblStyle w:val="35"/>
              <w:tblW w:w="5816"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4"/>
              <w:gridCol w:w="2694"/>
              <w:gridCol w:w="708"/>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rPr>
              <w:tc>
                <w:tcPr>
                  <w:tcW w:w="854" w:type="dxa"/>
                  <w:vAlign w:val="center"/>
                </w:tcPr>
                <w:p>
                  <w:pPr>
                    <w:pStyle w:val="107"/>
                    <w:spacing w:line="240" w:lineRule="auto"/>
                    <w:ind w:firstLine="101" w:firstLineChars="50"/>
                    <w:jc w:val="center"/>
                    <w:rPr>
                      <w:sz w:val="21"/>
                      <w:szCs w:val="21"/>
                    </w:rPr>
                  </w:pPr>
                  <w:r>
                    <w:rPr>
                      <w:rFonts w:hint="eastAsia"/>
                      <w:sz w:val="21"/>
                      <w:szCs w:val="21"/>
                    </w:rPr>
                    <w:t>编号</w:t>
                  </w:r>
                </w:p>
              </w:tc>
              <w:tc>
                <w:tcPr>
                  <w:tcW w:w="2694" w:type="dxa"/>
                  <w:vAlign w:val="center"/>
                </w:tcPr>
                <w:p>
                  <w:pPr>
                    <w:pStyle w:val="107"/>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采购内容</w:t>
                  </w:r>
                </w:p>
              </w:tc>
              <w:tc>
                <w:tcPr>
                  <w:tcW w:w="708" w:type="dxa"/>
                  <w:vAlign w:val="center"/>
                </w:tcPr>
                <w:p>
                  <w:pPr>
                    <w:pStyle w:val="107"/>
                    <w:spacing w:line="240" w:lineRule="auto"/>
                    <w:ind w:firstLine="0"/>
                    <w:jc w:val="center"/>
                    <w:rPr>
                      <w:sz w:val="21"/>
                      <w:szCs w:val="21"/>
                    </w:rPr>
                  </w:pPr>
                  <w:r>
                    <w:rPr>
                      <w:rFonts w:hint="eastAsia"/>
                      <w:sz w:val="21"/>
                      <w:szCs w:val="21"/>
                    </w:rPr>
                    <w:t>单位</w:t>
                  </w:r>
                </w:p>
              </w:tc>
              <w:tc>
                <w:tcPr>
                  <w:tcW w:w="709" w:type="dxa"/>
                  <w:vAlign w:val="center"/>
                </w:tcPr>
                <w:p>
                  <w:pPr>
                    <w:pStyle w:val="107"/>
                    <w:spacing w:line="240" w:lineRule="auto"/>
                    <w:ind w:firstLine="0"/>
                    <w:jc w:val="center"/>
                    <w:rPr>
                      <w:sz w:val="21"/>
                      <w:szCs w:val="21"/>
                    </w:rPr>
                  </w:pPr>
                  <w:r>
                    <w:rPr>
                      <w:rFonts w:hint="eastAsia"/>
                      <w:sz w:val="21"/>
                      <w:szCs w:val="21"/>
                    </w:rPr>
                    <w:t>数量</w:t>
                  </w:r>
                </w:p>
              </w:tc>
              <w:tc>
                <w:tcPr>
                  <w:tcW w:w="851" w:type="dxa"/>
                  <w:vAlign w:val="center"/>
                </w:tcPr>
                <w:p>
                  <w:pPr>
                    <w:pStyle w:val="107"/>
                    <w:spacing w:line="240" w:lineRule="auto"/>
                    <w:ind w:firstLine="0"/>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trPr>
              <w:tc>
                <w:tcPr>
                  <w:tcW w:w="854" w:type="dxa"/>
                  <w:vAlign w:val="center"/>
                </w:tcPr>
                <w:p>
                  <w:pPr>
                    <w:pStyle w:val="107"/>
                    <w:spacing w:line="240" w:lineRule="auto"/>
                    <w:rPr>
                      <w:sz w:val="21"/>
                      <w:szCs w:val="21"/>
                    </w:rPr>
                  </w:pPr>
                  <w:r>
                    <w:rPr>
                      <w:rFonts w:hint="eastAsia"/>
                      <w:sz w:val="21"/>
                      <w:szCs w:val="21"/>
                    </w:rPr>
                    <w:t>1</w:t>
                  </w:r>
                </w:p>
              </w:tc>
              <w:tc>
                <w:tcPr>
                  <w:tcW w:w="2694" w:type="dxa"/>
                  <w:vAlign w:val="center"/>
                </w:tcPr>
                <w:p>
                  <w:pPr>
                    <w:pStyle w:val="107"/>
                    <w:spacing w:line="360" w:lineRule="auto"/>
                    <w:ind w:firstLine="202" w:firstLineChars="100"/>
                    <w:rPr>
                      <w:rFonts w:asciiTheme="minorEastAsia" w:hAnsiTheme="minorEastAsia" w:eastAsiaTheme="minorEastAsia"/>
                      <w:sz w:val="21"/>
                      <w:szCs w:val="21"/>
                      <w:lang w:eastAsia="zh-TW"/>
                    </w:rPr>
                  </w:pPr>
                  <w:r>
                    <w:rPr>
                      <w:rFonts w:hint="eastAsia" w:asciiTheme="minorEastAsia" w:hAnsiTheme="minorEastAsia" w:eastAsiaTheme="minorEastAsia"/>
                      <w:sz w:val="21"/>
                      <w:szCs w:val="21"/>
                    </w:rPr>
                    <w:t>电子支气管镜</w:t>
                  </w:r>
                </w:p>
              </w:tc>
              <w:tc>
                <w:tcPr>
                  <w:tcW w:w="708" w:type="dxa"/>
                  <w:vAlign w:val="center"/>
                </w:tcPr>
                <w:p>
                  <w:pPr>
                    <w:pStyle w:val="107"/>
                    <w:spacing w:line="240" w:lineRule="auto"/>
                    <w:rPr>
                      <w:sz w:val="21"/>
                      <w:szCs w:val="21"/>
                    </w:rPr>
                  </w:pPr>
                  <w:r>
                    <w:rPr>
                      <w:rFonts w:hint="eastAsia"/>
                      <w:sz w:val="21"/>
                      <w:szCs w:val="21"/>
                    </w:rPr>
                    <w:t>套</w:t>
                  </w:r>
                </w:p>
              </w:tc>
              <w:tc>
                <w:tcPr>
                  <w:tcW w:w="709" w:type="dxa"/>
                  <w:vAlign w:val="center"/>
                </w:tcPr>
                <w:p>
                  <w:pPr>
                    <w:pStyle w:val="107"/>
                    <w:spacing w:line="240" w:lineRule="auto"/>
                    <w:rPr>
                      <w:sz w:val="21"/>
                      <w:szCs w:val="21"/>
                    </w:rPr>
                  </w:pPr>
                  <w:r>
                    <w:rPr>
                      <w:rFonts w:hint="eastAsia"/>
                      <w:sz w:val="21"/>
                      <w:szCs w:val="21"/>
                    </w:rPr>
                    <w:t>1</w:t>
                  </w:r>
                </w:p>
              </w:tc>
              <w:tc>
                <w:tcPr>
                  <w:tcW w:w="851" w:type="dxa"/>
                  <w:vAlign w:val="center"/>
                </w:tcPr>
                <w:p>
                  <w:pPr>
                    <w:pStyle w:val="107"/>
                    <w:spacing w:line="240" w:lineRule="auto"/>
                    <w:ind w:firstLine="0"/>
                    <w:jc w:val="center"/>
                    <w:rPr>
                      <w:sz w:val="21"/>
                      <w:szCs w:val="21"/>
                    </w:rPr>
                  </w:pPr>
                  <w:r>
                    <w:rPr>
                      <w:rFonts w:hint="eastAsia"/>
                      <w:sz w:val="21"/>
                      <w:szCs w:val="21"/>
                    </w:rPr>
                    <w:t>进口</w:t>
                  </w:r>
                </w:p>
              </w:tc>
            </w:tr>
          </w:tbl>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4</w:t>
            </w:r>
          </w:p>
        </w:tc>
        <w:tc>
          <w:tcPr>
            <w:tcW w:w="1512" w:type="dxa"/>
            <w:tcMar>
              <w:top w:w="15" w:type="dxa"/>
              <w:left w:w="15" w:type="dxa"/>
              <w:bottom w:w="15" w:type="dxa"/>
              <w:right w:w="15" w:type="dxa"/>
            </w:tcMar>
            <w:vAlign w:val="center"/>
          </w:tcPr>
          <w:p>
            <w:pPr>
              <w:spacing w:line="240" w:lineRule="exact"/>
              <w:jc w:val="center"/>
              <w:rPr>
                <w:rFonts w:ascii="宋体"/>
                <w:b/>
              </w:rPr>
            </w:pPr>
            <w:r>
              <w:rPr>
                <w:rFonts w:hint="eastAsia" w:ascii="宋体" w:hAnsi="宋体"/>
                <w:b/>
              </w:rPr>
              <w:t>本项目预算</w:t>
            </w:r>
          </w:p>
        </w:tc>
        <w:tc>
          <w:tcPr>
            <w:tcW w:w="7596" w:type="dxa"/>
            <w:gridSpan w:val="3"/>
            <w:tcMar>
              <w:top w:w="15" w:type="dxa"/>
              <w:left w:w="15" w:type="dxa"/>
              <w:bottom w:w="15" w:type="dxa"/>
              <w:right w:w="15" w:type="dxa"/>
            </w:tcMar>
            <w:vAlign w:val="center"/>
          </w:tcPr>
          <w:p>
            <w:pPr>
              <w:spacing w:line="240" w:lineRule="exact"/>
              <w:jc w:val="left"/>
              <w:rPr>
                <w:rFonts w:ascii="宋体"/>
                <w:szCs w:val="21"/>
              </w:rPr>
            </w:pPr>
            <w:r>
              <w:rPr>
                <w:rFonts w:hint="eastAsia" w:ascii="宋体"/>
                <w:szCs w:val="21"/>
              </w:rPr>
              <w:t>人民币壹佰伍拾万元整（1，50</w:t>
            </w:r>
            <w:r>
              <w:rPr>
                <w:rFonts w:ascii="宋体"/>
                <w:szCs w:val="21"/>
              </w:rPr>
              <w:t>0</w:t>
            </w:r>
            <w:r>
              <w:rPr>
                <w:rFonts w:hint="eastAsia" w:ascii="宋体"/>
                <w:szCs w:val="21"/>
              </w:rPr>
              <w:t>，</w:t>
            </w:r>
            <w:r>
              <w:rPr>
                <w:rFonts w:ascii="宋体"/>
                <w:szCs w:val="21"/>
              </w:rPr>
              <w:t>000.00</w:t>
            </w:r>
            <w:r>
              <w:rPr>
                <w:rFonts w:hint="eastAsia" w:asci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5</w:t>
            </w:r>
          </w:p>
        </w:tc>
        <w:tc>
          <w:tcPr>
            <w:tcW w:w="1512" w:type="dxa"/>
            <w:tcMar>
              <w:top w:w="15" w:type="dxa"/>
              <w:left w:w="15" w:type="dxa"/>
              <w:bottom w:w="15" w:type="dxa"/>
              <w:right w:w="15" w:type="dxa"/>
            </w:tcMar>
            <w:vAlign w:val="center"/>
          </w:tcPr>
          <w:p>
            <w:pPr>
              <w:jc w:val="center"/>
              <w:rPr>
                <w:rFonts w:ascii="宋体"/>
                <w:b/>
                <w:szCs w:val="21"/>
              </w:rPr>
            </w:pPr>
            <w:r>
              <w:rPr>
                <w:rFonts w:hint="eastAsia" w:ascii="宋体" w:hAnsi="宋体"/>
                <w:b/>
                <w:szCs w:val="21"/>
              </w:rPr>
              <w:t>交货要求</w:t>
            </w:r>
          </w:p>
        </w:tc>
        <w:tc>
          <w:tcPr>
            <w:tcW w:w="7596" w:type="dxa"/>
            <w:gridSpan w:val="3"/>
            <w:tcMar>
              <w:top w:w="15" w:type="dxa"/>
              <w:left w:w="15" w:type="dxa"/>
              <w:bottom w:w="15" w:type="dxa"/>
              <w:right w:w="15" w:type="dxa"/>
            </w:tcMar>
            <w:vAlign w:val="center"/>
          </w:tcPr>
          <w:p>
            <w:pPr>
              <w:rPr>
                <w:szCs w:val="21"/>
              </w:rPr>
            </w:pPr>
            <w:r>
              <w:rPr>
                <w:rFonts w:hint="eastAsia" w:ascii="宋体" w:hAnsi="宋体"/>
                <w:szCs w:val="21"/>
              </w:rPr>
              <w:t>合同签定后90天内，接用户通知后7天内全部安装调试完成。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6</w:t>
            </w:r>
          </w:p>
        </w:tc>
        <w:tc>
          <w:tcPr>
            <w:tcW w:w="1512" w:type="dxa"/>
            <w:tcMar>
              <w:top w:w="15" w:type="dxa"/>
              <w:left w:w="15" w:type="dxa"/>
              <w:bottom w:w="15" w:type="dxa"/>
              <w:right w:w="15" w:type="dxa"/>
            </w:tcMar>
            <w:vAlign w:val="center"/>
          </w:tcPr>
          <w:p>
            <w:pPr>
              <w:spacing w:line="240" w:lineRule="exact"/>
              <w:jc w:val="center"/>
              <w:rPr>
                <w:rFonts w:ascii="宋体"/>
                <w:b/>
                <w:color w:val="auto"/>
                <w:szCs w:val="21"/>
              </w:rPr>
            </w:pPr>
            <w:r>
              <w:rPr>
                <w:rFonts w:hint="eastAsia" w:ascii="宋体" w:hAnsi="宋体"/>
                <w:b/>
                <w:color w:val="auto"/>
                <w:szCs w:val="21"/>
              </w:rPr>
              <w:t>投标有效期</w:t>
            </w:r>
          </w:p>
        </w:tc>
        <w:tc>
          <w:tcPr>
            <w:tcW w:w="7596" w:type="dxa"/>
            <w:gridSpan w:val="3"/>
            <w:tcMar>
              <w:top w:w="15" w:type="dxa"/>
              <w:left w:w="15" w:type="dxa"/>
              <w:bottom w:w="15" w:type="dxa"/>
              <w:right w:w="15" w:type="dxa"/>
            </w:tcMar>
            <w:vAlign w:val="center"/>
          </w:tcPr>
          <w:p>
            <w:pPr>
              <w:spacing w:line="240" w:lineRule="exact"/>
              <w:rPr>
                <w:rFonts w:ascii="宋体"/>
                <w:color w:val="auto"/>
                <w:szCs w:val="21"/>
              </w:rPr>
            </w:pPr>
            <w:r>
              <w:rPr>
                <w:rFonts w:ascii="宋体" w:hAnsi="宋体"/>
                <w:color w:val="auto"/>
                <w:szCs w:val="21"/>
                <w:u w:val="single"/>
              </w:rPr>
              <w:t xml:space="preserve"> 90 </w:t>
            </w:r>
            <w:r>
              <w:rPr>
                <w:rFonts w:hint="eastAsia" w:ascii="宋体" w:hAnsi="宋体"/>
                <w:color w:val="auto"/>
                <w:szCs w:val="21"/>
                <w:u w:val="single"/>
              </w:rPr>
              <w:t>日</w:t>
            </w:r>
            <w:r>
              <w:rPr>
                <w:rFonts w:hint="eastAsia" w:ascii="宋体" w:hAnsi="宋体"/>
                <w:color w:val="auto"/>
                <w:szCs w:val="21"/>
              </w:rPr>
              <w:t>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7</w:t>
            </w:r>
          </w:p>
        </w:tc>
        <w:tc>
          <w:tcPr>
            <w:tcW w:w="1512" w:type="dxa"/>
            <w:tcMar>
              <w:top w:w="15" w:type="dxa"/>
              <w:left w:w="15" w:type="dxa"/>
              <w:bottom w:w="15" w:type="dxa"/>
              <w:right w:w="15" w:type="dxa"/>
            </w:tcMar>
            <w:vAlign w:val="center"/>
          </w:tcPr>
          <w:p>
            <w:pPr>
              <w:spacing w:line="240" w:lineRule="exact"/>
              <w:jc w:val="center"/>
              <w:rPr>
                <w:rFonts w:ascii="宋体"/>
                <w:b/>
                <w:color w:val="auto"/>
                <w:szCs w:val="21"/>
              </w:rPr>
            </w:pPr>
            <w:r>
              <w:rPr>
                <w:rFonts w:hint="eastAsia" w:ascii="宋体" w:hAnsi="宋体"/>
                <w:b/>
                <w:color w:val="auto"/>
                <w:szCs w:val="21"/>
              </w:rPr>
              <w:t>评标办法</w:t>
            </w:r>
          </w:p>
        </w:tc>
        <w:tc>
          <w:tcPr>
            <w:tcW w:w="7596" w:type="dxa"/>
            <w:gridSpan w:val="3"/>
            <w:tcMar>
              <w:top w:w="15" w:type="dxa"/>
              <w:left w:w="15" w:type="dxa"/>
              <w:bottom w:w="15" w:type="dxa"/>
              <w:right w:w="15" w:type="dxa"/>
            </w:tcMar>
            <w:vAlign w:val="center"/>
          </w:tcPr>
          <w:p>
            <w:pPr>
              <w:spacing w:line="240" w:lineRule="exact"/>
              <w:ind w:firstLine="105" w:firstLineChars="50"/>
              <w:rPr>
                <w:rFonts w:ascii="宋体"/>
                <w:color w:val="auto"/>
                <w:szCs w:val="21"/>
              </w:rPr>
            </w:pPr>
            <w:r>
              <w:rPr>
                <w:rFonts w:hint="eastAsia" w:ascii="宋体" w:hAnsi="宋体"/>
                <w:color w:val="auto"/>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8</w:t>
            </w:r>
          </w:p>
        </w:tc>
        <w:tc>
          <w:tcPr>
            <w:tcW w:w="1512" w:type="dxa"/>
            <w:tcMar>
              <w:top w:w="15" w:type="dxa"/>
              <w:left w:w="15" w:type="dxa"/>
              <w:bottom w:w="15" w:type="dxa"/>
              <w:right w:w="15" w:type="dxa"/>
            </w:tcMar>
            <w:vAlign w:val="center"/>
          </w:tcPr>
          <w:p>
            <w:pPr>
              <w:spacing w:line="240" w:lineRule="exact"/>
              <w:jc w:val="center"/>
              <w:rPr>
                <w:rFonts w:ascii="宋体"/>
                <w:b/>
                <w:color w:val="auto"/>
                <w:szCs w:val="21"/>
              </w:rPr>
            </w:pPr>
            <w:r>
              <w:rPr>
                <w:rFonts w:hint="eastAsia" w:ascii="宋体" w:hAnsi="宋体"/>
                <w:b/>
                <w:color w:val="auto"/>
                <w:szCs w:val="21"/>
              </w:rPr>
              <w:t>签订合同</w:t>
            </w:r>
          </w:p>
        </w:tc>
        <w:tc>
          <w:tcPr>
            <w:tcW w:w="7596" w:type="dxa"/>
            <w:gridSpan w:val="3"/>
            <w:tcMar>
              <w:top w:w="15" w:type="dxa"/>
              <w:left w:w="15" w:type="dxa"/>
              <w:bottom w:w="15" w:type="dxa"/>
              <w:right w:w="15" w:type="dxa"/>
            </w:tcMar>
            <w:vAlign w:val="center"/>
          </w:tcPr>
          <w:p>
            <w:pPr>
              <w:spacing w:line="240" w:lineRule="exact"/>
              <w:rPr>
                <w:rFonts w:ascii="宋体"/>
                <w:color w:val="auto"/>
                <w:szCs w:val="21"/>
              </w:rPr>
            </w:pPr>
            <w:r>
              <w:rPr>
                <w:rFonts w:hint="eastAsia" w:ascii="宋体" w:hAnsi="宋体"/>
                <w:color w:val="auto"/>
                <w:szCs w:val="21"/>
              </w:rPr>
              <w:t>中标通知书发出后</w:t>
            </w:r>
            <w:r>
              <w:rPr>
                <w:rFonts w:ascii="宋体" w:hAnsi="宋体"/>
                <w:color w:val="auto"/>
                <w:szCs w:val="21"/>
                <w:u w:val="single"/>
              </w:rPr>
              <w:t xml:space="preserve">30 </w:t>
            </w:r>
            <w:r>
              <w:rPr>
                <w:rFonts w:hint="eastAsia" w:ascii="宋体" w:hAnsi="宋体"/>
                <w:color w:val="auto"/>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9</w:t>
            </w:r>
          </w:p>
        </w:tc>
        <w:tc>
          <w:tcPr>
            <w:tcW w:w="1512" w:type="dxa"/>
            <w:tcMar>
              <w:top w:w="15" w:type="dxa"/>
              <w:left w:w="15" w:type="dxa"/>
              <w:bottom w:w="15" w:type="dxa"/>
              <w:right w:w="15" w:type="dxa"/>
            </w:tcMar>
            <w:vAlign w:val="center"/>
          </w:tcPr>
          <w:p>
            <w:pPr>
              <w:spacing w:line="240" w:lineRule="exact"/>
              <w:jc w:val="center"/>
              <w:rPr>
                <w:rFonts w:ascii="宋体"/>
                <w:b/>
                <w:color w:val="auto"/>
                <w:szCs w:val="21"/>
              </w:rPr>
            </w:pPr>
            <w:r>
              <w:rPr>
                <w:rFonts w:hint="eastAsia" w:ascii="宋体" w:hAnsi="宋体"/>
                <w:b/>
                <w:color w:val="auto"/>
                <w:szCs w:val="21"/>
              </w:rPr>
              <w:t>资金结算</w:t>
            </w:r>
          </w:p>
        </w:tc>
        <w:tc>
          <w:tcPr>
            <w:tcW w:w="7596" w:type="dxa"/>
            <w:gridSpan w:val="3"/>
            <w:tcMar>
              <w:top w:w="15" w:type="dxa"/>
              <w:left w:w="15" w:type="dxa"/>
              <w:bottom w:w="15" w:type="dxa"/>
              <w:right w:w="15" w:type="dxa"/>
            </w:tcMar>
            <w:vAlign w:val="center"/>
          </w:tcPr>
          <w:p>
            <w:pPr>
              <w:pStyle w:val="150"/>
              <w:spacing w:line="240" w:lineRule="auto"/>
              <w:ind w:firstLine="0" w:firstLineChars="0"/>
              <w:rPr>
                <w:rFonts w:ascii="宋体" w:cs="宋体"/>
                <w:color w:val="auto"/>
                <w:kern w:val="2"/>
                <w:sz w:val="21"/>
                <w:szCs w:val="21"/>
              </w:rPr>
            </w:pPr>
            <w:r>
              <w:rPr>
                <w:rFonts w:hint="eastAsia" w:ascii="宋体" w:hAnsi="宋体"/>
                <w:color w:val="auto"/>
                <w:kern w:val="2"/>
                <w:sz w:val="21"/>
                <w:szCs w:val="21"/>
              </w:rPr>
              <w:t>合同签订后，支付合同金额的40%，同时支付5%的履约保证金（可以通过担保机构出具的保函等法律法规允许的方式缴纳），全部货物安装完毕，系统经试运行并通过验收合格后一个月内付清合同总额。5%履约保证金作为整体质量保证金，待质保期满后一次性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10</w:t>
            </w:r>
          </w:p>
        </w:tc>
        <w:tc>
          <w:tcPr>
            <w:tcW w:w="1512" w:type="dxa"/>
            <w:tcMar>
              <w:top w:w="15" w:type="dxa"/>
              <w:left w:w="15" w:type="dxa"/>
              <w:bottom w:w="15" w:type="dxa"/>
              <w:right w:w="15" w:type="dxa"/>
            </w:tcMar>
            <w:vAlign w:val="center"/>
          </w:tcPr>
          <w:p>
            <w:pPr>
              <w:spacing w:line="240" w:lineRule="exact"/>
              <w:jc w:val="center"/>
              <w:rPr>
                <w:rFonts w:ascii="宋体"/>
                <w:b/>
                <w:color w:val="auto"/>
                <w:szCs w:val="21"/>
              </w:rPr>
            </w:pPr>
            <w:r>
              <w:rPr>
                <w:rFonts w:hint="eastAsia" w:ascii="宋体" w:hAnsi="宋体"/>
                <w:b/>
                <w:color w:val="auto"/>
                <w:szCs w:val="21"/>
              </w:rPr>
              <w:t>投标报价</w:t>
            </w:r>
          </w:p>
          <w:p>
            <w:pPr>
              <w:spacing w:line="240" w:lineRule="exact"/>
              <w:jc w:val="center"/>
              <w:rPr>
                <w:rFonts w:ascii="宋体"/>
                <w:b/>
                <w:color w:val="auto"/>
                <w:szCs w:val="21"/>
              </w:rPr>
            </w:pPr>
            <w:r>
              <w:rPr>
                <w:rFonts w:hint="eastAsia" w:ascii="宋体" w:hAnsi="宋体"/>
                <w:b/>
                <w:color w:val="auto"/>
                <w:szCs w:val="21"/>
              </w:rPr>
              <w:t>与费用</w:t>
            </w:r>
          </w:p>
        </w:tc>
        <w:tc>
          <w:tcPr>
            <w:tcW w:w="7596" w:type="dxa"/>
            <w:gridSpan w:val="3"/>
            <w:tcMar>
              <w:top w:w="15" w:type="dxa"/>
              <w:left w:w="15" w:type="dxa"/>
              <w:bottom w:w="15" w:type="dxa"/>
              <w:right w:w="15" w:type="dxa"/>
            </w:tcMar>
            <w:vAlign w:val="center"/>
          </w:tcPr>
          <w:p>
            <w:pPr>
              <w:spacing w:line="240" w:lineRule="exact"/>
              <w:rPr>
                <w:rFonts w:ascii="宋体"/>
                <w:color w:val="auto"/>
                <w:szCs w:val="21"/>
              </w:rPr>
            </w:pPr>
            <w:r>
              <w:rPr>
                <w:rFonts w:ascii="宋体" w:hAnsi="宋体"/>
                <w:color w:val="auto"/>
                <w:szCs w:val="21"/>
              </w:rPr>
              <w:t>1</w:t>
            </w:r>
            <w:r>
              <w:rPr>
                <w:rFonts w:hint="eastAsia" w:ascii="宋体" w:hAnsi="宋体"/>
                <w:color w:val="auto"/>
                <w:szCs w:val="21"/>
              </w:rPr>
              <w:t>、本项目的投标应以人民币报价，投标报价应包括所有费用。</w:t>
            </w:r>
          </w:p>
          <w:p>
            <w:pPr>
              <w:spacing w:line="240" w:lineRule="exact"/>
              <w:rPr>
                <w:rFonts w:ascii="宋体"/>
                <w:bCs/>
                <w:color w:val="auto"/>
                <w:szCs w:val="21"/>
              </w:rPr>
            </w:pPr>
            <w:r>
              <w:rPr>
                <w:rFonts w:ascii="宋体" w:hAnsi="宋体"/>
                <w:color w:val="auto"/>
                <w:szCs w:val="21"/>
              </w:rPr>
              <w:t>2</w:t>
            </w:r>
            <w:r>
              <w:rPr>
                <w:rFonts w:hint="eastAsia" w:ascii="宋体" w:hAnsi="宋体"/>
                <w:color w:val="auto"/>
                <w:szCs w:val="21"/>
              </w:rPr>
              <w:t>、投</w:t>
            </w:r>
            <w:r>
              <w:rPr>
                <w:rFonts w:hint="eastAsia" w:ascii="宋体" w:hAnsi="宋体"/>
                <w:bCs/>
                <w:color w:val="auto"/>
                <w:szCs w:val="21"/>
              </w:rPr>
              <w:t>标人应承担其参加本招标活动自身所发生的费用。</w:t>
            </w:r>
          </w:p>
          <w:p>
            <w:pPr>
              <w:spacing w:line="240" w:lineRule="exact"/>
              <w:rPr>
                <w:rFonts w:ascii="宋体"/>
                <w:bCs/>
                <w:color w:val="auto"/>
                <w:szCs w:val="21"/>
              </w:rPr>
            </w:pPr>
            <w:r>
              <w:rPr>
                <w:rFonts w:ascii="宋体" w:hAnsi="宋体"/>
                <w:bCs/>
                <w:color w:val="auto"/>
                <w:szCs w:val="21"/>
              </w:rPr>
              <w:t>3</w:t>
            </w:r>
            <w:r>
              <w:rPr>
                <w:rFonts w:hint="eastAsia" w:ascii="宋体" w:hAnsi="宋体"/>
                <w:bCs/>
                <w:color w:val="auto"/>
                <w:szCs w:val="21"/>
              </w:rPr>
              <w:t>、中标供应商须缴纳招标代理费，收费标准为：人民币贰万零伍佰元整（205</w:t>
            </w:r>
            <w:r>
              <w:rPr>
                <w:rFonts w:ascii="宋体" w:hAnsi="宋体"/>
                <w:bCs/>
                <w:color w:val="auto"/>
                <w:szCs w:val="21"/>
              </w:rPr>
              <w:t>00.00</w:t>
            </w:r>
            <w:r>
              <w:rPr>
                <w:rFonts w:hint="eastAsia" w:ascii="宋体" w:hAnsi="宋体"/>
                <w:bCs/>
                <w:color w:val="auto"/>
                <w:szCs w:val="21"/>
              </w:rPr>
              <w:t>元）。</w:t>
            </w:r>
          </w:p>
          <w:p>
            <w:pPr>
              <w:spacing w:line="240" w:lineRule="exact"/>
              <w:rPr>
                <w:rFonts w:ascii="宋体"/>
                <w:color w:val="auto"/>
                <w:szCs w:val="21"/>
              </w:rPr>
            </w:pPr>
            <w:r>
              <w:rPr>
                <w:rFonts w:ascii="宋体" w:hAnsi="宋体"/>
                <w:color w:val="auto"/>
              </w:rPr>
              <w:t>4</w:t>
            </w:r>
            <w:r>
              <w:rPr>
                <w:rFonts w:hint="eastAsia" w:ascii="宋体" w:hAnsi="宋体"/>
                <w:color w:val="auto"/>
              </w:rPr>
              <w:t>、中标通知书发出的同时，中标供应商应及时支付招标代理费，收到服务费后提供全额发票。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11</w:t>
            </w:r>
          </w:p>
        </w:tc>
        <w:tc>
          <w:tcPr>
            <w:tcW w:w="1512" w:type="dxa"/>
            <w:tcMar>
              <w:top w:w="15" w:type="dxa"/>
              <w:left w:w="15" w:type="dxa"/>
              <w:bottom w:w="15" w:type="dxa"/>
              <w:right w:w="15" w:type="dxa"/>
            </w:tcMar>
            <w:vAlign w:val="center"/>
          </w:tcPr>
          <w:p>
            <w:pPr>
              <w:spacing w:line="240" w:lineRule="exact"/>
              <w:jc w:val="center"/>
              <w:rPr>
                <w:rFonts w:ascii="宋体"/>
                <w:b/>
                <w:szCs w:val="21"/>
              </w:rPr>
            </w:pPr>
            <w:r>
              <w:rPr>
                <w:rFonts w:hint="eastAsia" w:ascii="宋体" w:hAnsi="宋体"/>
                <w:b/>
                <w:szCs w:val="21"/>
              </w:rPr>
              <w:t>银行账号</w:t>
            </w:r>
          </w:p>
        </w:tc>
        <w:tc>
          <w:tcPr>
            <w:tcW w:w="7596" w:type="dxa"/>
            <w:gridSpan w:val="3"/>
            <w:tcMar>
              <w:top w:w="15" w:type="dxa"/>
              <w:left w:w="15" w:type="dxa"/>
              <w:bottom w:w="15" w:type="dxa"/>
              <w:right w:w="15" w:type="dxa"/>
            </w:tcMar>
            <w:vAlign w:val="center"/>
          </w:tcPr>
          <w:p>
            <w:pPr>
              <w:spacing w:line="240" w:lineRule="exact"/>
              <w:rPr>
                <w:rFonts w:ascii="宋体"/>
                <w:szCs w:val="21"/>
              </w:rPr>
            </w:pPr>
            <w:r>
              <w:rPr>
                <w:rFonts w:hint="eastAsia" w:ascii="宋体" w:hAnsi="宋体"/>
                <w:szCs w:val="21"/>
              </w:rPr>
              <w:t>收款单位：深圳市国信招标有限公司舟山分公司</w:t>
            </w:r>
          </w:p>
          <w:p>
            <w:pPr>
              <w:spacing w:line="240" w:lineRule="exact"/>
              <w:rPr>
                <w:rFonts w:ascii="宋体"/>
                <w:szCs w:val="21"/>
              </w:rPr>
            </w:pPr>
            <w:r>
              <w:rPr>
                <w:rFonts w:hint="eastAsia" w:ascii="宋体" w:hAnsi="宋体"/>
                <w:szCs w:val="21"/>
              </w:rPr>
              <w:t>开户银行：中国工商银行舟山市定海区支行，</w:t>
            </w:r>
          </w:p>
          <w:p>
            <w:pPr>
              <w:spacing w:line="240" w:lineRule="exact"/>
              <w:rPr>
                <w:rFonts w:ascii="宋体"/>
                <w:szCs w:val="21"/>
              </w:rPr>
            </w:pPr>
            <w:r>
              <w:rPr>
                <w:rFonts w:hint="eastAsia" w:ascii="宋体" w:hAnsi="宋体"/>
                <w:szCs w:val="21"/>
              </w:rPr>
              <w:t>银行账号：</w:t>
            </w:r>
            <w:r>
              <w:rPr>
                <w:rFonts w:ascii="宋体" w:hAnsi="宋体"/>
                <w:szCs w:val="21"/>
              </w:rPr>
              <w:t>1206020209200081758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12</w:t>
            </w:r>
          </w:p>
        </w:tc>
        <w:tc>
          <w:tcPr>
            <w:tcW w:w="1512" w:type="dxa"/>
            <w:tcMar>
              <w:top w:w="15" w:type="dxa"/>
              <w:left w:w="15" w:type="dxa"/>
              <w:bottom w:w="15" w:type="dxa"/>
              <w:right w:w="15" w:type="dxa"/>
            </w:tcMar>
            <w:vAlign w:val="center"/>
          </w:tcPr>
          <w:p>
            <w:pPr>
              <w:spacing w:line="240" w:lineRule="exact"/>
              <w:jc w:val="center"/>
              <w:rPr>
                <w:rFonts w:ascii="宋体"/>
                <w:b/>
                <w:szCs w:val="21"/>
              </w:rPr>
            </w:pPr>
            <w:r>
              <w:rPr>
                <w:rFonts w:hint="eastAsia" w:ascii="宋体" w:hAnsi="宋体"/>
                <w:b/>
                <w:szCs w:val="21"/>
              </w:rPr>
              <w:t>质量标准</w:t>
            </w:r>
          </w:p>
        </w:tc>
        <w:tc>
          <w:tcPr>
            <w:tcW w:w="7596" w:type="dxa"/>
            <w:gridSpan w:val="3"/>
            <w:tcMar>
              <w:top w:w="15" w:type="dxa"/>
              <w:left w:w="15" w:type="dxa"/>
              <w:bottom w:w="15" w:type="dxa"/>
              <w:right w:w="15" w:type="dxa"/>
            </w:tcMar>
            <w:vAlign w:val="center"/>
          </w:tcPr>
          <w:p>
            <w:pPr>
              <w:spacing w:line="240" w:lineRule="exact"/>
              <w:rPr>
                <w:rFonts w:ascii="宋体"/>
                <w:szCs w:val="21"/>
              </w:rPr>
            </w:pPr>
            <w:r>
              <w:rPr>
                <w:rFonts w:hint="eastAsia" w:hAnsi="宋体"/>
                <w:szCs w:val="21"/>
              </w:rPr>
              <w:t>合同约定，经验收合格。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13</w:t>
            </w:r>
          </w:p>
        </w:tc>
        <w:tc>
          <w:tcPr>
            <w:tcW w:w="1512" w:type="dxa"/>
            <w:tcMar>
              <w:top w:w="15" w:type="dxa"/>
              <w:left w:w="15" w:type="dxa"/>
              <w:bottom w:w="15" w:type="dxa"/>
              <w:right w:w="15" w:type="dxa"/>
            </w:tcMar>
            <w:vAlign w:val="center"/>
          </w:tcPr>
          <w:p>
            <w:pPr>
              <w:snapToGrid w:val="0"/>
              <w:spacing w:line="240" w:lineRule="exact"/>
              <w:jc w:val="center"/>
              <w:rPr>
                <w:rFonts w:ascii="宋体"/>
                <w:b/>
              </w:rPr>
            </w:pPr>
            <w:r>
              <w:rPr>
                <w:rFonts w:hint="eastAsia" w:ascii="宋体" w:hAnsi="宋体"/>
                <w:b/>
              </w:rPr>
              <w:t>投标文件的</w:t>
            </w:r>
          </w:p>
          <w:p>
            <w:pPr>
              <w:snapToGrid w:val="0"/>
              <w:spacing w:line="240" w:lineRule="exact"/>
              <w:jc w:val="center"/>
              <w:rPr>
                <w:rFonts w:ascii="宋体"/>
                <w:b/>
              </w:rPr>
            </w:pPr>
            <w:r>
              <w:rPr>
                <w:rFonts w:hint="eastAsia" w:ascii="宋体" w:hAnsi="宋体"/>
                <w:b/>
              </w:rPr>
              <w:t>组成</w:t>
            </w:r>
          </w:p>
        </w:tc>
        <w:tc>
          <w:tcPr>
            <w:tcW w:w="7596" w:type="dxa"/>
            <w:gridSpan w:val="3"/>
            <w:tcMar>
              <w:top w:w="15" w:type="dxa"/>
              <w:left w:w="15" w:type="dxa"/>
              <w:bottom w:w="15" w:type="dxa"/>
              <w:right w:w="15" w:type="dxa"/>
            </w:tcMar>
            <w:vAlign w:val="center"/>
          </w:tcPr>
          <w:p>
            <w:pPr>
              <w:snapToGrid w:val="0"/>
              <w:spacing w:line="240" w:lineRule="exact"/>
              <w:rPr>
                <w:rFonts w:ascii="宋体"/>
                <w:szCs w:val="21"/>
              </w:rPr>
            </w:pPr>
            <w:r>
              <w:rPr>
                <w:rFonts w:hint="eastAsia" w:ascii="宋体" w:hAnsi="宋体"/>
                <w:szCs w:val="21"/>
              </w:rPr>
              <w:t>投标文件由资格响应文件、商务及技术响应文件、报价文件组成。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14</w:t>
            </w:r>
          </w:p>
        </w:tc>
        <w:tc>
          <w:tcPr>
            <w:tcW w:w="1512" w:type="dxa"/>
            <w:shd w:val="clear" w:color="auto" w:fill="FFFFFF"/>
            <w:tcMar>
              <w:top w:w="15" w:type="dxa"/>
              <w:left w:w="15" w:type="dxa"/>
              <w:bottom w:w="15" w:type="dxa"/>
              <w:right w:w="15" w:type="dxa"/>
            </w:tcMar>
            <w:vAlign w:val="center"/>
          </w:tcPr>
          <w:p>
            <w:pPr>
              <w:snapToGrid w:val="0"/>
              <w:spacing w:line="240" w:lineRule="exact"/>
              <w:jc w:val="center"/>
              <w:rPr>
                <w:rFonts w:ascii="宋体"/>
                <w:b/>
              </w:rPr>
            </w:pPr>
            <w:r>
              <w:rPr>
                <w:rFonts w:hint="eastAsia" w:ascii="宋体" w:hAnsi="宋体"/>
                <w:b/>
              </w:rPr>
              <w:t>投标文件的</w:t>
            </w:r>
          </w:p>
          <w:p>
            <w:pPr>
              <w:spacing w:line="360" w:lineRule="auto"/>
              <w:ind w:firstLine="517" w:firstLineChars="245"/>
              <w:rPr>
                <w:b/>
                <w:szCs w:val="21"/>
                <w:shd w:val="pct10" w:color="auto" w:fill="FFFFFF"/>
              </w:rPr>
            </w:pPr>
            <w:r>
              <w:rPr>
                <w:rFonts w:hint="eastAsia" w:ascii="宋体" w:hAnsi="宋体"/>
                <w:b/>
              </w:rPr>
              <w:t>制作</w:t>
            </w:r>
          </w:p>
        </w:tc>
        <w:tc>
          <w:tcPr>
            <w:tcW w:w="7596" w:type="dxa"/>
            <w:gridSpan w:val="3"/>
            <w:tcMar>
              <w:top w:w="15" w:type="dxa"/>
              <w:left w:w="15" w:type="dxa"/>
              <w:bottom w:w="15" w:type="dxa"/>
              <w:right w:w="15" w:type="dxa"/>
            </w:tcMar>
            <w:vAlign w:val="center"/>
          </w:tcPr>
          <w:p>
            <w:pPr>
              <w:rPr>
                <w:szCs w:val="21"/>
              </w:rPr>
            </w:pPr>
            <w:r>
              <w:rPr>
                <w:rFonts w:hint="eastAsia"/>
                <w:szCs w:val="21"/>
              </w:rPr>
              <w:t>本项目实行电子投标。</w:t>
            </w:r>
          </w:p>
          <w:p>
            <w:pPr>
              <w:rPr>
                <w:szCs w:val="21"/>
              </w:rPr>
            </w:pPr>
            <w:r>
              <w:rPr>
                <w:rFonts w:hint="eastAsia"/>
                <w:szCs w:val="21"/>
              </w:rPr>
              <w:t>投标人应准备电子投标文件、以介质存储的数据电文形式的备份投标文件、纸质备份投标文件三类：</w:t>
            </w:r>
          </w:p>
          <w:p>
            <w:pPr>
              <w:rPr>
                <w:szCs w:val="21"/>
              </w:rPr>
            </w:pPr>
            <w:r>
              <w:rPr>
                <w:rFonts w:hint="eastAsia"/>
                <w:szCs w:val="21"/>
              </w:rPr>
              <w:t>（</w:t>
            </w:r>
            <w:r>
              <w:rPr>
                <w:szCs w:val="21"/>
              </w:rPr>
              <w:t>1</w:t>
            </w:r>
            <w:r>
              <w:rPr>
                <w:rFonts w:hint="eastAsia"/>
                <w:szCs w:val="21"/>
              </w:rPr>
              <w:t>）电子投标文件，按政采云平台项目采购</w:t>
            </w:r>
            <w:r>
              <w:rPr>
                <w:szCs w:val="21"/>
              </w:rPr>
              <w:t>-</w:t>
            </w:r>
            <w:r>
              <w:rPr>
                <w:rFonts w:hint="eastAsia"/>
                <w:szCs w:val="21"/>
              </w:rPr>
              <w:t>电子交易操作指南及本招标文件要求递交。</w:t>
            </w:r>
          </w:p>
          <w:p>
            <w:pPr>
              <w:rPr>
                <w:szCs w:val="21"/>
              </w:rPr>
            </w:pPr>
            <w:r>
              <w:rPr>
                <w:rFonts w:hint="eastAsia"/>
                <w:szCs w:val="21"/>
              </w:rPr>
              <w:t>（</w:t>
            </w:r>
            <w:r>
              <w:rPr>
                <w:szCs w:val="21"/>
              </w:rPr>
              <w:t>2</w:t>
            </w:r>
            <w:r>
              <w:rPr>
                <w:rFonts w:hint="eastAsia"/>
                <w:szCs w:val="21"/>
              </w:rPr>
              <w:t>）以介质存储的数据电文形式的备份投标文件，按政采云平台项目采购</w:t>
            </w:r>
            <w:r>
              <w:rPr>
                <w:szCs w:val="21"/>
              </w:rPr>
              <w:t>-</w:t>
            </w:r>
            <w:r>
              <w:rPr>
                <w:rFonts w:hint="eastAsia"/>
                <w:szCs w:val="21"/>
              </w:rPr>
              <w:t>电子交易操作指南中上传的电子投标文件格式，以</w:t>
            </w:r>
            <w:r>
              <w:rPr>
                <w:szCs w:val="21"/>
              </w:rPr>
              <w:t>U</w:t>
            </w:r>
            <w:r>
              <w:rPr>
                <w:rFonts w:hint="eastAsia"/>
                <w:szCs w:val="21"/>
              </w:rPr>
              <w:t>盘形式存储提供。数量为</w:t>
            </w:r>
            <w:r>
              <w:rPr>
                <w:szCs w:val="21"/>
              </w:rPr>
              <w:t>1</w:t>
            </w:r>
            <w:r>
              <w:rPr>
                <w:rFonts w:hint="eastAsia"/>
                <w:szCs w:val="21"/>
              </w:rPr>
              <w:t>份。</w:t>
            </w:r>
          </w:p>
          <w:p>
            <w:pPr>
              <w:rPr>
                <w:szCs w:val="21"/>
              </w:rPr>
            </w:pPr>
            <w:r>
              <w:rPr>
                <w:rFonts w:hint="eastAsia"/>
                <w:szCs w:val="21"/>
              </w:rPr>
              <w:t>（</w:t>
            </w:r>
            <w:r>
              <w:rPr>
                <w:szCs w:val="21"/>
              </w:rPr>
              <w:t>3</w:t>
            </w:r>
            <w:r>
              <w:rPr>
                <w:rFonts w:hint="eastAsia"/>
                <w:szCs w:val="21"/>
              </w:rPr>
              <w:t>）纸质备份投标文件将以纸质文件的形式递交。数量为：正本、副本各</w:t>
            </w:r>
            <w:r>
              <w:rPr>
                <w:szCs w:val="21"/>
              </w:rPr>
              <w:t>1</w:t>
            </w:r>
            <w:r>
              <w:rPr>
                <w:rFonts w:hint="eastAsia"/>
                <w:szCs w:val="21"/>
              </w:rPr>
              <w:t>份。（报价文件正本一份，副本一份，单独密封）</w:t>
            </w:r>
          </w:p>
          <w:p>
            <w:pPr>
              <w:spacing w:line="300" w:lineRule="auto"/>
              <w:rPr>
                <w:rFonts w:ascii="宋体"/>
                <w:szCs w:val="21"/>
              </w:rPr>
            </w:pPr>
            <w:r>
              <w:rPr>
                <w:rFonts w:hint="eastAsia"/>
                <w:szCs w:val="21"/>
              </w:rPr>
              <w:t>投标文件均由</w:t>
            </w:r>
            <w:r>
              <w:rPr>
                <w:rFonts w:hint="eastAsia" w:ascii="宋体" w:hAnsi="宋体"/>
                <w:szCs w:val="21"/>
              </w:rPr>
              <w:t>资格响应文件、商务及技术响应文件、报价文件组成。</w:t>
            </w:r>
          </w:p>
          <w:p>
            <w:pPr>
              <w:spacing w:line="300" w:lineRule="auto"/>
              <w:rPr>
                <w:rFonts w:ascii="宋体" w:cs="宋体"/>
                <w:sz w:val="22"/>
              </w:rPr>
            </w:pPr>
            <w:r>
              <w:rPr>
                <w:rFonts w:hint="eastAsia" w:cs="(使用中文字体)"/>
                <w:b/>
                <w:szCs w:val="21"/>
              </w:rPr>
              <w:t>投标人可以不提供备份投标文件，造成项目开评标活动无法进行下去的，投标无效，相关风险由投标人自行承担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15</w:t>
            </w:r>
          </w:p>
        </w:tc>
        <w:tc>
          <w:tcPr>
            <w:tcW w:w="1512" w:type="dxa"/>
            <w:tcMar>
              <w:top w:w="15" w:type="dxa"/>
              <w:left w:w="15" w:type="dxa"/>
              <w:bottom w:w="15" w:type="dxa"/>
              <w:right w:w="15" w:type="dxa"/>
            </w:tcMar>
            <w:vAlign w:val="center"/>
          </w:tcPr>
          <w:p>
            <w:pPr>
              <w:snapToGrid w:val="0"/>
              <w:spacing w:line="240" w:lineRule="exact"/>
              <w:jc w:val="center"/>
              <w:rPr>
                <w:rFonts w:ascii="宋体"/>
                <w:b/>
              </w:rPr>
            </w:pPr>
            <w:r>
              <w:rPr>
                <w:rFonts w:hint="eastAsia" w:ascii="宋体" w:hAnsi="宋体"/>
                <w:b/>
              </w:rPr>
              <w:t>投标文件的</w:t>
            </w:r>
          </w:p>
          <w:p>
            <w:pPr>
              <w:spacing w:line="300" w:lineRule="auto"/>
              <w:jc w:val="center"/>
              <w:rPr>
                <w:rFonts w:ascii="宋体" w:cs="宋体"/>
                <w:b/>
                <w:sz w:val="22"/>
                <w:shd w:val="pct10" w:color="auto" w:fill="FFFFFF"/>
              </w:rPr>
            </w:pPr>
            <w:r>
              <w:rPr>
                <w:rFonts w:hint="eastAsia" w:ascii="宋体" w:hAnsi="宋体"/>
                <w:b/>
              </w:rPr>
              <w:t>组成</w:t>
            </w:r>
          </w:p>
        </w:tc>
        <w:tc>
          <w:tcPr>
            <w:tcW w:w="7596" w:type="dxa"/>
            <w:gridSpan w:val="3"/>
            <w:tcMar>
              <w:top w:w="15" w:type="dxa"/>
              <w:left w:w="15" w:type="dxa"/>
              <w:bottom w:w="15" w:type="dxa"/>
              <w:right w:w="15" w:type="dxa"/>
            </w:tcMar>
            <w:vAlign w:val="center"/>
          </w:tcPr>
          <w:p>
            <w:pPr>
              <w:spacing w:line="264" w:lineRule="auto"/>
              <w:rPr>
                <w:rFonts w:ascii="宋体" w:cs="宋体"/>
                <w:sz w:val="22"/>
              </w:rPr>
            </w:pPr>
            <w:r>
              <w:rPr>
                <w:rFonts w:hint="eastAsia" w:ascii="宋体" w:hAnsi="宋体" w:cs="宋体"/>
                <w:sz w:val="22"/>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pacing w:line="264" w:lineRule="auto"/>
              <w:rPr>
                <w:rFonts w:ascii="宋体" w:cs="宋体"/>
                <w:sz w:val="22"/>
              </w:rPr>
            </w:pPr>
            <w:r>
              <w:rPr>
                <w:rFonts w:hint="eastAsia" w:ascii="宋体" w:hAnsi="宋体" w:cs="宋体"/>
                <w:sz w:val="22"/>
              </w:rPr>
              <w:t>投标人应当在规定时间前将以介质存储的数据电文形式的备份投标文件和纸质备份投标文件寄到或送达采购代理公司：舟山市定海区昌国路</w:t>
            </w:r>
            <w:r>
              <w:rPr>
                <w:rFonts w:ascii="宋体" w:hAnsi="宋体" w:cs="宋体"/>
                <w:sz w:val="22"/>
              </w:rPr>
              <w:t>232</w:t>
            </w:r>
            <w:r>
              <w:rPr>
                <w:rFonts w:hint="eastAsia" w:ascii="宋体" w:hAnsi="宋体" w:cs="宋体"/>
                <w:sz w:val="22"/>
              </w:rPr>
              <w:t>号中楼</w:t>
            </w:r>
            <w:r>
              <w:rPr>
                <w:rFonts w:ascii="宋体" w:hAnsi="宋体" w:cs="宋体"/>
                <w:sz w:val="22"/>
              </w:rPr>
              <w:t>202</w:t>
            </w:r>
            <w:r>
              <w:rPr>
                <w:rFonts w:hint="eastAsia" w:ascii="宋体" w:hAnsi="宋体" w:cs="宋体"/>
                <w:sz w:val="22"/>
              </w:rPr>
              <w:t>。逾期送达或未密封将被拒收。也可现场递交。</w:t>
            </w:r>
          </w:p>
          <w:p>
            <w:pPr>
              <w:spacing w:line="264" w:lineRule="auto"/>
              <w:rPr>
                <w:rFonts w:ascii="宋体" w:cs="宋体"/>
                <w:sz w:val="22"/>
              </w:rPr>
            </w:pPr>
            <w:r>
              <w:rPr>
                <w:rFonts w:hint="eastAsia" w:ascii="宋体" w:hAnsi="宋体" w:cs="宋体"/>
                <w:sz w:val="22"/>
              </w:rPr>
              <w:t>投标人递交以介质存储的数据电文形式的备份投标文件和纸质备份投标文件时，如出现下列情况之一的，将被拒收：</w:t>
            </w:r>
          </w:p>
          <w:p>
            <w:pPr>
              <w:spacing w:line="264" w:lineRule="auto"/>
              <w:rPr>
                <w:rFonts w:ascii="宋体" w:cs="宋体"/>
                <w:sz w:val="22"/>
              </w:rPr>
            </w:pPr>
            <w:r>
              <w:rPr>
                <w:rFonts w:ascii="宋体" w:hAnsi="宋体" w:cs="宋体"/>
                <w:sz w:val="22"/>
              </w:rPr>
              <w:t>1</w:t>
            </w:r>
            <w:r>
              <w:rPr>
                <w:rFonts w:hint="eastAsia" w:ascii="宋体" w:hAnsi="宋体" w:cs="宋体"/>
                <w:sz w:val="22"/>
              </w:rPr>
              <w:t>、未按规定密封或标记的投标文件；</w:t>
            </w:r>
          </w:p>
          <w:p>
            <w:pPr>
              <w:spacing w:line="264" w:lineRule="auto"/>
              <w:rPr>
                <w:rFonts w:ascii="宋体" w:cs="宋体"/>
                <w:sz w:val="22"/>
              </w:rPr>
            </w:pPr>
            <w:r>
              <w:rPr>
                <w:rFonts w:ascii="宋体" w:hAnsi="宋体" w:cs="宋体"/>
                <w:sz w:val="22"/>
              </w:rPr>
              <w:t>2</w:t>
            </w:r>
            <w:r>
              <w:rPr>
                <w:rFonts w:hint="eastAsia" w:ascii="宋体" w:hAnsi="宋体" w:cs="宋体"/>
                <w:sz w:val="22"/>
              </w:rPr>
              <w:t>、由于包装不妥，在送交途中严重破损或失散的；</w:t>
            </w:r>
          </w:p>
          <w:p>
            <w:pPr>
              <w:spacing w:line="264" w:lineRule="auto"/>
              <w:rPr>
                <w:rFonts w:ascii="宋体" w:cs="宋体"/>
                <w:sz w:val="22"/>
              </w:rPr>
            </w:pPr>
            <w:r>
              <w:rPr>
                <w:rFonts w:ascii="宋体" w:hAnsi="宋体" w:cs="宋体"/>
                <w:sz w:val="22"/>
              </w:rPr>
              <w:t>3</w:t>
            </w:r>
            <w:r>
              <w:rPr>
                <w:rFonts w:hint="eastAsia" w:ascii="宋体" w:hAnsi="宋体" w:cs="宋体"/>
                <w:sz w:val="22"/>
              </w:rPr>
              <w:t>、未成功办理投标人报名手续的；</w:t>
            </w:r>
          </w:p>
          <w:p>
            <w:pPr>
              <w:spacing w:line="264" w:lineRule="auto"/>
              <w:rPr>
                <w:rFonts w:ascii="宋体" w:cs="宋体"/>
                <w:sz w:val="22"/>
              </w:rPr>
            </w:pPr>
            <w:r>
              <w:rPr>
                <w:rFonts w:ascii="宋体" w:hAnsi="宋体" w:cs="宋体"/>
                <w:sz w:val="22"/>
              </w:rPr>
              <w:t>4</w:t>
            </w:r>
            <w:r>
              <w:rPr>
                <w:rFonts w:hint="eastAsia" w:ascii="宋体" w:hAnsi="宋体" w:cs="宋体"/>
                <w:sz w:val="22"/>
              </w:rPr>
              <w:t>、超过截止时间送达的；</w:t>
            </w:r>
          </w:p>
          <w:p>
            <w:pPr>
              <w:spacing w:line="264" w:lineRule="auto"/>
              <w:rPr>
                <w:rFonts w:ascii="宋体" w:cs="宋体"/>
                <w:sz w:val="22"/>
              </w:rPr>
            </w:pPr>
            <w:r>
              <w:rPr>
                <w:rFonts w:hint="eastAsia" w:ascii="宋体" w:hAnsi="宋体" w:cs="宋体"/>
                <w:sz w:val="22"/>
              </w:rPr>
              <w:t>仅提供备份投标文件的，投标无效。</w:t>
            </w:r>
          </w:p>
          <w:p>
            <w:pPr>
              <w:spacing w:line="264" w:lineRule="auto"/>
              <w:rPr>
                <w:rFonts w:ascii="宋体" w:cs="宋体"/>
                <w:sz w:val="22"/>
              </w:rPr>
            </w:pPr>
            <w:r>
              <w:rPr>
                <w:rFonts w:hint="eastAsia" w:ascii="宋体" w:hAnsi="宋体" w:cs="宋体"/>
                <w:sz w:val="22"/>
              </w:rPr>
              <w:t>仅提供其中一种形式的备份投标文件，造成项目开评标活动无法进行下去的，投标无效，相关风险由投标人自行承担。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Mar>
              <w:top w:w="15" w:type="dxa"/>
              <w:left w:w="15" w:type="dxa"/>
              <w:bottom w:w="15" w:type="dxa"/>
              <w:right w:w="15" w:type="dxa"/>
            </w:tcMar>
            <w:vAlign w:val="center"/>
          </w:tcPr>
          <w:p>
            <w:pPr>
              <w:snapToGrid w:val="0"/>
              <w:jc w:val="center"/>
              <w:rPr>
                <w:rFonts w:ascii="宋体"/>
                <w:b/>
              </w:rPr>
            </w:pPr>
            <w:r>
              <w:rPr>
                <w:rFonts w:ascii="宋体" w:hAnsi="宋体"/>
                <w:b/>
              </w:rPr>
              <w:t>16</w:t>
            </w:r>
          </w:p>
        </w:tc>
        <w:tc>
          <w:tcPr>
            <w:tcW w:w="1512" w:type="dxa"/>
            <w:tcMar>
              <w:top w:w="15" w:type="dxa"/>
              <w:left w:w="15" w:type="dxa"/>
              <w:bottom w:w="15" w:type="dxa"/>
              <w:right w:w="15" w:type="dxa"/>
            </w:tcMar>
            <w:vAlign w:val="center"/>
          </w:tcPr>
          <w:p>
            <w:pPr>
              <w:jc w:val="center"/>
              <w:rPr>
                <w:rFonts w:ascii="宋体"/>
                <w:b/>
                <w:szCs w:val="21"/>
              </w:rPr>
            </w:pPr>
            <w:r>
              <w:rPr>
                <w:rFonts w:hint="eastAsia" w:ascii="宋体" w:hAnsi="宋体"/>
                <w:b/>
                <w:szCs w:val="21"/>
              </w:rPr>
              <w:t>投标人注册</w:t>
            </w:r>
          </w:p>
        </w:tc>
        <w:tc>
          <w:tcPr>
            <w:tcW w:w="7596" w:type="dxa"/>
            <w:gridSpan w:val="3"/>
            <w:tcMar>
              <w:top w:w="15" w:type="dxa"/>
              <w:left w:w="15" w:type="dxa"/>
              <w:bottom w:w="15" w:type="dxa"/>
              <w:right w:w="15" w:type="dxa"/>
            </w:tcMar>
            <w:vAlign w:val="center"/>
          </w:tcPr>
          <w:p>
            <w:pPr>
              <w:spacing w:beforeLines="10"/>
              <w:jc w:val="left"/>
              <w:rPr>
                <w:rFonts w:ascii="宋体"/>
                <w:bCs/>
                <w:snapToGrid w:val="0"/>
                <w:kern w:val="0"/>
              </w:rPr>
            </w:pPr>
            <w:r>
              <w:rPr>
                <w:rFonts w:hint="eastAsia" w:ascii="宋体" w:hAnsi="宋体"/>
                <w:bCs/>
                <w:snapToGrid w:val="0"/>
                <w:kern w:val="0"/>
              </w:rPr>
              <w:t>各投标人须在投标截止时间前根据浙江省财政厅《关于开展政府采购投标人网上注册登记和诚信管理工作的通知》（浙财采监【</w:t>
            </w:r>
            <w:r>
              <w:rPr>
                <w:rFonts w:ascii="宋体" w:hAnsi="宋体"/>
                <w:bCs/>
                <w:snapToGrid w:val="0"/>
                <w:kern w:val="0"/>
              </w:rPr>
              <w:t>2010</w:t>
            </w:r>
            <w:r>
              <w:rPr>
                <w:rFonts w:hint="eastAsia" w:ascii="宋体" w:hAnsi="宋体"/>
                <w:bCs/>
                <w:snapToGrid w:val="0"/>
                <w:kern w:val="0"/>
              </w:rPr>
              <w:t>】</w:t>
            </w:r>
            <w:r>
              <w:rPr>
                <w:rFonts w:ascii="宋体" w:hAnsi="宋体"/>
                <w:bCs/>
                <w:snapToGrid w:val="0"/>
                <w:kern w:val="0"/>
              </w:rPr>
              <w:t>8</w:t>
            </w:r>
            <w:r>
              <w:rPr>
                <w:rFonts w:hint="eastAsia" w:ascii="宋体" w:hAnsi="宋体"/>
                <w:bCs/>
                <w:snapToGrid w:val="0"/>
                <w:kern w:val="0"/>
              </w:rPr>
              <w:t>号文）的要求，通过浙江政府采购网申请注册加入政府采购投标人库。以免影响享受相关政策优惠及成交后的款项支付。</w:t>
            </w:r>
          </w:p>
          <w:p>
            <w:pPr>
              <w:spacing w:beforeLines="10"/>
              <w:jc w:val="left"/>
              <w:rPr>
                <w:rFonts w:ascii="宋体"/>
                <w:szCs w:val="21"/>
              </w:rPr>
            </w:pPr>
            <w:r>
              <w:rPr>
                <w:rFonts w:hint="eastAsia" w:ascii="宋体" w:hAnsi="宋体"/>
                <w:bCs/>
                <w:snapToGrid w:val="0"/>
                <w:kern w:val="0"/>
              </w:rPr>
              <w:t>投标人在申请注册前，请认真阅读，学习《中华人民共和国政府采购法》和《浙江省政府采购投标人注册及诚信管理暂行办法》等相关法规规定。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17</w:t>
            </w:r>
          </w:p>
        </w:tc>
        <w:tc>
          <w:tcPr>
            <w:tcW w:w="1512" w:type="dxa"/>
            <w:tcMar>
              <w:top w:w="15" w:type="dxa"/>
              <w:left w:w="15" w:type="dxa"/>
              <w:bottom w:w="15" w:type="dxa"/>
              <w:right w:w="15" w:type="dxa"/>
            </w:tcMar>
            <w:vAlign w:val="center"/>
          </w:tcPr>
          <w:p>
            <w:pPr>
              <w:jc w:val="center"/>
              <w:rPr>
                <w:rFonts w:ascii="宋体"/>
                <w:b/>
                <w:szCs w:val="21"/>
              </w:rPr>
            </w:pPr>
            <w:r>
              <w:rPr>
                <w:rFonts w:hint="eastAsia" w:ascii="宋体" w:hAnsi="宋体"/>
                <w:b/>
                <w:szCs w:val="21"/>
              </w:rPr>
              <w:t>不良信用记录查询</w:t>
            </w:r>
          </w:p>
        </w:tc>
        <w:tc>
          <w:tcPr>
            <w:tcW w:w="7596" w:type="dxa"/>
            <w:gridSpan w:val="3"/>
            <w:tcMar>
              <w:top w:w="15" w:type="dxa"/>
              <w:left w:w="15" w:type="dxa"/>
              <w:bottom w:w="15" w:type="dxa"/>
              <w:right w:w="15" w:type="dxa"/>
            </w:tcMar>
            <w:vAlign w:val="center"/>
          </w:tcPr>
          <w:p>
            <w:pPr>
              <w:rPr>
                <w:rFonts w:ascii="宋体" w:cs="宋体"/>
                <w:szCs w:val="21"/>
              </w:rPr>
            </w:pPr>
            <w:r>
              <w:rPr>
                <w:rFonts w:hint="eastAsia" w:ascii="宋体" w:hAnsi="宋体" w:cs="宋体"/>
                <w:szCs w:val="21"/>
              </w:rPr>
              <w:t>根据财库</w:t>
            </w:r>
            <w:r>
              <w:rPr>
                <w:rFonts w:ascii="宋体" w:hAnsi="宋体" w:cs="宋体"/>
                <w:szCs w:val="21"/>
              </w:rPr>
              <w:t>[2016]125</w:t>
            </w:r>
            <w:r>
              <w:rPr>
                <w:rFonts w:hint="eastAsia" w:ascii="宋体" w:hAnsi="宋体" w:cs="宋体"/>
                <w:szCs w:val="21"/>
              </w:rPr>
              <w:t>号文件：</w:t>
            </w:r>
          </w:p>
          <w:p>
            <w:pPr>
              <w:rPr>
                <w:rFonts w:ascii="宋体" w:cs="宋体"/>
                <w:szCs w:val="21"/>
              </w:rPr>
            </w:pPr>
            <w:r>
              <w:rPr>
                <w:rFonts w:ascii="宋体" w:hAnsi="宋体" w:cs="宋体"/>
                <w:szCs w:val="21"/>
              </w:rPr>
              <w:t>1</w:t>
            </w:r>
            <w:r>
              <w:rPr>
                <w:rFonts w:hint="eastAsia" w:ascii="宋体" w:hAnsi="宋体" w:cs="宋体"/>
                <w:szCs w:val="21"/>
              </w:rPr>
              <w:t>、至本项目投标截止前未被列入“信用中国”网站</w:t>
            </w:r>
            <w:r>
              <w:rPr>
                <w:rFonts w:ascii="宋体" w:hAnsi="宋体" w:cs="宋体"/>
                <w:szCs w:val="21"/>
              </w:rPr>
              <w:t>(www.creditchina.gov.cn)</w:t>
            </w:r>
            <w:r>
              <w:rPr>
                <w:rFonts w:hint="eastAsia" w:ascii="宋体" w:hAnsi="宋体" w:cs="宋体"/>
                <w:szCs w:val="21"/>
              </w:rPr>
              <w:t>“记录失信被执行人或重大税收违法案件当事人名单”记录名单。</w:t>
            </w:r>
          </w:p>
          <w:p>
            <w:pPr>
              <w:rPr>
                <w:rFonts w:ascii="宋体" w:cs="宋体"/>
                <w:szCs w:val="21"/>
              </w:rPr>
            </w:pPr>
            <w:r>
              <w:rPr>
                <w:rFonts w:ascii="宋体" w:hAnsi="宋体" w:cs="宋体"/>
                <w:szCs w:val="21"/>
              </w:rPr>
              <w:t>2</w:t>
            </w:r>
            <w:r>
              <w:rPr>
                <w:rFonts w:hint="eastAsia" w:ascii="宋体" w:hAnsi="宋体" w:cs="宋体"/>
                <w:szCs w:val="21"/>
              </w:rPr>
              <w:t>、至本项目投标截止前不处于中国政府采购网</w:t>
            </w:r>
            <w:r>
              <w:rPr>
                <w:rFonts w:ascii="宋体" w:hAnsi="宋体" w:cs="宋体"/>
                <w:szCs w:val="21"/>
              </w:rPr>
              <w:t>(www.ccgp.gov.cn)</w:t>
            </w:r>
            <w:r>
              <w:rPr>
                <w:rFonts w:hint="eastAsia" w:ascii="宋体" w:hAnsi="宋体" w:cs="宋体"/>
                <w:szCs w:val="21"/>
              </w:rPr>
              <w:t>“政府采购严重违法失信行为信息记录”中的禁止参加政府采购活动期间。</w:t>
            </w:r>
          </w:p>
          <w:p>
            <w:pPr>
              <w:rPr>
                <w:rFonts w:ascii="宋体"/>
              </w:rPr>
            </w:pPr>
            <w:r>
              <w:rPr>
                <w:rFonts w:hint="eastAsia" w:ascii="宋体" w:hAnsi="宋体" w:cs="宋体"/>
                <w:szCs w:val="21"/>
              </w:rPr>
              <w:t>提供</w:t>
            </w:r>
            <w:r>
              <w:rPr>
                <w:rFonts w:hint="eastAsia"/>
                <w:b/>
              </w:rPr>
              <w:t>查询截图，（截图查询网站时间须在开标截止前二个星期内）。</w:t>
            </w:r>
            <w:r>
              <w:rPr>
                <w:rFonts w:hint="eastAsia" w:ascii="宋体" w:hAnsi="宋体" w:cs="宋体"/>
                <w:szCs w:val="21"/>
              </w:rPr>
              <w:t>对列入失信被执行人、重大税收违法案件当事人名单、政府采购严重违法失信行为记录名单的供应商，</w:t>
            </w:r>
            <w:r>
              <w:rPr>
                <w:rFonts w:hint="eastAsia" w:ascii="宋体" w:hAnsi="宋体" w:cs="宋体"/>
                <w:b/>
                <w:szCs w:val="21"/>
              </w:rPr>
              <w:t>其投标将作无效标处理</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Mar>
              <w:top w:w="15" w:type="dxa"/>
              <w:left w:w="15" w:type="dxa"/>
              <w:bottom w:w="15" w:type="dxa"/>
              <w:right w:w="15" w:type="dxa"/>
            </w:tcMar>
            <w:vAlign w:val="center"/>
          </w:tcPr>
          <w:p>
            <w:pPr>
              <w:snapToGrid w:val="0"/>
              <w:spacing w:line="240" w:lineRule="exact"/>
              <w:jc w:val="center"/>
              <w:rPr>
                <w:rFonts w:ascii="宋体"/>
                <w:b/>
              </w:rPr>
            </w:pPr>
            <w:r>
              <w:rPr>
                <w:rFonts w:ascii="宋体" w:hAnsi="宋体"/>
                <w:b/>
              </w:rPr>
              <w:t>18</w:t>
            </w:r>
          </w:p>
        </w:tc>
        <w:tc>
          <w:tcPr>
            <w:tcW w:w="1512" w:type="dxa"/>
            <w:tcMar>
              <w:top w:w="15" w:type="dxa"/>
              <w:left w:w="15" w:type="dxa"/>
              <w:bottom w:w="15" w:type="dxa"/>
              <w:right w:w="15" w:type="dxa"/>
            </w:tcMar>
            <w:vAlign w:val="center"/>
          </w:tcPr>
          <w:p>
            <w:pPr>
              <w:jc w:val="center"/>
              <w:rPr>
                <w:rFonts w:ascii="宋体"/>
                <w:b/>
                <w:color w:val="000000"/>
                <w:szCs w:val="21"/>
              </w:rPr>
            </w:pPr>
            <w:r>
              <w:rPr>
                <w:rFonts w:hint="eastAsia" w:ascii="宋体" w:hAnsi="宋体"/>
                <w:b/>
                <w:color w:val="000000"/>
                <w:szCs w:val="21"/>
              </w:rPr>
              <w:t>中小企业有关政策</w:t>
            </w:r>
          </w:p>
        </w:tc>
        <w:tc>
          <w:tcPr>
            <w:tcW w:w="7596" w:type="dxa"/>
            <w:gridSpan w:val="3"/>
            <w:tcMar>
              <w:top w:w="15" w:type="dxa"/>
              <w:left w:w="15" w:type="dxa"/>
              <w:bottom w:w="15" w:type="dxa"/>
              <w:right w:w="15" w:type="dxa"/>
            </w:tcMar>
            <w:vAlign w:val="center"/>
          </w:tcPr>
          <w:p>
            <w:pPr>
              <w:snapToGrid w:val="0"/>
              <w:rPr>
                <w:rFonts w:ascii="宋体" w:hAnsi="宋体" w:cs="宋体"/>
                <w:szCs w:val="21"/>
              </w:rPr>
            </w:pPr>
            <w:r>
              <w:rPr>
                <w:rFonts w:hint="eastAsia" w:ascii="宋体" w:hAnsi="宋体" w:cs="宋体"/>
                <w:szCs w:val="21"/>
              </w:rPr>
              <w:t>（1）根据财政部发布的关于印发《政府采购促进中小企业发展管理办法》的通知（财库﹝2020﹞46 号）规定，本项目对小型和微型企业的价格给予6%的扣除。属于小型和微型企业的，投标文件中投标人必须提供《中小企业声明函》。</w:t>
            </w:r>
          </w:p>
          <w:p>
            <w:pPr>
              <w:snapToGrid w:val="0"/>
              <w:rPr>
                <w:rFonts w:ascii="宋体" w:hAnsi="宋体" w:cs="宋体"/>
                <w:szCs w:val="21"/>
              </w:rPr>
            </w:pPr>
            <w:r>
              <w:rPr>
                <w:rFonts w:hint="eastAsia" w:ascii="宋体" w:hAnsi="宋体" w:cs="宋体"/>
                <w:szCs w:val="21"/>
              </w:rPr>
              <w:t>未提供完整证明材料的，投标报价不予扣减。</w:t>
            </w:r>
          </w:p>
          <w:p>
            <w:pPr>
              <w:snapToGrid w:val="0"/>
              <w:rPr>
                <w:rFonts w:ascii="宋体" w:hAnsi="宋体" w:cs="宋体"/>
                <w:szCs w:val="21"/>
              </w:rPr>
            </w:pPr>
            <w:r>
              <w:rPr>
                <w:rFonts w:hint="eastAsia" w:ascii="宋体" w:hAnsi="宋体" w:cs="宋体"/>
                <w:szCs w:val="21"/>
              </w:rPr>
              <w:t>（2）根据《关于政府采购支持监狱企业发展有关问题的通知》（财库[2014]68号）的规定，供应商如为监狱企业且所投产品为小型或微型企业生产的，其投标报价扣除6%后参与评审。</w:t>
            </w:r>
          </w:p>
          <w:p>
            <w:pPr>
              <w:snapToGrid w:val="0"/>
              <w:rPr>
                <w:rFonts w:ascii="宋体" w:hAnsi="宋体" w:cs="宋体"/>
                <w:szCs w:val="21"/>
              </w:rPr>
            </w:pPr>
            <w:r>
              <w:rPr>
                <w:rFonts w:hint="eastAsia" w:ascii="宋体" w:hAnsi="宋体" w:cs="宋体"/>
                <w:szCs w:val="21"/>
              </w:rPr>
              <w:t>投标文件中须同时提供：供应商的省级以上监狱管理局、戒毒管理局（含新疆生产建设兵团）出具的属于监狱企业的证明文件，投标产品制造商的小微企业证明，未提供完整证明材料的，投标报价不予扣减。</w:t>
            </w:r>
          </w:p>
          <w:p>
            <w:pPr>
              <w:snapToGrid w:val="0"/>
              <w:rPr>
                <w:rFonts w:ascii="宋体" w:hAnsi="宋体" w:cs="宋体"/>
                <w:szCs w:val="21"/>
              </w:rPr>
            </w:pPr>
            <w:r>
              <w:rPr>
                <w:rFonts w:hint="eastAsia" w:ascii="宋体" w:hAnsi="宋体" w:cs="宋体"/>
                <w:szCs w:val="21"/>
              </w:rPr>
              <w:t>（3）根据《财政部、民政部、中国残疾人联合会关于促进残疾人就业政府采购政策的通知》（财库〔2017〕141号）的规定，残疾人福利性单位视同小型、微型企业，享受预留份额、评审中价格扣除等促进中小企业发展的政府采购政策。</w:t>
            </w:r>
          </w:p>
          <w:p>
            <w:pPr>
              <w:snapToGrid w:val="0"/>
              <w:rPr>
                <w:rFonts w:ascii="宋体" w:hAnsi="宋体" w:cs="宋体"/>
                <w:szCs w:val="21"/>
              </w:rPr>
            </w:pPr>
            <w:r>
              <w:rPr>
                <w:rFonts w:hint="eastAsia" w:ascii="宋体" w:hAnsi="宋体" w:cs="宋体"/>
                <w:szCs w:val="21"/>
              </w:rPr>
              <w:t>投标文件中须提供：《残疾人福利性单位声明函》，未提供完整证明材料的，投标报价不予扣减。</w:t>
            </w:r>
          </w:p>
          <w:p>
            <w:pPr>
              <w:snapToGrid w:val="0"/>
              <w:rPr>
                <w:rFonts w:ascii="宋体" w:hAnsi="宋体" w:cs="宋体"/>
                <w:szCs w:val="21"/>
              </w:rPr>
            </w:pPr>
            <w:r>
              <w:rPr>
                <w:rFonts w:hint="eastAsia" w:ascii="宋体" w:hAnsi="宋体" w:cs="宋体"/>
                <w:szCs w:val="21"/>
              </w:rPr>
              <w:t>上述（1），（2），（3）政策不重复计算。</w:t>
            </w:r>
          </w:p>
          <w:p>
            <w:pPr>
              <w:pStyle w:val="70"/>
              <w:rPr>
                <w:b/>
                <w:color w:val="FF0000"/>
                <w:sz w:val="21"/>
                <w:szCs w:val="21"/>
              </w:rPr>
            </w:pPr>
            <w:r>
              <w:rPr>
                <w:rFonts w:hint="eastAsia" w:ascii="宋体" w:hAnsi="宋体" w:cs="宋体"/>
                <w:sz w:val="21"/>
                <w:szCs w:val="21"/>
              </w:rPr>
              <w:t>此项由评标委员会集体核实后统一打分。</w:t>
            </w:r>
          </w:p>
        </w:tc>
      </w:tr>
    </w:tbl>
    <w:p>
      <w:pPr>
        <w:snapToGrid w:val="0"/>
        <w:spacing w:before="120" w:line="312" w:lineRule="auto"/>
        <w:rPr>
          <w:b/>
          <w:sz w:val="28"/>
        </w:rPr>
      </w:pPr>
    </w:p>
    <w:p>
      <w:pPr>
        <w:snapToGrid w:val="0"/>
        <w:spacing w:before="120" w:line="312" w:lineRule="auto"/>
        <w:jc w:val="center"/>
        <w:rPr>
          <w:b/>
          <w:sz w:val="28"/>
        </w:rPr>
      </w:pPr>
    </w:p>
    <w:p>
      <w:pPr>
        <w:snapToGrid w:val="0"/>
        <w:spacing w:before="120" w:line="312" w:lineRule="auto"/>
        <w:jc w:val="center"/>
        <w:rPr>
          <w:b/>
          <w:sz w:val="28"/>
        </w:rPr>
      </w:pPr>
    </w:p>
    <w:p>
      <w:pPr>
        <w:snapToGrid w:val="0"/>
        <w:spacing w:before="120" w:line="312" w:lineRule="auto"/>
        <w:jc w:val="center"/>
        <w:rPr>
          <w:b/>
          <w:sz w:val="28"/>
        </w:rPr>
      </w:pPr>
      <w:r>
        <w:rPr>
          <w:rFonts w:hint="eastAsia"/>
          <w:b/>
          <w:sz w:val="28"/>
        </w:rPr>
        <w:t>一、总则</w:t>
      </w:r>
    </w:p>
    <w:p>
      <w:pPr>
        <w:snapToGrid w:val="0"/>
        <w:spacing w:before="120" w:line="360" w:lineRule="auto"/>
        <w:ind w:right="55" w:rightChars="26"/>
        <w:rPr>
          <w:rFonts w:hAnsi="宋体"/>
          <w:b/>
          <w:sz w:val="28"/>
        </w:rPr>
      </w:pPr>
      <w:r>
        <w:rPr>
          <w:rFonts w:hint="eastAsia"/>
          <w:b/>
        </w:rPr>
        <w:t>（一）适用范围</w:t>
      </w:r>
    </w:p>
    <w:p>
      <w:pPr>
        <w:snapToGrid w:val="0"/>
        <w:spacing w:line="360" w:lineRule="auto"/>
        <w:ind w:right="55" w:rightChars="26" w:firstLine="420" w:firstLineChars="200"/>
        <w:jc w:val="left"/>
        <w:rPr>
          <w:rFonts w:ascii="宋体"/>
        </w:rPr>
      </w:pPr>
      <w:r>
        <w:rPr>
          <w:rFonts w:hint="eastAsia" w:ascii="宋体" w:hAnsi="宋体"/>
        </w:rPr>
        <w:t>本招标文件适用于</w:t>
      </w:r>
      <w:r>
        <w:rPr>
          <w:rFonts w:hint="eastAsia"/>
          <w:bCs/>
        </w:rPr>
        <w:t>岱山县第一人民医院设备采购项目</w:t>
      </w:r>
      <w:r>
        <w:rPr>
          <w:rFonts w:hint="eastAsia" w:ascii="宋体" w:hAnsi="宋体"/>
        </w:rPr>
        <w:t>的招标、投标、评标、定标、验收、合同履约、付款等行为（法律、法规另有规定的，从其规定）。</w:t>
      </w:r>
    </w:p>
    <w:p>
      <w:pPr>
        <w:snapToGrid w:val="0"/>
        <w:spacing w:line="360" w:lineRule="auto"/>
        <w:ind w:right="55" w:rightChars="26"/>
        <w:jc w:val="left"/>
        <w:outlineLvl w:val="1"/>
        <w:rPr>
          <w:rFonts w:ascii="宋体"/>
          <w:b/>
          <w:sz w:val="24"/>
        </w:rPr>
      </w:pPr>
      <w:r>
        <w:rPr>
          <w:rFonts w:hint="eastAsia" w:ascii="宋体" w:hAnsi="宋体"/>
          <w:b/>
          <w:sz w:val="24"/>
        </w:rPr>
        <w:t>（二）定义</w:t>
      </w:r>
    </w:p>
    <w:p>
      <w:pPr>
        <w:snapToGrid w:val="0"/>
        <w:spacing w:line="360" w:lineRule="auto"/>
        <w:ind w:right="55" w:rightChars="26" w:firstLine="210" w:firstLineChars="100"/>
        <w:jc w:val="left"/>
        <w:rPr>
          <w:rFonts w:ascii="宋体"/>
        </w:rPr>
      </w:pPr>
      <w:r>
        <w:rPr>
          <w:rFonts w:ascii="宋体" w:hAnsi="宋体"/>
        </w:rPr>
        <w:t>1</w:t>
      </w:r>
      <w:r>
        <w:rPr>
          <w:rFonts w:hint="eastAsia" w:ascii="宋体" w:hAnsi="宋体"/>
        </w:rPr>
        <w:t>、招标采购单位系指组织本次招标的深圳国信招标有限公司和</w:t>
      </w:r>
      <w:r>
        <w:rPr>
          <w:rFonts w:hint="eastAsia"/>
          <w:bCs/>
        </w:rPr>
        <w:t>岱山县第一人民医院</w:t>
      </w:r>
      <w:r>
        <w:rPr>
          <w:rFonts w:hint="eastAsia" w:ascii="宋体" w:hAnsi="宋体"/>
        </w:rPr>
        <w:t>。</w:t>
      </w:r>
    </w:p>
    <w:p>
      <w:pPr>
        <w:snapToGrid w:val="0"/>
        <w:spacing w:line="360" w:lineRule="auto"/>
        <w:ind w:right="55" w:rightChars="26" w:firstLine="210" w:firstLineChars="100"/>
        <w:jc w:val="left"/>
        <w:rPr>
          <w:rFonts w:ascii="宋体"/>
        </w:rPr>
      </w:pPr>
      <w:r>
        <w:rPr>
          <w:rFonts w:ascii="宋体" w:hAnsi="宋体"/>
        </w:rPr>
        <w:t>2</w:t>
      </w:r>
      <w:r>
        <w:rPr>
          <w:rFonts w:hint="eastAsia" w:ascii="宋体" w:hAnsi="宋体"/>
        </w:rPr>
        <w:t>、“投标人”系指向招标人提交投标文件的单位或个人。</w:t>
      </w:r>
    </w:p>
    <w:p>
      <w:pPr>
        <w:snapToGrid w:val="0"/>
        <w:spacing w:line="360" w:lineRule="auto"/>
        <w:ind w:right="-506" w:rightChars="-241" w:firstLine="210" w:firstLineChars="100"/>
        <w:jc w:val="left"/>
        <w:rPr>
          <w:rFonts w:ascii="宋体"/>
        </w:rPr>
      </w:pPr>
      <w:r>
        <w:rPr>
          <w:rFonts w:ascii="宋体" w:hAnsi="宋体"/>
        </w:rPr>
        <w:t>3</w:t>
      </w:r>
      <w:r>
        <w:rPr>
          <w:rFonts w:hint="eastAsia" w:ascii="宋体" w:hAnsi="宋体"/>
        </w:rPr>
        <w:t>、“产品”系指供方按招标文件规定，须向采购人提供的一切设备、保险、税金、备品备件、工具、手册及其它有关技术资料和材料。</w:t>
      </w:r>
    </w:p>
    <w:p>
      <w:pPr>
        <w:snapToGrid w:val="0"/>
        <w:spacing w:line="360" w:lineRule="auto"/>
        <w:ind w:right="-506" w:rightChars="-241" w:firstLine="210" w:firstLineChars="100"/>
        <w:jc w:val="left"/>
        <w:rPr>
          <w:rFonts w:ascii="宋体"/>
        </w:rPr>
      </w:pPr>
      <w:r>
        <w:rPr>
          <w:rFonts w:ascii="宋体" w:hAnsi="宋体"/>
        </w:rPr>
        <w:t>4</w:t>
      </w:r>
      <w:r>
        <w:rPr>
          <w:rFonts w:hint="eastAsia" w:ascii="宋体" w:hAnsi="宋体"/>
        </w:rPr>
        <w:t>、“服务”系指招标文件规定投标人须承担的安装、调试、技术协助、校准、培训、技术指导以及其他类似的义务。</w:t>
      </w:r>
    </w:p>
    <w:p>
      <w:pPr>
        <w:snapToGrid w:val="0"/>
        <w:spacing w:line="360" w:lineRule="auto"/>
        <w:ind w:firstLine="210" w:firstLineChars="100"/>
        <w:jc w:val="left"/>
        <w:rPr>
          <w:rFonts w:ascii="宋体"/>
        </w:rPr>
      </w:pPr>
      <w:r>
        <w:rPr>
          <w:rFonts w:ascii="宋体" w:hAnsi="宋体"/>
        </w:rPr>
        <w:t>5</w:t>
      </w:r>
      <w:r>
        <w:rPr>
          <w:rFonts w:hint="eastAsia" w:ascii="宋体" w:hAnsi="宋体"/>
        </w:rPr>
        <w:t>、“项目”系指投标人按招标文件规定向采购人提供的产品和服务。</w:t>
      </w:r>
    </w:p>
    <w:p>
      <w:pPr>
        <w:snapToGrid w:val="0"/>
        <w:spacing w:line="360" w:lineRule="auto"/>
        <w:ind w:firstLine="210" w:firstLineChars="100"/>
        <w:jc w:val="left"/>
        <w:rPr>
          <w:rFonts w:ascii="宋体"/>
        </w:rPr>
      </w:pPr>
      <w:r>
        <w:rPr>
          <w:rFonts w:ascii="宋体" w:hAnsi="宋体"/>
        </w:rPr>
        <w:t>6</w:t>
      </w:r>
      <w:r>
        <w:rPr>
          <w:rFonts w:hint="eastAsia" w:ascii="宋体" w:hAnsi="宋体"/>
        </w:rPr>
        <w:t>、“书面形式”包括信函、传真、电报、电子文档等。</w:t>
      </w:r>
    </w:p>
    <w:p>
      <w:pPr>
        <w:snapToGrid w:val="0"/>
        <w:spacing w:line="360" w:lineRule="auto"/>
        <w:ind w:firstLine="210" w:firstLineChars="100"/>
        <w:jc w:val="left"/>
        <w:rPr>
          <w:rFonts w:ascii="宋体"/>
        </w:rPr>
      </w:pPr>
      <w:r>
        <w:rPr>
          <w:rFonts w:ascii="宋体" w:hAnsi="宋体"/>
        </w:rPr>
        <w:t>7</w:t>
      </w:r>
      <w:r>
        <w:rPr>
          <w:rFonts w:hint="eastAsia" w:ascii="宋体" w:hAnsi="宋体"/>
        </w:rPr>
        <w:t>、本招标文件要求中，凡标有“★”的地方均被视为重要的技术指标要求或性能要求。投标人要特别加以注意，必须对此回答并完全满足这些要求。否则若有一项“★”的指标未响应或不满足，将按投标无效处理。</w:t>
      </w:r>
    </w:p>
    <w:p>
      <w:pPr>
        <w:snapToGrid w:val="0"/>
        <w:spacing w:line="312" w:lineRule="auto"/>
        <w:jc w:val="left"/>
        <w:outlineLvl w:val="1"/>
        <w:rPr>
          <w:rFonts w:ascii="宋体"/>
          <w:b/>
          <w:sz w:val="24"/>
        </w:rPr>
      </w:pPr>
      <w:r>
        <w:rPr>
          <w:rFonts w:hint="eastAsia" w:ascii="宋体" w:hAnsi="宋体"/>
          <w:b/>
          <w:sz w:val="24"/>
        </w:rPr>
        <w:t>（三）招标方式</w:t>
      </w:r>
    </w:p>
    <w:p>
      <w:pPr>
        <w:snapToGrid w:val="0"/>
        <w:spacing w:line="312" w:lineRule="auto"/>
        <w:ind w:firstLine="420" w:firstLineChars="200"/>
        <w:jc w:val="left"/>
        <w:rPr>
          <w:rFonts w:ascii="宋体"/>
        </w:rPr>
      </w:pPr>
      <w:r>
        <w:t>1</w:t>
      </w:r>
      <w:r>
        <w:rPr>
          <w:rFonts w:hint="eastAsia"/>
        </w:rPr>
        <w:t>、本次招标采用公开招标方式进行。</w:t>
      </w:r>
    </w:p>
    <w:p>
      <w:pPr>
        <w:snapToGrid w:val="0"/>
        <w:spacing w:line="312" w:lineRule="auto"/>
        <w:ind w:right="55" w:rightChars="26"/>
        <w:jc w:val="left"/>
        <w:outlineLvl w:val="1"/>
        <w:rPr>
          <w:rFonts w:ascii="宋体"/>
          <w:b/>
          <w:sz w:val="24"/>
        </w:rPr>
      </w:pPr>
      <w:r>
        <w:rPr>
          <w:rFonts w:hint="eastAsia" w:ascii="宋体" w:hAnsi="宋体"/>
          <w:b/>
          <w:sz w:val="24"/>
        </w:rPr>
        <w:t>（四）投标费用</w:t>
      </w:r>
    </w:p>
    <w:p>
      <w:pPr>
        <w:snapToGrid w:val="0"/>
        <w:spacing w:line="312" w:lineRule="auto"/>
        <w:ind w:right="55" w:rightChars="26" w:firstLine="630" w:firstLineChars="300"/>
        <w:jc w:val="left"/>
        <w:rPr>
          <w:rFonts w:ascii="宋体"/>
        </w:rPr>
      </w:pPr>
      <w:r>
        <w:rPr>
          <w:rFonts w:hint="eastAsia" w:ascii="宋体" w:hAnsi="宋体"/>
        </w:rPr>
        <w:t>不论投标结果如何，投标人均应自行承担所有与投标有关的全部费用（招标文件另有规定除外）。</w:t>
      </w:r>
    </w:p>
    <w:p>
      <w:pPr>
        <w:snapToGrid w:val="0"/>
        <w:spacing w:line="312" w:lineRule="auto"/>
        <w:ind w:right="55" w:rightChars="26"/>
        <w:jc w:val="left"/>
        <w:rPr>
          <w:rFonts w:ascii="宋体"/>
          <w:b/>
          <w:sz w:val="24"/>
        </w:rPr>
      </w:pPr>
      <w:r>
        <w:rPr>
          <w:rFonts w:hint="eastAsia" w:ascii="宋体" w:hAnsi="宋体"/>
          <w:b/>
          <w:sz w:val="24"/>
        </w:rPr>
        <w:t>（五）联合体投标</w:t>
      </w:r>
    </w:p>
    <w:p>
      <w:pPr>
        <w:pStyle w:val="89"/>
        <w:spacing w:line="312" w:lineRule="auto"/>
        <w:ind w:firstLine="420"/>
        <w:rPr>
          <w:rFonts w:ascii="宋体"/>
          <w:szCs w:val="21"/>
        </w:rPr>
      </w:pPr>
      <w:r>
        <w:rPr>
          <w:rFonts w:ascii="宋体" w:hAnsi="宋体"/>
          <w:szCs w:val="21"/>
        </w:rPr>
        <w:t>1</w:t>
      </w:r>
      <w:r>
        <w:rPr>
          <w:rFonts w:hint="eastAsia" w:ascii="宋体" w:hAnsi="宋体"/>
          <w:szCs w:val="21"/>
        </w:rPr>
        <w:t>、本项目不接受联合体投标。</w:t>
      </w:r>
    </w:p>
    <w:p>
      <w:pPr>
        <w:snapToGrid w:val="0"/>
        <w:spacing w:line="312" w:lineRule="auto"/>
        <w:ind w:right="55" w:rightChars="26"/>
        <w:rPr>
          <w:rFonts w:ascii="宋体"/>
          <w:b/>
          <w:sz w:val="24"/>
        </w:rPr>
      </w:pPr>
      <w:r>
        <w:rPr>
          <w:rFonts w:hint="eastAsia" w:ascii="宋体" w:hAnsi="宋体"/>
          <w:b/>
          <w:sz w:val="24"/>
        </w:rPr>
        <w:t>（六）转包与分包</w:t>
      </w:r>
    </w:p>
    <w:p>
      <w:pPr>
        <w:snapToGrid w:val="0"/>
        <w:spacing w:line="312" w:lineRule="auto"/>
        <w:ind w:right="55" w:rightChars="26" w:firstLine="525" w:firstLineChars="250"/>
        <w:rPr>
          <w:rFonts w:ascii="宋体"/>
        </w:rPr>
      </w:pPr>
      <w:r>
        <w:rPr>
          <w:rFonts w:ascii="宋体" w:hAnsi="宋体"/>
        </w:rPr>
        <w:t>1</w:t>
      </w:r>
      <w:r>
        <w:rPr>
          <w:rFonts w:hint="eastAsia" w:ascii="宋体" w:hAnsi="宋体"/>
        </w:rPr>
        <w:t>、本项目不允许转包。</w:t>
      </w:r>
    </w:p>
    <w:p>
      <w:pPr>
        <w:snapToGrid w:val="0"/>
        <w:spacing w:line="312" w:lineRule="auto"/>
        <w:ind w:right="55" w:rightChars="26" w:firstLine="525" w:firstLineChars="250"/>
        <w:rPr>
          <w:rFonts w:ascii="宋体"/>
        </w:rPr>
      </w:pPr>
      <w:r>
        <w:rPr>
          <w:rFonts w:ascii="宋体" w:hAnsi="宋体"/>
        </w:rPr>
        <w:t>2</w:t>
      </w:r>
      <w:r>
        <w:rPr>
          <w:rFonts w:hint="eastAsia" w:ascii="宋体" w:hAnsi="宋体"/>
        </w:rPr>
        <w:t>、本项目不允许分包。</w:t>
      </w:r>
    </w:p>
    <w:p>
      <w:pPr>
        <w:pStyle w:val="17"/>
        <w:snapToGrid w:val="0"/>
        <w:spacing w:line="360" w:lineRule="auto"/>
        <w:ind w:right="55" w:rightChars="26" w:firstLine="0"/>
        <w:rPr>
          <w:rFonts w:hAnsi="宋体"/>
          <w:b/>
          <w:sz w:val="24"/>
          <w:szCs w:val="24"/>
        </w:rPr>
      </w:pPr>
      <w:r>
        <w:rPr>
          <w:rFonts w:hint="eastAsia" w:hAnsi="宋体"/>
          <w:b/>
          <w:sz w:val="24"/>
          <w:szCs w:val="24"/>
        </w:rPr>
        <w:t>（七）特别说明：</w:t>
      </w:r>
    </w:p>
    <w:p>
      <w:pPr>
        <w:pStyle w:val="17"/>
        <w:snapToGrid w:val="0"/>
        <w:spacing w:line="360" w:lineRule="auto"/>
        <w:ind w:right="-86" w:rightChars="-41" w:firstLine="404" w:firstLineChars="200"/>
        <w:rPr>
          <w:rFonts w:hAnsi="宋体"/>
          <w:bCs/>
          <w:sz w:val="21"/>
        </w:rPr>
      </w:pPr>
      <w:r>
        <w:rPr>
          <w:rFonts w:hAnsi="宋体"/>
          <w:bCs/>
          <w:sz w:val="21"/>
        </w:rPr>
        <w:t>1</w:t>
      </w:r>
      <w:r>
        <w:rPr>
          <w:rFonts w:hint="eastAsia" w:hAnsi="宋体"/>
          <w:bCs/>
          <w:sz w:val="21"/>
        </w:rPr>
        <w:t>、提供相同品牌产品且通过资格审查、符合性审查的不同投标人参加同一合同项下投标的，按一家投标人计算，评审后得分最高的同品牌投标人获得中标人推荐资格；评审得分相同的，取报价最低一家为有效供应商；当报价相同时，则以技术标最优一家为有效供应商；均相同时，抽签决定。其他同品牌投标人不作为中标候选人。</w:t>
      </w:r>
    </w:p>
    <w:p>
      <w:pPr>
        <w:pStyle w:val="17"/>
        <w:snapToGrid w:val="0"/>
        <w:spacing w:line="360" w:lineRule="auto"/>
        <w:ind w:right="-86" w:rightChars="-41" w:firstLine="401" w:firstLineChars="199"/>
        <w:rPr>
          <w:rFonts w:hAnsi="宋体"/>
          <w:bCs/>
          <w:sz w:val="21"/>
        </w:rPr>
      </w:pPr>
      <w:r>
        <w:rPr>
          <w:rFonts w:hint="eastAsia" w:hAnsi="宋体"/>
          <w:bCs/>
          <w:sz w:val="21"/>
        </w:rPr>
        <w:t>非单一产品采购项目，采购人应当根据采购项目技术构成、产品价格比重等合理确定核心产品，并在招标文件中载明。多家投标人提供的核心产品品牌相同的，按以上规定处理。</w:t>
      </w:r>
    </w:p>
    <w:p>
      <w:pPr>
        <w:pStyle w:val="17"/>
        <w:snapToGrid w:val="0"/>
        <w:spacing w:line="360" w:lineRule="auto"/>
        <w:ind w:right="-86" w:rightChars="-41" w:firstLine="401" w:firstLineChars="199"/>
        <w:rPr>
          <w:rFonts w:hAnsi="宋体"/>
          <w:bCs/>
          <w:sz w:val="21"/>
        </w:rPr>
      </w:pPr>
      <w:r>
        <w:rPr>
          <w:rFonts w:hAnsi="宋体"/>
          <w:bCs/>
          <w:sz w:val="21"/>
        </w:rPr>
        <w:t>2</w:t>
      </w:r>
      <w:r>
        <w:rPr>
          <w:rFonts w:hint="eastAsia" w:hAnsi="宋体"/>
          <w:bCs/>
          <w:sz w:val="21"/>
        </w:rPr>
        <w:t>、投标人投标所使用的资格、信誉、荣誉、业绩与企业认证必须为本法人所拥有。投标人投标所使用的采购项目实施人员必须为本法人员工。</w:t>
      </w:r>
    </w:p>
    <w:p>
      <w:pPr>
        <w:pStyle w:val="17"/>
        <w:snapToGrid w:val="0"/>
        <w:spacing w:line="360" w:lineRule="auto"/>
        <w:ind w:right="-86" w:rightChars="-41"/>
        <w:rPr>
          <w:rFonts w:hAnsi="宋体"/>
          <w:bCs/>
          <w:sz w:val="21"/>
        </w:rPr>
      </w:pPr>
      <w:r>
        <w:rPr>
          <w:rFonts w:hAnsi="宋体"/>
          <w:bCs/>
          <w:sz w:val="21"/>
        </w:rPr>
        <w:t xml:space="preserve"> 3</w:t>
      </w:r>
      <w:r>
        <w:rPr>
          <w:rFonts w:hint="eastAsia" w:hAnsi="宋体"/>
          <w:bCs/>
          <w:sz w:val="21"/>
        </w:rPr>
        <w:t>、投标人应仔细阅读招标文件的所有内容，按照招标文件的要求提交投标文件，并对所提供的全部资料的真实性承担法律责任。</w:t>
      </w:r>
    </w:p>
    <w:p>
      <w:pPr>
        <w:snapToGrid w:val="0"/>
        <w:spacing w:before="120" w:line="360" w:lineRule="auto"/>
        <w:outlineLvl w:val="1"/>
        <w:rPr>
          <w:rFonts w:hAnsi="宋体"/>
          <w:b/>
          <w:sz w:val="24"/>
          <w:szCs w:val="24"/>
        </w:rPr>
      </w:pPr>
      <w:r>
        <w:rPr>
          <w:rFonts w:hint="eastAsia" w:hAnsi="宋体"/>
          <w:b/>
          <w:sz w:val="24"/>
          <w:szCs w:val="24"/>
        </w:rPr>
        <w:t>（八）质疑</w:t>
      </w:r>
    </w:p>
    <w:p>
      <w:pPr>
        <w:widowControl/>
        <w:snapToGrid w:val="0"/>
        <w:spacing w:before="120" w:line="360" w:lineRule="auto"/>
        <w:ind w:firstLine="420" w:firstLineChars="200"/>
        <w:outlineLvl w:val="1"/>
        <w:rPr>
          <w:rFonts w:hAnsi="宋体" w:cs="宋体"/>
          <w:bCs/>
          <w:szCs w:val="21"/>
        </w:rPr>
      </w:pPr>
      <w:r>
        <w:rPr>
          <w:rFonts w:hint="eastAsia" w:hAnsi="宋体" w:cs="宋体"/>
          <w:bCs/>
          <w:szCs w:val="21"/>
        </w:rPr>
        <w:t>投标人应当自知道或者应当知道其合法权益受到损害之日起七个工作日内提出质疑。</w:t>
      </w:r>
    </w:p>
    <w:p>
      <w:pPr>
        <w:widowControl/>
        <w:snapToGrid w:val="0"/>
        <w:spacing w:before="120" w:line="360" w:lineRule="auto"/>
        <w:ind w:firstLine="420" w:firstLineChars="200"/>
        <w:outlineLvl w:val="1"/>
        <w:rPr>
          <w:rFonts w:ascii="宋体" w:cs="宋体"/>
          <w:bCs/>
          <w:szCs w:val="21"/>
        </w:rPr>
      </w:pPr>
      <w:r>
        <w:rPr>
          <w:rFonts w:ascii="宋体" w:hAnsi="宋体" w:cs="宋体"/>
          <w:bCs/>
          <w:szCs w:val="21"/>
        </w:rPr>
        <w:t>1</w:t>
      </w:r>
      <w:r>
        <w:rPr>
          <w:rFonts w:hint="eastAsia" w:ascii="宋体" w:hAnsi="宋体" w:cs="宋体"/>
          <w:bCs/>
          <w:szCs w:val="21"/>
        </w:rPr>
        <w:t>、对可以质疑的采购文件提出质疑的，为收到采购文件之日或者采购文件公告期限届满之日；</w:t>
      </w:r>
    </w:p>
    <w:p>
      <w:pPr>
        <w:widowControl/>
        <w:snapToGrid w:val="0"/>
        <w:spacing w:before="120" w:line="360" w:lineRule="auto"/>
        <w:ind w:firstLine="420" w:firstLineChars="200"/>
        <w:outlineLvl w:val="1"/>
        <w:rPr>
          <w:rFonts w:ascii="宋体" w:cs="宋体"/>
          <w:bCs/>
          <w:szCs w:val="21"/>
        </w:rPr>
      </w:pPr>
      <w:r>
        <w:rPr>
          <w:rFonts w:ascii="宋体" w:hAnsi="宋体" w:cs="宋体"/>
          <w:bCs/>
          <w:szCs w:val="21"/>
        </w:rPr>
        <w:t>2</w:t>
      </w:r>
      <w:r>
        <w:rPr>
          <w:rFonts w:hint="eastAsia" w:ascii="宋体" w:hAnsi="宋体" w:cs="宋体"/>
          <w:bCs/>
          <w:szCs w:val="21"/>
        </w:rPr>
        <w:t>、对采购过程提出质疑的，为各采购程序环节结束之日；</w:t>
      </w:r>
    </w:p>
    <w:p>
      <w:pPr>
        <w:widowControl/>
        <w:snapToGrid w:val="0"/>
        <w:spacing w:before="120" w:line="360" w:lineRule="auto"/>
        <w:ind w:firstLine="420" w:firstLineChars="200"/>
        <w:outlineLvl w:val="1"/>
        <w:rPr>
          <w:rFonts w:ascii="宋体" w:cs="宋体"/>
          <w:bCs/>
          <w:szCs w:val="21"/>
        </w:rPr>
      </w:pPr>
      <w:r>
        <w:rPr>
          <w:rFonts w:ascii="宋体" w:hAnsi="宋体" w:cs="宋体"/>
          <w:bCs/>
          <w:szCs w:val="21"/>
        </w:rPr>
        <w:t>3</w:t>
      </w:r>
      <w:r>
        <w:rPr>
          <w:rFonts w:hint="eastAsia" w:ascii="宋体" w:hAnsi="宋体" w:cs="宋体"/>
          <w:bCs/>
          <w:szCs w:val="21"/>
        </w:rPr>
        <w:t>、对中标或者成交结果提出质疑的，为中标或者成交结果公告期限届满之日。</w:t>
      </w:r>
    </w:p>
    <w:p>
      <w:pPr>
        <w:widowControl/>
        <w:snapToGrid w:val="0"/>
        <w:spacing w:before="120" w:line="360" w:lineRule="auto"/>
        <w:ind w:firstLine="420" w:firstLineChars="200"/>
        <w:outlineLvl w:val="1"/>
        <w:rPr>
          <w:rFonts w:hAnsi="宋体" w:cs="宋体"/>
          <w:bCs/>
          <w:szCs w:val="21"/>
        </w:rPr>
      </w:pPr>
      <w:r>
        <w:rPr>
          <w:rFonts w:hAnsi="宋体" w:cs="宋体"/>
          <w:bCs/>
          <w:szCs w:val="21"/>
        </w:rPr>
        <w:t>4</w:t>
      </w:r>
      <w:r>
        <w:rPr>
          <w:rFonts w:hint="eastAsia" w:hAnsi="宋体" w:cs="宋体"/>
          <w:bCs/>
          <w:szCs w:val="21"/>
        </w:rPr>
        <w:t>、质疑书应包括下列主要内容：</w:t>
      </w:r>
    </w:p>
    <w:p>
      <w:pPr>
        <w:widowControl/>
        <w:snapToGrid w:val="0"/>
        <w:spacing w:before="120" w:line="360" w:lineRule="auto"/>
        <w:ind w:firstLine="420" w:firstLineChars="200"/>
        <w:outlineLvl w:val="1"/>
        <w:rPr>
          <w:rFonts w:hAnsi="宋体" w:cs="宋体"/>
          <w:bCs/>
          <w:szCs w:val="21"/>
        </w:rPr>
      </w:pPr>
      <w:r>
        <w:rPr>
          <w:rFonts w:hint="eastAsia" w:hAnsi="宋体" w:cs="宋体"/>
          <w:bCs/>
          <w:szCs w:val="21"/>
        </w:rPr>
        <w:t>①质疑人的名称、地址、邮政编码、联系人、联系电话，以及被质疑人名称及联系方式；</w:t>
      </w:r>
    </w:p>
    <w:p>
      <w:pPr>
        <w:widowControl/>
        <w:snapToGrid w:val="0"/>
        <w:spacing w:before="120" w:line="360" w:lineRule="auto"/>
        <w:ind w:firstLine="420" w:firstLineChars="200"/>
        <w:outlineLvl w:val="1"/>
        <w:rPr>
          <w:rFonts w:hAnsi="宋体" w:cs="宋体"/>
          <w:bCs/>
          <w:szCs w:val="21"/>
        </w:rPr>
      </w:pPr>
      <w:r>
        <w:rPr>
          <w:rFonts w:hint="eastAsia" w:hAnsi="宋体" w:cs="宋体"/>
          <w:bCs/>
          <w:szCs w:val="21"/>
        </w:rPr>
        <w:t>②被质疑采购项目名称、编号及采购内容；</w:t>
      </w:r>
    </w:p>
    <w:p>
      <w:pPr>
        <w:widowControl/>
        <w:snapToGrid w:val="0"/>
        <w:spacing w:before="120" w:line="360" w:lineRule="auto"/>
        <w:ind w:firstLine="420" w:firstLineChars="200"/>
        <w:outlineLvl w:val="1"/>
        <w:rPr>
          <w:rFonts w:hAnsi="宋体" w:cs="宋体"/>
          <w:bCs/>
          <w:szCs w:val="21"/>
        </w:rPr>
      </w:pPr>
      <w:r>
        <w:rPr>
          <w:rFonts w:hint="eastAsia" w:hAnsi="宋体" w:cs="宋体"/>
          <w:bCs/>
          <w:szCs w:val="21"/>
        </w:rPr>
        <w:t>③具体的质疑事项及事实依据；</w:t>
      </w:r>
    </w:p>
    <w:p>
      <w:pPr>
        <w:widowControl/>
        <w:snapToGrid w:val="0"/>
        <w:spacing w:before="120" w:line="360" w:lineRule="auto"/>
        <w:ind w:firstLine="420" w:firstLineChars="200"/>
        <w:outlineLvl w:val="1"/>
        <w:rPr>
          <w:rFonts w:hAnsi="宋体" w:cs="宋体"/>
          <w:bCs/>
          <w:szCs w:val="21"/>
        </w:rPr>
      </w:pPr>
      <w:r>
        <w:rPr>
          <w:rFonts w:hint="eastAsia" w:hAnsi="宋体" w:cs="宋体"/>
          <w:bCs/>
          <w:szCs w:val="21"/>
        </w:rPr>
        <w:t>④认为自己合法权益受到损害或可能受到损害的相关证据材料；</w:t>
      </w:r>
    </w:p>
    <w:p>
      <w:pPr>
        <w:widowControl/>
        <w:snapToGrid w:val="0"/>
        <w:spacing w:before="120" w:line="360" w:lineRule="auto"/>
        <w:ind w:firstLine="420" w:firstLineChars="200"/>
        <w:outlineLvl w:val="1"/>
        <w:rPr>
          <w:rFonts w:hAnsi="宋体" w:cs="宋体"/>
          <w:bCs/>
          <w:szCs w:val="21"/>
        </w:rPr>
      </w:pPr>
      <w:r>
        <w:rPr>
          <w:rFonts w:hint="eastAsia" w:hAnsi="宋体" w:cs="宋体"/>
          <w:bCs/>
          <w:szCs w:val="21"/>
        </w:rPr>
        <w:t>⑤提出质疑的日期。</w:t>
      </w:r>
    </w:p>
    <w:p>
      <w:pPr>
        <w:widowControl/>
        <w:snapToGrid w:val="0"/>
        <w:spacing w:before="120" w:line="360" w:lineRule="auto"/>
        <w:ind w:firstLine="420" w:firstLineChars="200"/>
        <w:outlineLvl w:val="1"/>
        <w:rPr>
          <w:rFonts w:hAnsi="宋体" w:cs="宋体"/>
          <w:bCs/>
          <w:szCs w:val="21"/>
        </w:rPr>
      </w:pPr>
      <w:r>
        <w:rPr>
          <w:rFonts w:hint="eastAsia" w:hAnsi="宋体" w:cs="宋体"/>
          <w:bCs/>
          <w:szCs w:val="21"/>
        </w:rPr>
        <w:t>供应商在法定质疑期内一次性提出针对同一采购程序环节的质疑。</w:t>
      </w:r>
    </w:p>
    <w:p>
      <w:pPr>
        <w:snapToGrid w:val="0"/>
        <w:spacing w:before="120" w:line="312" w:lineRule="auto"/>
        <w:ind w:right="-506" w:rightChars="-241" w:firstLine="3795" w:firstLineChars="1350"/>
        <w:rPr>
          <w:rFonts w:hAnsi="宋体"/>
          <w:b/>
          <w:sz w:val="28"/>
        </w:rPr>
      </w:pPr>
    </w:p>
    <w:p>
      <w:pPr>
        <w:snapToGrid w:val="0"/>
        <w:spacing w:before="120" w:line="312" w:lineRule="auto"/>
        <w:ind w:right="-506" w:rightChars="-241" w:firstLine="3795" w:firstLineChars="1350"/>
        <w:rPr>
          <w:rFonts w:hAnsi="宋体"/>
          <w:b/>
          <w:sz w:val="28"/>
        </w:rPr>
      </w:pPr>
      <w:r>
        <w:rPr>
          <w:rFonts w:hint="eastAsia" w:hAnsi="宋体"/>
          <w:b/>
          <w:sz w:val="28"/>
        </w:rPr>
        <w:t>二、招标文件</w:t>
      </w:r>
    </w:p>
    <w:p>
      <w:pPr>
        <w:snapToGrid w:val="0"/>
        <w:spacing w:line="360" w:lineRule="auto"/>
        <w:ind w:right="-341"/>
        <w:jc w:val="left"/>
        <w:rPr>
          <w:rFonts w:ascii="宋体"/>
          <w:b/>
          <w:sz w:val="24"/>
        </w:rPr>
      </w:pPr>
      <w:r>
        <w:rPr>
          <w:rFonts w:hint="eastAsia" w:ascii="宋体" w:hAnsi="宋体"/>
          <w:b/>
          <w:sz w:val="24"/>
        </w:rPr>
        <w:t>（一）招标文件的构成。本招标文件由以下部份组成：</w:t>
      </w:r>
    </w:p>
    <w:p>
      <w:pPr>
        <w:snapToGrid w:val="0"/>
        <w:spacing w:line="360" w:lineRule="auto"/>
        <w:ind w:right="-341" w:firstLine="420" w:firstLineChars="200"/>
        <w:jc w:val="left"/>
        <w:rPr>
          <w:rFonts w:ascii="宋体"/>
        </w:rPr>
      </w:pPr>
      <w:r>
        <w:rPr>
          <w:rFonts w:ascii="宋体" w:hAnsi="宋体"/>
        </w:rPr>
        <w:t>1</w:t>
      </w:r>
      <w:r>
        <w:rPr>
          <w:rFonts w:hint="eastAsia" w:ascii="宋体" w:hAnsi="宋体"/>
        </w:rPr>
        <w:t>、招标公告</w:t>
      </w:r>
    </w:p>
    <w:p>
      <w:pPr>
        <w:snapToGrid w:val="0"/>
        <w:spacing w:line="360" w:lineRule="auto"/>
        <w:ind w:right="-341" w:firstLine="420" w:firstLineChars="200"/>
        <w:jc w:val="left"/>
        <w:rPr>
          <w:rFonts w:ascii="宋体"/>
        </w:rPr>
      </w:pPr>
      <w:r>
        <w:rPr>
          <w:rFonts w:ascii="宋体" w:hAnsi="宋体"/>
        </w:rPr>
        <w:t>2</w:t>
      </w:r>
      <w:r>
        <w:rPr>
          <w:rFonts w:hint="eastAsia" w:ascii="宋体" w:hAnsi="宋体"/>
        </w:rPr>
        <w:t>、招标需求</w:t>
      </w:r>
    </w:p>
    <w:p>
      <w:pPr>
        <w:snapToGrid w:val="0"/>
        <w:spacing w:line="360" w:lineRule="auto"/>
        <w:ind w:right="-341" w:firstLine="420" w:firstLineChars="200"/>
        <w:jc w:val="left"/>
        <w:rPr>
          <w:rFonts w:ascii="宋体"/>
        </w:rPr>
      </w:pPr>
      <w:r>
        <w:rPr>
          <w:rFonts w:ascii="宋体" w:hAnsi="宋体"/>
        </w:rPr>
        <w:t>3</w:t>
      </w:r>
      <w:r>
        <w:rPr>
          <w:rFonts w:hint="eastAsia" w:ascii="宋体" w:hAnsi="宋体"/>
        </w:rPr>
        <w:t>、投标人须知</w:t>
      </w:r>
    </w:p>
    <w:p>
      <w:pPr>
        <w:snapToGrid w:val="0"/>
        <w:spacing w:line="360" w:lineRule="auto"/>
        <w:ind w:right="-341" w:firstLine="420" w:firstLineChars="200"/>
        <w:jc w:val="left"/>
        <w:rPr>
          <w:rFonts w:ascii="宋体"/>
        </w:rPr>
      </w:pPr>
      <w:r>
        <w:rPr>
          <w:rFonts w:ascii="宋体" w:hAnsi="宋体"/>
        </w:rPr>
        <w:t>4</w:t>
      </w:r>
      <w:r>
        <w:rPr>
          <w:rFonts w:hint="eastAsia" w:ascii="宋体" w:hAnsi="宋体"/>
        </w:rPr>
        <w:t>、评标办法及标准</w:t>
      </w:r>
    </w:p>
    <w:p>
      <w:pPr>
        <w:snapToGrid w:val="0"/>
        <w:spacing w:line="360" w:lineRule="auto"/>
        <w:ind w:right="-341" w:firstLine="420" w:firstLineChars="200"/>
        <w:jc w:val="left"/>
        <w:rPr>
          <w:rFonts w:ascii="宋体"/>
        </w:rPr>
      </w:pPr>
      <w:r>
        <w:rPr>
          <w:rFonts w:ascii="宋体" w:hAnsi="宋体"/>
        </w:rPr>
        <w:t>5</w:t>
      </w:r>
      <w:r>
        <w:rPr>
          <w:rFonts w:hint="eastAsia" w:ascii="宋体" w:hAnsi="宋体"/>
        </w:rPr>
        <w:t>、合同主要条款</w:t>
      </w:r>
    </w:p>
    <w:p>
      <w:pPr>
        <w:snapToGrid w:val="0"/>
        <w:spacing w:line="360" w:lineRule="auto"/>
        <w:ind w:right="-341" w:firstLine="420" w:firstLineChars="200"/>
        <w:jc w:val="left"/>
        <w:rPr>
          <w:rFonts w:ascii="宋体"/>
        </w:rPr>
      </w:pPr>
      <w:r>
        <w:rPr>
          <w:rFonts w:ascii="宋体" w:hAnsi="宋体"/>
        </w:rPr>
        <w:t>6</w:t>
      </w:r>
      <w:r>
        <w:rPr>
          <w:rFonts w:hint="eastAsia" w:ascii="宋体" w:hAnsi="宋体"/>
        </w:rPr>
        <w:t>、投标文件格式</w:t>
      </w:r>
    </w:p>
    <w:p>
      <w:pPr>
        <w:snapToGrid w:val="0"/>
        <w:spacing w:line="360" w:lineRule="auto"/>
        <w:ind w:right="-341" w:firstLine="420" w:firstLineChars="200"/>
        <w:jc w:val="left"/>
        <w:rPr>
          <w:rFonts w:ascii="宋体"/>
        </w:rPr>
      </w:pPr>
      <w:r>
        <w:rPr>
          <w:rFonts w:ascii="宋体" w:hAnsi="宋体"/>
        </w:rPr>
        <w:t>7</w:t>
      </w:r>
      <w:r>
        <w:rPr>
          <w:rFonts w:hint="eastAsia" w:ascii="宋体" w:hAnsi="宋体"/>
        </w:rPr>
        <w:t>、本项目招标文件的澄清、答复、修改、补充的内容</w:t>
      </w:r>
    </w:p>
    <w:p>
      <w:pPr>
        <w:snapToGrid w:val="0"/>
        <w:spacing w:line="360" w:lineRule="auto"/>
        <w:ind w:right="-87"/>
        <w:jc w:val="left"/>
        <w:rPr>
          <w:rFonts w:ascii="宋体"/>
          <w:b/>
          <w:sz w:val="24"/>
        </w:rPr>
      </w:pPr>
      <w:r>
        <w:rPr>
          <w:rFonts w:hint="eastAsia" w:ascii="宋体" w:hAnsi="宋体"/>
          <w:b/>
          <w:sz w:val="24"/>
        </w:rPr>
        <w:t>（二）投标人的风险</w:t>
      </w:r>
    </w:p>
    <w:p>
      <w:pPr>
        <w:spacing w:line="360" w:lineRule="auto"/>
        <w:ind w:right="-506" w:rightChars="-241" w:firstLine="420"/>
        <w:rPr>
          <w:rFonts w:ascii="宋体"/>
        </w:rPr>
      </w:pPr>
      <w:r>
        <w:rPr>
          <w:rFonts w:hint="eastAsia" w:ascii="宋体"/>
        </w:rPr>
        <w:t>投标人没有按照招标文件要求提供全部资料，或者投标人没有对招标文件在各方面作出实质性响应是投标人的风险，并可能导致其投标被拒绝。</w:t>
      </w:r>
    </w:p>
    <w:p>
      <w:pPr>
        <w:tabs>
          <w:tab w:val="left" w:pos="454"/>
          <w:tab w:val="left" w:pos="720"/>
          <w:tab w:val="left" w:pos="900"/>
        </w:tabs>
        <w:snapToGrid w:val="0"/>
        <w:spacing w:line="360" w:lineRule="auto"/>
        <w:ind w:left="247" w:right="-87" w:hanging="247" w:hangingChars="117"/>
        <w:rPr>
          <w:rFonts w:ascii="宋体"/>
          <w:b/>
        </w:rPr>
      </w:pPr>
      <w:r>
        <w:rPr>
          <w:rFonts w:hint="eastAsia" w:ascii="宋体" w:hAnsi="宋体"/>
          <w:b/>
        </w:rPr>
        <w:t>（三）招标文件的澄清与修改</w:t>
      </w:r>
    </w:p>
    <w:p>
      <w:pPr>
        <w:widowControl/>
        <w:snapToGrid w:val="0"/>
        <w:spacing w:before="120" w:line="360" w:lineRule="auto"/>
        <w:ind w:right="-87" w:firstLine="415" w:firstLineChars="198"/>
        <w:rPr>
          <w:rFonts w:hAnsi="宋体"/>
          <w:szCs w:val="21"/>
        </w:rPr>
      </w:pPr>
      <w:r>
        <w:rPr>
          <w:rFonts w:hAnsi="宋体"/>
          <w:szCs w:val="21"/>
        </w:rPr>
        <w:t>1</w:t>
      </w:r>
      <w:r>
        <w:rPr>
          <w:rFonts w:hint="eastAsia" w:hAnsi="宋体"/>
          <w:szCs w:val="21"/>
        </w:rPr>
        <w:t>、投标人应认真阅读本招标文件，发现其中有误或有要求不合理的，投标人必须在投标截止前</w:t>
      </w:r>
      <w:r>
        <w:rPr>
          <w:rFonts w:hAnsi="宋体"/>
          <w:szCs w:val="21"/>
        </w:rPr>
        <w:t>15</w:t>
      </w:r>
      <w:r>
        <w:rPr>
          <w:rFonts w:hint="eastAsia" w:hAnsi="宋体"/>
          <w:szCs w:val="21"/>
        </w:rPr>
        <w:t>天内以书面形式要求招标采购单位澄清。招标采购单位对已发出的招标文件进行必要澄清、答复、修改或补充的，应当在招标文件要求提交投标文件截止时间</w:t>
      </w:r>
      <w:r>
        <w:rPr>
          <w:rFonts w:hAnsi="宋体"/>
          <w:szCs w:val="21"/>
        </w:rPr>
        <w:t>15</w:t>
      </w:r>
      <w:r>
        <w:rPr>
          <w:rFonts w:hint="eastAsia" w:hAnsi="宋体"/>
          <w:szCs w:val="21"/>
        </w:rPr>
        <w:t>天前，在财政部门指定的政府采购信息发布媒体上发布更正公告，并通知所有已报名的潜在投标人。</w:t>
      </w:r>
    </w:p>
    <w:p>
      <w:pPr>
        <w:widowControl/>
        <w:snapToGrid w:val="0"/>
        <w:spacing w:before="120" w:line="360" w:lineRule="auto"/>
        <w:ind w:right="-87" w:firstLine="415" w:firstLineChars="198"/>
        <w:rPr>
          <w:rFonts w:hAnsi="宋体"/>
          <w:szCs w:val="21"/>
        </w:rPr>
      </w:pPr>
      <w:r>
        <w:rPr>
          <w:rFonts w:hAnsi="宋体"/>
          <w:szCs w:val="21"/>
        </w:rPr>
        <w:t>2</w:t>
      </w:r>
      <w:r>
        <w:rPr>
          <w:rFonts w:hint="eastAsia" w:hAnsi="宋体"/>
          <w:szCs w:val="21"/>
        </w:rPr>
        <w:t>、招标文件的答复、澄清、修改、补充通知实质上改变采购需求相关内容，且自招标文件的答复、澄清、修改、补充通知发出之日起至投标截止时间止不足</w:t>
      </w:r>
      <w:r>
        <w:rPr>
          <w:rFonts w:hAnsi="宋体"/>
          <w:szCs w:val="21"/>
        </w:rPr>
        <w:t>15</w:t>
      </w:r>
      <w:r>
        <w:rPr>
          <w:rFonts w:hint="eastAsia" w:hAnsi="宋体"/>
          <w:szCs w:val="21"/>
        </w:rPr>
        <w:t>天的，招标采购单位可视情况推迟投标截止时间和开标时间，按规定在财政部门指定的政府采购信息发布媒体上发布变更公告，并将变更后的时间通知所有已报名的潜在投标人。</w:t>
      </w:r>
    </w:p>
    <w:p>
      <w:pPr>
        <w:widowControl/>
        <w:snapToGrid w:val="0"/>
        <w:spacing w:before="120" w:line="360" w:lineRule="auto"/>
        <w:ind w:right="-87" w:firstLine="415" w:firstLineChars="198"/>
        <w:rPr>
          <w:rFonts w:hAnsi="宋体"/>
          <w:szCs w:val="21"/>
        </w:rPr>
      </w:pPr>
      <w:r>
        <w:rPr>
          <w:rFonts w:hAnsi="宋体"/>
          <w:szCs w:val="21"/>
        </w:rPr>
        <w:t>3</w:t>
      </w:r>
      <w:r>
        <w:rPr>
          <w:rFonts w:hint="eastAsia" w:hAnsi="宋体"/>
          <w:szCs w:val="21"/>
        </w:rPr>
        <w:t>、招标文件澄清、答复、修改、补充的内容为采购文件的组成部分。当招标文件与招标文件的答复、澄清、修改、补充通知就同一内容的表述不一致时，以最后发出的变更公告为准。</w:t>
      </w:r>
    </w:p>
    <w:p>
      <w:pPr>
        <w:snapToGrid w:val="0"/>
        <w:spacing w:before="120" w:line="360" w:lineRule="auto"/>
        <w:ind w:right="-506" w:rightChars="-241" w:firstLine="420" w:firstLineChars="200"/>
        <w:rPr>
          <w:rFonts w:hAnsi="宋体"/>
          <w:szCs w:val="21"/>
        </w:rPr>
      </w:pPr>
      <w:r>
        <w:rPr>
          <w:rFonts w:hAnsi="宋体"/>
          <w:szCs w:val="21"/>
        </w:rPr>
        <w:t>4</w:t>
      </w:r>
      <w:r>
        <w:rPr>
          <w:rFonts w:hint="eastAsia" w:hAnsi="宋体"/>
          <w:szCs w:val="21"/>
        </w:rPr>
        <w:t>、招标文件的澄清、答复、修改或补充都应该通过本代理机构以法定形式发布。</w:t>
      </w:r>
    </w:p>
    <w:p>
      <w:pPr>
        <w:snapToGrid w:val="0"/>
        <w:spacing w:before="120" w:line="360" w:lineRule="auto"/>
        <w:ind w:right="-87" w:firstLine="2923" w:firstLineChars="1040"/>
        <w:outlineLvl w:val="1"/>
        <w:rPr>
          <w:rFonts w:hAnsi="宋体"/>
          <w:b/>
          <w:sz w:val="28"/>
        </w:rPr>
      </w:pPr>
      <w:r>
        <w:rPr>
          <w:rFonts w:hint="eastAsia" w:hAnsi="宋体"/>
          <w:b/>
          <w:sz w:val="28"/>
        </w:rPr>
        <w:t>三、投标文件的编制</w:t>
      </w:r>
    </w:p>
    <w:p>
      <w:pPr>
        <w:snapToGrid w:val="0"/>
        <w:spacing w:line="360" w:lineRule="auto"/>
        <w:ind w:right="-87" w:firstLine="354" w:firstLineChars="147"/>
        <w:jc w:val="left"/>
        <w:outlineLvl w:val="0"/>
        <w:rPr>
          <w:rFonts w:ascii="宋体"/>
          <w:b/>
          <w:sz w:val="24"/>
        </w:rPr>
      </w:pPr>
    </w:p>
    <w:p>
      <w:pPr>
        <w:pStyle w:val="3"/>
        <w:spacing w:after="0" w:line="336" w:lineRule="auto"/>
        <w:ind w:firstLine="211" w:firstLineChars="100"/>
        <w:rPr>
          <w:rFonts w:ascii="宋体"/>
          <w:b/>
          <w:sz w:val="21"/>
          <w:szCs w:val="21"/>
        </w:rPr>
      </w:pPr>
      <w:r>
        <w:rPr>
          <w:rFonts w:hint="eastAsia" w:ascii="宋体" w:hAnsi="宋体"/>
          <w:b/>
          <w:kern w:val="2"/>
          <w:sz w:val="21"/>
          <w:szCs w:val="21"/>
        </w:rPr>
        <w:t>（一）投标文件的签署</w:t>
      </w:r>
    </w:p>
    <w:p>
      <w:pPr>
        <w:pStyle w:val="3"/>
        <w:spacing w:after="0" w:line="336" w:lineRule="auto"/>
        <w:ind w:firstLine="420"/>
        <w:rPr>
          <w:rFonts w:ascii="Times New Roman" w:hAnsi="Times New Roman"/>
          <w:b/>
          <w:bCs/>
          <w:sz w:val="21"/>
          <w:szCs w:val="21"/>
        </w:rPr>
      </w:pPr>
      <w:r>
        <w:rPr>
          <w:rFonts w:ascii="Times New Roman" w:hAnsi="Times New Roman"/>
          <w:b/>
          <w:bCs/>
          <w:kern w:val="2"/>
          <w:sz w:val="21"/>
          <w:szCs w:val="21"/>
        </w:rPr>
        <w:t>1.1</w:t>
      </w:r>
      <w:r>
        <w:rPr>
          <w:rFonts w:hint="eastAsia" w:ascii="Times New Roman" w:hAnsi="Times New Roman"/>
          <w:b/>
          <w:bCs/>
          <w:kern w:val="2"/>
          <w:sz w:val="21"/>
          <w:szCs w:val="21"/>
        </w:rPr>
        <w:t>电子投标文件部分：</w:t>
      </w:r>
    </w:p>
    <w:p>
      <w:pPr>
        <w:pStyle w:val="3"/>
        <w:spacing w:after="0" w:line="336" w:lineRule="auto"/>
        <w:ind w:firstLine="420"/>
        <w:rPr>
          <w:rFonts w:ascii="Times New Roman" w:hAnsi="Times New Roman"/>
          <w:sz w:val="21"/>
          <w:szCs w:val="21"/>
        </w:rPr>
      </w:pPr>
      <w:r>
        <w:rPr>
          <w:rFonts w:hint="eastAsia" w:ascii="Times New Roman" w:hAnsi="Times New Roman"/>
          <w:kern w:val="2"/>
          <w:sz w:val="21"/>
          <w:szCs w:val="21"/>
        </w:rPr>
        <w:t>投标人应根据“政采云供应商项目采购</w:t>
      </w:r>
      <w:r>
        <w:rPr>
          <w:rFonts w:ascii="Times New Roman" w:hAnsi="Times New Roman"/>
          <w:kern w:val="2"/>
          <w:sz w:val="21"/>
          <w:szCs w:val="21"/>
        </w:rPr>
        <w:t>-</w:t>
      </w:r>
      <w:r>
        <w:rPr>
          <w:rFonts w:hint="eastAsia" w:ascii="Times New Roman" w:hAnsi="Times New Roman"/>
          <w:kern w:val="2"/>
          <w:sz w:val="21"/>
          <w:szCs w:val="21"/>
        </w:rPr>
        <w:t>电子交易操作指南”及本招标文件规定的格式和顺序编制电子投标文件并进行关联定位。</w:t>
      </w:r>
    </w:p>
    <w:p>
      <w:pPr>
        <w:pStyle w:val="3"/>
        <w:spacing w:after="0" w:line="336" w:lineRule="auto"/>
        <w:ind w:firstLine="420"/>
        <w:rPr>
          <w:rFonts w:ascii="Times New Roman" w:hAnsi="Times New Roman"/>
          <w:b/>
          <w:bCs/>
          <w:sz w:val="21"/>
          <w:szCs w:val="21"/>
        </w:rPr>
      </w:pPr>
      <w:r>
        <w:rPr>
          <w:rFonts w:ascii="Times New Roman" w:hAnsi="Times New Roman"/>
          <w:b/>
          <w:bCs/>
          <w:kern w:val="2"/>
          <w:sz w:val="21"/>
          <w:szCs w:val="21"/>
        </w:rPr>
        <w:t>1.2</w:t>
      </w:r>
      <w:r>
        <w:rPr>
          <w:rFonts w:hint="eastAsia" w:ascii="Times New Roman" w:hAnsi="Times New Roman"/>
          <w:b/>
          <w:bCs/>
          <w:kern w:val="2"/>
          <w:sz w:val="21"/>
          <w:szCs w:val="21"/>
        </w:rPr>
        <w:t>备份投标文件部分：</w:t>
      </w:r>
    </w:p>
    <w:p>
      <w:pPr>
        <w:pStyle w:val="109"/>
        <w:snapToGrid w:val="0"/>
        <w:spacing w:before="120" w:after="120" w:line="336" w:lineRule="auto"/>
        <w:ind w:right="-506" w:rightChars="-241" w:firstLine="420" w:firstLineChars="200"/>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1</w:t>
      </w:r>
      <w:r>
        <w:rPr>
          <w:rFonts w:hint="eastAsia" w:ascii="Times New Roman" w:hAnsi="Times New Roman" w:eastAsia="宋体"/>
          <w:sz w:val="21"/>
          <w:szCs w:val="21"/>
        </w:rPr>
        <w:t>）以介质存储的数据电文形式的备份投标文件，按政采云平台项目采购</w:t>
      </w:r>
      <w:r>
        <w:rPr>
          <w:rFonts w:ascii="Times New Roman" w:hAnsi="Times New Roman" w:eastAsia="宋体"/>
          <w:sz w:val="21"/>
          <w:szCs w:val="21"/>
        </w:rPr>
        <w:t>-</w:t>
      </w:r>
      <w:r>
        <w:rPr>
          <w:rFonts w:hint="eastAsia" w:ascii="Times New Roman" w:hAnsi="Times New Roman" w:eastAsia="宋体"/>
          <w:sz w:val="21"/>
          <w:szCs w:val="21"/>
        </w:rPr>
        <w:t>电子交易操作指南中上传的电子投标文件格式，以</w:t>
      </w:r>
      <w:r>
        <w:rPr>
          <w:rFonts w:ascii="Times New Roman" w:hAnsi="Times New Roman" w:eastAsia="宋体"/>
          <w:sz w:val="21"/>
          <w:szCs w:val="21"/>
        </w:rPr>
        <w:t>U</w:t>
      </w:r>
      <w:r>
        <w:rPr>
          <w:rFonts w:hint="eastAsia" w:ascii="Times New Roman" w:hAnsi="Times New Roman" w:eastAsia="宋体"/>
          <w:sz w:val="21"/>
          <w:szCs w:val="21"/>
        </w:rPr>
        <w:t>盘形式存储提供。数量为</w:t>
      </w:r>
      <w:r>
        <w:rPr>
          <w:rFonts w:ascii="Times New Roman" w:hAnsi="Times New Roman" w:eastAsia="宋体"/>
          <w:sz w:val="21"/>
          <w:szCs w:val="21"/>
        </w:rPr>
        <w:t>1</w:t>
      </w:r>
      <w:r>
        <w:rPr>
          <w:rFonts w:hint="eastAsia" w:ascii="Times New Roman" w:hAnsi="Times New Roman" w:eastAsia="宋体"/>
          <w:sz w:val="21"/>
          <w:szCs w:val="21"/>
        </w:rPr>
        <w:t>份。</w:t>
      </w:r>
    </w:p>
    <w:p>
      <w:pPr>
        <w:pStyle w:val="109"/>
        <w:snapToGrid w:val="0"/>
        <w:spacing w:before="120" w:after="120" w:line="336" w:lineRule="auto"/>
        <w:ind w:right="-506" w:rightChars="-241" w:firstLine="420" w:firstLineChars="200"/>
        <w:rPr>
          <w:rFonts w:hAnsi="宋体" w:eastAsia="宋体"/>
          <w:b/>
          <w:sz w:val="28"/>
          <w:szCs w:val="28"/>
        </w:rPr>
      </w:pPr>
      <w:r>
        <w:rPr>
          <w:rFonts w:hint="eastAsia" w:ascii="Times New Roman" w:hAnsi="Times New Roman" w:eastAsia="宋体"/>
          <w:sz w:val="21"/>
          <w:szCs w:val="21"/>
        </w:rPr>
        <w:t>（</w:t>
      </w:r>
      <w:r>
        <w:rPr>
          <w:rFonts w:ascii="Times New Roman" w:hAnsi="Times New Roman" w:eastAsia="宋体"/>
          <w:sz w:val="21"/>
          <w:szCs w:val="21"/>
        </w:rPr>
        <w:t>2</w:t>
      </w:r>
      <w:r>
        <w:rPr>
          <w:rFonts w:hint="eastAsia" w:ascii="Times New Roman" w:hAnsi="Times New Roman" w:eastAsia="宋体"/>
          <w:sz w:val="21"/>
          <w:szCs w:val="21"/>
        </w:rPr>
        <w:t>）纸质备份投标文件将以纸质文件的形式递交。数量为：正本、副本各</w:t>
      </w:r>
      <w:r>
        <w:rPr>
          <w:rFonts w:ascii="Times New Roman" w:hAnsi="Times New Roman" w:eastAsia="宋体"/>
          <w:sz w:val="21"/>
          <w:szCs w:val="21"/>
        </w:rPr>
        <w:t>1</w:t>
      </w:r>
      <w:r>
        <w:rPr>
          <w:rFonts w:hint="eastAsia" w:ascii="Times New Roman" w:hAnsi="Times New Roman" w:eastAsia="宋体"/>
          <w:sz w:val="21"/>
          <w:szCs w:val="21"/>
        </w:rPr>
        <w:t>份。</w:t>
      </w:r>
    </w:p>
    <w:p>
      <w:pPr>
        <w:tabs>
          <w:tab w:val="left" w:pos="0"/>
        </w:tabs>
        <w:spacing w:line="360" w:lineRule="auto"/>
        <w:ind w:firstLine="211" w:firstLineChars="100"/>
        <w:rPr>
          <w:rFonts w:ascii="宋体"/>
          <w:b/>
          <w:szCs w:val="21"/>
        </w:rPr>
      </w:pPr>
      <w:r>
        <w:rPr>
          <w:rFonts w:hint="eastAsia" w:ascii="宋体" w:hAnsi="宋体"/>
          <w:b/>
          <w:szCs w:val="21"/>
        </w:rPr>
        <w:t>（二）投标文件的组成</w:t>
      </w:r>
    </w:p>
    <w:p>
      <w:pPr>
        <w:tabs>
          <w:tab w:val="left" w:pos="0"/>
        </w:tabs>
        <w:spacing w:line="360" w:lineRule="auto"/>
        <w:ind w:firstLine="422" w:firstLineChars="200"/>
        <w:rPr>
          <w:rFonts w:ascii="宋体"/>
          <w:b/>
          <w:bCs/>
          <w:szCs w:val="21"/>
        </w:rPr>
      </w:pPr>
      <w:r>
        <w:rPr>
          <w:rFonts w:hint="eastAsia" w:ascii="宋体" w:hAnsi="宋体"/>
          <w:b/>
          <w:bCs/>
          <w:szCs w:val="21"/>
        </w:rPr>
        <w:t>投标文件由资格响应文件、商务及技术响应文件、报价文件三部份组成。</w:t>
      </w:r>
      <w:r>
        <w:rPr>
          <w:rFonts w:hint="eastAsia"/>
          <w:szCs w:val="21"/>
        </w:rPr>
        <w:t>电子投标文件中所须加盖公章部分均采用</w:t>
      </w:r>
      <w:r>
        <w:rPr>
          <w:szCs w:val="21"/>
        </w:rPr>
        <w:t>CA</w:t>
      </w:r>
      <w:r>
        <w:rPr>
          <w:rFonts w:hint="eastAsia"/>
          <w:szCs w:val="21"/>
        </w:rPr>
        <w:t>签章。（以下投标文件的部分格式详见本招标文件第六章，如本招标文件没有提供相应的格式，投标人可自行制表填写）</w:t>
      </w:r>
    </w:p>
    <w:p>
      <w:pPr>
        <w:pStyle w:val="20"/>
        <w:numPr>
          <w:ilvl w:val="0"/>
          <w:numId w:val="6"/>
        </w:numPr>
        <w:snapToGrid w:val="0"/>
        <w:spacing w:before="120" w:line="360" w:lineRule="auto"/>
        <w:rPr>
          <w:rFonts w:hAnsi="宋体"/>
          <w:b/>
          <w:sz w:val="21"/>
          <w:szCs w:val="21"/>
        </w:rPr>
      </w:pPr>
      <w:r>
        <w:rPr>
          <w:rFonts w:hint="eastAsia" w:hAnsi="宋体"/>
          <w:b/>
          <w:sz w:val="21"/>
          <w:szCs w:val="21"/>
        </w:rPr>
        <w:t>资格响应部份：</w:t>
      </w:r>
    </w:p>
    <w:p>
      <w:pPr>
        <w:spacing w:line="360" w:lineRule="auto"/>
        <w:ind w:left="417"/>
        <w:rPr>
          <w:rFonts w:ascii="宋体"/>
        </w:rPr>
      </w:pPr>
      <w:r>
        <w:rPr>
          <w:rFonts w:ascii="宋体" w:hAnsi="宋体"/>
        </w:rPr>
        <w:t>1.1</w:t>
      </w:r>
      <w:r>
        <w:rPr>
          <w:rFonts w:hint="eastAsia" w:ascii="宋体" w:hAnsi="宋体"/>
        </w:rPr>
        <w:t>基本资格条件：符合《中华人民共和国政府采购法》第二十二条的规定；</w:t>
      </w:r>
    </w:p>
    <w:p>
      <w:pPr>
        <w:spacing w:line="360" w:lineRule="auto"/>
        <w:ind w:firstLine="420" w:firstLineChars="200"/>
        <w:rPr>
          <w:rFonts w:ascii="宋体"/>
        </w:rPr>
      </w:pPr>
      <w:r>
        <w:rPr>
          <w:rFonts w:hint="eastAsia" w:ascii="宋体" w:hAnsi="宋体"/>
        </w:rPr>
        <w:t>（以下</w:t>
      </w:r>
      <w:r>
        <w:rPr>
          <w:rFonts w:ascii="宋体" w:hAnsi="宋体"/>
        </w:rPr>
        <w:t>A~E</w:t>
      </w:r>
      <w:r>
        <w:rPr>
          <w:rFonts w:hint="eastAsia" w:ascii="宋体" w:hAnsi="宋体"/>
        </w:rPr>
        <w:t>项是第二十二条要求及对应证明材料的具体内容，各投标人须在投标文件中出具对应证明材料）</w:t>
      </w:r>
    </w:p>
    <w:p>
      <w:pPr>
        <w:spacing w:line="360" w:lineRule="auto"/>
        <w:ind w:firstLine="482" w:firstLineChars="200"/>
        <w:rPr>
          <w:rFonts w:ascii="宋体"/>
          <w:b/>
          <w:bCs/>
        </w:rPr>
      </w:pPr>
      <w:r>
        <w:rPr>
          <w:rFonts w:ascii="宋体" w:hAnsi="宋体"/>
          <w:b/>
          <w:bCs/>
          <w:sz w:val="24"/>
        </w:rPr>
        <w:t>A</w:t>
      </w:r>
      <w:r>
        <w:rPr>
          <w:rFonts w:ascii="宋体" w:cs="宋体"/>
          <w:b/>
          <w:bCs/>
          <w:sz w:val="24"/>
        </w:rPr>
        <w:t>.</w:t>
      </w:r>
      <w:r>
        <w:rPr>
          <w:rFonts w:hint="eastAsia" w:ascii="宋体" w:hAnsi="宋体"/>
          <w:b/>
          <w:bCs/>
        </w:rPr>
        <w:t>具有独立承担民事责任的能力：</w:t>
      </w:r>
    </w:p>
    <w:p>
      <w:pPr>
        <w:spacing w:line="360" w:lineRule="auto"/>
        <w:ind w:firstLine="420" w:firstLineChars="200"/>
        <w:rPr>
          <w:rFonts w:ascii="宋体"/>
          <w:b/>
          <w:bCs/>
        </w:rPr>
      </w:pPr>
      <w:r>
        <w:rPr>
          <w:rFonts w:hint="eastAsia" w:ascii="宋体" w:hAnsi="宋体"/>
        </w:rPr>
        <w:t>投标人须在投标文件中出具符合以下情况的证明材料复印件</w:t>
      </w:r>
      <w:r>
        <w:rPr>
          <w:rFonts w:hint="eastAsia" w:ascii="宋体" w:hAnsi="宋体"/>
          <w:b/>
          <w:bCs/>
        </w:rPr>
        <w:t>（五选一）：</w:t>
      </w:r>
    </w:p>
    <w:p>
      <w:pPr>
        <w:spacing w:line="360" w:lineRule="auto"/>
        <w:ind w:firstLine="420" w:firstLineChars="200"/>
        <w:rPr>
          <w:rFonts w:ascii="宋体"/>
        </w:rPr>
      </w:pPr>
      <w:r>
        <w:rPr>
          <w:rFonts w:ascii="宋体" w:hAnsi="宋体" w:cs="Calibri"/>
        </w:rPr>
        <w:fldChar w:fldCharType="begin"/>
      </w:r>
      <w:r>
        <w:rPr>
          <w:rFonts w:ascii="宋体" w:hAnsi="宋体" w:cs="Calibri"/>
        </w:rPr>
        <w:instrText xml:space="preserve"> EQ \o\ac(</w:instrText>
      </w:r>
      <w:r>
        <w:rPr>
          <w:rFonts w:hint="eastAsia" w:ascii="宋体" w:hAnsi="宋体" w:cs="Calibri"/>
        </w:rPr>
        <w:instrText xml:space="preserve">○</w:instrText>
      </w:r>
      <w:r>
        <w:rPr>
          <w:rFonts w:ascii="宋体" w:hAnsi="宋体" w:cs="Calibri"/>
        </w:rPr>
        <w:instrText xml:space="preserve">,1)</w:instrText>
      </w:r>
      <w:r>
        <w:rPr>
          <w:rFonts w:ascii="宋体" w:hAnsi="宋体" w:cs="Calibri"/>
        </w:rPr>
        <w:fldChar w:fldCharType="end"/>
      </w:r>
      <w:r>
        <w:rPr>
          <w:rFonts w:hint="eastAsia" w:ascii="宋体" w:hAnsi="宋体"/>
        </w:rPr>
        <w:t>如投标人是企业（包括合伙企业），提供在工商部门注册的有效“企业法人营业执照”或“营业执照”；</w:t>
      </w:r>
    </w:p>
    <w:p>
      <w:pPr>
        <w:spacing w:line="360" w:lineRule="auto"/>
        <w:ind w:firstLine="420" w:firstLineChars="200"/>
        <w:rPr>
          <w:rFonts w:ascii="宋体"/>
        </w:rPr>
      </w:pPr>
      <w:r>
        <w:rPr>
          <w:rFonts w:ascii="宋体" w:hAnsi="宋体"/>
        </w:rPr>
        <w:fldChar w:fldCharType="begin"/>
      </w:r>
      <w:r>
        <w:rPr>
          <w:rFonts w:ascii="宋体" w:hAnsi="宋体"/>
        </w:rPr>
        <w:instrText xml:space="preserve"> EQ \o\ac(</w:instrText>
      </w:r>
      <w:r>
        <w:rPr>
          <w:rFonts w:hint="eastAsia" w:ascii="宋体" w:hAnsi="宋体"/>
        </w:rPr>
        <w:instrText xml:space="preserve">○</w:instrText>
      </w:r>
      <w:r>
        <w:rPr>
          <w:rFonts w:ascii="宋体"/>
        </w:rPr>
        <w:instrText xml:space="preserve">,</w:instrText>
      </w:r>
      <w:r>
        <w:rPr>
          <w:rFonts w:ascii="宋体" w:hAnsi="宋体"/>
          <w:position w:val="2"/>
          <w:sz w:val="14"/>
        </w:rPr>
        <w:instrText xml:space="preserve">2</w:instrText>
      </w:r>
      <w:r>
        <w:rPr>
          <w:rFonts w:ascii="宋体" w:hAnsi="宋体"/>
        </w:rPr>
        <w:instrText xml:space="preserve">)</w:instrText>
      </w:r>
      <w:r>
        <w:rPr>
          <w:rFonts w:ascii="宋体" w:hAnsi="宋体"/>
        </w:rPr>
        <w:fldChar w:fldCharType="end"/>
      </w:r>
      <w:r>
        <w:rPr>
          <w:rFonts w:hint="eastAsia" w:ascii="宋体" w:hAnsi="宋体"/>
        </w:rPr>
        <w:t>如投标人是事业单位，提供有效的“事业单位法人证书”；</w:t>
      </w:r>
    </w:p>
    <w:p>
      <w:pPr>
        <w:spacing w:line="360" w:lineRule="auto"/>
        <w:ind w:firstLine="420" w:firstLineChars="200"/>
        <w:rPr>
          <w:rFonts w:ascii="宋体"/>
        </w:rPr>
      </w:pPr>
      <w:r>
        <w:rPr>
          <w:rFonts w:ascii="宋体" w:hAnsi="宋体"/>
        </w:rPr>
        <w:fldChar w:fldCharType="begin"/>
      </w:r>
      <w:r>
        <w:rPr>
          <w:rFonts w:ascii="宋体" w:hAnsi="宋体"/>
        </w:rPr>
        <w:instrText xml:space="preserve"> EQ \o\ac(</w:instrText>
      </w:r>
      <w:r>
        <w:rPr>
          <w:rFonts w:hint="eastAsia" w:ascii="宋体" w:hAnsi="宋体"/>
        </w:rPr>
        <w:instrText xml:space="preserve">○</w:instrText>
      </w:r>
      <w:r>
        <w:rPr>
          <w:rFonts w:ascii="宋体"/>
        </w:rPr>
        <w:instrText xml:space="preserve">,</w:instrText>
      </w:r>
      <w:r>
        <w:rPr>
          <w:rFonts w:ascii="宋体" w:hAnsi="宋体"/>
          <w:position w:val="2"/>
          <w:sz w:val="14"/>
        </w:rPr>
        <w:instrText xml:space="preserve">3</w:instrText>
      </w:r>
      <w:r>
        <w:rPr>
          <w:rFonts w:ascii="宋体" w:hAnsi="宋体"/>
        </w:rPr>
        <w:instrText xml:space="preserve">)</w:instrText>
      </w:r>
      <w:r>
        <w:rPr>
          <w:rFonts w:ascii="宋体" w:hAnsi="宋体"/>
        </w:rPr>
        <w:fldChar w:fldCharType="end"/>
      </w:r>
      <w:r>
        <w:rPr>
          <w:rFonts w:hint="eastAsia" w:ascii="宋体" w:hAnsi="宋体"/>
        </w:rPr>
        <w:t>如投标人是非企业专业服务机构的，提供执业许可证等证明文件等证明文件；</w:t>
      </w:r>
    </w:p>
    <w:p>
      <w:pPr>
        <w:spacing w:line="360" w:lineRule="auto"/>
        <w:ind w:firstLine="420" w:firstLineChars="200"/>
        <w:rPr>
          <w:rFonts w:ascii="宋体" w:cs="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,4)</w:instrText>
      </w:r>
      <w:r>
        <w:rPr>
          <w:rFonts w:ascii="宋体" w:hAnsi="宋体" w:cs="宋体"/>
        </w:rPr>
        <w:fldChar w:fldCharType="end"/>
      </w:r>
      <w:r>
        <w:rPr>
          <w:rFonts w:hint="eastAsia" w:ascii="宋体" w:hAnsi="宋体" w:cs="宋体"/>
        </w:rPr>
        <w:t>如投标人是个体工商户，提供有效的“个体工商户营业执照”；</w:t>
      </w:r>
    </w:p>
    <w:p>
      <w:pPr>
        <w:spacing w:line="360" w:lineRule="auto"/>
        <w:ind w:firstLine="420" w:firstLineChars="200"/>
        <w:rPr>
          <w:rFonts w:ascii="宋体" w:cs="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,5)</w:instrText>
      </w:r>
      <w:r>
        <w:rPr>
          <w:rFonts w:ascii="宋体" w:hAnsi="宋体" w:cs="宋体"/>
        </w:rPr>
        <w:fldChar w:fldCharType="end"/>
      </w:r>
      <w:r>
        <w:rPr>
          <w:rFonts w:hint="eastAsia" w:ascii="宋体" w:hAnsi="宋体" w:cs="宋体"/>
        </w:rPr>
        <w:t>如投标人是自然人，提供有效的自然人身份证明（居民身份证正反面或公安机关出具的临时居民身份证正反面或港澳台胞证或证照）。</w:t>
      </w:r>
    </w:p>
    <w:p>
      <w:pPr>
        <w:spacing w:line="360" w:lineRule="auto"/>
        <w:ind w:firstLine="422" w:firstLineChars="200"/>
        <w:rPr>
          <w:rFonts w:ascii="宋体" w:cs="宋体"/>
          <w:b/>
          <w:bCs/>
        </w:rPr>
      </w:pPr>
      <w:r>
        <w:rPr>
          <w:rFonts w:ascii="宋体" w:hAnsi="宋体" w:cs="宋体"/>
          <w:b/>
          <w:bCs/>
          <w:szCs w:val="21"/>
        </w:rPr>
        <w:t>B.</w:t>
      </w:r>
      <w:r>
        <w:rPr>
          <w:rFonts w:hint="eastAsia" w:ascii="宋体" w:hAnsi="宋体" w:cs="宋体"/>
          <w:b/>
          <w:bCs/>
        </w:rPr>
        <w:t>具有良好的商业信誉和健全的财务会计制度：</w:t>
      </w:r>
    </w:p>
    <w:p>
      <w:pPr>
        <w:spacing w:line="360" w:lineRule="auto"/>
        <w:ind w:firstLine="420" w:firstLineChars="200"/>
        <w:rPr>
          <w:rFonts w:ascii="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,1)</w:instrText>
      </w:r>
      <w:r>
        <w:rPr>
          <w:rFonts w:ascii="宋体" w:hAnsi="宋体" w:cs="宋体"/>
        </w:rPr>
        <w:fldChar w:fldCharType="end"/>
      </w:r>
      <w:r>
        <w:rPr>
          <w:rFonts w:hint="eastAsia" w:ascii="宋体" w:hAnsi="宋体"/>
        </w:rPr>
        <w:t>良好的商业信誉：</w:t>
      </w:r>
    </w:p>
    <w:p>
      <w:pPr>
        <w:spacing w:line="360" w:lineRule="auto"/>
        <w:ind w:firstLine="420" w:firstLineChars="200"/>
        <w:rPr>
          <w:rFonts w:ascii="宋体" w:cs="宋体"/>
        </w:rPr>
      </w:pPr>
      <w:r>
        <w:rPr>
          <w:rFonts w:hint="eastAsia" w:ascii="宋体" w:hAnsi="宋体" w:cs="宋体"/>
        </w:rPr>
        <w:t>至本项目投标截止时间止未被“信用中国”（</w:t>
      </w:r>
      <w:r>
        <w:rPr>
          <w:rFonts w:ascii="宋体" w:hAnsi="宋体" w:cs="宋体"/>
        </w:rPr>
        <w:t>www.creditchina.gov.cn</w:t>
      </w:r>
      <w:r>
        <w:rPr>
          <w:rFonts w:hint="eastAsia" w:ascii="宋体" w:hAnsi="宋体" w:cs="宋体"/>
        </w:rPr>
        <w:t>）、中国政府采购网（</w:t>
      </w:r>
      <w:r>
        <w:rPr>
          <w:rFonts w:ascii="宋体" w:hAnsi="宋体" w:cs="宋体"/>
        </w:rPr>
        <w:t>www.ccgp.gov.cn</w:t>
      </w:r>
      <w:r>
        <w:rPr>
          <w:rFonts w:hint="eastAsia" w:ascii="宋体" w:hAnsi="宋体" w:cs="宋体"/>
        </w:rPr>
        <w:t>）列入失信被执行人、重大税收违法案件当事人名单、政府采购严重违法失信行为记录名单网页查询记录截图。</w:t>
      </w:r>
    </w:p>
    <w:p>
      <w:pPr>
        <w:spacing w:line="360" w:lineRule="auto"/>
        <w:ind w:firstLine="420" w:firstLineChars="200"/>
        <w:rPr>
          <w:rFonts w:ascii="宋体" w:cs="宋体"/>
        </w:rPr>
      </w:pPr>
      <w:r>
        <w:rPr>
          <w:rFonts w:hint="eastAsia" w:ascii="宋体" w:hAnsi="宋体" w:cs="宋体"/>
          <w:szCs w:val="21"/>
        </w:rPr>
        <w:t>提供</w:t>
      </w:r>
      <w:r>
        <w:rPr>
          <w:rFonts w:hint="eastAsia" w:ascii="宋体" w:hAnsi="宋体" w:cs="宋体"/>
        </w:rPr>
        <w:t>查询截图，（截图查询网站时间须在开标截止前二个星期内）</w:t>
      </w:r>
    </w:p>
    <w:p>
      <w:pPr>
        <w:spacing w:line="360" w:lineRule="auto"/>
        <w:ind w:firstLine="420" w:firstLineChars="200"/>
        <w:rPr>
          <w:rFonts w:ascii="宋体" w:cs="宋体"/>
        </w:rPr>
      </w:pPr>
      <w:r>
        <w:rPr>
          <w:rFonts w:hint="eastAsia" w:ascii="宋体" w:hAnsi="宋体" w:cs="宋体"/>
          <w:szCs w:val="21"/>
        </w:rPr>
        <w:t>对</w:t>
      </w:r>
      <w:r>
        <w:rPr>
          <w:rFonts w:hint="eastAsia" w:ascii="宋体" w:hAnsi="宋体" w:cs="宋体"/>
        </w:rPr>
        <w:t>列入失信被执行人、重大税收违法案件当事人名单、政府采购严重违法失信行为记录名单的投标人，其投标将作无效标处理。</w:t>
      </w:r>
    </w:p>
    <w:p>
      <w:pPr>
        <w:spacing w:line="360" w:lineRule="auto"/>
        <w:ind w:firstLine="420" w:firstLineChars="200"/>
        <w:rPr>
          <w:rFonts w:ascii="宋体" w:cs="宋体"/>
        </w:rPr>
      </w:pPr>
      <w:r>
        <w:rPr>
          <w:rFonts w:hint="eastAsia" w:ascii="宋体" w:cs="宋体"/>
        </w:rPr>
        <w:t>②</w:t>
      </w:r>
      <w:r>
        <w:rPr>
          <w:rFonts w:hint="eastAsia" w:ascii="宋体" w:hAnsi="宋体" w:cs="宋体"/>
        </w:rPr>
        <w:t>健全的财务会计制度：</w:t>
      </w:r>
    </w:p>
    <w:p>
      <w:pPr>
        <w:spacing w:line="360" w:lineRule="auto"/>
        <w:ind w:firstLine="420" w:firstLineChars="200"/>
        <w:rPr>
          <w:rFonts w:ascii="宋体" w:cs="宋体"/>
        </w:rPr>
      </w:pPr>
      <w:r>
        <w:rPr>
          <w:rFonts w:hint="eastAsia" w:ascii="宋体" w:hAnsi="宋体" w:cs="宋体"/>
        </w:rPr>
        <w:t>投标人须在投标文件中出具符合以下情况的证明材料复印件</w:t>
      </w:r>
      <w:r>
        <w:rPr>
          <w:rFonts w:hint="eastAsia" w:ascii="宋体" w:hAnsi="宋体" w:cs="宋体"/>
          <w:b/>
          <w:bCs/>
        </w:rPr>
        <w:t>（三选一）</w:t>
      </w:r>
      <w:r>
        <w:rPr>
          <w:rFonts w:hint="eastAsia" w:ascii="宋体" w:hAnsi="宋体" w:cs="宋体"/>
        </w:rPr>
        <w:t>：</w:t>
      </w:r>
    </w:p>
    <w:p>
      <w:pPr>
        <w:numPr>
          <w:ilvl w:val="0"/>
          <w:numId w:val="7"/>
        </w:numPr>
        <w:spacing w:line="360" w:lineRule="auto"/>
        <w:ind w:left="0" w:firstLine="420" w:firstLineChars="200"/>
        <w:rPr>
          <w:rFonts w:ascii="宋体" w:cs="宋体"/>
        </w:rPr>
      </w:pPr>
      <w:r>
        <w:rPr>
          <w:rFonts w:hint="eastAsia" w:ascii="宋体" w:hAnsi="宋体" w:cs="宋体"/>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7"/>
        </w:numPr>
        <w:spacing w:line="360" w:lineRule="auto"/>
        <w:ind w:left="0" w:firstLine="420" w:firstLineChars="200"/>
        <w:rPr>
          <w:rFonts w:ascii="宋体"/>
        </w:rPr>
      </w:pPr>
      <w:r>
        <w:rPr>
          <w:rFonts w:hint="eastAsia" w:ascii="宋体" w:hAnsi="宋体"/>
        </w:rPr>
        <w:t>其他组织和自然人如没有经审计的财务报告的，可以提供资产负债表、利润表、现金流量表。</w:t>
      </w:r>
    </w:p>
    <w:p>
      <w:pPr>
        <w:numPr>
          <w:ilvl w:val="0"/>
          <w:numId w:val="7"/>
        </w:numPr>
        <w:spacing w:line="360" w:lineRule="auto"/>
        <w:ind w:left="0" w:firstLine="420" w:firstLineChars="200"/>
        <w:rPr>
          <w:rFonts w:ascii="宋体"/>
        </w:rPr>
      </w:pPr>
      <w:r>
        <w:rPr>
          <w:rFonts w:hint="eastAsia" w:ascii="宋体" w:hAnsi="宋体"/>
        </w:rPr>
        <w:t>新成立不足一年的公司须出具情况说明。</w:t>
      </w:r>
    </w:p>
    <w:p>
      <w:pPr>
        <w:pStyle w:val="92"/>
        <w:spacing w:line="360" w:lineRule="auto"/>
        <w:ind w:left="420" w:firstLine="0" w:firstLineChars="0"/>
        <w:rPr>
          <w:rFonts w:ascii="宋体" w:cs="宋体"/>
          <w:b/>
          <w:bCs/>
          <w:szCs w:val="21"/>
        </w:rPr>
      </w:pPr>
      <w:r>
        <w:rPr>
          <w:rFonts w:ascii="宋体" w:hAnsi="宋体" w:cs="宋体"/>
          <w:b/>
          <w:bCs/>
          <w:szCs w:val="21"/>
        </w:rPr>
        <w:t>C.</w:t>
      </w:r>
      <w:r>
        <w:rPr>
          <w:rFonts w:hint="eastAsia" w:ascii="宋体" w:hAnsi="宋体" w:cs="宋体"/>
          <w:b/>
          <w:bCs/>
          <w:szCs w:val="21"/>
        </w:rPr>
        <w:t>具有履行合同所必需的设备和专业技术能力：</w:t>
      </w:r>
    </w:p>
    <w:p>
      <w:pPr>
        <w:pStyle w:val="92"/>
        <w:spacing w:line="360" w:lineRule="auto"/>
        <w:ind w:left="420" w:firstLine="0" w:firstLineChars="0"/>
        <w:rPr>
          <w:rFonts w:ascii="宋体" w:cs="宋体"/>
          <w:szCs w:val="21"/>
        </w:rPr>
      </w:pPr>
      <w:r>
        <w:rPr>
          <w:rFonts w:hint="eastAsia" w:ascii="宋体" w:hAnsi="宋体" w:cs="宋体"/>
          <w:szCs w:val="21"/>
        </w:rPr>
        <w:t>投标人须在投标文件中出具具有履行合同所必需的设备和专业技术能力的《投标函》。</w:t>
      </w:r>
    </w:p>
    <w:p>
      <w:pPr>
        <w:pStyle w:val="92"/>
        <w:spacing w:line="360" w:lineRule="auto"/>
        <w:ind w:left="420" w:firstLine="0" w:firstLineChars="0"/>
        <w:rPr>
          <w:rFonts w:ascii="宋体" w:cs="宋体"/>
          <w:b/>
          <w:bCs/>
          <w:szCs w:val="21"/>
        </w:rPr>
      </w:pPr>
      <w:r>
        <w:rPr>
          <w:rFonts w:ascii="宋体" w:hAnsi="宋体" w:cs="宋体"/>
          <w:b/>
          <w:bCs/>
          <w:szCs w:val="21"/>
        </w:rPr>
        <w:t>D.</w:t>
      </w:r>
      <w:r>
        <w:rPr>
          <w:rFonts w:hint="eastAsia" w:ascii="宋体" w:hAnsi="宋体" w:cs="宋体"/>
          <w:b/>
          <w:bCs/>
          <w:szCs w:val="21"/>
        </w:rPr>
        <w:t>有依法缴纳税收和社会保障资金的良好记录：</w:t>
      </w:r>
    </w:p>
    <w:p>
      <w:pPr>
        <w:spacing w:line="360" w:lineRule="auto"/>
        <w:ind w:firstLine="420" w:firstLineChars="200"/>
        <w:rPr>
          <w:rFonts w:ascii="宋体"/>
        </w:rPr>
      </w:pPr>
      <w:r>
        <w:rPr>
          <w:rFonts w:ascii="宋体" w:hAnsi="宋体"/>
        </w:rPr>
        <w:t>1</w:t>
      </w:r>
      <w:r>
        <w:rPr>
          <w:rFonts w:hint="eastAsia" w:ascii="宋体" w:hAnsi="宋体"/>
        </w:rPr>
        <w:t>投标人须在投标文件中同时出具满足以下要求的证明材料复印件：</w:t>
      </w:r>
    </w:p>
    <w:p>
      <w:pPr>
        <w:spacing w:line="360" w:lineRule="auto"/>
        <w:ind w:firstLine="420" w:firstLineChars="200"/>
        <w:rPr>
          <w:rFonts w:ascii="宋体"/>
        </w:rPr>
      </w:pPr>
      <w:r>
        <w:rPr>
          <w:rFonts w:ascii="宋体" w:hAnsi="宋体" w:cs="宋体"/>
        </w:rPr>
        <w:fldChar w:fldCharType="begin"/>
      </w:r>
      <w:r>
        <w:rPr>
          <w:rFonts w:ascii="宋体" w:hAnsi="宋体" w:cs="宋体"/>
        </w:rPr>
        <w:instrText xml:space="preserve"> EQ \o\ac(</w:instrText>
      </w:r>
      <w:r>
        <w:rPr>
          <w:rFonts w:hint="eastAsia" w:ascii="宋体" w:hAnsi="宋体" w:cs="宋体"/>
        </w:rPr>
        <w:instrText xml:space="preserve">○</w:instrText>
      </w:r>
      <w:r>
        <w:rPr>
          <w:rFonts w:ascii="宋体" w:hAnsi="宋体" w:cs="宋体"/>
        </w:rPr>
        <w:instrText xml:space="preserve">,1)</w:instrText>
      </w:r>
      <w:r>
        <w:rPr>
          <w:rFonts w:ascii="宋体" w:hAnsi="宋体" w:cs="宋体"/>
        </w:rPr>
        <w:fldChar w:fldCharType="end"/>
      </w:r>
      <w:r>
        <w:rPr>
          <w:rFonts w:hint="eastAsia" w:ascii="宋体" w:hAnsi="宋体"/>
        </w:rPr>
        <w:t>投标人须提供由税务部门出具的最近一季度缴纳增值税和企业所得税的纳税证明。</w:t>
      </w:r>
    </w:p>
    <w:p>
      <w:pPr>
        <w:spacing w:line="360" w:lineRule="auto"/>
        <w:ind w:firstLine="420" w:firstLineChars="200"/>
        <w:rPr>
          <w:rFonts w:ascii="宋体"/>
        </w:rPr>
      </w:pPr>
      <w:r>
        <w:rPr>
          <w:rFonts w:hint="eastAsia" w:ascii="宋体" w:hAnsi="宋体"/>
        </w:rPr>
        <w:t>②投标人须提供最近三个月内缴纳社会保险的凭据（缴税付款凭证或社会保险缴纳证明）</w:t>
      </w:r>
    </w:p>
    <w:p>
      <w:pPr>
        <w:spacing w:line="360" w:lineRule="auto"/>
        <w:ind w:firstLine="420" w:firstLineChars="200"/>
        <w:rPr>
          <w:rFonts w:ascii="宋体"/>
        </w:rPr>
      </w:pPr>
      <w:r>
        <w:rPr>
          <w:rFonts w:hint="eastAsia" w:ascii="宋体" w:hAnsi="宋体"/>
        </w:rPr>
        <w:t>依法免税或不需要缴纳社会保障资金的投标人，应提供相应文件证明其依法免税或不需要缴纳社会保障资金。</w:t>
      </w:r>
    </w:p>
    <w:p>
      <w:pPr>
        <w:spacing w:line="360" w:lineRule="auto"/>
        <w:ind w:firstLine="422" w:firstLineChars="200"/>
        <w:rPr>
          <w:rFonts w:ascii="宋体"/>
          <w:b/>
          <w:bCs/>
        </w:rPr>
      </w:pPr>
      <w:r>
        <w:rPr>
          <w:rFonts w:ascii="宋体" w:hAnsi="宋体"/>
          <w:b/>
          <w:bCs/>
        </w:rPr>
        <w:t>E.</w:t>
      </w:r>
      <w:r>
        <w:rPr>
          <w:rFonts w:hint="eastAsia" w:ascii="宋体" w:hAnsi="宋体"/>
          <w:b/>
          <w:bCs/>
        </w:rPr>
        <w:t>参加政府采购活动前三年内，在经营活动中没有重大违法记录：</w:t>
      </w:r>
    </w:p>
    <w:p>
      <w:pPr>
        <w:spacing w:line="360" w:lineRule="auto"/>
        <w:ind w:firstLine="420" w:firstLineChars="200"/>
        <w:rPr>
          <w:rFonts w:ascii="宋体"/>
        </w:rPr>
      </w:pPr>
      <w:r>
        <w:rPr>
          <w:rFonts w:hint="eastAsia" w:ascii="宋体" w:hAnsi="宋体"/>
        </w:rPr>
        <w:t>投标人须在投标文件中出具《声明函》、廉政承诺书。（格式见附件）</w:t>
      </w:r>
    </w:p>
    <w:p>
      <w:pPr>
        <w:pStyle w:val="20"/>
        <w:snapToGrid w:val="0"/>
        <w:spacing w:before="120" w:line="336" w:lineRule="auto"/>
        <w:ind w:firstLine="415" w:firstLineChars="198"/>
        <w:rPr>
          <w:rFonts w:hAnsi="宋体" w:cs="宋体"/>
          <w:sz w:val="21"/>
          <w:szCs w:val="21"/>
        </w:rPr>
      </w:pPr>
      <w:r>
        <w:rPr>
          <w:rFonts w:hint="eastAsia" w:hAnsi="宋体" w:cs="宋体"/>
          <w:sz w:val="21"/>
          <w:szCs w:val="21"/>
        </w:rPr>
        <w:t>注：证明材料均需加盖签章。</w:t>
      </w:r>
    </w:p>
    <w:p>
      <w:pPr>
        <w:tabs>
          <w:tab w:val="left" w:pos="3870"/>
          <w:tab w:val="left" w:pos="4085"/>
        </w:tabs>
        <w:snapToGrid w:val="0"/>
        <w:spacing w:line="336" w:lineRule="auto"/>
        <w:ind w:firstLine="420" w:firstLineChars="200"/>
        <w:jc w:val="left"/>
        <w:rPr>
          <w:rFonts w:ascii="宋体" w:cs="宋体"/>
          <w:szCs w:val="21"/>
        </w:rPr>
      </w:pPr>
      <w:r>
        <w:rPr>
          <w:rFonts w:hint="eastAsia" w:ascii="宋体" w:hAnsi="宋体" w:cs="宋体"/>
          <w:szCs w:val="21"/>
        </w:rPr>
        <w:t>中小企业申明函（如是）；</w:t>
      </w:r>
    </w:p>
    <w:p>
      <w:pPr>
        <w:tabs>
          <w:tab w:val="left" w:pos="3870"/>
          <w:tab w:val="left" w:pos="4085"/>
        </w:tabs>
        <w:snapToGrid w:val="0"/>
        <w:spacing w:line="336" w:lineRule="auto"/>
        <w:ind w:firstLine="420" w:firstLineChars="200"/>
        <w:jc w:val="left"/>
        <w:rPr>
          <w:rFonts w:ascii="宋体" w:cs="宋体"/>
          <w:szCs w:val="21"/>
        </w:rPr>
      </w:pPr>
      <w:r>
        <w:rPr>
          <w:rFonts w:hint="eastAsia" w:ascii="宋体" w:hAnsi="宋体" w:cs="宋体"/>
          <w:szCs w:val="21"/>
        </w:rPr>
        <w:t>监狱企业声明函（如是）；</w:t>
      </w:r>
    </w:p>
    <w:p>
      <w:pPr>
        <w:tabs>
          <w:tab w:val="left" w:pos="3870"/>
          <w:tab w:val="left" w:pos="4085"/>
        </w:tabs>
        <w:snapToGrid w:val="0"/>
        <w:spacing w:line="336" w:lineRule="auto"/>
        <w:ind w:firstLine="420" w:firstLineChars="200"/>
        <w:jc w:val="left"/>
        <w:rPr>
          <w:rFonts w:ascii="宋体" w:cs="宋体"/>
          <w:szCs w:val="21"/>
        </w:rPr>
      </w:pPr>
      <w:r>
        <w:rPr>
          <w:rFonts w:hint="eastAsia" w:ascii="宋体" w:hAnsi="宋体" w:cs="宋体"/>
          <w:szCs w:val="21"/>
        </w:rPr>
        <w:t>残疾人福利性单位声明函（如是）；</w:t>
      </w:r>
    </w:p>
    <w:p>
      <w:pPr>
        <w:pStyle w:val="109"/>
        <w:snapToGrid w:val="0"/>
        <w:spacing w:before="120" w:after="120" w:line="336" w:lineRule="auto"/>
        <w:ind w:left="417" w:right="-506" w:rightChars="-241"/>
        <w:rPr>
          <w:rFonts w:hAnsi="宋体" w:eastAsia="宋体"/>
          <w:b/>
          <w:sz w:val="21"/>
          <w:szCs w:val="21"/>
        </w:rPr>
      </w:pPr>
      <w:r>
        <w:rPr>
          <w:rFonts w:hAnsi="宋体" w:eastAsia="宋体"/>
          <w:b/>
          <w:sz w:val="21"/>
          <w:szCs w:val="21"/>
        </w:rPr>
        <w:t>2</w:t>
      </w:r>
      <w:r>
        <w:rPr>
          <w:rFonts w:hint="eastAsia" w:hAnsi="宋体" w:eastAsia="宋体"/>
          <w:b/>
          <w:sz w:val="21"/>
          <w:szCs w:val="21"/>
        </w:rPr>
        <w:t>、商务及技术部分：</w:t>
      </w:r>
    </w:p>
    <w:p>
      <w:pPr>
        <w:snapToGrid w:val="0"/>
        <w:spacing w:line="360" w:lineRule="auto"/>
        <w:ind w:firstLine="411" w:firstLineChars="196"/>
        <w:jc w:val="left"/>
        <w:rPr>
          <w:rFonts w:ascii="宋体"/>
          <w:szCs w:val="21"/>
        </w:rPr>
      </w:pPr>
      <w:r>
        <w:rPr>
          <w:rFonts w:ascii="宋体" w:hAnsi="宋体"/>
          <w:szCs w:val="21"/>
        </w:rPr>
        <w:t>2.1</w:t>
      </w:r>
      <w:r>
        <w:rPr>
          <w:rFonts w:hint="eastAsia" w:ascii="宋体" w:hAnsi="宋体"/>
          <w:szCs w:val="21"/>
        </w:rPr>
        <w:t>投标人基本情况表（如有）；</w:t>
      </w:r>
    </w:p>
    <w:p>
      <w:pPr>
        <w:snapToGrid w:val="0"/>
        <w:spacing w:line="360" w:lineRule="auto"/>
        <w:ind w:firstLine="411" w:firstLineChars="196"/>
        <w:jc w:val="left"/>
        <w:rPr>
          <w:rFonts w:ascii="宋体"/>
          <w:szCs w:val="21"/>
        </w:rPr>
      </w:pPr>
      <w:r>
        <w:rPr>
          <w:rFonts w:ascii="宋体" w:hAnsi="宋体"/>
          <w:szCs w:val="21"/>
        </w:rPr>
        <w:t>2.2</w:t>
      </w:r>
      <w:r>
        <w:rPr>
          <w:rFonts w:hint="eastAsia" w:ascii="宋体" w:hAnsi="宋体"/>
          <w:szCs w:val="21"/>
        </w:rPr>
        <w:t>项目负责人简历表（须附相关证明材料）；项目实施人员一览表（须附职称证书复印件）；</w:t>
      </w:r>
    </w:p>
    <w:p>
      <w:pPr>
        <w:snapToGrid w:val="0"/>
        <w:spacing w:line="360" w:lineRule="auto"/>
        <w:ind w:firstLine="411" w:firstLineChars="196"/>
        <w:jc w:val="left"/>
        <w:rPr>
          <w:rFonts w:ascii="宋体"/>
          <w:szCs w:val="21"/>
        </w:rPr>
      </w:pPr>
      <w:r>
        <w:rPr>
          <w:rFonts w:ascii="宋体" w:hAnsi="宋体"/>
          <w:szCs w:val="21"/>
        </w:rPr>
        <w:t>2.3</w:t>
      </w:r>
      <w:r>
        <w:rPr>
          <w:rFonts w:hint="eastAsia" w:ascii="宋体" w:hAnsi="宋体"/>
          <w:szCs w:val="21"/>
        </w:rPr>
        <w:t>成功案例及业绩；</w:t>
      </w:r>
    </w:p>
    <w:p>
      <w:pPr>
        <w:snapToGrid w:val="0"/>
        <w:spacing w:line="360" w:lineRule="auto"/>
        <w:ind w:firstLine="411" w:firstLineChars="196"/>
        <w:jc w:val="left"/>
        <w:rPr>
          <w:rFonts w:ascii="宋体"/>
          <w:szCs w:val="21"/>
        </w:rPr>
      </w:pPr>
      <w:r>
        <w:rPr>
          <w:rFonts w:ascii="宋体" w:hAnsi="宋体"/>
          <w:szCs w:val="21"/>
        </w:rPr>
        <w:t>2.4</w:t>
      </w:r>
      <w:r>
        <w:rPr>
          <w:rFonts w:hint="eastAsia" w:ascii="宋体" w:hAnsi="宋体"/>
          <w:szCs w:val="21"/>
        </w:rPr>
        <w:t>商务偏离表；</w:t>
      </w:r>
    </w:p>
    <w:p>
      <w:pPr>
        <w:snapToGrid w:val="0"/>
        <w:spacing w:line="360" w:lineRule="auto"/>
        <w:ind w:firstLine="411" w:firstLineChars="196"/>
        <w:jc w:val="left"/>
        <w:rPr>
          <w:rFonts w:ascii="宋体"/>
        </w:rPr>
      </w:pPr>
      <w:r>
        <w:rPr>
          <w:rFonts w:hint="eastAsia" w:ascii="宋体" w:hAnsi="宋体"/>
        </w:rPr>
        <w:t>2.5对本项目系统总体要求的理解；</w:t>
      </w:r>
    </w:p>
    <w:p>
      <w:pPr>
        <w:snapToGrid w:val="0"/>
        <w:spacing w:line="360" w:lineRule="auto"/>
        <w:ind w:firstLine="411" w:firstLineChars="196"/>
        <w:jc w:val="left"/>
        <w:rPr>
          <w:rFonts w:ascii="宋体" w:hAnsi="宋体"/>
        </w:rPr>
      </w:pPr>
      <w:r>
        <w:rPr>
          <w:rFonts w:hint="eastAsia" w:ascii="宋体" w:hAnsi="宋体"/>
        </w:rPr>
        <w:t>2.6项目总体架构及技术解决方案（包括</w:t>
      </w:r>
      <w:r>
        <w:rPr>
          <w:rFonts w:hint="eastAsia" w:ascii="宋体" w:hAnsi="宋体" w:cs="宋体"/>
          <w:szCs w:val="21"/>
        </w:rPr>
        <w:t>功能说明、性能指标及设备选型说明</w:t>
      </w:r>
      <w:r>
        <w:rPr>
          <w:rFonts w:hint="eastAsia" w:ascii="宋体" w:hAnsi="宋体"/>
        </w:rPr>
        <w:t>，安装调试、系统集成、试运行、测试、调优、应用开发培训、管理培训、维护服务项目等内容。本项目详细工作实施组织方案，包括</w:t>
      </w:r>
      <w:r>
        <w:rPr>
          <w:rFonts w:ascii="宋体" w:hAnsi="宋体"/>
        </w:rPr>
        <w:t>(</w:t>
      </w:r>
      <w:r>
        <w:rPr>
          <w:rFonts w:hint="eastAsia" w:ascii="宋体" w:hAnsi="宋体"/>
        </w:rPr>
        <w:t>但不限于</w:t>
      </w:r>
      <w:r>
        <w:rPr>
          <w:rFonts w:ascii="宋体" w:hAnsi="宋体"/>
        </w:rPr>
        <w:t>)</w:t>
      </w:r>
      <w:r>
        <w:rPr>
          <w:rFonts w:hint="eastAsia" w:ascii="宋体" w:hAnsi="宋体"/>
        </w:rPr>
        <w:t>以下内容：组织机构、工作时间进度表、工作程序和步骤、管理和协调方法、关键步骤的思路和要点。）</w:t>
      </w:r>
    </w:p>
    <w:p>
      <w:pPr>
        <w:snapToGrid w:val="0"/>
        <w:spacing w:line="360" w:lineRule="auto"/>
        <w:ind w:firstLine="411" w:firstLineChars="196"/>
        <w:jc w:val="left"/>
        <w:rPr>
          <w:rFonts w:ascii="宋体"/>
        </w:rPr>
      </w:pPr>
      <w:r>
        <w:rPr>
          <w:rFonts w:hint="eastAsia" w:ascii="宋体"/>
        </w:rPr>
        <w:t>2.7产品出厂标准、质量检测报告</w:t>
      </w:r>
    </w:p>
    <w:p>
      <w:pPr>
        <w:snapToGrid w:val="0"/>
        <w:spacing w:line="360" w:lineRule="auto"/>
        <w:ind w:firstLine="411" w:firstLineChars="196"/>
        <w:jc w:val="left"/>
        <w:rPr>
          <w:rFonts w:ascii="宋体"/>
        </w:rPr>
      </w:pPr>
      <w:r>
        <w:rPr>
          <w:rFonts w:hint="eastAsia" w:ascii="宋体"/>
        </w:rPr>
        <w:t>2.8设备配置清单（包括型号、品牌、数量）</w:t>
      </w:r>
    </w:p>
    <w:p>
      <w:pPr>
        <w:snapToGrid w:val="0"/>
        <w:spacing w:line="360" w:lineRule="auto"/>
        <w:ind w:firstLine="411" w:firstLineChars="196"/>
        <w:jc w:val="left"/>
        <w:rPr>
          <w:rFonts w:ascii="宋体"/>
        </w:rPr>
      </w:pPr>
      <w:r>
        <w:rPr>
          <w:rFonts w:hint="eastAsia" w:ascii="宋体" w:hAnsi="宋体"/>
        </w:rPr>
        <w:t>2.9保证项目质量的技术力量及技术措施；</w:t>
      </w:r>
    </w:p>
    <w:p>
      <w:pPr>
        <w:snapToGrid w:val="0"/>
        <w:spacing w:line="360" w:lineRule="auto"/>
        <w:ind w:firstLine="411" w:firstLineChars="196"/>
        <w:jc w:val="left"/>
        <w:rPr>
          <w:rFonts w:ascii="宋体"/>
        </w:rPr>
      </w:pPr>
      <w:r>
        <w:rPr>
          <w:rFonts w:hint="eastAsia" w:ascii="宋体" w:hAnsi="宋体"/>
        </w:rPr>
        <w:t>2.10保证项目的组织方案及人力资源安排；</w:t>
      </w:r>
    </w:p>
    <w:p>
      <w:pPr>
        <w:snapToGrid w:val="0"/>
        <w:spacing w:line="360" w:lineRule="auto"/>
        <w:ind w:firstLine="411" w:firstLineChars="196"/>
        <w:jc w:val="left"/>
        <w:rPr>
          <w:rFonts w:ascii="宋体" w:hAnsi="宋体"/>
        </w:rPr>
      </w:pPr>
      <w:r>
        <w:rPr>
          <w:rFonts w:hint="eastAsia" w:ascii="宋体" w:hAnsi="宋体"/>
        </w:rPr>
        <w:t>2.11技术服务、技术培训、售后服务的内容和措施；</w:t>
      </w:r>
    </w:p>
    <w:p>
      <w:pPr>
        <w:snapToGrid w:val="0"/>
        <w:spacing w:line="360" w:lineRule="auto"/>
        <w:ind w:firstLine="411" w:firstLineChars="196"/>
        <w:jc w:val="left"/>
        <w:rPr>
          <w:rFonts w:ascii="宋体"/>
        </w:rPr>
      </w:pPr>
      <w:r>
        <w:rPr>
          <w:rFonts w:hint="eastAsia" w:ascii="宋体"/>
        </w:rPr>
        <w:t>2.12技术响应表  （本次投标产品的技术参数是否与官网上公开的技术参数一致，如不一致，要求明确哪些参数不一致，不一致的原因以及使用何种技术可以达到投标产品参数。）</w:t>
      </w:r>
    </w:p>
    <w:p>
      <w:pPr>
        <w:snapToGrid w:val="0"/>
        <w:spacing w:line="360" w:lineRule="auto"/>
        <w:ind w:firstLine="411" w:firstLineChars="196"/>
        <w:jc w:val="left"/>
        <w:rPr>
          <w:rFonts w:ascii="宋体"/>
        </w:rPr>
      </w:pPr>
      <w:r>
        <w:rPr>
          <w:rFonts w:hint="eastAsia" w:ascii="宋体" w:hAnsi="宋体"/>
        </w:rPr>
        <w:t>2.13优惠条件：投标人承诺给予招标人的各种优惠条件</w:t>
      </w:r>
    </w:p>
    <w:p>
      <w:pPr>
        <w:snapToGrid w:val="0"/>
        <w:spacing w:line="360" w:lineRule="auto"/>
        <w:ind w:firstLine="411" w:firstLineChars="196"/>
        <w:jc w:val="left"/>
        <w:rPr>
          <w:rFonts w:ascii="宋体"/>
        </w:rPr>
      </w:pPr>
      <w:r>
        <w:rPr>
          <w:rFonts w:hint="eastAsia" w:ascii="宋体" w:hAnsi="宋体"/>
        </w:rPr>
        <w:t>2.14投标人对本项目的合理化建议和改进措施；</w:t>
      </w:r>
    </w:p>
    <w:p>
      <w:pPr>
        <w:snapToGrid w:val="0"/>
        <w:spacing w:line="360" w:lineRule="auto"/>
        <w:ind w:firstLine="413" w:firstLineChars="196"/>
        <w:jc w:val="left"/>
        <w:rPr>
          <w:rFonts w:hAnsi="宋体"/>
          <w:b/>
          <w:szCs w:val="21"/>
        </w:rPr>
      </w:pPr>
      <w:r>
        <w:rPr>
          <w:rFonts w:hAnsi="宋体"/>
          <w:b/>
          <w:szCs w:val="21"/>
        </w:rPr>
        <w:t>3</w:t>
      </w:r>
      <w:r>
        <w:rPr>
          <w:rFonts w:hint="eastAsia" w:hAnsi="宋体"/>
          <w:b/>
          <w:szCs w:val="21"/>
        </w:rPr>
        <w:t>、报价部分：</w:t>
      </w:r>
    </w:p>
    <w:p>
      <w:pPr>
        <w:snapToGrid w:val="0"/>
        <w:spacing w:line="336" w:lineRule="auto"/>
        <w:ind w:firstLine="420" w:firstLineChars="200"/>
        <w:jc w:val="left"/>
        <w:rPr>
          <w:rFonts w:ascii="宋体" w:cs="宋体"/>
          <w:szCs w:val="21"/>
        </w:rPr>
      </w:pPr>
      <w:r>
        <w:rPr>
          <w:rFonts w:ascii="宋体" w:hAnsi="宋体" w:cs="宋体"/>
          <w:szCs w:val="21"/>
        </w:rPr>
        <w:t>3.1</w:t>
      </w:r>
      <w:r>
        <w:rPr>
          <w:rFonts w:hint="eastAsia" w:ascii="宋体" w:hAnsi="宋体" w:cs="宋体"/>
          <w:szCs w:val="21"/>
        </w:rPr>
        <w:t>投标报价一览表；</w:t>
      </w:r>
    </w:p>
    <w:p>
      <w:pPr>
        <w:tabs>
          <w:tab w:val="left" w:pos="3870"/>
          <w:tab w:val="left" w:pos="4085"/>
        </w:tabs>
        <w:snapToGrid w:val="0"/>
        <w:spacing w:line="336" w:lineRule="auto"/>
        <w:ind w:firstLine="420" w:firstLineChars="200"/>
        <w:jc w:val="left"/>
        <w:rPr>
          <w:rFonts w:ascii="宋体" w:cs="宋体"/>
          <w:szCs w:val="21"/>
        </w:rPr>
      </w:pPr>
      <w:r>
        <w:rPr>
          <w:rFonts w:ascii="宋体" w:hAnsi="宋体" w:cs="宋体"/>
          <w:szCs w:val="21"/>
        </w:rPr>
        <w:t>3.2</w:t>
      </w:r>
      <w:r>
        <w:rPr>
          <w:rFonts w:hint="eastAsia" w:ascii="宋体" w:hAnsi="宋体" w:cs="宋体"/>
          <w:szCs w:val="21"/>
        </w:rPr>
        <w:t>报价明细表；</w:t>
      </w:r>
    </w:p>
    <w:p>
      <w:pPr>
        <w:snapToGrid w:val="0"/>
        <w:spacing w:line="336" w:lineRule="auto"/>
        <w:ind w:firstLine="420" w:firstLineChars="200"/>
        <w:jc w:val="left"/>
        <w:rPr>
          <w:rFonts w:ascii="宋体" w:cs="宋体"/>
          <w:szCs w:val="21"/>
        </w:rPr>
      </w:pPr>
      <w:r>
        <w:rPr>
          <w:rFonts w:ascii="宋体" w:hAnsi="宋体" w:cs="宋体"/>
          <w:szCs w:val="21"/>
        </w:rPr>
        <w:t>3.3</w:t>
      </w:r>
      <w:r>
        <w:rPr>
          <w:rFonts w:hint="eastAsia" w:ascii="宋体" w:hAnsi="宋体" w:cs="宋体"/>
          <w:szCs w:val="21"/>
        </w:rPr>
        <w:t>投标人针对报价需要说明的其他文件和说明。</w:t>
      </w:r>
    </w:p>
    <w:p>
      <w:pPr>
        <w:snapToGrid w:val="0"/>
        <w:spacing w:line="360" w:lineRule="auto"/>
        <w:ind w:right="55" w:firstLine="413" w:firstLineChars="196"/>
        <w:jc w:val="left"/>
        <w:outlineLvl w:val="0"/>
        <w:rPr>
          <w:rFonts w:ascii="宋体"/>
          <w:b/>
          <w:sz w:val="24"/>
        </w:rPr>
      </w:pPr>
      <w:r>
        <w:rPr>
          <w:rFonts w:hint="eastAsia" w:ascii="宋体" w:hAnsi="宋体"/>
          <w:b/>
          <w:szCs w:val="21"/>
        </w:rPr>
        <w:t>（二）投标文件的语言及计量</w:t>
      </w:r>
    </w:p>
    <w:p>
      <w:pPr>
        <w:snapToGrid w:val="0"/>
        <w:spacing w:line="360" w:lineRule="auto"/>
        <w:ind w:firstLine="420" w:firstLineChars="200"/>
        <w:jc w:val="left"/>
        <w:rPr>
          <w:rFonts w:ascii="宋体" w:cs="宋体"/>
          <w:szCs w:val="21"/>
        </w:rPr>
      </w:pPr>
      <w:r>
        <w:rPr>
          <w:rFonts w:ascii="宋体" w:hAnsi="宋体" w:cs="宋体"/>
          <w:szCs w:val="21"/>
        </w:rPr>
        <w:t>1.</w:t>
      </w:r>
      <w:r>
        <w:rPr>
          <w:rFonts w:hint="eastAsia" w:ascii="宋体" w:hAnsi="宋体" w:cs="宋体"/>
          <w:szCs w:val="21"/>
        </w:rPr>
        <w:t>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cs="宋体"/>
          <w:szCs w:val="21"/>
        </w:rPr>
      </w:pPr>
      <w:r>
        <w:rPr>
          <w:rFonts w:ascii="宋体" w:hAnsi="宋体" w:cs="宋体"/>
          <w:szCs w:val="21"/>
        </w:rPr>
        <w:t>2.</w:t>
      </w:r>
      <w:r>
        <w:rPr>
          <w:rFonts w:hint="eastAsia" w:ascii="宋体" w:hAnsi="宋体" w:cs="宋体"/>
          <w:szCs w:val="21"/>
        </w:rPr>
        <w:t>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宋体"/>
          <w:b/>
          <w:szCs w:val="21"/>
        </w:rPr>
      </w:pPr>
      <w:r>
        <w:rPr>
          <w:rFonts w:hint="eastAsia" w:ascii="宋体" w:hAnsi="宋体"/>
          <w:b/>
          <w:szCs w:val="21"/>
        </w:rPr>
        <w:t>（三）响应报价</w:t>
      </w:r>
    </w:p>
    <w:p>
      <w:pPr>
        <w:pStyle w:val="10"/>
        <w:tabs>
          <w:tab w:val="clear" w:pos="360"/>
        </w:tabs>
        <w:snapToGrid w:val="0"/>
        <w:spacing w:line="360" w:lineRule="auto"/>
        <w:ind w:left="0" w:firstLine="422" w:firstLineChars="200"/>
        <w:rPr>
          <w:rFonts w:ascii="宋体" w:cs="宋体"/>
          <w:b/>
          <w:bCs/>
          <w:szCs w:val="21"/>
        </w:rPr>
      </w:pPr>
      <w:r>
        <w:rPr>
          <w:rFonts w:ascii="宋体" w:hAnsi="宋体" w:cs="宋体"/>
          <w:b/>
          <w:bCs/>
          <w:szCs w:val="21"/>
        </w:rPr>
        <w:t xml:space="preserve">1. </w:t>
      </w:r>
      <w:r>
        <w:rPr>
          <w:rFonts w:hint="eastAsia" w:ascii="宋体" w:hAnsi="宋体" w:cs="宋体"/>
          <w:b/>
          <w:bCs/>
          <w:szCs w:val="21"/>
        </w:rPr>
        <w:t>投标报价应以人民币报价，投标人报价应是包括为完成本项目服务、设备供应可能发生的全部费用及中标人的利润和应交纳的税金等一切费用。</w:t>
      </w:r>
    </w:p>
    <w:p>
      <w:pPr>
        <w:spacing w:line="360" w:lineRule="auto"/>
        <w:ind w:firstLine="420"/>
        <w:rPr>
          <w:rFonts w:ascii="宋体"/>
        </w:rPr>
      </w:pPr>
      <w:r>
        <w:rPr>
          <w:rFonts w:ascii="宋体" w:hAnsi="宋体" w:cs="宋体"/>
          <w:b/>
          <w:bCs/>
          <w:szCs w:val="21"/>
        </w:rPr>
        <w:t>2.</w:t>
      </w:r>
      <w:r>
        <w:rPr>
          <w:rFonts w:hint="eastAsia" w:ascii="宋体" w:hAnsi="宋体" w:cs="宋体"/>
          <w:b/>
          <w:bCs/>
          <w:szCs w:val="21"/>
        </w:rPr>
        <w:t>投标文件针对同一内容只允许有一个报价，有选择的或有条件的报价将不予接受。</w:t>
      </w:r>
    </w:p>
    <w:p>
      <w:pPr>
        <w:snapToGrid w:val="0"/>
        <w:spacing w:line="360" w:lineRule="auto"/>
        <w:ind w:firstLine="413" w:firstLineChars="196"/>
        <w:jc w:val="left"/>
        <w:outlineLvl w:val="0"/>
        <w:rPr>
          <w:rFonts w:ascii="宋体"/>
          <w:b/>
          <w:szCs w:val="21"/>
        </w:rPr>
      </w:pPr>
      <w:r>
        <w:rPr>
          <w:rFonts w:hint="eastAsia" w:ascii="宋体" w:hAnsi="宋体"/>
          <w:b/>
          <w:szCs w:val="21"/>
        </w:rPr>
        <w:t>（四）投标文件的有效期</w:t>
      </w:r>
    </w:p>
    <w:p>
      <w:pPr>
        <w:pStyle w:val="10"/>
        <w:tabs>
          <w:tab w:val="left" w:pos="454"/>
          <w:tab w:val="left" w:pos="720"/>
          <w:tab w:val="left" w:pos="900"/>
        </w:tabs>
        <w:snapToGrid w:val="0"/>
        <w:spacing w:line="360" w:lineRule="auto"/>
        <w:ind w:left="0" w:right="-506" w:rightChars="-241" w:firstLine="420" w:firstLineChars="200"/>
        <w:rPr>
          <w:rFonts w:ascii="宋体"/>
        </w:rPr>
      </w:pPr>
      <w:r>
        <w:rPr>
          <w:rFonts w:ascii="宋体" w:hAnsi="宋体"/>
        </w:rPr>
        <w:t>1.</w:t>
      </w:r>
      <w:r>
        <w:rPr>
          <w:rFonts w:hint="eastAsia" w:ascii="宋体" w:hAnsi="宋体"/>
        </w:rPr>
        <w:t>自投标截止日起</w:t>
      </w:r>
      <w:r>
        <w:rPr>
          <w:rFonts w:ascii="宋体" w:hAnsi="宋体"/>
          <w:b/>
          <w:u w:val="single"/>
        </w:rPr>
        <w:t xml:space="preserve">90 </w:t>
      </w:r>
      <w:r>
        <w:rPr>
          <w:rFonts w:hint="eastAsia" w:ascii="宋体" w:hAnsi="宋体"/>
          <w:b/>
        </w:rPr>
        <w:t>天</w:t>
      </w:r>
      <w:r>
        <w:rPr>
          <w:rFonts w:hint="eastAsia" w:ascii="宋体" w:hAnsi="宋体"/>
        </w:rPr>
        <w:t>投标文件应保持有效。有效期不足的投标文件将被拒绝。</w:t>
      </w:r>
    </w:p>
    <w:p>
      <w:pPr>
        <w:snapToGrid w:val="0"/>
        <w:spacing w:line="360" w:lineRule="auto"/>
        <w:ind w:right="-86" w:rightChars="-41" w:firstLine="420" w:firstLineChars="200"/>
        <w:jc w:val="left"/>
        <w:outlineLvl w:val="0"/>
        <w:rPr>
          <w:rFonts w:ascii="宋体"/>
        </w:rPr>
      </w:pPr>
      <w:r>
        <w:rPr>
          <w:rFonts w:ascii="宋体" w:hAnsi="宋体"/>
        </w:rPr>
        <w:t>2.</w:t>
      </w:r>
      <w:r>
        <w:rPr>
          <w:rFonts w:hint="eastAsia" w:ascii="宋体" w:hAnsi="宋体"/>
        </w:rPr>
        <w:t>在特殊情况下，采购人可与投标人协商延长投标书的有效期，这种要求和答复均以书面形式进行。</w:t>
      </w:r>
    </w:p>
    <w:p>
      <w:pPr>
        <w:snapToGrid w:val="0"/>
        <w:spacing w:line="360" w:lineRule="auto"/>
        <w:ind w:right="55" w:firstLine="420" w:firstLineChars="200"/>
        <w:jc w:val="left"/>
        <w:outlineLvl w:val="0"/>
        <w:rPr>
          <w:rFonts w:ascii="宋体"/>
        </w:rPr>
      </w:pPr>
      <w:r>
        <w:rPr>
          <w:rFonts w:ascii="宋体" w:hAnsi="宋体"/>
        </w:rPr>
        <w:t>3.</w:t>
      </w:r>
      <w:r>
        <w:rPr>
          <w:rFonts w:hint="eastAsia" w:ascii="宋体" w:hAnsi="宋体"/>
        </w:rPr>
        <w:t>中标人的投标文件自开标之日起至合同履行完毕止均应保持有效。</w:t>
      </w:r>
    </w:p>
    <w:p>
      <w:pPr>
        <w:snapToGrid w:val="0"/>
        <w:spacing w:line="360" w:lineRule="auto"/>
        <w:ind w:firstLine="413" w:firstLineChars="196"/>
        <w:jc w:val="left"/>
        <w:rPr>
          <w:rFonts w:ascii="宋体"/>
          <w:b/>
          <w:szCs w:val="21"/>
        </w:rPr>
      </w:pPr>
      <w:r>
        <w:rPr>
          <w:rFonts w:hint="eastAsia" w:ascii="宋体" w:hAnsi="宋体"/>
          <w:b/>
          <w:szCs w:val="21"/>
        </w:rPr>
        <w:t>（五）投标文件的包装、递交、修改和撤回</w:t>
      </w:r>
    </w:p>
    <w:p>
      <w:pPr>
        <w:snapToGrid w:val="0"/>
        <w:spacing w:line="360" w:lineRule="auto"/>
        <w:ind w:right="-86" w:rightChars="-41" w:firstLine="420" w:firstLineChars="200"/>
        <w:jc w:val="left"/>
        <w:rPr>
          <w:rFonts w:ascii="宋体"/>
        </w:rPr>
      </w:pPr>
      <w:r>
        <w:rPr>
          <w:rFonts w:ascii="宋体" w:hAnsi="宋体"/>
        </w:rPr>
        <w:t>1</w:t>
      </w:r>
      <w:r>
        <w:rPr>
          <w:rFonts w:hint="eastAsia" w:ascii="宋体" w:hAnsi="宋体"/>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60" w:lineRule="auto"/>
        <w:ind w:right="-86" w:rightChars="-41" w:firstLine="420" w:firstLineChars="200"/>
        <w:jc w:val="left"/>
        <w:rPr>
          <w:rFonts w:ascii="宋体"/>
        </w:rPr>
      </w:pPr>
      <w:r>
        <w:rPr>
          <w:rFonts w:ascii="宋体" w:hAnsi="宋体"/>
        </w:rPr>
        <w:t>2</w:t>
      </w:r>
      <w:r>
        <w:rPr>
          <w:rFonts w:hint="eastAsia" w:ascii="宋体" w:hAnsi="宋体"/>
        </w:rPr>
        <w:t>、投标人应当在投标截止时间前将以介质存储的数据电文形式的备份投标文件和纸质备份投标文件</w:t>
      </w:r>
      <w:r>
        <w:rPr>
          <w:rFonts w:hint="eastAsia" w:ascii="宋体" w:hAnsi="宋体" w:cs="宋体"/>
          <w:szCs w:val="21"/>
        </w:rPr>
        <w:t>寄到或送达采购代理公司。地址：舟山市定海区昌国路</w:t>
      </w:r>
      <w:r>
        <w:rPr>
          <w:rFonts w:ascii="宋体" w:hAnsi="宋体" w:cs="宋体"/>
          <w:szCs w:val="21"/>
        </w:rPr>
        <w:t>232</w:t>
      </w:r>
      <w:r>
        <w:rPr>
          <w:rFonts w:hint="eastAsia" w:ascii="宋体" w:hAnsi="宋体" w:cs="宋体"/>
          <w:szCs w:val="21"/>
        </w:rPr>
        <w:t>号中楼</w:t>
      </w:r>
      <w:r>
        <w:rPr>
          <w:rFonts w:ascii="宋体" w:hAnsi="宋体" w:cs="宋体"/>
          <w:szCs w:val="21"/>
        </w:rPr>
        <w:t xml:space="preserve">202  </w:t>
      </w:r>
      <w:r>
        <w:rPr>
          <w:rFonts w:hint="eastAsia" w:ascii="宋体" w:hAnsi="宋体" w:cs="宋体"/>
          <w:szCs w:val="21"/>
        </w:rPr>
        <w:t>深圳市国信招标有限公司舟山分公司。也可现场递交。</w:t>
      </w:r>
      <w:r>
        <w:rPr>
          <w:rFonts w:hint="eastAsia" w:ascii="宋体" w:hAnsi="宋体"/>
        </w:rPr>
        <w:t>逾期送达或未密封将被拒收。</w:t>
      </w:r>
    </w:p>
    <w:p>
      <w:pPr>
        <w:snapToGrid w:val="0"/>
        <w:spacing w:line="360" w:lineRule="auto"/>
        <w:ind w:right="-86" w:rightChars="-41" w:firstLine="422" w:firstLineChars="200"/>
        <w:jc w:val="left"/>
        <w:rPr>
          <w:rFonts w:ascii="宋体"/>
        </w:rPr>
      </w:pPr>
      <w:r>
        <w:rPr>
          <w:rFonts w:hint="eastAsia" w:cs="(使用中文字体)"/>
          <w:b/>
          <w:szCs w:val="21"/>
        </w:rPr>
        <w:t>投标人可以不提供备份投标文件，造成项目开评标活动无法进行下去的，投标无效，相关风险由投标人自行承担</w:t>
      </w:r>
    </w:p>
    <w:p>
      <w:pPr>
        <w:snapToGrid w:val="0"/>
        <w:spacing w:line="360" w:lineRule="auto"/>
        <w:ind w:right="-86" w:rightChars="-41" w:firstLine="420" w:firstLineChars="200"/>
        <w:jc w:val="left"/>
        <w:rPr>
          <w:rFonts w:ascii="宋体"/>
        </w:rPr>
      </w:pPr>
      <w:r>
        <w:rPr>
          <w:rFonts w:hint="eastAsia" w:ascii="宋体" w:hAnsi="宋体"/>
        </w:rPr>
        <w:t>投标人递交以介质存储的数据电文形式的备份投标文件和纸质备份投标文件时，如出现下列情况之一的，将被拒收：</w:t>
      </w:r>
    </w:p>
    <w:p>
      <w:pPr>
        <w:snapToGrid w:val="0"/>
        <w:spacing w:line="360" w:lineRule="auto"/>
        <w:ind w:right="-86" w:rightChars="-41" w:firstLine="420" w:firstLineChars="200"/>
        <w:jc w:val="left"/>
        <w:rPr>
          <w:rFonts w:ascii="宋体"/>
        </w:rPr>
      </w:pPr>
      <w:r>
        <w:rPr>
          <w:rFonts w:hint="eastAsia" w:ascii="宋体" w:hAnsi="宋体"/>
        </w:rPr>
        <w:t>（</w:t>
      </w:r>
      <w:r>
        <w:rPr>
          <w:rFonts w:ascii="宋体" w:hAnsi="宋体"/>
        </w:rPr>
        <w:t>1</w:t>
      </w:r>
      <w:r>
        <w:rPr>
          <w:rFonts w:hint="eastAsia" w:ascii="宋体" w:hAnsi="宋体"/>
        </w:rPr>
        <w:t>）未按规定密封或标记的投标文件；</w:t>
      </w:r>
    </w:p>
    <w:p>
      <w:pPr>
        <w:snapToGrid w:val="0"/>
        <w:spacing w:line="360" w:lineRule="auto"/>
        <w:ind w:right="-86" w:rightChars="-41" w:firstLine="420" w:firstLineChars="200"/>
        <w:jc w:val="left"/>
        <w:rPr>
          <w:rFonts w:ascii="宋体"/>
        </w:rPr>
      </w:pPr>
      <w:r>
        <w:rPr>
          <w:rFonts w:hint="eastAsia" w:ascii="宋体" w:hAnsi="宋体"/>
        </w:rPr>
        <w:t>（</w:t>
      </w:r>
      <w:r>
        <w:rPr>
          <w:rFonts w:ascii="宋体" w:hAnsi="宋体"/>
        </w:rPr>
        <w:t>2</w:t>
      </w:r>
      <w:r>
        <w:rPr>
          <w:rFonts w:hint="eastAsia" w:ascii="宋体" w:hAnsi="宋体"/>
        </w:rPr>
        <w:t>）由于包装不妥，在送交途中严重破损或失散的；</w:t>
      </w:r>
    </w:p>
    <w:p>
      <w:pPr>
        <w:snapToGrid w:val="0"/>
        <w:spacing w:line="360" w:lineRule="auto"/>
        <w:ind w:right="-86" w:rightChars="-41" w:firstLine="420" w:firstLineChars="200"/>
        <w:jc w:val="left"/>
        <w:rPr>
          <w:rFonts w:ascii="宋体"/>
        </w:rPr>
      </w:pPr>
      <w:r>
        <w:rPr>
          <w:rFonts w:hint="eastAsia" w:ascii="宋体" w:hAnsi="宋体"/>
        </w:rPr>
        <w:t>（</w:t>
      </w:r>
      <w:r>
        <w:rPr>
          <w:rFonts w:ascii="宋体" w:hAnsi="宋体"/>
        </w:rPr>
        <w:t>3</w:t>
      </w:r>
      <w:r>
        <w:rPr>
          <w:rFonts w:hint="eastAsia" w:ascii="宋体" w:hAnsi="宋体"/>
        </w:rPr>
        <w:t>）未成功办理投标人报名手续的；</w:t>
      </w:r>
    </w:p>
    <w:p>
      <w:pPr>
        <w:snapToGrid w:val="0"/>
        <w:spacing w:line="360" w:lineRule="auto"/>
        <w:ind w:right="-86" w:rightChars="-41" w:firstLine="420" w:firstLineChars="200"/>
        <w:jc w:val="left"/>
        <w:rPr>
          <w:rFonts w:ascii="宋体"/>
        </w:rPr>
      </w:pPr>
      <w:r>
        <w:rPr>
          <w:rFonts w:hint="eastAsia" w:ascii="宋体" w:hAnsi="宋体"/>
        </w:rPr>
        <w:t>（</w:t>
      </w:r>
      <w:r>
        <w:rPr>
          <w:rFonts w:ascii="宋体" w:hAnsi="宋体"/>
        </w:rPr>
        <w:t>4</w:t>
      </w:r>
      <w:r>
        <w:rPr>
          <w:rFonts w:hint="eastAsia" w:ascii="宋体" w:hAnsi="宋体"/>
        </w:rPr>
        <w:t>）超过投标截止时间送达的；</w:t>
      </w:r>
    </w:p>
    <w:p>
      <w:pPr>
        <w:snapToGrid w:val="0"/>
        <w:spacing w:line="360" w:lineRule="auto"/>
        <w:ind w:right="-86" w:rightChars="-41" w:firstLine="420" w:firstLineChars="200"/>
        <w:jc w:val="left"/>
        <w:rPr>
          <w:rFonts w:ascii="宋体"/>
        </w:rPr>
      </w:pPr>
      <w:r>
        <w:rPr>
          <w:rFonts w:hint="eastAsia" w:ascii="宋体" w:hAnsi="宋体"/>
        </w:rPr>
        <w:t>仅提供备份投标文件的，投标无效。</w:t>
      </w:r>
    </w:p>
    <w:p>
      <w:pPr>
        <w:snapToGrid w:val="0"/>
        <w:spacing w:line="360" w:lineRule="auto"/>
        <w:ind w:right="-86" w:rightChars="-41" w:firstLine="420" w:firstLineChars="200"/>
        <w:jc w:val="left"/>
        <w:rPr>
          <w:rFonts w:ascii="宋体"/>
        </w:rPr>
      </w:pPr>
      <w:r>
        <w:rPr>
          <w:rFonts w:hint="eastAsia" w:ascii="宋体" w:hAnsi="宋体"/>
        </w:rPr>
        <w:t>仅提供其中一种形式的备份投标文件，造成项目开评标活动无法进行下去的，投标无效，相关风险由投标人自行承担。</w:t>
      </w:r>
    </w:p>
    <w:p>
      <w:pPr>
        <w:snapToGrid w:val="0"/>
        <w:spacing w:line="360" w:lineRule="auto"/>
        <w:ind w:right="-86" w:rightChars="-41" w:firstLine="420" w:firstLineChars="200"/>
        <w:jc w:val="left"/>
        <w:rPr>
          <w:rFonts w:ascii="宋体"/>
        </w:rPr>
      </w:pPr>
      <w:r>
        <w:rPr>
          <w:rFonts w:ascii="宋体" w:hAnsi="宋体"/>
        </w:rPr>
        <w:t>3</w:t>
      </w:r>
      <w:r>
        <w:rPr>
          <w:rFonts w:hint="eastAsia" w:ascii="宋体" w:hAnsi="宋体"/>
        </w:rPr>
        <w:t>、投标、响应文件未按时解密，供应商提供了备份投标、响应文件的，以备份投标、响应文件作为依据，否则视为投标、响应文件撤回。投标、响应文件已按时解密的，备份投标、响应文件自动失效。</w:t>
      </w:r>
    </w:p>
    <w:p>
      <w:pPr>
        <w:snapToGrid w:val="0"/>
        <w:spacing w:line="360" w:lineRule="auto"/>
        <w:ind w:right="-86" w:rightChars="-41" w:firstLine="420" w:firstLineChars="200"/>
        <w:jc w:val="left"/>
        <w:rPr>
          <w:rFonts w:ascii="宋体"/>
        </w:rPr>
      </w:pPr>
      <w:r>
        <w:rPr>
          <w:rFonts w:ascii="宋体" w:hAnsi="宋体"/>
        </w:rPr>
        <w:t>4</w:t>
      </w:r>
      <w:r>
        <w:rPr>
          <w:rFonts w:hint="eastAsia" w:ascii="宋体" w:hAnsi="宋体"/>
        </w:rPr>
        <w:t>、备份投标文件须密封封装。包装封面上应注明投标人名称，封口处加盖投标人公章。</w:t>
      </w:r>
    </w:p>
    <w:p>
      <w:pPr>
        <w:spacing w:line="360" w:lineRule="auto"/>
        <w:ind w:firstLine="316" w:firstLineChars="150"/>
        <w:rPr>
          <w:rFonts w:ascii="宋体"/>
        </w:rPr>
      </w:pPr>
      <w:r>
        <w:rPr>
          <w:rFonts w:hint="eastAsia" w:ascii="宋体" w:hAnsi="宋体"/>
          <w:b/>
          <w:szCs w:val="21"/>
        </w:rPr>
        <w:t>（六）投标无效的情形</w:t>
      </w:r>
    </w:p>
    <w:p>
      <w:pPr>
        <w:pStyle w:val="109"/>
        <w:snapToGrid w:val="0"/>
        <w:spacing w:before="120" w:after="120" w:line="360" w:lineRule="auto"/>
        <w:ind w:right="-86" w:rightChars="-41" w:firstLine="415" w:firstLineChars="198"/>
        <w:rPr>
          <w:rFonts w:hAnsi="宋体" w:eastAsia="宋体"/>
          <w:sz w:val="21"/>
          <w:szCs w:val="21"/>
        </w:rPr>
      </w:pPr>
      <w:r>
        <w:rPr>
          <w:rFonts w:hint="eastAsia" w:hAnsi="宋体" w:eastAsia="宋体"/>
          <w:sz w:val="21"/>
          <w:szCs w:val="21"/>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109"/>
        <w:snapToGrid w:val="0"/>
        <w:spacing w:before="120" w:after="120" w:line="360" w:lineRule="auto"/>
        <w:ind w:firstLine="417" w:firstLineChars="198"/>
        <w:rPr>
          <w:rFonts w:hAnsi="宋体" w:eastAsia="宋体"/>
          <w:sz w:val="21"/>
          <w:szCs w:val="21"/>
        </w:rPr>
      </w:pPr>
      <w:r>
        <w:rPr>
          <w:rFonts w:hAnsi="宋体" w:eastAsia="宋体"/>
          <w:b/>
          <w:bCs/>
          <w:sz w:val="21"/>
          <w:szCs w:val="21"/>
        </w:rPr>
        <w:t>1</w:t>
      </w:r>
      <w:r>
        <w:rPr>
          <w:rFonts w:hint="eastAsia" w:hAnsi="宋体" w:eastAsia="宋体"/>
          <w:b/>
          <w:bCs/>
          <w:sz w:val="21"/>
          <w:szCs w:val="21"/>
        </w:rPr>
        <w:t>、在符合性审查和商务评审时，如发现下列情形之一的，投标文件将被视为无效投标：</w:t>
      </w:r>
    </w:p>
    <w:p>
      <w:pPr>
        <w:pStyle w:val="109"/>
        <w:snapToGrid w:val="0"/>
        <w:spacing w:before="120" w:after="120" w:line="360" w:lineRule="auto"/>
        <w:ind w:firstLine="415" w:firstLineChars="198"/>
        <w:rPr>
          <w:rFonts w:hAnsi="宋体" w:eastAsia="宋体"/>
          <w:bCs/>
          <w:sz w:val="21"/>
          <w:szCs w:val="21"/>
        </w:rPr>
      </w:pPr>
      <w:r>
        <w:rPr>
          <w:rFonts w:hAnsi="宋体" w:eastAsia="宋体"/>
          <w:bCs/>
          <w:sz w:val="21"/>
          <w:szCs w:val="21"/>
        </w:rPr>
        <w:t>1.1</w:t>
      </w:r>
      <w:r>
        <w:rPr>
          <w:rFonts w:hint="eastAsia" w:hAnsi="宋体" w:eastAsia="宋体" w:cs="宋体"/>
          <w:sz w:val="21"/>
          <w:szCs w:val="21"/>
        </w:rPr>
        <w:t>资格证明文件不全的，或者不符合采购文件标明的资格要求的</w:t>
      </w:r>
      <w:r>
        <w:rPr>
          <w:rFonts w:hint="eastAsia" w:hAnsi="宋体" w:eastAsia="宋体"/>
          <w:bCs/>
          <w:sz w:val="21"/>
          <w:szCs w:val="21"/>
        </w:rPr>
        <w:t>；</w:t>
      </w:r>
    </w:p>
    <w:p>
      <w:pPr>
        <w:pStyle w:val="20"/>
        <w:snapToGrid w:val="0"/>
        <w:spacing w:before="120" w:line="360" w:lineRule="auto"/>
        <w:ind w:firstLine="415" w:firstLineChars="198"/>
        <w:rPr>
          <w:rFonts w:hAnsi="宋体"/>
          <w:bCs/>
          <w:sz w:val="21"/>
          <w:szCs w:val="21"/>
        </w:rPr>
      </w:pPr>
      <w:r>
        <w:rPr>
          <w:rFonts w:hAnsi="宋体"/>
          <w:bCs/>
          <w:sz w:val="21"/>
          <w:szCs w:val="21"/>
        </w:rPr>
        <w:t>1.</w:t>
      </w:r>
      <w:r>
        <w:rPr>
          <w:rFonts w:hAnsi="宋体" w:cs="宋体"/>
          <w:sz w:val="21"/>
          <w:szCs w:val="21"/>
        </w:rPr>
        <w:t>2</w:t>
      </w:r>
      <w:r>
        <w:rPr>
          <w:rFonts w:hint="eastAsia" w:hAnsi="宋体" w:cs="宋体"/>
          <w:sz w:val="21"/>
          <w:szCs w:val="21"/>
        </w:rPr>
        <w:t>投标文件组成不全的；</w:t>
      </w:r>
    </w:p>
    <w:p>
      <w:pPr>
        <w:pStyle w:val="109"/>
        <w:snapToGrid w:val="0"/>
        <w:spacing w:before="120" w:after="120" w:line="360" w:lineRule="auto"/>
        <w:ind w:firstLine="415" w:firstLineChars="198"/>
        <w:rPr>
          <w:rFonts w:hAnsi="宋体" w:eastAsia="宋体"/>
          <w:bCs/>
          <w:sz w:val="21"/>
          <w:szCs w:val="21"/>
        </w:rPr>
      </w:pPr>
      <w:r>
        <w:rPr>
          <w:rFonts w:hAnsi="宋体" w:eastAsia="宋体"/>
          <w:bCs/>
          <w:sz w:val="21"/>
          <w:szCs w:val="21"/>
        </w:rPr>
        <w:t>1.3</w:t>
      </w:r>
      <w:r>
        <w:rPr>
          <w:rFonts w:hint="eastAsia" w:hAnsi="宋体" w:eastAsia="宋体"/>
          <w:bCs/>
          <w:sz w:val="21"/>
          <w:szCs w:val="21"/>
        </w:rPr>
        <w:t>投标文件的实质性内容未使用中文表述、意思表述不明确、前后矛盾或者使用计量单位不符合采购文件要求的；（</w:t>
      </w:r>
      <w:r>
        <w:rPr>
          <w:rFonts w:hint="eastAsia" w:hAnsi="宋体" w:eastAsia="宋体" w:cs="宋体"/>
          <w:sz w:val="21"/>
          <w:szCs w:val="21"/>
        </w:rPr>
        <w:t>经评审小组认定允许其在线更正的笔误除外</w:t>
      </w:r>
      <w:r>
        <w:rPr>
          <w:rFonts w:hint="eastAsia" w:hAnsi="宋体" w:eastAsia="宋体"/>
          <w:bCs/>
          <w:sz w:val="21"/>
          <w:szCs w:val="21"/>
        </w:rPr>
        <w:t>）</w:t>
      </w:r>
    </w:p>
    <w:p>
      <w:pPr>
        <w:pStyle w:val="109"/>
        <w:snapToGrid w:val="0"/>
        <w:spacing w:before="120" w:after="120" w:line="360" w:lineRule="auto"/>
        <w:ind w:firstLine="415" w:firstLineChars="198"/>
        <w:rPr>
          <w:rFonts w:hAnsi="宋体" w:eastAsia="宋体"/>
          <w:bCs/>
          <w:sz w:val="21"/>
          <w:szCs w:val="21"/>
        </w:rPr>
      </w:pPr>
      <w:r>
        <w:rPr>
          <w:rFonts w:hAnsi="宋体" w:eastAsia="宋体"/>
          <w:bCs/>
          <w:sz w:val="21"/>
          <w:szCs w:val="21"/>
        </w:rPr>
        <w:t>1.4</w:t>
      </w:r>
      <w:r>
        <w:rPr>
          <w:rFonts w:hint="eastAsia" w:hAnsi="宋体" w:eastAsia="宋体"/>
          <w:bCs/>
          <w:sz w:val="21"/>
          <w:szCs w:val="21"/>
        </w:rPr>
        <w:t>投标文件的关键内容字迹模糊、无法辨认的，或者投标文件中经修正的内容字迹模糊难以辩认或者修改处未按规定签名盖章的；</w:t>
      </w:r>
    </w:p>
    <w:p>
      <w:pPr>
        <w:pStyle w:val="109"/>
        <w:snapToGrid w:val="0"/>
        <w:spacing w:before="120" w:after="120" w:line="360" w:lineRule="auto"/>
        <w:ind w:firstLine="415" w:firstLineChars="198"/>
        <w:rPr>
          <w:rFonts w:hAnsi="宋体" w:eastAsia="宋体"/>
          <w:bCs/>
          <w:sz w:val="21"/>
          <w:szCs w:val="21"/>
        </w:rPr>
      </w:pPr>
      <w:r>
        <w:rPr>
          <w:rFonts w:hAnsi="宋体" w:eastAsia="宋体"/>
          <w:bCs/>
          <w:sz w:val="21"/>
          <w:szCs w:val="21"/>
        </w:rPr>
        <w:t>1.5</w:t>
      </w:r>
      <w:r>
        <w:rPr>
          <w:rFonts w:hint="eastAsia" w:hAnsi="宋体" w:eastAsia="宋体"/>
          <w:bCs/>
          <w:sz w:val="21"/>
          <w:szCs w:val="21"/>
        </w:rPr>
        <w:t>投标有效期、交货时间、质保期等商务条款不能满足采购文件要求的；</w:t>
      </w:r>
    </w:p>
    <w:p>
      <w:pPr>
        <w:pStyle w:val="109"/>
        <w:snapToGrid w:val="0"/>
        <w:spacing w:before="120" w:after="120" w:line="360" w:lineRule="auto"/>
        <w:ind w:firstLine="415" w:firstLineChars="198"/>
        <w:rPr>
          <w:rFonts w:hAnsi="宋体" w:eastAsia="宋体"/>
          <w:bCs/>
          <w:sz w:val="21"/>
          <w:szCs w:val="21"/>
        </w:rPr>
      </w:pPr>
      <w:r>
        <w:rPr>
          <w:rFonts w:hAnsi="宋体" w:eastAsia="宋体"/>
          <w:bCs/>
          <w:sz w:val="21"/>
          <w:szCs w:val="21"/>
        </w:rPr>
        <w:t>1.6</w:t>
      </w:r>
      <w:r>
        <w:rPr>
          <w:rFonts w:hint="eastAsia" w:hAnsi="宋体" w:eastAsia="宋体"/>
          <w:bCs/>
          <w:sz w:val="21"/>
          <w:szCs w:val="21"/>
        </w:rPr>
        <w:t>未响应采购文件实质性要求或者投标文件有采购人不能接受的附加条件的；</w:t>
      </w:r>
    </w:p>
    <w:p>
      <w:pPr>
        <w:pStyle w:val="109"/>
        <w:snapToGrid w:val="0"/>
        <w:spacing w:before="120" w:after="120" w:line="360" w:lineRule="auto"/>
        <w:ind w:firstLine="415" w:firstLineChars="198"/>
        <w:rPr>
          <w:rFonts w:hAnsi="宋体" w:eastAsia="宋体"/>
          <w:bCs/>
          <w:sz w:val="21"/>
          <w:szCs w:val="21"/>
        </w:rPr>
      </w:pPr>
      <w:r>
        <w:rPr>
          <w:rFonts w:hAnsi="宋体" w:eastAsia="宋体"/>
          <w:bCs/>
          <w:sz w:val="21"/>
          <w:szCs w:val="21"/>
        </w:rPr>
        <w:t>1.7</w:t>
      </w:r>
      <w:r>
        <w:rPr>
          <w:rFonts w:hint="eastAsia" w:hAnsi="宋体" w:eastAsia="宋体"/>
          <w:bCs/>
          <w:sz w:val="21"/>
          <w:szCs w:val="21"/>
        </w:rPr>
        <w:t>投标文件没有按采购文件要求响应有标“★”的条款的资料和材料的；</w:t>
      </w:r>
    </w:p>
    <w:p>
      <w:pPr>
        <w:spacing w:line="360" w:lineRule="auto"/>
        <w:ind w:firstLine="420"/>
        <w:rPr>
          <w:rFonts w:ascii="宋体"/>
          <w:szCs w:val="21"/>
        </w:rPr>
      </w:pPr>
      <w:r>
        <w:rPr>
          <w:rFonts w:ascii="宋体" w:hAnsi="宋体"/>
          <w:b/>
          <w:bCs/>
        </w:rPr>
        <w:t>2</w:t>
      </w:r>
      <w:r>
        <w:rPr>
          <w:rFonts w:hint="eastAsia" w:ascii="宋体" w:hAnsi="宋体"/>
          <w:b/>
          <w:bCs/>
        </w:rPr>
        <w:t>、在技术评审时，如发现下列情形之一的，投标文件将被视为无效响应：</w:t>
      </w:r>
    </w:p>
    <w:p>
      <w:pPr>
        <w:spacing w:line="360" w:lineRule="auto"/>
        <w:ind w:firstLine="420"/>
        <w:rPr>
          <w:rFonts w:ascii="宋体"/>
          <w:szCs w:val="21"/>
        </w:rPr>
      </w:pPr>
      <w:r>
        <w:rPr>
          <w:rFonts w:ascii="宋体" w:hAnsi="宋体"/>
          <w:szCs w:val="21"/>
        </w:rPr>
        <w:t>2.1</w:t>
      </w:r>
      <w:r>
        <w:rPr>
          <w:rFonts w:hint="eastAsia" w:hAnsi="宋体" w:cs="宋体"/>
          <w:szCs w:val="21"/>
        </w:rPr>
        <w:t>投标文件标明的响应或偏离与事实不符或虚假投标的</w:t>
      </w:r>
      <w:r>
        <w:rPr>
          <w:rFonts w:hint="eastAsia" w:ascii="宋体" w:hAnsi="宋体"/>
          <w:szCs w:val="21"/>
        </w:rPr>
        <w:t>；</w:t>
      </w:r>
    </w:p>
    <w:p>
      <w:pPr>
        <w:spacing w:line="360" w:lineRule="auto"/>
        <w:ind w:firstLine="420" w:firstLineChars="200"/>
        <w:rPr>
          <w:rFonts w:ascii="宋体"/>
          <w:szCs w:val="21"/>
        </w:rPr>
      </w:pPr>
      <w:r>
        <w:rPr>
          <w:rFonts w:ascii="宋体" w:hAnsi="宋体"/>
          <w:bCs/>
          <w:szCs w:val="21"/>
        </w:rPr>
        <w:t>2.2</w:t>
      </w:r>
      <w:r>
        <w:rPr>
          <w:rFonts w:hint="eastAsia" w:ascii="宋体" w:hAnsi="宋体"/>
          <w:bCs/>
          <w:szCs w:val="21"/>
        </w:rPr>
        <w:t>明显不符合采购文件标明的质量标准，或者采购文件中标“</w:t>
      </w:r>
      <w:r>
        <w:rPr>
          <w:rFonts w:hint="eastAsia" w:ascii="宋体" w:hAnsi="宋体"/>
          <w:b/>
        </w:rPr>
        <w:t>★</w:t>
      </w:r>
      <w:r>
        <w:rPr>
          <w:rFonts w:hint="eastAsia" w:ascii="宋体" w:hAnsi="宋体"/>
          <w:bCs/>
          <w:szCs w:val="21"/>
        </w:rPr>
        <w:t>”的技术参数、条款（如有）发生实质性偏离的；</w:t>
      </w:r>
    </w:p>
    <w:p>
      <w:pPr>
        <w:spacing w:line="360" w:lineRule="auto"/>
        <w:ind w:firstLine="420"/>
        <w:rPr>
          <w:rFonts w:ascii="宋体"/>
        </w:rPr>
      </w:pPr>
      <w:r>
        <w:rPr>
          <w:rFonts w:ascii="宋体" w:hAnsi="宋体"/>
          <w:szCs w:val="21"/>
        </w:rPr>
        <w:t>2.3</w:t>
      </w:r>
      <w:r>
        <w:rPr>
          <w:rFonts w:hint="eastAsia" w:ascii="宋体" w:hAnsi="宋体"/>
          <w:szCs w:val="21"/>
        </w:rPr>
        <w:t>投标技术方案不明确，存在一个或一个以上备选（替代）投标方案的；</w:t>
      </w:r>
    </w:p>
    <w:p>
      <w:pPr>
        <w:spacing w:line="360" w:lineRule="auto"/>
        <w:ind w:firstLine="420"/>
        <w:rPr>
          <w:rFonts w:ascii="宋体"/>
          <w:szCs w:val="21"/>
        </w:rPr>
      </w:pPr>
      <w:r>
        <w:rPr>
          <w:rFonts w:ascii="宋体" w:hAnsi="宋体"/>
          <w:b/>
          <w:bCs/>
        </w:rPr>
        <w:t>3</w:t>
      </w:r>
      <w:r>
        <w:rPr>
          <w:rFonts w:hint="eastAsia" w:ascii="宋体" w:hAnsi="宋体"/>
          <w:b/>
          <w:bCs/>
        </w:rPr>
        <w:t>、</w:t>
      </w:r>
      <w:r>
        <w:rPr>
          <w:rFonts w:hint="eastAsia" w:ascii="宋体" w:hAnsi="宋体" w:cs="宋体"/>
          <w:b/>
          <w:szCs w:val="21"/>
        </w:rPr>
        <w:t>在投标报价文件评审时</w:t>
      </w:r>
      <w:r>
        <w:rPr>
          <w:rFonts w:hint="eastAsia" w:ascii="宋体" w:hAnsi="宋体"/>
          <w:b/>
          <w:bCs/>
        </w:rPr>
        <w:t>，如发现下列情形之一的，投标文件将被视为无效响应：</w:t>
      </w:r>
    </w:p>
    <w:p>
      <w:pPr>
        <w:pStyle w:val="85"/>
        <w:snapToGrid w:val="0"/>
        <w:spacing w:line="360" w:lineRule="auto"/>
        <w:ind w:right="-86" w:rightChars="-41" w:firstLine="438" w:firstLineChars="209"/>
        <w:rPr>
          <w:rFonts w:ascii="宋体"/>
        </w:rPr>
      </w:pPr>
      <w:r>
        <w:rPr>
          <w:rFonts w:ascii="宋体" w:hAnsi="宋体"/>
        </w:rPr>
        <w:t>3.1</w:t>
      </w:r>
      <w:r>
        <w:rPr>
          <w:rFonts w:hint="eastAsia" w:ascii="宋体" w:hAnsi="宋体"/>
        </w:rPr>
        <w:t>未采用人民币报价或者未按照采购文件标明的币种报价的；</w:t>
      </w:r>
    </w:p>
    <w:p>
      <w:pPr>
        <w:pStyle w:val="85"/>
        <w:snapToGrid w:val="0"/>
        <w:spacing w:line="360" w:lineRule="auto"/>
        <w:ind w:right="-86" w:rightChars="-41" w:firstLine="438" w:firstLineChars="209"/>
        <w:rPr>
          <w:rFonts w:ascii="宋体"/>
        </w:rPr>
      </w:pPr>
      <w:r>
        <w:rPr>
          <w:rFonts w:ascii="宋体" w:hAnsi="宋体"/>
        </w:rPr>
        <w:t>3.2</w:t>
      </w:r>
      <w:r>
        <w:rPr>
          <w:rFonts w:hint="eastAsia" w:ascii="宋体" w:hAnsi="宋体"/>
        </w:rPr>
        <w:t>报价超出最高限价，或者超出采购预算金额，采购人不能支付的；</w:t>
      </w:r>
    </w:p>
    <w:p>
      <w:pPr>
        <w:pStyle w:val="85"/>
        <w:snapToGrid w:val="0"/>
        <w:spacing w:line="360" w:lineRule="auto"/>
        <w:ind w:right="-86" w:rightChars="-41" w:firstLine="438" w:firstLineChars="209"/>
        <w:rPr>
          <w:rFonts w:ascii="宋体"/>
        </w:rPr>
      </w:pPr>
      <w:r>
        <w:rPr>
          <w:rFonts w:ascii="宋体" w:hAnsi="宋体"/>
        </w:rPr>
        <w:t>3.3</w:t>
      </w:r>
      <w:r>
        <w:rPr>
          <w:rFonts w:hint="eastAsia" w:ascii="宋体" w:hAnsi="宋体"/>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85"/>
        <w:snapToGrid w:val="0"/>
        <w:spacing w:line="360" w:lineRule="auto"/>
        <w:ind w:right="-86" w:rightChars="-41" w:firstLine="438" w:firstLineChars="209"/>
        <w:rPr>
          <w:rFonts w:ascii="宋体"/>
        </w:rPr>
      </w:pPr>
      <w:r>
        <w:rPr>
          <w:rFonts w:ascii="宋体" w:hAnsi="宋体"/>
        </w:rPr>
        <w:t>3.4</w:t>
      </w:r>
      <w:r>
        <w:rPr>
          <w:rFonts w:hint="eastAsia" w:ascii="宋体" w:hAnsi="宋体"/>
        </w:rPr>
        <w:t>投标报价具有选择性，或者开标价格与投标文件承诺的优惠（折扣）价格不一致的；</w:t>
      </w:r>
    </w:p>
    <w:p>
      <w:pPr>
        <w:pStyle w:val="85"/>
        <w:snapToGrid w:val="0"/>
        <w:spacing w:line="360" w:lineRule="auto"/>
        <w:ind w:right="-86" w:rightChars="-41" w:firstLine="441" w:firstLineChars="209"/>
        <w:rPr>
          <w:rFonts w:ascii="宋体"/>
        </w:rPr>
      </w:pPr>
      <w:r>
        <w:rPr>
          <w:rFonts w:ascii="宋体" w:hAnsi="宋体"/>
          <w:b/>
          <w:bCs/>
        </w:rPr>
        <w:t>4.</w:t>
      </w:r>
      <w:r>
        <w:rPr>
          <w:rFonts w:hint="eastAsia" w:ascii="宋体" w:hAnsi="宋体"/>
        </w:rPr>
        <w:t>法律、法规和采购文件规定的其他无效情形。</w:t>
      </w:r>
    </w:p>
    <w:p>
      <w:pPr>
        <w:pStyle w:val="85"/>
        <w:snapToGrid w:val="0"/>
        <w:spacing w:line="360" w:lineRule="auto"/>
        <w:ind w:right="-86" w:rightChars="-41" w:firstLine="441" w:firstLineChars="209"/>
        <w:rPr>
          <w:rFonts w:hAnsi="宋体"/>
        </w:rPr>
      </w:pPr>
      <w:r>
        <w:rPr>
          <w:rFonts w:hint="eastAsia" w:ascii="宋体" w:hAnsi="宋体"/>
          <w:b/>
          <w:szCs w:val="21"/>
        </w:rPr>
        <w:t>（七）</w:t>
      </w:r>
      <w:r>
        <w:rPr>
          <w:rFonts w:hint="eastAsia" w:ascii="宋体" w:hAnsi="宋体"/>
          <w:b/>
        </w:rPr>
        <w:t>出现以下情形，导致电子交易平台无法正常运行，</w:t>
      </w:r>
      <w:r>
        <w:rPr>
          <w:rFonts w:hint="eastAsia" w:hAnsi="宋体"/>
          <w:b/>
        </w:rPr>
        <w:t>或者无法保证电子交易的公平、公正和安全时，中止电子交易活动：</w:t>
      </w:r>
    </w:p>
    <w:p>
      <w:pPr>
        <w:pStyle w:val="85"/>
        <w:snapToGrid w:val="0"/>
        <w:spacing w:line="360" w:lineRule="auto"/>
        <w:ind w:right="-86" w:rightChars="-41" w:firstLine="438" w:firstLineChars="209"/>
        <w:rPr>
          <w:rFonts w:hAnsi="宋体"/>
        </w:rPr>
      </w:pPr>
      <w:r>
        <w:rPr>
          <w:rFonts w:hint="eastAsia" w:hAnsi="宋体"/>
        </w:rPr>
        <w:t>（一）电子交易平台发生故障而无法登录访问的；</w:t>
      </w:r>
    </w:p>
    <w:p>
      <w:pPr>
        <w:pStyle w:val="85"/>
        <w:snapToGrid w:val="0"/>
        <w:spacing w:line="360" w:lineRule="auto"/>
        <w:ind w:right="-86" w:rightChars="-41" w:firstLine="438" w:firstLineChars="209"/>
        <w:rPr>
          <w:rFonts w:hAnsi="宋体"/>
        </w:rPr>
      </w:pPr>
      <w:r>
        <w:rPr>
          <w:rFonts w:hint="eastAsia" w:hAnsi="宋体"/>
        </w:rPr>
        <w:t>（二）电子交易平台应用或数据库出现错误，不能进行正常操作的；</w:t>
      </w:r>
    </w:p>
    <w:p>
      <w:pPr>
        <w:pStyle w:val="85"/>
        <w:snapToGrid w:val="0"/>
        <w:spacing w:line="360" w:lineRule="auto"/>
        <w:ind w:right="-86" w:rightChars="-41" w:firstLine="438" w:firstLineChars="209"/>
        <w:rPr>
          <w:rFonts w:hAnsi="宋体"/>
        </w:rPr>
      </w:pPr>
      <w:r>
        <w:rPr>
          <w:rFonts w:hint="eastAsia" w:hAnsi="宋体"/>
        </w:rPr>
        <w:t>（三）电子交易平台发现严重安全漏洞，有潜在泄密危险的；</w:t>
      </w:r>
    </w:p>
    <w:p>
      <w:pPr>
        <w:pStyle w:val="85"/>
        <w:snapToGrid w:val="0"/>
        <w:spacing w:line="360" w:lineRule="auto"/>
        <w:ind w:right="-86" w:rightChars="-41" w:firstLine="438" w:firstLineChars="209"/>
        <w:rPr>
          <w:rFonts w:hAnsi="宋体"/>
        </w:rPr>
      </w:pPr>
      <w:r>
        <w:rPr>
          <w:rFonts w:hint="eastAsia" w:hAnsi="宋体"/>
        </w:rPr>
        <w:t>（四）病毒发作导致不能进行正常操作的；</w:t>
      </w:r>
    </w:p>
    <w:p>
      <w:pPr>
        <w:pStyle w:val="85"/>
        <w:snapToGrid w:val="0"/>
        <w:spacing w:line="360" w:lineRule="auto"/>
        <w:ind w:right="-86" w:rightChars="-41" w:firstLine="438" w:firstLineChars="209"/>
        <w:rPr>
          <w:rFonts w:hAnsi="宋体"/>
        </w:rPr>
      </w:pPr>
      <w:r>
        <w:rPr>
          <w:rFonts w:hint="eastAsia" w:hAnsi="宋体"/>
        </w:rPr>
        <w:t>（五）其他无法保证电子交易的公平、公正和安全的情况。</w:t>
      </w:r>
    </w:p>
    <w:p>
      <w:pPr>
        <w:pStyle w:val="85"/>
        <w:snapToGrid w:val="0"/>
        <w:spacing w:line="360" w:lineRule="auto"/>
        <w:ind w:right="-86" w:rightChars="-41" w:firstLine="438" w:firstLineChars="209"/>
        <w:rPr>
          <w:rFonts w:hAnsi="宋体"/>
        </w:rPr>
      </w:pPr>
      <w:r>
        <w:rPr>
          <w:rFonts w:hint="eastAsia" w:hAnsi="宋体"/>
        </w:rPr>
        <w:t>出现前款规定情形，不影响采购公平、公正性的，代理机构可以待上述情形消除后继续组织电子交易活动，也可以决定某些环节以纸质形式进行；影响或可能影响采购公平、公正性的，重新采购。</w:t>
      </w:r>
    </w:p>
    <w:p>
      <w:pPr>
        <w:pStyle w:val="107"/>
        <w:snapToGrid w:val="0"/>
        <w:spacing w:line="360" w:lineRule="auto"/>
        <w:ind w:right="55" w:firstLine="470"/>
        <w:rPr>
          <w:b/>
          <w:bCs/>
          <w:sz w:val="21"/>
          <w:szCs w:val="21"/>
        </w:rPr>
      </w:pPr>
      <w:r>
        <w:rPr>
          <w:rFonts w:hint="eastAsia"/>
          <w:b/>
          <w:bCs/>
          <w:sz w:val="21"/>
          <w:szCs w:val="21"/>
        </w:rPr>
        <w:t>（八）报名不足三家的处理方式</w:t>
      </w:r>
    </w:p>
    <w:p>
      <w:pPr>
        <w:pStyle w:val="107"/>
        <w:snapToGrid w:val="0"/>
        <w:spacing w:line="360" w:lineRule="auto"/>
        <w:ind w:right="55" w:firstLine="470"/>
        <w:rPr>
          <w:bCs/>
          <w:sz w:val="21"/>
          <w:szCs w:val="21"/>
        </w:rPr>
      </w:pPr>
      <w:r>
        <w:rPr>
          <w:rFonts w:hint="eastAsia"/>
          <w:bCs/>
          <w:sz w:val="21"/>
          <w:szCs w:val="21"/>
        </w:rPr>
        <w:t>报名时间截止后，在开标时间前获取招标文件的潜在投标人不足三家的，采购代理机构可以顺延提供期限，并予公告。</w:t>
      </w:r>
    </w:p>
    <w:p>
      <w:pPr>
        <w:pStyle w:val="107"/>
        <w:snapToGrid w:val="0"/>
        <w:spacing w:line="360" w:lineRule="auto"/>
        <w:ind w:right="55" w:firstLine="470"/>
        <w:jc w:val="left"/>
        <w:rPr>
          <w:b/>
          <w:sz w:val="21"/>
          <w:szCs w:val="21"/>
        </w:rPr>
      </w:pPr>
      <w:r>
        <w:rPr>
          <w:rFonts w:hint="eastAsia"/>
          <w:b/>
          <w:sz w:val="21"/>
          <w:szCs w:val="21"/>
        </w:rPr>
        <w:t>（九）被拒绝的投标文件为无效。</w:t>
      </w:r>
    </w:p>
    <w:p>
      <w:pPr>
        <w:pStyle w:val="107"/>
        <w:snapToGrid w:val="0"/>
        <w:spacing w:line="360" w:lineRule="auto"/>
        <w:ind w:right="55" w:firstLine="3591" w:firstLineChars="1315"/>
        <w:rPr>
          <w:b/>
          <w:sz w:val="28"/>
          <w:szCs w:val="28"/>
        </w:rPr>
      </w:pPr>
      <w:r>
        <w:rPr>
          <w:rFonts w:hint="eastAsia"/>
          <w:b/>
          <w:sz w:val="28"/>
          <w:szCs w:val="28"/>
        </w:rPr>
        <w:t>四、开标</w:t>
      </w:r>
    </w:p>
    <w:p>
      <w:pPr>
        <w:pStyle w:val="3"/>
        <w:spacing w:line="360" w:lineRule="auto"/>
        <w:ind w:firstLine="422" w:firstLineChars="200"/>
        <w:jc w:val="left"/>
        <w:rPr>
          <w:rFonts w:ascii="宋体"/>
          <w:b/>
          <w:sz w:val="21"/>
          <w:szCs w:val="21"/>
        </w:rPr>
      </w:pPr>
      <w:r>
        <w:rPr>
          <w:rFonts w:hint="eastAsia" w:ascii="宋体" w:hAnsi="宋体"/>
          <w:b/>
          <w:kern w:val="2"/>
          <w:sz w:val="21"/>
          <w:szCs w:val="21"/>
        </w:rPr>
        <w:t>电子招投标开标及评审程序</w:t>
      </w:r>
    </w:p>
    <w:p>
      <w:pPr>
        <w:adjustRightInd w:val="0"/>
        <w:snapToGrid w:val="0"/>
        <w:spacing w:line="360" w:lineRule="auto"/>
        <w:ind w:firstLine="420" w:firstLineChars="200"/>
        <w:jc w:val="left"/>
        <w:rPr>
          <w:szCs w:val="21"/>
        </w:rPr>
      </w:pPr>
      <w:r>
        <w:rPr>
          <w:szCs w:val="21"/>
        </w:rPr>
        <w:t>1</w:t>
      </w:r>
      <w:r>
        <w:rPr>
          <w:rFonts w:hint="eastAsia"/>
          <w:szCs w:val="21"/>
        </w:rPr>
        <w:t>、采购组织机构按照规定的时间通过政采云系统组织开标、开启响应文件，所有投标人均应当准时在线参加。</w:t>
      </w:r>
    </w:p>
    <w:p>
      <w:pPr>
        <w:adjustRightInd w:val="0"/>
        <w:snapToGrid w:val="0"/>
        <w:spacing w:line="360" w:lineRule="auto"/>
        <w:ind w:firstLine="420" w:firstLineChars="200"/>
        <w:jc w:val="left"/>
        <w:rPr>
          <w:szCs w:val="21"/>
        </w:rPr>
      </w:pPr>
      <w:r>
        <w:rPr>
          <w:szCs w:val="21"/>
        </w:rPr>
        <w:t>2</w:t>
      </w:r>
      <w:r>
        <w:rPr>
          <w:rFonts w:hint="eastAsia"/>
          <w:szCs w:val="21"/>
        </w:rPr>
        <w:t>、投标截止时间后，投标人登录政采云平台，用“项目采购</w:t>
      </w:r>
      <w:r>
        <w:rPr>
          <w:szCs w:val="21"/>
        </w:rPr>
        <w:t>-</w:t>
      </w:r>
      <w:r>
        <w:rPr>
          <w:rFonts w:hint="eastAsia"/>
          <w:szCs w:val="21"/>
        </w:rPr>
        <w:t>开标评标”功能对电子投标文件进行</w:t>
      </w:r>
      <w:r>
        <w:rPr>
          <w:rFonts w:hint="eastAsia"/>
          <w:b/>
          <w:bCs/>
          <w:szCs w:val="21"/>
        </w:rPr>
        <w:t>在线解密。</w:t>
      </w:r>
      <w:r>
        <w:rPr>
          <w:rFonts w:hint="eastAsia"/>
          <w:szCs w:val="21"/>
        </w:rPr>
        <w:t>在线解密电子投标文件时间</w:t>
      </w:r>
      <w:r>
        <w:rPr>
          <w:rFonts w:hint="eastAsia"/>
          <w:b/>
          <w:bCs/>
          <w:szCs w:val="21"/>
        </w:rPr>
        <w:t>为开标时间起半个小时内；</w:t>
      </w:r>
    </w:p>
    <w:p>
      <w:pPr>
        <w:adjustRightInd w:val="0"/>
        <w:snapToGrid w:val="0"/>
        <w:spacing w:line="360" w:lineRule="auto"/>
        <w:ind w:firstLine="420" w:firstLineChars="200"/>
        <w:jc w:val="left"/>
        <w:rPr>
          <w:szCs w:val="21"/>
        </w:rPr>
      </w:pPr>
      <w:r>
        <w:rPr>
          <w:szCs w:val="21"/>
        </w:rPr>
        <w:t>3</w:t>
      </w:r>
      <w:r>
        <w:rPr>
          <w:rFonts w:hint="eastAsia"/>
          <w:szCs w:val="21"/>
        </w:rPr>
        <w:t>、采购人或代理机构对资格文件进行评审，评标委员会对商务技术响应文件进行评审。</w:t>
      </w:r>
    </w:p>
    <w:p>
      <w:pPr>
        <w:adjustRightInd w:val="0"/>
        <w:snapToGrid w:val="0"/>
        <w:spacing w:line="360" w:lineRule="auto"/>
        <w:ind w:firstLine="420" w:firstLineChars="200"/>
        <w:jc w:val="left"/>
        <w:rPr>
          <w:szCs w:val="21"/>
        </w:rPr>
      </w:pPr>
      <w:r>
        <w:rPr>
          <w:szCs w:val="21"/>
        </w:rPr>
        <w:t>4</w:t>
      </w:r>
      <w:r>
        <w:rPr>
          <w:rFonts w:hint="eastAsia"/>
          <w:szCs w:val="21"/>
        </w:rPr>
        <w:t>、在系统上公开资格和商务技术评审结果；</w:t>
      </w:r>
    </w:p>
    <w:p>
      <w:pPr>
        <w:adjustRightInd w:val="0"/>
        <w:snapToGrid w:val="0"/>
        <w:spacing w:line="360" w:lineRule="auto"/>
        <w:ind w:firstLine="420" w:firstLineChars="200"/>
        <w:jc w:val="left"/>
        <w:rPr>
          <w:szCs w:val="21"/>
        </w:rPr>
      </w:pPr>
      <w:r>
        <w:rPr>
          <w:szCs w:val="21"/>
        </w:rPr>
        <w:t>5</w:t>
      </w:r>
      <w:r>
        <w:rPr>
          <w:rFonts w:hint="eastAsia"/>
          <w:szCs w:val="21"/>
        </w:rPr>
        <w:t>、在系统上公开报价开标情况；</w:t>
      </w:r>
    </w:p>
    <w:p>
      <w:pPr>
        <w:adjustRightInd w:val="0"/>
        <w:snapToGrid w:val="0"/>
        <w:spacing w:line="360" w:lineRule="auto"/>
        <w:ind w:firstLine="420" w:firstLineChars="200"/>
        <w:jc w:val="left"/>
        <w:rPr>
          <w:szCs w:val="21"/>
        </w:rPr>
      </w:pPr>
      <w:r>
        <w:rPr>
          <w:szCs w:val="21"/>
        </w:rPr>
        <w:t>6</w:t>
      </w:r>
      <w:r>
        <w:rPr>
          <w:rFonts w:hint="eastAsia"/>
          <w:szCs w:val="21"/>
        </w:rPr>
        <w:t>、评标委员会对报价情况进行评审；</w:t>
      </w:r>
    </w:p>
    <w:p>
      <w:pPr>
        <w:adjustRightInd w:val="0"/>
        <w:snapToGrid w:val="0"/>
        <w:spacing w:line="360" w:lineRule="auto"/>
        <w:ind w:firstLine="420" w:firstLineChars="200"/>
        <w:jc w:val="left"/>
        <w:rPr>
          <w:szCs w:val="21"/>
        </w:rPr>
      </w:pPr>
      <w:r>
        <w:rPr>
          <w:szCs w:val="21"/>
        </w:rPr>
        <w:t>7</w:t>
      </w:r>
      <w:r>
        <w:rPr>
          <w:rFonts w:hint="eastAsia"/>
          <w:szCs w:val="21"/>
        </w:rPr>
        <w:t>、在系统上公布评审结果。</w:t>
      </w:r>
    </w:p>
    <w:p>
      <w:pPr>
        <w:adjustRightInd w:val="0"/>
        <w:snapToGrid w:val="0"/>
        <w:spacing w:line="360" w:lineRule="auto"/>
        <w:ind w:firstLine="420" w:firstLineChars="200"/>
        <w:jc w:val="left"/>
        <w:rPr>
          <w:szCs w:val="21"/>
        </w:rPr>
      </w:pPr>
      <w:r>
        <w:rPr>
          <w:rFonts w:hint="eastAsia"/>
          <w:szCs w:val="21"/>
        </w:rPr>
        <w:t>特别说明：政采云公司如对电子化开标及评审程序有调整的，按调整后的程序操作。</w:t>
      </w:r>
    </w:p>
    <w:p>
      <w:pPr>
        <w:snapToGrid w:val="0"/>
        <w:spacing w:before="120" w:line="360" w:lineRule="auto"/>
        <w:ind w:right="-87"/>
        <w:jc w:val="center"/>
        <w:outlineLvl w:val="1"/>
        <w:rPr>
          <w:rFonts w:hAnsi="宋体"/>
          <w:b/>
          <w:sz w:val="28"/>
        </w:rPr>
      </w:pPr>
      <w:r>
        <w:rPr>
          <w:rFonts w:hint="eastAsia" w:hAnsi="宋体"/>
          <w:b/>
          <w:sz w:val="28"/>
        </w:rPr>
        <w:t>五、评标</w:t>
      </w:r>
    </w:p>
    <w:p>
      <w:pPr>
        <w:snapToGrid w:val="0"/>
        <w:spacing w:before="120" w:line="360" w:lineRule="auto"/>
        <w:ind w:right="-87"/>
        <w:rPr>
          <w:rFonts w:hAnsi="宋体"/>
          <w:b/>
        </w:rPr>
      </w:pPr>
      <w:r>
        <w:rPr>
          <w:rFonts w:hint="eastAsia" w:hAnsi="宋体"/>
          <w:b/>
        </w:rPr>
        <w:t>（一）组建评标委员会</w:t>
      </w:r>
    </w:p>
    <w:p>
      <w:pPr>
        <w:snapToGrid w:val="0"/>
        <w:spacing w:before="120" w:line="360" w:lineRule="auto"/>
        <w:ind w:right="-87" w:firstLine="420" w:firstLineChars="200"/>
        <w:rPr>
          <w:rFonts w:hAnsi="宋体"/>
        </w:rPr>
      </w:pPr>
      <w:r>
        <w:rPr>
          <w:rFonts w:hint="eastAsia" w:hAnsi="宋体"/>
        </w:rPr>
        <w:t>评标委员会由采购人代表和评审专家组成，成员人数为</w:t>
      </w:r>
      <w:r>
        <w:rPr>
          <w:rFonts w:hAnsi="宋体"/>
        </w:rPr>
        <w:t>5</w:t>
      </w:r>
      <w:r>
        <w:rPr>
          <w:rFonts w:hint="eastAsia" w:hAnsi="宋体"/>
        </w:rPr>
        <w:t>人（含）以上单数，其中评审专家不得少于成员总数的三分之二。</w:t>
      </w:r>
    </w:p>
    <w:p>
      <w:pPr>
        <w:snapToGrid w:val="0"/>
        <w:spacing w:before="120" w:line="360" w:lineRule="auto"/>
        <w:ind w:right="-87"/>
        <w:rPr>
          <w:rFonts w:hAnsi="宋体"/>
          <w:b/>
        </w:rPr>
      </w:pPr>
      <w:r>
        <w:rPr>
          <w:rFonts w:hint="eastAsia" w:hAnsi="宋体"/>
          <w:b/>
        </w:rPr>
        <w:t>（二）评标程序</w:t>
      </w:r>
    </w:p>
    <w:p>
      <w:pPr>
        <w:snapToGrid w:val="0"/>
        <w:spacing w:line="360" w:lineRule="auto"/>
        <w:ind w:right="-87"/>
        <w:rPr>
          <w:szCs w:val="21"/>
        </w:rPr>
      </w:pPr>
      <w:r>
        <w:rPr>
          <w:rFonts w:ascii="宋体" w:hAnsi="宋体"/>
          <w:b/>
          <w:szCs w:val="21"/>
        </w:rPr>
        <w:t>1.</w:t>
      </w:r>
      <w:r>
        <w:rPr>
          <w:rFonts w:hint="eastAsia"/>
          <w:b/>
          <w:szCs w:val="21"/>
        </w:rPr>
        <w:t>投标文件初审。</w:t>
      </w:r>
    </w:p>
    <w:p>
      <w:pPr>
        <w:snapToGrid w:val="0"/>
        <w:spacing w:line="360" w:lineRule="auto"/>
        <w:ind w:right="-87" w:firstLine="420" w:firstLineChars="200"/>
        <w:rPr>
          <w:rFonts w:ascii="宋体"/>
          <w:b/>
          <w:szCs w:val="21"/>
        </w:rPr>
      </w:pPr>
      <w:r>
        <w:rPr>
          <w:rFonts w:hint="eastAsia"/>
          <w:szCs w:val="21"/>
        </w:rPr>
        <w:t>初审分为资格性检查和符合性检查。</w:t>
      </w:r>
    </w:p>
    <w:p>
      <w:pPr>
        <w:adjustRightInd w:val="0"/>
        <w:snapToGrid w:val="0"/>
        <w:spacing w:line="360" w:lineRule="auto"/>
        <w:ind w:firstLine="420" w:firstLineChars="200"/>
        <w:jc w:val="left"/>
        <w:rPr>
          <w:szCs w:val="21"/>
        </w:rPr>
      </w:pPr>
      <w:r>
        <w:rPr>
          <w:szCs w:val="21"/>
        </w:rPr>
        <w:t>1.1</w:t>
      </w:r>
      <w:r>
        <w:rPr>
          <w:rFonts w:hint="eastAsia"/>
          <w:szCs w:val="21"/>
        </w:rPr>
        <w:t>资格性检查。依据法律法规和采购文件的规定，对投标文件中的资格证明等进行审查，以确定投标投标人是否具备投标资格。</w:t>
      </w:r>
    </w:p>
    <w:p>
      <w:pPr>
        <w:adjustRightInd w:val="0"/>
        <w:snapToGrid w:val="0"/>
        <w:spacing w:line="360" w:lineRule="auto"/>
        <w:ind w:firstLine="420" w:firstLineChars="200"/>
        <w:jc w:val="left"/>
        <w:rPr>
          <w:szCs w:val="21"/>
        </w:rPr>
      </w:pPr>
      <w:r>
        <w:rPr>
          <w:szCs w:val="21"/>
        </w:rPr>
        <w:t>1.2</w:t>
      </w:r>
      <w:r>
        <w:rPr>
          <w:rFonts w:hint="eastAsia"/>
          <w:szCs w:val="21"/>
        </w:rPr>
        <w:t>符合性检查。依据采购文件的规定，从投标文件的有效性、完整性和对采购文件的响应程度进行审查，以确定是否对采购文件的实质性要求作出响应。</w:t>
      </w:r>
    </w:p>
    <w:p>
      <w:pPr>
        <w:snapToGrid w:val="0"/>
        <w:spacing w:line="360" w:lineRule="auto"/>
        <w:ind w:right="-87"/>
        <w:rPr>
          <w:rFonts w:ascii="宋体"/>
          <w:b/>
          <w:sz w:val="24"/>
        </w:rPr>
      </w:pPr>
      <w:r>
        <w:rPr>
          <w:rFonts w:ascii="宋体" w:hAnsi="宋体"/>
          <w:b/>
          <w:sz w:val="24"/>
        </w:rPr>
        <w:t>2</w:t>
      </w:r>
      <w:r>
        <w:rPr>
          <w:rFonts w:ascii="宋体"/>
          <w:b/>
          <w:szCs w:val="21"/>
        </w:rPr>
        <w:t>.</w:t>
      </w:r>
      <w:r>
        <w:rPr>
          <w:rFonts w:hint="eastAsia" w:ascii="宋体" w:hAnsi="宋体"/>
          <w:b/>
          <w:szCs w:val="21"/>
        </w:rPr>
        <w:t>实质审查</w:t>
      </w:r>
    </w:p>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）评标委员会审查投标文件的实质性内容是否符合采购文件的实质性要求。</w:t>
      </w:r>
    </w:p>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）评审小组商务、技术方案响应性评定；</w:t>
      </w:r>
    </w:p>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）各投标人的技术得分为所有评委的有效评分的算术平均数，由指定专人进行计算复核。</w:t>
      </w:r>
    </w:p>
    <w:p>
      <w:pPr>
        <w:spacing w:line="360" w:lineRule="auto"/>
        <w:ind w:firstLine="420" w:firstLineChars="200"/>
        <w:rPr>
          <w:rFonts w:ascii="宋体"/>
          <w:b/>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）评标委员会完成评标后，评委对各部分得分汇总，计算出本项目综合评估分。评标委员会按</w:t>
      </w:r>
      <w:r>
        <w:rPr>
          <w:rFonts w:hint="eastAsia" w:ascii="宋体" w:hAnsi="宋体"/>
          <w:szCs w:val="21"/>
        </w:rPr>
        <w:t>评标原则通过电子系统向采购人及采购代理机构提交评审报告。</w:t>
      </w:r>
    </w:p>
    <w:p>
      <w:pPr>
        <w:spacing w:line="360" w:lineRule="auto"/>
        <w:ind w:firstLine="422" w:firstLineChars="200"/>
        <w:rPr>
          <w:rFonts w:ascii="宋体"/>
          <w:b/>
          <w:szCs w:val="21"/>
        </w:rPr>
      </w:pPr>
      <w:r>
        <w:rPr>
          <w:rFonts w:hint="eastAsia" w:ascii="宋体" w:hAnsi="宋体"/>
          <w:b/>
          <w:szCs w:val="21"/>
        </w:rPr>
        <w:t>（三）澄清问题的形式</w:t>
      </w:r>
    </w:p>
    <w:p>
      <w:pPr>
        <w:snapToGrid w:val="0"/>
        <w:spacing w:line="360" w:lineRule="auto"/>
        <w:ind w:left="228" w:right="-87" w:firstLine="420" w:firstLineChars="200"/>
        <w:rPr>
          <w:rFonts w:ascii="宋体"/>
        </w:rPr>
      </w:pPr>
      <w:r>
        <w:rPr>
          <w:rFonts w:hint="eastAsia" w:ascii="宋体" w:hAnsi="宋体"/>
        </w:rPr>
        <w:t>对投标文件中含义不明确、同类问题表述不一致或者有明显文字和计算错误的内容，评标委员会可要求投标人作出必要的澄清、说明或者纠正。投标人与评审小组</w:t>
      </w:r>
      <w:r>
        <w:rPr>
          <w:rFonts w:hint="eastAsia" w:hAnsi="宋体"/>
          <w:szCs w:val="21"/>
        </w:rPr>
        <w:t>通过电子交易平台交换数据电文的形式进行</w:t>
      </w:r>
      <w:r>
        <w:rPr>
          <w:rFonts w:hint="eastAsia" w:ascii="宋体" w:hAnsi="宋体"/>
        </w:rPr>
        <w:t>，给予投标人提交澄清说明或补正的时间不少于半个小时，投标人已经明确表示澄清说明或补正完毕的除外。不得超出投标文件的范围或者改变投标文件的实质性内容。</w:t>
      </w:r>
    </w:p>
    <w:p>
      <w:pPr>
        <w:pStyle w:val="109"/>
        <w:snapToGrid w:val="0"/>
        <w:spacing w:before="120" w:after="120" w:line="360" w:lineRule="auto"/>
        <w:ind w:right="-87" w:firstLine="422" w:firstLineChars="200"/>
        <w:rPr>
          <w:rFonts w:hAnsi="宋体" w:eastAsia="宋体"/>
          <w:b/>
          <w:sz w:val="21"/>
          <w:szCs w:val="21"/>
        </w:rPr>
      </w:pPr>
      <w:r>
        <w:rPr>
          <w:rFonts w:hint="eastAsia" w:hAnsi="宋体" w:eastAsia="宋体"/>
          <w:b/>
          <w:sz w:val="21"/>
          <w:szCs w:val="21"/>
        </w:rPr>
        <w:t>（四）错误修正</w:t>
      </w:r>
    </w:p>
    <w:p>
      <w:pPr>
        <w:pStyle w:val="20"/>
        <w:snapToGrid w:val="0"/>
        <w:spacing w:before="120" w:line="360" w:lineRule="auto"/>
        <w:ind w:firstLine="415" w:firstLineChars="198"/>
        <w:rPr>
          <w:rFonts w:hAnsi="宋体" w:cs="宋体"/>
          <w:sz w:val="21"/>
          <w:szCs w:val="21"/>
        </w:rPr>
      </w:pPr>
      <w:r>
        <w:rPr>
          <w:rFonts w:hint="eastAsia" w:hAnsi="宋体" w:cs="宋体"/>
          <w:sz w:val="21"/>
          <w:szCs w:val="21"/>
        </w:rPr>
        <w:t>投标文件如果出现计算或表达上的错误，修正错误的原则如下：</w:t>
      </w:r>
    </w:p>
    <w:p>
      <w:pPr>
        <w:pStyle w:val="20"/>
        <w:snapToGrid w:val="0"/>
        <w:spacing w:before="120" w:line="360" w:lineRule="auto"/>
        <w:ind w:firstLine="415" w:firstLineChars="198"/>
        <w:rPr>
          <w:rFonts w:hAnsi="宋体" w:cs="宋体"/>
          <w:sz w:val="21"/>
          <w:szCs w:val="21"/>
        </w:rPr>
      </w:pPr>
      <w:r>
        <w:rPr>
          <w:rFonts w:hAnsi="宋体" w:cs="宋体"/>
          <w:sz w:val="21"/>
          <w:szCs w:val="21"/>
        </w:rPr>
        <w:t>1</w:t>
      </w:r>
      <w:r>
        <w:rPr>
          <w:rFonts w:hint="eastAsia" w:hAnsi="宋体" w:cs="宋体"/>
          <w:sz w:val="21"/>
          <w:szCs w:val="21"/>
        </w:rPr>
        <w:t>、如果用数字表示的数额与文字表示的数额不一致的，以文字数额为准；</w:t>
      </w:r>
    </w:p>
    <w:p>
      <w:pPr>
        <w:pStyle w:val="20"/>
        <w:snapToGrid w:val="0"/>
        <w:spacing w:before="120" w:line="360" w:lineRule="auto"/>
        <w:ind w:firstLine="415" w:firstLineChars="198"/>
        <w:rPr>
          <w:rFonts w:hAnsi="宋体" w:cs="宋体"/>
          <w:sz w:val="21"/>
          <w:szCs w:val="21"/>
        </w:rPr>
      </w:pPr>
      <w:r>
        <w:rPr>
          <w:rFonts w:hAnsi="宋体" w:cs="宋体"/>
          <w:sz w:val="21"/>
          <w:szCs w:val="21"/>
        </w:rPr>
        <w:t>2</w:t>
      </w:r>
      <w:r>
        <w:rPr>
          <w:rFonts w:hint="eastAsia" w:hAnsi="宋体" w:cs="宋体"/>
          <w:sz w:val="21"/>
          <w:szCs w:val="21"/>
        </w:rPr>
        <w:t>、当单价和数量的乘积与合价不一致时，通常以标出的单价为准。除非评审小组认为单价属明显的小数点错误，此时应以标出的合价为准，并修改单价。</w:t>
      </w:r>
    </w:p>
    <w:p>
      <w:pPr>
        <w:pStyle w:val="20"/>
        <w:snapToGrid w:val="0"/>
        <w:spacing w:before="120" w:line="360" w:lineRule="auto"/>
        <w:ind w:firstLine="415" w:firstLineChars="198"/>
        <w:rPr>
          <w:rFonts w:hAnsi="宋体" w:cs="宋体"/>
          <w:sz w:val="21"/>
          <w:szCs w:val="21"/>
        </w:rPr>
      </w:pPr>
      <w:r>
        <w:rPr>
          <w:rFonts w:hAnsi="宋体" w:cs="宋体"/>
          <w:sz w:val="21"/>
          <w:szCs w:val="21"/>
        </w:rPr>
        <w:t>3</w:t>
      </w:r>
      <w:r>
        <w:rPr>
          <w:rFonts w:hint="eastAsia" w:hAnsi="宋体" w:cs="宋体"/>
          <w:sz w:val="21"/>
          <w:szCs w:val="21"/>
        </w:rPr>
        <w:t>、按上述修改错误的方法，调整投标文件中的投标报价文件，经投标人确认后，调整后的投标报价对投标人起约束作用。</w:t>
      </w:r>
    </w:p>
    <w:p>
      <w:pPr>
        <w:pStyle w:val="20"/>
        <w:snapToGrid w:val="0"/>
        <w:spacing w:before="120" w:line="360" w:lineRule="auto"/>
        <w:ind w:firstLine="417" w:firstLineChars="198"/>
        <w:rPr>
          <w:rFonts w:hAnsi="宋体" w:cs="宋体"/>
          <w:sz w:val="21"/>
          <w:szCs w:val="21"/>
        </w:rPr>
      </w:pPr>
      <w:r>
        <w:rPr>
          <w:rFonts w:hint="eastAsia" w:hAnsi="宋体" w:cs="宋体"/>
          <w:b/>
          <w:sz w:val="21"/>
          <w:szCs w:val="21"/>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109"/>
        <w:snapToGrid w:val="0"/>
        <w:spacing w:before="120" w:after="120" w:line="360" w:lineRule="auto"/>
        <w:ind w:right="-87" w:firstLine="422" w:firstLineChars="200"/>
        <w:jc w:val="left"/>
        <w:rPr>
          <w:rFonts w:hAnsi="宋体" w:eastAsia="宋体"/>
          <w:b/>
          <w:sz w:val="21"/>
          <w:szCs w:val="21"/>
        </w:rPr>
      </w:pPr>
      <w:r>
        <w:rPr>
          <w:rFonts w:hint="eastAsia" w:hAnsi="宋体" w:eastAsia="宋体"/>
          <w:b/>
          <w:sz w:val="21"/>
          <w:szCs w:val="21"/>
        </w:rPr>
        <w:t>（五）评标原则和评标办法</w:t>
      </w:r>
    </w:p>
    <w:p>
      <w:pPr>
        <w:pStyle w:val="20"/>
        <w:snapToGrid w:val="0"/>
        <w:spacing w:before="120" w:line="360" w:lineRule="auto"/>
        <w:ind w:firstLine="420" w:firstLineChars="200"/>
        <w:rPr>
          <w:rFonts w:hAnsi="宋体" w:cs="宋体"/>
          <w:sz w:val="21"/>
          <w:szCs w:val="21"/>
        </w:rPr>
      </w:pPr>
      <w:r>
        <w:rPr>
          <w:rFonts w:hAnsi="宋体" w:cs="宋体"/>
          <w:sz w:val="21"/>
          <w:szCs w:val="21"/>
        </w:rPr>
        <w:t>1</w:t>
      </w:r>
      <w:r>
        <w:rPr>
          <w:rFonts w:hint="eastAsia" w:hAnsi="宋体" w:cs="宋体"/>
          <w:sz w:val="21"/>
          <w:szCs w:val="21"/>
        </w:rPr>
        <w:t>、评标委员会必须公平、公正、客观，不带任何倾向性和启发性；不得向外界透露任何与评标有关的内容；任何单位和个人不得干扰、影响评标的正常进行；评标委员会及有关工作人员不得私下与投标人接触。</w:t>
      </w:r>
    </w:p>
    <w:p>
      <w:pPr>
        <w:pStyle w:val="20"/>
        <w:snapToGrid w:val="0"/>
        <w:spacing w:before="120" w:line="360" w:lineRule="auto"/>
        <w:ind w:firstLine="520" w:firstLineChars="248"/>
        <w:rPr>
          <w:rFonts w:hAnsi="宋体" w:cs="宋体"/>
        </w:rPr>
      </w:pPr>
      <w:r>
        <w:rPr>
          <w:rFonts w:hAnsi="宋体" w:cs="宋体"/>
          <w:sz w:val="21"/>
          <w:szCs w:val="21"/>
        </w:rPr>
        <w:t>2</w:t>
      </w:r>
      <w:r>
        <w:rPr>
          <w:rFonts w:hint="eastAsia" w:hAnsi="宋体" w:cs="宋体"/>
          <w:sz w:val="21"/>
          <w:szCs w:val="21"/>
        </w:rPr>
        <w:t>、评标办法。本项目评标办法是</w:t>
      </w:r>
      <w:r>
        <w:rPr>
          <w:rFonts w:hint="eastAsia" w:hAnsi="宋体" w:cs="宋体"/>
          <w:sz w:val="21"/>
          <w:szCs w:val="21"/>
          <w:u w:val="single"/>
        </w:rPr>
        <w:t>综合评分法</w:t>
      </w:r>
      <w:r>
        <w:rPr>
          <w:rFonts w:hint="eastAsia" w:hAnsi="宋体" w:cs="宋体"/>
          <w:sz w:val="21"/>
          <w:szCs w:val="21"/>
        </w:rPr>
        <w:t>，具体评标内容及评分标准等详见《第四章：评标办法及评分标准》。</w:t>
      </w:r>
    </w:p>
    <w:p>
      <w:pPr>
        <w:widowControl/>
        <w:snapToGrid w:val="0"/>
        <w:spacing w:line="360" w:lineRule="auto"/>
        <w:ind w:right="-87" w:firstLine="422" w:firstLineChars="200"/>
        <w:rPr>
          <w:rFonts w:ascii="宋体"/>
          <w:b/>
          <w:szCs w:val="21"/>
        </w:rPr>
      </w:pPr>
      <w:r>
        <w:rPr>
          <w:rFonts w:hint="eastAsia" w:ascii="宋体" w:hAnsi="宋体"/>
          <w:b/>
          <w:szCs w:val="21"/>
        </w:rPr>
        <w:t>（六）评标过程的监控</w:t>
      </w:r>
    </w:p>
    <w:p>
      <w:pPr>
        <w:pStyle w:val="109"/>
        <w:snapToGrid w:val="0"/>
        <w:spacing w:before="120" w:after="120" w:line="360" w:lineRule="auto"/>
        <w:ind w:right="-87" w:firstLine="420" w:firstLineChars="200"/>
        <w:rPr>
          <w:rFonts w:hAnsi="宋体" w:eastAsia="宋体"/>
          <w:b/>
          <w:sz w:val="28"/>
        </w:rPr>
      </w:pPr>
      <w:r>
        <w:rPr>
          <w:rFonts w:hint="eastAsia" w:hAnsi="宋体" w:eastAsia="宋体" w:cs="宋体"/>
          <w:sz w:val="21"/>
        </w:rPr>
        <w:t>本项目评标过程实行全程录音、录像监控。</w:t>
      </w:r>
    </w:p>
    <w:p>
      <w:pPr>
        <w:snapToGrid w:val="0"/>
        <w:spacing w:before="120" w:line="360" w:lineRule="auto"/>
        <w:ind w:right="-87"/>
        <w:jc w:val="center"/>
        <w:outlineLvl w:val="1"/>
        <w:rPr>
          <w:rFonts w:hAnsi="宋体"/>
          <w:b/>
          <w:sz w:val="28"/>
        </w:rPr>
      </w:pPr>
      <w:r>
        <w:rPr>
          <w:rFonts w:hint="eastAsia" w:hAnsi="宋体"/>
          <w:b/>
          <w:sz w:val="28"/>
        </w:rPr>
        <w:t>六、定标</w:t>
      </w:r>
    </w:p>
    <w:p>
      <w:pPr>
        <w:pStyle w:val="20"/>
        <w:snapToGrid w:val="0"/>
        <w:spacing w:before="120" w:line="360" w:lineRule="auto"/>
        <w:ind w:firstLine="417" w:firstLineChars="198"/>
        <w:rPr>
          <w:rFonts w:hAnsi="宋体" w:cs="宋体"/>
          <w:b/>
          <w:sz w:val="21"/>
          <w:szCs w:val="21"/>
        </w:rPr>
      </w:pPr>
      <w:r>
        <w:rPr>
          <w:rFonts w:hint="eastAsia" w:hAnsi="宋体" w:cs="宋体"/>
          <w:b/>
          <w:sz w:val="21"/>
          <w:szCs w:val="21"/>
        </w:rPr>
        <w:t>（一）确定中标人。</w:t>
      </w:r>
    </w:p>
    <w:p>
      <w:pPr>
        <w:pStyle w:val="20"/>
        <w:snapToGrid w:val="0"/>
        <w:spacing w:before="120" w:line="360" w:lineRule="auto"/>
        <w:ind w:firstLine="415" w:firstLineChars="198"/>
        <w:rPr>
          <w:rFonts w:hAnsi="宋体" w:cs="宋体"/>
          <w:sz w:val="21"/>
          <w:szCs w:val="21"/>
        </w:rPr>
      </w:pPr>
      <w:r>
        <w:rPr>
          <w:rFonts w:hint="eastAsia" w:hAnsi="宋体" w:cs="宋体"/>
          <w:sz w:val="21"/>
          <w:szCs w:val="21"/>
        </w:rPr>
        <w:t>本项目由采购人事先授权评审小组确定候选中标人</w:t>
      </w:r>
      <w:r>
        <w:rPr>
          <w:rFonts w:hAnsi="宋体" w:cs="宋体"/>
          <w:sz w:val="21"/>
          <w:szCs w:val="21"/>
        </w:rPr>
        <w:t>1</w:t>
      </w:r>
      <w:r>
        <w:rPr>
          <w:rFonts w:hint="eastAsia" w:hAnsi="宋体" w:cs="宋体"/>
          <w:sz w:val="21"/>
          <w:szCs w:val="21"/>
        </w:rPr>
        <w:t>名。经采购人确认后，确定项目中标人，同时发布采购结果公告，发出中标通知书。</w:t>
      </w:r>
    </w:p>
    <w:p>
      <w:pPr>
        <w:pStyle w:val="20"/>
        <w:snapToGrid w:val="0"/>
        <w:spacing w:before="120" w:line="360" w:lineRule="auto"/>
        <w:ind w:firstLine="415" w:firstLineChars="198"/>
        <w:rPr>
          <w:rFonts w:hAnsi="宋体" w:cs="宋体"/>
          <w:sz w:val="21"/>
          <w:szCs w:val="21"/>
        </w:rPr>
      </w:pPr>
      <w:r>
        <w:rPr>
          <w:rFonts w:hAnsi="宋体" w:cs="宋体"/>
          <w:sz w:val="21"/>
          <w:szCs w:val="21"/>
        </w:rPr>
        <w:t>1.</w:t>
      </w:r>
      <w:r>
        <w:rPr>
          <w:rFonts w:hint="eastAsia" w:hAnsi="宋体" w:cs="宋体"/>
          <w:sz w:val="21"/>
          <w:szCs w:val="21"/>
        </w:rPr>
        <w:t>采购代理机构在评标结束后在</w:t>
      </w:r>
      <w:r>
        <w:rPr>
          <w:rFonts w:hAnsi="宋体" w:cs="宋体"/>
          <w:sz w:val="21"/>
          <w:szCs w:val="21"/>
        </w:rPr>
        <w:t>2</w:t>
      </w:r>
      <w:r>
        <w:rPr>
          <w:rFonts w:hint="eastAsia" w:hAnsi="宋体" w:cs="宋体"/>
          <w:sz w:val="21"/>
          <w:szCs w:val="21"/>
        </w:rPr>
        <w:t>个工作日内将评审报告交采购人确认。</w:t>
      </w:r>
    </w:p>
    <w:p>
      <w:pPr>
        <w:pStyle w:val="20"/>
        <w:snapToGrid w:val="0"/>
        <w:spacing w:before="120" w:line="360" w:lineRule="auto"/>
        <w:ind w:firstLine="415" w:firstLineChars="198"/>
        <w:rPr>
          <w:rFonts w:hAnsi="宋体" w:cs="宋体"/>
          <w:sz w:val="21"/>
          <w:szCs w:val="21"/>
        </w:rPr>
      </w:pPr>
      <w:r>
        <w:rPr>
          <w:rFonts w:hAnsi="宋体" w:cs="宋体"/>
          <w:sz w:val="21"/>
          <w:szCs w:val="21"/>
        </w:rPr>
        <w:t>2.</w:t>
      </w:r>
      <w:r>
        <w:rPr>
          <w:rFonts w:hint="eastAsia" w:hAnsi="宋体" w:cs="宋体"/>
          <w:sz w:val="21"/>
          <w:szCs w:val="21"/>
        </w:rPr>
        <w:t>投标人对评审结果无异议的，采购人应在收到评审报告后</w:t>
      </w:r>
      <w:r>
        <w:rPr>
          <w:rFonts w:hAnsi="宋体" w:cs="宋体"/>
          <w:sz w:val="21"/>
          <w:szCs w:val="21"/>
        </w:rPr>
        <w:t>5</w:t>
      </w:r>
      <w:r>
        <w:rPr>
          <w:rFonts w:hint="eastAsia" w:hAnsi="宋体" w:cs="宋体"/>
          <w:sz w:val="21"/>
          <w:szCs w:val="21"/>
        </w:rPr>
        <w:t>个工作日内对评审结果进行确认。如有投标人对评审结果提出质疑的，采购人可在质疑处理完毕后确定中标人。</w:t>
      </w:r>
    </w:p>
    <w:p>
      <w:pPr>
        <w:pStyle w:val="20"/>
        <w:snapToGrid w:val="0"/>
        <w:spacing w:before="120" w:line="360" w:lineRule="auto"/>
        <w:ind w:firstLine="415" w:firstLineChars="198"/>
        <w:rPr>
          <w:rFonts w:hAnsi="宋体" w:cs="宋体"/>
          <w:sz w:val="21"/>
          <w:szCs w:val="21"/>
        </w:rPr>
      </w:pPr>
      <w:r>
        <w:rPr>
          <w:rFonts w:hAnsi="宋体" w:cs="宋体"/>
          <w:sz w:val="21"/>
          <w:szCs w:val="21"/>
        </w:rPr>
        <w:t>3.</w:t>
      </w:r>
      <w:r>
        <w:rPr>
          <w:rFonts w:hint="eastAsia" w:hAnsi="宋体" w:cs="宋体"/>
          <w:sz w:val="21"/>
          <w:szCs w:val="21"/>
        </w:rPr>
        <w:t>采购人依法确定中标人后</w:t>
      </w:r>
      <w:r>
        <w:rPr>
          <w:rFonts w:hAnsi="宋体" w:cs="宋体"/>
          <w:sz w:val="21"/>
          <w:szCs w:val="21"/>
        </w:rPr>
        <w:t>2</w:t>
      </w:r>
      <w:r>
        <w:rPr>
          <w:rFonts w:hint="eastAsia" w:hAnsi="宋体" w:cs="宋体"/>
          <w:sz w:val="21"/>
          <w:szCs w:val="21"/>
        </w:rPr>
        <w:t>个工作日内，采购代理机构以书面形式发出《中标通知书》</w:t>
      </w:r>
      <w:r>
        <w:rPr>
          <w:rFonts w:hAnsi="宋体" w:cs="宋体"/>
          <w:sz w:val="21"/>
          <w:szCs w:val="21"/>
        </w:rPr>
        <w:t>,</w:t>
      </w:r>
      <w:r>
        <w:rPr>
          <w:rFonts w:hint="eastAsia" w:hAnsi="宋体" w:cs="宋体"/>
          <w:sz w:val="21"/>
          <w:szCs w:val="21"/>
        </w:rPr>
        <w:t>并同时在相关网站上发布中标公告。</w:t>
      </w:r>
    </w:p>
    <w:p>
      <w:pPr>
        <w:spacing w:line="380" w:lineRule="exact"/>
        <w:ind w:firstLine="525" w:firstLineChars="250"/>
        <w:rPr>
          <w:rFonts w:ascii="宋体"/>
          <w:b/>
        </w:rPr>
      </w:pPr>
      <w:r>
        <w:rPr>
          <w:rFonts w:hint="eastAsia" w:hAnsi="宋体" w:cs="宋体"/>
          <w:szCs w:val="21"/>
        </w:rPr>
        <w:t>（二）</w:t>
      </w:r>
      <w:r>
        <w:rPr>
          <w:rFonts w:hint="eastAsia"/>
        </w:rPr>
        <w:t>根据《中华人民共和招标投标法实施条例》（国务院第</w:t>
      </w:r>
      <w:r>
        <w:t>613</w:t>
      </w:r>
      <w:r>
        <w:rPr>
          <w:rFonts w:hint="eastAsia"/>
        </w:rPr>
        <w:t>号令）第四章第五十五条的规定，排名第一的中标候选人放弃中标、因不可抗力不能履行合同、不按照招标文件要求提交履约保证金，或者被查实存在影响中标结果的违法行为等情形，不符合中标条件的，经招标人书面确认，或者经专家论证，按照评标委员会提出的中标候选人名单排序依次确定其他中标候选人为中标人，也可以重新招标。</w:t>
      </w:r>
    </w:p>
    <w:p>
      <w:pPr>
        <w:pStyle w:val="20"/>
        <w:snapToGrid w:val="0"/>
        <w:spacing w:before="120" w:line="360" w:lineRule="auto"/>
        <w:ind w:firstLine="557" w:firstLineChars="198"/>
        <w:rPr>
          <w:rFonts w:hAnsi="宋体"/>
          <w:b/>
          <w:sz w:val="28"/>
        </w:rPr>
      </w:pPr>
    </w:p>
    <w:p>
      <w:pPr>
        <w:snapToGrid w:val="0"/>
        <w:spacing w:before="120" w:line="360" w:lineRule="auto"/>
        <w:ind w:right="-87" w:firstLine="3345" w:firstLineChars="1190"/>
        <w:outlineLvl w:val="1"/>
        <w:rPr>
          <w:rFonts w:hAnsi="宋体"/>
          <w:b/>
          <w:sz w:val="28"/>
        </w:rPr>
      </w:pPr>
      <w:r>
        <w:rPr>
          <w:rFonts w:hint="eastAsia" w:hAnsi="宋体"/>
          <w:b/>
          <w:sz w:val="28"/>
        </w:rPr>
        <w:t>七、合同授予</w:t>
      </w:r>
    </w:p>
    <w:p>
      <w:pPr>
        <w:widowControl/>
        <w:numPr>
          <w:ilvl w:val="0"/>
          <w:numId w:val="8"/>
        </w:numPr>
        <w:tabs>
          <w:tab w:val="left" w:pos="735"/>
        </w:tabs>
        <w:overflowPunct w:val="0"/>
        <w:autoSpaceDE w:val="0"/>
        <w:autoSpaceDN w:val="0"/>
        <w:adjustRightInd w:val="0"/>
        <w:snapToGrid w:val="0"/>
        <w:spacing w:line="336" w:lineRule="auto"/>
        <w:ind w:right="-87"/>
        <w:jc w:val="left"/>
        <w:textAlignment w:val="baseline"/>
        <w:rPr>
          <w:rFonts w:ascii="宋体"/>
          <w:b/>
          <w:sz w:val="24"/>
        </w:rPr>
      </w:pPr>
      <w:r>
        <w:rPr>
          <w:rFonts w:hint="eastAsia" w:ascii="宋体" w:hAnsi="宋体"/>
          <w:b/>
          <w:sz w:val="24"/>
        </w:rPr>
        <w:t>签订合同</w:t>
      </w:r>
    </w:p>
    <w:p>
      <w:pPr>
        <w:snapToGrid w:val="0"/>
        <w:spacing w:line="336" w:lineRule="auto"/>
        <w:ind w:right="-87" w:firstLine="424" w:firstLineChars="202"/>
        <w:rPr>
          <w:rFonts w:ascii="宋体"/>
        </w:rPr>
      </w:pPr>
      <w:r>
        <w:rPr>
          <w:rFonts w:ascii="宋体" w:hAnsi="宋体"/>
        </w:rPr>
        <w:t>1.</w:t>
      </w:r>
      <w:r>
        <w:rPr>
          <w:rFonts w:hint="eastAsia" w:ascii="宋体" w:hAnsi="宋体"/>
        </w:rPr>
        <w:t>采购人与中标人应当在《中标通知书》发出之日起</w:t>
      </w:r>
      <w:r>
        <w:rPr>
          <w:rFonts w:ascii="宋体" w:hAnsi="宋体"/>
        </w:rPr>
        <w:t>30</w:t>
      </w:r>
      <w:r>
        <w:rPr>
          <w:rFonts w:hint="eastAsia" w:ascii="宋体" w:hAnsi="宋体"/>
        </w:rPr>
        <w:t>日内签订政府采购合同。同时，采购代理机构对合同内容进行审查，如发现与采购结果和投标承诺内容不一致的，应予以纠正。</w:t>
      </w:r>
    </w:p>
    <w:p>
      <w:pPr>
        <w:pStyle w:val="20"/>
        <w:snapToGrid w:val="0"/>
        <w:spacing w:before="120" w:line="336" w:lineRule="auto"/>
        <w:ind w:firstLine="415" w:firstLineChars="198"/>
        <w:rPr>
          <w:rFonts w:hAnsi="宋体" w:cs="宋体"/>
          <w:sz w:val="21"/>
          <w:szCs w:val="21"/>
        </w:rPr>
      </w:pPr>
      <w:r>
        <w:rPr>
          <w:rFonts w:hAnsi="宋体" w:cs="宋体"/>
          <w:sz w:val="21"/>
          <w:szCs w:val="21"/>
        </w:rPr>
        <w:t>2</w:t>
      </w:r>
      <w:r>
        <w:rPr>
          <w:rFonts w:hint="eastAsia" w:hAnsi="宋体" w:cs="宋体"/>
          <w:sz w:val="21"/>
          <w:szCs w:val="21"/>
        </w:rPr>
        <w:t>、中标人拖延、拒签合同的，将上报监管部门并取消中标资格。</w:t>
      </w:r>
    </w:p>
    <w:p>
      <w:pPr>
        <w:pStyle w:val="20"/>
        <w:snapToGrid w:val="0"/>
        <w:spacing w:before="120" w:line="336" w:lineRule="auto"/>
        <w:ind w:firstLine="415" w:firstLineChars="198"/>
        <w:rPr>
          <w:rFonts w:hAnsi="宋体" w:cs="宋体"/>
          <w:sz w:val="21"/>
          <w:szCs w:val="21"/>
        </w:rPr>
      </w:pPr>
      <w:r>
        <w:rPr>
          <w:rFonts w:hAnsi="宋体" w:cs="宋体"/>
          <w:sz w:val="21"/>
          <w:szCs w:val="21"/>
        </w:rPr>
        <w:t>3</w:t>
      </w:r>
      <w:r>
        <w:rPr>
          <w:rFonts w:hint="eastAsia" w:hAnsi="宋体" w:cs="宋体"/>
          <w:sz w:val="21"/>
          <w:szCs w:val="21"/>
        </w:rPr>
        <w:t>、中标人和采购人签订合同，按合同规定的供货时间供货并安装调试完毕。</w:t>
      </w:r>
    </w:p>
    <w:p>
      <w:pPr>
        <w:pStyle w:val="20"/>
        <w:snapToGrid w:val="0"/>
        <w:spacing w:before="120" w:line="336" w:lineRule="auto"/>
        <w:ind w:firstLine="415" w:firstLineChars="198"/>
        <w:rPr>
          <w:rFonts w:hAnsi="宋体" w:cs="宋体"/>
          <w:sz w:val="21"/>
          <w:szCs w:val="21"/>
        </w:rPr>
      </w:pPr>
      <w:r>
        <w:rPr>
          <w:rFonts w:hAnsi="宋体" w:cs="宋体"/>
          <w:sz w:val="21"/>
          <w:szCs w:val="21"/>
        </w:rPr>
        <w:t>4</w:t>
      </w:r>
      <w:r>
        <w:rPr>
          <w:rFonts w:hint="eastAsia" w:hAnsi="宋体" w:cs="宋体"/>
          <w:sz w:val="21"/>
          <w:szCs w:val="21"/>
        </w:rPr>
        <w:t>、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20"/>
        <w:snapToGrid w:val="0"/>
        <w:spacing w:before="120" w:line="336" w:lineRule="auto"/>
        <w:ind w:firstLine="415" w:firstLineChars="198"/>
        <w:rPr>
          <w:rFonts w:hAnsi="宋体" w:cs="宋体"/>
          <w:sz w:val="21"/>
          <w:szCs w:val="21"/>
        </w:rPr>
      </w:pPr>
      <w:r>
        <w:rPr>
          <w:rFonts w:hint="eastAsia" w:hAnsi="宋体" w:cs="宋体"/>
          <w:sz w:val="21"/>
          <w:szCs w:val="21"/>
        </w:rPr>
        <w:t>（二）合同公告</w:t>
      </w:r>
    </w:p>
    <w:p>
      <w:pPr>
        <w:pStyle w:val="20"/>
        <w:snapToGrid w:val="0"/>
        <w:spacing w:before="120" w:line="336" w:lineRule="auto"/>
        <w:ind w:firstLine="415" w:firstLineChars="198"/>
        <w:rPr>
          <w:rFonts w:hAnsi="宋体"/>
          <w:sz w:val="21"/>
        </w:rPr>
      </w:pPr>
      <w:r>
        <w:rPr>
          <w:rFonts w:hint="eastAsia" w:hAnsi="宋体" w:cs="宋体"/>
          <w:sz w:val="21"/>
          <w:szCs w:val="21"/>
        </w:rPr>
        <w:t>采购人应当自政府采购合同签订之日起</w:t>
      </w:r>
      <w:r>
        <w:rPr>
          <w:rFonts w:hAnsi="宋体" w:cs="宋体"/>
          <w:sz w:val="21"/>
          <w:szCs w:val="21"/>
        </w:rPr>
        <w:t>2</w:t>
      </w:r>
      <w:r>
        <w:rPr>
          <w:rFonts w:hint="eastAsia" w:hAnsi="宋体" w:cs="宋体"/>
          <w:sz w:val="21"/>
          <w:szCs w:val="21"/>
        </w:rPr>
        <w:t>个工作日内，将政府采购合同在省级以上人民政府财政部门指定的媒体上公告，但政府采购合同中涉及国家秘密、商业秘密的内容除外。</w:t>
      </w:r>
    </w:p>
    <w:p>
      <w:pPr>
        <w:snapToGrid w:val="0"/>
        <w:spacing w:before="120" w:line="360" w:lineRule="auto"/>
        <w:ind w:right="-87"/>
        <w:jc w:val="center"/>
        <w:rPr>
          <w:rFonts w:ascii="黑体" w:hAnsi="宋体" w:eastAsia="黑体"/>
          <w:sz w:val="30"/>
        </w:rPr>
      </w:pPr>
    </w:p>
    <w:p>
      <w:pPr>
        <w:snapToGrid w:val="0"/>
        <w:spacing w:before="120" w:line="360" w:lineRule="auto"/>
        <w:ind w:right="-87"/>
        <w:jc w:val="center"/>
        <w:rPr>
          <w:rFonts w:ascii="黑体" w:hAnsi="宋体" w:eastAsia="黑体"/>
          <w:sz w:val="30"/>
        </w:rPr>
      </w:pPr>
    </w:p>
    <w:p>
      <w:pPr>
        <w:snapToGrid w:val="0"/>
        <w:spacing w:before="120" w:line="360" w:lineRule="auto"/>
        <w:ind w:right="-87"/>
        <w:jc w:val="center"/>
        <w:rPr>
          <w:rFonts w:ascii="黑体" w:hAnsi="宋体" w:eastAsia="黑体"/>
          <w:sz w:val="30"/>
        </w:rPr>
      </w:pPr>
    </w:p>
    <w:p>
      <w:pPr>
        <w:snapToGrid w:val="0"/>
        <w:spacing w:before="120" w:line="360" w:lineRule="auto"/>
        <w:ind w:right="-87"/>
        <w:jc w:val="center"/>
        <w:rPr>
          <w:rFonts w:ascii="黑体" w:hAnsi="宋体" w:eastAsia="黑体"/>
          <w:sz w:val="30"/>
        </w:rPr>
      </w:pPr>
    </w:p>
    <w:p>
      <w:pPr>
        <w:snapToGrid w:val="0"/>
        <w:spacing w:before="120" w:line="360" w:lineRule="auto"/>
        <w:ind w:right="-87"/>
        <w:jc w:val="center"/>
        <w:rPr>
          <w:rFonts w:ascii="黑体" w:hAnsi="宋体" w:eastAsia="黑体"/>
          <w:sz w:val="30"/>
        </w:rPr>
      </w:pPr>
      <w:r>
        <w:rPr>
          <w:rFonts w:hint="eastAsia" w:ascii="黑体" w:hAnsi="宋体" w:eastAsia="黑体"/>
          <w:sz w:val="30"/>
        </w:rPr>
        <w:t>第四章  评标办法及评分标准</w:t>
      </w:r>
    </w:p>
    <w:p>
      <w:pPr>
        <w:snapToGrid w:val="0"/>
        <w:spacing w:before="120" w:line="336" w:lineRule="auto"/>
        <w:ind w:right="-87" w:firstLine="103" w:firstLineChars="49"/>
        <w:outlineLvl w:val="0"/>
        <w:rPr>
          <w:rFonts w:hAnsi="宋体"/>
        </w:rPr>
      </w:pPr>
      <w:r>
        <w:rPr>
          <w:rFonts w:hint="eastAsia" w:hAnsi="宋体"/>
          <w:b/>
        </w:rPr>
        <w:t>综合评分法</w:t>
      </w:r>
    </w:p>
    <w:p>
      <w:pPr>
        <w:snapToGrid w:val="0"/>
        <w:spacing w:line="336" w:lineRule="auto"/>
        <w:ind w:right="-87" w:firstLine="2243" w:firstLineChars="931"/>
        <w:rPr>
          <w:rFonts w:ascii="宋体"/>
          <w:b/>
          <w:sz w:val="24"/>
          <w:szCs w:val="24"/>
        </w:rPr>
      </w:pPr>
      <w:r>
        <w:rPr>
          <w:rFonts w:hint="eastAsia" w:ascii="宋体"/>
          <w:b/>
          <w:sz w:val="24"/>
          <w:szCs w:val="24"/>
        </w:rPr>
        <w:t>岱山县第一人民医院设备采购项目</w:t>
      </w:r>
      <w:r>
        <w:rPr>
          <w:rFonts w:hint="eastAsia"/>
          <w:b/>
          <w:sz w:val="24"/>
          <w:szCs w:val="24"/>
        </w:rPr>
        <w:t>评标办法</w:t>
      </w:r>
    </w:p>
    <w:p>
      <w:pPr>
        <w:snapToGrid w:val="0"/>
        <w:spacing w:line="336" w:lineRule="auto"/>
        <w:ind w:right="-87" w:firstLine="420"/>
        <w:rPr>
          <w:rFonts w:ascii="宋体"/>
        </w:rPr>
      </w:pPr>
      <w:r>
        <w:rPr>
          <w:rFonts w:hint="eastAsia" w:ascii="宋体" w:hAnsi="宋体"/>
        </w:rPr>
        <w:t>为公正、公平、科学地选择中标人，根据《中华人民共和国政府采购法》等有关法律法规的规定，并结合本项目的实际，制定本办法。</w:t>
      </w:r>
    </w:p>
    <w:p>
      <w:pPr>
        <w:snapToGrid w:val="0"/>
        <w:spacing w:line="336" w:lineRule="auto"/>
        <w:ind w:right="-87" w:firstLine="420"/>
        <w:rPr>
          <w:rFonts w:ascii="宋体"/>
        </w:rPr>
      </w:pPr>
      <w:r>
        <w:rPr>
          <w:rFonts w:hint="eastAsia" w:ascii="宋体" w:hAnsi="宋体"/>
          <w:szCs w:val="21"/>
        </w:rPr>
        <w:t>本办法适用于</w:t>
      </w:r>
      <w:r>
        <w:rPr>
          <w:rFonts w:hint="eastAsia"/>
          <w:szCs w:val="21"/>
        </w:rPr>
        <w:t>岱山县第一人民医院设备采购项目</w:t>
      </w:r>
      <w:r>
        <w:rPr>
          <w:rFonts w:hint="eastAsia" w:ascii="宋体" w:hAnsi="宋体"/>
          <w:szCs w:val="21"/>
        </w:rPr>
        <w:t>的评标。</w:t>
      </w:r>
    </w:p>
    <w:p>
      <w:pPr>
        <w:snapToGrid w:val="0"/>
        <w:spacing w:line="336" w:lineRule="auto"/>
        <w:ind w:left="756" w:leftChars="114" w:right="-87" w:hanging="517" w:hangingChars="245"/>
        <w:rPr>
          <w:rFonts w:ascii="宋体"/>
        </w:rPr>
      </w:pPr>
      <w:r>
        <w:rPr>
          <w:rFonts w:hint="eastAsia" w:ascii="宋体" w:hAnsi="宋体"/>
          <w:b/>
        </w:rPr>
        <w:t>中标依据：</w:t>
      </w:r>
      <w:r>
        <w:rPr>
          <w:rFonts w:hint="eastAsia" w:ascii="宋体" w:hAnsi="宋体"/>
        </w:rPr>
        <w:t>在不高于</w:t>
      </w:r>
      <w:r>
        <w:rPr>
          <w:rFonts w:hint="eastAsia" w:ascii="宋体" w:hAnsi="宋体"/>
          <w:u w:val="single"/>
        </w:rPr>
        <w:t>最高限价</w:t>
      </w:r>
      <w:r>
        <w:rPr>
          <w:rFonts w:hint="eastAsia" w:ascii="宋体" w:hAnsi="宋体"/>
        </w:rPr>
        <w:t>的前提下，</w:t>
      </w:r>
      <w:r>
        <w:rPr>
          <w:rFonts w:hint="eastAsia" w:ascii="宋体" w:hAnsi="宋体"/>
          <w:u w:val="single"/>
        </w:rPr>
        <w:t>综合评估分</w:t>
      </w:r>
      <w:r>
        <w:rPr>
          <w:rFonts w:hint="eastAsia" w:ascii="宋体" w:hAnsi="宋体"/>
        </w:rPr>
        <w:t>最高者为中标候选人。</w:t>
      </w:r>
    </w:p>
    <w:p>
      <w:pPr>
        <w:snapToGrid w:val="0"/>
        <w:spacing w:line="336" w:lineRule="auto"/>
        <w:ind w:left="756" w:leftChars="114" w:right="-87" w:hanging="517" w:hangingChars="245"/>
        <w:rPr>
          <w:rFonts w:ascii="宋体"/>
          <w:b/>
          <w:u w:val="single"/>
        </w:rPr>
      </w:pPr>
      <w:r>
        <w:rPr>
          <w:rFonts w:hint="eastAsia" w:ascii="宋体" w:hAnsi="宋体"/>
          <w:b/>
          <w:u w:val="single"/>
        </w:rPr>
        <w:t>最高限价：指预算金额。</w:t>
      </w:r>
    </w:p>
    <w:p>
      <w:pPr>
        <w:snapToGrid w:val="0"/>
        <w:spacing w:line="336" w:lineRule="auto"/>
        <w:ind w:right="-87" w:firstLine="517" w:firstLineChars="245"/>
        <w:rPr>
          <w:rFonts w:ascii="宋体"/>
          <w:b/>
        </w:rPr>
      </w:pPr>
      <w:r>
        <w:rPr>
          <w:rFonts w:hint="eastAsia" w:ascii="宋体" w:hAnsi="宋体"/>
          <w:b/>
        </w:rPr>
        <w:t>报价的计分方法：</w:t>
      </w:r>
    </w:p>
    <w:p>
      <w:pPr>
        <w:autoSpaceDE w:val="0"/>
        <w:autoSpaceDN w:val="0"/>
        <w:adjustRightInd w:val="0"/>
        <w:snapToGrid w:val="0"/>
        <w:spacing w:line="336" w:lineRule="auto"/>
        <w:ind w:right="-87" w:firstLine="411" w:firstLineChars="196"/>
        <w:rPr>
          <w:rFonts w:ascii="宋体"/>
          <w:lang w:val="zh-CN"/>
        </w:rPr>
      </w:pPr>
      <w:r>
        <w:rPr>
          <w:rFonts w:hint="eastAsia" w:ascii="宋体" w:hAnsi="宋体"/>
          <w:lang w:val="zh-CN"/>
        </w:rPr>
        <w:t>满足投标文件要求且投标价格最低的投标报价为评标基准价，其价格分为满分，其他投标人的价格分按下列公式计算：</w:t>
      </w:r>
    </w:p>
    <w:p>
      <w:pPr>
        <w:autoSpaceDE w:val="0"/>
        <w:autoSpaceDN w:val="0"/>
        <w:adjustRightInd w:val="0"/>
        <w:snapToGrid w:val="0"/>
        <w:spacing w:line="336" w:lineRule="auto"/>
        <w:ind w:right="-87" w:firstLine="550" w:firstLineChars="262"/>
        <w:rPr>
          <w:rFonts w:ascii="宋体"/>
          <w:lang w:val="zh-CN"/>
        </w:rPr>
      </w:pPr>
      <w:r>
        <w:rPr>
          <w:rFonts w:hint="eastAsia" w:ascii="宋体" w:hAnsi="宋体"/>
          <w:lang w:val="zh-CN"/>
        </w:rPr>
        <w:t>价格得分＝（评标基准价</w:t>
      </w:r>
      <w:r>
        <w:rPr>
          <w:rFonts w:ascii="宋体" w:hAnsi="宋体"/>
          <w:lang w:val="zh-CN"/>
        </w:rPr>
        <w:t>/</w:t>
      </w:r>
      <w:r>
        <w:rPr>
          <w:rFonts w:hint="eastAsia" w:ascii="宋体" w:hAnsi="宋体"/>
          <w:lang w:val="zh-CN"/>
        </w:rPr>
        <w:t>投标报价）×价格权重×</w:t>
      </w:r>
      <w:r>
        <w:rPr>
          <w:rFonts w:ascii="宋体" w:hAnsi="宋体"/>
          <w:lang w:val="zh-CN"/>
        </w:rPr>
        <w:t>100</w:t>
      </w:r>
      <w:r>
        <w:rPr>
          <w:rFonts w:hint="eastAsia" w:ascii="宋体" w:hAnsi="宋体"/>
          <w:lang w:val="zh-CN"/>
        </w:rPr>
        <w:t>。</w:t>
      </w:r>
    </w:p>
    <w:tbl>
      <w:tblPr>
        <w:tblStyle w:val="35"/>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40" w:type="dxa"/>
            <w:vAlign w:val="center"/>
          </w:tcPr>
          <w:p>
            <w:pPr>
              <w:spacing w:line="336" w:lineRule="auto"/>
              <w:ind w:right="-341"/>
              <w:jc w:val="center"/>
              <w:rPr>
                <w:rFonts w:ascii="宋体"/>
              </w:rPr>
            </w:pPr>
            <w:r>
              <w:rPr>
                <w:rFonts w:hint="eastAsia" w:ascii="宋体" w:hAnsi="宋体"/>
                <w:lang w:val="zh-CN"/>
              </w:rPr>
              <w:t>评价指标和各评价权重指标：</w:t>
            </w:r>
            <w:r>
              <w:rPr>
                <w:rFonts w:hint="eastAsia" w:ascii="宋体" w:hAnsi="宋体"/>
              </w:rPr>
              <w:t>评标指标</w:t>
            </w:r>
          </w:p>
        </w:tc>
        <w:tc>
          <w:tcPr>
            <w:tcW w:w="2700" w:type="dxa"/>
            <w:vAlign w:val="center"/>
          </w:tcPr>
          <w:p>
            <w:pPr>
              <w:spacing w:line="336" w:lineRule="auto"/>
              <w:ind w:right="-341"/>
              <w:jc w:val="center"/>
              <w:rPr>
                <w:rFonts w:ascii="宋体"/>
              </w:rPr>
            </w:pPr>
            <w:r>
              <w:rPr>
                <w:rFonts w:hint="eastAsia" w:ascii="宋体" w:hAnsi="宋体"/>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040" w:type="dxa"/>
            <w:vAlign w:val="center"/>
          </w:tcPr>
          <w:p>
            <w:pPr>
              <w:spacing w:line="336" w:lineRule="auto"/>
              <w:ind w:right="-341"/>
              <w:jc w:val="center"/>
              <w:rPr>
                <w:rFonts w:ascii="宋体"/>
              </w:rPr>
            </w:pPr>
            <w:r>
              <w:rPr>
                <w:rFonts w:hint="eastAsia" w:ascii="宋体" w:hAnsi="宋体"/>
              </w:rPr>
              <w:t>商务、技术部分</w:t>
            </w:r>
          </w:p>
        </w:tc>
        <w:tc>
          <w:tcPr>
            <w:tcW w:w="2700" w:type="dxa"/>
            <w:vAlign w:val="center"/>
          </w:tcPr>
          <w:p>
            <w:pPr>
              <w:spacing w:line="336" w:lineRule="auto"/>
              <w:ind w:right="-341"/>
              <w:jc w:val="center"/>
              <w:rPr>
                <w:rFonts w:ascii="宋体"/>
              </w:rPr>
            </w:pPr>
            <w:r>
              <w:rPr>
                <w:rFonts w:ascii="宋体" w:hAnsi="宋体"/>
              </w:rPr>
              <w:t>7</w:t>
            </w:r>
            <w:r>
              <w:rPr>
                <w:rFonts w:asci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040" w:type="dxa"/>
            <w:vAlign w:val="center"/>
          </w:tcPr>
          <w:p>
            <w:pPr>
              <w:spacing w:line="336" w:lineRule="auto"/>
              <w:ind w:right="-341"/>
              <w:jc w:val="center"/>
              <w:rPr>
                <w:rFonts w:ascii="宋体"/>
              </w:rPr>
            </w:pPr>
            <w:r>
              <w:rPr>
                <w:rFonts w:hint="eastAsia" w:ascii="宋体" w:hAnsi="宋体"/>
              </w:rPr>
              <w:t>投标报价</w:t>
            </w:r>
          </w:p>
        </w:tc>
        <w:tc>
          <w:tcPr>
            <w:tcW w:w="2700" w:type="dxa"/>
            <w:vAlign w:val="center"/>
          </w:tcPr>
          <w:p>
            <w:pPr>
              <w:spacing w:line="336" w:lineRule="auto"/>
              <w:ind w:right="-341"/>
              <w:jc w:val="center"/>
              <w:rPr>
                <w:rFonts w:ascii="宋体"/>
              </w:rPr>
            </w:pPr>
            <w:r>
              <w:rPr>
                <w:rFonts w:ascii="宋体" w:hAnsi="宋体"/>
              </w:rPr>
              <w:t>3</w:t>
            </w:r>
            <w:r>
              <w:rPr>
                <w:rFonts w:ascii="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040" w:type="dxa"/>
            <w:vAlign w:val="center"/>
          </w:tcPr>
          <w:p>
            <w:pPr>
              <w:spacing w:line="336" w:lineRule="auto"/>
              <w:ind w:right="-341"/>
              <w:jc w:val="center"/>
              <w:rPr>
                <w:rFonts w:ascii="宋体"/>
              </w:rPr>
            </w:pPr>
            <w:r>
              <w:rPr>
                <w:rFonts w:hint="eastAsia" w:ascii="宋体" w:hAnsi="宋体"/>
              </w:rPr>
              <w:t>合计</w:t>
            </w:r>
          </w:p>
        </w:tc>
        <w:tc>
          <w:tcPr>
            <w:tcW w:w="2700" w:type="dxa"/>
            <w:vAlign w:val="center"/>
          </w:tcPr>
          <w:p>
            <w:pPr>
              <w:spacing w:line="336" w:lineRule="auto"/>
              <w:ind w:right="-341"/>
              <w:jc w:val="center"/>
              <w:rPr>
                <w:rFonts w:ascii="宋体"/>
              </w:rPr>
            </w:pPr>
            <w:r>
              <w:rPr>
                <w:rFonts w:ascii="宋体" w:hAnsi="宋体"/>
              </w:rPr>
              <w:t>100</w:t>
            </w:r>
          </w:p>
        </w:tc>
      </w:tr>
    </w:tbl>
    <w:p>
      <w:pPr>
        <w:autoSpaceDE w:val="0"/>
        <w:autoSpaceDN w:val="0"/>
        <w:adjustRightInd w:val="0"/>
        <w:spacing w:line="336" w:lineRule="auto"/>
        <w:ind w:right="-341" w:firstLine="424" w:firstLineChars="202"/>
        <w:rPr>
          <w:rFonts w:ascii="宋体"/>
        </w:rPr>
      </w:pPr>
      <w:r>
        <w:rPr>
          <w:rFonts w:hint="eastAsia" w:ascii="宋体" w:hAnsi="宋体"/>
        </w:rPr>
        <w:t>综合评估分</w:t>
      </w:r>
      <w:r>
        <w:rPr>
          <w:rFonts w:ascii="宋体" w:hAnsi="宋体"/>
        </w:rPr>
        <w:t>=</w:t>
      </w:r>
      <w:r>
        <w:rPr>
          <w:rFonts w:hint="eastAsia" w:ascii="宋体" w:hAnsi="宋体"/>
        </w:rPr>
        <w:t>商务技术得分＋价格得分</w:t>
      </w:r>
      <w:r>
        <w:rPr>
          <w:rFonts w:ascii="宋体" w:hAnsi="宋体"/>
        </w:rPr>
        <w:t>(</w:t>
      </w:r>
      <w:r>
        <w:rPr>
          <w:rFonts w:hint="eastAsia" w:ascii="宋体" w:hAnsi="宋体"/>
        </w:rPr>
        <w:t>评分过程中采用四舍五入法，并保留小数</w:t>
      </w:r>
      <w:r>
        <w:rPr>
          <w:rFonts w:ascii="宋体" w:hAnsi="宋体"/>
        </w:rPr>
        <w:t>2</w:t>
      </w:r>
      <w:r>
        <w:rPr>
          <w:rFonts w:hint="eastAsia" w:ascii="宋体" w:hAnsi="宋体"/>
        </w:rPr>
        <w:t>位</w:t>
      </w:r>
      <w:r>
        <w:rPr>
          <w:rFonts w:ascii="宋体" w:hAnsi="宋体"/>
        </w:rPr>
        <w:t>)</w:t>
      </w:r>
    </w:p>
    <w:p>
      <w:pPr>
        <w:autoSpaceDE w:val="0"/>
        <w:autoSpaceDN w:val="0"/>
        <w:adjustRightInd w:val="0"/>
        <w:spacing w:line="336" w:lineRule="auto"/>
        <w:ind w:right="-341" w:firstLine="424" w:firstLineChars="202"/>
        <w:rPr>
          <w:rFonts w:ascii="宋体"/>
        </w:rPr>
      </w:pPr>
      <w:r>
        <w:rPr>
          <w:rFonts w:hint="eastAsia" w:ascii="宋体" w:hAnsi="宋体"/>
        </w:rPr>
        <w:t>将综合评估分从高到低排序，得出参投标人名次。得分相同时，按投标报价由低到高顺序排列，得分且投标报价相同的，按技术指标优劣顺序排列</w:t>
      </w:r>
    </w:p>
    <w:p>
      <w:pPr>
        <w:tabs>
          <w:tab w:val="left" w:pos="1620"/>
        </w:tabs>
        <w:spacing w:line="336" w:lineRule="auto"/>
        <w:ind w:left="1111" w:leftChars="228" w:right="-341" w:hanging="632" w:hangingChars="300"/>
        <w:rPr>
          <w:rFonts w:ascii="宋体"/>
          <w:b/>
        </w:rPr>
      </w:pPr>
      <w:r>
        <w:rPr>
          <w:rFonts w:hint="eastAsia" w:ascii="宋体" w:hAnsi="宋体"/>
          <w:b/>
        </w:rPr>
        <w:t>候选中标商的选取</w:t>
      </w:r>
    </w:p>
    <w:p>
      <w:pPr>
        <w:spacing w:line="336" w:lineRule="auto"/>
        <w:ind w:right="-341" w:firstLine="525" w:firstLineChars="250"/>
        <w:rPr>
          <w:rFonts w:ascii="宋体"/>
          <w:b/>
          <w:sz w:val="28"/>
          <w:szCs w:val="28"/>
          <w:lang w:val="zh-CN"/>
        </w:rPr>
      </w:pPr>
      <w:r>
        <w:rPr>
          <w:rFonts w:hint="eastAsia" w:ascii="宋体" w:hAnsi="宋体"/>
        </w:rPr>
        <w:t>按照综合评估分名次推荐候选中标人</w:t>
      </w:r>
      <w:r>
        <w:rPr>
          <w:rFonts w:ascii="宋体" w:hAnsi="宋体"/>
        </w:rPr>
        <w:t>1</w:t>
      </w:r>
      <w:r>
        <w:rPr>
          <w:rFonts w:hint="eastAsia" w:ascii="宋体" w:hAnsi="宋体"/>
        </w:rPr>
        <w:t>名。</w:t>
      </w:r>
    </w:p>
    <w:p>
      <w:pPr>
        <w:autoSpaceDE w:val="0"/>
        <w:autoSpaceDN w:val="0"/>
        <w:adjustRightInd w:val="0"/>
        <w:ind w:right="-341"/>
        <w:rPr>
          <w:rFonts w:ascii="宋体"/>
          <w:b/>
          <w:sz w:val="28"/>
          <w:szCs w:val="28"/>
          <w:lang w:val="zh-CN"/>
        </w:rPr>
        <w:sectPr>
          <w:pgSz w:w="11906" w:h="16838"/>
          <w:pgMar w:top="1304" w:right="1106" w:bottom="1304" w:left="1531" w:header="1304" w:footer="1304" w:gutter="0"/>
          <w:cols w:space="720" w:num="1"/>
        </w:sectPr>
      </w:pPr>
    </w:p>
    <w:p>
      <w:pPr>
        <w:spacing w:line="288" w:lineRule="auto"/>
        <w:ind w:right="-341"/>
        <w:jc w:val="center"/>
        <w:rPr>
          <w:rFonts w:ascii="宋体"/>
          <w:b/>
          <w:spacing w:val="-8"/>
          <w:sz w:val="24"/>
          <w:szCs w:val="24"/>
          <w:lang w:val="zh-CN"/>
        </w:rPr>
      </w:pPr>
      <w:r>
        <w:rPr>
          <w:rFonts w:hint="eastAsia" w:ascii="宋体" w:hAnsi="宋体"/>
          <w:b/>
          <w:spacing w:val="-8"/>
          <w:sz w:val="24"/>
          <w:szCs w:val="24"/>
        </w:rPr>
        <w:t>岱山县第一人民医院设备采购项目评分表</w:t>
      </w:r>
    </w:p>
    <w:p>
      <w:pPr>
        <w:spacing w:line="288" w:lineRule="auto"/>
        <w:ind w:right="-341"/>
        <w:jc w:val="left"/>
        <w:rPr>
          <w:rFonts w:ascii="宋体"/>
          <w:szCs w:val="21"/>
        </w:rPr>
      </w:pPr>
    </w:p>
    <w:p>
      <w:pPr>
        <w:spacing w:line="288" w:lineRule="auto"/>
        <w:ind w:right="-341"/>
        <w:jc w:val="left"/>
        <w:rPr>
          <w:rFonts w:ascii="宋体"/>
          <w:b/>
          <w:szCs w:val="21"/>
        </w:rPr>
      </w:pPr>
      <w:r>
        <w:rPr>
          <w:rFonts w:hint="eastAsia" w:ascii="宋体"/>
          <w:b/>
          <w:szCs w:val="21"/>
        </w:rPr>
        <w:t>项目名称：岱山县第一人民医院设备采购项目</w:t>
      </w:r>
    </w:p>
    <w:p>
      <w:pPr>
        <w:spacing w:line="360" w:lineRule="auto"/>
        <w:ind w:right="-341"/>
        <w:jc w:val="left"/>
        <w:rPr>
          <w:rFonts w:hAnsi="宋体"/>
          <w:szCs w:val="21"/>
        </w:rPr>
      </w:pPr>
      <w:r>
        <w:rPr>
          <w:rFonts w:hint="eastAsia" w:ascii="宋体"/>
          <w:b/>
          <w:szCs w:val="21"/>
        </w:rPr>
        <w:t>招标编号：</w:t>
      </w:r>
      <w:r>
        <w:rPr>
          <w:rFonts w:ascii="宋体"/>
          <w:b/>
          <w:szCs w:val="21"/>
        </w:rPr>
        <w:t>SZGXZS2021165</w:t>
      </w:r>
    </w:p>
    <w:tbl>
      <w:tblPr>
        <w:tblStyle w:val="35"/>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134"/>
        <w:gridCol w:w="654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04"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r>
              <w:rPr>
                <w:rFonts w:hint="eastAsia" w:ascii="宋体" w:hAnsi="宋体"/>
              </w:rPr>
              <w:t>评审项目</w:t>
            </w:r>
          </w:p>
        </w:tc>
        <w:tc>
          <w:tcPr>
            <w:tcW w:w="1134"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r>
              <w:rPr>
                <w:rFonts w:hint="eastAsia" w:ascii="宋体" w:hAnsi="宋体"/>
              </w:rPr>
              <w:t>评审内容</w:t>
            </w:r>
          </w:p>
        </w:tc>
        <w:tc>
          <w:tcPr>
            <w:tcW w:w="6543" w:type="dxa"/>
            <w:vMerge w:val="restart"/>
            <w:tcBorders>
              <w:top w:val="single" w:color="auto" w:sz="4" w:space="0"/>
              <w:left w:val="single" w:color="auto" w:sz="4" w:space="0"/>
              <w:bottom w:val="single" w:color="auto" w:sz="4" w:space="0"/>
              <w:right w:val="single" w:color="auto" w:sz="4" w:space="0"/>
            </w:tcBorders>
            <w:noWrap/>
            <w:vAlign w:val="center"/>
          </w:tcPr>
          <w:p>
            <w:pPr>
              <w:ind w:firstLine="210" w:firstLineChars="100"/>
              <w:jc w:val="center"/>
              <w:rPr>
                <w:rFonts w:ascii="宋体" w:hAnsi="宋体"/>
              </w:rPr>
            </w:pPr>
            <w:r>
              <w:rPr>
                <w:rFonts w:hint="eastAsia" w:ascii="宋体" w:hAnsi="宋体"/>
              </w:rPr>
              <w:t>评分标准</w:t>
            </w:r>
          </w:p>
        </w:tc>
        <w:tc>
          <w:tcPr>
            <w:tcW w:w="709"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r>
              <w:rPr>
                <w:rFonts w:hint="eastAsia" w:ascii="宋体" w:hAnsi="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110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rPr>
            </w:pPr>
          </w:p>
        </w:tc>
        <w:tc>
          <w:tcPr>
            <w:tcW w:w="113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rPr>
            </w:pPr>
          </w:p>
        </w:tc>
        <w:tc>
          <w:tcPr>
            <w:tcW w:w="654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rPr>
            </w:pPr>
          </w:p>
        </w:tc>
        <w:tc>
          <w:tcPr>
            <w:tcW w:w="70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104" w:type="dxa"/>
            <w:vMerge w:val="restart"/>
            <w:tcBorders>
              <w:top w:val="single" w:color="auto" w:sz="4" w:space="0"/>
              <w:left w:val="single" w:color="auto" w:sz="4" w:space="0"/>
              <w:right w:val="single" w:color="auto" w:sz="4" w:space="0"/>
            </w:tcBorders>
            <w:shd w:val="clear" w:color="auto" w:fill="auto"/>
            <w:noWrap/>
            <w:vAlign w:val="center"/>
          </w:tcPr>
          <w:p>
            <w:pPr>
              <w:spacing w:line="288" w:lineRule="auto"/>
              <w:jc w:val="center"/>
              <w:rPr>
                <w:rFonts w:ascii="宋体" w:hAnsi="宋体"/>
              </w:rPr>
            </w:pPr>
            <w:r>
              <w:rPr>
                <w:rFonts w:hint="eastAsia" w:ascii="宋体" w:hAnsi="宋体"/>
              </w:rPr>
              <w:t>商务技术</w:t>
            </w:r>
          </w:p>
          <w:p>
            <w:pPr>
              <w:spacing w:line="288" w:lineRule="auto"/>
              <w:jc w:val="center"/>
              <w:rPr>
                <w:rFonts w:ascii="宋体" w:hAnsi="宋体"/>
              </w:rPr>
            </w:pPr>
            <w:r>
              <w:rPr>
                <w:rFonts w:hint="eastAsia" w:ascii="宋体" w:hAnsi="宋体"/>
              </w:rPr>
              <w:t>得分</w:t>
            </w:r>
          </w:p>
          <w:p>
            <w:pPr>
              <w:spacing w:line="288" w:lineRule="auto"/>
              <w:jc w:val="center"/>
              <w:rPr>
                <w:rFonts w:ascii="宋体" w:hAnsi="宋体"/>
              </w:rPr>
            </w:pPr>
            <w:r>
              <w:rPr>
                <w:rFonts w:hint="eastAsia" w:ascii="宋体" w:hAnsi="宋体"/>
              </w:rPr>
              <w:t>（70分）</w:t>
            </w:r>
          </w:p>
        </w:tc>
        <w:tc>
          <w:tcPr>
            <w:tcW w:w="1134" w:type="dxa"/>
            <w:tcBorders>
              <w:top w:val="single" w:color="auto" w:sz="4" w:space="0"/>
              <w:left w:val="single" w:color="auto" w:sz="4" w:space="0"/>
              <w:right w:val="single" w:color="auto" w:sz="4" w:space="0"/>
            </w:tcBorders>
            <w:shd w:val="clear" w:color="auto" w:fill="auto"/>
            <w:noWrap/>
            <w:vAlign w:val="center"/>
          </w:tcPr>
          <w:p>
            <w:pPr>
              <w:spacing w:line="288" w:lineRule="auto"/>
              <w:jc w:val="center"/>
              <w:rPr>
                <w:rFonts w:ascii="宋体" w:hAnsi="宋体"/>
              </w:rPr>
            </w:pPr>
            <w:r>
              <w:rPr>
                <w:rFonts w:hint="eastAsia" w:ascii="宋体" w:hAnsi="宋体"/>
              </w:rPr>
              <w:t>成功案例（5分）</w:t>
            </w:r>
          </w:p>
        </w:tc>
        <w:tc>
          <w:tcPr>
            <w:tcW w:w="6543" w:type="dxa"/>
            <w:tcBorders>
              <w:top w:val="single" w:color="auto" w:sz="4" w:space="0"/>
              <w:left w:val="single" w:color="auto" w:sz="4" w:space="0"/>
              <w:right w:val="single" w:color="auto" w:sz="4" w:space="0"/>
            </w:tcBorders>
            <w:shd w:val="clear" w:color="auto" w:fill="FFFFFF"/>
            <w:noWrap/>
            <w:vAlign w:val="center"/>
          </w:tcPr>
          <w:p>
            <w:pPr>
              <w:spacing w:line="288" w:lineRule="auto"/>
              <w:rPr>
                <w:rFonts w:ascii="宋体" w:hAnsi="宋体"/>
              </w:rPr>
            </w:pPr>
            <w:r>
              <w:rPr>
                <w:rFonts w:hint="eastAsia" w:ascii="宋体" w:hAnsi="宋体"/>
              </w:rPr>
              <w:t>投标人或制造商2018年1月来同类项目的成功案例，每个项目得1分，最高得5分。（提供合同复印件加盖公章）</w:t>
            </w:r>
          </w:p>
        </w:tc>
        <w:tc>
          <w:tcPr>
            <w:tcW w:w="709" w:type="dxa"/>
            <w:tcBorders>
              <w:top w:val="single" w:color="auto" w:sz="4" w:space="0"/>
              <w:left w:val="single" w:color="auto" w:sz="4" w:space="0"/>
              <w:right w:val="single" w:color="auto" w:sz="4" w:space="0"/>
            </w:tcBorders>
            <w:noWrap/>
            <w:vAlign w:val="center"/>
          </w:tcPr>
          <w:p>
            <w:pPr>
              <w:ind w:firstLine="210" w:firstLineChars="1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104" w:type="dxa"/>
            <w:vMerge w:val="continue"/>
            <w:tcBorders>
              <w:left w:val="single" w:color="auto" w:sz="4" w:space="0"/>
              <w:right w:val="single" w:color="auto" w:sz="4" w:space="0"/>
            </w:tcBorders>
            <w:noWrap/>
            <w:vAlign w:val="center"/>
          </w:tcPr>
          <w:p>
            <w:pPr>
              <w:spacing w:line="288" w:lineRule="auto"/>
              <w:jc w:val="center"/>
              <w:rPr>
                <w:rFonts w:ascii="宋体" w:hAnsi="宋体"/>
              </w:rPr>
            </w:pPr>
          </w:p>
        </w:tc>
        <w:tc>
          <w:tcPr>
            <w:tcW w:w="1134" w:type="dxa"/>
            <w:vMerge w:val="restart"/>
            <w:tcBorders>
              <w:top w:val="single" w:color="auto" w:sz="4" w:space="0"/>
              <w:left w:val="single" w:color="auto" w:sz="4" w:space="0"/>
              <w:right w:val="single" w:color="auto" w:sz="4" w:space="0"/>
            </w:tcBorders>
            <w:noWrap/>
            <w:vAlign w:val="center"/>
          </w:tcPr>
          <w:p>
            <w:pPr>
              <w:spacing w:line="288" w:lineRule="auto"/>
              <w:jc w:val="center"/>
              <w:rPr>
                <w:rFonts w:ascii="宋体" w:hAnsi="宋体"/>
              </w:rPr>
            </w:pPr>
            <w:r>
              <w:rPr>
                <w:rFonts w:hint="eastAsia" w:ascii="宋体" w:hAnsi="宋体"/>
              </w:rPr>
              <w:t>投标产品的性能与需求的吻合程度</w:t>
            </w:r>
          </w:p>
          <w:p>
            <w:pPr>
              <w:spacing w:line="288" w:lineRule="auto"/>
              <w:jc w:val="center"/>
              <w:rPr>
                <w:rFonts w:ascii="宋体" w:hAnsi="宋体"/>
              </w:rPr>
            </w:pPr>
            <w:r>
              <w:rPr>
                <w:rFonts w:hint="eastAsia" w:ascii="宋体" w:hAnsi="宋体"/>
              </w:rPr>
              <w:t>（40分）：</w:t>
            </w:r>
          </w:p>
        </w:tc>
        <w:tc>
          <w:tcPr>
            <w:tcW w:w="6543" w:type="dxa"/>
            <w:tcBorders>
              <w:top w:val="single" w:color="auto" w:sz="4" w:space="0"/>
              <w:left w:val="single" w:color="auto" w:sz="4" w:space="0"/>
              <w:right w:val="single" w:color="auto" w:sz="4" w:space="0"/>
            </w:tcBorders>
            <w:noWrap/>
            <w:vAlign w:val="center"/>
          </w:tcPr>
          <w:p>
            <w:pPr>
              <w:rPr>
                <w:szCs w:val="21"/>
                <w:lang w:val="zh-CN"/>
              </w:rPr>
            </w:pPr>
            <w:r>
              <w:rPr>
                <w:rFonts w:hint="eastAsia"/>
                <w:szCs w:val="21"/>
                <w:lang w:val="zh-CN"/>
              </w:rPr>
              <w:t>投标产品的基本功能、技术指标与需求的吻合程度和偏差情况（包括所投标产品的品牌、规格型号、详细配置、主要技术参数、随机软件等）。（</w:t>
            </w:r>
            <w:r>
              <w:rPr>
                <w:rFonts w:hint="eastAsia"/>
                <w:szCs w:val="21"/>
              </w:rPr>
              <w:t>30</w:t>
            </w:r>
            <w:r>
              <w:rPr>
                <w:rFonts w:hint="eastAsia"/>
                <w:szCs w:val="21"/>
                <w:lang w:val="zh-CN"/>
              </w:rPr>
              <w:t>分）</w:t>
            </w:r>
          </w:p>
          <w:p>
            <w:pPr>
              <w:pStyle w:val="2"/>
              <w:ind w:firstLine="0" w:firstLineChars="0"/>
              <w:rPr>
                <w:lang w:val="zh-CN"/>
              </w:rPr>
            </w:pPr>
            <w:r>
              <w:rPr>
                <w:rFonts w:hint="eastAsia"/>
                <w:szCs w:val="21"/>
                <w:lang w:val="zh-CN"/>
              </w:rPr>
              <w:t>技术指标负偏离每一项扣减</w:t>
            </w:r>
            <w:r>
              <w:rPr>
                <w:szCs w:val="21"/>
                <w:lang w:val="zh-CN"/>
              </w:rPr>
              <w:t>1</w:t>
            </w:r>
            <w:r>
              <w:rPr>
                <w:rFonts w:hint="eastAsia"/>
                <w:szCs w:val="21"/>
                <w:lang w:val="zh-CN"/>
              </w:rPr>
              <w:t>分，扣完为止。</w:t>
            </w:r>
          </w:p>
          <w:p>
            <w:pPr>
              <w:rPr>
                <w:szCs w:val="21"/>
                <w:lang w:val="zh-CN"/>
              </w:rPr>
            </w:pPr>
            <w:r>
              <w:rPr>
                <w:rFonts w:hint="eastAsia"/>
                <w:b/>
                <w:kern w:val="0"/>
                <w:szCs w:val="21"/>
              </w:rPr>
              <w:t>如投标单位技术指标负偏离影响使用单位正常使用，经专家组评审可作为无效标处理。</w:t>
            </w:r>
          </w:p>
        </w:tc>
        <w:tc>
          <w:tcPr>
            <w:tcW w:w="709" w:type="dxa"/>
            <w:tcBorders>
              <w:top w:val="single" w:color="auto" w:sz="4" w:space="0"/>
              <w:left w:val="single" w:color="auto" w:sz="4" w:space="0"/>
              <w:right w:val="single" w:color="auto" w:sz="4" w:space="0"/>
            </w:tcBorders>
            <w:noWrap/>
            <w:vAlign w:val="center"/>
          </w:tcPr>
          <w:p>
            <w:pPr>
              <w:ind w:firstLine="210" w:firstLineChars="1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2" w:hRule="atLeast"/>
          <w:jc w:val="center"/>
        </w:trPr>
        <w:tc>
          <w:tcPr>
            <w:tcW w:w="1104" w:type="dxa"/>
            <w:vMerge w:val="continue"/>
            <w:tcBorders>
              <w:left w:val="single" w:color="auto" w:sz="4" w:space="0"/>
              <w:right w:val="single" w:color="auto" w:sz="4" w:space="0"/>
            </w:tcBorders>
            <w:noWrap/>
            <w:vAlign w:val="center"/>
          </w:tcPr>
          <w:p>
            <w:pPr>
              <w:spacing w:line="288" w:lineRule="auto"/>
              <w:jc w:val="center"/>
              <w:rPr>
                <w:rFonts w:ascii="宋体" w:hAnsi="宋体"/>
              </w:rPr>
            </w:pPr>
          </w:p>
        </w:tc>
        <w:tc>
          <w:tcPr>
            <w:tcW w:w="1134" w:type="dxa"/>
            <w:vMerge w:val="continue"/>
            <w:tcBorders>
              <w:left w:val="single" w:color="auto" w:sz="4" w:space="0"/>
              <w:right w:val="single" w:color="auto" w:sz="4" w:space="0"/>
            </w:tcBorders>
            <w:noWrap/>
            <w:vAlign w:val="center"/>
          </w:tcPr>
          <w:p>
            <w:pPr>
              <w:spacing w:line="288" w:lineRule="auto"/>
              <w:jc w:val="center"/>
              <w:rPr>
                <w:rFonts w:ascii="宋体" w:hAnsi="宋体"/>
              </w:rPr>
            </w:pPr>
          </w:p>
        </w:tc>
        <w:tc>
          <w:tcPr>
            <w:tcW w:w="6543" w:type="dxa"/>
            <w:tcBorders>
              <w:top w:val="single" w:color="auto" w:sz="4" w:space="0"/>
              <w:left w:val="single" w:color="auto" w:sz="4" w:space="0"/>
              <w:right w:val="single" w:color="auto" w:sz="4" w:space="0"/>
            </w:tcBorders>
            <w:noWrap/>
            <w:vAlign w:val="center"/>
          </w:tcPr>
          <w:p>
            <w:pPr>
              <w:rPr>
                <w:rFonts w:ascii="宋体" w:hAnsi="宋体"/>
                <w:szCs w:val="21"/>
              </w:rPr>
            </w:pPr>
            <w:r>
              <w:rPr>
                <w:rFonts w:hint="eastAsia" w:ascii="宋体" w:hAnsi="宋体"/>
                <w:szCs w:val="21"/>
              </w:rPr>
              <w:t>总体方案的兼容性、可靠性，其配置和性能能满足项目的需求：</w:t>
            </w:r>
          </w:p>
          <w:p>
            <w:pPr>
              <w:rPr>
                <w:rFonts w:ascii="宋体" w:hAnsi="宋体"/>
                <w:szCs w:val="21"/>
              </w:rPr>
            </w:pPr>
            <w:r>
              <w:rPr>
                <w:rFonts w:hint="eastAsia" w:ascii="宋体" w:hAnsi="宋体"/>
                <w:szCs w:val="21"/>
              </w:rPr>
              <w:t>技术方案条理清晰，层次分明，操作性强；：8-10分，</w:t>
            </w:r>
          </w:p>
          <w:p>
            <w:pPr>
              <w:rPr>
                <w:rFonts w:ascii="宋体" w:hAnsi="宋体"/>
                <w:szCs w:val="21"/>
              </w:rPr>
            </w:pPr>
            <w:r>
              <w:rPr>
                <w:rFonts w:hint="eastAsia" w:ascii="宋体" w:hAnsi="宋体"/>
                <w:szCs w:val="21"/>
              </w:rPr>
              <w:t>条理较清晰：4-6分，</w:t>
            </w:r>
          </w:p>
          <w:p>
            <w:pPr>
              <w:rPr>
                <w:rFonts w:hint="eastAsia" w:ascii="宋体" w:hAnsi="宋体" w:eastAsia="宋体"/>
                <w:szCs w:val="21"/>
                <w:lang w:eastAsia="zh-CN"/>
              </w:rPr>
            </w:pPr>
            <w:r>
              <w:rPr>
                <w:rFonts w:hint="eastAsia" w:ascii="宋体" w:hAnsi="宋体"/>
                <w:szCs w:val="21"/>
              </w:rPr>
              <w:t>一般的1-2分，完全不满足不得分</w:t>
            </w:r>
            <w:r>
              <w:rPr>
                <w:rFonts w:hint="eastAsia" w:ascii="宋体" w:hAnsi="宋体"/>
                <w:szCs w:val="21"/>
                <w:lang w:eastAsia="zh-CN"/>
              </w:rPr>
              <w:t>。</w:t>
            </w:r>
          </w:p>
        </w:tc>
        <w:tc>
          <w:tcPr>
            <w:tcW w:w="709" w:type="dxa"/>
            <w:tcBorders>
              <w:top w:val="single" w:color="auto" w:sz="4" w:space="0"/>
              <w:left w:val="single" w:color="auto" w:sz="4" w:space="0"/>
              <w:right w:val="single" w:color="auto" w:sz="4" w:space="0"/>
            </w:tcBorders>
            <w:noWrap/>
            <w:vAlign w:val="center"/>
          </w:tcPr>
          <w:p>
            <w:pPr>
              <w:ind w:firstLine="210" w:firstLineChars="1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104" w:type="dxa"/>
            <w:vMerge w:val="continue"/>
            <w:tcBorders>
              <w:left w:val="single" w:color="auto" w:sz="4" w:space="0"/>
              <w:right w:val="single" w:color="auto" w:sz="4" w:space="0"/>
            </w:tcBorders>
            <w:noWrap/>
            <w:vAlign w:val="center"/>
          </w:tcPr>
          <w:p>
            <w:pPr>
              <w:spacing w:line="288" w:lineRule="auto"/>
              <w:jc w:val="center"/>
              <w:rPr>
                <w:rFonts w:ascii="宋体" w:hAnsi="宋体"/>
              </w:rPr>
            </w:pPr>
          </w:p>
        </w:tc>
        <w:tc>
          <w:tcPr>
            <w:tcW w:w="1134" w:type="dxa"/>
            <w:tcBorders>
              <w:top w:val="single" w:color="auto" w:sz="4" w:space="0"/>
              <w:left w:val="single" w:color="auto" w:sz="4" w:space="0"/>
              <w:right w:val="single" w:color="auto" w:sz="4" w:space="0"/>
            </w:tcBorders>
            <w:noWrap/>
            <w:vAlign w:val="center"/>
          </w:tcPr>
          <w:p>
            <w:pPr>
              <w:spacing w:line="288" w:lineRule="auto"/>
              <w:jc w:val="center"/>
              <w:rPr>
                <w:rFonts w:ascii="宋体" w:hAnsi="宋体"/>
              </w:rPr>
            </w:pPr>
            <w:r>
              <w:rPr>
                <w:rFonts w:hint="eastAsia" w:ascii="宋体" w:hAnsi="宋体"/>
              </w:rPr>
              <w:t>组织实施方案</w:t>
            </w:r>
          </w:p>
          <w:p>
            <w:pPr>
              <w:spacing w:line="288" w:lineRule="auto"/>
              <w:jc w:val="center"/>
              <w:rPr>
                <w:rFonts w:ascii="宋体" w:hAnsi="宋体"/>
              </w:rPr>
            </w:pPr>
            <w:r>
              <w:rPr>
                <w:rFonts w:hint="eastAsia" w:ascii="宋体" w:hAnsi="宋体"/>
              </w:rPr>
              <w:t>（8分）</w:t>
            </w:r>
          </w:p>
        </w:tc>
        <w:tc>
          <w:tcPr>
            <w:tcW w:w="6543" w:type="dxa"/>
            <w:tcBorders>
              <w:top w:val="single" w:color="auto" w:sz="4" w:space="0"/>
              <w:left w:val="single" w:color="auto" w:sz="4" w:space="0"/>
              <w:right w:val="single" w:color="auto" w:sz="4" w:space="0"/>
            </w:tcBorders>
            <w:noWrap/>
            <w:vAlign w:val="center"/>
          </w:tcPr>
          <w:p>
            <w:pPr>
              <w:adjustRightInd w:val="0"/>
              <w:snapToGrid w:val="0"/>
              <w:rPr>
                <w:szCs w:val="21"/>
              </w:rPr>
            </w:pPr>
            <w:r>
              <w:rPr>
                <w:rFonts w:hint="eastAsia"/>
                <w:szCs w:val="21"/>
              </w:rPr>
              <w:t>投标人组织实施方案的合理性、规范性和可操作性，包括系统集成、产品供货、验货、安装调试、试运行、测试、系统管理培训、系统运行维护培训等内容：</w:t>
            </w:r>
          </w:p>
          <w:p>
            <w:pPr>
              <w:adjustRightInd w:val="0"/>
              <w:snapToGrid w:val="0"/>
              <w:rPr>
                <w:szCs w:val="21"/>
              </w:rPr>
            </w:pPr>
            <w:r>
              <w:rPr>
                <w:rFonts w:hint="eastAsia"/>
                <w:szCs w:val="21"/>
              </w:rPr>
              <w:t>方案全面完整，合理规范：6-8分，方案较合理3-5分，一般的1-2分，不满足不得分。</w:t>
            </w:r>
          </w:p>
        </w:tc>
        <w:tc>
          <w:tcPr>
            <w:tcW w:w="709" w:type="dxa"/>
            <w:tcBorders>
              <w:top w:val="single" w:color="auto" w:sz="4" w:space="0"/>
              <w:left w:val="single" w:color="auto" w:sz="4" w:space="0"/>
              <w:right w:val="single" w:color="auto" w:sz="4" w:space="0"/>
            </w:tcBorders>
            <w:noWrap/>
            <w:vAlign w:val="center"/>
          </w:tcPr>
          <w:p>
            <w:pPr>
              <w:ind w:firstLine="210" w:firstLineChars="1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1" w:hRule="atLeast"/>
          <w:jc w:val="center"/>
        </w:trPr>
        <w:tc>
          <w:tcPr>
            <w:tcW w:w="1104" w:type="dxa"/>
            <w:vMerge w:val="continue"/>
            <w:tcBorders>
              <w:left w:val="single" w:color="auto" w:sz="4" w:space="0"/>
              <w:right w:val="single" w:color="auto" w:sz="4" w:space="0"/>
            </w:tcBorders>
            <w:noWrap/>
            <w:vAlign w:val="center"/>
          </w:tcPr>
          <w:p>
            <w:pPr>
              <w:spacing w:line="288" w:lineRule="auto"/>
              <w:jc w:val="center"/>
              <w:rPr>
                <w:rFonts w:ascii="宋体" w:hAnsi="宋体"/>
              </w:rPr>
            </w:pPr>
          </w:p>
        </w:tc>
        <w:tc>
          <w:tcPr>
            <w:tcW w:w="1134" w:type="dxa"/>
            <w:tcBorders>
              <w:top w:val="single" w:color="auto" w:sz="4" w:space="0"/>
              <w:left w:val="single" w:color="auto" w:sz="4" w:space="0"/>
              <w:right w:val="single" w:color="auto" w:sz="4" w:space="0"/>
            </w:tcBorders>
            <w:noWrap/>
            <w:vAlign w:val="center"/>
          </w:tcPr>
          <w:p>
            <w:pPr>
              <w:spacing w:line="288" w:lineRule="auto"/>
              <w:jc w:val="center"/>
              <w:rPr>
                <w:rFonts w:ascii="宋体" w:hAnsi="宋体"/>
              </w:rPr>
            </w:pPr>
            <w:r>
              <w:rPr>
                <w:rFonts w:hint="eastAsia" w:ascii="宋体" w:hAnsi="宋体"/>
              </w:rPr>
              <w:t>售后服务方案情况（</w:t>
            </w:r>
            <w:r>
              <w:rPr>
                <w:rFonts w:ascii="宋体" w:hAnsi="宋体"/>
              </w:rPr>
              <w:t>8</w:t>
            </w:r>
            <w:r>
              <w:rPr>
                <w:rFonts w:hint="eastAsia" w:ascii="宋体" w:hAnsi="宋体"/>
              </w:rPr>
              <w:t>分）</w:t>
            </w:r>
          </w:p>
        </w:tc>
        <w:tc>
          <w:tcPr>
            <w:tcW w:w="6543" w:type="dxa"/>
            <w:tcBorders>
              <w:top w:val="single" w:color="auto" w:sz="4" w:space="0"/>
              <w:left w:val="single" w:color="auto" w:sz="4" w:space="0"/>
              <w:right w:val="single" w:color="auto" w:sz="4" w:space="0"/>
            </w:tcBorders>
            <w:noWrap/>
            <w:vAlign w:val="center"/>
          </w:tcPr>
          <w:p>
            <w:pPr>
              <w:adjustRightInd w:val="0"/>
              <w:snapToGrid w:val="0"/>
              <w:spacing w:line="288" w:lineRule="auto"/>
              <w:rPr>
                <w:rFonts w:asciiTheme="minorEastAsia" w:hAnsiTheme="minorEastAsia" w:eastAsiaTheme="minorEastAsia"/>
                <w:szCs w:val="21"/>
              </w:rPr>
            </w:pPr>
            <w:r>
              <w:rPr>
                <w:rFonts w:hint="eastAsia" w:asciiTheme="minorEastAsia" w:hAnsiTheme="minorEastAsia" w:eastAsiaTheme="minorEastAsia"/>
                <w:szCs w:val="21"/>
              </w:rPr>
              <w:t>投标人提供服务响应时间、售后维护机构和人员等情况，售后服务承诺的可行性、完整性以及服务承诺落实的保障措施等情况；对该项目提供全程的维修服务和系统保障。</w:t>
            </w:r>
          </w:p>
          <w:p>
            <w:pPr>
              <w:adjustRightInd w:val="0"/>
              <w:snapToGrid w:val="0"/>
              <w:spacing w:line="288" w:lineRule="auto"/>
              <w:rPr>
                <w:rFonts w:asciiTheme="minorEastAsia" w:hAnsiTheme="minorEastAsia" w:eastAsiaTheme="minorEastAsia"/>
                <w:szCs w:val="21"/>
              </w:rPr>
            </w:pPr>
            <w:r>
              <w:rPr>
                <w:rFonts w:hint="eastAsia" w:asciiTheme="minorEastAsia" w:hAnsiTheme="minorEastAsia" w:eastAsiaTheme="minorEastAsia"/>
                <w:szCs w:val="21"/>
              </w:rPr>
              <w:t>售后服务承诺可行，完整，保障措施全面：6-8分，</w:t>
            </w:r>
          </w:p>
          <w:p>
            <w:pPr>
              <w:adjustRightInd w:val="0"/>
              <w:snapToGrid w:val="0"/>
              <w:spacing w:line="288" w:lineRule="auto"/>
              <w:rPr>
                <w:rFonts w:asciiTheme="minorEastAsia" w:hAnsiTheme="minorEastAsia" w:eastAsiaTheme="minorEastAsia"/>
                <w:szCs w:val="21"/>
              </w:rPr>
            </w:pPr>
            <w:r>
              <w:rPr>
                <w:rFonts w:hint="eastAsia" w:asciiTheme="minorEastAsia" w:hAnsiTheme="minorEastAsia" w:eastAsiaTheme="minorEastAsia"/>
                <w:szCs w:val="21"/>
              </w:rPr>
              <w:t>售后服务承诺较可行，完整，保障措施较全面：3-5分，</w:t>
            </w:r>
          </w:p>
          <w:p>
            <w:pPr>
              <w:adjustRightInd w:val="0"/>
              <w:snapToGrid w:val="0"/>
              <w:spacing w:line="288" w:lineRule="auto"/>
              <w:rPr>
                <w:rFonts w:ascii="宋体" w:hAnsi="宋体"/>
                <w:szCs w:val="21"/>
              </w:rPr>
            </w:pPr>
            <w:r>
              <w:rPr>
                <w:rFonts w:hint="eastAsia" w:asciiTheme="minorEastAsia" w:hAnsiTheme="minorEastAsia" w:eastAsiaTheme="minorEastAsia"/>
                <w:szCs w:val="21"/>
              </w:rPr>
              <w:t>一般的得1-2分，不满足招标文件要求的，不得分。</w:t>
            </w:r>
          </w:p>
        </w:tc>
        <w:tc>
          <w:tcPr>
            <w:tcW w:w="709" w:type="dxa"/>
            <w:tcBorders>
              <w:top w:val="single" w:color="auto" w:sz="4" w:space="0"/>
              <w:left w:val="single" w:color="auto" w:sz="4" w:space="0"/>
              <w:right w:val="single" w:color="auto" w:sz="4" w:space="0"/>
            </w:tcBorders>
            <w:noWrap/>
            <w:vAlign w:val="center"/>
          </w:tcPr>
          <w:p>
            <w:pPr>
              <w:ind w:firstLine="210" w:firstLineChars="1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1104" w:type="dxa"/>
            <w:vMerge w:val="continue"/>
            <w:tcBorders>
              <w:left w:val="single" w:color="auto" w:sz="4" w:space="0"/>
              <w:right w:val="single" w:color="auto" w:sz="4" w:space="0"/>
            </w:tcBorders>
            <w:noWrap/>
            <w:vAlign w:val="center"/>
          </w:tcPr>
          <w:p>
            <w:pPr>
              <w:spacing w:line="288" w:lineRule="auto"/>
              <w:jc w:val="center"/>
              <w:rPr>
                <w:rFonts w:ascii="宋体" w:hAnsi="宋体"/>
              </w:rPr>
            </w:pPr>
          </w:p>
        </w:tc>
        <w:tc>
          <w:tcPr>
            <w:tcW w:w="1134" w:type="dxa"/>
            <w:tcBorders>
              <w:top w:val="single" w:color="auto" w:sz="4" w:space="0"/>
              <w:left w:val="single" w:color="auto" w:sz="4" w:space="0"/>
              <w:right w:val="single" w:color="auto" w:sz="4" w:space="0"/>
            </w:tcBorders>
            <w:noWrap/>
            <w:vAlign w:val="center"/>
          </w:tcPr>
          <w:p>
            <w:pPr>
              <w:spacing w:line="288" w:lineRule="auto"/>
              <w:jc w:val="center"/>
              <w:rPr>
                <w:rFonts w:ascii="宋体" w:hAnsi="宋体"/>
              </w:rPr>
            </w:pPr>
            <w:r>
              <w:rPr>
                <w:rFonts w:hint="eastAsia" w:ascii="宋体" w:hAnsi="宋体"/>
              </w:rPr>
              <w:t>培训、测试、试运转、验收（4分）</w:t>
            </w:r>
          </w:p>
        </w:tc>
        <w:tc>
          <w:tcPr>
            <w:tcW w:w="6543" w:type="dxa"/>
            <w:tcBorders>
              <w:top w:val="single" w:color="auto" w:sz="4" w:space="0"/>
              <w:left w:val="single" w:color="auto" w:sz="4" w:space="0"/>
              <w:right w:val="single" w:color="auto" w:sz="4" w:space="0"/>
            </w:tcBorders>
            <w:noWrap/>
            <w:vAlign w:val="center"/>
          </w:tcPr>
          <w:p>
            <w:pPr>
              <w:adjustRightInd w:val="0"/>
              <w:snapToGrid w:val="0"/>
              <w:spacing w:line="288" w:lineRule="auto"/>
              <w:rPr>
                <w:szCs w:val="21"/>
              </w:rPr>
            </w:pPr>
            <w:r>
              <w:rPr>
                <w:rFonts w:hint="eastAsia"/>
                <w:szCs w:val="21"/>
              </w:rPr>
              <w:t>投标人提出的功能测试、试运转及验收方案，培训计划科学合理；方案合理、可行，4分，方案较合理、可行：2-3分，一般的1分，不满足招标文件要求的，不得分。</w:t>
            </w:r>
          </w:p>
        </w:tc>
        <w:tc>
          <w:tcPr>
            <w:tcW w:w="709" w:type="dxa"/>
            <w:tcBorders>
              <w:top w:val="single" w:color="auto" w:sz="4" w:space="0"/>
              <w:left w:val="single" w:color="auto" w:sz="4" w:space="0"/>
              <w:right w:val="single" w:color="auto" w:sz="4" w:space="0"/>
            </w:tcBorders>
            <w:noWrap/>
            <w:vAlign w:val="center"/>
          </w:tcPr>
          <w:p>
            <w:pPr>
              <w:ind w:firstLine="210" w:firstLineChars="1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jc w:val="center"/>
        </w:trPr>
        <w:tc>
          <w:tcPr>
            <w:tcW w:w="1104" w:type="dxa"/>
            <w:vMerge w:val="continue"/>
            <w:tcBorders>
              <w:left w:val="single" w:color="auto" w:sz="4" w:space="0"/>
              <w:right w:val="single" w:color="auto" w:sz="4" w:space="0"/>
            </w:tcBorders>
            <w:noWrap/>
            <w:vAlign w:val="center"/>
          </w:tcPr>
          <w:p>
            <w:pPr>
              <w:spacing w:line="288" w:lineRule="auto"/>
              <w:jc w:val="center"/>
              <w:rPr>
                <w:rFonts w:ascii="宋体" w:hAnsi="宋体"/>
              </w:rPr>
            </w:pPr>
          </w:p>
        </w:tc>
        <w:tc>
          <w:tcPr>
            <w:tcW w:w="1134" w:type="dxa"/>
            <w:tcBorders>
              <w:top w:val="single" w:color="auto" w:sz="4" w:space="0"/>
              <w:left w:val="single" w:color="auto" w:sz="4" w:space="0"/>
              <w:right w:val="single" w:color="auto" w:sz="4" w:space="0"/>
            </w:tcBorders>
            <w:noWrap/>
            <w:vAlign w:val="center"/>
          </w:tcPr>
          <w:p>
            <w:pPr>
              <w:spacing w:line="288" w:lineRule="auto"/>
              <w:jc w:val="center"/>
              <w:rPr>
                <w:rFonts w:ascii="宋体" w:hAnsi="宋体"/>
              </w:rPr>
            </w:pPr>
            <w:r>
              <w:rPr>
                <w:rFonts w:hint="eastAsia" w:ascii="宋体" w:hAnsi="宋体"/>
              </w:rPr>
              <w:t>质量保证措施和交货情况</w:t>
            </w:r>
          </w:p>
          <w:p>
            <w:pPr>
              <w:spacing w:line="288" w:lineRule="auto"/>
              <w:jc w:val="center"/>
              <w:rPr>
                <w:rFonts w:ascii="宋体" w:hAnsi="宋体"/>
              </w:rPr>
            </w:pPr>
            <w:r>
              <w:rPr>
                <w:rFonts w:hint="eastAsia" w:ascii="宋体" w:hAnsi="宋体"/>
              </w:rPr>
              <w:t>（5分）</w:t>
            </w:r>
          </w:p>
        </w:tc>
        <w:tc>
          <w:tcPr>
            <w:tcW w:w="6543" w:type="dxa"/>
            <w:tcBorders>
              <w:top w:val="single" w:color="auto" w:sz="4" w:space="0"/>
              <w:left w:val="single" w:color="auto" w:sz="4" w:space="0"/>
              <w:right w:val="single" w:color="auto" w:sz="4" w:space="0"/>
            </w:tcBorders>
            <w:noWrap/>
            <w:vAlign w:val="center"/>
          </w:tcPr>
          <w:p>
            <w:pPr>
              <w:adjustRightInd w:val="0"/>
              <w:snapToGrid w:val="0"/>
              <w:spacing w:line="288" w:lineRule="auto"/>
              <w:rPr>
                <w:szCs w:val="21"/>
              </w:rPr>
            </w:pPr>
            <w:bookmarkStart w:id="1" w:name="_GoBack"/>
            <w:r>
              <w:rPr>
                <w:rFonts w:hint="eastAsia"/>
                <w:szCs w:val="21"/>
              </w:rPr>
              <w:t>有明确的建设质量目标，按期完成设备供货、系统集成、运行、验收等措施：实施内容详细可行：5分，实施内容较详细可行：3-4分，一般的1-2分，没有不得分。</w:t>
            </w:r>
            <w:bookmarkEnd w:id="1"/>
          </w:p>
        </w:tc>
        <w:tc>
          <w:tcPr>
            <w:tcW w:w="709" w:type="dxa"/>
            <w:tcBorders>
              <w:top w:val="single" w:color="auto" w:sz="4" w:space="0"/>
              <w:left w:val="single" w:color="auto" w:sz="4" w:space="0"/>
              <w:right w:val="single" w:color="auto" w:sz="4" w:space="0"/>
            </w:tcBorders>
            <w:noWrap/>
            <w:vAlign w:val="center"/>
          </w:tcPr>
          <w:p>
            <w:pPr>
              <w:ind w:firstLine="210" w:firstLineChars="1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104" w:type="dxa"/>
            <w:tcBorders>
              <w:top w:val="single" w:color="auto" w:sz="4" w:space="0"/>
              <w:left w:val="single" w:color="auto" w:sz="4" w:space="0"/>
              <w:bottom w:val="single" w:color="auto" w:sz="4" w:space="0"/>
              <w:right w:val="single" w:color="auto" w:sz="4" w:space="0"/>
            </w:tcBorders>
            <w:noWrap/>
            <w:vAlign w:val="center"/>
          </w:tcPr>
          <w:p>
            <w:pPr>
              <w:widowControl/>
              <w:spacing w:line="288" w:lineRule="auto"/>
              <w:ind w:right="-341"/>
              <w:rPr>
                <w:rFonts w:ascii="宋体" w:hAnsi="宋体"/>
              </w:rPr>
            </w:pPr>
            <w:r>
              <w:rPr>
                <w:rFonts w:hint="eastAsia" w:ascii="宋体" w:hAnsi="宋体"/>
              </w:rPr>
              <w:t>价格得分</w:t>
            </w:r>
          </w:p>
          <w:p>
            <w:pPr>
              <w:widowControl/>
              <w:spacing w:line="288" w:lineRule="auto"/>
              <w:ind w:right="-341"/>
              <w:rPr>
                <w:rFonts w:ascii="宋体" w:hAnsi="宋体"/>
              </w:rPr>
            </w:pPr>
            <w:r>
              <w:rPr>
                <w:rFonts w:hint="eastAsia" w:ascii="宋体" w:hAnsi="宋体"/>
              </w:rPr>
              <w:t>（30分）</w:t>
            </w:r>
          </w:p>
        </w:tc>
        <w:tc>
          <w:tcPr>
            <w:tcW w:w="7677" w:type="dxa"/>
            <w:gridSpan w:val="2"/>
            <w:tcBorders>
              <w:top w:val="single" w:color="auto" w:sz="4" w:space="0"/>
              <w:left w:val="single" w:color="auto" w:sz="4" w:space="0"/>
              <w:bottom w:val="single" w:color="auto" w:sz="4" w:space="0"/>
              <w:right w:val="single" w:color="auto" w:sz="4" w:space="0"/>
            </w:tcBorders>
            <w:noWrap/>
            <w:vAlign w:val="center"/>
          </w:tcPr>
          <w:p>
            <w:pPr>
              <w:spacing w:line="288" w:lineRule="auto"/>
              <w:ind w:right="-341"/>
              <w:rPr>
                <w:rFonts w:ascii="宋体" w:hAnsi="宋体"/>
              </w:rPr>
            </w:pPr>
            <w:r>
              <w:rPr>
                <w:rFonts w:hint="eastAsia" w:ascii="宋体" w:hAnsi="宋体"/>
              </w:rPr>
              <w:t>满足招标文件要求且价格最低的投标价为基准价，其价格分为满分。其他投标人的价格分统一按照下列公式计算：价格分=(基准价／投标报价)×价格权值×100。</w:t>
            </w:r>
          </w:p>
        </w:tc>
        <w:tc>
          <w:tcPr>
            <w:tcW w:w="709" w:type="dxa"/>
            <w:tcBorders>
              <w:top w:val="single" w:color="auto" w:sz="4" w:space="0"/>
              <w:left w:val="single" w:color="auto" w:sz="4" w:space="0"/>
              <w:bottom w:val="single" w:color="auto" w:sz="4" w:space="0"/>
              <w:right w:val="single" w:color="auto" w:sz="4" w:space="0"/>
            </w:tcBorders>
            <w:noWrap/>
          </w:tcPr>
          <w:p>
            <w:pPr>
              <w:ind w:firstLine="210" w:firstLineChars="100"/>
              <w:rPr>
                <w:rFonts w:ascii="宋体" w:hAnsi="宋体"/>
              </w:rPr>
            </w:pPr>
          </w:p>
        </w:tc>
      </w:tr>
    </w:tbl>
    <w:p>
      <w:pPr>
        <w:spacing w:line="360" w:lineRule="auto"/>
        <w:ind w:right="-341"/>
        <w:jc w:val="left"/>
      </w:pPr>
    </w:p>
    <w:p>
      <w:pPr>
        <w:spacing w:line="360" w:lineRule="auto"/>
        <w:ind w:right="-341"/>
        <w:jc w:val="left"/>
        <w:rPr>
          <w:rFonts w:ascii="黑体" w:hAnsi="宋体" w:eastAsia="黑体"/>
          <w:sz w:val="30"/>
        </w:rPr>
      </w:pPr>
    </w:p>
    <w:p>
      <w:pPr>
        <w:spacing w:line="360" w:lineRule="auto"/>
        <w:ind w:right="-341"/>
        <w:jc w:val="center"/>
        <w:rPr>
          <w:rFonts w:ascii="黑体" w:hAnsi="宋体" w:eastAsia="黑体"/>
          <w:sz w:val="30"/>
        </w:rPr>
      </w:pPr>
      <w:r>
        <w:rPr>
          <w:rFonts w:hint="eastAsia" w:ascii="黑体" w:hAnsi="宋体" w:eastAsia="黑体"/>
          <w:sz w:val="30"/>
        </w:rPr>
        <w:t>第五章合同主要条款</w:t>
      </w:r>
      <w:bookmarkEnd w:id="0"/>
    </w:p>
    <w:p>
      <w:pPr>
        <w:jc w:val="center"/>
        <w:rPr>
          <w:b/>
          <w:sz w:val="28"/>
        </w:rPr>
      </w:pPr>
      <w:r>
        <w:rPr>
          <w:rFonts w:hint="eastAsia"/>
          <w:b/>
          <w:sz w:val="28"/>
        </w:rPr>
        <w:t>采购合同</w:t>
      </w:r>
      <w:r>
        <w:rPr>
          <w:b/>
          <w:sz w:val="28"/>
        </w:rPr>
        <w:t>(</w:t>
      </w:r>
      <w:r>
        <w:rPr>
          <w:rFonts w:hint="eastAsia"/>
          <w:b/>
          <w:sz w:val="28"/>
        </w:rPr>
        <w:t>仅供参考</w:t>
      </w:r>
      <w:r>
        <w:rPr>
          <w:b/>
          <w:sz w:val="28"/>
        </w:rPr>
        <w:t>)</w:t>
      </w:r>
    </w:p>
    <w:p>
      <w:pPr>
        <w:pStyle w:val="22"/>
        <w:spacing w:line="360" w:lineRule="auto"/>
        <w:ind w:firstLine="474"/>
        <w:rPr>
          <w:rFonts w:ascii="宋体"/>
          <w:color w:val="auto"/>
          <w:sz w:val="21"/>
        </w:rPr>
      </w:pPr>
      <w:r>
        <w:rPr>
          <w:rFonts w:hint="eastAsia" w:ascii="宋体"/>
          <w:color w:val="auto"/>
          <w:sz w:val="21"/>
        </w:rPr>
        <w:t>中标方按招标人指定的时间、地点与招标人签订合同。招标文件、中标方的投标文件及其澄清文件等，均为签订合同的依据。</w:t>
      </w:r>
    </w:p>
    <w:p>
      <w:pPr>
        <w:spacing w:line="360" w:lineRule="auto"/>
        <w:rPr>
          <w:rFonts w:ascii="宋体"/>
        </w:rPr>
      </w:pPr>
      <w:r>
        <w:rPr>
          <w:rFonts w:hint="eastAsia" w:ascii="宋体" w:hAnsi="宋体"/>
        </w:rPr>
        <w:t>此合同由</w:t>
      </w:r>
      <w:r>
        <w:rPr>
          <w:rFonts w:hint="eastAsia" w:ascii="宋体" w:hAnsi="宋体"/>
          <w:b/>
        </w:rPr>
        <w:t>岱山县第一人民医院（</w:t>
      </w:r>
      <w:r>
        <w:rPr>
          <w:rFonts w:hint="eastAsia" w:ascii="宋体" w:hAnsi="宋体"/>
        </w:rPr>
        <w:t>甲方）和中标方（乙方）签订。</w:t>
      </w:r>
    </w:p>
    <w:p>
      <w:pPr>
        <w:spacing w:line="360" w:lineRule="auto"/>
        <w:ind w:firstLine="620" w:firstLineChars="294"/>
        <w:rPr>
          <w:rFonts w:ascii="宋体"/>
          <w:b/>
        </w:rPr>
      </w:pPr>
      <w:r>
        <w:rPr>
          <w:rFonts w:hint="eastAsia" w:ascii="宋体" w:hAnsi="宋体"/>
          <w:b/>
        </w:rPr>
        <w:t>岱山县第一人民医院设备采购项目合同（范本）</w:t>
      </w:r>
    </w:p>
    <w:p>
      <w:pPr>
        <w:pStyle w:val="11"/>
        <w:spacing w:afterLines="100" w:line="288" w:lineRule="auto"/>
        <w:rPr>
          <w:rFonts w:ascii="宋体"/>
        </w:rPr>
      </w:pPr>
      <w:r>
        <w:rPr>
          <w:rFonts w:hint="eastAsia" w:ascii="宋体" w:hAnsi="宋体"/>
        </w:rPr>
        <w:t>甲方：</w:t>
      </w:r>
    </w:p>
    <w:p>
      <w:pPr>
        <w:spacing w:afterLines="100" w:line="288" w:lineRule="auto"/>
        <w:ind w:firstLine="420" w:firstLineChars="200"/>
        <w:rPr>
          <w:rFonts w:ascii="宋体"/>
        </w:rPr>
      </w:pPr>
      <w:r>
        <w:rPr>
          <w:rFonts w:hint="eastAsia" w:ascii="宋体" w:hAnsi="宋体"/>
        </w:rPr>
        <w:t>乙方：</w:t>
      </w:r>
    </w:p>
    <w:p>
      <w:pPr>
        <w:spacing w:beforeLines="50" w:after="100" w:line="288" w:lineRule="auto"/>
        <w:ind w:firstLine="435"/>
        <w:rPr>
          <w:rFonts w:ascii="宋体"/>
        </w:rPr>
      </w:pPr>
      <w:r>
        <w:rPr>
          <w:rFonts w:hint="eastAsia" w:ascii="宋体" w:hAnsi="宋体"/>
        </w:rPr>
        <w:t>甲、乙双方根据年月日《岱山县第一人民医院设备采购项目》招标的结果（招标编号：</w:t>
      </w:r>
      <w:r>
        <w:rPr>
          <w:rFonts w:ascii="宋体" w:hAnsi="宋体"/>
        </w:rPr>
        <w:t>SZGXZS2021165</w:t>
      </w:r>
      <w:r>
        <w:rPr>
          <w:rFonts w:hint="eastAsia" w:ascii="宋体" w:hAnsi="宋体"/>
        </w:rPr>
        <w:t>）和“招标文件”的要求，</w:t>
      </w:r>
      <w:r>
        <w:rPr>
          <w:rFonts w:hint="eastAsia" w:ascii="宋体" w:hAnsi="宋体"/>
          <w:bCs/>
        </w:rPr>
        <w:t>并依照《中华人民共和国民法典》有关法律、法规的规定，同时在平等、公平、诚实和信用的原则下，</w:t>
      </w:r>
      <w:r>
        <w:rPr>
          <w:rFonts w:hint="eastAsia" w:ascii="宋体" w:hAnsi="宋体"/>
        </w:rPr>
        <w:t>经双方协调一致，订立本合同：</w:t>
      </w:r>
    </w:p>
    <w:p>
      <w:pPr>
        <w:spacing w:beforeLines="50" w:after="100" w:line="288" w:lineRule="auto"/>
        <w:ind w:firstLine="435"/>
        <w:rPr>
          <w:rFonts w:ascii="宋体" w:hAnsi="宋体"/>
        </w:rPr>
      </w:pPr>
      <w:r>
        <w:rPr>
          <w:rFonts w:hint="eastAsia" w:ascii="宋体" w:hAnsi="宋体"/>
        </w:rPr>
        <w:t>一、产品及项目清单：</w:t>
      </w:r>
    </w:p>
    <w:tbl>
      <w:tblPr>
        <w:tblStyle w:val="35"/>
        <w:tblpPr w:leftFromText="180" w:rightFromText="180" w:vertAnchor="text" w:horzAnchor="page" w:tblpX="1655" w:tblpY="48"/>
        <w:tblW w:w="8502" w:type="dxa"/>
        <w:tblInd w:w="0" w:type="dxa"/>
        <w:tblLayout w:type="fixed"/>
        <w:tblCellMar>
          <w:top w:w="0" w:type="dxa"/>
          <w:left w:w="42" w:type="dxa"/>
          <w:bottom w:w="0" w:type="dxa"/>
          <w:right w:w="42" w:type="dxa"/>
        </w:tblCellMar>
      </w:tblPr>
      <w:tblGrid>
        <w:gridCol w:w="582"/>
        <w:gridCol w:w="1620"/>
        <w:gridCol w:w="1800"/>
        <w:gridCol w:w="2340"/>
        <w:gridCol w:w="720"/>
        <w:gridCol w:w="360"/>
        <w:gridCol w:w="360"/>
        <w:gridCol w:w="720"/>
      </w:tblGrid>
      <w:tr>
        <w:tblPrEx>
          <w:tblCellMar>
            <w:top w:w="0" w:type="dxa"/>
            <w:left w:w="42" w:type="dxa"/>
            <w:bottom w:w="0" w:type="dxa"/>
            <w:right w:w="42" w:type="dxa"/>
          </w:tblCellMar>
        </w:tblPrEx>
        <w:trPr>
          <w:cantSplit/>
          <w:trHeight w:val="600" w:hRule="atLeast"/>
        </w:trPr>
        <w:tc>
          <w:tcPr>
            <w:tcW w:w="8502" w:type="dxa"/>
            <w:gridSpan w:val="8"/>
            <w:tcBorders>
              <w:top w:val="single" w:color="auto" w:sz="6" w:space="0"/>
              <w:left w:val="single" w:color="auto" w:sz="6" w:space="0"/>
              <w:bottom w:val="single" w:color="auto" w:sz="6" w:space="0"/>
              <w:right w:val="single" w:color="auto" w:sz="6" w:space="0"/>
            </w:tcBorders>
            <w:vAlign w:val="center"/>
          </w:tcPr>
          <w:p>
            <w:pPr>
              <w:pStyle w:val="78"/>
              <w:keepNext w:val="0"/>
              <w:adjustRightInd/>
              <w:spacing w:before="0" w:after="0" w:line="240" w:lineRule="auto"/>
              <w:rPr>
                <w:rFonts w:ascii="宋体" w:hAnsi="宋体"/>
                <w:spacing w:val="0"/>
                <w:kern w:val="2"/>
                <w:sz w:val="21"/>
              </w:rPr>
            </w:pPr>
            <w:r>
              <w:rPr>
                <w:rFonts w:hint="eastAsia" w:ascii="宋体" w:hAnsi="宋体"/>
                <w:spacing w:val="0"/>
                <w:kern w:val="2"/>
                <w:sz w:val="21"/>
              </w:rPr>
              <w:t>产品部分</w:t>
            </w:r>
          </w:p>
        </w:tc>
      </w:tr>
      <w:tr>
        <w:tblPrEx>
          <w:tblCellMar>
            <w:top w:w="0" w:type="dxa"/>
            <w:left w:w="42" w:type="dxa"/>
            <w:bottom w:w="0" w:type="dxa"/>
            <w:right w:w="42" w:type="dxa"/>
          </w:tblCellMar>
        </w:tblPrEx>
        <w:trPr>
          <w:cantSplit/>
          <w:trHeight w:val="509"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编号</w:t>
            </w: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产品名称</w:t>
            </w: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品牌、型号（版本）</w:t>
            </w:r>
          </w:p>
        </w:tc>
        <w:tc>
          <w:tcPr>
            <w:tcW w:w="23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配置或参数</w:t>
            </w:r>
          </w:p>
        </w:tc>
        <w:tc>
          <w:tcPr>
            <w:tcW w:w="720"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rPr>
            </w:pPr>
            <w:r>
              <w:rPr>
                <w:rFonts w:hint="eastAsia" w:ascii="宋体" w:hAnsi="宋体"/>
              </w:rPr>
              <w:t>数量</w:t>
            </w:r>
          </w:p>
        </w:tc>
        <w:tc>
          <w:tcPr>
            <w:tcW w:w="720" w:type="dxa"/>
            <w:gridSpan w:val="2"/>
            <w:tcBorders>
              <w:top w:val="single" w:color="auto" w:sz="6" w:space="0"/>
              <w:left w:val="single" w:color="auto" w:sz="4" w:space="0"/>
              <w:bottom w:val="single" w:color="auto" w:sz="6" w:space="0"/>
              <w:right w:val="single" w:color="auto" w:sz="4" w:space="0"/>
            </w:tcBorders>
            <w:vAlign w:val="center"/>
          </w:tcPr>
          <w:p>
            <w:pPr>
              <w:jc w:val="center"/>
              <w:rPr>
                <w:rFonts w:ascii="宋体" w:hAnsi="宋体"/>
              </w:rPr>
            </w:pPr>
            <w:r>
              <w:rPr>
                <w:rFonts w:hint="eastAsia" w:ascii="宋体" w:hAnsi="宋体"/>
              </w:rPr>
              <w:t>单价</w:t>
            </w:r>
          </w:p>
        </w:tc>
        <w:tc>
          <w:tcPr>
            <w:tcW w:w="720"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rPr>
            </w:pPr>
            <w:r>
              <w:rPr>
                <w:rFonts w:hint="eastAsia" w:ascii="宋体" w:hAnsi="宋体"/>
              </w:rPr>
              <w:t>金额</w:t>
            </w: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p>
        </w:tc>
        <w:tc>
          <w:tcPr>
            <w:tcW w:w="2340" w:type="dxa"/>
            <w:tcBorders>
              <w:top w:val="single" w:color="auto" w:sz="6" w:space="0"/>
              <w:left w:val="single" w:color="auto" w:sz="6" w:space="0"/>
              <w:bottom w:val="single" w:color="auto" w:sz="6" w:space="0"/>
              <w:right w:val="single" w:color="auto" w:sz="6" w:space="0"/>
            </w:tcBorders>
            <w:vAlign w:val="center"/>
          </w:tcPr>
          <w:p>
            <w:pPr>
              <w:jc w:val="right"/>
              <w:rPr>
                <w:rFonts w:ascii="宋体" w:hAnsi="宋体"/>
              </w:rPr>
            </w:pPr>
          </w:p>
        </w:tc>
        <w:tc>
          <w:tcPr>
            <w:tcW w:w="720" w:type="dxa"/>
            <w:tcBorders>
              <w:top w:val="single" w:color="auto" w:sz="6" w:space="0"/>
              <w:left w:val="single" w:color="auto" w:sz="6" w:space="0"/>
              <w:bottom w:val="single" w:color="auto" w:sz="6" w:space="0"/>
              <w:right w:val="single" w:color="auto" w:sz="4" w:space="0"/>
            </w:tcBorders>
            <w:vAlign w:val="center"/>
          </w:tcPr>
          <w:p>
            <w:pPr>
              <w:jc w:val="right"/>
              <w:rPr>
                <w:rFonts w:ascii="宋体" w:hAnsi="宋体"/>
              </w:rPr>
            </w:pPr>
          </w:p>
        </w:tc>
        <w:tc>
          <w:tcPr>
            <w:tcW w:w="72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hAnsi="宋体"/>
              </w:rPr>
            </w:pPr>
          </w:p>
        </w:tc>
        <w:tc>
          <w:tcPr>
            <w:tcW w:w="720" w:type="dxa"/>
            <w:tcBorders>
              <w:top w:val="single" w:color="auto" w:sz="6" w:space="0"/>
              <w:left w:val="single" w:color="auto" w:sz="4" w:space="0"/>
              <w:bottom w:val="single" w:color="auto" w:sz="6" w:space="0"/>
              <w:right w:val="single" w:color="auto" w:sz="6" w:space="0"/>
            </w:tcBorders>
            <w:vAlign w:val="center"/>
          </w:tcPr>
          <w:p>
            <w:pPr>
              <w:jc w:val="right"/>
              <w:rPr>
                <w:rFonts w:ascii="宋体" w:hAnsi="宋体"/>
              </w:rPr>
            </w:pP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p>
        </w:tc>
        <w:tc>
          <w:tcPr>
            <w:tcW w:w="2340" w:type="dxa"/>
            <w:tcBorders>
              <w:top w:val="single" w:color="auto" w:sz="6" w:space="0"/>
              <w:left w:val="single" w:color="auto" w:sz="6" w:space="0"/>
              <w:bottom w:val="single" w:color="auto" w:sz="6" w:space="0"/>
              <w:right w:val="single" w:color="auto" w:sz="6" w:space="0"/>
            </w:tcBorders>
            <w:vAlign w:val="center"/>
          </w:tcPr>
          <w:p>
            <w:pPr>
              <w:jc w:val="right"/>
              <w:rPr>
                <w:rFonts w:ascii="宋体" w:hAnsi="宋体"/>
              </w:rPr>
            </w:pPr>
          </w:p>
        </w:tc>
        <w:tc>
          <w:tcPr>
            <w:tcW w:w="720" w:type="dxa"/>
            <w:tcBorders>
              <w:top w:val="single" w:color="auto" w:sz="6" w:space="0"/>
              <w:left w:val="single" w:color="auto" w:sz="6" w:space="0"/>
              <w:bottom w:val="single" w:color="auto" w:sz="6" w:space="0"/>
              <w:right w:val="single" w:color="auto" w:sz="4" w:space="0"/>
            </w:tcBorders>
            <w:vAlign w:val="center"/>
          </w:tcPr>
          <w:p>
            <w:pPr>
              <w:jc w:val="right"/>
              <w:rPr>
                <w:rFonts w:ascii="宋体" w:hAnsi="宋体"/>
              </w:rPr>
            </w:pPr>
          </w:p>
        </w:tc>
        <w:tc>
          <w:tcPr>
            <w:tcW w:w="72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hAnsi="宋体"/>
              </w:rPr>
            </w:pPr>
          </w:p>
        </w:tc>
        <w:tc>
          <w:tcPr>
            <w:tcW w:w="720" w:type="dxa"/>
            <w:tcBorders>
              <w:top w:val="single" w:color="auto" w:sz="6" w:space="0"/>
              <w:left w:val="single" w:color="auto" w:sz="4" w:space="0"/>
              <w:bottom w:val="single" w:color="auto" w:sz="6" w:space="0"/>
              <w:right w:val="single" w:color="auto" w:sz="6" w:space="0"/>
            </w:tcBorders>
            <w:vAlign w:val="center"/>
          </w:tcPr>
          <w:p>
            <w:pPr>
              <w:jc w:val="right"/>
              <w:rPr>
                <w:rFonts w:ascii="宋体" w:hAnsi="宋体"/>
              </w:rPr>
            </w:pP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p>
        </w:tc>
        <w:tc>
          <w:tcPr>
            <w:tcW w:w="2340" w:type="dxa"/>
            <w:tcBorders>
              <w:top w:val="single" w:color="auto" w:sz="6" w:space="0"/>
              <w:left w:val="single" w:color="auto" w:sz="6" w:space="0"/>
              <w:bottom w:val="single" w:color="auto" w:sz="6" w:space="0"/>
              <w:right w:val="single" w:color="auto" w:sz="6" w:space="0"/>
            </w:tcBorders>
            <w:vAlign w:val="center"/>
          </w:tcPr>
          <w:p>
            <w:pPr>
              <w:jc w:val="right"/>
              <w:rPr>
                <w:rFonts w:ascii="宋体" w:hAnsi="宋体"/>
              </w:rPr>
            </w:pPr>
          </w:p>
        </w:tc>
        <w:tc>
          <w:tcPr>
            <w:tcW w:w="720" w:type="dxa"/>
            <w:tcBorders>
              <w:top w:val="single" w:color="auto" w:sz="6" w:space="0"/>
              <w:left w:val="single" w:color="auto" w:sz="6" w:space="0"/>
              <w:bottom w:val="single" w:color="auto" w:sz="6" w:space="0"/>
              <w:right w:val="single" w:color="auto" w:sz="4" w:space="0"/>
            </w:tcBorders>
            <w:vAlign w:val="center"/>
          </w:tcPr>
          <w:p>
            <w:pPr>
              <w:jc w:val="right"/>
              <w:rPr>
                <w:rFonts w:ascii="宋体" w:hAnsi="宋体"/>
              </w:rPr>
            </w:pPr>
          </w:p>
        </w:tc>
        <w:tc>
          <w:tcPr>
            <w:tcW w:w="72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hAnsi="宋体"/>
              </w:rPr>
            </w:pPr>
          </w:p>
        </w:tc>
        <w:tc>
          <w:tcPr>
            <w:tcW w:w="720" w:type="dxa"/>
            <w:tcBorders>
              <w:top w:val="single" w:color="auto" w:sz="6" w:space="0"/>
              <w:left w:val="single" w:color="auto" w:sz="4" w:space="0"/>
              <w:bottom w:val="single" w:color="auto" w:sz="6" w:space="0"/>
              <w:right w:val="single" w:color="auto" w:sz="6" w:space="0"/>
            </w:tcBorders>
            <w:vAlign w:val="center"/>
          </w:tcPr>
          <w:p>
            <w:pPr>
              <w:jc w:val="right"/>
              <w:rPr>
                <w:rFonts w:ascii="宋体" w:hAnsi="宋体"/>
              </w:rPr>
            </w:pP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rPr>
                <w:rFonts w:ascii="宋体" w:hAnsi="宋体"/>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p>
        </w:tc>
        <w:tc>
          <w:tcPr>
            <w:tcW w:w="18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p>
        </w:tc>
        <w:tc>
          <w:tcPr>
            <w:tcW w:w="2340" w:type="dxa"/>
            <w:tcBorders>
              <w:top w:val="single" w:color="auto" w:sz="6" w:space="0"/>
              <w:left w:val="single" w:color="auto" w:sz="6" w:space="0"/>
              <w:bottom w:val="single" w:color="auto" w:sz="6" w:space="0"/>
              <w:right w:val="single" w:color="auto" w:sz="6" w:space="0"/>
            </w:tcBorders>
            <w:vAlign w:val="center"/>
          </w:tcPr>
          <w:p>
            <w:pPr>
              <w:jc w:val="right"/>
              <w:rPr>
                <w:rFonts w:ascii="宋体" w:hAnsi="宋体"/>
              </w:rPr>
            </w:pPr>
          </w:p>
        </w:tc>
        <w:tc>
          <w:tcPr>
            <w:tcW w:w="720" w:type="dxa"/>
            <w:tcBorders>
              <w:top w:val="single" w:color="auto" w:sz="6" w:space="0"/>
              <w:left w:val="single" w:color="auto" w:sz="6" w:space="0"/>
              <w:bottom w:val="single" w:color="auto" w:sz="6" w:space="0"/>
              <w:right w:val="single" w:color="auto" w:sz="4" w:space="0"/>
            </w:tcBorders>
            <w:vAlign w:val="center"/>
          </w:tcPr>
          <w:p>
            <w:pPr>
              <w:jc w:val="right"/>
              <w:rPr>
                <w:rFonts w:ascii="宋体" w:hAnsi="宋体"/>
              </w:rPr>
            </w:pPr>
          </w:p>
        </w:tc>
        <w:tc>
          <w:tcPr>
            <w:tcW w:w="720" w:type="dxa"/>
            <w:gridSpan w:val="2"/>
            <w:tcBorders>
              <w:top w:val="single" w:color="auto" w:sz="6" w:space="0"/>
              <w:left w:val="single" w:color="auto" w:sz="4" w:space="0"/>
              <w:bottom w:val="single" w:color="auto" w:sz="6" w:space="0"/>
              <w:right w:val="single" w:color="auto" w:sz="4" w:space="0"/>
            </w:tcBorders>
            <w:vAlign w:val="center"/>
          </w:tcPr>
          <w:p>
            <w:pPr>
              <w:jc w:val="right"/>
              <w:rPr>
                <w:rFonts w:ascii="宋体" w:hAnsi="宋体"/>
              </w:rPr>
            </w:pPr>
          </w:p>
        </w:tc>
        <w:tc>
          <w:tcPr>
            <w:tcW w:w="720" w:type="dxa"/>
            <w:tcBorders>
              <w:top w:val="single" w:color="auto" w:sz="6" w:space="0"/>
              <w:left w:val="single" w:color="auto" w:sz="4" w:space="0"/>
              <w:bottom w:val="single" w:color="auto" w:sz="6" w:space="0"/>
              <w:right w:val="single" w:color="auto" w:sz="6" w:space="0"/>
            </w:tcBorders>
            <w:vAlign w:val="center"/>
          </w:tcPr>
          <w:p>
            <w:pPr>
              <w:jc w:val="right"/>
              <w:rPr>
                <w:rFonts w:ascii="宋体" w:hAnsi="宋体"/>
              </w:rPr>
            </w:pP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产品金额合计</w:t>
            </w:r>
          </w:p>
        </w:tc>
        <w:tc>
          <w:tcPr>
            <w:tcW w:w="6300" w:type="dxa"/>
            <w:gridSpan w:val="6"/>
            <w:tcBorders>
              <w:top w:val="single" w:color="auto" w:sz="6" w:space="0"/>
              <w:left w:val="single" w:color="auto" w:sz="6" w:space="0"/>
              <w:bottom w:val="single" w:color="auto" w:sz="6" w:space="0"/>
              <w:right w:val="single" w:color="auto" w:sz="6" w:space="0"/>
            </w:tcBorders>
            <w:vAlign w:val="center"/>
          </w:tcPr>
          <w:p>
            <w:pPr>
              <w:rPr>
                <w:rFonts w:ascii="宋体" w:hAnsi="宋体"/>
              </w:rPr>
            </w:pPr>
            <w:r>
              <w:rPr>
                <w:rFonts w:hint="eastAsia" w:ascii="宋体" w:hAnsi="宋体"/>
              </w:rPr>
              <w:t>（大写）                                     （小写）</w:t>
            </w:r>
          </w:p>
        </w:tc>
      </w:tr>
      <w:tr>
        <w:tblPrEx>
          <w:tblCellMar>
            <w:top w:w="0" w:type="dxa"/>
            <w:left w:w="42" w:type="dxa"/>
            <w:bottom w:w="0" w:type="dxa"/>
            <w:right w:w="42" w:type="dxa"/>
          </w:tblCellMar>
        </w:tblPrEx>
        <w:trPr>
          <w:cantSplit/>
          <w:trHeight w:val="697" w:hRule="atLeast"/>
        </w:trPr>
        <w:tc>
          <w:tcPr>
            <w:tcW w:w="8502" w:type="dxa"/>
            <w:gridSpan w:val="8"/>
            <w:tcBorders>
              <w:top w:val="single" w:color="auto" w:sz="6" w:space="0"/>
              <w:left w:val="single" w:color="auto" w:sz="6" w:space="0"/>
              <w:bottom w:val="single" w:color="auto" w:sz="6" w:space="0"/>
              <w:right w:val="single" w:color="auto" w:sz="6" w:space="0"/>
            </w:tcBorders>
            <w:vAlign w:val="center"/>
          </w:tcPr>
          <w:p>
            <w:pPr>
              <w:pStyle w:val="78"/>
              <w:keepNext w:val="0"/>
              <w:adjustRightInd/>
              <w:spacing w:beforeLines="50" w:afterLines="50" w:line="240" w:lineRule="auto"/>
              <w:rPr>
                <w:rFonts w:ascii="宋体" w:hAnsi="宋体"/>
                <w:spacing w:val="0"/>
                <w:kern w:val="2"/>
                <w:sz w:val="21"/>
              </w:rPr>
            </w:pPr>
            <w:r>
              <w:rPr>
                <w:rFonts w:hint="eastAsia" w:ascii="宋体" w:hAnsi="宋体"/>
                <w:spacing w:val="0"/>
                <w:kern w:val="2"/>
                <w:sz w:val="21"/>
              </w:rPr>
              <w:t>其它部分</w:t>
            </w:r>
          </w:p>
        </w:tc>
      </w:tr>
      <w:tr>
        <w:tblPrEx>
          <w:tblCellMar>
            <w:top w:w="0" w:type="dxa"/>
            <w:left w:w="42" w:type="dxa"/>
            <w:bottom w:w="0" w:type="dxa"/>
            <w:right w:w="42" w:type="dxa"/>
          </w:tblCellMar>
        </w:tblPrEx>
        <w:trPr>
          <w:cantSplit/>
          <w:trHeight w:val="348"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编号</w:t>
            </w: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项目名称</w:t>
            </w:r>
          </w:p>
        </w:tc>
        <w:tc>
          <w:tcPr>
            <w:tcW w:w="5220"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hAnsi="宋体"/>
              </w:rPr>
            </w:pPr>
            <w:r>
              <w:rPr>
                <w:rFonts w:hint="eastAsia" w:ascii="宋体" w:hAnsi="宋体"/>
              </w:rPr>
              <w:t>项目说明</w:t>
            </w:r>
          </w:p>
        </w:tc>
        <w:tc>
          <w:tcPr>
            <w:tcW w:w="1080"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hAnsi="宋体"/>
              </w:rPr>
            </w:pPr>
            <w:r>
              <w:rPr>
                <w:rFonts w:hint="eastAsia" w:ascii="宋体" w:hAnsi="宋体"/>
              </w:rPr>
              <w:t>金额</w:t>
            </w: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工程费</w:t>
            </w:r>
          </w:p>
        </w:tc>
        <w:tc>
          <w:tcPr>
            <w:tcW w:w="5220"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hAnsi="宋体"/>
              </w:rPr>
            </w:pPr>
          </w:p>
        </w:tc>
        <w:tc>
          <w:tcPr>
            <w:tcW w:w="1080"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hAnsi="宋体"/>
              </w:rPr>
            </w:pPr>
          </w:p>
        </w:tc>
      </w:tr>
      <w:tr>
        <w:tblPrEx>
          <w:tblCellMar>
            <w:top w:w="0" w:type="dxa"/>
            <w:left w:w="42" w:type="dxa"/>
            <w:bottom w:w="0" w:type="dxa"/>
            <w:right w:w="42" w:type="dxa"/>
          </w:tblCellMar>
        </w:tblPrEx>
        <w:trPr>
          <w:cantSplit/>
          <w:trHeight w:val="340" w:hRule="atLeast"/>
        </w:trPr>
        <w:tc>
          <w:tcPr>
            <w:tcW w:w="58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p>
        </w:tc>
        <w:tc>
          <w:tcPr>
            <w:tcW w:w="16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验收费</w:t>
            </w:r>
          </w:p>
        </w:tc>
        <w:tc>
          <w:tcPr>
            <w:tcW w:w="5220"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hAnsi="宋体"/>
              </w:rPr>
            </w:pPr>
          </w:p>
        </w:tc>
        <w:tc>
          <w:tcPr>
            <w:tcW w:w="1080"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hAnsi="宋体"/>
              </w:rPr>
            </w:pPr>
          </w:p>
        </w:tc>
      </w:tr>
      <w:tr>
        <w:tblPrEx>
          <w:tblCellMar>
            <w:top w:w="0" w:type="dxa"/>
            <w:left w:w="42" w:type="dxa"/>
            <w:bottom w:w="0" w:type="dxa"/>
            <w:right w:w="42" w:type="dxa"/>
          </w:tblCellMar>
        </w:tblPrEx>
        <w:trPr>
          <w:cantSplit/>
          <w:trHeight w:val="400" w:hRule="atLeast"/>
        </w:trPr>
        <w:tc>
          <w:tcPr>
            <w:tcW w:w="582" w:type="dxa"/>
            <w:tcBorders>
              <w:top w:val="single" w:color="auto" w:sz="6" w:space="0"/>
              <w:left w:val="single" w:color="auto" w:sz="6" w:space="0"/>
              <w:bottom w:val="single" w:color="auto" w:sz="4" w:space="0"/>
              <w:right w:val="single" w:color="auto" w:sz="6" w:space="0"/>
            </w:tcBorders>
            <w:vAlign w:val="center"/>
          </w:tcPr>
          <w:p>
            <w:pPr>
              <w:jc w:val="center"/>
              <w:rPr>
                <w:rFonts w:ascii="宋体" w:hAnsi="宋体"/>
              </w:rPr>
            </w:pPr>
          </w:p>
        </w:tc>
        <w:tc>
          <w:tcPr>
            <w:tcW w:w="1620" w:type="dxa"/>
            <w:tcBorders>
              <w:top w:val="single" w:color="auto" w:sz="6" w:space="0"/>
              <w:left w:val="single" w:color="auto" w:sz="6" w:space="0"/>
              <w:bottom w:val="single" w:color="auto" w:sz="4" w:space="0"/>
              <w:right w:val="single" w:color="auto" w:sz="6" w:space="0"/>
            </w:tcBorders>
            <w:vAlign w:val="center"/>
          </w:tcPr>
          <w:p>
            <w:pPr>
              <w:jc w:val="center"/>
              <w:rPr>
                <w:rFonts w:ascii="宋体" w:hAnsi="宋体"/>
              </w:rPr>
            </w:pPr>
            <w:r>
              <w:rPr>
                <w:rFonts w:hint="eastAsia" w:ascii="宋体" w:hAnsi="宋体"/>
              </w:rPr>
              <w:t>其他</w:t>
            </w:r>
          </w:p>
        </w:tc>
        <w:tc>
          <w:tcPr>
            <w:tcW w:w="5220" w:type="dxa"/>
            <w:gridSpan w:val="4"/>
            <w:tcBorders>
              <w:top w:val="single" w:color="auto" w:sz="6" w:space="0"/>
              <w:left w:val="single" w:color="auto" w:sz="6" w:space="0"/>
              <w:bottom w:val="single" w:color="auto" w:sz="4" w:space="0"/>
              <w:right w:val="single" w:color="auto" w:sz="4" w:space="0"/>
            </w:tcBorders>
            <w:vAlign w:val="center"/>
          </w:tcPr>
          <w:p>
            <w:pPr>
              <w:jc w:val="center"/>
              <w:rPr>
                <w:rFonts w:ascii="宋体" w:hAnsi="宋体"/>
              </w:rPr>
            </w:pPr>
          </w:p>
        </w:tc>
        <w:tc>
          <w:tcPr>
            <w:tcW w:w="1080" w:type="dxa"/>
            <w:gridSpan w:val="2"/>
            <w:tcBorders>
              <w:top w:val="single" w:color="auto" w:sz="6" w:space="0"/>
              <w:left w:val="single" w:color="auto" w:sz="4" w:space="0"/>
              <w:bottom w:val="single" w:color="auto" w:sz="4" w:space="0"/>
              <w:right w:val="single" w:color="auto" w:sz="6" w:space="0"/>
            </w:tcBorders>
            <w:vAlign w:val="center"/>
          </w:tcPr>
          <w:p>
            <w:pPr>
              <w:jc w:val="center"/>
              <w:rPr>
                <w:rFonts w:ascii="宋体" w:hAnsi="宋体"/>
              </w:rPr>
            </w:pPr>
          </w:p>
        </w:tc>
      </w:tr>
      <w:tr>
        <w:tblPrEx>
          <w:tblCellMar>
            <w:top w:w="0" w:type="dxa"/>
            <w:left w:w="42" w:type="dxa"/>
            <w:bottom w:w="0" w:type="dxa"/>
            <w:right w:w="42" w:type="dxa"/>
          </w:tblCellMar>
        </w:tblPrEx>
        <w:trPr>
          <w:cantSplit/>
          <w:trHeight w:val="478" w:hRule="atLeast"/>
        </w:trPr>
        <w:tc>
          <w:tcPr>
            <w:tcW w:w="582"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rPr>
            </w:pPr>
          </w:p>
        </w:tc>
        <w:tc>
          <w:tcPr>
            <w:tcW w:w="1620"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合计</w:t>
            </w:r>
          </w:p>
        </w:tc>
        <w:tc>
          <w:tcPr>
            <w:tcW w:w="6300" w:type="dxa"/>
            <w:gridSpan w:val="6"/>
            <w:tcBorders>
              <w:top w:val="single" w:color="auto" w:sz="4" w:space="0"/>
              <w:left w:val="single" w:color="auto" w:sz="6" w:space="0"/>
              <w:bottom w:val="single" w:color="auto" w:sz="6" w:space="0"/>
              <w:right w:val="single" w:color="auto" w:sz="6" w:space="0"/>
            </w:tcBorders>
            <w:vAlign w:val="center"/>
          </w:tcPr>
          <w:p>
            <w:pPr>
              <w:rPr>
                <w:rFonts w:ascii="宋体" w:hAnsi="宋体"/>
              </w:rPr>
            </w:pPr>
            <w:r>
              <w:rPr>
                <w:rFonts w:hint="eastAsia" w:ascii="宋体" w:hAnsi="宋体"/>
              </w:rPr>
              <w:t>（大写）                                     （小写）</w:t>
            </w:r>
          </w:p>
        </w:tc>
      </w:tr>
      <w:tr>
        <w:tblPrEx>
          <w:tblCellMar>
            <w:top w:w="0" w:type="dxa"/>
            <w:left w:w="42" w:type="dxa"/>
            <w:bottom w:w="0" w:type="dxa"/>
            <w:right w:w="42" w:type="dxa"/>
          </w:tblCellMar>
        </w:tblPrEx>
        <w:trPr>
          <w:cantSplit/>
          <w:trHeight w:val="508" w:hRule="atLeast"/>
        </w:trPr>
        <w:tc>
          <w:tcPr>
            <w:tcW w:w="220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投标总金额</w:t>
            </w:r>
          </w:p>
        </w:tc>
        <w:tc>
          <w:tcPr>
            <w:tcW w:w="6300" w:type="dxa"/>
            <w:gridSpan w:val="6"/>
            <w:tcBorders>
              <w:top w:val="single" w:color="auto" w:sz="6" w:space="0"/>
              <w:left w:val="single" w:color="auto" w:sz="6" w:space="0"/>
              <w:bottom w:val="single" w:color="auto" w:sz="6" w:space="0"/>
              <w:right w:val="single" w:color="auto" w:sz="6" w:space="0"/>
            </w:tcBorders>
            <w:vAlign w:val="center"/>
          </w:tcPr>
          <w:p>
            <w:pPr>
              <w:rPr>
                <w:rFonts w:ascii="宋体" w:hAnsi="宋体"/>
              </w:rPr>
            </w:pPr>
            <w:r>
              <w:rPr>
                <w:rFonts w:hint="eastAsia" w:ascii="宋体" w:hAnsi="宋体"/>
              </w:rPr>
              <w:t>（大写）                                     （小写）</w:t>
            </w:r>
          </w:p>
        </w:tc>
      </w:tr>
    </w:tbl>
    <w:p>
      <w:pPr>
        <w:spacing w:beforeLines="50" w:line="360" w:lineRule="auto"/>
        <w:rPr>
          <w:rFonts w:ascii="宋体" w:hAnsi="宋体"/>
        </w:rPr>
      </w:pPr>
    </w:p>
    <w:p>
      <w:pPr>
        <w:spacing w:beforeLines="50" w:line="312" w:lineRule="auto"/>
        <w:rPr>
          <w:rFonts w:ascii="宋体" w:hAnsi="宋体"/>
        </w:rPr>
      </w:pPr>
      <w:r>
        <w:rPr>
          <w:rFonts w:hint="eastAsia" w:ascii="宋体" w:hAnsi="宋体"/>
        </w:rPr>
        <w:t>二、设备的交货时间、地点和运费：</w:t>
      </w:r>
    </w:p>
    <w:p>
      <w:pPr>
        <w:spacing w:line="312" w:lineRule="auto"/>
        <w:ind w:firstLine="420"/>
        <w:rPr>
          <w:rFonts w:ascii="宋体" w:hAnsi="宋体"/>
        </w:rPr>
      </w:pPr>
      <w:r>
        <w:rPr>
          <w:rFonts w:hint="eastAsia" w:ascii="宋体" w:hAnsi="宋体"/>
        </w:rPr>
        <w:t>1、合同签订之后   个月以内到货，并安装完成。</w:t>
      </w:r>
    </w:p>
    <w:p>
      <w:pPr>
        <w:spacing w:line="312" w:lineRule="auto"/>
        <w:ind w:firstLine="420"/>
        <w:rPr>
          <w:rFonts w:ascii="宋体" w:hAnsi="宋体"/>
          <w:bCs/>
        </w:rPr>
      </w:pPr>
      <w:r>
        <w:rPr>
          <w:rFonts w:hint="eastAsia" w:ascii="宋体" w:hAnsi="宋体"/>
          <w:bCs/>
        </w:rPr>
        <w:t>2、交货地点为：</w:t>
      </w:r>
    </w:p>
    <w:p>
      <w:pPr>
        <w:spacing w:line="312" w:lineRule="auto"/>
        <w:ind w:firstLine="420"/>
        <w:rPr>
          <w:rFonts w:ascii="宋体"/>
          <w:bCs/>
        </w:rPr>
      </w:pPr>
      <w:r>
        <w:rPr>
          <w:rFonts w:ascii="宋体" w:hAnsi="宋体"/>
          <w:bCs/>
        </w:rPr>
        <w:t>3</w:t>
      </w:r>
      <w:r>
        <w:rPr>
          <w:rFonts w:hint="eastAsia" w:ascii="宋体" w:hAnsi="宋体"/>
          <w:bCs/>
        </w:rPr>
        <w:t>、产品运送产生的费用由乙方负责。</w:t>
      </w:r>
    </w:p>
    <w:p>
      <w:pPr>
        <w:spacing w:line="312" w:lineRule="auto"/>
        <w:rPr>
          <w:rFonts w:ascii="宋体"/>
        </w:rPr>
      </w:pPr>
      <w:r>
        <w:rPr>
          <w:rFonts w:hint="eastAsia" w:ascii="宋体" w:hAnsi="宋体"/>
        </w:rPr>
        <w:t>三、产品质量要求：</w:t>
      </w:r>
    </w:p>
    <w:p>
      <w:pPr>
        <w:spacing w:line="312" w:lineRule="auto"/>
        <w:ind w:firstLine="420" w:firstLineChars="200"/>
        <w:rPr>
          <w:rFonts w:ascii="宋体"/>
        </w:rPr>
      </w:pPr>
      <w:r>
        <w:rPr>
          <w:rFonts w:hint="eastAsia" w:ascii="宋体" w:hAnsi="宋体"/>
        </w:rPr>
        <w:t>乙方提供的产品必须是满足合同配置的全新产品。国产产品必须符合国家有关质量标准；进口产品必须符合产品的原厂标准及有关的国际标准。</w:t>
      </w:r>
    </w:p>
    <w:p>
      <w:pPr>
        <w:spacing w:line="312" w:lineRule="auto"/>
        <w:rPr>
          <w:rFonts w:ascii="宋体"/>
        </w:rPr>
      </w:pPr>
      <w:r>
        <w:rPr>
          <w:rFonts w:hint="eastAsia" w:ascii="宋体" w:hAnsi="宋体"/>
        </w:rPr>
        <w:t>四、产品验收：</w:t>
      </w:r>
    </w:p>
    <w:p>
      <w:pPr>
        <w:spacing w:line="312" w:lineRule="auto"/>
        <w:ind w:firstLine="420"/>
        <w:rPr>
          <w:rFonts w:ascii="宋体"/>
        </w:rPr>
      </w:pPr>
      <w:r>
        <w:rPr>
          <w:rFonts w:ascii="宋体" w:hAnsi="宋体"/>
        </w:rPr>
        <w:t>1</w:t>
      </w:r>
      <w:r>
        <w:rPr>
          <w:rFonts w:hint="eastAsia" w:ascii="宋体" w:hAnsi="宋体"/>
        </w:rPr>
        <w:t>、乙方完成全部项目的安装调试并通过自验和试运行测试后，由甲方组织项目的验收。</w:t>
      </w:r>
    </w:p>
    <w:p>
      <w:pPr>
        <w:spacing w:line="312" w:lineRule="auto"/>
        <w:ind w:firstLine="420"/>
        <w:rPr>
          <w:rFonts w:ascii="宋体"/>
        </w:rPr>
      </w:pPr>
      <w:r>
        <w:rPr>
          <w:rFonts w:ascii="宋体" w:hAnsi="宋体"/>
        </w:rPr>
        <w:t>2</w:t>
      </w:r>
      <w:r>
        <w:rPr>
          <w:rFonts w:hint="eastAsia" w:ascii="宋体" w:hAnsi="宋体"/>
        </w:rPr>
        <w:t>、乙方完成产品交付，在自验、试运行正常后，书面通知甲方；甲方在接到书面通知后，经三个月试运行，出具并签署验收报告。设备的验收标准参照设备的原厂标准。</w:t>
      </w:r>
    </w:p>
    <w:p>
      <w:pPr>
        <w:pStyle w:val="32"/>
        <w:spacing w:line="312" w:lineRule="auto"/>
        <w:ind w:firstLine="0" w:firstLineChars="0"/>
      </w:pPr>
      <w:r>
        <w:rPr>
          <w:rFonts w:hint="eastAsia"/>
        </w:rPr>
        <w:t>五、付款方式：</w:t>
      </w:r>
    </w:p>
    <w:p>
      <w:pPr>
        <w:spacing w:before="25" w:line="312" w:lineRule="auto"/>
        <w:ind w:left="464" w:leftChars="171" w:hanging="105" w:hangingChars="50"/>
        <w:rPr>
          <w:rFonts w:ascii="宋体"/>
          <w:b/>
        </w:rPr>
      </w:pPr>
      <w:r>
        <w:rPr>
          <w:rFonts w:hint="eastAsia" w:ascii="宋体" w:hAnsi="宋体"/>
        </w:rPr>
        <w:t>（见招标文件）</w:t>
      </w:r>
    </w:p>
    <w:p>
      <w:pPr>
        <w:spacing w:before="25" w:line="312" w:lineRule="auto"/>
        <w:ind w:left="420"/>
        <w:rPr>
          <w:rFonts w:ascii="宋体"/>
        </w:rPr>
      </w:pPr>
      <w:r>
        <w:rPr>
          <w:rFonts w:hint="eastAsia" w:ascii="宋体" w:hAnsi="宋体"/>
        </w:rPr>
        <w:t>本合同以人民币进行结算。</w:t>
      </w:r>
    </w:p>
    <w:p>
      <w:pPr>
        <w:spacing w:line="312" w:lineRule="auto"/>
        <w:rPr>
          <w:rFonts w:ascii="宋体"/>
        </w:rPr>
      </w:pPr>
      <w:r>
        <w:rPr>
          <w:rFonts w:hint="eastAsia" w:ascii="宋体" w:hAnsi="宋体"/>
        </w:rPr>
        <w:t>六、售后服务：</w:t>
      </w:r>
    </w:p>
    <w:p>
      <w:pPr>
        <w:spacing w:line="312" w:lineRule="auto"/>
        <w:ind w:firstLine="420" w:firstLineChars="200"/>
        <w:rPr>
          <w:rFonts w:ascii="宋体"/>
        </w:rPr>
      </w:pPr>
      <w:r>
        <w:rPr>
          <w:rFonts w:hint="eastAsia" w:ascii="宋体" w:hAnsi="宋体"/>
        </w:rPr>
        <w:t>（见招标文件）</w:t>
      </w:r>
    </w:p>
    <w:p>
      <w:pPr>
        <w:spacing w:line="312" w:lineRule="auto"/>
        <w:rPr>
          <w:rFonts w:ascii="宋体"/>
        </w:rPr>
      </w:pPr>
      <w:r>
        <w:rPr>
          <w:rFonts w:hint="eastAsia" w:ascii="宋体" w:hAnsi="宋体"/>
        </w:rPr>
        <w:t>七、违约责任：</w:t>
      </w:r>
    </w:p>
    <w:p>
      <w:pPr>
        <w:spacing w:line="312" w:lineRule="auto"/>
        <w:ind w:left="794" w:leftChars="228" w:hanging="315" w:hangingChars="150"/>
        <w:rPr>
          <w:rFonts w:ascii="宋体"/>
        </w:rPr>
      </w:pPr>
      <w:r>
        <w:rPr>
          <w:rFonts w:ascii="宋体" w:hAnsi="宋体"/>
        </w:rPr>
        <w:t>1</w:t>
      </w:r>
      <w:r>
        <w:rPr>
          <w:rFonts w:hint="eastAsia" w:ascii="宋体" w:hAnsi="宋体"/>
        </w:rPr>
        <w:t>、乙方所交的产品品种、型号、规格、质量不符合同规定标准的，甲方有权拒绝收货。</w:t>
      </w:r>
    </w:p>
    <w:p>
      <w:pPr>
        <w:spacing w:line="312" w:lineRule="auto"/>
        <w:ind w:left="630" w:hanging="630" w:hangingChars="300"/>
        <w:rPr>
          <w:rFonts w:ascii="宋体"/>
        </w:rPr>
      </w:pPr>
      <w:r>
        <w:rPr>
          <w:rFonts w:ascii="宋体" w:hAnsi="宋体"/>
        </w:rPr>
        <w:t xml:space="preserve">    2</w:t>
      </w:r>
      <w:r>
        <w:rPr>
          <w:rFonts w:hint="eastAsia" w:ascii="宋体" w:hAnsi="宋体"/>
        </w:rPr>
        <w:t>、乙方若不能交付产品，甲方有权选择取消合同并向乙方索赔产品总值百分之十的违约金。</w:t>
      </w:r>
    </w:p>
    <w:p>
      <w:pPr>
        <w:spacing w:line="312" w:lineRule="auto"/>
        <w:ind w:left="630" w:leftChars="200" w:hanging="210" w:hangingChars="100"/>
        <w:rPr>
          <w:rFonts w:ascii="宋体"/>
        </w:rPr>
      </w:pPr>
      <w:r>
        <w:rPr>
          <w:rFonts w:ascii="宋体" w:hAnsi="宋体"/>
        </w:rPr>
        <w:t>3</w:t>
      </w:r>
      <w:r>
        <w:rPr>
          <w:rFonts w:hint="eastAsia" w:ascii="宋体" w:hAnsi="宋体"/>
        </w:rPr>
        <w:t>、乙方逾期交付产品，甲方有权向乙方索赔违约金，以每日支付未交产品款的千分之五计算。</w:t>
      </w:r>
    </w:p>
    <w:p>
      <w:pPr>
        <w:spacing w:line="312" w:lineRule="auto"/>
        <w:ind w:left="689" w:leftChars="228" w:hanging="210" w:hangingChars="100"/>
        <w:rPr>
          <w:rFonts w:ascii="宋体"/>
        </w:rPr>
      </w:pPr>
      <w:r>
        <w:rPr>
          <w:rFonts w:ascii="宋体" w:hAnsi="宋体"/>
        </w:rPr>
        <w:t>4</w:t>
      </w:r>
      <w:r>
        <w:rPr>
          <w:rFonts w:hint="eastAsia" w:ascii="宋体" w:hAnsi="宋体"/>
        </w:rPr>
        <w:t>、乙方在一年内的不良服务率（指产品发生故障，没有合理的理由而未能在合同规定的时限内及时妥善处理，产生用户有效投诉。）大于百分之三（以单台设备产品为单位），则甲方有权不再支付乙方百分之五的合同余款。</w:t>
      </w:r>
    </w:p>
    <w:p>
      <w:pPr>
        <w:spacing w:line="312" w:lineRule="auto"/>
        <w:ind w:left="689" w:leftChars="228" w:hanging="210" w:hangingChars="100"/>
        <w:rPr>
          <w:rFonts w:ascii="宋体"/>
        </w:rPr>
      </w:pPr>
      <w:r>
        <w:rPr>
          <w:rFonts w:ascii="宋体" w:hAnsi="宋体"/>
        </w:rPr>
        <w:t>5</w:t>
      </w:r>
      <w:r>
        <w:rPr>
          <w:rFonts w:hint="eastAsia" w:ascii="宋体" w:hAnsi="宋体"/>
        </w:rPr>
        <w:t>、甲方无正当理由拒收产品，乙方有向权甲方索赔合同总额（不含验收费）百分之三十的违约金。</w:t>
      </w:r>
    </w:p>
    <w:p>
      <w:pPr>
        <w:spacing w:line="312" w:lineRule="auto"/>
        <w:ind w:left="735" w:hanging="735" w:hangingChars="350"/>
        <w:rPr>
          <w:rFonts w:ascii="宋体"/>
        </w:rPr>
      </w:pPr>
      <w:r>
        <w:rPr>
          <w:rFonts w:ascii="宋体" w:hAnsi="宋体"/>
        </w:rPr>
        <w:t xml:space="preserve">    6</w:t>
      </w:r>
      <w:r>
        <w:rPr>
          <w:rFonts w:hint="eastAsia" w:ascii="宋体" w:hAnsi="宋体"/>
        </w:rPr>
        <w:t>、甲方无正当理由拖欠产品款，乙方有权终止合同，随时收回全部产品并向甲方索赔合同总额（不含验收费）百分之三十的违约金。</w:t>
      </w:r>
    </w:p>
    <w:p>
      <w:pPr>
        <w:spacing w:line="312" w:lineRule="auto"/>
        <w:rPr>
          <w:rFonts w:ascii="宋体"/>
        </w:rPr>
      </w:pPr>
      <w:r>
        <w:rPr>
          <w:rFonts w:hint="eastAsia" w:ascii="宋体" w:hAnsi="宋体"/>
        </w:rPr>
        <w:t>八、合同争议的仲裁：</w:t>
      </w:r>
    </w:p>
    <w:p>
      <w:pPr>
        <w:spacing w:line="312" w:lineRule="auto"/>
        <w:ind w:left="689" w:leftChars="228" w:hanging="210" w:hangingChars="100"/>
        <w:rPr>
          <w:rFonts w:ascii="宋体"/>
        </w:rPr>
      </w:pPr>
      <w:r>
        <w:rPr>
          <w:rFonts w:ascii="宋体" w:hAnsi="宋体"/>
        </w:rPr>
        <w:t>1</w:t>
      </w:r>
      <w:r>
        <w:rPr>
          <w:rFonts w:hint="eastAsia" w:ascii="宋体" w:hAnsi="宋体"/>
        </w:rPr>
        <w:t>、因设备质量问题发生争议，由指定的技术单位进行质量鉴定，该鉴定结论是终局的，供需双方应当接受。</w:t>
      </w:r>
    </w:p>
    <w:p>
      <w:pPr>
        <w:spacing w:line="312" w:lineRule="auto"/>
        <w:rPr>
          <w:rFonts w:ascii="宋体"/>
        </w:rPr>
      </w:pPr>
      <w:r>
        <w:rPr>
          <w:rFonts w:hint="eastAsia" w:ascii="宋体" w:hAnsi="宋体"/>
        </w:rPr>
        <w:t>九、本合同未尽事宜，由甲、乙双方协商解决。</w:t>
      </w:r>
    </w:p>
    <w:p>
      <w:pPr>
        <w:spacing w:line="312" w:lineRule="auto"/>
        <w:ind w:left="420" w:hanging="420" w:hangingChars="200"/>
        <w:rPr>
          <w:rFonts w:ascii="宋体"/>
        </w:rPr>
      </w:pPr>
      <w:r>
        <w:rPr>
          <w:rFonts w:hint="eastAsia" w:ascii="宋体" w:hAnsi="宋体"/>
        </w:rPr>
        <w:t>十、本合同壹式肆份，甲、乙双方、财政部门及代理机构各执壹份，具有同等的法律效力。</w:t>
      </w:r>
    </w:p>
    <w:p>
      <w:pPr>
        <w:spacing w:line="312" w:lineRule="auto"/>
        <w:ind w:firstLine="420" w:firstLineChars="200"/>
        <w:rPr>
          <w:rFonts w:ascii="宋体"/>
        </w:rPr>
      </w:pPr>
      <w:r>
        <w:rPr>
          <w:rFonts w:hint="eastAsia" w:ascii="宋体" w:hAnsi="宋体"/>
        </w:rPr>
        <w:t>甲方：                    乙方：</w:t>
      </w:r>
    </w:p>
    <w:p>
      <w:pPr>
        <w:spacing w:line="312" w:lineRule="auto"/>
        <w:ind w:firstLine="420" w:firstLineChars="200"/>
        <w:rPr>
          <w:rFonts w:ascii="宋体"/>
        </w:rPr>
      </w:pPr>
      <w:r>
        <w:rPr>
          <w:rFonts w:hint="eastAsia" w:ascii="宋体" w:hAnsi="宋体"/>
        </w:rPr>
        <w:t>地址：                    地址：</w:t>
      </w:r>
    </w:p>
    <w:p>
      <w:pPr>
        <w:spacing w:line="312" w:lineRule="auto"/>
        <w:ind w:firstLine="420" w:firstLineChars="200"/>
        <w:rPr>
          <w:rFonts w:ascii="宋体"/>
        </w:rPr>
      </w:pPr>
      <w:r>
        <w:rPr>
          <w:rFonts w:hint="eastAsia" w:ascii="宋体" w:hAnsi="宋体"/>
        </w:rPr>
        <w:t>法人代表：                法人代表：</w:t>
      </w:r>
    </w:p>
    <w:p>
      <w:pPr>
        <w:spacing w:line="312" w:lineRule="auto"/>
        <w:ind w:firstLine="420" w:firstLineChars="200"/>
        <w:rPr>
          <w:rFonts w:ascii="宋体"/>
        </w:rPr>
      </w:pPr>
      <w:r>
        <w:rPr>
          <w:rFonts w:hint="eastAsia" w:ascii="宋体" w:hAnsi="宋体"/>
        </w:rPr>
        <w:t>电话：                    电话：</w:t>
      </w:r>
    </w:p>
    <w:p>
      <w:pPr>
        <w:spacing w:line="312" w:lineRule="auto"/>
        <w:ind w:firstLine="420" w:firstLineChars="200"/>
        <w:rPr>
          <w:rFonts w:ascii="宋体"/>
        </w:rPr>
      </w:pPr>
      <w:r>
        <w:rPr>
          <w:rFonts w:hint="eastAsia" w:ascii="宋体" w:hAnsi="宋体"/>
        </w:rPr>
        <w:t>电传：                    电传：</w:t>
      </w:r>
    </w:p>
    <w:p>
      <w:pPr>
        <w:spacing w:line="312" w:lineRule="auto"/>
        <w:ind w:firstLine="420" w:firstLineChars="200"/>
        <w:rPr>
          <w:rFonts w:ascii="宋体"/>
        </w:rPr>
      </w:pPr>
      <w:r>
        <w:rPr>
          <w:rFonts w:hint="eastAsia" w:ascii="宋体" w:hAnsi="宋体"/>
        </w:rPr>
        <w:t>邮政编码：                邮政编码：</w:t>
      </w:r>
    </w:p>
    <w:p>
      <w:pPr>
        <w:spacing w:line="312" w:lineRule="auto"/>
        <w:ind w:firstLine="420" w:firstLineChars="200"/>
        <w:rPr>
          <w:rFonts w:ascii="宋体"/>
        </w:rPr>
      </w:pPr>
      <w:r>
        <w:rPr>
          <w:rFonts w:hint="eastAsia" w:ascii="宋体" w:hAnsi="宋体"/>
        </w:rPr>
        <w:t>开户银行：                开户银行：</w:t>
      </w:r>
    </w:p>
    <w:p>
      <w:pPr>
        <w:spacing w:line="312" w:lineRule="auto"/>
        <w:ind w:firstLine="420" w:firstLineChars="200"/>
        <w:rPr>
          <w:rFonts w:ascii="宋体"/>
        </w:rPr>
      </w:pPr>
      <w:r>
        <w:rPr>
          <w:rFonts w:hint="eastAsia"/>
        </w:rPr>
        <w:t>帐号：                     帐号：</w:t>
      </w:r>
    </w:p>
    <w:p>
      <w:pPr>
        <w:spacing w:line="312" w:lineRule="auto"/>
        <w:ind w:firstLine="420" w:firstLineChars="200"/>
        <w:rPr>
          <w:rFonts w:ascii="宋体"/>
        </w:rPr>
      </w:pPr>
      <w:r>
        <w:rPr>
          <w:rFonts w:hint="eastAsia" w:ascii="宋体" w:hAnsi="宋体"/>
        </w:rPr>
        <w:t>日期：                     日期：</w:t>
      </w:r>
    </w:p>
    <w:p>
      <w:pPr>
        <w:snapToGrid w:val="0"/>
        <w:spacing w:line="460" w:lineRule="atLeast"/>
        <w:rPr>
          <w:rFonts w:ascii="宋体" w:hAnsi="宋体"/>
          <w:color w:val="000000"/>
          <w:szCs w:val="21"/>
        </w:rPr>
      </w:pPr>
    </w:p>
    <w:p>
      <w:pPr>
        <w:snapToGrid w:val="0"/>
        <w:spacing w:line="460" w:lineRule="atLeast"/>
        <w:rPr>
          <w:rFonts w:ascii="宋体" w:hAnsi="宋体"/>
          <w:color w:val="000000"/>
          <w:szCs w:val="21"/>
        </w:rPr>
      </w:pPr>
    </w:p>
    <w:p>
      <w:pPr>
        <w:snapToGrid w:val="0"/>
        <w:spacing w:line="460" w:lineRule="atLeast"/>
        <w:rPr>
          <w:rFonts w:ascii="宋体"/>
          <w:color w:val="000000"/>
          <w:szCs w:val="21"/>
        </w:rPr>
      </w:pPr>
      <w:r>
        <w:rPr>
          <w:rFonts w:hint="eastAsia" w:ascii="宋体" w:hAnsi="宋体"/>
          <w:color w:val="000000"/>
          <w:szCs w:val="21"/>
        </w:rPr>
        <w:t>信贷政策</w:t>
      </w:r>
    </w:p>
    <w:p>
      <w:pPr>
        <w:ind w:firstLine="420" w:firstLineChars="200"/>
        <w:rPr>
          <w:rFonts w:ascii="宋体"/>
          <w:color w:val="000000"/>
          <w:szCs w:val="21"/>
        </w:rPr>
      </w:pPr>
      <w:r>
        <w:rPr>
          <w:rFonts w:ascii="宋体" w:hAnsi="宋体"/>
          <w:color w:val="000000"/>
          <w:szCs w:val="21"/>
        </w:rPr>
        <w:t>1</w:t>
      </w:r>
      <w:r>
        <w:rPr>
          <w:rFonts w:hint="eastAsia" w:ascii="宋体" w:hAnsi="宋体"/>
          <w:color w:val="000000"/>
          <w:szCs w:val="21"/>
        </w:rPr>
        <w:t>．</w:t>
      </w:r>
      <w:r>
        <w:rPr>
          <w:rFonts w:hint="eastAsia" w:ascii="宋体" w:hAnsi="宋体" w:cs="仿宋"/>
          <w:color w:val="000000"/>
          <w:szCs w:val="21"/>
        </w:rPr>
        <w:t>为有效破解当前中小微企业面临的“融资难、融资贵”困局，充分发挥好政府采购扶持小微企业发展的政策功能，属于舟山市内的各中小企业可凭政府采购项目中标通知书等材料</w:t>
      </w:r>
      <w:r>
        <w:rPr>
          <w:rFonts w:hint="eastAsia" w:ascii="宋体" w:hAnsi="宋体"/>
          <w:color w:val="000000"/>
          <w:szCs w:val="21"/>
        </w:rPr>
        <w:t>向舟山市政府采购信用融资合作银行申请相关融资产品，有关的合作银行详见下表：</w:t>
      </w:r>
    </w:p>
    <w:tbl>
      <w:tblPr>
        <w:tblStyle w:val="3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3547"/>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4"/>
          </w:tcPr>
          <w:p>
            <w:pPr>
              <w:jc w:val="center"/>
              <w:rPr>
                <w:rFonts w:ascii="宋体"/>
                <w:color w:val="000000"/>
                <w:szCs w:val="21"/>
              </w:rPr>
            </w:pPr>
            <w:r>
              <w:rPr>
                <w:rFonts w:hint="eastAsia" w:ascii="宋体" w:hAnsi="宋体"/>
                <w:color w:val="000000"/>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3" w:type="dxa"/>
            <w:vAlign w:val="center"/>
          </w:tcPr>
          <w:p>
            <w:pPr>
              <w:pStyle w:val="142"/>
              <w:spacing w:line="36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银行名称</w:t>
            </w:r>
          </w:p>
        </w:tc>
        <w:tc>
          <w:tcPr>
            <w:tcW w:w="3547" w:type="dxa"/>
            <w:vAlign w:val="center"/>
          </w:tcPr>
          <w:p>
            <w:pPr>
              <w:pStyle w:val="142"/>
              <w:spacing w:line="36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产品特点</w:t>
            </w:r>
          </w:p>
        </w:tc>
        <w:tc>
          <w:tcPr>
            <w:tcW w:w="1559" w:type="dxa"/>
            <w:vAlign w:val="center"/>
          </w:tcPr>
          <w:p>
            <w:pPr>
              <w:pStyle w:val="142"/>
              <w:spacing w:line="36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经办人</w:t>
            </w:r>
          </w:p>
        </w:tc>
        <w:tc>
          <w:tcPr>
            <w:tcW w:w="1418" w:type="dxa"/>
            <w:vAlign w:val="center"/>
          </w:tcPr>
          <w:p>
            <w:pPr>
              <w:jc w:val="center"/>
              <w:rPr>
                <w:rFonts w:ascii="宋体"/>
                <w:color w:val="000000"/>
                <w:szCs w:val="21"/>
              </w:rPr>
            </w:pPr>
            <w:r>
              <w:rPr>
                <w:rFonts w:hint="eastAsia" w:ascii="宋体" w:hAnsi="宋体"/>
                <w:color w:val="000000"/>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142"/>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中国工商银行股份有限公司舟山分行</w:t>
            </w:r>
          </w:p>
        </w:tc>
        <w:tc>
          <w:tcPr>
            <w:tcW w:w="3547" w:type="dxa"/>
          </w:tcPr>
          <w:p>
            <w:pPr>
              <w:rPr>
                <w:rFonts w:ascii="宋体"/>
                <w:color w:val="000000"/>
                <w:szCs w:val="21"/>
              </w:rPr>
            </w:pPr>
            <w:r>
              <w:rPr>
                <w:rFonts w:hint="eastAsia" w:ascii="宋体" w:hAnsi="宋体"/>
                <w:color w:val="000000"/>
                <w:szCs w:val="21"/>
              </w:rPr>
              <w:t>“采购贷”业务是指符合条件的中小企业供应商客户，在其取得政府采购合同后，以合同项下的预期销货款抵押为基础，为其提供的融资业务。融资额度根据政府采购合同实有金额（合同金额减去预收货款）及供应商资金需求确定，融资本息最高可达政府采购合同实有金额的</w:t>
            </w:r>
            <w:r>
              <w:rPr>
                <w:rFonts w:ascii="宋体" w:hAnsi="宋体"/>
                <w:color w:val="000000"/>
                <w:szCs w:val="21"/>
              </w:rPr>
              <w:t>100%</w:t>
            </w:r>
            <w:r>
              <w:rPr>
                <w:rFonts w:hint="eastAsia" w:ascii="宋体" w:hAnsi="宋体"/>
                <w:color w:val="000000"/>
                <w:szCs w:val="21"/>
              </w:rPr>
              <w:t>。</w:t>
            </w:r>
          </w:p>
        </w:tc>
        <w:tc>
          <w:tcPr>
            <w:tcW w:w="1559" w:type="dxa"/>
            <w:vAlign w:val="center"/>
          </w:tcPr>
          <w:p>
            <w:pPr>
              <w:pStyle w:val="142"/>
              <w:spacing w:line="360" w:lineRule="auto"/>
              <w:ind w:firstLine="0" w:firstLineChars="0"/>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柳超颖</w:t>
            </w:r>
          </w:p>
        </w:tc>
        <w:tc>
          <w:tcPr>
            <w:tcW w:w="1418" w:type="dxa"/>
            <w:vAlign w:val="center"/>
          </w:tcPr>
          <w:p>
            <w:pPr>
              <w:jc w:val="center"/>
              <w:rPr>
                <w:rFonts w:ascii="宋体" w:hAnsi="宋体"/>
                <w:color w:val="000000"/>
                <w:szCs w:val="21"/>
              </w:rPr>
            </w:pPr>
            <w:r>
              <w:rPr>
                <w:rFonts w:ascii="宋体" w:hAnsi="宋体"/>
                <w:color w:val="000000"/>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3" w:type="dxa"/>
          </w:tcPr>
          <w:p>
            <w:pPr>
              <w:rPr>
                <w:rFonts w:ascii="宋体"/>
                <w:color w:val="000000"/>
                <w:szCs w:val="21"/>
              </w:rPr>
            </w:pPr>
            <w:r>
              <w:rPr>
                <w:rFonts w:hint="eastAsia" w:ascii="宋体" w:hAnsi="宋体"/>
                <w:color w:val="000000"/>
                <w:szCs w:val="21"/>
              </w:rPr>
              <w:t>中国建设银行股份有限公司舟山分行</w:t>
            </w:r>
          </w:p>
        </w:tc>
        <w:tc>
          <w:tcPr>
            <w:tcW w:w="3547" w:type="dxa"/>
          </w:tcPr>
          <w:p>
            <w:pPr>
              <w:rPr>
                <w:rFonts w:ascii="宋体"/>
                <w:color w:val="000000"/>
                <w:szCs w:val="21"/>
              </w:rPr>
            </w:pPr>
            <w:r>
              <w:rPr>
                <w:rFonts w:ascii="宋体" w:hAnsi="宋体"/>
                <w:color w:val="000000"/>
                <w:szCs w:val="21"/>
              </w:rPr>
              <w:t>1.</w:t>
            </w:r>
            <w:r>
              <w:rPr>
                <w:rFonts w:hint="eastAsia" w:ascii="宋体" w:hAnsi="宋体"/>
                <w:color w:val="000000"/>
                <w:szCs w:val="21"/>
              </w:rPr>
              <w:t>快速便捷：全流程线上操作，通过浙江省政府采购网数据审核信用额度，建行供应链平台快速放款。</w:t>
            </w:r>
            <w:r>
              <w:rPr>
                <w:rFonts w:ascii="宋体" w:hAnsi="宋体"/>
                <w:color w:val="000000"/>
                <w:szCs w:val="21"/>
              </w:rPr>
              <w:t>2.</w:t>
            </w:r>
            <w:r>
              <w:rPr>
                <w:rFonts w:hint="eastAsia" w:ascii="宋体" w:hAnsi="宋体"/>
                <w:color w:val="000000"/>
                <w:szCs w:val="21"/>
              </w:rPr>
              <w:t>申请额度高：单笔融资额度最高可达政府采购合同金额的</w:t>
            </w:r>
            <w:r>
              <w:rPr>
                <w:rFonts w:ascii="宋体" w:hAnsi="宋体"/>
                <w:color w:val="000000"/>
                <w:szCs w:val="21"/>
              </w:rPr>
              <w:t>90%</w:t>
            </w:r>
            <w:r>
              <w:rPr>
                <w:rFonts w:hint="eastAsia" w:ascii="宋体" w:hAnsi="宋体"/>
                <w:color w:val="000000"/>
                <w:szCs w:val="21"/>
              </w:rPr>
              <w:t>，单户额度最高可达</w:t>
            </w:r>
            <w:r>
              <w:rPr>
                <w:rFonts w:ascii="宋体" w:hAnsi="宋体"/>
                <w:color w:val="000000"/>
                <w:szCs w:val="21"/>
              </w:rPr>
              <w:t>3000</w:t>
            </w:r>
            <w:r>
              <w:rPr>
                <w:rFonts w:hint="eastAsia" w:ascii="宋体" w:hAnsi="宋体"/>
                <w:color w:val="000000"/>
                <w:szCs w:val="21"/>
              </w:rPr>
              <w:t>万。</w:t>
            </w:r>
            <w:r>
              <w:rPr>
                <w:rFonts w:ascii="宋体" w:hAnsi="宋体"/>
                <w:color w:val="000000"/>
                <w:szCs w:val="21"/>
              </w:rPr>
              <w:t>3.</w:t>
            </w:r>
            <w:r>
              <w:rPr>
                <w:rFonts w:hint="eastAsia" w:ascii="宋体" w:hAnsi="宋体"/>
                <w:color w:val="000000"/>
                <w:szCs w:val="21"/>
              </w:rPr>
              <w:t>无需额外抵押：以浙江省政府采购网备案公示的政府采购合同进行融资，无需额外抵押担保。</w:t>
            </w:r>
            <w:r>
              <w:rPr>
                <w:rFonts w:ascii="宋体" w:hAnsi="宋体"/>
                <w:color w:val="000000"/>
                <w:szCs w:val="21"/>
              </w:rPr>
              <w:t>4.</w:t>
            </w:r>
            <w:r>
              <w:rPr>
                <w:rFonts w:hint="eastAsia" w:ascii="宋体" w:hAnsi="宋体"/>
                <w:color w:val="000000"/>
                <w:szCs w:val="21"/>
              </w:rPr>
              <w:t>利率优惠：给予流动资金贷款最优惠利率。</w:t>
            </w:r>
          </w:p>
        </w:tc>
        <w:tc>
          <w:tcPr>
            <w:tcW w:w="1559" w:type="dxa"/>
            <w:vAlign w:val="center"/>
          </w:tcPr>
          <w:p>
            <w:pPr>
              <w:jc w:val="center"/>
              <w:rPr>
                <w:rFonts w:ascii="宋体"/>
                <w:color w:val="000000"/>
                <w:szCs w:val="21"/>
              </w:rPr>
            </w:pPr>
            <w:r>
              <w:rPr>
                <w:rFonts w:hint="eastAsia" w:ascii="宋体" w:hAnsi="宋体"/>
                <w:color w:val="000000"/>
                <w:szCs w:val="21"/>
              </w:rPr>
              <w:t>普陀片区：蔡妮妮</w:t>
            </w:r>
          </w:p>
          <w:p>
            <w:pPr>
              <w:jc w:val="center"/>
              <w:rPr>
                <w:rFonts w:ascii="宋体"/>
                <w:color w:val="000000"/>
                <w:szCs w:val="21"/>
              </w:rPr>
            </w:pPr>
            <w:r>
              <w:rPr>
                <w:rFonts w:hint="eastAsia" w:ascii="宋体" w:hAnsi="宋体"/>
                <w:color w:val="000000"/>
                <w:szCs w:val="21"/>
              </w:rPr>
              <w:t>定海片区：杨莹</w:t>
            </w:r>
          </w:p>
          <w:p>
            <w:pPr>
              <w:jc w:val="center"/>
              <w:rPr>
                <w:rFonts w:ascii="宋体"/>
                <w:color w:val="000000"/>
                <w:szCs w:val="21"/>
              </w:rPr>
            </w:pPr>
            <w:r>
              <w:rPr>
                <w:rFonts w:hint="eastAsia" w:ascii="宋体" w:hAnsi="宋体"/>
                <w:color w:val="000000"/>
                <w:szCs w:val="21"/>
              </w:rPr>
              <w:t>自贸区片区：郑佳奇</w:t>
            </w:r>
          </w:p>
        </w:tc>
        <w:tc>
          <w:tcPr>
            <w:tcW w:w="1418" w:type="dxa"/>
            <w:vAlign w:val="center"/>
          </w:tcPr>
          <w:p>
            <w:pPr>
              <w:jc w:val="center"/>
              <w:rPr>
                <w:rFonts w:ascii="宋体" w:hAnsi="宋体"/>
                <w:color w:val="000000"/>
                <w:szCs w:val="21"/>
              </w:rPr>
            </w:pPr>
            <w:r>
              <w:rPr>
                <w:rFonts w:hint="eastAsia" w:ascii="宋体" w:hAnsi="宋体"/>
                <w:color w:val="000000"/>
                <w:szCs w:val="21"/>
              </w:rPr>
              <w:t>普陀片区：</w:t>
            </w:r>
            <w:r>
              <w:rPr>
                <w:rFonts w:ascii="宋体" w:hAnsi="宋体"/>
                <w:color w:val="000000"/>
                <w:szCs w:val="21"/>
              </w:rPr>
              <w:t>13957201791</w:t>
            </w:r>
          </w:p>
          <w:p>
            <w:pPr>
              <w:jc w:val="center"/>
              <w:rPr>
                <w:rFonts w:ascii="宋体" w:hAnsi="宋体"/>
                <w:color w:val="000000"/>
                <w:szCs w:val="21"/>
              </w:rPr>
            </w:pPr>
            <w:r>
              <w:rPr>
                <w:rFonts w:hint="eastAsia" w:ascii="宋体" w:hAnsi="宋体"/>
                <w:color w:val="000000"/>
                <w:szCs w:val="21"/>
              </w:rPr>
              <w:t>定海片区：</w:t>
            </w:r>
            <w:r>
              <w:rPr>
                <w:rFonts w:ascii="宋体" w:hAnsi="宋体"/>
                <w:color w:val="000000"/>
                <w:szCs w:val="21"/>
              </w:rPr>
              <w:t>13655803997</w:t>
            </w:r>
          </w:p>
          <w:p>
            <w:pPr>
              <w:jc w:val="center"/>
              <w:rPr>
                <w:rFonts w:ascii="宋体" w:hAnsi="宋体"/>
                <w:color w:val="000000"/>
                <w:szCs w:val="21"/>
              </w:rPr>
            </w:pPr>
            <w:r>
              <w:rPr>
                <w:rFonts w:hint="eastAsia" w:ascii="宋体" w:hAnsi="宋体"/>
                <w:color w:val="000000"/>
                <w:szCs w:val="21"/>
              </w:rPr>
              <w:t>自贸区片区：</w:t>
            </w:r>
            <w:r>
              <w:rPr>
                <w:rFonts w:ascii="宋体" w:hAnsi="宋体"/>
                <w:color w:val="000000"/>
                <w:szCs w:val="21"/>
              </w:rPr>
              <w:t>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142"/>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杭州银行股份有限公司舟山市分行</w:t>
            </w:r>
          </w:p>
        </w:tc>
        <w:tc>
          <w:tcPr>
            <w:tcW w:w="3547" w:type="dxa"/>
          </w:tcPr>
          <w:p>
            <w:pPr>
              <w:rPr>
                <w:rFonts w:ascii="宋体"/>
                <w:color w:val="000000"/>
                <w:szCs w:val="21"/>
              </w:rPr>
            </w:pPr>
            <w:r>
              <w:rPr>
                <w:rFonts w:hint="eastAsia" w:ascii="宋体" w:hAnsi="宋体"/>
                <w:color w:val="000000"/>
                <w:szCs w:val="21"/>
              </w:rPr>
              <w:t>“云采贷”是杭州银行为政府采购供应商提供的纯信用贷款产品。客户申请、签约、放款全流程线上化，平台注册入库并取得采购合同即可申请，融资比例最高达采购订单的</w:t>
            </w:r>
            <w:r>
              <w:rPr>
                <w:rFonts w:ascii="宋体" w:hAnsi="宋体"/>
                <w:color w:val="000000"/>
                <w:szCs w:val="21"/>
              </w:rPr>
              <w:t>80%</w:t>
            </w:r>
            <w:r>
              <w:rPr>
                <w:rFonts w:hint="eastAsia" w:ascii="宋体" w:hAnsi="宋体"/>
                <w:color w:val="000000"/>
                <w:szCs w:val="21"/>
              </w:rPr>
              <w:t>，单户、单笔最高可达</w:t>
            </w:r>
            <w:r>
              <w:rPr>
                <w:rFonts w:ascii="宋体" w:hAnsi="宋体"/>
                <w:color w:val="000000"/>
                <w:szCs w:val="21"/>
              </w:rPr>
              <w:t>3000</w:t>
            </w:r>
            <w:r>
              <w:rPr>
                <w:rFonts w:hint="eastAsia" w:ascii="宋体" w:hAnsi="宋体"/>
                <w:color w:val="000000"/>
                <w:szCs w:val="21"/>
              </w:rPr>
              <w:t>万，最长期限一年。</w:t>
            </w:r>
          </w:p>
        </w:tc>
        <w:tc>
          <w:tcPr>
            <w:tcW w:w="1559" w:type="dxa"/>
            <w:vAlign w:val="center"/>
          </w:tcPr>
          <w:p>
            <w:pPr>
              <w:jc w:val="center"/>
              <w:rPr>
                <w:rFonts w:ascii="宋体"/>
                <w:color w:val="000000"/>
                <w:szCs w:val="21"/>
              </w:rPr>
            </w:pPr>
            <w:r>
              <w:rPr>
                <w:rFonts w:hint="eastAsia" w:ascii="宋体" w:hAnsi="宋体"/>
                <w:color w:val="000000"/>
                <w:szCs w:val="21"/>
              </w:rPr>
              <w:t>方经理</w:t>
            </w:r>
          </w:p>
        </w:tc>
        <w:tc>
          <w:tcPr>
            <w:tcW w:w="1418" w:type="dxa"/>
            <w:vAlign w:val="center"/>
          </w:tcPr>
          <w:p>
            <w:pPr>
              <w:jc w:val="center"/>
              <w:rPr>
                <w:rFonts w:ascii="宋体" w:hAnsi="宋体"/>
                <w:color w:val="000000"/>
                <w:szCs w:val="21"/>
              </w:rPr>
            </w:pPr>
            <w:r>
              <w:rPr>
                <w:rFonts w:ascii="宋体" w:hAnsi="宋体"/>
                <w:color w:val="000000"/>
                <w:szCs w:val="21"/>
              </w:rPr>
              <w:t>0580-2185201</w:t>
            </w:r>
            <w:r>
              <w:rPr>
                <w:rFonts w:hint="eastAsia" w:ascii="宋体" w:hAnsi="宋体"/>
                <w:color w:val="000000"/>
                <w:szCs w:val="21"/>
              </w:rPr>
              <w:t>、</w:t>
            </w:r>
            <w:r>
              <w:rPr>
                <w:rFonts w:ascii="宋体" w:hAnsi="宋体"/>
                <w:color w:val="000000"/>
                <w:szCs w:val="21"/>
              </w:rPr>
              <w:t>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142"/>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招商银行股份有限公司浙江自贸试验区舟山分行</w:t>
            </w:r>
          </w:p>
        </w:tc>
        <w:tc>
          <w:tcPr>
            <w:tcW w:w="3547" w:type="dxa"/>
          </w:tcPr>
          <w:p>
            <w:pPr>
              <w:rPr>
                <w:rFonts w:ascii="宋体"/>
                <w:color w:val="000000"/>
                <w:szCs w:val="21"/>
              </w:rPr>
            </w:pPr>
            <w:r>
              <w:rPr>
                <w:rFonts w:hint="eastAsia" w:ascii="宋体" w:hAnsi="宋体"/>
                <w:color w:val="000000"/>
                <w:szCs w:val="21"/>
              </w:rPr>
              <w:t>小企业政采贷是招商银行为政府采购中标供应商提供的用于履行政府采购合同的专属融资产品。优势：一、额度高。根据企业上一年或近一年获得政府采购中标及成交通知的一定比例给予额度，最高可达</w:t>
            </w:r>
            <w:r>
              <w:rPr>
                <w:rFonts w:ascii="宋体" w:hAnsi="宋体"/>
                <w:color w:val="000000"/>
                <w:szCs w:val="21"/>
              </w:rPr>
              <w:t>3000</w:t>
            </w:r>
            <w:r>
              <w:rPr>
                <w:rFonts w:hint="eastAsia" w:ascii="宋体" w:hAnsi="宋体"/>
                <w:color w:val="000000"/>
                <w:szCs w:val="21"/>
              </w:rPr>
              <w:t>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59" w:type="dxa"/>
            <w:vAlign w:val="center"/>
          </w:tcPr>
          <w:p>
            <w:pPr>
              <w:jc w:val="center"/>
              <w:rPr>
                <w:rFonts w:ascii="宋体"/>
                <w:color w:val="000000"/>
                <w:szCs w:val="21"/>
              </w:rPr>
            </w:pPr>
            <w:r>
              <w:rPr>
                <w:rFonts w:hint="eastAsia" w:ascii="宋体" w:hAnsi="宋体"/>
                <w:color w:val="000000"/>
                <w:szCs w:val="21"/>
              </w:rPr>
              <w:t>李玲</w:t>
            </w:r>
          </w:p>
        </w:tc>
        <w:tc>
          <w:tcPr>
            <w:tcW w:w="1418" w:type="dxa"/>
            <w:vAlign w:val="center"/>
          </w:tcPr>
          <w:p>
            <w:pPr>
              <w:jc w:val="center"/>
              <w:rPr>
                <w:rFonts w:ascii="宋体" w:hAnsi="宋体"/>
                <w:color w:val="000000"/>
                <w:szCs w:val="21"/>
              </w:rPr>
            </w:pPr>
            <w:r>
              <w:rPr>
                <w:rFonts w:ascii="宋体" w:hAnsi="宋体"/>
                <w:color w:val="000000"/>
                <w:szCs w:val="21"/>
              </w:rPr>
              <w:t>0580-2061710</w:t>
            </w:r>
            <w:r>
              <w:rPr>
                <w:rFonts w:hint="eastAsia" w:ascii="宋体" w:hAnsi="宋体"/>
                <w:color w:val="000000"/>
                <w:szCs w:val="21"/>
              </w:rPr>
              <w:t>、</w:t>
            </w:r>
            <w:r>
              <w:rPr>
                <w:rFonts w:ascii="宋体" w:hAnsi="宋体"/>
                <w:color w:val="000000"/>
                <w:szCs w:val="21"/>
              </w:rPr>
              <w:t>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73" w:type="dxa"/>
          </w:tcPr>
          <w:p>
            <w:pPr>
              <w:pStyle w:val="142"/>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温州银行股份有限公司舟山市分行</w:t>
            </w:r>
          </w:p>
        </w:tc>
        <w:tc>
          <w:tcPr>
            <w:tcW w:w="3547" w:type="dxa"/>
          </w:tcPr>
          <w:p>
            <w:pPr>
              <w:rPr>
                <w:rFonts w:ascii="宋体"/>
                <w:bCs/>
                <w:color w:val="000000"/>
                <w:szCs w:val="21"/>
              </w:rPr>
            </w:pPr>
            <w:r>
              <w:rPr>
                <w:rFonts w:hint="eastAsia" w:ascii="宋体" w:hAnsi="宋体"/>
                <w:bCs/>
                <w:color w:val="000000"/>
                <w:szCs w:val="21"/>
              </w:rPr>
              <w:t>“政采订单贷”</w:t>
            </w:r>
            <w:r>
              <w:rPr>
                <w:rFonts w:hint="eastAsia" w:ascii="宋体" w:hAnsi="宋体"/>
                <w:szCs w:val="21"/>
              </w:rPr>
              <w:t>：</w:t>
            </w:r>
            <w:r>
              <w:rPr>
                <w:rFonts w:hint="eastAsia" w:ascii="宋体" w:hAnsi="宋体"/>
                <w:bCs/>
                <w:color w:val="000000"/>
                <w:szCs w:val="21"/>
              </w:rPr>
              <w:t>单户授信最高为</w:t>
            </w:r>
            <w:r>
              <w:rPr>
                <w:rFonts w:ascii="宋体" w:hAnsi="宋体"/>
                <w:bCs/>
                <w:color w:val="000000"/>
                <w:szCs w:val="21"/>
              </w:rPr>
              <w:t>500</w:t>
            </w:r>
            <w:r>
              <w:rPr>
                <w:rFonts w:hint="eastAsia" w:ascii="宋体" w:hAnsi="宋体"/>
                <w:bCs/>
                <w:color w:val="000000"/>
                <w:szCs w:val="21"/>
              </w:rPr>
              <w:t>万，单笔申请最高可按中标金额</w:t>
            </w:r>
            <w:r>
              <w:rPr>
                <w:rFonts w:ascii="宋体" w:hAnsi="宋体"/>
                <w:bCs/>
                <w:color w:val="000000"/>
                <w:szCs w:val="21"/>
              </w:rPr>
              <w:t>0.8</w:t>
            </w:r>
            <w:r>
              <w:rPr>
                <w:rFonts w:hint="eastAsia" w:ascii="宋体" w:hAnsi="宋体"/>
                <w:bCs/>
                <w:color w:val="000000"/>
                <w:szCs w:val="21"/>
              </w:rPr>
              <w:t>折，贷款期限最少三个月、最长一年，可通过政采云平台向本行发起政采订单贷业务申请</w:t>
            </w:r>
          </w:p>
        </w:tc>
        <w:tc>
          <w:tcPr>
            <w:tcW w:w="1559" w:type="dxa"/>
            <w:vAlign w:val="center"/>
          </w:tcPr>
          <w:p>
            <w:pPr>
              <w:jc w:val="center"/>
              <w:rPr>
                <w:rFonts w:ascii="宋体"/>
                <w:color w:val="000000"/>
                <w:szCs w:val="21"/>
              </w:rPr>
            </w:pPr>
            <w:r>
              <w:rPr>
                <w:rFonts w:hint="eastAsia" w:ascii="宋体" w:hAnsi="宋体"/>
                <w:color w:val="000000"/>
                <w:szCs w:val="21"/>
              </w:rPr>
              <w:t>郑贤栋</w:t>
            </w:r>
          </w:p>
        </w:tc>
        <w:tc>
          <w:tcPr>
            <w:tcW w:w="1418" w:type="dxa"/>
            <w:vAlign w:val="center"/>
          </w:tcPr>
          <w:p>
            <w:pPr>
              <w:jc w:val="center"/>
              <w:rPr>
                <w:rFonts w:ascii="宋体" w:hAnsi="宋体"/>
                <w:color w:val="000000"/>
                <w:szCs w:val="21"/>
              </w:rPr>
            </w:pPr>
            <w:r>
              <w:rPr>
                <w:rFonts w:ascii="宋体" w:hAnsi="宋体"/>
                <w:color w:val="000000"/>
                <w:szCs w:val="21"/>
              </w:rPr>
              <w:t>0580—8866086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142"/>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交通银行股份有限公司舟山分行</w:t>
            </w:r>
          </w:p>
        </w:tc>
        <w:tc>
          <w:tcPr>
            <w:tcW w:w="3547" w:type="dxa"/>
          </w:tcPr>
          <w:p>
            <w:pPr>
              <w:autoSpaceDE w:val="0"/>
              <w:autoSpaceDN w:val="0"/>
              <w:adjustRightInd w:val="0"/>
              <w:rPr>
                <w:rFonts w:ascii="宋体"/>
                <w:color w:val="000000"/>
                <w:szCs w:val="21"/>
              </w:rPr>
            </w:pPr>
            <w:r>
              <w:rPr>
                <w:rFonts w:hint="eastAsia" w:ascii="宋体" w:hAnsi="宋体"/>
                <w:color w:val="000000"/>
                <w:szCs w:val="21"/>
              </w:rPr>
              <w:t>交通银行政采贷，最长期限</w:t>
            </w:r>
            <w:r>
              <w:rPr>
                <w:rFonts w:ascii="宋体" w:hAnsi="宋体"/>
                <w:color w:val="000000"/>
                <w:szCs w:val="21"/>
              </w:rPr>
              <w:t>1</w:t>
            </w:r>
            <w:r>
              <w:rPr>
                <w:rFonts w:hint="eastAsia" w:ascii="宋体" w:hAnsi="宋体"/>
                <w:color w:val="000000"/>
                <w:szCs w:val="21"/>
              </w:rPr>
              <w:t>年，融资金额一般不超过</w:t>
            </w:r>
            <w:r>
              <w:rPr>
                <w:rFonts w:ascii="宋体" w:hAnsi="宋体"/>
                <w:color w:val="000000"/>
                <w:szCs w:val="21"/>
              </w:rPr>
              <w:t>1000</w:t>
            </w:r>
            <w:r>
              <w:rPr>
                <w:rFonts w:hint="eastAsia" w:ascii="宋体" w:hAnsi="宋体"/>
                <w:color w:val="000000"/>
                <w:szCs w:val="21"/>
              </w:rPr>
              <w:t>万元，单笔提款金额最高至采购合同金额的</w:t>
            </w:r>
            <w:r>
              <w:rPr>
                <w:rFonts w:ascii="宋体" w:hAnsi="宋体"/>
                <w:color w:val="000000"/>
                <w:szCs w:val="21"/>
              </w:rPr>
              <w:t>70%</w:t>
            </w:r>
            <w:r>
              <w:rPr>
                <w:rFonts w:hint="eastAsia" w:ascii="宋体" w:hAnsi="宋体"/>
                <w:color w:val="000000"/>
                <w:szCs w:val="21"/>
              </w:rPr>
              <w:t>。担保方式为信用（附加该笔业务项下未来应收账款质押、实际控制人及配偶个人保证），随借随还，利率最低至当期</w:t>
            </w:r>
            <w:r>
              <w:rPr>
                <w:rFonts w:ascii="宋体" w:hAnsi="宋体"/>
                <w:color w:val="000000"/>
                <w:szCs w:val="21"/>
              </w:rPr>
              <w:t>LPR</w:t>
            </w:r>
            <w:r>
              <w:rPr>
                <w:rFonts w:hint="eastAsia" w:ascii="宋体" w:hAnsi="宋体"/>
                <w:color w:val="000000"/>
                <w:szCs w:val="21"/>
              </w:rPr>
              <w:t>。</w:t>
            </w:r>
          </w:p>
        </w:tc>
        <w:tc>
          <w:tcPr>
            <w:tcW w:w="1559" w:type="dxa"/>
            <w:vAlign w:val="center"/>
          </w:tcPr>
          <w:p>
            <w:pPr>
              <w:jc w:val="center"/>
              <w:rPr>
                <w:rFonts w:ascii="宋体"/>
                <w:color w:val="000000"/>
                <w:szCs w:val="21"/>
              </w:rPr>
            </w:pPr>
            <w:r>
              <w:rPr>
                <w:rFonts w:hint="eastAsia" w:ascii="宋体" w:hAnsi="宋体"/>
                <w:color w:val="000000"/>
                <w:szCs w:val="21"/>
              </w:rPr>
              <w:t>赵争艳</w:t>
            </w:r>
          </w:p>
        </w:tc>
        <w:tc>
          <w:tcPr>
            <w:tcW w:w="1418" w:type="dxa"/>
            <w:vAlign w:val="center"/>
          </w:tcPr>
          <w:p>
            <w:pPr>
              <w:jc w:val="center"/>
              <w:rPr>
                <w:rFonts w:ascii="宋体" w:hAnsi="宋体"/>
                <w:color w:val="000000"/>
                <w:szCs w:val="21"/>
              </w:rPr>
            </w:pPr>
            <w:r>
              <w:rPr>
                <w:rFonts w:ascii="宋体" w:hAnsi="宋体"/>
                <w:color w:val="000000"/>
                <w:szCs w:val="21"/>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142"/>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中信银行股份有限公司舟山分行</w:t>
            </w:r>
          </w:p>
        </w:tc>
        <w:tc>
          <w:tcPr>
            <w:tcW w:w="3547" w:type="dxa"/>
          </w:tcPr>
          <w:p>
            <w:pPr>
              <w:rPr>
                <w:rFonts w:ascii="宋体"/>
                <w:bCs/>
                <w:color w:val="000000"/>
                <w:szCs w:val="21"/>
              </w:rPr>
            </w:pPr>
            <w:r>
              <w:rPr>
                <w:rFonts w:hint="eastAsia" w:ascii="宋体" w:hAnsi="宋体"/>
                <w:bCs/>
                <w:color w:val="000000"/>
                <w:szCs w:val="21"/>
              </w:rPr>
              <w:t>中信银行“政采</w:t>
            </w:r>
            <w:r>
              <w:rPr>
                <w:rFonts w:ascii="宋体" w:hAnsi="宋体"/>
                <w:bCs/>
                <w:color w:val="000000"/>
                <w:szCs w:val="21"/>
              </w:rPr>
              <w:t>e</w:t>
            </w:r>
            <w:r>
              <w:rPr>
                <w:rFonts w:hint="eastAsia" w:ascii="宋体" w:hAnsi="宋体"/>
                <w:bCs/>
                <w:color w:val="000000"/>
                <w:szCs w:val="21"/>
              </w:rPr>
              <w:t>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w:t>
            </w:r>
            <w:r>
              <w:rPr>
                <w:rFonts w:ascii="宋体" w:hAnsi="宋体"/>
                <w:bCs/>
                <w:color w:val="000000"/>
                <w:szCs w:val="21"/>
              </w:rPr>
              <w:t>1000</w:t>
            </w:r>
            <w:r>
              <w:rPr>
                <w:rFonts w:hint="eastAsia" w:ascii="宋体" w:hAnsi="宋体"/>
                <w:bCs/>
                <w:color w:val="000000"/>
                <w:szCs w:val="21"/>
              </w:rPr>
              <w:t>万元，贷款期限最长</w:t>
            </w:r>
            <w:r>
              <w:rPr>
                <w:rFonts w:ascii="宋体" w:hAnsi="宋体"/>
                <w:bCs/>
                <w:color w:val="000000"/>
                <w:szCs w:val="21"/>
              </w:rPr>
              <w:t>1</w:t>
            </w:r>
            <w:r>
              <w:rPr>
                <w:rFonts w:hint="eastAsia" w:ascii="宋体" w:hAnsi="宋体"/>
                <w:bCs/>
                <w:color w:val="000000"/>
                <w:szCs w:val="21"/>
              </w:rPr>
              <w:t>年，利率低。</w:t>
            </w:r>
          </w:p>
        </w:tc>
        <w:tc>
          <w:tcPr>
            <w:tcW w:w="1559" w:type="dxa"/>
            <w:vAlign w:val="center"/>
          </w:tcPr>
          <w:p>
            <w:pPr>
              <w:jc w:val="center"/>
              <w:rPr>
                <w:rFonts w:ascii="宋体"/>
                <w:color w:val="000000"/>
                <w:szCs w:val="21"/>
              </w:rPr>
            </w:pPr>
            <w:r>
              <w:rPr>
                <w:rFonts w:hint="eastAsia" w:ascii="宋体" w:hAnsi="宋体"/>
                <w:color w:val="000000"/>
                <w:szCs w:val="21"/>
              </w:rPr>
              <w:t>杨莉丹</w:t>
            </w:r>
          </w:p>
        </w:tc>
        <w:tc>
          <w:tcPr>
            <w:tcW w:w="1418" w:type="dxa"/>
            <w:vAlign w:val="center"/>
          </w:tcPr>
          <w:p>
            <w:pPr>
              <w:jc w:val="center"/>
              <w:rPr>
                <w:rFonts w:ascii="宋体" w:hAnsi="宋体"/>
                <w:color w:val="000000"/>
                <w:szCs w:val="21"/>
              </w:rPr>
            </w:pPr>
            <w:r>
              <w:rPr>
                <w:rFonts w:ascii="宋体" w:hAnsi="宋体"/>
                <w:color w:val="000000"/>
                <w:szCs w:val="21"/>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142"/>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泰隆银行舟山市分行</w:t>
            </w:r>
          </w:p>
        </w:tc>
        <w:tc>
          <w:tcPr>
            <w:tcW w:w="3547" w:type="dxa"/>
          </w:tcPr>
          <w:p>
            <w:pPr>
              <w:rPr>
                <w:rFonts w:ascii="宋体"/>
                <w:bCs/>
                <w:color w:val="000000"/>
                <w:szCs w:val="21"/>
              </w:rPr>
            </w:pPr>
            <w:r>
              <w:rPr>
                <w:rFonts w:hint="eastAsia" w:ascii="宋体" w:hAnsi="宋体"/>
                <w:bCs/>
                <w:color w:val="000000"/>
                <w:szCs w:val="21"/>
              </w:rPr>
              <w:t>符合我行基本准入，期限对照订单最长不超过</w:t>
            </w:r>
            <w:r>
              <w:rPr>
                <w:rFonts w:ascii="宋体" w:hAnsi="宋体"/>
                <w:bCs/>
                <w:color w:val="000000"/>
                <w:szCs w:val="21"/>
              </w:rPr>
              <w:t>1</w:t>
            </w:r>
            <w:r>
              <w:rPr>
                <w:rFonts w:hint="eastAsia" w:ascii="宋体" w:hAnsi="宋体"/>
                <w:bCs/>
                <w:color w:val="000000"/>
                <w:szCs w:val="21"/>
              </w:rPr>
              <w:t>年，额度最高</w:t>
            </w:r>
            <w:r>
              <w:rPr>
                <w:rFonts w:ascii="宋体" w:hAnsi="宋体"/>
                <w:bCs/>
                <w:color w:val="000000"/>
                <w:szCs w:val="21"/>
              </w:rPr>
              <w:t>1000</w:t>
            </w:r>
            <w:r>
              <w:rPr>
                <w:rFonts w:hint="eastAsia" w:ascii="宋体" w:hAnsi="宋体"/>
                <w:bCs/>
                <w:color w:val="000000"/>
                <w:szCs w:val="21"/>
              </w:rPr>
              <w:t>万，担保方式享受信用贷款执行，可由中标企业或其实际控制人出面申请，利率最低可至当期</w:t>
            </w:r>
            <w:r>
              <w:rPr>
                <w:rFonts w:ascii="宋体" w:hAnsi="宋体"/>
                <w:bCs/>
                <w:color w:val="000000"/>
                <w:szCs w:val="21"/>
              </w:rPr>
              <w:t xml:space="preserve">LPR </w:t>
            </w:r>
            <w:r>
              <w:rPr>
                <w:rFonts w:hint="eastAsia" w:ascii="宋体" w:hAnsi="宋体"/>
                <w:bCs/>
                <w:color w:val="000000"/>
                <w:szCs w:val="21"/>
              </w:rPr>
              <w:t>，对于合同期限确实超过一年的，可享受无还本续</w:t>
            </w:r>
          </w:p>
          <w:p>
            <w:pPr>
              <w:rPr>
                <w:rFonts w:ascii="宋体"/>
                <w:bCs/>
                <w:color w:val="000000"/>
                <w:szCs w:val="21"/>
              </w:rPr>
            </w:pPr>
            <w:r>
              <w:rPr>
                <w:rFonts w:hint="eastAsia" w:ascii="宋体" w:hAnsi="宋体"/>
                <w:bCs/>
                <w:color w:val="000000"/>
                <w:szCs w:val="21"/>
              </w:rPr>
              <w:t>贷至合同付款日。</w:t>
            </w:r>
          </w:p>
        </w:tc>
        <w:tc>
          <w:tcPr>
            <w:tcW w:w="1559" w:type="dxa"/>
            <w:vAlign w:val="center"/>
          </w:tcPr>
          <w:p>
            <w:pPr>
              <w:jc w:val="center"/>
              <w:rPr>
                <w:rFonts w:ascii="宋体"/>
                <w:color w:val="000000"/>
                <w:szCs w:val="21"/>
              </w:rPr>
            </w:pPr>
            <w:r>
              <w:rPr>
                <w:rFonts w:hint="eastAsia" w:ascii="宋体" w:hAnsi="宋体"/>
                <w:color w:val="000000"/>
                <w:szCs w:val="21"/>
              </w:rPr>
              <w:t>胡亢宇</w:t>
            </w:r>
          </w:p>
        </w:tc>
        <w:tc>
          <w:tcPr>
            <w:tcW w:w="1418" w:type="dxa"/>
            <w:vAlign w:val="center"/>
          </w:tcPr>
          <w:p>
            <w:pPr>
              <w:jc w:val="center"/>
              <w:rPr>
                <w:rFonts w:ascii="宋体" w:hAnsi="宋体"/>
                <w:color w:val="000000"/>
                <w:szCs w:val="21"/>
              </w:rPr>
            </w:pPr>
            <w:r>
              <w:rPr>
                <w:rFonts w:ascii="宋体" w:hAnsi="宋体"/>
                <w:color w:val="000000"/>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142"/>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中国农业银行股份有限公司舟山分行</w:t>
            </w:r>
          </w:p>
        </w:tc>
        <w:tc>
          <w:tcPr>
            <w:tcW w:w="3547" w:type="dxa"/>
          </w:tcPr>
          <w:p>
            <w:pPr>
              <w:rPr>
                <w:rFonts w:ascii="宋体"/>
                <w:bCs/>
                <w:color w:val="000000"/>
                <w:szCs w:val="21"/>
              </w:rPr>
            </w:pPr>
            <w:r>
              <w:rPr>
                <w:rFonts w:hint="eastAsia" w:ascii="宋体" w:hAnsi="宋体"/>
                <w:bCs/>
                <w:color w:val="000000"/>
                <w:szCs w:val="21"/>
              </w:rPr>
              <w:t>政采贷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w:t>
            </w:r>
            <w:r>
              <w:rPr>
                <w:rFonts w:ascii="宋体" w:hAnsi="宋体"/>
                <w:bCs/>
                <w:color w:val="000000"/>
                <w:szCs w:val="21"/>
              </w:rPr>
              <w:t>80%,</w:t>
            </w:r>
            <w:r>
              <w:rPr>
                <w:rFonts w:hint="eastAsia" w:ascii="宋体" w:hAnsi="宋体"/>
                <w:bCs/>
                <w:color w:val="000000"/>
                <w:szCs w:val="21"/>
              </w:rPr>
              <w:t>单户借款额度不超过</w:t>
            </w:r>
            <w:r>
              <w:rPr>
                <w:rFonts w:ascii="宋体" w:hAnsi="宋体"/>
                <w:bCs/>
                <w:color w:val="000000"/>
                <w:szCs w:val="21"/>
              </w:rPr>
              <w:t>500</w:t>
            </w:r>
            <w:r>
              <w:rPr>
                <w:rFonts w:hint="eastAsia" w:ascii="宋体" w:hAnsi="宋体"/>
                <w:bCs/>
                <w:color w:val="000000"/>
                <w:szCs w:val="21"/>
              </w:rPr>
              <w:t>万元。</w:t>
            </w:r>
          </w:p>
        </w:tc>
        <w:tc>
          <w:tcPr>
            <w:tcW w:w="1559" w:type="dxa"/>
            <w:vAlign w:val="center"/>
          </w:tcPr>
          <w:p>
            <w:pPr>
              <w:jc w:val="center"/>
              <w:rPr>
                <w:rFonts w:ascii="宋体"/>
                <w:color w:val="000000"/>
                <w:szCs w:val="21"/>
              </w:rPr>
            </w:pPr>
            <w:r>
              <w:rPr>
                <w:rFonts w:hint="eastAsia" w:ascii="宋体" w:hAnsi="宋体"/>
                <w:color w:val="000000"/>
                <w:szCs w:val="21"/>
              </w:rPr>
              <w:t>邵琼</w:t>
            </w:r>
          </w:p>
        </w:tc>
        <w:tc>
          <w:tcPr>
            <w:tcW w:w="1418" w:type="dxa"/>
            <w:vAlign w:val="center"/>
          </w:tcPr>
          <w:p>
            <w:pPr>
              <w:jc w:val="center"/>
              <w:rPr>
                <w:rFonts w:ascii="宋体" w:hAnsi="宋体"/>
                <w:color w:val="000000"/>
                <w:szCs w:val="21"/>
              </w:rPr>
            </w:pPr>
            <w:r>
              <w:rPr>
                <w:rFonts w:ascii="宋体" w:hAnsi="宋体"/>
                <w:color w:val="000000"/>
                <w:szCs w:val="21"/>
              </w:rPr>
              <w:t>13587049595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142"/>
              <w:spacing w:line="360" w:lineRule="auto"/>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中国邮政储蓄银行股份有限公司舟山市分行</w:t>
            </w:r>
          </w:p>
        </w:tc>
        <w:tc>
          <w:tcPr>
            <w:tcW w:w="3547" w:type="dxa"/>
          </w:tcPr>
          <w:p>
            <w:pPr>
              <w:rPr>
                <w:rFonts w:ascii="宋体"/>
                <w:bCs/>
                <w:color w:val="000000"/>
                <w:szCs w:val="21"/>
              </w:rPr>
            </w:pPr>
            <w:r>
              <w:rPr>
                <w:rFonts w:hint="eastAsia" w:ascii="宋体" w:hAnsi="宋体"/>
                <w:bCs/>
                <w:color w:val="000000"/>
                <w:szCs w:val="21"/>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w:t>
            </w:r>
            <w:r>
              <w:rPr>
                <w:rFonts w:ascii="宋体" w:hAnsi="宋体"/>
                <w:bCs/>
                <w:color w:val="000000"/>
                <w:szCs w:val="21"/>
              </w:rPr>
              <w:t>500</w:t>
            </w:r>
            <w:r>
              <w:rPr>
                <w:rFonts w:hint="eastAsia" w:ascii="宋体" w:hAnsi="宋体"/>
                <w:bCs/>
                <w:color w:val="000000"/>
                <w:szCs w:val="21"/>
              </w:rPr>
              <w:t>万元，期限最长不超过</w:t>
            </w:r>
            <w:r>
              <w:rPr>
                <w:rFonts w:ascii="宋体" w:hAnsi="宋体"/>
                <w:bCs/>
                <w:color w:val="000000"/>
                <w:szCs w:val="21"/>
              </w:rPr>
              <w:t>1</w:t>
            </w:r>
            <w:r>
              <w:rPr>
                <w:rFonts w:hint="eastAsia" w:ascii="宋体" w:hAnsi="宋体"/>
                <w:bCs/>
                <w:color w:val="000000"/>
                <w:szCs w:val="21"/>
              </w:rPr>
              <w:t>年。</w:t>
            </w:r>
          </w:p>
        </w:tc>
        <w:tc>
          <w:tcPr>
            <w:tcW w:w="1559" w:type="dxa"/>
            <w:vAlign w:val="center"/>
          </w:tcPr>
          <w:p>
            <w:pPr>
              <w:jc w:val="center"/>
              <w:rPr>
                <w:rFonts w:ascii="宋体"/>
                <w:color w:val="000000"/>
                <w:szCs w:val="21"/>
              </w:rPr>
            </w:pPr>
            <w:r>
              <w:rPr>
                <w:rFonts w:hint="eastAsia" w:ascii="宋体" w:hAnsi="宋体"/>
                <w:color w:val="000000"/>
                <w:szCs w:val="21"/>
              </w:rPr>
              <w:t>曾超</w:t>
            </w:r>
          </w:p>
        </w:tc>
        <w:tc>
          <w:tcPr>
            <w:tcW w:w="1418" w:type="dxa"/>
            <w:vAlign w:val="center"/>
          </w:tcPr>
          <w:p>
            <w:pPr>
              <w:jc w:val="center"/>
              <w:rPr>
                <w:rFonts w:ascii="宋体" w:hAnsi="宋体"/>
                <w:color w:val="000000"/>
                <w:szCs w:val="21"/>
              </w:rPr>
            </w:pPr>
            <w:r>
              <w:rPr>
                <w:rFonts w:ascii="宋体" w:hAnsi="宋体"/>
                <w:color w:val="000000"/>
                <w:szCs w:val="21"/>
              </w:rPr>
              <w:t>15924008387</w:t>
            </w:r>
          </w:p>
        </w:tc>
      </w:tr>
    </w:tbl>
    <w:p>
      <w:pPr>
        <w:ind w:firstLine="555"/>
        <w:rPr>
          <w:rFonts w:ascii="宋体"/>
          <w:szCs w:val="21"/>
        </w:rPr>
      </w:pPr>
      <w:r>
        <w:rPr>
          <w:rFonts w:ascii="宋体" w:hAnsi="宋体"/>
          <w:szCs w:val="21"/>
        </w:rPr>
        <w:t>2.</w:t>
      </w:r>
      <w:r>
        <w:rPr>
          <w:rFonts w:hint="eastAsia" w:ascii="宋体" w:hAnsi="宋体"/>
          <w:szCs w:val="21"/>
        </w:rPr>
        <w:t>一般步骤</w:t>
      </w:r>
    </w:p>
    <w:p>
      <w:pPr>
        <w:ind w:firstLine="555"/>
        <w:rPr>
          <w:rFonts w:ascii="宋体"/>
          <w:szCs w:val="21"/>
        </w:rPr>
      </w:pPr>
      <w:r>
        <w:rPr>
          <w:rFonts w:hint="eastAsia" w:ascii="宋体" w:hAnsi="宋体"/>
          <w:szCs w:val="21"/>
        </w:rPr>
        <w:t>（</w:t>
      </w:r>
      <w:r>
        <w:rPr>
          <w:rFonts w:ascii="宋体" w:hAnsi="宋体"/>
          <w:szCs w:val="21"/>
        </w:rPr>
        <w:t>1</w:t>
      </w:r>
      <w:r>
        <w:rPr>
          <w:rFonts w:hint="eastAsia" w:ascii="宋体" w:hAnsi="宋体"/>
          <w:szCs w:val="21"/>
        </w:rPr>
        <w:t>）供应商先与银行对接，办理融资前期手续；</w:t>
      </w:r>
    </w:p>
    <w:p>
      <w:pPr>
        <w:ind w:firstLine="555"/>
        <w:rPr>
          <w:rFonts w:ascii="宋体"/>
          <w:szCs w:val="21"/>
        </w:rPr>
      </w:pPr>
      <w:r>
        <w:rPr>
          <w:rFonts w:hint="eastAsia" w:ascii="宋体" w:hAnsi="宋体"/>
          <w:szCs w:val="21"/>
        </w:rPr>
        <w:t>（</w:t>
      </w:r>
      <w:r>
        <w:rPr>
          <w:rFonts w:ascii="宋体" w:hAnsi="宋体"/>
          <w:szCs w:val="21"/>
        </w:rPr>
        <w:t>2</w:t>
      </w:r>
      <w:r>
        <w:rPr>
          <w:rFonts w:hint="eastAsia" w:ascii="宋体" w:hAnsi="宋体"/>
          <w:szCs w:val="21"/>
        </w:rPr>
        <w:t>）供应商中标后，凭中标通知书等材料，向相关合作银行发出融资申请；</w:t>
      </w:r>
    </w:p>
    <w:p>
      <w:pPr>
        <w:ind w:firstLine="555"/>
        <w:rPr>
          <w:rFonts w:ascii="宋体"/>
          <w:szCs w:val="21"/>
        </w:rPr>
      </w:pPr>
      <w:r>
        <w:rPr>
          <w:rFonts w:hint="eastAsia" w:ascii="宋体" w:hAnsi="宋体"/>
          <w:szCs w:val="21"/>
        </w:rPr>
        <w:t>（</w:t>
      </w:r>
      <w:r>
        <w:rPr>
          <w:rFonts w:ascii="宋体" w:hAnsi="宋体"/>
          <w:szCs w:val="21"/>
        </w:rPr>
        <w:t>3</w:t>
      </w:r>
      <w:r>
        <w:rPr>
          <w:rFonts w:hint="eastAsia" w:ascii="宋体" w:hAnsi="宋体"/>
          <w:szCs w:val="21"/>
        </w:rPr>
        <w:t>）银行、供应商线下办理审批、放贷事宜。</w:t>
      </w:r>
    </w:p>
    <w:p>
      <w:pPr>
        <w:ind w:firstLine="555"/>
        <w:rPr>
          <w:rFonts w:ascii="宋体"/>
          <w:szCs w:val="21"/>
        </w:rPr>
      </w:pPr>
      <w:r>
        <w:rPr>
          <w:rFonts w:ascii="宋体" w:hAnsi="宋体"/>
          <w:szCs w:val="21"/>
        </w:rPr>
        <w:t>3.</w:t>
      </w:r>
      <w:r>
        <w:rPr>
          <w:rFonts w:hint="eastAsia" w:ascii="宋体" w:hAnsi="宋体"/>
          <w:szCs w:val="21"/>
        </w:rPr>
        <w:t>注意事项</w:t>
      </w:r>
    </w:p>
    <w:p>
      <w:pPr>
        <w:ind w:firstLine="555"/>
        <w:rPr>
          <w:rFonts w:ascii="宋体"/>
          <w:szCs w:val="21"/>
        </w:rPr>
      </w:pPr>
      <w:r>
        <w:rPr>
          <w:rFonts w:hint="eastAsia" w:ascii="宋体" w:hAnsi="宋体"/>
          <w:szCs w:val="21"/>
        </w:rPr>
        <w:t>（</w:t>
      </w:r>
      <w:r>
        <w:rPr>
          <w:rFonts w:ascii="宋体" w:hAnsi="宋体"/>
          <w:szCs w:val="21"/>
        </w:rPr>
        <w:t>1</w:t>
      </w:r>
      <w:r>
        <w:rPr>
          <w:rFonts w:hint="eastAsia" w:ascii="宋体" w:hAnsi="宋体"/>
          <w:szCs w:val="21"/>
        </w:rPr>
        <w:t>）中标供应商需确保政府采购合同的收款账户与融资银行开户账户一致。</w:t>
      </w:r>
    </w:p>
    <w:p>
      <w:pPr>
        <w:ind w:firstLine="555"/>
        <w:rPr>
          <w:rFonts w:ascii="宋体"/>
          <w:szCs w:val="21"/>
        </w:rPr>
      </w:pPr>
      <w:r>
        <w:rPr>
          <w:rFonts w:hint="eastAsia" w:ascii="宋体" w:hAnsi="宋体"/>
          <w:szCs w:val="21"/>
        </w:rPr>
        <w:t>（</w:t>
      </w:r>
      <w:r>
        <w:rPr>
          <w:rFonts w:ascii="宋体" w:hAnsi="宋体"/>
          <w:szCs w:val="21"/>
        </w:rPr>
        <w:t>2</w:t>
      </w:r>
      <w:r>
        <w:rPr>
          <w:rFonts w:hint="eastAsia" w:ascii="宋体" w:hAnsi="宋体"/>
          <w:szCs w:val="21"/>
        </w:rPr>
        <w:t>）用于政府采购信用融资的政府采购合同，应当包含如下条款：“第条：政府采购合同贷款</w:t>
      </w:r>
    </w:p>
    <w:p>
      <w:pPr>
        <w:ind w:firstLine="555"/>
        <w:rPr>
          <w:rFonts w:ascii="宋体"/>
          <w:szCs w:val="21"/>
        </w:rPr>
      </w:pPr>
      <w:r>
        <w:rPr>
          <w:rFonts w:hint="eastAsia" w:ascii="宋体" w:hAnsi="宋体"/>
          <w:szCs w:val="21"/>
        </w:rPr>
        <w:t>本合同同时用于乙方向银行（金融机构）申请政府采购信用贷款。</w:t>
      </w:r>
    </w:p>
    <w:p>
      <w:pPr>
        <w:ind w:firstLine="555"/>
        <w:rPr>
          <w:rFonts w:ascii="宋体"/>
          <w:szCs w:val="21"/>
        </w:rPr>
      </w:pPr>
      <w:r>
        <w:rPr>
          <w:rFonts w:hint="eastAsia" w:ascii="宋体" w:hAnsi="宋体"/>
          <w:szCs w:val="21"/>
        </w:rPr>
        <w:t>本合同一经签订，原则上不得更改乙方收款账户信息。确须更改的，乙方应取得原合同收款账户开户银行书面同意，否则修改后的合同不予备案，采购资金不予支付。”</w:t>
      </w:r>
    </w:p>
    <w:p>
      <w:pPr>
        <w:tabs>
          <w:tab w:val="left" w:pos="2472"/>
        </w:tabs>
        <w:snapToGrid w:val="0"/>
        <w:spacing w:before="120" w:line="312" w:lineRule="auto"/>
        <w:ind w:right="-87"/>
        <w:jc w:val="center"/>
        <w:rPr>
          <w:rFonts w:ascii="黑体" w:hAnsi="宋体" w:eastAsia="黑体"/>
          <w:sz w:val="30"/>
        </w:rPr>
      </w:pPr>
    </w:p>
    <w:p>
      <w:pPr>
        <w:tabs>
          <w:tab w:val="left" w:pos="2472"/>
        </w:tabs>
        <w:snapToGrid w:val="0"/>
        <w:spacing w:before="120" w:line="312" w:lineRule="auto"/>
        <w:ind w:right="-87"/>
        <w:jc w:val="center"/>
        <w:rPr>
          <w:rFonts w:ascii="黑体" w:hAnsi="宋体" w:eastAsia="黑体"/>
          <w:sz w:val="30"/>
        </w:rPr>
      </w:pPr>
    </w:p>
    <w:p>
      <w:pPr>
        <w:tabs>
          <w:tab w:val="left" w:pos="2472"/>
        </w:tabs>
        <w:snapToGrid w:val="0"/>
        <w:spacing w:before="120" w:line="312" w:lineRule="auto"/>
        <w:ind w:right="-87"/>
        <w:jc w:val="center"/>
        <w:rPr>
          <w:rFonts w:ascii="黑体" w:hAnsi="宋体" w:eastAsia="黑体"/>
          <w:sz w:val="30"/>
        </w:rPr>
      </w:pPr>
      <w:r>
        <w:rPr>
          <w:rFonts w:hint="eastAsia" w:ascii="黑体" w:hAnsi="宋体" w:eastAsia="黑体"/>
          <w:sz w:val="30"/>
        </w:rPr>
        <w:t>第六章　投标文件格式</w:t>
      </w:r>
    </w:p>
    <w:p>
      <w:pPr>
        <w:tabs>
          <w:tab w:val="left" w:pos="2472"/>
        </w:tabs>
        <w:snapToGrid w:val="0"/>
        <w:spacing w:before="120" w:line="312" w:lineRule="auto"/>
        <w:ind w:right="-87"/>
        <w:jc w:val="center"/>
        <w:rPr>
          <w:rFonts w:ascii="黑体" w:hAnsi="宋体" w:eastAsia="黑体"/>
          <w:sz w:val="30"/>
        </w:rPr>
      </w:pPr>
    </w:p>
    <w:p>
      <w:pPr>
        <w:snapToGrid w:val="0"/>
        <w:spacing w:line="360" w:lineRule="auto"/>
        <w:ind w:right="-85"/>
        <w:rPr>
          <w:rFonts w:ascii="宋体"/>
          <w:sz w:val="24"/>
        </w:rPr>
      </w:pPr>
      <w:r>
        <w:rPr>
          <w:rFonts w:hint="eastAsia" w:ascii="宋体" w:hAnsi="宋体"/>
          <w:sz w:val="24"/>
        </w:rPr>
        <w:t>一、</w:t>
      </w:r>
      <w:r>
        <w:rPr>
          <w:rFonts w:hint="eastAsia" w:ascii="宋体" w:hAnsi="宋体"/>
          <w:b/>
          <w:sz w:val="24"/>
        </w:rPr>
        <w:t>备份文件包装封面（格式供参考）</w:t>
      </w:r>
      <w:r>
        <w:rPr>
          <w:rFonts w:hint="eastAsia" w:ascii="宋体" w:hAnsi="宋体"/>
          <w:sz w:val="24"/>
        </w:rPr>
        <w:t>：</w:t>
      </w:r>
    </w:p>
    <w:p>
      <w:pPr>
        <w:snapToGrid w:val="0"/>
        <w:spacing w:line="360" w:lineRule="auto"/>
        <w:ind w:right="-85"/>
        <w:jc w:val="center"/>
        <w:rPr>
          <w:rFonts w:ascii="宋体"/>
          <w:sz w:val="24"/>
        </w:rPr>
      </w:pPr>
    </w:p>
    <w:p>
      <w:pPr>
        <w:snapToGrid w:val="0"/>
        <w:spacing w:line="360" w:lineRule="auto"/>
        <w:ind w:right="-85"/>
        <w:jc w:val="center"/>
        <w:rPr>
          <w:rFonts w:ascii="宋体"/>
          <w:b/>
          <w:sz w:val="44"/>
        </w:rPr>
      </w:pPr>
      <w:r>
        <w:rPr>
          <w:rFonts w:hint="eastAsia" w:ascii="宋体" w:hAnsi="宋体"/>
          <w:b/>
          <w:sz w:val="44"/>
        </w:rPr>
        <w:t>投标文件</w:t>
      </w:r>
    </w:p>
    <w:p>
      <w:pPr>
        <w:snapToGrid w:val="0"/>
        <w:spacing w:line="360" w:lineRule="auto"/>
        <w:ind w:right="-85"/>
        <w:rPr>
          <w:rFonts w:ascii="宋体"/>
          <w:sz w:val="24"/>
        </w:rPr>
      </w:pPr>
    </w:p>
    <w:p>
      <w:pPr>
        <w:snapToGrid w:val="0"/>
        <w:spacing w:line="360" w:lineRule="auto"/>
        <w:ind w:right="-85" w:firstLine="1124" w:firstLineChars="400"/>
        <w:rPr>
          <w:rFonts w:ascii="宋体"/>
          <w:b/>
          <w:sz w:val="28"/>
        </w:rPr>
      </w:pPr>
      <w:r>
        <w:rPr>
          <w:rFonts w:hint="eastAsia" w:ascii="宋体" w:hAnsi="宋体"/>
          <w:b/>
          <w:sz w:val="28"/>
        </w:rPr>
        <w:t>项目名称：</w:t>
      </w:r>
    </w:p>
    <w:p>
      <w:pPr>
        <w:snapToGrid w:val="0"/>
        <w:spacing w:line="360" w:lineRule="auto"/>
        <w:ind w:right="-85" w:firstLine="562" w:firstLineChars="200"/>
        <w:rPr>
          <w:rFonts w:ascii="宋体"/>
          <w:b/>
          <w:sz w:val="28"/>
          <w:u w:val="single"/>
        </w:rPr>
      </w:pPr>
      <w:r>
        <w:rPr>
          <w:rFonts w:hint="eastAsia" w:ascii="宋体" w:hAnsi="宋体"/>
          <w:b/>
          <w:sz w:val="28"/>
        </w:rPr>
        <w:t>项目编号：</w:t>
      </w:r>
    </w:p>
    <w:p>
      <w:pPr>
        <w:pStyle w:val="26"/>
        <w:snapToGrid w:val="0"/>
        <w:spacing w:line="360" w:lineRule="auto"/>
        <w:ind w:right="-85" w:firstLine="1169" w:firstLineChars="416"/>
        <w:rPr>
          <w:rFonts w:ascii="宋体"/>
          <w:b/>
          <w:sz w:val="28"/>
        </w:rPr>
      </w:pPr>
      <w:r>
        <w:rPr>
          <w:rFonts w:hint="eastAsia" w:ascii="宋体" w:hAnsi="宋体"/>
          <w:b/>
          <w:sz w:val="28"/>
        </w:rPr>
        <w:t>投标人名称：</w:t>
      </w:r>
      <w:r>
        <w:rPr>
          <w:rFonts w:hint="eastAsia" w:ascii="宋体" w:hAnsi="宋体"/>
          <w:b/>
          <w:sz w:val="28"/>
          <w:u w:val="single"/>
        </w:rPr>
        <w:t>（</w:t>
      </w:r>
      <w:r>
        <w:rPr>
          <w:rFonts w:hint="eastAsia" w:ascii="宋体" w:hAnsi="宋体"/>
          <w:b/>
          <w:sz w:val="28"/>
        </w:rPr>
        <w:t>加盖公章）</w:t>
      </w:r>
    </w:p>
    <w:p>
      <w:pPr>
        <w:pStyle w:val="26"/>
        <w:snapToGrid w:val="0"/>
        <w:spacing w:line="360" w:lineRule="auto"/>
        <w:ind w:right="-85" w:firstLine="1169" w:firstLineChars="416"/>
        <w:rPr>
          <w:rFonts w:ascii="宋体"/>
          <w:b/>
          <w:sz w:val="28"/>
          <w:u w:val="single"/>
        </w:rPr>
      </w:pPr>
      <w:r>
        <w:rPr>
          <w:rFonts w:hint="eastAsia" w:ascii="宋体" w:hAnsi="宋体"/>
          <w:b/>
          <w:sz w:val="28"/>
        </w:rPr>
        <w:t>投标人地址：</w:t>
      </w:r>
    </w:p>
    <w:p>
      <w:pPr>
        <w:pStyle w:val="26"/>
        <w:snapToGrid w:val="0"/>
        <w:spacing w:line="360" w:lineRule="auto"/>
        <w:ind w:right="-85" w:firstLine="1124" w:firstLineChars="400"/>
        <w:rPr>
          <w:rFonts w:ascii="宋体"/>
          <w:b/>
          <w:sz w:val="28"/>
          <w:u w:val="single"/>
        </w:rPr>
      </w:pPr>
      <w:r>
        <w:rPr>
          <w:rFonts w:hint="eastAsia" w:ascii="宋体" w:hAnsi="宋体"/>
          <w:b/>
          <w:sz w:val="28"/>
        </w:rPr>
        <w:t>投标联系人：电话</w:t>
      </w:r>
    </w:p>
    <w:p>
      <w:pPr>
        <w:pStyle w:val="26"/>
        <w:snapToGrid w:val="0"/>
        <w:spacing w:line="360" w:lineRule="auto"/>
        <w:ind w:right="-85" w:firstLine="1124" w:firstLineChars="400"/>
        <w:rPr>
          <w:rFonts w:ascii="宋体"/>
          <w:b/>
          <w:sz w:val="28"/>
          <w:u w:val="single"/>
        </w:rPr>
      </w:pPr>
      <w:r>
        <w:rPr>
          <w:rFonts w:hint="eastAsia" w:ascii="宋体" w:hAnsi="宋体"/>
          <w:b/>
          <w:sz w:val="28"/>
        </w:rPr>
        <w:t>启封时间：</w:t>
      </w:r>
      <w:r>
        <w:rPr>
          <w:rFonts w:hint="eastAsia" w:ascii="宋体" w:hAnsi="宋体"/>
          <w:b/>
          <w:sz w:val="28"/>
          <w:u w:val="single"/>
        </w:rPr>
        <w:t>在</w:t>
      </w:r>
      <w:r>
        <w:rPr>
          <w:rFonts w:ascii="宋体" w:hAnsi="宋体"/>
          <w:b/>
          <w:sz w:val="28"/>
          <w:u w:val="single"/>
        </w:rPr>
        <w:t xml:space="preserve">20     </w:t>
      </w:r>
      <w:r>
        <w:rPr>
          <w:rFonts w:hint="eastAsia" w:ascii="宋体" w:hAnsi="宋体"/>
          <w:b/>
          <w:sz w:val="28"/>
          <w:u w:val="single"/>
        </w:rPr>
        <w:t>年月日时分之前不得启封</w:t>
      </w:r>
    </w:p>
    <w:p>
      <w:pPr>
        <w:snapToGrid w:val="0"/>
        <w:spacing w:line="360" w:lineRule="auto"/>
        <w:ind w:right="-85" w:firstLine="4080" w:firstLineChars="1700"/>
        <w:rPr>
          <w:rFonts w:ascii="宋体"/>
          <w:sz w:val="24"/>
        </w:rPr>
      </w:pPr>
    </w:p>
    <w:p>
      <w:pPr>
        <w:snapToGrid w:val="0"/>
        <w:spacing w:line="360" w:lineRule="auto"/>
        <w:ind w:right="-85" w:firstLine="645"/>
        <w:jc w:val="center"/>
        <w:rPr>
          <w:rFonts w:ascii="宋体"/>
          <w:sz w:val="24"/>
        </w:rPr>
      </w:pPr>
      <w:r>
        <w:rPr>
          <w:rFonts w:hint="eastAsia" w:ascii="宋体" w:hAnsi="宋体"/>
          <w:sz w:val="24"/>
        </w:rPr>
        <w:t>年月日</w:t>
      </w:r>
    </w:p>
    <w:p>
      <w:pPr>
        <w:snapToGrid w:val="0"/>
        <w:spacing w:line="360" w:lineRule="auto"/>
        <w:ind w:right="-85"/>
        <w:outlineLvl w:val="1"/>
        <w:rPr>
          <w:rFonts w:ascii="宋体"/>
          <w:sz w:val="24"/>
          <w:u w:val="single"/>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32"/>
        </w:rPr>
      </w:pPr>
    </w:p>
    <w:p>
      <w:pPr>
        <w:pStyle w:val="20"/>
        <w:snapToGrid w:val="0"/>
        <w:spacing w:before="120" w:line="312" w:lineRule="auto"/>
        <w:ind w:right="-341"/>
        <w:rPr>
          <w:rFonts w:hAnsi="宋体"/>
          <w:b/>
          <w:sz w:val="28"/>
          <w:szCs w:val="28"/>
        </w:rPr>
      </w:pPr>
    </w:p>
    <w:p>
      <w:pPr>
        <w:pStyle w:val="20"/>
        <w:snapToGrid w:val="0"/>
        <w:spacing w:before="120" w:line="312" w:lineRule="auto"/>
        <w:ind w:right="-341"/>
        <w:rPr>
          <w:rFonts w:hAnsi="宋体"/>
          <w:b/>
          <w:sz w:val="28"/>
          <w:szCs w:val="28"/>
        </w:rPr>
      </w:pPr>
      <w:r>
        <w:rPr>
          <w:rFonts w:hint="eastAsia" w:hAnsi="宋体"/>
          <w:b/>
          <w:sz w:val="28"/>
          <w:szCs w:val="28"/>
        </w:rPr>
        <w:t>二</w:t>
      </w:r>
    </w:p>
    <w:p>
      <w:pPr>
        <w:pStyle w:val="20"/>
        <w:snapToGrid w:val="0"/>
        <w:spacing w:before="120" w:line="312" w:lineRule="auto"/>
        <w:ind w:right="-341" w:firstLine="3678" w:firstLineChars="1145"/>
        <w:rPr>
          <w:rFonts w:hAnsi="宋体"/>
          <w:b/>
          <w:sz w:val="32"/>
        </w:rPr>
      </w:pPr>
      <w:r>
        <w:rPr>
          <w:rFonts w:hint="eastAsia" w:hAnsi="宋体"/>
          <w:b/>
          <w:sz w:val="32"/>
        </w:rPr>
        <w:t>开标一览表</w:t>
      </w:r>
    </w:p>
    <w:p>
      <w:pPr>
        <w:spacing w:line="360" w:lineRule="auto"/>
        <w:rPr>
          <w:b/>
          <w:sz w:val="24"/>
          <w:szCs w:val="24"/>
        </w:rPr>
      </w:pPr>
    </w:p>
    <w:p>
      <w:pPr>
        <w:snapToGrid w:val="0"/>
        <w:spacing w:before="50" w:after="50"/>
        <w:rPr>
          <w:rFonts w:ascii="宋体"/>
        </w:rPr>
      </w:pPr>
      <w:r>
        <w:rPr>
          <w:rFonts w:hint="eastAsia" w:ascii="宋体" w:hAnsi="宋体"/>
        </w:rPr>
        <w:t>项目名称：</w:t>
      </w:r>
    </w:p>
    <w:p>
      <w:pPr>
        <w:snapToGrid w:val="0"/>
        <w:spacing w:before="50" w:after="50"/>
        <w:rPr>
          <w:rFonts w:ascii="宋体"/>
        </w:rPr>
      </w:pPr>
      <w:r>
        <w:rPr>
          <w:rFonts w:hint="eastAsia" w:ascii="宋体" w:hAnsi="宋体"/>
        </w:rPr>
        <w:t>项目编号：</w:t>
      </w:r>
    </w:p>
    <w:p>
      <w:pPr>
        <w:pStyle w:val="20"/>
        <w:spacing w:before="120" w:line="360" w:lineRule="auto"/>
        <w:ind w:firstLine="5880" w:firstLineChars="2800"/>
        <w:rPr>
          <w:rFonts w:hAnsi="宋体"/>
          <w:sz w:val="21"/>
          <w:szCs w:val="21"/>
        </w:rPr>
      </w:pPr>
      <w:r>
        <w:rPr>
          <w:rFonts w:hint="eastAsia" w:hAnsi="宋体"/>
          <w:sz w:val="21"/>
          <w:szCs w:val="21"/>
        </w:rPr>
        <w:t>单位：元</w:t>
      </w:r>
    </w:p>
    <w:tbl>
      <w:tblPr>
        <w:tblStyle w:val="35"/>
        <w:tblW w:w="950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1004"/>
        <w:gridCol w:w="2448"/>
        <w:gridCol w:w="4819"/>
        <w:gridCol w:w="12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95" w:hRule="atLeast"/>
          <w:jc w:val="center"/>
        </w:trPr>
        <w:tc>
          <w:tcPr>
            <w:tcW w:w="1004" w:type="dxa"/>
            <w:tcBorders>
              <w:top w:val="single" w:color="auto" w:sz="4" w:space="0"/>
              <w:right w:val="single" w:color="auto" w:sz="4" w:space="0"/>
            </w:tcBorders>
            <w:vAlign w:val="center"/>
          </w:tcPr>
          <w:p>
            <w:pPr>
              <w:jc w:val="center"/>
              <w:rPr>
                <w:rFonts w:ascii="宋体"/>
                <w:b/>
                <w:szCs w:val="21"/>
              </w:rPr>
            </w:pPr>
            <w:r>
              <w:rPr>
                <w:rFonts w:hint="eastAsia" w:ascii="宋体" w:hAnsi="宋体"/>
                <w:b/>
                <w:szCs w:val="21"/>
              </w:rPr>
              <w:t>序号</w:t>
            </w:r>
          </w:p>
        </w:tc>
        <w:tc>
          <w:tcPr>
            <w:tcW w:w="2448" w:type="dxa"/>
            <w:tcBorders>
              <w:top w:val="single" w:color="auto" w:sz="4" w:space="0"/>
              <w:left w:val="single" w:color="auto" w:sz="4" w:space="0"/>
              <w:right w:val="single" w:color="auto" w:sz="4" w:space="0"/>
            </w:tcBorders>
            <w:vAlign w:val="center"/>
          </w:tcPr>
          <w:p>
            <w:pPr>
              <w:ind w:left="424" w:leftChars="202"/>
              <w:jc w:val="center"/>
              <w:rPr>
                <w:rFonts w:ascii="宋体"/>
                <w:b/>
                <w:szCs w:val="21"/>
              </w:rPr>
            </w:pPr>
            <w:r>
              <w:rPr>
                <w:rFonts w:hint="eastAsia" w:ascii="宋体" w:hAnsi="宋体"/>
                <w:b/>
                <w:szCs w:val="21"/>
              </w:rPr>
              <w:t>名称</w:t>
            </w:r>
          </w:p>
        </w:tc>
        <w:tc>
          <w:tcPr>
            <w:tcW w:w="4819" w:type="dxa"/>
            <w:tcBorders>
              <w:top w:val="single" w:color="auto" w:sz="4" w:space="0"/>
              <w:left w:val="single" w:color="auto" w:sz="4" w:space="0"/>
              <w:right w:val="single" w:color="auto" w:sz="4" w:space="0"/>
            </w:tcBorders>
            <w:vAlign w:val="center"/>
          </w:tcPr>
          <w:p>
            <w:pPr>
              <w:jc w:val="center"/>
              <w:rPr>
                <w:rFonts w:ascii="宋体"/>
                <w:b/>
                <w:szCs w:val="21"/>
              </w:rPr>
            </w:pPr>
            <w:r>
              <w:rPr>
                <w:rFonts w:hint="eastAsia" w:ascii="宋体" w:hAnsi="宋体"/>
                <w:b/>
                <w:szCs w:val="21"/>
              </w:rPr>
              <w:t>投标报价</w:t>
            </w:r>
          </w:p>
        </w:tc>
        <w:tc>
          <w:tcPr>
            <w:tcW w:w="1238" w:type="dxa"/>
            <w:tcBorders>
              <w:top w:val="single" w:color="auto" w:sz="4" w:space="0"/>
              <w:left w:val="single" w:color="auto" w:sz="4" w:space="0"/>
            </w:tcBorders>
            <w:vAlign w:val="center"/>
          </w:tcPr>
          <w:p>
            <w:pPr>
              <w:ind w:left="424" w:leftChars="202"/>
              <w:jc w:val="center"/>
              <w:rPr>
                <w:rFonts w:ascii="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755" w:hRule="atLeast"/>
          <w:jc w:val="center"/>
        </w:trPr>
        <w:tc>
          <w:tcPr>
            <w:tcW w:w="1004" w:type="dxa"/>
            <w:tcBorders>
              <w:right w:val="single" w:color="auto" w:sz="4" w:space="0"/>
            </w:tcBorders>
            <w:vAlign w:val="center"/>
          </w:tcPr>
          <w:p>
            <w:pPr>
              <w:autoSpaceDE w:val="0"/>
              <w:autoSpaceDN w:val="0"/>
              <w:adjustRightInd w:val="0"/>
              <w:spacing w:before="600" w:after="360" w:line="400" w:lineRule="exact"/>
              <w:ind w:left="424" w:leftChars="202"/>
              <w:rPr>
                <w:rFonts w:ascii="宋体" w:eastAsia="黑体"/>
                <w:b/>
                <w:bCs/>
                <w:kern w:val="44"/>
                <w:szCs w:val="21"/>
                <w:lang w:val="zh-CN"/>
              </w:rPr>
            </w:pPr>
          </w:p>
        </w:tc>
        <w:tc>
          <w:tcPr>
            <w:tcW w:w="2448" w:type="dxa"/>
            <w:tcBorders>
              <w:left w:val="single" w:color="auto" w:sz="4" w:space="0"/>
              <w:right w:val="single" w:color="auto" w:sz="4" w:space="0"/>
            </w:tcBorders>
            <w:vAlign w:val="center"/>
          </w:tcPr>
          <w:p>
            <w:pPr>
              <w:spacing w:before="600" w:after="360"/>
              <w:ind w:left="424" w:leftChars="202"/>
              <w:jc w:val="center"/>
              <w:rPr>
                <w:rFonts w:ascii="宋体" w:eastAsia="黑体"/>
                <w:b/>
                <w:bCs/>
                <w:kern w:val="44"/>
                <w:szCs w:val="21"/>
              </w:rPr>
            </w:pPr>
          </w:p>
        </w:tc>
        <w:tc>
          <w:tcPr>
            <w:tcW w:w="4819" w:type="dxa"/>
            <w:tcBorders>
              <w:left w:val="single" w:color="auto" w:sz="4" w:space="0"/>
              <w:right w:val="single" w:color="auto" w:sz="4" w:space="0"/>
            </w:tcBorders>
            <w:vAlign w:val="center"/>
          </w:tcPr>
          <w:p>
            <w:pPr>
              <w:spacing w:before="600" w:after="360"/>
              <w:ind w:left="424" w:leftChars="202"/>
              <w:jc w:val="center"/>
              <w:rPr>
                <w:rFonts w:ascii="宋体" w:eastAsia="黑体"/>
                <w:b/>
                <w:bCs/>
                <w:kern w:val="44"/>
                <w:szCs w:val="21"/>
              </w:rPr>
            </w:pPr>
            <w:r>
              <w:rPr>
                <w:rFonts w:hint="eastAsia" w:ascii="宋体" w:eastAsia="黑体"/>
                <w:b/>
                <w:bCs/>
                <w:kern w:val="44"/>
                <w:szCs w:val="21"/>
              </w:rPr>
              <w:t xml:space="preserve"> </w:t>
            </w:r>
          </w:p>
        </w:tc>
        <w:tc>
          <w:tcPr>
            <w:tcW w:w="1238" w:type="dxa"/>
            <w:tcBorders>
              <w:left w:val="single" w:color="auto" w:sz="4" w:space="0"/>
            </w:tcBorders>
            <w:vAlign w:val="center"/>
          </w:tcPr>
          <w:p>
            <w:pPr>
              <w:spacing w:before="600" w:after="360"/>
              <w:ind w:left="424" w:leftChars="202"/>
              <w:jc w:val="center"/>
              <w:rPr>
                <w:rFonts w:ascii="宋体" w:eastAsia="黑体"/>
                <w:b/>
                <w:bCs/>
                <w:kern w:val="44"/>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54" w:hRule="atLeast"/>
          <w:jc w:val="center"/>
        </w:trPr>
        <w:tc>
          <w:tcPr>
            <w:tcW w:w="1004" w:type="dxa"/>
            <w:tcBorders>
              <w:bottom w:val="single" w:color="auto" w:sz="4" w:space="0"/>
              <w:right w:val="single" w:color="auto" w:sz="4" w:space="0"/>
            </w:tcBorders>
            <w:vAlign w:val="center"/>
          </w:tcPr>
          <w:p>
            <w:pPr>
              <w:autoSpaceDE w:val="0"/>
              <w:autoSpaceDN w:val="0"/>
              <w:adjustRightInd w:val="0"/>
              <w:spacing w:line="400" w:lineRule="exact"/>
              <w:ind w:left="424" w:leftChars="202"/>
              <w:rPr>
                <w:rFonts w:ascii="宋体"/>
                <w:szCs w:val="21"/>
                <w:lang w:val="zh-CN"/>
              </w:rPr>
            </w:pPr>
            <w:r>
              <w:rPr>
                <w:rFonts w:hint="eastAsia" w:ascii="宋体" w:hAnsi="宋体"/>
                <w:szCs w:val="21"/>
                <w:lang w:val="zh-CN"/>
              </w:rPr>
              <w:t>合计</w:t>
            </w:r>
          </w:p>
        </w:tc>
        <w:tc>
          <w:tcPr>
            <w:tcW w:w="8505" w:type="dxa"/>
            <w:gridSpan w:val="3"/>
            <w:tcBorders>
              <w:left w:val="single" w:color="auto" w:sz="4" w:space="0"/>
              <w:bottom w:val="single" w:color="auto" w:sz="4" w:space="0"/>
            </w:tcBorders>
            <w:vAlign w:val="center"/>
          </w:tcPr>
          <w:p>
            <w:pPr>
              <w:spacing w:before="120" w:after="120"/>
              <w:ind w:left="424" w:leftChars="202"/>
              <w:jc w:val="center"/>
              <w:rPr>
                <w:rFonts w:ascii="宋体" w:eastAsia="黑体"/>
                <w:b/>
                <w:bCs/>
                <w:sz w:val="36"/>
                <w:szCs w:val="21"/>
              </w:rPr>
            </w:pPr>
          </w:p>
        </w:tc>
      </w:tr>
    </w:tbl>
    <w:p>
      <w:pPr>
        <w:spacing w:line="440" w:lineRule="exact"/>
        <w:ind w:firstLine="102" w:firstLineChars="49"/>
        <w:rPr>
          <w:rFonts w:ascii="宋体"/>
          <w:szCs w:val="21"/>
        </w:rPr>
      </w:pPr>
      <w:r>
        <w:rPr>
          <w:rFonts w:hint="eastAsia" w:ascii="宋体" w:hAnsi="宋体"/>
          <w:szCs w:val="21"/>
        </w:rPr>
        <w:t>说明：</w:t>
      </w:r>
    </w:p>
    <w:p>
      <w:pPr>
        <w:snapToGrid w:val="0"/>
        <w:spacing w:line="360" w:lineRule="auto"/>
        <w:ind w:right="-340" w:firstLine="420" w:firstLineChars="200"/>
        <w:rPr>
          <w:rFonts w:ascii="宋体"/>
        </w:rPr>
      </w:pPr>
      <w:r>
        <w:rPr>
          <w:rFonts w:hint="eastAsia" w:ascii="宋体" w:hAnsi="宋体"/>
        </w:rPr>
        <w:t>项目费用包括项目实施所需的一切费用。</w:t>
      </w:r>
    </w:p>
    <w:p>
      <w:pPr>
        <w:snapToGrid w:val="0"/>
        <w:spacing w:before="50" w:after="50"/>
        <w:rPr>
          <w:rFonts w:ascii="宋体"/>
        </w:rPr>
      </w:pPr>
    </w:p>
    <w:p>
      <w:pPr>
        <w:snapToGrid w:val="0"/>
        <w:ind w:left="2" w:right="-817" w:rightChars="-389"/>
        <w:rPr>
          <w:rFonts w:ascii="宋体"/>
        </w:rPr>
      </w:pPr>
    </w:p>
    <w:p>
      <w:pPr>
        <w:snapToGrid w:val="0"/>
        <w:ind w:left="2" w:right="-817" w:rightChars="-389"/>
        <w:rPr>
          <w:rFonts w:ascii="宋体"/>
        </w:rPr>
      </w:pPr>
    </w:p>
    <w:p>
      <w:pPr>
        <w:snapToGrid w:val="0"/>
        <w:ind w:left="2" w:right="-817" w:rightChars="-389"/>
        <w:rPr>
          <w:rFonts w:ascii="宋体"/>
        </w:rPr>
      </w:pPr>
      <w:r>
        <w:rPr>
          <w:rFonts w:hint="eastAsia" w:ascii="宋体" w:hAnsi="宋体"/>
        </w:rPr>
        <w:t>投标人名称（盖章）：日期：年月日</w:t>
      </w:r>
    </w:p>
    <w:p>
      <w:pPr>
        <w:snapToGrid w:val="0"/>
        <w:spacing w:before="50" w:after="50"/>
        <w:rPr>
          <w:rFonts w:ascii="宋体"/>
          <w:spacing w:val="20"/>
          <w:u w:val="single"/>
        </w:rPr>
      </w:pPr>
    </w:p>
    <w:p>
      <w:pPr>
        <w:pStyle w:val="20"/>
        <w:snapToGrid w:val="0"/>
        <w:spacing w:before="120" w:line="312" w:lineRule="auto"/>
        <w:ind w:right="-341"/>
        <w:rPr>
          <w:rFonts w:hAnsi="宋体"/>
          <w:b/>
          <w:sz w:val="32"/>
        </w:rPr>
      </w:pPr>
    </w:p>
    <w:p>
      <w:pPr>
        <w:snapToGrid w:val="0"/>
        <w:spacing w:before="120" w:line="312" w:lineRule="auto"/>
        <w:ind w:right="-341"/>
        <w:jc w:val="center"/>
        <w:rPr>
          <w:rFonts w:hAnsi="宋体"/>
          <w:b/>
          <w:sz w:val="32"/>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pStyle w:val="70"/>
      </w:pPr>
    </w:p>
    <w:p>
      <w:pPr>
        <w:pStyle w:val="3"/>
      </w:pPr>
    </w:p>
    <w:p>
      <w:pPr>
        <w:pStyle w:val="3"/>
      </w:pPr>
    </w:p>
    <w:p>
      <w:pPr>
        <w:pStyle w:val="3"/>
      </w:pPr>
    </w:p>
    <w:p>
      <w:pPr>
        <w:snapToGrid w:val="0"/>
        <w:spacing w:before="120" w:line="312" w:lineRule="auto"/>
        <w:ind w:right="-341"/>
        <w:jc w:val="center"/>
        <w:rPr>
          <w:rFonts w:hAnsi="宋体"/>
          <w:b/>
          <w:sz w:val="32"/>
        </w:rPr>
      </w:pPr>
      <w:r>
        <w:rPr>
          <w:rFonts w:hint="eastAsia" w:hAnsi="宋体"/>
          <w:b/>
          <w:sz w:val="32"/>
        </w:rPr>
        <w:t>三、投标报价明细表</w:t>
      </w:r>
    </w:p>
    <w:p>
      <w:pPr>
        <w:snapToGrid w:val="0"/>
        <w:rPr>
          <w:rFonts w:hAnsi="宋体"/>
          <w:b/>
          <w:sz w:val="28"/>
        </w:rPr>
      </w:pPr>
    </w:p>
    <w:p>
      <w:pPr>
        <w:snapToGrid w:val="0"/>
        <w:rPr>
          <w:rFonts w:hAnsi="宋体"/>
          <w:szCs w:val="21"/>
        </w:rPr>
      </w:pPr>
      <w:r>
        <w:rPr>
          <w:rFonts w:hint="eastAsia" w:hAnsi="宋体"/>
          <w:szCs w:val="21"/>
        </w:rPr>
        <w:t>招标项目：金额单位：人民币（元）</w:t>
      </w:r>
    </w:p>
    <w:p>
      <w:pPr>
        <w:pStyle w:val="20"/>
        <w:snapToGrid w:val="0"/>
        <w:spacing w:before="120" w:after="120" w:line="240" w:lineRule="auto"/>
        <w:rPr>
          <w:rFonts w:hAnsi="宋体"/>
          <w:sz w:val="21"/>
          <w:szCs w:val="21"/>
        </w:rPr>
      </w:pPr>
      <w:r>
        <w:rPr>
          <w:rFonts w:hint="eastAsia" w:hAnsi="宋体"/>
          <w:szCs w:val="21"/>
        </w:rPr>
        <w:t>招标编号：</w:t>
      </w:r>
    </w:p>
    <w:tbl>
      <w:tblPr>
        <w:tblStyle w:val="35"/>
        <w:tblW w:w="954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9"/>
        <w:gridCol w:w="2339"/>
        <w:gridCol w:w="1080"/>
        <w:gridCol w:w="1440"/>
        <w:gridCol w:w="10"/>
        <w:gridCol w:w="1430"/>
        <w:gridCol w:w="1262"/>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spacing w:val="20"/>
              </w:rPr>
            </w:pPr>
            <w:r>
              <w:rPr>
                <w:rFonts w:hint="eastAsia" w:ascii="宋体" w:hAnsi="宋体"/>
              </w:rPr>
              <w:t>序号</w:t>
            </w:r>
          </w:p>
        </w:tc>
        <w:tc>
          <w:tcPr>
            <w:tcW w:w="233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spacing w:val="20"/>
              </w:rPr>
            </w:pPr>
            <w:r>
              <w:rPr>
                <w:rFonts w:hint="eastAsia" w:ascii="宋体" w:hAnsi="宋体"/>
              </w:rPr>
              <w:t>名称</w:t>
            </w:r>
          </w:p>
        </w:tc>
        <w:tc>
          <w:tcPr>
            <w:tcW w:w="1080" w:type="dxa"/>
            <w:tcBorders>
              <w:top w:val="single" w:color="auto" w:sz="4" w:space="0"/>
              <w:left w:val="single" w:color="auto" w:sz="4" w:space="0"/>
              <w:bottom w:val="single" w:color="auto" w:sz="4" w:space="0"/>
              <w:right w:val="single" w:color="auto" w:sz="4" w:space="0"/>
            </w:tcBorders>
            <w:vAlign w:val="center"/>
          </w:tcPr>
          <w:p>
            <w:pPr>
              <w:pStyle w:val="96"/>
              <w:snapToGrid w:val="0"/>
              <w:spacing w:before="50" w:after="50" w:line="240" w:lineRule="auto"/>
              <w:rPr>
                <w:rFonts w:ascii="宋体" w:hAnsi="宋体" w:eastAsia="宋体"/>
                <w:sz w:val="21"/>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spacing w:val="20"/>
              </w:rPr>
            </w:pPr>
            <w:r>
              <w:rPr>
                <w:rFonts w:hint="eastAsia" w:ascii="宋体" w:hAnsi="宋体"/>
              </w:rPr>
              <w:t>单价</w:t>
            </w:r>
          </w:p>
        </w:tc>
        <w:tc>
          <w:tcPr>
            <w:tcW w:w="1440" w:type="dxa"/>
            <w:tcBorders>
              <w:top w:val="single" w:color="auto" w:sz="4" w:space="0"/>
              <w:left w:val="single" w:color="auto" w:sz="4" w:space="0"/>
              <w:bottom w:val="single" w:color="auto" w:sz="4" w:space="0"/>
            </w:tcBorders>
            <w:vAlign w:val="center"/>
          </w:tcPr>
          <w:p>
            <w:pPr>
              <w:tabs>
                <w:tab w:val="left" w:pos="1418"/>
              </w:tabs>
              <w:snapToGrid w:val="0"/>
              <w:spacing w:before="50" w:after="50"/>
              <w:jc w:val="center"/>
              <w:rPr>
                <w:rFonts w:ascii="宋体"/>
                <w:spacing w:val="20"/>
              </w:rPr>
            </w:pPr>
            <w:r>
              <w:rPr>
                <w:rFonts w:hint="eastAsia" w:ascii="宋体" w:hAnsi="宋体"/>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r>
              <w:rPr>
                <w:rFonts w:hint="eastAsia" w:ascii="宋体"/>
                <w:spacing w:val="20"/>
              </w:rPr>
              <w:t>……</w:t>
            </w: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233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40" w:type="dxa"/>
            <w:gridSpan w:val="8"/>
            <w:tcBorders>
              <w:top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pStyle w:val="72"/>
              <w:tabs>
                <w:tab w:val="left" w:pos="1418"/>
              </w:tabs>
              <w:snapToGrid w:val="0"/>
              <w:spacing w:before="50" w:after="50"/>
              <w:rPr>
                <w:rFonts w:ascii="宋体"/>
                <w:color w:val="FF0000"/>
                <w:spacing w:val="20"/>
                <w:sz w:val="21"/>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color w:val="FF0000"/>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color w:val="FF0000"/>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color w:val="FF0000"/>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pStyle w:val="72"/>
              <w:tabs>
                <w:tab w:val="left" w:pos="1418"/>
              </w:tabs>
              <w:snapToGrid w:val="0"/>
              <w:spacing w:before="50" w:after="50"/>
              <w:rPr>
                <w:rFonts w:ascii="宋体"/>
                <w:spacing w:val="20"/>
                <w:sz w:val="21"/>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pStyle w:val="72"/>
              <w:tabs>
                <w:tab w:val="left" w:pos="1418"/>
              </w:tabs>
              <w:snapToGrid w:val="0"/>
              <w:spacing w:before="50" w:after="50"/>
              <w:rPr>
                <w:rFonts w:ascii="宋体"/>
                <w:spacing w:val="20"/>
                <w:sz w:val="21"/>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59" w:type="dxa"/>
            <w:gridSpan w:val="3"/>
            <w:tcBorders>
              <w:top w:val="single" w:color="auto" w:sz="4" w:space="0"/>
              <w:left w:val="single" w:color="auto" w:sz="4" w:space="0"/>
              <w:bottom w:val="single" w:color="auto" w:sz="4" w:space="0"/>
              <w:right w:val="single" w:color="auto" w:sz="4" w:space="0"/>
            </w:tcBorders>
          </w:tcPr>
          <w:p>
            <w:pPr>
              <w:pStyle w:val="72"/>
              <w:tabs>
                <w:tab w:val="left" w:pos="1418"/>
              </w:tabs>
              <w:snapToGrid w:val="0"/>
              <w:spacing w:before="50" w:after="50"/>
              <w:rPr>
                <w:rFonts w:ascii="宋体"/>
                <w:spacing w:val="20"/>
                <w:sz w:val="21"/>
              </w:rPr>
            </w:pPr>
          </w:p>
        </w:tc>
        <w:tc>
          <w:tcPr>
            <w:tcW w:w="144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26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69"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spacing w:val="20"/>
              </w:rPr>
            </w:pPr>
          </w:p>
        </w:tc>
        <w:tc>
          <w:tcPr>
            <w:tcW w:w="269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39" w:type="dxa"/>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p>
        </w:tc>
        <w:tc>
          <w:tcPr>
            <w:tcW w:w="4869"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spacing w:val="20"/>
              </w:rPr>
            </w:pPr>
          </w:p>
        </w:tc>
        <w:tc>
          <w:tcPr>
            <w:tcW w:w="269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ind w:left="8"/>
              <w:rPr>
                <w:rFonts w:ascii="宋体"/>
                <w:spacing w:val="20"/>
              </w:rPr>
            </w:pPr>
          </w:p>
        </w:tc>
        <w:tc>
          <w:tcPr>
            <w:tcW w:w="1440" w:type="dxa"/>
            <w:tcBorders>
              <w:top w:val="single" w:color="auto" w:sz="4" w:space="0"/>
              <w:left w:val="single" w:color="auto" w:sz="4" w:space="0"/>
              <w:bottom w:val="single" w:color="auto" w:sz="4" w:space="0"/>
            </w:tcBorders>
          </w:tcPr>
          <w:p>
            <w:pPr>
              <w:tabs>
                <w:tab w:val="left" w:pos="1418"/>
              </w:tabs>
              <w:snapToGrid w:val="0"/>
              <w:spacing w:before="50" w:after="5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8" w:type="dxa"/>
            <w:gridSpan w:val="5"/>
            <w:tcBorders>
              <w:top w:val="single" w:color="auto" w:sz="4" w:space="0"/>
              <w:bottom w:val="single" w:color="auto" w:sz="4" w:space="0"/>
              <w:right w:val="single" w:color="auto" w:sz="4" w:space="0"/>
            </w:tcBorders>
          </w:tcPr>
          <w:p>
            <w:pPr>
              <w:tabs>
                <w:tab w:val="left" w:pos="1418"/>
              </w:tabs>
              <w:snapToGrid w:val="0"/>
              <w:spacing w:before="50" w:after="50"/>
              <w:jc w:val="center"/>
              <w:rPr>
                <w:rFonts w:ascii="宋体"/>
                <w:spacing w:val="20"/>
              </w:rPr>
            </w:pPr>
            <w:r>
              <w:rPr>
                <w:rFonts w:hint="eastAsia" w:ascii="宋体" w:hAnsi="宋体"/>
                <w:spacing w:val="20"/>
              </w:rPr>
              <w:t>投标总价</w:t>
            </w:r>
          </w:p>
        </w:tc>
        <w:tc>
          <w:tcPr>
            <w:tcW w:w="4132" w:type="dxa"/>
            <w:gridSpan w:val="3"/>
            <w:tcBorders>
              <w:top w:val="single" w:color="auto" w:sz="4" w:space="0"/>
              <w:bottom w:val="single" w:color="auto" w:sz="4" w:space="0"/>
            </w:tcBorders>
          </w:tcPr>
          <w:p>
            <w:pPr>
              <w:tabs>
                <w:tab w:val="left" w:pos="1418"/>
              </w:tabs>
              <w:snapToGrid w:val="0"/>
              <w:spacing w:before="50" w:after="50"/>
              <w:jc w:val="center"/>
              <w:rPr>
                <w:rFonts w:ascii="宋体"/>
                <w:spacing w:val="20"/>
              </w:rPr>
            </w:pPr>
          </w:p>
        </w:tc>
      </w:tr>
    </w:tbl>
    <w:p>
      <w:pPr>
        <w:snapToGrid w:val="0"/>
        <w:rPr>
          <w:rFonts w:ascii="宋体"/>
        </w:rPr>
      </w:pPr>
    </w:p>
    <w:p>
      <w:pPr>
        <w:snapToGrid w:val="0"/>
        <w:spacing w:before="50" w:after="50"/>
        <w:rPr>
          <w:rFonts w:ascii="宋体"/>
          <w:spacing w:val="20"/>
          <w:u w:val="single"/>
        </w:rPr>
      </w:pPr>
      <w:r>
        <w:rPr>
          <w:rFonts w:hint="eastAsia" w:ascii="宋体" w:hAnsi="宋体"/>
        </w:rPr>
        <w:t>投标人名称（盖章）：</w:t>
      </w:r>
      <w:r>
        <w:rPr>
          <w:rFonts w:hint="eastAsia" w:ascii="宋体" w:hAnsi="宋体"/>
          <w:spacing w:val="20"/>
        </w:rPr>
        <w:t>日期：</w:t>
      </w:r>
    </w:p>
    <w:p>
      <w:pPr>
        <w:snapToGrid w:val="0"/>
        <w:spacing w:before="50" w:after="50"/>
        <w:rPr>
          <w:rFonts w:ascii="宋体"/>
        </w:rPr>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pStyle w:val="70"/>
      </w:pPr>
    </w:p>
    <w:p>
      <w:pPr>
        <w:snapToGrid w:val="0"/>
        <w:spacing w:before="120" w:line="312" w:lineRule="auto"/>
        <w:ind w:right="-341"/>
        <w:rPr>
          <w:rFonts w:hAnsi="宋体"/>
          <w:b/>
          <w:sz w:val="32"/>
        </w:rPr>
      </w:pPr>
    </w:p>
    <w:p>
      <w:pPr>
        <w:snapToGrid w:val="0"/>
        <w:spacing w:before="120" w:line="312" w:lineRule="auto"/>
        <w:ind w:right="-341"/>
        <w:rPr>
          <w:rFonts w:hAnsi="宋体"/>
          <w:b/>
          <w:sz w:val="32"/>
        </w:rPr>
      </w:pPr>
    </w:p>
    <w:p>
      <w:pPr>
        <w:pStyle w:val="70"/>
      </w:pPr>
    </w:p>
    <w:p>
      <w:pPr>
        <w:pStyle w:val="3"/>
      </w:pPr>
    </w:p>
    <w:p>
      <w:pPr>
        <w:snapToGrid w:val="0"/>
        <w:spacing w:before="120" w:line="312" w:lineRule="auto"/>
        <w:ind w:right="-341"/>
        <w:jc w:val="center"/>
        <w:rPr>
          <w:rFonts w:hAnsi="宋体"/>
          <w:b/>
          <w:sz w:val="32"/>
        </w:rPr>
      </w:pPr>
      <w:r>
        <w:rPr>
          <w:rFonts w:hint="eastAsia" w:hAnsi="宋体"/>
          <w:b/>
          <w:sz w:val="32"/>
        </w:rPr>
        <w:t>四、投标函</w:t>
      </w:r>
    </w:p>
    <w:p>
      <w:pPr>
        <w:snapToGrid w:val="0"/>
        <w:spacing w:line="312" w:lineRule="auto"/>
        <w:ind w:right="-341"/>
        <w:rPr>
          <w:rFonts w:ascii="宋体"/>
        </w:rPr>
      </w:pPr>
    </w:p>
    <w:p>
      <w:pPr>
        <w:snapToGrid w:val="0"/>
        <w:spacing w:line="312" w:lineRule="auto"/>
        <w:ind w:right="-341"/>
        <w:rPr>
          <w:rFonts w:ascii="宋体"/>
        </w:rPr>
      </w:pPr>
      <w:r>
        <w:rPr>
          <w:rFonts w:hint="eastAsia" w:ascii="宋体" w:hAnsi="宋体"/>
        </w:rPr>
        <w:t>致：</w:t>
      </w:r>
      <w:r>
        <w:rPr>
          <w:rFonts w:ascii="宋体" w:hAnsi="宋体"/>
        </w:rPr>
        <w:t>_</w:t>
      </w:r>
      <w:r>
        <w:rPr>
          <w:rFonts w:hint="eastAsia" w:ascii="宋体" w:hAnsi="宋体"/>
          <w:u w:val="single"/>
        </w:rPr>
        <w:t>深圳市国信招标有限公司</w:t>
      </w:r>
      <w:r>
        <w:rPr>
          <w:rFonts w:ascii="宋体" w:hAnsi="宋体"/>
        </w:rPr>
        <w:t>_</w:t>
      </w:r>
      <w:r>
        <w:rPr>
          <w:rFonts w:hint="eastAsia" w:ascii="宋体" w:hAnsi="宋体"/>
        </w:rPr>
        <w:t>：</w:t>
      </w:r>
    </w:p>
    <w:p>
      <w:pPr>
        <w:snapToGrid w:val="0"/>
        <w:spacing w:line="312" w:lineRule="auto"/>
        <w:ind w:right="-341" w:firstLine="480"/>
        <w:rPr>
          <w:rFonts w:ascii="宋体"/>
          <w:szCs w:val="21"/>
        </w:rPr>
      </w:pPr>
      <w:r>
        <w:rPr>
          <w:rFonts w:hint="eastAsia" w:ascii="宋体" w:hAnsi="宋体"/>
        </w:rPr>
        <w:t>根据贵方为项目的招标公告（项目编号：</w:t>
      </w:r>
      <w:r>
        <w:rPr>
          <w:rFonts w:ascii="宋体" w:hAnsi="宋体"/>
        </w:rPr>
        <w:t>____</w:t>
      </w:r>
      <w:r>
        <w:rPr>
          <w:rFonts w:ascii="宋体" w:hAnsi="宋体"/>
          <w:u w:val="single"/>
        </w:rPr>
        <w:t>_     _</w:t>
      </w:r>
      <w:r>
        <w:rPr>
          <w:rFonts w:ascii="宋体" w:hAnsi="宋体"/>
        </w:rPr>
        <w:t>_</w:t>
      </w:r>
      <w:r>
        <w:rPr>
          <w:rFonts w:hint="eastAsia" w:ascii="宋体" w:hAnsi="宋体"/>
        </w:rPr>
        <w:t>），</w:t>
      </w:r>
      <w:r>
        <w:rPr>
          <w:rFonts w:hint="eastAsia" w:ascii="宋体" w:hAnsi="宋体"/>
          <w:szCs w:val="21"/>
        </w:rPr>
        <w:t>提交投标文件正本一份，副本一份。</w:t>
      </w:r>
    </w:p>
    <w:p>
      <w:pPr>
        <w:pStyle w:val="17"/>
        <w:widowControl/>
        <w:spacing w:line="360" w:lineRule="auto"/>
        <w:ind w:right="-341" w:firstLine="387" w:firstLineChars="192"/>
        <w:rPr>
          <w:rFonts w:hAnsi="宋体"/>
          <w:sz w:val="21"/>
          <w:szCs w:val="21"/>
        </w:rPr>
      </w:pPr>
      <w:r>
        <w:rPr>
          <w:rFonts w:hint="eastAsia" w:hAnsi="宋体"/>
          <w:sz w:val="21"/>
          <w:szCs w:val="21"/>
        </w:rPr>
        <w:t>据此函，签字代表宣布同意如下：</w:t>
      </w:r>
    </w:p>
    <w:p>
      <w:pPr>
        <w:pStyle w:val="17"/>
        <w:widowControl/>
        <w:spacing w:line="360" w:lineRule="auto"/>
        <w:ind w:right="-341" w:firstLine="387" w:firstLineChars="192"/>
        <w:rPr>
          <w:rFonts w:hAnsi="宋体" w:cs="宋体"/>
          <w:sz w:val="21"/>
          <w:szCs w:val="21"/>
        </w:rPr>
      </w:pPr>
      <w:r>
        <w:rPr>
          <w:rFonts w:hAnsi="宋体" w:cs="宋体"/>
          <w:sz w:val="21"/>
          <w:szCs w:val="21"/>
        </w:rPr>
        <w:t>1</w:t>
      </w:r>
      <w:r>
        <w:rPr>
          <w:rFonts w:hint="eastAsia" w:hAnsi="宋体" w:cs="宋体"/>
          <w:sz w:val="21"/>
          <w:szCs w:val="21"/>
        </w:rPr>
        <w:t>、我方已详细审查了采购文件的全部内容及其相关补充文件</w:t>
      </w:r>
      <w:r>
        <w:rPr>
          <w:rFonts w:hint="eastAsia" w:hAnsi="宋体" w:cs="宋体"/>
          <w:b/>
          <w:sz w:val="21"/>
          <w:szCs w:val="21"/>
        </w:rPr>
        <w:t>（若有）</w:t>
      </w:r>
      <w:r>
        <w:rPr>
          <w:rFonts w:hint="eastAsia" w:hAnsi="宋体" w:cs="宋体"/>
          <w:sz w:val="21"/>
          <w:szCs w:val="21"/>
        </w:rPr>
        <w:t>，并完全清晰理解全部内容及相关的补充文件</w:t>
      </w:r>
      <w:r>
        <w:rPr>
          <w:rFonts w:hint="eastAsia" w:hAnsi="宋体" w:cs="宋体"/>
          <w:b/>
          <w:sz w:val="21"/>
          <w:szCs w:val="21"/>
        </w:rPr>
        <w:t>（若有）</w:t>
      </w:r>
      <w:r>
        <w:rPr>
          <w:rFonts w:hint="eastAsia" w:hAnsi="宋体" w:cs="宋体"/>
          <w:sz w:val="21"/>
          <w:szCs w:val="21"/>
        </w:rPr>
        <w:t>，不存在任何误解之处，同意放弃提出异议和质疑的权利。</w:t>
      </w:r>
    </w:p>
    <w:p>
      <w:pPr>
        <w:snapToGrid w:val="0"/>
        <w:spacing w:line="360" w:lineRule="auto"/>
        <w:ind w:right="-341" w:firstLine="404" w:firstLineChars="200"/>
        <w:rPr>
          <w:rFonts w:ascii="宋体" w:cs="宋体"/>
          <w:spacing w:val="-4"/>
          <w:szCs w:val="21"/>
        </w:rPr>
      </w:pPr>
      <w:r>
        <w:rPr>
          <w:rFonts w:ascii="宋体" w:hAnsi="宋体" w:cs="宋体"/>
          <w:spacing w:val="-4"/>
          <w:szCs w:val="21"/>
        </w:rPr>
        <w:t>2</w:t>
      </w:r>
      <w:r>
        <w:rPr>
          <w:rFonts w:hint="eastAsia" w:ascii="宋体" w:hAnsi="宋体" w:cs="宋体"/>
          <w:spacing w:val="-4"/>
          <w:szCs w:val="21"/>
        </w:rPr>
        <w:t>、我方遵守《中华人民共和国政府采购法》及相关法律法规的规定。同意采购文件中所提到的无效标条款，并服从有关开标现场的会议纪律。否则，同意被废除投标资格。</w:t>
      </w:r>
    </w:p>
    <w:p>
      <w:pPr>
        <w:spacing w:line="360" w:lineRule="auto"/>
        <w:ind w:right="-341" w:firstLine="404" w:firstLineChars="200"/>
        <w:rPr>
          <w:rFonts w:ascii="宋体" w:cs="宋体"/>
          <w:spacing w:val="-4"/>
          <w:szCs w:val="21"/>
        </w:rPr>
      </w:pPr>
      <w:r>
        <w:rPr>
          <w:rFonts w:ascii="宋体" w:hAnsi="宋体" w:cs="宋体"/>
          <w:spacing w:val="-4"/>
          <w:szCs w:val="21"/>
        </w:rPr>
        <w:t>3</w:t>
      </w:r>
      <w:r>
        <w:rPr>
          <w:rFonts w:hint="eastAsia" w:ascii="宋体" w:hAnsi="宋体" w:cs="宋体"/>
          <w:spacing w:val="-4"/>
          <w:szCs w:val="21"/>
        </w:rPr>
        <w:t>、我方所提供的一次性投标产品报价均具充分的合理性和准确性，保证不存在低于成本的恶意报价行为，同时清楚理解到报价最低并非意味着必定获得合同授予资格。</w:t>
      </w:r>
    </w:p>
    <w:p>
      <w:pPr>
        <w:spacing w:line="360" w:lineRule="auto"/>
        <w:ind w:right="-341" w:firstLine="404" w:firstLineChars="200"/>
        <w:rPr>
          <w:rFonts w:ascii="宋体" w:cs="宋体"/>
          <w:spacing w:val="-4"/>
          <w:szCs w:val="21"/>
        </w:rPr>
      </w:pPr>
      <w:r>
        <w:rPr>
          <w:rFonts w:ascii="宋体" w:hAnsi="宋体" w:cs="宋体"/>
          <w:spacing w:val="-4"/>
          <w:szCs w:val="21"/>
        </w:rPr>
        <w:t>4</w:t>
      </w:r>
      <w:r>
        <w:rPr>
          <w:rFonts w:hint="eastAsia" w:ascii="宋体" w:hAnsi="宋体" w:cs="宋体"/>
          <w:spacing w:val="-4"/>
          <w:szCs w:val="21"/>
        </w:rPr>
        <w:t>、投标有效期为自开标之日起</w:t>
      </w:r>
      <w:r>
        <w:rPr>
          <w:rFonts w:ascii="宋体" w:hAnsi="宋体" w:cs="宋体"/>
          <w:spacing w:val="-4"/>
          <w:szCs w:val="21"/>
        </w:rPr>
        <w:t>9</w:t>
      </w:r>
      <w:r>
        <w:rPr>
          <w:rFonts w:ascii="宋体" w:cs="宋体"/>
          <w:spacing w:val="-4"/>
          <w:szCs w:val="21"/>
          <w:u w:val="single"/>
        </w:rPr>
        <w:t>0</w:t>
      </w:r>
      <w:r>
        <w:rPr>
          <w:rFonts w:hint="eastAsia" w:ascii="宋体" w:hAnsi="宋体" w:cs="宋体"/>
          <w:spacing w:val="-4"/>
          <w:szCs w:val="21"/>
        </w:rPr>
        <w:t>天内，如在投标有效期内撤回投标，我方同意被废除投标资格。</w:t>
      </w:r>
    </w:p>
    <w:p>
      <w:pPr>
        <w:spacing w:line="360" w:lineRule="auto"/>
        <w:ind w:right="-341" w:firstLine="404" w:firstLineChars="200"/>
        <w:rPr>
          <w:rFonts w:ascii="宋体" w:cs="宋体"/>
          <w:spacing w:val="-4"/>
          <w:szCs w:val="21"/>
        </w:rPr>
      </w:pPr>
      <w:r>
        <w:rPr>
          <w:rFonts w:ascii="宋体" w:hAnsi="宋体" w:cs="宋体"/>
          <w:spacing w:val="-4"/>
          <w:szCs w:val="21"/>
        </w:rPr>
        <w:t>5</w:t>
      </w:r>
      <w:r>
        <w:rPr>
          <w:rFonts w:hint="eastAsia" w:ascii="宋体" w:hAnsi="宋体" w:cs="宋体"/>
          <w:spacing w:val="-4"/>
          <w:szCs w:val="21"/>
        </w:rPr>
        <w:t>、我方承诺</w:t>
      </w:r>
      <w:r>
        <w:rPr>
          <w:rFonts w:hint="eastAsia" w:ascii="宋体" w:hAnsi="宋体" w:cs="宋体"/>
          <w:szCs w:val="21"/>
        </w:rPr>
        <w:t>参加政府采购活动前</w:t>
      </w:r>
      <w:r>
        <w:rPr>
          <w:rFonts w:ascii="宋体" w:hAnsi="宋体" w:cs="宋体"/>
          <w:szCs w:val="21"/>
        </w:rPr>
        <w:t>3</w:t>
      </w:r>
      <w:r>
        <w:rPr>
          <w:rFonts w:hint="eastAsia" w:ascii="宋体" w:hAnsi="宋体" w:cs="宋体"/>
          <w:szCs w:val="21"/>
        </w:rPr>
        <w:t>年内在经营活动中没有重大违法记录和依法缴纳了税收</w:t>
      </w:r>
      <w:r>
        <w:rPr>
          <w:rFonts w:hint="eastAsia" w:ascii="宋体" w:hAnsi="宋体" w:cs="宋体"/>
          <w:spacing w:val="-4"/>
          <w:szCs w:val="21"/>
        </w:rPr>
        <w:t>（投标截止时间进行计算）。</w:t>
      </w:r>
    </w:p>
    <w:p>
      <w:pPr>
        <w:spacing w:line="360" w:lineRule="auto"/>
        <w:ind w:right="-341" w:firstLine="404" w:firstLineChars="200"/>
        <w:rPr>
          <w:szCs w:val="21"/>
        </w:rPr>
      </w:pPr>
      <w:r>
        <w:rPr>
          <w:rFonts w:ascii="宋体" w:hAnsi="宋体" w:cs="宋体"/>
          <w:spacing w:val="-4"/>
          <w:szCs w:val="21"/>
        </w:rPr>
        <w:t>6</w:t>
      </w:r>
      <w:r>
        <w:rPr>
          <w:rFonts w:hint="eastAsia" w:ascii="宋体" w:hAnsi="宋体" w:cs="宋体"/>
          <w:spacing w:val="-4"/>
          <w:szCs w:val="21"/>
        </w:rPr>
        <w:t>、我方承诺具备本项目</w:t>
      </w:r>
      <w:r>
        <w:rPr>
          <w:rFonts w:hint="eastAsia" w:cs="宋体"/>
          <w:szCs w:val="21"/>
        </w:rPr>
        <w:t>履行合同所必需的设备和专业技术能力</w:t>
      </w:r>
    </w:p>
    <w:p>
      <w:pPr>
        <w:spacing w:line="360" w:lineRule="auto"/>
        <w:ind w:right="-341" w:firstLine="404" w:firstLineChars="200"/>
        <w:rPr>
          <w:rFonts w:ascii="宋体" w:cs="宋体"/>
          <w:spacing w:val="-4"/>
          <w:szCs w:val="21"/>
        </w:rPr>
      </w:pPr>
      <w:r>
        <w:rPr>
          <w:rFonts w:ascii="宋体" w:hAnsi="宋体" w:cs="宋体"/>
          <w:spacing w:val="-4"/>
          <w:szCs w:val="21"/>
        </w:rPr>
        <w:t>7</w:t>
      </w:r>
      <w:r>
        <w:rPr>
          <w:rFonts w:hint="eastAsia" w:ascii="宋体" w:hAnsi="宋体" w:cs="宋体"/>
          <w:spacing w:val="-4"/>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right="-341" w:firstLine="404" w:firstLineChars="200"/>
        <w:rPr>
          <w:rFonts w:ascii="宋体" w:cs="宋体"/>
          <w:spacing w:val="-4"/>
          <w:szCs w:val="21"/>
        </w:rPr>
      </w:pPr>
      <w:r>
        <w:rPr>
          <w:rFonts w:ascii="宋体" w:hAnsi="宋体" w:cs="宋体"/>
          <w:spacing w:val="-4"/>
          <w:szCs w:val="21"/>
        </w:rPr>
        <w:t>8</w:t>
      </w:r>
      <w:r>
        <w:rPr>
          <w:rFonts w:hint="eastAsia" w:ascii="宋体" w:hAnsi="宋体" w:cs="宋体"/>
          <w:spacing w:val="-4"/>
          <w:szCs w:val="21"/>
        </w:rPr>
        <w:t>、我方承诺至开标之日止，未被“信用中国”（</w:t>
      </w:r>
      <w:r>
        <w:rPr>
          <w:rFonts w:ascii="宋体" w:hAnsi="宋体" w:cs="宋体"/>
          <w:spacing w:val="-4"/>
          <w:szCs w:val="21"/>
        </w:rPr>
        <w:t>www.creditchina.gov.cn</w:t>
      </w:r>
      <w:r>
        <w:rPr>
          <w:rFonts w:hint="eastAsia" w:ascii="宋体" w:hAnsi="宋体" w:cs="宋体"/>
          <w:spacing w:val="-4"/>
          <w:szCs w:val="21"/>
        </w:rPr>
        <w:t>）、中国政府采购网（</w:t>
      </w:r>
      <w:r>
        <w:rPr>
          <w:rFonts w:ascii="宋体" w:hAnsi="宋体" w:cs="宋体"/>
          <w:spacing w:val="-4"/>
          <w:szCs w:val="21"/>
        </w:rPr>
        <w:t>www.ccgp.gov.cn</w:t>
      </w:r>
      <w:r>
        <w:rPr>
          <w:rFonts w:hint="eastAsia" w:ascii="宋体" w:hAnsi="宋体" w:cs="宋体"/>
          <w:spacing w:val="-4"/>
          <w:szCs w:val="21"/>
        </w:rPr>
        <w:t>）列入失信被执行人、重大税收违法案件当事人名单、政府采购严重违法失信行为记录名单。</w:t>
      </w:r>
    </w:p>
    <w:p>
      <w:pPr>
        <w:snapToGrid w:val="0"/>
        <w:spacing w:line="360" w:lineRule="auto"/>
        <w:ind w:right="-341" w:firstLine="420" w:firstLineChars="200"/>
        <w:rPr>
          <w:rFonts w:ascii="宋体"/>
        </w:rPr>
      </w:pPr>
      <w:r>
        <w:rPr>
          <w:rFonts w:ascii="宋体" w:hAnsi="宋体"/>
        </w:rPr>
        <w:t>9</w:t>
      </w:r>
      <w:r>
        <w:rPr>
          <w:rFonts w:hint="eastAsia" w:ascii="宋体" w:hAnsi="宋体"/>
        </w:rPr>
        <w:t>、与本投标有关的一切正式往来信函请寄：</w:t>
      </w:r>
    </w:p>
    <w:p>
      <w:pPr>
        <w:snapToGrid w:val="0"/>
        <w:spacing w:line="312" w:lineRule="auto"/>
        <w:ind w:right="-341"/>
        <w:rPr>
          <w:rFonts w:ascii="宋体"/>
        </w:rPr>
      </w:pPr>
      <w:r>
        <w:rPr>
          <w:rFonts w:hint="eastAsia" w:ascii="宋体" w:hAnsi="宋体"/>
        </w:rPr>
        <w:t>地址：</w:t>
      </w:r>
      <w:r>
        <w:rPr>
          <w:rFonts w:ascii="宋体" w:hAnsi="宋体"/>
        </w:rPr>
        <w:t>__________</w:t>
      </w:r>
      <w:r>
        <w:rPr>
          <w:rFonts w:ascii="宋体" w:hAnsi="宋体"/>
          <w:u w:val="single"/>
        </w:rPr>
        <w:t xml:space="preserve">        _</w:t>
      </w:r>
      <w:r>
        <w:rPr>
          <w:rFonts w:ascii="宋体" w:hAnsi="宋体"/>
        </w:rPr>
        <w:t>____</w:t>
      </w:r>
      <w:r>
        <w:rPr>
          <w:rFonts w:hint="eastAsia" w:ascii="宋体" w:hAnsi="宋体"/>
        </w:rPr>
        <w:t>邮编：</w:t>
      </w:r>
      <w:r>
        <w:rPr>
          <w:rFonts w:ascii="宋体" w:hAnsi="宋体"/>
        </w:rPr>
        <w:t xml:space="preserve">__________   </w:t>
      </w:r>
      <w:r>
        <w:rPr>
          <w:rFonts w:hint="eastAsia" w:ascii="宋体" w:hAnsi="宋体"/>
        </w:rPr>
        <w:t>电话：</w:t>
      </w:r>
      <w:r>
        <w:rPr>
          <w:rFonts w:ascii="宋体" w:hAnsi="宋体"/>
        </w:rPr>
        <w:t>______________</w:t>
      </w:r>
    </w:p>
    <w:p>
      <w:pPr>
        <w:snapToGrid w:val="0"/>
        <w:spacing w:line="312" w:lineRule="auto"/>
        <w:ind w:right="-341"/>
        <w:rPr>
          <w:rFonts w:ascii="宋体"/>
        </w:rPr>
      </w:pPr>
      <w:r>
        <w:rPr>
          <w:rFonts w:hint="eastAsia" w:ascii="宋体" w:hAnsi="宋体"/>
        </w:rPr>
        <w:t>传真：</w:t>
      </w:r>
      <w:r>
        <w:rPr>
          <w:rFonts w:ascii="宋体" w:hAnsi="宋体"/>
        </w:rPr>
        <w:t>______________</w:t>
      </w:r>
      <w:r>
        <w:rPr>
          <w:rFonts w:hint="eastAsia" w:ascii="宋体" w:hAnsi="宋体"/>
        </w:rPr>
        <w:t>投标人代表姓名</w:t>
      </w:r>
      <w:r>
        <w:rPr>
          <w:rFonts w:ascii="宋体" w:hAnsi="宋体"/>
        </w:rPr>
        <w:t xml:space="preserve"> ___________  </w:t>
      </w:r>
      <w:r>
        <w:rPr>
          <w:rFonts w:hint="eastAsia" w:ascii="宋体" w:hAnsi="宋体"/>
        </w:rPr>
        <w:t>职务：</w:t>
      </w:r>
      <w:r>
        <w:rPr>
          <w:rFonts w:ascii="宋体" w:hAnsi="宋体"/>
        </w:rPr>
        <w:t>_____________</w:t>
      </w:r>
    </w:p>
    <w:p>
      <w:pPr>
        <w:snapToGrid w:val="0"/>
        <w:spacing w:line="312" w:lineRule="auto"/>
        <w:ind w:right="-341"/>
        <w:rPr>
          <w:rFonts w:ascii="宋体"/>
        </w:rPr>
      </w:pPr>
      <w:r>
        <w:rPr>
          <w:rFonts w:hint="eastAsia" w:ascii="宋体" w:hAnsi="宋体"/>
        </w:rPr>
        <w:t>投标人名称</w:t>
      </w:r>
      <w:r>
        <w:rPr>
          <w:rFonts w:ascii="宋体" w:hAnsi="宋体"/>
        </w:rPr>
        <w:t>(</w:t>
      </w:r>
      <w:r>
        <w:rPr>
          <w:rFonts w:hint="eastAsia" w:ascii="宋体" w:hAnsi="宋体"/>
        </w:rPr>
        <w:t>公章</w:t>
      </w:r>
      <w:r>
        <w:rPr>
          <w:rFonts w:ascii="宋体" w:hAnsi="宋体"/>
        </w:rPr>
        <w:t>):___________________</w:t>
      </w:r>
    </w:p>
    <w:p>
      <w:pPr>
        <w:snapToGrid w:val="0"/>
        <w:spacing w:line="312" w:lineRule="auto"/>
        <w:ind w:right="-341"/>
        <w:rPr>
          <w:rFonts w:ascii="宋体"/>
        </w:rPr>
      </w:pPr>
      <w:r>
        <w:rPr>
          <w:rFonts w:hint="eastAsia" w:ascii="宋体" w:hAnsi="宋体"/>
        </w:rPr>
        <w:t>开户银行：银行帐号：</w:t>
      </w:r>
    </w:p>
    <w:p>
      <w:pPr>
        <w:snapToGrid w:val="0"/>
        <w:ind w:right="-341"/>
        <w:rPr>
          <w:rFonts w:ascii="宋体"/>
        </w:rPr>
      </w:pPr>
    </w:p>
    <w:p>
      <w:pPr>
        <w:snapToGrid w:val="0"/>
        <w:spacing w:before="120" w:line="312" w:lineRule="auto"/>
        <w:ind w:right="-341" w:firstLine="2940" w:firstLineChars="1400"/>
        <w:rPr>
          <w:rFonts w:hAnsi="宋体"/>
        </w:rPr>
      </w:pPr>
      <w:r>
        <w:rPr>
          <w:rFonts w:hint="eastAsia" w:hAnsi="宋体"/>
        </w:rPr>
        <w:t>日期</w:t>
      </w:r>
      <w:r>
        <w:rPr>
          <w:rFonts w:hAnsi="宋体"/>
        </w:rPr>
        <w:t>:_____</w:t>
      </w:r>
      <w:r>
        <w:rPr>
          <w:rFonts w:hint="eastAsia" w:hAnsi="宋体"/>
        </w:rPr>
        <w:t>年</w:t>
      </w:r>
      <w:r>
        <w:rPr>
          <w:rFonts w:hAnsi="宋体"/>
        </w:rPr>
        <w:t>___</w:t>
      </w:r>
      <w:r>
        <w:rPr>
          <w:rFonts w:hint="eastAsia" w:hAnsi="宋体"/>
        </w:rPr>
        <w:t>月</w:t>
      </w:r>
      <w:r>
        <w:rPr>
          <w:rFonts w:hAnsi="宋体"/>
        </w:rPr>
        <w:t>___</w:t>
      </w:r>
      <w:r>
        <w:rPr>
          <w:rFonts w:hint="eastAsia" w:hAnsi="宋体"/>
        </w:rPr>
        <w:t>日</w:t>
      </w:r>
    </w:p>
    <w:p>
      <w:pPr>
        <w:snapToGrid w:val="0"/>
        <w:spacing w:line="312" w:lineRule="auto"/>
        <w:ind w:right="-341"/>
        <w:jc w:val="left"/>
        <w:rPr>
          <w:rFonts w:ascii="宋体"/>
          <w:b/>
          <w:sz w:val="24"/>
        </w:rPr>
      </w:pPr>
      <w:r>
        <w:rPr>
          <w:rFonts w:ascii="宋体"/>
        </w:rPr>
        <w:br w:type="page"/>
      </w:r>
    </w:p>
    <w:p>
      <w:pPr>
        <w:snapToGrid w:val="0"/>
        <w:spacing w:before="120" w:line="312" w:lineRule="auto"/>
        <w:ind w:right="-341"/>
        <w:jc w:val="center"/>
        <w:rPr>
          <w:rFonts w:hAnsi="宋体"/>
          <w:b/>
          <w:sz w:val="32"/>
        </w:rPr>
      </w:pPr>
    </w:p>
    <w:p>
      <w:pPr>
        <w:snapToGrid w:val="0"/>
        <w:spacing w:beforeLines="50" w:after="50"/>
        <w:jc w:val="center"/>
        <w:rPr>
          <w:rFonts w:ascii="宋体"/>
          <w:b/>
          <w:sz w:val="32"/>
          <w:szCs w:val="32"/>
        </w:rPr>
      </w:pPr>
      <w:r>
        <w:rPr>
          <w:rFonts w:hint="eastAsia" w:ascii="宋体" w:hAnsi="宋体"/>
          <w:b/>
          <w:sz w:val="32"/>
          <w:szCs w:val="32"/>
        </w:rPr>
        <w:t>五、声明函</w:t>
      </w:r>
    </w:p>
    <w:p>
      <w:pPr>
        <w:snapToGrid w:val="0"/>
        <w:spacing w:beforeLines="50" w:after="50" w:line="360" w:lineRule="auto"/>
        <w:rPr>
          <w:rFonts w:ascii="宋体"/>
          <w:szCs w:val="21"/>
        </w:rPr>
      </w:pPr>
    </w:p>
    <w:p>
      <w:pPr>
        <w:snapToGrid w:val="0"/>
        <w:spacing w:beforeLines="50" w:after="50" w:line="360" w:lineRule="auto"/>
        <w:rPr>
          <w:rFonts w:ascii="宋体"/>
          <w:szCs w:val="21"/>
        </w:rPr>
      </w:pPr>
      <w:r>
        <w:rPr>
          <w:rFonts w:hint="eastAsia" w:ascii="宋体" w:hAnsi="宋体"/>
          <w:szCs w:val="21"/>
        </w:rPr>
        <w:t>致：</w:t>
      </w:r>
      <w:r>
        <w:rPr>
          <w:rFonts w:ascii="宋体" w:hAnsi="宋体"/>
          <w:szCs w:val="21"/>
        </w:rPr>
        <w:t>_</w:t>
      </w:r>
      <w:r>
        <w:rPr>
          <w:rFonts w:hint="eastAsia" w:ascii="宋体" w:hAnsi="宋体"/>
          <w:u w:val="single"/>
        </w:rPr>
        <w:t>深圳市国信招标有限公司</w:t>
      </w:r>
      <w:r>
        <w:rPr>
          <w:rFonts w:ascii="宋体" w:hAnsi="宋体"/>
        </w:rPr>
        <w:t>_</w:t>
      </w:r>
      <w:r>
        <w:rPr>
          <w:rFonts w:hint="eastAsia" w:ascii="宋体" w:hAnsi="宋体"/>
          <w:szCs w:val="21"/>
        </w:rPr>
        <w:t>：</w:t>
      </w:r>
    </w:p>
    <w:p>
      <w:pPr>
        <w:pStyle w:val="3"/>
        <w:spacing w:line="360" w:lineRule="auto"/>
        <w:ind w:firstLine="480"/>
        <w:rPr>
          <w:rFonts w:ascii="宋体"/>
          <w:sz w:val="21"/>
          <w:szCs w:val="21"/>
        </w:rPr>
      </w:pPr>
      <w:r>
        <w:rPr>
          <w:rFonts w:hint="eastAsia" w:ascii="宋体" w:hAnsi="宋体"/>
          <w:sz w:val="21"/>
          <w:szCs w:val="21"/>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宋体" w:hAnsi="宋体"/>
          <w:sz w:val="21"/>
          <w:szCs w:val="21"/>
        </w:rPr>
        <w:t>/</w:t>
      </w:r>
      <w:r>
        <w:rPr>
          <w:rFonts w:hint="eastAsia" w:ascii="宋体" w:hAnsi="宋体"/>
          <w:sz w:val="21"/>
          <w:szCs w:val="21"/>
        </w:rPr>
        <w:t>中标</w:t>
      </w:r>
      <w:r>
        <w:rPr>
          <w:rFonts w:ascii="宋体" w:hAnsi="宋体"/>
          <w:sz w:val="21"/>
          <w:szCs w:val="21"/>
        </w:rPr>
        <w:t>/</w:t>
      </w:r>
      <w:r>
        <w:rPr>
          <w:rFonts w:hint="eastAsia" w:ascii="宋体" w:hAnsi="宋体"/>
          <w:sz w:val="21"/>
          <w:szCs w:val="21"/>
        </w:rPr>
        <w:t>签订合同），我方对此无任何异议。</w:t>
      </w:r>
    </w:p>
    <w:p>
      <w:pPr>
        <w:pStyle w:val="3"/>
        <w:spacing w:line="360" w:lineRule="auto"/>
        <w:ind w:firstLine="480"/>
        <w:rPr>
          <w:rFonts w:ascii="宋体"/>
          <w:sz w:val="21"/>
          <w:szCs w:val="21"/>
        </w:rPr>
      </w:pPr>
      <w:r>
        <w:rPr>
          <w:rFonts w:hint="eastAsia" w:ascii="宋体" w:hAnsi="宋体"/>
          <w:sz w:val="21"/>
          <w:szCs w:val="21"/>
        </w:rPr>
        <w:t>特此声明！</w:t>
      </w:r>
    </w:p>
    <w:p>
      <w:pPr>
        <w:pStyle w:val="3"/>
        <w:ind w:firstLine="480"/>
        <w:rPr>
          <w:rFonts w:ascii="宋体"/>
        </w:rPr>
      </w:pPr>
    </w:p>
    <w:p>
      <w:pPr>
        <w:snapToGrid w:val="0"/>
        <w:spacing w:beforeLines="50"/>
        <w:ind w:firstLine="200"/>
        <w:rPr>
          <w:rFonts w:ascii="宋体"/>
        </w:rPr>
      </w:pPr>
    </w:p>
    <w:p>
      <w:pPr>
        <w:snapToGrid w:val="0"/>
        <w:spacing w:before="50" w:after="50"/>
        <w:rPr>
          <w:rFonts w:ascii="宋体"/>
        </w:rPr>
      </w:pPr>
    </w:p>
    <w:p>
      <w:pPr>
        <w:snapToGrid w:val="0"/>
        <w:ind w:left="2" w:right="-817" w:rightChars="-389"/>
        <w:rPr>
          <w:rFonts w:ascii="宋体"/>
        </w:rPr>
      </w:pPr>
    </w:p>
    <w:p>
      <w:pPr>
        <w:snapToGrid w:val="0"/>
        <w:spacing w:before="50" w:line="312" w:lineRule="auto"/>
        <w:jc w:val="left"/>
        <w:rPr>
          <w:rFonts w:ascii="宋体"/>
          <w:b/>
          <w:spacing w:val="20"/>
          <w:sz w:val="28"/>
        </w:rPr>
      </w:pPr>
      <w:r>
        <w:rPr>
          <w:rFonts w:hint="eastAsia" w:ascii="宋体" w:hAnsi="宋体"/>
        </w:rPr>
        <w:t>投标人名称（盖章）：日期：</w:t>
      </w:r>
    </w:p>
    <w:p>
      <w:pPr>
        <w:pStyle w:val="72"/>
        <w:snapToGrid w:val="0"/>
        <w:spacing w:beforeLines="50"/>
        <w:ind w:firstLine="200"/>
        <w:jc w:val="right"/>
        <w:rPr>
          <w:rFonts w:ascii="宋体"/>
          <w:sz w:val="21"/>
          <w:szCs w:val="24"/>
        </w:rPr>
      </w:pPr>
    </w:p>
    <w:p>
      <w:pPr>
        <w:snapToGrid w:val="0"/>
        <w:spacing w:beforeLines="50" w:after="50"/>
        <w:ind w:firstLine="482" w:firstLineChars="200"/>
        <w:jc w:val="left"/>
        <w:rPr>
          <w:rFonts w:ascii="宋体"/>
          <w:b/>
          <w:bCs/>
          <w:sz w:val="24"/>
        </w:rPr>
      </w:pPr>
    </w:p>
    <w:p>
      <w:pPr>
        <w:pStyle w:val="72"/>
        <w:snapToGrid w:val="0"/>
        <w:spacing w:beforeLines="50"/>
        <w:ind w:left="5250" w:firstLine="200"/>
        <w:jc w:val="right"/>
        <w:rPr>
          <w:rFonts w:ascii="宋体"/>
          <w:sz w:val="21"/>
          <w:szCs w:val="24"/>
        </w:rPr>
      </w:pPr>
    </w:p>
    <w:p>
      <w:pPr>
        <w:snapToGrid w:val="0"/>
        <w:spacing w:before="120" w:line="312" w:lineRule="auto"/>
        <w:ind w:right="-341"/>
        <w:jc w:val="center"/>
        <w:rPr>
          <w:rFonts w:hAnsi="宋体"/>
          <w:b/>
          <w:sz w:val="32"/>
        </w:rPr>
      </w:pPr>
    </w:p>
    <w:p>
      <w:pPr>
        <w:snapToGrid w:val="0"/>
        <w:spacing w:before="120" w:line="312" w:lineRule="auto"/>
        <w:ind w:right="-341"/>
        <w:jc w:val="center"/>
        <w:rPr>
          <w:rFonts w:hAnsi="宋体"/>
          <w:b/>
          <w:sz w:val="32"/>
        </w:rPr>
      </w:pPr>
    </w:p>
    <w:p>
      <w:pPr>
        <w:snapToGrid w:val="0"/>
        <w:spacing w:before="120" w:line="312" w:lineRule="auto"/>
        <w:ind w:right="-341"/>
        <w:jc w:val="center"/>
        <w:rPr>
          <w:rFonts w:hAnsi="宋体"/>
          <w:b/>
          <w:sz w:val="32"/>
        </w:rPr>
      </w:pPr>
    </w:p>
    <w:p>
      <w:pPr>
        <w:snapToGrid w:val="0"/>
        <w:spacing w:before="120" w:line="312" w:lineRule="auto"/>
        <w:ind w:right="-341"/>
        <w:jc w:val="center"/>
        <w:rPr>
          <w:rFonts w:hAnsi="宋体"/>
          <w:b/>
          <w:sz w:val="32"/>
        </w:rPr>
      </w:pPr>
    </w:p>
    <w:p>
      <w:pPr>
        <w:snapToGrid w:val="0"/>
        <w:spacing w:line="312" w:lineRule="auto"/>
        <w:jc w:val="left"/>
        <w:rPr>
          <w:rFonts w:hAnsi="宋体"/>
          <w:b/>
          <w:sz w:val="32"/>
        </w:rPr>
      </w:pPr>
    </w:p>
    <w:p>
      <w:pPr>
        <w:snapToGrid w:val="0"/>
        <w:spacing w:line="312" w:lineRule="auto"/>
        <w:jc w:val="left"/>
        <w:rPr>
          <w:rFonts w:hAnsi="宋体"/>
          <w:b/>
          <w:sz w:val="32"/>
        </w:rPr>
      </w:pPr>
    </w:p>
    <w:p>
      <w:pPr>
        <w:snapToGrid w:val="0"/>
        <w:spacing w:line="312" w:lineRule="auto"/>
        <w:jc w:val="left"/>
        <w:rPr>
          <w:rFonts w:hAnsi="宋体"/>
          <w:b/>
          <w:sz w:val="32"/>
        </w:rPr>
      </w:pPr>
    </w:p>
    <w:p>
      <w:pPr>
        <w:snapToGrid w:val="0"/>
        <w:spacing w:line="312" w:lineRule="auto"/>
        <w:jc w:val="left"/>
        <w:rPr>
          <w:rFonts w:hAnsi="宋体"/>
          <w:b/>
          <w:sz w:val="32"/>
        </w:rPr>
      </w:pPr>
    </w:p>
    <w:p>
      <w:pPr>
        <w:snapToGrid w:val="0"/>
        <w:spacing w:line="312" w:lineRule="auto"/>
        <w:jc w:val="left"/>
        <w:rPr>
          <w:rFonts w:hAnsi="宋体"/>
          <w:b/>
          <w:sz w:val="32"/>
        </w:rPr>
      </w:pPr>
    </w:p>
    <w:p>
      <w:pPr>
        <w:snapToGrid w:val="0"/>
        <w:spacing w:line="312" w:lineRule="auto"/>
        <w:jc w:val="left"/>
        <w:rPr>
          <w:rFonts w:hAnsi="宋体"/>
          <w:b/>
          <w:sz w:val="32"/>
        </w:rPr>
      </w:pPr>
    </w:p>
    <w:p>
      <w:pPr>
        <w:snapToGrid w:val="0"/>
        <w:spacing w:line="312" w:lineRule="auto"/>
        <w:jc w:val="left"/>
        <w:rPr>
          <w:rFonts w:ascii="宋体"/>
          <w:b/>
          <w:sz w:val="24"/>
        </w:rPr>
      </w:pPr>
    </w:p>
    <w:p>
      <w:pPr>
        <w:jc w:val="center"/>
        <w:rPr>
          <w:rFonts w:ascii="宋体"/>
          <w:b/>
          <w:spacing w:val="20"/>
          <w:sz w:val="28"/>
        </w:rPr>
      </w:pPr>
    </w:p>
    <w:p>
      <w:pPr>
        <w:jc w:val="center"/>
        <w:rPr>
          <w:sz w:val="30"/>
          <w:szCs w:val="30"/>
        </w:rPr>
      </w:pPr>
      <w:r>
        <w:rPr>
          <w:rFonts w:hint="eastAsia" w:ascii="宋体" w:hAnsi="宋体"/>
          <w:b/>
          <w:spacing w:val="20"/>
          <w:sz w:val="28"/>
        </w:rPr>
        <w:t>六、</w:t>
      </w:r>
      <w:r>
        <w:rPr>
          <w:rFonts w:hint="eastAsia"/>
          <w:b/>
          <w:bCs/>
          <w:sz w:val="30"/>
          <w:szCs w:val="30"/>
        </w:rPr>
        <w:t>廉政承诺书</w:t>
      </w:r>
    </w:p>
    <w:p>
      <w:pPr>
        <w:rPr>
          <w:b/>
          <w:bCs/>
          <w:sz w:val="28"/>
          <w:szCs w:val="28"/>
        </w:rPr>
      </w:pPr>
    </w:p>
    <w:p>
      <w:pPr>
        <w:rPr>
          <w:b/>
          <w:bCs/>
          <w:sz w:val="24"/>
        </w:rPr>
      </w:pPr>
      <w:r>
        <w:rPr>
          <w:rFonts w:hint="eastAsia"/>
          <w:b/>
          <w:bCs/>
          <w:sz w:val="24"/>
        </w:rPr>
        <w:t>致：</w:t>
      </w:r>
      <w:r>
        <w:rPr>
          <w:rFonts w:hint="eastAsia"/>
          <w:b/>
          <w:bCs/>
          <w:sz w:val="24"/>
          <w:u w:val="single"/>
        </w:rPr>
        <w:t>（</w:t>
      </w:r>
      <w:r>
        <w:rPr>
          <w:rFonts w:hint="eastAsia"/>
          <w:b/>
          <w:bCs/>
          <w:sz w:val="24"/>
        </w:rPr>
        <w:t>招标人）：</w:t>
      </w:r>
    </w:p>
    <w:p>
      <w:pPr>
        <w:spacing w:line="360" w:lineRule="auto"/>
        <w:ind w:firstLine="420" w:firstLineChars="200"/>
        <w:rPr>
          <w:rFonts w:ascii="宋体" w:cs="仿宋"/>
          <w:szCs w:val="21"/>
        </w:rPr>
      </w:pPr>
      <w:r>
        <w:rPr>
          <w:rFonts w:hint="eastAsia" w:ascii="宋体" w:hAnsi="宋体" w:cs="仿宋"/>
          <w:szCs w:val="21"/>
        </w:rPr>
        <w:t>我单位响应你单位项目招标要求参加投标，在这次投标过程中和中标后，我们将严格遵守国家法律法规要求，并郑重承诺</w:t>
      </w:r>
      <w:r>
        <w:rPr>
          <w:rFonts w:ascii="宋体" w:hAnsi="宋体" w:cs="仿宋"/>
          <w:szCs w:val="21"/>
        </w:rPr>
        <w:t>:</w:t>
      </w:r>
    </w:p>
    <w:p>
      <w:pPr>
        <w:spacing w:line="360" w:lineRule="auto"/>
        <w:ind w:firstLine="420" w:firstLineChars="200"/>
        <w:rPr>
          <w:rFonts w:ascii="宋体" w:cs="仿宋"/>
          <w:szCs w:val="21"/>
        </w:rPr>
      </w:pPr>
      <w:r>
        <w:rPr>
          <w:rFonts w:hint="eastAsia" w:ascii="宋体" w:hAnsi="宋体" w:cs="仿宋"/>
          <w:szCs w:val="21"/>
        </w:rPr>
        <w:t>一、不向项目有关人员及部门赠送礼金礼物、有价证券、回扣以及中介费、介绍费、咨询费等好处费。</w:t>
      </w:r>
    </w:p>
    <w:p>
      <w:pPr>
        <w:spacing w:line="360" w:lineRule="auto"/>
        <w:ind w:firstLine="420" w:firstLineChars="200"/>
        <w:rPr>
          <w:rFonts w:ascii="宋体" w:cs="仿宋"/>
          <w:szCs w:val="21"/>
        </w:rPr>
      </w:pPr>
      <w:r>
        <w:rPr>
          <w:rFonts w:hint="eastAsia" w:ascii="宋体" w:hAnsi="宋体" w:cs="仿宋"/>
          <w:szCs w:val="21"/>
        </w:rPr>
        <w:t>二、不为项目有关人员及部门报销应由你方单位或个人支付的费用</w:t>
      </w:r>
      <w:r>
        <w:rPr>
          <w:rFonts w:ascii="宋体" w:hAnsi="宋体" w:cs="仿宋"/>
          <w:szCs w:val="21"/>
        </w:rPr>
        <w:t>;</w:t>
      </w:r>
    </w:p>
    <w:p>
      <w:pPr>
        <w:spacing w:line="360" w:lineRule="auto"/>
        <w:ind w:firstLine="420" w:firstLineChars="200"/>
        <w:rPr>
          <w:rFonts w:ascii="宋体" w:cs="仿宋"/>
          <w:szCs w:val="21"/>
        </w:rPr>
      </w:pPr>
      <w:r>
        <w:rPr>
          <w:rFonts w:hint="eastAsia" w:ascii="宋体" w:hAnsi="宋体" w:cs="仿宋"/>
          <w:szCs w:val="21"/>
        </w:rPr>
        <w:t>三、不向项目有关人员及部门提供有可能影响公正的宴请和健身娱乐等活动</w:t>
      </w:r>
      <w:r>
        <w:rPr>
          <w:rFonts w:ascii="宋体" w:hAnsi="宋体" w:cs="仿宋"/>
          <w:szCs w:val="21"/>
        </w:rPr>
        <w:t>;</w:t>
      </w:r>
    </w:p>
    <w:p>
      <w:pPr>
        <w:spacing w:line="360" w:lineRule="auto"/>
        <w:ind w:firstLine="420" w:firstLineChars="200"/>
        <w:rPr>
          <w:rFonts w:ascii="宋体" w:cs="仿宋"/>
          <w:szCs w:val="21"/>
        </w:rPr>
      </w:pPr>
      <w:r>
        <w:rPr>
          <w:rFonts w:hint="eastAsia" w:ascii="宋体" w:hAnsi="宋体" w:cs="仿宋"/>
          <w:szCs w:val="21"/>
        </w:rPr>
        <w:t>四、不为项目有关人员及部门出国</w:t>
      </w:r>
      <w:r>
        <w:rPr>
          <w:rFonts w:ascii="宋体" w:hAnsi="宋体" w:cs="仿宋"/>
          <w:szCs w:val="21"/>
        </w:rPr>
        <w:t>(</w:t>
      </w:r>
      <w:r>
        <w:rPr>
          <w:rFonts w:hint="eastAsia" w:ascii="宋体" w:hAnsi="宋体" w:cs="仿宋"/>
          <w:szCs w:val="21"/>
        </w:rPr>
        <w:t>境</w:t>
      </w:r>
      <w:r>
        <w:rPr>
          <w:rFonts w:ascii="宋体" w:hAnsi="宋体" w:cs="仿宋"/>
          <w:szCs w:val="21"/>
        </w:rPr>
        <w:t>)</w:t>
      </w:r>
      <w:r>
        <w:rPr>
          <w:rFonts w:hint="eastAsia" w:ascii="宋体" w:hAnsi="宋体" w:cs="仿宋"/>
          <w:szCs w:val="21"/>
        </w:rPr>
        <w:t>、旅游等提供方便；</w:t>
      </w:r>
    </w:p>
    <w:p>
      <w:pPr>
        <w:spacing w:line="360" w:lineRule="auto"/>
        <w:ind w:firstLine="420" w:firstLineChars="200"/>
        <w:rPr>
          <w:rFonts w:ascii="宋体" w:cs="仿宋"/>
          <w:szCs w:val="21"/>
        </w:rPr>
      </w:pPr>
      <w:r>
        <w:rPr>
          <w:rFonts w:hint="eastAsia" w:ascii="宋体" w:hAnsi="宋体" w:cs="仿宋"/>
          <w:szCs w:val="21"/>
        </w:rPr>
        <w:t>五、不为项目有关人员个人装修住房、婚丧嫁娶、配偶子女工作安排等提供好处</w:t>
      </w:r>
      <w:r>
        <w:rPr>
          <w:rFonts w:ascii="宋体" w:hAnsi="宋体" w:cs="仿宋"/>
          <w:szCs w:val="21"/>
        </w:rPr>
        <w:t>;</w:t>
      </w:r>
    </w:p>
    <w:p>
      <w:pPr>
        <w:spacing w:line="360" w:lineRule="auto"/>
        <w:ind w:firstLine="420" w:firstLineChars="200"/>
        <w:rPr>
          <w:rFonts w:ascii="宋体" w:cs="仿宋"/>
          <w:szCs w:val="21"/>
        </w:rPr>
      </w:pPr>
      <w:r>
        <w:rPr>
          <w:rFonts w:hint="eastAsia" w:ascii="宋体" w:hAnsi="宋体" w:cs="仿宋"/>
          <w:szCs w:val="21"/>
        </w:rPr>
        <w:t>六、严格遵守政府采购法、民法典等法律，诚实守信，合法经营，坚决抵制各种违法违纪行为。</w:t>
      </w:r>
    </w:p>
    <w:p>
      <w:pPr>
        <w:spacing w:line="360" w:lineRule="auto"/>
        <w:ind w:firstLine="420" w:firstLineChars="200"/>
        <w:rPr>
          <w:rFonts w:ascii="宋体" w:cs="仿宋"/>
          <w:szCs w:val="21"/>
        </w:rPr>
      </w:pPr>
      <w:r>
        <w:rPr>
          <w:rFonts w:hint="eastAsia" w:ascii="宋体" w:hAnsi="宋体" w:cs="仿宋"/>
          <w:szCs w:val="21"/>
        </w:rPr>
        <w:t>如违反上述承诺，你单位有权立即取消我单位投标、中标资格，有权拒绝我单位在一定时期内进入你单位进行项目建设或其他经营活动，并通报政府采购监管部门，由此引起的相应损失均由我单位承担。</w:t>
      </w:r>
    </w:p>
    <w:p>
      <w:pPr>
        <w:rPr>
          <w:rFonts w:ascii="宋体"/>
          <w:szCs w:val="21"/>
        </w:rPr>
      </w:pPr>
    </w:p>
    <w:p>
      <w:pPr>
        <w:rPr>
          <w:rFonts w:ascii="宋体" w:cs="仿宋"/>
          <w:szCs w:val="21"/>
        </w:rPr>
      </w:pPr>
    </w:p>
    <w:p>
      <w:pPr>
        <w:rPr>
          <w:rFonts w:ascii="宋体" w:cs="仿宋"/>
          <w:szCs w:val="21"/>
        </w:rPr>
      </w:pPr>
      <w:r>
        <w:rPr>
          <w:rFonts w:hint="eastAsia" w:ascii="宋体" w:hAnsi="宋体" w:cs="仿宋"/>
          <w:szCs w:val="21"/>
        </w:rPr>
        <w:t>投标人</w:t>
      </w:r>
      <w:r>
        <w:rPr>
          <w:rFonts w:ascii="宋体" w:hAnsi="宋体" w:cs="仿宋"/>
          <w:szCs w:val="21"/>
        </w:rPr>
        <w:t>:(</w:t>
      </w:r>
      <w:r>
        <w:rPr>
          <w:rFonts w:hint="eastAsia" w:ascii="宋体" w:hAnsi="宋体" w:cs="仿宋"/>
          <w:szCs w:val="21"/>
        </w:rPr>
        <w:t>盖章</w:t>
      </w:r>
      <w:r>
        <w:rPr>
          <w:rFonts w:ascii="宋体" w:hAnsi="宋体" w:cs="仿宋"/>
          <w:szCs w:val="21"/>
        </w:rPr>
        <w:t>)</w:t>
      </w: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p>
    <w:p>
      <w:pPr>
        <w:rPr>
          <w:rFonts w:ascii="宋体" w:cs="仿宋"/>
          <w:szCs w:val="21"/>
        </w:rPr>
      </w:pPr>
      <w:r>
        <w:rPr>
          <w:rFonts w:hint="eastAsia" w:ascii="宋体" w:hAnsi="宋体" w:cs="仿宋"/>
          <w:szCs w:val="21"/>
        </w:rPr>
        <w:t>日期</w:t>
      </w:r>
      <w:r>
        <w:rPr>
          <w:rFonts w:ascii="宋体" w:hAnsi="宋体" w:cs="仿宋"/>
          <w:szCs w:val="21"/>
        </w:rPr>
        <w:t xml:space="preserve">:    </w:t>
      </w:r>
      <w:r>
        <w:rPr>
          <w:rFonts w:hint="eastAsia" w:ascii="宋体" w:hAnsi="宋体" w:cs="仿宋"/>
          <w:szCs w:val="21"/>
        </w:rPr>
        <w:t>年月日</w:t>
      </w:r>
    </w:p>
    <w:p>
      <w:pPr>
        <w:snapToGrid w:val="0"/>
        <w:spacing w:before="50" w:line="312" w:lineRule="auto"/>
        <w:jc w:val="left"/>
        <w:rPr>
          <w:rFonts w:ascii="宋体"/>
          <w:b/>
          <w:spacing w:val="20"/>
          <w:sz w:val="28"/>
        </w:rPr>
      </w:pPr>
    </w:p>
    <w:p>
      <w:pPr>
        <w:snapToGrid w:val="0"/>
        <w:spacing w:before="50" w:line="312" w:lineRule="auto"/>
        <w:jc w:val="left"/>
        <w:rPr>
          <w:rFonts w:ascii="宋体"/>
          <w:b/>
          <w:spacing w:val="20"/>
          <w:sz w:val="28"/>
        </w:rPr>
      </w:pPr>
    </w:p>
    <w:p>
      <w:pPr>
        <w:snapToGrid w:val="0"/>
        <w:spacing w:before="50" w:line="312" w:lineRule="auto"/>
        <w:jc w:val="center"/>
        <w:rPr>
          <w:rFonts w:ascii="宋体"/>
          <w:b/>
          <w:sz w:val="24"/>
        </w:rPr>
      </w:pPr>
    </w:p>
    <w:p>
      <w:pPr>
        <w:snapToGrid w:val="0"/>
        <w:spacing w:before="50" w:line="312" w:lineRule="auto"/>
        <w:jc w:val="center"/>
        <w:rPr>
          <w:rFonts w:ascii="宋体"/>
          <w:b/>
          <w:sz w:val="24"/>
        </w:rPr>
      </w:pPr>
    </w:p>
    <w:p>
      <w:pPr>
        <w:snapToGrid w:val="0"/>
        <w:spacing w:before="50" w:line="312" w:lineRule="auto"/>
        <w:jc w:val="center"/>
        <w:rPr>
          <w:rFonts w:ascii="宋体"/>
          <w:b/>
          <w:sz w:val="24"/>
        </w:rPr>
      </w:pPr>
    </w:p>
    <w:p>
      <w:pPr>
        <w:snapToGrid w:val="0"/>
        <w:spacing w:before="50" w:line="312" w:lineRule="auto"/>
        <w:jc w:val="center"/>
        <w:rPr>
          <w:rFonts w:ascii="宋体"/>
          <w:b/>
          <w:sz w:val="24"/>
        </w:rPr>
      </w:pPr>
    </w:p>
    <w:p>
      <w:pPr>
        <w:snapToGrid w:val="0"/>
        <w:spacing w:before="50" w:line="312" w:lineRule="auto"/>
        <w:jc w:val="center"/>
        <w:rPr>
          <w:rFonts w:ascii="宋体"/>
          <w:b/>
          <w:sz w:val="24"/>
        </w:rPr>
      </w:pPr>
    </w:p>
    <w:p>
      <w:pPr>
        <w:snapToGrid w:val="0"/>
        <w:spacing w:before="50" w:line="312" w:lineRule="auto"/>
        <w:jc w:val="center"/>
        <w:rPr>
          <w:rFonts w:ascii="宋体"/>
          <w:b/>
          <w:sz w:val="24"/>
        </w:rPr>
      </w:pPr>
    </w:p>
    <w:p>
      <w:pPr>
        <w:snapToGrid w:val="0"/>
        <w:spacing w:before="50" w:line="312" w:lineRule="auto"/>
        <w:jc w:val="center"/>
        <w:rPr>
          <w:rFonts w:ascii="宋体"/>
          <w:b/>
          <w:sz w:val="24"/>
        </w:rPr>
      </w:pPr>
    </w:p>
    <w:p>
      <w:pPr>
        <w:snapToGrid w:val="0"/>
        <w:spacing w:before="50" w:line="312" w:lineRule="auto"/>
        <w:jc w:val="center"/>
        <w:rPr>
          <w:rFonts w:ascii="宋体"/>
          <w:b/>
          <w:sz w:val="24"/>
        </w:rPr>
      </w:pPr>
    </w:p>
    <w:p>
      <w:pPr>
        <w:snapToGrid w:val="0"/>
        <w:spacing w:before="50" w:line="312" w:lineRule="auto"/>
        <w:jc w:val="center"/>
        <w:rPr>
          <w:rFonts w:ascii="宋体"/>
          <w:b/>
          <w:sz w:val="24"/>
        </w:rPr>
      </w:pPr>
    </w:p>
    <w:p>
      <w:pPr>
        <w:snapToGrid w:val="0"/>
        <w:spacing w:before="120" w:line="312" w:lineRule="auto"/>
        <w:ind w:right="-341"/>
        <w:rPr>
          <w:rFonts w:hAnsi="宋体"/>
          <w:b/>
          <w:sz w:val="32"/>
        </w:rPr>
      </w:pPr>
      <w:r>
        <w:rPr>
          <w:rFonts w:hint="eastAsia" w:hAnsi="宋体"/>
          <w:b/>
          <w:sz w:val="32"/>
        </w:rPr>
        <w:t>七、</w:t>
      </w:r>
    </w:p>
    <w:p>
      <w:pPr>
        <w:autoSpaceDE w:val="0"/>
        <w:autoSpaceDN w:val="0"/>
        <w:adjustRightInd w:val="0"/>
        <w:ind w:right="-341"/>
        <w:jc w:val="left"/>
        <w:rPr>
          <w:rFonts w:ascii="宋体" w:cs="宋体"/>
          <w:kern w:val="0"/>
          <w:szCs w:val="21"/>
        </w:rPr>
      </w:pPr>
    </w:p>
    <w:p>
      <w:pPr>
        <w:jc w:val="center"/>
        <w:rPr>
          <w:b/>
          <w:sz w:val="28"/>
          <w:szCs w:val="28"/>
        </w:rPr>
      </w:pPr>
      <w:r>
        <w:rPr>
          <w:rFonts w:hint="eastAsia"/>
          <w:b/>
          <w:sz w:val="28"/>
          <w:szCs w:val="28"/>
        </w:rPr>
        <w:t>中小企业声明函（货物）</w:t>
      </w:r>
    </w:p>
    <w:p>
      <w:pPr>
        <w:ind w:firstLine="420" w:firstLineChars="200"/>
      </w:pPr>
    </w:p>
    <w:p>
      <w:pPr>
        <w:spacing w:line="360" w:lineRule="auto"/>
        <w:ind w:firstLine="420" w:firstLineChars="200"/>
        <w:rPr>
          <w:rFonts w:ascii="宋体"/>
          <w:szCs w:val="21"/>
        </w:rPr>
      </w:pPr>
    </w:p>
    <w:p>
      <w:pPr>
        <w:spacing w:line="360" w:lineRule="auto"/>
        <w:ind w:firstLine="420" w:firstLineChars="200"/>
        <w:rPr>
          <w:rFonts w:ascii="宋体"/>
          <w:szCs w:val="21"/>
        </w:rPr>
      </w:pPr>
      <w:r>
        <w:rPr>
          <w:rFonts w:hint="eastAsia" w:ascii="宋体" w:hAnsi="宋体"/>
          <w:szCs w:val="21"/>
        </w:rPr>
        <w:t>本公司郑重声明，根据《政府采购促进中小企业发展管理办法》（财库﹝</w:t>
      </w:r>
      <w:r>
        <w:rPr>
          <w:rFonts w:ascii="宋体" w:hAnsi="宋体"/>
          <w:szCs w:val="21"/>
        </w:rPr>
        <w:t>2020</w:t>
      </w:r>
      <w:r>
        <w:rPr>
          <w:rFonts w:hint="eastAsia" w:ascii="宋体" w:hAnsi="宋体"/>
          <w:szCs w:val="21"/>
        </w:rPr>
        <w:t>﹞</w:t>
      </w:r>
      <w:r>
        <w:rPr>
          <w:rFonts w:ascii="宋体" w:hAnsi="宋体"/>
          <w:szCs w:val="21"/>
        </w:rPr>
        <w:t xml:space="preserve">46 </w:t>
      </w:r>
      <w:r>
        <w:rPr>
          <w:rFonts w:hint="eastAsia" w:ascii="宋体" w:hAnsi="宋体"/>
          <w:szCs w:val="21"/>
        </w:rPr>
        <w:t>号）的规定，本公司参加（单位名称）的（项目名称）采购活动，提供的货物全部由符合政策要求的中小企业制造。相关企业（含联合体中的中小企业、签订分包意向协议的中小企业）的具体情况如下：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宋体"/>
          <w:szCs w:val="21"/>
        </w:rPr>
      </w:pPr>
      <w:r>
        <w:rPr>
          <w:rFonts w:ascii="宋体" w:hAnsi="宋体"/>
          <w:szCs w:val="21"/>
        </w:rPr>
        <w:t xml:space="preserve">1. </w:t>
      </w:r>
      <w:r>
        <w:rPr>
          <w:rFonts w:hint="eastAsia" w:ascii="宋体" w:hAnsi="宋体"/>
          <w:szCs w:val="21"/>
        </w:rPr>
        <w:t>（标的名称），属于（采购文件中明确的所属行业）行业；制造商为（企业名称），从业人员人，营业收入为万元，资产总额为万元属于（中型企业、小型企业、微型企业）；</w:t>
      </w:r>
    </w:p>
    <w:p>
      <w:pPr>
        <w:spacing w:line="360" w:lineRule="auto"/>
        <w:ind w:firstLine="420" w:firstLineChars="200"/>
        <w:rPr>
          <w:rFonts w:ascii="宋体"/>
          <w:szCs w:val="21"/>
        </w:rPr>
      </w:pPr>
      <w:r>
        <w:rPr>
          <w:rFonts w:ascii="宋体" w:hAnsi="宋体"/>
          <w:szCs w:val="21"/>
        </w:rPr>
        <w:t xml:space="preserve">2. </w:t>
      </w:r>
      <w:r>
        <w:rPr>
          <w:rFonts w:hint="eastAsia" w:ascii="宋体" w:hAnsi="宋体"/>
          <w:szCs w:val="21"/>
        </w:rPr>
        <w:t>（标的名称），属于（采购文件中明确的所属行业）行业；制造商为（企业名称），从业人员人，营业收入为万元，资产总额为万元，属于（中型企业、小型企业、微型企业）；</w:t>
      </w:r>
    </w:p>
    <w:p>
      <w:pPr>
        <w:spacing w:line="360" w:lineRule="auto"/>
        <w:rPr>
          <w:rFonts w:ascii="宋体"/>
          <w:szCs w:val="21"/>
        </w:rPr>
      </w:pPr>
      <w:r>
        <w:rPr>
          <w:rFonts w:hint="eastAsia" w:ascii="宋体" w:hAnsi="宋体"/>
          <w:szCs w:val="21"/>
        </w:rPr>
        <w:t>……</w:t>
      </w:r>
    </w:p>
    <w:p>
      <w:pPr>
        <w:spacing w:line="360" w:lineRule="auto"/>
        <w:ind w:firstLine="735" w:firstLineChars="350"/>
        <w:rPr>
          <w:rFonts w:ascii="宋体"/>
          <w:szCs w:val="21"/>
        </w:rPr>
      </w:pPr>
      <w:r>
        <w:rPr>
          <w:rFonts w:hint="eastAsia" w:ascii="宋体" w:hAnsi="宋体"/>
          <w:szCs w:val="21"/>
        </w:rPr>
        <w:t>以上企业，不属于大企业的分支机构，不存在控股股东为大企业的情形，也不存在与大企业的负责人为同一人的情形。</w:t>
      </w:r>
    </w:p>
    <w:p>
      <w:pPr>
        <w:spacing w:line="360" w:lineRule="auto"/>
        <w:ind w:firstLine="420" w:firstLineChars="200"/>
        <w:rPr>
          <w:rFonts w:ascii="宋体"/>
          <w:szCs w:val="21"/>
        </w:rPr>
      </w:pPr>
      <w:r>
        <w:rPr>
          <w:rFonts w:hint="eastAsia" w:ascii="宋体" w:hAnsi="宋体"/>
          <w:szCs w:val="21"/>
        </w:rPr>
        <w:t>本企业对上述声明内容的真实性负责。如有虚假，将依法承担相应责任。</w:t>
      </w:r>
    </w:p>
    <w:p>
      <w:pPr>
        <w:spacing w:line="360" w:lineRule="auto"/>
        <w:rPr>
          <w:rFonts w:ascii="宋体"/>
          <w:szCs w:val="21"/>
        </w:rPr>
      </w:pPr>
    </w:p>
    <w:p>
      <w:pPr>
        <w:spacing w:line="360" w:lineRule="auto"/>
        <w:rPr>
          <w:rFonts w:ascii="宋体"/>
          <w:szCs w:val="21"/>
        </w:rPr>
      </w:pPr>
    </w:p>
    <w:p>
      <w:pPr>
        <w:spacing w:line="360" w:lineRule="auto"/>
        <w:ind w:firstLine="630" w:firstLineChars="300"/>
        <w:rPr>
          <w:rFonts w:ascii="宋体"/>
          <w:szCs w:val="21"/>
        </w:rPr>
      </w:pPr>
      <w:r>
        <w:rPr>
          <w:rFonts w:hint="eastAsia" w:ascii="宋体" w:hAnsi="宋体"/>
          <w:szCs w:val="21"/>
        </w:rPr>
        <w:t>企业名称（盖章）：</w:t>
      </w:r>
    </w:p>
    <w:p>
      <w:pPr>
        <w:spacing w:line="360" w:lineRule="auto"/>
        <w:ind w:firstLine="630" w:firstLineChars="300"/>
        <w:rPr>
          <w:rFonts w:ascii="宋体"/>
          <w:szCs w:val="21"/>
        </w:rPr>
      </w:pPr>
      <w:r>
        <w:rPr>
          <w:rFonts w:hint="eastAsia" w:ascii="宋体" w:hAnsi="宋体"/>
          <w:szCs w:val="21"/>
        </w:rPr>
        <w:t>日期：</w:t>
      </w:r>
    </w:p>
    <w:p>
      <w:pPr>
        <w:snapToGrid w:val="0"/>
        <w:spacing w:line="360" w:lineRule="auto"/>
        <w:ind w:right="-341"/>
        <w:rPr>
          <w:rFonts w:ascii="宋体"/>
        </w:rPr>
        <w:sectPr>
          <w:pgSz w:w="11906" w:h="16838"/>
          <w:pgMar w:top="1304" w:right="1531" w:bottom="1304" w:left="1531" w:header="1304" w:footer="1304" w:gutter="0"/>
          <w:cols w:space="720" w:num="1"/>
        </w:sectPr>
      </w:pPr>
    </w:p>
    <w:p>
      <w:pPr>
        <w:snapToGrid w:val="0"/>
        <w:spacing w:line="360" w:lineRule="auto"/>
        <w:ind w:right="-341"/>
        <w:rPr>
          <w:rFonts w:ascii="宋体"/>
        </w:rPr>
      </w:pPr>
    </w:p>
    <w:p>
      <w:pPr>
        <w:pStyle w:val="3"/>
      </w:pPr>
    </w:p>
    <w:p>
      <w:pPr>
        <w:snapToGrid w:val="0"/>
        <w:spacing w:line="360" w:lineRule="auto"/>
        <w:ind w:right="-341"/>
        <w:jc w:val="center"/>
        <w:rPr>
          <w:rFonts w:ascii="宋体" w:cs="宋体"/>
          <w:b/>
          <w:color w:val="000000"/>
          <w:kern w:val="0"/>
          <w:sz w:val="28"/>
          <w:szCs w:val="28"/>
        </w:rPr>
      </w:pPr>
      <w:r>
        <w:rPr>
          <w:rFonts w:hint="eastAsia" w:ascii="宋体" w:hAnsi="宋体" w:cs="宋体"/>
          <w:b/>
          <w:color w:val="000000"/>
          <w:kern w:val="0"/>
          <w:sz w:val="28"/>
          <w:szCs w:val="28"/>
        </w:rPr>
        <w:t>中小企业声明函（工程、服务）</w:t>
      </w:r>
    </w:p>
    <w:p>
      <w:pPr>
        <w:snapToGrid w:val="0"/>
        <w:spacing w:line="360" w:lineRule="auto"/>
        <w:ind w:right="-341"/>
        <w:rPr>
          <w:rFonts w:ascii="宋体" w:cs="宋体"/>
          <w:color w:val="000000"/>
          <w:kern w:val="0"/>
          <w:szCs w:val="21"/>
        </w:rPr>
      </w:pPr>
    </w:p>
    <w:p>
      <w:pPr>
        <w:snapToGrid w:val="0"/>
        <w:spacing w:line="360" w:lineRule="auto"/>
        <w:ind w:right="-341" w:firstLine="420" w:firstLineChars="200"/>
        <w:rPr>
          <w:rFonts w:ascii="宋体" w:cs="宋体"/>
          <w:color w:val="000000"/>
          <w:kern w:val="0"/>
          <w:szCs w:val="21"/>
        </w:rPr>
      </w:pPr>
    </w:p>
    <w:p>
      <w:pPr>
        <w:snapToGrid w:val="0"/>
        <w:spacing w:line="360" w:lineRule="auto"/>
        <w:ind w:right="-341" w:firstLine="420" w:firstLineChars="200"/>
        <w:rPr>
          <w:rFonts w:ascii="宋体" w:cs="宋体"/>
          <w:color w:val="000000"/>
          <w:kern w:val="0"/>
          <w:szCs w:val="21"/>
        </w:rPr>
      </w:pPr>
    </w:p>
    <w:p>
      <w:pPr>
        <w:snapToGrid w:val="0"/>
        <w:spacing w:line="360" w:lineRule="auto"/>
        <w:ind w:right="-341" w:firstLine="420" w:firstLineChars="200"/>
        <w:rPr>
          <w:rFonts w:ascii="宋体" w:cs="宋体"/>
          <w:color w:val="000000"/>
          <w:kern w:val="0"/>
          <w:szCs w:val="21"/>
        </w:rPr>
      </w:pPr>
      <w:r>
        <w:rPr>
          <w:rFonts w:hint="eastAsia" w:ascii="宋体" w:hAnsi="宋体" w:cs="宋体"/>
          <w:color w:val="000000"/>
          <w:kern w:val="0"/>
          <w:szCs w:val="21"/>
        </w:rPr>
        <w:t>本公司（联合体）郑重声明，根据《政府采购促进中小企业发展管理办法》（财库﹝</w:t>
      </w:r>
      <w:r>
        <w:rPr>
          <w:rFonts w:ascii="宋体" w:hAnsi="宋体" w:cs="宋体"/>
          <w:color w:val="000000"/>
          <w:kern w:val="0"/>
          <w:szCs w:val="21"/>
        </w:rPr>
        <w:t>2020</w:t>
      </w:r>
      <w:r>
        <w:rPr>
          <w:rFonts w:hint="eastAsia" w:ascii="宋体" w:hAnsi="宋体" w:cs="宋体"/>
          <w:color w:val="000000"/>
          <w:kern w:val="0"/>
          <w:szCs w:val="21"/>
        </w:rPr>
        <w:t>﹞</w:t>
      </w:r>
      <w:r>
        <w:rPr>
          <w:rFonts w:ascii="宋体" w:hAnsi="宋体" w:cs="宋体"/>
          <w:color w:val="000000"/>
          <w:kern w:val="0"/>
          <w:szCs w:val="21"/>
        </w:rPr>
        <w:t xml:space="preserve">46 </w:t>
      </w:r>
      <w:r>
        <w:rPr>
          <w:rFonts w:hint="eastAsia" w:ascii="宋体" w:hAnsi="宋体" w:cs="宋体"/>
          <w:color w:val="000000"/>
          <w:kern w:val="0"/>
          <w:szCs w:val="21"/>
        </w:rPr>
        <w:t>号）的规定，本公司（联合体）参加（单位名称）的（项目名称）采购活动，服务全部由符合政策要求的中小企业承接。相关企业（含联合体中的中小企业、签订分包意向协议的中小企业）的具体情况如下：</w:t>
      </w:r>
    </w:p>
    <w:p>
      <w:pPr>
        <w:snapToGrid w:val="0"/>
        <w:spacing w:line="360" w:lineRule="auto"/>
        <w:ind w:right="-341" w:firstLine="420" w:firstLineChars="200"/>
        <w:rPr>
          <w:rFonts w:ascii="宋体" w:cs="宋体"/>
          <w:color w:val="000000"/>
          <w:kern w:val="0"/>
          <w:szCs w:val="21"/>
        </w:rPr>
      </w:pPr>
      <w:r>
        <w:rPr>
          <w:rFonts w:ascii="宋体" w:hAnsi="宋体" w:cs="宋体"/>
          <w:color w:val="000000"/>
          <w:kern w:val="0"/>
          <w:szCs w:val="21"/>
        </w:rPr>
        <w:t xml:space="preserve">1. </w:t>
      </w:r>
      <w:r>
        <w:rPr>
          <w:rFonts w:hint="eastAsia" w:ascii="宋体" w:hAnsi="宋体" w:cs="宋体"/>
          <w:color w:val="000000"/>
          <w:kern w:val="0"/>
          <w:szCs w:val="21"/>
        </w:rPr>
        <w:t>（标的名称），属于（采购文件中明确的所属行业）；承建（承接）企业为（企业名称），从业人员人，营业收入为万元，资产总额为万元，属于（中型企业、小型企业、微型企业）；</w:t>
      </w:r>
    </w:p>
    <w:p>
      <w:pPr>
        <w:snapToGrid w:val="0"/>
        <w:spacing w:line="360" w:lineRule="auto"/>
        <w:ind w:right="-341" w:firstLine="420" w:firstLineChars="200"/>
        <w:rPr>
          <w:rFonts w:asci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（标的名称），属于（采购文件中明确的所属行业）；承建（承接）企业为（企业名称），从业人员人，营业收入为万元，资产总额为万元，属于（中型企业、小型企业、微型企业）；</w:t>
      </w:r>
    </w:p>
    <w:p>
      <w:pPr>
        <w:snapToGrid w:val="0"/>
        <w:spacing w:line="360" w:lineRule="auto"/>
        <w:ind w:right="-341"/>
        <w:rPr>
          <w:rFonts w:ascii="宋体" w:cs="宋体"/>
          <w:color w:val="000000"/>
          <w:kern w:val="0"/>
          <w:szCs w:val="21"/>
        </w:rPr>
      </w:pPr>
      <w:r>
        <w:rPr>
          <w:rFonts w:hint="eastAsia" w:ascii="宋体" w:hAnsi="宋体" w:cs="宋体"/>
          <w:color w:val="000000"/>
          <w:kern w:val="0"/>
          <w:szCs w:val="21"/>
        </w:rPr>
        <w:t>……</w:t>
      </w:r>
    </w:p>
    <w:p>
      <w:pPr>
        <w:snapToGrid w:val="0"/>
        <w:spacing w:line="360" w:lineRule="auto"/>
        <w:ind w:right="-341" w:firstLine="420" w:firstLineChars="200"/>
        <w:rPr>
          <w:rFonts w:ascii="宋体" w:cs="宋体"/>
          <w:color w:val="000000"/>
          <w:kern w:val="0"/>
          <w:szCs w:val="21"/>
        </w:rPr>
      </w:pPr>
      <w:r>
        <w:rPr>
          <w:rFonts w:hint="eastAsia" w:ascii="宋体" w:hAnsi="宋体" w:cs="宋体"/>
          <w:color w:val="000000"/>
          <w:kern w:val="0"/>
          <w:szCs w:val="21"/>
        </w:rPr>
        <w:t>以上企业，不属于大企业的分支机构，不存在控股股东为大企业的情形，也不存在与大企业的负责人为同一人的情形。</w:t>
      </w:r>
    </w:p>
    <w:p>
      <w:pPr>
        <w:snapToGrid w:val="0"/>
        <w:spacing w:line="360" w:lineRule="auto"/>
        <w:ind w:right="-341" w:firstLine="420" w:firstLineChars="200"/>
        <w:rPr>
          <w:rFonts w:ascii="宋体" w:cs="宋体"/>
          <w:color w:val="000000"/>
          <w:kern w:val="0"/>
          <w:szCs w:val="21"/>
        </w:rPr>
      </w:pPr>
      <w:r>
        <w:rPr>
          <w:rFonts w:hint="eastAsia" w:ascii="宋体" w:hAnsi="宋体" w:cs="宋体"/>
          <w:color w:val="000000"/>
          <w:kern w:val="0"/>
          <w:szCs w:val="21"/>
        </w:rPr>
        <w:t>本企业对上述声明内容的真实性负责。如有虚假，将依法承担相应责任。</w:t>
      </w:r>
    </w:p>
    <w:p>
      <w:pPr>
        <w:snapToGrid w:val="0"/>
        <w:spacing w:line="360" w:lineRule="auto"/>
        <w:ind w:right="-341"/>
        <w:rPr>
          <w:rFonts w:ascii="宋体" w:cs="宋体"/>
          <w:color w:val="000000"/>
          <w:kern w:val="0"/>
          <w:szCs w:val="21"/>
        </w:rPr>
      </w:pPr>
    </w:p>
    <w:p>
      <w:pPr>
        <w:snapToGrid w:val="0"/>
        <w:spacing w:line="360" w:lineRule="auto"/>
        <w:ind w:right="-341"/>
        <w:rPr>
          <w:rFonts w:ascii="宋体" w:cs="宋体"/>
          <w:color w:val="000000"/>
          <w:kern w:val="0"/>
          <w:szCs w:val="21"/>
        </w:rPr>
      </w:pPr>
      <w:r>
        <w:rPr>
          <w:rFonts w:hint="eastAsia" w:ascii="宋体" w:hAnsi="宋体" w:cs="宋体"/>
          <w:color w:val="000000"/>
          <w:kern w:val="0"/>
          <w:szCs w:val="21"/>
        </w:rPr>
        <w:t>企业名称（盖章）：</w:t>
      </w:r>
    </w:p>
    <w:p>
      <w:pPr>
        <w:snapToGrid w:val="0"/>
        <w:spacing w:line="360" w:lineRule="auto"/>
        <w:ind w:right="-341"/>
        <w:jc w:val="left"/>
      </w:pPr>
      <w:r>
        <w:rPr>
          <w:rFonts w:hint="eastAsia" w:ascii="宋体" w:hAnsi="宋体" w:cs="宋体"/>
          <w:color w:val="000000"/>
          <w:kern w:val="0"/>
          <w:szCs w:val="21"/>
        </w:rPr>
        <w:t>日期：</w:t>
      </w:r>
    </w:p>
    <w:p>
      <w:pPr>
        <w:snapToGrid w:val="0"/>
        <w:spacing w:line="360" w:lineRule="auto"/>
        <w:ind w:right="-341"/>
        <w:rPr>
          <w:rFonts w:ascii="宋体"/>
        </w:rPr>
      </w:pPr>
    </w:p>
    <w:p>
      <w:pPr>
        <w:snapToGrid w:val="0"/>
        <w:spacing w:line="360" w:lineRule="auto"/>
        <w:ind w:right="-341"/>
        <w:rPr>
          <w:rFonts w:ascii="宋体"/>
        </w:rPr>
      </w:pPr>
    </w:p>
    <w:p>
      <w:pPr>
        <w:snapToGrid w:val="0"/>
        <w:spacing w:line="360" w:lineRule="auto"/>
        <w:ind w:right="-341"/>
        <w:rPr>
          <w:rFonts w:ascii="宋体"/>
        </w:rPr>
      </w:pPr>
    </w:p>
    <w:p>
      <w:pPr>
        <w:snapToGrid w:val="0"/>
        <w:spacing w:line="360" w:lineRule="auto"/>
        <w:ind w:right="-341"/>
        <w:rPr>
          <w:rFonts w:ascii="宋体"/>
        </w:rPr>
      </w:pPr>
    </w:p>
    <w:p>
      <w:pPr>
        <w:pStyle w:val="70"/>
      </w:pPr>
    </w:p>
    <w:p>
      <w:pPr>
        <w:pStyle w:val="3"/>
      </w:pPr>
    </w:p>
    <w:p>
      <w:pPr>
        <w:pStyle w:val="3"/>
      </w:pPr>
    </w:p>
    <w:p>
      <w:pPr>
        <w:pStyle w:val="3"/>
      </w:pPr>
    </w:p>
    <w:p>
      <w:pPr>
        <w:pStyle w:val="3"/>
      </w:pPr>
    </w:p>
    <w:p>
      <w:pPr>
        <w:pStyle w:val="3"/>
      </w:pPr>
    </w:p>
    <w:p>
      <w:pPr>
        <w:pStyle w:val="3"/>
      </w:pPr>
    </w:p>
    <w:p>
      <w:pPr>
        <w:pStyle w:val="3"/>
      </w:pPr>
    </w:p>
    <w:p>
      <w:pPr>
        <w:pStyle w:val="3"/>
      </w:pPr>
    </w:p>
    <w:p>
      <w:pPr>
        <w:spacing w:line="360" w:lineRule="auto"/>
        <w:ind w:firstLine="3132" w:firstLineChars="1300"/>
        <w:rPr>
          <w:rFonts w:ascii="宋体"/>
          <w:b/>
          <w:sz w:val="24"/>
          <w:szCs w:val="24"/>
        </w:rPr>
      </w:pPr>
      <w:r>
        <w:rPr>
          <w:rFonts w:hint="eastAsia" w:ascii="宋体" w:hAnsi="宋体"/>
          <w:b/>
          <w:sz w:val="24"/>
          <w:szCs w:val="24"/>
        </w:rPr>
        <w:t>监狱企业声明函</w:t>
      </w:r>
    </w:p>
    <w:p>
      <w:pPr>
        <w:spacing w:line="360" w:lineRule="auto"/>
        <w:ind w:firstLine="2640" w:firstLineChars="1100"/>
        <w:rPr>
          <w:rFonts w:ascii="宋体"/>
          <w:sz w:val="24"/>
          <w:szCs w:val="24"/>
        </w:rPr>
      </w:pPr>
      <w:r>
        <w:rPr>
          <w:rFonts w:hint="eastAsia" w:ascii="宋体" w:hAnsi="宋体"/>
          <w:sz w:val="24"/>
          <w:szCs w:val="24"/>
        </w:rPr>
        <w:t>【非监狱企业不用提供】</w:t>
      </w:r>
    </w:p>
    <w:p>
      <w:pPr>
        <w:spacing w:line="360" w:lineRule="auto"/>
        <w:ind w:firstLine="480"/>
        <w:rPr>
          <w:rFonts w:ascii="宋体"/>
          <w:szCs w:val="21"/>
        </w:rPr>
      </w:pPr>
    </w:p>
    <w:p>
      <w:pPr>
        <w:spacing w:line="360" w:lineRule="auto"/>
        <w:ind w:firstLine="525" w:firstLineChars="250"/>
        <w:rPr>
          <w:rFonts w:ascii="宋体"/>
          <w:szCs w:val="21"/>
        </w:rPr>
      </w:pPr>
      <w:r>
        <w:rPr>
          <w:rFonts w:hint="eastAsia" w:ascii="宋体" w:hAnsi="宋体"/>
          <w:szCs w:val="21"/>
        </w:rPr>
        <w:t>监狱企业参加政府采购活动时，应当提供由省级以上监狱管理本企业郑重声明，根据《关于政府采购支持监狱企业发展有关问题的通知》（财库</w:t>
      </w:r>
      <w:r>
        <w:rPr>
          <w:rFonts w:ascii="宋体" w:hAnsi="宋体"/>
          <w:szCs w:val="21"/>
        </w:rPr>
        <w:t>[2014]68</w:t>
      </w:r>
      <w:r>
        <w:rPr>
          <w:rFonts w:hint="eastAsia" w:ascii="宋体" w:hAnsi="宋体"/>
          <w:szCs w:val="21"/>
        </w:rPr>
        <w:t>号）的规定，本企业为监狱企业。</w:t>
      </w:r>
    </w:p>
    <w:p>
      <w:pPr>
        <w:spacing w:line="360" w:lineRule="auto"/>
        <w:ind w:firstLine="480"/>
        <w:rPr>
          <w:rFonts w:ascii="宋体"/>
          <w:szCs w:val="21"/>
        </w:rPr>
      </w:pPr>
      <w:r>
        <w:rPr>
          <w:rFonts w:hint="eastAsia" w:ascii="宋体" w:hAnsi="宋体"/>
          <w:szCs w:val="21"/>
        </w:rPr>
        <w:t>根据上述标准，我企业属于监狱企业的理由为：。</w:t>
      </w:r>
    </w:p>
    <w:p>
      <w:pPr>
        <w:spacing w:line="360" w:lineRule="auto"/>
        <w:ind w:firstLine="480"/>
        <w:rPr>
          <w:rFonts w:ascii="宋体"/>
          <w:szCs w:val="21"/>
        </w:rPr>
      </w:pPr>
      <w:r>
        <w:rPr>
          <w:rFonts w:hint="eastAsia" w:ascii="宋体" w:hAnsi="宋体"/>
          <w:szCs w:val="21"/>
        </w:rPr>
        <w:t>本企业为参加（项目名称：）（项目编号：）采购活动提供本企业的产品。</w:t>
      </w:r>
    </w:p>
    <w:p>
      <w:pPr>
        <w:spacing w:line="360" w:lineRule="auto"/>
        <w:ind w:firstLine="480"/>
        <w:rPr>
          <w:rFonts w:ascii="宋体"/>
          <w:szCs w:val="21"/>
        </w:rPr>
      </w:pPr>
      <w:r>
        <w:rPr>
          <w:rFonts w:hint="eastAsia" w:ascii="宋体" w:hAnsi="宋体"/>
          <w:szCs w:val="21"/>
        </w:rPr>
        <w:t>本企业对上述声明的真实性负责。如有虚假，将依法承担相应责任。</w:t>
      </w:r>
    </w:p>
    <w:p>
      <w:pPr>
        <w:spacing w:line="360" w:lineRule="auto"/>
        <w:ind w:firstLine="480"/>
        <w:rPr>
          <w:rFonts w:ascii="宋体"/>
          <w:szCs w:val="21"/>
        </w:rPr>
      </w:pPr>
    </w:p>
    <w:p>
      <w:pPr>
        <w:spacing w:line="360" w:lineRule="auto"/>
        <w:ind w:firstLine="480"/>
        <w:rPr>
          <w:rFonts w:ascii="宋体"/>
          <w:szCs w:val="21"/>
        </w:rPr>
      </w:pPr>
      <w:r>
        <w:rPr>
          <w:rFonts w:hint="eastAsia" w:ascii="宋体" w:hAnsi="宋体"/>
          <w:szCs w:val="21"/>
        </w:rPr>
        <w:t>投标人名称（盖章）：</w:t>
      </w:r>
    </w:p>
    <w:p>
      <w:pPr>
        <w:spacing w:line="360" w:lineRule="auto"/>
        <w:ind w:firstLine="480"/>
        <w:rPr>
          <w:rFonts w:ascii="宋体"/>
          <w:szCs w:val="21"/>
        </w:rPr>
      </w:pPr>
      <w:r>
        <w:rPr>
          <w:rFonts w:hint="eastAsia" w:ascii="宋体" w:hAnsi="宋体"/>
          <w:szCs w:val="21"/>
        </w:rPr>
        <w:t>日期：年月日</w:t>
      </w: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r>
        <w:rPr>
          <w:rFonts w:hint="eastAsia" w:ascii="宋体" w:hAnsi="宋体"/>
          <w:szCs w:val="21"/>
        </w:rPr>
        <w:t>投标人为监狱企业的提供此函。</w:t>
      </w:r>
    </w:p>
    <w:p>
      <w:pPr>
        <w:spacing w:line="360" w:lineRule="auto"/>
        <w:ind w:firstLine="480"/>
        <w:rPr>
          <w:rFonts w:ascii="宋体"/>
          <w:szCs w:val="21"/>
        </w:rPr>
      </w:pPr>
      <w:r>
        <w:rPr>
          <w:rFonts w:hint="eastAsia" w:ascii="宋体" w:hAnsi="宋体"/>
          <w:szCs w:val="21"/>
        </w:rPr>
        <w:t>局、戒毒管理局（含新疆生产建设兵团）出具的属于监狱企业的证明文件。</w:t>
      </w:r>
    </w:p>
    <w:p>
      <w:pPr>
        <w:spacing w:line="360" w:lineRule="auto"/>
        <w:ind w:firstLine="480"/>
        <w:rPr>
          <w:rFonts w:ascii="宋体"/>
          <w:szCs w:val="21"/>
        </w:rPr>
      </w:pPr>
      <w:r>
        <w:rPr>
          <w:rFonts w:hint="eastAsia" w:ascii="宋体" w:hAnsi="宋体"/>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spacing w:line="360" w:lineRule="auto"/>
        <w:ind w:firstLine="480"/>
        <w:rPr>
          <w:rFonts w:ascii="宋体"/>
          <w:szCs w:val="21"/>
        </w:rPr>
      </w:pPr>
    </w:p>
    <w:p>
      <w:pPr>
        <w:pStyle w:val="23"/>
        <w:spacing w:line="360" w:lineRule="auto"/>
        <w:ind w:firstLine="105" w:firstLineChars="50"/>
        <w:rPr>
          <w:rFonts w:ascii="宋体"/>
          <w:sz w:val="21"/>
          <w:szCs w:val="21"/>
        </w:rPr>
      </w:pPr>
    </w:p>
    <w:p>
      <w:pPr>
        <w:pStyle w:val="23"/>
        <w:spacing w:line="360" w:lineRule="auto"/>
        <w:jc w:val="center"/>
        <w:rPr>
          <w:b/>
          <w:sz w:val="24"/>
          <w:szCs w:val="24"/>
        </w:rPr>
      </w:pPr>
    </w:p>
    <w:p>
      <w:pPr>
        <w:pStyle w:val="23"/>
        <w:spacing w:line="360" w:lineRule="auto"/>
        <w:jc w:val="center"/>
        <w:rPr>
          <w:b/>
          <w:sz w:val="24"/>
          <w:szCs w:val="24"/>
        </w:rPr>
      </w:pPr>
    </w:p>
    <w:p>
      <w:pPr>
        <w:pStyle w:val="23"/>
        <w:spacing w:line="360" w:lineRule="auto"/>
        <w:jc w:val="center"/>
        <w:rPr>
          <w:b/>
          <w:sz w:val="24"/>
          <w:szCs w:val="24"/>
        </w:rPr>
      </w:pPr>
    </w:p>
    <w:p>
      <w:pPr>
        <w:pStyle w:val="23"/>
        <w:spacing w:line="360" w:lineRule="auto"/>
        <w:jc w:val="center"/>
        <w:rPr>
          <w:b/>
          <w:sz w:val="24"/>
          <w:szCs w:val="24"/>
        </w:rPr>
      </w:pPr>
    </w:p>
    <w:p>
      <w:pPr>
        <w:pStyle w:val="23"/>
        <w:spacing w:line="360" w:lineRule="auto"/>
        <w:jc w:val="center"/>
        <w:rPr>
          <w:b/>
          <w:sz w:val="24"/>
          <w:szCs w:val="24"/>
        </w:rPr>
      </w:pPr>
      <w:r>
        <w:rPr>
          <w:rFonts w:hint="eastAsia"/>
          <w:b/>
          <w:sz w:val="24"/>
          <w:szCs w:val="24"/>
        </w:rPr>
        <w:t>残疾人福利性单位声明函</w:t>
      </w:r>
    </w:p>
    <w:p>
      <w:pPr>
        <w:pStyle w:val="23"/>
        <w:spacing w:line="360" w:lineRule="auto"/>
        <w:ind w:firstLine="2835" w:firstLineChars="1350"/>
        <w:rPr>
          <w:rFonts w:ascii="宋体" w:cs="宋体"/>
          <w:sz w:val="21"/>
          <w:szCs w:val="21"/>
        </w:rPr>
      </w:pPr>
      <w:r>
        <w:rPr>
          <w:rFonts w:hint="eastAsia" w:ascii="宋体" w:cs="宋体"/>
          <w:sz w:val="21"/>
          <w:szCs w:val="21"/>
        </w:rPr>
        <w:t>【非残疾人福利性单位不用提供】</w:t>
      </w:r>
    </w:p>
    <w:p>
      <w:pPr>
        <w:pStyle w:val="23"/>
        <w:spacing w:line="360" w:lineRule="auto"/>
        <w:rPr>
          <w:rFonts w:ascii="宋体" w:cs="宋体"/>
          <w:sz w:val="21"/>
          <w:szCs w:val="21"/>
        </w:rPr>
      </w:pPr>
    </w:p>
    <w:p>
      <w:pPr>
        <w:pStyle w:val="23"/>
        <w:spacing w:line="360" w:lineRule="auto"/>
        <w:ind w:firstLine="420" w:firstLineChars="200"/>
        <w:rPr>
          <w:rFonts w:ascii="宋体" w:hAnsi="Arial" w:cs="宋体"/>
          <w:sz w:val="21"/>
          <w:szCs w:val="21"/>
        </w:rPr>
      </w:pPr>
      <w:r>
        <w:rPr>
          <w:rFonts w:hint="eastAsia" w:ascii="宋体" w:cs="宋体"/>
          <w:sz w:val="21"/>
          <w:szCs w:val="21"/>
        </w:rPr>
        <w:t>本单位郑重声明，根据《财政部民政部中国残疾人联合会关于促进残疾人就业政府采购政策的通知》（财库〔</w:t>
      </w:r>
      <w:r>
        <w:rPr>
          <w:rFonts w:ascii="Arial" w:hAnsi="Arial" w:cs="Arial"/>
          <w:sz w:val="21"/>
          <w:szCs w:val="21"/>
        </w:rPr>
        <w:t>2017</w:t>
      </w:r>
      <w:r>
        <w:rPr>
          <w:rFonts w:hint="eastAsia" w:ascii="宋体" w:hAnsi="Arial" w:cs="宋体"/>
          <w:sz w:val="21"/>
          <w:szCs w:val="21"/>
        </w:rPr>
        <w:t>〕</w:t>
      </w:r>
      <w:r>
        <w:rPr>
          <w:rFonts w:ascii="Arial" w:hAnsi="Arial" w:cs="Arial"/>
          <w:sz w:val="21"/>
          <w:szCs w:val="21"/>
        </w:rPr>
        <w:t>141</w:t>
      </w:r>
      <w:r>
        <w:rPr>
          <w:rFonts w:hint="eastAsia" w:ascii="宋体" w:hAnsi="Arial" w:cs="宋体"/>
          <w:sz w:val="21"/>
          <w:szCs w:val="21"/>
        </w:rPr>
        <w:t>号）的规定，本单位为符合条件的残疾人福利性单位，且本单位参加（采购人名称）单位的（项目名称）项目采购活动提供本单位制造的货物（由本单位承担工程</w:t>
      </w:r>
      <w:r>
        <w:rPr>
          <w:rFonts w:ascii="Arial" w:hAnsi="Arial" w:cs="Arial"/>
          <w:sz w:val="21"/>
          <w:szCs w:val="21"/>
        </w:rPr>
        <w:t>/</w:t>
      </w:r>
      <w:r>
        <w:rPr>
          <w:rFonts w:hint="eastAsia" w:ascii="宋体" w:hAnsi="Arial" w:cs="宋体"/>
          <w:sz w:val="21"/>
          <w:szCs w:val="21"/>
        </w:rPr>
        <w:t>提供服务），或者提供其他残疾人福利性单位制造的货物（不包括使用非残疾人福利性单位注册商标的货物）。</w:t>
      </w:r>
    </w:p>
    <w:p>
      <w:pPr>
        <w:pStyle w:val="23"/>
        <w:spacing w:line="360" w:lineRule="auto"/>
        <w:ind w:firstLine="420" w:firstLineChars="200"/>
        <w:rPr>
          <w:rFonts w:ascii="宋体" w:hAnsi="Arial" w:cs="宋体"/>
          <w:sz w:val="21"/>
          <w:szCs w:val="21"/>
        </w:rPr>
      </w:pPr>
      <w:r>
        <w:rPr>
          <w:rFonts w:hint="eastAsia" w:ascii="宋体" w:hAnsi="Arial" w:cs="宋体"/>
          <w:sz w:val="21"/>
          <w:szCs w:val="21"/>
        </w:rPr>
        <w:t>本单位对上述声明的真实性负责。如有虚假，将依法承担相应责任。</w:t>
      </w:r>
    </w:p>
    <w:p>
      <w:pPr>
        <w:pStyle w:val="23"/>
        <w:spacing w:line="360" w:lineRule="auto"/>
        <w:rPr>
          <w:rFonts w:ascii="宋体" w:hAnsi="Arial" w:cs="宋体"/>
          <w:sz w:val="21"/>
          <w:szCs w:val="21"/>
        </w:rPr>
      </w:pPr>
    </w:p>
    <w:p>
      <w:pPr>
        <w:pStyle w:val="23"/>
        <w:spacing w:line="360" w:lineRule="auto"/>
        <w:rPr>
          <w:rFonts w:ascii="宋体" w:hAnsi="Arial" w:cs="宋体"/>
          <w:sz w:val="21"/>
          <w:szCs w:val="21"/>
        </w:rPr>
      </w:pPr>
    </w:p>
    <w:p>
      <w:pPr>
        <w:pStyle w:val="23"/>
        <w:spacing w:line="360" w:lineRule="auto"/>
        <w:rPr>
          <w:rFonts w:ascii="宋体" w:hAnsi="Arial" w:cs="宋体"/>
          <w:sz w:val="21"/>
          <w:szCs w:val="21"/>
        </w:rPr>
      </w:pPr>
      <w:r>
        <w:rPr>
          <w:rFonts w:hint="eastAsia" w:ascii="宋体" w:hAnsi="Arial" w:cs="宋体"/>
          <w:sz w:val="21"/>
          <w:szCs w:val="21"/>
        </w:rPr>
        <w:t>投标人名称（盖章）：</w:t>
      </w:r>
    </w:p>
    <w:p>
      <w:pPr>
        <w:pStyle w:val="23"/>
        <w:spacing w:line="360" w:lineRule="auto"/>
        <w:rPr>
          <w:rFonts w:ascii="宋体" w:hAnsi="Arial" w:cs="宋体"/>
          <w:sz w:val="21"/>
          <w:szCs w:val="21"/>
        </w:rPr>
      </w:pPr>
      <w:r>
        <w:rPr>
          <w:rFonts w:hint="eastAsia" w:ascii="宋体" w:hAnsi="Arial" w:cs="宋体"/>
          <w:sz w:val="21"/>
          <w:szCs w:val="21"/>
        </w:rPr>
        <w:t>日期：年月日</w:t>
      </w:r>
    </w:p>
    <w:p>
      <w:pPr>
        <w:spacing w:line="360" w:lineRule="auto"/>
        <w:ind w:firstLine="480"/>
        <w:rPr>
          <w:rFonts w:ascii="宋体"/>
          <w:szCs w:val="21"/>
        </w:rPr>
      </w:pPr>
      <w:r>
        <w:rPr>
          <w:rFonts w:hint="eastAsia" w:ascii="宋体" w:hAnsi="Arial" w:cs="宋体"/>
          <w:szCs w:val="21"/>
        </w:rPr>
        <w:t>说明：投标人为残疾人福利性单位的提供此函。</w:t>
      </w:r>
    </w:p>
    <w:p>
      <w:pPr>
        <w:snapToGrid w:val="0"/>
        <w:spacing w:line="360" w:lineRule="auto"/>
        <w:ind w:right="-341"/>
        <w:rPr>
          <w:rFonts w:ascii="宋体"/>
        </w:rPr>
      </w:pPr>
    </w:p>
    <w:p>
      <w:pPr>
        <w:snapToGrid w:val="0"/>
        <w:spacing w:line="360" w:lineRule="auto"/>
        <w:ind w:right="-341"/>
        <w:rPr>
          <w:rFonts w:ascii="宋体"/>
        </w:rPr>
      </w:pPr>
    </w:p>
    <w:p>
      <w:pPr>
        <w:snapToGrid w:val="0"/>
        <w:spacing w:line="360" w:lineRule="auto"/>
        <w:ind w:right="-341"/>
        <w:rPr>
          <w:rFonts w:ascii="宋体"/>
        </w:rPr>
      </w:pPr>
    </w:p>
    <w:p>
      <w:pPr>
        <w:snapToGrid w:val="0"/>
        <w:spacing w:line="360" w:lineRule="auto"/>
        <w:ind w:right="-341"/>
        <w:rPr>
          <w:rFonts w:ascii="宋体"/>
        </w:rPr>
      </w:pPr>
    </w:p>
    <w:p>
      <w:pPr>
        <w:snapToGrid w:val="0"/>
        <w:spacing w:line="312" w:lineRule="auto"/>
        <w:ind w:right="-341"/>
        <w:rPr>
          <w:rFonts w:ascii="宋体"/>
          <w:b/>
        </w:rPr>
      </w:pPr>
    </w:p>
    <w:p>
      <w:pPr>
        <w:snapToGrid w:val="0"/>
        <w:spacing w:line="312" w:lineRule="auto"/>
        <w:ind w:right="-341"/>
        <w:rPr>
          <w:rFonts w:ascii="宋体"/>
          <w:b/>
        </w:rPr>
      </w:pPr>
    </w:p>
    <w:p>
      <w:pPr>
        <w:snapToGrid w:val="0"/>
        <w:spacing w:line="312" w:lineRule="auto"/>
        <w:ind w:right="-341"/>
        <w:rPr>
          <w:rFonts w:ascii="宋体"/>
          <w:b/>
        </w:rPr>
      </w:pPr>
    </w:p>
    <w:p>
      <w:pPr>
        <w:snapToGrid w:val="0"/>
        <w:spacing w:line="312" w:lineRule="auto"/>
        <w:ind w:right="-341"/>
        <w:rPr>
          <w:rFonts w:ascii="宋体"/>
          <w:b/>
        </w:rPr>
      </w:pPr>
    </w:p>
    <w:p>
      <w:pPr>
        <w:snapToGrid w:val="0"/>
        <w:spacing w:line="312" w:lineRule="auto"/>
        <w:ind w:right="-341"/>
        <w:rPr>
          <w:rFonts w:ascii="宋体"/>
          <w:b/>
        </w:rPr>
      </w:pPr>
    </w:p>
    <w:p>
      <w:pPr>
        <w:snapToGrid w:val="0"/>
        <w:spacing w:line="312" w:lineRule="auto"/>
        <w:ind w:right="-341"/>
        <w:rPr>
          <w:rFonts w:ascii="宋体"/>
          <w:b/>
        </w:rPr>
      </w:pPr>
    </w:p>
    <w:p>
      <w:pPr>
        <w:snapToGrid w:val="0"/>
        <w:spacing w:line="312" w:lineRule="auto"/>
        <w:ind w:right="-341"/>
        <w:rPr>
          <w:rFonts w:ascii="宋体"/>
          <w:b/>
        </w:rPr>
      </w:pPr>
    </w:p>
    <w:p>
      <w:pPr>
        <w:snapToGrid w:val="0"/>
        <w:spacing w:before="50" w:line="312" w:lineRule="auto"/>
        <w:rPr>
          <w:rFonts w:ascii="宋体"/>
          <w:b/>
          <w:sz w:val="24"/>
        </w:rPr>
      </w:pPr>
    </w:p>
    <w:p>
      <w:pPr>
        <w:snapToGrid w:val="0"/>
        <w:spacing w:before="50" w:line="312" w:lineRule="auto"/>
        <w:rPr>
          <w:rFonts w:ascii="宋体"/>
          <w:b/>
          <w:sz w:val="24"/>
        </w:rPr>
      </w:pPr>
    </w:p>
    <w:p>
      <w:pPr>
        <w:snapToGrid w:val="0"/>
        <w:spacing w:before="50" w:line="312" w:lineRule="auto"/>
        <w:rPr>
          <w:rFonts w:ascii="宋体"/>
          <w:b/>
          <w:sz w:val="24"/>
        </w:rPr>
      </w:pPr>
    </w:p>
    <w:p>
      <w:pPr>
        <w:snapToGrid w:val="0"/>
        <w:spacing w:before="50" w:line="312" w:lineRule="auto"/>
        <w:rPr>
          <w:rFonts w:ascii="宋体"/>
          <w:b/>
          <w:sz w:val="24"/>
        </w:rPr>
      </w:pPr>
    </w:p>
    <w:p>
      <w:pPr>
        <w:snapToGrid w:val="0"/>
        <w:spacing w:before="50" w:line="312" w:lineRule="auto"/>
        <w:rPr>
          <w:rFonts w:ascii="宋体"/>
          <w:b/>
          <w:sz w:val="24"/>
        </w:rPr>
      </w:pPr>
    </w:p>
    <w:p>
      <w:pPr>
        <w:snapToGrid w:val="0"/>
        <w:spacing w:before="50" w:line="312" w:lineRule="auto"/>
        <w:rPr>
          <w:rFonts w:ascii="宋体"/>
          <w:b/>
          <w:sz w:val="24"/>
        </w:rPr>
      </w:pPr>
    </w:p>
    <w:p>
      <w:pPr>
        <w:snapToGrid w:val="0"/>
        <w:spacing w:before="50" w:line="312" w:lineRule="auto"/>
        <w:rPr>
          <w:rFonts w:ascii="宋体"/>
          <w:b/>
          <w:sz w:val="24"/>
        </w:rPr>
      </w:pPr>
      <w:r>
        <w:rPr>
          <w:rFonts w:hint="eastAsia" w:ascii="宋体" w:hAnsi="宋体"/>
          <w:b/>
          <w:sz w:val="24"/>
        </w:rPr>
        <w:t>八</w:t>
      </w:r>
    </w:p>
    <w:p>
      <w:pPr>
        <w:snapToGrid w:val="0"/>
        <w:spacing w:before="50" w:line="312" w:lineRule="auto"/>
        <w:jc w:val="center"/>
        <w:rPr>
          <w:rFonts w:ascii="宋体"/>
          <w:b/>
          <w:sz w:val="24"/>
        </w:rPr>
      </w:pPr>
    </w:p>
    <w:p>
      <w:pPr>
        <w:snapToGrid w:val="0"/>
        <w:spacing w:before="50" w:line="312" w:lineRule="auto"/>
        <w:jc w:val="center"/>
        <w:rPr>
          <w:rFonts w:ascii="宋体"/>
          <w:b/>
          <w:sz w:val="24"/>
        </w:rPr>
      </w:pPr>
      <w:r>
        <w:rPr>
          <w:rFonts w:hint="eastAsia" w:ascii="宋体" w:hAnsi="宋体"/>
          <w:b/>
          <w:sz w:val="24"/>
        </w:rPr>
        <w:t>商务响应表：</w:t>
      </w:r>
    </w:p>
    <w:p>
      <w:pPr>
        <w:snapToGrid w:val="0"/>
        <w:spacing w:before="50" w:line="312" w:lineRule="auto"/>
        <w:jc w:val="center"/>
        <w:rPr>
          <w:rFonts w:ascii="宋体"/>
          <w:b/>
          <w:sz w:val="24"/>
        </w:rPr>
      </w:pPr>
    </w:p>
    <w:p>
      <w:pPr>
        <w:snapToGrid w:val="0"/>
        <w:spacing w:line="312" w:lineRule="auto"/>
        <w:rPr>
          <w:rFonts w:ascii="宋体"/>
        </w:rPr>
      </w:pPr>
      <w:r>
        <w:rPr>
          <w:rFonts w:hint="eastAsia" w:ascii="宋体" w:hAnsi="宋体"/>
        </w:rPr>
        <w:t>项目名称：</w:t>
      </w:r>
    </w:p>
    <w:p>
      <w:pPr>
        <w:snapToGrid w:val="0"/>
        <w:spacing w:line="312" w:lineRule="auto"/>
        <w:rPr>
          <w:rFonts w:ascii="宋体"/>
        </w:rPr>
      </w:pPr>
      <w:r>
        <w:rPr>
          <w:rFonts w:hint="eastAsia" w:ascii="宋体" w:hAnsi="宋体"/>
        </w:rPr>
        <w:t>项目编号：</w:t>
      </w:r>
    </w:p>
    <w:tbl>
      <w:tblPr>
        <w:tblStyle w:val="35"/>
        <w:tblW w:w="90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24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bottom w:val="single" w:color="auto" w:sz="4" w:space="0"/>
              <w:right w:val="single" w:color="auto" w:sz="4" w:space="0"/>
            </w:tcBorders>
            <w:vAlign w:val="center"/>
          </w:tcPr>
          <w:p>
            <w:pPr>
              <w:snapToGrid w:val="0"/>
              <w:spacing w:beforeLines="50" w:line="312" w:lineRule="auto"/>
              <w:jc w:val="center"/>
              <w:rPr>
                <w:rFonts w:ascii="宋体"/>
                <w:b/>
              </w:rPr>
            </w:pPr>
            <w:r>
              <w:rPr>
                <w:rFonts w:hint="eastAsia" w:ascii="宋体" w:hAnsi="宋体"/>
                <w:b/>
              </w:rPr>
              <w:t>项目</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Lines="50" w:line="312" w:lineRule="auto"/>
              <w:jc w:val="center"/>
              <w:rPr>
                <w:rFonts w:ascii="宋体"/>
                <w:b/>
              </w:rPr>
            </w:pPr>
            <w:r>
              <w:rPr>
                <w:rFonts w:hint="eastAsia" w:ascii="宋体" w:hAnsi="宋体"/>
                <w:b/>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312" w:lineRule="auto"/>
              <w:jc w:val="center"/>
              <w:rPr>
                <w:rFonts w:ascii="宋体"/>
                <w:b/>
              </w:rPr>
            </w:pPr>
            <w:r>
              <w:rPr>
                <w:rFonts w:hint="eastAsia" w:ascii="宋体" w:hAnsi="宋体"/>
                <w:b/>
              </w:rPr>
              <w:t>是否响应</w:t>
            </w:r>
          </w:p>
        </w:tc>
        <w:tc>
          <w:tcPr>
            <w:tcW w:w="3020" w:type="dxa"/>
            <w:tcBorders>
              <w:top w:val="single" w:color="auto" w:sz="4" w:space="0"/>
              <w:left w:val="single" w:color="auto" w:sz="4" w:space="0"/>
              <w:bottom w:val="single" w:color="auto" w:sz="4" w:space="0"/>
            </w:tcBorders>
            <w:vAlign w:val="center"/>
          </w:tcPr>
          <w:p>
            <w:pPr>
              <w:snapToGrid w:val="0"/>
              <w:spacing w:beforeLines="50" w:line="312" w:lineRule="auto"/>
              <w:jc w:val="center"/>
              <w:rPr>
                <w:rFonts w:ascii="宋体"/>
                <w:b/>
              </w:rPr>
            </w:pPr>
            <w:r>
              <w:rPr>
                <w:rFonts w:hint="eastAsia" w:ascii="宋体" w:hAnsi="宋体"/>
                <w:b/>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bottom w:val="single" w:color="auto" w:sz="4" w:space="0"/>
              <w:right w:val="single" w:color="auto" w:sz="4" w:space="0"/>
            </w:tcBorders>
          </w:tcPr>
          <w:p>
            <w:pPr>
              <w:snapToGrid w:val="0"/>
              <w:spacing w:beforeLines="50" w:line="312" w:lineRule="auto"/>
              <w:rPr>
                <w:rFonts w:ascii="宋体"/>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sz w:val="24"/>
              </w:rPr>
            </w:pPr>
          </w:p>
        </w:tc>
        <w:tc>
          <w:tcPr>
            <w:tcW w:w="3020" w:type="dxa"/>
            <w:tcBorders>
              <w:top w:val="single" w:color="auto" w:sz="4" w:space="0"/>
              <w:left w:val="single" w:color="auto" w:sz="4" w:space="0"/>
              <w:bottom w:val="single" w:color="auto" w:sz="4" w:space="0"/>
            </w:tcBorders>
          </w:tcPr>
          <w:p>
            <w:pPr>
              <w:snapToGrid w:val="0"/>
              <w:spacing w:beforeLines="50" w:line="312" w:lineRule="auto"/>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bottom w:val="single" w:color="auto" w:sz="4" w:space="0"/>
              <w:right w:val="single" w:color="auto" w:sz="4" w:space="0"/>
            </w:tcBorders>
            <w:vAlign w:val="center"/>
          </w:tcPr>
          <w:p>
            <w:pPr>
              <w:pStyle w:val="96"/>
              <w:widowControl/>
              <w:tabs>
                <w:tab w:val="left" w:pos="420"/>
              </w:tabs>
              <w:overflowPunct w:val="0"/>
              <w:autoSpaceDE w:val="0"/>
              <w:autoSpaceDN w:val="0"/>
              <w:adjustRightInd w:val="0"/>
              <w:snapToGrid w:val="0"/>
              <w:spacing w:line="312" w:lineRule="auto"/>
              <w:textAlignment w:val="baseline"/>
              <w:rPr>
                <w:rFonts w:ascii="宋体" w:hAnsi="宋体" w:eastAsia="宋体"/>
                <w:spacing w:val="0"/>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sz w:val="24"/>
              </w:rPr>
            </w:pPr>
          </w:p>
        </w:tc>
        <w:tc>
          <w:tcPr>
            <w:tcW w:w="3020" w:type="dxa"/>
            <w:tcBorders>
              <w:top w:val="single" w:color="auto" w:sz="4" w:space="0"/>
              <w:left w:val="single" w:color="auto" w:sz="4" w:space="0"/>
              <w:bottom w:val="single" w:color="auto" w:sz="4" w:space="0"/>
            </w:tcBorders>
          </w:tcPr>
          <w:p>
            <w:pPr>
              <w:snapToGrid w:val="0"/>
              <w:spacing w:beforeLines="50" w:line="312" w:lineRule="auto"/>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1548" w:type="dxa"/>
            <w:tcBorders>
              <w:top w:val="single" w:color="auto" w:sz="4" w:space="0"/>
              <w:bottom w:val="single" w:color="auto" w:sz="4" w:space="0"/>
              <w:right w:val="single" w:color="auto" w:sz="4" w:space="0"/>
            </w:tcBorders>
            <w:vAlign w:val="center"/>
          </w:tcPr>
          <w:p>
            <w:pPr>
              <w:snapToGrid w:val="0"/>
              <w:spacing w:line="312" w:lineRule="auto"/>
              <w:jc w:val="center"/>
              <w:rPr>
                <w:rFonts w:ascii="宋体"/>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ind w:left="43"/>
              <w:rPr>
                <w:rFonts w:ascii="宋体"/>
                <w:sz w:val="24"/>
              </w:rPr>
            </w:pPr>
          </w:p>
        </w:tc>
        <w:tc>
          <w:tcPr>
            <w:tcW w:w="3020" w:type="dxa"/>
            <w:tcBorders>
              <w:top w:val="single" w:color="auto" w:sz="4" w:space="0"/>
              <w:left w:val="single" w:color="auto" w:sz="4" w:space="0"/>
              <w:bottom w:val="single" w:color="auto" w:sz="4" w:space="0"/>
            </w:tcBorders>
          </w:tcPr>
          <w:p>
            <w:pPr>
              <w:snapToGrid w:val="0"/>
              <w:spacing w:beforeLines="50" w:line="312" w:lineRule="auto"/>
              <w:ind w:left="43"/>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bottom w:val="single" w:color="auto" w:sz="4" w:space="0"/>
              <w:right w:val="single" w:color="auto" w:sz="4" w:space="0"/>
            </w:tcBorders>
            <w:vAlign w:val="center"/>
          </w:tcPr>
          <w:p>
            <w:pPr>
              <w:snapToGrid w:val="0"/>
              <w:spacing w:line="312" w:lineRule="auto"/>
              <w:jc w:val="center"/>
              <w:rPr>
                <w:rFonts w:ascii="宋体"/>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sz w:val="24"/>
              </w:rPr>
            </w:pPr>
          </w:p>
        </w:tc>
        <w:tc>
          <w:tcPr>
            <w:tcW w:w="3020" w:type="dxa"/>
            <w:tcBorders>
              <w:top w:val="single" w:color="auto" w:sz="4" w:space="0"/>
              <w:left w:val="single" w:color="auto" w:sz="4" w:space="0"/>
              <w:bottom w:val="single" w:color="auto" w:sz="4" w:space="0"/>
            </w:tcBorders>
          </w:tcPr>
          <w:p>
            <w:pPr>
              <w:snapToGrid w:val="0"/>
              <w:spacing w:beforeLines="50" w:line="312" w:lineRule="auto"/>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bottom w:val="single" w:color="auto" w:sz="4" w:space="0"/>
              <w:right w:val="single" w:color="auto" w:sz="4" w:space="0"/>
            </w:tcBorders>
          </w:tcPr>
          <w:p>
            <w:pPr>
              <w:snapToGrid w:val="0"/>
              <w:spacing w:beforeLines="50" w:line="312" w:lineRule="auto"/>
              <w:rPr>
                <w:rFonts w:ascii="宋体"/>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sz w:val="24"/>
              </w:rPr>
            </w:pPr>
          </w:p>
        </w:tc>
        <w:tc>
          <w:tcPr>
            <w:tcW w:w="3020" w:type="dxa"/>
            <w:tcBorders>
              <w:top w:val="single" w:color="auto" w:sz="4" w:space="0"/>
              <w:left w:val="single" w:color="auto" w:sz="4" w:space="0"/>
              <w:bottom w:val="single" w:color="auto" w:sz="4" w:space="0"/>
            </w:tcBorders>
          </w:tcPr>
          <w:p>
            <w:pPr>
              <w:snapToGrid w:val="0"/>
              <w:spacing w:beforeLines="50" w:line="312" w:lineRule="auto"/>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bottom w:val="single" w:color="auto" w:sz="4" w:space="0"/>
              <w:right w:val="single" w:color="auto" w:sz="4" w:space="0"/>
            </w:tcBorders>
          </w:tcPr>
          <w:p>
            <w:pPr>
              <w:snapToGrid w:val="0"/>
              <w:spacing w:beforeLines="50" w:line="312" w:lineRule="auto"/>
              <w:rPr>
                <w:rFonts w:ascii="宋体"/>
                <w:sz w:val="24"/>
              </w:rPr>
            </w:pPr>
          </w:p>
        </w:tc>
        <w:tc>
          <w:tcPr>
            <w:tcW w:w="324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line="312" w:lineRule="auto"/>
              <w:rPr>
                <w:rFonts w:ascii="宋体"/>
                <w:sz w:val="24"/>
              </w:rPr>
            </w:pPr>
          </w:p>
        </w:tc>
        <w:tc>
          <w:tcPr>
            <w:tcW w:w="3020" w:type="dxa"/>
            <w:tcBorders>
              <w:top w:val="single" w:color="auto" w:sz="4" w:space="0"/>
              <w:left w:val="single" w:color="auto" w:sz="4" w:space="0"/>
              <w:bottom w:val="single" w:color="auto" w:sz="4" w:space="0"/>
            </w:tcBorders>
          </w:tcPr>
          <w:p>
            <w:pPr>
              <w:snapToGrid w:val="0"/>
              <w:spacing w:beforeLines="50" w:line="312" w:lineRule="auto"/>
              <w:rPr>
                <w:rFonts w:ascii="宋体"/>
                <w:sz w:val="24"/>
              </w:rPr>
            </w:pPr>
          </w:p>
        </w:tc>
      </w:tr>
    </w:tbl>
    <w:p>
      <w:pPr>
        <w:pStyle w:val="89"/>
        <w:snapToGrid w:val="0"/>
        <w:spacing w:line="312" w:lineRule="auto"/>
        <w:ind w:left="642" w:hanging="642"/>
        <w:rPr>
          <w:rFonts w:ascii="宋体"/>
          <w:b/>
          <w:spacing w:val="20"/>
          <w:sz w:val="28"/>
        </w:rPr>
      </w:pPr>
    </w:p>
    <w:p>
      <w:pPr>
        <w:widowControl/>
        <w:snapToGrid w:val="0"/>
        <w:spacing w:line="312" w:lineRule="auto"/>
        <w:jc w:val="left"/>
        <w:rPr>
          <w:rFonts w:ascii="宋体"/>
          <w:sz w:val="24"/>
        </w:rPr>
        <w:sectPr>
          <w:pgSz w:w="11906" w:h="16838"/>
          <w:pgMar w:top="1304" w:right="1531" w:bottom="1304" w:left="1531" w:header="1304" w:footer="1304" w:gutter="0"/>
          <w:cols w:space="720" w:num="1"/>
        </w:sectPr>
      </w:pPr>
    </w:p>
    <w:p>
      <w:pPr>
        <w:snapToGrid w:val="0"/>
        <w:spacing w:before="50" w:afterLines="50" w:line="312" w:lineRule="auto"/>
        <w:jc w:val="left"/>
        <w:rPr>
          <w:rFonts w:ascii="宋体"/>
          <w:sz w:val="24"/>
        </w:rPr>
      </w:pPr>
      <w:r>
        <w:rPr>
          <w:rFonts w:hint="eastAsia" w:ascii="宋体" w:hAnsi="宋体"/>
          <w:b/>
          <w:sz w:val="24"/>
        </w:rPr>
        <w:t>九、投标人的类似案例的业绩证明文件：</w:t>
      </w:r>
    </w:p>
    <w:p>
      <w:pPr>
        <w:pStyle w:val="27"/>
        <w:snapToGrid w:val="0"/>
        <w:spacing w:line="312" w:lineRule="auto"/>
        <w:ind w:left="420" w:hanging="420"/>
        <w:rPr>
          <w:rFonts w:ascii="宋体"/>
          <w:sz w:val="24"/>
        </w:rPr>
      </w:pPr>
      <w:r>
        <w:rPr>
          <w:rFonts w:hint="eastAsia" w:ascii="宋体" w:hAnsi="宋体"/>
          <w:sz w:val="21"/>
        </w:rPr>
        <w:t>投标人同类项目实施情况一览表格式：（投标人同类项目合同复印件、用户验收报告、用户评价意见格式自拟）</w:t>
      </w:r>
    </w:p>
    <w:tbl>
      <w:tblPr>
        <w:tblStyle w:val="35"/>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720"/>
        <w:gridCol w:w="720"/>
        <w:gridCol w:w="72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2628" w:type="dxa"/>
            <w:vMerge w:val="restart"/>
            <w:tcBorders>
              <w:top w:val="single" w:color="auto" w:sz="4" w:space="0"/>
              <w:bottom w:val="single" w:color="auto" w:sz="4" w:space="0"/>
              <w:right w:val="single" w:color="auto" w:sz="4" w:space="0"/>
            </w:tcBorders>
            <w:vAlign w:val="center"/>
          </w:tcPr>
          <w:p>
            <w:pPr>
              <w:snapToGrid w:val="0"/>
              <w:spacing w:line="312" w:lineRule="auto"/>
              <w:jc w:val="center"/>
              <w:rPr>
                <w:rFonts w:ascii="宋体"/>
                <w:szCs w:val="21"/>
              </w:rPr>
            </w:pPr>
            <w:r>
              <w:rPr>
                <w:rFonts w:hint="eastAsia" w:ascii="宋体" w:hAnsi="宋体"/>
                <w:szCs w:val="21"/>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szCs w:val="21"/>
              </w:rPr>
            </w:pPr>
            <w:r>
              <w:rPr>
                <w:rFonts w:hint="eastAsia" w:ascii="宋体" w:hAnsi="宋体"/>
                <w:szCs w:val="21"/>
              </w:rPr>
              <w:t>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szCs w:val="21"/>
              </w:rPr>
            </w:pPr>
            <w:r>
              <w:rPr>
                <w:rFonts w:hint="eastAsia" w:ascii="宋体" w:hAnsi="宋体"/>
                <w:szCs w:val="21"/>
              </w:rPr>
              <w:t>采购</w:t>
            </w:r>
          </w:p>
          <w:p>
            <w:pPr>
              <w:snapToGrid w:val="0"/>
              <w:spacing w:line="312" w:lineRule="auto"/>
              <w:jc w:val="center"/>
              <w:rPr>
                <w:rFonts w:ascii="宋体"/>
                <w:szCs w:val="21"/>
              </w:rPr>
            </w:pPr>
            <w:r>
              <w:rPr>
                <w:rFonts w:hint="eastAsia" w:ascii="宋体" w:hAnsi="宋体"/>
                <w:szCs w:val="21"/>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szCs w:val="21"/>
              </w:rPr>
            </w:pPr>
            <w:r>
              <w:rPr>
                <w:rFonts w:hint="eastAsia" w:ascii="宋体" w:hAnsi="宋体"/>
                <w:szCs w:val="21"/>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szCs w:val="21"/>
              </w:rPr>
            </w:pPr>
            <w:r>
              <w:rPr>
                <w:rFonts w:hint="eastAsia" w:ascii="宋体" w:hAnsi="宋体"/>
                <w:szCs w:val="21"/>
              </w:rPr>
              <w:t>合同金额</w:t>
            </w:r>
          </w:p>
          <w:p>
            <w:pPr>
              <w:snapToGrid w:val="0"/>
              <w:spacing w:line="312" w:lineRule="auto"/>
              <w:jc w:val="center"/>
              <w:rPr>
                <w:rFonts w:ascii="宋体"/>
                <w:szCs w:val="21"/>
              </w:rPr>
            </w:pPr>
            <w:r>
              <w:rPr>
                <w:rFonts w:hint="eastAsia" w:ascii="宋体" w:hAnsi="宋体"/>
                <w:szCs w:val="21"/>
              </w:rPr>
              <w:t>（万元）</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szCs w:val="21"/>
              </w:rPr>
            </w:pPr>
            <w:r>
              <w:rPr>
                <w:rFonts w:hint="eastAsia" w:ascii="宋体" w:hAnsi="宋体"/>
                <w:szCs w:val="21"/>
              </w:rPr>
              <w:t>附件页码</w:t>
            </w:r>
          </w:p>
        </w:tc>
        <w:tc>
          <w:tcPr>
            <w:tcW w:w="2160" w:type="dxa"/>
            <w:vMerge w:val="restart"/>
            <w:tcBorders>
              <w:top w:val="single" w:color="auto" w:sz="4" w:space="0"/>
              <w:left w:val="single" w:color="auto" w:sz="4" w:space="0"/>
              <w:bottom w:val="single" w:color="auto" w:sz="4" w:space="0"/>
            </w:tcBorders>
            <w:vAlign w:val="center"/>
          </w:tcPr>
          <w:p>
            <w:pPr>
              <w:snapToGrid w:val="0"/>
              <w:spacing w:line="312" w:lineRule="auto"/>
              <w:jc w:val="center"/>
              <w:rPr>
                <w:rFonts w:ascii="宋体"/>
                <w:szCs w:val="21"/>
              </w:rPr>
            </w:pPr>
            <w:r>
              <w:rPr>
                <w:rFonts w:hint="eastAsia" w:ascii="宋体" w:hAnsi="宋体"/>
                <w:szCs w:val="21"/>
              </w:rPr>
              <w:t>采购单位联系人及</w:t>
            </w:r>
          </w:p>
          <w:p>
            <w:pPr>
              <w:snapToGrid w:val="0"/>
              <w:spacing w:line="312" w:lineRule="auto"/>
              <w:jc w:val="center"/>
              <w:rPr>
                <w:rFonts w:asci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2628" w:type="dxa"/>
            <w:vMerge w:val="continue"/>
            <w:tcBorders>
              <w:top w:val="single" w:color="auto" w:sz="4" w:space="0"/>
              <w:bottom w:val="single" w:color="auto" w:sz="4" w:space="0"/>
              <w:right w:val="single" w:color="auto" w:sz="4" w:space="0"/>
            </w:tcBorders>
            <w:vAlign w:val="center"/>
          </w:tcPr>
          <w:p>
            <w:pPr>
              <w:widowControl/>
              <w:snapToGrid w:val="0"/>
              <w:spacing w:line="312" w:lineRule="auto"/>
              <w:jc w:val="left"/>
              <w:rPr>
                <w:rFonts w:ascii="宋体"/>
                <w:szCs w:val="21"/>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宋体"/>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宋体"/>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宋体"/>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rFonts w:ascii="宋体"/>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szCs w:val="21"/>
              </w:rPr>
            </w:pPr>
            <w:r>
              <w:rPr>
                <w:rFonts w:hint="eastAsia" w:ascii="宋体" w:hAnsi="宋体"/>
                <w:szCs w:val="21"/>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szCs w:val="21"/>
              </w:rPr>
            </w:pPr>
            <w:r>
              <w:rPr>
                <w:rFonts w:hint="eastAsia" w:ascii="宋体" w:hAnsi="宋体"/>
                <w:szCs w:val="21"/>
              </w:rPr>
              <w:t>验收报告</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12" w:lineRule="auto"/>
              <w:jc w:val="center"/>
              <w:rPr>
                <w:rFonts w:ascii="宋体"/>
                <w:szCs w:val="21"/>
              </w:rPr>
            </w:pPr>
            <w:r>
              <w:rPr>
                <w:rFonts w:hint="eastAsia" w:ascii="宋体" w:hAnsi="宋体"/>
                <w:szCs w:val="21"/>
              </w:rPr>
              <w:t>用户评价</w:t>
            </w:r>
          </w:p>
        </w:tc>
        <w:tc>
          <w:tcPr>
            <w:tcW w:w="2160" w:type="dxa"/>
            <w:vMerge w:val="continue"/>
            <w:tcBorders>
              <w:top w:val="single" w:color="auto" w:sz="4" w:space="0"/>
              <w:left w:val="single" w:color="auto" w:sz="4" w:space="0"/>
              <w:bottom w:val="single" w:color="auto" w:sz="4" w:space="0"/>
            </w:tcBorders>
            <w:vAlign w:val="center"/>
          </w:tcPr>
          <w:p>
            <w:pPr>
              <w:widowControl/>
              <w:snapToGrid w:val="0"/>
              <w:spacing w:line="312" w:lineRule="auto"/>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bottom w:val="single" w:color="auto" w:sz="4" w:space="0"/>
              <w:right w:val="single" w:color="auto" w:sz="4" w:space="0"/>
            </w:tcBorders>
          </w:tcPr>
          <w:p>
            <w:pPr>
              <w:snapToGrid w:val="0"/>
              <w:spacing w:line="312" w:lineRule="auto"/>
              <w:jc w:val="left"/>
              <w:rPr>
                <w:rFonts w:ascii="宋体"/>
                <w:szCs w:val="21"/>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宋体"/>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宋体"/>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宋体"/>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12" w:lineRule="auto"/>
              <w:jc w:val="left"/>
              <w:rPr>
                <w:rFonts w:ascii="宋体"/>
                <w:szCs w:val="21"/>
              </w:rPr>
            </w:pPr>
          </w:p>
        </w:tc>
        <w:tc>
          <w:tcPr>
            <w:tcW w:w="2160" w:type="dxa"/>
            <w:tcBorders>
              <w:top w:val="single" w:color="auto" w:sz="4" w:space="0"/>
              <w:left w:val="single" w:color="auto" w:sz="4" w:space="0"/>
              <w:bottom w:val="single" w:color="auto" w:sz="4" w:space="0"/>
            </w:tcBorders>
          </w:tcPr>
          <w:p>
            <w:pPr>
              <w:snapToGrid w:val="0"/>
              <w:spacing w:line="312" w:lineRule="auto"/>
              <w:jc w:val="left"/>
              <w:rPr>
                <w:rFonts w:asci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2160" w:type="dxa"/>
            <w:tcBorders>
              <w:top w:val="single" w:color="auto" w:sz="4" w:space="0"/>
              <w:left w:val="single" w:color="auto" w:sz="4" w:space="0"/>
              <w:bottom w:val="single" w:color="auto" w:sz="4" w:space="0"/>
            </w:tcBorders>
          </w:tcPr>
          <w:p>
            <w:pPr>
              <w:snapToGrid w:val="0"/>
              <w:spacing w:before="50" w:afterLines="50" w:line="312" w:lineRule="auto"/>
              <w:jc w:val="lef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2160" w:type="dxa"/>
            <w:tcBorders>
              <w:top w:val="single" w:color="auto" w:sz="4" w:space="0"/>
              <w:left w:val="single" w:color="auto" w:sz="4" w:space="0"/>
              <w:bottom w:val="single" w:color="auto" w:sz="4" w:space="0"/>
            </w:tcBorders>
          </w:tcPr>
          <w:p>
            <w:pPr>
              <w:snapToGrid w:val="0"/>
              <w:spacing w:before="50" w:afterLines="50" w:line="312" w:lineRule="auto"/>
              <w:jc w:val="lef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2160" w:type="dxa"/>
            <w:tcBorders>
              <w:top w:val="single" w:color="auto" w:sz="4" w:space="0"/>
              <w:left w:val="single" w:color="auto" w:sz="4" w:space="0"/>
              <w:bottom w:val="single" w:color="auto" w:sz="4" w:space="0"/>
            </w:tcBorders>
          </w:tcPr>
          <w:p>
            <w:pPr>
              <w:snapToGrid w:val="0"/>
              <w:spacing w:before="50" w:afterLines="50" w:line="312" w:lineRule="auto"/>
              <w:jc w:val="left"/>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12" w:lineRule="auto"/>
              <w:jc w:val="left"/>
              <w:rPr>
                <w:rFonts w:ascii="宋体"/>
                <w:sz w:val="24"/>
              </w:rPr>
            </w:pPr>
          </w:p>
        </w:tc>
        <w:tc>
          <w:tcPr>
            <w:tcW w:w="2160" w:type="dxa"/>
            <w:tcBorders>
              <w:top w:val="single" w:color="auto" w:sz="4" w:space="0"/>
              <w:left w:val="single" w:color="auto" w:sz="4" w:space="0"/>
              <w:bottom w:val="single" w:color="auto" w:sz="4" w:space="0"/>
            </w:tcBorders>
          </w:tcPr>
          <w:p>
            <w:pPr>
              <w:snapToGrid w:val="0"/>
              <w:spacing w:before="50" w:afterLines="50" w:line="312" w:lineRule="auto"/>
              <w:jc w:val="left"/>
              <w:rPr>
                <w:rFonts w:ascii="宋体"/>
                <w:sz w:val="24"/>
              </w:rPr>
            </w:pPr>
          </w:p>
        </w:tc>
      </w:tr>
    </w:tbl>
    <w:p>
      <w:pPr>
        <w:pStyle w:val="12"/>
        <w:snapToGrid w:val="0"/>
        <w:spacing w:line="312" w:lineRule="auto"/>
        <w:rPr>
          <w:rFonts w:ascii="宋体" w:hAnsi="宋体" w:eastAsia="宋体"/>
        </w:rPr>
      </w:pPr>
    </w:p>
    <w:p>
      <w:pPr>
        <w:snapToGrid w:val="0"/>
        <w:spacing w:before="50" w:after="50"/>
        <w:rPr>
          <w:rFonts w:ascii="宋体"/>
        </w:rPr>
      </w:pPr>
    </w:p>
    <w:p>
      <w:pPr>
        <w:snapToGrid w:val="0"/>
        <w:ind w:left="2" w:right="-817" w:rightChars="-389"/>
        <w:rPr>
          <w:rFonts w:ascii="宋体"/>
        </w:rPr>
      </w:pPr>
    </w:p>
    <w:p>
      <w:pPr>
        <w:snapToGrid w:val="0"/>
        <w:spacing w:before="50" w:line="312" w:lineRule="auto"/>
        <w:jc w:val="left"/>
        <w:rPr>
          <w:rFonts w:ascii="宋体"/>
        </w:rPr>
      </w:pPr>
      <w:r>
        <w:rPr>
          <w:rFonts w:hint="eastAsia" w:ascii="宋体" w:hAnsi="宋体"/>
        </w:rPr>
        <w:t>投标人名称（盖章）：年月日</w:t>
      </w:r>
    </w:p>
    <w:p>
      <w:pPr>
        <w:snapToGrid w:val="0"/>
        <w:spacing w:before="50" w:line="312" w:lineRule="auto"/>
        <w:ind w:firstLine="480" w:firstLineChars="200"/>
        <w:jc w:val="left"/>
        <w:rPr>
          <w:rFonts w:ascii="宋体"/>
          <w:sz w:val="24"/>
        </w:rPr>
      </w:pPr>
    </w:p>
    <w:p>
      <w:pPr>
        <w:pStyle w:val="20"/>
        <w:snapToGrid w:val="0"/>
        <w:spacing w:before="120" w:line="312" w:lineRule="auto"/>
        <w:rPr>
          <w:rFonts w:hAnsi="宋体"/>
        </w:rPr>
      </w:pPr>
    </w:p>
    <w:p>
      <w:pPr>
        <w:widowControl/>
        <w:snapToGrid w:val="0"/>
        <w:spacing w:afterAutospacing="1" w:line="312" w:lineRule="auto"/>
        <w:jc w:val="left"/>
        <w:rPr>
          <w:rFonts w:ascii="宋体"/>
          <w:sz w:val="30"/>
        </w:rPr>
        <w:sectPr>
          <w:pgSz w:w="16838" w:h="11906" w:orient="landscape"/>
          <w:pgMar w:top="1418" w:right="1361" w:bottom="924" w:left="1134" w:header="851" w:footer="992" w:gutter="0"/>
          <w:cols w:space="720" w:num="1"/>
        </w:sectPr>
      </w:pPr>
    </w:p>
    <w:p>
      <w:pPr>
        <w:snapToGrid w:val="0"/>
        <w:spacing w:before="50" w:afterLines="50" w:line="312" w:lineRule="auto"/>
        <w:jc w:val="left"/>
        <w:rPr>
          <w:rFonts w:ascii="宋体"/>
          <w:b/>
          <w:sz w:val="24"/>
        </w:rPr>
      </w:pPr>
    </w:p>
    <w:p>
      <w:pPr>
        <w:snapToGrid w:val="0"/>
        <w:spacing w:beforeLines="50" w:after="50" w:line="312" w:lineRule="auto"/>
        <w:rPr>
          <w:rFonts w:ascii="宋体"/>
          <w:b/>
          <w:sz w:val="24"/>
        </w:rPr>
      </w:pPr>
      <w:r>
        <w:rPr>
          <w:rFonts w:hint="eastAsia" w:ascii="宋体" w:hAnsi="宋体"/>
          <w:b/>
          <w:sz w:val="24"/>
        </w:rPr>
        <w:t>十</w:t>
      </w:r>
    </w:p>
    <w:p>
      <w:pPr>
        <w:snapToGrid w:val="0"/>
        <w:spacing w:beforeLines="50" w:after="50" w:line="312" w:lineRule="auto"/>
        <w:jc w:val="center"/>
        <w:rPr>
          <w:rFonts w:ascii="宋体"/>
          <w:b/>
          <w:sz w:val="24"/>
        </w:rPr>
      </w:pPr>
      <w:r>
        <w:rPr>
          <w:rFonts w:hint="eastAsia" w:ascii="宋体" w:hAnsi="宋体"/>
          <w:b/>
          <w:sz w:val="24"/>
        </w:rPr>
        <w:t>项目实施人员（主要从业人员及其技术资格）一览表</w:t>
      </w:r>
    </w:p>
    <w:p>
      <w:pPr>
        <w:snapToGrid w:val="0"/>
        <w:spacing w:beforeLines="50" w:after="50" w:line="312" w:lineRule="auto"/>
        <w:rPr>
          <w:rFonts w:ascii="宋体"/>
        </w:rPr>
      </w:pPr>
    </w:p>
    <w:p>
      <w:pPr>
        <w:snapToGrid w:val="0"/>
        <w:spacing w:line="312" w:lineRule="auto"/>
        <w:rPr>
          <w:rFonts w:ascii="宋体"/>
        </w:rPr>
      </w:pPr>
      <w:r>
        <w:rPr>
          <w:rFonts w:hint="eastAsia" w:ascii="宋体" w:hAnsi="宋体"/>
        </w:rPr>
        <w:t>项目名称：</w:t>
      </w:r>
    </w:p>
    <w:p>
      <w:pPr>
        <w:snapToGrid w:val="0"/>
        <w:spacing w:line="312" w:lineRule="auto"/>
        <w:rPr>
          <w:rFonts w:ascii="宋体"/>
        </w:rPr>
      </w:pPr>
      <w:r>
        <w:rPr>
          <w:rFonts w:hint="eastAsia" w:ascii="宋体" w:hAnsi="宋体"/>
        </w:rPr>
        <w:t>项目编号：</w:t>
      </w:r>
    </w:p>
    <w:tbl>
      <w:tblPr>
        <w:tblStyle w:val="35"/>
        <w:tblW w:w="925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620"/>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vAlign w:val="bottom"/>
          </w:tcPr>
          <w:p>
            <w:pPr>
              <w:snapToGrid w:val="0"/>
              <w:spacing w:beforeLines="50" w:after="50" w:line="312" w:lineRule="auto"/>
              <w:rPr>
                <w:rFonts w:ascii="宋体"/>
              </w:rPr>
            </w:pPr>
            <w:r>
              <w:rPr>
                <w:rFonts w:hint="eastAsia" w:ascii="宋体" w:hAnsi="宋体"/>
              </w:rPr>
              <w:t>姓名</w:t>
            </w:r>
          </w:p>
        </w:tc>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12" w:lineRule="auto"/>
              <w:rPr>
                <w:rFonts w:ascii="宋体"/>
              </w:rPr>
            </w:pPr>
            <w:r>
              <w:rPr>
                <w:rFonts w:hint="eastAsia" w:ascii="宋体" w:hAnsi="宋体"/>
              </w:rPr>
              <w:t>职务</w:t>
            </w:r>
          </w:p>
        </w:tc>
        <w:tc>
          <w:tcPr>
            <w:tcW w:w="1663"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12" w:lineRule="auto"/>
              <w:jc w:val="center"/>
              <w:rPr>
                <w:rFonts w:ascii="宋体"/>
              </w:rPr>
            </w:pPr>
            <w:r>
              <w:rPr>
                <w:rFonts w:hint="eastAsia" w:ascii="宋体" w:hAnsi="宋体"/>
              </w:rPr>
              <w:t>专业技术资格</w:t>
            </w:r>
          </w:p>
        </w:tc>
        <w:tc>
          <w:tcPr>
            <w:tcW w:w="1260"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12" w:lineRule="auto"/>
              <w:rPr>
                <w:rFonts w:ascii="宋体"/>
              </w:rPr>
            </w:pPr>
            <w:r>
              <w:rPr>
                <w:rFonts w:hint="eastAsia" w:ascii="宋体" w:hAnsi="宋体"/>
              </w:rPr>
              <w:t>证书编号</w:t>
            </w:r>
          </w:p>
        </w:tc>
        <w:tc>
          <w:tcPr>
            <w:tcW w:w="1620"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12" w:lineRule="auto"/>
              <w:rPr>
                <w:rFonts w:ascii="宋体"/>
              </w:rPr>
            </w:pPr>
            <w:r>
              <w:rPr>
                <w:rFonts w:hint="eastAsia" w:ascii="宋体" w:hAnsi="宋体"/>
              </w:rPr>
              <w:t>参加本单位工作时间</w:t>
            </w:r>
          </w:p>
        </w:tc>
        <w:tc>
          <w:tcPr>
            <w:tcW w:w="2700" w:type="dxa"/>
            <w:tcBorders>
              <w:top w:val="single" w:color="auto" w:sz="4" w:space="0"/>
              <w:left w:val="single" w:color="auto" w:sz="4" w:space="0"/>
              <w:bottom w:val="single" w:color="auto" w:sz="4" w:space="0"/>
            </w:tcBorders>
            <w:vAlign w:val="bottom"/>
          </w:tcPr>
          <w:p>
            <w:pPr>
              <w:snapToGrid w:val="0"/>
              <w:spacing w:beforeLines="50" w:after="50" w:line="312" w:lineRule="auto"/>
              <w:rPr>
                <w:rFonts w:ascii="宋体"/>
              </w:rPr>
            </w:pPr>
            <w:r>
              <w:rPr>
                <w:rFonts w:hint="eastAsia" w:ascii="宋体" w:hAnsi="宋体"/>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63" w:type="dxa"/>
            <w:tcBorders>
              <w:top w:val="single" w:color="auto" w:sz="4" w:space="0"/>
              <w:left w:val="single" w:color="auto" w:sz="4" w:space="0"/>
              <w:bottom w:val="single" w:color="auto" w:sz="4" w:space="0"/>
              <w:right w:val="single" w:color="auto" w:sz="4" w:space="0"/>
            </w:tcBorders>
          </w:tcPr>
          <w:p>
            <w:pPr>
              <w:pStyle w:val="21"/>
              <w:snapToGrid w:val="0"/>
              <w:spacing w:beforeLines="50" w:after="120" w:line="312" w:lineRule="auto"/>
              <w:ind w:left="5250"/>
              <w:rPr>
                <w:rFonts w:ascii="宋体" w:hAnsi="宋体" w:eastAsia="宋体"/>
                <w:b/>
                <w:bCs/>
                <w:sz w:val="24"/>
                <w:szCs w:val="36"/>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line="312" w:lineRule="auto"/>
              <w:rPr>
                <w:rFonts w:ascii="宋体"/>
                <w:sz w:val="24"/>
              </w:rPr>
            </w:pPr>
          </w:p>
        </w:tc>
        <w:tc>
          <w:tcPr>
            <w:tcW w:w="2700" w:type="dxa"/>
            <w:tcBorders>
              <w:top w:val="single" w:color="auto" w:sz="4" w:space="0"/>
              <w:left w:val="single" w:color="auto" w:sz="4" w:space="0"/>
              <w:bottom w:val="single" w:color="auto" w:sz="4" w:space="0"/>
            </w:tcBorders>
          </w:tcPr>
          <w:p>
            <w:pPr>
              <w:snapToGrid w:val="0"/>
              <w:spacing w:beforeLines="50" w:after="50" w:line="312" w:lineRule="auto"/>
              <w:rPr>
                <w:rFonts w:ascii="宋体"/>
                <w:sz w:val="24"/>
              </w:rPr>
            </w:pPr>
          </w:p>
        </w:tc>
      </w:tr>
    </w:tbl>
    <w:p>
      <w:pPr>
        <w:snapToGrid w:val="0"/>
        <w:spacing w:before="50" w:afterLines="50" w:line="312" w:lineRule="auto"/>
        <w:jc w:val="left"/>
        <w:rPr>
          <w:rFonts w:ascii="宋体"/>
        </w:rPr>
      </w:pPr>
      <w:r>
        <w:rPr>
          <w:rFonts w:hint="eastAsia" w:ascii="宋体" w:hAnsi="宋体"/>
        </w:rPr>
        <w:t>注：在填写时，如本表格不适合投标单位的实际情况，可根据本表格式自行划表填写。</w:t>
      </w:r>
    </w:p>
    <w:p>
      <w:pPr>
        <w:snapToGrid w:val="0"/>
        <w:spacing w:before="50" w:after="50" w:line="312" w:lineRule="auto"/>
        <w:rPr>
          <w:rFonts w:ascii="宋体"/>
          <w:spacing w:val="20"/>
          <w:sz w:val="24"/>
        </w:rPr>
      </w:pPr>
    </w:p>
    <w:p>
      <w:pPr>
        <w:snapToGrid w:val="0"/>
        <w:spacing w:before="50" w:after="50" w:line="312" w:lineRule="auto"/>
        <w:rPr>
          <w:rFonts w:ascii="宋体"/>
          <w:spacing w:val="20"/>
          <w:sz w:val="24"/>
        </w:rPr>
      </w:pPr>
    </w:p>
    <w:p>
      <w:pPr>
        <w:snapToGrid w:val="0"/>
        <w:ind w:left="2" w:right="-817" w:rightChars="-389"/>
        <w:rPr>
          <w:rFonts w:ascii="宋体"/>
        </w:rPr>
      </w:pPr>
    </w:p>
    <w:p>
      <w:pPr>
        <w:snapToGrid w:val="0"/>
        <w:spacing w:before="50" w:afterLines="50" w:line="312" w:lineRule="auto"/>
        <w:jc w:val="left"/>
        <w:rPr>
          <w:rFonts w:ascii="宋体"/>
          <w:spacing w:val="20"/>
          <w:sz w:val="24"/>
          <w:u w:val="single"/>
        </w:rPr>
      </w:pPr>
      <w:r>
        <w:rPr>
          <w:rFonts w:hint="eastAsia" w:ascii="宋体" w:hAnsi="宋体"/>
        </w:rPr>
        <w:t>投标人名称（盖章）：</w:t>
      </w:r>
      <w:r>
        <w:rPr>
          <w:rFonts w:hint="eastAsia" w:ascii="宋体" w:hAnsi="宋体"/>
          <w:spacing w:val="20"/>
          <w:sz w:val="24"/>
        </w:rPr>
        <w:t>日期：</w:t>
      </w:r>
    </w:p>
    <w:p>
      <w:pPr>
        <w:snapToGrid w:val="0"/>
        <w:spacing w:before="50" w:afterLines="50" w:line="312" w:lineRule="auto"/>
        <w:jc w:val="left"/>
        <w:rPr>
          <w:rFonts w:ascii="宋体"/>
          <w:sz w:val="24"/>
        </w:rPr>
      </w:pPr>
    </w:p>
    <w:p>
      <w:pPr>
        <w:snapToGrid w:val="0"/>
        <w:spacing w:before="50" w:afterLines="50" w:line="312" w:lineRule="auto"/>
        <w:jc w:val="left"/>
        <w:rPr>
          <w:rFonts w:ascii="宋体"/>
          <w:sz w:val="24"/>
        </w:rPr>
      </w:pPr>
    </w:p>
    <w:p>
      <w:pPr>
        <w:snapToGrid w:val="0"/>
        <w:spacing w:before="50" w:afterLines="50" w:line="312" w:lineRule="auto"/>
        <w:jc w:val="left"/>
        <w:rPr>
          <w:rFonts w:ascii="宋体"/>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4"/>
        </w:rPr>
      </w:pPr>
    </w:p>
    <w:p>
      <w:pPr>
        <w:snapToGrid w:val="0"/>
        <w:spacing w:before="50" w:afterLines="50"/>
        <w:jc w:val="left"/>
        <w:rPr>
          <w:rFonts w:ascii="宋体"/>
          <w:b/>
          <w:sz w:val="28"/>
          <w:szCs w:val="28"/>
        </w:rPr>
      </w:pPr>
    </w:p>
    <w:p>
      <w:pPr>
        <w:snapToGrid w:val="0"/>
        <w:spacing w:before="50" w:afterLines="50"/>
        <w:jc w:val="left"/>
        <w:rPr>
          <w:rFonts w:ascii="宋体"/>
          <w:b/>
          <w:sz w:val="24"/>
        </w:rPr>
      </w:pPr>
      <w:r>
        <w:rPr>
          <w:rFonts w:hint="eastAsia" w:ascii="宋体" w:hAnsi="宋体"/>
          <w:b/>
          <w:sz w:val="24"/>
        </w:rPr>
        <w:t>十一、技术响应表格式：</w:t>
      </w:r>
    </w:p>
    <w:p>
      <w:pPr>
        <w:rPr>
          <w:rFonts w:ascii="宋体"/>
        </w:rPr>
      </w:pPr>
      <w:r>
        <w:rPr>
          <w:rFonts w:hint="eastAsia" w:ascii="宋体" w:hAnsi="宋体"/>
        </w:rPr>
        <w:t>项目名称：</w:t>
      </w:r>
    </w:p>
    <w:p>
      <w:pPr>
        <w:snapToGrid w:val="0"/>
        <w:spacing w:line="360" w:lineRule="auto"/>
        <w:rPr>
          <w:rFonts w:ascii="宋体"/>
        </w:rPr>
      </w:pPr>
      <w:r>
        <w:rPr>
          <w:rFonts w:hint="eastAsia" w:ascii="宋体" w:hAnsi="宋体"/>
        </w:rPr>
        <w:t>项目编号：</w:t>
      </w:r>
    </w:p>
    <w:tbl>
      <w:tblPr>
        <w:tblStyle w:val="35"/>
        <w:tblW w:w="901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860"/>
        <w:gridCol w:w="2280"/>
        <w:gridCol w:w="2040"/>
        <w:gridCol w:w="1604"/>
        <w:gridCol w:w="1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948" w:type="dxa"/>
            <w:gridSpan w:val="3"/>
            <w:tcBorders>
              <w:top w:val="single" w:color="auto" w:sz="4" w:space="0"/>
              <w:bottom w:val="single" w:color="auto" w:sz="4" w:space="0"/>
              <w:right w:val="single" w:color="auto" w:sz="4" w:space="0"/>
            </w:tcBorders>
            <w:vAlign w:val="center"/>
          </w:tcPr>
          <w:p>
            <w:pPr>
              <w:pStyle w:val="20"/>
              <w:snapToGrid w:val="0"/>
              <w:spacing w:before="120" w:after="295" w:line="240" w:lineRule="auto"/>
              <w:jc w:val="center"/>
              <w:outlineLvl w:val="0"/>
              <w:rPr>
                <w:rFonts w:hAnsi="宋体"/>
              </w:rPr>
            </w:pPr>
            <w:r>
              <w:rPr>
                <w:rFonts w:hint="eastAsia" w:hAnsi="宋体"/>
              </w:rPr>
              <w:t>招标文件要求</w:t>
            </w:r>
          </w:p>
        </w:tc>
        <w:tc>
          <w:tcPr>
            <w:tcW w:w="3644" w:type="dxa"/>
            <w:gridSpan w:val="2"/>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240" w:lineRule="auto"/>
              <w:jc w:val="center"/>
              <w:outlineLvl w:val="0"/>
              <w:rPr>
                <w:rFonts w:hAnsi="宋体"/>
              </w:rPr>
            </w:pPr>
            <w:r>
              <w:rPr>
                <w:rFonts w:hint="eastAsia" w:hAnsi="宋体"/>
              </w:rPr>
              <w:t>投标文件响应</w:t>
            </w:r>
          </w:p>
        </w:tc>
        <w:tc>
          <w:tcPr>
            <w:tcW w:w="1423" w:type="dxa"/>
            <w:vMerge w:val="restart"/>
            <w:tcBorders>
              <w:top w:val="single" w:color="auto" w:sz="4" w:space="0"/>
              <w:left w:val="single" w:color="auto" w:sz="4" w:space="0"/>
              <w:bottom w:val="single" w:color="auto" w:sz="4" w:space="0"/>
            </w:tcBorders>
            <w:vAlign w:val="center"/>
          </w:tcPr>
          <w:p>
            <w:pPr>
              <w:pStyle w:val="20"/>
              <w:snapToGrid w:val="0"/>
              <w:spacing w:before="120" w:after="295" w:line="240" w:lineRule="auto"/>
              <w:jc w:val="center"/>
              <w:outlineLvl w:val="0"/>
              <w:rPr>
                <w:rFonts w:hAnsi="宋体"/>
              </w:rPr>
            </w:pPr>
            <w:r>
              <w:rPr>
                <w:rFonts w:hint="eastAsia" w:hAnsi="宋体"/>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668" w:type="dxa"/>
            <w:gridSpan w:val="2"/>
            <w:tcBorders>
              <w:top w:val="single" w:color="auto" w:sz="4" w:space="0"/>
              <w:bottom w:val="single" w:color="auto" w:sz="4" w:space="0"/>
              <w:right w:val="single" w:color="auto" w:sz="4" w:space="0"/>
            </w:tcBorders>
            <w:vAlign w:val="center"/>
          </w:tcPr>
          <w:p>
            <w:pPr>
              <w:pStyle w:val="20"/>
              <w:snapToGrid w:val="0"/>
              <w:spacing w:before="120" w:after="295" w:line="240" w:lineRule="auto"/>
              <w:jc w:val="center"/>
              <w:outlineLvl w:val="0"/>
              <w:rPr>
                <w:rFonts w:hAnsi="宋体"/>
              </w:rPr>
            </w:pPr>
            <w:r>
              <w:rPr>
                <w:rFonts w:hint="eastAsia" w:hAnsi="宋体"/>
              </w:rPr>
              <w:t>项目</w:t>
            </w: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240" w:lineRule="auto"/>
              <w:jc w:val="center"/>
              <w:outlineLvl w:val="0"/>
              <w:rPr>
                <w:rFonts w:hAnsi="宋体"/>
              </w:rPr>
            </w:pPr>
            <w:r>
              <w:rPr>
                <w:rFonts w:hint="eastAsia" w:hAnsi="宋体"/>
              </w:rPr>
              <w:t>要求</w:t>
            </w:r>
          </w:p>
        </w:tc>
        <w:tc>
          <w:tcPr>
            <w:tcW w:w="204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240" w:lineRule="auto"/>
              <w:jc w:val="center"/>
              <w:outlineLvl w:val="0"/>
              <w:rPr>
                <w:rFonts w:hAnsi="宋体"/>
              </w:rPr>
            </w:pPr>
            <w:r>
              <w:rPr>
                <w:rFonts w:hint="eastAsia" w:hAnsi="宋体"/>
              </w:rPr>
              <w:t>项目</w:t>
            </w:r>
          </w:p>
        </w:tc>
        <w:tc>
          <w:tcPr>
            <w:tcW w:w="1604"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240" w:lineRule="auto"/>
              <w:jc w:val="center"/>
              <w:outlineLvl w:val="0"/>
              <w:rPr>
                <w:rFonts w:hAnsi="宋体"/>
              </w:rPr>
            </w:pPr>
            <w:r>
              <w:rPr>
                <w:rFonts w:hint="eastAsia" w:hAnsi="宋体"/>
              </w:rPr>
              <w:t>要求</w:t>
            </w:r>
          </w:p>
        </w:tc>
        <w:tc>
          <w:tcPr>
            <w:tcW w:w="1423" w:type="dxa"/>
            <w:vMerge w:val="continue"/>
            <w:tcBorders>
              <w:top w:val="single" w:color="auto" w:sz="4" w:space="0"/>
              <w:left w:val="single" w:color="auto" w:sz="4" w:space="0"/>
              <w:bottom w:val="single" w:color="auto" w:sz="4" w:space="0"/>
            </w:tcBorders>
            <w:vAlign w:val="center"/>
          </w:tcPr>
          <w:p>
            <w:pPr>
              <w:spacing w:line="1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808" w:type="dxa"/>
            <w:tcBorders>
              <w:top w:val="single" w:color="auto" w:sz="4" w:space="0"/>
              <w:bottom w:val="single" w:color="auto" w:sz="4" w:space="0"/>
              <w:right w:val="single" w:color="auto" w:sz="4" w:space="0"/>
            </w:tcBorders>
            <w:vAlign w:val="center"/>
          </w:tcPr>
          <w:p>
            <w:pPr>
              <w:pStyle w:val="20"/>
              <w:snapToGrid w:val="0"/>
              <w:spacing w:before="120" w:after="295" w:line="240" w:lineRule="auto"/>
              <w:jc w:val="center"/>
              <w:outlineLvl w:val="0"/>
              <w:rPr>
                <w:rFonts w:hAnsi="宋体"/>
              </w:rPr>
            </w:pPr>
          </w:p>
        </w:tc>
        <w:tc>
          <w:tcPr>
            <w:tcW w:w="86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240" w:lineRule="auto"/>
              <w:jc w:val="center"/>
              <w:outlineLvl w:val="0"/>
              <w:rPr>
                <w:rFonts w:hAnsi="宋体"/>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jc w:val="center"/>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jc w:val="center"/>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jc w:val="center"/>
              <w:outlineLvl w:val="0"/>
              <w:rPr>
                <w:rFonts w:hAnsi="宋体"/>
              </w:rPr>
            </w:pPr>
          </w:p>
        </w:tc>
        <w:tc>
          <w:tcPr>
            <w:tcW w:w="1423" w:type="dxa"/>
            <w:tcBorders>
              <w:top w:val="single" w:color="auto" w:sz="4" w:space="0"/>
              <w:left w:val="single" w:color="auto" w:sz="4" w:space="0"/>
              <w:bottom w:val="single" w:color="auto" w:sz="4" w:space="0"/>
            </w:tcBorders>
            <w:vAlign w:val="center"/>
          </w:tcPr>
          <w:p>
            <w:pPr>
              <w:pStyle w:val="20"/>
              <w:snapToGrid w:val="0"/>
              <w:spacing w:before="120" w:after="295" w:line="120" w:lineRule="exact"/>
              <w:jc w:val="center"/>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08" w:type="dxa"/>
            <w:tcBorders>
              <w:top w:val="single" w:color="auto" w:sz="4" w:space="0"/>
              <w:bottom w:val="single" w:color="auto" w:sz="4" w:space="0"/>
              <w:right w:val="single" w:color="auto" w:sz="4" w:space="0"/>
            </w:tcBorders>
            <w:vAlign w:val="center"/>
          </w:tcPr>
          <w:p>
            <w:pPr>
              <w:rPr>
                <w:rFonts w:ascii="宋体"/>
              </w:rPr>
            </w:pPr>
          </w:p>
        </w:tc>
        <w:tc>
          <w:tcPr>
            <w:tcW w:w="860"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808" w:type="dxa"/>
            <w:tcBorders>
              <w:top w:val="single" w:color="auto" w:sz="4" w:space="0"/>
              <w:bottom w:val="single" w:color="auto" w:sz="4" w:space="0"/>
              <w:right w:val="single" w:color="auto" w:sz="4" w:space="0"/>
            </w:tcBorders>
            <w:vAlign w:val="center"/>
          </w:tcPr>
          <w:p>
            <w:pPr>
              <w:rPr>
                <w:rFonts w:ascii="宋体"/>
              </w:rPr>
            </w:pPr>
          </w:p>
        </w:tc>
        <w:tc>
          <w:tcPr>
            <w:tcW w:w="860"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rPr>
                <w:rFonts w:hAnsi="宋体"/>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bottom w:val="single" w:color="auto" w:sz="4" w:space="0"/>
              <w:right w:val="single" w:color="auto" w:sz="4" w:space="0"/>
            </w:tcBorders>
            <w:vAlign w:val="center"/>
          </w:tcPr>
          <w:p>
            <w:pPr>
              <w:rPr>
                <w:rFonts w:ascii="宋体"/>
              </w:rPr>
            </w:pPr>
          </w:p>
        </w:tc>
        <w:tc>
          <w:tcPr>
            <w:tcW w:w="860"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bottom w:val="single" w:color="auto" w:sz="4" w:space="0"/>
              <w:right w:val="single" w:color="auto" w:sz="4" w:space="0"/>
            </w:tcBorders>
            <w:vAlign w:val="center"/>
          </w:tcPr>
          <w:p>
            <w:pPr>
              <w:rPr>
                <w:rFonts w:ascii="宋体"/>
              </w:rPr>
            </w:pPr>
          </w:p>
        </w:tc>
        <w:tc>
          <w:tcPr>
            <w:tcW w:w="860"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bottom w:val="single" w:color="auto" w:sz="4" w:space="0"/>
              <w:right w:val="single" w:color="auto" w:sz="4" w:space="0"/>
            </w:tcBorders>
            <w:vAlign w:val="center"/>
          </w:tcPr>
          <w:p>
            <w:pPr>
              <w:rPr>
                <w:rFonts w:ascii="宋体"/>
              </w:rPr>
            </w:pPr>
          </w:p>
        </w:tc>
        <w:tc>
          <w:tcPr>
            <w:tcW w:w="860"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bottom w:val="single" w:color="auto" w:sz="4" w:space="0"/>
              <w:right w:val="single" w:color="auto" w:sz="4" w:space="0"/>
            </w:tcBorders>
            <w:vAlign w:val="center"/>
          </w:tcPr>
          <w:p>
            <w:pPr>
              <w:rPr>
                <w:rFonts w:ascii="宋体"/>
              </w:rPr>
            </w:pPr>
          </w:p>
        </w:tc>
        <w:tc>
          <w:tcPr>
            <w:tcW w:w="860"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bottom w:val="single" w:color="auto" w:sz="4" w:space="0"/>
              <w:right w:val="single" w:color="auto" w:sz="4" w:space="0"/>
            </w:tcBorders>
            <w:vAlign w:val="center"/>
          </w:tcPr>
          <w:p>
            <w:pPr>
              <w:rPr>
                <w:rFonts w:ascii="宋体"/>
              </w:rPr>
            </w:pPr>
          </w:p>
        </w:tc>
        <w:tc>
          <w:tcPr>
            <w:tcW w:w="860"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bottom w:val="single" w:color="auto" w:sz="4" w:space="0"/>
              <w:right w:val="single" w:color="auto" w:sz="4" w:space="0"/>
            </w:tcBorders>
            <w:vAlign w:val="center"/>
          </w:tcPr>
          <w:p>
            <w:pPr>
              <w:rPr>
                <w:rFonts w:ascii="宋体"/>
              </w:rPr>
            </w:pPr>
          </w:p>
        </w:tc>
        <w:tc>
          <w:tcPr>
            <w:tcW w:w="860"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bottom w:val="single" w:color="auto" w:sz="4" w:space="0"/>
              <w:right w:val="single" w:color="auto" w:sz="4" w:space="0"/>
            </w:tcBorders>
            <w:vAlign w:val="center"/>
          </w:tcPr>
          <w:p>
            <w:pPr>
              <w:rPr>
                <w:rFonts w:ascii="宋体"/>
              </w:rPr>
            </w:pPr>
          </w:p>
        </w:tc>
        <w:tc>
          <w:tcPr>
            <w:tcW w:w="860"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08" w:type="dxa"/>
            <w:tcBorders>
              <w:top w:val="single" w:color="auto" w:sz="4" w:space="0"/>
              <w:bottom w:val="single" w:color="auto" w:sz="4" w:space="0"/>
              <w:right w:val="single" w:color="auto" w:sz="4" w:space="0"/>
            </w:tcBorders>
            <w:vAlign w:val="center"/>
          </w:tcPr>
          <w:p>
            <w:pPr>
              <w:rPr>
                <w:rFonts w:ascii="宋体"/>
              </w:rPr>
            </w:pPr>
          </w:p>
        </w:tc>
        <w:tc>
          <w:tcPr>
            <w:tcW w:w="860"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295" w:line="120" w:lineRule="exact"/>
              <w:outlineLvl w:val="0"/>
              <w:rPr>
                <w:rFonts w:hAnsi="宋体"/>
              </w:rPr>
            </w:pPr>
          </w:p>
        </w:tc>
        <w:tc>
          <w:tcPr>
            <w:tcW w:w="2040"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604" w:type="dxa"/>
            <w:tcBorders>
              <w:top w:val="single" w:color="auto" w:sz="4" w:space="0"/>
              <w:left w:val="single" w:color="auto" w:sz="4" w:space="0"/>
              <w:bottom w:val="single" w:color="auto" w:sz="4" w:space="0"/>
              <w:right w:val="single" w:color="auto" w:sz="4" w:space="0"/>
            </w:tcBorders>
          </w:tcPr>
          <w:p>
            <w:pPr>
              <w:pStyle w:val="20"/>
              <w:snapToGrid w:val="0"/>
              <w:spacing w:before="120" w:after="295" w:line="120" w:lineRule="exact"/>
              <w:outlineLvl w:val="0"/>
              <w:rPr>
                <w:rFonts w:hAnsi="宋体"/>
              </w:rPr>
            </w:pPr>
          </w:p>
        </w:tc>
        <w:tc>
          <w:tcPr>
            <w:tcW w:w="1423" w:type="dxa"/>
            <w:tcBorders>
              <w:top w:val="single" w:color="auto" w:sz="4" w:space="0"/>
              <w:left w:val="single" w:color="auto" w:sz="4" w:space="0"/>
              <w:bottom w:val="single" w:color="auto" w:sz="4" w:space="0"/>
            </w:tcBorders>
          </w:tcPr>
          <w:p>
            <w:pPr>
              <w:pStyle w:val="20"/>
              <w:snapToGrid w:val="0"/>
              <w:spacing w:before="120" w:after="295" w:line="120" w:lineRule="exact"/>
              <w:outlineLvl w:val="0"/>
              <w:rPr>
                <w:rFonts w:hAnsi="宋体"/>
              </w:rPr>
            </w:pPr>
          </w:p>
        </w:tc>
      </w:tr>
    </w:tbl>
    <w:p>
      <w:pPr>
        <w:pStyle w:val="16"/>
        <w:rPr>
          <w:rFonts w:ascii="宋体" w:eastAsia="宋体"/>
          <w:spacing w:val="20"/>
        </w:rPr>
      </w:pPr>
      <w:r>
        <w:rPr>
          <w:rFonts w:hint="eastAsia" w:ascii="宋体" w:eastAsia="宋体"/>
          <w:sz w:val="21"/>
        </w:rPr>
        <w:t>注：投标人应根据投标项目，对照招标文件要求在“偏离情况”栏注明“正偏离”、“负偏离”或“无偏离”。</w:t>
      </w:r>
    </w:p>
    <w:p>
      <w:pPr>
        <w:snapToGrid w:val="0"/>
        <w:spacing w:before="50" w:after="50"/>
        <w:rPr>
          <w:rFonts w:ascii="宋体"/>
        </w:rPr>
      </w:pPr>
    </w:p>
    <w:p>
      <w:pPr>
        <w:snapToGrid w:val="0"/>
        <w:ind w:left="2" w:right="-817" w:rightChars="-389"/>
        <w:rPr>
          <w:rFonts w:ascii="宋体"/>
        </w:rPr>
      </w:pPr>
    </w:p>
    <w:p>
      <w:pPr>
        <w:snapToGrid w:val="0"/>
        <w:spacing w:before="50" w:after="50"/>
        <w:rPr>
          <w:rFonts w:ascii="宋体"/>
          <w:sz w:val="24"/>
        </w:rPr>
      </w:pPr>
      <w:r>
        <w:rPr>
          <w:rFonts w:hint="eastAsia" w:ascii="宋体" w:hAnsi="宋体"/>
        </w:rPr>
        <w:t>投标人名称（盖章）：日期：</w:t>
      </w:r>
    </w:p>
    <w:p>
      <w:pPr>
        <w:snapToGrid w:val="0"/>
        <w:spacing w:before="50" w:afterLines="50"/>
        <w:jc w:val="left"/>
        <w:rPr>
          <w:rFonts w:ascii="宋体"/>
          <w:b/>
          <w:sz w:val="24"/>
        </w:rPr>
      </w:pPr>
    </w:p>
    <w:p>
      <w:pPr>
        <w:snapToGrid w:val="0"/>
        <w:spacing w:before="50" w:afterLines="50"/>
        <w:jc w:val="left"/>
        <w:rPr>
          <w:rFonts w:ascii="宋体"/>
          <w:b/>
          <w:sz w:val="24"/>
        </w:rPr>
      </w:pPr>
    </w:p>
    <w:p/>
    <w:p/>
    <w:p/>
    <w:p/>
    <w:sectPr>
      <w:pgSz w:w="11906" w:h="16838"/>
      <w:pgMar w:top="1304" w:right="1531" w:bottom="1304" w:left="1531" w:header="1304" w:footer="130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使用中文字体)">
    <w:altName w:val="宋体"/>
    <w:panose1 w:val="00000000000000000000"/>
    <w:charset w:val="86"/>
    <w:family w:val="roman"/>
    <w:pitch w:val="default"/>
    <w:sig w:usb0="00000000" w:usb1="00000000" w:usb2="00000010" w:usb3="00000000" w:csb0="00040000" w:csb1="00000000"/>
  </w:font>
  <w:font w:name="-apple-system">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方正大黑简体">
    <w:altName w:val="黑体"/>
    <w:panose1 w:val="00000000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MS UI Gothic">
    <w:panose1 w:val="020B0600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11</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pStyle w:val="18"/>
      <w:lvlText w:val="%1."/>
      <w:lvlJc w:val="left"/>
      <w:pPr>
        <w:tabs>
          <w:tab w:val="left" w:pos="360"/>
        </w:tabs>
        <w:ind w:left="360" w:hanging="360"/>
      </w:pPr>
      <w:rPr>
        <w:rFonts w:cs="Times New Roman"/>
      </w:rPr>
    </w:lvl>
  </w:abstractNum>
  <w:abstractNum w:abstractNumId="1">
    <w:nsid w:val="00000002"/>
    <w:multiLevelType w:val="singleLevel"/>
    <w:tmpl w:val="00000002"/>
    <w:lvl w:ilvl="0" w:tentative="0">
      <w:start w:val="1"/>
      <w:numFmt w:val="bullet"/>
      <w:pStyle w:val="80"/>
      <w:lvlText w:val=""/>
      <w:lvlJc w:val="left"/>
      <w:pPr>
        <w:tabs>
          <w:tab w:val="left" w:pos="360"/>
        </w:tabs>
        <w:ind w:left="360" w:hanging="360"/>
      </w:pPr>
      <w:rPr>
        <w:rFonts w:hint="default" w:ascii="Wingdings" w:hAnsi="Wingdings"/>
      </w:rPr>
    </w:lvl>
  </w:abstractNum>
  <w:abstractNum w:abstractNumId="2">
    <w:nsid w:val="00000003"/>
    <w:multiLevelType w:val="multilevel"/>
    <w:tmpl w:val="00000003"/>
    <w:lvl w:ilvl="0" w:tentative="0">
      <w:start w:val="1"/>
      <w:numFmt w:val="japaneseCounting"/>
      <w:lvlText w:val="（%1）"/>
      <w:lvlJc w:val="left"/>
      <w:pPr>
        <w:tabs>
          <w:tab w:val="left" w:pos="735"/>
        </w:tabs>
        <w:ind w:left="735" w:hanging="735"/>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4"/>
    <w:multiLevelType w:val="multilevel"/>
    <w:tmpl w:val="00000004"/>
    <w:lvl w:ilvl="0" w:tentative="0">
      <w:start w:val="1"/>
      <w:numFmt w:val="japaneseCounting"/>
      <w:lvlText w:val="第%1章"/>
      <w:lvlJc w:val="left"/>
      <w:pPr>
        <w:tabs>
          <w:tab w:val="left" w:pos="1440"/>
        </w:tabs>
        <w:ind w:left="1440" w:hanging="1275"/>
      </w:pPr>
      <w:rPr>
        <w:rFonts w:cs="Times New Roman"/>
      </w:rPr>
    </w:lvl>
    <w:lvl w:ilvl="1" w:tentative="0">
      <w:start w:val="1"/>
      <w:numFmt w:val="japaneseCounting"/>
      <w:lvlText w:val="%2、"/>
      <w:lvlJc w:val="left"/>
      <w:pPr>
        <w:tabs>
          <w:tab w:val="left" w:pos="1305"/>
        </w:tabs>
        <w:ind w:left="1305" w:hanging="720"/>
      </w:pPr>
      <w:rPr>
        <w:rFonts w:cs="Times New Roman"/>
      </w:rPr>
    </w:lvl>
    <w:lvl w:ilvl="2" w:tentative="0">
      <w:start w:val="1"/>
      <w:numFmt w:val="lowerRoman"/>
      <w:lvlText w:val="%3."/>
      <w:lvlJc w:val="right"/>
      <w:pPr>
        <w:tabs>
          <w:tab w:val="left" w:pos="1425"/>
        </w:tabs>
        <w:ind w:left="1425" w:hanging="420"/>
      </w:pPr>
      <w:rPr>
        <w:rFonts w:cs="Times New Roman"/>
      </w:rPr>
    </w:lvl>
    <w:lvl w:ilvl="3" w:tentative="0">
      <w:start w:val="1"/>
      <w:numFmt w:val="decimal"/>
      <w:lvlText w:val="%4."/>
      <w:lvlJc w:val="left"/>
      <w:pPr>
        <w:tabs>
          <w:tab w:val="left" w:pos="1845"/>
        </w:tabs>
        <w:ind w:left="1845" w:hanging="420"/>
      </w:pPr>
      <w:rPr>
        <w:rFonts w:cs="Times New Roman"/>
      </w:rPr>
    </w:lvl>
    <w:lvl w:ilvl="4" w:tentative="0">
      <w:start w:val="1"/>
      <w:numFmt w:val="lowerLetter"/>
      <w:lvlText w:val="%5)"/>
      <w:lvlJc w:val="left"/>
      <w:pPr>
        <w:tabs>
          <w:tab w:val="left" w:pos="2265"/>
        </w:tabs>
        <w:ind w:left="2265" w:hanging="420"/>
      </w:pPr>
      <w:rPr>
        <w:rFonts w:cs="Times New Roman"/>
      </w:rPr>
    </w:lvl>
    <w:lvl w:ilvl="5" w:tentative="0">
      <w:start w:val="1"/>
      <w:numFmt w:val="lowerRoman"/>
      <w:lvlText w:val="%6."/>
      <w:lvlJc w:val="right"/>
      <w:pPr>
        <w:tabs>
          <w:tab w:val="left" w:pos="2685"/>
        </w:tabs>
        <w:ind w:left="2685" w:hanging="420"/>
      </w:pPr>
      <w:rPr>
        <w:rFonts w:cs="Times New Roman"/>
      </w:rPr>
    </w:lvl>
    <w:lvl w:ilvl="6" w:tentative="0">
      <w:start w:val="1"/>
      <w:numFmt w:val="decimal"/>
      <w:lvlText w:val="%7."/>
      <w:lvlJc w:val="left"/>
      <w:pPr>
        <w:tabs>
          <w:tab w:val="left" w:pos="3105"/>
        </w:tabs>
        <w:ind w:left="3105" w:hanging="420"/>
      </w:pPr>
      <w:rPr>
        <w:rFonts w:cs="Times New Roman"/>
      </w:rPr>
    </w:lvl>
    <w:lvl w:ilvl="7" w:tentative="0">
      <w:start w:val="1"/>
      <w:numFmt w:val="lowerLetter"/>
      <w:lvlText w:val="%8)"/>
      <w:lvlJc w:val="left"/>
      <w:pPr>
        <w:tabs>
          <w:tab w:val="left" w:pos="3525"/>
        </w:tabs>
        <w:ind w:left="3525" w:hanging="420"/>
      </w:pPr>
      <w:rPr>
        <w:rFonts w:cs="Times New Roman"/>
      </w:rPr>
    </w:lvl>
    <w:lvl w:ilvl="8" w:tentative="0">
      <w:start w:val="1"/>
      <w:numFmt w:val="lowerRoman"/>
      <w:lvlText w:val="%9."/>
      <w:lvlJc w:val="right"/>
      <w:pPr>
        <w:tabs>
          <w:tab w:val="left" w:pos="3945"/>
        </w:tabs>
        <w:ind w:left="3945" w:hanging="420"/>
      </w:pPr>
      <w:rPr>
        <w:rFonts w:cs="Times New Roman"/>
      </w:rPr>
    </w:lvl>
  </w:abstractNum>
  <w:abstractNum w:abstractNumId="4">
    <w:nsid w:val="00000006"/>
    <w:multiLevelType w:val="multilevel"/>
    <w:tmpl w:val="00000006"/>
    <w:lvl w:ilvl="0" w:tentative="0">
      <w:start w:val="1"/>
      <w:numFmt w:val="decimal"/>
      <w:lvlText w:val="%1、"/>
      <w:lvlJc w:val="left"/>
      <w:pPr>
        <w:ind w:left="777" w:hanging="360"/>
      </w:pPr>
      <w:rPr>
        <w:rFonts w:hint="default" w:cs="Times New Roman"/>
      </w:rPr>
    </w:lvl>
    <w:lvl w:ilvl="1" w:tentative="0">
      <w:start w:val="1"/>
      <w:numFmt w:val="lowerLetter"/>
      <w:lvlText w:val="%2)"/>
      <w:lvlJc w:val="left"/>
      <w:pPr>
        <w:ind w:left="1257" w:hanging="420"/>
      </w:pPr>
      <w:rPr>
        <w:rFonts w:cs="Times New Roman"/>
      </w:rPr>
    </w:lvl>
    <w:lvl w:ilvl="2" w:tentative="0">
      <w:start w:val="1"/>
      <w:numFmt w:val="lowerRoman"/>
      <w:lvlText w:val="%3."/>
      <w:lvlJc w:val="right"/>
      <w:pPr>
        <w:ind w:left="1677" w:hanging="420"/>
      </w:pPr>
      <w:rPr>
        <w:rFonts w:cs="Times New Roman"/>
      </w:rPr>
    </w:lvl>
    <w:lvl w:ilvl="3" w:tentative="0">
      <w:start w:val="1"/>
      <w:numFmt w:val="decimal"/>
      <w:lvlText w:val="%4."/>
      <w:lvlJc w:val="left"/>
      <w:pPr>
        <w:ind w:left="2097" w:hanging="420"/>
      </w:pPr>
      <w:rPr>
        <w:rFonts w:cs="Times New Roman"/>
      </w:rPr>
    </w:lvl>
    <w:lvl w:ilvl="4" w:tentative="0">
      <w:start w:val="1"/>
      <w:numFmt w:val="lowerLetter"/>
      <w:lvlText w:val="%5)"/>
      <w:lvlJc w:val="left"/>
      <w:pPr>
        <w:ind w:left="2517" w:hanging="420"/>
      </w:pPr>
      <w:rPr>
        <w:rFonts w:cs="Times New Roman"/>
      </w:rPr>
    </w:lvl>
    <w:lvl w:ilvl="5" w:tentative="0">
      <w:start w:val="1"/>
      <w:numFmt w:val="lowerRoman"/>
      <w:lvlText w:val="%6."/>
      <w:lvlJc w:val="right"/>
      <w:pPr>
        <w:ind w:left="2937" w:hanging="420"/>
      </w:pPr>
      <w:rPr>
        <w:rFonts w:cs="Times New Roman"/>
      </w:rPr>
    </w:lvl>
    <w:lvl w:ilvl="6" w:tentative="0">
      <w:start w:val="1"/>
      <w:numFmt w:val="decimal"/>
      <w:lvlText w:val="%7."/>
      <w:lvlJc w:val="left"/>
      <w:pPr>
        <w:ind w:left="3357" w:hanging="420"/>
      </w:pPr>
      <w:rPr>
        <w:rFonts w:cs="Times New Roman"/>
      </w:rPr>
    </w:lvl>
    <w:lvl w:ilvl="7" w:tentative="0">
      <w:start w:val="1"/>
      <w:numFmt w:val="lowerLetter"/>
      <w:lvlText w:val="%8)"/>
      <w:lvlJc w:val="left"/>
      <w:pPr>
        <w:ind w:left="3777" w:hanging="420"/>
      </w:pPr>
      <w:rPr>
        <w:rFonts w:cs="Times New Roman"/>
      </w:rPr>
    </w:lvl>
    <w:lvl w:ilvl="8" w:tentative="0">
      <w:start w:val="1"/>
      <w:numFmt w:val="lowerRoman"/>
      <w:lvlText w:val="%9."/>
      <w:lvlJc w:val="right"/>
      <w:pPr>
        <w:ind w:left="4197" w:hanging="420"/>
      </w:pPr>
      <w:rPr>
        <w:rFonts w:cs="Times New Roman"/>
      </w:rPr>
    </w:lvl>
  </w:abstractNum>
  <w:abstractNum w:abstractNumId="5">
    <w:nsid w:val="2811445A"/>
    <w:multiLevelType w:val="multilevel"/>
    <w:tmpl w:val="2811445A"/>
    <w:lvl w:ilvl="0" w:tentative="0">
      <w:start w:val="1"/>
      <w:numFmt w:val="decimalEnclosedCircle"/>
      <w:pStyle w:val="93"/>
      <w:lvlText w:val="%1"/>
      <w:lvlJc w:val="left"/>
      <w:pPr>
        <w:tabs>
          <w:tab w:val="left" w:pos="840"/>
        </w:tabs>
        <w:ind w:left="840" w:hanging="360"/>
      </w:pPr>
      <w:rPr>
        <w:rFonts w:hint="default" w:ascii="宋体" w:hAnsi="宋体" w:eastAsia="Times New Roman"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0"/>
  </w:num>
  <w:num w:numId="2">
    <w:abstractNumId w:val="1"/>
  </w:num>
  <w:num w:numId="3">
    <w:abstractNumId w:val="5"/>
  </w:num>
  <w:num w:numId="4">
    <w:abstractNumId w:val="3"/>
    <w:lvlOverride w:ilvl="0">
      <w:startOverride w:val="1"/>
    </w:lvlOverride>
  </w:num>
  <w:num w:numId="5">
    <w:abstractNumId w:val="3"/>
    <w:lvlOverride w:ilvl="1">
      <w:startOverride w:val="1"/>
    </w:lvlOverride>
  </w:num>
  <w:num w:numId="6">
    <w:abstractNumId w:val="4"/>
  </w:num>
  <w:num w:numId="7">
    <w:abstractNumId w:val="2"/>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0D56"/>
    <w:rsid w:val="000A7928"/>
    <w:rsid w:val="001654AA"/>
    <w:rsid w:val="001706BE"/>
    <w:rsid w:val="001932A0"/>
    <w:rsid w:val="001945B5"/>
    <w:rsid w:val="001C5E2C"/>
    <w:rsid w:val="001F0D56"/>
    <w:rsid w:val="00207B08"/>
    <w:rsid w:val="0023421B"/>
    <w:rsid w:val="00247551"/>
    <w:rsid w:val="002657BB"/>
    <w:rsid w:val="00281EAD"/>
    <w:rsid w:val="002A20CB"/>
    <w:rsid w:val="002C5DE2"/>
    <w:rsid w:val="00306A7E"/>
    <w:rsid w:val="003128AB"/>
    <w:rsid w:val="00390F0D"/>
    <w:rsid w:val="00414DA5"/>
    <w:rsid w:val="00416639"/>
    <w:rsid w:val="00423E8A"/>
    <w:rsid w:val="00424075"/>
    <w:rsid w:val="00465253"/>
    <w:rsid w:val="004A7762"/>
    <w:rsid w:val="004B4E26"/>
    <w:rsid w:val="004F6B69"/>
    <w:rsid w:val="004F6CBC"/>
    <w:rsid w:val="005051AD"/>
    <w:rsid w:val="0051725F"/>
    <w:rsid w:val="005224D7"/>
    <w:rsid w:val="005F462E"/>
    <w:rsid w:val="00613395"/>
    <w:rsid w:val="00621224"/>
    <w:rsid w:val="006A5942"/>
    <w:rsid w:val="006B6BA4"/>
    <w:rsid w:val="006D3DF0"/>
    <w:rsid w:val="00750FEB"/>
    <w:rsid w:val="00763CDD"/>
    <w:rsid w:val="007905B7"/>
    <w:rsid w:val="007C7451"/>
    <w:rsid w:val="008109DD"/>
    <w:rsid w:val="0086452E"/>
    <w:rsid w:val="00893189"/>
    <w:rsid w:val="008C3AD9"/>
    <w:rsid w:val="008D6F57"/>
    <w:rsid w:val="00937DCE"/>
    <w:rsid w:val="009459F6"/>
    <w:rsid w:val="00947CFA"/>
    <w:rsid w:val="00985638"/>
    <w:rsid w:val="00AA5D10"/>
    <w:rsid w:val="00AB09E5"/>
    <w:rsid w:val="00AF4885"/>
    <w:rsid w:val="00B30150"/>
    <w:rsid w:val="00B457C7"/>
    <w:rsid w:val="00B71F0F"/>
    <w:rsid w:val="00BB3F99"/>
    <w:rsid w:val="00BD02F3"/>
    <w:rsid w:val="00BD7838"/>
    <w:rsid w:val="00BF0AA7"/>
    <w:rsid w:val="00C1402F"/>
    <w:rsid w:val="00CA17A3"/>
    <w:rsid w:val="00CE13D1"/>
    <w:rsid w:val="00CE19FD"/>
    <w:rsid w:val="00CE2331"/>
    <w:rsid w:val="00CF7FED"/>
    <w:rsid w:val="00D04222"/>
    <w:rsid w:val="00D06729"/>
    <w:rsid w:val="00D5376E"/>
    <w:rsid w:val="00DA5356"/>
    <w:rsid w:val="00DB4227"/>
    <w:rsid w:val="00E25885"/>
    <w:rsid w:val="00E36E54"/>
    <w:rsid w:val="00EE6AC5"/>
    <w:rsid w:val="00EF55C1"/>
    <w:rsid w:val="00F10B91"/>
    <w:rsid w:val="00F82C0D"/>
    <w:rsid w:val="00F83E59"/>
    <w:rsid w:val="23F14C64"/>
    <w:rsid w:val="4FE16A6C"/>
    <w:rsid w:val="67D96F5C"/>
    <w:rsid w:val="6BDE01A1"/>
    <w:rsid w:val="7B2B523D"/>
    <w:rsid w:val="7B6F3FE8"/>
    <w:rsid w:val="7F6177FA"/>
    <w:rsid w:val="E8EBBA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49"/>
    <w:qFormat/>
    <w:uiPriority w:val="0"/>
    <w:pPr>
      <w:keepNext/>
      <w:keepLines/>
      <w:widowControl/>
      <w:tabs>
        <w:tab w:val="left" w:pos="1440"/>
      </w:tabs>
      <w:spacing w:beforeLines="250" w:afterLines="150" w:line="360" w:lineRule="auto"/>
      <w:jc w:val="center"/>
      <w:outlineLvl w:val="0"/>
    </w:pPr>
    <w:rPr>
      <w:rFonts w:eastAsia="黑体"/>
      <w:b/>
      <w:bCs/>
      <w:kern w:val="44"/>
      <w:sz w:val="52"/>
      <w:szCs w:val="20"/>
    </w:rPr>
  </w:style>
  <w:style w:type="paragraph" w:styleId="5">
    <w:name w:val="heading 2"/>
    <w:basedOn w:val="1"/>
    <w:next w:val="1"/>
    <w:link w:val="50"/>
    <w:qFormat/>
    <w:uiPriority w:val="0"/>
    <w:pPr>
      <w:keepNext/>
      <w:keepLines/>
      <w:spacing w:before="260" w:after="260" w:line="408" w:lineRule="auto"/>
      <w:outlineLvl w:val="1"/>
    </w:pPr>
    <w:rPr>
      <w:rFonts w:ascii="Arial" w:hAnsi="Arial" w:eastAsia="黑体"/>
      <w:b/>
      <w:kern w:val="0"/>
      <w:sz w:val="32"/>
      <w:szCs w:val="20"/>
    </w:rPr>
  </w:style>
  <w:style w:type="paragraph" w:styleId="6">
    <w:name w:val="heading 3"/>
    <w:basedOn w:val="1"/>
    <w:next w:val="1"/>
    <w:link w:val="51"/>
    <w:qFormat/>
    <w:uiPriority w:val="0"/>
    <w:pPr>
      <w:keepNext/>
      <w:keepLines/>
      <w:widowControl/>
      <w:tabs>
        <w:tab w:val="left" w:pos="567"/>
      </w:tabs>
      <w:spacing w:beforeLines="50" w:afterLines="50" w:line="360" w:lineRule="auto"/>
      <w:jc w:val="left"/>
      <w:outlineLvl w:val="2"/>
    </w:pPr>
    <w:rPr>
      <w:rFonts w:eastAsia="黑体"/>
      <w:b/>
      <w:bCs/>
      <w:sz w:val="36"/>
      <w:szCs w:val="36"/>
    </w:rPr>
  </w:style>
  <w:style w:type="paragraph" w:styleId="7">
    <w:name w:val="heading 4"/>
    <w:basedOn w:val="1"/>
    <w:next w:val="1"/>
    <w:link w:val="52"/>
    <w:qFormat/>
    <w:uiPriority w:val="0"/>
    <w:pPr>
      <w:keepNext/>
      <w:keepLines/>
      <w:widowControl/>
      <w:tabs>
        <w:tab w:val="left" w:pos="-420"/>
      </w:tabs>
      <w:spacing w:beforeLines="50" w:afterLines="50" w:line="360" w:lineRule="auto"/>
      <w:jc w:val="left"/>
      <w:outlineLvl w:val="3"/>
    </w:pPr>
    <w:rPr>
      <w:rFonts w:ascii="Arial" w:hAnsi="Arial" w:eastAsia="黑体"/>
      <w:b/>
      <w:bCs/>
      <w:sz w:val="30"/>
      <w:szCs w:val="28"/>
    </w:rPr>
  </w:style>
  <w:style w:type="paragraph" w:styleId="8">
    <w:name w:val="heading 5"/>
    <w:basedOn w:val="1"/>
    <w:next w:val="1"/>
    <w:link w:val="53"/>
    <w:qFormat/>
    <w:uiPriority w:val="0"/>
    <w:pPr>
      <w:keepNext/>
      <w:keepLines/>
      <w:widowControl/>
      <w:tabs>
        <w:tab w:val="left" w:pos="-420"/>
      </w:tabs>
      <w:spacing w:beforeLines="50" w:afterLines="50" w:line="377" w:lineRule="auto"/>
      <w:jc w:val="left"/>
      <w:outlineLvl w:val="4"/>
    </w:pPr>
    <w:rPr>
      <w:b/>
      <w:bCs/>
      <w:sz w:val="28"/>
      <w:szCs w:val="28"/>
    </w:rPr>
  </w:style>
  <w:style w:type="paragraph" w:styleId="9">
    <w:name w:val="heading 6"/>
    <w:basedOn w:val="1"/>
    <w:next w:val="1"/>
    <w:link w:val="54"/>
    <w:qFormat/>
    <w:uiPriority w:val="0"/>
    <w:pPr>
      <w:keepNext/>
      <w:keepLines/>
      <w:spacing w:line="317" w:lineRule="auto"/>
      <w:outlineLvl w:val="5"/>
    </w:pPr>
    <w:rPr>
      <w:rFonts w:ascii="Arial" w:hAnsi="Arial" w:eastAsia="黑体"/>
      <w:b/>
      <w:sz w:val="24"/>
      <w:szCs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56"/>
    <w:qFormat/>
    <w:uiPriority w:val="0"/>
    <w:pPr>
      <w:ind w:firstLine="420" w:firstLineChars="100"/>
    </w:pPr>
    <w:rPr>
      <w:rFonts w:ascii="Times New Roman"/>
      <w:sz w:val="21"/>
    </w:rPr>
  </w:style>
  <w:style w:type="paragraph" w:styleId="3">
    <w:name w:val="Body Text"/>
    <w:basedOn w:val="1"/>
    <w:link w:val="55"/>
    <w:qFormat/>
    <w:uiPriority w:val="0"/>
    <w:pPr>
      <w:spacing w:after="120"/>
    </w:pPr>
    <w:rPr>
      <w:rFonts w:ascii="Calibri" w:hAnsi="Calibri"/>
      <w:kern w:val="0"/>
      <w:sz w:val="28"/>
    </w:rPr>
  </w:style>
  <w:style w:type="paragraph" w:styleId="10">
    <w:name w:val="List Number"/>
    <w:basedOn w:val="1"/>
    <w:qFormat/>
    <w:uiPriority w:val="0"/>
    <w:pPr>
      <w:tabs>
        <w:tab w:val="left" w:pos="360"/>
      </w:tabs>
      <w:ind w:left="360" w:hanging="360"/>
    </w:pPr>
  </w:style>
  <w:style w:type="paragraph" w:styleId="11">
    <w:name w:val="Normal Indent"/>
    <w:basedOn w:val="1"/>
    <w:link w:val="172"/>
    <w:qFormat/>
    <w:uiPriority w:val="0"/>
    <w:pPr>
      <w:ind w:firstLine="420"/>
    </w:pPr>
    <w:rPr>
      <w:kern w:val="0"/>
      <w:sz w:val="20"/>
      <w:szCs w:val="20"/>
    </w:rPr>
  </w:style>
  <w:style w:type="paragraph" w:styleId="12">
    <w:name w:val="caption"/>
    <w:basedOn w:val="1"/>
    <w:next w:val="1"/>
    <w:link w:val="125"/>
    <w:qFormat/>
    <w:uiPriority w:val="0"/>
    <w:pPr>
      <w:spacing w:before="152" w:after="160"/>
    </w:pPr>
    <w:rPr>
      <w:rFonts w:ascii="Arial" w:hAnsi="Arial" w:eastAsia="黑体"/>
      <w:kern w:val="0"/>
      <w:sz w:val="20"/>
      <w:szCs w:val="20"/>
    </w:rPr>
  </w:style>
  <w:style w:type="paragraph" w:styleId="13">
    <w:name w:val="List Bullet"/>
    <w:basedOn w:val="1"/>
    <w:qFormat/>
    <w:uiPriority w:val="0"/>
    <w:pPr>
      <w:tabs>
        <w:tab w:val="left" w:pos="360"/>
      </w:tabs>
      <w:ind w:left="360" w:hanging="360"/>
    </w:pPr>
  </w:style>
  <w:style w:type="paragraph" w:styleId="14">
    <w:name w:val="Document Map"/>
    <w:basedOn w:val="1"/>
    <w:link w:val="59"/>
    <w:qFormat/>
    <w:uiPriority w:val="0"/>
    <w:pPr>
      <w:shd w:val="clear" w:color="auto" w:fill="000080"/>
    </w:pPr>
    <w:rPr>
      <w:rFonts w:cs="宋体"/>
      <w:shd w:val="clear" w:color="auto" w:fill="000080"/>
    </w:rPr>
  </w:style>
  <w:style w:type="paragraph" w:styleId="15">
    <w:name w:val="annotation text"/>
    <w:basedOn w:val="1"/>
    <w:link w:val="57"/>
    <w:qFormat/>
    <w:uiPriority w:val="0"/>
    <w:pPr>
      <w:jc w:val="left"/>
    </w:pPr>
  </w:style>
  <w:style w:type="paragraph" w:styleId="16">
    <w:name w:val="Body Text 3"/>
    <w:basedOn w:val="1"/>
    <w:link w:val="60"/>
    <w:qFormat/>
    <w:uiPriority w:val="0"/>
    <w:pPr>
      <w:snapToGrid w:val="0"/>
      <w:spacing w:before="50" w:after="50"/>
    </w:pPr>
    <w:rPr>
      <w:rFonts w:hAnsi="宋体" w:eastAsia="Times New Roman"/>
      <w:b/>
      <w:sz w:val="24"/>
    </w:rPr>
  </w:style>
  <w:style w:type="paragraph" w:styleId="17">
    <w:name w:val="Body Text Indent"/>
    <w:basedOn w:val="1"/>
    <w:link w:val="61"/>
    <w:qFormat/>
    <w:uiPriority w:val="0"/>
    <w:pPr>
      <w:spacing w:line="200" w:lineRule="exact"/>
      <w:ind w:firstLine="301"/>
    </w:pPr>
    <w:rPr>
      <w:rFonts w:ascii="宋体" w:hAnsi="Courier New"/>
      <w:spacing w:val="-4"/>
      <w:kern w:val="0"/>
      <w:sz w:val="18"/>
    </w:rPr>
  </w:style>
  <w:style w:type="paragraph" w:styleId="18">
    <w:name w:val="List Number 3"/>
    <w:basedOn w:val="1"/>
    <w:qFormat/>
    <w:uiPriority w:val="0"/>
    <w:pPr>
      <w:numPr>
        <w:ilvl w:val="0"/>
        <w:numId w:val="1"/>
      </w:numPr>
      <w:tabs>
        <w:tab w:val="clear" w:pos="360"/>
      </w:tabs>
    </w:pPr>
    <w:rPr>
      <w:szCs w:val="24"/>
    </w:rPr>
  </w:style>
  <w:style w:type="paragraph" w:styleId="19">
    <w:name w:val="List 2"/>
    <w:basedOn w:val="1"/>
    <w:qFormat/>
    <w:uiPriority w:val="0"/>
    <w:pPr>
      <w:ind w:left="100" w:leftChars="200" w:hanging="200" w:hangingChars="200"/>
    </w:pPr>
    <w:rPr>
      <w:sz w:val="28"/>
      <w:szCs w:val="24"/>
    </w:rPr>
  </w:style>
  <w:style w:type="paragraph" w:styleId="20">
    <w:name w:val="Plain Text"/>
    <w:basedOn w:val="1"/>
    <w:link w:val="62"/>
    <w:qFormat/>
    <w:uiPriority w:val="0"/>
    <w:pPr>
      <w:spacing w:beforeLines="50" w:line="400" w:lineRule="exact"/>
    </w:pPr>
    <w:rPr>
      <w:rFonts w:ascii="宋体" w:hAnsi="Courier New"/>
      <w:sz w:val="24"/>
    </w:rPr>
  </w:style>
  <w:style w:type="paragraph" w:styleId="21">
    <w:name w:val="Date"/>
    <w:basedOn w:val="1"/>
    <w:next w:val="1"/>
    <w:link w:val="63"/>
    <w:qFormat/>
    <w:uiPriority w:val="0"/>
    <w:pPr>
      <w:ind w:left="2500" w:leftChars="2500"/>
    </w:pPr>
    <w:rPr>
      <w:rFonts w:ascii="Calibri" w:hAnsi="Calibri" w:eastAsia="楷体_GB2312"/>
      <w:kern w:val="0"/>
      <w:sz w:val="32"/>
    </w:rPr>
  </w:style>
  <w:style w:type="paragraph" w:styleId="22">
    <w:name w:val="Body Text Indent 2"/>
    <w:basedOn w:val="1"/>
    <w:link w:val="64"/>
    <w:qFormat/>
    <w:uiPriority w:val="0"/>
    <w:pPr>
      <w:snapToGrid w:val="0"/>
      <w:ind w:firstLine="542" w:firstLineChars="225"/>
    </w:pPr>
    <w:rPr>
      <w:rFonts w:ascii="仿宋_GB2312" w:hAnsi="宋体"/>
      <w:b/>
      <w:color w:val="000000"/>
      <w:kern w:val="0"/>
      <w:sz w:val="24"/>
    </w:rPr>
  </w:style>
  <w:style w:type="paragraph" w:styleId="23">
    <w:name w:val="Balloon Text"/>
    <w:basedOn w:val="1"/>
    <w:link w:val="65"/>
    <w:qFormat/>
    <w:uiPriority w:val="0"/>
    <w:rPr>
      <w:rFonts w:ascii="Calibri" w:hAnsi="Calibri"/>
      <w:sz w:val="18"/>
      <w:szCs w:val="18"/>
    </w:rPr>
  </w:style>
  <w:style w:type="paragraph" w:styleId="24">
    <w:name w:val="footer"/>
    <w:basedOn w:val="1"/>
    <w:link w:val="48"/>
    <w:unhideWhenUsed/>
    <w:qFormat/>
    <w:uiPriority w:val="0"/>
    <w:pPr>
      <w:tabs>
        <w:tab w:val="center" w:pos="4153"/>
        <w:tab w:val="right" w:pos="8306"/>
      </w:tabs>
      <w:snapToGrid w:val="0"/>
      <w:jc w:val="left"/>
    </w:pPr>
    <w:rPr>
      <w:sz w:val="18"/>
      <w:szCs w:val="18"/>
    </w:rPr>
  </w:style>
  <w:style w:type="paragraph" w:styleId="25">
    <w:name w:val="header"/>
    <w:basedOn w:val="1"/>
    <w:link w:val="47"/>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style>
  <w:style w:type="paragraph" w:styleId="27">
    <w:name w:val="List"/>
    <w:basedOn w:val="1"/>
    <w:qFormat/>
    <w:uiPriority w:val="0"/>
    <w:pPr>
      <w:ind w:left="200" w:hanging="200" w:hangingChars="200"/>
    </w:pPr>
    <w:rPr>
      <w:sz w:val="28"/>
    </w:rPr>
  </w:style>
  <w:style w:type="paragraph" w:styleId="28">
    <w:name w:val="Body Text Indent 3"/>
    <w:basedOn w:val="1"/>
    <w:link w:val="67"/>
    <w:qFormat/>
    <w:uiPriority w:val="0"/>
    <w:pPr>
      <w:snapToGrid w:val="0"/>
      <w:ind w:firstLine="480" w:firstLineChars="200"/>
      <w:jc w:val="left"/>
    </w:pPr>
    <w:rPr>
      <w:rFonts w:ascii="仿宋_GB2312" w:hAnsi="宋体" w:eastAsia="Times New Roman"/>
      <w:color w:val="000000"/>
      <w:kern w:val="0"/>
      <w:sz w:val="24"/>
    </w:rPr>
  </w:style>
  <w:style w:type="paragraph" w:styleId="29">
    <w:name w:val="Body Text 2"/>
    <w:basedOn w:val="1"/>
    <w:link w:val="68"/>
    <w:qFormat/>
    <w:uiPriority w:val="0"/>
    <w:pPr>
      <w:widowControl/>
      <w:overflowPunct w:val="0"/>
      <w:autoSpaceDE w:val="0"/>
      <w:autoSpaceDN w:val="0"/>
      <w:adjustRightInd w:val="0"/>
      <w:spacing w:line="280" w:lineRule="exact"/>
      <w:jc w:val="center"/>
      <w:textAlignment w:val="baseline"/>
    </w:pPr>
    <w:rPr>
      <w:rFonts w:ascii="宋体" w:hAnsi="宋体" w:cs="宋体"/>
      <w:bCs/>
    </w:rPr>
  </w:style>
  <w:style w:type="paragraph" w:styleId="30">
    <w:name w:val="HTML Preformatted"/>
    <w:basedOn w:val="1"/>
    <w:link w:val="6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31">
    <w:name w:val="Normal (Web)"/>
    <w:basedOn w:val="1"/>
    <w:qFormat/>
    <w:uiPriority w:val="0"/>
    <w:pPr>
      <w:widowControl/>
      <w:spacing w:before="100" w:beforeAutospacing="1" w:after="100" w:afterAutospacing="1"/>
      <w:jc w:val="left"/>
    </w:pPr>
    <w:rPr>
      <w:rFonts w:ascii="(使用中文字体)" w:hAnsi="(使用中文字体)" w:cs="(使用中文字体)"/>
      <w:kern w:val="0"/>
      <w:sz w:val="24"/>
      <w:szCs w:val="24"/>
    </w:rPr>
  </w:style>
  <w:style w:type="paragraph" w:styleId="32">
    <w:name w:val="index 1"/>
    <w:basedOn w:val="1"/>
    <w:next w:val="1"/>
    <w:qFormat/>
    <w:uiPriority w:val="0"/>
    <w:pPr>
      <w:tabs>
        <w:tab w:val="left" w:pos="900"/>
      </w:tabs>
      <w:adjustRightInd w:val="0"/>
      <w:ind w:firstLine="420" w:firstLineChars="200"/>
    </w:pPr>
    <w:rPr>
      <w:rFonts w:ascii="宋体" w:hAnsi="宋体"/>
    </w:rPr>
  </w:style>
  <w:style w:type="paragraph" w:styleId="33">
    <w:name w:val="annotation subject"/>
    <w:basedOn w:val="15"/>
    <w:next w:val="15"/>
    <w:link w:val="58"/>
    <w:qFormat/>
    <w:uiPriority w:val="0"/>
    <w:rPr>
      <w:rFonts w:cs="宋体"/>
      <w:b/>
      <w:bCs/>
    </w:rPr>
  </w:style>
  <w:style w:type="paragraph" w:styleId="34">
    <w:name w:val="Body Text First Indent 2"/>
    <w:basedOn w:val="17"/>
    <w:link w:val="66"/>
    <w:qFormat/>
    <w:uiPriority w:val="0"/>
    <w:pPr>
      <w:spacing w:after="120" w:line="240" w:lineRule="auto"/>
      <w:ind w:left="420" w:leftChars="200" w:firstLine="420" w:firstLineChars="200"/>
    </w:pPr>
    <w:rPr>
      <w:rFonts w:ascii="Calibri" w:hAnsi="Calibri"/>
      <w:spacing w:val="0"/>
      <w:kern w:val="2"/>
      <w:sz w:val="21"/>
      <w:szCs w:val="24"/>
    </w:rPr>
  </w:style>
  <w:style w:type="table" w:styleId="36">
    <w:name w:val="Table Grid"/>
    <w:basedOn w:val="35"/>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8">
    <w:name w:val="Strong"/>
    <w:basedOn w:val="37"/>
    <w:qFormat/>
    <w:uiPriority w:val="0"/>
    <w:rPr>
      <w:rFonts w:ascii="Times New Roman" w:hAnsi="Times New Roman" w:cs="Times New Roman"/>
      <w:b/>
    </w:rPr>
  </w:style>
  <w:style w:type="character" w:styleId="39">
    <w:name w:val="page number"/>
    <w:basedOn w:val="37"/>
    <w:qFormat/>
    <w:uiPriority w:val="0"/>
    <w:rPr>
      <w:rFonts w:cs="Times New Roman"/>
    </w:rPr>
  </w:style>
  <w:style w:type="character" w:styleId="40">
    <w:name w:val="FollowedHyperlink"/>
    <w:basedOn w:val="37"/>
    <w:qFormat/>
    <w:uiPriority w:val="0"/>
    <w:rPr>
      <w:rFonts w:cs="Times New Roman"/>
      <w:color w:val="800080"/>
      <w:u w:val="single"/>
    </w:rPr>
  </w:style>
  <w:style w:type="character" w:styleId="41">
    <w:name w:val="HTML Definition"/>
    <w:basedOn w:val="37"/>
    <w:qFormat/>
    <w:uiPriority w:val="0"/>
    <w:rPr>
      <w:rFonts w:cs="Times New Roman"/>
      <w:i/>
    </w:rPr>
  </w:style>
  <w:style w:type="character" w:styleId="42">
    <w:name w:val="Hyperlink"/>
    <w:basedOn w:val="37"/>
    <w:qFormat/>
    <w:uiPriority w:val="0"/>
    <w:rPr>
      <w:rFonts w:cs="Times New Roman"/>
      <w:color w:val="0000FF"/>
      <w:u w:val="single"/>
    </w:rPr>
  </w:style>
  <w:style w:type="character" w:styleId="43">
    <w:name w:val="HTML Code"/>
    <w:basedOn w:val="37"/>
    <w:qFormat/>
    <w:uiPriority w:val="0"/>
    <w:rPr>
      <w:rFonts w:ascii="-apple-system" w:hAnsi="-apple-system" w:cs="Times New Roman"/>
      <w:sz w:val="21"/>
    </w:rPr>
  </w:style>
  <w:style w:type="character" w:styleId="44">
    <w:name w:val="annotation reference"/>
    <w:basedOn w:val="37"/>
    <w:qFormat/>
    <w:uiPriority w:val="0"/>
    <w:rPr>
      <w:rFonts w:cs="Times New Roman"/>
      <w:sz w:val="21"/>
    </w:rPr>
  </w:style>
  <w:style w:type="character" w:styleId="45">
    <w:name w:val="HTML Keyboard"/>
    <w:basedOn w:val="37"/>
    <w:qFormat/>
    <w:uiPriority w:val="0"/>
    <w:rPr>
      <w:rFonts w:ascii="-apple-system" w:hAnsi="-apple-system" w:cs="Times New Roman"/>
      <w:sz w:val="21"/>
    </w:rPr>
  </w:style>
  <w:style w:type="character" w:styleId="46">
    <w:name w:val="HTML Sample"/>
    <w:basedOn w:val="37"/>
    <w:qFormat/>
    <w:uiPriority w:val="0"/>
    <w:rPr>
      <w:rFonts w:ascii="-apple-system" w:hAnsi="-apple-system" w:cs="Times New Roman"/>
      <w:sz w:val="21"/>
    </w:rPr>
  </w:style>
  <w:style w:type="character" w:customStyle="1" w:styleId="47">
    <w:name w:val="页眉 Char"/>
    <w:basedOn w:val="37"/>
    <w:link w:val="25"/>
    <w:qFormat/>
    <w:uiPriority w:val="0"/>
    <w:rPr>
      <w:sz w:val="18"/>
      <w:szCs w:val="18"/>
    </w:rPr>
  </w:style>
  <w:style w:type="character" w:customStyle="1" w:styleId="48">
    <w:name w:val="页脚 Char"/>
    <w:basedOn w:val="37"/>
    <w:link w:val="24"/>
    <w:qFormat/>
    <w:uiPriority w:val="0"/>
    <w:rPr>
      <w:sz w:val="18"/>
      <w:szCs w:val="18"/>
    </w:rPr>
  </w:style>
  <w:style w:type="character" w:customStyle="1" w:styleId="49">
    <w:name w:val="标题 1 Char"/>
    <w:basedOn w:val="37"/>
    <w:link w:val="4"/>
    <w:qFormat/>
    <w:uiPriority w:val="0"/>
    <w:rPr>
      <w:rFonts w:ascii="Times New Roman" w:hAnsi="Times New Roman" w:eastAsia="黑体" w:cs="Times New Roman"/>
      <w:b/>
      <w:bCs/>
      <w:kern w:val="44"/>
      <w:sz w:val="52"/>
      <w:szCs w:val="20"/>
    </w:rPr>
  </w:style>
  <w:style w:type="character" w:customStyle="1" w:styleId="50">
    <w:name w:val="标题 2 Char"/>
    <w:basedOn w:val="37"/>
    <w:link w:val="5"/>
    <w:qFormat/>
    <w:uiPriority w:val="0"/>
    <w:rPr>
      <w:rFonts w:ascii="Arial" w:hAnsi="Arial" w:eastAsia="黑体" w:cs="Times New Roman"/>
      <w:b/>
      <w:kern w:val="0"/>
      <w:sz w:val="32"/>
      <w:szCs w:val="20"/>
    </w:rPr>
  </w:style>
  <w:style w:type="character" w:customStyle="1" w:styleId="51">
    <w:name w:val="标题 3 Char"/>
    <w:basedOn w:val="37"/>
    <w:link w:val="6"/>
    <w:qFormat/>
    <w:uiPriority w:val="0"/>
    <w:rPr>
      <w:rFonts w:ascii="Times New Roman" w:hAnsi="Times New Roman" w:eastAsia="黑体" w:cs="Times New Roman"/>
      <w:b/>
      <w:bCs/>
      <w:sz w:val="36"/>
      <w:szCs w:val="36"/>
    </w:rPr>
  </w:style>
  <w:style w:type="character" w:customStyle="1" w:styleId="52">
    <w:name w:val="标题 4 Char"/>
    <w:basedOn w:val="37"/>
    <w:link w:val="7"/>
    <w:qFormat/>
    <w:uiPriority w:val="0"/>
    <w:rPr>
      <w:rFonts w:ascii="Arial" w:hAnsi="Arial" w:eastAsia="黑体" w:cs="Times New Roman"/>
      <w:b/>
      <w:bCs/>
      <w:sz w:val="30"/>
      <w:szCs w:val="28"/>
    </w:rPr>
  </w:style>
  <w:style w:type="character" w:customStyle="1" w:styleId="53">
    <w:name w:val="标题 5 Char"/>
    <w:basedOn w:val="37"/>
    <w:link w:val="8"/>
    <w:qFormat/>
    <w:uiPriority w:val="0"/>
    <w:rPr>
      <w:rFonts w:ascii="Times New Roman" w:hAnsi="Times New Roman" w:eastAsia="宋体" w:cs="Times New Roman"/>
      <w:b/>
      <w:bCs/>
      <w:sz w:val="28"/>
      <w:szCs w:val="28"/>
    </w:rPr>
  </w:style>
  <w:style w:type="character" w:customStyle="1" w:styleId="54">
    <w:name w:val="标题 6 Char"/>
    <w:basedOn w:val="37"/>
    <w:link w:val="9"/>
    <w:qFormat/>
    <w:uiPriority w:val="0"/>
    <w:rPr>
      <w:rFonts w:ascii="Arial" w:hAnsi="Arial" w:eastAsia="黑体" w:cs="Times New Roman"/>
      <w:b/>
      <w:sz w:val="24"/>
      <w:szCs w:val="24"/>
    </w:rPr>
  </w:style>
  <w:style w:type="character" w:customStyle="1" w:styleId="55">
    <w:name w:val="正文文本 Char"/>
    <w:basedOn w:val="37"/>
    <w:link w:val="3"/>
    <w:qFormat/>
    <w:uiPriority w:val="0"/>
    <w:rPr>
      <w:rFonts w:ascii="Calibri" w:hAnsi="Calibri" w:eastAsia="宋体" w:cs="Times New Roman"/>
      <w:kern w:val="0"/>
      <w:sz w:val="28"/>
    </w:rPr>
  </w:style>
  <w:style w:type="character" w:customStyle="1" w:styleId="56">
    <w:name w:val="正文首行缩进 Char"/>
    <w:basedOn w:val="55"/>
    <w:link w:val="2"/>
    <w:qFormat/>
    <w:uiPriority w:val="0"/>
    <w:rPr>
      <w:rFonts w:ascii="Times New Roman" w:hAnsi="Calibri" w:eastAsia="宋体" w:cs="Times New Roman"/>
      <w:kern w:val="0"/>
      <w:sz w:val="28"/>
    </w:rPr>
  </w:style>
  <w:style w:type="character" w:customStyle="1" w:styleId="57">
    <w:name w:val="批注文字 Char"/>
    <w:basedOn w:val="37"/>
    <w:link w:val="15"/>
    <w:qFormat/>
    <w:uiPriority w:val="0"/>
    <w:rPr>
      <w:rFonts w:ascii="Times New Roman" w:hAnsi="Times New Roman" w:eastAsia="宋体" w:cs="Times New Roman"/>
    </w:rPr>
  </w:style>
  <w:style w:type="character" w:customStyle="1" w:styleId="58">
    <w:name w:val="批注主题 Char"/>
    <w:basedOn w:val="57"/>
    <w:link w:val="33"/>
    <w:qFormat/>
    <w:uiPriority w:val="0"/>
    <w:rPr>
      <w:rFonts w:ascii="Times New Roman" w:hAnsi="Times New Roman" w:eastAsia="宋体" w:cs="宋体"/>
      <w:b/>
      <w:bCs/>
    </w:rPr>
  </w:style>
  <w:style w:type="character" w:customStyle="1" w:styleId="59">
    <w:name w:val="文档结构图 Char"/>
    <w:basedOn w:val="37"/>
    <w:link w:val="14"/>
    <w:qFormat/>
    <w:uiPriority w:val="0"/>
    <w:rPr>
      <w:rFonts w:ascii="Times New Roman" w:hAnsi="Times New Roman" w:eastAsia="宋体" w:cs="宋体"/>
      <w:shd w:val="clear" w:color="auto" w:fill="000080"/>
    </w:rPr>
  </w:style>
  <w:style w:type="character" w:customStyle="1" w:styleId="60">
    <w:name w:val="正文文本 3 Char"/>
    <w:basedOn w:val="37"/>
    <w:link w:val="16"/>
    <w:qFormat/>
    <w:uiPriority w:val="0"/>
    <w:rPr>
      <w:rFonts w:ascii="Times New Roman" w:hAnsi="宋体" w:eastAsia="Times New Roman" w:cs="Times New Roman"/>
      <w:b/>
      <w:sz w:val="24"/>
    </w:rPr>
  </w:style>
  <w:style w:type="character" w:customStyle="1" w:styleId="61">
    <w:name w:val="正文文本缩进 Char"/>
    <w:basedOn w:val="37"/>
    <w:link w:val="17"/>
    <w:qFormat/>
    <w:uiPriority w:val="0"/>
    <w:rPr>
      <w:rFonts w:ascii="宋体" w:hAnsi="Courier New" w:eastAsia="宋体" w:cs="Times New Roman"/>
      <w:spacing w:val="-4"/>
      <w:kern w:val="0"/>
      <w:sz w:val="18"/>
    </w:rPr>
  </w:style>
  <w:style w:type="character" w:customStyle="1" w:styleId="62">
    <w:name w:val="纯文本 Char"/>
    <w:basedOn w:val="37"/>
    <w:link w:val="20"/>
    <w:qFormat/>
    <w:uiPriority w:val="0"/>
    <w:rPr>
      <w:rFonts w:ascii="宋体" w:hAnsi="Courier New" w:eastAsia="宋体" w:cs="Times New Roman"/>
      <w:sz w:val="24"/>
    </w:rPr>
  </w:style>
  <w:style w:type="character" w:customStyle="1" w:styleId="63">
    <w:name w:val="日期 Char"/>
    <w:basedOn w:val="37"/>
    <w:link w:val="21"/>
    <w:qFormat/>
    <w:uiPriority w:val="0"/>
    <w:rPr>
      <w:rFonts w:ascii="Calibri" w:hAnsi="Calibri" w:eastAsia="楷体_GB2312" w:cs="Times New Roman"/>
      <w:kern w:val="0"/>
      <w:sz w:val="32"/>
    </w:rPr>
  </w:style>
  <w:style w:type="character" w:customStyle="1" w:styleId="64">
    <w:name w:val="正文文本缩进 2 Char"/>
    <w:basedOn w:val="37"/>
    <w:link w:val="22"/>
    <w:qFormat/>
    <w:uiPriority w:val="0"/>
    <w:rPr>
      <w:rFonts w:ascii="仿宋_GB2312" w:hAnsi="宋体" w:eastAsia="宋体" w:cs="Times New Roman"/>
      <w:b/>
      <w:color w:val="000000"/>
      <w:kern w:val="0"/>
      <w:sz w:val="24"/>
    </w:rPr>
  </w:style>
  <w:style w:type="character" w:customStyle="1" w:styleId="65">
    <w:name w:val="批注框文本 Char"/>
    <w:basedOn w:val="37"/>
    <w:link w:val="23"/>
    <w:qFormat/>
    <w:uiPriority w:val="0"/>
    <w:rPr>
      <w:rFonts w:ascii="Calibri" w:hAnsi="Calibri" w:eastAsia="宋体" w:cs="Times New Roman"/>
      <w:sz w:val="18"/>
      <w:szCs w:val="18"/>
    </w:rPr>
  </w:style>
  <w:style w:type="character" w:customStyle="1" w:styleId="66">
    <w:name w:val="正文首行缩进 2 Char"/>
    <w:basedOn w:val="61"/>
    <w:link w:val="34"/>
    <w:qFormat/>
    <w:uiPriority w:val="0"/>
    <w:rPr>
      <w:rFonts w:ascii="Calibri" w:hAnsi="Calibri" w:eastAsia="宋体" w:cs="Times New Roman"/>
      <w:spacing w:val="-4"/>
      <w:kern w:val="0"/>
      <w:sz w:val="18"/>
      <w:szCs w:val="24"/>
    </w:rPr>
  </w:style>
  <w:style w:type="character" w:customStyle="1" w:styleId="67">
    <w:name w:val="正文文本缩进 3 Char"/>
    <w:basedOn w:val="37"/>
    <w:link w:val="28"/>
    <w:qFormat/>
    <w:uiPriority w:val="0"/>
    <w:rPr>
      <w:rFonts w:ascii="仿宋_GB2312" w:hAnsi="宋体" w:eastAsia="Times New Roman" w:cs="Times New Roman"/>
      <w:color w:val="000000"/>
      <w:kern w:val="0"/>
      <w:sz w:val="24"/>
    </w:rPr>
  </w:style>
  <w:style w:type="character" w:customStyle="1" w:styleId="68">
    <w:name w:val="正文文本 2 Char"/>
    <w:basedOn w:val="37"/>
    <w:link w:val="29"/>
    <w:qFormat/>
    <w:uiPriority w:val="0"/>
    <w:rPr>
      <w:rFonts w:ascii="宋体" w:hAnsi="宋体" w:eastAsia="宋体" w:cs="宋体"/>
      <w:bCs/>
    </w:rPr>
  </w:style>
  <w:style w:type="character" w:customStyle="1" w:styleId="69">
    <w:name w:val="HTML 预设格式 Char"/>
    <w:basedOn w:val="37"/>
    <w:link w:val="30"/>
    <w:qFormat/>
    <w:uiPriority w:val="0"/>
    <w:rPr>
      <w:rFonts w:ascii="Courier New" w:hAnsi="Courier New" w:eastAsia="宋体" w:cs="Times New Roman"/>
      <w:kern w:val="0"/>
      <w:sz w:val="20"/>
      <w:szCs w:val="20"/>
    </w:rPr>
  </w:style>
  <w:style w:type="paragraph" w:customStyle="1" w:styleId="70">
    <w:name w:val="表格文字"/>
    <w:basedOn w:val="1"/>
    <w:next w:val="3"/>
    <w:qFormat/>
    <w:uiPriority w:val="0"/>
    <w:rPr>
      <w:sz w:val="18"/>
      <w:szCs w:val="24"/>
    </w:rPr>
  </w:style>
  <w:style w:type="paragraph" w:customStyle="1" w:styleId="71">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2">
    <w:name w:val="默认段落字体 Para Char Char Char Char Char Char Char Char Char1 Char Char Char Char"/>
    <w:basedOn w:val="1"/>
    <w:qFormat/>
    <w:uiPriority w:val="0"/>
    <w:rPr>
      <w:rFonts w:ascii="Tahoma" w:hAnsi="Tahoma"/>
      <w:sz w:val="24"/>
    </w:rPr>
  </w:style>
  <w:style w:type="paragraph" w:customStyle="1" w:styleId="73">
    <w:name w:val="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4">
    <w:name w:val="章正文"/>
    <w:qFormat/>
    <w:uiPriority w:val="0"/>
    <w:pPr>
      <w:widowControl w:val="0"/>
      <w:spacing w:beforeLines="50" w:after="120" w:line="300" w:lineRule="auto"/>
      <w:ind w:firstLine="480"/>
      <w:jc w:val="both"/>
    </w:pPr>
    <w:rPr>
      <w:rFonts w:ascii="Helvetica" w:hAnsi="Helvetica" w:eastAsia="宋体" w:cs="宋体"/>
      <w:sz w:val="24"/>
      <w:szCs w:val="24"/>
      <w:lang w:val="en-US" w:eastAsia="zh-CN" w:bidi="ar-SA"/>
    </w:rPr>
  </w:style>
  <w:style w:type="paragraph" w:customStyle="1" w:styleId="75">
    <w:name w:val="列出段落5"/>
    <w:basedOn w:val="1"/>
    <w:qFormat/>
    <w:uiPriority w:val="0"/>
    <w:pPr>
      <w:ind w:firstLine="420" w:firstLineChars="200"/>
    </w:pPr>
    <w:rPr>
      <w:rFonts w:ascii="Calibri" w:hAnsi="Calibri" w:eastAsia="等线"/>
      <w:sz w:val="24"/>
      <w:szCs w:val="24"/>
    </w:rPr>
  </w:style>
  <w:style w:type="paragraph" w:customStyle="1" w:styleId="76">
    <w:name w:val="Char Char Char Char Char Char"/>
    <w:basedOn w:val="1"/>
    <w:qFormat/>
    <w:uiPriority w:val="0"/>
    <w:pPr>
      <w:widowControl/>
      <w:spacing w:after="160" w:line="240" w:lineRule="exact"/>
      <w:jc w:val="left"/>
    </w:pPr>
    <w:rPr>
      <w:rFonts w:ascii="(使用中文字体)" w:hAnsi="(使用中文字体)"/>
      <w:kern w:val="0"/>
      <w:sz w:val="20"/>
      <w:szCs w:val="20"/>
      <w:lang w:eastAsia="en-US"/>
    </w:rPr>
  </w:style>
  <w:style w:type="paragraph" w:customStyle="1" w:styleId="77">
    <w:name w:val="普通(网站)11"/>
    <w:basedOn w:val="1"/>
    <w:qFormat/>
    <w:uiPriority w:val="0"/>
    <w:pPr>
      <w:widowControl/>
      <w:spacing w:beforeAutospacing="1" w:afterAutospacing="1"/>
      <w:jc w:val="left"/>
    </w:pPr>
    <w:rPr>
      <w:rFonts w:ascii="宋体" w:hAnsi="宋体"/>
      <w:kern w:val="0"/>
      <w:sz w:val="24"/>
      <w:szCs w:val="24"/>
    </w:rPr>
  </w:style>
  <w:style w:type="paragraph" w:customStyle="1" w:styleId="78">
    <w:name w:val="图"/>
    <w:basedOn w:val="1"/>
    <w:qFormat/>
    <w:uiPriority w:val="0"/>
    <w:pPr>
      <w:keepNext/>
      <w:adjustRightInd w:val="0"/>
      <w:snapToGrid w:val="0"/>
      <w:spacing w:before="60" w:after="60" w:line="300" w:lineRule="auto"/>
      <w:jc w:val="center"/>
    </w:pPr>
    <w:rPr>
      <w:spacing w:val="20"/>
      <w:kern w:val="0"/>
      <w:sz w:val="24"/>
    </w:rPr>
  </w:style>
  <w:style w:type="paragraph" w:customStyle="1" w:styleId="79">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80">
    <w:name w:val="标准有序列表（L1）"/>
    <w:basedOn w:val="11"/>
    <w:qFormat/>
    <w:uiPriority w:val="0"/>
    <w:pPr>
      <w:numPr>
        <w:ilvl w:val="0"/>
        <w:numId w:val="2"/>
      </w:numPr>
      <w:tabs>
        <w:tab w:val="left" w:pos="0"/>
        <w:tab w:val="left" w:pos="2280"/>
      </w:tabs>
      <w:spacing w:line="360" w:lineRule="auto"/>
      <w:ind w:left="0" w:firstLine="0"/>
    </w:pPr>
    <w:rPr>
      <w:rFonts w:ascii="黑体" w:eastAsia="黑体"/>
      <w:color w:val="000000"/>
      <w:sz w:val="24"/>
    </w:rPr>
  </w:style>
  <w:style w:type="paragraph" w:customStyle="1" w:styleId="8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82">
    <w:name w:val="表格"/>
    <w:basedOn w:val="1"/>
    <w:qFormat/>
    <w:uiPriority w:val="0"/>
    <w:pPr>
      <w:snapToGrid w:val="0"/>
      <w:spacing w:after="120"/>
    </w:pPr>
    <w:rPr>
      <w:rFonts w:ascii="仿宋_GB2312" w:hAnsi="Tahoma" w:eastAsia="Times New Roman" w:cs="Tahoma"/>
      <w:color w:val="000000"/>
      <w:kern w:val="0"/>
      <w:sz w:val="24"/>
      <w:szCs w:val="24"/>
    </w:rPr>
  </w:style>
  <w:style w:type="paragraph" w:customStyle="1" w:styleId="83">
    <w:name w:val="GW-正文"/>
    <w:basedOn w:val="1"/>
    <w:link w:val="111"/>
    <w:qFormat/>
    <w:uiPriority w:val="0"/>
    <w:pPr>
      <w:spacing w:line="360" w:lineRule="auto"/>
      <w:ind w:firstLine="200" w:firstLineChars="200"/>
      <w:contextualSpacing/>
    </w:pPr>
    <w:rPr>
      <w:rFonts w:ascii="Arial Narrow" w:hAnsi="Arial Narrow"/>
      <w:kern w:val="0"/>
      <w:sz w:val="24"/>
      <w:szCs w:val="20"/>
    </w:rPr>
  </w:style>
  <w:style w:type="paragraph" w:customStyle="1" w:styleId="84">
    <w:name w:val="Char Char10"/>
    <w:basedOn w:val="1"/>
    <w:qFormat/>
    <w:uiPriority w:val="0"/>
    <w:pPr>
      <w:widowControl/>
      <w:spacing w:after="160" w:line="240" w:lineRule="exact"/>
      <w:jc w:val="left"/>
    </w:pPr>
    <w:rPr>
      <w:kern w:val="0"/>
      <w:sz w:val="20"/>
      <w:szCs w:val="24"/>
    </w:rPr>
  </w:style>
  <w:style w:type="paragraph" w:customStyle="1" w:styleId="85">
    <w:name w:val="正文文本缩进11"/>
    <w:basedOn w:val="1"/>
    <w:qFormat/>
    <w:uiPriority w:val="0"/>
    <w:pPr>
      <w:spacing w:line="200" w:lineRule="exact"/>
      <w:ind w:firstLine="301"/>
    </w:pPr>
    <w:rPr>
      <w:rFonts w:ascii="Calibri" w:hAnsi="Calibri"/>
      <w:szCs w:val="20"/>
    </w:rPr>
  </w:style>
  <w:style w:type="paragraph" w:customStyle="1" w:styleId="86">
    <w:name w:val="Char Char Char Char"/>
    <w:basedOn w:val="1"/>
    <w:qFormat/>
    <w:uiPriority w:val="0"/>
    <w:pPr>
      <w:widowControl/>
      <w:spacing w:after="160" w:line="240" w:lineRule="exact"/>
      <w:jc w:val="left"/>
    </w:pPr>
    <w:rPr>
      <w:rFonts w:ascii="Arial" w:hAnsi="Arial" w:cs="Verdana"/>
      <w:b/>
      <w:kern w:val="0"/>
      <w:sz w:val="24"/>
      <w:szCs w:val="20"/>
      <w:lang w:eastAsia="en-US"/>
    </w:rPr>
  </w:style>
  <w:style w:type="paragraph" w:customStyle="1" w:styleId="87">
    <w:name w:val="首行缩进2字符"/>
    <w:basedOn w:val="1"/>
    <w:qFormat/>
    <w:uiPriority w:val="0"/>
    <w:pPr>
      <w:spacing w:line="360" w:lineRule="auto"/>
      <w:ind w:firstLine="200" w:firstLineChars="200"/>
    </w:pPr>
    <w:rPr>
      <w:rFonts w:ascii="Calibri" w:hAnsi="Calibri"/>
      <w:sz w:val="24"/>
      <w:szCs w:val="21"/>
    </w:rPr>
  </w:style>
  <w:style w:type="paragraph" w:customStyle="1" w:styleId="88">
    <w:name w:val="默认段落字体 Para Char"/>
    <w:basedOn w:val="1"/>
    <w:qFormat/>
    <w:uiPriority w:val="0"/>
    <w:rPr>
      <w:szCs w:val="20"/>
    </w:rPr>
  </w:style>
  <w:style w:type="paragraph" w:customStyle="1" w:styleId="89">
    <w:name w:val="Char"/>
    <w:basedOn w:val="1"/>
    <w:link w:val="124"/>
    <w:qFormat/>
    <w:uiPriority w:val="0"/>
    <w:rPr>
      <w:rFonts w:ascii="Calibri" w:hAnsi="Calibri"/>
      <w:kern w:val="0"/>
      <w:sz w:val="24"/>
      <w:szCs w:val="20"/>
    </w:rPr>
  </w:style>
  <w:style w:type="paragraph" w:customStyle="1" w:styleId="90">
    <w:name w:val="正文段"/>
    <w:basedOn w:val="1"/>
    <w:qFormat/>
    <w:uiPriority w:val="0"/>
    <w:pPr>
      <w:widowControl/>
      <w:snapToGrid w:val="0"/>
      <w:spacing w:afterLines="50"/>
      <w:ind w:firstLine="200" w:firstLineChars="200"/>
    </w:pPr>
    <w:rPr>
      <w:kern w:val="0"/>
      <w:sz w:val="24"/>
      <w:szCs w:val="20"/>
    </w:rPr>
  </w:style>
  <w:style w:type="paragraph" w:customStyle="1" w:styleId="91">
    <w:name w:val="自动更正"/>
    <w:qFormat/>
    <w:uiPriority w:val="0"/>
    <w:pPr>
      <w:widowControl w:val="0"/>
      <w:jc w:val="both"/>
    </w:pPr>
    <w:rPr>
      <w:rFonts w:ascii="Calibri" w:hAnsi="Calibri" w:eastAsia="宋体" w:cs="Times New Roman"/>
      <w:kern w:val="2"/>
      <w:sz w:val="21"/>
      <w:szCs w:val="24"/>
      <w:lang w:val="en-US" w:eastAsia="zh-CN" w:bidi="ar-SA"/>
    </w:rPr>
  </w:style>
  <w:style w:type="paragraph" w:customStyle="1" w:styleId="92">
    <w:name w:val="列出段落1"/>
    <w:basedOn w:val="1"/>
    <w:link w:val="134"/>
    <w:qFormat/>
    <w:uiPriority w:val="0"/>
    <w:pPr>
      <w:ind w:firstLine="420" w:firstLineChars="200"/>
    </w:pPr>
    <w:rPr>
      <w:rFonts w:ascii="Calibri" w:hAnsi="Calibri"/>
      <w:kern w:val="0"/>
      <w:sz w:val="24"/>
      <w:szCs w:val="20"/>
    </w:rPr>
  </w:style>
  <w:style w:type="paragraph" w:customStyle="1" w:styleId="93">
    <w:name w:val="书籍标题1"/>
    <w:basedOn w:val="1"/>
    <w:next w:val="1"/>
    <w:qFormat/>
    <w:uiPriority w:val="0"/>
    <w:pPr>
      <w:pageBreakBefore/>
      <w:widowControl/>
      <w:numPr>
        <w:ilvl w:val="0"/>
        <w:numId w:val="3"/>
      </w:numPr>
      <w:spacing w:beforeLines="200"/>
      <w:ind w:left="2520"/>
      <w:jc w:val="center"/>
      <w:outlineLvl w:val="0"/>
    </w:pPr>
    <w:rPr>
      <w:rFonts w:eastAsia="黑体"/>
      <w:b/>
      <w:spacing w:val="20"/>
      <w:kern w:val="44"/>
      <w:sz w:val="44"/>
    </w:rPr>
  </w:style>
  <w:style w:type="paragraph" w:customStyle="1" w:styleId="94">
    <w:name w:val="正文_20"/>
    <w:qFormat/>
    <w:uiPriority w:val="0"/>
    <w:pPr>
      <w:widowControl w:val="0"/>
      <w:jc w:val="both"/>
    </w:pPr>
    <w:rPr>
      <w:rFonts w:ascii="Times New Roman" w:hAnsi="Times New Roman" w:eastAsia="等线" w:cs="Times New Roman"/>
      <w:kern w:val="2"/>
      <w:sz w:val="21"/>
      <w:szCs w:val="24"/>
      <w:lang w:val="en-US" w:eastAsia="zh-CN" w:bidi="ar-SA"/>
    </w:rPr>
  </w:style>
  <w:style w:type="paragraph" w:customStyle="1" w:styleId="95">
    <w:name w:val="Table Paragraph"/>
    <w:basedOn w:val="1"/>
    <w:qFormat/>
    <w:uiPriority w:val="0"/>
    <w:pPr>
      <w:spacing w:before="119"/>
    </w:pPr>
    <w:rPr>
      <w:rFonts w:ascii="宋体" w:hAnsi="宋体" w:cs="宋体"/>
      <w:szCs w:val="24"/>
      <w:lang w:val="zh-CN"/>
    </w:rPr>
  </w:style>
  <w:style w:type="paragraph" w:customStyle="1" w:styleId="96">
    <w:name w:val="表内文字"/>
    <w:basedOn w:val="1"/>
    <w:qFormat/>
    <w:uiPriority w:val="0"/>
    <w:pPr>
      <w:tabs>
        <w:tab w:val="left" w:pos="1418"/>
      </w:tabs>
      <w:spacing w:line="360" w:lineRule="auto"/>
      <w:jc w:val="center"/>
    </w:pPr>
    <w:rPr>
      <w:rFonts w:ascii="仿宋_GB2312" w:eastAsia="Times New Roman"/>
      <w:spacing w:val="-20"/>
      <w:kern w:val="0"/>
      <w:sz w:val="24"/>
    </w:rPr>
  </w:style>
  <w:style w:type="paragraph" w:customStyle="1" w:styleId="97">
    <w:name w:val="样式2"/>
    <w:basedOn w:val="89"/>
    <w:qFormat/>
    <w:uiPriority w:val="0"/>
    <w:pPr>
      <w:tabs>
        <w:tab w:val="left" w:pos="432"/>
      </w:tabs>
      <w:spacing w:beforeLines="50" w:afterLines="50"/>
      <w:ind w:left="432" w:hanging="432"/>
    </w:pPr>
    <w:rPr>
      <w:b/>
      <w:szCs w:val="21"/>
      <w:u w:val="thick"/>
    </w:rPr>
  </w:style>
  <w:style w:type="paragraph" w:customStyle="1" w:styleId="98">
    <w:name w:val="样式1"/>
    <w:basedOn w:val="89"/>
    <w:qFormat/>
    <w:uiPriority w:val="0"/>
    <w:pPr>
      <w:tabs>
        <w:tab w:val="left" w:pos="432"/>
      </w:tabs>
      <w:spacing w:beforeLines="50" w:afterLines="50"/>
      <w:ind w:left="642" w:leftChars="100" w:right="100" w:rightChars="100" w:hanging="432"/>
      <w:jc w:val="right"/>
    </w:pPr>
    <w:rPr>
      <w:b/>
      <w:i/>
      <w:szCs w:val="21"/>
      <w:u w:val="thick"/>
    </w:rPr>
  </w:style>
  <w:style w:type="paragraph" w:customStyle="1" w:styleId="9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正文首行缩进2字符"/>
    <w:basedOn w:val="1"/>
    <w:link w:val="128"/>
    <w:qFormat/>
    <w:uiPriority w:val="0"/>
    <w:pPr>
      <w:spacing w:line="360" w:lineRule="auto"/>
      <w:ind w:firstLine="200" w:firstLineChars="200"/>
    </w:pPr>
    <w:rPr>
      <w:kern w:val="0"/>
      <w:sz w:val="24"/>
      <w:szCs w:val="20"/>
    </w:rPr>
  </w:style>
  <w:style w:type="paragraph" w:customStyle="1" w:styleId="101">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2">
    <w:name w:val="表格内容"/>
    <w:next w:val="100"/>
    <w:link w:val="129"/>
    <w:qFormat/>
    <w:uiPriority w:val="0"/>
    <w:pPr>
      <w:jc w:val="center"/>
    </w:pPr>
    <w:rPr>
      <w:rFonts w:ascii="仿宋" w:hAnsi="仿宋" w:eastAsia="仿宋" w:cs="Times New Roman"/>
      <w:sz w:val="24"/>
      <w:szCs w:val="22"/>
      <w:lang w:val="en-US" w:eastAsia="zh-CN" w:bidi="ar-SA"/>
    </w:rPr>
  </w:style>
  <w:style w:type="paragraph" w:customStyle="1" w:styleId="103">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104">
    <w:name w:val="列项中圆1"/>
    <w:basedOn w:val="1"/>
    <w:next w:val="1"/>
    <w:qFormat/>
    <w:uiPriority w:val="0"/>
    <w:pPr>
      <w:tabs>
        <w:tab w:val="left" w:pos="839"/>
      </w:tabs>
      <w:spacing w:line="300" w:lineRule="auto"/>
      <w:ind w:left="839" w:hanging="419"/>
    </w:pPr>
    <w:rPr>
      <w:kern w:val="21"/>
      <w:szCs w:val="20"/>
    </w:rPr>
  </w:style>
  <w:style w:type="paragraph" w:customStyle="1" w:styleId="105">
    <w:name w:val="xl30"/>
    <w:basedOn w:val="1"/>
    <w:qFormat/>
    <w:uiPriority w:val="0"/>
    <w:pPr>
      <w:widowControl/>
      <w:spacing w:before="100" w:beforeAutospacing="1" w:after="100" w:afterAutospacing="1"/>
      <w:jc w:val="center"/>
    </w:pPr>
    <w:rPr>
      <w:rFonts w:ascii="楷体_GB2312" w:hAnsi="宋体" w:eastAsia="楷体_GB2312"/>
      <w:b/>
      <w:kern w:val="0"/>
      <w:sz w:val="32"/>
    </w:rPr>
  </w:style>
  <w:style w:type="paragraph" w:customStyle="1" w:styleId="106">
    <w:name w:val="文档正文"/>
    <w:basedOn w:val="1"/>
    <w:qFormat/>
    <w:uiPriority w:val="0"/>
    <w:rPr>
      <w:rFonts w:ascii="宋体" w:hAnsi="宋体" w:cs="Arial"/>
      <w:bCs/>
      <w:szCs w:val="21"/>
    </w:rPr>
  </w:style>
  <w:style w:type="paragraph" w:customStyle="1" w:styleId="107">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108">
    <w:name w:val="无间隔1"/>
    <w:link w:val="119"/>
    <w:qFormat/>
    <w:uiPriority w:val="0"/>
    <w:rPr>
      <w:rFonts w:ascii="Calibri" w:hAnsi="Calibri" w:eastAsia="宋体" w:cs="Times New Roman"/>
      <w:sz w:val="22"/>
      <w:szCs w:val="22"/>
      <w:lang w:val="en-US" w:eastAsia="zh-CN" w:bidi="ar-SA"/>
    </w:rPr>
  </w:style>
  <w:style w:type="paragraph" w:customStyle="1" w:styleId="109">
    <w:name w:val="纯文本1"/>
    <w:basedOn w:val="1"/>
    <w:qFormat/>
    <w:uiPriority w:val="0"/>
    <w:pPr>
      <w:spacing w:beforeLines="50" w:afterLines="50" w:line="400" w:lineRule="exact"/>
    </w:pPr>
    <w:rPr>
      <w:rFonts w:ascii="宋体" w:hAnsi="Courier New" w:eastAsia="Times New Roman"/>
      <w:sz w:val="30"/>
      <w:szCs w:val="24"/>
    </w:rPr>
  </w:style>
  <w:style w:type="character" w:customStyle="1" w:styleId="110">
    <w:name w:val="font21"/>
    <w:basedOn w:val="37"/>
    <w:qFormat/>
    <w:uiPriority w:val="0"/>
    <w:rPr>
      <w:rFonts w:ascii="等线" w:hAnsi="等线" w:eastAsia="等线" w:cs="等线"/>
      <w:color w:val="000000"/>
      <w:sz w:val="22"/>
      <w:szCs w:val="22"/>
      <w:u w:val="none"/>
    </w:rPr>
  </w:style>
  <w:style w:type="character" w:customStyle="1" w:styleId="111">
    <w:name w:val="GW-正文 Char"/>
    <w:link w:val="83"/>
    <w:qFormat/>
    <w:locked/>
    <w:uiPriority w:val="0"/>
    <w:rPr>
      <w:rFonts w:ascii="Arial Narrow" w:hAnsi="Arial Narrow" w:eastAsia="宋体" w:cs="Times New Roman"/>
      <w:kern w:val="0"/>
      <w:sz w:val="24"/>
      <w:szCs w:val="20"/>
    </w:rPr>
  </w:style>
  <w:style w:type="character" w:customStyle="1" w:styleId="112">
    <w:name w:val="apple-converted-space"/>
    <w:qFormat/>
    <w:uiPriority w:val="0"/>
    <w:rPr>
      <w:rFonts w:ascii="Times New Roman" w:hAnsi="Times New Roman"/>
    </w:rPr>
  </w:style>
  <w:style w:type="character" w:customStyle="1" w:styleId="113">
    <w:name w:val="正文文本缩进 3 Char1"/>
    <w:basedOn w:val="37"/>
    <w:qFormat/>
    <w:uiPriority w:val="0"/>
    <w:rPr>
      <w:rFonts w:ascii="Times New Roman" w:hAnsi="Times New Roman" w:eastAsia="宋体" w:cs="Times New Roman"/>
      <w:sz w:val="16"/>
      <w:szCs w:val="16"/>
    </w:rPr>
  </w:style>
  <w:style w:type="character" w:customStyle="1" w:styleId="114">
    <w:name w:val="批注主题 Char1"/>
    <w:basedOn w:val="115"/>
    <w:qFormat/>
    <w:uiPriority w:val="0"/>
    <w:rPr>
      <w:rFonts w:ascii="Times New Roman" w:hAnsi="Times New Roman" w:eastAsia="宋体" w:cs="Times New Roman"/>
      <w:b/>
      <w:bCs/>
    </w:rPr>
  </w:style>
  <w:style w:type="character" w:customStyle="1" w:styleId="115">
    <w:name w:val="批注文字 Char1"/>
    <w:basedOn w:val="37"/>
    <w:qFormat/>
    <w:uiPriority w:val="0"/>
    <w:rPr>
      <w:rFonts w:ascii="Times New Roman" w:hAnsi="Times New Roman" w:eastAsia="宋体" w:cs="Times New Roman"/>
    </w:rPr>
  </w:style>
  <w:style w:type="character" w:customStyle="1" w:styleId="116">
    <w:name w:val="apple-tab-span"/>
    <w:qFormat/>
    <w:uiPriority w:val="0"/>
    <w:rPr>
      <w:rFonts w:ascii="Times New Roman" w:hAnsi="Times New Roman"/>
    </w:rPr>
  </w:style>
  <w:style w:type="character" w:customStyle="1" w:styleId="117">
    <w:name w:val="font11"/>
    <w:basedOn w:val="37"/>
    <w:qFormat/>
    <w:uiPriority w:val="0"/>
    <w:rPr>
      <w:rFonts w:ascii="Times New Roman" w:hAnsi="Times New Roman" w:cs="Times New Roman"/>
      <w:color w:val="000000"/>
      <w:sz w:val="20"/>
      <w:szCs w:val="20"/>
      <w:u w:val="none"/>
    </w:rPr>
  </w:style>
  <w:style w:type="character" w:customStyle="1" w:styleId="118">
    <w:name w:val="font31"/>
    <w:basedOn w:val="37"/>
    <w:qFormat/>
    <w:uiPriority w:val="0"/>
    <w:rPr>
      <w:rFonts w:ascii="等线" w:hAnsi="等线" w:eastAsia="等线" w:cs="等线"/>
      <w:color w:val="000000"/>
      <w:sz w:val="22"/>
      <w:szCs w:val="22"/>
      <w:u w:val="none"/>
    </w:rPr>
  </w:style>
  <w:style w:type="character" w:customStyle="1" w:styleId="119">
    <w:name w:val="无间隔 Char"/>
    <w:link w:val="108"/>
    <w:qFormat/>
    <w:locked/>
    <w:uiPriority w:val="0"/>
    <w:rPr>
      <w:rFonts w:ascii="Calibri" w:hAnsi="Calibri" w:eastAsia="宋体" w:cs="Times New Roman"/>
      <w:kern w:val="0"/>
      <w:sz w:val="22"/>
    </w:rPr>
  </w:style>
  <w:style w:type="character" w:customStyle="1" w:styleId="120">
    <w:name w:val="正文文本缩进 Char1"/>
    <w:basedOn w:val="37"/>
    <w:qFormat/>
    <w:uiPriority w:val="0"/>
    <w:rPr>
      <w:rFonts w:ascii="Times New Roman" w:hAnsi="Times New Roman" w:eastAsia="宋体" w:cs="Times New Roman"/>
    </w:rPr>
  </w:style>
  <w:style w:type="character" w:customStyle="1" w:styleId="121">
    <w:name w:val="正文文本 3 Char1"/>
    <w:basedOn w:val="37"/>
    <w:qFormat/>
    <w:uiPriority w:val="0"/>
    <w:rPr>
      <w:rFonts w:ascii="Times New Roman" w:hAnsi="Times New Roman" w:eastAsia="宋体" w:cs="Times New Roman"/>
      <w:sz w:val="16"/>
      <w:szCs w:val="16"/>
    </w:rPr>
  </w:style>
  <w:style w:type="character" w:customStyle="1" w:styleId="122">
    <w:name w:val="正文文本 Char1"/>
    <w:basedOn w:val="37"/>
    <w:qFormat/>
    <w:uiPriority w:val="0"/>
    <w:rPr>
      <w:rFonts w:ascii="Times New Roman" w:hAnsi="Times New Roman" w:eastAsia="宋体" w:cs="Times New Roman"/>
    </w:rPr>
  </w:style>
  <w:style w:type="character" w:customStyle="1" w:styleId="123">
    <w:name w:val="font01"/>
    <w:basedOn w:val="37"/>
    <w:qFormat/>
    <w:uiPriority w:val="0"/>
    <w:rPr>
      <w:rFonts w:ascii="宋体" w:hAnsi="宋体" w:eastAsia="宋体" w:cs="宋体"/>
      <w:color w:val="000000"/>
      <w:sz w:val="20"/>
      <w:szCs w:val="20"/>
      <w:u w:val="none"/>
    </w:rPr>
  </w:style>
  <w:style w:type="character" w:customStyle="1" w:styleId="124">
    <w:name w:val="Char Char3"/>
    <w:link w:val="89"/>
    <w:qFormat/>
    <w:locked/>
    <w:uiPriority w:val="0"/>
    <w:rPr>
      <w:rFonts w:ascii="Calibri" w:hAnsi="Calibri" w:eastAsia="宋体" w:cs="Times New Roman"/>
      <w:kern w:val="0"/>
      <w:sz w:val="24"/>
      <w:szCs w:val="20"/>
    </w:rPr>
  </w:style>
  <w:style w:type="character" w:customStyle="1" w:styleId="125">
    <w:name w:val="题注 Char"/>
    <w:link w:val="12"/>
    <w:qFormat/>
    <w:locked/>
    <w:uiPriority w:val="0"/>
    <w:rPr>
      <w:rFonts w:ascii="Arial" w:hAnsi="Arial" w:eastAsia="黑体" w:cs="Times New Roman"/>
      <w:kern w:val="0"/>
      <w:sz w:val="20"/>
      <w:szCs w:val="20"/>
    </w:rPr>
  </w:style>
  <w:style w:type="character" w:customStyle="1" w:styleId="126">
    <w:name w:val="纯文本 Char2"/>
    <w:basedOn w:val="37"/>
    <w:qFormat/>
    <w:uiPriority w:val="0"/>
    <w:rPr>
      <w:rFonts w:ascii="宋体" w:hAnsi="Courier New" w:eastAsia="宋体" w:cs="Courier New"/>
      <w:sz w:val="21"/>
      <w:szCs w:val="21"/>
    </w:rPr>
  </w:style>
  <w:style w:type="character" w:customStyle="1" w:styleId="127">
    <w:name w:val="文档结构图 Char1"/>
    <w:basedOn w:val="37"/>
    <w:qFormat/>
    <w:uiPriority w:val="0"/>
    <w:rPr>
      <w:rFonts w:ascii="宋体" w:hAnsi="Times New Roman" w:eastAsia="宋体" w:cs="Times New Roman"/>
      <w:sz w:val="18"/>
      <w:szCs w:val="18"/>
    </w:rPr>
  </w:style>
  <w:style w:type="character" w:customStyle="1" w:styleId="128">
    <w:name w:val="正文首行缩进2字符 Char Char"/>
    <w:link w:val="100"/>
    <w:qFormat/>
    <w:locked/>
    <w:uiPriority w:val="0"/>
    <w:rPr>
      <w:rFonts w:ascii="Times New Roman" w:hAnsi="Times New Roman" w:eastAsia="宋体" w:cs="Times New Roman"/>
      <w:kern w:val="0"/>
      <w:sz w:val="24"/>
      <w:szCs w:val="20"/>
    </w:rPr>
  </w:style>
  <w:style w:type="character" w:customStyle="1" w:styleId="129">
    <w:name w:val="表格内容 字符"/>
    <w:link w:val="102"/>
    <w:qFormat/>
    <w:locked/>
    <w:uiPriority w:val="0"/>
    <w:rPr>
      <w:rFonts w:ascii="仿宋" w:hAnsi="仿宋" w:eastAsia="仿宋" w:cs="Times New Roman"/>
      <w:kern w:val="0"/>
      <w:sz w:val="24"/>
    </w:rPr>
  </w:style>
  <w:style w:type="character" w:customStyle="1" w:styleId="130">
    <w:name w:val="纯文本 Char1"/>
    <w:qFormat/>
    <w:uiPriority w:val="0"/>
    <w:rPr>
      <w:rFonts w:ascii="宋体" w:hAnsi="Courier New" w:eastAsia="宋体"/>
      <w:sz w:val="21"/>
    </w:rPr>
  </w:style>
  <w:style w:type="character" w:customStyle="1" w:styleId="131">
    <w:name w:val="日期 Char1"/>
    <w:basedOn w:val="37"/>
    <w:qFormat/>
    <w:uiPriority w:val="0"/>
    <w:rPr>
      <w:rFonts w:ascii="Times New Roman" w:hAnsi="Times New Roman" w:eastAsia="宋体" w:cs="Times New Roman"/>
    </w:rPr>
  </w:style>
  <w:style w:type="character" w:customStyle="1" w:styleId="132">
    <w:name w:val="正文文本缩进 2 Char1"/>
    <w:basedOn w:val="37"/>
    <w:qFormat/>
    <w:uiPriority w:val="0"/>
    <w:rPr>
      <w:rFonts w:ascii="Times New Roman" w:hAnsi="Times New Roman" w:eastAsia="宋体" w:cs="Times New Roman"/>
    </w:rPr>
  </w:style>
  <w:style w:type="character" w:customStyle="1" w:styleId="133">
    <w:name w:val="批注框文本 Char1"/>
    <w:basedOn w:val="37"/>
    <w:qFormat/>
    <w:uiPriority w:val="0"/>
    <w:rPr>
      <w:rFonts w:ascii="Times New Roman" w:hAnsi="Times New Roman" w:eastAsia="宋体" w:cs="Times New Roman"/>
      <w:sz w:val="18"/>
      <w:szCs w:val="18"/>
    </w:rPr>
  </w:style>
  <w:style w:type="character" w:customStyle="1" w:styleId="134">
    <w:name w:val="列出段落 Char"/>
    <w:link w:val="92"/>
    <w:qFormat/>
    <w:locked/>
    <w:uiPriority w:val="0"/>
    <w:rPr>
      <w:rFonts w:ascii="Calibri" w:hAnsi="Calibri" w:eastAsia="宋体" w:cs="Times New Roman"/>
      <w:kern w:val="0"/>
      <w:sz w:val="24"/>
      <w:szCs w:val="20"/>
    </w:rPr>
  </w:style>
  <w:style w:type="character" w:customStyle="1" w:styleId="135">
    <w:name w:val="正文文本 2 Char1"/>
    <w:basedOn w:val="37"/>
    <w:qFormat/>
    <w:uiPriority w:val="0"/>
    <w:rPr>
      <w:rFonts w:ascii="Times New Roman" w:hAnsi="Times New Roman" w:eastAsia="宋体" w:cs="Times New Roman"/>
    </w:rPr>
  </w:style>
  <w:style w:type="character" w:customStyle="1" w:styleId="136">
    <w:name w:val="大黑10.5px"/>
    <w:qFormat/>
    <w:uiPriority w:val="0"/>
    <w:rPr>
      <w:rFonts w:ascii="方正大黑简体" w:eastAsia="方正大黑简体"/>
      <w:sz w:val="21"/>
    </w:rPr>
  </w:style>
  <w:style w:type="character" w:customStyle="1" w:styleId="137">
    <w:name w:val="黑简10.5px"/>
    <w:qFormat/>
    <w:uiPriority w:val="0"/>
    <w:rPr>
      <w:rFonts w:ascii="方正黑体简体" w:eastAsia="方正黑体简体"/>
      <w:sz w:val="21"/>
    </w:rPr>
  </w:style>
  <w:style w:type="paragraph" w:customStyle="1" w:styleId="138">
    <w:name w:val="缩进4"/>
    <w:basedOn w:val="1"/>
    <w:qFormat/>
    <w:uiPriority w:val="0"/>
    <w:pPr>
      <w:autoSpaceDE w:val="0"/>
      <w:autoSpaceDN w:val="0"/>
      <w:adjustRightInd w:val="0"/>
      <w:spacing w:line="288" w:lineRule="auto"/>
      <w:ind w:left="227"/>
      <w:textAlignment w:val="center"/>
    </w:pPr>
    <w:rPr>
      <w:rFonts w:ascii="方正黑体简体" w:hAnsi="Calibri" w:eastAsia="方正黑体简体" w:cs="方正黑体简体"/>
      <w:color w:val="000000"/>
      <w:kern w:val="0"/>
      <w:sz w:val="18"/>
      <w:szCs w:val="18"/>
      <w:lang w:val="zh-CN"/>
    </w:rPr>
  </w:style>
  <w:style w:type="paragraph" w:customStyle="1" w:styleId="139">
    <w:name w:val="_Style 130"/>
    <w:basedOn w:val="1"/>
    <w:next w:val="92"/>
    <w:qFormat/>
    <w:uiPriority w:val="0"/>
    <w:pPr>
      <w:ind w:firstLine="420" w:firstLineChars="200"/>
    </w:pPr>
    <w:rPr>
      <w:szCs w:val="20"/>
    </w:rPr>
  </w:style>
  <w:style w:type="paragraph" w:customStyle="1" w:styleId="140">
    <w:name w:val="0正文"/>
    <w:basedOn w:val="1"/>
    <w:qFormat/>
    <w:uiPriority w:val="0"/>
    <w:pPr>
      <w:spacing w:line="560" w:lineRule="exact"/>
      <w:ind w:firstLine="200" w:firstLineChars="200"/>
    </w:pPr>
    <w:rPr>
      <w:rFonts w:ascii="Tahoma" w:hAnsi="Tahoma"/>
    </w:rPr>
  </w:style>
  <w:style w:type="paragraph" w:customStyle="1" w:styleId="141">
    <w:name w:val="正文（本文）"/>
    <w:basedOn w:val="1"/>
    <w:qFormat/>
    <w:uiPriority w:val="0"/>
    <w:pPr>
      <w:snapToGrid w:val="0"/>
      <w:spacing w:line="360" w:lineRule="auto"/>
      <w:ind w:firstLine="480" w:firstLineChars="200"/>
    </w:pPr>
    <w:rPr>
      <w:sz w:val="24"/>
      <w:szCs w:val="24"/>
    </w:rPr>
  </w:style>
  <w:style w:type="paragraph" w:customStyle="1" w:styleId="142">
    <w:name w:val="l正文"/>
    <w:basedOn w:val="1"/>
    <w:qFormat/>
    <w:uiPriority w:val="0"/>
    <w:pPr>
      <w:spacing w:line="300" w:lineRule="auto"/>
      <w:ind w:firstLine="200" w:firstLineChars="200"/>
      <w:jc w:val="left"/>
    </w:pPr>
    <w:rPr>
      <w:rFonts w:ascii="楷体_GB2312" w:hAnsi="Times" w:eastAsia="楷体_GB2312" w:cs="等线"/>
      <w:sz w:val="24"/>
      <w:szCs w:val="24"/>
    </w:rPr>
  </w:style>
  <w:style w:type="paragraph" w:customStyle="1" w:styleId="143">
    <w:name w:val="_Style 4"/>
    <w:basedOn w:val="1"/>
    <w:qFormat/>
    <w:uiPriority w:val="0"/>
    <w:pPr>
      <w:ind w:firstLine="420" w:firstLineChars="200"/>
      <w:jc w:val="left"/>
    </w:pPr>
    <w:rPr>
      <w:rFonts w:ascii="Calibri" w:hAnsi="Calibri"/>
      <w:kern w:val="0"/>
      <w:sz w:val="18"/>
      <w:szCs w:val="24"/>
      <w:lang w:eastAsia="zh-TW"/>
    </w:rPr>
  </w:style>
  <w:style w:type="paragraph" w:customStyle="1" w:styleId="144">
    <w:name w:val="列出段落2"/>
    <w:basedOn w:val="1"/>
    <w:qFormat/>
    <w:uiPriority w:val="0"/>
    <w:pPr>
      <w:ind w:firstLine="420" w:firstLineChars="200"/>
    </w:pPr>
    <w:rPr>
      <w:rFonts w:ascii="Calibri" w:hAnsi="Calibri"/>
      <w:szCs w:val="24"/>
    </w:rPr>
  </w:style>
  <w:style w:type="paragraph" w:customStyle="1" w:styleId="145">
    <w:name w:val="正文1"/>
    <w:qFormat/>
    <w:uiPriority w:val="0"/>
    <w:pPr>
      <w:widowControl w:val="0"/>
      <w:jc w:val="both"/>
    </w:pPr>
    <w:rPr>
      <w:rFonts w:ascii="Calibri" w:hAnsi="Calibri" w:eastAsia="宋体" w:cs="Calibri"/>
      <w:kern w:val="2"/>
      <w:sz w:val="21"/>
      <w:szCs w:val="21"/>
      <w:lang w:val="en-US" w:eastAsia="zh-CN" w:bidi="ar-SA"/>
    </w:rPr>
  </w:style>
  <w:style w:type="paragraph" w:customStyle="1" w:styleId="146">
    <w:name w:val="WPSOffice手动目录 1"/>
    <w:qFormat/>
    <w:uiPriority w:val="0"/>
    <w:rPr>
      <w:rFonts w:ascii="Times New Roman" w:hAnsi="Times New Roman" w:eastAsia="宋体" w:cs="Times New Roman"/>
      <w:lang w:val="en-US" w:eastAsia="zh-CN" w:bidi="ar-SA"/>
    </w:rPr>
  </w:style>
  <w:style w:type="paragraph" w:customStyle="1" w:styleId="147">
    <w:name w:val="正文2"/>
    <w:basedOn w:val="1"/>
    <w:qFormat/>
    <w:uiPriority w:val="0"/>
    <w:pPr>
      <w:spacing w:before="156" w:line="360" w:lineRule="auto"/>
      <w:ind w:firstLine="510" w:firstLineChars="200"/>
    </w:pPr>
    <w:rPr>
      <w:sz w:val="24"/>
      <w:szCs w:val="20"/>
    </w:rPr>
  </w:style>
  <w:style w:type="character" w:customStyle="1" w:styleId="148">
    <w:name w:val="正文 首行缩进:  2 字符 Char Char Char"/>
    <w:link w:val="149"/>
    <w:qFormat/>
    <w:locked/>
    <w:uiPriority w:val="0"/>
    <w:rPr>
      <w:sz w:val="24"/>
    </w:rPr>
  </w:style>
  <w:style w:type="paragraph" w:customStyle="1" w:styleId="149">
    <w:name w:val="正文 首行缩进:  2 字符 Char"/>
    <w:basedOn w:val="1"/>
    <w:link w:val="148"/>
    <w:qFormat/>
    <w:uiPriority w:val="0"/>
    <w:pPr>
      <w:spacing w:line="360" w:lineRule="auto"/>
      <w:ind w:firstLine="480"/>
    </w:pPr>
    <w:rPr>
      <w:rFonts w:asciiTheme="minorHAnsi" w:hAnsiTheme="minorHAnsi" w:eastAsiaTheme="minorEastAsia" w:cstheme="minorBidi"/>
      <w:sz w:val="24"/>
    </w:rPr>
  </w:style>
  <w:style w:type="paragraph" w:customStyle="1" w:styleId="150">
    <w:name w:val="样式 首行缩进:  0 字符"/>
    <w:basedOn w:val="1"/>
    <w:link w:val="151"/>
    <w:qFormat/>
    <w:uiPriority w:val="0"/>
    <w:pPr>
      <w:spacing w:line="360" w:lineRule="auto"/>
      <w:ind w:firstLine="200" w:firstLineChars="200"/>
    </w:pPr>
    <w:rPr>
      <w:rFonts w:ascii="Arial" w:hAnsi="Arial"/>
      <w:kern w:val="0"/>
      <w:sz w:val="20"/>
      <w:szCs w:val="20"/>
    </w:rPr>
  </w:style>
  <w:style w:type="character" w:customStyle="1" w:styleId="151">
    <w:name w:val="样式 首行缩进:  0 字符 Char"/>
    <w:link w:val="150"/>
    <w:qFormat/>
    <w:locked/>
    <w:uiPriority w:val="0"/>
    <w:rPr>
      <w:rFonts w:ascii="Arial" w:hAnsi="Arial" w:eastAsia="宋体" w:cs="Times New Roman"/>
      <w:kern w:val="0"/>
      <w:sz w:val="20"/>
      <w:szCs w:val="20"/>
    </w:rPr>
  </w:style>
  <w:style w:type="paragraph" w:customStyle="1" w:styleId="152">
    <w:name w:val="正文 A"/>
    <w:qFormat/>
    <w:uiPriority w:val="0"/>
    <w:pPr>
      <w:widowControl w:val="0"/>
      <w:jc w:val="both"/>
    </w:pPr>
    <w:rPr>
      <w:rFonts w:ascii="Arial Unicode MS" w:hAnsi="Times New Roman" w:eastAsia="Arial Unicode MS" w:cs="Arial Unicode MS"/>
      <w:color w:val="000000"/>
      <w:kern w:val="2"/>
      <w:sz w:val="28"/>
      <w:szCs w:val="28"/>
      <w:u w:color="000000"/>
      <w:lang w:val="en-US" w:eastAsia="zh-CN" w:bidi="ar-SA"/>
    </w:rPr>
  </w:style>
  <w:style w:type="paragraph" w:customStyle="1" w:styleId="153">
    <w:name w:val="Proposals body"/>
    <w:basedOn w:val="1"/>
    <w:next w:val="1"/>
    <w:qFormat/>
    <w:uiPriority w:val="0"/>
    <w:pPr>
      <w:widowControl/>
      <w:spacing w:line="460" w:lineRule="exact"/>
      <w:jc w:val="left"/>
    </w:pPr>
    <w:rPr>
      <w:rFonts w:ascii="仿宋_GB2312" w:eastAsia="Times New Roman"/>
      <w:kern w:val="0"/>
      <w:sz w:val="24"/>
      <w:szCs w:val="24"/>
    </w:rPr>
  </w:style>
  <w:style w:type="paragraph" w:customStyle="1" w:styleId="15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55">
    <w:name w:val="title11"/>
    <w:basedOn w:val="1"/>
    <w:qFormat/>
    <w:uiPriority w:val="0"/>
    <w:pPr>
      <w:spacing w:before="150"/>
      <w:jc w:val="left"/>
    </w:pPr>
    <w:rPr>
      <w:b/>
      <w:kern w:val="0"/>
      <w:sz w:val="28"/>
      <w:szCs w:val="24"/>
    </w:rPr>
  </w:style>
  <w:style w:type="paragraph" w:customStyle="1" w:styleId="156">
    <w:name w:val="标题 10"/>
    <w:basedOn w:val="5"/>
    <w:qFormat/>
    <w:uiPriority w:val="0"/>
    <w:pPr>
      <w:spacing w:before="0" w:after="0" w:line="360" w:lineRule="auto"/>
      <w:jc w:val="center"/>
    </w:pPr>
    <w:rPr>
      <w:rFonts w:ascii="Cambria" w:hAnsi="Cambria" w:eastAsia="宋体"/>
      <w:bCs/>
      <w:sz w:val="21"/>
      <w:szCs w:val="32"/>
    </w:rPr>
  </w:style>
  <w:style w:type="paragraph" w:customStyle="1" w:styleId="1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58">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59">
    <w:name w:val="List Paragraph1"/>
    <w:basedOn w:val="1"/>
    <w:qFormat/>
    <w:uiPriority w:val="0"/>
    <w:pPr>
      <w:ind w:firstLine="420" w:firstLineChars="200"/>
    </w:pPr>
    <w:rPr>
      <w:szCs w:val="24"/>
    </w:rPr>
  </w:style>
  <w:style w:type="paragraph" w:customStyle="1" w:styleId="160">
    <w:name w:val="Char Char Char Char1"/>
    <w:basedOn w:val="1"/>
    <w:qFormat/>
    <w:uiPriority w:val="0"/>
    <w:rPr>
      <w:rFonts w:ascii="Tahoma" w:hAnsi="Tahoma"/>
      <w:sz w:val="24"/>
      <w:szCs w:val="20"/>
    </w:rPr>
  </w:style>
  <w:style w:type="paragraph" w:customStyle="1" w:styleId="161">
    <w:name w:val="目录 71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62">
    <w:name w:val="_Style 46"/>
    <w:basedOn w:val="1"/>
    <w:next w:val="1"/>
    <w:link w:val="175"/>
    <w:qFormat/>
    <w:uiPriority w:val="0"/>
    <w:pPr>
      <w:widowControl/>
      <w:pBdr>
        <w:bottom w:val="single" w:color="auto" w:sz="6" w:space="1"/>
      </w:pBdr>
      <w:jc w:val="center"/>
    </w:pPr>
    <w:rPr>
      <w:rFonts w:ascii="Arial" w:hAnsi="Arial"/>
      <w:vanish/>
      <w:kern w:val="0"/>
      <w:sz w:val="20"/>
      <w:szCs w:val="20"/>
    </w:rPr>
  </w:style>
  <w:style w:type="paragraph" w:customStyle="1" w:styleId="163">
    <w:name w:val="此正文"/>
    <w:basedOn w:val="1"/>
    <w:qFormat/>
    <w:uiPriority w:val="0"/>
    <w:pPr>
      <w:spacing w:line="360" w:lineRule="auto"/>
      <w:ind w:firstLine="200" w:firstLineChars="200"/>
    </w:pPr>
    <w:rPr>
      <w:sz w:val="24"/>
      <w:szCs w:val="24"/>
    </w:rPr>
  </w:style>
  <w:style w:type="paragraph" w:customStyle="1" w:styleId="164">
    <w:name w:val="xl25"/>
    <w:basedOn w:val="1"/>
    <w:qFormat/>
    <w:uiPriority w:val="0"/>
    <w:pPr>
      <w:widowControl/>
      <w:spacing w:before="100" w:beforeAutospacing="1" w:after="100" w:afterAutospacing="1"/>
      <w:jc w:val="center"/>
      <w:textAlignment w:val="center"/>
    </w:pPr>
    <w:rPr>
      <w:rFonts w:ascii="楷体_GB2312" w:hAnsi="宋体" w:eastAsia="楷体_GB2312"/>
      <w:kern w:val="0"/>
      <w:sz w:val="24"/>
      <w:szCs w:val="24"/>
    </w:rPr>
  </w:style>
  <w:style w:type="paragraph" w:customStyle="1" w:styleId="165">
    <w:name w:val="彩色列表 - 强调文字颜色 11"/>
    <w:basedOn w:val="1"/>
    <w:qFormat/>
    <w:uiPriority w:val="0"/>
    <w:pPr>
      <w:ind w:firstLine="420" w:firstLineChars="200"/>
    </w:pPr>
    <w:rPr>
      <w:rFonts w:ascii="Calibri" w:hAnsi="Calibri"/>
    </w:rPr>
  </w:style>
  <w:style w:type="paragraph" w:customStyle="1" w:styleId="166">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7">
    <w:name w:val="_Style 54"/>
    <w:basedOn w:val="1"/>
    <w:next w:val="1"/>
    <w:link w:val="179"/>
    <w:qFormat/>
    <w:uiPriority w:val="0"/>
    <w:pPr>
      <w:widowControl/>
      <w:pBdr>
        <w:top w:val="single" w:color="auto" w:sz="6" w:space="1"/>
      </w:pBdr>
      <w:jc w:val="center"/>
    </w:pPr>
    <w:rPr>
      <w:rFonts w:ascii="Arial" w:hAnsi="Arial"/>
      <w:vanish/>
      <w:kern w:val="0"/>
      <w:sz w:val="20"/>
      <w:szCs w:val="20"/>
    </w:rPr>
  </w:style>
  <w:style w:type="character" w:customStyle="1" w:styleId="168">
    <w:name w:val="纯文本 字符"/>
    <w:qFormat/>
    <w:uiPriority w:val="0"/>
    <w:rPr>
      <w:rFonts w:ascii="宋体" w:hAnsi="Courier New"/>
      <w:kern w:val="2"/>
      <w:sz w:val="24"/>
    </w:rPr>
  </w:style>
  <w:style w:type="character" w:customStyle="1" w:styleId="169">
    <w:name w:val="正文文本缩进 字符"/>
    <w:qFormat/>
    <w:uiPriority w:val="0"/>
    <w:rPr>
      <w:rFonts w:ascii="宋体" w:hAnsi="Courier New"/>
      <w:spacing w:val="-4"/>
      <w:kern w:val="2"/>
      <w:sz w:val="18"/>
    </w:rPr>
  </w:style>
  <w:style w:type="character" w:customStyle="1" w:styleId="170">
    <w:name w:val="jbox-icon-warning"/>
    <w:basedOn w:val="37"/>
    <w:qFormat/>
    <w:uiPriority w:val="0"/>
    <w:rPr>
      <w:rFonts w:cs="Times New Roman"/>
    </w:rPr>
  </w:style>
  <w:style w:type="character" w:customStyle="1" w:styleId="171">
    <w:name w:val="hover9"/>
    <w:qFormat/>
    <w:uiPriority w:val="0"/>
    <w:rPr>
      <w:shd w:val="clear" w:color="auto" w:fill="EEEEEE"/>
    </w:rPr>
  </w:style>
  <w:style w:type="character" w:customStyle="1" w:styleId="172">
    <w:name w:val="正文缩进 Char"/>
    <w:link w:val="11"/>
    <w:qFormat/>
    <w:locked/>
    <w:uiPriority w:val="0"/>
    <w:rPr>
      <w:rFonts w:ascii="Times New Roman" w:hAnsi="Times New Roman" w:eastAsia="宋体" w:cs="Times New Roman"/>
      <w:kern w:val="0"/>
      <w:sz w:val="20"/>
      <w:szCs w:val="20"/>
    </w:rPr>
  </w:style>
  <w:style w:type="character" w:customStyle="1" w:styleId="173">
    <w:name w:val="hour_pm"/>
    <w:basedOn w:val="37"/>
    <w:qFormat/>
    <w:uiPriority w:val="0"/>
    <w:rPr>
      <w:rFonts w:cs="Times New Roman"/>
    </w:rPr>
  </w:style>
  <w:style w:type="character" w:customStyle="1" w:styleId="174">
    <w:name w:val="jbox-icon-info"/>
    <w:basedOn w:val="37"/>
    <w:qFormat/>
    <w:uiPriority w:val="0"/>
    <w:rPr>
      <w:rFonts w:cs="Times New Roman"/>
    </w:rPr>
  </w:style>
  <w:style w:type="character" w:customStyle="1" w:styleId="175">
    <w:name w:val="z-窗体顶端 Char"/>
    <w:link w:val="162"/>
    <w:qFormat/>
    <w:locked/>
    <w:uiPriority w:val="0"/>
    <w:rPr>
      <w:rFonts w:ascii="Arial" w:hAnsi="Arial" w:eastAsia="宋体" w:cs="Times New Roman"/>
      <w:vanish/>
      <w:kern w:val="0"/>
      <w:sz w:val="20"/>
      <w:szCs w:val="20"/>
    </w:rPr>
  </w:style>
  <w:style w:type="character" w:customStyle="1" w:styleId="176">
    <w:name w:val="black601"/>
    <w:qFormat/>
    <w:uiPriority w:val="0"/>
    <w:rPr>
      <w:color w:val="666666"/>
    </w:rPr>
  </w:style>
  <w:style w:type="character" w:customStyle="1" w:styleId="177">
    <w:name w:val="hour_am"/>
    <w:basedOn w:val="37"/>
    <w:qFormat/>
    <w:uiPriority w:val="0"/>
    <w:rPr>
      <w:rFonts w:cs="Times New Roman"/>
    </w:rPr>
  </w:style>
  <w:style w:type="character" w:customStyle="1" w:styleId="178">
    <w:name w:val="jbox-icon-error"/>
    <w:basedOn w:val="37"/>
    <w:qFormat/>
    <w:uiPriority w:val="0"/>
    <w:rPr>
      <w:rFonts w:cs="Times New Roman"/>
    </w:rPr>
  </w:style>
  <w:style w:type="character" w:customStyle="1" w:styleId="179">
    <w:name w:val="z-窗体底端 Char"/>
    <w:link w:val="167"/>
    <w:qFormat/>
    <w:locked/>
    <w:uiPriority w:val="0"/>
    <w:rPr>
      <w:rFonts w:ascii="Arial" w:hAnsi="Arial" w:eastAsia="宋体" w:cs="Times New Roman"/>
      <w:vanish/>
      <w:kern w:val="0"/>
      <w:sz w:val="20"/>
      <w:szCs w:val="20"/>
    </w:rPr>
  </w:style>
  <w:style w:type="character" w:customStyle="1" w:styleId="180">
    <w:name w:val="jbox-icon-success"/>
    <w:basedOn w:val="37"/>
    <w:qFormat/>
    <w:uiPriority w:val="0"/>
    <w:rPr>
      <w:rFonts w:cs="Times New Roman"/>
    </w:rPr>
  </w:style>
  <w:style w:type="character" w:customStyle="1" w:styleId="181">
    <w:name w:val="maywed421"/>
    <w:qFormat/>
    <w:uiPriority w:val="0"/>
    <w:rPr>
      <w:color w:val="366FB6"/>
      <w:u w:val="none"/>
    </w:rPr>
  </w:style>
  <w:style w:type="character" w:customStyle="1" w:styleId="182">
    <w:name w:val="正文文本缩进 字符1"/>
    <w:qFormat/>
    <w:uiPriority w:val="0"/>
    <w:rPr>
      <w:rFonts w:ascii="宋体" w:hAnsi="Courier New"/>
      <w:spacing w:val="-4"/>
      <w:kern w:val="2"/>
      <w:sz w:val="18"/>
    </w:rPr>
  </w:style>
  <w:style w:type="character" w:customStyle="1" w:styleId="183">
    <w:name w:val="jbox-icon-question"/>
    <w:basedOn w:val="37"/>
    <w:qFormat/>
    <w:uiPriority w:val="0"/>
    <w:rPr>
      <w:rFonts w:cs="Times New Roman"/>
    </w:rPr>
  </w:style>
  <w:style w:type="character" w:customStyle="1" w:styleId="184">
    <w:name w:val="jbox-icon-loading"/>
    <w:basedOn w:val="37"/>
    <w:qFormat/>
    <w:uiPriority w:val="0"/>
    <w:rPr>
      <w:rFonts w:cs="Times New Roman"/>
    </w:rPr>
  </w:style>
  <w:style w:type="character" w:customStyle="1" w:styleId="185">
    <w:name w:val="标题 1 Char Char"/>
    <w:qFormat/>
    <w:uiPriority w:val="0"/>
    <w:rPr>
      <w:rFonts w:eastAsia="宋体"/>
      <w:b/>
      <w:spacing w:val="-2"/>
      <w:sz w:val="24"/>
      <w:lang w:val="en-US" w:eastAsia="zh-CN"/>
    </w:rPr>
  </w:style>
  <w:style w:type="character" w:customStyle="1" w:styleId="186">
    <w:name w:val="jbox-icon-none"/>
    <w:qFormat/>
    <w:uiPriority w:val="0"/>
    <w:rPr>
      <w:vanish/>
    </w:rPr>
  </w:style>
  <w:style w:type="character" w:customStyle="1" w:styleId="187">
    <w:name w:val="sub_title s0"/>
    <w:basedOn w:val="37"/>
    <w:qFormat/>
    <w:uiPriority w:val="0"/>
    <w:rPr>
      <w:rFonts w:cs="Times New Roman"/>
    </w:rPr>
  </w:style>
  <w:style w:type="character" w:customStyle="1" w:styleId="188">
    <w:name w:val="纯文本 字符2"/>
    <w:qFormat/>
    <w:uiPriority w:val="0"/>
    <w:rPr>
      <w:rFonts w:ascii="宋体" w:hAnsi="Courier New"/>
      <w:kern w:val="2"/>
      <w:sz w:val="24"/>
    </w:rPr>
  </w:style>
  <w:style w:type="character" w:customStyle="1" w:styleId="189">
    <w:name w:val="jbox-icon"/>
    <w:basedOn w:val="37"/>
    <w:qFormat/>
    <w:uiPriority w:val="0"/>
    <w:rPr>
      <w:rFonts w:cs="Times New Roman"/>
    </w:rPr>
  </w:style>
  <w:style w:type="character" w:customStyle="1" w:styleId="190">
    <w:name w:val="old"/>
    <w:qFormat/>
    <w:uiPriority w:val="0"/>
    <w:rPr>
      <w:color w:val="999999"/>
    </w:rPr>
  </w:style>
  <w:style w:type="paragraph" w:customStyle="1" w:styleId="191">
    <w:name w:val="样式 标题 3 + (中文) 黑体 小四 非加粗 段前: 7.8 磅 段后: 0 磅 行距: 固定值 20 磅"/>
    <w:qFormat/>
    <w:uiPriority w:val="0"/>
    <w:pPr>
      <w:keepNext/>
      <w:keepLines/>
      <w:widowControl w:val="0"/>
      <w:spacing w:before="260" w:after="260" w:line="400" w:lineRule="exact"/>
      <w:jc w:val="both"/>
      <w:outlineLvl w:val="2"/>
    </w:pPr>
    <w:rPr>
      <w:rFonts w:ascii="Times New Roman" w:hAnsi="Times New Roman" w:eastAsia="黑体" w:cs="宋体"/>
      <w:kern w:val="2"/>
      <w:sz w:val="24"/>
      <w:lang w:val="en-US" w:eastAsia="zh-CN" w:bidi="ar-SA"/>
    </w:rPr>
  </w:style>
  <w:style w:type="paragraph" w:customStyle="1" w:styleId="192">
    <w:name w:val="样式 标题 2 + Times New Roman 四号 非加粗 段前: 5 磅 段后: 0 磅 行距: 固定值 20..."/>
    <w:qFormat/>
    <w:uiPriority w:val="0"/>
    <w:pPr>
      <w:keepNext/>
      <w:keepLines/>
      <w:widowControl w:val="0"/>
      <w:spacing w:before="100" w:after="260" w:line="400" w:lineRule="exact"/>
      <w:jc w:val="both"/>
      <w:outlineLvl w:val="1"/>
    </w:pPr>
    <w:rPr>
      <w:rFonts w:ascii="Times New Roman" w:hAnsi="Times New Roman" w:eastAsia="黑体" w:cs="宋体"/>
      <w:bCs/>
      <w:kern w:val="2"/>
      <w:sz w:val="28"/>
      <w:lang w:val="en-US" w:eastAsia="zh-CN" w:bidi="ar-SA"/>
    </w:rPr>
  </w:style>
  <w:style w:type="paragraph" w:customStyle="1" w:styleId="193">
    <w:name w:val="纯文本_0"/>
    <w:basedOn w:val="1"/>
    <w:qFormat/>
    <w:uiPriority w:val="0"/>
    <w:pPr>
      <w:spacing w:line="440" w:lineRule="exact"/>
      <w:ind w:firstLine="100" w:firstLineChars="100"/>
    </w:pPr>
    <w:rPr>
      <w:rFonts w:ascii="宋体" w:hAnsi="Courier New"/>
      <w:szCs w:val="21"/>
    </w:rPr>
  </w:style>
  <w:style w:type="paragraph" w:customStyle="1" w:styleId="194">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5">
    <w:name w:val="font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96">
    <w:name w:val="font6"/>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97">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98">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9">
    <w:name w:val="xl106"/>
    <w:basedOn w:val="1"/>
    <w:qFormat/>
    <w:uiPriority w:val="0"/>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200">
    <w:name w:val="xl107"/>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201">
    <w:name w:val="xl108"/>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202">
    <w:name w:val="xl109"/>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203">
    <w:name w:val="xl110"/>
    <w:basedOn w:val="1"/>
    <w:qFormat/>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204">
    <w:name w:val="xl111"/>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205">
    <w:name w:val="xl112"/>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206">
    <w:name w:val="xl113"/>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207">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08">
    <w:name w:val="xl115"/>
    <w:basedOn w:val="1"/>
    <w:qFormat/>
    <w:uiPriority w:val="0"/>
    <w:pPr>
      <w:widowControl/>
      <w:shd w:val="clear" w:color="000000" w:fill="FFFFFF"/>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209">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10">
    <w:name w:val="xl11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11">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12">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13">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14">
    <w:name w:val="xl12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215">
    <w:name w:val="xl122"/>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16">
    <w:name w:val="xl123"/>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217">
    <w:name w:val="xl12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18">
    <w:name w:val="xl12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19">
    <w:name w:val="xl12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20">
    <w:name w:val="xl127"/>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21">
    <w:name w:val="xl12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22">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23">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224">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25">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26">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27">
    <w:name w:val="xl13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28">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29">
    <w:name w:val="xl13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0">
    <w:name w:val="xl137"/>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31">
    <w:name w:val="xl138"/>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2">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33">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4">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35">
    <w:name w:val="xl14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6">
    <w:name w:val="xl143"/>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7">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38">
    <w:name w:val="xl145"/>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39">
    <w:name w:val="xl14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40">
    <w:name w:val="xl14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41">
    <w:name w:val="xl1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42">
    <w:name w:val="xl1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43">
    <w:name w:val="xl15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244">
    <w:name w:val="xl15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45">
    <w:name w:val="xl15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FF0000"/>
      <w:kern w:val="0"/>
      <w:sz w:val="20"/>
      <w:szCs w:val="20"/>
    </w:rPr>
  </w:style>
  <w:style w:type="paragraph" w:customStyle="1" w:styleId="246">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247">
    <w:name w:val="xl15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48">
    <w:name w:val="xl155"/>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49">
    <w:name w:val="xl156"/>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50">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styleId="251">
    <w:name w:val="List Paragraph"/>
    <w:basedOn w:val="1"/>
    <w:qFormat/>
    <w:uiPriority w:val="34"/>
    <w:pPr>
      <w:widowControl/>
      <w:ind w:firstLine="420" w:firstLineChars="200"/>
      <w:jc w:val="left"/>
    </w:pPr>
    <w:rPr>
      <w:rFonts w:ascii="宋体" w:hAnsi="宋体" w:cs="宋体" w:eastAsiaTheme="minorEastAsia"/>
      <w:kern w:val="0"/>
      <w:sz w:val="24"/>
      <w:szCs w:val="24"/>
    </w:rPr>
  </w:style>
  <w:style w:type="paragraph" w:customStyle="1" w:styleId="252">
    <w:name w:val="项目1"/>
    <w:basedOn w:val="1"/>
    <w:qFormat/>
    <w:uiPriority w:val="0"/>
    <w:pPr>
      <w:widowControl/>
      <w:tabs>
        <w:tab w:val="left" w:pos="720"/>
      </w:tabs>
      <w:autoSpaceDE w:val="0"/>
      <w:autoSpaceDN w:val="0"/>
      <w:adjustRightInd w:val="0"/>
      <w:spacing w:before="120" w:after="120" w:line="300" w:lineRule="auto"/>
      <w:ind w:left="720" w:hanging="720"/>
      <w:jc w:val="left"/>
      <w:textAlignment w:val="bottom"/>
    </w:pPr>
    <w:rPr>
      <w:rFonts w:eastAsia="楷体_GB2312"/>
      <w:kern w:val="0"/>
      <w:sz w:val="24"/>
      <w:szCs w:val="24"/>
    </w:rPr>
  </w:style>
  <w:style w:type="character" w:customStyle="1" w:styleId="253">
    <w:name w:val="Other|1_"/>
    <w:basedOn w:val="37"/>
    <w:link w:val="254"/>
    <w:qFormat/>
    <w:uiPriority w:val="0"/>
    <w:rPr>
      <w:rFonts w:ascii="宋体" w:hAnsi="宋体" w:eastAsia="宋体" w:cs="宋体"/>
      <w:lang w:val="zh-TW" w:eastAsia="zh-TW" w:bidi="zh-TW"/>
    </w:rPr>
  </w:style>
  <w:style w:type="paragraph" w:customStyle="1" w:styleId="254">
    <w:name w:val="Other|1"/>
    <w:basedOn w:val="1"/>
    <w:link w:val="253"/>
    <w:qFormat/>
    <w:uiPriority w:val="0"/>
    <w:pPr>
      <w:jc w:val="left"/>
    </w:pPr>
    <w:rPr>
      <w:rFonts w:ascii="宋体" w:hAnsi="宋体" w:cs="宋体"/>
      <w:kern w:val="0"/>
      <w:sz w:val="20"/>
      <w:szCs w:val="2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4020</Words>
  <Characters>22919</Characters>
  <Lines>190</Lines>
  <Paragraphs>53</Paragraphs>
  <TotalTime>455</TotalTime>
  <ScaleCrop>false</ScaleCrop>
  <LinksUpToDate>false</LinksUpToDate>
  <CharactersWithSpaces>26886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2021-08-12T16:19:00Z</dcterms:created>
  <dc:creator>ape</dc:creator>
  <cp:lastModifiedBy>hp</cp:lastModifiedBy>
  <dcterms:modified xsi:type="dcterms:W3CDTF">2021-10-22T07:03:55Z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4315DEE65E5A4A3299103827D9472B14</vt:lpwstr>
  </property>
</Properties>
</file>