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2022年拱墅区信息化综合运维与服务项目</w:t>
      </w:r>
    </w:p>
    <w:p>
      <w:pPr>
        <w:pStyle w:val="2"/>
        <w:rPr>
          <w:rFonts w:hint="eastAsia"/>
          <w:color w:val="auto"/>
          <w:highlight w:val="none"/>
        </w:rPr>
      </w:pP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招标文件</w:t>
      </w:r>
      <w:r>
        <w:rPr>
          <w:rFonts w:hint="eastAsia" w:ascii="宋体" w:hAnsi="宋体" w:eastAsia="宋体" w:cs="宋体"/>
          <w:color w:val="auto"/>
          <w:sz w:val="48"/>
          <w:szCs w:val="48"/>
          <w:highlight w:val="none"/>
          <w:lang w:val="en-US" w:eastAsia="zh-CN"/>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项目编号:（ZJZT-2022-12740）</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pStyle w:val="2"/>
        <w:rPr>
          <w:rFonts w:hint="eastAsia"/>
          <w:color w:val="auto"/>
          <w:highlight w:val="none"/>
        </w:rPr>
      </w:pPr>
    </w:p>
    <w:tbl>
      <w:tblPr>
        <w:tblStyle w:val="63"/>
        <w:tblW w:w="0" w:type="auto"/>
        <w:jc w:val="center"/>
        <w:tblLayout w:type="fixed"/>
        <w:tblCellMar>
          <w:top w:w="0" w:type="dxa"/>
          <w:left w:w="108" w:type="dxa"/>
          <w:bottom w:w="0" w:type="dxa"/>
          <w:right w:w="108" w:type="dxa"/>
        </w:tblCellMar>
      </w:tblPr>
      <w:tblGrid>
        <w:gridCol w:w="2323"/>
        <w:gridCol w:w="5490"/>
      </w:tblGrid>
      <w:tr>
        <w:trPr>
          <w:jc w:val="center"/>
        </w:trPr>
        <w:tc>
          <w:tcPr>
            <w:tcW w:w="2323" w:type="dxa"/>
            <w:noWrap w:val="0"/>
            <w:vAlign w:val="center"/>
          </w:tcPr>
          <w:p>
            <w:pPr>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lang w:val="zh-CN"/>
              </w:rPr>
              <w:t>采</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购</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人：</w:t>
            </w:r>
          </w:p>
        </w:tc>
        <w:tc>
          <w:tcPr>
            <w:tcW w:w="5490"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lang w:val="zh-CN"/>
              </w:rPr>
              <w:t>杭州市拱墅区数据资源管理局</w:t>
            </w:r>
          </w:p>
        </w:tc>
      </w:tr>
      <w:tr>
        <w:tblPrEx>
          <w:tblCellMar>
            <w:top w:w="0" w:type="dxa"/>
            <w:left w:w="108" w:type="dxa"/>
            <w:bottom w:w="0" w:type="dxa"/>
            <w:right w:w="108" w:type="dxa"/>
          </w:tblCellMar>
        </w:tblPrEx>
        <w:trPr>
          <w:jc w:val="center"/>
        </w:trPr>
        <w:tc>
          <w:tcPr>
            <w:tcW w:w="2323" w:type="dxa"/>
            <w:noWrap w:val="0"/>
            <w:vAlign w:val="center"/>
          </w:tcPr>
          <w:p>
            <w:pPr>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lang w:val="zh-CN"/>
              </w:rPr>
              <w:t>采购代理机构：</w:t>
            </w:r>
          </w:p>
        </w:tc>
        <w:tc>
          <w:tcPr>
            <w:tcW w:w="5490"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lang w:val="zh-CN"/>
              </w:rPr>
              <w:t>浙江中通通信有限公司</w:t>
            </w:r>
          </w:p>
        </w:tc>
      </w:tr>
      <w:tr>
        <w:tblPrEx>
          <w:tblCellMar>
            <w:top w:w="0" w:type="dxa"/>
            <w:left w:w="108" w:type="dxa"/>
            <w:bottom w:w="0" w:type="dxa"/>
            <w:right w:w="108" w:type="dxa"/>
          </w:tblCellMar>
        </w:tblPrEx>
        <w:trPr>
          <w:jc w:val="center"/>
        </w:trPr>
        <w:tc>
          <w:tcPr>
            <w:tcW w:w="2323" w:type="dxa"/>
            <w:noWrap w:val="0"/>
            <w:vAlign w:val="center"/>
          </w:tcPr>
          <w:p>
            <w:pPr>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lang w:val="zh-CN"/>
              </w:rPr>
              <w:t>日</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期：</w:t>
            </w:r>
          </w:p>
        </w:tc>
        <w:tc>
          <w:tcPr>
            <w:tcW w:w="5490"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rPr>
              <w:t>2022年9月</w:t>
            </w:r>
          </w:p>
        </w:tc>
      </w:tr>
    </w:tbl>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2022年拱墅区信息化综合运维与服务项目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ZJZT-2022-12740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rPr>
        <w:t>2022年拱墅区信息化综合运维与服务项目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9408000.00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9408000.00  </w:t>
      </w:r>
    </w:p>
    <w:p>
      <w:pPr>
        <w:pStyle w:val="7"/>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u w:val="none"/>
        </w:rPr>
        <w:t>2022年拱墅区信息化综合运维与服务项目</w:t>
      </w:r>
      <w:r>
        <w:rPr>
          <w:rFonts w:hint="eastAsia" w:ascii="宋体" w:hAnsi="宋体" w:eastAsia="宋体" w:cs="宋体"/>
          <w:b w:val="0"/>
          <w:bCs/>
          <w:snapToGrid/>
          <w:color w:val="auto"/>
          <w:kern w:val="2"/>
          <w:sz w:val="24"/>
          <w:szCs w:val="24"/>
          <w:highlight w:val="none"/>
          <w:u w:val="none"/>
        </w:rPr>
        <w:t>主</w:t>
      </w:r>
      <w:r>
        <w:rPr>
          <w:rFonts w:hint="eastAsia" w:ascii="宋体" w:hAnsi="宋体" w:eastAsia="宋体" w:cs="宋体"/>
          <w:bCs/>
          <w:snapToGrid/>
          <w:color w:val="auto"/>
          <w:kern w:val="2"/>
          <w:sz w:val="24"/>
          <w:szCs w:val="24"/>
          <w:highlight w:val="none"/>
        </w:rPr>
        <w:t>要内容：当前随着电子政务建设深化和“数字化改革”推进，各类信息化软硬件基础设施不断增加、业务应用系统和数据逐步积累，电子政务系统可靠性要求及其运维的专业化和技术复杂程度提升，其安全性和业务连续性要求越来越高，对运维保障的规范性和专业化能力提出了更高要求。为保障电子政务系统正常稳定运行，根据信息系统运行维护的实际需要，本年度拟采购相关服务。详见招标文件第三部分采购需求。详见招标文件第三部分采购需求。</w:t>
      </w:r>
    </w:p>
    <w:p>
      <w:pPr>
        <w:pStyle w:val="129"/>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合同履约期限：详见招标文件。</w:t>
      </w:r>
    </w:p>
    <w:p>
      <w:pPr>
        <w:pStyle w:val="7"/>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pStyle w:val="129"/>
        <w:ind w:firstLine="482"/>
        <w:outlineLvl w:val="2"/>
        <w:rPr>
          <w:rFonts w:hint="eastAsia" w:ascii="宋体" w:hAnsi="宋体" w:eastAsia="宋体" w:cs="宋体"/>
          <w:b/>
          <w:color w:val="auto"/>
          <w:highlight w:val="none"/>
          <w:lang w:eastAsia="zh-CN"/>
        </w:rPr>
      </w:pPr>
      <w:r>
        <w:rPr>
          <w:rFonts w:hint="eastAsia" w:ascii="宋体" w:hAnsi="宋体" w:cs="宋体"/>
          <w:b/>
          <w:color w:val="auto"/>
          <w:highlight w:val="none"/>
          <w:lang w:eastAsia="zh-CN"/>
        </w:rPr>
        <w:t>注：</w:t>
      </w:r>
      <w:r>
        <w:rPr>
          <w:rFonts w:hint="eastAsia" w:ascii="宋体" w:hAnsi="宋体" w:eastAsia="宋体" w:cs="宋体"/>
          <w:b/>
          <w:color w:val="auto"/>
          <w:highlight w:val="none"/>
        </w:rPr>
        <w:t>不得限制大中型企业与小微企业组成联合体参与投标</w:t>
      </w:r>
      <w:r>
        <w:rPr>
          <w:rFonts w:hint="eastAsia" w:ascii="宋体" w:hAnsi="宋体" w:cs="宋体"/>
          <w:b/>
          <w:color w:val="auto"/>
          <w:highlight w:val="none"/>
          <w:lang w:eastAsia="zh-CN"/>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https://zfcg.czt.zj.gov.cn/innerUsed_noticeDetails/index.html?noticeId=8869523&amp;utm=web-government-front.2e418808.0.0.736bad80301011ed8f316d5fc872968c</w:t>
      </w:r>
    </w:p>
    <w:p>
      <w:pPr>
        <w:pStyle w:val="2"/>
        <w:rPr>
          <w:rFonts w:hint="eastAsia"/>
        </w:rPr>
      </w:pPr>
    </w:p>
    <w:p>
      <w:pPr>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 xml:space="preserve">、公告期限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 xml:space="preserve"> 名    称：杭州市拱墅区数据资源管理局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址：杭州市拱墅区台州路1号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项目联系人（询问）：马老师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项目联系方式（询问）：0571-88252909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 施老师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 </w:t>
      </w:r>
      <w:r>
        <w:rPr>
          <w:rFonts w:hint="eastAsia" w:ascii="宋体" w:hAnsi="宋体" w:eastAsia="宋体" w:cs="宋体"/>
          <w:color w:val="auto"/>
          <w:kern w:val="0"/>
          <w:sz w:val="24"/>
          <w:szCs w:val="24"/>
          <w:highlight w:val="none"/>
        </w:rPr>
        <w:t>0571-88258952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称：浙江中通通信有限公司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址：杭州市拱墅区河东路215号D楼2楼招标商务部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项目联系人（询问）：干祥平 杨玲华 陈芝 刘克柏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项目联系方式（询问）：15068155620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质疑联系人：奚睿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质疑联系方式：18580873658</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称：杭州市拱墅区财政局（政府采购监管科）</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址：杭州市拱墅区祥符街道北城街55号人防大厦1017室</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：彭先生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监督投诉电话：0571-85463096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详见招标文件第三部分采购需求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软件和信息技术服务</w:t>
            </w:r>
            <w:r>
              <w:rPr>
                <w:rFonts w:hint="eastAsia" w:ascii="宋体" w:hAnsi="宋体" w:eastAsia="宋体" w:cs="宋体"/>
                <w:color w:val="auto"/>
                <w:kern w:val="0"/>
                <w:sz w:val="24"/>
                <w:highlight w:val="none"/>
              </w:rPr>
              <w:t>行业；</w:t>
            </w:r>
          </w:p>
          <w:p>
            <w:pPr>
              <w:pStyle w:val="5"/>
              <w:ind w:left="0" w:leftChars="0" w:firstLine="0" w:firstLineChars="0"/>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台州路1号政府大楼运维服务等</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杭州市拱墅区河东路215号D楼2楼招标商务部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干祥平 15068155620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82"/>
              <w:widowControl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 不要求。</w:t>
            </w:r>
          </w:p>
          <w:p>
            <w:pPr>
              <w:spacing w:line="360" w:lineRule="auto"/>
              <w:jc w:val="left"/>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 要求。履约保证金的数额为政府采购合同金额的</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（不超过1%）。形式：以支票、汇票、本票或者金融机构、担保机构出具的保函等非现金形式提交。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TW"/>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82"/>
              <w:widowControl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收取标准：</w:t>
            </w:r>
            <w:r>
              <w:rPr>
                <w:rFonts w:hint="eastAsia" w:ascii="宋体" w:hAnsi="宋体" w:eastAsia="宋体" w:cs="宋体"/>
                <w:bCs/>
                <w:color w:val="auto"/>
                <w:sz w:val="24"/>
                <w:szCs w:val="24"/>
                <w:highlight w:val="none"/>
              </w:rPr>
              <w:t>服务费按浙价服【2002】1980号文件收费标准的80%计取。</w:t>
            </w:r>
          </w:p>
          <w:p>
            <w:pPr>
              <w:pStyle w:val="782"/>
              <w:widowControl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收取方式：</w:t>
            </w:r>
            <w:r>
              <w:rPr>
                <w:rFonts w:hint="eastAsia" w:ascii="宋体" w:hAnsi="宋体" w:eastAsia="宋体" w:cs="宋体"/>
                <w:bCs/>
                <w:color w:val="auto"/>
                <w:sz w:val="24"/>
                <w:szCs w:val="24"/>
                <w:highlight w:val="none"/>
              </w:rPr>
              <w:t>本项目的代理费由中标人支付。在中标结果公告发出后15个工作日内由中标人一次性向采购代理机构付清。</w:t>
            </w:r>
          </w:p>
          <w:p>
            <w:pPr>
              <w:pStyle w:val="782"/>
              <w:widowControl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账户信息如下：</w:t>
            </w:r>
          </w:p>
          <w:p>
            <w:pPr>
              <w:pStyle w:val="782"/>
              <w:widowControl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户 名：浙江中通通信有限公司</w:t>
            </w:r>
          </w:p>
          <w:p>
            <w:pPr>
              <w:pStyle w:val="782"/>
              <w:widowControl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帐   号：3110830019310004947</w:t>
            </w:r>
          </w:p>
          <w:p>
            <w:pPr>
              <w:pStyle w:val="782"/>
              <w:widowControl w:val="0"/>
              <w:spacing w:line="360" w:lineRule="auto"/>
              <w:jc w:val="left"/>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bCs/>
                <w:color w:val="auto"/>
                <w:sz w:val="24"/>
                <w:szCs w:val="24"/>
                <w:highlight w:val="none"/>
              </w:rPr>
              <w:t>开户银行：中信银行杭州天水支行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lang w:val="en-US" w:eastAsia="zh-CN"/>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0" w:type="auto"/>
            <w:vAlign w:val="center"/>
          </w:tcPr>
          <w:p>
            <w:pPr>
              <w:pStyle w:val="782"/>
              <w:widowControl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（1）供应商提出质疑或投诉的，鼓励供应商在浙江政府采购网电子交易系统（政采云系统）在线提出。</w:t>
            </w:r>
          </w:p>
          <w:p>
            <w:pPr>
              <w:pStyle w:val="782"/>
              <w:widowControl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（2）供应商线下提出质疑的，除纸质文件外，请将质疑函电子版以电邮形式发送至：285915359@qq.com。</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5</w:t>
      </w:r>
      <w:r>
        <w:rPr>
          <w:rFonts w:hint="eastAsia" w:ascii="宋体" w:hAnsi="宋体" w:eastAsia="宋体" w:cs="宋体"/>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7"/>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pPr>
        <w:pStyle w:val="887"/>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8"/>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eastAsia="宋体" w:cs="宋体"/>
          <w:b/>
          <w:color w:val="auto"/>
          <w:sz w:val="32"/>
          <w:highlight w:val="none"/>
        </w:rPr>
      </w:pPr>
    </w:p>
    <w:p>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9"/>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政府采购货物和服务项目中，采购单位可根据杭州市政府采购网公布的供应商履约评价情况减免履约保证金。供应商履约验收评价总分为100分的，采购单位应当免收履约保证金。</w:t>
      </w:r>
    </w:p>
    <w:p>
      <w:pPr>
        <w:pStyle w:val="5"/>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5236011"/>
      <w:bookmarkEnd w:id="15"/>
      <w:bookmarkStart w:id="16" w:name="_Hlt74707468"/>
      <w:bookmarkEnd w:id="16"/>
      <w:bookmarkStart w:id="17" w:name="_Hlt68072990"/>
      <w:bookmarkEnd w:id="17"/>
      <w:bookmarkStart w:id="18" w:name="_Hlt68057669"/>
      <w:bookmarkEnd w:id="18"/>
      <w:bookmarkStart w:id="19" w:name="_Hlt74729768"/>
      <w:bookmarkEnd w:id="19"/>
      <w:bookmarkStart w:id="20" w:name="_Hlt68403820"/>
      <w:bookmarkEnd w:id="20"/>
      <w:bookmarkStart w:id="21" w:name="_Hlt75236290"/>
      <w:bookmarkEnd w:id="21"/>
      <w:bookmarkStart w:id="22" w:name="_Hlt68072998"/>
      <w:bookmarkEnd w:id="22"/>
      <w:bookmarkStart w:id="23" w:name="_Hlt74730295"/>
      <w:bookmarkEnd w:id="23"/>
      <w:bookmarkStart w:id="24" w:name="_Hlt68073093"/>
      <w:bookmarkEnd w:id="24"/>
      <w:bookmarkStart w:id="25" w:name="_Hlt74714665"/>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pStyle w:val="2"/>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一、采购需求</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来，拱墅区持续加大对电子政务建设的投入，加快信息技术在政务中的融合与应用。当前，在政府数字化转型的推动下，各类政府数据资源充分整合，政务数据资源目录体系和交换体系初步建成，业务协同能力稳步提升，各类基础数据库、专业数据库建设有序推进，便民类智慧服务应用初显成效。</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前随着电子政务建设深化和“数字化改革”推进，各类信息化软硬件基础设施不断增加、业务应用系统和数据逐步积累，电子政务系统可靠性要求及其运维的专业化和技术复杂程度提升，其安全性和业务连续性要求越来越高，对运维保障的规范性和专业化能力提出了更高要求。为保障电子政务系统正常稳定运行，根据信息系统运行维护的实际需要，本年度拟采购相关服务。</w:t>
      </w:r>
    </w:p>
    <w:p>
      <w:pPr>
        <w:numPr>
          <w:ilvl w:val="0"/>
          <w:numId w:val="1"/>
        </w:numPr>
        <w:snapToGrid w:val="0"/>
        <w:spacing w:line="360" w:lineRule="auto"/>
        <w:rPr>
          <w:rStyle w:val="353"/>
          <w:rFonts w:hint="eastAsia" w:ascii="宋体" w:hAnsi="宋体" w:eastAsia="宋体" w:cs="宋体"/>
          <w:bCs/>
          <w:color w:val="auto"/>
          <w:sz w:val="24"/>
          <w:szCs w:val="24"/>
          <w:highlight w:val="none"/>
        </w:rPr>
      </w:pPr>
      <w:r>
        <w:rPr>
          <w:rStyle w:val="353"/>
          <w:rFonts w:hint="eastAsia" w:ascii="宋体" w:hAnsi="宋体" w:eastAsia="宋体" w:cs="宋体"/>
          <w:bCs/>
          <w:color w:val="auto"/>
          <w:sz w:val="24"/>
          <w:szCs w:val="24"/>
          <w:highlight w:val="none"/>
        </w:rPr>
        <w:t>采购内容清单</w:t>
      </w:r>
    </w:p>
    <w:tbl>
      <w:tblPr>
        <w:tblStyle w:val="63"/>
        <w:tblW w:w="91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294"/>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b/>
                <w:color w:val="auto"/>
                <w:sz w:val="24"/>
                <w:szCs w:val="24"/>
                <w:highlight w:val="none"/>
              </w:rPr>
            </w:pPr>
            <w:bookmarkStart w:id="27" w:name="_Hlk114218355"/>
            <w:r>
              <w:rPr>
                <w:rFonts w:hint="eastAsia" w:ascii="宋体" w:hAnsi="宋体" w:eastAsia="宋体" w:cs="宋体"/>
                <w:b/>
                <w:color w:val="auto"/>
                <w:sz w:val="24"/>
                <w:szCs w:val="24"/>
                <w:highlight w:val="none"/>
              </w:rPr>
              <w:t>序号</w:t>
            </w:r>
          </w:p>
        </w:tc>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6294"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服务描述</w:t>
            </w:r>
          </w:p>
        </w:tc>
        <w:tc>
          <w:tcPr>
            <w:tcW w:w="710"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台州路1号政府大楼运维服务</w:t>
            </w:r>
          </w:p>
        </w:tc>
        <w:tc>
          <w:tcPr>
            <w:tcW w:w="6294" w:type="dxa"/>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州路1号政府大楼运维服务：3人常驻现场，针对拱墅区政府大楼（台州路1号）电子政务网络、无线网络，以及拱墅区数据资源局主机房（台州路1号）内云计算平台、服务器、网络设备等软硬件基础设施提供日常巡检、故障处置、运行监控等服务。</w:t>
            </w:r>
          </w:p>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（2）工作日夜间及节假日值守保障服务：提供工作日夜间（当日下午17时30分至次日上午9时）、周末及国家法定节假日全天的区政府机房（台州路1号）值班值守保障服务，确保上述时段至少一人在岗。</w:t>
            </w:r>
          </w:p>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（3）网络重保支持服务：重要会议或重大活动期间，委派资深网络技术人员到场，为电子政务网络、云计算平台等设备正常稳定运行提供保障，随时应急处理突然网络故障。</w:t>
            </w:r>
          </w:p>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服务期：2022年10月28日-2023年10月27日。</w:t>
            </w:r>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设备维保服务</w:t>
            </w:r>
          </w:p>
        </w:tc>
        <w:tc>
          <w:tcPr>
            <w:tcW w:w="6294" w:type="dxa"/>
            <w:noWrap w:val="0"/>
            <w:vAlign w:val="center"/>
          </w:tcPr>
          <w:p>
            <w:pPr>
              <w:snapToGrid w:val="0"/>
              <w:rPr>
                <w:rFonts w:hint="eastAsia" w:ascii="宋体" w:hAnsi="宋体" w:eastAsia="宋体" w:cs="宋体"/>
                <w:color w:val="auto"/>
                <w:sz w:val="24"/>
                <w:szCs w:val="24"/>
                <w:highlight w:val="none"/>
              </w:rPr>
            </w:pPr>
            <w:bookmarkStart w:id="28" w:name="_Hlk114645744"/>
            <w:r>
              <w:rPr>
                <w:rFonts w:hint="eastAsia" w:ascii="宋体" w:hAnsi="宋体" w:eastAsia="宋体" w:cs="宋体"/>
                <w:color w:val="auto"/>
                <w:sz w:val="24"/>
                <w:szCs w:val="24"/>
                <w:highlight w:val="none"/>
              </w:rPr>
              <w:t>针对三个网络信息机房（台州路机房、人防大厦机房、原区行政服务中心机房）内过保的网络、安全、存储系统等设备提供维保服务，服务期：2022年10月28日-2023年10月27日。</w:t>
            </w:r>
            <w:bookmarkEnd w:id="28"/>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8" w:type="dxa"/>
            <w:noWrap w:val="0"/>
            <w:vAlign w:val="center"/>
          </w:tcPr>
          <w:p>
            <w:pPr>
              <w:snapToGrid w:val="0"/>
              <w:jc w:val="center"/>
              <w:rPr>
                <w:rFonts w:hint="eastAsia" w:ascii="宋体" w:hAnsi="宋体" w:eastAsia="宋体" w:cs="宋体"/>
                <w:color w:val="auto"/>
                <w:sz w:val="24"/>
                <w:szCs w:val="24"/>
                <w:highlight w:val="none"/>
              </w:rPr>
            </w:pPr>
            <w:bookmarkStart w:id="29" w:name="_Hlk114645771"/>
            <w:r>
              <w:rPr>
                <w:rFonts w:hint="eastAsia" w:ascii="宋体" w:hAnsi="宋体" w:eastAsia="宋体" w:cs="宋体"/>
                <w:color w:val="auto"/>
                <w:sz w:val="24"/>
                <w:szCs w:val="24"/>
                <w:highlight w:val="none"/>
              </w:rPr>
              <w:t>LED大屏幕保修</w:t>
            </w:r>
            <w:bookmarkEnd w:id="29"/>
          </w:p>
        </w:tc>
        <w:tc>
          <w:tcPr>
            <w:tcW w:w="6294" w:type="dxa"/>
            <w:noWrap w:val="0"/>
            <w:vAlign w:val="center"/>
          </w:tcPr>
          <w:p>
            <w:pPr>
              <w:snapToGrid w:val="0"/>
              <w:rPr>
                <w:rFonts w:hint="eastAsia" w:ascii="宋体" w:hAnsi="宋体" w:eastAsia="宋体" w:cs="宋体"/>
                <w:color w:val="auto"/>
                <w:sz w:val="24"/>
                <w:szCs w:val="24"/>
                <w:highlight w:val="none"/>
              </w:rPr>
            </w:pPr>
            <w:bookmarkStart w:id="30" w:name="_Hlk114645779"/>
            <w:r>
              <w:rPr>
                <w:rFonts w:hint="eastAsia" w:ascii="宋体" w:hAnsi="宋体" w:eastAsia="宋体" w:cs="宋体"/>
                <w:color w:val="auto"/>
                <w:sz w:val="24"/>
                <w:szCs w:val="24"/>
                <w:highlight w:val="none"/>
              </w:rPr>
              <w:t>LED大屏幕保修,保修期：2022年1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bookmarkEnd w:id="30"/>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数字化转型及信息化项目工作辅助管理服务</w:t>
            </w:r>
          </w:p>
        </w:tc>
        <w:tc>
          <w:tcPr>
            <w:tcW w:w="6294" w:type="dxa"/>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人常驻现场，提供数字化转型及信息化项目工作辅助管理服务，包括但不限于：政府数字化转型工作辅助管理服务（数字赋能考核、政务服务网、疫情防控等）；信息化项目工作辅助综合管理服务（项目文档整理、辅助评审验收、协调对接等）；用户交办的其他工作。服务范围、服务内容及人员岗位以用户安排为准，服务期：2022年10月28日-2023年10月27日。</w:t>
            </w:r>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智慧电子政务综合运维服务</w:t>
            </w:r>
          </w:p>
        </w:tc>
        <w:tc>
          <w:tcPr>
            <w:tcW w:w="6294" w:type="dxa"/>
            <w:noWrap w:val="0"/>
            <w:vAlign w:val="center"/>
          </w:tcPr>
          <w:p>
            <w:pPr>
              <w:snapToGrid w:val="0"/>
              <w:rPr>
                <w:rFonts w:hint="eastAsia" w:ascii="宋体" w:hAnsi="宋体" w:eastAsia="宋体" w:cs="宋体"/>
                <w:color w:val="auto"/>
                <w:sz w:val="24"/>
                <w:szCs w:val="24"/>
                <w:highlight w:val="none"/>
              </w:rPr>
            </w:pPr>
            <w:bookmarkStart w:id="31" w:name="_Hlk114645814"/>
            <w:r>
              <w:rPr>
                <w:rFonts w:hint="eastAsia" w:ascii="宋体" w:hAnsi="宋体" w:eastAsia="宋体" w:cs="宋体"/>
                <w:color w:val="auto"/>
                <w:sz w:val="24"/>
                <w:szCs w:val="24"/>
                <w:highlight w:val="none"/>
              </w:rPr>
              <w:t>9人常驻现场，提供智慧电子政务应用综合运维服务，包括但不限于：区数字驾驶舱运维服务与保障；人工辅助式智能控制平台数据整理服务；1Call系统大综合客服，1Call办事客服；用户交办的其他工作。服务期：2022年10月28日-2023年10月27日。</w:t>
            </w:r>
            <w:bookmarkEnd w:id="31"/>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项目需求管理服务</w:t>
            </w:r>
          </w:p>
        </w:tc>
        <w:tc>
          <w:tcPr>
            <w:tcW w:w="6294" w:type="dxa"/>
            <w:noWrap w:val="0"/>
            <w:vAlign w:val="center"/>
          </w:tcPr>
          <w:p>
            <w:pPr>
              <w:snapToGrid w:val="0"/>
              <w:rPr>
                <w:rFonts w:hint="eastAsia" w:ascii="宋体" w:hAnsi="宋体" w:eastAsia="宋体" w:cs="宋体"/>
                <w:color w:val="auto"/>
                <w:sz w:val="24"/>
                <w:szCs w:val="24"/>
                <w:highlight w:val="none"/>
              </w:rPr>
            </w:pPr>
            <w:bookmarkStart w:id="32" w:name="_Hlk114645832"/>
            <w:r>
              <w:rPr>
                <w:rFonts w:hint="eastAsia" w:ascii="宋体" w:hAnsi="宋体" w:eastAsia="宋体" w:cs="宋体"/>
                <w:color w:val="auto"/>
                <w:sz w:val="24"/>
                <w:szCs w:val="24"/>
                <w:highlight w:val="none"/>
              </w:rPr>
              <w:t>结合运维服务等相关工作特点，针对内外部服务请求、事务交办等需求信息实现云网格模式采集、汇总和管理。</w:t>
            </w:r>
            <w:bookmarkEnd w:id="32"/>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数据工作驻场服务</w:t>
            </w:r>
          </w:p>
        </w:tc>
        <w:tc>
          <w:tcPr>
            <w:tcW w:w="6294" w:type="dxa"/>
            <w:noWrap w:val="0"/>
            <w:vAlign w:val="center"/>
          </w:tcPr>
          <w:p>
            <w:pPr>
              <w:snapToGrid w:val="0"/>
              <w:rPr>
                <w:rFonts w:hint="eastAsia" w:ascii="宋体" w:hAnsi="宋体" w:eastAsia="宋体" w:cs="宋体"/>
                <w:color w:val="auto"/>
                <w:sz w:val="24"/>
                <w:szCs w:val="24"/>
                <w:highlight w:val="none"/>
              </w:rPr>
            </w:pPr>
            <w:bookmarkStart w:id="33" w:name="_Hlk114645848"/>
            <w:r>
              <w:rPr>
                <w:rFonts w:hint="eastAsia" w:ascii="宋体" w:hAnsi="宋体" w:eastAsia="宋体" w:cs="宋体"/>
                <w:color w:val="auto"/>
                <w:sz w:val="24"/>
                <w:szCs w:val="24"/>
                <w:highlight w:val="none"/>
              </w:rPr>
              <w:t>9人数据运维驻场服务，负责我区一体化智能化公共数据平台以及区三级数据仓日常数据运维，做好全区数据服务、数据归集、数据对接等保障工作。服务期：2022年10月28日-2023年10月27日。</w:t>
            </w:r>
            <w:bookmarkEnd w:id="33"/>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18" w:type="dxa"/>
            <w:noWrap w:val="0"/>
            <w:vAlign w:val="center"/>
          </w:tcPr>
          <w:p>
            <w:pPr>
              <w:snapToGrid w:val="0"/>
              <w:jc w:val="center"/>
              <w:rPr>
                <w:rFonts w:hint="eastAsia" w:ascii="宋体" w:hAnsi="宋体" w:eastAsia="宋体" w:cs="宋体"/>
                <w:color w:val="auto"/>
                <w:sz w:val="24"/>
                <w:szCs w:val="24"/>
                <w:highlight w:val="none"/>
              </w:rPr>
            </w:pPr>
            <w:bookmarkStart w:id="34" w:name="_Hlk114645866"/>
            <w:r>
              <w:rPr>
                <w:rFonts w:hint="eastAsia" w:ascii="宋体" w:hAnsi="宋体" w:eastAsia="宋体" w:cs="宋体"/>
                <w:color w:val="auto"/>
                <w:sz w:val="24"/>
                <w:szCs w:val="24"/>
                <w:highlight w:val="none"/>
              </w:rPr>
              <w:t>疫情防控值班保障服务</w:t>
            </w:r>
            <w:bookmarkEnd w:id="34"/>
          </w:p>
        </w:tc>
        <w:tc>
          <w:tcPr>
            <w:tcW w:w="6294" w:type="dxa"/>
            <w:noWrap w:val="0"/>
            <w:vAlign w:val="center"/>
          </w:tcPr>
          <w:p>
            <w:pPr>
              <w:snapToGrid w:val="0"/>
              <w:rPr>
                <w:rFonts w:hint="eastAsia" w:ascii="宋体" w:hAnsi="宋体" w:eastAsia="宋体" w:cs="宋体"/>
                <w:color w:val="auto"/>
                <w:sz w:val="24"/>
                <w:szCs w:val="24"/>
                <w:highlight w:val="none"/>
              </w:rPr>
            </w:pPr>
            <w:bookmarkStart w:id="35" w:name="_Hlk114645873"/>
            <w:r>
              <w:rPr>
                <w:rFonts w:hint="eastAsia" w:ascii="宋体" w:hAnsi="宋体" w:eastAsia="宋体" w:cs="宋体"/>
                <w:color w:val="auto"/>
                <w:sz w:val="24"/>
                <w:szCs w:val="24"/>
                <w:highlight w:val="none"/>
              </w:rPr>
              <w:t>根据杭防组办《关于进一步完善杭州市疫情防控区域协查运行工作方案的通知》以及《拱墅区疫情防控“平战一体”指挥体系实施方案》，非工作时段按需组织人员提供疫情防控值班保障服务，完成疫情数据信息补全、数据清洗分发、数据分析统计、疫情防控系统技术支撑及指标督办等工作，确保省疫情防控系统数据及时处置。服务期：2022年10月28日至2023年10月27日。</w:t>
            </w:r>
            <w:bookmarkEnd w:id="35"/>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18" w:type="dxa"/>
            <w:noWrap w:val="0"/>
            <w:vAlign w:val="center"/>
          </w:tcPr>
          <w:p>
            <w:pPr>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门户网站安全监测服务</w:t>
            </w:r>
          </w:p>
        </w:tc>
        <w:tc>
          <w:tcPr>
            <w:tcW w:w="6294" w:type="dxa"/>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（1）门户网站综合安全防护监测服务：</w:t>
            </w:r>
            <w:r>
              <w:rPr>
                <w:rFonts w:hint="eastAsia" w:ascii="宋体" w:hAnsi="宋体" w:eastAsia="宋体" w:cs="宋体"/>
                <w:color w:val="auto"/>
                <w:sz w:val="24"/>
                <w:szCs w:val="24"/>
                <w:highlight w:val="none"/>
              </w:rPr>
              <w:t>1）搜索引擎服务：针对网站仿冒风险，购买官方网站认证。2）云加速和云防护体系：利用基于云构架的云防护系统，降低原服务器负载、拦截黑客攻击、隐藏原服务器IP，保障网站安全运行。3）按照国务院办公厅《加强门户网站域名管理的通知》（国办函〔2018〕55号）的要求，针对“杭州·拱墅”门户网站（域名:***.gongshu.gov.cn）整站域名及内容进行安全防护，针对偏远地区访问者加速服务。4）24小时网站监测服务：24小时值守和错别字检测服务。</w:t>
            </w:r>
          </w:p>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（2）门户网站内容监测服务：</w:t>
            </w:r>
            <w:r>
              <w:rPr>
                <w:rFonts w:hint="eastAsia" w:ascii="宋体" w:hAnsi="宋体" w:eastAsia="宋体" w:cs="宋体"/>
                <w:color w:val="auto"/>
                <w:sz w:val="24"/>
                <w:szCs w:val="24"/>
                <w:highlight w:val="none"/>
              </w:rPr>
              <w:t>1）按照《国务院办公厅关于开展第一次全国政府网站普查的通知》（国办发〔2015〕15号）的要求，每月对政府门户网站人工指标和技术问题进行检测，并及时整改。2）按照《国务院办公厅秘书局关于印发政府网站与政务新媒体检查指标、监管工作年度考核指标的通知》（2019年4月1日）要求，每月对政府门户网站、信息公开等相关考核指标进行第三方检测。如遇国办检查、省抽查等特殊时期，增加检测频次为每周一次。</w:t>
            </w:r>
          </w:p>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服务期：2022年1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日-2023年1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日。</w:t>
            </w:r>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区短信平台短信</w:t>
            </w:r>
          </w:p>
        </w:tc>
        <w:tc>
          <w:tcPr>
            <w:tcW w:w="6294" w:type="dxa"/>
            <w:noWrap w:val="0"/>
            <w:vAlign w:val="center"/>
          </w:tcPr>
          <w:p>
            <w:pPr>
              <w:snapToGrid w:val="0"/>
              <w:rPr>
                <w:rFonts w:hint="eastAsia" w:ascii="宋体" w:hAnsi="宋体" w:eastAsia="宋体" w:cs="宋体"/>
                <w:color w:val="auto"/>
                <w:sz w:val="24"/>
                <w:szCs w:val="24"/>
                <w:highlight w:val="none"/>
              </w:rPr>
            </w:pPr>
            <w:bookmarkStart w:id="36" w:name="_Hlk114647711"/>
            <w:r>
              <w:rPr>
                <w:rFonts w:hint="eastAsia" w:ascii="宋体" w:hAnsi="宋体" w:eastAsia="宋体" w:cs="宋体"/>
                <w:color w:val="auto"/>
                <w:sz w:val="24"/>
                <w:szCs w:val="24"/>
                <w:highlight w:val="none"/>
                <w:lang w:bidi="ar"/>
              </w:rPr>
              <w:t>采购区短信平台短信服务，联通200万条、应急短信400万条、移动560万条。</w:t>
            </w:r>
            <w:bookmarkEnd w:id="36"/>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视频和语音服务</w:t>
            </w:r>
          </w:p>
        </w:tc>
        <w:tc>
          <w:tcPr>
            <w:tcW w:w="6294" w:type="dxa"/>
            <w:noWrap w:val="0"/>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1Call等网易云视频服务，系统、应用场景对接实时语音消息服务，200000条/年。</w:t>
            </w:r>
          </w:p>
        </w:tc>
        <w:tc>
          <w:tcPr>
            <w:tcW w:w="710"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r>
      <w:bookmarkEnd w:id="27"/>
    </w:tbl>
    <w:p>
      <w:pPr>
        <w:pStyle w:val="2"/>
        <w:ind w:firstLine="0"/>
        <w:rPr>
          <w:rFonts w:hint="eastAsia" w:ascii="宋体" w:hAnsi="宋体" w:eastAsia="宋体" w:cs="宋体"/>
          <w:color w:val="auto"/>
          <w:sz w:val="24"/>
          <w:szCs w:val="24"/>
          <w:highlight w:val="none"/>
        </w:rPr>
      </w:pPr>
    </w:p>
    <w:p>
      <w:pPr>
        <w:snapToGrid w:val="0"/>
        <w:spacing w:line="360" w:lineRule="auto"/>
        <w:rPr>
          <w:rStyle w:val="353"/>
          <w:rFonts w:hint="eastAsia" w:ascii="宋体" w:hAnsi="宋体" w:eastAsia="宋体" w:cs="宋体"/>
          <w:bCs/>
          <w:color w:val="auto"/>
          <w:sz w:val="24"/>
          <w:szCs w:val="24"/>
          <w:highlight w:val="none"/>
        </w:rPr>
      </w:pPr>
      <w:r>
        <w:rPr>
          <w:rStyle w:val="353"/>
          <w:rFonts w:hint="eastAsia" w:ascii="宋体" w:hAnsi="宋体" w:eastAsia="宋体" w:cs="宋体"/>
          <w:bCs/>
          <w:color w:val="auto"/>
          <w:sz w:val="24"/>
          <w:szCs w:val="24"/>
          <w:highlight w:val="none"/>
        </w:rPr>
        <w:t>（二）技术规范要求</w:t>
      </w:r>
    </w:p>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1、台州路1号政府大楼运维服务</w:t>
      </w:r>
    </w:p>
    <w:tbl>
      <w:tblPr>
        <w:tblStyle w:val="63"/>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344"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服务目标</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提供人员驻场技术支持，保障拱墅区政府大楼信息网络、云计算平台、机房设施等软硬件基础设施全天候整体安全稳定运行。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服务范围</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路1号政府大楼运维服务：针对拱墅区政府大楼（台州路1号）电子政务网络、无线网络，以及拱墅区数据资源局主机房（台州路1号）内云计算平台、服务器、网络设备等软硬件基础设施提供日常巡检、故障处置、运行监控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工作日夜间及节假日值守保障服务：提供工作日夜间（当日下午17时30分至次日上午9时）、周末及国家法定节假日全天的区政府机房（台州路1号）值班值守保障服务。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网络重保支持服务：重要会议或重大活动期间，委派资深网络技术人员到场，为电子政务网络、云计算平台正常稳定运行提供保障，随时应急处理突然网络故障。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服务人员</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★台州路1号政府大楼运维服务：3人常驻现场，运维团队人员应具备网络、虚拟化平台等操作维护能力。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工作日夜间及节假日值守保障服务：人员复用台州路1号政府大楼运维服务驻场人员，确保在值守时段至少一人在岗。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网络重保支持服务：投标人应组建重保服务团队，团队应具备全面的保障能力，在两会、亚运会等重要活动前和活动期间按需委派网络技术人员到现场进行保障。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台州路1号政府大楼运维服务提供以下服务内容：</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资产管理：信息网络和机房设备资产管理，统计记录资产信息；</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日常巡检：信息网络、机房设施、动力环境设施、系统平台日常巡检；</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故障维护：信息网络和机房设备日常故障维护处理；</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运行监控：监控信息网络、系统平台运行情况，及时发现和排除问题。</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应急演练：制定信息网络、虚拟化平台应急响应预案，每年举行不少于一次应急演练。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工作日夜间及节假日值守保障服务内容：</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关键设备巡检：线上登录查看核心交换机、虚拟化与超融合平台、存储系统、动环系统等关键设备运行情况。</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关键设备、应用运行监控：实时监控信息网络、虚拟化平台、动力环境、门户网站应用等设施健康状况。</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应急响应：网络、系统平台等设施发生故障时应急协调和处置。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网络重保支持服务内容：重要会议或重大活动期间，委派资深网络技术人员到场，为电子政务网络、云计算平台等设备正常稳定运行提供保障，随时应急处理突然网络故障。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服务文档</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《机房/设备巡检记录》、《事件记录》、《应急演练记录》、《运维服务月报》、《重保总结报告》、《运维服务年度总结报告》。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服务时间</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台州路1号政府大楼运维服务：工作日5*8小时。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工作日夜间及节假日值守保障服务：工作日夜间（当日下午17时30分至次日上午9时）、周末及国家法定节假日全天。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网络重保支持服务：重要活动前和活动期间。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原厂支持</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重要性和影响范围，对于台州路机房核心交换机和超融合云平台两项核心关键基础设施，为保障故障快速恢复，应与原厂建立快速协同运维机制，日常运维操作取得原厂迪普、深信服技术支持和授权，提供原厂技术支持授权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2、设备维保服务</w:t>
      </w:r>
    </w:p>
    <w:tbl>
      <w:tblPr>
        <w:tblStyle w:val="63"/>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344"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服务目标</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针对三个网络信息机房（台州路机房、人防大厦机房、原区行政服务中心机房）内过保的网络、安全、存储系统等设备提供维保服务，在设备发生故障后及时予以修复。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维保设备清单</w:t>
            </w:r>
          </w:p>
        </w:tc>
        <w:tc>
          <w:tcPr>
            <w:tcW w:w="7344" w:type="dxa"/>
            <w:noWrap w:val="0"/>
            <w:vAlign w:val="center"/>
          </w:tcPr>
          <w:p>
            <w:pPr>
              <w:snapToGrid w:val="0"/>
              <w:spacing w:line="30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台州路机房设备清单：</w:t>
            </w:r>
          </w:p>
          <w:p>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迪普核心交换机 DPX8000-A12 2台</w:t>
            </w:r>
          </w:p>
          <w:p>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天融信网络卫士防火墙NGFW4000-UF TG-61040（猎豹）1台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绿盟web应用漏洞扫描系统 NSFOCUS WVSS—X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安恒Web应用防护系统 明御WAF-500AG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柏科SAN集中存储系统 Rorke RD-6810F</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思福迪堡垒主机系统</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LogBase-B2600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安恒日志审计系统 明御DAS-LOG-500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绿盟主机漏洞扫描系统 RSAS NX3-S</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柏科存储网关 Rorke VRD7100 2套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环境监控系统 深圳BTR</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艾默生精密空调</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PEX P1030F</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正元智慧机房门禁系统 1套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绿盟入侵防御系统 NIPSNX3-N3000A-C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信锐AC无线控制器 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spacing w:line="30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区人防大厦维保设备清单：</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24口接入层交换机 华为S5700S-28P-LI-AC 8台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48口接入层交换机 华为S5700S-52P-LI-AC 12台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SAN交换机 华为S5700-24TP-SI-AC 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 华为0235G420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UPS主机 科士达30KVA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UPS主机 科士达60KVA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综合平台（矩阵、编码器、监视器、软件等） ENMAES3000 1套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 华为LE0KS9303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8口接入层交换机 华为S2700-9TP-SI-AC 3台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24口接入层交换机 华为S5700S-28P-LI-AC</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13台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存储转发服务器(含监控软件) ENMAEK3232N 3套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室内彩色一体化快球摄像机、彩色半球 LGLNP2810 159台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定时播放系统主机、功放、连接面板、控制面板 LAX 1套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4500流明投影机、中控主机、矩阵、功放、音响、调音台 丽讯D4500、YAMAHALAXMG166C 1套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各楼层井道内机柜交换机、通风设备 华为 10套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48口接入层交换机 华为S5700S-52P-LI-AC 8台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24口接入层交换机 华为S5700S-28P-LI-AC 8台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 华为LE0KS9303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UPS主机 科士达6KVA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UPS主机 科士达50KVA 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路由器 华为AR0M0024 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高清投影机、功放、调音台、矩阵、主音箱高清投影机+电动投影幕 丽讯LAXTS8、YAMAHAMG166C 5套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机房环境监控 启控 1套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无线设备 信锐 159套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 Quidway S9306 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机房专用空调 大金RSQ350BAY</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24口接入层交换机 华为S5700S-28P-LI-AC 12台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48口接入层交换机 华为S5700S-52P-LI-AC 16台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24口接入层交换机 华为S5700S-28P-LI-AC 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48口接入层交换机 华为S5700S-52P-LI-AC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spacing w:line="30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区行政服务中心维保设备清单：</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UPS应急电源</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先控CMS-150</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党政网核心交换机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华为S7703</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叫号系统核心交换机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华为S7703</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终端交换机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华为S5720-28P</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3台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叫号服务器</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戴尔R730</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监控终端交换机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华为S5720-28P</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17台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叫号终端交换机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华为S5720-28P</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24台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党政网终端交换机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华为S5720-28P</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13台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UPS应急电源</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先控</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党政网终端交换机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华为S5720-28P</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52台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UPS应急电源</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先控</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监控显示屏</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海康DS-D2046NX-Z（12屏）</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监控核心交换机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华为S7703</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UPS应急电源</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先控CMS-150</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定时播放器</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SONBS SA-3000A</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时续电源</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SONBS SD-10A</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播放器</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SONBS SA-1027</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功放</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SONBS SA-360U</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硬盘存储设备</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DS-A80624S</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监控服务器</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海康威视</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视频解码器</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DS-6916UD</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网络硬盘录像机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DS-8632N-I8</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球型摄像机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海康威视DS-2DE4220IW</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3个</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网络室外枪机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海康威视DS-2CD2T2HD</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27个</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半球摄像头</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海康威视DS-2CD2325FD</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233个</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一号楼一卡通软件、门禁管理系统，道闸管理系统、电源设备 11套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二号楼一卡通软件、门禁管理系统，道闸管理系统、电源设备 2套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三号楼一卡通软件、门禁管理系统，道闸管理系统、电源设备 2套</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考勤主机 汉王 7台</w:t>
            </w:r>
          </w:p>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考勤服务器</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考勤系统/数据库</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w:t>
            </w:r>
            <w:r>
              <w:rPr>
                <w:rFonts w:hint="eastAsia" w:ascii="宋体" w:hAnsi="宋体" w:eastAsia="宋体" w:cs="宋体"/>
                <w:color w:val="auto"/>
                <w:kern w:val="0"/>
                <w:sz w:val="24"/>
                <w:szCs w:val="24"/>
                <w:highlight w:val="none"/>
              </w:rPr>
              <w:t>维保设备清单中的</w:t>
            </w:r>
            <w:r>
              <w:rPr>
                <w:rFonts w:hint="eastAsia" w:ascii="宋体" w:hAnsi="宋体" w:eastAsia="宋体" w:cs="宋体"/>
                <w:color w:val="auto"/>
                <w:sz w:val="24"/>
                <w:szCs w:val="24"/>
                <w:highlight w:val="none"/>
              </w:rPr>
              <w:t>过保硬件设备提供保修服务，在设备发生故障时及时予以修复。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服务文档</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《故障维护记录》、《服务年度总结报告》等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原厂支持</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★柏科存储网关、SAN集中存储系统必须采购原厂维保服务，提供原厂服务承诺函。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绿盟主机漏洞扫描系统 RSAS NX3-S</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、绿盟web应用漏洞扫描系统NSFOCUS WVSS—X</w:t>
            </w:r>
            <w:r>
              <w:rPr>
                <w:rFonts w:hint="eastAsia" w:ascii="宋体" w:hAnsi="宋体" w:eastAsia="宋体" w:cs="宋体"/>
                <w:color w:val="auto"/>
                <w:sz w:val="24"/>
                <w:szCs w:val="24"/>
                <w:highlight w:val="none"/>
              </w:rPr>
              <w:t>必须采购原厂维保服务，提供原厂服务承诺函。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安恒Web应用防护系统明御WAF-500AG</w:t>
            </w:r>
            <w:r>
              <w:rPr>
                <w:rFonts w:hint="eastAsia" w:ascii="宋体" w:hAnsi="宋体" w:eastAsia="宋体" w:cs="宋体"/>
                <w:color w:val="auto"/>
                <w:sz w:val="24"/>
                <w:szCs w:val="24"/>
                <w:highlight w:val="none"/>
              </w:rPr>
              <w:t>必须采购原厂维保服务，提供原厂服务承诺函。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思福迪堡垒主机系统LogBase-B2600</w:t>
            </w:r>
            <w:r>
              <w:rPr>
                <w:rFonts w:hint="eastAsia" w:ascii="宋体" w:hAnsi="宋体" w:eastAsia="宋体" w:cs="宋体"/>
                <w:color w:val="auto"/>
                <w:sz w:val="24"/>
                <w:szCs w:val="24"/>
                <w:highlight w:val="none"/>
              </w:rPr>
              <w:t>必须采购原厂维保服务，提供原厂服务承诺函。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服务期限</w:t>
            </w:r>
          </w:p>
        </w:tc>
        <w:tc>
          <w:tcPr>
            <w:tcW w:w="7344"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3、LED大屏幕保修</w:t>
      </w:r>
    </w:p>
    <w:tbl>
      <w:tblPr>
        <w:tblStyle w:val="63"/>
        <w:tblW w:w="87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331"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服务内容</w:t>
            </w:r>
          </w:p>
        </w:tc>
        <w:tc>
          <w:tcPr>
            <w:tcW w:w="7331"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LED大屏幕提供保修服务，在设备发生故障时及时予以修复。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服务文档</w:t>
            </w:r>
          </w:p>
        </w:tc>
        <w:tc>
          <w:tcPr>
            <w:tcW w:w="7331"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r>
              <w:rPr>
                <w:rFonts w:hint="eastAsia" w:ascii="宋体" w:hAnsi="宋体" w:eastAsia="宋体" w:cs="宋体"/>
                <w:color w:val="auto"/>
                <w:sz w:val="24"/>
                <w:szCs w:val="24"/>
                <w:highlight w:val="none"/>
              </w:rPr>
              <w:t>限</w:t>
            </w:r>
          </w:p>
        </w:tc>
        <w:tc>
          <w:tcPr>
            <w:tcW w:w="7331"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p>
        </w:tc>
      </w:tr>
    </w:tbl>
    <w:p>
      <w:pPr>
        <w:rPr>
          <w:rFonts w:hint="eastAsia" w:ascii="宋体" w:hAnsi="宋体" w:eastAsia="宋体" w:cs="宋体"/>
          <w:color w:val="auto"/>
          <w:sz w:val="24"/>
          <w:szCs w:val="24"/>
          <w:highlight w:val="none"/>
        </w:rPr>
      </w:pPr>
    </w:p>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4、数字化转型及信息化项目工作辅助管理服务</w:t>
      </w:r>
    </w:p>
    <w:tbl>
      <w:tblPr>
        <w:tblStyle w:val="63"/>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317"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服务目标</w:t>
            </w: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人常驻现场，提供数字化转型及信息化项目工作辅助管理服务，包括但不限于：政府数字化转型工作辅助管理服务（数字赋能考核、政务服务网、疫情防控等）；信息化项目工作辅助综合管理服务（项目文档整理、辅助评审验收、协调对接等）；用户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服务范围</w:t>
            </w: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政府数字化转型工作辅助管理服务（数字赋能考核、政务服务网、疫情防控等）；信息化项目工作辅助综合管理服务（项目文档整理、辅助评审验收、协调对接等）；用户交办的其他工作。服务范围以用户具体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服务人员</w:t>
            </w: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14人常驻现场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ind w:firstLine="480"/>
              <w:jc w:val="center"/>
              <w:rPr>
                <w:rFonts w:hint="eastAsia" w:ascii="宋体" w:hAnsi="宋体" w:eastAsia="宋体" w:cs="宋体"/>
                <w:color w:val="auto"/>
                <w:kern w:val="0"/>
                <w:sz w:val="24"/>
                <w:szCs w:val="24"/>
                <w:highlight w:val="none"/>
              </w:rPr>
            </w:pP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★所有人员必须具备必要的工作能力，能够胜任服务工作。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政府数字化转型工作辅助管理服务（数字赋能考核、政务服务网、疫情防控等）；</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信息化项目工作辅助综合管理服务（项目文档整理、辅助申报评审验收、协调对接等）；</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用户交办的其他事宜。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服务文档</w:t>
            </w: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《服务人员工作周报》、《服务年度总结报告》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服务时间</w:t>
            </w: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7317"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pStyle w:val="3"/>
        <w:snapToGrid w:val="0"/>
        <w:rPr>
          <w:rFonts w:hint="eastAsia" w:ascii="宋体" w:hAnsi="宋体" w:eastAsia="宋体" w:cs="宋体"/>
          <w:color w:val="auto"/>
          <w:sz w:val="24"/>
          <w:szCs w:val="24"/>
          <w:highlight w:val="none"/>
        </w:rPr>
      </w:pPr>
    </w:p>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5、智慧电子政务综合运维服务</w:t>
      </w:r>
    </w:p>
    <w:tbl>
      <w:tblPr>
        <w:tblStyle w:val="63"/>
        <w:tblW w:w="87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bookmarkStart w:id="37" w:name="_Hlk82591944"/>
            <w:r>
              <w:rPr>
                <w:rFonts w:hint="eastAsia" w:ascii="宋体" w:hAnsi="宋体" w:eastAsia="宋体" w:cs="宋体"/>
                <w:b/>
                <w:color w:val="auto"/>
                <w:sz w:val="24"/>
                <w:szCs w:val="24"/>
                <w:highlight w:val="none"/>
              </w:rPr>
              <w:t>服务项</w:t>
            </w:r>
          </w:p>
        </w:tc>
        <w:tc>
          <w:tcPr>
            <w:tcW w:w="7290"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服务目标</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人员驻场综合运维支持，提供区数字驾驶舱运维服务与保障、人工辅助式智能控制平台数据整理服务、1Call系统大综合客服，1Call办事客服；其他用户交办的工作等，保障拱墅区各项智慧电子政务应用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服务范围</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包括但不限于：区数字驾驶舱运维服务与保障；人工辅助式智能控制平台数据整理服务；1Call系统大综合客服，1Call办事客服；用户交办的其他工作。服务范围以用户具体安排为准。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服务人员</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9人常驻现场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ind w:firstLine="480"/>
              <w:jc w:val="center"/>
              <w:rPr>
                <w:rFonts w:hint="eastAsia" w:ascii="宋体" w:hAnsi="宋体" w:eastAsia="宋体" w:cs="宋体"/>
                <w:color w:val="auto"/>
                <w:kern w:val="0"/>
                <w:sz w:val="24"/>
                <w:szCs w:val="24"/>
                <w:highlight w:val="none"/>
              </w:rPr>
            </w:pP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★所有人员必须具备必要的工作能力，能够胜任服务工作。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区数字驾驶舱运维服务与保障；</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人工辅助式智能控制平台数据整理服务；</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1Call系统大综合客服，1Call办事客服；</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用户交办的其他事宜。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服务文档</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《服务人员工作周报》、《服务年度总结报告》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服务时间</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bookmarkEnd w:id="37"/>
    </w:tbl>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6、项目需求管理服务</w:t>
      </w:r>
    </w:p>
    <w:tbl>
      <w:tblPr>
        <w:tblStyle w:val="63"/>
        <w:tblW w:w="86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276"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基本要求</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结合运维服务等相关工作特点，针对内外部服务请求、事务交办等需求信息实现云网格模式采集、汇总和管理。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需求采集</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登记录入各种来源的需求信息，包括需求来源、提出时间、具体描述等。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需求反馈</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对需求信息的后续处理进展情况进行反馈。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分类统计</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对需求信息进行分类，支持月度/年度统计。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7、数据工作驻场服务</w:t>
      </w:r>
    </w:p>
    <w:tbl>
      <w:tblPr>
        <w:tblStyle w:val="63"/>
        <w:tblW w:w="87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290"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服务目标</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9人常驻现场，负责拱墅区一体化智能化公共数据平台以及区三级数据仓日常数据运维，做好全区数据服务、数据归集、数据对接等保障工作。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服务范围</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拱墅区一体化智能化公共数据平台以及区三级数据仓。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★9人常驻现场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按照要求完成全区数据服务、数据归集、数据对接等保障工作。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服务文档</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《服务人员工作周报》、《服务年度总结报告》等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服务时间</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8、疫情防控值班保障服务</w:t>
      </w:r>
    </w:p>
    <w:tbl>
      <w:tblPr>
        <w:tblStyle w:val="63"/>
        <w:tblW w:w="87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303"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服务目标</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杭防组办《关于进一步完善杭州市疫情防控区域协查运行工作方案的通知》以及《拱墅区疫情防控“平战一体”指挥体系实施方案》，非工作时段按需组织人员提供疫情防控值班保障服务，确保省疫情防控系统数据在非工作时段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服务范围</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拱墅区精密智控平台等。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完成疫情数据信息补全、数据清洗分发、数据分析统计、疫情防控系统技术支撑及指标督办等工作。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服务文档</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《服务年度总结报告》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服务时间</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非工作时段（工作日夜间、周末、节假日等），根据疫情防控工作需要具体安排服务时间。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snapToGrid w:val="0"/>
        <w:spacing w:before="120" w:beforeLines="50" w:line="360" w:lineRule="auto"/>
        <w:rPr>
          <w:rFonts w:hint="eastAsia" w:ascii="宋体" w:hAnsi="宋体" w:eastAsia="宋体" w:cs="宋体"/>
          <w:b/>
          <w:bCs/>
          <w:color w:val="auto"/>
          <w:sz w:val="24"/>
          <w:szCs w:val="24"/>
          <w:highlight w:val="none"/>
        </w:rPr>
      </w:pPr>
    </w:p>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9、门户网站安全监测服务</w:t>
      </w:r>
    </w:p>
    <w:tbl>
      <w:tblPr>
        <w:tblStyle w:val="63"/>
        <w:tblW w:w="86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276"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服务范围</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“杭州·拱墅”门户网站。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门户网站综合安全防护监测服务</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1）搜索引擎服务：针对网站仿冒风险，购买官方网站认证。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2）云加速和云防护体系：利用基于云构架的云防护系统，降低原服务器负载、拦截黑客攻击、隐藏原服务器IP，保障网站安全运行。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3）按照国务院办公厅《加强门户网站域名管理的通知》（国办函〔2018〕55号）的要求，针对“杭州·拱墅”门户网站（域名:***.gongshu.gov.cn）整站域名及内容进行安全防护，针对偏远地区访问者加速服务。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kern w:val="0"/>
                <w:sz w:val="24"/>
                <w:szCs w:val="24"/>
                <w:highlight w:val="none"/>
              </w:rPr>
            </w:pP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4）24小时网站监测服务：24小时值守和错别字检测服务。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门户网站内容监测服务</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1）按照《国务院办公厅关于开展第一次全国政府网站普查的通知》（国办发〔2015〕15号）的要求，每月对政府门户网站人工指标和技术问题进行检测，并及时整改。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noWrap w:val="0"/>
            <w:vAlign w:val="center"/>
          </w:tcPr>
          <w:p>
            <w:pPr>
              <w:snapToGrid w:val="0"/>
              <w:jc w:val="center"/>
              <w:rPr>
                <w:rFonts w:hint="eastAsia" w:ascii="宋体" w:hAnsi="宋体" w:eastAsia="宋体" w:cs="宋体"/>
                <w:color w:val="auto"/>
                <w:sz w:val="24"/>
                <w:szCs w:val="24"/>
                <w:highlight w:val="none"/>
                <w:lang w:bidi="ar"/>
              </w:rPr>
            </w:pP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国务院办公厅秘书局关于印发政府网站与政务新媒体检查指标、监管工作年度考核指标的通知》（2019年4月1日）要求，每月对政府门户网站、信息公开等相关考核指标进行第三方检测。如遇国办检查、省抽查等特殊时期，增加检测频次为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7276"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2022年11月08日-2023年11月07日。</w:t>
            </w:r>
          </w:p>
        </w:tc>
      </w:tr>
    </w:tbl>
    <w:p>
      <w:pPr>
        <w:pStyle w:val="2"/>
        <w:ind w:firstLine="0"/>
        <w:rPr>
          <w:rFonts w:hint="eastAsia" w:ascii="宋体" w:hAnsi="宋体" w:eastAsia="宋体" w:cs="宋体"/>
          <w:color w:val="auto"/>
          <w:sz w:val="24"/>
          <w:szCs w:val="24"/>
          <w:highlight w:val="none"/>
        </w:rPr>
      </w:pPr>
    </w:p>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10、区短信平台短信</w:t>
      </w:r>
    </w:p>
    <w:tbl>
      <w:tblPr>
        <w:tblStyle w:val="63"/>
        <w:tblW w:w="87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303"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基本要求</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采购区短信平台短信服务，联通200万条、应急短信400万条、移动560万条。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服务期限</w:t>
            </w:r>
          </w:p>
        </w:tc>
        <w:tc>
          <w:tcPr>
            <w:tcW w:w="7303"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rPr>
          <w:rFonts w:hint="eastAsia" w:ascii="宋体" w:hAnsi="宋体" w:eastAsia="宋体" w:cs="宋体"/>
          <w:color w:val="auto"/>
          <w:sz w:val="24"/>
          <w:szCs w:val="24"/>
          <w:highlight w:val="none"/>
        </w:rPr>
      </w:pPr>
    </w:p>
    <w:p>
      <w:pPr>
        <w:snapToGrid w:val="0"/>
        <w:spacing w:before="120"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11、视频和语音服务</w:t>
      </w:r>
    </w:p>
    <w:tbl>
      <w:tblPr>
        <w:tblStyle w:val="63"/>
        <w:tblW w:w="87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8"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w:t>
            </w:r>
          </w:p>
        </w:tc>
        <w:tc>
          <w:tcPr>
            <w:tcW w:w="7290" w:type="dxa"/>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8"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基本要求</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1Call等网易云视频服务，系统、应用场景对接实时语音消息服务，200000条/年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8"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服务期限</w:t>
            </w:r>
          </w:p>
        </w:tc>
        <w:tc>
          <w:tcPr>
            <w:tcW w:w="7290"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2022年10月28日-2023年10月27日。</w:t>
            </w:r>
          </w:p>
        </w:tc>
      </w:tr>
    </w:tbl>
    <w:p>
      <w:pPr>
        <w:snapToGrid w:val="0"/>
        <w:spacing w:line="360" w:lineRule="auto"/>
        <w:rPr>
          <w:rFonts w:hint="eastAsia" w:ascii="宋体" w:hAnsi="宋体" w:eastAsia="宋体" w:cs="宋体"/>
          <w:color w:val="auto"/>
          <w:sz w:val="24"/>
          <w:szCs w:val="24"/>
          <w:highlight w:val="none"/>
        </w:rPr>
      </w:pPr>
    </w:p>
    <w:p>
      <w:pPr>
        <w:snapToGrid w:val="0"/>
        <w:spacing w:before="120" w:beforeLines="50"/>
        <w:rPr>
          <w:rStyle w:val="353"/>
          <w:rFonts w:hint="eastAsia" w:ascii="宋体" w:hAnsi="宋体" w:eastAsia="宋体" w:cs="宋体"/>
          <w:bCs/>
          <w:color w:val="auto"/>
          <w:sz w:val="24"/>
          <w:szCs w:val="24"/>
          <w:highlight w:val="none"/>
        </w:rPr>
      </w:pPr>
      <w:r>
        <w:rPr>
          <w:rStyle w:val="353"/>
          <w:rFonts w:hint="eastAsia" w:ascii="宋体" w:hAnsi="宋体" w:eastAsia="宋体" w:cs="宋体"/>
          <w:bCs/>
          <w:color w:val="auto"/>
          <w:sz w:val="24"/>
          <w:szCs w:val="24"/>
          <w:highlight w:val="none"/>
        </w:rPr>
        <w:t>二、采购项目技术、服务要求</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 服务内容</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本项目所规定的采购内容的全部。</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 合同履行时间（期限）</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2022年10月28日至2023年10月27日 。</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 履约地点和方式</w:t>
      </w: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拱墅区人民政府及其他采购人指定地点。</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4. 付款方式</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详见“第五部分 拟签订的合同文本”。</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5.售后服务</w:t>
      </w:r>
    </w:p>
    <w:p>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签订后按采购内容要求的服务期限提供服务。服务期内，提供7*24小时免费售后技术服务，提供全天候24小时热线电话服务响应。要求在24小时响应时间内提供保修、维护等技术服务。在出现系统问题的1小时内给予问题的反馈，如需现场解决，在故障发生的2小时内，派技术人员到达现场，在质量保证期内，如发生系统应用软件功能升级的情况，中标单位应免费负责现场升级和向采购方提供必要的技术资料。</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6. 成果文件要求</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项目建设方案、投标文件、项目的中标通知书、项目的合同书及合同附件、项目计划书、项目实施方案、运维记录文档、项目终验总结报告、终验会议组织材料（签到表、验收意见）。</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7. 采购项目的其他要求</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7.1供应商负责对采购人相关部门及指定的用户进行培训。培训的主要内容应侧重于对系统的使用及系统的基本维护、常见问题及解决办法等方面，并提供实践性的操作。</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pPr>
        <w:snapToGrid w:val="0"/>
        <w:spacing w:line="360" w:lineRule="auto"/>
        <w:rPr>
          <w:rStyle w:val="353"/>
          <w:rFonts w:hint="eastAsia" w:ascii="宋体" w:hAnsi="宋体" w:eastAsia="宋体" w:cs="宋体"/>
          <w:bCs/>
          <w:color w:val="auto"/>
          <w:sz w:val="24"/>
          <w:szCs w:val="24"/>
          <w:highlight w:val="none"/>
        </w:rPr>
      </w:pPr>
      <w:r>
        <w:rPr>
          <w:rStyle w:val="353"/>
          <w:rFonts w:hint="eastAsia" w:ascii="宋体" w:hAnsi="宋体" w:eastAsia="宋体" w:cs="宋体"/>
          <w:bCs/>
          <w:color w:val="auto"/>
          <w:sz w:val="24"/>
          <w:szCs w:val="24"/>
          <w:highlight w:val="none"/>
        </w:rPr>
        <w:t>三、项目实施要求</w:t>
      </w:r>
    </w:p>
    <w:p>
      <w:pPr>
        <w:pStyle w:val="8"/>
        <w:spacing w:line="360" w:lineRule="auto"/>
        <w:ind w:firstLine="48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 实施单位要求</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投标人应当对所投招标文件中“采购内容”所列的所有服务内容进行投标，须根据项目进度要求，制定详细、可行的实施方案，包括实施计划、项目管理规范、质量控制、风险控制和项目工期保证措施等。</w:t>
      </w:r>
    </w:p>
    <w:p>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实施团队要求</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投标人须提供项目实施人员，</w:t>
      </w:r>
      <w:r>
        <w:rPr>
          <w:rFonts w:hint="eastAsia" w:ascii="宋体" w:hAnsi="宋体" w:eastAsia="宋体" w:cs="宋体"/>
          <w:color w:val="auto"/>
          <w:sz w:val="24"/>
          <w:szCs w:val="24"/>
          <w:highlight w:val="none"/>
          <w:lang w:val="en-US" w:eastAsia="zh-CN"/>
        </w:rPr>
        <w:t>并明确项目经理</w:t>
      </w:r>
      <w:r>
        <w:rPr>
          <w:rFonts w:hint="eastAsia" w:ascii="宋体" w:hAnsi="宋体" w:eastAsia="宋体" w:cs="宋体"/>
          <w:color w:val="auto"/>
          <w:sz w:val="24"/>
          <w:szCs w:val="24"/>
          <w:highlight w:val="none"/>
        </w:rPr>
        <w:t>。</w:t>
      </w:r>
    </w:p>
    <w:p>
      <w:pPr>
        <w:snapToGrid w:val="0"/>
        <w:spacing w:line="360" w:lineRule="auto"/>
        <w:rPr>
          <w:rStyle w:val="353"/>
          <w:rFonts w:hint="eastAsia" w:ascii="宋体" w:hAnsi="宋体" w:eastAsia="宋体" w:cs="宋体"/>
          <w:bCs/>
          <w:color w:val="auto"/>
          <w:sz w:val="24"/>
          <w:szCs w:val="24"/>
          <w:highlight w:val="none"/>
        </w:rPr>
      </w:pPr>
      <w:r>
        <w:rPr>
          <w:rStyle w:val="353"/>
          <w:rFonts w:hint="eastAsia" w:ascii="宋体" w:hAnsi="宋体" w:eastAsia="宋体" w:cs="宋体"/>
          <w:bCs/>
          <w:color w:val="auto"/>
          <w:sz w:val="24"/>
          <w:szCs w:val="24"/>
          <w:highlight w:val="none"/>
        </w:rPr>
        <w:t>四、验收要求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采购人根据国家有关规定、招标文件、中标人的投标文件以及合同约定的内容和验收标准进行验收。</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招标方将依照国家有关信息系统建设文档的有关规范，组织对本项目进行验收，验收时需提供必须要成果文件。</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投标方在验收之前必须提供给招标方一份详细的验收方案报告。</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投标方必须书面通知招标方所完成的工作和准备进行验收的项目种类及验收开始时间，此通知书需经招标方认定后方可执行。</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4、其他要求</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4.1采购人组织对供应商履约的验收。验收方成员应当在验收书上签字，并承担相应的法律责任。如果发现与合同中要求不符，供应商须承担由此发生的一切损失和费用，并接受相应的处理。</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4.2采购人可以邀请参加本项目的其他投标人或者第三方机构参与验收。参与验收的投标人或者第三方机构的意见作为验收书的参考资料一并存档。</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4.5.质量保修范围和保修期： 服务期开始之日起提供不少于一年的7*24小时响应维护服务。</w:t>
      </w:r>
    </w:p>
    <w:p>
      <w:pPr>
        <w:snapToGrid w:val="0"/>
        <w:spacing w:line="360" w:lineRule="auto"/>
        <w:rPr>
          <w:rStyle w:val="353"/>
          <w:rFonts w:hint="eastAsia" w:ascii="宋体" w:hAnsi="宋体" w:eastAsia="宋体" w:cs="宋体"/>
          <w:bCs/>
          <w:color w:val="auto"/>
          <w:sz w:val="24"/>
          <w:szCs w:val="24"/>
          <w:highlight w:val="none"/>
        </w:rPr>
      </w:pPr>
      <w:r>
        <w:rPr>
          <w:rStyle w:val="353"/>
          <w:rFonts w:hint="eastAsia" w:ascii="宋体" w:hAnsi="宋体" w:eastAsia="宋体" w:cs="宋体"/>
          <w:bCs/>
          <w:color w:val="auto"/>
          <w:sz w:val="24"/>
          <w:szCs w:val="24"/>
          <w:highlight w:val="none"/>
        </w:rPr>
        <w:t>五、其他要求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1、投标人需根据采购需求及评分标准制定相应的投标方案。</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2、投标人须承诺在中标后提供与电子投标文件一致的纸质版投标文件3份。</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原厂技术支持授权</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原厂服务承诺函</w:t>
      </w:r>
      <w:r>
        <w:rPr>
          <w:rFonts w:hint="eastAsia" w:ascii="宋体" w:hAnsi="宋体" w:eastAsia="宋体" w:cs="宋体"/>
          <w:color w:val="auto"/>
          <w:sz w:val="24"/>
          <w:szCs w:val="24"/>
          <w:highlight w:val="none"/>
          <w:lang w:val="en-US" w:eastAsia="zh-CN"/>
        </w:rPr>
        <w:t>需在中标后十五个工作日内提供，若未在规定时间内提供，视为未响应招标文件实质性条款，放弃中标资格。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、为落实政府采购政策需满足的要求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约能源、保护环境：本项目如需采购节能产品、环境标志产品品目清单内的产品的，采购需求要求供应商所投的相应产品须提供经国家确定的认证机构出具的、处于有效期之内的节能产品、环境标志产品认证证书。属于强制采购品目清单中的产品如未获得证书，其响应将被拒绝。</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促进中小企业发展、支持监狱企业发展、促进残疾人就业：供应商为中小企业（或残疾人福利性单位、监狱企业）且提供相关法律法规和招标文件规定的相关材料，价格按比例扣除后评审。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支持中小企业信用融资：详见招标文件《政府采购支持中小企业信用融资相关事项通知》。</w:t>
      </w:r>
    </w:p>
    <w:p>
      <w:pPr>
        <w:keepNext w:val="0"/>
        <w:keepLines w:val="0"/>
        <w:pageBreakBefore w:val="0"/>
        <w:tabs>
          <w:tab w:val="left" w:pos="432"/>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pPr>
        <w:keepNext w:val="0"/>
        <w:keepLines w:val="0"/>
        <w:pageBreakBefore w:val="0"/>
        <w:widowControl/>
        <w:kinsoku/>
        <w:wordWrap/>
        <w:overflowPunct/>
        <w:topLinePunct w:val="0"/>
        <w:autoSpaceDE/>
        <w:autoSpaceDN/>
        <w:bidi w:val="0"/>
        <w:adjustRightInd w:val="0"/>
        <w:spacing w:line="360" w:lineRule="auto"/>
        <w:ind w:firstLine="720" w:firstLineChars="300"/>
        <w:jc w:val="left"/>
        <w:textAlignment w:val="auto"/>
        <w:rPr>
          <w:rFonts w:hint="eastAsia" w:ascii="宋体" w:hAnsi="宋体" w:eastAsia="宋体" w:cs="宋体"/>
          <w:bCs/>
          <w:color w:val="auto"/>
          <w:sz w:val="24"/>
          <w:highlight w:val="none"/>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0"/>
          <w:sz w:val="24"/>
          <w:highlight w:val="none"/>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8" w:name="_Toc184314456"/>
      <w:bookmarkEnd w:id="38"/>
      <w:bookmarkStart w:id="39" w:name="_Toc184314427"/>
      <w:bookmarkEnd w:id="39"/>
      <w:bookmarkStart w:id="40" w:name="_Toc184310298"/>
      <w:bookmarkEnd w:id="40"/>
      <w:bookmarkStart w:id="41" w:name="_Toc184308060"/>
      <w:bookmarkEnd w:id="41"/>
      <w:bookmarkStart w:id="42" w:name="_Toc184313289"/>
      <w:bookmarkEnd w:id="42"/>
      <w:bookmarkStart w:id="43" w:name="_Toc184313278"/>
      <w:bookmarkEnd w:id="43"/>
      <w:bookmarkStart w:id="44" w:name="_Toc184313268"/>
      <w:bookmarkEnd w:id="44"/>
      <w:bookmarkStart w:id="45" w:name="_Toc184313252"/>
      <w:bookmarkEnd w:id="45"/>
      <w:bookmarkStart w:id="46" w:name="_Toc184312105"/>
      <w:bookmarkEnd w:id="46"/>
      <w:bookmarkStart w:id="47" w:name="_Toc184314455"/>
      <w:bookmarkEnd w:id="47"/>
      <w:bookmarkStart w:id="48" w:name="_Toc184312101"/>
      <w:bookmarkEnd w:id="48"/>
      <w:bookmarkStart w:id="49" w:name="_Toc184308080"/>
      <w:bookmarkEnd w:id="49"/>
      <w:bookmarkStart w:id="50" w:name="_Toc184313275"/>
      <w:bookmarkEnd w:id="50"/>
      <w:bookmarkStart w:id="51" w:name="_Toc184312124"/>
      <w:bookmarkEnd w:id="51"/>
      <w:bookmarkStart w:id="52" w:name="_Toc184313249"/>
      <w:bookmarkEnd w:id="52"/>
      <w:bookmarkStart w:id="53" w:name="_Toc184310306"/>
      <w:bookmarkEnd w:id="53"/>
      <w:bookmarkStart w:id="54" w:name="_Toc184313291"/>
      <w:bookmarkEnd w:id="54"/>
      <w:bookmarkStart w:id="55" w:name="_Toc184308093"/>
      <w:bookmarkEnd w:id="55"/>
      <w:bookmarkStart w:id="56" w:name="_Toc184313286"/>
      <w:bookmarkEnd w:id="56"/>
      <w:bookmarkStart w:id="57" w:name="_Toc184314435"/>
      <w:bookmarkEnd w:id="57"/>
      <w:bookmarkStart w:id="58" w:name="_Toc184313255"/>
      <w:bookmarkEnd w:id="58"/>
      <w:bookmarkStart w:id="59" w:name="_Toc184308101"/>
      <w:bookmarkEnd w:id="59"/>
      <w:bookmarkStart w:id="60" w:name="_Toc184308069"/>
      <w:bookmarkEnd w:id="60"/>
      <w:bookmarkStart w:id="61" w:name="_Toc184313240"/>
      <w:bookmarkEnd w:id="61"/>
      <w:bookmarkStart w:id="62" w:name="_Toc184313283"/>
      <w:bookmarkEnd w:id="62"/>
      <w:bookmarkStart w:id="63" w:name="_Toc184313271"/>
      <w:bookmarkEnd w:id="63"/>
      <w:bookmarkStart w:id="64" w:name="_Toc184308050"/>
      <w:bookmarkEnd w:id="64"/>
      <w:bookmarkStart w:id="65" w:name="_Toc184314448"/>
      <w:bookmarkEnd w:id="65"/>
      <w:bookmarkStart w:id="66" w:name="_Toc184308058"/>
      <w:bookmarkEnd w:id="66"/>
      <w:bookmarkStart w:id="67" w:name="_Toc184313302"/>
      <w:bookmarkEnd w:id="67"/>
      <w:bookmarkStart w:id="68" w:name="_Toc184313293"/>
      <w:bookmarkEnd w:id="68"/>
      <w:bookmarkStart w:id="69" w:name="_Toc184314471"/>
      <w:bookmarkEnd w:id="69"/>
      <w:bookmarkStart w:id="70" w:name="_Toc184310289"/>
      <w:bookmarkEnd w:id="70"/>
      <w:bookmarkStart w:id="71" w:name="_Toc184308082"/>
      <w:bookmarkEnd w:id="71"/>
      <w:bookmarkStart w:id="72" w:name="_Toc184310343"/>
      <w:bookmarkEnd w:id="72"/>
      <w:bookmarkStart w:id="73" w:name="_Toc184314469"/>
      <w:bookmarkEnd w:id="73"/>
      <w:bookmarkStart w:id="74" w:name="_Toc184308063"/>
      <w:bookmarkEnd w:id="74"/>
      <w:bookmarkStart w:id="75" w:name="_Toc184313250"/>
      <w:bookmarkEnd w:id="75"/>
      <w:bookmarkStart w:id="76" w:name="_Toc184314429"/>
      <w:bookmarkEnd w:id="76"/>
      <w:bookmarkStart w:id="77" w:name="_Toc184312103"/>
      <w:bookmarkEnd w:id="77"/>
      <w:bookmarkStart w:id="78" w:name="_Toc184312107"/>
      <w:bookmarkEnd w:id="78"/>
      <w:bookmarkStart w:id="79" w:name="_Toc184313309"/>
      <w:bookmarkEnd w:id="79"/>
      <w:bookmarkStart w:id="80" w:name="_Toc184312080"/>
      <w:bookmarkEnd w:id="80"/>
      <w:bookmarkStart w:id="81" w:name="_Toc184314464"/>
      <w:bookmarkEnd w:id="81"/>
      <w:bookmarkStart w:id="82" w:name="_Toc184310313"/>
      <w:bookmarkEnd w:id="82"/>
      <w:bookmarkStart w:id="83" w:name="_Toc184313269"/>
      <w:bookmarkEnd w:id="83"/>
      <w:bookmarkStart w:id="84" w:name="_Toc184308053"/>
      <w:bookmarkEnd w:id="84"/>
      <w:bookmarkStart w:id="85" w:name="_Toc184314430"/>
      <w:bookmarkEnd w:id="85"/>
      <w:bookmarkStart w:id="86" w:name="_Toc184313296"/>
      <w:bookmarkEnd w:id="86"/>
      <w:bookmarkStart w:id="87" w:name="_Toc184312070"/>
      <w:bookmarkEnd w:id="87"/>
      <w:bookmarkStart w:id="88" w:name="_Toc184313292"/>
      <w:bookmarkEnd w:id="88"/>
      <w:bookmarkStart w:id="89" w:name="_Toc184308097"/>
      <w:bookmarkEnd w:id="89"/>
      <w:bookmarkStart w:id="90" w:name="_Toc184310300"/>
      <w:bookmarkEnd w:id="90"/>
      <w:bookmarkStart w:id="91" w:name="_Toc184308045"/>
      <w:bookmarkEnd w:id="91"/>
      <w:bookmarkStart w:id="92" w:name="_Toc184310332"/>
      <w:bookmarkEnd w:id="92"/>
      <w:bookmarkStart w:id="93" w:name="_Toc184314422"/>
      <w:bookmarkEnd w:id="93"/>
      <w:bookmarkStart w:id="94" w:name="_Toc184310282"/>
      <w:bookmarkEnd w:id="94"/>
      <w:bookmarkStart w:id="95" w:name="_Toc184313307"/>
      <w:bookmarkEnd w:id="95"/>
      <w:bookmarkStart w:id="96" w:name="_Toc184310293"/>
      <w:bookmarkEnd w:id="96"/>
      <w:bookmarkStart w:id="97" w:name="_Toc184308052"/>
      <w:bookmarkEnd w:id="97"/>
      <w:bookmarkStart w:id="98" w:name="_Toc184310324"/>
      <w:bookmarkEnd w:id="98"/>
      <w:bookmarkStart w:id="99" w:name="_Toc184312138"/>
      <w:bookmarkEnd w:id="99"/>
      <w:bookmarkStart w:id="100" w:name="_Toc184312075"/>
      <w:bookmarkEnd w:id="100"/>
      <w:bookmarkStart w:id="101" w:name="_Toc184314426"/>
      <w:bookmarkEnd w:id="101"/>
      <w:bookmarkStart w:id="102" w:name="_Toc184308041"/>
      <w:bookmarkEnd w:id="102"/>
      <w:bookmarkStart w:id="103" w:name="_Toc184314480"/>
      <w:bookmarkEnd w:id="103"/>
      <w:bookmarkStart w:id="104" w:name="_Toc184310295"/>
      <w:bookmarkEnd w:id="104"/>
      <w:bookmarkStart w:id="105" w:name="_Toc184313244"/>
      <w:bookmarkEnd w:id="105"/>
      <w:bookmarkStart w:id="106" w:name="_Toc184308079"/>
      <w:bookmarkEnd w:id="106"/>
      <w:bookmarkStart w:id="107" w:name="_Toc184310323"/>
      <w:bookmarkEnd w:id="107"/>
      <w:bookmarkStart w:id="108" w:name="_Toc184313276"/>
      <w:bookmarkEnd w:id="108"/>
      <w:bookmarkStart w:id="109" w:name="_Toc184310281"/>
      <w:bookmarkEnd w:id="109"/>
      <w:bookmarkStart w:id="110" w:name="_Toc184310292"/>
      <w:bookmarkEnd w:id="110"/>
      <w:bookmarkStart w:id="111" w:name="_Toc184310319"/>
      <w:bookmarkEnd w:id="111"/>
      <w:bookmarkStart w:id="112" w:name="_Toc184312115"/>
      <w:bookmarkEnd w:id="112"/>
      <w:bookmarkStart w:id="113" w:name="_Toc184313277"/>
      <w:bookmarkEnd w:id="113"/>
      <w:bookmarkStart w:id="114" w:name="_Toc184313262"/>
      <w:bookmarkEnd w:id="114"/>
      <w:bookmarkStart w:id="115" w:name="_Toc184314444"/>
      <w:bookmarkEnd w:id="115"/>
      <w:bookmarkStart w:id="116" w:name="_Toc184312079"/>
      <w:bookmarkEnd w:id="116"/>
      <w:bookmarkStart w:id="117" w:name="_Toc184312139"/>
      <w:bookmarkEnd w:id="117"/>
      <w:bookmarkStart w:id="118" w:name="_Toc184314410"/>
      <w:bookmarkEnd w:id="118"/>
      <w:bookmarkStart w:id="119" w:name="_Toc184314414"/>
      <w:bookmarkEnd w:id="119"/>
      <w:bookmarkStart w:id="120" w:name="_Toc184310287"/>
      <w:bookmarkEnd w:id="120"/>
      <w:bookmarkStart w:id="121" w:name="_Toc184314449"/>
      <w:bookmarkEnd w:id="121"/>
      <w:bookmarkStart w:id="122" w:name="_Toc184312073"/>
      <w:bookmarkEnd w:id="122"/>
      <w:bookmarkStart w:id="123" w:name="_Toc184313305"/>
      <w:bookmarkEnd w:id="123"/>
      <w:bookmarkStart w:id="124" w:name="_Toc184313306"/>
      <w:bookmarkEnd w:id="124"/>
      <w:bookmarkStart w:id="125" w:name="_Toc184312067"/>
      <w:bookmarkEnd w:id="125"/>
      <w:bookmarkStart w:id="126" w:name="_Toc184310320"/>
      <w:bookmarkEnd w:id="126"/>
      <w:bookmarkStart w:id="127" w:name="_Toc184313238"/>
      <w:bookmarkEnd w:id="127"/>
      <w:bookmarkStart w:id="128" w:name="_Toc184312102"/>
      <w:bookmarkEnd w:id="128"/>
      <w:bookmarkStart w:id="129" w:name="_Toc184310285"/>
      <w:bookmarkEnd w:id="129"/>
      <w:bookmarkStart w:id="130" w:name="_Toc184310333"/>
      <w:bookmarkEnd w:id="130"/>
      <w:bookmarkStart w:id="131" w:name="_Toc184310299"/>
      <w:bookmarkEnd w:id="131"/>
      <w:bookmarkStart w:id="132" w:name="_Toc184313282"/>
      <w:bookmarkEnd w:id="132"/>
      <w:bookmarkStart w:id="133" w:name="_Toc184310272"/>
      <w:bookmarkEnd w:id="133"/>
      <w:bookmarkStart w:id="134" w:name="_Toc184313274"/>
      <w:bookmarkEnd w:id="134"/>
      <w:bookmarkStart w:id="135" w:name="_Toc184310279"/>
      <w:bookmarkEnd w:id="135"/>
      <w:bookmarkStart w:id="136" w:name="_Toc184312129"/>
      <w:bookmarkEnd w:id="136"/>
      <w:bookmarkStart w:id="137" w:name="_Toc184310328"/>
      <w:bookmarkEnd w:id="137"/>
      <w:bookmarkStart w:id="138" w:name="_Toc184313264"/>
      <w:bookmarkEnd w:id="138"/>
      <w:bookmarkStart w:id="139" w:name="_Toc184310316"/>
      <w:bookmarkEnd w:id="139"/>
      <w:bookmarkStart w:id="140" w:name="_Toc184308096"/>
      <w:bookmarkEnd w:id="140"/>
      <w:bookmarkStart w:id="141" w:name="_Toc184313266"/>
      <w:bookmarkEnd w:id="141"/>
      <w:bookmarkStart w:id="142" w:name="_Toc184310297"/>
      <w:bookmarkEnd w:id="142"/>
      <w:bookmarkStart w:id="143" w:name="_Toc184308066"/>
      <w:bookmarkEnd w:id="143"/>
      <w:bookmarkStart w:id="144" w:name="_Toc184313295"/>
      <w:bookmarkEnd w:id="144"/>
      <w:bookmarkStart w:id="145" w:name="_Toc184308100"/>
      <w:bookmarkEnd w:id="145"/>
      <w:bookmarkStart w:id="146" w:name="_Toc184314461"/>
      <w:bookmarkEnd w:id="146"/>
      <w:bookmarkStart w:id="147" w:name="_Toc184308086"/>
      <w:bookmarkEnd w:id="147"/>
      <w:bookmarkStart w:id="148" w:name="_Toc184312104"/>
      <w:bookmarkEnd w:id="148"/>
      <w:bookmarkStart w:id="149" w:name="_Toc184314482"/>
      <w:bookmarkEnd w:id="149"/>
      <w:bookmarkStart w:id="150" w:name="_Toc184314415"/>
      <w:bookmarkEnd w:id="150"/>
      <w:bookmarkStart w:id="151" w:name="_Toc184312085"/>
      <w:bookmarkEnd w:id="151"/>
      <w:bookmarkStart w:id="152" w:name="_Toc184308044"/>
      <w:bookmarkEnd w:id="152"/>
      <w:bookmarkStart w:id="153" w:name="_Toc184314428"/>
      <w:bookmarkEnd w:id="153"/>
      <w:bookmarkStart w:id="154" w:name="_Toc184310283"/>
      <w:bookmarkEnd w:id="154"/>
      <w:bookmarkStart w:id="155" w:name="_Toc184310296"/>
      <w:bookmarkEnd w:id="155"/>
      <w:bookmarkStart w:id="156" w:name="_Toc184314472"/>
      <w:bookmarkEnd w:id="156"/>
      <w:bookmarkStart w:id="157" w:name="_Toc184308059"/>
      <w:bookmarkEnd w:id="157"/>
      <w:bookmarkStart w:id="158" w:name="_Toc184312086"/>
      <w:bookmarkEnd w:id="158"/>
      <w:bookmarkStart w:id="159" w:name="_Toc184314450"/>
      <w:bookmarkEnd w:id="159"/>
      <w:bookmarkStart w:id="160" w:name="_Toc184308091"/>
      <w:bookmarkEnd w:id="160"/>
      <w:bookmarkStart w:id="161" w:name="_Toc184314411"/>
      <w:bookmarkEnd w:id="161"/>
      <w:bookmarkStart w:id="162" w:name="_Toc184313243"/>
      <w:bookmarkEnd w:id="162"/>
      <w:bookmarkStart w:id="163" w:name="_Toc184314442"/>
      <w:bookmarkEnd w:id="163"/>
      <w:bookmarkStart w:id="164" w:name="_Toc184314417"/>
      <w:bookmarkEnd w:id="164"/>
      <w:bookmarkStart w:id="165" w:name="_Toc184314473"/>
      <w:bookmarkEnd w:id="165"/>
      <w:bookmarkStart w:id="166" w:name="_Toc184314460"/>
      <w:bookmarkEnd w:id="166"/>
      <w:bookmarkStart w:id="167" w:name="_Toc184314418"/>
      <w:bookmarkEnd w:id="167"/>
      <w:bookmarkStart w:id="168" w:name="_Toc184314467"/>
      <w:bookmarkEnd w:id="168"/>
      <w:bookmarkStart w:id="169" w:name="_Toc184308108"/>
      <w:bookmarkEnd w:id="169"/>
      <w:bookmarkStart w:id="170" w:name="_Toc184312099"/>
      <w:bookmarkEnd w:id="170"/>
      <w:bookmarkStart w:id="171" w:name="_Toc184313259"/>
      <w:bookmarkEnd w:id="171"/>
      <w:bookmarkStart w:id="172" w:name="_Toc184312093"/>
      <w:bookmarkEnd w:id="172"/>
      <w:bookmarkStart w:id="173" w:name="_Toc184313272"/>
      <w:bookmarkEnd w:id="173"/>
      <w:bookmarkStart w:id="174" w:name="_Toc184312111"/>
      <w:bookmarkEnd w:id="174"/>
      <w:bookmarkStart w:id="175" w:name="_Toc184312078"/>
      <w:bookmarkEnd w:id="175"/>
      <w:bookmarkStart w:id="176" w:name="_Toc184310344"/>
      <w:bookmarkEnd w:id="176"/>
      <w:bookmarkStart w:id="177" w:name="_Toc184313260"/>
      <w:bookmarkEnd w:id="177"/>
      <w:bookmarkStart w:id="178" w:name="_Toc184310276"/>
      <w:bookmarkEnd w:id="178"/>
      <w:bookmarkStart w:id="179" w:name="_Toc184312089"/>
      <w:bookmarkEnd w:id="179"/>
      <w:bookmarkStart w:id="180" w:name="_Toc184314432"/>
      <w:bookmarkEnd w:id="180"/>
      <w:bookmarkStart w:id="181" w:name="_Toc184314421"/>
      <w:bookmarkEnd w:id="181"/>
      <w:bookmarkStart w:id="182" w:name="_Toc184313245"/>
      <w:bookmarkEnd w:id="182"/>
      <w:bookmarkStart w:id="183" w:name="_Toc184313256"/>
      <w:bookmarkEnd w:id="183"/>
      <w:bookmarkStart w:id="184" w:name="_Toc184308039"/>
      <w:bookmarkEnd w:id="184"/>
      <w:bookmarkStart w:id="185" w:name="_Toc184314420"/>
      <w:bookmarkEnd w:id="185"/>
      <w:bookmarkStart w:id="186" w:name="_Toc184312074"/>
      <w:bookmarkEnd w:id="186"/>
      <w:bookmarkStart w:id="187" w:name="_Toc184314445"/>
      <w:bookmarkEnd w:id="187"/>
      <w:bookmarkStart w:id="188" w:name="_Toc184310318"/>
      <w:bookmarkEnd w:id="188"/>
      <w:bookmarkStart w:id="189" w:name="_Toc184314431"/>
      <w:bookmarkEnd w:id="189"/>
      <w:bookmarkStart w:id="190" w:name="_Toc184310284"/>
      <w:bookmarkEnd w:id="190"/>
      <w:bookmarkStart w:id="191" w:name="_Toc184313301"/>
      <w:bookmarkEnd w:id="191"/>
      <w:bookmarkStart w:id="192" w:name="_Toc184308067"/>
      <w:bookmarkEnd w:id="192"/>
      <w:bookmarkStart w:id="193" w:name="_Toc184308071"/>
      <w:bookmarkEnd w:id="193"/>
      <w:bookmarkStart w:id="194" w:name="_Toc184310311"/>
      <w:bookmarkEnd w:id="194"/>
      <w:bookmarkStart w:id="195" w:name="_Toc184314462"/>
      <w:bookmarkEnd w:id="195"/>
      <w:bookmarkStart w:id="196" w:name="_Toc184310339"/>
      <w:bookmarkEnd w:id="196"/>
      <w:bookmarkStart w:id="197" w:name="_Toc184314433"/>
      <w:bookmarkEnd w:id="197"/>
      <w:bookmarkStart w:id="198" w:name="_Toc184312106"/>
      <w:bookmarkEnd w:id="198"/>
      <w:bookmarkStart w:id="199" w:name="_Toc184312097"/>
      <w:bookmarkEnd w:id="199"/>
      <w:bookmarkStart w:id="200" w:name="_Toc184312095"/>
      <w:bookmarkEnd w:id="200"/>
      <w:bookmarkStart w:id="201" w:name="_Toc184313270"/>
      <w:bookmarkEnd w:id="201"/>
      <w:bookmarkStart w:id="202" w:name="_Toc184313299"/>
      <w:bookmarkEnd w:id="202"/>
      <w:bookmarkStart w:id="203" w:name="_Toc184308089"/>
      <w:bookmarkEnd w:id="203"/>
      <w:bookmarkStart w:id="204" w:name="_Toc184313308"/>
      <w:bookmarkEnd w:id="204"/>
      <w:bookmarkStart w:id="205" w:name="_Toc184314457"/>
      <w:bookmarkEnd w:id="205"/>
      <w:bookmarkStart w:id="206" w:name="_Toc184308105"/>
      <w:bookmarkEnd w:id="206"/>
      <w:bookmarkStart w:id="207" w:name="_Toc184312081"/>
      <w:bookmarkEnd w:id="207"/>
      <w:bookmarkStart w:id="208" w:name="_Toc184314463"/>
      <w:bookmarkEnd w:id="208"/>
      <w:bookmarkStart w:id="209" w:name="_Toc184314447"/>
      <w:bookmarkEnd w:id="209"/>
      <w:bookmarkStart w:id="210" w:name="_Toc184314440"/>
      <w:bookmarkEnd w:id="210"/>
      <w:bookmarkStart w:id="211" w:name="_Toc184314474"/>
      <w:bookmarkEnd w:id="211"/>
      <w:bookmarkStart w:id="212" w:name="_Toc184308042"/>
      <w:bookmarkEnd w:id="212"/>
      <w:bookmarkStart w:id="213" w:name="_Toc184312100"/>
      <w:bookmarkEnd w:id="213"/>
      <w:bookmarkStart w:id="214" w:name="_Toc184310314"/>
      <w:bookmarkEnd w:id="214"/>
      <w:bookmarkStart w:id="215" w:name="_Toc184313261"/>
      <w:bookmarkEnd w:id="215"/>
      <w:bookmarkStart w:id="216" w:name="_Toc184313265"/>
      <w:bookmarkEnd w:id="216"/>
      <w:bookmarkStart w:id="217" w:name="_Toc184310342"/>
      <w:bookmarkEnd w:id="217"/>
      <w:bookmarkStart w:id="218" w:name="_Toc184310312"/>
      <w:bookmarkEnd w:id="218"/>
      <w:bookmarkStart w:id="219" w:name="_Toc184310303"/>
      <w:bookmarkEnd w:id="219"/>
      <w:bookmarkStart w:id="220" w:name="_Toc184312092"/>
      <w:bookmarkEnd w:id="220"/>
      <w:bookmarkStart w:id="221" w:name="_Toc184314438"/>
      <w:bookmarkEnd w:id="221"/>
      <w:bookmarkStart w:id="222" w:name="_Toc184310277"/>
      <w:bookmarkEnd w:id="222"/>
      <w:bookmarkStart w:id="223" w:name="_Toc184314478"/>
      <w:bookmarkEnd w:id="223"/>
      <w:bookmarkStart w:id="224" w:name="_Toc184308094"/>
      <w:bookmarkEnd w:id="224"/>
      <w:bookmarkStart w:id="225" w:name="_Toc184314434"/>
      <w:bookmarkEnd w:id="225"/>
      <w:bookmarkStart w:id="226" w:name="_Toc184312127"/>
      <w:bookmarkEnd w:id="226"/>
      <w:bookmarkStart w:id="227" w:name="_Toc184308038"/>
      <w:bookmarkEnd w:id="227"/>
      <w:bookmarkStart w:id="228" w:name="_Toc184308037"/>
      <w:bookmarkEnd w:id="228"/>
      <w:bookmarkStart w:id="229" w:name="_Toc184312082"/>
      <w:bookmarkEnd w:id="229"/>
      <w:bookmarkStart w:id="230" w:name="_Toc184313246"/>
      <w:bookmarkEnd w:id="230"/>
      <w:bookmarkStart w:id="231" w:name="_Toc184308062"/>
      <w:bookmarkEnd w:id="231"/>
      <w:bookmarkStart w:id="232" w:name="_Toc184310274"/>
      <w:bookmarkEnd w:id="232"/>
      <w:bookmarkStart w:id="233" w:name="_Toc184312071"/>
      <w:bookmarkEnd w:id="233"/>
      <w:bookmarkStart w:id="234" w:name="_Toc184313239"/>
      <w:bookmarkEnd w:id="234"/>
      <w:bookmarkStart w:id="235" w:name="_Toc184313267"/>
      <w:bookmarkEnd w:id="235"/>
      <w:bookmarkStart w:id="236" w:name="_Toc184313257"/>
      <w:bookmarkEnd w:id="236"/>
      <w:bookmarkStart w:id="237" w:name="_Toc184310341"/>
      <w:bookmarkEnd w:id="237"/>
      <w:bookmarkStart w:id="238" w:name="_Toc184313254"/>
      <w:bookmarkEnd w:id="238"/>
      <w:bookmarkStart w:id="239" w:name="_Toc184314412"/>
      <w:bookmarkEnd w:id="239"/>
      <w:bookmarkStart w:id="240" w:name="_Toc184314468"/>
      <w:bookmarkEnd w:id="240"/>
      <w:bookmarkStart w:id="241" w:name="_Toc184314477"/>
      <w:bookmarkEnd w:id="241"/>
      <w:bookmarkStart w:id="242" w:name="_Toc184308106"/>
      <w:bookmarkEnd w:id="242"/>
      <w:bookmarkStart w:id="243" w:name="_Toc184310335"/>
      <w:bookmarkEnd w:id="243"/>
      <w:bookmarkStart w:id="244" w:name="_Toc184313300"/>
      <w:bookmarkEnd w:id="244"/>
      <w:bookmarkStart w:id="245" w:name="_Toc184310326"/>
      <w:bookmarkEnd w:id="245"/>
      <w:bookmarkStart w:id="246" w:name="_Toc184314439"/>
      <w:bookmarkEnd w:id="246"/>
      <w:bookmarkStart w:id="247" w:name="_Toc184308065"/>
      <w:bookmarkEnd w:id="247"/>
      <w:bookmarkStart w:id="248" w:name="_Toc184312077"/>
      <w:bookmarkEnd w:id="248"/>
      <w:bookmarkStart w:id="249" w:name="_Toc184314479"/>
      <w:bookmarkEnd w:id="249"/>
      <w:bookmarkStart w:id="250" w:name="_Toc184308043"/>
      <w:bookmarkEnd w:id="250"/>
      <w:bookmarkStart w:id="251" w:name="_Toc184312108"/>
      <w:bookmarkEnd w:id="251"/>
      <w:bookmarkStart w:id="252" w:name="_Toc184314425"/>
      <w:bookmarkEnd w:id="252"/>
      <w:bookmarkStart w:id="253" w:name="_Toc184310337"/>
      <w:bookmarkEnd w:id="253"/>
      <w:bookmarkStart w:id="254" w:name="_Toc184312087"/>
      <w:bookmarkEnd w:id="254"/>
      <w:bookmarkStart w:id="255" w:name="_Toc184308055"/>
      <w:bookmarkEnd w:id="255"/>
      <w:bookmarkStart w:id="256" w:name="_Toc184312130"/>
      <w:bookmarkEnd w:id="256"/>
      <w:bookmarkStart w:id="257" w:name="_Toc184312114"/>
      <w:bookmarkEnd w:id="257"/>
      <w:bookmarkStart w:id="258" w:name="_Toc184308081"/>
      <w:bookmarkEnd w:id="258"/>
      <w:bookmarkStart w:id="259" w:name="_Toc184312123"/>
      <w:bookmarkEnd w:id="259"/>
      <w:bookmarkStart w:id="260" w:name="_Toc184314419"/>
      <w:bookmarkEnd w:id="260"/>
      <w:bookmarkStart w:id="261" w:name="_Toc184313241"/>
      <w:bookmarkEnd w:id="261"/>
      <w:bookmarkStart w:id="262" w:name="_Toc184314470"/>
      <w:bookmarkEnd w:id="262"/>
      <w:bookmarkStart w:id="263" w:name="_Toc184308087"/>
      <w:bookmarkEnd w:id="263"/>
      <w:bookmarkStart w:id="264" w:name="_Toc184310301"/>
      <w:bookmarkEnd w:id="264"/>
      <w:bookmarkStart w:id="265" w:name="_Toc184308075"/>
      <w:bookmarkEnd w:id="265"/>
      <w:bookmarkStart w:id="266" w:name="_Toc184310273"/>
      <w:bookmarkEnd w:id="266"/>
      <w:bookmarkStart w:id="267" w:name="_Toc184308085"/>
      <w:bookmarkEnd w:id="267"/>
      <w:bookmarkStart w:id="268" w:name="_Toc184314416"/>
      <w:bookmarkEnd w:id="268"/>
      <w:bookmarkStart w:id="269" w:name="_Toc184308064"/>
      <w:bookmarkEnd w:id="269"/>
      <w:bookmarkStart w:id="270" w:name="_Toc184313304"/>
      <w:bookmarkEnd w:id="270"/>
      <w:bookmarkStart w:id="271" w:name="_Toc184312109"/>
      <w:bookmarkEnd w:id="271"/>
      <w:bookmarkStart w:id="272" w:name="_Toc184308040"/>
      <w:bookmarkEnd w:id="272"/>
      <w:bookmarkStart w:id="273" w:name="_Toc184314423"/>
      <w:bookmarkEnd w:id="273"/>
      <w:bookmarkStart w:id="274" w:name="_Toc184308083"/>
      <w:bookmarkEnd w:id="274"/>
      <w:bookmarkStart w:id="275" w:name="_Toc184312120"/>
      <w:bookmarkEnd w:id="275"/>
      <w:bookmarkStart w:id="276" w:name="_Toc184314453"/>
      <w:bookmarkEnd w:id="276"/>
      <w:bookmarkStart w:id="277" w:name="_Toc184313294"/>
      <w:bookmarkEnd w:id="277"/>
      <w:bookmarkStart w:id="278" w:name="_Toc184310275"/>
      <w:bookmarkEnd w:id="278"/>
      <w:bookmarkStart w:id="279" w:name="_Toc184310290"/>
      <w:bookmarkEnd w:id="279"/>
      <w:bookmarkStart w:id="280" w:name="_Toc184310278"/>
      <w:bookmarkEnd w:id="280"/>
      <w:bookmarkStart w:id="281" w:name="_Toc184313298"/>
      <w:bookmarkEnd w:id="281"/>
      <w:bookmarkStart w:id="282" w:name="_Toc184312137"/>
      <w:bookmarkEnd w:id="282"/>
      <w:bookmarkStart w:id="283" w:name="_Toc184308048"/>
      <w:bookmarkEnd w:id="283"/>
      <w:bookmarkStart w:id="284" w:name="_Toc184308057"/>
      <w:bookmarkEnd w:id="284"/>
      <w:bookmarkStart w:id="285" w:name="_Toc184312084"/>
      <w:bookmarkEnd w:id="285"/>
      <w:bookmarkStart w:id="286" w:name="_Toc184313310"/>
      <w:bookmarkEnd w:id="286"/>
      <w:bookmarkStart w:id="287" w:name="_Toc184312068"/>
      <w:bookmarkEnd w:id="287"/>
      <w:bookmarkStart w:id="288" w:name="_Toc184310340"/>
      <w:bookmarkEnd w:id="288"/>
      <w:bookmarkStart w:id="289" w:name="_Toc184314436"/>
      <w:bookmarkEnd w:id="289"/>
      <w:bookmarkStart w:id="290" w:name="_Toc184314458"/>
      <w:bookmarkEnd w:id="290"/>
      <w:bookmarkStart w:id="291" w:name="_Toc184314459"/>
      <w:bookmarkEnd w:id="291"/>
      <w:bookmarkStart w:id="292" w:name="_Toc184310291"/>
      <w:bookmarkEnd w:id="292"/>
      <w:bookmarkStart w:id="293" w:name="_Toc184312112"/>
      <w:bookmarkEnd w:id="293"/>
      <w:bookmarkStart w:id="294" w:name="_Toc184308084"/>
      <w:bookmarkEnd w:id="294"/>
      <w:bookmarkStart w:id="295" w:name="_Toc184310317"/>
      <w:bookmarkEnd w:id="295"/>
      <w:bookmarkStart w:id="296" w:name="_Toc184314413"/>
      <w:bookmarkEnd w:id="296"/>
      <w:bookmarkStart w:id="297" w:name="_Toc184312072"/>
      <w:bookmarkEnd w:id="297"/>
      <w:bookmarkStart w:id="298" w:name="_Toc184314452"/>
      <w:bookmarkEnd w:id="298"/>
      <w:bookmarkStart w:id="299" w:name="_Toc184314466"/>
      <w:bookmarkEnd w:id="299"/>
      <w:bookmarkStart w:id="300" w:name="_Toc184308049"/>
      <w:bookmarkEnd w:id="300"/>
      <w:bookmarkStart w:id="301" w:name="_Toc184312094"/>
      <w:bookmarkEnd w:id="301"/>
      <w:bookmarkStart w:id="302" w:name="_Toc184313285"/>
      <w:bookmarkEnd w:id="302"/>
      <w:bookmarkStart w:id="303" w:name="_Toc184312134"/>
      <w:bookmarkEnd w:id="303"/>
      <w:bookmarkStart w:id="304" w:name="_Toc184312076"/>
      <w:bookmarkEnd w:id="304"/>
      <w:bookmarkStart w:id="305" w:name="_Toc184314443"/>
      <w:bookmarkEnd w:id="305"/>
      <w:bookmarkStart w:id="306" w:name="_Toc184308104"/>
      <w:bookmarkEnd w:id="306"/>
      <w:bookmarkStart w:id="307" w:name="_Toc184313247"/>
      <w:bookmarkEnd w:id="307"/>
      <w:bookmarkStart w:id="308" w:name="_Toc184308090"/>
      <w:bookmarkEnd w:id="308"/>
      <w:bookmarkStart w:id="309" w:name="_Toc184310304"/>
      <w:bookmarkEnd w:id="309"/>
      <w:bookmarkStart w:id="310" w:name="_Toc184308102"/>
      <w:bookmarkEnd w:id="310"/>
      <w:bookmarkStart w:id="311" w:name="_Toc184308046"/>
      <w:bookmarkEnd w:id="311"/>
      <w:bookmarkStart w:id="312" w:name="_Toc184308088"/>
      <w:bookmarkEnd w:id="312"/>
      <w:bookmarkStart w:id="313" w:name="_Toc184312113"/>
      <w:bookmarkEnd w:id="313"/>
      <w:bookmarkStart w:id="314" w:name="_Toc184312119"/>
      <w:bookmarkEnd w:id="314"/>
      <w:bookmarkStart w:id="315" w:name="_Toc184310325"/>
      <w:bookmarkEnd w:id="315"/>
      <w:bookmarkStart w:id="316" w:name="_Toc184308061"/>
      <w:bookmarkEnd w:id="316"/>
      <w:bookmarkStart w:id="317" w:name="_Toc184312117"/>
      <w:bookmarkEnd w:id="317"/>
      <w:bookmarkStart w:id="318" w:name="_Toc184310331"/>
      <w:bookmarkEnd w:id="318"/>
      <w:bookmarkStart w:id="319" w:name="_Toc184308068"/>
      <w:bookmarkEnd w:id="319"/>
      <w:bookmarkStart w:id="320" w:name="_Toc184308074"/>
      <w:bookmarkEnd w:id="320"/>
      <w:bookmarkStart w:id="321" w:name="_Toc184310321"/>
      <w:bookmarkEnd w:id="321"/>
      <w:bookmarkStart w:id="322" w:name="_Toc184312132"/>
      <w:bookmarkEnd w:id="322"/>
      <w:bookmarkStart w:id="323" w:name="_Toc184308047"/>
      <w:bookmarkEnd w:id="323"/>
      <w:bookmarkStart w:id="324" w:name="_Toc184310327"/>
      <w:bookmarkEnd w:id="324"/>
      <w:bookmarkStart w:id="325" w:name="_Toc184308099"/>
      <w:bookmarkEnd w:id="325"/>
      <w:bookmarkStart w:id="326" w:name="_Toc184314465"/>
      <w:bookmarkEnd w:id="326"/>
      <w:bookmarkStart w:id="327" w:name="_Toc184313273"/>
      <w:bookmarkEnd w:id="327"/>
      <w:bookmarkStart w:id="328" w:name="_Toc184312091"/>
      <w:bookmarkEnd w:id="328"/>
      <w:bookmarkStart w:id="329" w:name="_Toc184308051"/>
      <w:bookmarkEnd w:id="329"/>
      <w:bookmarkStart w:id="330" w:name="_Toc184313263"/>
      <w:bookmarkEnd w:id="330"/>
      <w:bookmarkStart w:id="331" w:name="_Toc184310288"/>
      <w:bookmarkEnd w:id="331"/>
      <w:bookmarkStart w:id="332" w:name="_Toc184312126"/>
      <w:bookmarkEnd w:id="332"/>
      <w:bookmarkStart w:id="333" w:name="_Toc184310305"/>
      <w:bookmarkEnd w:id="333"/>
      <w:bookmarkStart w:id="334" w:name="_Toc184313248"/>
      <w:bookmarkEnd w:id="334"/>
      <w:bookmarkStart w:id="335" w:name="_Toc184310308"/>
      <w:bookmarkEnd w:id="335"/>
      <w:bookmarkStart w:id="336" w:name="_Toc184310334"/>
      <w:bookmarkEnd w:id="336"/>
      <w:bookmarkStart w:id="337" w:name="_Toc184312069"/>
      <w:bookmarkEnd w:id="337"/>
      <w:bookmarkStart w:id="338" w:name="_Toc184312121"/>
      <w:bookmarkEnd w:id="338"/>
      <w:bookmarkStart w:id="339" w:name="_Toc184313258"/>
      <w:bookmarkEnd w:id="339"/>
      <w:bookmarkStart w:id="340" w:name="_Toc184312136"/>
      <w:bookmarkEnd w:id="340"/>
      <w:bookmarkStart w:id="341" w:name="_Toc184314475"/>
      <w:bookmarkEnd w:id="341"/>
      <w:bookmarkStart w:id="342" w:name="_Toc184308103"/>
      <w:bookmarkEnd w:id="342"/>
      <w:bookmarkStart w:id="343" w:name="_Toc184313287"/>
      <w:bookmarkEnd w:id="343"/>
      <w:bookmarkStart w:id="344" w:name="_Toc184314476"/>
      <w:bookmarkEnd w:id="344"/>
      <w:bookmarkStart w:id="345" w:name="_Toc184308098"/>
      <w:bookmarkEnd w:id="345"/>
      <w:bookmarkStart w:id="346" w:name="_Toc184312096"/>
      <w:bookmarkEnd w:id="346"/>
      <w:bookmarkStart w:id="347" w:name="_Toc184310286"/>
      <w:bookmarkEnd w:id="347"/>
      <w:bookmarkStart w:id="348" w:name="_Toc184312135"/>
      <w:bookmarkEnd w:id="348"/>
      <w:bookmarkStart w:id="349" w:name="_Toc184313303"/>
      <w:bookmarkEnd w:id="349"/>
      <w:bookmarkStart w:id="350" w:name="_Toc184312116"/>
      <w:bookmarkEnd w:id="350"/>
      <w:bookmarkStart w:id="351" w:name="_Toc184313281"/>
      <w:bookmarkEnd w:id="351"/>
      <w:bookmarkStart w:id="352" w:name="_Toc184310309"/>
      <w:bookmarkEnd w:id="352"/>
      <w:bookmarkStart w:id="353" w:name="_Toc184310329"/>
      <w:bookmarkEnd w:id="353"/>
      <w:bookmarkStart w:id="354" w:name="_Toc184308056"/>
      <w:bookmarkEnd w:id="354"/>
      <w:bookmarkStart w:id="355" w:name="_Toc184312118"/>
      <w:bookmarkEnd w:id="355"/>
      <w:bookmarkStart w:id="356" w:name="_Toc184310336"/>
      <w:bookmarkEnd w:id="356"/>
      <w:bookmarkStart w:id="357" w:name="_Toc184314424"/>
      <w:bookmarkEnd w:id="357"/>
      <w:bookmarkStart w:id="358" w:name="_Toc184310315"/>
      <w:bookmarkEnd w:id="358"/>
      <w:bookmarkStart w:id="359" w:name="_Toc184312088"/>
      <w:bookmarkEnd w:id="359"/>
      <w:bookmarkStart w:id="360" w:name="_Toc184308107"/>
      <w:bookmarkEnd w:id="360"/>
      <w:bookmarkStart w:id="361" w:name="_Toc184312133"/>
      <w:bookmarkEnd w:id="361"/>
      <w:bookmarkStart w:id="362" w:name="_Toc184314481"/>
      <w:bookmarkEnd w:id="362"/>
      <w:bookmarkStart w:id="363" w:name="_Toc184310280"/>
      <w:bookmarkEnd w:id="363"/>
      <w:bookmarkStart w:id="364" w:name="_Toc184310307"/>
      <w:bookmarkEnd w:id="364"/>
      <w:bookmarkStart w:id="365" w:name="_Toc184313242"/>
      <w:bookmarkEnd w:id="365"/>
      <w:bookmarkStart w:id="366" w:name="_Toc184308070"/>
      <w:bookmarkEnd w:id="366"/>
      <w:bookmarkStart w:id="367" w:name="_Toc184313297"/>
      <w:bookmarkEnd w:id="367"/>
      <w:bookmarkStart w:id="368" w:name="_Toc184308092"/>
      <w:bookmarkEnd w:id="368"/>
      <w:bookmarkStart w:id="369" w:name="_Toc184312083"/>
      <w:bookmarkEnd w:id="369"/>
      <w:bookmarkStart w:id="370" w:name="_Toc184308077"/>
      <w:bookmarkEnd w:id="370"/>
      <w:bookmarkStart w:id="371" w:name="_Toc184310322"/>
      <w:bookmarkEnd w:id="371"/>
      <w:bookmarkStart w:id="372" w:name="_Toc184314441"/>
      <w:bookmarkEnd w:id="372"/>
      <w:bookmarkStart w:id="373" w:name="_Toc184312125"/>
      <w:bookmarkEnd w:id="373"/>
      <w:bookmarkStart w:id="374" w:name="_Toc184308073"/>
      <w:bookmarkEnd w:id="374"/>
      <w:bookmarkStart w:id="375" w:name="_Toc184308078"/>
      <w:bookmarkEnd w:id="375"/>
      <w:bookmarkStart w:id="376" w:name="_Toc184312122"/>
      <w:bookmarkEnd w:id="376"/>
      <w:bookmarkStart w:id="377" w:name="_Toc184313288"/>
      <w:bookmarkEnd w:id="377"/>
      <w:bookmarkStart w:id="378" w:name="_Toc184312098"/>
      <w:bookmarkEnd w:id="378"/>
      <w:bookmarkStart w:id="379" w:name="_Toc184310294"/>
      <w:bookmarkEnd w:id="379"/>
      <w:bookmarkStart w:id="380" w:name="_Toc184313279"/>
      <w:bookmarkEnd w:id="380"/>
      <w:bookmarkStart w:id="381" w:name="_Toc184308036"/>
      <w:bookmarkEnd w:id="381"/>
      <w:bookmarkStart w:id="382" w:name="_Toc184312131"/>
      <w:bookmarkEnd w:id="382"/>
      <w:bookmarkStart w:id="383" w:name="_Toc184314437"/>
      <w:bookmarkEnd w:id="383"/>
      <w:bookmarkStart w:id="384" w:name="_Toc184308054"/>
      <w:bookmarkEnd w:id="384"/>
      <w:bookmarkStart w:id="385" w:name="_Toc184313253"/>
      <w:bookmarkEnd w:id="385"/>
      <w:bookmarkStart w:id="386" w:name="_Toc184312128"/>
      <w:bookmarkEnd w:id="386"/>
      <w:bookmarkStart w:id="387" w:name="_Toc184313251"/>
      <w:bookmarkEnd w:id="387"/>
      <w:bookmarkStart w:id="388" w:name="_Toc184310302"/>
      <w:bookmarkEnd w:id="388"/>
      <w:bookmarkStart w:id="389" w:name="_Toc184308072"/>
      <w:bookmarkEnd w:id="389"/>
      <w:bookmarkStart w:id="390" w:name="_Toc184310310"/>
      <w:bookmarkEnd w:id="390"/>
      <w:bookmarkStart w:id="391" w:name="_Toc184310338"/>
      <w:bookmarkEnd w:id="391"/>
      <w:bookmarkStart w:id="392" w:name="_Toc184312090"/>
      <w:bookmarkEnd w:id="392"/>
      <w:bookmarkStart w:id="393" w:name="_Toc184314446"/>
      <w:bookmarkEnd w:id="393"/>
      <w:bookmarkStart w:id="394" w:name="_Toc184313280"/>
      <w:bookmarkEnd w:id="394"/>
      <w:bookmarkStart w:id="395" w:name="_Toc184310330"/>
      <w:bookmarkEnd w:id="395"/>
      <w:bookmarkStart w:id="396" w:name="_Toc184308095"/>
      <w:bookmarkEnd w:id="396"/>
      <w:bookmarkStart w:id="397" w:name="_Toc184313284"/>
      <w:bookmarkEnd w:id="397"/>
      <w:bookmarkStart w:id="398" w:name="_Toc184308076"/>
      <w:bookmarkEnd w:id="398"/>
      <w:bookmarkStart w:id="399" w:name="_Toc184314454"/>
      <w:bookmarkEnd w:id="399"/>
      <w:bookmarkStart w:id="400" w:name="_Toc184313290"/>
      <w:bookmarkEnd w:id="400"/>
      <w:bookmarkStart w:id="401" w:name="_Toc184314451"/>
      <w:bookmarkEnd w:id="401"/>
      <w:bookmarkStart w:id="402" w:name="_Toc184312110"/>
      <w:bookmarkEnd w:id="40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1617" w:tblpY="126"/>
        <w:tblW w:w="56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63"/>
        <w:gridCol w:w="5916"/>
        <w:gridCol w:w="101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序号</w:t>
            </w:r>
          </w:p>
        </w:tc>
        <w:tc>
          <w:tcPr>
            <w:tcW w:w="6680" w:type="dxa"/>
            <w:gridSpan w:val="2"/>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评标标准</w:t>
            </w:r>
          </w:p>
        </w:tc>
        <w:tc>
          <w:tcPr>
            <w:tcW w:w="101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权重</w:t>
            </w:r>
          </w:p>
        </w:tc>
        <w:tc>
          <w:tcPr>
            <w:tcW w:w="1037" w:type="dxa"/>
            <w:vAlign w:val="center"/>
          </w:tcPr>
          <w:p>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76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需求理解</w:t>
            </w:r>
          </w:p>
        </w:tc>
        <w:tc>
          <w:tcPr>
            <w:tcW w:w="5917" w:type="dxa"/>
            <w:vAlign w:val="center"/>
          </w:tcPr>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根据招投标相关工作要求，结合拱墅区实际情况，提供针对保障拱墅区政府大楼信息网络、云计算平台、机房设施等软硬件基础设施全天候整体安全稳定运行的理解，在投标方案中提供全天候整体安全稳定运行介绍，描述清晰且准确的得4-6分，描述存在偏差或系统功能缺少的得2-3分，描述严重偏离实际情况或未能提供的得0-1分；（共6分）</w:t>
            </w:r>
          </w:p>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针对三个网络信息机房（台州路机房、人防大厦机房、原区行政服务中心机房）内过保的网络、安全、存储系统等设备提供维保服务的理解，提供网络、安全、存储系统等设备提供维保服务的介绍，描述清晰且准确的得4-6分，描述存在偏差或系统功能缺少的得2-3分，描述严重偏离实际情况或未能提供的得0-1分；（共6分）</w:t>
            </w:r>
          </w:p>
          <w:p>
            <w:pPr>
              <w:pStyle w:val="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人提供针对数字化转型及信息化项目工作辅助管理服务和智慧电子政务综合运维服务的理解并提供相关介绍，描述清晰且准确的得4-6分，描述存在偏差或系统功能缺少的得2-3分，描述严重偏离实际情况或未能提供的得0-1分；（共6分）</w:t>
            </w:r>
          </w:p>
        </w:tc>
        <w:tc>
          <w:tcPr>
            <w:tcW w:w="1010" w:type="dxa"/>
            <w:vAlign w:val="center"/>
          </w:tcPr>
          <w:p>
            <w:pPr>
              <w:jc w:val="center"/>
              <w:rPr>
                <w:rFonts w:hint="eastAsia" w:ascii="宋体" w:hAnsi="宋体" w:eastAsia="宋体" w:cs="宋体"/>
                <w:color w:val="auto"/>
                <w:sz w:val="24"/>
                <w:szCs w:val="24"/>
                <w:highlight w:val="none"/>
              </w:rPr>
            </w:pPr>
          </w:p>
          <w:p>
            <w:pPr>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rPr>
              <w:t>18</w:t>
            </w:r>
            <w:r>
              <w:rPr>
                <w:rFonts w:hint="eastAsia" w:ascii="宋体" w:hAnsi="宋体" w:cs="宋体"/>
                <w:color w:val="auto"/>
                <w:sz w:val="24"/>
                <w:szCs w:val="24"/>
                <w:highlight w:val="none"/>
                <w:lang w:val="en-US" w:eastAsia="zh-CN"/>
              </w:rPr>
              <w:t>分</w:t>
            </w:r>
          </w:p>
        </w:tc>
        <w:tc>
          <w:tcPr>
            <w:tcW w:w="1037" w:type="dxa"/>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6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技术规范</w:t>
            </w:r>
          </w:p>
        </w:tc>
        <w:tc>
          <w:tcPr>
            <w:tcW w:w="5917" w:type="dxa"/>
            <w:vAlign w:val="center"/>
          </w:tcPr>
          <w:p>
            <w:pPr>
              <w:pStyle w:val="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rPr>
              <w:t>投标技术规范应答与需求的吻合程度和偏差情况，是否能够满足标书要求，满分24分；带“★”为关键技术指标</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负偏离的每项扣</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分；其他技术指标负偏离的每项扣2分。</w:t>
            </w:r>
          </w:p>
        </w:tc>
        <w:tc>
          <w:tcPr>
            <w:tcW w:w="1010" w:type="dxa"/>
            <w:vAlign w:val="center"/>
          </w:tcPr>
          <w:p>
            <w:pPr>
              <w:jc w:val="center"/>
              <w:rPr>
                <w:rFonts w:hint="eastAsia" w:ascii="宋体" w:hAnsi="宋体" w:eastAsia="宋体" w:cs="宋体"/>
                <w:color w:val="auto"/>
                <w:sz w:val="24"/>
                <w:szCs w:val="24"/>
                <w:highlight w:val="none"/>
              </w:rPr>
            </w:pPr>
          </w:p>
          <w:p>
            <w:pPr>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u w:val="none"/>
              </w:rPr>
              <w:t>24</w:t>
            </w:r>
            <w:r>
              <w:rPr>
                <w:rFonts w:hint="eastAsia" w:ascii="宋体" w:hAnsi="宋体" w:cs="宋体"/>
                <w:color w:val="auto"/>
                <w:sz w:val="24"/>
                <w:szCs w:val="24"/>
                <w:highlight w:val="none"/>
                <w:u w:val="none"/>
                <w:lang w:val="en-US" w:eastAsia="zh-CN"/>
              </w:rPr>
              <w:t>分</w:t>
            </w:r>
          </w:p>
        </w:tc>
        <w:tc>
          <w:tcPr>
            <w:tcW w:w="1037" w:type="dxa"/>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6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服务方案</w:t>
            </w:r>
          </w:p>
        </w:tc>
        <w:tc>
          <w:tcPr>
            <w:tcW w:w="5917" w:type="dxa"/>
            <w:vAlign w:val="center"/>
          </w:tcPr>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合拱墅区实际情况提供台州路1号政府大楼运维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合拱墅区实际情况提供三个网络信息机房（台州路机房、人防大厦机房、原区行政服务中心机房）内过保的网络、安全、存储系统等设备提供维保服务的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合拱墅区实际情况提供数字化转型及信息化项目工作辅助管理服务的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合拱墅区实际情况提供智慧电子政务综合运维服务的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结合拱墅区实际情况提供数据工作驻场服务方案，服务方案科学合理且满足招标文件服务内容、范围、目标等要求，针对服务方案的科学性、合理性、针对性进行评分，优秀得（4-5）分，良好得（2-3）分，一般得（0-1）分；（共5分）</w:t>
            </w:r>
          </w:p>
        </w:tc>
        <w:tc>
          <w:tcPr>
            <w:tcW w:w="1010" w:type="dxa"/>
            <w:vAlign w:val="center"/>
          </w:tcPr>
          <w:p>
            <w:pPr>
              <w:jc w:val="center"/>
              <w:rPr>
                <w:rFonts w:hint="eastAsia" w:ascii="宋体" w:hAnsi="宋体" w:eastAsia="宋体" w:cs="宋体"/>
                <w:color w:val="auto"/>
                <w:sz w:val="24"/>
                <w:szCs w:val="24"/>
                <w:highlight w:val="none"/>
              </w:rPr>
            </w:pPr>
          </w:p>
          <w:p>
            <w:pPr>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lang w:val="en-US" w:eastAsia="zh-CN"/>
              </w:rPr>
              <w:t>分</w:t>
            </w:r>
          </w:p>
        </w:tc>
        <w:tc>
          <w:tcPr>
            <w:tcW w:w="1037" w:type="dxa"/>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76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组织实施方案</w:t>
            </w:r>
          </w:p>
        </w:tc>
        <w:tc>
          <w:tcPr>
            <w:tcW w:w="5917" w:type="dxa"/>
            <w:vAlign w:val="center"/>
          </w:tcPr>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1、针对投标人提供组织实施方案的科学性、合理性、规范性、安全性和可操作性进行评分，提供包括但不限于工作时间进度表、工作程序和步骤、管理和协调方法、关键步骤的思路和要点等内容，方案合理得3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分，较合理得2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-3分，一般得1-2分，未提供不得分；（共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2、针对投标人提供的应急预案的合理性、可行性情况进行评分，方案合理得</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分，较合理得2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-3分，一般得1-2分，未提供不得分；（共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pStyle w:val="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3、投标人深入理解招标人</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采购需求并提出明确的质量保证目标，质量保证措施和体系合理先进并具有详细的实施内容，合理得3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-4分，较合理得2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-3分，一般得1-2分，未提供不得分。（共4分）</w:t>
            </w:r>
          </w:p>
        </w:tc>
        <w:tc>
          <w:tcPr>
            <w:tcW w:w="1010" w:type="dxa"/>
            <w:vAlign w:val="center"/>
          </w:tcPr>
          <w:p>
            <w:pPr>
              <w:jc w:val="center"/>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分</w:t>
            </w:r>
          </w:p>
        </w:tc>
        <w:tc>
          <w:tcPr>
            <w:tcW w:w="1037"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6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项目组人员素质情况</w:t>
            </w:r>
          </w:p>
        </w:tc>
        <w:tc>
          <w:tcPr>
            <w:tcW w:w="5917" w:type="dxa"/>
            <w:vAlign w:val="center"/>
          </w:tcPr>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1、项目经理（或项目负责人）同时具有高级信息系统项目管理师、高级工程师及以上职称证书（信息技术方向）和IPMA证书（符合得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分，不符合不得分，共</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33"/>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2、项目技术负责人同时具有高级工程师职称及CCIE证书（符合得2分，不符合不得分，共2分）</w:t>
            </w:r>
          </w:p>
          <w:p>
            <w:pPr>
              <w:pStyle w:val="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注：项目组人员应为投标人在职人员，提供开标前三个月内任意一个月社保证明扫描件、证书进行评分，联合体投标的联合体任一成员提供证明材料即可得分，未提供或不符合以上条件不得分。</w:t>
            </w:r>
          </w:p>
        </w:tc>
        <w:tc>
          <w:tcPr>
            <w:tcW w:w="1010" w:type="dxa"/>
            <w:vAlign w:val="center"/>
          </w:tcPr>
          <w:p>
            <w:pPr>
              <w:jc w:val="center"/>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分</w:t>
            </w:r>
          </w:p>
        </w:tc>
        <w:tc>
          <w:tcPr>
            <w:tcW w:w="1037"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76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投标人情况</w:t>
            </w:r>
          </w:p>
        </w:tc>
        <w:tc>
          <w:tcPr>
            <w:tcW w:w="5917" w:type="dxa"/>
            <w:vAlign w:val="center"/>
          </w:tcPr>
          <w:p>
            <w:pPr>
              <w:pStyle w:val="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投标人具有政府部门（企业）或第三方权威鉴定机构出具有效期范围内的ISO20000信息技术服务管理体系认证证书、ISO27001信息安全管理体系认证证书、ISO90001质量管理体系认证证书、ISO14001环境管理体系认证</w:t>
            </w:r>
            <w:r>
              <w:rPr>
                <w:rFonts w:hint="eastAsia" w:ascii="宋体" w:hAnsi="宋体" w:eastAsia="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ISO45001职业健康安全管理体系认证证书及ITSS信息技术服务运行维护</w:t>
            </w:r>
            <w:r>
              <w:rPr>
                <w:rFonts w:hint="eastAsia" w:ascii="宋体" w:hAnsi="宋体" w:eastAsia="宋体" w:cs="宋体"/>
                <w:color w:val="auto"/>
                <w:kern w:val="0"/>
                <w:sz w:val="24"/>
                <w:szCs w:val="24"/>
                <w:highlight w:val="none"/>
                <w:lang w:val="en-US" w:eastAsia="zh-CN"/>
              </w:rPr>
              <w:t>认证证书</w:t>
            </w:r>
            <w:r>
              <w:rPr>
                <w:rFonts w:hint="eastAsia" w:ascii="宋体" w:hAnsi="宋体" w:eastAsia="宋体" w:cs="宋体"/>
                <w:color w:val="auto"/>
                <w:kern w:val="0"/>
                <w:sz w:val="24"/>
                <w:szCs w:val="24"/>
                <w:highlight w:val="none"/>
              </w:rPr>
              <w:t>，且均在有效期内，每提供一项证书得0.5分，最高得3分；联合体投标的联合体任一成员提供证明材料即可得分，未提供或不符合以上条件不得分。</w:t>
            </w:r>
          </w:p>
        </w:tc>
        <w:tc>
          <w:tcPr>
            <w:tcW w:w="101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w:t>
            </w:r>
          </w:p>
        </w:tc>
        <w:tc>
          <w:tcPr>
            <w:tcW w:w="1037"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763"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类似业绩</w:t>
            </w:r>
          </w:p>
        </w:tc>
        <w:tc>
          <w:tcPr>
            <w:tcW w:w="5917" w:type="dxa"/>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2019年1月1日（合同签订时间）以来，投标人承担类似运维服务或设备维保案例，每个得0.5分，此项最高得1分。</w:t>
            </w:r>
          </w:p>
          <w:p>
            <w:pPr>
              <w:pStyle w:val="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注：提供业绩合同复印件并加盖公章，</w:t>
            </w:r>
            <w:r>
              <w:rPr>
                <w:rFonts w:hint="eastAsia" w:ascii="宋体" w:hAnsi="宋体" w:eastAsia="宋体" w:cs="宋体"/>
                <w:color w:val="auto"/>
                <w:kern w:val="0"/>
                <w:sz w:val="24"/>
                <w:szCs w:val="24"/>
                <w:highlight w:val="none"/>
                <w:lang w:bidi="ar"/>
              </w:rPr>
              <w:t>联合体投标的联合体任一成员提供证明材料即可得分，</w:t>
            </w:r>
            <w:r>
              <w:rPr>
                <w:rFonts w:hint="eastAsia" w:ascii="宋体" w:hAnsi="宋体" w:eastAsia="宋体" w:cs="宋体"/>
                <w:color w:val="auto"/>
                <w:sz w:val="24"/>
                <w:szCs w:val="24"/>
                <w:highlight w:val="none"/>
              </w:rPr>
              <w:t>未提供或不符合以上条件不得分。</w:t>
            </w:r>
          </w:p>
        </w:tc>
        <w:tc>
          <w:tcPr>
            <w:tcW w:w="1010" w:type="dxa"/>
            <w:vAlign w:val="center"/>
          </w:tcPr>
          <w:p>
            <w:pPr>
              <w:jc w:val="center"/>
              <w:rPr>
                <w:rFonts w:hint="eastAsia" w:ascii="宋体" w:hAnsi="宋体" w:eastAsia="宋体" w:cs="宋体"/>
                <w:color w:val="auto"/>
                <w:sz w:val="24"/>
                <w:szCs w:val="24"/>
                <w:highlight w:val="none"/>
              </w:rPr>
            </w:pPr>
          </w:p>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分</w:t>
            </w:r>
          </w:p>
        </w:tc>
        <w:tc>
          <w:tcPr>
            <w:tcW w:w="1037"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860" w:type="dxa"/>
            <w:vAlign w:val="center"/>
          </w:tcPr>
          <w:p>
            <w:pPr>
              <w:spacing w:line="360" w:lineRule="auto"/>
              <w:ind w:firstLine="240" w:firstLineChars="10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63" w:type="dxa"/>
            <w:vAlign w:val="center"/>
          </w:tcPr>
          <w:p>
            <w:pPr>
              <w:spacing w:line="360" w:lineRule="auto"/>
              <w:ind w:firstLine="240" w:firstLineChars="100"/>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价格</w:t>
            </w:r>
          </w:p>
        </w:tc>
        <w:tc>
          <w:tcPr>
            <w:tcW w:w="5917" w:type="dxa"/>
            <w:vAlign w:val="center"/>
          </w:tcPr>
          <w:p>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1010" w:type="dxa"/>
            <w:vAlign w:val="center"/>
          </w:tcPr>
          <w:p>
            <w:pPr>
              <w:spacing w:line="360" w:lineRule="auto"/>
              <w:ind w:firstLine="120" w:firstLineChars="5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分</w:t>
            </w:r>
          </w:p>
        </w:tc>
        <w:tc>
          <w:tcPr>
            <w:tcW w:w="1037"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eastAsia="宋体" w:cs="宋体"/>
          <w:color w:val="auto"/>
          <w:szCs w:val="21"/>
          <w:highlight w:val="none"/>
        </w:rPr>
      </w:pPr>
      <w:r>
        <w:rPr>
          <w:rFonts w:hint="eastAsia" w:ascii="宋体" w:hAnsi="宋体" w:eastAsia="宋体" w:cs="宋体"/>
          <w:color w:val="auto"/>
          <w:kern w:val="0"/>
          <w:szCs w:val="24"/>
          <w:highlight w:val="none"/>
        </w:rPr>
        <w:t>3.4.5</w:t>
      </w:r>
      <w:r>
        <w:rPr>
          <w:rFonts w:hint="eastAsia" w:ascii="宋体" w:hAnsi="宋体" w:eastAsia="宋体" w:cs="宋体"/>
          <w:color w:val="auto"/>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8"/>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8"/>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8"/>
        <w:snapToGrid w:val="0"/>
        <w:spacing w:line="360" w:lineRule="auto"/>
        <w:ind w:firstLine="0" w:firstLineChars="0"/>
        <w:rPr>
          <w:rFonts w:hint="eastAsia" w:ascii="宋体" w:hAnsi="宋体" w:eastAsia="宋体" w:cs="宋体"/>
          <w:color w:val="auto"/>
          <w:highlight w:val="none"/>
        </w:rPr>
      </w:pPr>
    </w:p>
    <w:bookmarkEnd w:id="26"/>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3" w:name="第五部分"/>
      <w:bookmarkStart w:id="40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napToGrid w:val="0"/>
        <w:spacing w:line="300" w:lineRule="auto"/>
        <w:jc w:val="center"/>
        <w:rPr>
          <w:rFonts w:hint="eastAsia" w:ascii="宋体" w:hAnsi="宋体" w:eastAsia="宋体" w:cs="宋体"/>
          <w:b/>
          <w:color w:val="auto"/>
          <w:sz w:val="32"/>
          <w:szCs w:val="32"/>
          <w:highlight w:val="none"/>
        </w:rPr>
      </w:pPr>
    </w:p>
    <w:p>
      <w:pPr>
        <w:snapToGrid w:val="0"/>
        <w:spacing w:line="30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【2022年拱墅区信息化综合运维与服务项目】</w:t>
      </w:r>
    </w:p>
    <w:p>
      <w:pPr>
        <w:snapToGrid w:val="0"/>
        <w:spacing w:line="30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w:t>
      </w:r>
    </w:p>
    <w:p>
      <w:pPr>
        <w:snapToGrid w:val="0"/>
        <w:spacing w:line="300" w:lineRule="auto"/>
        <w:jc w:val="right"/>
        <w:rPr>
          <w:rFonts w:hint="eastAsia" w:ascii="宋体" w:hAnsi="宋体" w:eastAsia="宋体" w:cs="宋体"/>
          <w:b/>
          <w:color w:val="auto"/>
          <w:sz w:val="28"/>
          <w:szCs w:val="28"/>
          <w:highlight w:val="none"/>
        </w:rPr>
      </w:pPr>
    </w:p>
    <w:p>
      <w:pPr>
        <w:snapToGrid w:val="0"/>
        <w:spacing w:line="300" w:lineRule="auto"/>
        <w:jc w:val="center"/>
        <w:rPr>
          <w:rFonts w:hint="eastAsia" w:ascii="宋体" w:hAnsi="宋体" w:eastAsia="宋体" w:cs="宋体"/>
          <w:color w:val="auto"/>
          <w:kern w:val="0"/>
          <w:sz w:val="28"/>
          <w:szCs w:val="28"/>
          <w:highlight w:val="none"/>
          <w:lang w:val="zh-CN"/>
        </w:rPr>
      </w:pPr>
      <w:r>
        <w:rPr>
          <w:rFonts w:hint="eastAsia" w:ascii="宋体" w:hAnsi="宋体" w:eastAsia="宋体" w:cs="宋体"/>
          <w:b/>
          <w:color w:val="auto"/>
          <w:sz w:val="28"/>
          <w:szCs w:val="28"/>
          <w:highlight w:val="none"/>
        </w:rPr>
        <w:t>项目编号：</w:t>
      </w:r>
      <w:r>
        <w:rPr>
          <w:rFonts w:hint="eastAsia" w:ascii="宋体" w:hAnsi="宋体" w:eastAsia="宋体" w:cs="宋体"/>
          <w:color w:val="auto"/>
          <w:kern w:val="0"/>
          <w:sz w:val="28"/>
          <w:szCs w:val="28"/>
          <w:highlight w:val="none"/>
          <w:lang w:val="zh-CN"/>
        </w:rPr>
        <w:t>ZJZT-2022-12740</w:t>
      </w:r>
    </w:p>
    <w:p>
      <w:pPr>
        <w:pStyle w:val="2"/>
        <w:jc w:val="center"/>
        <w:rPr>
          <w:rFonts w:hint="eastAsia" w:ascii="宋体" w:hAnsi="宋体" w:eastAsia="宋体" w:cs="宋体"/>
          <w:color w:val="auto"/>
          <w:highlight w:val="none"/>
        </w:rPr>
      </w:pPr>
      <w:r>
        <w:rPr>
          <w:rFonts w:hint="eastAsia" w:ascii="宋体" w:hAnsi="宋体" w:eastAsia="宋体" w:cs="宋体"/>
          <w:color w:val="auto"/>
          <w:kern w:val="0"/>
          <w:szCs w:val="28"/>
          <w:highlight w:val="none"/>
          <w:lang w:val="zh-CN"/>
        </w:rPr>
        <w:t>合同编号【</w:t>
      </w:r>
      <w:r>
        <w:rPr>
          <w:rFonts w:hint="eastAsia" w:ascii="宋体" w:hAnsi="宋体" w:eastAsia="宋体" w:cs="宋体"/>
          <w:color w:val="auto"/>
          <w:kern w:val="0"/>
          <w:szCs w:val="28"/>
          <w:highlight w:val="none"/>
        </w:rPr>
        <w:t xml:space="preserve">     </w:t>
      </w:r>
      <w:r>
        <w:rPr>
          <w:rFonts w:hint="eastAsia" w:ascii="宋体" w:hAnsi="宋体" w:eastAsia="宋体" w:cs="宋体"/>
          <w:color w:val="auto"/>
          <w:kern w:val="0"/>
          <w:szCs w:val="28"/>
          <w:highlight w:val="none"/>
          <w:lang w:val="zh-CN"/>
        </w:rPr>
        <w:t>】</w:t>
      </w: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rPr>
          <w:rFonts w:hint="eastAsia" w:ascii="宋体" w:hAnsi="宋体" w:eastAsia="宋体" w:cs="宋体"/>
          <w:color w:val="auto"/>
          <w:sz w:val="32"/>
          <w:szCs w:val="32"/>
          <w:highlight w:val="none"/>
        </w:rPr>
      </w:pPr>
    </w:p>
    <w:p>
      <w:pPr>
        <w:pStyle w:val="2"/>
        <w:ind w:firstLine="0"/>
        <w:jc w:val="center"/>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甲方：</w:t>
      </w:r>
      <w:r>
        <w:rPr>
          <w:rFonts w:hint="eastAsia" w:ascii="宋体" w:hAnsi="宋体" w:eastAsia="宋体" w:cs="宋体"/>
          <w:color w:val="auto"/>
          <w:szCs w:val="28"/>
          <w:highlight w:val="none"/>
          <w:u w:val="single"/>
        </w:rPr>
        <w:t>杭州市拱墅区数据资源管理局</w:t>
      </w:r>
    </w:p>
    <w:p>
      <w:pPr>
        <w:pStyle w:val="2"/>
        <w:ind w:firstLine="2578" w:firstLineChars="921"/>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乙方：                          </w:t>
      </w:r>
    </w:p>
    <w:p>
      <w:pPr>
        <w:pStyle w:val="2"/>
        <w:ind w:firstLine="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签署日期：        年    月    日</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br w:type="page"/>
      </w:r>
    </w:p>
    <w:p>
      <w:pPr>
        <w:spacing w:line="360" w:lineRule="auto"/>
        <w:ind w:firstLine="3213" w:firstLineChars="10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合同条款</w:t>
      </w:r>
    </w:p>
    <w:p>
      <w:pPr>
        <w:pStyle w:val="2"/>
        <w:snapToGrid w:val="0"/>
        <w:ind w:firstLine="0"/>
        <w:jc w:val="center"/>
        <w:rPr>
          <w:rFonts w:hint="eastAsia" w:ascii="宋体" w:hAnsi="宋体" w:eastAsia="宋体" w:cs="宋体"/>
          <w:color w:val="auto"/>
          <w:sz w:val="18"/>
          <w:szCs w:val="18"/>
          <w:highlight w:val="none"/>
        </w:rPr>
      </w:pPr>
    </w:p>
    <w:p>
      <w:pPr>
        <w:pStyle w:val="2"/>
        <w:snapToGrid w:val="0"/>
        <w:ind w:firstLine="0"/>
        <w:jc w:val="center"/>
        <w:rPr>
          <w:rFonts w:hint="eastAsia" w:ascii="宋体" w:hAnsi="宋体" w:eastAsia="宋体" w:cs="宋体"/>
          <w:color w:val="auto"/>
          <w:sz w:val="18"/>
          <w:szCs w:val="18"/>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杭州市拱墅区数据资源管理局</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【2022年拱墅区信息化综合运维与服务项目】</w:t>
      </w:r>
      <w:r>
        <w:rPr>
          <w:rFonts w:hint="eastAsia" w:ascii="宋体" w:hAnsi="宋体" w:eastAsia="宋体" w:cs="宋体"/>
          <w:color w:val="auto"/>
          <w:sz w:val="24"/>
          <w:szCs w:val="24"/>
          <w:highlight w:val="none"/>
        </w:rPr>
        <w:t>（项目名称）中所需</w:t>
      </w:r>
      <w:r>
        <w:rPr>
          <w:rFonts w:hint="eastAsia" w:ascii="宋体" w:hAnsi="宋体" w:eastAsia="宋体" w:cs="宋体"/>
          <w:color w:val="auto"/>
          <w:sz w:val="24"/>
          <w:szCs w:val="24"/>
          <w:highlight w:val="none"/>
          <w:u w:val="single"/>
        </w:rPr>
        <w:t>【2022年拱墅区信息化综合运维与服务项目</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szCs w:val="24"/>
          <w:highlight w:val="none"/>
        </w:rPr>
        <w:t>（标项名称）经</w:t>
      </w:r>
      <w:r>
        <w:rPr>
          <w:rFonts w:hint="eastAsia" w:ascii="宋体" w:hAnsi="宋体" w:eastAsia="宋体" w:cs="宋体"/>
          <w:color w:val="auto"/>
          <w:kern w:val="0"/>
          <w:sz w:val="24"/>
          <w:szCs w:val="24"/>
          <w:highlight w:val="none"/>
          <w:u w:val="single"/>
        </w:rPr>
        <w:t>杭州市拱墅区数据资源管理局</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sz w:val="24"/>
          <w:szCs w:val="24"/>
          <w:highlight w:val="none"/>
        </w:rPr>
        <w:t>以招标文件（项目编号：</w:t>
      </w:r>
      <w:r>
        <w:rPr>
          <w:rFonts w:hint="eastAsia" w:ascii="宋体" w:hAnsi="宋体" w:eastAsia="宋体" w:cs="宋体"/>
          <w:color w:val="auto"/>
          <w:sz w:val="24"/>
          <w:szCs w:val="24"/>
          <w:highlight w:val="none"/>
          <w:u w:val="single"/>
        </w:rPr>
        <w:t>【ZJZT-2022-12740】</w:t>
      </w:r>
      <w:r>
        <w:rPr>
          <w:rFonts w:hint="eastAsia" w:ascii="宋体" w:hAnsi="宋体" w:eastAsia="宋体" w:cs="宋体"/>
          <w:color w:val="auto"/>
          <w:sz w:val="24"/>
          <w:szCs w:val="24"/>
          <w:highlight w:val="none"/>
        </w:rPr>
        <w:t>）进行公开招标，确定</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（乙方）为中标人。甲、乙双方依据《中华人民共和国政府采购法》、《</w:t>
      </w:r>
      <w:r>
        <w:rPr>
          <w:rFonts w:hint="eastAsia" w:ascii="宋体" w:hAnsi="宋体" w:eastAsia="宋体" w:cs="宋体"/>
          <w:color w:val="auto"/>
          <w:sz w:val="24"/>
          <w:szCs w:val="24"/>
          <w:highlight w:val="none"/>
          <w:lang w:eastAsia="zh-Hans"/>
        </w:rPr>
        <w:t>中华人民共和国</w:t>
      </w:r>
      <w:r>
        <w:rPr>
          <w:rFonts w:hint="eastAsia" w:ascii="宋体" w:hAnsi="宋体" w:eastAsia="宋体" w:cs="宋体"/>
          <w:color w:val="auto"/>
          <w:sz w:val="24"/>
          <w:szCs w:val="24"/>
          <w:highlight w:val="none"/>
        </w:rPr>
        <w:t>民法典》等相关法律法规以及本项目招标文件的规定，在平等自愿的基础上，达成如下合同。</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一、下列文件构成本合同的组成部分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组成本合同的文件及优先解释顺序如下：</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3.询标承诺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以上文件应该认为是一个整体，彼此相互解释和补充。</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二、合同标的物</w:t>
      </w:r>
      <w:r>
        <w:rPr>
          <w:rFonts w:hint="eastAsia" w:ascii="宋体" w:hAnsi="宋体" w:eastAsia="宋体" w:cs="宋体"/>
          <w:color w:val="auto"/>
          <w:sz w:val="24"/>
          <w:szCs w:val="24"/>
          <w:highlight w:val="none"/>
        </w:rPr>
        <w:t>（详见附件清单）</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本合同标的物名称：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本合同标的物数量：</w:t>
      </w:r>
      <w:r>
        <w:rPr>
          <w:rFonts w:hint="eastAsia" w:ascii="宋体" w:hAnsi="宋体" w:eastAsia="宋体" w:cs="宋体"/>
          <w:color w:val="auto"/>
          <w:sz w:val="24"/>
          <w:szCs w:val="24"/>
          <w:highlight w:val="none"/>
          <w:u w:val="single"/>
        </w:rPr>
        <w:t>【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三、合同价款与支付方式</w:t>
      </w:r>
    </w:p>
    <w:p>
      <w:pPr>
        <w:spacing w:line="30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万元人民币（大写：万元整）（含税价，合同价款不受费率变动影响）。</w:t>
      </w:r>
    </w:p>
    <w:p>
      <w:pPr>
        <w:spacing w:line="30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本合同中的支付条件与方式如下（单位：</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rPr>
        <w:t>）：</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0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572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0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5720" w:type="dxa"/>
            <w:noWrap w:val="0"/>
            <w:vAlign w:val="center"/>
          </w:tcPr>
          <w:p>
            <w:pPr>
              <w:widowControl/>
              <w:numPr>
                <w:ilvl w:val="0"/>
                <w:numId w:val="2"/>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双方签订合同后甲方5个工作日内支付；</w:t>
            </w:r>
          </w:p>
          <w:p>
            <w:pPr>
              <w:widowControl/>
              <w:numPr>
                <w:ilvl w:val="0"/>
                <w:numId w:val="2"/>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乙方缴纳履约保证金；</w:t>
            </w:r>
          </w:p>
          <w:p>
            <w:pPr>
              <w:widowControl/>
              <w:numPr>
                <w:ilvl w:val="0"/>
                <w:numId w:val="2"/>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乙方提交《拱墅区网络与信息安全承诺书》（单位）；</w:t>
            </w:r>
          </w:p>
          <w:p>
            <w:pPr>
              <w:widowControl/>
              <w:numPr>
                <w:ilvl w:val="0"/>
                <w:numId w:val="2"/>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乙方提交《拱墅区网络与信息安全保密承诺书》（个人）；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乙方提交《廉政承诺书》。</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0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720" w:type="dxa"/>
            <w:noWrap w:val="0"/>
            <w:vAlign w:val="center"/>
          </w:tcPr>
          <w:p>
            <w:pPr>
              <w:widowControl/>
              <w:numPr>
                <w:ilvl w:val="0"/>
                <w:numId w:val="2"/>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服务期满半年，完成初验并通过。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0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720" w:type="dxa"/>
            <w:noWrap w:val="0"/>
            <w:vAlign w:val="center"/>
          </w:tcPr>
          <w:p>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服务期满并完成终验；</w:t>
            </w:r>
          </w:p>
          <w:p>
            <w:pPr>
              <w:widowControl/>
              <w:numPr>
                <w:ilvl w:val="0"/>
                <w:numId w:val="2"/>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服务期间未发生合同第六款中描述的情况或已按照合同约定扣除履约保证金。</w:t>
            </w:r>
          </w:p>
        </w:tc>
      </w:tr>
    </w:tbl>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乙方收款账户信息：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四、履约保证金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1.乙方应在合同签订后5个工作日内向甲方提交履约保证金为￥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万元（合同金额的1%）。</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2.逾期缴纳履约保证金的，每延迟一周，按履约保证金总金额的0.5%支付违约金，一周按7天计算，不足7天按一周计算。</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3.履约保证金用于赔偿甲方因乙方不能正常履行其合同义务或项目在开发、运行期间产生的安全事故而蒙受的损失。</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4.履约保证金采用转账/银行保函/保险保证等非现金形式缴纳，使用转账形式的，将履约保证金汇入指定账号：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账户名：杭州市拱墅区数据资源管理局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银行账号：3301040160012015429</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开户银行：杭州银行湖墅支行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5.项目建设内容通过竣工验收，服务（维保）期满后双方不存在任何争议的，甲方无息一次性退还履约保证金。</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五、甲乙双方的权利义务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1.甲方的权利义务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（1）甲方将依据本协议对项目进行验收、书面确认。</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（2）乙方将项目制作完成后，项目版权归甲方所有（详见合同第八款）。</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（3）甲方提供项目制作的文本资料和图片，并保证提供的资料不违反国家有关法律，不涉及任何版权的不确定性或者纠纷，如甲方提供的资料涉及上述问题，所引发的经济、法律问题，由甲方承担相应的责任。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（4）甲方须按照协议金额向乙方支付相关费用。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（5）甲方有权利对乙方的工作进展情况进行询问和监督。</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（6）甲方有权对软件进行修改或提出修改意见。</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（7）甲方有权按法律规定和本合同约定解除合同。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2.乙方的权利义务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（1）乙方应按合同约定的时间、质量完成工作。</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（2）乙方有义务保证其制作的网站不侵犯任何第三方的知识产权、商业秘密、个人隐私信息。</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（3）乙方有义务保证其制作的项目内容健康，不违反国家法律法规、社会善良风俗。</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（4）乙方应按招标文件要求派出工作需要的驻场人员。</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（5）甲方有权利对乙方的工作进展情况进行询问和监督。</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（6）甲方有权对项目驻场运维人员出勤率考勤。</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（7）甲方有权按法律规定和本合同约定解除合同。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2.乙方的权利义务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开工后，应根据投标文件承诺的项目组技术人员的构成、数量和能力水平，按合同约定时间入场。合同期内，应确保项目经理及驻场运维人员相对稳定，未经甲方同意，乙方不得在项目合同期内擅自更换项目人员。同时，对项目甲方认定为不称职的乙方的相关项目经理或驻场成员，乙方应无条件及时响应更换要求。</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（2）按照本项目招标文件中“采购需求”，按时保质保量完成各运维任务和硬件设备保修服务，并按要求及时编制、提交各类项目文档。</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（3）乙方有义务保证其制作的项目内容健康，不违反国家法律法规、社会善良风俗。</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（4）在甲方或其指定地点工作时，应遵守相关办公现场的规章、制度；乙方项目人员不得参与可能与合同规定的与甲方的利益相冲突的任何活动。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（5）乙方有义务保证其制作的项目符合合同约定的其他要求。</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（6）乙方不得对本合同项目进行转包或者未经甲方书面同意采取分包。</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（7）乙方需签订《廉政承诺书》，并遵守相关承诺。</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六、违约责任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规定的不可抗力外，如果乙方没有按照招标、投标、本合同规定的数量在合同期限内提供具备相应技术能力运维人员驻场服务，甲方可要求乙方支付违约金。每缺勤一人/日，按合同总价的万分之三向甲方支付违约金。重要会议或重大活动期间未委派资深网络技术人员到场的，按合同总价百分之五向甲方支付违约金，如因此发生网络故障得不到及时有效处理所引起的所有损失由乙方承担，如果违约金累计达到合同金额的20%，甲方有权解除合同，并没收履约保证金。若违约金不足以补偿甲方损失的，超出部分由乙方继续承担。</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2.乙方应做好机房设备维保工作，按招标文件要求在设备发生故障后按甲方要求时限及时予以修复，如超过时限未能修复的，应提供不低于原设备参数要求的同类型设备进行免费更换，</w:t>
      </w:r>
      <w:r>
        <w:rPr>
          <w:rFonts w:hint="eastAsia" w:ascii="宋体" w:hAnsi="宋体" w:eastAsia="宋体" w:cs="宋体"/>
          <w:color w:val="auto"/>
          <w:sz w:val="24"/>
          <w:szCs w:val="24"/>
          <w:highlight w:val="none"/>
          <w:lang w:eastAsia="zh-Hans"/>
        </w:rPr>
        <w:t>并</w:t>
      </w:r>
      <w:r>
        <w:rPr>
          <w:rFonts w:hint="eastAsia" w:ascii="宋体" w:hAnsi="宋体" w:eastAsia="宋体" w:cs="宋体"/>
          <w:color w:val="auto"/>
          <w:sz w:val="24"/>
          <w:szCs w:val="24"/>
          <w:highlight w:val="none"/>
        </w:rPr>
        <w:t>纳入甲方固定资产中，或由甲方自行通过第三方更换，由此产生的费用从乙方合同款中扣除，</w:t>
      </w:r>
      <w:r>
        <w:rPr>
          <w:rFonts w:hint="eastAsia" w:ascii="宋体" w:hAnsi="宋体" w:eastAsia="宋体" w:cs="宋体"/>
          <w:color w:val="auto"/>
          <w:sz w:val="24"/>
          <w:szCs w:val="24"/>
          <w:highlight w:val="none"/>
          <w:lang w:eastAsia="zh-Hans"/>
        </w:rPr>
        <w:t>且甲方</w:t>
      </w:r>
      <w:r>
        <w:rPr>
          <w:rFonts w:hint="eastAsia" w:ascii="宋体" w:hAnsi="宋体" w:eastAsia="宋体" w:cs="宋体"/>
          <w:color w:val="auto"/>
          <w:sz w:val="24"/>
          <w:szCs w:val="24"/>
          <w:highlight w:val="none"/>
        </w:rPr>
        <w:t>有权追究</w:t>
      </w:r>
      <w:r>
        <w:rPr>
          <w:rFonts w:hint="eastAsia" w:ascii="宋体" w:hAnsi="宋体" w:eastAsia="宋体" w:cs="宋体"/>
          <w:color w:val="auto"/>
          <w:sz w:val="24"/>
          <w:szCs w:val="24"/>
          <w:highlight w:val="none"/>
          <w:lang w:eastAsia="zh-Hans"/>
        </w:rPr>
        <w:t>乙方</w:t>
      </w:r>
      <w:r>
        <w:rPr>
          <w:rFonts w:hint="eastAsia" w:ascii="宋体" w:hAnsi="宋体" w:eastAsia="宋体" w:cs="宋体"/>
          <w:color w:val="auto"/>
          <w:sz w:val="24"/>
          <w:szCs w:val="24"/>
          <w:highlight w:val="none"/>
        </w:rPr>
        <w:t>违约责任。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项目合同续存期间由于乙方管理不善等原因，造成安全事故并造成重大影响的，乙方向甲方赔偿合同金额的5%的违约金，违约金不足以赔偿甲方损失的，以甲方实际损失为准，并且，相关法律、经济责任由乙方一并承担。</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4.解除合同时，乙方应在收到甲方通知后一周内退还甲方已支付的合同款，逾期退还合同款的，自超过之日起，每日按未退还金额的0.1%支付违约金。</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未经书面同意出现擅自更换项目负责人和驻场人员的，以及对甲方认定为不称职的相关运维成员未及时落实更换的，乙方均应承担项目人员违约责任。对未到岗人员的罚金计算参照缺勤情形，罚金累计超过履约保证金额度的20%，甲方有权自主确定无条件终止合同，并没收履约保证金。</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6.乙方对监理工程师提出的整改意见不能按时按要求整改完成超过1次，并可能导致影响项目运维质量的，自第2次起，每次按5000元支付违约金。</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违反本合同6.2.2和6.2.3的，应当向甲方支付合同总金额5%的违约金，并且甲方有权解除合同。若违约金不足以补偿甲方损失的，超出部分由乙方继续承担，并且，因乙方违反本合同6.2.2和6.2.3所引起的法律、经济责任均由乙方承担。</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8.乙方转包，或者未经甲方书面同意采取分包方式履行合同的，甲方有权解除合同，乙方应向甲方支付合同总金额5%的违约金，违约金不足以补偿甲方损失的，超出部分由乙方继续承担。</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9.若因一方违约，守约方为主张自身权利而支出的律师费、保全费、诉讼费、差旅费、误工费等相关费用，均由违约方承担。</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七、产权与安全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建设内容中的定制化软件部分知识产权和所有业务应用相关数据产权归甲方所有，乙方不得未经甲方书面许可，擅自使用或提供给第三方。乙方必须提供项目的所有源代码和开发文档，甲方有权对软件进行修改或提出修改意见。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系统建设一般需满足二级或以上信息安全等级保护标准，在项目验收时出具第三方测评报告。参与软件应用开发的企业，以及相关项目管理人员、开发人员需在项目合同签订后提交《保密协议》（单位签订）和《保密承诺书》（个人签订）。</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八、转让和分包</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九、合同变更、解除</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（1）发生不可预见的紧急情况，继续按照原合同履行不能实现采购目的，又不能从其他投标人处采购；</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（2）因甲方的过错导致不能实现采购目的，重新采购费用和违约金、违约损失赔偿金额占合同金额比例过大，但违背国家利益或社会公共利益的除外。</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（3）属于合同主要条款确定的事项，但变更不改变合同实质性内容；</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（4）合同主要条款以外的内容；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2.有下列情形之一的，政府采购合同的双方当事人合意后可以解除合同：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（1）因不可抗力致使不能实现合同目的；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（2）在履行期限届满之前，乙方明确表示或者以自己的行为表示不履行主要义务；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（3）法律、法规规定的其他情形。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3.有下列情形之一的，甲方可以单方解除合同：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（1）乙方迟延履行主要义务，经催告后在合理期限内仍未履行；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（2）乙方迟延履行义务或者有其他违约行为致使不能实现合同目的；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（3）乙方转包，或者未经甲方书面同意采取分包方式履行合同；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（4）法律、法规规定和合同约定的其他情形。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4.甲方依据本合同约定解除合同的，自甲方作出的书面解除合同通知书送达乙方之日起解除，同时应当报</w:t>
      </w:r>
      <w:r>
        <w:rPr>
          <w:rFonts w:hint="eastAsia" w:ascii="宋体" w:hAnsi="宋体" w:eastAsia="宋体" w:cs="宋体"/>
          <w:color w:val="auto"/>
          <w:kern w:val="0"/>
          <w:sz w:val="24"/>
          <w:szCs w:val="24"/>
          <w:highlight w:val="none"/>
        </w:rPr>
        <w:t>同级政府采购监督管理部门</w:t>
      </w:r>
      <w:r>
        <w:rPr>
          <w:rFonts w:hint="eastAsia" w:ascii="宋体" w:hAnsi="宋体" w:eastAsia="宋体" w:cs="宋体"/>
          <w:color w:val="auto"/>
          <w:sz w:val="24"/>
          <w:szCs w:val="24"/>
          <w:highlight w:val="none"/>
        </w:rPr>
        <w:t>备案。</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2.如果双方中任何一方遭遇法律规定的不可抗力，致使合同履行受阻时，履行合同的期限应予延长，延长的期限应相当于不可抗力所影响的时间。但当不可抗力事故持续超过</w:t>
      </w:r>
      <w:r>
        <w:rPr>
          <w:rFonts w:hint="eastAsia" w:ascii="宋体" w:hAnsi="宋体" w:eastAsia="宋体" w:cs="宋体"/>
          <w:color w:val="auto"/>
          <w:sz w:val="24"/>
          <w:szCs w:val="24"/>
          <w:highlight w:val="none"/>
          <w:u w:val="single"/>
        </w:rPr>
        <w:t>120</w:t>
      </w:r>
      <w:r>
        <w:rPr>
          <w:rFonts w:hint="eastAsia" w:ascii="宋体" w:hAnsi="宋体" w:eastAsia="宋体" w:cs="宋体"/>
          <w:color w:val="auto"/>
          <w:sz w:val="24"/>
          <w:szCs w:val="24"/>
          <w:highlight w:val="none"/>
        </w:rPr>
        <w:t xml:space="preserve"> 天的，且双方未就合同的继续履行达成一致意见的，未受不可抗力影响的一方有权书面通知受阻方终止合同。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3.受事故影响的一方应在不可抗力的事故发生后尽快书面形式通知另一方，并在事故影响消除后</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个工作日内，将有关部门出具的证明文件、详细情况报告以及不可抗力对履行合同影响程度的说明用特快专递或挂号信寄给对方。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5.不可抗力使合同的某些内容有变更必要的，双方应通过协商达成进一步履行合同的协议，因不可抗力致使合同不能履行的，合同终止。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6.金钱债务的迟延责任不得因不可抗力而免除；迟延履行期间发生的不可抗力不具有免责效力。</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十一、服务人员</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甲乙双方指定代表，作为履行本合同服务事宜的主要联系人。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十二、服务考核</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甲方对乙方服务质量进行客观评估，具体考核办法（如有）作为合同附件。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项目完成后，乙方应及时向甲方发出书面履约完成通知，甲方在收到乙方履约完成通知后，应及时做好组织验收的准备工作，制定验收方案，成立验收小组，组织实施验收和履约评价。</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验收小组完成验收后应出具验收书，验收书应包括每一项技术、服务、安全等标准的履约情况。如果发现与合同中要求不符，乙方须承担由此产的一切损失和费用。</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十三、合同的生效及其他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合同将在双方签字盖章后开始生效。政府采购项目的采购合同内容的确定应以招标文件和投标文件为基础，不得违背其实质性内容。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十四、解决争议的方法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合同履行中发生的争议，可通过合同当事人双方友好协商解决。如自协商开始之起15日内得不到解决，双方应将争议提交同级政府采购监督管理部门调解。调解不成的，应向甲方所在地人民法院提起诉讼。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仲裁费用除人民法院另有裁决外，应由败诉方负担。</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十五、合同份数</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本合同一式五份，具有同等法律效力。甲乙双方各执贰份，采购代理机构壹份。</w:t>
      </w:r>
    </w:p>
    <w:p>
      <w:pPr>
        <w:pStyle w:val="2"/>
        <w:spacing w:line="360" w:lineRule="auto"/>
        <w:ind w:firstLine="480" w:firstLineChars="200"/>
        <w:rPr>
          <w:rFonts w:hint="eastAsia" w:ascii="宋体" w:hAnsi="宋体" w:eastAsia="宋体" w:cs="宋体"/>
          <w:color w:val="auto"/>
          <w:sz w:val="24"/>
          <w:szCs w:val="24"/>
          <w:highlight w:val="none"/>
        </w:rPr>
      </w:pPr>
    </w:p>
    <w:p>
      <w:pPr>
        <w:pStyle w:val="2"/>
        <w:spacing w:line="360" w:lineRule="auto"/>
        <w:ind w:firstLine="0"/>
        <w:rPr>
          <w:rFonts w:hint="eastAsia" w:ascii="宋体" w:hAnsi="宋体" w:eastAsia="宋体" w:cs="宋体"/>
          <w:color w:val="auto"/>
          <w:sz w:val="24"/>
          <w:szCs w:val="24"/>
          <w:highlight w:val="none"/>
        </w:rPr>
      </w:pPr>
    </w:p>
    <w:p>
      <w:pPr>
        <w:pStyle w:val="2"/>
        <w:spacing w:line="360" w:lineRule="auto"/>
        <w:ind w:firstLine="480" w:firstLineChars="200"/>
        <w:rPr>
          <w:rFonts w:hint="eastAsia" w:ascii="宋体" w:hAnsi="宋体" w:eastAsia="宋体" w:cs="宋体"/>
          <w:color w:val="auto"/>
          <w:sz w:val="24"/>
          <w:szCs w:val="24"/>
          <w:highlight w:val="none"/>
        </w:rPr>
      </w:pPr>
    </w:p>
    <w:p>
      <w:pPr>
        <w:pStyle w:val="2"/>
        <w:spacing w:line="360" w:lineRule="auto"/>
        <w:ind w:firstLine="480" w:firstLineChars="200"/>
        <w:rPr>
          <w:rFonts w:hint="eastAsia" w:ascii="宋体" w:hAnsi="宋体" w:eastAsia="宋体" w:cs="宋体"/>
          <w:color w:val="auto"/>
          <w:sz w:val="24"/>
          <w:szCs w:val="24"/>
          <w:highlight w:val="none"/>
        </w:rPr>
        <w:sectPr>
          <w:headerReference r:id="rId9" w:type="first"/>
          <w:footerReference r:id="rId11" w:type="first"/>
          <w:headerReference r:id="rId8" w:type="default"/>
          <w:footerReference r:id="rId10" w:type="default"/>
          <w:pgSz w:w="11906" w:h="16838"/>
          <w:pgMar w:top="1134" w:right="1134" w:bottom="1134" w:left="1304" w:header="567" w:footer="567" w:gutter="0"/>
          <w:pgNumType w:fmt="decimal"/>
          <w:cols w:space="720" w:num="1"/>
          <w:titlePg/>
          <w:docGrid w:linePitch="312" w:charSpace="0"/>
        </w:sectPr>
      </w:pPr>
    </w:p>
    <w:p>
      <w:pPr>
        <w:pStyle w:val="3"/>
        <w:rPr>
          <w:rFonts w:hint="eastAsia"/>
          <w:color w:val="auto"/>
          <w:highlight w:val="none"/>
        </w:rPr>
      </w:pP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9"/>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甲方（单位章）：</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杭州市拱墅区数据资源管理局</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乙方（单位章）：</w:t>
            </w:r>
          </w:p>
          <w:p>
            <w:pPr>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法定代表人：姜云洲</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或授权代表：陈群伟</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址：杭州市拱墅区台州路1号</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邮政编码：310000</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话：0571-88253359</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杭州银行湖墅支行</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3301040160012015429</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21"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    号： 11330105MB1665661J</w:t>
            </w:r>
          </w:p>
        </w:tc>
        <w:tc>
          <w:tcPr>
            <w:tcW w:w="2578" w:type="pct"/>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    号：</w:t>
            </w:r>
          </w:p>
        </w:tc>
      </w:tr>
    </w:tbl>
    <w:p>
      <w:pPr>
        <w:spacing w:line="360" w:lineRule="auto"/>
        <w:ind w:firstLine="480" w:firstLineChars="200"/>
        <w:rPr>
          <w:rFonts w:hint="eastAsia" w:ascii="宋体" w:hAnsi="宋体" w:eastAsia="宋体" w:cs="宋体"/>
          <w:color w:val="auto"/>
          <w:sz w:val="24"/>
          <w:szCs w:val="24"/>
          <w:highlight w:val="none"/>
        </w:rPr>
      </w:pPr>
    </w:p>
    <w:tbl>
      <w:tblPr>
        <w:tblStyle w:val="63"/>
        <w:tblW w:w="5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5" w:type="dxa"/>
            <w:noWrap w:val="0"/>
            <w:vAlign w:val="top"/>
          </w:tcPr>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鉴证方（单位盖章）：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25" w:type="dxa"/>
            <w:noWrap w:val="0"/>
            <w:vAlign w:val="top"/>
          </w:tcPr>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鉴证时间：   年     月    日</w:t>
            </w:r>
          </w:p>
        </w:tc>
      </w:tr>
    </w:tbl>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sectPr>
          <w:pgSz w:w="11906" w:h="16838"/>
          <w:pgMar w:top="1134" w:right="1134" w:bottom="1134" w:left="1304" w:header="567" w:footer="567" w:gutter="0"/>
          <w:pgNumType w:fmt="decimal"/>
          <w:cols w:space="720" w:num="1"/>
          <w:titlePg/>
          <w:docGrid w:linePitch="312" w:charSpace="0"/>
        </w:sectPr>
      </w:pP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附件：内容清单（内容、数量、质保、服务期，等保、三方测评备注等）</w:t>
      </w:r>
    </w:p>
    <w:p>
      <w:pPr>
        <w:spacing w:line="360" w:lineRule="auto"/>
        <w:ind w:left="-420" w:leftChars="-200" w:right="-420" w:rightChars="-200"/>
        <w:rPr>
          <w:rFonts w:hint="eastAsia" w:ascii="宋体" w:hAnsi="宋体" w:eastAsia="宋体" w:cs="宋体"/>
          <w:color w:val="auto"/>
          <w:sz w:val="24"/>
          <w:szCs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3"/>
      <w:r>
        <w:rPr>
          <w:rFonts w:hint="eastAsia" w:ascii="宋体" w:hAnsi="宋体" w:eastAsia="宋体" w:cs="宋体"/>
          <w:b/>
          <w:color w:val="auto"/>
          <w:sz w:val="36"/>
          <w:szCs w:val="20"/>
          <w:highlight w:val="none"/>
        </w:rPr>
        <w:t xml:space="preserve"> </w:t>
      </w:r>
      <w:bookmarkEnd w:id="40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7"/>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pStyle w:val="2"/>
        <w:rPr>
          <w:rFonts w:hint="eastAsia"/>
        </w:rPr>
      </w:pPr>
      <w:r>
        <w:rPr>
          <w:rFonts w:hint="eastAsia"/>
        </w:rPr>
        <w:t>联合体格式参照招标文件中的“第六部分 应提交的有关格式范例”中的“资格文件部分”中的“二、落实政府采购政策需满足的资格要求”中的联合体格式。</w:t>
      </w:r>
    </w:p>
    <w:p>
      <w:pPr>
        <w:snapToGrid w:val="0"/>
        <w:spacing w:line="360" w:lineRule="auto"/>
        <w:ind w:firstLine="3534" w:firstLineChars="1100"/>
        <w:rPr>
          <w:rFonts w:hint="eastAsia" w:ascii="宋体" w:hAnsi="宋体" w:eastAsia="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ind w:firstLine="560" w:firstLineChars="200"/>
        <w:jc w:val="left"/>
        <w:rPr>
          <w:rFonts w:hint="eastAsia" w:ascii="Times New Roman" w:hAnsi="Times New Roman" w:eastAsia="宋体" w:cs="Times New Roman"/>
          <w:kern w:val="2"/>
          <w:sz w:val="28"/>
          <w:szCs w:val="20"/>
          <w:lang w:val="en-US" w:eastAsia="zh-CN" w:bidi="ar-SA"/>
        </w:rPr>
        <w:sectPr>
          <w:pgSz w:w="11906" w:h="16838"/>
          <w:pgMar w:top="1276" w:right="1418" w:bottom="1247" w:left="1418" w:header="851" w:footer="992" w:gutter="0"/>
          <w:cols w:space="720" w:num="1"/>
          <w:titlePg/>
          <w:docGrid w:linePitch="312" w:charSpace="0"/>
        </w:sectPr>
      </w:pPr>
      <w:r>
        <w:rPr>
          <w:rFonts w:hint="eastAsia" w:ascii="Times New Roman" w:hAnsi="Times New Roman" w:eastAsia="宋体" w:cs="Times New Roman"/>
          <w:kern w:val="2"/>
          <w:sz w:val="28"/>
          <w:szCs w:val="20"/>
          <w:lang w:val="en-US" w:eastAsia="zh-CN" w:bidi="ar-SA"/>
        </w:rPr>
        <w:t>分包意向协议格式参照招标文件中的“第六部分 应提交的有关格式范例”中的“资格文件部分”中的“二、落实政府采购政策需满足的资格要求”中的分包意向协议格式。</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5"/>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bCs/>
          <w:color w:val="auto"/>
          <w:sz w:val="32"/>
          <w:szCs w:val="32"/>
          <w:highlight w:val="none"/>
        </w:rPr>
        <w:sectPr>
          <w:pgSz w:w="11906" w:h="16838"/>
          <w:pgMar w:top="1276" w:right="1418" w:bottom="1247" w:left="1418" w:header="851" w:footer="992" w:gutter="0"/>
          <w:cols w:space="720" w:num="1"/>
          <w:titlePg/>
          <w:docGrid w:linePitch="312" w:charSpace="0"/>
        </w:sectPr>
      </w:pPr>
    </w:p>
    <w:p>
      <w:pPr>
        <w:ind w:firstLine="1911" w:firstLineChars="595"/>
        <w:rPr>
          <w:rFonts w:hint="eastAsia" w:ascii="宋体" w:hAnsi="宋体" w:eastAsia="宋体" w:cs="宋体"/>
          <w:b/>
          <w:color w:val="auto"/>
          <w:kern w:val="0"/>
          <w:sz w:val="32"/>
          <w:szCs w:val="32"/>
          <w:highlight w:val="none"/>
        </w:rPr>
      </w:pPr>
      <w:bookmarkStart w:id="412" w:name="_GoBack"/>
      <w:bookmarkEnd w:id="412"/>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5"/>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5"/>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5" w:name="_Toc465665161"/>
      <w:r>
        <w:rPr>
          <w:rFonts w:hint="eastAsia" w:ascii="宋体" w:hAnsi="宋体" w:eastAsia="宋体" w:cs="宋体"/>
          <w:color w:val="auto"/>
          <w:highlight w:val="none"/>
        </w:rPr>
        <w:t>附件</w:t>
      </w:r>
      <w:bookmarkEnd w:id="405"/>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06" w:name="OLE_LINK13"/>
      <w:bookmarkStart w:id="407" w:name="OLE_LINK14"/>
      <w:r>
        <w:rPr>
          <w:rFonts w:hint="eastAsia" w:ascii="宋体" w:hAnsi="宋体" w:eastAsia="宋体" w:cs="宋体"/>
          <w:b/>
          <w:color w:val="auto"/>
          <w:spacing w:val="6"/>
          <w:sz w:val="32"/>
          <w:szCs w:val="32"/>
          <w:highlight w:val="none"/>
        </w:rPr>
        <w:t>残疾人福利性单位声明函</w:t>
      </w:r>
    </w:p>
    <w:bookmarkEnd w:id="406"/>
    <w:bookmarkEnd w:id="407"/>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宋体" w:hAnsi="宋体" w:eastAsia="宋体" w:cs="宋体"/>
          <w:color w:val="auto"/>
          <w:highlight w:val="none"/>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p>
    <w:p>
      <w:pPr>
        <w:adjustRightInd w:val="0"/>
        <w:spacing w:line="360" w:lineRule="auto"/>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附件：《中小企业划型标准规定》工信部联企业〔2011〕300号</w:t>
      </w:r>
    </w:p>
    <w:tbl>
      <w:tblPr>
        <w:tblStyle w:val="63"/>
        <w:tblW w:w="0" w:type="auto"/>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序号</w:t>
            </w:r>
          </w:p>
        </w:tc>
        <w:tc>
          <w:tcPr>
            <w:tcW w:w="2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行业分类</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中小微型企业总要求</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中型企业标准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小型企业标准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微型企业标准</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农、林、牧、渔业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20000万以下</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500万及以上</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50万元及以上</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50万元以下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从业人员20人以下或营业收入300万元以下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建筑业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营业收入300万元以下或资产总额300万元以下的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批发业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从业人员5人以下或营业收入1000万元以下的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零售业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交通运输业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从业人员20人以下或营业收入200万元以下的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仓储业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邮政业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住宿业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餐饮业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信息传输业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软件和信息技术服务业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从业人员10人以下或营业收入50万元以下的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房地产开发经营</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营业收入100万元以下或资产总额2000万元以下的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物业管理</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从业人员100人以下或营业收入500万元以下的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租赁和商务服务业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从业人员10人以下或资产总额100万元以下的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其他未列明行业</w:t>
            </w:r>
          </w:p>
        </w:tc>
        <w:tc>
          <w:tcPr>
            <w:tcW w:w="1093"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tc>
        <w:tc>
          <w:tcPr>
            <w:tcW w:w="1892" w:type="dxa"/>
            <w:tcBorders>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从业人员10人以下的</w:t>
            </w:r>
          </w:p>
        </w:tc>
      </w:tr>
    </w:tbl>
    <w:p>
      <w:pPr>
        <w:pStyle w:val="8"/>
        <w:spacing w:line="360" w:lineRule="auto"/>
        <w:ind w:firstLine="0" w:firstLineChars="0"/>
        <w:rPr>
          <w:rFonts w:hint="eastAsia" w:ascii="宋体" w:hAnsi="宋体" w:eastAsia="宋体" w:cs="宋体"/>
          <w:color w:val="auto"/>
          <w:highlight w:val="none"/>
        </w:rPr>
      </w:pPr>
    </w:p>
    <w:p>
      <w:pPr>
        <w:rPr>
          <w:rFonts w:hint="eastAsia"/>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8" w:name="_Toc164085800"/>
    <w:bookmarkStart w:id="409" w:name="_Toc131845147"/>
    <w:bookmarkStart w:id="410" w:name="_Toc36110187"/>
    <w:bookmarkStart w:id="411" w:name="_Toc91899912"/>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pPr>
      <w:rPr>
        <w:rFonts w:ascii="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0"/>
        <w:left w:val="none" w:color="auto" w:sz="0" w:space="0"/>
        <w:bottom w:val="none" w:color="auto" w:sz="0" w:space="0"/>
        <w:right w:val="none" w:color="auto" w:sz="0" w:space="0"/>
        <w:between w:val="none" w:color="auto" w:sz="0" w:space="0"/>
      </w:pBdr>
      <w:jc w:val="right"/>
    </w:pPr>
    <w:r>
      <w:t></w:t>
    </w:r>
    <w:r>
      <w:rPr>
        <w:rFonts w:hint="eastAsia"/>
      </w:rPr>
      <w:t xml:space="preserve">             </w:t>
    </w:r>
  </w:p>
  <w:p>
    <w:pPr>
      <w:pStyle w:val="59"/>
      <w:pBdr>
        <w:top w:val="none" w:color="auto" w:sz="0" w:space="0"/>
        <w:left w:val="none" w:color="auto" w:sz="0" w:space="0"/>
        <w:bottom w:val="none" w:color="auto" w:sz="0" w:space="0"/>
        <w:right w:val="none" w:color="auto" w:sz="0" w:space="0"/>
        <w:between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0"/>
        <w:left w:val="none" w:color="auto" w:sz="0" w:space="0"/>
        <w:bottom w:val="none" w:color="auto" w:sz="0" w:space="1"/>
        <w:right w:val="none" w:color="auto" w:sz="0" w:space="0"/>
        <w:between w:val="none" w:color="auto" w:sz="0" w:space="0"/>
      </w:pBdr>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0" o:spt="136" type="#_x0000_t136" style="position:absolute;left:0pt;height:221.35pt;width:400.3pt;mso-position-horizontal:center;mso-position-horizontal-relative:margin;mso-position-vertical:center;mso-position-vertical-relative:margin;rotation:-2949120f;z-index:-251655168;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r>
      <w:rPr>
        <w:rFonts w:hint="eastAsia" w:ascii="宋体" w:hAnsi="宋体" w:eastAsia="宋体" w:cs="宋体"/>
        <w:sz w:val="21"/>
        <w:szCs w:val="21"/>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85323"/>
    <w:multiLevelType w:val="multilevel"/>
    <w:tmpl w:val="48385323"/>
    <w:lvl w:ilvl="0" w:tentative="0">
      <w:start w:val="1"/>
      <w:numFmt w:val="japaneseCounting"/>
      <w:lvlText w:val="（%1）"/>
      <w:lvlJc w:val="left"/>
      <w:pPr>
        <w:ind w:left="860" w:hanging="8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156929"/>
    <w:multiLevelType w:val="singleLevel"/>
    <w:tmpl w:val="5F156929"/>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MmEwNzY2NWQ4OTViYjNiMDU0OGE4OTEwNzA5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205FE"/>
    <w:rsid w:val="01D55165"/>
    <w:rsid w:val="01DF6BF8"/>
    <w:rsid w:val="01EC2C57"/>
    <w:rsid w:val="025F0711"/>
    <w:rsid w:val="026B2E25"/>
    <w:rsid w:val="02824D4D"/>
    <w:rsid w:val="02B01361"/>
    <w:rsid w:val="02DC4B10"/>
    <w:rsid w:val="02DD76CE"/>
    <w:rsid w:val="02F36323"/>
    <w:rsid w:val="02F5619C"/>
    <w:rsid w:val="0326446A"/>
    <w:rsid w:val="032D5555"/>
    <w:rsid w:val="036634D2"/>
    <w:rsid w:val="03DD35E4"/>
    <w:rsid w:val="040000C7"/>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F5104"/>
    <w:rsid w:val="0779354C"/>
    <w:rsid w:val="08061376"/>
    <w:rsid w:val="08452D77"/>
    <w:rsid w:val="086401F8"/>
    <w:rsid w:val="08751CAA"/>
    <w:rsid w:val="087E4C40"/>
    <w:rsid w:val="08896BA5"/>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F52D6"/>
    <w:rsid w:val="0B30404E"/>
    <w:rsid w:val="0B3F7726"/>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475FE"/>
    <w:rsid w:val="0CB63A18"/>
    <w:rsid w:val="0CC007F7"/>
    <w:rsid w:val="0CC617AC"/>
    <w:rsid w:val="0CE618DF"/>
    <w:rsid w:val="0CFE707A"/>
    <w:rsid w:val="0D063BDA"/>
    <w:rsid w:val="0D08375F"/>
    <w:rsid w:val="0D184CFB"/>
    <w:rsid w:val="0D4A7419"/>
    <w:rsid w:val="0D771F28"/>
    <w:rsid w:val="0D827401"/>
    <w:rsid w:val="0D84094E"/>
    <w:rsid w:val="0D8A00E9"/>
    <w:rsid w:val="0D8D589E"/>
    <w:rsid w:val="0DA01C73"/>
    <w:rsid w:val="0DD63300"/>
    <w:rsid w:val="0DF50604"/>
    <w:rsid w:val="0DF702FE"/>
    <w:rsid w:val="0E060E51"/>
    <w:rsid w:val="0E3B242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72A20"/>
    <w:rsid w:val="10646583"/>
    <w:rsid w:val="107D4B15"/>
    <w:rsid w:val="108A3C80"/>
    <w:rsid w:val="10C26171"/>
    <w:rsid w:val="10E87F18"/>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9374C"/>
    <w:rsid w:val="139B1A0A"/>
    <w:rsid w:val="139D25C7"/>
    <w:rsid w:val="13BF3CE4"/>
    <w:rsid w:val="13E87CB7"/>
    <w:rsid w:val="141008D8"/>
    <w:rsid w:val="14125FE6"/>
    <w:rsid w:val="146D271E"/>
    <w:rsid w:val="14786D6E"/>
    <w:rsid w:val="14982588"/>
    <w:rsid w:val="149A5AD9"/>
    <w:rsid w:val="14A7619D"/>
    <w:rsid w:val="150536C3"/>
    <w:rsid w:val="150C1963"/>
    <w:rsid w:val="151447A0"/>
    <w:rsid w:val="154A6454"/>
    <w:rsid w:val="15762120"/>
    <w:rsid w:val="15A765F4"/>
    <w:rsid w:val="15C54CCC"/>
    <w:rsid w:val="16A8729C"/>
    <w:rsid w:val="16B33777"/>
    <w:rsid w:val="16BC70A7"/>
    <w:rsid w:val="16C6339E"/>
    <w:rsid w:val="170F2629"/>
    <w:rsid w:val="172F2D79"/>
    <w:rsid w:val="17557BEF"/>
    <w:rsid w:val="17D349C1"/>
    <w:rsid w:val="1830729E"/>
    <w:rsid w:val="1870062C"/>
    <w:rsid w:val="18817102"/>
    <w:rsid w:val="18830A15"/>
    <w:rsid w:val="18852B28"/>
    <w:rsid w:val="188B5321"/>
    <w:rsid w:val="19932372"/>
    <w:rsid w:val="19A20DD5"/>
    <w:rsid w:val="19A75624"/>
    <w:rsid w:val="19AE03F1"/>
    <w:rsid w:val="19D83220"/>
    <w:rsid w:val="19ED457C"/>
    <w:rsid w:val="1A071A03"/>
    <w:rsid w:val="1A1F16AE"/>
    <w:rsid w:val="1A3B5C77"/>
    <w:rsid w:val="1A8C400A"/>
    <w:rsid w:val="1A984BAD"/>
    <w:rsid w:val="1AB8220E"/>
    <w:rsid w:val="1AE4166C"/>
    <w:rsid w:val="1AF06CFB"/>
    <w:rsid w:val="1AF11B8D"/>
    <w:rsid w:val="1B11359C"/>
    <w:rsid w:val="1B2A271F"/>
    <w:rsid w:val="1B530544"/>
    <w:rsid w:val="1B5763C6"/>
    <w:rsid w:val="1B713184"/>
    <w:rsid w:val="1BA209CF"/>
    <w:rsid w:val="1BB4777D"/>
    <w:rsid w:val="1BD75AB8"/>
    <w:rsid w:val="1C0459C2"/>
    <w:rsid w:val="1C1B3B4A"/>
    <w:rsid w:val="1C88086E"/>
    <w:rsid w:val="1D266CE1"/>
    <w:rsid w:val="1D3963AF"/>
    <w:rsid w:val="1D3A1AF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570C1"/>
    <w:rsid w:val="1F5771FF"/>
    <w:rsid w:val="1FE868A9"/>
    <w:rsid w:val="1FFC753C"/>
    <w:rsid w:val="20034907"/>
    <w:rsid w:val="20173E4B"/>
    <w:rsid w:val="204E48BC"/>
    <w:rsid w:val="208921B3"/>
    <w:rsid w:val="20973DEB"/>
    <w:rsid w:val="20B26522"/>
    <w:rsid w:val="20B44310"/>
    <w:rsid w:val="20DB35F6"/>
    <w:rsid w:val="211116EB"/>
    <w:rsid w:val="215C7007"/>
    <w:rsid w:val="216133FC"/>
    <w:rsid w:val="21A8172A"/>
    <w:rsid w:val="21D56769"/>
    <w:rsid w:val="21E14C3C"/>
    <w:rsid w:val="21E52EF3"/>
    <w:rsid w:val="21FB5D7B"/>
    <w:rsid w:val="22015E94"/>
    <w:rsid w:val="220B1C3D"/>
    <w:rsid w:val="221D1D20"/>
    <w:rsid w:val="22334A87"/>
    <w:rsid w:val="22806203"/>
    <w:rsid w:val="22A719E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C16EA"/>
    <w:rsid w:val="258B00E2"/>
    <w:rsid w:val="25A917A6"/>
    <w:rsid w:val="25BE27CC"/>
    <w:rsid w:val="25F74A5C"/>
    <w:rsid w:val="2628662C"/>
    <w:rsid w:val="262D45DE"/>
    <w:rsid w:val="26871DC8"/>
    <w:rsid w:val="26A10E3D"/>
    <w:rsid w:val="26A53EF9"/>
    <w:rsid w:val="26A94201"/>
    <w:rsid w:val="26AC274F"/>
    <w:rsid w:val="26B172D2"/>
    <w:rsid w:val="27044A29"/>
    <w:rsid w:val="271D34C8"/>
    <w:rsid w:val="276142BF"/>
    <w:rsid w:val="27783712"/>
    <w:rsid w:val="27907362"/>
    <w:rsid w:val="28333E1D"/>
    <w:rsid w:val="28454BD6"/>
    <w:rsid w:val="28455253"/>
    <w:rsid w:val="28551971"/>
    <w:rsid w:val="285B1C53"/>
    <w:rsid w:val="287E1436"/>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D78A2"/>
    <w:rsid w:val="2B437463"/>
    <w:rsid w:val="2B732DA8"/>
    <w:rsid w:val="2B7807EE"/>
    <w:rsid w:val="2BA50BF7"/>
    <w:rsid w:val="2BBF00EC"/>
    <w:rsid w:val="2BC37CFD"/>
    <w:rsid w:val="2BD5237F"/>
    <w:rsid w:val="2BE536CE"/>
    <w:rsid w:val="2BE758D9"/>
    <w:rsid w:val="2C09049E"/>
    <w:rsid w:val="2C0A653C"/>
    <w:rsid w:val="2C191F85"/>
    <w:rsid w:val="2C7878A1"/>
    <w:rsid w:val="2CE82D6F"/>
    <w:rsid w:val="2D343236"/>
    <w:rsid w:val="2DD15014"/>
    <w:rsid w:val="2DF72DE4"/>
    <w:rsid w:val="2E0220AF"/>
    <w:rsid w:val="2E4B082A"/>
    <w:rsid w:val="2E5D4E86"/>
    <w:rsid w:val="2E5D790B"/>
    <w:rsid w:val="2E9A3C18"/>
    <w:rsid w:val="2EBB0FEE"/>
    <w:rsid w:val="2EC63002"/>
    <w:rsid w:val="2F0A6B38"/>
    <w:rsid w:val="2F946CCB"/>
    <w:rsid w:val="2F9B467C"/>
    <w:rsid w:val="2FD25781"/>
    <w:rsid w:val="2FDC745C"/>
    <w:rsid w:val="2FF63FA8"/>
    <w:rsid w:val="2FFD7934"/>
    <w:rsid w:val="30733ACD"/>
    <w:rsid w:val="308C3862"/>
    <w:rsid w:val="309379D8"/>
    <w:rsid w:val="30A270F7"/>
    <w:rsid w:val="30DF1478"/>
    <w:rsid w:val="30EC586F"/>
    <w:rsid w:val="31085D41"/>
    <w:rsid w:val="317E6003"/>
    <w:rsid w:val="319C6071"/>
    <w:rsid w:val="31AC537E"/>
    <w:rsid w:val="31B25CAD"/>
    <w:rsid w:val="31DE4CF4"/>
    <w:rsid w:val="31E3679B"/>
    <w:rsid w:val="31E732FD"/>
    <w:rsid w:val="32517576"/>
    <w:rsid w:val="32BE5C2C"/>
    <w:rsid w:val="32FB6478"/>
    <w:rsid w:val="330E67C6"/>
    <w:rsid w:val="33263B3F"/>
    <w:rsid w:val="336963EB"/>
    <w:rsid w:val="33816EEB"/>
    <w:rsid w:val="339A2E9C"/>
    <w:rsid w:val="33AA7583"/>
    <w:rsid w:val="33EB55CD"/>
    <w:rsid w:val="33EC4C02"/>
    <w:rsid w:val="340D2360"/>
    <w:rsid w:val="3410665D"/>
    <w:rsid w:val="34211214"/>
    <w:rsid w:val="342E63AB"/>
    <w:rsid w:val="348778C5"/>
    <w:rsid w:val="34950E68"/>
    <w:rsid w:val="34986E94"/>
    <w:rsid w:val="34AF62C9"/>
    <w:rsid w:val="34CB4388"/>
    <w:rsid w:val="34DA5971"/>
    <w:rsid w:val="34FA6E12"/>
    <w:rsid w:val="354D7158"/>
    <w:rsid w:val="358D5588"/>
    <w:rsid w:val="35945E0F"/>
    <w:rsid w:val="363A3B40"/>
    <w:rsid w:val="365302AE"/>
    <w:rsid w:val="365E6403"/>
    <w:rsid w:val="36607A0A"/>
    <w:rsid w:val="366E227C"/>
    <w:rsid w:val="366F2E0D"/>
    <w:rsid w:val="367B6A5C"/>
    <w:rsid w:val="36A74ADA"/>
    <w:rsid w:val="36AD60D5"/>
    <w:rsid w:val="36B224F9"/>
    <w:rsid w:val="36EC0CC9"/>
    <w:rsid w:val="373F410B"/>
    <w:rsid w:val="37A13EFE"/>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AF36D1"/>
    <w:rsid w:val="3B2349B7"/>
    <w:rsid w:val="3B616CFF"/>
    <w:rsid w:val="3B6259F6"/>
    <w:rsid w:val="3B976654"/>
    <w:rsid w:val="3BC01EFC"/>
    <w:rsid w:val="3BCA786A"/>
    <w:rsid w:val="3BCC3E0F"/>
    <w:rsid w:val="3BD31E2F"/>
    <w:rsid w:val="3BF15831"/>
    <w:rsid w:val="3C090BBF"/>
    <w:rsid w:val="3C105946"/>
    <w:rsid w:val="3C471448"/>
    <w:rsid w:val="3C5F759A"/>
    <w:rsid w:val="3C6C525A"/>
    <w:rsid w:val="3CCE23CB"/>
    <w:rsid w:val="3CD17D17"/>
    <w:rsid w:val="3CDD0A65"/>
    <w:rsid w:val="3D3C7F39"/>
    <w:rsid w:val="3D440F09"/>
    <w:rsid w:val="3D4504A0"/>
    <w:rsid w:val="3D8734BB"/>
    <w:rsid w:val="3D9A11D4"/>
    <w:rsid w:val="3DA16D89"/>
    <w:rsid w:val="3DA364BE"/>
    <w:rsid w:val="3DE041CB"/>
    <w:rsid w:val="3E0D48F6"/>
    <w:rsid w:val="3E1868B4"/>
    <w:rsid w:val="3E377251"/>
    <w:rsid w:val="3E42664B"/>
    <w:rsid w:val="3E5A7334"/>
    <w:rsid w:val="3E78202C"/>
    <w:rsid w:val="3E7B5D6B"/>
    <w:rsid w:val="3E815CDE"/>
    <w:rsid w:val="3E843E66"/>
    <w:rsid w:val="3E8F51FE"/>
    <w:rsid w:val="3E926F87"/>
    <w:rsid w:val="3E9A59DE"/>
    <w:rsid w:val="3EAF4836"/>
    <w:rsid w:val="3EC33DFA"/>
    <w:rsid w:val="3F060E16"/>
    <w:rsid w:val="3F1334EB"/>
    <w:rsid w:val="3F1D1096"/>
    <w:rsid w:val="3F2F0234"/>
    <w:rsid w:val="3F6363FE"/>
    <w:rsid w:val="3F756B8F"/>
    <w:rsid w:val="3F95482B"/>
    <w:rsid w:val="3FBD23EC"/>
    <w:rsid w:val="4019356B"/>
    <w:rsid w:val="401C35B7"/>
    <w:rsid w:val="4021297B"/>
    <w:rsid w:val="40592157"/>
    <w:rsid w:val="406E1CAE"/>
    <w:rsid w:val="408D2764"/>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73754"/>
    <w:rsid w:val="46893F2B"/>
    <w:rsid w:val="46C4686E"/>
    <w:rsid w:val="476974D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E3C38"/>
    <w:rsid w:val="4B9739F7"/>
    <w:rsid w:val="4BEE2503"/>
    <w:rsid w:val="4C1C493F"/>
    <w:rsid w:val="4C245A30"/>
    <w:rsid w:val="4CB6685F"/>
    <w:rsid w:val="4CC367FE"/>
    <w:rsid w:val="4D077F3C"/>
    <w:rsid w:val="4D123355"/>
    <w:rsid w:val="4D2A3B31"/>
    <w:rsid w:val="4D312C52"/>
    <w:rsid w:val="4D5679DC"/>
    <w:rsid w:val="4D905305"/>
    <w:rsid w:val="4D92782F"/>
    <w:rsid w:val="4D964A72"/>
    <w:rsid w:val="4D9C1254"/>
    <w:rsid w:val="4DEA4CF4"/>
    <w:rsid w:val="4E41243B"/>
    <w:rsid w:val="4E6B0257"/>
    <w:rsid w:val="4E793892"/>
    <w:rsid w:val="4E800872"/>
    <w:rsid w:val="4EC569ED"/>
    <w:rsid w:val="4ED50EA1"/>
    <w:rsid w:val="4EEC050C"/>
    <w:rsid w:val="4F104EC3"/>
    <w:rsid w:val="4F47354A"/>
    <w:rsid w:val="4F911C54"/>
    <w:rsid w:val="4FD01CC8"/>
    <w:rsid w:val="4FE625E0"/>
    <w:rsid w:val="5021480F"/>
    <w:rsid w:val="50962ECB"/>
    <w:rsid w:val="50A42E38"/>
    <w:rsid w:val="50A4577F"/>
    <w:rsid w:val="50B73D1F"/>
    <w:rsid w:val="50BD5BC9"/>
    <w:rsid w:val="50C11EEE"/>
    <w:rsid w:val="50E97CFC"/>
    <w:rsid w:val="50FA4028"/>
    <w:rsid w:val="510D65B7"/>
    <w:rsid w:val="511157AB"/>
    <w:rsid w:val="5142540C"/>
    <w:rsid w:val="51804BE9"/>
    <w:rsid w:val="518832C8"/>
    <w:rsid w:val="519D3C50"/>
    <w:rsid w:val="51A0432A"/>
    <w:rsid w:val="51A86090"/>
    <w:rsid w:val="51B7396D"/>
    <w:rsid w:val="522E4CC3"/>
    <w:rsid w:val="5244713B"/>
    <w:rsid w:val="52615633"/>
    <w:rsid w:val="526F4DE4"/>
    <w:rsid w:val="52977FD4"/>
    <w:rsid w:val="52A25790"/>
    <w:rsid w:val="52A80CDA"/>
    <w:rsid w:val="52A96B6F"/>
    <w:rsid w:val="52B458D1"/>
    <w:rsid w:val="52B45975"/>
    <w:rsid w:val="52D94AA4"/>
    <w:rsid w:val="52EA3A62"/>
    <w:rsid w:val="52F50BB8"/>
    <w:rsid w:val="53097272"/>
    <w:rsid w:val="53544462"/>
    <w:rsid w:val="53820528"/>
    <w:rsid w:val="53837051"/>
    <w:rsid w:val="5397158E"/>
    <w:rsid w:val="53EE7EB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6DE6"/>
    <w:rsid w:val="56077EA0"/>
    <w:rsid w:val="566B6D1E"/>
    <w:rsid w:val="569972B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4431F"/>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97643"/>
    <w:rsid w:val="5AA85BE2"/>
    <w:rsid w:val="5AAD6F28"/>
    <w:rsid w:val="5AB83A84"/>
    <w:rsid w:val="5AD63A24"/>
    <w:rsid w:val="5B127639"/>
    <w:rsid w:val="5B2E1A1D"/>
    <w:rsid w:val="5B423A25"/>
    <w:rsid w:val="5B843A1C"/>
    <w:rsid w:val="5B873E3F"/>
    <w:rsid w:val="5C02690E"/>
    <w:rsid w:val="5C196DA7"/>
    <w:rsid w:val="5C2A048C"/>
    <w:rsid w:val="5C5679F9"/>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15D7C"/>
    <w:rsid w:val="607330CE"/>
    <w:rsid w:val="60825176"/>
    <w:rsid w:val="609F2AC4"/>
    <w:rsid w:val="60E05AE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47227"/>
    <w:rsid w:val="62F40B65"/>
    <w:rsid w:val="62FC2CFE"/>
    <w:rsid w:val="63024505"/>
    <w:rsid w:val="635600A5"/>
    <w:rsid w:val="635B1DB5"/>
    <w:rsid w:val="63711FED"/>
    <w:rsid w:val="63880DDC"/>
    <w:rsid w:val="638D750D"/>
    <w:rsid w:val="63AC6CC0"/>
    <w:rsid w:val="63BA6ABF"/>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80027"/>
    <w:rsid w:val="693E15D3"/>
    <w:rsid w:val="69627681"/>
    <w:rsid w:val="6977531D"/>
    <w:rsid w:val="69CC2BFF"/>
    <w:rsid w:val="69D106BF"/>
    <w:rsid w:val="69FD55B8"/>
    <w:rsid w:val="6A0B1C62"/>
    <w:rsid w:val="6A2406C8"/>
    <w:rsid w:val="6A4946F9"/>
    <w:rsid w:val="6A5E1D79"/>
    <w:rsid w:val="6A775908"/>
    <w:rsid w:val="6ADE0BD1"/>
    <w:rsid w:val="6AE96859"/>
    <w:rsid w:val="6B147746"/>
    <w:rsid w:val="6B24787C"/>
    <w:rsid w:val="6B573233"/>
    <w:rsid w:val="6B5B6274"/>
    <w:rsid w:val="6B935D53"/>
    <w:rsid w:val="6C196F71"/>
    <w:rsid w:val="6C226FCB"/>
    <w:rsid w:val="6C31226F"/>
    <w:rsid w:val="6C552F0B"/>
    <w:rsid w:val="6C8C67B7"/>
    <w:rsid w:val="6C9D744C"/>
    <w:rsid w:val="6CB542C8"/>
    <w:rsid w:val="6D167928"/>
    <w:rsid w:val="6D26299B"/>
    <w:rsid w:val="6D4772EC"/>
    <w:rsid w:val="6D9078AF"/>
    <w:rsid w:val="6DAA3FEF"/>
    <w:rsid w:val="6DC0172B"/>
    <w:rsid w:val="6DCB690C"/>
    <w:rsid w:val="6DD41A5B"/>
    <w:rsid w:val="6DF43C2E"/>
    <w:rsid w:val="6DF51CA3"/>
    <w:rsid w:val="6E8335BD"/>
    <w:rsid w:val="6E8E12EF"/>
    <w:rsid w:val="6E972936"/>
    <w:rsid w:val="6E9C573F"/>
    <w:rsid w:val="6ED446C5"/>
    <w:rsid w:val="6F2A7D94"/>
    <w:rsid w:val="6F8331F1"/>
    <w:rsid w:val="6FAE1A09"/>
    <w:rsid w:val="6FD75BF8"/>
    <w:rsid w:val="707723D0"/>
    <w:rsid w:val="70B12FF8"/>
    <w:rsid w:val="70F5661B"/>
    <w:rsid w:val="70FB1417"/>
    <w:rsid w:val="71360107"/>
    <w:rsid w:val="713B688E"/>
    <w:rsid w:val="718F60EA"/>
    <w:rsid w:val="71D43752"/>
    <w:rsid w:val="71F1796A"/>
    <w:rsid w:val="72154626"/>
    <w:rsid w:val="72262B5D"/>
    <w:rsid w:val="72283FF7"/>
    <w:rsid w:val="722E7212"/>
    <w:rsid w:val="723A0474"/>
    <w:rsid w:val="725923E4"/>
    <w:rsid w:val="72864BF7"/>
    <w:rsid w:val="729023FC"/>
    <w:rsid w:val="73794C1A"/>
    <w:rsid w:val="73C0646E"/>
    <w:rsid w:val="742222F5"/>
    <w:rsid w:val="74476126"/>
    <w:rsid w:val="746C6120"/>
    <w:rsid w:val="74706664"/>
    <w:rsid w:val="747F3682"/>
    <w:rsid w:val="749C4185"/>
    <w:rsid w:val="74E92D60"/>
    <w:rsid w:val="75067759"/>
    <w:rsid w:val="752E6DCD"/>
    <w:rsid w:val="7551380D"/>
    <w:rsid w:val="75600BE5"/>
    <w:rsid w:val="7564475C"/>
    <w:rsid w:val="7583797F"/>
    <w:rsid w:val="75C13CDD"/>
    <w:rsid w:val="75D20F1D"/>
    <w:rsid w:val="75DA2C18"/>
    <w:rsid w:val="75F54412"/>
    <w:rsid w:val="76085468"/>
    <w:rsid w:val="761D08E0"/>
    <w:rsid w:val="765D347C"/>
    <w:rsid w:val="76826699"/>
    <w:rsid w:val="76C87133"/>
    <w:rsid w:val="76CD08D5"/>
    <w:rsid w:val="76DB4B92"/>
    <w:rsid w:val="77052AA4"/>
    <w:rsid w:val="77136511"/>
    <w:rsid w:val="77340A39"/>
    <w:rsid w:val="77351FD0"/>
    <w:rsid w:val="77472422"/>
    <w:rsid w:val="777F31F2"/>
    <w:rsid w:val="77B21B3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816BE"/>
    <w:rsid w:val="7AAB1D04"/>
    <w:rsid w:val="7ABA4368"/>
    <w:rsid w:val="7AD05746"/>
    <w:rsid w:val="7B257FFD"/>
    <w:rsid w:val="7B343476"/>
    <w:rsid w:val="7B38059E"/>
    <w:rsid w:val="7B5A2978"/>
    <w:rsid w:val="7B5A7E4C"/>
    <w:rsid w:val="7B667AF9"/>
    <w:rsid w:val="7B7468F8"/>
    <w:rsid w:val="7B8D2456"/>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D0162"/>
    <w:rsid w:val="7E5A082B"/>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next w:val="3"/>
    <w:qFormat/>
    <w:uiPriority w:val="0"/>
    <w:pPr>
      <w:adjustRightInd/>
      <w:ind w:firstLine="420"/>
    </w:pPr>
    <w:rPr>
      <w:sz w:val="28"/>
      <w:szCs w:val="20"/>
    </w:rPr>
  </w:style>
  <w:style w:type="paragraph" w:styleId="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8"/>
    <w:link w:val="19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7"/>
    <w:link w:val="263"/>
    <w:qFormat/>
    <w:uiPriority w:val="0"/>
    <w:pPr>
      <w:spacing w:line="480" w:lineRule="exact"/>
      <w:ind w:firstLine="480" w:firstLineChars="200"/>
    </w:pPr>
    <w:rPr>
      <w:rFonts w:ascii="宋体" w:hAnsi="宋体"/>
      <w:sz w:val="24"/>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w:basedOn w:val="3"/>
    <w:link w:val="319"/>
    <w:qFormat/>
    <w:uiPriority w:val="0"/>
    <w:pPr>
      <w:ind w:firstLine="420"/>
    </w:pPr>
    <w:rPr>
      <w:rFonts w:hAnsi="Calibri" w:cs="Times New Roman"/>
      <w:snapToGrid/>
      <w:szCs w:val="20"/>
    </w:rPr>
  </w:style>
  <w:style w:type="paragraph" w:styleId="62">
    <w:name w:val="Body Text First Indent 2"/>
    <w:basedOn w:val="8"/>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2"/>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44482</Words>
  <Characters>47783</Characters>
  <Lines>293</Lines>
  <Paragraphs>82</Paragraphs>
  <TotalTime>3</TotalTime>
  <ScaleCrop>false</ScaleCrop>
  <LinksUpToDate>false</LinksUpToDate>
  <CharactersWithSpaces>52437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good</cp:lastModifiedBy>
  <cp:lastPrinted>2021-12-27T03:06:00Z</cp:lastPrinted>
  <dcterms:modified xsi:type="dcterms:W3CDTF">2022-10-10T11:24:22Z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