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5" w:leftChars="0" w:hanging="5" w:firstLineChars="0"/>
        <w:jc w:val="center"/>
        <w:textAlignment w:val="baseline"/>
        <w:outlineLvl w:val="0"/>
        <w:rPr>
          <w:rFonts w:ascii="宋体" w:hAnsi="宋体" w:eastAsia="宋体" w:cs="宋体"/>
          <w:sz w:val="28"/>
          <w:szCs w:val="28"/>
        </w:rPr>
      </w:pPr>
      <w:r>
        <w:rPr>
          <w:rFonts w:ascii="宋体" w:hAnsi="宋体" w:eastAsia="宋体" w:cs="宋体"/>
          <w:spacing w:val="6"/>
          <w:sz w:val="28"/>
          <w:szCs w:val="28"/>
          <w14:textOutline w14:w="5793" w14:cap="sq" w14:cmpd="sng">
            <w14:solidFill>
              <w14:srgbClr w14:val="000000"/>
            </w14:solidFill>
            <w14:prstDash w14:val="solid"/>
            <w14:bevel/>
          </w14:textOutline>
        </w:rPr>
        <w:t>采购需求</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18"/>
        <w:jc w:val="left"/>
        <w:textAlignment w:val="baseline"/>
        <w:outlineLvl w:val="0"/>
        <w:rPr>
          <w:rFonts w:hint="eastAsia" w:ascii="宋体" w:hAnsi="宋体" w:eastAsia="宋体" w:cs="宋体"/>
          <w:sz w:val="21"/>
          <w:szCs w:val="21"/>
        </w:rPr>
      </w:pPr>
      <w:r>
        <w:rPr>
          <w:rFonts w:hint="eastAsia" w:ascii="宋体" w:hAnsi="宋体" w:eastAsia="宋体" w:cs="宋体"/>
          <w:spacing w:val="-4"/>
          <w:sz w:val="21"/>
          <w:szCs w:val="21"/>
        </w:rPr>
        <w:t>1、服务内容</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2" w:firstLineChars="200"/>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阿克陶县乡镇国土空间总体规划和“多规合一”实用性村庄规划编制项目（一标段）：对皮拉勒乡及10个村编制乡镇国土空间总体规划</w:t>
      </w:r>
      <w:r>
        <w:rPr>
          <w:rFonts w:hint="eastAsia" w:ascii="宋体" w:hAnsi="宋体" w:eastAsia="宋体" w:cs="宋体"/>
          <w:spacing w:val="-2"/>
          <w:sz w:val="21"/>
          <w:szCs w:val="21"/>
          <w:lang w:eastAsia="zh-CN"/>
        </w:rPr>
        <w:t>（控制性详细规划）</w:t>
      </w:r>
      <w:r>
        <w:rPr>
          <w:rFonts w:hint="eastAsia" w:ascii="宋体" w:hAnsi="宋体" w:eastAsia="宋体" w:cs="宋体"/>
          <w:spacing w:val="-2"/>
          <w:sz w:val="21"/>
          <w:szCs w:val="21"/>
        </w:rPr>
        <w:t>和“多规合一”实用性村庄规划并形成规划数据库，数据库格式符合自治区平台接入标准。</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2" w:firstLineChars="200"/>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阿克陶县乡镇国土空间总体规划和“多规合一”实用性村庄规划编制项目（二标段）：对玉麦镇、阿克陶镇及玉麦镇9个村、阿克陶镇4个村编制乡镇国土空间总体规划</w:t>
      </w:r>
      <w:r>
        <w:rPr>
          <w:rFonts w:hint="eastAsia" w:ascii="宋体" w:hAnsi="宋体" w:eastAsia="宋体" w:cs="宋体"/>
          <w:spacing w:val="-2"/>
          <w:sz w:val="21"/>
          <w:szCs w:val="21"/>
          <w:lang w:eastAsia="zh-CN"/>
        </w:rPr>
        <w:t>（控制性详细规划）</w:t>
      </w:r>
      <w:r>
        <w:rPr>
          <w:rFonts w:hint="eastAsia" w:ascii="宋体" w:hAnsi="宋体" w:eastAsia="宋体" w:cs="宋体"/>
          <w:spacing w:val="-2"/>
          <w:sz w:val="21"/>
          <w:szCs w:val="21"/>
        </w:rPr>
        <w:t>和“多规合一”实用性村庄规划并形成规划数据库，数据库格式符合自治区平台接入标准。</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阿克陶县乡镇国土空间总体规划和“多规合一”实用性村庄规划编制项目（三标段）：对巴仁乡及10个村编制乡镇国土空间总体规划</w:t>
      </w:r>
      <w:r>
        <w:rPr>
          <w:rFonts w:hint="eastAsia" w:ascii="宋体" w:hAnsi="宋体" w:eastAsia="宋体" w:cs="宋体"/>
          <w:spacing w:val="-2"/>
          <w:sz w:val="21"/>
          <w:szCs w:val="21"/>
          <w:lang w:eastAsia="zh-CN"/>
        </w:rPr>
        <w:t>（控制性详细规划）</w:t>
      </w:r>
      <w:r>
        <w:rPr>
          <w:rFonts w:hint="eastAsia" w:ascii="宋体" w:hAnsi="宋体" w:eastAsia="宋体" w:cs="宋体"/>
          <w:spacing w:val="-2"/>
          <w:sz w:val="21"/>
          <w:szCs w:val="21"/>
        </w:rPr>
        <w:t>和“多规合一”实用性村庄规划并形成规划数据库，数据库格式符合自治区平台接入标准。</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2" w:firstLineChars="200"/>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阿克陶县乡镇国土空间总体规划和“多规合一”实用性村庄规划编制项目（四标段）：对加马铁热克乡、塔尔乡及加马铁热克乡4个村、塔尔乡4个村编制乡镇国土空间总体规划</w:t>
      </w:r>
      <w:r>
        <w:rPr>
          <w:rFonts w:hint="eastAsia" w:ascii="宋体" w:hAnsi="宋体" w:eastAsia="宋体" w:cs="宋体"/>
          <w:spacing w:val="-2"/>
          <w:sz w:val="21"/>
          <w:szCs w:val="21"/>
          <w:lang w:eastAsia="zh-CN"/>
        </w:rPr>
        <w:t>（控制性详细规划）</w:t>
      </w:r>
      <w:r>
        <w:rPr>
          <w:rFonts w:hint="eastAsia" w:ascii="宋体" w:hAnsi="宋体" w:eastAsia="宋体" w:cs="宋体"/>
          <w:spacing w:val="-2"/>
          <w:sz w:val="21"/>
          <w:szCs w:val="21"/>
        </w:rPr>
        <w:t>和“多规合一”实用性村庄规划并形成规划数据库，数据库格式符合自治区平台接入标准。</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阿克陶县乡镇国土空间总体规划和“多规合一”实用性村庄规划编制项目（五标段）：对木吉乡、布伦口乡及木吉乡3个村、布伦口乡3个村编制乡镇国土空间总体规划</w:t>
      </w:r>
      <w:r>
        <w:rPr>
          <w:rFonts w:hint="eastAsia" w:ascii="宋体" w:hAnsi="宋体" w:eastAsia="宋体" w:cs="宋体"/>
          <w:spacing w:val="-2"/>
          <w:sz w:val="21"/>
          <w:szCs w:val="21"/>
          <w:lang w:eastAsia="zh-CN"/>
        </w:rPr>
        <w:t>（控制性详细规划）</w:t>
      </w:r>
      <w:r>
        <w:rPr>
          <w:rFonts w:hint="eastAsia" w:ascii="宋体" w:hAnsi="宋体" w:eastAsia="宋体" w:cs="宋体"/>
          <w:spacing w:val="-2"/>
          <w:sz w:val="21"/>
          <w:szCs w:val="21"/>
        </w:rPr>
        <w:t>和“多规合一”实用性村庄规划并形成规划数据库，数据库格式符合自治区平台接入标准。备注：</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2" w:firstLineChars="200"/>
        <w:jc w:val="left"/>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阿克陶县乡镇国土空间总体规划和“多规合一”实用性村庄规划编制项目（六标段）：对奥依塔克镇、恰尔隆镇、克孜勒陶镇及奥依塔克镇1个村、阿克达拉牧场3个村、克孜勒陶镇4个村编制乡镇国土空间总体规划</w:t>
      </w:r>
      <w:r>
        <w:rPr>
          <w:rFonts w:hint="eastAsia" w:ascii="宋体" w:hAnsi="宋体" w:eastAsia="宋体" w:cs="宋体"/>
          <w:spacing w:val="-2"/>
          <w:sz w:val="21"/>
          <w:szCs w:val="21"/>
          <w:lang w:eastAsia="zh-CN"/>
        </w:rPr>
        <w:t>（控制性详细规划）</w:t>
      </w:r>
      <w:r>
        <w:rPr>
          <w:rFonts w:hint="eastAsia" w:ascii="宋体" w:hAnsi="宋体" w:eastAsia="宋体" w:cs="宋体"/>
          <w:spacing w:val="-2"/>
          <w:sz w:val="21"/>
          <w:szCs w:val="21"/>
        </w:rPr>
        <w:t>和“多规合一”实用性村庄规划并形成规划数据库，数据库格式符合自治区平台接入标准。</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3"/>
        <w:jc w:val="left"/>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rPr>
        <w:t>2、乡镇国土空间规划</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right="80" w:firstLine="49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乡镇国土空间总体规划编制范围为乡镇级行政管辖区内全部土地，包括乡镇域和乡</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镇政府驻地两个层次。规划严格按照《新疆维吾尔自治区乡镇国土空间总体规划编制技</w:t>
      </w:r>
      <w:r>
        <w:rPr>
          <w:rFonts w:hint="eastAsia" w:ascii="宋体" w:hAnsi="宋体" w:eastAsia="宋体" w:cs="宋体"/>
          <w:spacing w:val="-9"/>
          <w:sz w:val="21"/>
          <w:szCs w:val="21"/>
        </w:rPr>
        <w:t>术指南（试行）》要求进行编制。</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82"/>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主要内容包括：进行基础评估分析、提出乡镇分类引导、确定乡镇发展定位与指标、</w:t>
      </w:r>
      <w:r>
        <w:rPr>
          <w:rFonts w:hint="eastAsia" w:ascii="宋体" w:hAnsi="宋体" w:eastAsia="宋体" w:cs="宋体"/>
          <w:spacing w:val="-2"/>
          <w:sz w:val="21"/>
          <w:szCs w:val="21"/>
        </w:rPr>
        <w:t>明确国土空间格局、划定国土空间规划分区、进行国土空间规划用途与结构调整、明确自然资源保护与利用内容、提出产业发展目标及发展空间、提出村庄布局优化方案、完善基础保障体系、制定乡镇人民政府驻地规划、确定历史文化与特色风貌定位及引导管 控要求、明确国土综合整治与生态修复的整治区域及内容、做好规划传导与实施保障机</w:t>
      </w:r>
      <w:r>
        <w:rPr>
          <w:rFonts w:hint="eastAsia" w:ascii="宋体" w:hAnsi="宋体" w:eastAsia="宋体" w:cs="宋体"/>
          <w:spacing w:val="-1"/>
          <w:sz w:val="21"/>
          <w:szCs w:val="21"/>
        </w:rPr>
        <w:t>制、提出近期建设项目的实施重点和时序。</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5"/>
        <w:jc w:val="left"/>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rPr>
        <w:t>3、实用性村庄规划</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2" w:firstLineChars="200"/>
        <w:jc w:val="left"/>
        <w:textAlignment w:val="baseline"/>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开展村庄基础资料收集工作，作为规划编制的参考依据。实用性村庄规划要严格按</w:t>
      </w:r>
      <w:r>
        <w:rPr>
          <w:rFonts w:hint="eastAsia" w:ascii="宋体" w:hAnsi="宋体" w:eastAsia="宋体" w:cs="宋体"/>
          <w:spacing w:val="12"/>
          <w:kern w:val="2"/>
          <w:sz w:val="21"/>
          <w:szCs w:val="21"/>
          <w:lang w:val="en-US" w:eastAsia="zh-CN" w:bidi="ar-SA"/>
        </w:rPr>
        <w:t xml:space="preserve"> </w:t>
      </w:r>
      <w:r>
        <w:rPr>
          <w:rFonts w:hint="eastAsia" w:ascii="宋体" w:hAnsi="宋体" w:eastAsia="宋体" w:cs="宋体"/>
          <w:spacing w:val="-1"/>
          <w:kern w:val="2"/>
          <w:sz w:val="21"/>
          <w:szCs w:val="21"/>
          <w:lang w:val="en-US" w:eastAsia="zh-CN" w:bidi="ar-SA"/>
        </w:rPr>
        <w:t>照《新疆维吾尔自治区村庄规划编制技术指</w:t>
      </w:r>
      <w:r>
        <w:rPr>
          <w:rFonts w:hint="eastAsia" w:ascii="宋体" w:hAnsi="宋体" w:eastAsia="宋体" w:cs="宋体"/>
          <w:spacing w:val="-2"/>
          <w:kern w:val="2"/>
          <w:sz w:val="21"/>
          <w:szCs w:val="21"/>
          <w:lang w:val="en-US" w:eastAsia="zh-CN" w:bidi="ar-SA"/>
        </w:rPr>
        <w:t>南（试行）》要求进行编制，统一底数、底</w:t>
      </w:r>
      <w:r>
        <w:rPr>
          <w:rFonts w:hint="eastAsia" w:ascii="宋体" w:hAnsi="宋体" w:eastAsia="宋体" w:cs="宋体"/>
          <w:kern w:val="2"/>
          <w:sz w:val="21"/>
          <w:szCs w:val="21"/>
          <w:lang w:val="en-US" w:eastAsia="zh-CN" w:bidi="ar-SA"/>
        </w:rPr>
        <w:t xml:space="preserve"> </w:t>
      </w:r>
      <w:r>
        <w:rPr>
          <w:rFonts w:hint="eastAsia" w:ascii="宋体" w:hAnsi="宋体" w:eastAsia="宋体" w:cs="宋体"/>
          <w:spacing w:val="-2"/>
          <w:kern w:val="2"/>
          <w:sz w:val="21"/>
          <w:szCs w:val="21"/>
          <w:lang w:val="en-US" w:eastAsia="zh-CN" w:bidi="ar-SA"/>
        </w:rPr>
        <w:t>图，充分进行现状调查和分析研究；按照增减挂钩的原则整体推进农用地整理、建设用</w:t>
      </w:r>
      <w:r>
        <w:rPr>
          <w:rFonts w:hint="eastAsia" w:ascii="宋体" w:hAnsi="宋体" w:eastAsia="宋体" w:cs="宋体"/>
          <w:spacing w:val="17"/>
          <w:kern w:val="2"/>
          <w:sz w:val="21"/>
          <w:szCs w:val="21"/>
          <w:lang w:val="en-US" w:eastAsia="zh-CN" w:bidi="ar-SA"/>
        </w:rPr>
        <w:t xml:space="preserve"> </w:t>
      </w:r>
      <w:r>
        <w:rPr>
          <w:rFonts w:hint="eastAsia" w:ascii="宋体" w:hAnsi="宋体" w:eastAsia="宋体" w:cs="宋体"/>
          <w:spacing w:val="-2"/>
          <w:kern w:val="2"/>
          <w:sz w:val="21"/>
          <w:szCs w:val="21"/>
          <w:lang w:val="en-US" w:eastAsia="zh-CN" w:bidi="ar-SA"/>
        </w:rPr>
        <w:t>地整理和乡村生态保护修复；提炼村庄自然、人文要素及建筑特色，塑造村庄风貌，农房住宅设计对建筑风格、色彩、高度提出指引，其他商业类、厂房类、公共管理类建筑</w:t>
      </w:r>
      <w:r>
        <w:rPr>
          <w:rFonts w:hint="eastAsia" w:ascii="宋体" w:hAnsi="宋体" w:eastAsia="宋体" w:cs="宋体"/>
          <w:spacing w:val="17"/>
          <w:kern w:val="2"/>
          <w:sz w:val="21"/>
          <w:szCs w:val="21"/>
          <w:lang w:val="en-US" w:eastAsia="zh-CN" w:bidi="ar-SA"/>
        </w:rPr>
        <w:t xml:space="preserve"> </w:t>
      </w:r>
      <w:r>
        <w:rPr>
          <w:rFonts w:hint="eastAsia" w:ascii="宋体" w:hAnsi="宋体" w:eastAsia="宋体" w:cs="宋体"/>
          <w:spacing w:val="-2"/>
          <w:kern w:val="2"/>
          <w:sz w:val="21"/>
          <w:szCs w:val="21"/>
          <w:lang w:val="en-US" w:eastAsia="zh-CN" w:bidi="ar-SA"/>
        </w:rPr>
        <w:t>设计应体现地域特色，保证村庄整体风貌协调统一；提出各类开发建设、修复整治等的</w:t>
      </w:r>
      <w:r>
        <w:rPr>
          <w:rFonts w:hint="eastAsia" w:ascii="宋体" w:hAnsi="宋体" w:eastAsia="宋体" w:cs="宋体"/>
          <w:spacing w:val="17"/>
          <w:kern w:val="2"/>
          <w:sz w:val="21"/>
          <w:szCs w:val="21"/>
          <w:lang w:val="en-US" w:eastAsia="zh-CN" w:bidi="ar-SA"/>
        </w:rPr>
        <w:t xml:space="preserve"> </w:t>
      </w:r>
      <w:r>
        <w:rPr>
          <w:rFonts w:hint="eastAsia" w:ascii="宋体" w:hAnsi="宋体" w:eastAsia="宋体" w:cs="宋体"/>
          <w:spacing w:val="-2"/>
          <w:kern w:val="2"/>
          <w:sz w:val="21"/>
          <w:szCs w:val="21"/>
          <w:lang w:val="en-US" w:eastAsia="zh-CN" w:bidi="ar-SA"/>
        </w:rPr>
        <w:t>管控和引导要求，统筹村庄发展目标、国土空间综合整治与生态修复、耕地和永久基本农田保护、历史文化保护利用和特色风貌引导、产业发展、村庄安全和防灾减灾，合理</w:t>
      </w:r>
      <w:r>
        <w:rPr>
          <w:rFonts w:hint="eastAsia" w:ascii="宋体" w:hAnsi="宋体" w:eastAsia="宋体" w:cs="宋体"/>
          <w:spacing w:val="17"/>
          <w:kern w:val="2"/>
          <w:sz w:val="21"/>
          <w:szCs w:val="21"/>
          <w:lang w:val="en-US" w:eastAsia="zh-CN" w:bidi="ar-SA"/>
        </w:rPr>
        <w:t xml:space="preserve"> </w:t>
      </w:r>
      <w:r>
        <w:rPr>
          <w:rFonts w:hint="eastAsia" w:ascii="宋体" w:hAnsi="宋体" w:eastAsia="宋体" w:cs="宋体"/>
          <w:spacing w:val="-2"/>
          <w:kern w:val="2"/>
          <w:sz w:val="21"/>
          <w:szCs w:val="21"/>
          <w:lang w:val="en-US" w:eastAsia="zh-CN" w:bidi="ar-SA"/>
        </w:rPr>
        <w:t>安排住房、基础设施和基本公共服务设施以及产业发展空间布局，明确近期急需推进的生态修复整治、农田整理、补充耕地、产业发展、基础设施和公共服务设施建设、人居</w:t>
      </w:r>
      <w:r>
        <w:rPr>
          <w:rFonts w:hint="eastAsia" w:ascii="宋体" w:hAnsi="宋体" w:eastAsia="宋体" w:cs="宋体"/>
          <w:spacing w:val="-1"/>
          <w:kern w:val="2"/>
          <w:sz w:val="21"/>
          <w:szCs w:val="21"/>
          <w:lang w:val="en-US" w:eastAsia="zh-CN" w:bidi="ar-SA"/>
        </w:rPr>
        <w:t>环境整治、历史文化保护等项目，提出实施规划的措施和建议。</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jc w:val="left"/>
        <w:textAlignment w:val="baseline"/>
        <w:outlineLvl w:val="0"/>
        <w:rPr>
          <w:rFonts w:hint="eastAsia" w:ascii="宋体" w:hAnsi="宋体" w:eastAsia="宋体" w:cs="宋体"/>
          <w:sz w:val="21"/>
          <w:szCs w:val="21"/>
        </w:rPr>
      </w:pPr>
      <w:r>
        <w:rPr>
          <w:rFonts w:hint="eastAsia" w:ascii="宋体" w:hAnsi="宋体" w:eastAsia="宋体" w:cs="宋体"/>
          <w:spacing w:val="-1"/>
          <w:sz w:val="21"/>
          <w:szCs w:val="21"/>
        </w:rPr>
        <w:t>4、成果内容</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2" w:firstLineChars="200"/>
        <w:jc w:val="left"/>
        <w:textAlignment w:val="baseline"/>
        <w:rPr>
          <w:rFonts w:hint="eastAsia" w:ascii="宋体" w:hAnsi="宋体" w:eastAsia="宋体" w:cs="宋体"/>
          <w:sz w:val="21"/>
          <w:szCs w:val="21"/>
        </w:rPr>
      </w:pPr>
      <w:r>
        <w:rPr>
          <w:rFonts w:hint="eastAsia" w:ascii="宋体" w:hAnsi="宋体" w:eastAsia="宋体" w:cs="宋体"/>
          <w:spacing w:val="-2"/>
          <w:position w:val="17"/>
          <w:sz w:val="21"/>
          <w:szCs w:val="21"/>
        </w:rPr>
        <w:t>乡镇国土空间总体规划成果分为规划文本、规划图件、规划数据库及附件，应以纸质版文件和电子版文件两种形式提交。实用性村庄规划成果分为管理版和使用手册版，实时管理版应满足成果汇交要求</w:t>
      </w:r>
      <w:r>
        <w:rPr>
          <w:rFonts w:hint="eastAsia" w:ascii="宋体" w:hAnsi="宋体" w:eastAsia="宋体" w:cs="宋体"/>
          <w:spacing w:val="-2"/>
          <w:position w:val="17"/>
          <w:sz w:val="21"/>
          <w:szCs w:val="21"/>
          <w:lang w:eastAsia="zh-CN"/>
        </w:rPr>
        <w:t>，</w:t>
      </w:r>
      <w:r>
        <w:rPr>
          <w:rFonts w:hint="eastAsia" w:ascii="宋体" w:hAnsi="宋体" w:eastAsia="宋体" w:cs="宋体"/>
          <w:spacing w:val="-1"/>
          <w:sz w:val="21"/>
          <w:szCs w:val="21"/>
        </w:rPr>
        <w:t>使用手册版是实施管理版的简化版。</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502"/>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1）实施管理版成果</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482"/>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规划文本、图件、数据库、附件。</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487"/>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2）使用手册版成果</w:t>
      </w:r>
    </w:p>
    <w:p>
      <w:pPr>
        <w:keepNext w:val="0"/>
        <w:keepLines w:val="0"/>
        <w:pageBreakBefore w:val="0"/>
        <w:widowControl/>
        <w:tabs>
          <w:tab w:val="left" w:pos="0"/>
        </w:tabs>
        <w:kinsoku/>
        <w:wordWrap/>
        <w:overflowPunct/>
        <w:topLinePunct w:val="0"/>
        <w:autoSpaceDE w:val="0"/>
        <w:autoSpaceDN w:val="0"/>
        <w:bidi w:val="0"/>
        <w:adjustRightInd w:val="0"/>
        <w:snapToGrid w:val="0"/>
        <w:spacing w:before="63" w:beforeLines="20" w:after="63" w:afterLines="20" w:line="360" w:lineRule="auto"/>
        <w:ind w:left="0" w:leftChars="0" w:firstLine="359" w:firstLineChars="171"/>
        <w:jc w:val="left"/>
        <w:textAlignment w:val="baseline"/>
        <w:rPr>
          <w:rFonts w:hint="eastAsia" w:ascii="宋体" w:hAnsi="宋体" w:eastAsia="宋体" w:cs="宋体"/>
          <w:sz w:val="21"/>
          <w:szCs w:val="21"/>
        </w:rPr>
      </w:pPr>
      <w:r>
        <w:rPr>
          <w:rFonts w:hint="eastAsia" w:ascii="宋体" w:hAnsi="宋体" w:eastAsia="宋体" w:cs="宋体"/>
          <w:sz w:val="21"/>
          <w:szCs w:val="21"/>
        </w:rPr>
        <w:t>村庄规划使用手册，以一张图形式表达，应</w:t>
      </w:r>
      <w:r>
        <w:rPr>
          <w:rFonts w:hint="eastAsia" w:ascii="宋体" w:hAnsi="宋体" w:eastAsia="宋体" w:cs="宋体"/>
          <w:spacing w:val="-1"/>
          <w:sz w:val="21"/>
          <w:szCs w:val="21"/>
        </w:rPr>
        <w:t>做到通俗易懂，图文并茂。</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left="6"/>
        <w:jc w:val="left"/>
        <w:textAlignment w:val="baseline"/>
        <w:outlineLvl w:val="0"/>
        <w:rPr>
          <w:rFonts w:hint="eastAsia" w:ascii="宋体" w:hAnsi="宋体" w:eastAsia="宋体" w:cs="宋体"/>
          <w:sz w:val="21"/>
          <w:szCs w:val="21"/>
        </w:rPr>
      </w:pPr>
      <w:r>
        <w:rPr>
          <w:rFonts w:hint="eastAsia" w:ascii="宋体" w:hAnsi="宋体" w:eastAsia="宋体" w:cs="宋体"/>
          <w:spacing w:val="-2"/>
          <w:sz w:val="21"/>
          <w:szCs w:val="21"/>
        </w:rPr>
        <w:t>5、验收标准</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6" w:firstLineChars="200"/>
        <w:jc w:val="left"/>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乡镇国土空间规划经同级人民代表大会（常委会）审议后，由县（市、区）级政府报地（州、市）政府审批，数据库纳入国土空间规划“ 一张图”实施监督信息系统。</w:t>
      </w:r>
    </w:p>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416" w:firstLineChars="200"/>
        <w:jc w:val="left"/>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报地（州、市）政府审批，数据库纳入国土空间规城镇开发边界外的乡村地区编制的实用性村庄规划，由乡镇人民政府报上一级人民政府审批，数据库纳入国土空间规划“ 一张图”实施监督信息系统。</w:t>
      </w:r>
    </w:p>
    <w:p>
      <w:pPr>
        <w:widowControl w:val="0"/>
        <w:snapToGrid w:val="0"/>
        <w:jc w:val="left"/>
        <w:rPr>
          <w:rFonts w:hint="default" w:ascii="Times New Roman" w:hAnsi="Times New Roman" w:eastAsia="宋体" w:cs="Times New Roman"/>
          <w:b/>
          <w:bCs/>
          <w:kern w:val="2"/>
          <w:sz w:val="18"/>
          <w:szCs w:val="24"/>
          <w:lang w:val="en-US" w:eastAsia="zh-CN" w:bidi="ar-SA"/>
        </w:rPr>
      </w:pPr>
      <w:r>
        <w:rPr>
          <w:rFonts w:hint="eastAsia" w:ascii="宋体" w:hAnsi="宋体" w:eastAsia="宋体" w:cs="宋体"/>
          <w:b/>
          <w:bCs/>
          <w:spacing w:val="-1"/>
          <w:kern w:val="2"/>
          <w:sz w:val="21"/>
          <w:szCs w:val="21"/>
          <w:lang w:val="en-US" w:eastAsia="zh-CN" w:bidi="ar-SA"/>
        </w:rPr>
        <w:t>注：本项目服务内容包含各乡镇及各村庄的地形图测绘，各投标人报价需考虑此项内容</w:t>
      </w:r>
    </w:p>
    <w:p>
      <w:pPr>
        <w:pStyle w:val="5"/>
        <w:rPr>
          <w:rFonts w:hint="eastAsia" w:ascii="宋体" w:hAnsi="宋体" w:eastAsia="宋体" w:cs="宋体"/>
          <w:spacing w:val="-2"/>
          <w:sz w:val="21"/>
          <w:szCs w:val="21"/>
        </w:rPr>
      </w:pPr>
    </w:p>
    <w:p>
      <w:pPr>
        <w:pStyle w:val="2"/>
        <w:tabs>
          <w:tab w:val="left" w:pos="562"/>
          <w:tab w:val="left" w:pos="3372"/>
          <w:tab w:val="left" w:pos="3653"/>
        </w:tabs>
        <w:rPr>
          <w:rFonts w:hint="eastAsia" w:ascii="宋体" w:hAnsi="宋体" w:eastAsia="宋体" w:cs="宋体"/>
          <w:spacing w:val="-2"/>
          <w:sz w:val="21"/>
          <w:szCs w:val="21"/>
        </w:rPr>
      </w:pPr>
    </w:p>
    <w:p>
      <w:pPr>
        <w:pStyle w:val="6"/>
        <w:rPr>
          <w:rFonts w:hint="eastAsia" w:ascii="宋体" w:hAnsi="宋体" w:eastAsia="宋体" w:cs="宋体"/>
          <w:spacing w:val="-2"/>
          <w:sz w:val="21"/>
          <w:szCs w:val="21"/>
        </w:rPr>
      </w:pPr>
    </w:p>
    <w:p>
      <w:pPr>
        <w:rPr>
          <w:rFonts w:hint="eastAsia" w:ascii="宋体" w:hAnsi="宋体" w:eastAsia="宋体" w:cs="宋体"/>
          <w:spacing w:val="-2"/>
          <w:sz w:val="21"/>
          <w:szCs w:val="21"/>
        </w:rPr>
      </w:pPr>
    </w:p>
    <w:p>
      <w:pPr>
        <w:pStyle w:val="5"/>
        <w:rPr>
          <w:rFonts w:hint="eastAsia" w:ascii="宋体" w:hAnsi="宋体" w:eastAsia="宋体" w:cs="宋体"/>
          <w:spacing w:val="-2"/>
          <w:sz w:val="21"/>
          <w:szCs w:val="21"/>
        </w:rPr>
      </w:pPr>
    </w:p>
    <w:p>
      <w:pPr>
        <w:pStyle w:val="2"/>
        <w:tabs>
          <w:tab w:val="left" w:pos="562"/>
          <w:tab w:val="left" w:pos="3372"/>
          <w:tab w:val="left" w:pos="3653"/>
        </w:tabs>
        <w:rPr>
          <w:rFonts w:hint="eastAsia" w:ascii="宋体" w:hAnsi="宋体" w:eastAsia="宋体" w:cs="宋体"/>
          <w:spacing w:val="-2"/>
          <w:sz w:val="21"/>
          <w:szCs w:val="21"/>
        </w:rPr>
      </w:pPr>
    </w:p>
    <w:p>
      <w:pPr>
        <w:pStyle w:val="6"/>
        <w:rPr>
          <w:rFonts w:hint="eastAsia" w:ascii="宋体" w:hAnsi="宋体" w:eastAsia="宋体" w:cs="宋体"/>
          <w:spacing w:val="-2"/>
          <w:sz w:val="21"/>
          <w:szCs w:val="21"/>
        </w:rPr>
      </w:pPr>
    </w:p>
    <w:p>
      <w:pPr>
        <w:rPr>
          <w:rFonts w:hint="eastAsia" w:ascii="宋体" w:hAnsi="宋体" w:eastAsia="宋体" w:cs="宋体"/>
          <w:spacing w:val="-2"/>
          <w:sz w:val="21"/>
          <w:szCs w:val="21"/>
        </w:rPr>
      </w:pPr>
    </w:p>
    <w:p>
      <w:pPr>
        <w:pStyle w:val="5"/>
        <w:rPr>
          <w:rFonts w:hint="eastAsia" w:ascii="宋体" w:hAnsi="宋体" w:eastAsia="宋体" w:cs="宋体"/>
          <w:spacing w:val="-2"/>
          <w:sz w:val="21"/>
          <w:szCs w:val="21"/>
        </w:rPr>
      </w:pPr>
    </w:p>
    <w:p>
      <w:pPr>
        <w:pStyle w:val="5"/>
        <w:jc w:val="center"/>
        <w:rPr>
          <w:rFonts w:hint="eastAsia"/>
          <w:sz w:val="36"/>
          <w:szCs w:val="52"/>
        </w:rPr>
      </w:pPr>
      <w:r>
        <w:rPr>
          <w:rFonts w:hint="eastAsia"/>
          <w:sz w:val="36"/>
          <w:szCs w:val="52"/>
        </w:rPr>
        <w:t>“多规合一”实用性村庄规划编制</w:t>
      </w:r>
    </w:p>
    <w:p>
      <w:pPr>
        <w:pStyle w:val="5"/>
        <w:jc w:val="center"/>
        <w:rPr>
          <w:rFonts w:hint="eastAsia"/>
          <w:sz w:val="36"/>
          <w:szCs w:val="52"/>
        </w:rPr>
      </w:pPr>
      <w:r>
        <w:rPr>
          <w:rFonts w:hint="eastAsia"/>
          <w:sz w:val="36"/>
          <w:szCs w:val="52"/>
        </w:rPr>
        <w:t>信息统计表</w:t>
      </w:r>
    </w:p>
    <w:p>
      <w:pPr>
        <w:pStyle w:val="5"/>
        <w:rPr>
          <w:rFonts w:hint="eastAsia"/>
        </w:rPr>
      </w:pPr>
    </w:p>
    <w:tbl>
      <w:tblPr>
        <w:tblStyle w:val="7"/>
        <w:tblW w:w="89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210"/>
        <w:gridCol w:w="1594"/>
        <w:gridCol w:w="1975"/>
        <w:gridCol w:w="1876"/>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标段</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乡（镇、场）</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村（队）</w:t>
            </w:r>
          </w:p>
        </w:tc>
        <w:tc>
          <w:tcPr>
            <w:tcW w:w="1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村庄类型</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一标段</w:t>
            </w: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皮拉勒乡</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阿克提其村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阿克土村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城郊融合类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霍伊拉阿勒迪村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喀拉苏村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皮拉勒村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恰尔巴格村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琼巴什村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塔孜勒克村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乌尊拉村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英阿尔帕村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二标段</w:t>
            </w: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玉麦镇</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阿勒吞其村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阿玛希村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霍伊拉艾日克村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喀什艾日克村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库尔巴格村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兰干村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恰格尔村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英阿依玛克村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玉麦镇英阿依玛克村与百合提村合编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尤喀克霍伊拉村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阿克陶镇</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巴仁艾日克村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拱拜提艾日克村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城郊融合类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阿克陶镇拱拜提艾日克村与喀依恰艾日克村（集聚提升类）合编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央其买里村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城郊融合类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英其开艾日克村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三标段</w:t>
            </w:r>
          </w:p>
        </w:tc>
        <w:tc>
          <w:tcPr>
            <w:tcW w:w="15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巴仁乡</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巴仁村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墩巴格村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加依村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克孜勒吾斯塘村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库木村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且克村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萨依巴格村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吐尔村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也勒干村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英买里村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四标段</w:t>
            </w: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加马铁热克乡</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阔纳霍依拉村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阔什铁热克村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赛克孜艾日克村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乌卡买里村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塔尔乡</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巴格村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塔尔塔吉克民族乡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库祖村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塔尔塔吉克民族乡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阿勒玛勒克村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塔尔塔吉克民族乡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阿克库木村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集聚提升类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塔尔塔吉克民族乡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五标段</w:t>
            </w:r>
          </w:p>
        </w:tc>
        <w:tc>
          <w:tcPr>
            <w:tcW w:w="15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木吉乡</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布拉克村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昆提别斯村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琼让村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布伦口乡</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盖孜村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恰克尔艾格勒村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托喀依村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六标段</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奥依塔克镇</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阿特奥依纳克村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奥依塔克镇阿特奥依纳克村与皮拉勒村合编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恰尔隆镇</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阿克达拉村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阿克达拉牧场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阔克图窝孜村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阿克达拉牧场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塔木喀拉村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阿克达拉牧场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克孜勒陶镇</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喀尔乌勒村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塔木村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托云都克村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5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乌尔都隆窝孜村</w:t>
            </w:r>
          </w:p>
        </w:tc>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特色保护类</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bl>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360" w:lineRule="auto"/>
        <w:ind w:firstLine="560" w:firstLineChars="200"/>
        <w:jc w:val="left"/>
        <w:textAlignment w:val="baseline"/>
        <w:rPr>
          <w:sz w:val="28"/>
          <w:szCs w:val="28"/>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JiYTg4M2MwYjZmZmZkNjVmNjI4NzRjM2RmZGMifQ=="/>
  </w:docVars>
  <w:rsids>
    <w:rsidRoot w:val="00000000"/>
    <w:rsid w:val="38DD752C"/>
    <w:rsid w:val="5F3C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2"/>
    <w:qFormat/>
    <w:uiPriority w:val="99"/>
    <w:pPr>
      <w:snapToGrid w:val="0"/>
      <w:jc w:val="left"/>
    </w:pPr>
    <w:rPr>
      <w:sz w:val="18"/>
    </w:rPr>
  </w:style>
  <w:style w:type="paragraph" w:styleId="6">
    <w:name w:val="Body Text First Indent"/>
    <w:basedOn w:val="2"/>
    <w:next w:val="1"/>
    <w:unhideWhenUsed/>
    <w:qFormat/>
    <w:uiPriority w:val="99"/>
    <w:pPr>
      <w:tabs>
        <w:tab w:val="left" w:pos="567"/>
      </w:tabs>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WPS_539769116</cp:lastModifiedBy>
  <dcterms:modified xsi:type="dcterms:W3CDTF">2023-10-08T11:36:40Z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677B4A82A3044EEF8E6A7779204FC101_12</vt:lpwstr>
  </property>
</Properties>
</file>