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供应商未中标情况说明</w:t>
      </w:r>
    </w:p>
    <w:p>
      <w:pPr>
        <w:rPr>
          <w:rFonts w:hint="eastAsia"/>
          <w:b/>
          <w:sz w:val="21"/>
          <w:szCs w:val="21"/>
        </w:rPr>
      </w:pPr>
    </w:p>
    <w:p>
      <w:pPr>
        <w:pStyle w:val="3"/>
        <w:spacing w:before="120" w:beforeLines="0" w:after="120" w:afterLines="0" w:line="360" w:lineRule="auto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标段编号：</w:t>
      </w:r>
      <w:r>
        <w:rPr>
          <w:rFonts w:hint="eastAsia"/>
          <w:b/>
          <w:sz w:val="21"/>
          <w:szCs w:val="21"/>
          <w:lang w:val="en-US" w:eastAsia="zh-CN"/>
        </w:rPr>
        <w:t>LA[2021]1776</w:t>
      </w:r>
      <w:r>
        <w:rPr>
          <w:rFonts w:hint="eastAsia"/>
          <w:b/>
          <w:sz w:val="21"/>
          <w:szCs w:val="21"/>
        </w:rPr>
        <w:t>号</w:t>
      </w:r>
      <w:bookmarkStart w:id="0" w:name="_GoBack"/>
      <w:bookmarkEnd w:id="0"/>
    </w:p>
    <w:p>
      <w:pPr>
        <w:spacing w:line="360" w:lineRule="auto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标段名称：</w:t>
      </w:r>
      <w:r>
        <w:rPr>
          <w:rFonts w:hint="eastAsia" w:ascii="宋体" w:hAnsi="Courier New" w:eastAsiaTheme="minorEastAsia" w:cstheme="minorBidi"/>
          <w:b/>
          <w:kern w:val="2"/>
          <w:sz w:val="21"/>
          <w:szCs w:val="21"/>
          <w:lang w:val="en-US" w:eastAsia="zh-CN" w:bidi="ar-SA"/>
        </w:rPr>
        <w:t>临安区生命教育体验馆设备更新采购</w:t>
      </w:r>
      <w:r>
        <w:rPr>
          <w:rFonts w:hint="eastAsia" w:ascii="宋体" w:hAnsi="Courier New" w:cstheme="minorBidi"/>
          <w:b/>
          <w:kern w:val="2"/>
          <w:sz w:val="21"/>
          <w:szCs w:val="21"/>
          <w:lang w:val="en-US" w:eastAsia="zh-CN" w:bidi="ar-SA"/>
        </w:rPr>
        <w:t>项目</w:t>
      </w:r>
    </w:p>
    <w:p>
      <w:pPr>
        <w:rPr>
          <w:sz w:val="21"/>
          <w:szCs w:val="21"/>
        </w:rPr>
      </w:pPr>
    </w:p>
    <w:tbl>
      <w:tblPr>
        <w:tblStyle w:val="8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99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浙江神盾保安服务有限公司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总得分78.2，排名第2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浙江铁军保安服务有限公司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总得分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66.57，排名第3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杭州富阳保安服务有限公司</w:t>
            </w:r>
          </w:p>
        </w:tc>
        <w:tc>
          <w:tcPr>
            <w:tcW w:w="3960" w:type="dxa"/>
            <w:textDirection w:val="lrTb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总得分65.72，排名第4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杭州余杭保安服务有限公司</w:t>
            </w:r>
          </w:p>
        </w:tc>
        <w:tc>
          <w:tcPr>
            <w:tcW w:w="3960" w:type="dxa"/>
            <w:textDirection w:val="lrTb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总得分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65.08，排名第5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  <w:r>
        <w:rPr>
          <w:sz w:val="21"/>
          <w:szCs w:val="21"/>
        </w:rPr>
        <w:t>若标段废标，可对整个标段废标情况说明即可。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ヒラギノ角ゴ Pro W3">
    <w:altName w:val="MS Gothic"/>
    <w:panose1 w:val="0000D010E60400000000"/>
    <w:charset w:val="80"/>
    <w:family w:val="auto"/>
    <w:pitch w:val="default"/>
    <w:sig w:usb0="00000000" w:usb1="00000000" w:usb2="01000407" w:usb3="00000000" w:csb0="0002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B67251"/>
    <w:rsid w:val="33E424A3"/>
    <w:rsid w:val="4EA71B23"/>
    <w:rsid w:val="6A516F06"/>
    <w:rsid w:val="73432F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10204"/>
      </w:tabs>
      <w:jc w:val="left"/>
    </w:pPr>
  </w:style>
  <w:style w:type="paragraph" w:styleId="3">
    <w:name w:val="Plain Text"/>
    <w:basedOn w:val="1"/>
    <w:next w:val="1"/>
    <w:unhideWhenUsed/>
    <w:uiPriority w:val="99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ScaleCrop>false</ScaleCrop>
  <LinksUpToDate>false</LinksUpToDate>
  <CharactersWithSpaces>79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浙江中际工程项目管理有限公司</cp:lastModifiedBy>
  <dcterms:modified xsi:type="dcterms:W3CDTF">2021-10-13T04:57:48Z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748109F1EE22460A80D8BA1C47D94AAA</vt:lpwstr>
  </property>
</Properties>
</file>