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p>
    <w:p>
      <w:pPr>
        <w:jc w:val="center"/>
        <w:rPr>
          <w:rFonts w:hint="eastAsia" w:ascii="宋体" w:hAnsi="宋体" w:eastAsia="宋体" w:cs="宋体"/>
          <w:color w:val="auto"/>
          <w:sz w:val="36"/>
          <w:szCs w:val="36"/>
          <w:highlight w:val="none"/>
        </w:rPr>
      </w:pPr>
      <w:r>
        <w:rPr>
          <w:rFonts w:hint="eastAsia" w:ascii="宋体" w:hAnsi="宋体" w:eastAsia="宋体" w:cs="宋体"/>
          <w:color w:val="auto"/>
          <w:highlight w:val="none"/>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lum contrast="10000"/>
                    </a:blip>
                    <a:stretch>
                      <a:fillRect/>
                    </a:stretch>
                  </pic:blipFill>
                  <pic:spPr>
                    <a:xfrm>
                      <a:off x="0" y="0"/>
                      <a:ext cx="2971800" cy="2091690"/>
                    </a:xfrm>
                    <a:prstGeom prst="rect">
                      <a:avLst/>
                    </a:prstGeom>
                    <a:noFill/>
                    <a:ln>
                      <a:noFill/>
                    </a:ln>
                  </pic:spPr>
                </pic:pic>
              </a:graphicData>
            </a:graphic>
          </wp:anchor>
        </w:drawing>
      </w:r>
    </w:p>
    <w:p>
      <w:pPr>
        <w:jc w:val="center"/>
        <w:rPr>
          <w:rFonts w:hint="eastAsia" w:ascii="宋体" w:hAnsi="宋体" w:eastAsia="宋体" w:cs="宋体"/>
          <w:color w:val="auto"/>
          <w:sz w:val="52"/>
          <w:szCs w:val="52"/>
          <w:highlight w:val="none"/>
        </w:rPr>
      </w:pPr>
    </w:p>
    <w:p>
      <w:pPr>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 xml:space="preserve">         F-STONE</w:t>
      </w: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b/>
          <w:color w:val="auto"/>
          <w:sz w:val="72"/>
          <w:szCs w:val="72"/>
          <w:highlight w:val="none"/>
        </w:rPr>
      </w:pPr>
    </w:p>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r>
        <w:rPr>
          <w:rFonts w:hint="eastAsia" w:ascii="宋体" w:hAnsi="宋体" w:eastAsia="宋体" w:cs="宋体"/>
          <w:b/>
          <w:color w:val="auto"/>
          <w:kern w:val="0"/>
          <w:sz w:val="52"/>
          <w:szCs w:val="52"/>
          <w:highlight w:val="none"/>
        </w:rPr>
        <w:t>政府采购电子招标文件</w:t>
      </w:r>
    </w:p>
    <w:p>
      <w:pPr>
        <w:shd w:val="clear" w:color="auto" w:fill="FFFFFF"/>
        <w:spacing w:line="360" w:lineRule="auto"/>
        <w:jc w:val="center"/>
        <w:textAlignment w:val="bottom"/>
        <w:rPr>
          <w:rFonts w:hint="eastAsia" w:ascii="宋体" w:hAnsi="宋体" w:eastAsia="宋体" w:cs="宋体"/>
          <w:color w:val="auto"/>
          <w:sz w:val="28"/>
          <w:szCs w:val="28"/>
          <w:highlight w:val="none"/>
        </w:rPr>
      </w:pPr>
    </w:p>
    <w:p>
      <w:pPr>
        <w:shd w:val="clear" w:color="auto" w:fill="FFFFFF"/>
        <w:spacing w:line="360" w:lineRule="auto"/>
        <w:ind w:firstLine="1120" w:firstLineChars="400"/>
        <w:jc w:val="both"/>
        <w:textAlignment w:val="bottom"/>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ZJWS2023-JJ88</w:t>
      </w:r>
    </w:p>
    <w:p>
      <w:pPr>
        <w:shd w:val="clear" w:color="auto" w:fill="FFFFFF"/>
        <w:tabs>
          <w:tab w:val="left" w:pos="1860"/>
        </w:tabs>
        <w:spacing w:line="360" w:lineRule="auto"/>
        <w:textAlignment w:val="bottom"/>
        <w:rPr>
          <w:rFonts w:hint="eastAsia" w:ascii="宋体" w:hAnsi="宋体" w:eastAsia="宋体" w:cs="宋体"/>
          <w:color w:val="auto"/>
          <w:kern w:val="0"/>
          <w:sz w:val="28"/>
          <w:highlight w:val="none"/>
        </w:rPr>
      </w:pPr>
    </w:p>
    <w:p>
      <w:pPr>
        <w:shd w:val="clear" w:color="auto" w:fill="FFFFFF"/>
        <w:spacing w:line="360" w:lineRule="auto"/>
        <w:textAlignment w:val="bottom"/>
        <w:rPr>
          <w:rFonts w:hint="eastAsia" w:ascii="宋体" w:hAnsi="宋体" w:eastAsia="宋体" w:cs="宋体"/>
          <w:color w:val="auto"/>
          <w:kern w:val="0"/>
          <w:sz w:val="28"/>
          <w:highlight w:val="none"/>
        </w:rPr>
      </w:pPr>
    </w:p>
    <w:p>
      <w:pPr>
        <w:autoSpaceDE w:val="0"/>
        <w:autoSpaceDN w:val="0"/>
        <w:adjustRightInd w:val="0"/>
        <w:spacing w:line="360" w:lineRule="auto"/>
        <w:ind w:firstLine="1120" w:firstLineChars="400"/>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rPr>
        <w:t>采购项目：</w:t>
      </w:r>
      <w:r>
        <w:rPr>
          <w:rFonts w:hint="eastAsia" w:ascii="宋体" w:hAnsi="宋体" w:eastAsia="宋体" w:cs="宋体"/>
          <w:color w:val="auto"/>
          <w:kern w:val="0"/>
          <w:sz w:val="28"/>
          <w:highlight w:val="none"/>
          <w:lang w:eastAsia="zh-CN"/>
        </w:rPr>
        <w:t>C形臂、</w:t>
      </w:r>
      <w:r>
        <w:rPr>
          <w:rFonts w:hint="eastAsia" w:ascii="宋体" w:hAnsi="宋体" w:eastAsia="宋体" w:cs="宋体"/>
          <w:color w:val="auto"/>
          <w:kern w:val="0"/>
          <w:sz w:val="28"/>
          <w:highlight w:val="none"/>
          <w:lang w:val="en-US" w:eastAsia="zh-CN"/>
        </w:rPr>
        <w:t>多排</w:t>
      </w:r>
      <w:r>
        <w:rPr>
          <w:rFonts w:hint="eastAsia" w:ascii="宋体" w:hAnsi="宋体" w:eastAsia="宋体" w:cs="宋体"/>
          <w:color w:val="auto"/>
          <w:kern w:val="0"/>
          <w:sz w:val="28"/>
          <w:highlight w:val="none"/>
          <w:lang w:eastAsia="zh-CN"/>
        </w:rPr>
        <w:t>螺旋CT采购项目</w:t>
      </w:r>
    </w:p>
    <w:p>
      <w:pPr>
        <w:autoSpaceDE w:val="0"/>
        <w:autoSpaceDN w:val="0"/>
        <w:adjustRightInd w:val="0"/>
        <w:spacing w:line="360" w:lineRule="auto"/>
        <w:ind w:firstLine="1120" w:firstLineChars="400"/>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采购单位：台州市中心医院（台州学院附属医院）</w:t>
      </w: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rPr>
        <w:t>采购代理机构：</w:t>
      </w:r>
      <w:r>
        <w:rPr>
          <w:rFonts w:hint="eastAsia" w:ascii="宋体" w:hAnsi="宋体" w:eastAsia="宋体" w:cs="宋体"/>
          <w:color w:val="auto"/>
          <w:kern w:val="0"/>
          <w:sz w:val="28"/>
          <w:highlight w:val="none"/>
          <w:lang w:eastAsia="zh-CN"/>
        </w:rPr>
        <w:t>浙江五石中正工程咨询有限公司</w:t>
      </w:r>
    </w:p>
    <w:p>
      <w:pPr>
        <w:autoSpaceDE w:val="0"/>
        <w:autoSpaceDN w:val="0"/>
        <w:adjustRightInd w:val="0"/>
        <w:spacing w:line="360" w:lineRule="auto"/>
        <w:jc w:val="cente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二○二</w:t>
      </w:r>
      <w:r>
        <w:rPr>
          <w:rFonts w:hint="eastAsia" w:ascii="宋体" w:hAnsi="宋体" w:cs="宋体"/>
          <w:color w:val="auto"/>
          <w:kern w:val="0"/>
          <w:sz w:val="28"/>
          <w:highlight w:val="none"/>
          <w:lang w:val="en-US" w:eastAsia="zh-CN"/>
        </w:rPr>
        <w:t>三</w:t>
      </w:r>
      <w:r>
        <w:rPr>
          <w:rFonts w:hint="eastAsia" w:ascii="宋体" w:hAnsi="宋体" w:eastAsia="宋体" w:cs="宋体"/>
          <w:color w:val="auto"/>
          <w:kern w:val="0"/>
          <w:sz w:val="28"/>
          <w:highlight w:val="none"/>
        </w:rPr>
        <w:t>年</w:t>
      </w:r>
      <w:r>
        <w:rPr>
          <w:rFonts w:hint="eastAsia" w:ascii="宋体" w:hAnsi="宋体" w:cs="宋体"/>
          <w:color w:val="auto"/>
          <w:kern w:val="0"/>
          <w:sz w:val="28"/>
          <w:highlight w:val="none"/>
          <w:lang w:val="en-US" w:eastAsia="zh-CN"/>
        </w:rPr>
        <w:t>五</w:t>
      </w:r>
      <w:r>
        <w:rPr>
          <w:rFonts w:hint="eastAsia" w:ascii="宋体" w:hAnsi="宋体" w:eastAsia="宋体" w:cs="宋体"/>
          <w:color w:val="auto"/>
          <w:kern w:val="0"/>
          <w:sz w:val="28"/>
          <w:highlight w:val="none"/>
        </w:rPr>
        <w:t>月</w:t>
      </w:r>
    </w:p>
    <w:p>
      <w:pPr>
        <w:spacing w:line="360" w:lineRule="auto"/>
        <w:ind w:firstLine="480" w:firstLineChars="200"/>
        <w:rPr>
          <w:rFonts w:hint="eastAsia" w:ascii="宋体" w:hAnsi="宋体" w:eastAsia="宋体" w:cs="宋体"/>
          <w:color w:val="auto"/>
          <w:sz w:val="24"/>
          <w:szCs w:val="32"/>
          <w:highlight w:val="none"/>
        </w:rPr>
      </w:pPr>
    </w:p>
    <w:p>
      <w:pPr>
        <w:spacing w:line="360" w:lineRule="auto"/>
        <w:ind w:firstLine="480" w:firstLineChars="200"/>
        <w:rPr>
          <w:rFonts w:hint="eastAsia" w:ascii="宋体" w:hAnsi="宋体" w:eastAsia="宋体" w:cs="宋体"/>
          <w:color w:val="auto"/>
          <w:sz w:val="24"/>
          <w:szCs w:val="32"/>
          <w:highlight w:val="none"/>
        </w:rPr>
      </w:pPr>
    </w:p>
    <w:p>
      <w:pPr>
        <w:spacing w:line="360" w:lineRule="auto"/>
        <w:ind w:firstLine="480" w:firstLineChars="200"/>
        <w:rPr>
          <w:rFonts w:hint="eastAsia" w:ascii="宋体" w:hAnsi="宋体" w:eastAsia="宋体" w:cs="宋体"/>
          <w:color w:val="auto"/>
          <w:sz w:val="24"/>
          <w:szCs w:val="32"/>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  录</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第一章 公开招标采购公告</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第二章 投标人须知</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评标办法及评分标准</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第四章 公开招标需求</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第五章 政府采购合同主要条款指引</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第六章 投标文件格式附件</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 公开招标采购公告</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eastAsia="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eastAsia="宋体" w:cs="宋体"/>
          <w:b/>
          <w:bCs/>
          <w:color w:val="auto"/>
          <w:sz w:val="24"/>
          <w:szCs w:val="32"/>
          <w:highlight w:val="none"/>
        </w:rPr>
        <w:t>台州市中心医院（台州学院附属医院）</w:t>
      </w:r>
      <w:r>
        <w:rPr>
          <w:rFonts w:hint="eastAsia" w:ascii="宋体" w:hAnsi="宋体" w:eastAsia="宋体" w:cs="宋体"/>
          <w:color w:val="auto"/>
          <w:sz w:val="24"/>
          <w:szCs w:val="32"/>
          <w:highlight w:val="none"/>
        </w:rPr>
        <w:t>委托，现就其</w:t>
      </w:r>
      <w:r>
        <w:rPr>
          <w:rFonts w:hint="eastAsia" w:ascii="宋体" w:hAnsi="宋体" w:cs="宋体"/>
          <w:b/>
          <w:bCs/>
          <w:color w:val="auto"/>
          <w:sz w:val="24"/>
          <w:szCs w:val="32"/>
          <w:highlight w:val="none"/>
          <w:lang w:eastAsia="zh-CN"/>
        </w:rPr>
        <w:t>C形臂、</w:t>
      </w:r>
      <w:r>
        <w:rPr>
          <w:rFonts w:hint="eastAsia" w:ascii="宋体" w:hAnsi="宋体" w:cs="宋体"/>
          <w:b/>
          <w:bCs/>
          <w:color w:val="auto"/>
          <w:kern w:val="0"/>
          <w:sz w:val="24"/>
          <w:highlight w:val="none"/>
          <w:lang w:val="en-US" w:eastAsia="zh-CN"/>
        </w:rPr>
        <w:t>多排</w:t>
      </w:r>
      <w:r>
        <w:rPr>
          <w:rFonts w:hint="eastAsia" w:ascii="宋体" w:hAnsi="宋体" w:cs="宋体"/>
          <w:b/>
          <w:bCs/>
          <w:color w:val="auto"/>
          <w:sz w:val="24"/>
          <w:szCs w:val="32"/>
          <w:highlight w:val="none"/>
          <w:lang w:eastAsia="zh-CN"/>
        </w:rPr>
        <w:t>螺旋CT采购项目</w:t>
      </w:r>
      <w:r>
        <w:rPr>
          <w:rFonts w:hint="eastAsia" w:ascii="宋体" w:hAnsi="宋体" w:eastAsia="宋体" w:cs="宋体"/>
          <w:color w:val="auto"/>
          <w:sz w:val="24"/>
          <w:szCs w:val="32"/>
          <w:highlight w:val="none"/>
        </w:rPr>
        <w:t>进行公开招标采购，欢迎合格供应商前来投标。</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rPr>
        <w:t>一、项目编号：</w:t>
      </w:r>
      <w:r>
        <w:rPr>
          <w:rFonts w:hint="eastAsia" w:ascii="宋体" w:hAnsi="宋体" w:cs="宋体"/>
          <w:color w:val="auto"/>
          <w:sz w:val="24"/>
          <w:szCs w:val="32"/>
          <w:highlight w:val="none"/>
          <w:lang w:eastAsia="zh-CN"/>
        </w:rPr>
        <w:t>ZJWS2023-JJ88</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二、招标项目概况：</w:t>
      </w:r>
    </w:p>
    <w:tbl>
      <w:tblPr>
        <w:tblStyle w:val="2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20"/>
        <w:gridCol w:w="1275"/>
        <w:gridCol w:w="1395"/>
        <w:gridCol w:w="253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95" w:type="dxa"/>
            <w:vAlign w:val="center"/>
          </w:tcPr>
          <w:p>
            <w:pPr>
              <w:jc w:val="center"/>
              <w:rPr>
                <w:rFonts w:hint="eastAsia" w:ascii="宋体" w:hAnsi="宋体" w:eastAsia="宋体" w:cs="宋体"/>
                <w:b/>
                <w:color w:val="auto"/>
                <w:sz w:val="24"/>
                <w:highlight w:val="none"/>
                <w:lang w:eastAsia="zh-CN"/>
              </w:rPr>
            </w:pPr>
            <w:bookmarkStart w:id="0" w:name="EBc3c9f0bc06b6413d849824fe98ba274c"/>
            <w:r>
              <w:rPr>
                <w:rFonts w:hint="eastAsia" w:ascii="宋体" w:hAnsi="宋体" w:cs="宋体"/>
                <w:b/>
                <w:color w:val="auto"/>
                <w:sz w:val="24"/>
                <w:highlight w:val="none"/>
                <w:lang w:val="en-US" w:eastAsia="zh-CN"/>
              </w:rPr>
              <w:t>序号</w:t>
            </w:r>
          </w:p>
        </w:tc>
        <w:tc>
          <w:tcPr>
            <w:tcW w:w="1620"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p>
        </w:tc>
        <w:tc>
          <w:tcPr>
            <w:tcW w:w="127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39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预算</w:t>
            </w:r>
          </w:p>
        </w:tc>
        <w:tc>
          <w:tcPr>
            <w:tcW w:w="2538"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交货期</w:t>
            </w:r>
          </w:p>
        </w:tc>
        <w:tc>
          <w:tcPr>
            <w:tcW w:w="141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9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62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eastAsia="zh-CN"/>
              </w:rPr>
              <w:t>C形臂</w:t>
            </w:r>
          </w:p>
        </w:tc>
        <w:tc>
          <w:tcPr>
            <w:tcW w:w="127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1台</w:t>
            </w:r>
          </w:p>
        </w:tc>
        <w:tc>
          <w:tcPr>
            <w:tcW w:w="139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95万元</w:t>
            </w:r>
          </w:p>
        </w:tc>
        <w:tc>
          <w:tcPr>
            <w:tcW w:w="2538"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合同签订后</w:t>
            </w:r>
            <w:r>
              <w:rPr>
                <w:rFonts w:hint="eastAsia" w:ascii="宋体" w:hAnsi="宋体" w:cs="宋体"/>
                <w:color w:val="auto"/>
                <w:sz w:val="24"/>
                <w:highlight w:val="none"/>
                <w:lang w:val="en-US" w:eastAsia="zh-CN"/>
              </w:rPr>
              <w:t>两</w:t>
            </w:r>
            <w:r>
              <w:rPr>
                <w:rFonts w:hint="eastAsia" w:ascii="宋体" w:hAnsi="宋体" w:eastAsia="宋体" w:cs="宋体"/>
                <w:color w:val="auto"/>
                <w:sz w:val="24"/>
                <w:highlight w:val="none"/>
              </w:rPr>
              <w:t>个月内，按院方需求送货到医院指定地点。</w:t>
            </w:r>
          </w:p>
        </w:tc>
        <w:tc>
          <w:tcPr>
            <w:tcW w:w="1415"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95"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620" w:type="dxa"/>
            <w:vAlign w:val="center"/>
          </w:tcPr>
          <w:p>
            <w:pPr>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多排</w:t>
            </w:r>
            <w:r>
              <w:rPr>
                <w:rFonts w:hint="eastAsia" w:ascii="宋体" w:hAnsi="宋体" w:eastAsia="宋体" w:cs="宋体"/>
                <w:color w:val="auto"/>
                <w:kern w:val="0"/>
                <w:sz w:val="24"/>
                <w:highlight w:val="none"/>
                <w:lang w:eastAsia="zh-CN"/>
              </w:rPr>
              <w:t>螺旋CT</w:t>
            </w:r>
          </w:p>
        </w:tc>
        <w:tc>
          <w:tcPr>
            <w:tcW w:w="127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2套</w:t>
            </w:r>
          </w:p>
        </w:tc>
        <w:tc>
          <w:tcPr>
            <w:tcW w:w="139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760万元</w:t>
            </w:r>
          </w:p>
        </w:tc>
        <w:tc>
          <w:tcPr>
            <w:tcW w:w="2538" w:type="dxa"/>
            <w:vMerge w:val="continue"/>
            <w:vAlign w:val="center"/>
          </w:tcPr>
          <w:p>
            <w:pPr>
              <w:jc w:val="center"/>
              <w:rPr>
                <w:rFonts w:hint="eastAsia" w:ascii="宋体" w:hAnsi="宋体" w:eastAsia="宋体" w:cs="宋体"/>
                <w:color w:val="auto"/>
                <w:sz w:val="24"/>
                <w:highlight w:val="none"/>
              </w:rPr>
            </w:pPr>
          </w:p>
        </w:tc>
        <w:tc>
          <w:tcPr>
            <w:tcW w:w="1415" w:type="dxa"/>
            <w:vMerge w:val="continue"/>
            <w:vAlign w:val="center"/>
          </w:tcPr>
          <w:p>
            <w:pPr>
              <w:jc w:val="center"/>
              <w:rPr>
                <w:rFonts w:hint="eastAsia" w:ascii="宋体" w:hAnsi="宋体" w:eastAsia="宋体" w:cs="宋体"/>
                <w:color w:val="auto"/>
                <w:sz w:val="24"/>
                <w:highlight w:val="none"/>
              </w:rPr>
            </w:pPr>
          </w:p>
        </w:tc>
      </w:tr>
      <w:bookmarkEnd w:id="0"/>
    </w:tbl>
    <w:p>
      <w:pPr>
        <w:bidi w:val="0"/>
        <w:spacing w:line="360" w:lineRule="auto"/>
        <w:ind w:firstLine="482" w:firstLineChars="2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本次采购产品</w:t>
      </w:r>
      <w:r>
        <w:rPr>
          <w:rFonts w:hint="eastAsia" w:ascii="宋体" w:hAnsi="宋体" w:cs="宋体"/>
          <w:b/>
          <w:bCs/>
          <w:color w:val="auto"/>
          <w:sz w:val="24"/>
          <w:szCs w:val="32"/>
          <w:highlight w:val="none"/>
          <w:lang w:val="en-US" w:eastAsia="zh-CN"/>
        </w:rPr>
        <w:t>不允许</w:t>
      </w:r>
      <w:r>
        <w:rPr>
          <w:rFonts w:hint="eastAsia" w:ascii="宋体" w:hAnsi="宋体" w:eastAsia="宋体" w:cs="宋体"/>
          <w:b/>
          <w:bCs/>
          <w:color w:val="auto"/>
          <w:sz w:val="24"/>
          <w:szCs w:val="32"/>
          <w:highlight w:val="none"/>
          <w:lang w:val="en-US" w:eastAsia="zh-CN"/>
        </w:rPr>
        <w:t>进口产品</w:t>
      </w:r>
      <w:r>
        <w:rPr>
          <w:rFonts w:hint="eastAsia" w:ascii="宋体" w:hAnsi="宋体" w:cs="宋体"/>
          <w:b/>
          <w:bCs/>
          <w:color w:val="auto"/>
          <w:sz w:val="24"/>
          <w:szCs w:val="32"/>
          <w:highlight w:val="none"/>
          <w:lang w:val="en-US" w:eastAsia="zh-CN"/>
        </w:rPr>
        <w:t>。</w:t>
      </w:r>
      <w:r>
        <w:rPr>
          <w:rFonts w:hint="eastAsia" w:ascii="宋体" w:hAnsi="宋体" w:eastAsia="宋体" w:cs="宋体"/>
          <w:b/>
          <w:bCs/>
          <w:color w:val="auto"/>
          <w:sz w:val="24"/>
          <w:szCs w:val="32"/>
          <w:highlight w:val="none"/>
          <w:lang w:val="en-US" w:eastAsia="zh-CN"/>
        </w:rPr>
        <w:t xml:space="preserve"> </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三、合格投标人的资格条件：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①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②</w:t>
      </w:r>
      <w:r>
        <w:rPr>
          <w:rFonts w:hint="eastAsia" w:ascii="宋体" w:hAnsi="宋体" w:cs="宋体"/>
          <w:color w:val="auto"/>
          <w:sz w:val="24"/>
          <w:szCs w:val="32"/>
          <w:highlight w:val="none"/>
          <w:lang w:val="en-US" w:eastAsia="zh-CN"/>
        </w:rPr>
        <w:t>本项目不</w:t>
      </w:r>
      <w:r>
        <w:rPr>
          <w:rFonts w:hint="eastAsia" w:ascii="宋体" w:hAnsi="宋体" w:eastAsia="宋体" w:cs="宋体"/>
          <w:color w:val="auto"/>
          <w:sz w:val="24"/>
          <w:szCs w:val="32"/>
          <w:highlight w:val="none"/>
        </w:rPr>
        <w:t>接受联合体投标。</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四、招标文件获取的时间、方式：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1、本项目招标文件实行“政府采购云平台”在线获取，不提供招标文件纸质版。供应商获取招标文件前应先完成“政府采购云平台”的账号注册。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2、获取时间：自本公告发布之日起至响应文件递交截止时间止（以供应商完成获取采购文件申请后下载采购文件的时间为准）。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3、地点：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"http://zfcg.czt.zj.gov.cn/"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http：//zfcg.czt.zj.gov.cn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（2）供应商网上报名操作指南：“浙江政府采购网-办事指南-省采中心-网上报名”（http：//zfcg.czt.zj.gov.cn/bs_other/2018-03-30/12002.html）。</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五、投标说明：</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2.投标人通过政采云平台电子投标工具制作投标文件，电子投标工具请供应商自行前往浙江政府采购网下载并安装（下载网址：http：//www.zjzfcg.gov.cn/bidClientTemplate/2019-05-27/12946.html）。</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3.投标人应在开标前完成CA数字证书办理。（办理流程详见</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"http://www.zjzfcg.gov.cn/bidClientTemplate/2019-05-27/12945.html"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4"/>
          <w:highlight w:val="none"/>
          <w:u w:val="single"/>
        </w:rPr>
        <w:t>http：//www.zjzfcg.gov.cn/bidClientTemplate/2019-05-27/12945.html</w:t>
      </w:r>
      <w:r>
        <w:rPr>
          <w:rFonts w:hint="eastAsia" w:ascii="宋体" w:hAnsi="宋体" w:eastAsia="宋体" w:cs="宋体"/>
          <w:color w:val="auto"/>
          <w:kern w:val="0"/>
          <w:sz w:val="24"/>
          <w:highlight w:val="none"/>
          <w:u w:val="single"/>
        </w:rPr>
        <w:fldChar w:fldCharType="end"/>
      </w:r>
      <w:r>
        <w:rPr>
          <w:rFonts w:hint="eastAsia" w:ascii="宋体" w:hAnsi="宋体" w:eastAsia="宋体" w:cs="宋体"/>
          <w:color w:val="auto"/>
          <w:kern w:val="0"/>
          <w:sz w:val="24"/>
          <w:highlight w:val="none"/>
          <w:u w:val="single"/>
        </w:rPr>
        <w:t>，完成CA数字证书办理预计一周左右，请各投标人自行把握时间）</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eastAsia="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5.投标文件的组成、份数、密封、效力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本项目实行电子投标，供应商应准备电子投标文件、以介质（U盘）存储的数据电文形式、纸质备份投标文件三类：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5.1电子投标文件，按政采云平台项目采购--电子招投标操作指南及本招标文件要求编制。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w:t>
      </w:r>
      <w:bookmarkStart w:id="1" w:name="_Hlk34638143"/>
      <w:r>
        <w:rPr>
          <w:rFonts w:hint="eastAsia" w:ascii="宋体" w:hAnsi="宋体" w:eastAsia="宋体" w:cs="宋体"/>
          <w:color w:val="auto"/>
          <w:sz w:val="24"/>
          <w:highlight w:val="none"/>
        </w:rPr>
        <w:t>纸质</w:t>
      </w:r>
      <w:bookmarkEnd w:id="1"/>
      <w:r>
        <w:rPr>
          <w:rFonts w:hint="eastAsia" w:ascii="宋体" w:hAnsi="宋体" w:eastAsia="宋体" w:cs="宋体"/>
          <w:color w:val="auto"/>
          <w:sz w:val="24"/>
          <w:highlight w:val="none"/>
        </w:rPr>
        <w:t>备份投标文件以纸质文件的形式编制，按资格证明文件、商务技术文件、报价文件三部分分别编制并单独装订成册，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highlight w:val="none"/>
        </w:rPr>
        <w:t>。资格证明文件、商务技术文件、报价文件三部分须分别密封封装，</w:t>
      </w:r>
      <w:r>
        <w:rPr>
          <w:rFonts w:hint="eastAsia" w:ascii="宋体" w:hAnsi="宋体" w:eastAsia="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hint="eastAsia" w:ascii="宋体" w:hAnsi="宋体" w:eastAsia="宋体" w:cs="宋体"/>
          <w:color w:val="auto"/>
          <w:sz w:val="24"/>
          <w:highlight w:val="none"/>
          <w:u w:val="single"/>
        </w:rPr>
      </w:pPr>
      <w:bookmarkStart w:id="2" w:name="_Hlk34639647"/>
      <w:r>
        <w:rPr>
          <w:rFonts w:hint="eastAsia" w:ascii="宋体" w:hAnsi="宋体" w:eastAsia="宋体" w:cs="宋体"/>
          <w:color w:val="auto"/>
          <w:sz w:val="24"/>
          <w:highlight w:val="none"/>
        </w:rPr>
        <w:t>5.3</w:t>
      </w:r>
      <w:r>
        <w:rPr>
          <w:rFonts w:hint="eastAsia" w:ascii="宋体" w:hAnsi="宋体" w:eastAsia="宋体" w:cs="宋体"/>
          <w:color w:val="auto"/>
          <w:sz w:val="24"/>
          <w:highlight w:val="none"/>
          <w:u w:val="single"/>
        </w:rPr>
        <w:t>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①在投标截止时间前送交到开标地点；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②采用邮寄方式，邮寄公司统一采用顺丰（包裹外包装上请注明单位、项目名称、联系电话等信息，以便代理机构作接收登记工作），邮寄接收截止时间为投标截止时间前（邮寄地址：</w:t>
      </w:r>
      <w:r>
        <w:rPr>
          <w:rFonts w:hint="eastAsia" w:ascii="宋体" w:hAnsi="宋体" w:eastAsia="宋体" w:cs="宋体"/>
          <w:color w:val="auto"/>
          <w:sz w:val="24"/>
          <w:highlight w:val="none"/>
          <w:lang w:eastAsia="zh-CN"/>
        </w:rPr>
        <w:t>浙江五石中正工程咨询有限公司</w:t>
      </w:r>
      <w:r>
        <w:rPr>
          <w:rFonts w:hint="eastAsia" w:ascii="宋体" w:hAnsi="宋体" w:eastAsia="宋体" w:cs="宋体"/>
          <w:color w:val="auto"/>
          <w:sz w:val="24"/>
          <w:highlight w:val="none"/>
        </w:rPr>
        <w:t>（浙江省台州市椒江区东环大道576号二楼，联系人：金老师，电话：0576-88781913。））。</w:t>
      </w:r>
    </w:p>
    <w:bookmarkEnd w:id="2"/>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5.5投标文件启用顺序和效力：投标文件的启用，按先后顺位分别为电子投标文件、以介质（U盘）存储的数据电文形式的备份投标文件。</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5.6▲未传输递交电子投标文件的，投标无效。</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2023年6月16日 上午9:00</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七、投标及开标地址：</w:t>
      </w:r>
      <w:r>
        <w:rPr>
          <w:rFonts w:hint="eastAsia" w:ascii="宋体" w:hAnsi="宋体" w:cs="宋体"/>
          <w:color w:val="auto"/>
          <w:sz w:val="24"/>
          <w:szCs w:val="32"/>
          <w:highlight w:val="none"/>
          <w:lang w:eastAsia="zh-CN"/>
        </w:rPr>
        <w:t>椒江区市府大道777号民泰大楼3楼</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lang w:eastAsia="zh-CN"/>
        </w:rPr>
        <w:t>号开标室</w:t>
      </w:r>
      <w:r>
        <w:rPr>
          <w:rFonts w:hint="eastAsia" w:ascii="宋体" w:hAnsi="宋体" w:cs="宋体"/>
          <w:color w:val="auto"/>
          <w:sz w:val="24"/>
          <w:szCs w:val="32"/>
          <w:highlight w:val="none"/>
          <w:lang w:val="en-US" w:eastAsia="zh-CN"/>
        </w:rPr>
        <w:t>A</w:t>
      </w:r>
      <w:r>
        <w:rPr>
          <w:rFonts w:hint="eastAsia" w:ascii="宋体" w:hAnsi="宋体" w:cs="宋体"/>
          <w:color w:val="auto"/>
          <w:sz w:val="24"/>
          <w:szCs w:val="32"/>
          <w:highlight w:val="none"/>
          <w:lang w:eastAsia="zh-CN"/>
        </w:rPr>
        <w:t>场地</w:t>
      </w:r>
      <w:r>
        <w:rPr>
          <w:rFonts w:hint="eastAsia" w:ascii="宋体" w:hAnsi="宋体" w:eastAsia="宋体" w:cs="宋体"/>
          <w:color w:val="auto"/>
          <w:sz w:val="24"/>
          <w:szCs w:val="32"/>
          <w:highlight w:val="none"/>
        </w:rPr>
        <w:t>。</w:t>
      </w:r>
    </w:p>
    <w:p>
      <w:pPr>
        <w:spacing w:line="360" w:lineRule="auto"/>
        <w:ind w:firstLine="482" w:firstLineChars="200"/>
        <w:outlineLvl w:val="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八、相关注意事项：</w:t>
      </w:r>
      <w:bookmarkStart w:id="5" w:name="_GoBack"/>
      <w:bookmarkEnd w:id="5"/>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供应商如对招标文件有异议应按规定的时间提出，逾期提出的，采购组织机构可不予受理、答复。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highlight w:val="none"/>
        </w:rPr>
        <w:t>潜在供应商认为采购文件使自己的权益受到损害的，可以在依法获取采购文件之日或采购文件公告期限届满之日（公告期限届满后获取采购文件的，以公告期限届满之日为准）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1）信用信息查询的截止时点：开标后评标前；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2）查询渠道：“信用中国”（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www.creditchina.gov.cn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www.ccgp.gov.cn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）、“浙江政府采购网（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www.zjzfcg.gov.cn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3）信用信息查询记录和证据留存具体方式：采购代理机构经办人将查询网页打印与其他项目相关文件文件一并保存；</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3.不良信用记录指：被列入失信被执行人、</w:t>
      </w:r>
      <w:r>
        <w:rPr>
          <w:rFonts w:hint="eastAsia" w:ascii="宋体" w:hAnsi="宋体" w:cs="宋体"/>
          <w:color w:val="auto"/>
          <w:sz w:val="24"/>
          <w:szCs w:val="32"/>
          <w:highlight w:val="none"/>
          <w:lang w:eastAsia="zh-CN"/>
        </w:rPr>
        <w:t>重大税收违法失信主体</w:t>
      </w:r>
      <w:r>
        <w:rPr>
          <w:rFonts w:hint="eastAsia" w:ascii="宋体" w:hAnsi="宋体" w:eastAsia="宋体" w:cs="宋体"/>
          <w:color w:val="auto"/>
          <w:sz w:val="24"/>
          <w:szCs w:val="32"/>
          <w:highlight w:val="none"/>
        </w:rPr>
        <w:t>、政府采购严重违法失信行为记录名单或浙江政府采购网曝光台中尚在行政处罚期内的。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4.开标时间后30分钟内，供应商须登录“政采云”平台，用“项目采购-开标评标”功能解密投标文件，投标人未按时解密或解密失败的，其上传的电子投标文件自动失效。电脑及CA解密设备自备。</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九、联系方式：</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1、采购代理机构：</w:t>
      </w:r>
      <w:r>
        <w:rPr>
          <w:rFonts w:hint="eastAsia" w:ascii="宋体" w:hAnsi="宋体" w:eastAsia="宋体" w:cs="宋体"/>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项目负责人：徐名峰</w:t>
      </w:r>
      <w:r>
        <w:rPr>
          <w:rFonts w:hint="eastAsia" w:ascii="宋体" w:hAnsi="宋体" w:cs="宋体"/>
          <w:color w:val="auto"/>
          <w:sz w:val="24"/>
          <w:szCs w:val="24"/>
          <w:highlight w:val="none"/>
          <w:lang w:eastAsia="zh-CN"/>
        </w:rPr>
        <w:t>、</w:t>
      </w:r>
      <w:r>
        <w:rPr>
          <w:rFonts w:hint="eastAsia" w:ascii="宋体" w:hAnsi="宋体" w:eastAsia="宋体" w:cs="宋体"/>
          <w:b w:val="0"/>
          <w:bCs w:val="0"/>
          <w:i w:val="0"/>
          <w:iCs w:val="0"/>
          <w:caps w:val="0"/>
          <w:color w:val="auto"/>
          <w:spacing w:val="0"/>
          <w:sz w:val="24"/>
          <w:szCs w:val="24"/>
          <w:highlight w:val="none"/>
          <w:shd w:val="clear" w:fill="FFFFFF"/>
        </w:rPr>
        <w:t>邹正英、石晓林、王芳、高琳</w:t>
      </w:r>
      <w:r>
        <w:rPr>
          <w:rFonts w:hint="eastAsia" w:ascii="宋体" w:hAnsi="宋体" w:eastAsia="宋体" w:cs="宋体"/>
          <w:color w:val="auto"/>
          <w:sz w:val="24"/>
          <w:szCs w:val="32"/>
          <w:highlight w:val="none"/>
        </w:rPr>
        <w:t>；联系电话：15088711407；</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质疑接收人：</w:t>
      </w:r>
      <w:r>
        <w:rPr>
          <w:rFonts w:hint="eastAsia" w:ascii="宋体" w:hAnsi="宋体" w:cs="宋体"/>
          <w:color w:val="auto"/>
          <w:sz w:val="24"/>
          <w:szCs w:val="32"/>
          <w:highlight w:val="none"/>
          <w:lang w:val="en-US" w:eastAsia="zh-CN"/>
        </w:rPr>
        <w:t>徐少媚</w:t>
      </w:r>
      <w:r>
        <w:rPr>
          <w:rFonts w:hint="eastAsia" w:ascii="宋体" w:hAnsi="宋体" w:eastAsia="宋体" w:cs="宋体"/>
          <w:color w:val="auto"/>
          <w:sz w:val="24"/>
          <w:szCs w:val="32"/>
          <w:highlight w:val="none"/>
        </w:rPr>
        <w:t>；联系电话：057</w:t>
      </w:r>
      <w:r>
        <w:rPr>
          <w:rFonts w:hint="eastAsia" w:ascii="宋体" w:hAnsi="宋体" w:cs="宋体"/>
          <w:color w:val="auto"/>
          <w:sz w:val="24"/>
          <w:szCs w:val="32"/>
          <w:highlight w:val="none"/>
          <w:lang w:val="en-US" w:eastAsia="zh-CN"/>
        </w:rPr>
        <w:t>6-88785265</w:t>
      </w:r>
      <w:r>
        <w:rPr>
          <w:rFonts w:hint="eastAsia" w:ascii="宋体" w:hAnsi="宋体" w:eastAsia="宋体" w:cs="宋体"/>
          <w:color w:val="auto"/>
          <w:sz w:val="24"/>
          <w:szCs w:val="32"/>
          <w:highlight w:val="none"/>
        </w:rPr>
        <w:t>；传真：0571-85342190；</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地点：杭州市拱墅区白石路318号中国（杭州）人力资源服务产业园北楼512室；</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2、采购人：</w:t>
      </w:r>
      <w:r>
        <w:rPr>
          <w:rFonts w:hint="eastAsia" w:ascii="宋体" w:hAnsi="宋体" w:eastAsia="宋体" w:cs="宋体"/>
          <w:color w:val="auto"/>
          <w:sz w:val="24"/>
          <w:szCs w:val="32"/>
          <w:highlight w:val="none"/>
        </w:rPr>
        <w:t>台州市中心医院（台州学院附属医院）；</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联系人：王女士；联系电话：0576-88526626；</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质疑接</w:t>
      </w:r>
      <w:r>
        <w:rPr>
          <w:rFonts w:hint="eastAsia" w:ascii="宋体" w:hAnsi="宋体" w:cs="宋体"/>
          <w:color w:val="auto"/>
          <w:sz w:val="24"/>
          <w:szCs w:val="32"/>
          <w:highlight w:val="none"/>
          <w:lang w:val="en-US" w:eastAsia="zh-CN"/>
        </w:rPr>
        <w:t>收</w:t>
      </w:r>
      <w:r>
        <w:rPr>
          <w:rFonts w:hint="eastAsia" w:ascii="宋体" w:hAnsi="宋体" w:eastAsia="宋体" w:cs="宋体"/>
          <w:color w:val="auto"/>
          <w:sz w:val="24"/>
          <w:szCs w:val="32"/>
          <w:highlight w:val="none"/>
        </w:rPr>
        <w:t>人：俞女士；联系电话：0576-885</w:t>
      </w:r>
      <w:r>
        <w:rPr>
          <w:rFonts w:hint="eastAsia" w:ascii="宋体" w:hAnsi="宋体" w:cs="宋体"/>
          <w:color w:val="auto"/>
          <w:sz w:val="24"/>
          <w:szCs w:val="32"/>
          <w:highlight w:val="none"/>
          <w:lang w:val="en-US" w:eastAsia="zh-CN"/>
        </w:rPr>
        <w:t>50331</w:t>
      </w:r>
      <w:r>
        <w:rPr>
          <w:rFonts w:hint="eastAsia" w:ascii="宋体" w:hAnsi="宋体" w:eastAsia="宋体" w:cs="宋体"/>
          <w:color w:val="auto"/>
          <w:sz w:val="24"/>
          <w:szCs w:val="32"/>
          <w:highlight w:val="none"/>
        </w:rPr>
        <w:t>；</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3、同级政府采购监管管理部门：</w:t>
      </w:r>
      <w:r>
        <w:rPr>
          <w:rFonts w:hint="eastAsia" w:ascii="宋体" w:hAnsi="宋体" w:eastAsia="宋体" w:cs="宋体"/>
          <w:color w:val="auto"/>
          <w:sz w:val="24"/>
          <w:szCs w:val="32"/>
          <w:highlight w:val="none"/>
        </w:rPr>
        <w:t>台州市财政局政府采购监督管理办公室；</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联系人：陈</w:t>
      </w:r>
      <w:r>
        <w:rPr>
          <w:rFonts w:hint="eastAsia" w:ascii="宋体" w:hAnsi="宋体" w:cs="宋体"/>
          <w:color w:val="auto"/>
          <w:sz w:val="24"/>
          <w:szCs w:val="32"/>
          <w:highlight w:val="none"/>
          <w:lang w:val="en-US" w:eastAsia="zh-CN"/>
        </w:rPr>
        <w:t>工、李工</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监督投诉电话：</w:t>
      </w:r>
      <w:r>
        <w:rPr>
          <w:rFonts w:hint="eastAsia" w:ascii="宋体" w:hAnsi="宋体" w:eastAsia="宋体" w:cs="宋体"/>
          <w:color w:val="auto"/>
          <w:sz w:val="24"/>
          <w:szCs w:val="24"/>
          <w:highlight w:val="none"/>
        </w:rPr>
        <w:t>0576-88206705、0576-88206731</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地址：台州市椒江区纬一路66号天元大厦。</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4、其余事项：</w:t>
      </w:r>
      <w:r>
        <w:rPr>
          <w:rFonts w:hint="eastAsia" w:ascii="宋体" w:hAnsi="宋体" w:eastAsia="宋体" w:cs="宋体"/>
          <w:color w:val="auto"/>
          <w:sz w:val="24"/>
          <w:szCs w:val="32"/>
          <w:highlight w:val="none"/>
        </w:rPr>
        <w:t>中标供应商如有融资需求，可使用以下银行的政采贷服务。</w:t>
      </w:r>
    </w:p>
    <w:tbl>
      <w:tblPr>
        <w:tblStyle w:val="26"/>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470"/>
        <w:gridCol w:w="115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贷款年利率</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p>
        </w:tc>
        <w:tc>
          <w:tcPr>
            <w:tcW w:w="2672"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中国工商银行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王霖</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中国农业银行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龚盛</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中国建设银行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梅晶晶</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3.75%起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任茜</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浦发银行台州分行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王渊</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浦发银行椒江分行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孙瑞华</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交通银行台州分行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3.75%起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周翔宇</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招商银行台州分行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4.32%起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王海玲</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浙商银行台州分行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5.01%起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章涉漪</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中信银行台州分行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4.15%起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陈金园</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华夏银行台州分行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邱明达</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泰隆银行开发区支行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5.6%起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梁宛莉</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民泰银行椒江支行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陈慧珠</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绍兴银行台州分行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5.1%起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郭庭斌</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温州银行台州分行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王晓波</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平安银行台州分行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6.53%起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李俊丽</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宁波银行台州分行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4.35%起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戴莉丽</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金华银行台州分行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金雪婷</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台州银行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5.6%起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洪婷</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邮储银行台州分行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董庆</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81888982/18957683735</w:t>
            </w:r>
          </w:p>
        </w:tc>
      </w:tr>
    </w:tbl>
    <w:p>
      <w:pPr>
        <w:ind w:firstLine="480" w:firstLineChars="200"/>
        <w:rPr>
          <w:rFonts w:hint="eastAsia" w:ascii="宋体" w:hAnsi="宋体" w:eastAsia="宋体" w:cs="宋体"/>
          <w:color w:val="auto"/>
          <w:sz w:val="24"/>
          <w:szCs w:val="32"/>
          <w:highlight w:val="none"/>
        </w:rPr>
      </w:pPr>
    </w:p>
    <w:p>
      <w:pPr>
        <w:ind w:firstLine="1120" w:firstLineChars="35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合同履约保函联系方式</w:t>
      </w:r>
    </w:p>
    <w:tbl>
      <w:tblPr>
        <w:tblStyle w:val="27"/>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7"/>
        <w:gridCol w:w="1700"/>
        <w:gridCol w:w="991"/>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43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保险公司名称</w:t>
            </w:r>
          </w:p>
        </w:tc>
        <w:tc>
          <w:tcPr>
            <w:tcW w:w="170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保费率</w:t>
            </w:r>
          </w:p>
        </w:tc>
        <w:tc>
          <w:tcPr>
            <w:tcW w:w="99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146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中国人寿财产保险股份有限公司台州中心支公司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徐凌</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永诚财产保险股份有限公司台州分公司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尹刚强</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4" w:hRule="atLeast"/>
        </w:trPr>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华泰财产保险有限公司台州中心支公司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年费率0.5%，最低保费1000元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王灵芳</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中国大地财产保险股份有限公司台州中心支公司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年费率1.5%，最低保费1000元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徐小明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阳光保险台州中心支公司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林高明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中华联合财产保险股份有限公司台州中心支公司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年费率2%，最低保费500元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王仙高</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中国人民财产保险股份有限公司台州中心支公司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年费率0.3%，最低保费1000元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王仙春</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永安财产保险股份有限公司台州中心支公司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年费率0.3%，最低保费1000</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王春宇</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13676675331</w:t>
            </w:r>
          </w:p>
        </w:tc>
      </w:tr>
    </w:tbl>
    <w:p>
      <w:pPr>
        <w:jc w:val="center"/>
        <w:rPr>
          <w:rFonts w:hint="eastAsia" w:ascii="宋体" w:hAnsi="宋体" w:eastAsia="宋体" w:cs="宋体"/>
          <w:color w:val="auto"/>
          <w:sz w:val="32"/>
          <w:szCs w:val="32"/>
          <w:highlight w:val="none"/>
        </w:rPr>
      </w:pPr>
    </w:p>
    <w:p>
      <w:pPr>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预付款保函联系方式</w:t>
      </w:r>
    </w:p>
    <w:tbl>
      <w:tblPr>
        <w:tblStyle w:val="27"/>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7"/>
        <w:gridCol w:w="1700"/>
        <w:gridCol w:w="991"/>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43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保险公司名称</w:t>
            </w:r>
          </w:p>
        </w:tc>
        <w:tc>
          <w:tcPr>
            <w:tcW w:w="170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保费率</w:t>
            </w:r>
          </w:p>
        </w:tc>
        <w:tc>
          <w:tcPr>
            <w:tcW w:w="991"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146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中国人寿财产保险股份有限公司台州中心支公司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年费率3%，最低保费500元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徐凌</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阳光保险台州中心支公司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林高明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天安财产保险股份有限公司台州中心支公司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年费率1%-2%，最低保费500元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罗赛</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13736605643</w:t>
            </w:r>
          </w:p>
        </w:tc>
      </w:tr>
    </w:tbl>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浙江五石工中正程咨询有限公司</w:t>
      </w:r>
    </w:p>
    <w:p>
      <w:pPr>
        <w:spacing w:line="360" w:lineRule="auto"/>
        <w:ind w:firstLine="6240" w:firstLineChars="26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202</w:t>
      </w:r>
      <w:r>
        <w:rPr>
          <w:rFonts w:hint="eastAsia" w:ascii="宋体" w:hAnsi="宋体" w:cs="宋体"/>
          <w:color w:val="auto"/>
          <w:sz w:val="24"/>
          <w:szCs w:val="32"/>
          <w:highlight w:val="none"/>
          <w:lang w:val="en-US" w:eastAsia="zh-CN"/>
        </w:rPr>
        <w:t>3</w:t>
      </w:r>
      <w:r>
        <w:rPr>
          <w:rFonts w:hint="eastAsia" w:ascii="宋体" w:hAnsi="宋体" w:eastAsia="宋体" w:cs="宋体"/>
          <w:color w:val="auto"/>
          <w:sz w:val="24"/>
          <w:szCs w:val="32"/>
          <w:highlight w:val="none"/>
          <w:lang w:eastAsia="zh-CN"/>
        </w:rPr>
        <w:t>年</w:t>
      </w: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eastAsia="zh-CN"/>
        </w:rPr>
        <w:t>月</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pStyle w:val="9"/>
        <w:rPr>
          <w:rFonts w:hint="eastAsia" w:ascii="宋体" w:hAnsi="宋体" w:eastAsia="宋体" w:cs="宋体"/>
          <w:b/>
          <w:bCs/>
          <w:color w:val="auto"/>
          <w:sz w:val="36"/>
          <w:szCs w:val="44"/>
          <w:highlight w:val="none"/>
        </w:rPr>
      </w:pPr>
    </w:p>
    <w:p>
      <w:pPr>
        <w:pStyle w:val="10"/>
        <w:rPr>
          <w:rFonts w:hint="eastAsia" w:ascii="宋体" w:hAnsi="宋体" w:eastAsia="宋体" w:cs="宋体"/>
          <w:b/>
          <w:bCs/>
          <w:color w:val="auto"/>
          <w:sz w:val="36"/>
          <w:szCs w:val="44"/>
          <w:highlight w:val="none"/>
        </w:rPr>
      </w:pPr>
    </w:p>
    <w:p>
      <w:pPr>
        <w:pStyle w:val="11"/>
        <w:rPr>
          <w:rFonts w:hint="eastAsia" w:ascii="宋体" w:hAnsi="宋体" w:eastAsia="宋体" w:cs="宋体"/>
          <w:b/>
          <w:bCs/>
          <w:color w:val="auto"/>
          <w:sz w:val="36"/>
          <w:szCs w:val="44"/>
          <w:highlight w:val="none"/>
        </w:rPr>
      </w:pPr>
    </w:p>
    <w:p>
      <w:pPr>
        <w:rPr>
          <w:rFonts w:hint="eastAsia" w:ascii="宋体" w:hAnsi="宋体" w:eastAsia="宋体" w:cs="宋体"/>
          <w:b/>
          <w:bCs/>
          <w:color w:val="auto"/>
          <w:sz w:val="36"/>
          <w:szCs w:val="44"/>
          <w:highlight w:val="none"/>
        </w:rPr>
      </w:pPr>
    </w:p>
    <w:p>
      <w:pPr>
        <w:pStyle w:val="9"/>
        <w:rPr>
          <w:rFonts w:hint="eastAsia" w:ascii="宋体" w:hAnsi="宋体" w:eastAsia="宋体" w:cs="宋体"/>
          <w:b/>
          <w:bCs/>
          <w:color w:val="auto"/>
          <w:sz w:val="36"/>
          <w:szCs w:val="44"/>
          <w:highlight w:val="none"/>
        </w:rPr>
      </w:pPr>
    </w:p>
    <w:p>
      <w:pPr>
        <w:pStyle w:val="10"/>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第二章 投标人须知</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6"/>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0"/>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    目</w:t>
            </w:r>
          </w:p>
        </w:tc>
        <w:tc>
          <w:tcPr>
            <w:tcW w:w="7551"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供应商特定资格要求</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答疑会或</w:t>
            </w:r>
            <w:r>
              <w:rPr>
                <w:rFonts w:hint="eastAsia" w:ascii="宋体" w:hAnsi="宋体" w:eastAsia="宋体" w:cs="宋体"/>
                <w:color w:val="auto"/>
                <w:sz w:val="24"/>
                <w:highlight w:val="none"/>
              </w:rPr>
              <w:t>现场踏勘</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530"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投标文件的组成、份数、效力</w:t>
            </w:r>
          </w:p>
        </w:tc>
        <w:tc>
          <w:tcPr>
            <w:tcW w:w="7551" w:type="dxa"/>
            <w:vAlign w:val="center"/>
          </w:tcPr>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本项目实行电子投标，供应商应准备电子投标文件、以介质（U盘）存储的数据电文形式的备份投标文件、纸质备份投标文件三类：</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1.电子投标文件，按政采云平台项目采购--电子招投标操作指南及本招标文件要求编制、递交。</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2.以介质（U盘）存储的数据电文形式的备份投标文件，按政采云平台项目采购-电子招投标操作指南中上传的电子投标文件格式，以U盘形式提供。</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highlight w:val="none"/>
              </w:rPr>
              <w:t>。资格证明文件、商务技术文件、报价文件三部分须分别密封封装，资格证明文件、商务技术文件、报价文件三部分未分别密封的投标文件将为无效。</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投标有效期为开标后90天，</w:t>
            </w:r>
            <w:r>
              <w:rPr>
                <w:rFonts w:hint="eastAsia" w:ascii="宋体" w:hAnsi="宋体" w:eastAsia="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投标文件递交</w:t>
            </w:r>
          </w:p>
        </w:tc>
        <w:tc>
          <w:tcPr>
            <w:tcW w:w="7551" w:type="dxa"/>
            <w:vAlign w:val="center"/>
          </w:tcPr>
          <w:p>
            <w:pP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highlight w:val="none"/>
              </w:rPr>
              <w:t>截止时间：北京时间</w:t>
            </w:r>
            <w:r>
              <w:rPr>
                <w:rFonts w:hint="eastAsia" w:ascii="宋体" w:hAnsi="宋体" w:cs="宋体"/>
                <w:color w:val="auto"/>
                <w:sz w:val="24"/>
                <w:szCs w:val="32"/>
                <w:highlight w:val="none"/>
                <w:lang w:eastAsia="zh-CN"/>
              </w:rPr>
              <w:t>2023年6月16日 上午9:00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开标时间及地点</w:t>
            </w:r>
          </w:p>
        </w:tc>
        <w:tc>
          <w:tcPr>
            <w:tcW w:w="7551" w:type="dxa"/>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时间：北京时间</w:t>
            </w:r>
            <w:r>
              <w:rPr>
                <w:rFonts w:hint="eastAsia" w:ascii="宋体" w:hAnsi="宋体" w:cs="宋体"/>
                <w:color w:val="auto"/>
                <w:sz w:val="24"/>
                <w:szCs w:val="32"/>
                <w:highlight w:val="none"/>
                <w:lang w:eastAsia="zh-CN"/>
              </w:rPr>
              <w:t>2023年6月16日 上午9:00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地点：</w:t>
            </w:r>
            <w:r>
              <w:rPr>
                <w:rFonts w:hint="eastAsia" w:ascii="宋体" w:hAnsi="宋体" w:cs="宋体"/>
                <w:color w:val="auto"/>
                <w:sz w:val="24"/>
                <w:highlight w:val="none"/>
                <w:lang w:val="en-US" w:eastAsia="zh-CN"/>
              </w:rPr>
              <w:t>政采云在线开标/</w:t>
            </w:r>
            <w:r>
              <w:rPr>
                <w:rFonts w:hint="eastAsia" w:ascii="宋体" w:hAnsi="宋体" w:cs="宋体"/>
                <w:color w:val="auto"/>
                <w:sz w:val="24"/>
                <w:szCs w:val="32"/>
                <w:highlight w:val="none"/>
                <w:lang w:eastAsia="zh-CN"/>
              </w:rPr>
              <w:t>椒江区市府大道777号民泰大楼3楼</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lang w:eastAsia="zh-CN"/>
              </w:rPr>
              <w:t>号开标室</w:t>
            </w:r>
            <w:r>
              <w:rPr>
                <w:rFonts w:hint="eastAsia" w:ascii="宋体" w:hAnsi="宋体" w:cs="宋体"/>
                <w:color w:val="auto"/>
                <w:sz w:val="24"/>
                <w:szCs w:val="32"/>
                <w:highlight w:val="none"/>
                <w:lang w:val="en-US" w:eastAsia="zh-CN"/>
              </w:rPr>
              <w:t>A</w:t>
            </w:r>
            <w:r>
              <w:rPr>
                <w:rFonts w:hint="eastAsia" w:ascii="宋体" w:hAnsi="宋体" w:cs="宋体"/>
                <w:color w:val="auto"/>
                <w:sz w:val="24"/>
                <w:szCs w:val="32"/>
                <w:highlight w:val="none"/>
                <w:lang w:eastAsia="zh-CN"/>
              </w:rPr>
              <w:t>场地</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本项目无需履约保证金。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530" w:type="dxa"/>
            <w:vAlign w:val="center"/>
          </w:tcPr>
          <w:p>
            <w:pPr>
              <w:autoSpaceDE w:val="0"/>
              <w:autoSpaceDN w:val="0"/>
              <w:adjustRightIn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实质性条款</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带“</w:t>
            </w:r>
            <w:r>
              <w:rPr>
                <w:rFonts w:hint="eastAsia" w:ascii="宋体" w:hAnsi="宋体" w:eastAsia="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样品</w:t>
            </w:r>
          </w:p>
        </w:tc>
        <w:tc>
          <w:tcPr>
            <w:tcW w:w="7551"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演示</w:t>
            </w:r>
          </w:p>
        </w:tc>
        <w:tc>
          <w:tcPr>
            <w:tcW w:w="7551"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节能环保</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11</w:t>
            </w:r>
          </w:p>
        </w:tc>
        <w:tc>
          <w:tcPr>
            <w:tcW w:w="1530" w:type="dxa"/>
            <w:vAlign w:val="center"/>
          </w:tcPr>
          <w:p>
            <w:pPr>
              <w:widowControl/>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kern w:val="0"/>
                <w:sz w:val="24"/>
                <w:highlight w:val="none"/>
              </w:rPr>
              <w:t>是否专门面向中小微企业采购</w:t>
            </w:r>
          </w:p>
        </w:tc>
        <w:tc>
          <w:tcPr>
            <w:tcW w:w="7551" w:type="dxa"/>
            <w:vAlign w:val="center"/>
          </w:tcPr>
          <w:p>
            <w:pPr>
              <w:widowControl/>
              <w:shd w:val="clear" w:color="auto" w:fill="auto"/>
              <w:spacing w:line="240" w:lineRule="auto"/>
              <w:jc w:val="left"/>
              <w:rPr>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 xml:space="preserve">是 </w:t>
            </w:r>
          </w:p>
          <w:p>
            <w:pPr>
              <w:widowControl/>
              <w:shd w:val="clear" w:color="auto" w:fill="auto"/>
              <w:spacing w:line="240" w:lineRule="auto"/>
              <w:jc w:val="left"/>
              <w:rPr>
                <w:rFonts w:hint="eastAsia" w:ascii="宋体" w:hAnsi="宋体" w:eastAsia="宋体" w:cs="宋体"/>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12</w:t>
            </w:r>
          </w:p>
        </w:tc>
        <w:tc>
          <w:tcPr>
            <w:tcW w:w="1530" w:type="dxa"/>
            <w:vAlign w:val="center"/>
          </w:tcPr>
          <w:p>
            <w:pPr>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中小企业划分标准所属行业</w:t>
            </w:r>
          </w:p>
        </w:tc>
        <w:tc>
          <w:tcPr>
            <w:tcW w:w="7551" w:type="dxa"/>
            <w:vAlign w:val="center"/>
          </w:tcPr>
          <w:p>
            <w:pPr>
              <w:shd w:val="clear" w:color="auto" w:fill="auto"/>
              <w:spacing w:line="240" w:lineRule="auto"/>
              <w:rPr>
                <w:rFonts w:hint="eastAsia" w:ascii="宋体" w:hAnsi="宋体" w:eastAsia="宋体" w:cs="宋体"/>
                <w:color w:val="auto"/>
                <w:sz w:val="24"/>
                <w:highlight w:val="none"/>
              </w:rPr>
            </w:pPr>
            <w:r>
              <w:rPr>
                <w:rFonts w:hint="eastAsia" w:ascii="宋体" w:hAnsi="宋体" w:cs="宋体"/>
                <w:color w:val="auto"/>
                <w:sz w:val="24"/>
                <w:highlight w:val="none"/>
              </w:rPr>
              <w:t>所属行业：</w:t>
            </w:r>
            <w:r>
              <w:rPr>
                <w:rFonts w:hint="eastAsia" w:ascii="宋体" w:hAnsi="宋体" w:cs="宋体"/>
                <w:color w:val="auto"/>
                <w:sz w:val="24"/>
                <w:highlight w:val="none"/>
                <w:lang w:val="en-US" w:eastAsia="zh-CN"/>
              </w:rPr>
              <w:t>工业-制造业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13</w:t>
            </w:r>
          </w:p>
        </w:tc>
        <w:tc>
          <w:tcPr>
            <w:tcW w:w="1530" w:type="dxa"/>
            <w:vAlign w:val="center"/>
          </w:tcPr>
          <w:p>
            <w:pPr>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其他</w:t>
            </w:r>
          </w:p>
        </w:tc>
        <w:tc>
          <w:tcPr>
            <w:tcW w:w="7551" w:type="dxa"/>
            <w:vAlign w:val="center"/>
          </w:tcPr>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p>
            <w:pPr>
              <w:shd w:val="clear" w:color="auto" w:fill="auto"/>
              <w:spacing w:line="240" w:lineRule="auto"/>
              <w:rPr>
                <w:rFonts w:hint="eastAsia" w:ascii="宋体" w:hAnsi="宋体" w:eastAsia="宋体" w:cs="宋体"/>
                <w:color w:val="auto"/>
                <w:sz w:val="24"/>
                <w:highlight w:val="none"/>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 、总  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 适用范围</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（二）定义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zh-CN"/>
        </w:rPr>
        <w:t>“采购组织机构”指采购人委托组织招标的采购代理机构。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3、投标人：是指向采购</w:t>
      </w:r>
      <w:r>
        <w:rPr>
          <w:rFonts w:hint="eastAsia" w:ascii="宋体" w:hAnsi="宋体" w:eastAsia="宋体" w:cs="宋体"/>
          <w:color w:val="auto"/>
          <w:sz w:val="24"/>
          <w:szCs w:val="32"/>
          <w:highlight w:val="none"/>
          <w:lang w:val="zh-CN"/>
        </w:rPr>
        <w:t>组织</w:t>
      </w:r>
      <w:r>
        <w:rPr>
          <w:rFonts w:hint="eastAsia" w:ascii="宋体" w:hAnsi="宋体" w:eastAsia="宋体" w:cs="宋体"/>
          <w:color w:val="auto"/>
          <w:sz w:val="24"/>
          <w:szCs w:val="32"/>
          <w:highlight w:val="none"/>
        </w:rPr>
        <w:t>机构提交投标文件的单位或个人。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4、货物：是指各种形态和种类的物品，包括原材料、燃料、设备、产品等。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6、“书面形式”包括信函、传真等。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7、“▲”系指实质性要求条款。</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（三）投标费用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不论投标结果如何，投标人均应自行承担所有与投标有关的全部费用（招标文件有相关规定除外）。</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（四）特别说明</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color w:val="auto"/>
          <w:sz w:val="24"/>
          <w:szCs w:val="32"/>
          <w:highlight w:val="none"/>
        </w:rPr>
        <w:tab/>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5、投标文件格式中的表格式样可以根据项目差别做适当调整，但应当保持表格样式基本形态不变。</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6、单位负责人为同一人或者存在直接控股、管理关系的不同供应商，不得参加同一合同项下的政府采购活动。</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二、招标文件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（一）招标文件由招标文件总目录所列内容组成。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（二）招标文件的澄清或修改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val="zh-CN"/>
        </w:rPr>
        <w:t>（一）</w:t>
      </w:r>
      <w:r>
        <w:rPr>
          <w:rFonts w:hint="eastAsia" w:ascii="宋体" w:hAnsi="宋体" w:eastAsia="宋体" w:cs="宋体"/>
          <w:b/>
          <w:bCs/>
          <w:color w:val="auto"/>
          <w:sz w:val="24"/>
          <w:szCs w:val="32"/>
          <w:highlight w:val="none"/>
        </w:rPr>
        <w:t>投标文件的组成</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投标人接到招标文件后，按照采购组织机构的要求提供：资格证明文件、商务与技术文件和报价文件。</w:t>
      </w:r>
      <w:r>
        <w:rPr>
          <w:rFonts w:hint="eastAsia" w:ascii="宋体" w:hAnsi="宋体" w:eastAsia="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1、资格证明文件的组成：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val="en-US" w:eastAsia="zh-CN"/>
        </w:rPr>
        <w:t>）投标声明书；</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US" w:eastAsia="zh-CN"/>
        </w:rPr>
        <w:t>）授权委托书（法定代表人亲自办理投标事宜的，则无需提交）；</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en-US" w:eastAsia="zh-CN"/>
        </w:rPr>
        <w:t>）法人或者其他组织的营业执照等证明文件，自然人的身份证明；</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val="en-US" w:eastAsia="zh-CN"/>
        </w:rPr>
        <w:t>）具有良好的商业信誉和健全的财务会计制度的承诺；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val="en-US" w:eastAsia="zh-CN"/>
        </w:rPr>
        <w:t>）依法缴纳税收和社会保障资金的承诺；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val="en-US" w:eastAsia="zh-CN"/>
        </w:rPr>
        <w:t>）参加政府采购活动前三年内，在经营活动中没有重大违法记录；</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7</w:t>
      </w:r>
      <w:r>
        <w:rPr>
          <w:rFonts w:hint="eastAsia" w:ascii="宋体" w:hAnsi="宋体" w:eastAsia="宋体" w:cs="宋体"/>
          <w:b w:val="0"/>
          <w:bCs w:val="0"/>
          <w:color w:val="auto"/>
          <w:sz w:val="24"/>
          <w:szCs w:val="32"/>
          <w:highlight w:val="none"/>
          <w:lang w:val="en-US" w:eastAsia="zh-CN"/>
        </w:rPr>
        <w:t>）需要说明的其他资料。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2、商务与技术文件的组成：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（1）投标人情况介绍。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（2）投标方案描述：</w:t>
      </w:r>
    </w:p>
    <w:p>
      <w:pPr>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A.运行、维修方案。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B.安装、调试及验收方案（包括项目验收标准和验收方法等）和措施。</w:t>
      </w:r>
    </w:p>
    <w:p>
      <w:pPr>
        <w:pStyle w:val="9"/>
        <w:ind w:firstLine="480" w:firstLineChars="200"/>
        <w:rPr>
          <w:rFonts w:hint="default" w:eastAsia="宋体"/>
          <w:color w:val="auto"/>
          <w:highlight w:val="none"/>
          <w:lang w:val="en-US" w:eastAsia="zh-CN"/>
        </w:rPr>
      </w:pPr>
      <w:r>
        <w:rPr>
          <w:rFonts w:hint="eastAsia" w:ascii="宋体" w:hAnsi="宋体" w:cs="宋体"/>
          <w:color w:val="auto"/>
          <w:sz w:val="24"/>
          <w:szCs w:val="32"/>
          <w:highlight w:val="none"/>
          <w:lang w:val="en-US" w:eastAsia="zh-CN"/>
        </w:rPr>
        <w:t>C.操作应用培训和维修保养培训方案。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（3）投标产品描述及相关资料：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A.设备配置清单</w:t>
      </w:r>
      <w:r>
        <w:rPr>
          <w:rFonts w:hint="eastAsia" w:ascii="宋体" w:hAnsi="宋体" w:eastAsia="宋体" w:cs="宋体"/>
          <w:b/>
          <w:bCs/>
          <w:color w:val="auto"/>
          <w:sz w:val="24"/>
          <w:szCs w:val="32"/>
          <w:highlight w:val="none"/>
        </w:rPr>
        <w:t>（均不含报价）</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C.商务及技术响应表。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（5）近三年来类似项目的成功案例（投标人类似项目实施情况一览表、合同复印件及其相应的发票、用户验收报告等）；</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w:t>
      </w:r>
      <w:r>
        <w:rPr>
          <w:rFonts w:hint="eastAsia" w:ascii="宋体" w:hAnsi="宋体" w:cs="宋体"/>
          <w:color w:val="auto"/>
          <w:sz w:val="24"/>
          <w:szCs w:val="32"/>
          <w:highlight w:val="none"/>
          <w:lang w:val="en-US" w:eastAsia="zh-CN"/>
        </w:rPr>
        <w:t>售后服务团队、服务响应时间、故障解决方案等方案</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B.针对本项目的售后服务措施及承诺（售后技术服务方案、人员配备、故障响应时间、技术培训方案等）。</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3、报价文件的组成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（1）报价文件由开标一览表、报价明细表、中小企业等声明函（不符合中小企业要求的无需提供）以及投标人认为其他需要说明的内容组成。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3</w:t>
      </w:r>
      <w:r>
        <w:rPr>
          <w:rFonts w:hint="eastAsia" w:ascii="宋体" w:hAnsi="宋体" w:eastAsia="宋体" w:cs="宋体"/>
          <w:color w:val="auto"/>
          <w:sz w:val="24"/>
          <w:szCs w:val="32"/>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政府采购优惠政策相关资料（如有）。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（6）投标报价应按招标文件中相关附表格式填写。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（二）投标文件的制作及递交要求</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1、投标文件的制作要求</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（2）投标人应对所提供的全部资料的真实性承担法律责任，</w:t>
      </w:r>
      <w:r>
        <w:rPr>
          <w:rFonts w:hint="eastAsia" w:ascii="宋体" w:hAnsi="宋体" w:eastAsia="宋体" w:cs="宋体"/>
          <w:color w:val="auto"/>
          <w:sz w:val="24"/>
          <w:szCs w:val="32"/>
          <w:highlight w:val="none"/>
          <w:lang w:val="zh-CN"/>
        </w:rPr>
        <w:t>投标文件内容中有要求盖章或签字的地方，必须加盖投标人的公章以及法定代表人或授权委托代理人盖章或签字。</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3</w:t>
      </w: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（5）若投标人不按招标文件的要求提供资格审查材料，其风险由投标人自行承担。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（6）与本次投标无关的内容请不要制作在内，确保投标文件有针对性、简洁明了。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①投标文件的编制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本项目实行电子投标，</w:t>
      </w:r>
      <w:r>
        <w:rPr>
          <w:rFonts w:hint="eastAsia" w:ascii="宋体" w:hAnsi="宋体" w:eastAsia="宋体" w:cs="宋体"/>
          <w:color w:val="auto"/>
          <w:sz w:val="24"/>
          <w:highlight w:val="none"/>
        </w:rPr>
        <w:t>供应商应准备电子投标文件、以介质（U盘）存储的数据电文形式的备份投标文件、纸质备份投标文件三类</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（1）按政采云平台项目采购--电子招投标操作指南及本招标文件要求编制。</w:t>
      </w:r>
      <w:r>
        <w:rPr>
          <w:rFonts w:hint="eastAsia" w:ascii="宋体" w:hAnsi="宋体" w:eastAsia="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eastAsia="宋体" w:cs="宋体"/>
          <w:color w:val="auto"/>
          <w:sz w:val="24"/>
          <w:szCs w:val="32"/>
          <w:highlight w:val="none"/>
        </w:rPr>
        <w:t>资格证明文件</w:t>
      </w:r>
      <w:r>
        <w:rPr>
          <w:rFonts w:hint="eastAsia" w:ascii="宋体" w:hAnsi="宋体" w:eastAsia="宋体" w:cs="宋体"/>
          <w:color w:val="auto"/>
          <w:sz w:val="24"/>
          <w:szCs w:val="32"/>
          <w:highlight w:val="none"/>
          <w:lang w:val="en-GB"/>
        </w:rPr>
        <w:t>》和《</w:t>
      </w:r>
      <w:r>
        <w:rPr>
          <w:rFonts w:hint="eastAsia" w:ascii="宋体" w:hAnsi="宋体" w:eastAsia="宋体" w:cs="宋体"/>
          <w:color w:val="auto"/>
          <w:sz w:val="24"/>
          <w:szCs w:val="32"/>
          <w:highlight w:val="none"/>
        </w:rPr>
        <w:t>商务技术文件</w:t>
      </w:r>
      <w:r>
        <w:rPr>
          <w:rFonts w:hint="eastAsia" w:ascii="宋体" w:hAnsi="宋体" w:eastAsia="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zh-CN"/>
        </w:rPr>
        <w:t>1.</w:t>
      </w:r>
      <w:r>
        <w:rPr>
          <w:rFonts w:hint="eastAsia" w:ascii="宋体" w:hAnsi="宋体" w:eastAsia="宋体" w:cs="宋体"/>
          <w:color w:val="auto"/>
          <w:sz w:val="24"/>
          <w:szCs w:val="32"/>
          <w:highlight w:val="none"/>
          <w:lang w:val="en-GB"/>
        </w:rPr>
        <w:t>2</w:t>
      </w:r>
      <w:r>
        <w:rPr>
          <w:rFonts w:hint="eastAsia" w:ascii="宋体" w:hAnsi="宋体" w:eastAsia="宋体" w:cs="宋体"/>
          <w:color w:val="auto"/>
          <w:sz w:val="24"/>
          <w:szCs w:val="32"/>
          <w:highlight w:val="none"/>
          <w:lang w:val="zh-CN"/>
        </w:rPr>
        <w:t>投标文件分为</w:t>
      </w:r>
      <w:r>
        <w:rPr>
          <w:rFonts w:hint="eastAsia" w:ascii="宋体" w:hAnsi="宋体" w:eastAsia="宋体" w:cs="宋体"/>
          <w:color w:val="auto"/>
          <w:sz w:val="24"/>
          <w:szCs w:val="32"/>
          <w:highlight w:val="none"/>
          <w:lang w:val="en-GB"/>
        </w:rPr>
        <w:t>资格证明文件、商务技术文件、报价文件三部分</w:t>
      </w:r>
      <w:r>
        <w:rPr>
          <w:rFonts w:hint="eastAsia" w:ascii="宋体" w:hAnsi="宋体" w:eastAsia="宋体" w:cs="宋体"/>
          <w:color w:val="auto"/>
          <w:sz w:val="24"/>
          <w:szCs w:val="32"/>
          <w:highlight w:val="none"/>
          <w:lang w:val="zh-CN"/>
        </w:rPr>
        <w:t>。各投标人在编制投标文件时请按照采购文件第六章规定的格式进行，</w:t>
      </w:r>
      <w:r>
        <w:rPr>
          <w:rFonts w:hint="eastAsia" w:ascii="宋体" w:hAnsi="宋体" w:eastAsia="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1.3《投标文件》内容不完整、</w:t>
      </w:r>
      <w:r>
        <w:rPr>
          <w:rFonts w:hint="eastAsia" w:ascii="宋体" w:hAnsi="宋体" w:eastAsia="宋体" w:cs="宋体"/>
          <w:color w:val="auto"/>
          <w:sz w:val="24"/>
          <w:szCs w:val="32"/>
          <w:highlight w:val="none"/>
          <w:lang w:val="zh-CN"/>
        </w:rPr>
        <w:t>混乱的编排导致投标文件被误读或评标委员会查找不到有效文件是投标人的责任。</w:t>
      </w:r>
      <w:r>
        <w:rPr>
          <w:rFonts w:hint="eastAsia" w:ascii="宋体" w:hAnsi="宋体" w:eastAsia="宋体" w:cs="宋体"/>
          <w:color w:val="auto"/>
          <w:sz w:val="24"/>
          <w:szCs w:val="32"/>
          <w:highlight w:val="none"/>
          <w:lang w:val="en-GB"/>
        </w:rPr>
        <w:t>《投标文件》因字迹潦草或表达不清所引起的后果由投标人负责，▲投标文件未按规定的格式编制的，投标无效。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（3）纸质备份投标文件以纸质文件的形式编制，按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szCs w:val="32"/>
          <w:highlight w:val="none"/>
        </w:rPr>
        <w:t>。</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须分别密封封装，</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Ⅰ电子投标文件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2.温馨提醒：CA签章上目前没有法人或授权代表签字信息，需要投标人联系</w:t>
      </w:r>
      <w:r>
        <w:rPr>
          <w:rFonts w:hint="eastAsia" w:ascii="宋体" w:hAnsi="宋体" w:eastAsia="宋体" w:cs="宋体"/>
          <w:b/>
          <w:bCs/>
          <w:color w:val="auto"/>
          <w:sz w:val="24"/>
          <w:szCs w:val="32"/>
          <w:highlight w:val="none"/>
        </w:rPr>
        <w:t>浙江杭州汇信科技有限公司（400-8884636）</w:t>
      </w:r>
      <w:r>
        <w:rPr>
          <w:rFonts w:hint="eastAsia" w:ascii="宋体" w:hAnsi="宋体" w:eastAsia="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r>
        <w:rPr>
          <w:rFonts w:hint="eastAsia" w:ascii="宋体" w:hAnsi="宋体" w:eastAsia="宋体" w:cs="宋体"/>
          <w:b/>
          <w:bCs/>
          <w:color w:val="auto"/>
          <w:sz w:val="24"/>
          <w:szCs w:val="32"/>
          <w:highlight w:val="none"/>
        </w:rPr>
        <w:t>以介质（U盘）存储的数据电文形式的备份投标文件</w:t>
      </w:r>
      <w:r>
        <w:rPr>
          <w:rFonts w:hint="eastAsia" w:ascii="宋体" w:hAnsi="宋体" w:eastAsia="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Ⅱ纸质备份投标文件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1.所有纸质投标资料应按投标文件的组成所列内容及顺序装订成册，</w:t>
      </w:r>
      <w:r>
        <w:rPr>
          <w:rFonts w:hint="eastAsia" w:ascii="宋体" w:hAnsi="宋体" w:eastAsia="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分别密封封装纸质备份投标文件。</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eastAsia="宋体" w:cs="宋体"/>
          <w:color w:val="auto"/>
          <w:sz w:val="24"/>
          <w:szCs w:val="32"/>
          <w:highlight w:val="none"/>
          <w:lang w:val="zh-CN"/>
        </w:rPr>
        <w:t>资格证明文件、商务技术文件、报价文件</w:t>
      </w:r>
      <w:r>
        <w:rPr>
          <w:rFonts w:hint="eastAsia" w:ascii="宋体" w:hAnsi="宋体" w:eastAsia="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w:t>
      </w:r>
      <w:r>
        <w:rPr>
          <w:rFonts w:hint="eastAsia" w:ascii="宋体" w:hAnsi="宋体" w:eastAsia="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2、投标文件的递交要求</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存储的数据电文形式的备份投标文件和纸质备份投标文件必须在规定时间前送达或邮寄至</w:t>
      </w:r>
      <w:r>
        <w:rPr>
          <w:rFonts w:hint="eastAsia" w:ascii="宋体" w:hAnsi="宋体" w:eastAsia="宋体" w:cs="宋体"/>
          <w:color w:val="auto"/>
          <w:sz w:val="24"/>
          <w:highlight w:val="none"/>
          <w:lang w:val="en-GB"/>
        </w:rPr>
        <w:t>公告规定的</w:t>
      </w:r>
      <w:r>
        <w:rPr>
          <w:rFonts w:hint="eastAsia" w:ascii="宋体" w:hAnsi="宋体" w:eastAsia="宋体" w:cs="宋体"/>
          <w:color w:val="auto"/>
          <w:sz w:val="24"/>
          <w:szCs w:val="32"/>
          <w:highlight w:val="none"/>
        </w:rPr>
        <w:t>地点。备份投标文件在截止时间后提交，采购组织机构将拒绝接收。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en-GB"/>
        </w:rPr>
        <w:t>）投标文件的备选方案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（三）投标文件的有效期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3.中标人的投标文件自开标之日起至合同履行完毕均应保持有效。</w:t>
      </w:r>
    </w:p>
    <w:p>
      <w:pPr>
        <w:spacing w:line="360" w:lineRule="auto"/>
        <w:rPr>
          <w:rFonts w:hint="eastAsia" w:ascii="宋体" w:hAnsi="宋体" w:eastAsia="宋体" w:cs="宋体"/>
          <w:color w:val="auto"/>
          <w:sz w:val="24"/>
          <w:szCs w:val="32"/>
          <w:highlight w:val="none"/>
        </w:rPr>
      </w:pPr>
      <w:r>
        <w:rPr>
          <w:rFonts w:hint="eastAsia" w:ascii="宋体" w:hAnsi="宋体" w:eastAsia="宋体" w:cs="宋体"/>
          <w:b/>
          <w:color w:val="auto"/>
          <w:kern w:val="0"/>
          <w:sz w:val="24"/>
          <w:highlight w:val="none"/>
        </w:rPr>
        <w:t>四、</w:t>
      </w:r>
      <w:r>
        <w:rPr>
          <w:rFonts w:hint="eastAsia" w:ascii="宋体" w:hAnsi="宋体" w:eastAsia="宋体" w:cs="宋体"/>
          <w:b/>
          <w:bCs/>
          <w:color w:val="auto"/>
          <w:sz w:val="24"/>
          <w:szCs w:val="32"/>
          <w:highlight w:val="none"/>
        </w:rPr>
        <w:t>开标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（一）开标事项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（1）电子交易平台发生故障而无法登录访问的；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（2）电子交易平台应用或数据库出现错误，不能进行正常操作的；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（3）电子交易平台发现严重安全漏洞，有潜在泄密危险的；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（4）病毒导致不能进行正常操作的；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（5）其他无法保证电子交易的公平、公正和安全的情况。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 开标程序：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1、开标会由招标项目负责人主持，主持人宣布开标会议开始；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2、主持人介绍参加开标会的人员名单；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5、采购组织机构点击【开启标书信息】，开启标书成功后进入开标流程。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w:t>
      </w:r>
      <w:r>
        <w:rPr>
          <w:rFonts w:hint="eastAsia" w:ascii="宋体" w:hAnsi="宋体" w:eastAsia="宋体" w:cs="宋体"/>
          <w:color w:val="auto"/>
          <w:sz w:val="24"/>
          <w:szCs w:val="32"/>
          <w:highlight w:val="none"/>
          <w:lang w:val="zh-CN"/>
        </w:rPr>
        <w:t>资格证明文件和商务技术文件</w:t>
      </w:r>
      <w:r>
        <w:rPr>
          <w:rFonts w:hint="eastAsia" w:ascii="宋体" w:hAnsi="宋体" w:eastAsia="宋体" w:cs="宋体"/>
          <w:color w:val="auto"/>
          <w:sz w:val="24"/>
          <w:szCs w:val="32"/>
          <w:highlight w:val="none"/>
        </w:rPr>
        <w:t>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9、报价文件评审；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11、宣布综合得分结果及中标候选人名单；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12、开标会议结束。</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五、评标</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本项目采用电子评审方法</w:t>
      </w:r>
      <w:r>
        <w:rPr>
          <w:rFonts w:hint="eastAsia" w:ascii="宋体" w:hAnsi="宋体" w:cs="宋体"/>
          <w:color w:val="auto"/>
          <w:sz w:val="24"/>
          <w:szCs w:val="32"/>
          <w:highlight w:val="none"/>
          <w:lang w:eastAsia="zh-CN"/>
        </w:rPr>
        <w:t>。</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（一）组建评标委员会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（二）评标程序</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2、符合性审查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4、得分确认及评审报告编写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（1）评标委员会对报价文件进行复核，对于系统计算出的价格分及总得分进行确认；</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（3）评标委员会按评标原则及得分情况编写评审报告。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采购组织机构对评标委员会评审专家进行评价。</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（三）澄清问题的形式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（四）错误修正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1、投标文件中开标一览表（报价表）内容与投标文件中相应内容不一致的，以开标一览表（报价表）为准；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2、大写金额和小写金额不一致的，以大写金额为准；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3、单价金额小数点或者百分比有明显错位的，以开标一览表的总价为准，并修改单价；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4、总价金额与按单价汇总金额不一致的，以单价金额计算结果为准。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（五）投标人存在下列情况之一的，投标无效：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跟报价文件出现混装或在</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中出现投标报价的，或者报价文件中报价的货物跟</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中的投标货物出现重大偏差的。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3、不具备招标文件中规定的资格要求的。</w:t>
      </w:r>
      <w:r>
        <w:rPr>
          <w:rFonts w:hint="eastAsia" w:ascii="宋体" w:hAnsi="宋体" w:eastAsia="宋体" w:cs="宋体"/>
          <w:color w:val="auto"/>
          <w:sz w:val="24"/>
          <w:szCs w:val="32"/>
          <w:highlight w:val="none"/>
        </w:rPr>
        <w:tab/>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4、投标文件含有采购人不能接受的附加条件的。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7、报价超过招标文件中规定的预算金额/最高限价。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8、投标参数未如实填写，完全复制粘贴招标参数的。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9、投标文件提供虚假材料的。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10、投标人的电子投标文件无法按时解密的。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（1）不同投标人的投标文件由同一单位或者个人编制；不同投标人的投标文件，由同一台电脑编制；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（2）不同投标人委托同一单位或者个人办理投标事宜；</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（3）不同投标人的投标文件载明的项目管理成员或者联系人员为同一人；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（4）不同投标人的投标文件异常一致或者投标报价呈规律性差异；</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（5）不同投标人的投标文件相互混装。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12、不符合法律、法规和招标文件中规定的其他实质性要求的（招标文件中打“▲”内容及被拒绝的条款）。</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13、未传输递交电子投标文件，造成项目开评标活动无法进行下去的。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（六）有下列情况之一的，本次招标作为废标处理：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1、出现影响采购公正的违法、违规行为的；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3、因重大变故，采购任务取消的；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4、法律、法规和招标文件规定的其他导致评标结果无效的。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（七）评标原则和评标办法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2、评标办法。具体评标内容及评分标准等详见《第三章 评标方法及评分标准》。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（八）评标过程的监控</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六、定标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3、发出中标通知书。采购组织机构在发布中标结果的同时，向中标人发出中标通知书。</w:t>
      </w:r>
    </w:p>
    <w:p>
      <w:pPr>
        <w:spacing w:line="360" w:lineRule="auto"/>
        <w:ind w:firstLine="480" w:firstLineChars="200"/>
        <w:jc w:val="left"/>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5、招标代理费用：按照下列表格标准向中标单位收取招标代理费，中标方须在中标通知书发出5日内一次性付清。（户名：</w:t>
      </w:r>
      <w:r>
        <w:rPr>
          <w:rFonts w:hint="eastAsia" w:ascii="宋体" w:hAnsi="宋体" w:eastAsia="宋体" w:cs="宋体"/>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；账号：1202003209900014176；开户银行：中国工商银行杭州市潮王路支行）财务电话：0571-88271625。</w:t>
      </w:r>
    </w:p>
    <w:tbl>
      <w:tblPr>
        <w:tblStyle w:val="26"/>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9"/>
        <w:gridCol w:w="1564"/>
        <w:gridCol w:w="156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服务类型、费率、中标金额（万元）</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货物招标</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服务招标</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100以下</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100-500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0.80%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500-1000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0.80%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0.45%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1000-5000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5000-10000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0.10%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10000-100000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100000以上</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r>
    </w:tbl>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七、合同签订及公告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（一）签订合同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1、采购人应当自中标通知书发出之日起</w:t>
      </w:r>
      <w:r>
        <w:rPr>
          <w:rFonts w:hint="eastAsia" w:ascii="宋体" w:hAnsi="宋体" w:cs="宋体"/>
          <w:color w:val="auto"/>
          <w:sz w:val="24"/>
          <w:szCs w:val="32"/>
          <w:highlight w:val="none"/>
          <w:lang w:val="en-US" w:eastAsia="zh-CN"/>
        </w:rPr>
        <w:t>30</w:t>
      </w:r>
      <w:r>
        <w:rPr>
          <w:rFonts w:hint="eastAsia" w:ascii="宋体" w:hAnsi="宋体" w:eastAsia="宋体" w:cs="宋体"/>
          <w:color w:val="auto"/>
          <w:sz w:val="24"/>
          <w:szCs w:val="32"/>
          <w:highlight w:val="none"/>
        </w:rPr>
        <w:t>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2、采购人不得向中标人提出任何不合理的要求作为签订合同的条件。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3、中标供应商无故拖延、拒签合同的，取消中标资格。</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（二）合同公告及备案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2、采购人应当自政府采购合同签订之日起7个工作日内，将政府采购合同副本报同级人民政府财政部门备案以及采购组织机构存档。</w:t>
      </w:r>
    </w:p>
    <w:p>
      <w:pPr>
        <w:spacing w:line="360" w:lineRule="auto"/>
        <w:jc w:val="both"/>
        <w:rPr>
          <w:rFonts w:hint="eastAsia" w:ascii="宋体" w:hAnsi="宋体" w:eastAsia="宋体" w:cs="宋体"/>
          <w:b/>
          <w:bCs/>
          <w:color w:val="auto"/>
          <w:sz w:val="36"/>
          <w:szCs w:val="44"/>
          <w:highlight w:val="none"/>
        </w:rPr>
      </w:pPr>
    </w:p>
    <w:p>
      <w:pPr>
        <w:pStyle w:val="7"/>
        <w:rPr>
          <w:rFonts w:hint="eastAsia" w:ascii="宋体" w:hAnsi="宋体" w:eastAsia="宋体" w:cs="宋体"/>
          <w:b/>
          <w:bCs/>
          <w:color w:val="auto"/>
          <w:sz w:val="36"/>
          <w:szCs w:val="44"/>
          <w:highlight w:val="none"/>
        </w:rPr>
      </w:pPr>
    </w:p>
    <w:p>
      <w:pPr>
        <w:rPr>
          <w:rFonts w:hint="eastAsia" w:ascii="宋体" w:hAnsi="宋体" w:eastAsia="宋体" w:cs="宋体"/>
          <w:b/>
          <w:bCs/>
          <w:color w:val="auto"/>
          <w:sz w:val="36"/>
          <w:szCs w:val="44"/>
          <w:highlight w:val="none"/>
        </w:rPr>
      </w:pPr>
    </w:p>
    <w:p>
      <w:pPr>
        <w:pStyle w:val="7"/>
        <w:rPr>
          <w:rFonts w:hint="eastAsia"/>
          <w:color w:val="auto"/>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第三章 评标办法及评分标准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一、采购组织机构将组织评标委员会，对投标人提供的投标文件进行综合评审。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二、本次招标项目的评标方法为综合评分法，总计100分。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（一）商务与技术文件中的客观分由评标委员会讨论后统一打分；其余在规定的分值内单独评定打分。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（二）各投标人商务与技术文件得分按照评标委员会成员的独立评分结果汇总后的算术平均分计算，计算公式为：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商务与技术文件得分</w:t>
      </w:r>
      <w:r>
        <w:rPr>
          <w:rFonts w:hint="eastAsia" w:ascii="宋体" w:hAnsi="宋体" w:eastAsia="宋体" w:cs="宋体"/>
          <w:color w:val="auto"/>
          <w:sz w:val="24"/>
          <w:szCs w:val="32"/>
          <w:highlight w:val="none"/>
          <w:lang w:val="zh-CN"/>
        </w:rPr>
        <w:t>=评标委员会所有成员评分合计数/评标委员会组成人员数。</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u w:val="single"/>
        </w:rPr>
        <w:t>投标报价得分=（评标基准价／投标报价）×30%×100 。</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（四）投标人综合得分＝资格证明文件、商务技术文件得分＋投标报价得分。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（五）政府采购政策及优惠：</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10%的扣除，用扣除后的价格参加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6%的扣除，用扣除后的价格参加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组成联合体或者接受分包的小微企业与联合体内其他企业、分包企业之间存在直接控股、管理关系的，不享受价格扣除优惠政策。</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以联合体形式参加政府采购活动，联合体各方均为中小企业的，联合体视同中小企业。其中，联合体各方均为小微企业的，联合体视同小微企业。</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投标文件中须同时出具《政府采购促进中小企业发展管理办法》【财库（2020）46号】规定的《中小企业声明函》，否则不得享受价格扣除。</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本项目对符合规定的小微企业（含小型企业）报价给予10%的扣除。</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（2）根据《关于政府采购支持监狱企业发展有关问题的通知》（财库[2014]68号）的规定，供应商如为监狱企业且所投产品为小型或微型企业生产的，其投标报价扣除10%后参与评审。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投标文件中须同时提供：供应商的省级以上监狱管理局、戒毒管理局（含新疆生产建设兵团）出具的属于监狱企业的证明文件，未提供完整证明材料的，投标报价不予扣减。</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享受政府采购支持政策的残疾人福利性单位应当同时满足以下条件：</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①安置的残疾人占本单位在职职工人数的比例不低于25%（含25%），并且安置的残疾人人数不少于10人（含10人）；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②依法与安置的每位残疾人签订了一年以上（含一年）的劳动合同或服务协议；</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③为安置的每位残疾人按月足额缴纳了基本养老保险、基本医疗保险、失业保险、工伤保险和生育保险等社会保险费；</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④通过银行等金融机构向安置的每位残疾人，按月支付了不低于单位所在区县适用的经省级人民政府批准的月最低工资标准的工资；</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⑤提供本单位制造的货物、承担的工程或者服务（以下简称产品），或者提供其他残疾人福利性单位制造的货物（不包括使用非残疾人福利性单位注册商标的货物）。</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注：得分以系统计算为准，保留2位小数。</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六、本次评分具体分值细化条款如下表：</w:t>
      </w:r>
    </w:p>
    <w:tbl>
      <w:tblPr>
        <w:tblStyle w:val="26"/>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8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2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序号</w:t>
            </w:r>
          </w:p>
        </w:tc>
        <w:tc>
          <w:tcPr>
            <w:tcW w:w="7811"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评分细则</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技术功能符合度：对应于采购文件技术指标的符合度，一般参数每条不满足要求扣2分，★参数每条不满足扣4分，扣完为止。</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2</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投标产品技术参数或功能有实质性优于采购文件要求，根据对用户使用的重要性，每1条加1分，最多加3分。</w:t>
            </w:r>
          </w:p>
        </w:tc>
        <w:tc>
          <w:tcPr>
            <w:tcW w:w="709" w:type="dxa"/>
            <w:vAlign w:val="center"/>
          </w:tcPr>
          <w:p>
            <w:pPr>
              <w:keepNext w:val="0"/>
              <w:keepLines w:val="0"/>
              <w:widowControl/>
              <w:suppressLineNumbers w:val="0"/>
              <w:jc w:val="center"/>
              <w:textAlignment w:val="center"/>
              <w:rPr>
                <w:rFonts w:hint="default"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c>
          <w:tcPr>
            <w:tcW w:w="7811" w:type="dxa"/>
            <w:vAlign w:val="center"/>
          </w:tcPr>
          <w:p>
            <w:pPr>
              <w:keepNext w:val="0"/>
              <w:keepLines w:val="0"/>
              <w:widowControl/>
              <w:suppressLineNumbers w:val="0"/>
              <w:jc w:val="left"/>
              <w:textAlignment w:val="center"/>
              <w:rPr>
                <w:rFonts w:hint="default" w:ascii="宋体" w:hAnsi="宋体" w:eastAsia="宋体" w:cs="宋体"/>
                <w:color w:val="auto"/>
                <w:sz w:val="24"/>
                <w:szCs w:val="24"/>
                <w:highlight w:val="none"/>
                <w:lang w:val="en-US"/>
              </w:rPr>
            </w:pPr>
            <w:r>
              <w:rPr>
                <w:rFonts w:hint="eastAsia" w:ascii="宋体" w:hAnsi="宋体" w:eastAsia="宋体" w:cs="宋体"/>
                <w:i w:val="0"/>
                <w:color w:val="auto"/>
                <w:kern w:val="0"/>
                <w:sz w:val="24"/>
                <w:szCs w:val="24"/>
                <w:highlight w:val="none"/>
                <w:u w:val="none"/>
                <w:lang w:val="en-US" w:eastAsia="zh-CN" w:bidi="ar"/>
              </w:rPr>
              <w:t>运行、维修成本：提供全保、人工保等各种保修方案及价格，设备配件价格，维修服务费，消耗品或易耗品的使用周期、价格</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4"/>
                <w:szCs w:val="24"/>
                <w:highlight w:val="none"/>
                <w:u w:val="none"/>
                <w:lang w:val="en-US" w:eastAsia="zh-CN" w:bidi="ar"/>
              </w:rPr>
            </w:pPr>
          </w:p>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w:t>
            </w:r>
          </w:p>
        </w:tc>
        <w:tc>
          <w:tcPr>
            <w:tcW w:w="7811" w:type="dxa"/>
            <w:vAlign w:val="top"/>
          </w:tcPr>
          <w:p>
            <w:pPr>
              <w:keepNext w:val="0"/>
              <w:keepLines w:val="0"/>
              <w:widowControl/>
              <w:suppressLineNumbers w:val="0"/>
              <w:jc w:val="both"/>
              <w:textAlignment w:val="top"/>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安装调试方案：包括对场地环境的了解、人员的安排、时间进度的规划，对设备的调试进度安排，调试的步骤、措施，问题的解决方案</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5</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验收方案：提供验收需要采购人配合的内容，验收的方案及应急措施等内容</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6</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操作应用培训和维修保养培训：卖方负责提供采购人的操作、临床应用及维修人员的培训，提供培训方案</w:t>
            </w:r>
            <w:r>
              <w:rPr>
                <w:rFonts w:hint="eastAsia" w:ascii="宋体" w:hAnsi="宋体" w:cs="宋体"/>
                <w:i w:val="0"/>
                <w:color w:val="auto"/>
                <w:kern w:val="0"/>
                <w:sz w:val="24"/>
                <w:szCs w:val="24"/>
                <w:highlight w:val="none"/>
                <w:u w:val="none"/>
                <w:lang w:val="en-US" w:eastAsia="zh-CN" w:bidi="ar"/>
              </w:rPr>
              <w:t>。最高得3分。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7</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具有售后服务团队、服务响应时间、故障解决方案等；有详细的售后服务方案，包括具体的人员配置，响应时间短，故障解决方案符合实际得</w:t>
            </w:r>
            <w:r>
              <w:rPr>
                <w:rFonts w:hint="eastAsia" w:ascii="宋体" w:hAnsi="宋体" w:cs="宋体"/>
                <w:i w:val="0"/>
                <w:color w:val="auto"/>
                <w:kern w:val="0"/>
                <w:sz w:val="24"/>
                <w:szCs w:val="24"/>
                <w:highlight w:val="none"/>
                <w:u w:val="none"/>
                <w:lang w:val="en-US" w:eastAsia="zh-CN" w:bidi="ar"/>
              </w:rPr>
              <w:t>2.1-</w:t>
            </w:r>
            <w:r>
              <w:rPr>
                <w:rFonts w:hint="eastAsia" w:ascii="宋体" w:hAnsi="宋体" w:eastAsia="宋体" w:cs="宋体"/>
                <w:i w:val="0"/>
                <w:color w:val="auto"/>
                <w:kern w:val="0"/>
                <w:sz w:val="24"/>
                <w:szCs w:val="24"/>
                <w:highlight w:val="none"/>
                <w:u w:val="none"/>
                <w:lang w:val="en-US" w:eastAsia="zh-CN" w:bidi="ar"/>
              </w:rPr>
              <w:t>4分；售后服务方案内容较具体但内容未详细描述，响应时间较长得</w:t>
            </w:r>
            <w:r>
              <w:rPr>
                <w:rFonts w:hint="eastAsia" w:ascii="宋体" w:hAnsi="宋体" w:cs="宋体"/>
                <w:i w:val="0"/>
                <w:color w:val="auto"/>
                <w:kern w:val="0"/>
                <w:sz w:val="24"/>
                <w:szCs w:val="24"/>
                <w:highlight w:val="none"/>
                <w:u w:val="none"/>
                <w:lang w:val="en-US" w:eastAsia="zh-CN" w:bidi="ar"/>
              </w:rPr>
              <w:t>0.1-</w:t>
            </w:r>
            <w:r>
              <w:rPr>
                <w:rFonts w:hint="eastAsia" w:ascii="宋体" w:hAnsi="宋体" w:eastAsia="宋体" w:cs="宋体"/>
                <w:i w:val="0"/>
                <w:color w:val="auto"/>
                <w:kern w:val="0"/>
                <w:sz w:val="24"/>
                <w:szCs w:val="24"/>
                <w:highlight w:val="none"/>
                <w:u w:val="none"/>
                <w:lang w:val="en-US" w:eastAsia="zh-CN" w:bidi="ar"/>
              </w:rPr>
              <w:t>2分。无售后服务方案得0分。</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25" w:type="dxa"/>
            <w:vAlign w:val="center"/>
          </w:tcPr>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8</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lang w:eastAsia="zh-CN"/>
              </w:rPr>
            </w:pPr>
            <w:r>
              <w:rPr>
                <w:rStyle w:val="81"/>
                <w:color w:val="auto"/>
                <w:highlight w:val="none"/>
                <w:lang w:val="en-US" w:eastAsia="zh-CN" w:bidi="ar"/>
              </w:rPr>
              <w:t>业绩：评委以投标单位2019年1月1日起签订的同类项目业绩评分，每提供一个合同复印件得1分，最高3分。</w:t>
            </w:r>
          </w:p>
        </w:tc>
        <w:tc>
          <w:tcPr>
            <w:tcW w:w="709" w:type="dxa"/>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9</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Style w:val="81"/>
                <w:color w:val="auto"/>
                <w:highlight w:val="none"/>
                <w:lang w:val="en-US" w:eastAsia="zh-CN" w:bidi="ar"/>
              </w:rPr>
              <w:t>环境标志产品、节能产品评审：投标产品主体列入节能产品目录清单得1分、投标产品主体列入环境标志产品目录清单得1分。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25" w:type="dxa"/>
            <w:vAlign w:val="center"/>
          </w:tcPr>
          <w:p>
            <w:pPr>
              <w:keepNext w:val="0"/>
              <w:keepLines w:val="0"/>
              <w:widowControl/>
              <w:suppressLineNumbers w:val="0"/>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10</w:t>
            </w:r>
          </w:p>
        </w:tc>
        <w:tc>
          <w:tcPr>
            <w:tcW w:w="7811" w:type="dxa"/>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Style w:val="81"/>
                <w:color w:val="auto"/>
                <w:highlight w:val="none"/>
                <w:lang w:val="en-US" w:eastAsia="zh-CN" w:bidi="ar"/>
              </w:rPr>
              <w:t>在满足招标文件要求的保修期基础上，延长质保1年加1分，最多得3分。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widowControl/>
              <w:suppressLineNumbers w:val="0"/>
              <w:jc w:val="center"/>
              <w:textAlignment w:val="top"/>
              <w:rPr>
                <w:rFonts w:hint="default"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11</w:t>
            </w:r>
          </w:p>
        </w:tc>
        <w:tc>
          <w:tcPr>
            <w:tcW w:w="7811" w:type="dxa"/>
            <w:vAlign w:val="center"/>
          </w:tcPr>
          <w:p>
            <w:pPr>
              <w:keepNext w:val="0"/>
              <w:keepLines w:val="0"/>
              <w:widowControl/>
              <w:suppressLineNumbers w:val="0"/>
              <w:jc w:val="both"/>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优惠条件：评委对投标文件中是否有超出采购文件的优惠条件进行评价，没有实质性优惠条件得0分；有优惠条件的，每一条加1分，最多3分。</w:t>
            </w:r>
          </w:p>
        </w:tc>
        <w:tc>
          <w:tcPr>
            <w:tcW w:w="709"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2"/>
                <w:szCs w:val="22"/>
                <w:highlight w:val="none"/>
                <w:u w:val="none"/>
                <w:lang w:val="en-US" w:eastAsia="zh-CN" w:bidi="ar"/>
              </w:rPr>
              <w:t>3</w:t>
            </w:r>
          </w:p>
        </w:tc>
      </w:tr>
    </w:tbl>
    <w:p>
      <w:pPr>
        <w:spacing w:line="360" w:lineRule="auto"/>
        <w:ind w:firstLine="723" w:firstLineChars="200"/>
        <w:jc w:val="center"/>
        <w:rPr>
          <w:rFonts w:hint="eastAsia" w:ascii="宋体" w:hAnsi="宋体" w:eastAsia="宋体" w:cs="宋体"/>
          <w:b/>
          <w:bCs/>
          <w:color w:val="auto"/>
          <w:sz w:val="36"/>
          <w:szCs w:val="44"/>
          <w:highlight w:val="none"/>
        </w:rPr>
      </w:pPr>
    </w:p>
    <w:p>
      <w:pPr>
        <w:pStyle w:val="23"/>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pStyle w:val="23"/>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pStyle w:val="23"/>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第四章 公开招标需求</w:t>
      </w:r>
    </w:p>
    <w:p>
      <w:pPr>
        <w:spacing w:line="240" w:lineRule="atLeas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一、招标货物一览表：</w:t>
      </w:r>
    </w:p>
    <w:tbl>
      <w:tblPr>
        <w:tblStyle w:val="2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20"/>
        <w:gridCol w:w="1275"/>
        <w:gridCol w:w="1395"/>
        <w:gridCol w:w="253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95" w:type="dxa"/>
            <w:vAlign w:val="center"/>
          </w:tcPr>
          <w:p>
            <w:pPr>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序号</w:t>
            </w:r>
          </w:p>
        </w:tc>
        <w:tc>
          <w:tcPr>
            <w:tcW w:w="1620"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p>
        </w:tc>
        <w:tc>
          <w:tcPr>
            <w:tcW w:w="127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39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预算</w:t>
            </w:r>
          </w:p>
        </w:tc>
        <w:tc>
          <w:tcPr>
            <w:tcW w:w="2538"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交货期</w:t>
            </w:r>
          </w:p>
        </w:tc>
        <w:tc>
          <w:tcPr>
            <w:tcW w:w="141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9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62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eastAsia="zh-CN"/>
              </w:rPr>
              <w:t>C形臂</w:t>
            </w:r>
          </w:p>
        </w:tc>
        <w:tc>
          <w:tcPr>
            <w:tcW w:w="127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1台</w:t>
            </w:r>
          </w:p>
        </w:tc>
        <w:tc>
          <w:tcPr>
            <w:tcW w:w="139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95万元</w:t>
            </w:r>
          </w:p>
        </w:tc>
        <w:tc>
          <w:tcPr>
            <w:tcW w:w="2538"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合同签订后</w:t>
            </w:r>
            <w:r>
              <w:rPr>
                <w:rFonts w:hint="eastAsia" w:ascii="宋体" w:hAnsi="宋体" w:cs="宋体"/>
                <w:color w:val="auto"/>
                <w:sz w:val="24"/>
                <w:highlight w:val="none"/>
                <w:lang w:val="en-US" w:eastAsia="zh-CN"/>
              </w:rPr>
              <w:t>两</w:t>
            </w:r>
            <w:r>
              <w:rPr>
                <w:rFonts w:hint="eastAsia" w:ascii="宋体" w:hAnsi="宋体" w:eastAsia="宋体" w:cs="宋体"/>
                <w:color w:val="auto"/>
                <w:sz w:val="24"/>
                <w:highlight w:val="none"/>
              </w:rPr>
              <w:t>个月内，按院方需求送货到医院指定地点。</w:t>
            </w:r>
          </w:p>
        </w:tc>
        <w:tc>
          <w:tcPr>
            <w:tcW w:w="1415"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95"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620" w:type="dxa"/>
            <w:vAlign w:val="center"/>
          </w:tcPr>
          <w:p>
            <w:pPr>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多排</w:t>
            </w:r>
            <w:r>
              <w:rPr>
                <w:rFonts w:hint="eastAsia" w:ascii="宋体" w:hAnsi="宋体" w:eastAsia="宋体" w:cs="宋体"/>
                <w:color w:val="auto"/>
                <w:kern w:val="0"/>
                <w:sz w:val="24"/>
                <w:highlight w:val="none"/>
                <w:lang w:eastAsia="zh-CN"/>
              </w:rPr>
              <w:t>螺旋CT</w:t>
            </w:r>
          </w:p>
        </w:tc>
        <w:tc>
          <w:tcPr>
            <w:tcW w:w="127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2套</w:t>
            </w:r>
          </w:p>
        </w:tc>
        <w:tc>
          <w:tcPr>
            <w:tcW w:w="1395"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760万元</w:t>
            </w:r>
          </w:p>
        </w:tc>
        <w:tc>
          <w:tcPr>
            <w:tcW w:w="2538" w:type="dxa"/>
            <w:vMerge w:val="continue"/>
            <w:vAlign w:val="center"/>
          </w:tcPr>
          <w:p>
            <w:pPr>
              <w:jc w:val="center"/>
              <w:rPr>
                <w:rFonts w:hint="eastAsia" w:ascii="宋体" w:hAnsi="宋体" w:eastAsia="宋体" w:cs="宋体"/>
                <w:color w:val="auto"/>
                <w:sz w:val="24"/>
                <w:highlight w:val="none"/>
              </w:rPr>
            </w:pPr>
          </w:p>
        </w:tc>
        <w:tc>
          <w:tcPr>
            <w:tcW w:w="1415" w:type="dxa"/>
            <w:vMerge w:val="continue"/>
            <w:vAlign w:val="center"/>
          </w:tcPr>
          <w:p>
            <w:pPr>
              <w:jc w:val="center"/>
              <w:rPr>
                <w:rFonts w:hint="eastAsia" w:ascii="宋体" w:hAnsi="宋体" w:eastAsia="宋体" w:cs="宋体"/>
                <w:color w:val="auto"/>
                <w:sz w:val="24"/>
                <w:highlight w:val="none"/>
              </w:rPr>
            </w:pPr>
          </w:p>
        </w:tc>
      </w:tr>
    </w:tbl>
    <w:p>
      <w:pPr>
        <w:spacing w:line="360" w:lineRule="auto"/>
        <w:ind w:firstLine="480" w:firstLineChars="200"/>
        <w:rPr>
          <w:rFonts w:hint="eastAsia" w:ascii="宋体" w:hAnsi="宋体" w:eastAsia="宋体" w:cs="宋体"/>
          <w:color w:val="auto"/>
          <w:highlight w:val="none"/>
          <w:lang w:eastAsia="zh-CN"/>
        </w:rPr>
      </w:pPr>
      <w:r>
        <w:rPr>
          <w:rFonts w:hint="eastAsia" w:ascii="宋体" w:hAnsi="宋体" w:eastAsia="宋体" w:cs="宋体"/>
          <w:bCs/>
          <w:color w:val="auto"/>
          <w:sz w:val="24"/>
          <w:highlight w:val="none"/>
        </w:rPr>
        <w:t>本次采购产品</w:t>
      </w:r>
      <w:r>
        <w:rPr>
          <w:rFonts w:hint="eastAsia" w:ascii="宋体" w:hAnsi="宋体" w:cs="宋体"/>
          <w:bCs/>
          <w:color w:val="auto"/>
          <w:sz w:val="24"/>
          <w:highlight w:val="none"/>
          <w:lang w:val="en-US" w:eastAsia="zh-CN"/>
        </w:rPr>
        <w:t>不允许</w:t>
      </w:r>
      <w:r>
        <w:rPr>
          <w:rFonts w:hint="eastAsia" w:ascii="宋体" w:hAnsi="宋体" w:eastAsia="宋体" w:cs="宋体"/>
          <w:bCs/>
          <w:color w:val="auto"/>
          <w:sz w:val="24"/>
          <w:highlight w:val="none"/>
        </w:rPr>
        <w:t>进口产品</w:t>
      </w:r>
      <w:r>
        <w:rPr>
          <w:rFonts w:hint="eastAsia" w:ascii="宋体" w:hAnsi="宋体" w:cs="宋体"/>
          <w:bCs/>
          <w:color w:val="auto"/>
          <w:sz w:val="24"/>
          <w:highlight w:val="none"/>
          <w:lang w:eastAsia="zh-CN"/>
        </w:rPr>
        <w:t>。</w:t>
      </w:r>
    </w:p>
    <w:p>
      <w:pPr>
        <w:numPr>
          <w:ilvl w:val="0"/>
          <w:numId w:val="2"/>
        </w:numPr>
        <w:spacing w:line="240" w:lineRule="atLeast"/>
        <w:rPr>
          <w:rFonts w:hint="default" w:eastAsia="宋体"/>
          <w:color w:val="auto"/>
          <w:highlight w:val="none"/>
          <w:lang w:val="en-US" w:eastAsia="zh-CN"/>
        </w:rPr>
      </w:pPr>
      <w:r>
        <w:rPr>
          <w:rFonts w:hint="eastAsia" w:ascii="宋体" w:hAnsi="宋体" w:eastAsia="宋体" w:cs="宋体"/>
          <w:b/>
          <w:color w:val="auto"/>
          <w:sz w:val="24"/>
          <w:highlight w:val="none"/>
        </w:rPr>
        <w:t>技术条款</w:t>
      </w:r>
    </w:p>
    <w:p>
      <w:pPr>
        <w:numPr>
          <w:ilvl w:val="0"/>
          <w:numId w:val="0"/>
        </w:numPr>
        <w:spacing w:line="240" w:lineRule="atLeast"/>
        <w:rPr>
          <w:rFonts w:hint="eastAsia" w:ascii="宋体" w:hAnsi="宋体" w:cs="宋体"/>
          <w:color w:val="auto"/>
          <w:kern w:val="0"/>
          <w:sz w:val="24"/>
          <w:highlight w:val="none"/>
          <w:lang w:eastAsia="zh-CN"/>
        </w:rPr>
      </w:pPr>
    </w:p>
    <w:p>
      <w:pPr>
        <w:numPr>
          <w:ilvl w:val="0"/>
          <w:numId w:val="0"/>
        </w:numPr>
        <w:spacing w:line="240" w:lineRule="atLeast"/>
        <w:rPr>
          <w:rFonts w:hint="default" w:eastAsia="宋体"/>
          <w:color w:val="auto"/>
          <w:highlight w:val="none"/>
          <w:lang w:val="en-US" w:eastAsia="zh-CN"/>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eastAsia="zh-CN"/>
        </w:rPr>
        <w:t>C形臂</w:t>
      </w:r>
    </w:p>
    <w:tbl>
      <w:tblPr>
        <w:tblStyle w:val="26"/>
        <w:tblW w:w="8942" w:type="dxa"/>
        <w:tblInd w:w="0" w:type="dxa"/>
        <w:tblLayout w:type="fixed"/>
        <w:tblCellMar>
          <w:top w:w="0" w:type="dxa"/>
          <w:left w:w="108" w:type="dxa"/>
          <w:bottom w:w="0" w:type="dxa"/>
          <w:right w:w="108" w:type="dxa"/>
        </w:tblCellMar>
      </w:tblPr>
      <w:tblGrid>
        <w:gridCol w:w="1137"/>
        <w:gridCol w:w="7805"/>
      </w:tblGrid>
      <w:tr>
        <w:tblPrEx>
          <w:tblCellMar>
            <w:top w:w="0" w:type="dxa"/>
            <w:left w:w="108" w:type="dxa"/>
            <w:bottom w:w="0" w:type="dxa"/>
            <w:right w:w="108" w:type="dxa"/>
          </w:tblCellMar>
        </w:tblPrEx>
        <w:trPr>
          <w:trHeight w:val="312"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招标要求</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总体概述</w:t>
            </w:r>
          </w:p>
        </w:tc>
      </w:tr>
      <w:tr>
        <w:tblPrEx>
          <w:tblCellMar>
            <w:top w:w="0" w:type="dxa"/>
            <w:left w:w="108" w:type="dxa"/>
            <w:bottom w:w="0" w:type="dxa"/>
            <w:right w:w="108" w:type="dxa"/>
          </w:tblCellMar>
        </w:tblPrEx>
        <w:trPr>
          <w:trHeight w:val="90"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yellow"/>
              </w:rPr>
              <w:t>产品基本要求：机型为知名厂家2021年后上市主流产品最新款</w:t>
            </w:r>
          </w:p>
        </w:tc>
      </w:tr>
      <w:tr>
        <w:tblPrEx>
          <w:tblCellMar>
            <w:top w:w="0" w:type="dxa"/>
            <w:left w:w="108" w:type="dxa"/>
            <w:bottom w:w="0" w:type="dxa"/>
            <w:right w:w="108" w:type="dxa"/>
          </w:tblCellMar>
        </w:tblPrEx>
        <w:trPr>
          <w:trHeight w:val="576"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主要功能及用途：多功能型C形臂，适用于骨科、普外科、泌尿外科，消化内科，肝胆外科，疼痛科，呼吸内科等</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电源要求：普通民用电源220V，16A</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主要技术规格　</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C形臂架构</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垂直升降(电动)≥430mm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水平移动≥200 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沿轨道旋转≥130° (- 40° /+ 90°)</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轴向旋转≥±190°</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左右摆角≥±12°</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影像增强器到焦点距离≥1000 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C臂开口径≥780 mm</w:t>
            </w:r>
          </w:p>
        </w:tc>
      </w:tr>
      <w:tr>
        <w:tblPrEx>
          <w:tblCellMar>
            <w:top w:w="0" w:type="dxa"/>
            <w:left w:w="108" w:type="dxa"/>
            <w:bottom w:w="0" w:type="dxa"/>
            <w:right w:w="108" w:type="dxa"/>
          </w:tblCellMar>
        </w:tblPrEx>
        <w:trPr>
          <w:trHeight w:val="367"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C臂弧深度≥</w:t>
            </w:r>
            <w:r>
              <w:rPr>
                <w:rFonts w:hint="eastAsia" w:ascii="宋体" w:hAnsi="宋体" w:eastAsia="宋体" w:cs="宋体"/>
                <w:color w:val="auto"/>
                <w:sz w:val="24"/>
                <w:szCs w:val="24"/>
                <w:highlight w:val="none"/>
                <w:lang w:val="en-US" w:eastAsia="zh-CN"/>
              </w:rPr>
              <w:t>7</w:t>
            </w:r>
            <w:r>
              <w:rPr>
                <w:rFonts w:hint="eastAsia" w:ascii="宋体" w:hAnsi="宋体" w:cs="宋体"/>
                <w:color w:val="auto"/>
                <w:sz w:val="24"/>
                <w:szCs w:val="24"/>
                <w:highlight w:val="none"/>
                <w:lang w:val="en-US" w:eastAsia="zh-CN"/>
              </w:rPr>
              <w:t>64</w:t>
            </w:r>
            <w:r>
              <w:rPr>
                <w:rFonts w:hint="eastAsia" w:ascii="宋体" w:hAnsi="宋体" w:eastAsia="宋体" w:cs="宋体"/>
                <w:color w:val="auto"/>
                <w:sz w:val="24"/>
                <w:szCs w:val="24"/>
                <w:highlight w:val="none"/>
              </w:rPr>
              <w:t>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一体化刹车系统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2.1.10</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具备单手柄方向控制系统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具备色彩引导运动控制</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X线发生器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yellow"/>
              </w:rPr>
              <w:t>2.2.1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最大输出功率≥2.5KW</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发生器频率≥44KHZ</w:t>
            </w:r>
            <w:r>
              <w:rPr>
                <w:rFonts w:hint="eastAsia" w:ascii="宋体" w:hAnsi="宋体" w:cs="宋体"/>
                <w:color w:val="auto"/>
                <w:sz w:val="24"/>
                <w:szCs w:val="24"/>
                <w:highlight w:val="none"/>
                <w:lang w:val="en-US" w:eastAsia="zh-CN"/>
              </w:rPr>
              <w:t>高频/多脉冲处理器控制</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最大电压≥110KV</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脉冲透视最大电流≥24mA</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最大脉冲频率≥30帧/秒</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最小脉冲频率≤0.5 帧/秒</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最短曝光时间≤7ms</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球管焦点：小焦点 ≤0.6mm，大焦点 ≤1.0mm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阳极热容量≥101KHU</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阳极散热率≥55KHu/min</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阳极靶角≤9º</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2.3.5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球管热容量≥1.1MHU</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阳极滤过片≥3 mm Al </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影像增强器视野≥9英寸 可变野</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影像增强器中心分辨率≥6.8 LP/mm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图像采集矩阵≥1024×1024</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CCD旋转角度≥±360°</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准直器及滤线栅</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具备矩形准直器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具备狭缝准直器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具备无射线数字图像旋转</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滤线栅栅比≤1/8</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滤线栅密度≥40线/厘米</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监视器</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监视器≥19”TFT高分辨率医用显示器2台</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最大分辨率≥1280 × 1024</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最大亮度≥700cd/m2</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可视角度≥±178°</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具备对环境光亮度自动补偿功能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配备原厂显示器台车</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数字图像处理</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具备图象左右翻转、上下翻转、旋转、黑白翻转（负片）功能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具备实时边缘增强功能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具备实时自动、手动窗位调整功能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具备实时动态降噪功能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具备实时去除运动伪影功能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具备实时金属修正功能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具备实时软组织修正功能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具备自定义窗位调节范围</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具备自定义边缘增强范围</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2.7.10</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图象同屏显示≥16幅</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具备剂量智能管理系统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2.7.12</w:t>
            </w:r>
          </w:p>
        </w:tc>
        <w:tc>
          <w:tcPr>
            <w:tcW w:w="78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具备综合剂量降低技术</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具备图像剂量三级可调</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具备最后一幅图像自动冻结功能LIH</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具备窗口操作界面</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具备图形化显示按键</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具备光盘刻录功能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具备UPS不间断电源</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操作系统最新Win10系统，64bit处理器，≥16G内存</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2.7.20</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台车工作站与C臂之间单根线连接</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台车工作站与C臂之间连接线长度≥8.5m</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图像资料存储系统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存贮图像容量（内置工作站硬盘存储）≥300000幅</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具备USB导出功能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具备CD/DVD刻录功能</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其他及配置要求</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2.9.1</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设备主机,球管、高压发生器等主要部件为同一品牌</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2.9.2</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配备原厂后处理工作站</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2.9.3</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配备</w:t>
            </w:r>
            <w:r>
              <w:rPr>
                <w:rFonts w:hint="eastAsia" w:ascii="宋体" w:hAnsi="宋体" w:cs="宋体"/>
                <w:b w:val="0"/>
                <w:bCs w:val="0"/>
                <w:color w:val="auto"/>
                <w:sz w:val="24"/>
                <w:szCs w:val="24"/>
                <w:highlight w:val="none"/>
                <w:lang w:val="en-US" w:eastAsia="zh-CN"/>
              </w:rPr>
              <w:t>专用打印机1台</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2.9.4</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铅衣3套</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2.9.5</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激光定位系统1套</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2.9.6</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无线遥控曝光系统1套</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2.9.7</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设备验收合格后整机免费保修≥1年</w:t>
            </w:r>
            <w:r>
              <w:rPr>
                <w:rFonts w:hint="eastAsia" w:ascii="宋体" w:hAnsi="宋体" w:eastAsia="宋体" w:cs="宋体"/>
                <w:b w:val="0"/>
                <w:bCs w:val="0"/>
                <w:color w:val="auto"/>
                <w:kern w:val="0"/>
                <w:sz w:val="24"/>
                <w:szCs w:val="24"/>
                <w:highlight w:val="none"/>
              </w:rPr>
              <w:t>（含球管）。保修需卖方维修部门确认，并提供原厂保修服务承诺函，并保证10年以上的备件供应期</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2.9.8</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提供出保后的整机年保修价格（含球管）</w:t>
            </w:r>
          </w:p>
        </w:tc>
      </w:tr>
      <w:tr>
        <w:tblPrEx>
          <w:tblCellMar>
            <w:top w:w="0" w:type="dxa"/>
            <w:left w:w="108" w:type="dxa"/>
            <w:bottom w:w="0" w:type="dxa"/>
            <w:right w:w="108" w:type="dxa"/>
          </w:tblCellMar>
        </w:tblPrEx>
        <w:trPr>
          <w:trHeight w:val="288" w:hRule="atLeast"/>
        </w:trPr>
        <w:tc>
          <w:tcPr>
            <w:tcW w:w="113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宋体" w:hAnsi="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2.9.9</w:t>
            </w:r>
          </w:p>
        </w:tc>
        <w:tc>
          <w:tcPr>
            <w:tcW w:w="7805"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 w:val="0"/>
                <w:bCs w:val="0"/>
                <w:color w:val="auto"/>
                <w:sz w:val="24"/>
                <w:szCs w:val="24"/>
                <w:highlight w:val="yellow"/>
                <w:lang w:val="en-US" w:eastAsia="zh-CN"/>
              </w:rPr>
            </w:pPr>
            <w:r>
              <w:rPr>
                <w:rFonts w:hint="eastAsia" w:ascii="宋体" w:hAnsi="宋体" w:eastAsia="宋体" w:cs="宋体"/>
                <w:b w:val="0"/>
                <w:bCs w:val="0"/>
                <w:color w:val="auto"/>
                <w:kern w:val="0"/>
                <w:sz w:val="24"/>
                <w:szCs w:val="24"/>
                <w:highlight w:val="yellow"/>
              </w:rPr>
              <w:t>承担</w:t>
            </w:r>
            <w:r>
              <w:rPr>
                <w:rFonts w:hint="eastAsia" w:ascii="宋体" w:hAnsi="宋体" w:cs="宋体"/>
                <w:b w:val="0"/>
                <w:bCs w:val="0"/>
                <w:color w:val="auto"/>
                <w:kern w:val="0"/>
                <w:sz w:val="24"/>
                <w:szCs w:val="24"/>
                <w:highlight w:val="yellow"/>
                <w:lang w:val="en-US" w:eastAsia="zh-CN"/>
              </w:rPr>
              <w:t xml:space="preserve">连接PACS接口费用，总费用不超过2万元 </w:t>
            </w:r>
          </w:p>
        </w:tc>
      </w:tr>
    </w:tbl>
    <w:p>
      <w:pPr>
        <w:spacing w:line="360" w:lineRule="auto"/>
        <w:ind w:firstLine="240" w:firstLineChars="100"/>
        <w:rPr>
          <w:rFonts w:hint="default" w:ascii="宋体" w:hAnsi="宋体" w:eastAsia="宋体" w:cs="宋体"/>
          <w:b/>
          <w:bCs/>
          <w:color w:val="auto"/>
          <w:sz w:val="24"/>
          <w:highlight w:val="none"/>
          <w:lang w:val="en-US" w:eastAsia="zh-CN"/>
        </w:rPr>
      </w:pPr>
      <w:r>
        <w:rPr>
          <w:rFonts w:hint="eastAsia" w:ascii="宋体" w:hAnsi="宋体" w:cs="宋体"/>
          <w:color w:val="auto"/>
          <w:sz w:val="24"/>
          <w:szCs w:val="24"/>
          <w:highlight w:val="none"/>
          <w:lang w:val="en-US" w:eastAsia="zh-CN"/>
        </w:rPr>
        <w:t>2、多排</w:t>
      </w:r>
      <w:r>
        <w:rPr>
          <w:rFonts w:hint="eastAsia" w:ascii="宋体" w:hAnsi="宋体" w:eastAsia="宋体" w:cs="宋体"/>
          <w:color w:val="auto"/>
          <w:sz w:val="24"/>
          <w:szCs w:val="24"/>
          <w:highlight w:val="none"/>
        </w:rPr>
        <w:t>螺旋CT</w:t>
      </w:r>
    </w:p>
    <w:tbl>
      <w:tblPr>
        <w:tblStyle w:val="26"/>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1980"/>
        <w:gridCol w:w="1234"/>
        <w:gridCol w:w="2970"/>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8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1234"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主要技术规格</w:t>
            </w:r>
          </w:p>
        </w:tc>
        <w:tc>
          <w:tcPr>
            <w:tcW w:w="1615"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9"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8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多排</w:t>
            </w:r>
            <w:r>
              <w:rPr>
                <w:rFonts w:hint="eastAsia" w:ascii="宋体" w:hAnsi="宋体" w:eastAsia="宋体" w:cs="宋体"/>
                <w:color w:val="auto"/>
                <w:sz w:val="24"/>
                <w:szCs w:val="24"/>
                <w:highlight w:val="none"/>
              </w:rPr>
              <w:t>螺旋CT</w:t>
            </w:r>
          </w:p>
        </w:tc>
        <w:tc>
          <w:tcPr>
            <w:tcW w:w="1234"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套</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探测器排数</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 xml:space="preserve"> 60排</w:t>
            </w:r>
          </w:p>
        </w:tc>
        <w:tc>
          <w:tcPr>
            <w:tcW w:w="1615" w:type="dxa"/>
            <w:vMerge w:val="restart"/>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4"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8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技术资料</w:t>
            </w:r>
          </w:p>
        </w:tc>
        <w:tc>
          <w:tcPr>
            <w:tcW w:w="1234"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全套</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c>
          <w:tcPr>
            <w:tcW w:w="1615" w:type="dxa"/>
            <w:vMerge w:val="continue"/>
            <w:tcBorders>
              <w:tl2br w:val="nil"/>
              <w:tr2bl w:val="nil"/>
            </w:tcBorders>
            <w:noWrap w:val="0"/>
            <w:vAlign w:val="center"/>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956"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214" w:type="dxa"/>
            <w:gridSpan w:val="2"/>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投标方认为必须提供的其他货物</w:t>
            </w:r>
          </w:p>
        </w:tc>
        <w:tc>
          <w:tcPr>
            <w:tcW w:w="297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p>
        </w:tc>
        <w:tc>
          <w:tcPr>
            <w:tcW w:w="1615" w:type="dxa"/>
            <w:vMerge w:val="continue"/>
            <w:tcBorders>
              <w:tl2br w:val="nil"/>
              <w:tr2bl w:val="nil"/>
            </w:tcBorders>
            <w:noWrap w:val="0"/>
            <w:vAlign w:val="center"/>
          </w:tcPr>
          <w:p>
            <w:pPr>
              <w:jc w:val="center"/>
              <w:rPr>
                <w:rFonts w:hint="eastAsia" w:ascii="宋体" w:hAnsi="宋体" w:eastAsia="宋体" w:cs="宋体"/>
                <w:color w:val="auto"/>
                <w:sz w:val="24"/>
                <w:szCs w:val="24"/>
                <w:highlight w:val="none"/>
              </w:rPr>
            </w:pPr>
          </w:p>
        </w:tc>
      </w:tr>
    </w:tbl>
    <w:p>
      <w:pPr>
        <w:spacing w:line="360" w:lineRule="auto"/>
        <w:ind w:firstLine="240" w:firstLineChars="100"/>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设备技术要求及主要性能参数</w:t>
      </w:r>
    </w:p>
    <w:tbl>
      <w:tblPr>
        <w:tblStyle w:val="26"/>
        <w:tblW w:w="8819"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00"/>
        <w:gridCol w:w="761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619"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设备名称：螺旋CT，适用于全身扫描临床应用。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资格标准：提供中华人民共和国医疗器械注册证；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设备技术要求及主要规格参数：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3.1</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机架系统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机架孔径：≥70cm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机架物理(非数字)倾角：≥±30°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焦点到扫描野中心距离：≤54cm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球管焦点到探测器的距离：≤100cm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yellow"/>
              </w:rPr>
              <w:t>★3.1.5</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双套扫描操作系统：提供双套扫描操作系统。可采用传统主机操作，也可选用无线平板电脑和无线远程遥控器进行扫描。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3.1.6</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机架上具备内置一体化摄像头，扫描全程监控患者有否移动、对造影剂有无过敏反应等情况。监控图像可在主机上显示。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3.1.7</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双套患者摆位系统，双套摆位系统。具备无线遥控器和机架上固定的有线的摆位系统。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3.1.8</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机架内冷却方式：风冷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7619" w:type="dxa"/>
            <w:tcBorders>
              <w:tl2br w:val="nil"/>
              <w:tr2bl w:val="nil"/>
            </w:tcBorders>
            <w:noWrap w:val="0"/>
            <w:vAlign w:val="top"/>
          </w:tcPr>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探测器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3.2.1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bookmarkStart w:id="3" w:name="OLE_LINK1"/>
            <w:r>
              <w:rPr>
                <w:rFonts w:hint="eastAsia" w:ascii="宋体" w:hAnsi="宋体" w:eastAsia="宋体" w:cs="宋体"/>
                <w:color w:val="auto"/>
                <w:sz w:val="24"/>
                <w:szCs w:val="24"/>
                <w:highlight w:val="none"/>
              </w:rPr>
              <w:t>亚毫米探测器排数≥</w:t>
            </w:r>
            <w:r>
              <w:rPr>
                <w:rFonts w:hint="eastAsia" w:ascii="宋体" w:hAnsi="宋体" w:eastAsia="宋体" w:cs="宋体"/>
                <w:bCs/>
                <w:color w:val="auto"/>
                <w:sz w:val="24"/>
                <w:szCs w:val="24"/>
                <w:highlight w:val="none"/>
              </w:rPr>
              <w:t>60排</w:t>
            </w:r>
            <w:bookmarkEnd w:id="3"/>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探测器类型：各家提供最新型探测器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探测器上具备3D防散射线滤线栅硬件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探测器物理总数≥52000个</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每排探测器物理个数≥840个</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探测器物理宽度</w:t>
            </w:r>
            <w:r>
              <w:rPr>
                <w:rFonts w:hint="eastAsia" w:ascii="宋体" w:hAnsi="宋体" w:eastAsia="宋体" w:cs="宋体"/>
                <w:color w:val="auto"/>
                <w:sz w:val="24"/>
                <w:szCs w:val="24"/>
                <w:highlight w:val="none"/>
              </w:rPr>
              <w:t>≥37mm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3.3</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扫描床</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床面水平移动范围：≥135cm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最大可扫描范围：≥135cm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床面最大水平移动速度：≥200mm/s</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床面最大承重：≥</w:t>
            </w:r>
            <w:r>
              <w:rPr>
                <w:rFonts w:hint="eastAsia" w:ascii="宋体" w:hAnsi="宋体" w:eastAsia="宋体" w:cs="宋体"/>
                <w:bCs/>
                <w:color w:val="auto"/>
                <w:sz w:val="24"/>
                <w:szCs w:val="24"/>
                <w:highlight w:val="none"/>
              </w:rPr>
              <w:t>220Kg</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最大承重下的移床精度：≥±0.25mm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提供扫描床附件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3.4</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X线系统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高压发生率功率：≥75KW</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高压发生器为CT厂家自主研发生产</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球管阳极实际热容量（不含等效概念）：≥7MHU</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球管阳极最大散热率：≥1500</w:t>
            </w:r>
            <w:r>
              <w:rPr>
                <w:rFonts w:hint="eastAsia" w:ascii="宋体" w:hAnsi="宋体" w:eastAsia="宋体" w:cs="宋体"/>
                <w:bCs/>
                <w:color w:val="auto"/>
                <w:sz w:val="24"/>
                <w:szCs w:val="24"/>
                <w:highlight w:val="none"/>
              </w:rPr>
              <w:t>KHU/</w:t>
            </w:r>
            <w:r>
              <w:rPr>
                <w:rFonts w:hint="eastAsia" w:ascii="宋体" w:hAnsi="宋体" w:eastAsia="宋体" w:cs="宋体"/>
                <w:color w:val="auto"/>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球管小焦点</w:t>
            </w:r>
            <w:bookmarkStart w:id="4" w:name="OLE_LINK2"/>
            <w:r>
              <w:rPr>
                <w:rFonts w:hint="eastAsia" w:ascii="宋体" w:hAnsi="宋体" w:eastAsia="宋体" w:cs="宋体"/>
                <w:bCs/>
                <w:color w:val="auto"/>
                <w:sz w:val="24"/>
                <w:szCs w:val="24"/>
                <w:highlight w:val="none"/>
              </w:rPr>
              <w:t>（IEC标准 60336）：</w:t>
            </w:r>
            <w:bookmarkEnd w:id="4"/>
            <w:r>
              <w:rPr>
                <w:rFonts w:hint="eastAsia" w:ascii="宋体" w:hAnsi="宋体" w:eastAsia="宋体" w:cs="宋体"/>
                <w:color w:val="auto"/>
                <w:sz w:val="24"/>
                <w:szCs w:val="24"/>
                <w:highlight w:val="none"/>
                <w:lang w:val="zh-CN"/>
              </w:rPr>
              <w:t>≤</w:t>
            </w:r>
            <w:r>
              <w:rPr>
                <w:rFonts w:hint="eastAsia" w:ascii="宋体" w:hAnsi="宋体" w:eastAsia="宋体" w:cs="宋体"/>
                <w:bCs/>
                <w:color w:val="auto"/>
                <w:sz w:val="24"/>
                <w:szCs w:val="24"/>
                <w:highlight w:val="none"/>
              </w:rPr>
              <w:t>0.8mm×0.8mm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球管大焦点（IEC标准 60336）：</w:t>
            </w:r>
            <w:r>
              <w:rPr>
                <w:rFonts w:hint="eastAsia" w:ascii="宋体" w:hAnsi="宋体" w:eastAsia="宋体" w:cs="宋体"/>
                <w:color w:val="auto"/>
                <w:sz w:val="24"/>
                <w:szCs w:val="24"/>
                <w:highlight w:val="none"/>
                <w:lang w:val="zh-CN"/>
              </w:rPr>
              <w:t>≤</w:t>
            </w:r>
            <w:r>
              <w:rPr>
                <w:rFonts w:hint="eastAsia" w:ascii="宋体" w:hAnsi="宋体" w:eastAsia="宋体" w:cs="宋体"/>
                <w:bCs/>
                <w:color w:val="auto"/>
                <w:sz w:val="24"/>
                <w:szCs w:val="24"/>
                <w:highlight w:val="none"/>
              </w:rPr>
              <w:t>1.0mm×1.2mm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最小球管电流：≤13mA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最大球管电流：≥600mA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3.4.9</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最大球管电压：≥140kv</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3.4.10</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最小球管电压：≤70KV</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球管电压选择≥6种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提供能谱纯化技术，滤过低能级射线，以大幅度降低剂量，提高图像质量。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3.4.13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核心部件球管、探测器为CT厂家自主研发生产</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集成化控制台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3.5.1</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提供一体化计算机,</w:t>
            </w:r>
            <w:r>
              <w:rPr>
                <w:rFonts w:hint="eastAsia" w:ascii="宋体" w:hAnsi="宋体" w:eastAsia="宋体" w:cs="宋体"/>
                <w:color w:val="auto"/>
                <w:sz w:val="24"/>
                <w:szCs w:val="24"/>
                <w:highlight w:val="none"/>
              </w:rPr>
              <w:t xml:space="preserve"> </w:t>
            </w:r>
            <w:r>
              <w:rPr>
                <w:rFonts w:hint="eastAsia" w:ascii="宋体" w:hAnsi="宋体" w:eastAsia="宋体" w:cs="宋体"/>
                <w:bCs/>
                <w:color w:val="auto"/>
                <w:sz w:val="24"/>
                <w:szCs w:val="24"/>
                <w:highlight w:val="none"/>
              </w:rPr>
              <w:t>提供计算机整合在机架中的内置设计，节省扫描间建筑成本。</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p>
        </w:tc>
        <w:tc>
          <w:tcPr>
            <w:tcW w:w="7619" w:type="dxa"/>
            <w:tcBorders>
              <w:tl2br w:val="nil"/>
              <w:tr2bl w:val="nil"/>
            </w:tcBorders>
            <w:noWrap w:val="0"/>
            <w:vAlign w:val="center"/>
          </w:tcPr>
          <w:p>
            <w:pP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计算机内存：≥32GB</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计算机主频：提供Intel Xeon处理器，≥3.6GHz</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硬盘容量：≥</w:t>
            </w:r>
            <w:r>
              <w:rPr>
                <w:rFonts w:hint="eastAsia" w:ascii="宋体" w:hAnsi="宋体" w:eastAsia="宋体" w:cs="宋体"/>
                <w:bCs/>
                <w:color w:val="auto"/>
                <w:sz w:val="24"/>
                <w:szCs w:val="24"/>
                <w:highlight w:val="none"/>
              </w:rPr>
              <w:t>720GB</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图像存储量：（512×512不压缩）≥</w:t>
            </w:r>
            <w:r>
              <w:rPr>
                <w:rFonts w:hint="eastAsia" w:ascii="宋体" w:hAnsi="宋体" w:eastAsia="宋体" w:cs="宋体"/>
                <w:bCs/>
                <w:color w:val="auto"/>
                <w:sz w:val="24"/>
                <w:szCs w:val="24"/>
                <w:highlight w:val="none"/>
              </w:rPr>
              <w:t>300,000幅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医学专用液晶超薄平面23寸显示器，分辨率：≥1920×1080，数量≥1台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同步并行处理功能：扫描、重建、显示、存储、打印等操作</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自动病人呼吸屏气辅助控制系统，双向语音传输</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3.5.9</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并行重建功能：并行处理多种模式的图像的重建与重组，可以在一个扫描方案中预置和完成不同算法的重建任务</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3.6</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扫描参数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最快扫描速度：≤0.</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秒/360°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highlight w:val="none"/>
              </w:rPr>
              <w:t>3.6.2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探测器最薄物理单元：≤0.6mm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扫描图像层数≥124层图像/360度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图像重建速度：≥23幅/秒（512×512矩阵）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图像重建矩阵：≥512×512</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最长连续螺旋扫描时间≥200秒</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单次螺旋扫描最大范围：≥</w:t>
            </w:r>
            <w:r>
              <w:rPr>
                <w:rFonts w:hint="eastAsia" w:ascii="宋体" w:hAnsi="宋体" w:eastAsia="宋体" w:cs="宋体"/>
                <w:bCs/>
                <w:color w:val="auto"/>
                <w:sz w:val="24"/>
                <w:szCs w:val="24"/>
                <w:highlight w:val="none"/>
              </w:rPr>
              <w:t>135cm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螺旋扫描螺距范围：≥0.3～1.5，任意可调</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3.6.9</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显示视野范围≥5cm~50cm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3.6.10</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各家提供迭代技术名称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具备70kv管电压扫描技术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具备90kv管电压扫描技术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具备110kv管电压扫描技术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具备130kv管电压扫描技术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3.7</w:t>
            </w:r>
          </w:p>
        </w:tc>
        <w:tc>
          <w:tcPr>
            <w:tcW w:w="7619" w:type="dxa"/>
            <w:tcBorders>
              <w:tl2br w:val="nil"/>
              <w:tr2bl w:val="nil"/>
            </w:tcBorders>
            <w:noWrap w:val="0"/>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图像质量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可视空间分辨率10%MTF≥14LP/CM（X-Y轴）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可视空间分辨率50%MTF≥12LP/CM（X-Y轴）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低密度分辨率：≤5mm@0.3%, </w:t>
            </w:r>
            <w:r>
              <w:rPr>
                <w:rFonts w:hint="eastAsia" w:ascii="宋体" w:hAnsi="宋体" w:eastAsia="宋体" w:cs="宋体"/>
                <w:bCs/>
                <w:color w:val="auto"/>
                <w:sz w:val="24"/>
                <w:szCs w:val="24"/>
                <w:highlight w:val="none"/>
              </w:rPr>
              <w:t>12mGy</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CT值范围：－8000Hu到＋50000Hu</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3.7.5</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提供控制台所有Dicom3.0功能接口及控制台Worklist连接</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3.8</w:t>
            </w:r>
          </w:p>
        </w:tc>
        <w:tc>
          <w:tcPr>
            <w:tcW w:w="7619" w:type="dxa"/>
            <w:tcBorders>
              <w:tl2br w:val="nil"/>
              <w:tr2bl w:val="nil"/>
            </w:tcBorders>
            <w:noWrap w:val="0"/>
            <w:vAlign w:val="center"/>
          </w:tcPr>
          <w:p>
            <w:pPr>
              <w:tabs>
                <w:tab w:val="left" w:pos="1650"/>
              </w:tabs>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临床应用软件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多平面重建MPR</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3.8.2</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任意曲面重建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3.8.3</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最大密度投影MIP</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最小密度投影MinP</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3.8.5</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表面三维重建3D SSD</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组织透明化显示技术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3.8.7</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CT血管成像CTA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3.8.8</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高级容积处理软件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3.8.9</w:t>
            </w:r>
          </w:p>
        </w:tc>
        <w:tc>
          <w:tcPr>
            <w:tcW w:w="7619" w:type="dxa"/>
            <w:tcBorders>
              <w:tl2br w:val="nil"/>
              <w:tr2bl w:val="nil"/>
            </w:tcBorders>
            <w:noWrap w:val="0"/>
            <w:vAlign w:val="center"/>
          </w:tcPr>
          <w:p>
            <w:pPr>
              <w:tabs>
                <w:tab w:val="left" w:pos="1650"/>
              </w:tabs>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具备器官融合、拆分技术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3.8.10</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一键式去骨功能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模拟手术刀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数字减影</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3.8.13</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容积测量评估软件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3.8.14</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肺纹理增强软件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3.8.15</w:t>
            </w:r>
          </w:p>
        </w:tc>
        <w:tc>
          <w:tcPr>
            <w:tcW w:w="7619" w:type="dxa"/>
            <w:tcBorders>
              <w:tl2br w:val="nil"/>
              <w:tr2bl w:val="nil"/>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低剂量肺扫描软件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3.8.16</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CT电影</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3.8.17</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容积伪影抑制软件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3.8.18</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实时一次注射造影剂自动跟踪扫描功能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3.8.19</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实时智能X线剂量调控软件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3.8.20</w:t>
            </w:r>
          </w:p>
        </w:tc>
        <w:tc>
          <w:tcPr>
            <w:tcW w:w="7619" w:type="dxa"/>
            <w:tcBorders>
              <w:tl2br w:val="nil"/>
              <w:tr2bl w:val="nil"/>
            </w:tcBorders>
            <w:noWrap w:val="0"/>
            <w:vAlign w:val="top"/>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婴幼儿扫描专用软件包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3.8.21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提供根据生理解剖角度的自由重建，对脊柱、后颅窝等器官，在扫描后自动进行小角度和自由角度重建，符合人体生理解剖，不需要医生手动进行角度重建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3.8.22</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心脏扫描成像功能，单扇区时间分辨率≤165毫秒</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3.8.23</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心电门控系统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3.8.24</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心脏成像一次注药自动触发造影剂跟踪软件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3.8.25</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主控台能显示和保存心电图信息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3.8.26</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ECG心电编辑软件, 应对心率不齐病人的心脏采集</w:t>
            </w: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具备冠脉分析功能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cs="宋体"/>
                <w:b w:val="0"/>
                <w:bCs w:val="0"/>
                <w:color w:val="auto"/>
                <w:sz w:val="24"/>
                <w:szCs w:val="24"/>
                <w:highlight w:val="yellow"/>
                <w:lang w:val="en-US" w:eastAsia="zh-CN"/>
              </w:rPr>
            </w:pPr>
            <w:r>
              <w:rPr>
                <w:rFonts w:hint="eastAsia" w:ascii="宋体" w:hAnsi="宋体" w:eastAsia="宋体" w:cs="宋体"/>
                <w:b w:val="0"/>
                <w:bCs w:val="0"/>
                <w:color w:val="auto"/>
                <w:sz w:val="24"/>
                <w:szCs w:val="24"/>
                <w:highlight w:val="yellow"/>
              </w:rPr>
              <w:t>▲</w:t>
            </w:r>
            <w:r>
              <w:rPr>
                <w:rFonts w:hint="eastAsia" w:ascii="宋体" w:hAnsi="宋体" w:cs="宋体"/>
                <w:b w:val="0"/>
                <w:bCs w:val="0"/>
                <w:color w:val="auto"/>
                <w:sz w:val="24"/>
                <w:szCs w:val="24"/>
                <w:highlight w:val="yellow"/>
                <w:lang w:val="en-US" w:eastAsia="zh-CN"/>
              </w:rPr>
              <w:t>3.8.27</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yellow"/>
              </w:rPr>
            </w:pPr>
            <w:r>
              <w:rPr>
                <w:rFonts w:hint="eastAsia" w:ascii="宋体" w:hAnsi="宋体" w:eastAsia="宋体" w:cs="宋体"/>
                <w:b w:val="0"/>
                <w:bCs w:val="0"/>
                <w:color w:val="auto"/>
                <w:sz w:val="24"/>
                <w:szCs w:val="24"/>
                <w:highlight w:val="yellow"/>
              </w:rPr>
              <w:t>提供投标机型所有扫描技术及临床应用软件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图像处理工作站</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kern w:val="0"/>
                <w:sz w:val="24"/>
                <w:szCs w:val="24"/>
                <w:highlight w:val="none"/>
              </w:rPr>
              <w:t>9.1</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提供最高配置工作站一套，写明工作站机型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9.2</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内存：≥16GB</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9.3</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计算机主频：≥</w:t>
            </w:r>
            <w:r>
              <w:rPr>
                <w:rFonts w:hint="eastAsia" w:ascii="宋体" w:hAnsi="宋体" w:eastAsia="宋体" w:cs="宋体"/>
                <w:b w:val="0"/>
                <w:bCs w:val="0"/>
                <w:color w:val="auto"/>
                <w:kern w:val="0"/>
                <w:sz w:val="24"/>
                <w:szCs w:val="24"/>
                <w:highlight w:val="none"/>
                <w:lang w:val="zh-CN"/>
              </w:rPr>
              <w:t>4x</w:t>
            </w:r>
            <w:r>
              <w:rPr>
                <w:rFonts w:hint="eastAsia" w:ascii="宋体" w:hAnsi="宋体" w:eastAsia="宋体" w:cs="宋体"/>
                <w:b w:val="0"/>
                <w:bCs w:val="0"/>
                <w:color w:val="auto"/>
                <w:kern w:val="0"/>
                <w:sz w:val="24"/>
                <w:szCs w:val="24"/>
                <w:highlight w:val="none"/>
              </w:rPr>
              <w:t>2GHz</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9.4</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硬盘容量: ≥</w:t>
            </w:r>
            <w:r>
              <w:rPr>
                <w:rFonts w:hint="eastAsia" w:ascii="宋体" w:hAnsi="宋体" w:eastAsia="宋体" w:cs="宋体"/>
                <w:b w:val="0"/>
                <w:bCs w:val="0"/>
                <w:color w:val="auto"/>
                <w:kern w:val="0"/>
                <w:sz w:val="24"/>
                <w:szCs w:val="24"/>
                <w:highlight w:val="none"/>
                <w:lang w:val="zh-CN"/>
              </w:rPr>
              <w:t>1T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9.5</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医学专用液晶超薄平面显示器</w:t>
            </w:r>
            <w:r>
              <w:rPr>
                <w:rFonts w:hint="eastAsia" w:ascii="宋体" w:hAnsi="宋体" w:eastAsia="宋体" w:cs="宋体"/>
                <w:b w:val="0"/>
                <w:bCs w:val="0"/>
                <w:color w:val="auto"/>
                <w:kern w:val="0"/>
                <w:sz w:val="24"/>
                <w:szCs w:val="24"/>
                <w:highlight w:val="none"/>
                <w:lang w:val="zh-CN"/>
              </w:rPr>
              <w:t>≥1</w:t>
            </w:r>
            <w:r>
              <w:rPr>
                <w:rFonts w:hint="eastAsia" w:ascii="宋体" w:hAnsi="宋体" w:eastAsia="宋体" w:cs="宋体"/>
                <w:b w:val="0"/>
                <w:bCs w:val="0"/>
                <w:color w:val="auto"/>
                <w:kern w:val="0"/>
                <w:sz w:val="24"/>
                <w:szCs w:val="24"/>
                <w:highlight w:val="none"/>
              </w:rPr>
              <w:t>9寸，分辨率：≥1280×1024</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rPr>
              <w:t>9.6</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一体化图像光盘存储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3.10</w:t>
            </w:r>
          </w:p>
        </w:tc>
        <w:tc>
          <w:tcPr>
            <w:tcW w:w="7619" w:type="dxa"/>
            <w:tcBorders>
              <w:tl2br w:val="nil"/>
              <w:tr2bl w:val="nil"/>
            </w:tcBorders>
            <w:noWrap w:val="0"/>
            <w:vAlign w:val="center"/>
          </w:tcPr>
          <w:p>
            <w:pPr>
              <w:tabs>
                <w:tab w:val="left" w:pos="1650"/>
              </w:tabs>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200" w:type="dxa"/>
            <w:tcBorders>
              <w:tl2br w:val="nil"/>
              <w:tr2bl w:val="nil"/>
            </w:tcBorders>
            <w:noWrap w:val="0"/>
            <w:vAlign w:val="center"/>
          </w:tcPr>
          <w:p>
            <w:pPr>
              <w:tabs>
                <w:tab w:val="left" w:pos="165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3.10.1</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省内有固定的CT维修工程师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3.10.2</w:t>
            </w:r>
          </w:p>
        </w:tc>
        <w:tc>
          <w:tcPr>
            <w:tcW w:w="7619" w:type="dxa"/>
            <w:tcBorders>
              <w:tl2br w:val="nil"/>
              <w:tr2bl w:val="nil"/>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rPr>
              <w:t>整机验收合格后保修</w:t>
            </w:r>
            <w:r>
              <w:rPr>
                <w:rFonts w:hint="default" w:ascii="Arial" w:hAnsi="Arial" w:eastAsia="宋体" w:cs="Arial"/>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rPr>
              <w:t>年（含球管）。保修需卖方维修部门确认，并提供原厂保修服务承诺函，并保证10年以上的备件供应期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eastAsia="宋体" w:cs="宋体"/>
                <w:b w:val="0"/>
                <w:bCs w:val="0"/>
                <w:color w:val="auto"/>
                <w:sz w:val="24"/>
                <w:szCs w:val="24"/>
                <w:highlight w:val="yellow"/>
                <w:lang w:val="en-US" w:eastAsia="zh-CN"/>
              </w:rPr>
            </w:pPr>
            <w:r>
              <w:rPr>
                <w:rFonts w:hint="eastAsia" w:ascii="宋体" w:hAnsi="宋体" w:cs="宋体"/>
                <w:b w:val="0"/>
                <w:bCs w:val="0"/>
                <w:color w:val="auto"/>
                <w:sz w:val="24"/>
                <w:szCs w:val="24"/>
                <w:highlight w:val="yellow"/>
                <w:lang w:val="en-US" w:eastAsia="zh-CN"/>
              </w:rPr>
              <w:t>3.10.3</w:t>
            </w:r>
          </w:p>
        </w:tc>
        <w:tc>
          <w:tcPr>
            <w:tcW w:w="7619" w:type="dxa"/>
            <w:tcBorders>
              <w:tl2br w:val="nil"/>
              <w:tr2bl w:val="nil"/>
            </w:tcBorders>
            <w:noWrap w:val="0"/>
            <w:vAlign w:val="center"/>
          </w:tcPr>
          <w:p>
            <w:pPr>
              <w:rPr>
                <w:rFonts w:hint="eastAsia" w:ascii="宋体" w:hAnsi="宋体" w:eastAsia="宋体" w:cs="宋体"/>
                <w:b w:val="0"/>
                <w:bCs w:val="0"/>
                <w:color w:val="auto"/>
                <w:sz w:val="24"/>
                <w:szCs w:val="24"/>
                <w:highlight w:val="yellow"/>
              </w:rPr>
            </w:pPr>
            <w:r>
              <w:rPr>
                <w:rFonts w:hint="eastAsia" w:ascii="宋体" w:hAnsi="宋体" w:eastAsia="宋体" w:cs="宋体"/>
                <w:b w:val="0"/>
                <w:bCs w:val="0"/>
                <w:color w:val="auto"/>
                <w:kern w:val="0"/>
                <w:sz w:val="24"/>
                <w:szCs w:val="24"/>
                <w:highlight w:val="yellow"/>
              </w:rPr>
              <w:t>承担机器及后处理PACS接口费用，总费用不超过8万元</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00" w:type="dxa"/>
            <w:tcBorders>
              <w:tl2br w:val="nil"/>
              <w:tr2bl w:val="nil"/>
            </w:tcBorders>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3.10.4</w:t>
            </w:r>
          </w:p>
        </w:tc>
        <w:tc>
          <w:tcPr>
            <w:tcW w:w="7619" w:type="dxa"/>
            <w:tcBorders>
              <w:tl2br w:val="nil"/>
              <w:tr2bl w:val="nil"/>
            </w:tcBorders>
            <w:noWrap w:val="0"/>
            <w:vAlign w:val="center"/>
          </w:tcPr>
          <w:p>
            <w:pP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双筒悬吊高压注射器  1套</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注明产地、品牌、型号</w:t>
            </w:r>
            <w:r>
              <w:rPr>
                <w:rFonts w:hint="eastAsia" w:ascii="宋体" w:hAnsi="宋体" w:eastAsia="宋体" w:cs="宋体"/>
                <w:b w:val="0"/>
                <w:bCs w:val="0"/>
                <w:color w:val="auto"/>
                <w:kern w:val="0"/>
                <w:sz w:val="24"/>
                <w:szCs w:val="24"/>
                <w:highlight w:val="none"/>
                <w:lang w:eastAsia="zh-CN"/>
              </w:rPr>
              <w:t>）</w:t>
            </w:r>
          </w:p>
        </w:tc>
      </w:tr>
    </w:tbl>
    <w:p>
      <w:pPr>
        <w:spacing w:line="360" w:lineRule="auto"/>
        <w:rPr>
          <w:rFonts w:hint="eastAsia" w:ascii="宋体" w:hAnsi="宋体" w:eastAsia="宋体" w:cs="宋体"/>
          <w:b/>
          <w:bCs/>
          <w:color w:val="auto"/>
          <w:sz w:val="24"/>
          <w:szCs w:val="32"/>
          <w:highlight w:val="none"/>
        </w:rPr>
      </w:pPr>
      <w:r>
        <w:rPr>
          <w:rFonts w:hint="eastAsia" w:ascii="宋体" w:hAnsi="宋体" w:cs="宋体"/>
          <w:b/>
          <w:bCs/>
          <w:color w:val="auto"/>
          <w:sz w:val="24"/>
          <w:highlight w:val="none"/>
          <w:lang w:val="en-US" w:eastAsia="zh-CN"/>
        </w:rPr>
        <w:t>三</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商务条款</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w:t>
      </w:r>
      <w:r>
        <w:rPr>
          <w:rFonts w:hint="eastAsia" w:ascii="宋体" w:hAnsi="宋体" w:cs="宋体"/>
          <w:color w:val="auto"/>
          <w:sz w:val="24"/>
          <w:szCs w:val="32"/>
          <w:highlight w:val="none"/>
        </w:rPr>
        <w:t>、应详细说明维保条款和临床</w:t>
      </w:r>
      <w:r>
        <w:rPr>
          <w:rFonts w:ascii="宋体" w:hAnsi="宋体" w:cs="宋体"/>
          <w:color w:val="auto"/>
          <w:sz w:val="24"/>
          <w:szCs w:val="32"/>
          <w:highlight w:val="none"/>
        </w:rPr>
        <w:t>/</w:t>
      </w:r>
      <w:r>
        <w:rPr>
          <w:rFonts w:hint="eastAsia" w:ascii="宋体" w:hAnsi="宋体" w:cs="宋体"/>
          <w:color w:val="auto"/>
          <w:sz w:val="24"/>
          <w:szCs w:val="32"/>
          <w:highlight w:val="none"/>
        </w:rPr>
        <w:t>维修培训内容（注明保修年限、培训地点及时间、保修是否包含模块等），保修期后维修不收取维修费</w:t>
      </w:r>
      <w:r>
        <w:rPr>
          <w:rFonts w:ascii="宋体" w:hAnsi="宋体" w:cs="宋体"/>
          <w:color w:val="auto"/>
          <w:sz w:val="24"/>
          <w:szCs w:val="32"/>
          <w:highlight w:val="none"/>
        </w:rPr>
        <w:t>/</w:t>
      </w:r>
      <w:r>
        <w:rPr>
          <w:rFonts w:hint="eastAsia" w:ascii="宋体" w:hAnsi="宋体" w:cs="宋体"/>
          <w:color w:val="auto"/>
          <w:sz w:val="24"/>
          <w:szCs w:val="32"/>
          <w:highlight w:val="none"/>
        </w:rPr>
        <w:t>差旅费、只收取配件费，同时保修期后维修必须先维修后付款，同时注明出保后购买保修服务的价格（例：产品总价的</w:t>
      </w:r>
      <w:r>
        <w:rPr>
          <w:rFonts w:ascii="宋体" w:hAnsi="宋体" w:cs="宋体"/>
          <w:color w:val="auto"/>
          <w:sz w:val="24"/>
          <w:szCs w:val="32"/>
          <w:highlight w:val="none"/>
        </w:rPr>
        <w:t>5%</w:t>
      </w:r>
      <w:r>
        <w:rPr>
          <w:rFonts w:hint="eastAsia" w:ascii="宋体" w:hAnsi="宋体" w:cs="宋体"/>
          <w:color w:val="auto"/>
          <w:sz w:val="24"/>
          <w:szCs w:val="32"/>
          <w:highlight w:val="none"/>
        </w:rPr>
        <w:t>等）。</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2</w:t>
      </w:r>
      <w:r>
        <w:rPr>
          <w:rFonts w:hint="eastAsia" w:ascii="宋体" w:hAnsi="宋体" w:cs="宋体"/>
          <w:color w:val="auto"/>
          <w:sz w:val="24"/>
          <w:szCs w:val="32"/>
          <w:highlight w:val="none"/>
        </w:rPr>
        <w:t>、常用配件和耗品：价格清单（详细标明各种相关配件和耗品的型号、价格、注册证号，耗材价格作为重要参考依据，务必详细说明），无耗材报价的默认为该仪器无需耗材。</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3</w:t>
      </w:r>
      <w:r>
        <w:rPr>
          <w:rFonts w:hint="eastAsia" w:ascii="宋体" w:hAnsi="宋体" w:cs="宋体"/>
          <w:color w:val="auto"/>
          <w:sz w:val="24"/>
          <w:szCs w:val="32"/>
          <w:highlight w:val="none"/>
        </w:rPr>
        <w:t>、提供医院要求的最新机型和软件，免费提供软件升级，及时提供新功能和新技术的安装和临床应用。</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4</w:t>
      </w:r>
      <w:r>
        <w:rPr>
          <w:rFonts w:hint="eastAsia" w:ascii="宋体" w:hAnsi="宋体" w:cs="宋体"/>
          <w:color w:val="auto"/>
          <w:sz w:val="24"/>
          <w:szCs w:val="32"/>
          <w:highlight w:val="none"/>
        </w:rPr>
        <w:t>、列出全套设备的详细配置清单（包括所有组成部分的规格型号及分项报价、对应的注册证号）。</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5</w:t>
      </w:r>
      <w:r>
        <w:rPr>
          <w:rFonts w:hint="eastAsia" w:ascii="宋体" w:hAnsi="宋体" w:cs="宋体"/>
          <w:color w:val="auto"/>
          <w:sz w:val="24"/>
          <w:szCs w:val="32"/>
          <w:highlight w:val="none"/>
        </w:rPr>
        <w:t>、上述配置中未提及的，与该系统配套的所有硬件、软件及功能模块请单独报价，如不作特殊说明，则视同包含该型号产品厂方最新发布的所有功能软件和所有选配件。</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6</w:t>
      </w:r>
      <w:r>
        <w:rPr>
          <w:rFonts w:hint="eastAsia" w:ascii="宋体" w:hAnsi="宋体" w:cs="宋体"/>
          <w:color w:val="auto"/>
          <w:sz w:val="24"/>
          <w:szCs w:val="32"/>
          <w:highlight w:val="none"/>
        </w:rPr>
        <w:t>、验收时需提供投标机型的原始</w:t>
      </w:r>
      <w:r>
        <w:rPr>
          <w:rFonts w:ascii="宋体" w:hAnsi="宋体" w:cs="宋体"/>
          <w:color w:val="auto"/>
          <w:sz w:val="24"/>
          <w:szCs w:val="32"/>
          <w:highlight w:val="none"/>
        </w:rPr>
        <w:t>DATASHEET</w:t>
      </w:r>
      <w:r>
        <w:rPr>
          <w:rFonts w:hint="eastAsia" w:ascii="宋体" w:hAnsi="宋体" w:cs="宋体"/>
          <w:color w:val="auto"/>
          <w:sz w:val="24"/>
          <w:szCs w:val="32"/>
          <w:highlight w:val="none"/>
        </w:rPr>
        <w:t>。</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7</w:t>
      </w:r>
      <w:r>
        <w:rPr>
          <w:rFonts w:hint="eastAsia" w:ascii="宋体" w:hAnsi="宋体" w:cs="宋体"/>
          <w:color w:val="auto"/>
          <w:sz w:val="24"/>
          <w:szCs w:val="32"/>
          <w:highlight w:val="none"/>
        </w:rPr>
        <w:t>、验收时需提供该设备的海关报关单、商检证书、中文操作规程、中文说明书（含维修手册）、装箱单、中文标识和原厂出厂中文检测报告。</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8</w:t>
      </w:r>
      <w:r>
        <w:rPr>
          <w:rFonts w:hint="eastAsia" w:ascii="宋体" w:hAnsi="宋体" w:cs="宋体"/>
          <w:color w:val="auto"/>
          <w:sz w:val="24"/>
          <w:szCs w:val="32"/>
          <w:highlight w:val="none"/>
        </w:rPr>
        <w:t>、保修期结束后保证所提供仪器十年的零配件供应和维修服务（提供报修后</w:t>
      </w:r>
      <w:r>
        <w:rPr>
          <w:rFonts w:ascii="宋体" w:hAnsi="宋体" w:cs="宋体"/>
          <w:color w:val="auto"/>
          <w:sz w:val="24"/>
          <w:szCs w:val="32"/>
          <w:highlight w:val="none"/>
        </w:rPr>
        <w:t>24</w:t>
      </w:r>
      <w:r>
        <w:rPr>
          <w:rFonts w:hint="eastAsia" w:ascii="宋体" w:hAnsi="宋体" w:cs="宋体"/>
          <w:color w:val="auto"/>
          <w:sz w:val="24"/>
          <w:szCs w:val="32"/>
          <w:highlight w:val="none"/>
        </w:rPr>
        <w:t>小时内工程师上门常规付费服务）。</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9</w:t>
      </w:r>
      <w:r>
        <w:rPr>
          <w:rFonts w:hint="eastAsia" w:ascii="宋体" w:hAnsi="宋体" w:cs="宋体"/>
          <w:color w:val="auto"/>
          <w:sz w:val="24"/>
          <w:szCs w:val="32"/>
          <w:highlight w:val="none"/>
        </w:rPr>
        <w:t>、首次计量检测费用由供应商承担，同时供应商按成本价提供后续计量服务。</w:t>
      </w:r>
    </w:p>
    <w:p>
      <w:pPr>
        <w:widowControl/>
        <w:spacing w:line="360" w:lineRule="auto"/>
        <w:ind w:firstLine="480" w:firstLineChars="200"/>
        <w:rPr>
          <w:rFonts w:hint="eastAsia" w:ascii="宋体" w:hAnsi="宋体" w:cs="宋体"/>
          <w:color w:val="auto"/>
          <w:sz w:val="24"/>
          <w:szCs w:val="32"/>
          <w:highlight w:val="none"/>
        </w:rPr>
      </w:pPr>
      <w:r>
        <w:rPr>
          <w:rFonts w:ascii="宋体" w:hAnsi="宋体" w:cs="宋体"/>
          <w:color w:val="auto"/>
          <w:sz w:val="24"/>
          <w:szCs w:val="32"/>
          <w:highlight w:val="none"/>
        </w:rPr>
        <w:t>10</w:t>
      </w:r>
      <w:r>
        <w:rPr>
          <w:rFonts w:hint="eastAsia" w:ascii="宋体" w:hAnsi="宋体" w:cs="宋体"/>
          <w:color w:val="auto"/>
          <w:sz w:val="24"/>
          <w:szCs w:val="32"/>
          <w:highlight w:val="none"/>
        </w:rPr>
        <w:t>、付款方式</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对评审委员会认定供应商（以制造商为准）为中小企业的合同：自采购合同生效及具备实施条件后支付预付款（合同金额的40%）；合同设备安装验收合格，且在合同发票开具后，支付合同金额剩余款项（合同金额的60%）。在签订合同时，供应商明确表示无需预付款或者主动要求降低预付款比例的，双方可另行协商确定付款方式。</w:t>
      </w:r>
    </w:p>
    <w:p>
      <w:pPr>
        <w:widowControl/>
        <w:spacing w:line="360" w:lineRule="auto"/>
        <w:ind w:firstLine="480" w:firstLineChars="200"/>
        <w:rPr>
          <w:color w:val="auto"/>
          <w:highlight w:val="none"/>
        </w:rPr>
      </w:pPr>
      <w:r>
        <w:rPr>
          <w:rFonts w:hint="eastAsia" w:ascii="宋体" w:hAnsi="宋体" w:cs="宋体"/>
          <w:color w:val="auto"/>
          <w:sz w:val="24"/>
          <w:szCs w:val="32"/>
          <w:highlight w:val="none"/>
        </w:rPr>
        <w:t>对非中小企业的合同：设备安装验收合格且在合同发票开具后支付合同总价的100%。</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11</w:t>
      </w:r>
      <w:r>
        <w:rPr>
          <w:rFonts w:hint="eastAsia" w:ascii="宋体" w:hAnsi="宋体" w:cs="宋体"/>
          <w:color w:val="auto"/>
          <w:sz w:val="24"/>
          <w:szCs w:val="32"/>
          <w:highlight w:val="none"/>
        </w:rPr>
        <w:t>、中标后供应商承诺提供的产品生产日期应是一年内（合同签订日期开始倒推</w:t>
      </w:r>
      <w:r>
        <w:rPr>
          <w:rFonts w:ascii="宋体" w:hAnsi="宋体" w:cs="宋体"/>
          <w:color w:val="auto"/>
          <w:sz w:val="24"/>
          <w:szCs w:val="32"/>
          <w:highlight w:val="none"/>
        </w:rPr>
        <w:t>1</w:t>
      </w:r>
      <w:r>
        <w:rPr>
          <w:rFonts w:hint="eastAsia" w:ascii="宋体" w:hAnsi="宋体" w:cs="宋体"/>
          <w:color w:val="auto"/>
          <w:sz w:val="24"/>
          <w:szCs w:val="32"/>
          <w:highlight w:val="none"/>
        </w:rPr>
        <w:t>年）生产的原装全新未曾使用的产品。</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12</w:t>
      </w:r>
      <w:r>
        <w:rPr>
          <w:rFonts w:hint="eastAsia" w:ascii="宋体" w:hAnsi="宋体" w:cs="宋体"/>
          <w:color w:val="auto"/>
          <w:sz w:val="24"/>
          <w:szCs w:val="32"/>
          <w:highlight w:val="none"/>
        </w:rPr>
        <w:t>、交货期及地点：合同签订后</w:t>
      </w:r>
      <w:r>
        <w:rPr>
          <w:rFonts w:hint="eastAsia" w:ascii="宋体" w:hAnsi="宋体" w:cs="宋体"/>
          <w:color w:val="auto"/>
          <w:sz w:val="24"/>
          <w:szCs w:val="32"/>
          <w:highlight w:val="none"/>
          <w:lang w:val="en-US" w:eastAsia="zh-CN"/>
        </w:rPr>
        <w:t>两</w:t>
      </w:r>
      <w:r>
        <w:rPr>
          <w:rFonts w:hint="eastAsia" w:ascii="宋体" w:hAnsi="宋体" w:cs="宋体"/>
          <w:color w:val="auto"/>
          <w:sz w:val="24"/>
          <w:szCs w:val="32"/>
          <w:highlight w:val="none"/>
        </w:rPr>
        <w:t>个月内按院方要求货到指定地点并完成安装调试。</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13</w:t>
      </w:r>
      <w:r>
        <w:rPr>
          <w:rFonts w:hint="eastAsia" w:ascii="宋体" w:hAnsi="宋体" w:cs="宋体"/>
          <w:color w:val="auto"/>
          <w:sz w:val="24"/>
          <w:szCs w:val="32"/>
          <w:highlight w:val="none"/>
        </w:rPr>
        <w:t>、厂家提供</w:t>
      </w:r>
      <w:r>
        <w:rPr>
          <w:rFonts w:ascii="宋体" w:hAnsi="宋体" w:cs="宋体"/>
          <w:color w:val="auto"/>
          <w:sz w:val="24"/>
          <w:szCs w:val="32"/>
          <w:highlight w:val="none"/>
        </w:rPr>
        <w:t>24</w:t>
      </w:r>
      <w:r>
        <w:rPr>
          <w:rFonts w:hint="eastAsia" w:ascii="宋体" w:hAnsi="宋体" w:cs="宋体"/>
          <w:color w:val="auto"/>
          <w:sz w:val="24"/>
          <w:szCs w:val="32"/>
          <w:highlight w:val="none"/>
        </w:rPr>
        <w:t>小时在线服务，一般故障</w:t>
      </w:r>
      <w:r>
        <w:rPr>
          <w:rFonts w:ascii="宋体" w:hAnsi="宋体" w:cs="宋体"/>
          <w:color w:val="auto"/>
          <w:sz w:val="24"/>
          <w:szCs w:val="32"/>
          <w:highlight w:val="none"/>
        </w:rPr>
        <w:t>24</w:t>
      </w:r>
      <w:r>
        <w:rPr>
          <w:rFonts w:hint="eastAsia" w:ascii="宋体" w:hAnsi="宋体" w:cs="宋体"/>
          <w:color w:val="auto"/>
          <w:sz w:val="24"/>
          <w:szCs w:val="32"/>
          <w:highlight w:val="none"/>
        </w:rPr>
        <w:t>小时内修复；如需更换配件，应在</w:t>
      </w:r>
      <w:r>
        <w:rPr>
          <w:rFonts w:ascii="宋体" w:hAnsi="宋体" w:cs="宋体"/>
          <w:color w:val="auto"/>
          <w:sz w:val="24"/>
          <w:szCs w:val="32"/>
          <w:highlight w:val="none"/>
        </w:rPr>
        <w:t>72</w:t>
      </w:r>
      <w:r>
        <w:rPr>
          <w:rFonts w:hint="eastAsia" w:ascii="宋体" w:hAnsi="宋体" w:cs="宋体"/>
          <w:color w:val="auto"/>
          <w:sz w:val="24"/>
          <w:szCs w:val="32"/>
          <w:highlight w:val="none"/>
        </w:rPr>
        <w:t>小时内解决问题，如不能解决，厂家需提供备用机供用户使用。</w:t>
      </w:r>
    </w:p>
    <w:p>
      <w:pPr>
        <w:spacing w:line="360" w:lineRule="auto"/>
        <w:ind w:firstLine="480" w:firstLineChars="200"/>
        <w:rPr>
          <w:rFonts w:hint="eastAsia" w:ascii="宋体" w:hAnsi="宋体" w:eastAsia="宋体" w:cs="宋体"/>
          <w:color w:val="auto"/>
          <w:sz w:val="24"/>
          <w:szCs w:val="32"/>
          <w:highlight w:val="none"/>
        </w:rPr>
      </w:pPr>
      <w:r>
        <w:rPr>
          <w:rFonts w:ascii="宋体" w:hAnsi="宋体" w:cs="宋体"/>
          <w:color w:val="auto"/>
          <w:sz w:val="24"/>
          <w:szCs w:val="32"/>
          <w:highlight w:val="none"/>
        </w:rPr>
        <w:t>14</w:t>
      </w:r>
      <w:r>
        <w:rPr>
          <w:rFonts w:hint="eastAsia" w:ascii="宋体" w:hAnsi="宋体" w:cs="宋体"/>
          <w:color w:val="auto"/>
          <w:sz w:val="24"/>
          <w:szCs w:val="32"/>
          <w:highlight w:val="none"/>
        </w:rPr>
        <w:t>、仪器安装后若发现主要参数与标书响应不符，应无条件退货，供应商承</w:t>
      </w:r>
      <w:r>
        <w:rPr>
          <w:rFonts w:hint="eastAsia" w:ascii="宋体" w:hAnsi="宋体" w:eastAsia="宋体" w:cs="宋体"/>
          <w:color w:val="auto"/>
          <w:sz w:val="24"/>
          <w:szCs w:val="32"/>
          <w:highlight w:val="none"/>
        </w:rPr>
        <w:t>担全部责任。</w:t>
      </w:r>
    </w:p>
    <w:p>
      <w:pPr>
        <w:pStyle w:val="2"/>
        <w:rPr>
          <w:rFonts w:hint="eastAsia" w:eastAsia="宋体"/>
          <w:color w:val="auto"/>
          <w:highlight w:val="none"/>
          <w:lang w:val="en-US" w:eastAsia="zh-CN"/>
        </w:rPr>
      </w:pPr>
      <w:r>
        <w:rPr>
          <w:rFonts w:hint="eastAsia" w:ascii="宋体" w:hAnsi="宋体" w:eastAsia="宋体" w:cs="宋体"/>
          <w:color w:val="auto"/>
          <w:sz w:val="24"/>
          <w:szCs w:val="32"/>
          <w:highlight w:val="none"/>
          <w:lang w:val="en-US" w:eastAsia="zh-CN"/>
        </w:rPr>
        <w:t>★</w:t>
      </w:r>
      <w:r>
        <w:rPr>
          <w:rFonts w:hint="eastAsia" w:ascii="宋体" w:hAnsi="宋体" w:cs="宋体"/>
          <w:color w:val="auto"/>
          <w:sz w:val="24"/>
          <w:szCs w:val="32"/>
          <w:highlight w:val="none"/>
          <w:lang w:val="en-US" w:eastAsia="zh-CN"/>
        </w:rPr>
        <w:t>15、</w:t>
      </w:r>
      <w:r>
        <w:rPr>
          <w:rFonts w:hint="eastAsia" w:ascii="宋体" w:hAnsi="宋体"/>
          <w:color w:val="auto"/>
          <w:szCs w:val="21"/>
          <w:highlight w:val="none"/>
        </w:rPr>
        <w:t>若设备有信息系统接口，则全部免费开放</w:t>
      </w:r>
      <w:r>
        <w:rPr>
          <w:rFonts w:hint="eastAsia" w:ascii="宋体" w:hAnsi="宋体"/>
          <w:color w:val="auto"/>
          <w:szCs w:val="21"/>
          <w:highlight w:val="none"/>
          <w:lang w:eastAsia="zh-CN"/>
        </w:rPr>
        <w:t>，</w:t>
      </w:r>
      <w:r>
        <w:rPr>
          <w:rFonts w:hint="eastAsia" w:ascii="宋体" w:hAnsi="宋体" w:cs="宋体"/>
          <w:color w:val="auto"/>
          <w:kern w:val="0"/>
          <w:szCs w:val="21"/>
          <w:highlight w:val="none"/>
        </w:rPr>
        <w:t>免费连入医院信息系统</w:t>
      </w:r>
    </w:p>
    <w:p>
      <w:pPr>
        <w:pStyle w:val="2"/>
        <w:rPr>
          <w:rFonts w:hint="default" w:eastAsia="宋体"/>
          <w:color w:val="auto"/>
          <w:highlight w:val="none"/>
          <w:lang w:val="en-US" w:eastAsia="zh-CN"/>
        </w:rPr>
      </w:pPr>
    </w:p>
    <w:p>
      <w:pPr>
        <w:spacing w:line="360" w:lineRule="auto"/>
        <w:rPr>
          <w:rFonts w:hint="eastAsia" w:ascii="宋体" w:hAnsi="宋体" w:eastAsia="宋体" w:cs="宋体"/>
          <w:b/>
          <w:bCs/>
          <w:color w:val="auto"/>
          <w:sz w:val="24"/>
          <w:szCs w:val="32"/>
          <w:highlight w:val="none"/>
        </w:rPr>
      </w:pPr>
      <w:r>
        <w:rPr>
          <w:rFonts w:hint="eastAsia" w:ascii="宋体" w:hAnsi="宋体" w:cs="宋体"/>
          <w:b/>
          <w:bCs/>
          <w:color w:val="auto"/>
          <w:sz w:val="24"/>
          <w:szCs w:val="32"/>
          <w:highlight w:val="none"/>
          <w:lang w:val="en-US" w:eastAsia="zh-CN"/>
        </w:rPr>
        <w:t>四</w:t>
      </w:r>
      <w:r>
        <w:rPr>
          <w:rFonts w:hint="eastAsia" w:ascii="宋体" w:hAnsi="宋体" w:eastAsia="宋体" w:cs="宋体"/>
          <w:b/>
          <w:bCs/>
          <w:color w:val="auto"/>
          <w:sz w:val="24"/>
          <w:szCs w:val="32"/>
          <w:highlight w:val="none"/>
        </w:rPr>
        <w:t>、其他</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中标（成交）供应商应在政府采购云平台（https://www.zcy.gov.cn/）上注册成为“政采云正式供应商”，如不按要求注册的，采购方有权延期发布中标（成交）通知书和中标（成交）公告，后果由供应商自行承担。</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第五章 合同主要条款</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以下为成交后签定本项目合同的通用条款，成交供应商不得提出实质性的修改，关于专用条款将由采购人与成交供应商结合本项目具体情况协商后签订。</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甲方：</w:t>
      </w:r>
      <w:r>
        <w:rPr>
          <w:rFonts w:hint="eastAsia" w:ascii="宋体" w:hAnsi="宋体" w:eastAsia="宋体" w:cs="宋体"/>
          <w:b/>
          <w:bCs/>
          <w:color w:val="auto"/>
          <w:sz w:val="24"/>
          <w:szCs w:val="32"/>
          <w:highlight w:val="none"/>
        </w:rPr>
        <w:t>台州市中心医院（台州学院附属医院）</w:t>
      </w:r>
      <w:r>
        <w:rPr>
          <w:rFonts w:hint="eastAsia" w:ascii="宋体" w:hAnsi="宋体" w:eastAsia="宋体" w:cs="宋体"/>
          <w:color w:val="auto"/>
          <w:sz w:val="24"/>
          <w:szCs w:val="32"/>
          <w:highlight w:val="none"/>
        </w:rPr>
        <w:t>（以下简称甲方）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乙方：</w:t>
      </w:r>
      <w:r>
        <w:rPr>
          <w:rFonts w:hint="eastAsia" w:ascii="宋体" w:hAnsi="宋体" w:eastAsia="宋体" w:cs="宋体"/>
          <w:b/>
          <w:bCs/>
          <w:color w:val="auto"/>
          <w:sz w:val="24"/>
          <w:szCs w:val="32"/>
          <w:highlight w:val="none"/>
          <w:u w:val="single"/>
        </w:rPr>
        <w:t xml:space="preserve">                                  </w:t>
      </w:r>
      <w:r>
        <w:rPr>
          <w:rFonts w:hint="eastAsia" w:ascii="宋体" w:hAnsi="宋体" w:eastAsia="宋体" w:cs="宋体"/>
          <w:color w:val="auto"/>
          <w:sz w:val="24"/>
          <w:szCs w:val="32"/>
          <w:highlight w:val="none"/>
        </w:rPr>
        <w:t>（以下简称乙方）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合同签约地：浙江省台州市</w:t>
      </w:r>
    </w:p>
    <w:p>
      <w:pPr>
        <w:spacing w:line="360" w:lineRule="auto"/>
        <w:jc w:val="left"/>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合同编号：</w:t>
      </w:r>
      <w:r>
        <w:rPr>
          <w:rFonts w:hint="eastAsia" w:ascii="宋体" w:hAnsi="宋体" w:cs="宋体"/>
          <w:color w:val="auto"/>
          <w:sz w:val="24"/>
          <w:szCs w:val="32"/>
          <w:highlight w:val="none"/>
        </w:rPr>
        <w:t>ZXYY-</w:t>
      </w:r>
      <w:r>
        <w:rPr>
          <w:rFonts w:hint="eastAsia" w:ascii="宋体" w:hAnsi="宋体" w:cs="宋体"/>
          <w:color w:val="auto"/>
          <w:sz w:val="24"/>
          <w:szCs w:val="32"/>
          <w:highlight w:val="none"/>
          <w:lang w:val="en-US" w:eastAsia="zh-CN"/>
        </w:rPr>
        <w:t>SB</w:t>
      </w:r>
      <w:r>
        <w:rPr>
          <w:rFonts w:hint="eastAsia" w:ascii="宋体" w:hAnsi="宋体" w:cs="宋体"/>
          <w:color w:val="auto"/>
          <w:sz w:val="24"/>
          <w:szCs w:val="32"/>
          <w:highlight w:val="none"/>
        </w:rPr>
        <w:t>----</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第一章  总 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1、根据招标情况和评标标准，确定乙方为中标人。根据招标处理办法，甲乙双方本着平等互惠、友好合作的原则，特签订本合同。</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第二章   标 的 物</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1、商品的名称、品牌、规格型号、产地、数量、价格等</w:t>
      </w:r>
    </w:p>
    <w:tbl>
      <w:tblPr>
        <w:tblStyle w:val="26"/>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24"/>
        <w:gridCol w:w="696"/>
        <w:gridCol w:w="1176"/>
        <w:gridCol w:w="696"/>
        <w:gridCol w:w="69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1524"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商品名称</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品牌</w:t>
            </w:r>
          </w:p>
        </w:tc>
        <w:tc>
          <w:tcPr>
            <w:tcW w:w="117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规格型号</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产地</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数量</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单价</w:t>
            </w:r>
          </w:p>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（万元）</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总价</w:t>
            </w:r>
          </w:p>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1524"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1176"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1236" w:type="dxa"/>
            <w:vAlign w:val="center"/>
          </w:tcPr>
          <w:p>
            <w:pPr>
              <w:jc w:val="center"/>
              <w:rPr>
                <w:rFonts w:hint="eastAsia" w:ascii="宋体" w:hAnsi="宋体" w:eastAsia="宋体" w:cs="宋体"/>
                <w:color w:val="auto"/>
                <w:sz w:val="24"/>
                <w:szCs w:val="32"/>
                <w:highlight w:val="none"/>
              </w:rPr>
            </w:pPr>
          </w:p>
        </w:tc>
        <w:tc>
          <w:tcPr>
            <w:tcW w:w="1236" w:type="dxa"/>
            <w:vAlign w:val="center"/>
          </w:tcPr>
          <w:p>
            <w:pPr>
              <w:jc w:val="center"/>
              <w:rPr>
                <w:rFonts w:hint="eastAsia" w:ascii="宋体" w:hAnsi="宋体" w:eastAsia="宋体" w:cs="宋体"/>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524"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17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2" w:hRule="atLeast"/>
          <w:jc w:val="center"/>
        </w:trPr>
        <w:tc>
          <w:tcPr>
            <w:tcW w:w="8116" w:type="dxa"/>
            <w:gridSpan w:val="8"/>
            <w:vAlign w:val="center"/>
          </w:tcPr>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合计人民币（大写）：</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元整。</w:t>
            </w:r>
          </w:p>
        </w:tc>
      </w:tr>
    </w:tbl>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2、以上合同总价包含产品到达甲方并能正常使用所需的一切费用。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3、配置要求详见配置清单。</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第三章  付款方式</w:t>
      </w:r>
    </w:p>
    <w:p>
      <w:pPr>
        <w:widowControl/>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对评审委员会认定供应商（以制造商为准）为中小企业的合同：自采购合同生效及具备实施条件后支付预付款（合同金额的40%）；合同设备安装验收合格，且在合同发票开具后，支付合同金额剩余款项（合同金额的60%）。在签订合同时，供应商明确表示无需预付款或者主动要求降低预付款比例的，双方可另行协商确定付款方式。</w:t>
      </w:r>
    </w:p>
    <w:p>
      <w:pPr>
        <w:widowControl/>
        <w:spacing w:line="360" w:lineRule="auto"/>
        <w:ind w:firstLine="480" w:firstLineChars="200"/>
        <w:rPr>
          <w:rFonts w:hint="eastAsia" w:ascii="宋体" w:hAnsi="宋体" w:cs="宋体"/>
          <w:b/>
          <w:bCs/>
          <w:color w:val="auto"/>
          <w:sz w:val="24"/>
          <w:szCs w:val="32"/>
          <w:highlight w:val="none"/>
          <w:lang w:val="en-US" w:eastAsia="zh-CN"/>
        </w:rPr>
      </w:pPr>
      <w:r>
        <w:rPr>
          <w:rFonts w:hint="eastAsia" w:ascii="宋体" w:hAnsi="宋体" w:cs="宋体"/>
          <w:color w:val="auto"/>
          <w:sz w:val="24"/>
          <w:szCs w:val="32"/>
          <w:highlight w:val="none"/>
        </w:rPr>
        <w:t>对非中小企业的合同：设备安装验收合格且在合同发票开具后支付合同总价的100%。</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第四章  交货时间、地点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1、乙方在</w:t>
      </w:r>
      <w:r>
        <w:rPr>
          <w:rFonts w:hint="eastAsia" w:ascii="宋体" w:hAnsi="宋体" w:eastAsia="宋体" w:cs="宋体"/>
          <w:color w:val="auto"/>
          <w:sz w:val="24"/>
          <w:highlight w:val="none"/>
        </w:rPr>
        <w:t>合同签订后</w:t>
      </w:r>
      <w:r>
        <w:rPr>
          <w:rFonts w:hint="eastAsia" w:ascii="宋体" w:hAnsi="宋体" w:cs="宋体"/>
          <w:color w:val="auto"/>
          <w:sz w:val="24"/>
          <w:szCs w:val="32"/>
          <w:highlight w:val="none"/>
          <w:lang w:val="en-US" w:eastAsia="zh-CN"/>
        </w:rPr>
        <w:t>两</w:t>
      </w:r>
      <w:r>
        <w:rPr>
          <w:rFonts w:hint="eastAsia" w:ascii="宋体" w:hAnsi="宋体" w:eastAsia="宋体" w:cs="宋体"/>
          <w:color w:val="auto"/>
          <w:sz w:val="24"/>
          <w:szCs w:val="32"/>
          <w:highlight w:val="none"/>
        </w:rPr>
        <w:t>个月内按院方要求货到指定地点并完成安装调试。如发生由于乙方原因产生的逾期到货，乙方应按照逾期到货部分价款的每天0.3%向甲方付违约金。</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2、交货地点：台州市中心医院指定地点。</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第五章  货物包装、到货及安装验收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1、乙方应在货物发运前对其进行满足运输距离、防潮、防震、防锈和防破损装卸等符合该货物国家相关规范及本身运输需要的要求包装，以保证货物安全运达甲方指定地点。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2、乙方应在货物发送前48小时通知甲方发货信息；货物到后，乙方负责在经甲方电话或书面通知后7天内派工程师到院安装完毕，如超过时间，每天按货物总价的0.3%作为违约金付给甲方。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3、设备验收规定</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（1）双方工作人员清点到货设备品名、数量、产地、规格型号、中文标识及合法证件等。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甲乙双方应按照合同及投标文件和承诺书对配置、功能以及其他相关数据测试方面进行一一验收。同时要求乙方提供海关报关单（如是进口设备）、商检证书（如是进口设备）、中文出厂检测报告、中文操作规程等文件资料用于验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（3）对技术复杂的货物，甲方应邀请国家认可的专业检测机构或质控机构参与验收，并由其出具质量检测报告。</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（4）货物安装验收合格后，甲乙双方在验收报告上签字确认，货物安装调试工作完成。如有产生验收费用，则由乙方负责。</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4、乙方需对设备的合法性负全责（包括进货渠道、合法证件、购货发票等）。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5、乙方应保证所提供的货物或其任何一部分均不会侵犯任何第三方的知识产权；设备所含的软件甲方具有永久使用权。</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6、乙方保证所交付的货物的所有权完全属于乙方且无任何抵押、查封等产权瑕疵。</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乙方提供所有软件的备份光盘、License及所有口令信息，同时提供这些软件安装、调试及相关维护所需要的所有硬件和软件工具。不能提供上述内容的，则需到甲方现场提供所有软件终身免费安装（含硬件更换后软件重新安装调试）、调试、维护服务。</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8、首次计量检测费用由乙方承担，同时乙方按成本价提供后续计量服务。</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第六章  质量保证及售后服务</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保证本合同所供应的商品是最新生产的未曾使用过的符合国家技术规格和质量标准的出厂原装合格产品，同时该商品的所有技术性能应符合投标文件所响应条款。如发生所供商品与合同不符或者技术性能与投标文件不符等问题，甲方有权退货，并且由乙方赔偿因退货而给甲方造成的损失（赔偿金额为不少于合同总金额的10%）。</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2、乙方提供的货物在质保期内因货物本身的质量问题发生故障，乙方应负责免费更换。对达不到技术要求者，根据实际情况，经双方协商，可按以下办法处理：</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（1）更换：由乙方承担所发生的全部费用。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（2）贬值处理：由甲乙双方合议定价。</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（3）退货处理：乙方应退还甲方支付的合同款，同时应承担该货物的直接费用（包括运输、保险、检验、货款利息及银行手续费等）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3、在质保期内，乙方应对货物出现的质量及安全问题负责处理解决并承担一切费用。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4、质保期：在乙方货到安装调试验收合格并移交所有证件资料后开始计算质保期；全套设备免费保修</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年（包含所有部件（消耗品除外））；质保期内每年进行2次免费维护（不包括维修）；质保期外，终身维修，维修只收配件成本费，维修配件提供时间不少于十年；在质保期内保证开机率大于等于95%（按工作日每超出开机率要求时间一天，保修时间相应延长十天），接到电话报修响应并到达医院时间小于24小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乙方派出人员在提供安装验收和维修维护等所有服务中，应遵守甲方规章制度，不得泄漏甲方一切需要保密的信息或数据（包括但不限于病人信息、医院信息等），同时工作中须符合甲方院感要求；另需提供到甲方服务人员的健康证明、资质文件、培训记录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6、乙方在为甲方提供安装调试、维修维护及其他任何服务中，应负责乙方委派或派出人员的安全生产管理责任，并承担委派或派出人员在甲方服务期间因患病、意外伤害及其他原因导致损失的所有费用。</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第七章  技术支持、培训</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1、技术支持</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甲乙双方签订合同后，货到之前，乙方派遣工程技术人员免费进行场地设计及现场指导，并且乙方承诺为甲方免费提供软件升级，及时提供设备新功能和临床应用的资料。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2、设备安装以后，乙方负责对甲方操作人员、维修人员进行技术培训。</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（1）乙方对甲方的操作人员进行现场操作培训直到甲方操作人员熟练掌握使用该设备各种性能为止，并提供详细的操作手册、电子版使用操作规程以及电子版培训资料。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对甲方的设备维修人员进行现场培训，使甲方人员能对设备进行日常的维修保养以及一般故障进行维修，同时为甲方维修人员提供详细的维修图纸及维修手册、故障代码表、维修密码及软件备份、电子版维护保养规程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（3）其他乙方在投标文件或承诺书中有响应的培训内容按响应条款执行。</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第八章  合同的修改变更与解除</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1、对本合同及其附件变更或解除，必须合同双方签署书面协议才能生效。</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第九章  违约责任</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1、对一方的违约行为或合同执行中给对方造成的损失，责任方的赔偿额不高于实际的损失额度或本合同的总金额。</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第十章  争议的解决</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1、本合同一式陆份（甲方二份、乙方二份、招标代理机构一份、台州市政府采购监管处一份），具有同等法律效力，双方签字盖章后生效。</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2、凡有关本合同或执行本合同而发生的一切争议，应通过友好协商解决，如协商不成，则应申请甲方所在地法院裁决。</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第十一章  其 它</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1、在合同有效期内，任何一方因不可抗力事件导致不能履行合同，则合同履行期可延长；不可抗力延续120天以上，双方应友好协商是否解除合同。</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2、本合同未尽事宜，可另行签订《补充协议》，《补充协议》与本合同具有同等法律效力。</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3、本合同未涉及到的内容以</w:t>
      </w:r>
      <w:r>
        <w:rPr>
          <w:rFonts w:hint="eastAsia" w:ascii="宋体" w:hAnsi="宋体" w:eastAsia="宋体" w:cs="宋体"/>
          <w:b/>
          <w:bCs/>
          <w:color w:val="auto"/>
          <w:sz w:val="24"/>
          <w:szCs w:val="32"/>
          <w:highlight w:val="none"/>
          <w:u w:val="single"/>
        </w:rPr>
        <w:t>编号：</w:t>
      </w:r>
      <w:r>
        <w:rPr>
          <w:rFonts w:hint="eastAsia" w:ascii="宋体" w:hAnsi="宋体" w:cs="宋体"/>
          <w:b/>
          <w:bCs/>
          <w:color w:val="auto"/>
          <w:sz w:val="24"/>
          <w:szCs w:val="32"/>
          <w:highlight w:val="none"/>
          <w:u w:val="single"/>
          <w:lang w:eastAsia="zh-CN"/>
        </w:rPr>
        <w:t>ZJWS2023-JJ88</w:t>
      </w:r>
      <w:r>
        <w:rPr>
          <w:rFonts w:hint="eastAsia" w:ascii="宋体" w:hAnsi="宋体" w:eastAsia="宋体" w:cs="宋体"/>
          <w:color w:val="auto"/>
          <w:sz w:val="24"/>
          <w:szCs w:val="32"/>
          <w:highlight w:val="none"/>
        </w:rPr>
        <w:t>项目中的招投标文件和承诺书为准。</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4、若合同签定、执行过程中，乙方有违反国家法律法规或医院廉洁自律方面规章制度的行为，则本合同自动作废。</w:t>
      </w:r>
    </w:p>
    <w:p>
      <w:pPr>
        <w:spacing w:line="360" w:lineRule="auto"/>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    方：                            乙    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签字盖章：                            签字盖章： </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开户银行：                            开户银行：（必填）</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银行账号：                            银行账号：（必填）</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日    期：                            日    期： </w:t>
      </w:r>
    </w:p>
    <w:p>
      <w:pPr>
        <w:spacing w:line="360" w:lineRule="auto"/>
        <w:ind w:firstLine="480" w:firstLineChars="200"/>
        <w:jc w:val="left"/>
        <w:rPr>
          <w:rFonts w:hint="eastAsia" w:ascii="宋体" w:hAnsi="宋体" w:eastAsia="宋体" w:cs="宋体"/>
          <w:color w:val="auto"/>
          <w:sz w:val="24"/>
          <w:szCs w:val="32"/>
          <w:highlight w:val="none"/>
        </w:rPr>
      </w:pPr>
    </w:p>
    <w:p>
      <w:pPr>
        <w:spacing w:line="360" w:lineRule="auto"/>
        <w:ind w:firstLine="480" w:firstLineChars="200"/>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鉴证方（鉴证章）：</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日  期：</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第六章 投标文件格式附件</w:t>
      </w:r>
    </w:p>
    <w:p>
      <w:pPr>
        <w:rPr>
          <w:rFonts w:hint="eastAsia" w:ascii="宋体" w:hAnsi="宋体" w:eastAsia="宋体" w:cs="宋体"/>
          <w:b/>
          <w:color w:val="auto"/>
          <w:kern w:val="0"/>
          <w:sz w:val="28"/>
          <w:szCs w:val="28"/>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bCs/>
          <w:color w:val="auto"/>
          <w:sz w:val="24"/>
          <w:highlight w:val="none"/>
        </w:rPr>
        <w:t>本</w:t>
      </w:r>
    </w:p>
    <w:p>
      <w:pPr>
        <w:spacing w:line="360" w:lineRule="auto"/>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项目编号：（标段）</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autoSpaceDE w:val="0"/>
        <w:autoSpaceDN w:val="0"/>
        <w:adjustRightInd w:val="0"/>
        <w:spacing w:line="360" w:lineRule="auto"/>
        <w:jc w:val="center"/>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
          <w:color w:val="auto"/>
          <w:spacing w:val="40"/>
          <w:sz w:val="28"/>
          <w:szCs w:val="28"/>
          <w:highlight w:val="none"/>
        </w:rPr>
        <w:t>资格证明文件）</w:t>
      </w:r>
    </w:p>
    <w:p>
      <w:pPr>
        <w:autoSpaceDE w:val="0"/>
        <w:autoSpaceDN w:val="0"/>
        <w:adjustRightInd w:val="0"/>
        <w:spacing w:line="360" w:lineRule="auto"/>
        <w:rPr>
          <w:rFonts w:hint="eastAsia" w:ascii="宋体" w:hAnsi="宋体" w:eastAsia="宋体" w:cs="宋体"/>
          <w:color w:val="auto"/>
          <w:sz w:val="36"/>
          <w:szCs w:val="36"/>
          <w:highlight w:val="none"/>
        </w:rPr>
      </w:pP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资格证明文件目录</w:t>
      </w:r>
    </w:p>
    <w:p>
      <w:pPr>
        <w:spacing w:line="360" w:lineRule="auto"/>
        <w:rPr>
          <w:rFonts w:hint="eastAsia" w:ascii="宋体" w:hAnsi="宋体" w:eastAsia="宋体" w:cs="宋体"/>
          <w:color w:val="auto"/>
          <w:sz w:val="24"/>
          <w:szCs w:val="32"/>
          <w:highlight w:val="none"/>
        </w:rPr>
      </w:pP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1</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投标声明书；</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2</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2</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授权委托书（法定代表人亲自办理投标事宜的，则无需提交）；</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3</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3</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法人或者其他组织的营业执照等证明文件，自然人的身份证明；</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4</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4</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具有良好的商业信誉和健全的财务会计制度的承诺；</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5</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5</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依法缴纳税收和社会保障资金的承诺；</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6</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6</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参加政府采购活动前三年内，在经营活动中没有重大违法记录；</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7</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7</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需要说明的其他资料。</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bidi w:val="0"/>
        <w:spacing w:line="360" w:lineRule="auto"/>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 xml:space="preserve">2                  </w:t>
      </w:r>
      <w:r>
        <w:rPr>
          <w:rFonts w:hint="eastAsia" w:ascii="宋体" w:hAnsi="宋体" w:eastAsia="宋体" w:cs="宋体"/>
          <w:b/>
          <w:bCs/>
          <w:color w:val="auto"/>
          <w:sz w:val="28"/>
          <w:szCs w:val="36"/>
          <w:highlight w:val="none"/>
          <w:lang w:val="zh-CN"/>
        </w:rPr>
        <w:t>投标声明书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（采购代理机构名称）：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lang w:eastAsia="zh-CN"/>
        </w:rPr>
        <w:t>C形臂、螺旋CT采购项目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ZJWS2023-JJ88</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eastAsia="zh-CN"/>
        </w:rPr>
        <w:t>公开招标</w:t>
      </w:r>
      <w:r>
        <w:rPr>
          <w:rFonts w:hint="eastAsia" w:ascii="宋体" w:hAnsi="宋体" w:cs="宋体"/>
          <w:color w:val="auto"/>
          <w:sz w:val="24"/>
          <w:szCs w:val="32"/>
          <w:highlight w:val="none"/>
        </w:rPr>
        <w:t>，为此，我公司就本次</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1、我公司声明截止</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时间近三年以来：在参加政府采购活动过程中无任何不良行为记录；无重大违法记录（重大违法记录是指供应商因违法经营受到刑事处罚或者责令停产停业、吊销许可证或者执照、较大数额罚款等行政处罚）。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2、我公司在参与</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前已详细审查了</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和所有相关资料，我方完全明白并认为此</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没有倾向性，也没有存在排斥潜在供应商的内容，我方同意</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文件的相关条款，放弃对</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文件提出误解和质疑的一切权利。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eastAsia="zh-CN"/>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投标人名称（公章）：</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w:t>
      </w:r>
      <w:r>
        <w:rPr>
          <w:rFonts w:hint="eastAsia" w:ascii="宋体" w:hAnsi="宋体" w:eastAsia="宋体" w:cs="宋体"/>
          <w:color w:val="auto"/>
          <w:sz w:val="24"/>
          <w:szCs w:val="32"/>
          <w:highlight w:val="none"/>
        </w:rPr>
        <w:t>签字或盖章</w:t>
      </w:r>
      <w:r>
        <w:rPr>
          <w:rFonts w:hint="eastAsia" w:ascii="宋体" w:hAnsi="宋体" w:eastAsia="宋体" w:cs="宋体"/>
          <w:color w:val="auto"/>
          <w:sz w:val="24"/>
          <w:szCs w:val="32"/>
          <w:highlight w:val="none"/>
          <w:lang w:val="zh-CN"/>
        </w:rPr>
        <w:t>）或授权委托代理人（签字）：</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日</w:t>
      </w: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color w:val="auto"/>
          <w:sz w:val="28"/>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 xml:space="preserve">3                     </w:t>
      </w:r>
      <w:r>
        <w:rPr>
          <w:rFonts w:hint="eastAsia" w:ascii="宋体" w:hAnsi="宋体" w:eastAsia="宋体" w:cs="宋体"/>
          <w:b/>
          <w:color w:val="auto"/>
          <w:sz w:val="28"/>
          <w:highlight w:val="none"/>
        </w:rPr>
        <w:t>授权委托书</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浙江五石中正工程咨询有限公司</w:t>
      </w:r>
      <w:r>
        <w:rPr>
          <w:rFonts w:hint="eastAsia" w:ascii="宋体" w:hAnsi="宋体" w:eastAsia="宋体" w:cs="宋体"/>
          <w:color w:val="auto"/>
          <w:sz w:val="24"/>
          <w:szCs w:val="24"/>
          <w:highlight w:val="none"/>
        </w:rPr>
        <w:t>（采购代理机构名称）：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（投标人全称）</w:t>
      </w:r>
      <w:r>
        <w:rPr>
          <w:rFonts w:hint="eastAsia" w:ascii="宋体" w:hAnsi="宋体" w:eastAsia="宋体" w:cs="宋体"/>
          <w:color w:val="auto"/>
          <w:sz w:val="24"/>
          <w:szCs w:val="24"/>
          <w:highlight w:val="none"/>
        </w:rPr>
        <w:t>法定代表人（或营业执照中单位负责人）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（法定代表人或营业执照中单位负责人姓名）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（授权委托代理人姓名） </w:t>
      </w:r>
      <w:r>
        <w:rPr>
          <w:rFonts w:hint="eastAsia" w:ascii="宋体" w:hAnsi="宋体" w:eastAsia="宋体" w:cs="宋体"/>
          <w:color w:val="auto"/>
          <w:sz w:val="24"/>
          <w:szCs w:val="24"/>
          <w:highlight w:val="none"/>
        </w:rPr>
        <w:t>为授权委托代理人，参加贵单位组织的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C形臂、螺旋CT采购项目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授权委托代理人无转委托权，特此委托。</w:t>
      </w:r>
    </w:p>
    <w:p>
      <w:pPr>
        <w:spacing w:line="360" w:lineRule="auto"/>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投标人全称（公章）：                      </w:t>
      </w: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日</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pacing w:line="360" w:lineRule="auto"/>
        <w:rPr>
          <w:rFonts w:hint="eastAsia" w:ascii="宋体" w:hAnsi="宋体" w:eastAsia="宋体" w:cs="宋体"/>
          <w:b/>
          <w:color w:val="auto"/>
          <w:sz w:val="24"/>
          <w:szCs w:val="24"/>
          <w:highlight w:val="none"/>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授权委托代理人身份证复印件粘帖处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color="auto" w:fill="auto"/>
        <w:spacing w:line="360" w:lineRule="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4</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有效的法人或者其他组织的营业执照等证明文件（复印件），自然人的身份证明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5</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无税收缴纳、社会保障等方面的失信记录的承诺函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我公司参加</w:t>
      </w:r>
      <w:r>
        <w:rPr>
          <w:rFonts w:hint="eastAsia" w:ascii="宋体" w:hAnsi="宋体" w:cs="宋体"/>
          <w:b w:val="0"/>
          <w:bCs w:val="0"/>
          <w:color w:val="auto"/>
          <w:sz w:val="24"/>
          <w:szCs w:val="32"/>
          <w:highlight w:val="none"/>
          <w:u w:val="single"/>
          <w:lang w:eastAsia="zh-CN"/>
        </w:rPr>
        <w:t>C形臂、螺旋CT采购项目</w:t>
      </w:r>
      <w:r>
        <w:rPr>
          <w:rFonts w:hint="eastAsia" w:ascii="宋体" w:hAnsi="宋体" w:eastAsia="宋体" w:cs="宋体"/>
          <w:b w:val="0"/>
          <w:bCs w:val="0"/>
          <w:color w:val="auto"/>
          <w:sz w:val="24"/>
          <w:szCs w:val="32"/>
          <w:highlight w:val="none"/>
        </w:rPr>
        <w:t>（编号为</w:t>
      </w:r>
      <w:r>
        <w:rPr>
          <w:rFonts w:hint="eastAsia" w:ascii="宋体" w:hAnsi="宋体" w:cs="宋体"/>
          <w:b w:val="0"/>
          <w:bCs w:val="0"/>
          <w:color w:val="auto"/>
          <w:sz w:val="24"/>
          <w:szCs w:val="32"/>
          <w:highlight w:val="none"/>
          <w:u w:val="single"/>
          <w:lang w:eastAsia="zh-CN"/>
        </w:rPr>
        <w:t>ZJWS2023-JJ88</w:t>
      </w:r>
      <w:r>
        <w:rPr>
          <w:rFonts w:hint="eastAsia" w:ascii="宋体" w:hAnsi="宋体" w:eastAsia="宋体" w:cs="宋体"/>
          <w:b w:val="0"/>
          <w:bCs w:val="0"/>
          <w:color w:val="auto"/>
          <w:sz w:val="24"/>
          <w:szCs w:val="32"/>
          <w:highlight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6</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具备健全的财务会计制度的承诺函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我公司参加</w:t>
      </w:r>
      <w:r>
        <w:rPr>
          <w:rFonts w:hint="eastAsia" w:ascii="宋体" w:hAnsi="宋体" w:cs="宋体"/>
          <w:b w:val="0"/>
          <w:bCs w:val="0"/>
          <w:color w:val="auto"/>
          <w:sz w:val="24"/>
          <w:szCs w:val="32"/>
          <w:highlight w:val="none"/>
          <w:u w:val="single"/>
          <w:lang w:eastAsia="zh-CN"/>
        </w:rPr>
        <w:t>C形臂、螺旋CT采购项目</w:t>
      </w:r>
      <w:r>
        <w:rPr>
          <w:rFonts w:hint="eastAsia" w:ascii="宋体" w:hAnsi="宋体" w:eastAsia="宋体" w:cs="宋体"/>
          <w:b w:val="0"/>
          <w:bCs w:val="0"/>
          <w:color w:val="auto"/>
          <w:sz w:val="24"/>
          <w:szCs w:val="32"/>
          <w:highlight w:val="none"/>
          <w:u w:val="none"/>
        </w:rPr>
        <w:t>（编号为</w:t>
      </w:r>
      <w:r>
        <w:rPr>
          <w:rFonts w:hint="eastAsia" w:ascii="宋体" w:hAnsi="宋体" w:cs="宋体"/>
          <w:b w:val="0"/>
          <w:bCs w:val="0"/>
          <w:color w:val="auto"/>
          <w:sz w:val="24"/>
          <w:szCs w:val="32"/>
          <w:highlight w:val="none"/>
          <w:u w:val="none"/>
          <w:lang w:eastAsia="zh-CN"/>
        </w:rPr>
        <w:t>ZJWS2023-JJ88</w:t>
      </w:r>
      <w:r>
        <w:rPr>
          <w:rFonts w:hint="eastAsia" w:ascii="宋体" w:hAnsi="宋体" w:eastAsia="宋体" w:cs="宋体"/>
          <w:b w:val="0"/>
          <w:bCs w:val="0"/>
          <w:color w:val="auto"/>
          <w:sz w:val="24"/>
          <w:szCs w:val="32"/>
          <w:highlight w:val="none"/>
          <w:u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我公司在参加本项目政府采购活动前，没有处于被责令停产、财产被接管、冻结或破产状态，具有足够的流动资金，有能力履行合同；我公司具有良好的商业信誉和健全的财务会计制度。</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u w:val="singl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pStyle w:val="9"/>
        <w:rPr>
          <w:rFonts w:hint="eastAsia"/>
          <w:color w:val="auto"/>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7</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参加政府采购活动前3年内在经营活动中没有重大违法记录的</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书面声明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声明函</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我公司郑重承诺在参加本项目政府采购活动前三年内，在经营活动中</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u w:val="single"/>
        </w:rPr>
        <w:t xml:space="preserve">     </w:t>
      </w:r>
      <w:r>
        <w:rPr>
          <w:rFonts w:hint="eastAsia" w:ascii="宋体" w:hAnsi="宋体" w:eastAsia="宋体" w:cs="宋体"/>
          <w:b w:val="0"/>
          <w:bCs w:val="0"/>
          <w:color w:val="auto"/>
          <w:sz w:val="24"/>
          <w:szCs w:val="32"/>
          <w:highlight w:val="none"/>
        </w:rPr>
        <w:t>（</w:t>
      </w:r>
      <w:r>
        <w:rPr>
          <w:rFonts w:hint="eastAsia" w:ascii="宋体" w:hAnsi="宋体" w:eastAsia="宋体" w:cs="宋体"/>
          <w:b/>
          <w:bCs/>
          <w:color w:val="auto"/>
          <w:sz w:val="24"/>
          <w:szCs w:val="32"/>
          <w:highlight w:val="none"/>
        </w:rPr>
        <w:t>填写“有”或“没有”，如实填写，如不填写视同未提供本声明函</w:t>
      </w:r>
      <w:r>
        <w:rPr>
          <w:rFonts w:hint="eastAsia" w:ascii="宋体" w:hAnsi="宋体" w:eastAsia="宋体" w:cs="宋体"/>
          <w:b w:val="0"/>
          <w:bCs w:val="0"/>
          <w:color w:val="auto"/>
          <w:sz w:val="24"/>
          <w:szCs w:val="32"/>
          <w:highlight w:val="none"/>
        </w:rPr>
        <w:t>）重大违法记录，重大违法记录是指供应商因违法经营受到刑事处罚或者责令停产停业、吊销许可证或者执照、较大数额罚款等行政处罚。</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以上事项如有虚假或隐瞒，我方愿意承担一切后果和责任。</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特此声明。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jc w:val="left"/>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8</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u w:val="single"/>
        </w:rPr>
        <w:t xml:space="preserve">    </w:t>
      </w:r>
      <w:r>
        <w:rPr>
          <w:rFonts w:hint="eastAsia" w:ascii="宋体" w:hAnsi="宋体" w:eastAsia="宋体" w:cs="宋体"/>
          <w:b/>
          <w:bCs/>
          <w:color w:val="auto"/>
          <w:sz w:val="28"/>
          <w:szCs w:val="36"/>
          <w:highlight w:val="none"/>
        </w:rPr>
        <w:t>本</w:t>
      </w:r>
    </w:p>
    <w:p>
      <w:pPr>
        <w:spacing w:line="360" w:lineRule="auto"/>
        <w:rPr>
          <w:rFonts w:hint="eastAsia" w:ascii="宋体" w:hAnsi="宋体" w:cs="宋体"/>
          <w:color w:val="auto"/>
          <w:sz w:val="24"/>
          <w:szCs w:val="32"/>
          <w:highlight w:val="none"/>
        </w:rPr>
      </w:pPr>
    </w:p>
    <w:p>
      <w:pP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autoSpaceDE w:val="0"/>
        <w:autoSpaceDN w:val="0"/>
        <w:adjustRightInd w:val="0"/>
        <w:spacing w:line="360" w:lineRule="auto"/>
        <w:rPr>
          <w:rFonts w:hint="eastAsia" w:ascii="宋体" w:hAnsi="宋体"/>
          <w:color w:val="auto"/>
          <w:sz w:val="36"/>
          <w:szCs w:val="36"/>
          <w:highlight w:val="none"/>
        </w:rPr>
      </w:pP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hd w:val="clear" w:color="auto" w:fill="auto"/>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（1）投标人情况介绍。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（2）投标方案描述：</w:t>
      </w:r>
    </w:p>
    <w:p>
      <w:pPr>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A.运行、维修方案。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B.安装、调试及验收方案（包括项目验收标准和验收方法等）和措施。</w:t>
      </w:r>
    </w:p>
    <w:p>
      <w:pPr>
        <w:pStyle w:val="9"/>
        <w:ind w:firstLine="480" w:firstLineChars="200"/>
        <w:rPr>
          <w:rFonts w:hint="default" w:eastAsia="宋体"/>
          <w:color w:val="auto"/>
          <w:highlight w:val="none"/>
          <w:lang w:val="en-US" w:eastAsia="zh-CN"/>
        </w:rPr>
      </w:pPr>
      <w:r>
        <w:rPr>
          <w:rFonts w:hint="eastAsia" w:ascii="宋体" w:hAnsi="宋体" w:cs="宋体"/>
          <w:color w:val="auto"/>
          <w:sz w:val="24"/>
          <w:szCs w:val="32"/>
          <w:highlight w:val="none"/>
          <w:lang w:val="en-US" w:eastAsia="zh-CN"/>
        </w:rPr>
        <w:t>C.操作应用培训和维修保养培训方案。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（3）投标产品描述及相关资料：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A.设备配置清单</w:t>
      </w:r>
      <w:r>
        <w:rPr>
          <w:rFonts w:hint="eastAsia" w:ascii="宋体" w:hAnsi="宋体" w:eastAsia="宋体" w:cs="宋体"/>
          <w:b/>
          <w:bCs/>
          <w:color w:val="auto"/>
          <w:sz w:val="24"/>
          <w:szCs w:val="32"/>
          <w:highlight w:val="none"/>
        </w:rPr>
        <w:t>（均不含报价）</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C.商务及技术响应表。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（5）近三年来类似项目的成功案例（投标人类似项目实施情况一览表、合同复印件及其相应的发票、用户验收报告等）；</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w:t>
      </w:r>
      <w:r>
        <w:rPr>
          <w:rFonts w:hint="eastAsia" w:ascii="宋体" w:hAnsi="宋体" w:cs="宋体"/>
          <w:color w:val="auto"/>
          <w:sz w:val="24"/>
          <w:szCs w:val="32"/>
          <w:highlight w:val="none"/>
          <w:lang w:val="en-US" w:eastAsia="zh-CN"/>
        </w:rPr>
        <w:t>售后服务团队、服务响应时间、故障解决方案等方案</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B.针对本项目的售后服务措施及承诺（售后技术服务方案、人员配备、故障响应时间、技术培训方案等）。</w:t>
      </w: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cs="宋体"/>
          <w:b/>
          <w:bCs/>
          <w:color w:val="auto"/>
          <w:sz w:val="28"/>
          <w:szCs w:val="36"/>
          <w:highlight w:val="none"/>
          <w:lang w:val="en-US" w:eastAsia="zh-CN"/>
        </w:rPr>
        <w:t>9</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6"/>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880"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80" w:type="dxa"/>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6"/>
                <w:sz w:val="24"/>
                <w:szCs w:val="24"/>
                <w:highlight w:val="none"/>
              </w:rPr>
              <w:t>股权结构（%</w:t>
            </w:r>
            <w:r>
              <w:rPr>
                <w:rFonts w:hint="eastAsia" w:cs="宋体"/>
                <w:bCs/>
                <w:color w:val="auto"/>
                <w:spacing w:val="16"/>
                <w:sz w:val="24"/>
                <w:szCs w:val="24"/>
                <w:highlight w:val="none"/>
                <w:lang w:eastAsia="zh-CN"/>
              </w:rPr>
              <w:t>）</w:t>
            </w:r>
          </w:p>
        </w:tc>
        <w:tc>
          <w:tcPr>
            <w:tcW w:w="2115" w:type="dxa"/>
            <w:gridSpan w:val="3"/>
            <w:tcBorders>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fill="FFFFFF"/>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5"/>
              <w:shd w:val="clear" w:color="auto" w:fill="FFFFFF"/>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5"/>
              <w:shd w:val="clear" w:color="auto" w:fill="FFFFFF"/>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5"/>
              <w:shd w:val="clear" w:color="auto" w:fill="FFFFFF"/>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5"/>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cs="宋体"/>
                <w:bCs/>
                <w:color w:val="auto"/>
                <w:spacing w:val="16"/>
                <w:sz w:val="24"/>
                <w:szCs w:val="24"/>
                <w:highlight w:val="none"/>
                <w:lang w:eastAsia="zh-CN"/>
              </w:rPr>
              <w:t>赁</w:t>
            </w:r>
          </w:p>
        </w:tc>
        <w:tc>
          <w:tcPr>
            <w:tcW w:w="1560" w:type="dxa"/>
            <w:shd w:val="clear" w:color="auto" w:fill="auto"/>
            <w:vAlign w:val="center"/>
          </w:tcPr>
          <w:p>
            <w:pPr>
              <w:pStyle w:val="55"/>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fill="FFFFFF"/>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5"/>
              <w:shd w:val="clear" w:color="auto" w:fill="FFFFFF"/>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pacing w:line="360" w:lineRule="auto"/>
              <w:jc w:val="both"/>
              <w:rPr>
                <w:rFonts w:hint="eastAsia" w:ascii="宋体" w:hAnsi="宋体" w:eastAsia="宋体" w:cs="宋体"/>
                <w:bCs/>
                <w:color w:val="auto"/>
                <w:kern w:val="0"/>
                <w:sz w:val="24"/>
                <w:szCs w:val="24"/>
                <w:highlight w:val="none"/>
              </w:rPr>
            </w:pPr>
          </w:p>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fill="FFFFFF"/>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5"/>
              <w:shd w:val="clear" w:color="auto" w:fill="FFFFFF"/>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r>
              <w:rPr>
                <w:rFonts w:hint="eastAsia" w:cs="宋体"/>
                <w:bCs/>
                <w:color w:val="auto"/>
                <w:spacing w:val="11"/>
                <w:sz w:val="24"/>
                <w:szCs w:val="24"/>
                <w:highlight w:val="none"/>
                <w:lang w:eastAsia="zh-CN"/>
              </w:rPr>
              <w:t>）</w:t>
            </w:r>
          </w:p>
        </w:tc>
        <w:tc>
          <w:tcPr>
            <w:tcW w:w="1333" w:type="dxa"/>
            <w:gridSpan w:val="3"/>
            <w:shd w:val="clear" w:color="auto" w:fill="auto"/>
            <w:vAlign w:val="center"/>
          </w:tcPr>
          <w:p>
            <w:pPr>
              <w:pStyle w:val="55"/>
              <w:shd w:val="clear" w:color="auto" w:fill="FFFFFF"/>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5"/>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5"/>
              <w:shd w:val="clear" w:color="auto" w:fill="FFFFFF"/>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5"/>
              <w:shd w:val="clear" w:color="auto" w:fill="FFFFFF"/>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5"/>
              <w:shd w:val="clear" w:color="auto" w:fill="FFFFFF"/>
              <w:spacing w:line="360" w:lineRule="auto"/>
              <w:jc w:val="both"/>
              <w:rPr>
                <w:rFonts w:hint="eastAsia" w:ascii="宋体" w:hAnsi="宋体" w:eastAsia="宋体" w:cs="宋体"/>
                <w:bCs/>
                <w:color w:val="auto"/>
                <w:spacing w:val="16"/>
                <w:sz w:val="24"/>
                <w:szCs w:val="24"/>
                <w:highlight w:val="none"/>
              </w:rPr>
            </w:pPr>
          </w:p>
        </w:tc>
      </w:tr>
    </w:tbl>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rPr>
          <w:rFonts w:hint="eastAsia"/>
          <w:b/>
          <w:bCs/>
          <w:color w:val="auto"/>
          <w:sz w:val="24"/>
          <w:szCs w:val="32"/>
          <w:highlight w:val="none"/>
        </w:rPr>
      </w:pPr>
      <w:r>
        <w:rPr>
          <w:rFonts w:hint="eastAsia"/>
          <w:b/>
          <w:bCs/>
          <w:color w:val="auto"/>
          <w:sz w:val="24"/>
          <w:szCs w:val="32"/>
          <w:highlight w:val="none"/>
        </w:rPr>
        <w:t>要求：</w:t>
      </w:r>
    </w:p>
    <w:p>
      <w:pP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无需填写；</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color w:val="auto"/>
          <w:highlight w:val="none"/>
          <w:lang w:eastAsia="zh-CN"/>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宋体"/>
          <w:b/>
          <w:bCs/>
          <w:color w:val="auto"/>
          <w:sz w:val="28"/>
          <w:szCs w:val="36"/>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0</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w:t>
      </w:r>
    </w:p>
    <w:p>
      <w:pPr>
        <w:spacing w:line="360" w:lineRule="auto"/>
        <w:jc w:val="center"/>
        <w:rPr>
          <w:rFonts w:hint="eastAsia" w:eastAsia="宋体"/>
          <w:color w:val="auto"/>
          <w:sz w:val="24"/>
          <w:szCs w:val="32"/>
          <w:highlight w:val="none"/>
          <w:lang w:eastAsia="zh-CN"/>
        </w:rPr>
      </w:pPr>
      <w:r>
        <w:rPr>
          <w:rFonts w:hint="eastAsia"/>
          <w:color w:val="auto"/>
          <w:sz w:val="24"/>
          <w:szCs w:val="32"/>
          <w:highlight w:val="none"/>
        </w:rPr>
        <w:t>（主要从业人员及其技术资格</w:t>
      </w:r>
      <w:r>
        <w:rPr>
          <w:rFonts w:hint="eastAsia"/>
          <w:color w:val="auto"/>
          <w:sz w:val="24"/>
          <w:szCs w:val="32"/>
          <w:highlight w:val="none"/>
          <w:lang w:eastAsia="zh-CN"/>
        </w:rPr>
        <w:t>）</w:t>
      </w:r>
    </w:p>
    <w:tbl>
      <w:tblPr>
        <w:tblStyle w:val="26"/>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bl>
    <w:p>
      <w:pPr>
        <w:spacing w:line="360" w:lineRule="auto"/>
        <w:jc w:val="left"/>
        <w:rPr>
          <w:b/>
          <w:bCs/>
          <w:color w:val="auto"/>
          <w:sz w:val="24"/>
          <w:szCs w:val="32"/>
          <w:highlight w:val="none"/>
        </w:rPr>
      </w:pPr>
      <w:r>
        <w:rPr>
          <w:rFonts w:hint="eastAsia"/>
          <w:b/>
          <w:bCs/>
          <w:color w:val="auto"/>
          <w:sz w:val="24"/>
          <w:szCs w:val="32"/>
          <w:highlight w:val="none"/>
        </w:rPr>
        <w:t>要求：</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w:t>
      </w:r>
      <w:r>
        <w:rPr>
          <w:rFonts w:hint="eastAsia" w:ascii="宋体" w:hAnsi="宋体" w:cs="宋体"/>
          <w:b w:val="0"/>
          <w:bCs w:val="0"/>
          <w:color w:val="auto"/>
          <w:sz w:val="24"/>
          <w:szCs w:val="32"/>
          <w:highlight w:val="none"/>
          <w:lang w:eastAsia="zh-CN"/>
        </w:rPr>
        <w:t>或</w:t>
      </w:r>
      <w:r>
        <w:rPr>
          <w:rFonts w:hint="eastAsia" w:ascii="宋体" w:hAnsi="宋体" w:eastAsia="宋体" w:cs="宋体"/>
          <w:b w:val="0"/>
          <w:bCs w:val="0"/>
          <w:color w:val="auto"/>
          <w:sz w:val="24"/>
          <w:szCs w:val="32"/>
          <w:highlight w:val="none"/>
        </w:rPr>
        <w:t>参加社会保险的《投保单》或《社会保险参保人员证明》等。</w:t>
      </w: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36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1</w:t>
      </w:r>
    </w:p>
    <w:p>
      <w:pPr>
        <w:spacing w:beforeLines="50"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pacing w:line="360" w:lineRule="auto"/>
        <w:rPr>
          <w:rFonts w:ascii="宋体" w:hAnsi="宋体"/>
          <w:color w:val="auto"/>
          <w:sz w:val="24"/>
          <w:szCs w:val="32"/>
          <w:highlight w:val="none"/>
        </w:rPr>
      </w:pPr>
      <w:r>
        <w:rPr>
          <w:rFonts w:hint="eastAsia" w:ascii="宋体" w:hAnsi="宋体"/>
          <w:color w:val="auto"/>
          <w:sz w:val="24"/>
          <w:szCs w:val="32"/>
          <w:highlight w:val="none"/>
        </w:rPr>
        <w:t>采购项目：</w:t>
      </w:r>
      <w:r>
        <w:rPr>
          <w:rFonts w:hint="eastAsia" w:ascii="宋体" w:hAnsi="宋体"/>
          <w:color w:val="auto"/>
          <w:sz w:val="24"/>
          <w:szCs w:val="32"/>
          <w:highlight w:val="none"/>
          <w:lang w:val="en-US" w:eastAsia="zh-CN"/>
        </w:rPr>
        <w:t xml:space="preserve">                                        </w:t>
      </w:r>
      <w:r>
        <w:rPr>
          <w:rFonts w:hint="eastAsia" w:ascii="宋体" w:hAnsi="宋体"/>
          <w:color w:val="auto"/>
          <w:sz w:val="24"/>
          <w:szCs w:val="32"/>
          <w:highlight w:val="none"/>
        </w:rPr>
        <w:t>采购编号：</w:t>
      </w:r>
    </w:p>
    <w:tbl>
      <w:tblPr>
        <w:tblStyle w:val="26"/>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rPr>
            </w:pPr>
            <w:r>
              <w:rPr>
                <w:rFonts w:hint="eastAsia"/>
                <w:b/>
                <w:bCs/>
                <w:color w:val="auto"/>
                <w:sz w:val="24"/>
                <w:szCs w:val="24"/>
                <w:highlight w:val="none"/>
              </w:rPr>
              <w:t>注：业绩证明应提供旁证材料</w:t>
            </w:r>
          </w:p>
          <w:p>
            <w:pPr>
              <w:bidi w:val="0"/>
              <w:spacing w:line="240" w:lineRule="auto"/>
              <w:jc w:val="center"/>
              <w:rPr>
                <w:b/>
                <w:bCs/>
                <w:color w:val="auto"/>
                <w:sz w:val="24"/>
                <w:szCs w:val="24"/>
                <w:highlight w:val="none"/>
                <w:lang w:val="zh-CN"/>
              </w:rPr>
            </w:pPr>
            <w:r>
              <w:rPr>
                <w:rFonts w:hint="eastAsia"/>
                <w:b/>
                <w:bCs/>
                <w:color w:val="auto"/>
                <w:sz w:val="24"/>
                <w:szCs w:val="24"/>
                <w:highlight w:val="none"/>
              </w:rPr>
              <w:t>（供货合同或中标通知书</w:t>
            </w:r>
            <w:r>
              <w:rPr>
                <w:rFonts w:hint="eastAsia"/>
                <w:b/>
                <w:bCs/>
                <w:color w:val="auto"/>
                <w:sz w:val="24"/>
                <w:szCs w:val="24"/>
                <w:highlight w:val="none"/>
                <w:lang w:eastAsia="zh-CN"/>
              </w:rPr>
              <w:t>）</w:t>
            </w:r>
            <w:r>
              <w:rPr>
                <w:rFonts w:hint="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bidi w:val="0"/>
              <w:spacing w:line="240" w:lineRule="auto"/>
              <w:jc w:val="center"/>
              <w:rPr>
                <w:b/>
                <w:bCs/>
                <w:color w:val="auto"/>
                <w:sz w:val="24"/>
                <w:szCs w:val="24"/>
                <w:highlight w:val="none"/>
                <w:lang w:val="zh-CN"/>
              </w:rPr>
            </w:pPr>
          </w:p>
        </w:tc>
      </w:tr>
    </w:tbl>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2</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供货清单（标段）</w:t>
      </w:r>
    </w:p>
    <w:p>
      <w:pP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6"/>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pStyle w:val="25"/>
        <w:rPr>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3</w:t>
      </w:r>
    </w:p>
    <w:p>
      <w:pP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pacing w:line="360" w:lineRule="auto"/>
        <w:rPr>
          <w:rFonts w:ascii="宋体"/>
          <w:color w:val="auto"/>
          <w:sz w:val="24"/>
          <w:highlight w:val="none"/>
        </w:rPr>
      </w:pP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1.本表的名称须与《报价明细表》一致。</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2.本表参照本招标文件第</w:t>
      </w:r>
      <w:r>
        <w:rPr>
          <w:rFonts w:hint="eastAsia" w:ascii="宋体" w:hAnsi="宋体"/>
          <w:color w:val="auto"/>
          <w:sz w:val="24"/>
          <w:highlight w:val="none"/>
          <w:lang w:eastAsia="zh-CN"/>
        </w:rPr>
        <w:t>四章</w:t>
      </w:r>
      <w:r>
        <w:rPr>
          <w:rFonts w:hint="eastAsia" w:ascii="宋体" w:hAnsi="宋体"/>
          <w:color w:val="auto"/>
          <w:sz w:val="24"/>
          <w:highlight w:val="none"/>
        </w:rPr>
        <w:t>“公开招标需求”</w:t>
      </w:r>
      <w:r>
        <w:rPr>
          <w:rFonts w:hint="eastAsia" w:ascii="宋体" w:hAnsi="宋体"/>
          <w:color w:val="auto"/>
          <w:sz w:val="24"/>
          <w:highlight w:val="none"/>
          <w:lang w:eastAsia="zh-CN"/>
        </w:rPr>
        <w:t>内容</w:t>
      </w:r>
      <w:r>
        <w:rPr>
          <w:rFonts w:hint="eastAsia" w:ascii="宋体" w:hAnsi="宋体"/>
          <w:color w:val="auto"/>
          <w:sz w:val="24"/>
          <w:highlight w:val="none"/>
        </w:rPr>
        <w:t>填制，投标人应根据投标设备的性能指标、服务指标，对照招标文件要求在“偏离情况”栏注明“正偏离”、“负偏离”或“无偏离”。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7"/>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4</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bidi w:val="0"/>
        <w:spacing w:line="360" w:lineRule="auto"/>
        <w:jc w:val="left"/>
        <w:rPr>
          <w:rFonts w:hint="eastAsia" w:ascii="宋体" w:hAnsi="宋体" w:eastAsia="宋体" w:cs="宋体"/>
          <w:b/>
          <w:bCs/>
          <w:color w:val="auto"/>
          <w:sz w:val="24"/>
          <w:szCs w:val="32"/>
          <w:highlight w:val="none"/>
          <w:lang w:val="zh-CN"/>
        </w:rPr>
      </w:pPr>
    </w:p>
    <w:tbl>
      <w:tblPr>
        <w:tblStyle w:val="26"/>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59"/>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pacing w:line="360" w:lineRule="auto"/>
              <w:jc w:val="center"/>
              <w:rPr>
                <w:rFonts w:ascii="宋体" w:cs="Arial"/>
                <w:color w:val="auto"/>
                <w:szCs w:val="21"/>
                <w:highlight w:val="none"/>
              </w:rPr>
            </w:pPr>
          </w:p>
        </w:tc>
        <w:tc>
          <w:tcPr>
            <w:tcW w:w="2258" w:type="dxa"/>
          </w:tcPr>
          <w:p>
            <w:pPr>
              <w:pStyle w:val="59"/>
              <w:spacing w:line="360" w:lineRule="auto"/>
              <w:jc w:val="center"/>
              <w:rPr>
                <w:rFonts w:ascii="宋体" w:cs="Arial"/>
                <w:color w:val="auto"/>
                <w:szCs w:val="21"/>
                <w:highlight w:val="none"/>
              </w:rPr>
            </w:pPr>
          </w:p>
        </w:tc>
        <w:tc>
          <w:tcPr>
            <w:tcW w:w="2260" w:type="dxa"/>
          </w:tcPr>
          <w:p>
            <w:pPr>
              <w:pStyle w:val="59"/>
              <w:spacing w:line="360" w:lineRule="auto"/>
              <w:jc w:val="center"/>
              <w:rPr>
                <w:rFonts w:ascii="宋体" w:cs="Arial"/>
                <w:color w:val="auto"/>
                <w:szCs w:val="21"/>
                <w:highlight w:val="none"/>
              </w:rPr>
            </w:pPr>
          </w:p>
        </w:tc>
        <w:tc>
          <w:tcPr>
            <w:tcW w:w="2047" w:type="dxa"/>
            <w:tcBorders>
              <w:right w:val="single" w:color="auto" w:sz="4" w:space="0"/>
            </w:tcBorders>
          </w:tcPr>
          <w:p>
            <w:pPr>
              <w:pStyle w:val="59"/>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9"/>
              <w:spacing w:line="360" w:lineRule="auto"/>
              <w:jc w:val="center"/>
              <w:rPr>
                <w:rFonts w:ascii="宋体" w:cs="Arial"/>
                <w:color w:val="auto"/>
                <w:szCs w:val="21"/>
                <w:highlight w:val="none"/>
              </w:rPr>
            </w:pPr>
          </w:p>
        </w:tc>
        <w:tc>
          <w:tcPr>
            <w:tcW w:w="2258" w:type="dxa"/>
            <w:tcBorders>
              <w:bottom w:val="double" w:color="auto" w:sz="4" w:space="0"/>
            </w:tcBorders>
          </w:tcPr>
          <w:p>
            <w:pPr>
              <w:pStyle w:val="59"/>
              <w:spacing w:line="360" w:lineRule="auto"/>
              <w:jc w:val="center"/>
              <w:rPr>
                <w:rFonts w:ascii="宋体" w:cs="Arial"/>
                <w:color w:val="auto"/>
                <w:szCs w:val="21"/>
                <w:highlight w:val="none"/>
              </w:rPr>
            </w:pPr>
          </w:p>
        </w:tc>
        <w:tc>
          <w:tcPr>
            <w:tcW w:w="2260" w:type="dxa"/>
            <w:tcBorders>
              <w:bottom w:val="double" w:color="auto" w:sz="4" w:space="0"/>
            </w:tcBorders>
          </w:tcPr>
          <w:p>
            <w:pPr>
              <w:pStyle w:val="59"/>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59"/>
              <w:spacing w:line="360" w:lineRule="auto"/>
              <w:jc w:val="center"/>
              <w:rPr>
                <w:rFonts w:ascii="宋体" w:cs="Arial"/>
                <w:color w:val="auto"/>
                <w:szCs w:val="21"/>
                <w:highlight w:val="none"/>
              </w:rPr>
            </w:pPr>
          </w:p>
        </w:tc>
      </w:tr>
    </w:tbl>
    <w:p>
      <w:pPr>
        <w:bidi w:val="0"/>
        <w:spacing w:line="360" w:lineRule="auto"/>
        <w:jc w:val="left"/>
        <w:rPr>
          <w:rFonts w:hint="eastAsia" w:ascii="宋体" w:hAnsi="宋体" w:eastAsia="宋体" w:cs="宋体"/>
          <w:b/>
          <w:bCs/>
          <w:color w:val="auto"/>
          <w:sz w:val="24"/>
          <w:szCs w:val="32"/>
          <w:highlight w:val="none"/>
          <w:lang w:val="zh-CN"/>
        </w:rPr>
      </w:pP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1.填写投标人获得资质、认证或企业信誉证书；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2.附所列证书复印件或其他证明材料。</w:t>
      </w: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cs="宋体"/>
          <w:b/>
          <w:bCs/>
          <w:color w:val="auto"/>
          <w:sz w:val="28"/>
          <w:szCs w:val="36"/>
          <w:highlight w:val="none"/>
          <w:lang w:val="en-US" w:eastAsia="zh-CN"/>
        </w:rPr>
        <w:t>5</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pacing w:line="360" w:lineRule="auto"/>
        <w:rPr>
          <w:rFonts w:hint="eastAsia" w:ascii="宋体" w:hAnsi="宋体" w:eastAsia="宋体" w:cs="Times New Roman"/>
          <w:b/>
          <w:bCs/>
          <w:color w:val="auto"/>
          <w:sz w:val="24"/>
          <w:highlight w:val="none"/>
        </w:rPr>
      </w:pPr>
    </w:p>
    <w:tbl>
      <w:tblPr>
        <w:tblStyle w:val="2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8"/>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pacing w:line="360" w:lineRule="auto"/>
              <w:rPr>
                <w:rFonts w:ascii="宋体" w:cs="Arial"/>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r>
        <w:rPr>
          <w:rFonts w:hint="eastAsia" w:ascii="宋体" w:hAnsi="宋体"/>
          <w:color w:val="auto"/>
          <w:sz w:val="24"/>
          <w:highlight w:val="none"/>
          <w:lang w:eastAsia="zh-CN"/>
        </w:rPr>
        <w:t>）</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2.报价供应商可按此表格式复制。</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cs="宋体"/>
          <w:b/>
          <w:bCs/>
          <w:color w:val="auto"/>
          <w:sz w:val="28"/>
          <w:szCs w:val="36"/>
          <w:highlight w:val="none"/>
          <w:lang w:val="en-US" w:eastAsia="zh-CN"/>
        </w:rPr>
        <w:t>6</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pacing w:line="360" w:lineRule="auto"/>
        <w:rPr>
          <w:rFonts w:ascii="宋体"/>
          <w:b/>
          <w:color w:val="auto"/>
          <w:sz w:val="24"/>
          <w:szCs w:val="24"/>
          <w:highlight w:val="none"/>
        </w:rPr>
      </w:pP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交货和服务</w:t>
            </w:r>
          </w:p>
          <w:p>
            <w:pPr>
              <w:snapToGrid w:val="0"/>
              <w:jc w:val="both"/>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bl>
    <w:p>
      <w:pPr>
        <w:spacing w:line="360" w:lineRule="auto"/>
        <w:rPr>
          <w:rFonts w:ascii="宋体"/>
          <w:b/>
          <w:color w:val="auto"/>
          <w:sz w:val="24"/>
          <w:szCs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pStyle w:val="7"/>
        <w:rPr>
          <w:color w:val="auto"/>
          <w:highlight w:val="none"/>
        </w:rPr>
      </w:pPr>
    </w:p>
    <w:p>
      <w:pPr>
        <w:spacing w:line="360" w:lineRule="auto"/>
        <w:rPr>
          <w:rFonts w:ascii="宋体"/>
          <w:b/>
          <w:color w:val="auto"/>
          <w:sz w:val="24"/>
          <w:szCs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附件1</w:t>
      </w:r>
      <w:r>
        <w:rPr>
          <w:rFonts w:hint="eastAsia" w:ascii="宋体" w:hAnsi="宋体" w:cs="宋体"/>
          <w:b/>
          <w:bCs/>
          <w:color w:val="auto"/>
          <w:sz w:val="28"/>
          <w:szCs w:val="36"/>
          <w:highlight w:val="none"/>
          <w:lang w:val="en-US" w:eastAsia="zh-CN"/>
        </w:rPr>
        <w:t>7</w:t>
      </w:r>
    </w:p>
    <w:p>
      <w:pP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pacing w:line="360" w:lineRule="auto"/>
        <w:rPr>
          <w:rFonts w:hint="eastAsia" w:ascii="宋体" w:hAnsi="Times New Roman" w:cs="Times New Roman"/>
          <w:b/>
          <w:color w:val="auto"/>
          <w:sz w:val="24"/>
          <w:szCs w:val="24"/>
          <w:highlight w:val="none"/>
        </w:rPr>
      </w:pP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60"/>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0"/>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60"/>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保修期内售后服务情况</w:t>
            </w:r>
            <w:r>
              <w:rPr>
                <w:rFonts w:hint="eastAsia" w:ascii="宋体" w:hAnsi="宋体" w:cs="Arial"/>
                <w:bCs/>
                <w:color w:val="auto"/>
                <w:sz w:val="24"/>
                <w:highlight w:val="none"/>
                <w:lang w:eastAsia="zh-CN"/>
              </w:rPr>
              <w:t>（</w:t>
            </w:r>
            <w:r>
              <w:rPr>
                <w:rFonts w:hint="eastAsia" w:ascii="宋体" w:hAnsi="宋体" w:cs="Arial"/>
                <w:bCs/>
                <w:color w:val="auto"/>
                <w:sz w:val="24"/>
                <w:highlight w:val="none"/>
              </w:rPr>
              <w:t>服务方式、服务网点、售后服务的内容和措施等等，可用附页和宣传材料</w:t>
            </w:r>
            <w:r>
              <w:rPr>
                <w:rFonts w:hint="eastAsia" w:ascii="宋体" w:hAnsi="宋体" w:cs="Arial"/>
                <w:bCs/>
                <w:color w:val="auto"/>
                <w:sz w:val="24"/>
                <w:highlight w:val="none"/>
                <w:lang w:eastAsia="zh-CN"/>
              </w:rPr>
              <w:t>）</w:t>
            </w:r>
          </w:p>
        </w:tc>
        <w:tc>
          <w:tcPr>
            <w:tcW w:w="4061" w:type="dxa"/>
          </w:tcPr>
          <w:p>
            <w:pPr>
              <w:pStyle w:val="60"/>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60"/>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0"/>
              <w:widowControl/>
              <w:spacing w:line="360" w:lineRule="auto"/>
              <w:jc w:val="left"/>
              <w:rPr>
                <w:rFonts w:ascii="宋体" w:cs="Arial"/>
                <w:bCs/>
                <w:color w:val="auto"/>
                <w:sz w:val="24"/>
                <w:highlight w:val="none"/>
              </w:rPr>
            </w:pPr>
          </w:p>
        </w:tc>
        <w:tc>
          <w:tcPr>
            <w:tcW w:w="2355" w:type="dxa"/>
            <w:vMerge w:val="continue"/>
            <w:vAlign w:val="center"/>
          </w:tcPr>
          <w:p>
            <w:pPr>
              <w:pStyle w:val="60"/>
              <w:widowControl/>
              <w:spacing w:line="360" w:lineRule="auto"/>
              <w:jc w:val="left"/>
              <w:rPr>
                <w:rFonts w:ascii="宋体" w:cs="Arial"/>
                <w:bCs/>
                <w:color w:val="auto"/>
                <w:sz w:val="24"/>
                <w:highlight w:val="none"/>
              </w:rPr>
            </w:pPr>
          </w:p>
        </w:tc>
        <w:tc>
          <w:tcPr>
            <w:tcW w:w="4061" w:type="dxa"/>
          </w:tcPr>
          <w:p>
            <w:pPr>
              <w:pStyle w:val="60"/>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60"/>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0"/>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60"/>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60"/>
              <w:widowControl/>
              <w:spacing w:line="360" w:lineRule="auto"/>
              <w:jc w:val="left"/>
              <w:rPr>
                <w:rFonts w:ascii="宋体" w:cs="Arial"/>
                <w:bCs/>
                <w:color w:val="auto"/>
                <w:sz w:val="24"/>
                <w:highlight w:val="none"/>
              </w:rPr>
            </w:pPr>
          </w:p>
          <w:p>
            <w:pPr>
              <w:pStyle w:val="60"/>
              <w:widowControl/>
              <w:spacing w:line="360" w:lineRule="auto"/>
              <w:jc w:val="left"/>
              <w:rPr>
                <w:rFonts w:ascii="宋体" w:cs="Arial"/>
                <w:bCs/>
                <w:color w:val="auto"/>
                <w:sz w:val="24"/>
                <w:highlight w:val="none"/>
              </w:rPr>
            </w:pPr>
          </w:p>
          <w:p>
            <w:pPr>
              <w:pStyle w:val="60"/>
              <w:spacing w:line="360" w:lineRule="auto"/>
              <w:rPr>
                <w:rFonts w:ascii="宋体" w:cs="Arial"/>
                <w:bCs/>
                <w:color w:val="auto"/>
                <w:sz w:val="24"/>
                <w:highlight w:val="none"/>
              </w:rPr>
            </w:pPr>
          </w:p>
        </w:tc>
        <w:tc>
          <w:tcPr>
            <w:tcW w:w="1373" w:type="dxa"/>
          </w:tcPr>
          <w:p>
            <w:pPr>
              <w:pStyle w:val="60"/>
              <w:widowControl/>
              <w:spacing w:line="360" w:lineRule="auto"/>
              <w:jc w:val="left"/>
              <w:rPr>
                <w:rFonts w:ascii="宋体" w:cs="Arial"/>
                <w:bCs/>
                <w:color w:val="auto"/>
                <w:sz w:val="24"/>
                <w:highlight w:val="none"/>
              </w:rPr>
            </w:pPr>
          </w:p>
          <w:p>
            <w:pPr>
              <w:pStyle w:val="60"/>
              <w:widowControl/>
              <w:spacing w:line="360" w:lineRule="auto"/>
              <w:jc w:val="left"/>
              <w:rPr>
                <w:rFonts w:ascii="宋体" w:cs="Arial"/>
                <w:bCs/>
                <w:color w:val="auto"/>
                <w:sz w:val="24"/>
                <w:highlight w:val="none"/>
              </w:rPr>
            </w:pPr>
          </w:p>
          <w:p>
            <w:pPr>
              <w:pStyle w:val="60"/>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0"/>
              <w:widowControl/>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60"/>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培训方案（可用附页</w:t>
            </w:r>
            <w:r>
              <w:rPr>
                <w:rFonts w:hint="eastAsia" w:ascii="宋体" w:hAnsi="宋体" w:cs="Arial"/>
                <w:bCs/>
                <w:color w:val="auto"/>
                <w:sz w:val="24"/>
                <w:highlight w:val="none"/>
                <w:lang w:eastAsia="zh-CN"/>
              </w:rPr>
              <w:t>）</w:t>
            </w:r>
          </w:p>
        </w:tc>
        <w:tc>
          <w:tcPr>
            <w:tcW w:w="4061" w:type="dxa"/>
          </w:tcPr>
          <w:p>
            <w:pPr>
              <w:pStyle w:val="60"/>
              <w:widowControl/>
              <w:spacing w:line="360" w:lineRule="auto"/>
              <w:jc w:val="left"/>
              <w:rPr>
                <w:rFonts w:ascii="宋体" w:cs="Arial"/>
                <w:bCs/>
                <w:i/>
                <w:color w:val="auto"/>
                <w:sz w:val="24"/>
                <w:highlight w:val="none"/>
              </w:rPr>
            </w:pPr>
          </w:p>
          <w:p>
            <w:pPr>
              <w:pStyle w:val="60"/>
              <w:widowControl/>
              <w:spacing w:line="360" w:lineRule="auto"/>
              <w:jc w:val="left"/>
              <w:rPr>
                <w:rFonts w:ascii="宋体" w:cs="Arial"/>
                <w:bCs/>
                <w:i/>
                <w:color w:val="auto"/>
                <w:sz w:val="24"/>
                <w:highlight w:val="none"/>
              </w:rPr>
            </w:pPr>
          </w:p>
        </w:tc>
        <w:tc>
          <w:tcPr>
            <w:tcW w:w="1373" w:type="dxa"/>
          </w:tcPr>
          <w:p>
            <w:pPr>
              <w:pStyle w:val="60"/>
              <w:widowControl/>
              <w:spacing w:line="360" w:lineRule="auto"/>
              <w:jc w:val="left"/>
              <w:rPr>
                <w:rFonts w:ascii="宋体" w:cs="Arial"/>
                <w:bCs/>
                <w:i/>
                <w:color w:val="auto"/>
                <w:sz w:val="24"/>
                <w:highlight w:val="none"/>
              </w:rPr>
            </w:pPr>
          </w:p>
          <w:p>
            <w:pPr>
              <w:pStyle w:val="60"/>
              <w:widowControl/>
              <w:spacing w:line="360" w:lineRule="auto"/>
              <w:jc w:val="left"/>
              <w:rPr>
                <w:rFonts w:ascii="宋体" w:cs="Arial"/>
                <w:bCs/>
                <w:i/>
                <w:color w:val="auto"/>
                <w:sz w:val="24"/>
                <w:highlight w:val="none"/>
              </w:rPr>
            </w:pPr>
          </w:p>
          <w:p>
            <w:pPr>
              <w:pStyle w:val="60"/>
              <w:widowControl/>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0"/>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60"/>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60"/>
              <w:widowControl/>
              <w:spacing w:line="360" w:lineRule="auto"/>
              <w:jc w:val="left"/>
              <w:rPr>
                <w:rFonts w:ascii="宋体" w:cs="Arial"/>
                <w:bCs/>
                <w:color w:val="auto"/>
                <w:sz w:val="24"/>
                <w:highlight w:val="none"/>
              </w:rPr>
            </w:pPr>
          </w:p>
        </w:tc>
        <w:tc>
          <w:tcPr>
            <w:tcW w:w="1373" w:type="dxa"/>
            <w:tcBorders>
              <w:bottom w:val="single" w:color="auto" w:sz="4" w:space="0"/>
            </w:tcBorders>
          </w:tcPr>
          <w:p>
            <w:pPr>
              <w:pStyle w:val="60"/>
              <w:widowControl/>
              <w:spacing w:line="360" w:lineRule="auto"/>
              <w:jc w:val="left"/>
              <w:rPr>
                <w:rFonts w:ascii="宋体" w:cs="Arial"/>
                <w:bCs/>
                <w:color w:val="auto"/>
                <w:sz w:val="24"/>
                <w:highlight w:val="none"/>
              </w:rPr>
            </w:pPr>
          </w:p>
        </w:tc>
      </w:tr>
    </w:tbl>
    <w:p>
      <w:pPr>
        <w:spacing w:line="360" w:lineRule="auto"/>
        <w:ind w:left="549" w:hanging="549" w:hangingChars="171"/>
        <w:jc w:val="center"/>
        <w:rPr>
          <w:rFonts w:hint="eastAsia" w:ascii="宋体" w:hAnsi="宋体"/>
          <w:b/>
          <w:color w:val="auto"/>
          <w:sz w:val="32"/>
          <w:szCs w:val="32"/>
          <w:highlight w:val="none"/>
        </w:rPr>
      </w:pP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left"/>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cs="宋体"/>
          <w:b/>
          <w:bCs/>
          <w:color w:val="auto"/>
          <w:sz w:val="28"/>
          <w:szCs w:val="36"/>
          <w:highlight w:val="none"/>
          <w:lang w:val="en-US" w:eastAsia="zh-CN"/>
        </w:rPr>
        <w:t>8</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jc w:val="center"/>
        <w:rPr>
          <w:rFonts w:ascii="宋体" w:hAnsi="宋体"/>
          <w:b/>
          <w:color w:val="auto"/>
          <w:spacing w:val="40"/>
          <w:sz w:val="84"/>
          <w:szCs w:val="84"/>
          <w:highlight w:val="none"/>
        </w:rPr>
      </w:pP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jc w:val="center"/>
        <w:rPr>
          <w:rFonts w:ascii="宋体" w:hAnsi="宋体"/>
          <w:color w:val="auto"/>
          <w:sz w:val="36"/>
          <w:szCs w:val="36"/>
          <w:highlight w:val="none"/>
        </w:rPr>
      </w:pPr>
    </w:p>
    <w:p>
      <w:pPr>
        <w:jc w:val="center"/>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jc w:val="both"/>
        <w:rPr>
          <w:rFonts w:hint="eastAsia"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jc w:val="both"/>
        <w:rPr>
          <w:rFonts w:ascii="宋体" w:hAnsi="宋体"/>
          <w:color w:val="auto"/>
          <w:sz w:val="36"/>
          <w:szCs w:val="36"/>
          <w:highlight w:val="none"/>
        </w:rPr>
      </w:pPr>
      <w:r>
        <w:rPr>
          <w:rFonts w:hint="eastAsia" w:ascii="宋体" w:hAnsi="宋体"/>
          <w:color w:val="auto"/>
          <w:sz w:val="36"/>
          <w:szCs w:val="36"/>
          <w:highlight w:val="none"/>
        </w:rPr>
        <w:t>地址：</w:t>
      </w:r>
    </w:p>
    <w:p>
      <w:pPr>
        <w:jc w:val="both"/>
        <w:rPr>
          <w:rFonts w:ascii="宋体" w:hAnsi="宋体"/>
          <w:color w:val="auto"/>
          <w:sz w:val="36"/>
          <w:szCs w:val="36"/>
          <w:highlight w:val="none"/>
        </w:rPr>
      </w:pPr>
      <w:r>
        <w:rPr>
          <w:rFonts w:hint="eastAsia" w:ascii="宋体" w:hAnsi="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1、开标一览表（附件</w:t>
      </w:r>
      <w:r>
        <w:rPr>
          <w:rFonts w:hint="eastAsia" w:ascii="宋体" w:hAnsi="宋体" w:cs="宋体"/>
          <w:color w:val="auto"/>
          <w:sz w:val="28"/>
          <w:szCs w:val="36"/>
          <w:highlight w:val="none"/>
          <w:lang w:val="en-US" w:eastAsia="zh-CN"/>
        </w:rPr>
        <w:t>19</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2、报价明细表（附件</w:t>
      </w:r>
      <w:r>
        <w:rPr>
          <w:rFonts w:hint="eastAsia" w:ascii="宋体" w:hAnsi="宋体" w:cs="宋体"/>
          <w:color w:val="auto"/>
          <w:sz w:val="28"/>
          <w:szCs w:val="36"/>
          <w:highlight w:val="none"/>
          <w:lang w:val="en-US" w:eastAsia="zh-CN"/>
        </w:rPr>
        <w:t>20</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3、针对报价投标人认为其他需要说明的；</w:t>
      </w:r>
    </w:p>
    <w:p>
      <w:pPr>
        <w:bidi w:val="0"/>
        <w:spacing w:line="360" w:lineRule="auto"/>
        <w:ind w:firstLine="560" w:firstLineChars="200"/>
        <w:jc w:val="left"/>
        <w:rPr>
          <w:rFonts w:hint="eastAsia" w:ascii="宋体" w:hAnsi="宋体" w:cs="宋体"/>
          <w:color w:val="auto"/>
          <w:sz w:val="28"/>
          <w:szCs w:val="36"/>
          <w:highlight w:val="none"/>
          <w:lang w:eastAsia="zh-CN"/>
        </w:rPr>
      </w:pPr>
      <w:r>
        <w:rPr>
          <w:rFonts w:hint="eastAsia" w:ascii="宋体" w:hAnsi="宋体" w:eastAsia="宋体" w:cs="宋体"/>
          <w:color w:val="auto"/>
          <w:sz w:val="28"/>
          <w:szCs w:val="36"/>
          <w:highlight w:val="none"/>
        </w:rPr>
        <w:t>4、中小企业</w:t>
      </w:r>
      <w:r>
        <w:rPr>
          <w:rFonts w:hint="eastAsia" w:ascii="宋体" w:hAnsi="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w:t>
      </w:r>
      <w:r>
        <w:rPr>
          <w:rFonts w:hint="eastAsia" w:ascii="宋体" w:hAnsi="宋体" w:cs="宋体"/>
          <w:color w:val="auto"/>
          <w:sz w:val="28"/>
          <w:szCs w:val="36"/>
          <w:highlight w:val="none"/>
          <w:lang w:val="en-US" w:eastAsia="zh-CN"/>
        </w:rPr>
        <w:t>21</w:t>
      </w:r>
      <w:r>
        <w:rPr>
          <w:rFonts w:hint="eastAsia" w:ascii="宋体" w:hAnsi="宋体" w:cs="宋体"/>
          <w:color w:val="auto"/>
          <w:sz w:val="28"/>
          <w:szCs w:val="36"/>
          <w:highlight w:val="none"/>
          <w:lang w:eastAsia="zh-CN"/>
        </w:rPr>
        <w:t>）；（如有需提供）</w:t>
      </w:r>
    </w:p>
    <w:p>
      <w:pPr>
        <w:bidi w:val="0"/>
        <w:spacing w:line="360" w:lineRule="auto"/>
        <w:ind w:firstLine="560" w:firstLineChars="200"/>
        <w:jc w:val="left"/>
        <w:rPr>
          <w:rFonts w:hint="default"/>
          <w:color w:val="auto"/>
          <w:highlight w:val="none"/>
          <w:lang w:val="en-US" w:eastAsia="zh-CN"/>
        </w:rPr>
      </w:pP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lang w:val="en-GB" w:eastAsia="zh-CN"/>
        </w:rPr>
        <w:t>政府采购活动确认声明书</w:t>
      </w:r>
      <w:r>
        <w:rPr>
          <w:rFonts w:hint="eastAsia" w:ascii="宋体" w:hAnsi="宋体" w:eastAsia="宋体" w:cs="宋体"/>
          <w:color w:val="auto"/>
          <w:sz w:val="28"/>
          <w:szCs w:val="36"/>
          <w:highlight w:val="none"/>
        </w:rPr>
        <w:t>（附件</w:t>
      </w:r>
      <w:r>
        <w:rPr>
          <w:rFonts w:hint="eastAsia" w:ascii="宋体" w:hAnsi="宋体" w:cs="宋体"/>
          <w:color w:val="auto"/>
          <w:sz w:val="28"/>
          <w:szCs w:val="36"/>
          <w:highlight w:val="none"/>
          <w:lang w:val="en-US" w:eastAsia="zh-CN"/>
        </w:rPr>
        <w:t>22</w:t>
      </w:r>
      <w:r>
        <w:rPr>
          <w:rFonts w:hint="eastAsia" w:ascii="宋体" w:hAnsi="宋体" w:cs="宋体"/>
          <w:color w:val="auto"/>
          <w:sz w:val="28"/>
          <w:szCs w:val="36"/>
          <w:highlight w:val="none"/>
          <w:lang w:eastAsia="zh-CN"/>
        </w:rPr>
        <w:t>）。</w:t>
      </w:r>
    </w:p>
    <w:p>
      <w:p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中小</w:t>
      </w:r>
      <w:r>
        <w:rPr>
          <w:rFonts w:hint="eastAsia" w:ascii="宋体" w:hAnsi="宋体" w:eastAsia="宋体" w:cs="宋体"/>
          <w:color w:val="auto"/>
          <w:sz w:val="28"/>
          <w:szCs w:val="28"/>
          <w:highlight w:val="none"/>
        </w:rPr>
        <w:t>企业等声明函填表说明：</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标的设备分别由不同制造商制造的，请按序号填写齐全所有标的</w:t>
      </w:r>
      <w:r>
        <w:rPr>
          <w:rFonts w:hint="eastAsia" w:ascii="宋体" w:hAnsi="宋体" w:eastAsia="宋体" w:cs="宋体"/>
          <w:b/>
          <w:bCs/>
          <w:color w:val="auto"/>
          <w:sz w:val="28"/>
          <w:szCs w:val="28"/>
          <w:highlight w:val="none"/>
          <w:u w:val="single"/>
        </w:rPr>
        <w:t>货物制造商</w:t>
      </w:r>
      <w:r>
        <w:rPr>
          <w:rFonts w:hint="eastAsia" w:ascii="宋体" w:hAnsi="宋体" w:eastAsia="宋体" w:cs="宋体"/>
          <w:color w:val="auto"/>
          <w:sz w:val="28"/>
          <w:szCs w:val="28"/>
          <w:highlight w:val="none"/>
        </w:rPr>
        <w:t>的信息。</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从业人员、营业收入、资产总额填报上一年度数据，无上一年度数据的新成立企业可不填报。</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为了更加准确判定制造商是否为小微企业，请供应商根据工业和信息化部官方网站---中小企业规模类型自测小程序来辨别制造商企业规模类型，中小企业规模类型自测小程序链接网址为</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"http://202.106.120.146/baosong/appweb/orgScale.html" </w:instrText>
      </w:r>
      <w:r>
        <w:rPr>
          <w:rFonts w:hint="eastAsia" w:ascii="宋体" w:hAnsi="宋体" w:eastAsia="宋体" w:cs="宋体"/>
          <w:color w:val="auto"/>
          <w:sz w:val="28"/>
          <w:szCs w:val="28"/>
          <w:highlight w:val="none"/>
        </w:rPr>
        <w:fldChar w:fldCharType="separate"/>
      </w:r>
      <w:r>
        <w:rPr>
          <w:rStyle w:val="29"/>
          <w:rFonts w:hint="eastAsia" w:ascii="宋体" w:hAnsi="宋体" w:eastAsia="宋体" w:cs="宋体"/>
          <w:color w:val="auto"/>
          <w:sz w:val="28"/>
          <w:szCs w:val="28"/>
          <w:highlight w:val="none"/>
        </w:rPr>
        <w:t>http://202.106.120.146/baosong/appweb/orgScale.html</w:t>
      </w:r>
      <w:r>
        <w:rPr>
          <w:rFonts w:hint="eastAsia" w:ascii="宋体" w:hAnsi="宋体" w:eastAsia="宋体" w:cs="宋体"/>
          <w:color w:val="auto"/>
          <w:sz w:val="28"/>
          <w:szCs w:val="28"/>
          <w:highlight w:val="none"/>
        </w:rPr>
        <w:fldChar w:fldCharType="end"/>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供应商未提供《中小企业声明函》的、《中小企业声明函》中内容应填写而未进行填写或未如实填写的，将不给予供应商小微企业报价优惠扣除。</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预成交供应商享受小微企业报价优惠扣除的，将按规定公开预成交供应商的《中小企业声明函》。</w:t>
      </w:r>
    </w:p>
    <w:p>
      <w:pPr>
        <w:numPr>
          <w:ilvl w:val="0"/>
          <w:numId w:val="0"/>
        </w:numPr>
        <w:shd w:val="clear" w:color="auto" w:fill="auto"/>
        <w:spacing w:line="360" w:lineRule="auto"/>
        <w:ind w:firstLine="56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如国家对中小企业划型标准有新的规定的，从其规定。</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19</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pacing w:line="360" w:lineRule="auto"/>
        <w:ind w:left="-2" w:hanging="2"/>
        <w:jc w:val="center"/>
        <w:rPr>
          <w:rFonts w:ascii="宋体" w:hAnsi="宋体"/>
          <w:b/>
          <w:color w:val="auto"/>
          <w:sz w:val="32"/>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6"/>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hint="eastAsia" w:ascii="宋体" w:eastAsia="宋体"/>
                <w:color w:val="auto"/>
                <w:sz w:val="24"/>
                <w:highlight w:val="none"/>
                <w:lang w:eastAsia="zh-CN"/>
              </w:rPr>
            </w:pPr>
            <w:r>
              <w:rPr>
                <w:rFonts w:hint="eastAsia" w:ascii="宋体" w:hAnsi="宋体"/>
                <w:color w:val="auto"/>
                <w:sz w:val="24"/>
                <w:highlight w:val="none"/>
              </w:rPr>
              <w:t>投标总报价</w:t>
            </w:r>
            <w:r>
              <w:rPr>
                <w:rFonts w:hint="eastAsia" w:ascii="宋体" w:hAnsi="宋体"/>
                <w:color w:val="auto"/>
                <w:sz w:val="24"/>
                <w:highlight w:val="none"/>
                <w:lang w:eastAsia="zh-CN"/>
              </w:rPr>
              <w:t>（</w:t>
            </w:r>
            <w:r>
              <w:rPr>
                <w:rFonts w:hint="eastAsia" w:ascii="宋体" w:hAnsi="宋体"/>
                <w:color w:val="auto"/>
                <w:sz w:val="24"/>
                <w:highlight w:val="none"/>
              </w:rPr>
              <w:t>元</w:t>
            </w:r>
            <w:r>
              <w:rPr>
                <w:rFonts w:hint="eastAsia" w:ascii="宋体" w:hAnsi="宋体"/>
                <w:color w:val="auto"/>
                <w:sz w:val="24"/>
                <w:highlight w:val="none"/>
                <w:lang w:eastAsia="zh-CN"/>
              </w:rPr>
              <w:t>）</w:t>
            </w: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highlight w:val="none"/>
              </w:rPr>
            </w:pP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bl>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0</w:t>
      </w:r>
    </w:p>
    <w:p>
      <w:pP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bidi w:val="0"/>
        <w:spacing w:line="360" w:lineRule="auto"/>
        <w:jc w:val="left"/>
        <w:rPr>
          <w:rFonts w:hint="eastAsia" w:ascii="宋体" w:hAnsi="宋体" w:eastAsia="宋体" w:cs="宋体"/>
          <w:b/>
          <w:bCs/>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pStyle w:val="7"/>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1</w:t>
      </w:r>
    </w:p>
    <w:p>
      <w:pP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中小企业声明函（货物）</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 xml:space="preserve">采购活动，提供的货物全部由符合政策要求的中小企业制造。相关企业的具体情况如下： </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1"/>
          <w:rFonts w:hint="eastAsia" w:ascii="宋体" w:hAnsi="宋体"/>
          <w:b w:val="0"/>
          <w:bCs/>
          <w:color w:val="auto"/>
          <w:sz w:val="24"/>
          <w:szCs w:val="24"/>
          <w:highlight w:val="none"/>
          <w:lang w:val="en-US" w:eastAsia="zh-CN"/>
        </w:rPr>
        <w:footnoteReference w:id="0"/>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pacing w:line="360" w:lineRule="auto"/>
        <w:jc w:val="left"/>
        <w:rPr>
          <w:rFonts w:hint="eastAsia" w:ascii="宋体" w:hAnsi="宋体"/>
          <w:b w:val="0"/>
          <w:bCs/>
          <w:color w:val="auto"/>
          <w:sz w:val="24"/>
          <w:szCs w:val="24"/>
          <w:highlight w:val="none"/>
          <w:lang w:val="en-US" w:eastAsia="zh-CN"/>
        </w:rPr>
      </w:pP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ind w:left="-2" w:hanging="2"/>
        <w:jc w:val="center"/>
        <w:rPr>
          <w:rFonts w:hint="eastAsia" w:ascii="宋体" w:hAnsi="宋体" w:eastAsia="宋体" w:cs="Times New Roman"/>
          <w:b/>
          <w:color w:val="auto"/>
          <w:sz w:val="32"/>
          <w:szCs w:val="32"/>
          <w:highlight w:val="none"/>
          <w:lang w:val="en-GB"/>
        </w:rPr>
      </w:pPr>
      <w:r>
        <w:rPr>
          <w:rFonts w:hint="eastAsia" w:ascii="宋体" w:hAnsi="宋体" w:eastAsia="宋体" w:cs="Times New Roman"/>
          <w:b/>
          <w:color w:val="auto"/>
          <w:sz w:val="32"/>
          <w:szCs w:val="32"/>
          <w:highlight w:val="none"/>
          <w:lang w:val="en-GB"/>
        </w:rPr>
        <w:t>残疾人福利性单位声明函</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的规定，本单位为符合条件的残疾人福利性单位，且本单位参加单位的项目采购活动提供本单位制造的货物（由本单位承担工程/提供服务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，或者提供其他残疾人福利性单位制造的货物（不包括使用非残疾人福利性单位注册商标的货物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bidi w:val="0"/>
        <w:spacing w:line="360" w:lineRule="auto"/>
        <w:ind w:firstLine="480" w:firstLineChars="200"/>
        <w:rPr>
          <w:rFonts w:hint="eastAsia" w:ascii="宋体" w:hAnsi="宋体" w:eastAsia="宋体" w:cs="宋体"/>
          <w:color w:val="auto"/>
          <w:sz w:val="24"/>
          <w:szCs w:val="24"/>
          <w:highlight w:val="none"/>
        </w:rPr>
      </w:pPr>
    </w:p>
    <w:p>
      <w:pPr>
        <w:spacing w:line="360" w:lineRule="auto"/>
        <w:ind w:firstLine="3120" w:firstLineChars="13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单位名称（单位公章）：</w:t>
      </w:r>
    </w:p>
    <w:p>
      <w:pPr>
        <w:spacing w:line="360" w:lineRule="auto"/>
        <w:ind w:firstLine="5040" w:firstLineChars="210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日期：</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年</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月</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日</w:t>
      </w: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10"/>
        <w:rPr>
          <w:rFonts w:hint="eastAsia" w:ascii="宋体" w:hAnsi="宋体"/>
          <w:b w:val="0"/>
          <w:bCs/>
          <w:color w:val="auto"/>
          <w:sz w:val="24"/>
          <w:szCs w:val="24"/>
          <w:highlight w:val="none"/>
          <w:lang w:val="en-US" w:eastAsia="zh-CN"/>
        </w:rPr>
      </w:pPr>
    </w:p>
    <w:p>
      <w:pPr>
        <w:pStyle w:val="1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spacing w:line="360" w:lineRule="auto"/>
        <w:jc w:val="left"/>
        <w:rPr>
          <w:rFonts w:hint="eastAsia" w:ascii="宋体" w:hAnsi="宋体" w:eastAsia="宋体" w:cs="宋体"/>
          <w:bCs/>
          <w:color w:val="auto"/>
          <w:sz w:val="24"/>
          <w:highlight w:val="none"/>
        </w:rPr>
      </w:pPr>
    </w:p>
    <w:p>
      <w:pPr>
        <w:pStyle w:val="9"/>
        <w:rPr>
          <w:rFonts w:hint="eastAsia" w:ascii="宋体" w:hAnsi="宋体" w:eastAsia="宋体" w:cs="宋体"/>
          <w:bCs/>
          <w:color w:val="auto"/>
          <w:sz w:val="24"/>
          <w:highlight w:val="none"/>
        </w:rPr>
      </w:pPr>
    </w:p>
    <w:p>
      <w:pPr>
        <w:pStyle w:val="10"/>
        <w:rPr>
          <w:rFonts w:hint="eastAsia" w:ascii="宋体" w:hAnsi="宋体" w:eastAsia="宋体" w:cs="宋体"/>
          <w:bCs/>
          <w:color w:val="auto"/>
          <w:sz w:val="24"/>
          <w:highlight w:val="none"/>
        </w:rPr>
      </w:pPr>
    </w:p>
    <w:p>
      <w:pPr>
        <w:pStyle w:val="11"/>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2</w:t>
      </w:r>
    </w:p>
    <w:p>
      <w:pPr>
        <w:spacing w:line="400" w:lineRule="exact"/>
        <w:jc w:val="center"/>
        <w:rPr>
          <w:rFonts w:hint="eastAsia" w:ascii="宋体" w:hAnsi="宋体"/>
          <w:b/>
          <w:color w:val="auto"/>
          <w:sz w:val="28"/>
          <w:szCs w:val="28"/>
          <w:highlight w:val="none"/>
          <w:lang w:val="en-GB"/>
        </w:rPr>
      </w:pPr>
      <w:r>
        <w:rPr>
          <w:rFonts w:hint="eastAsia" w:ascii="宋体" w:hAnsi="宋体"/>
          <w:b/>
          <w:color w:val="auto"/>
          <w:sz w:val="28"/>
          <w:szCs w:val="28"/>
          <w:highlight w:val="none"/>
          <w:lang w:val="en-GB"/>
        </w:rPr>
        <w:t>政府采购活动确认声明书</w:t>
      </w:r>
    </w:p>
    <w:p>
      <w:pPr>
        <w:snapToGrid w:val="0"/>
        <w:spacing w:line="380" w:lineRule="exact"/>
        <w:rPr>
          <w:rFonts w:hint="eastAsia" w:ascii="宋体" w:hAnsi="宋体" w:cs="宋体"/>
          <w:b/>
          <w:color w:val="auto"/>
          <w:sz w:val="24"/>
          <w:highlight w:val="none"/>
        </w:rPr>
      </w:pPr>
      <w:r>
        <w:rPr>
          <w:rFonts w:hint="eastAsia" w:ascii="宋体" w:hAnsi="宋体" w:cs="宋体"/>
          <w:color w:val="auto"/>
          <w:kern w:val="0"/>
          <w:sz w:val="24"/>
          <w:highlight w:val="none"/>
          <w:u w:val="single"/>
        </w:rPr>
        <w:t>浙江五石中正工程咨询有限公司</w:t>
      </w:r>
      <w:r>
        <w:rPr>
          <w:rFonts w:hint="eastAsia" w:ascii="宋体" w:hAnsi="宋体" w:cs="宋体"/>
          <w:color w:val="auto"/>
          <w:kern w:val="0"/>
          <w:sz w:val="24"/>
          <w:highlight w:val="none"/>
        </w:rPr>
        <w:t>（采购组织机构名称）：</w:t>
      </w:r>
    </w:p>
    <w:p>
      <w:pPr>
        <w:widowControl/>
        <w:spacing w:line="380" w:lineRule="exact"/>
        <w:ind w:firstLine="504" w:firstLineChars="200"/>
        <w:jc w:val="left"/>
        <w:rPr>
          <w:rFonts w:hint="eastAsia" w:ascii="宋体" w:hAnsi="宋体" w:cs="宋体"/>
          <w:color w:val="auto"/>
          <w:kern w:val="0"/>
          <w:sz w:val="24"/>
          <w:highlight w:val="none"/>
          <w:lang w:val="zh-CN"/>
        </w:rPr>
      </w:pPr>
      <w:r>
        <w:rPr>
          <w:rFonts w:hint="eastAsia" w:ascii="宋体" w:hAnsi="宋体" w:cs="宋体"/>
          <w:color w:val="auto"/>
          <w:spacing w:val="6"/>
          <w:kern w:val="0"/>
          <w:sz w:val="24"/>
          <w:highlight w:val="none"/>
          <w:lang w:val="zh-CN"/>
        </w:rPr>
        <w:t>本人经由</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lang w:val="zh-CN"/>
        </w:rPr>
        <w:t>单位</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 xml:space="preserve">   (法人代表)</w:t>
      </w:r>
      <w:r>
        <w:rPr>
          <w:rFonts w:hint="eastAsia" w:ascii="宋体" w:hAnsi="宋体" w:cs="宋体"/>
          <w:color w:val="auto"/>
          <w:spacing w:val="6"/>
          <w:kern w:val="0"/>
          <w:sz w:val="24"/>
          <w:highlight w:val="none"/>
          <w:lang w:val="zh-CN"/>
        </w:rPr>
        <w:t>合法授权参加</w:t>
      </w:r>
      <w:r>
        <w:rPr>
          <w:rFonts w:hint="eastAsia" w:ascii="宋体" w:hAnsi="宋体" w:cs="宋体"/>
          <w:b/>
          <w:bCs/>
          <w:color w:val="auto"/>
          <w:spacing w:val="6"/>
          <w:kern w:val="0"/>
          <w:sz w:val="24"/>
          <w:highlight w:val="none"/>
          <w:u w:val="single"/>
          <w:lang w:val="zh-CN"/>
        </w:rPr>
        <w:t>C形臂、螺旋CT采购项目</w:t>
      </w:r>
      <w:r>
        <w:rPr>
          <w:rFonts w:hint="eastAsia" w:ascii="宋体" w:hAnsi="宋体" w:cs="宋体"/>
          <w:color w:val="auto"/>
          <w:spacing w:val="6"/>
          <w:kern w:val="0"/>
          <w:sz w:val="24"/>
          <w:highlight w:val="none"/>
          <w:lang w:val="zh-CN"/>
        </w:rPr>
        <w:t>（</w:t>
      </w:r>
      <w:r>
        <w:rPr>
          <w:rFonts w:hint="eastAsia" w:ascii="宋体" w:hAnsi="宋体" w:cs="宋体"/>
          <w:color w:val="auto"/>
          <w:spacing w:val="6"/>
          <w:kern w:val="0"/>
          <w:sz w:val="24"/>
          <w:highlight w:val="none"/>
        </w:rPr>
        <w:t>项目</w:t>
      </w:r>
      <w:r>
        <w:rPr>
          <w:rFonts w:hint="eastAsia" w:ascii="宋体" w:hAnsi="宋体" w:cs="宋体"/>
          <w:color w:val="auto"/>
          <w:spacing w:val="6"/>
          <w:kern w:val="0"/>
          <w:sz w:val="24"/>
          <w:highlight w:val="none"/>
          <w:lang w:val="zh-CN"/>
        </w:rPr>
        <w:t>编号：</w:t>
      </w:r>
      <w:r>
        <w:rPr>
          <w:rFonts w:hint="eastAsia" w:ascii="宋体" w:hAnsi="宋体" w:cs="宋体"/>
          <w:b/>
          <w:bCs/>
          <w:color w:val="auto"/>
          <w:spacing w:val="6"/>
          <w:kern w:val="0"/>
          <w:sz w:val="24"/>
          <w:highlight w:val="none"/>
          <w:u w:val="single"/>
          <w:lang w:val="zh-CN"/>
        </w:rPr>
        <w:t>ZJWS2023-JJ88</w:t>
      </w:r>
      <w:r>
        <w:rPr>
          <w:rFonts w:hint="eastAsia" w:ascii="宋体" w:hAnsi="宋体" w:cs="宋体"/>
          <w:color w:val="auto"/>
          <w:spacing w:val="6"/>
          <w:kern w:val="0"/>
          <w:sz w:val="24"/>
          <w:highlight w:val="none"/>
          <w:lang w:val="zh-CN"/>
        </w:rPr>
        <w:t>）政府采购活动，经与本单位法人代表（负责人）联系确认，现就有关公平竞争事项郑重声明如下：</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一、本单位与采购人之间</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A.投资关系    B.行政隶属关系    C.业务指导关系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D.其他可能</w:t>
      </w:r>
      <w:r>
        <w:rPr>
          <w:rFonts w:hint="eastAsia" w:ascii="宋体" w:hAnsi="宋体" w:cs="宋体"/>
          <w:color w:val="auto"/>
          <w:sz w:val="24"/>
          <w:highlight w:val="none"/>
        </w:rPr>
        <w:t>影响采购公正的</w:t>
      </w:r>
      <w:r>
        <w:rPr>
          <w:rFonts w:hint="eastAsia" w:ascii="宋体" w:hAnsi="宋体" w:cs="宋体"/>
          <w:color w:val="auto"/>
          <w:kern w:val="0"/>
          <w:sz w:val="24"/>
          <w:highlight w:val="none"/>
        </w:rPr>
        <w:t>利害关系。</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spacing w:val="6"/>
          <w:sz w:val="24"/>
          <w:highlight w:val="none"/>
        </w:rPr>
        <w:t>二、</w:t>
      </w:r>
      <w:r>
        <w:rPr>
          <w:rFonts w:hint="eastAsia" w:ascii="宋体" w:hAnsi="宋体" w:cs="宋体"/>
          <w:color w:val="auto"/>
          <w:kern w:val="0"/>
          <w:sz w:val="24"/>
          <w:highlight w:val="none"/>
        </w:rPr>
        <w:t>现已清楚知道参加本项目采购活动的其他所有供应商名称，本单位</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□与其他所有供应商之间均不存在利害关系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□与之间存在下列利害关系：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A.法定代表人或负责人或实际控制人是同一人</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B.法定代表人或负责人或实际控制人是夫妻关系</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C.法定代表人或负责人或实际控制人是直系血亲关系</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D.法定代表人或负责人或实际控制人存在三代以内旁系血亲关系</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E.法定代表人或负责人或实际控制人存在近姻亲关系</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F.法定代表人或负责人或实际控制人存在股份控制或实际控制关系</w:t>
      </w:r>
    </w:p>
    <w:p>
      <w:pPr>
        <w:snapToGrid w:val="0"/>
        <w:spacing w:line="380" w:lineRule="exact"/>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rPr>
        <w:t>G.存在共同直接或间接投资设立子公司、联营企业和合营企业情况</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H.存在分级代理或代销关系、同一生产制造商关系、管理关系、重要业务（占主营业务收入50%以上）或重要财务往来关系（如融资）等其他实质性控制关系</w:t>
      </w:r>
    </w:p>
    <w:p>
      <w:pPr>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I.其他利害关系情况。</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sz w:val="24"/>
          <w:highlight w:val="none"/>
        </w:rPr>
        <w:t>三、现已清楚知道并</w:t>
      </w:r>
      <w:r>
        <w:rPr>
          <w:rFonts w:hint="eastAsia" w:ascii="宋体" w:hAnsi="宋体" w:cs="宋体"/>
          <w:color w:val="auto"/>
          <w:kern w:val="0"/>
          <w:sz w:val="24"/>
          <w:highlight w:val="none"/>
        </w:rPr>
        <w:t>严格遵守政府采购法律法规和现场纪律。</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四、我发现供应商之间存在或可能存在上述第二条第项利害关系。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rPr>
          <w:rFonts w:hint="eastAsia"/>
          <w:color w:val="auto"/>
          <w:highlight w:val="none"/>
        </w:rPr>
      </w:pPr>
    </w:p>
    <w:p>
      <w:pPr>
        <w:snapToGrid w:val="0"/>
        <w:spacing w:line="380" w:lineRule="exact"/>
        <w:ind w:firstLine="5301" w:firstLineChars="2200"/>
        <w:rPr>
          <w:rFonts w:hint="eastAsia" w:ascii="宋体" w:hAnsi="宋体" w:cs="宋体"/>
          <w:b/>
          <w:color w:val="auto"/>
          <w:sz w:val="24"/>
          <w:highlight w:val="none"/>
        </w:rPr>
      </w:pPr>
      <w:r>
        <w:rPr>
          <w:rFonts w:hint="eastAsia" w:ascii="宋体" w:hAnsi="宋体" w:cs="宋体"/>
          <w:b/>
          <w:color w:val="auto"/>
          <w:sz w:val="24"/>
          <w:highlight w:val="none"/>
        </w:rPr>
        <w:t>供应商代表签名：</w:t>
      </w:r>
    </w:p>
    <w:p>
      <w:pPr>
        <w:tabs>
          <w:tab w:val="left" w:pos="1418"/>
        </w:tabs>
        <w:autoSpaceDE w:val="0"/>
        <w:autoSpaceDN w:val="0"/>
        <w:adjustRightInd w:val="0"/>
        <w:spacing w:line="380" w:lineRule="exact"/>
        <w:ind w:firstLine="480" w:firstLineChars="200"/>
        <w:jc w:val="right"/>
        <w:rPr>
          <w:rFonts w:hint="eastAsia"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  月  日</w:t>
      </w:r>
    </w:p>
    <w:p>
      <w:pPr>
        <w:tabs>
          <w:tab w:val="left" w:pos="1418"/>
        </w:tabs>
        <w:autoSpaceDE w:val="0"/>
        <w:autoSpaceDN w:val="0"/>
        <w:adjustRightInd w:val="0"/>
        <w:spacing w:line="380" w:lineRule="exact"/>
        <w:rPr>
          <w:rFonts w:hint="eastAsia"/>
          <w:color w:val="auto"/>
          <w:highlight w:val="none"/>
        </w:rPr>
      </w:pPr>
      <w:r>
        <w:rPr>
          <w:rFonts w:hint="eastAsia" w:ascii="宋体" w:hAnsi="宋体" w:cs="宋体"/>
          <w:color w:val="auto"/>
          <w:kern w:val="0"/>
          <w:sz w:val="24"/>
          <w:highlight w:val="none"/>
        </w:rPr>
        <w:t>说明：商务技术文件开启后30分钟内，供应商通过邮件形式将经授权代表签署的《</w:t>
      </w:r>
      <w:r>
        <w:rPr>
          <w:rFonts w:hint="eastAsia" w:ascii="宋体" w:hAnsi="宋体" w:cs="宋体"/>
          <w:color w:val="auto"/>
          <w:kern w:val="0"/>
          <w:sz w:val="24"/>
          <w:highlight w:val="none"/>
          <w:lang w:val="en-GB"/>
        </w:rPr>
        <w:t>政府采购活动确认声明书</w:t>
      </w:r>
      <w:r>
        <w:rPr>
          <w:rFonts w:hint="eastAsia" w:ascii="宋体" w:hAnsi="宋体" w:cs="宋体"/>
          <w:color w:val="auto"/>
          <w:kern w:val="0"/>
          <w:sz w:val="24"/>
          <w:highlight w:val="none"/>
        </w:rPr>
        <w:t>》扫描件发至代理机构经办人邮箱（邮箱地址：</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"mailto:303054329@qq.com）；" </w:instrText>
      </w:r>
      <w:r>
        <w:rPr>
          <w:rFonts w:hint="eastAsia" w:ascii="宋体" w:hAnsi="宋体" w:cs="宋体"/>
          <w:color w:val="auto"/>
          <w:kern w:val="0"/>
          <w:sz w:val="24"/>
          <w:highlight w:val="none"/>
        </w:rPr>
        <w:fldChar w:fldCharType="separate"/>
      </w:r>
      <w:r>
        <w:rPr>
          <w:rFonts w:hint="eastAsia" w:ascii="宋体" w:hAnsi="宋体" w:cs="宋体"/>
          <w:color w:val="auto"/>
          <w:kern w:val="0"/>
          <w:sz w:val="24"/>
          <w:highlight w:val="none"/>
        </w:rPr>
        <w:t>zjwstz@163.com）；</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不填写或未按规定发出邮件的，视同默认不存在确认声明书中的相关违规情形。</w:t>
      </w:r>
    </w:p>
    <w:sectPr>
      <w:head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平成明朝">
    <w:altName w:val="MS Gothic"/>
    <w:panose1 w:val="00000000000000000000"/>
    <w:charset w:val="80"/>
    <w:family w:val="roman"/>
    <w:pitch w:val="default"/>
    <w:sig w:usb0="00000000" w:usb1="00000000" w:usb2="00000010" w:usb3="00000000" w:csb0="00020000" w:csb1="00000000"/>
  </w:font>
  <w:font w:name="??">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snapToGrid w:val="0"/>
      </w:pPr>
      <w:r>
        <w:rPr>
          <w:rStyle w:val="31"/>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台州市政府采购电子招标文件</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2</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58</w:t>
    </w:r>
    <w:r>
      <w:rPr>
        <w:b/>
        <w:i/>
        <w:color w:val="000000"/>
        <w:spacing w:val="-20"/>
        <w:kern w:val="0"/>
        <w:sz w:val="18"/>
        <w:u w:val="single"/>
      </w:rPr>
      <w:fldChar w:fldCharType="end"/>
    </w:r>
    <w:r>
      <w:rPr>
        <w:rFonts w:hint="eastAsia"/>
        <w:b/>
        <w:i/>
        <w:color w:val="000000"/>
        <w:spacing w:val="-20"/>
        <w:kern w:val="0"/>
        <w:sz w:val="18"/>
        <w:u w:val="single"/>
      </w:rPr>
      <w:t>页</w:t>
    </w:r>
  </w:p>
  <w:p>
    <w:pPr>
      <w:pStyle w:val="1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6"/>
      <w:lvlText w:val="%1."/>
      <w:lvlJc w:val="left"/>
      <w:pPr>
        <w:tabs>
          <w:tab w:val="left" w:pos="360"/>
        </w:tabs>
        <w:ind w:left="360" w:hanging="360"/>
      </w:pPr>
      <w:rPr>
        <w:rFonts w:cs="Times New Roman"/>
      </w:rPr>
    </w:lvl>
  </w:abstractNum>
  <w:abstractNum w:abstractNumId="1">
    <w:nsid w:val="1DD1DBD0"/>
    <w:multiLevelType w:val="singleLevel"/>
    <w:tmpl w:val="1DD1DBD0"/>
    <w:lvl w:ilvl="0" w:tentative="0">
      <w:start w:val="2"/>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GEyYzExMGVhNmMzYzkzMTkwZWY3NGNkYzFlMTIifQ=="/>
  </w:docVars>
  <w:rsids>
    <w:rsidRoot w:val="0E970358"/>
    <w:rsid w:val="00016260"/>
    <w:rsid w:val="0002035B"/>
    <w:rsid w:val="000403F7"/>
    <w:rsid w:val="0006294D"/>
    <w:rsid w:val="00062AB3"/>
    <w:rsid w:val="000630DA"/>
    <w:rsid w:val="000B1A8C"/>
    <w:rsid w:val="000B5FDA"/>
    <w:rsid w:val="000C76DA"/>
    <w:rsid w:val="00107BF6"/>
    <w:rsid w:val="00117895"/>
    <w:rsid w:val="001334F2"/>
    <w:rsid w:val="001358F3"/>
    <w:rsid w:val="00165F2A"/>
    <w:rsid w:val="00180836"/>
    <w:rsid w:val="00201D2F"/>
    <w:rsid w:val="00201D62"/>
    <w:rsid w:val="00203C2F"/>
    <w:rsid w:val="0021318F"/>
    <w:rsid w:val="00241352"/>
    <w:rsid w:val="002A1620"/>
    <w:rsid w:val="002D7DF9"/>
    <w:rsid w:val="003102FB"/>
    <w:rsid w:val="0033011F"/>
    <w:rsid w:val="00332E30"/>
    <w:rsid w:val="00343AAB"/>
    <w:rsid w:val="00353DAF"/>
    <w:rsid w:val="00394F4B"/>
    <w:rsid w:val="003C020E"/>
    <w:rsid w:val="003C5E00"/>
    <w:rsid w:val="003E6DE1"/>
    <w:rsid w:val="003F5636"/>
    <w:rsid w:val="003F595C"/>
    <w:rsid w:val="003F78E0"/>
    <w:rsid w:val="00412A7F"/>
    <w:rsid w:val="00425C4D"/>
    <w:rsid w:val="00441FAE"/>
    <w:rsid w:val="00446CEF"/>
    <w:rsid w:val="00447D83"/>
    <w:rsid w:val="00491BDF"/>
    <w:rsid w:val="004B0FB8"/>
    <w:rsid w:val="004B4165"/>
    <w:rsid w:val="00501A00"/>
    <w:rsid w:val="00504A66"/>
    <w:rsid w:val="00510E58"/>
    <w:rsid w:val="00531666"/>
    <w:rsid w:val="00542F87"/>
    <w:rsid w:val="00547BCA"/>
    <w:rsid w:val="00553808"/>
    <w:rsid w:val="00616E31"/>
    <w:rsid w:val="00630481"/>
    <w:rsid w:val="00636172"/>
    <w:rsid w:val="00646CA0"/>
    <w:rsid w:val="006540F3"/>
    <w:rsid w:val="00655E3C"/>
    <w:rsid w:val="00674989"/>
    <w:rsid w:val="00674C42"/>
    <w:rsid w:val="006E5A80"/>
    <w:rsid w:val="006E72B8"/>
    <w:rsid w:val="006F4DFE"/>
    <w:rsid w:val="0075349E"/>
    <w:rsid w:val="0076756D"/>
    <w:rsid w:val="00783370"/>
    <w:rsid w:val="00793C81"/>
    <w:rsid w:val="007A2629"/>
    <w:rsid w:val="007C1005"/>
    <w:rsid w:val="007F5FAF"/>
    <w:rsid w:val="00802325"/>
    <w:rsid w:val="008154BD"/>
    <w:rsid w:val="00823978"/>
    <w:rsid w:val="00847BE5"/>
    <w:rsid w:val="0088066B"/>
    <w:rsid w:val="00881374"/>
    <w:rsid w:val="008A4030"/>
    <w:rsid w:val="008E781F"/>
    <w:rsid w:val="00905BF3"/>
    <w:rsid w:val="00912983"/>
    <w:rsid w:val="009327F3"/>
    <w:rsid w:val="00944004"/>
    <w:rsid w:val="009B3E22"/>
    <w:rsid w:val="009F3459"/>
    <w:rsid w:val="009F36F6"/>
    <w:rsid w:val="00A12F71"/>
    <w:rsid w:val="00A17731"/>
    <w:rsid w:val="00A17880"/>
    <w:rsid w:val="00A30B75"/>
    <w:rsid w:val="00A7199A"/>
    <w:rsid w:val="00A730CA"/>
    <w:rsid w:val="00AB35C0"/>
    <w:rsid w:val="00AF276E"/>
    <w:rsid w:val="00B0420E"/>
    <w:rsid w:val="00B24854"/>
    <w:rsid w:val="00B50621"/>
    <w:rsid w:val="00BC6908"/>
    <w:rsid w:val="00BE0ADF"/>
    <w:rsid w:val="00BE79CE"/>
    <w:rsid w:val="00BF7E5C"/>
    <w:rsid w:val="00C41E61"/>
    <w:rsid w:val="00C44AFB"/>
    <w:rsid w:val="00C52E14"/>
    <w:rsid w:val="00C767D4"/>
    <w:rsid w:val="00CB0437"/>
    <w:rsid w:val="00CC232E"/>
    <w:rsid w:val="00CD1804"/>
    <w:rsid w:val="00CF6375"/>
    <w:rsid w:val="00D264AC"/>
    <w:rsid w:val="00D5269F"/>
    <w:rsid w:val="00DA25C4"/>
    <w:rsid w:val="00DB2B95"/>
    <w:rsid w:val="00DB6334"/>
    <w:rsid w:val="00E00649"/>
    <w:rsid w:val="00E319E7"/>
    <w:rsid w:val="00E33061"/>
    <w:rsid w:val="00E372BC"/>
    <w:rsid w:val="00ED51FA"/>
    <w:rsid w:val="00EF2797"/>
    <w:rsid w:val="00F127FF"/>
    <w:rsid w:val="00F12A9D"/>
    <w:rsid w:val="00F64E95"/>
    <w:rsid w:val="00F74D1E"/>
    <w:rsid w:val="00F835F4"/>
    <w:rsid w:val="00F94869"/>
    <w:rsid w:val="00FA0375"/>
    <w:rsid w:val="0162067B"/>
    <w:rsid w:val="017F1E23"/>
    <w:rsid w:val="018679AE"/>
    <w:rsid w:val="01935887"/>
    <w:rsid w:val="01951567"/>
    <w:rsid w:val="01B800CA"/>
    <w:rsid w:val="01D42F8B"/>
    <w:rsid w:val="022F3D89"/>
    <w:rsid w:val="02553A28"/>
    <w:rsid w:val="025F5180"/>
    <w:rsid w:val="026B5F45"/>
    <w:rsid w:val="02B06AA5"/>
    <w:rsid w:val="03887300"/>
    <w:rsid w:val="03E33071"/>
    <w:rsid w:val="045E13E1"/>
    <w:rsid w:val="046F53DE"/>
    <w:rsid w:val="04CC341D"/>
    <w:rsid w:val="04E227B9"/>
    <w:rsid w:val="04EB22DA"/>
    <w:rsid w:val="04F45844"/>
    <w:rsid w:val="05065269"/>
    <w:rsid w:val="05137CD7"/>
    <w:rsid w:val="051C64C7"/>
    <w:rsid w:val="0583787E"/>
    <w:rsid w:val="060B26E0"/>
    <w:rsid w:val="06345E06"/>
    <w:rsid w:val="06445431"/>
    <w:rsid w:val="065165EA"/>
    <w:rsid w:val="065522E1"/>
    <w:rsid w:val="06B65283"/>
    <w:rsid w:val="072B0FB7"/>
    <w:rsid w:val="073D4ECF"/>
    <w:rsid w:val="07E209DB"/>
    <w:rsid w:val="07F92D89"/>
    <w:rsid w:val="08276FC2"/>
    <w:rsid w:val="08DE7A29"/>
    <w:rsid w:val="09170415"/>
    <w:rsid w:val="09BC231C"/>
    <w:rsid w:val="09C120A6"/>
    <w:rsid w:val="09C474A0"/>
    <w:rsid w:val="0A207EE3"/>
    <w:rsid w:val="0A2610A0"/>
    <w:rsid w:val="0A805ABD"/>
    <w:rsid w:val="0AB97872"/>
    <w:rsid w:val="0ADB4F19"/>
    <w:rsid w:val="0B0B35D9"/>
    <w:rsid w:val="0B6F6C6A"/>
    <w:rsid w:val="0BDC0B60"/>
    <w:rsid w:val="0C1E2BA0"/>
    <w:rsid w:val="0C445D0F"/>
    <w:rsid w:val="0C6108A9"/>
    <w:rsid w:val="0C765CB2"/>
    <w:rsid w:val="0C8F6F1D"/>
    <w:rsid w:val="0CCF01AF"/>
    <w:rsid w:val="0CE23751"/>
    <w:rsid w:val="0CFB58CF"/>
    <w:rsid w:val="0D0D122B"/>
    <w:rsid w:val="0D4A0AF4"/>
    <w:rsid w:val="0DAB10A3"/>
    <w:rsid w:val="0DAC1076"/>
    <w:rsid w:val="0E03670A"/>
    <w:rsid w:val="0E1A4D2E"/>
    <w:rsid w:val="0E273A0A"/>
    <w:rsid w:val="0E8B67DF"/>
    <w:rsid w:val="0E970358"/>
    <w:rsid w:val="0F2E7896"/>
    <w:rsid w:val="0F40668B"/>
    <w:rsid w:val="0F5A38E4"/>
    <w:rsid w:val="0F5B4403"/>
    <w:rsid w:val="10053DFB"/>
    <w:rsid w:val="1024535B"/>
    <w:rsid w:val="102962AF"/>
    <w:rsid w:val="10392EAE"/>
    <w:rsid w:val="103F136E"/>
    <w:rsid w:val="105224B1"/>
    <w:rsid w:val="10663E60"/>
    <w:rsid w:val="106B74CC"/>
    <w:rsid w:val="10706EC2"/>
    <w:rsid w:val="10D93EBA"/>
    <w:rsid w:val="10E10735"/>
    <w:rsid w:val="114D620F"/>
    <w:rsid w:val="11C82219"/>
    <w:rsid w:val="11D430BC"/>
    <w:rsid w:val="11D525C4"/>
    <w:rsid w:val="122B630F"/>
    <w:rsid w:val="12495073"/>
    <w:rsid w:val="12552772"/>
    <w:rsid w:val="12807280"/>
    <w:rsid w:val="1290445D"/>
    <w:rsid w:val="12B874F8"/>
    <w:rsid w:val="12CB1666"/>
    <w:rsid w:val="1308694E"/>
    <w:rsid w:val="1312189C"/>
    <w:rsid w:val="13763D70"/>
    <w:rsid w:val="13AD5518"/>
    <w:rsid w:val="13E640E2"/>
    <w:rsid w:val="13ED7CFC"/>
    <w:rsid w:val="13FC1BC3"/>
    <w:rsid w:val="1483512C"/>
    <w:rsid w:val="148463E6"/>
    <w:rsid w:val="149310E1"/>
    <w:rsid w:val="14D20D9B"/>
    <w:rsid w:val="155965BB"/>
    <w:rsid w:val="15713D36"/>
    <w:rsid w:val="15A72BED"/>
    <w:rsid w:val="15EC04AB"/>
    <w:rsid w:val="1621170E"/>
    <w:rsid w:val="16A03549"/>
    <w:rsid w:val="16D8586C"/>
    <w:rsid w:val="17792822"/>
    <w:rsid w:val="17B42C2B"/>
    <w:rsid w:val="18445AF3"/>
    <w:rsid w:val="18820ED2"/>
    <w:rsid w:val="18B91D2B"/>
    <w:rsid w:val="18C40414"/>
    <w:rsid w:val="18E11A7C"/>
    <w:rsid w:val="19345DF7"/>
    <w:rsid w:val="19721EE1"/>
    <w:rsid w:val="19805192"/>
    <w:rsid w:val="19C7142E"/>
    <w:rsid w:val="19F636A6"/>
    <w:rsid w:val="1A0E6B24"/>
    <w:rsid w:val="1A223867"/>
    <w:rsid w:val="1A6A6D44"/>
    <w:rsid w:val="1A817123"/>
    <w:rsid w:val="1A8564E4"/>
    <w:rsid w:val="1ABD5828"/>
    <w:rsid w:val="1AD556B8"/>
    <w:rsid w:val="1B326FF0"/>
    <w:rsid w:val="1B3409E4"/>
    <w:rsid w:val="1B674FFA"/>
    <w:rsid w:val="1B754BF6"/>
    <w:rsid w:val="1B88070E"/>
    <w:rsid w:val="1B900765"/>
    <w:rsid w:val="1BF630F3"/>
    <w:rsid w:val="1C093ECB"/>
    <w:rsid w:val="1C167E65"/>
    <w:rsid w:val="1C1E5FC1"/>
    <w:rsid w:val="1C2A1FDB"/>
    <w:rsid w:val="1CE41EDC"/>
    <w:rsid w:val="1CE4433A"/>
    <w:rsid w:val="1CE82990"/>
    <w:rsid w:val="1CF31929"/>
    <w:rsid w:val="1D0A52C3"/>
    <w:rsid w:val="1D126A49"/>
    <w:rsid w:val="1DC530BD"/>
    <w:rsid w:val="1DD722C7"/>
    <w:rsid w:val="1E4110C2"/>
    <w:rsid w:val="1E58234F"/>
    <w:rsid w:val="1E9955EF"/>
    <w:rsid w:val="1EC54D64"/>
    <w:rsid w:val="1EE84AA8"/>
    <w:rsid w:val="1EF44218"/>
    <w:rsid w:val="1F4F697C"/>
    <w:rsid w:val="1F73662A"/>
    <w:rsid w:val="1F78445A"/>
    <w:rsid w:val="204A21AB"/>
    <w:rsid w:val="206B2903"/>
    <w:rsid w:val="21A1039B"/>
    <w:rsid w:val="21B005DE"/>
    <w:rsid w:val="21D63178"/>
    <w:rsid w:val="21DE60F4"/>
    <w:rsid w:val="22152AF6"/>
    <w:rsid w:val="228447E5"/>
    <w:rsid w:val="22877BF0"/>
    <w:rsid w:val="22BE0803"/>
    <w:rsid w:val="22CC4155"/>
    <w:rsid w:val="22D133D1"/>
    <w:rsid w:val="232664B7"/>
    <w:rsid w:val="23424F53"/>
    <w:rsid w:val="236E14E2"/>
    <w:rsid w:val="23A01D21"/>
    <w:rsid w:val="23A85D58"/>
    <w:rsid w:val="24617841"/>
    <w:rsid w:val="24877EA7"/>
    <w:rsid w:val="24CD037A"/>
    <w:rsid w:val="24EA31B9"/>
    <w:rsid w:val="24FE2F42"/>
    <w:rsid w:val="258303A6"/>
    <w:rsid w:val="25A653F1"/>
    <w:rsid w:val="25AD2844"/>
    <w:rsid w:val="25C11B38"/>
    <w:rsid w:val="25DF7CE6"/>
    <w:rsid w:val="267157D2"/>
    <w:rsid w:val="268662B9"/>
    <w:rsid w:val="268A132E"/>
    <w:rsid w:val="26B26BA7"/>
    <w:rsid w:val="26DE30DF"/>
    <w:rsid w:val="28215C9F"/>
    <w:rsid w:val="28680B8D"/>
    <w:rsid w:val="28697311"/>
    <w:rsid w:val="286B1703"/>
    <w:rsid w:val="28724DE3"/>
    <w:rsid w:val="2876190C"/>
    <w:rsid w:val="28E64005"/>
    <w:rsid w:val="28FB7CDC"/>
    <w:rsid w:val="291678C1"/>
    <w:rsid w:val="2969622E"/>
    <w:rsid w:val="29744295"/>
    <w:rsid w:val="29921BFA"/>
    <w:rsid w:val="29A43633"/>
    <w:rsid w:val="29D148D0"/>
    <w:rsid w:val="29EA5884"/>
    <w:rsid w:val="2A4665A4"/>
    <w:rsid w:val="2A54394B"/>
    <w:rsid w:val="2A6051AF"/>
    <w:rsid w:val="2A650ABE"/>
    <w:rsid w:val="2A6E2747"/>
    <w:rsid w:val="2A70406D"/>
    <w:rsid w:val="2AAA4765"/>
    <w:rsid w:val="2ABB7852"/>
    <w:rsid w:val="2ABC6246"/>
    <w:rsid w:val="2AC803DC"/>
    <w:rsid w:val="2AF12E49"/>
    <w:rsid w:val="2AF4778E"/>
    <w:rsid w:val="2AF71430"/>
    <w:rsid w:val="2B045C6D"/>
    <w:rsid w:val="2B230B28"/>
    <w:rsid w:val="2B520C88"/>
    <w:rsid w:val="2B67284F"/>
    <w:rsid w:val="2BFE62EC"/>
    <w:rsid w:val="2C2B2FCD"/>
    <w:rsid w:val="2DAC4350"/>
    <w:rsid w:val="2DB034A1"/>
    <w:rsid w:val="2E167163"/>
    <w:rsid w:val="2E3D1B5E"/>
    <w:rsid w:val="2E6C7028"/>
    <w:rsid w:val="2F402F53"/>
    <w:rsid w:val="2FCC417F"/>
    <w:rsid w:val="300D1F92"/>
    <w:rsid w:val="30143D85"/>
    <w:rsid w:val="30297847"/>
    <w:rsid w:val="306C1617"/>
    <w:rsid w:val="310D71E0"/>
    <w:rsid w:val="31192A64"/>
    <w:rsid w:val="315A2944"/>
    <w:rsid w:val="315E1E05"/>
    <w:rsid w:val="31752B09"/>
    <w:rsid w:val="31AA6DF8"/>
    <w:rsid w:val="31D9138A"/>
    <w:rsid w:val="322C5A5F"/>
    <w:rsid w:val="323A7CA1"/>
    <w:rsid w:val="32635D4B"/>
    <w:rsid w:val="32A418CD"/>
    <w:rsid w:val="32A53066"/>
    <w:rsid w:val="32E05501"/>
    <w:rsid w:val="33145E64"/>
    <w:rsid w:val="333B05A8"/>
    <w:rsid w:val="33637000"/>
    <w:rsid w:val="33981E89"/>
    <w:rsid w:val="341018E5"/>
    <w:rsid w:val="341548E3"/>
    <w:rsid w:val="347E456C"/>
    <w:rsid w:val="350A2AEF"/>
    <w:rsid w:val="35170C48"/>
    <w:rsid w:val="357F67EE"/>
    <w:rsid w:val="3597167B"/>
    <w:rsid w:val="359B739A"/>
    <w:rsid w:val="35DE3C55"/>
    <w:rsid w:val="361508C3"/>
    <w:rsid w:val="36623E0E"/>
    <w:rsid w:val="36AA789A"/>
    <w:rsid w:val="37115875"/>
    <w:rsid w:val="37372B0F"/>
    <w:rsid w:val="373C4204"/>
    <w:rsid w:val="375C62CA"/>
    <w:rsid w:val="37712A39"/>
    <w:rsid w:val="37D41C80"/>
    <w:rsid w:val="37DD166C"/>
    <w:rsid w:val="37DF3574"/>
    <w:rsid w:val="38153B76"/>
    <w:rsid w:val="38191C35"/>
    <w:rsid w:val="38486016"/>
    <w:rsid w:val="38890D3B"/>
    <w:rsid w:val="38CB6402"/>
    <w:rsid w:val="3925268C"/>
    <w:rsid w:val="39697DDF"/>
    <w:rsid w:val="39AE5461"/>
    <w:rsid w:val="39B01605"/>
    <w:rsid w:val="3A47642F"/>
    <w:rsid w:val="3A80103E"/>
    <w:rsid w:val="3A824DB6"/>
    <w:rsid w:val="3AAA7E09"/>
    <w:rsid w:val="3AE50133"/>
    <w:rsid w:val="3B001FEE"/>
    <w:rsid w:val="3B345EA5"/>
    <w:rsid w:val="3B641BB6"/>
    <w:rsid w:val="3C287BEA"/>
    <w:rsid w:val="3CB10ED3"/>
    <w:rsid w:val="3D1275D3"/>
    <w:rsid w:val="3D7A18AF"/>
    <w:rsid w:val="3D87531B"/>
    <w:rsid w:val="3DA07301"/>
    <w:rsid w:val="3DA60DBB"/>
    <w:rsid w:val="3DB32416"/>
    <w:rsid w:val="3DB531EC"/>
    <w:rsid w:val="3DBB71E5"/>
    <w:rsid w:val="3EAB77CD"/>
    <w:rsid w:val="3EF43DA9"/>
    <w:rsid w:val="3F0D09C6"/>
    <w:rsid w:val="3F124E22"/>
    <w:rsid w:val="3FB33671"/>
    <w:rsid w:val="40662A84"/>
    <w:rsid w:val="40D83598"/>
    <w:rsid w:val="40E07A4C"/>
    <w:rsid w:val="40E964C7"/>
    <w:rsid w:val="412702D6"/>
    <w:rsid w:val="41461D54"/>
    <w:rsid w:val="414D60AF"/>
    <w:rsid w:val="416A4369"/>
    <w:rsid w:val="41A37DD6"/>
    <w:rsid w:val="41C65C51"/>
    <w:rsid w:val="41EF0B88"/>
    <w:rsid w:val="41FD7266"/>
    <w:rsid w:val="420358DF"/>
    <w:rsid w:val="423C6A00"/>
    <w:rsid w:val="425C32D7"/>
    <w:rsid w:val="42A17DA3"/>
    <w:rsid w:val="42AC4B33"/>
    <w:rsid w:val="42B51D84"/>
    <w:rsid w:val="4302171F"/>
    <w:rsid w:val="43036342"/>
    <w:rsid w:val="432F3601"/>
    <w:rsid w:val="435B2852"/>
    <w:rsid w:val="43922F78"/>
    <w:rsid w:val="43AE4C6F"/>
    <w:rsid w:val="43B41D58"/>
    <w:rsid w:val="43D911A2"/>
    <w:rsid w:val="44220BFB"/>
    <w:rsid w:val="4465697B"/>
    <w:rsid w:val="447F5EC2"/>
    <w:rsid w:val="44E23928"/>
    <w:rsid w:val="4563730C"/>
    <w:rsid w:val="456B496E"/>
    <w:rsid w:val="45967805"/>
    <w:rsid w:val="45B7168C"/>
    <w:rsid w:val="45C97ACB"/>
    <w:rsid w:val="45D513DD"/>
    <w:rsid w:val="46026DAB"/>
    <w:rsid w:val="463C2323"/>
    <w:rsid w:val="464D3541"/>
    <w:rsid w:val="470716AA"/>
    <w:rsid w:val="473C6CD3"/>
    <w:rsid w:val="47B4682B"/>
    <w:rsid w:val="47D37D1F"/>
    <w:rsid w:val="47D56657"/>
    <w:rsid w:val="47E56984"/>
    <w:rsid w:val="484E10AB"/>
    <w:rsid w:val="48694FA0"/>
    <w:rsid w:val="488E768B"/>
    <w:rsid w:val="48A72334"/>
    <w:rsid w:val="48B93350"/>
    <w:rsid w:val="48D32C81"/>
    <w:rsid w:val="48E41FF9"/>
    <w:rsid w:val="48E64A08"/>
    <w:rsid w:val="48EE62AA"/>
    <w:rsid w:val="48FF2069"/>
    <w:rsid w:val="4924024E"/>
    <w:rsid w:val="49866B9C"/>
    <w:rsid w:val="49F41D5E"/>
    <w:rsid w:val="4A2D4613"/>
    <w:rsid w:val="4A527404"/>
    <w:rsid w:val="4A6C513B"/>
    <w:rsid w:val="4A9243E2"/>
    <w:rsid w:val="4ABF78D3"/>
    <w:rsid w:val="4B02629A"/>
    <w:rsid w:val="4B0D6091"/>
    <w:rsid w:val="4B1E31F7"/>
    <w:rsid w:val="4B452E71"/>
    <w:rsid w:val="4BAB75FD"/>
    <w:rsid w:val="4BC85AAC"/>
    <w:rsid w:val="4BCB3573"/>
    <w:rsid w:val="4C8A180A"/>
    <w:rsid w:val="4CE75373"/>
    <w:rsid w:val="4D397F5C"/>
    <w:rsid w:val="4D5934CA"/>
    <w:rsid w:val="4D963B95"/>
    <w:rsid w:val="4DBA747C"/>
    <w:rsid w:val="4DFF7FA0"/>
    <w:rsid w:val="4E2F1DC2"/>
    <w:rsid w:val="4E517295"/>
    <w:rsid w:val="4E523E64"/>
    <w:rsid w:val="4E9C5B47"/>
    <w:rsid w:val="4EA478DF"/>
    <w:rsid w:val="4EAD13BA"/>
    <w:rsid w:val="4EDD03B5"/>
    <w:rsid w:val="4F2E7D5E"/>
    <w:rsid w:val="4F3606F0"/>
    <w:rsid w:val="4F3974C6"/>
    <w:rsid w:val="4F5C43AB"/>
    <w:rsid w:val="50231CAA"/>
    <w:rsid w:val="505B5404"/>
    <w:rsid w:val="50D04016"/>
    <w:rsid w:val="50E6023C"/>
    <w:rsid w:val="511F0076"/>
    <w:rsid w:val="517935BB"/>
    <w:rsid w:val="522C29C1"/>
    <w:rsid w:val="522E4D76"/>
    <w:rsid w:val="52BC72DF"/>
    <w:rsid w:val="52E834B3"/>
    <w:rsid w:val="53087EE3"/>
    <w:rsid w:val="53422181"/>
    <w:rsid w:val="535D60FC"/>
    <w:rsid w:val="53782CBB"/>
    <w:rsid w:val="53F57F4F"/>
    <w:rsid w:val="543C5B7E"/>
    <w:rsid w:val="5446037A"/>
    <w:rsid w:val="54471133"/>
    <w:rsid w:val="54AD25D8"/>
    <w:rsid w:val="55490F98"/>
    <w:rsid w:val="5588094F"/>
    <w:rsid w:val="55A4350F"/>
    <w:rsid w:val="55B36D9D"/>
    <w:rsid w:val="55BA4166"/>
    <w:rsid w:val="55F30547"/>
    <w:rsid w:val="56547E4D"/>
    <w:rsid w:val="5660228A"/>
    <w:rsid w:val="566D4B95"/>
    <w:rsid w:val="5682580A"/>
    <w:rsid w:val="5706262F"/>
    <w:rsid w:val="572656D4"/>
    <w:rsid w:val="577751FE"/>
    <w:rsid w:val="578671EF"/>
    <w:rsid w:val="579161E1"/>
    <w:rsid w:val="57963D10"/>
    <w:rsid w:val="582B0E0E"/>
    <w:rsid w:val="588D7F9E"/>
    <w:rsid w:val="58E6255C"/>
    <w:rsid w:val="58F25D4E"/>
    <w:rsid w:val="59196564"/>
    <w:rsid w:val="59234CED"/>
    <w:rsid w:val="594E7C18"/>
    <w:rsid w:val="596A4F3B"/>
    <w:rsid w:val="59AD06A4"/>
    <w:rsid w:val="5A4D586D"/>
    <w:rsid w:val="5A6249B0"/>
    <w:rsid w:val="5AB011DA"/>
    <w:rsid w:val="5AC6626D"/>
    <w:rsid w:val="5B24736C"/>
    <w:rsid w:val="5B4016C1"/>
    <w:rsid w:val="5B7420A1"/>
    <w:rsid w:val="5C0F6D28"/>
    <w:rsid w:val="5C853AA7"/>
    <w:rsid w:val="5C874373"/>
    <w:rsid w:val="5D7A683C"/>
    <w:rsid w:val="5D940E44"/>
    <w:rsid w:val="5D973DED"/>
    <w:rsid w:val="5E1822EA"/>
    <w:rsid w:val="5EE84C68"/>
    <w:rsid w:val="5F351B48"/>
    <w:rsid w:val="5FA67307"/>
    <w:rsid w:val="5FA703FC"/>
    <w:rsid w:val="5FDA0E97"/>
    <w:rsid w:val="602463B0"/>
    <w:rsid w:val="6026592A"/>
    <w:rsid w:val="603062A5"/>
    <w:rsid w:val="6067398A"/>
    <w:rsid w:val="60776BF3"/>
    <w:rsid w:val="60807FD2"/>
    <w:rsid w:val="60940D66"/>
    <w:rsid w:val="60B868E8"/>
    <w:rsid w:val="60E07B05"/>
    <w:rsid w:val="61047A23"/>
    <w:rsid w:val="61475DF2"/>
    <w:rsid w:val="621D5BA4"/>
    <w:rsid w:val="624D267E"/>
    <w:rsid w:val="625D5E1D"/>
    <w:rsid w:val="62E137F2"/>
    <w:rsid w:val="63197EAF"/>
    <w:rsid w:val="632B5B70"/>
    <w:rsid w:val="632F38D2"/>
    <w:rsid w:val="6350464D"/>
    <w:rsid w:val="635B6748"/>
    <w:rsid w:val="636359BE"/>
    <w:rsid w:val="63947A95"/>
    <w:rsid w:val="63D538F9"/>
    <w:rsid w:val="63DA2CFD"/>
    <w:rsid w:val="6401505A"/>
    <w:rsid w:val="643E5A5C"/>
    <w:rsid w:val="646F1EBF"/>
    <w:rsid w:val="648E5C86"/>
    <w:rsid w:val="64ED6CEE"/>
    <w:rsid w:val="65111BF1"/>
    <w:rsid w:val="655114C5"/>
    <w:rsid w:val="65521A2E"/>
    <w:rsid w:val="65A50236"/>
    <w:rsid w:val="66BC48FC"/>
    <w:rsid w:val="676F49FF"/>
    <w:rsid w:val="678C42CF"/>
    <w:rsid w:val="679B7268"/>
    <w:rsid w:val="67B05ABC"/>
    <w:rsid w:val="67B167D1"/>
    <w:rsid w:val="67DB0789"/>
    <w:rsid w:val="67E17416"/>
    <w:rsid w:val="67E33A6D"/>
    <w:rsid w:val="685F1C50"/>
    <w:rsid w:val="68925915"/>
    <w:rsid w:val="69135AA9"/>
    <w:rsid w:val="69230C63"/>
    <w:rsid w:val="692C3DCB"/>
    <w:rsid w:val="699022E9"/>
    <w:rsid w:val="6A416CEB"/>
    <w:rsid w:val="6A714498"/>
    <w:rsid w:val="6A746F87"/>
    <w:rsid w:val="6A8E6121"/>
    <w:rsid w:val="6AA41A78"/>
    <w:rsid w:val="6ABC3543"/>
    <w:rsid w:val="6AE63990"/>
    <w:rsid w:val="6B0D7664"/>
    <w:rsid w:val="6B5517F4"/>
    <w:rsid w:val="6B59605A"/>
    <w:rsid w:val="6B7E5E3F"/>
    <w:rsid w:val="6BFF1513"/>
    <w:rsid w:val="6C1625B8"/>
    <w:rsid w:val="6C3C464F"/>
    <w:rsid w:val="6C507A6E"/>
    <w:rsid w:val="6C8E4398"/>
    <w:rsid w:val="6C9F6852"/>
    <w:rsid w:val="6CB9611E"/>
    <w:rsid w:val="6D082FFC"/>
    <w:rsid w:val="6D291D4A"/>
    <w:rsid w:val="6DD01424"/>
    <w:rsid w:val="6E0825FE"/>
    <w:rsid w:val="6E103722"/>
    <w:rsid w:val="6EB50C27"/>
    <w:rsid w:val="6EBA15CC"/>
    <w:rsid w:val="6F563B40"/>
    <w:rsid w:val="6FC330B5"/>
    <w:rsid w:val="706731A9"/>
    <w:rsid w:val="70926128"/>
    <w:rsid w:val="70A84F57"/>
    <w:rsid w:val="7115552D"/>
    <w:rsid w:val="714B3C33"/>
    <w:rsid w:val="727151E7"/>
    <w:rsid w:val="728F4AF9"/>
    <w:rsid w:val="72A03841"/>
    <w:rsid w:val="72B92FDC"/>
    <w:rsid w:val="72C60D24"/>
    <w:rsid w:val="73247AB1"/>
    <w:rsid w:val="73D339C9"/>
    <w:rsid w:val="73E13260"/>
    <w:rsid w:val="73EF0CEB"/>
    <w:rsid w:val="73F92AF7"/>
    <w:rsid w:val="73FF5D67"/>
    <w:rsid w:val="74235FBB"/>
    <w:rsid w:val="742972C8"/>
    <w:rsid w:val="743108DF"/>
    <w:rsid w:val="7444613E"/>
    <w:rsid w:val="745919C6"/>
    <w:rsid w:val="74676780"/>
    <w:rsid w:val="74702A9A"/>
    <w:rsid w:val="74B163EC"/>
    <w:rsid w:val="74D13E3E"/>
    <w:rsid w:val="74DC15C1"/>
    <w:rsid w:val="752D5A15"/>
    <w:rsid w:val="75745308"/>
    <w:rsid w:val="75767ED7"/>
    <w:rsid w:val="761C2BBB"/>
    <w:rsid w:val="763E532E"/>
    <w:rsid w:val="76426BCC"/>
    <w:rsid w:val="76443A46"/>
    <w:rsid w:val="764E7153"/>
    <w:rsid w:val="76680F03"/>
    <w:rsid w:val="766B4BFF"/>
    <w:rsid w:val="7671701C"/>
    <w:rsid w:val="76CA785A"/>
    <w:rsid w:val="76D020FC"/>
    <w:rsid w:val="772628C0"/>
    <w:rsid w:val="774065EE"/>
    <w:rsid w:val="775C1C6C"/>
    <w:rsid w:val="776A1DE8"/>
    <w:rsid w:val="778E740D"/>
    <w:rsid w:val="77AA6501"/>
    <w:rsid w:val="77AD063C"/>
    <w:rsid w:val="77B6186E"/>
    <w:rsid w:val="783974E9"/>
    <w:rsid w:val="785726D7"/>
    <w:rsid w:val="785B11BE"/>
    <w:rsid w:val="785D00CA"/>
    <w:rsid w:val="78D02752"/>
    <w:rsid w:val="79294073"/>
    <w:rsid w:val="7971529E"/>
    <w:rsid w:val="7973000B"/>
    <w:rsid w:val="79917011"/>
    <w:rsid w:val="799B093F"/>
    <w:rsid w:val="79A705F2"/>
    <w:rsid w:val="79C8388C"/>
    <w:rsid w:val="79CD5D7E"/>
    <w:rsid w:val="79D12F40"/>
    <w:rsid w:val="7A122D59"/>
    <w:rsid w:val="7A18614B"/>
    <w:rsid w:val="7A350C22"/>
    <w:rsid w:val="7A9162C7"/>
    <w:rsid w:val="7AA57BE5"/>
    <w:rsid w:val="7ACC45BD"/>
    <w:rsid w:val="7AE04F7F"/>
    <w:rsid w:val="7B1642C0"/>
    <w:rsid w:val="7BA23C69"/>
    <w:rsid w:val="7C2B3C5E"/>
    <w:rsid w:val="7C3F517F"/>
    <w:rsid w:val="7C484810"/>
    <w:rsid w:val="7C560ECD"/>
    <w:rsid w:val="7CA37938"/>
    <w:rsid w:val="7CF81AA2"/>
    <w:rsid w:val="7D0F5D90"/>
    <w:rsid w:val="7D172435"/>
    <w:rsid w:val="7D537911"/>
    <w:rsid w:val="7D6E784A"/>
    <w:rsid w:val="7DCB2BBF"/>
    <w:rsid w:val="7DDD6CEA"/>
    <w:rsid w:val="7DED0920"/>
    <w:rsid w:val="7E024E93"/>
    <w:rsid w:val="7E636E14"/>
    <w:rsid w:val="7ED71E7C"/>
    <w:rsid w:val="7F042CBF"/>
    <w:rsid w:val="7F2E1280"/>
    <w:rsid w:val="7F32693E"/>
    <w:rsid w:val="7F530604"/>
    <w:rsid w:val="7F582F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qFormat="1" w:unhideWhenUsed="0" w:uiPriority="99" w:semiHidden="0" w:name="toc 5" w:locked="1"/>
    <w:lsdException w:qFormat="1" w:unhideWhenUsed="0" w:uiPriority="9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qFormat="1" w:unhideWhenUsed="0"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qFormat="1" w:unhideWhenUsed="0" w:uiPriority="0"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35"/>
    <w:qFormat/>
    <w:uiPriority w:val="99"/>
    <w:pPr>
      <w:keepNext/>
      <w:keepLines/>
      <w:spacing w:before="260" w:after="260" w:line="416" w:lineRule="auto"/>
      <w:outlineLvl w:val="2"/>
    </w:pPr>
    <w:rPr>
      <w:b/>
      <w:bCs/>
      <w:sz w:val="32"/>
      <w:szCs w:val="32"/>
    </w:rPr>
  </w:style>
  <w:style w:type="character" w:default="1" w:styleId="28">
    <w:name w:val="Default Paragraph Font"/>
    <w:semiHidden/>
    <w:qFormat/>
    <w:uiPriority w:val="99"/>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szCs w:val="22"/>
      <w:lang w:val="zh-CN"/>
    </w:rPr>
  </w:style>
  <w:style w:type="paragraph" w:styleId="6">
    <w:name w:val="List Number"/>
    <w:basedOn w:val="1"/>
    <w:qFormat/>
    <w:uiPriority w:val="99"/>
    <w:pPr>
      <w:numPr>
        <w:ilvl w:val="0"/>
        <w:numId w:val="1"/>
      </w:numPr>
    </w:pPr>
  </w:style>
  <w:style w:type="paragraph" w:styleId="7">
    <w:name w:val="Normal Indent"/>
    <w:basedOn w:val="1"/>
    <w:next w:val="1"/>
    <w:qFormat/>
    <w:uiPriority w:val="99"/>
    <w:pPr>
      <w:ind w:firstLine="420"/>
    </w:pPr>
    <w:rPr>
      <w:szCs w:val="20"/>
    </w:rPr>
  </w:style>
  <w:style w:type="paragraph" w:styleId="8">
    <w:name w:val="annotation text"/>
    <w:basedOn w:val="1"/>
    <w:link w:val="38"/>
    <w:qFormat/>
    <w:uiPriority w:val="99"/>
    <w:pPr>
      <w:jc w:val="left"/>
    </w:pPr>
  </w:style>
  <w:style w:type="paragraph" w:styleId="9">
    <w:name w:val="Body Text"/>
    <w:basedOn w:val="1"/>
    <w:next w:val="10"/>
    <w:link w:val="36"/>
    <w:qFormat/>
    <w:uiPriority w:val="99"/>
    <w:pPr>
      <w:spacing w:line="360" w:lineRule="exact"/>
    </w:pPr>
    <w:rPr>
      <w:sz w:val="24"/>
    </w:rPr>
  </w:style>
  <w:style w:type="paragraph" w:styleId="10">
    <w:name w:val="Body Text First Indent"/>
    <w:basedOn w:val="9"/>
    <w:next w:val="11"/>
    <w:link w:val="37"/>
    <w:qFormat/>
    <w:locked/>
    <w:uiPriority w:val="99"/>
    <w:pPr>
      <w:ind w:firstLine="420"/>
    </w:pPr>
    <w:rPr>
      <w:sz w:val="21"/>
    </w:rPr>
  </w:style>
  <w:style w:type="paragraph" w:styleId="11">
    <w:name w:val="toc 6"/>
    <w:basedOn w:val="1"/>
    <w:next w:val="1"/>
    <w:qFormat/>
    <w:locked/>
    <w:uiPriority w:val="99"/>
    <w:pPr>
      <w:widowControl/>
      <w:ind w:left="1000"/>
      <w:jc w:val="left"/>
    </w:pPr>
    <w:rPr>
      <w:kern w:val="0"/>
      <w:sz w:val="18"/>
      <w:szCs w:val="20"/>
    </w:rPr>
  </w:style>
  <w:style w:type="paragraph" w:styleId="12">
    <w:name w:val="Body Text Indent"/>
    <w:basedOn w:val="1"/>
    <w:next w:val="1"/>
    <w:link w:val="39"/>
    <w:qFormat/>
    <w:uiPriority w:val="99"/>
    <w:pPr>
      <w:spacing w:after="120"/>
      <w:ind w:left="420" w:leftChars="200"/>
    </w:pPr>
  </w:style>
  <w:style w:type="paragraph" w:styleId="13">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4">
    <w:name w:val="toc 5"/>
    <w:basedOn w:val="1"/>
    <w:next w:val="1"/>
    <w:qFormat/>
    <w:locked/>
    <w:uiPriority w:val="99"/>
    <w:pPr>
      <w:ind w:left="960"/>
      <w:jc w:val="left"/>
    </w:pPr>
    <w:rPr>
      <w:rFonts w:ascii="Calibri" w:hAnsi="Calibri" w:eastAsia="宋体"/>
      <w:sz w:val="18"/>
      <w:szCs w:val="18"/>
    </w:rPr>
  </w:style>
  <w:style w:type="paragraph" w:styleId="15">
    <w:name w:val="Plain Text"/>
    <w:basedOn w:val="1"/>
    <w:next w:val="1"/>
    <w:link w:val="40"/>
    <w:qFormat/>
    <w:uiPriority w:val="99"/>
    <w:rPr>
      <w:rFonts w:ascii="宋体" w:hAnsi="Courier New"/>
    </w:rPr>
  </w:style>
  <w:style w:type="paragraph" w:styleId="16">
    <w:name w:val="Date"/>
    <w:basedOn w:val="1"/>
    <w:next w:val="1"/>
    <w:link w:val="41"/>
    <w:qFormat/>
    <w:uiPriority w:val="99"/>
    <w:pPr>
      <w:ind w:left="2500" w:leftChars="2500"/>
    </w:pPr>
    <w:rPr>
      <w:rFonts w:ascii="Calibri" w:hAnsi="Calibri" w:eastAsia="楷体_GB2312"/>
      <w:sz w:val="32"/>
      <w:szCs w:val="22"/>
    </w:rPr>
  </w:style>
  <w:style w:type="paragraph" w:styleId="17">
    <w:name w:val="Balloon Text"/>
    <w:basedOn w:val="1"/>
    <w:link w:val="42"/>
    <w:qFormat/>
    <w:uiPriority w:val="99"/>
    <w:rPr>
      <w:sz w:val="18"/>
      <w:szCs w:val="18"/>
    </w:rPr>
  </w:style>
  <w:style w:type="paragraph" w:styleId="18">
    <w:name w:val="footer"/>
    <w:basedOn w:val="1"/>
    <w:link w:val="43"/>
    <w:qFormat/>
    <w:uiPriority w:val="99"/>
    <w:pPr>
      <w:tabs>
        <w:tab w:val="center" w:pos="4153"/>
        <w:tab w:val="right" w:pos="8306"/>
      </w:tabs>
      <w:snapToGrid w:val="0"/>
      <w:jc w:val="left"/>
    </w:pPr>
    <w:rPr>
      <w:sz w:val="18"/>
    </w:rPr>
  </w:style>
  <w:style w:type="paragraph" w:styleId="19">
    <w:name w:val="header"/>
    <w:basedOn w:val="1"/>
    <w:link w:val="4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footnote text"/>
    <w:basedOn w:val="1"/>
    <w:link w:val="45"/>
    <w:semiHidden/>
    <w:qFormat/>
    <w:locked/>
    <w:uiPriority w:val="99"/>
    <w:pPr>
      <w:snapToGrid w:val="0"/>
      <w:jc w:val="left"/>
    </w:pPr>
    <w:rPr>
      <w:sz w:val="18"/>
    </w:rPr>
  </w:style>
  <w:style w:type="paragraph" w:styleId="21">
    <w:name w:val="toc 2"/>
    <w:basedOn w:val="1"/>
    <w:next w:val="1"/>
    <w:qFormat/>
    <w:uiPriority w:val="99"/>
    <w:pPr>
      <w:ind w:left="420" w:leftChars="200"/>
    </w:p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next w:val="1"/>
    <w:link w:val="46"/>
    <w:qFormat/>
    <w:locked/>
    <w:uiPriority w:val="99"/>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4">
    <w:name w:val="annotation subject"/>
    <w:basedOn w:val="8"/>
    <w:next w:val="8"/>
    <w:link w:val="47"/>
    <w:qFormat/>
    <w:uiPriority w:val="99"/>
    <w:rPr>
      <w:b/>
      <w:bCs/>
    </w:rPr>
  </w:style>
  <w:style w:type="paragraph" w:styleId="25">
    <w:name w:val="Body Text First Indent 2"/>
    <w:basedOn w:val="12"/>
    <w:next w:val="1"/>
    <w:link w:val="48"/>
    <w:qFormat/>
    <w:locked/>
    <w:uiPriority w:val="99"/>
    <w:pPr>
      <w:ind w:firstLine="420"/>
    </w:pPr>
  </w:style>
  <w:style w:type="table" w:styleId="27">
    <w:name w:val="Table Grid"/>
    <w:basedOn w:val="26"/>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Hyperlink"/>
    <w:basedOn w:val="28"/>
    <w:qFormat/>
    <w:locked/>
    <w:uiPriority w:val="0"/>
    <w:rPr>
      <w:color w:val="0000FF"/>
      <w:u w:val="single"/>
    </w:rPr>
  </w:style>
  <w:style w:type="character" w:styleId="30">
    <w:name w:val="annotation reference"/>
    <w:basedOn w:val="28"/>
    <w:qFormat/>
    <w:uiPriority w:val="99"/>
    <w:rPr>
      <w:rFonts w:cs="Times New Roman"/>
      <w:sz w:val="21"/>
      <w:szCs w:val="21"/>
    </w:rPr>
  </w:style>
  <w:style w:type="character" w:styleId="31">
    <w:name w:val="footnote reference"/>
    <w:basedOn w:val="28"/>
    <w:semiHidden/>
    <w:qFormat/>
    <w:locked/>
    <w:uiPriority w:val="99"/>
    <w:rPr>
      <w:rFonts w:cs="Times New Roman"/>
      <w:vertAlign w:val="superscript"/>
    </w:rPr>
  </w:style>
  <w:style w:type="character" w:customStyle="1" w:styleId="32">
    <w:name w:val="NormalCharacter"/>
    <w:qFormat/>
    <w:uiPriority w:val="99"/>
  </w:style>
  <w:style w:type="character" w:customStyle="1" w:styleId="33">
    <w:name w:val="Heading 1 Char"/>
    <w:basedOn w:val="28"/>
    <w:link w:val="3"/>
    <w:qFormat/>
    <w:locked/>
    <w:uiPriority w:val="99"/>
    <w:rPr>
      <w:rFonts w:ascii="Times New Roman" w:hAnsi="Times New Roman" w:cs="Times New Roman"/>
      <w:b/>
      <w:bCs/>
      <w:kern w:val="44"/>
      <w:sz w:val="44"/>
      <w:szCs w:val="44"/>
    </w:rPr>
  </w:style>
  <w:style w:type="character" w:customStyle="1" w:styleId="34">
    <w:name w:val="Heading 2 Char"/>
    <w:basedOn w:val="28"/>
    <w:link w:val="4"/>
    <w:semiHidden/>
    <w:qFormat/>
    <w:locked/>
    <w:uiPriority w:val="99"/>
    <w:rPr>
      <w:rFonts w:ascii="Cambria" w:hAnsi="Cambria" w:eastAsia="宋体" w:cs="Times New Roman"/>
      <w:b/>
      <w:bCs/>
      <w:sz w:val="32"/>
      <w:szCs w:val="32"/>
    </w:rPr>
  </w:style>
  <w:style w:type="character" w:customStyle="1" w:styleId="35">
    <w:name w:val="Heading 3 Char"/>
    <w:basedOn w:val="28"/>
    <w:link w:val="5"/>
    <w:semiHidden/>
    <w:qFormat/>
    <w:locked/>
    <w:uiPriority w:val="99"/>
    <w:rPr>
      <w:rFonts w:cs="Times New Roman"/>
      <w:b/>
      <w:bCs/>
      <w:sz w:val="32"/>
      <w:szCs w:val="32"/>
    </w:rPr>
  </w:style>
  <w:style w:type="character" w:customStyle="1" w:styleId="36">
    <w:name w:val="Body Text Char"/>
    <w:basedOn w:val="28"/>
    <w:link w:val="9"/>
    <w:semiHidden/>
    <w:qFormat/>
    <w:locked/>
    <w:uiPriority w:val="99"/>
    <w:rPr>
      <w:rFonts w:cs="Times New Roman"/>
      <w:sz w:val="24"/>
      <w:szCs w:val="24"/>
    </w:rPr>
  </w:style>
  <w:style w:type="character" w:customStyle="1" w:styleId="37">
    <w:name w:val="Body Text First Indent Char"/>
    <w:basedOn w:val="36"/>
    <w:link w:val="10"/>
    <w:semiHidden/>
    <w:qFormat/>
    <w:locked/>
    <w:uiPriority w:val="99"/>
    <w:rPr>
      <w:rFonts w:ascii="Times New Roman" w:hAnsi="Times New Roman"/>
    </w:rPr>
  </w:style>
  <w:style w:type="character" w:customStyle="1" w:styleId="38">
    <w:name w:val="Comment Text Char"/>
    <w:basedOn w:val="28"/>
    <w:link w:val="8"/>
    <w:qFormat/>
    <w:locked/>
    <w:uiPriority w:val="99"/>
    <w:rPr>
      <w:rFonts w:ascii="Times New Roman" w:hAnsi="Times New Roman" w:eastAsia="宋体" w:cs="Times New Roman"/>
      <w:kern w:val="2"/>
      <w:sz w:val="24"/>
      <w:szCs w:val="24"/>
    </w:rPr>
  </w:style>
  <w:style w:type="character" w:customStyle="1" w:styleId="39">
    <w:name w:val="Body Text Indent Char"/>
    <w:basedOn w:val="28"/>
    <w:link w:val="12"/>
    <w:qFormat/>
    <w:locked/>
    <w:uiPriority w:val="99"/>
    <w:rPr>
      <w:rFonts w:cs="Times New Roman"/>
      <w:kern w:val="2"/>
      <w:sz w:val="24"/>
      <w:szCs w:val="24"/>
    </w:rPr>
  </w:style>
  <w:style w:type="character" w:customStyle="1" w:styleId="40">
    <w:name w:val="Plain Text Char"/>
    <w:basedOn w:val="28"/>
    <w:link w:val="15"/>
    <w:semiHidden/>
    <w:qFormat/>
    <w:locked/>
    <w:uiPriority w:val="99"/>
    <w:rPr>
      <w:rFonts w:ascii="宋体" w:hAnsi="Courier New" w:cs="Courier New"/>
      <w:sz w:val="21"/>
      <w:szCs w:val="21"/>
    </w:rPr>
  </w:style>
  <w:style w:type="character" w:customStyle="1" w:styleId="41">
    <w:name w:val="Date Char"/>
    <w:basedOn w:val="28"/>
    <w:link w:val="16"/>
    <w:semiHidden/>
    <w:qFormat/>
    <w:locked/>
    <w:uiPriority w:val="99"/>
    <w:rPr>
      <w:rFonts w:cs="Times New Roman"/>
      <w:sz w:val="24"/>
      <w:szCs w:val="24"/>
    </w:rPr>
  </w:style>
  <w:style w:type="character" w:customStyle="1" w:styleId="42">
    <w:name w:val="Balloon Text Char"/>
    <w:basedOn w:val="28"/>
    <w:link w:val="17"/>
    <w:qFormat/>
    <w:locked/>
    <w:uiPriority w:val="99"/>
    <w:rPr>
      <w:rFonts w:ascii="Times New Roman" w:hAnsi="Times New Roman" w:eastAsia="宋体" w:cs="Times New Roman"/>
      <w:kern w:val="2"/>
      <w:sz w:val="18"/>
      <w:szCs w:val="18"/>
    </w:rPr>
  </w:style>
  <w:style w:type="character" w:customStyle="1" w:styleId="43">
    <w:name w:val="Footer Char"/>
    <w:basedOn w:val="28"/>
    <w:link w:val="18"/>
    <w:semiHidden/>
    <w:qFormat/>
    <w:locked/>
    <w:uiPriority w:val="99"/>
    <w:rPr>
      <w:rFonts w:cs="Times New Roman"/>
      <w:sz w:val="18"/>
      <w:szCs w:val="18"/>
    </w:rPr>
  </w:style>
  <w:style w:type="character" w:customStyle="1" w:styleId="44">
    <w:name w:val="Header Char"/>
    <w:basedOn w:val="28"/>
    <w:link w:val="19"/>
    <w:semiHidden/>
    <w:qFormat/>
    <w:locked/>
    <w:uiPriority w:val="99"/>
    <w:rPr>
      <w:rFonts w:cs="Times New Roman"/>
      <w:sz w:val="18"/>
      <w:szCs w:val="18"/>
    </w:rPr>
  </w:style>
  <w:style w:type="character" w:customStyle="1" w:styleId="45">
    <w:name w:val="Footnote Text Char"/>
    <w:basedOn w:val="28"/>
    <w:link w:val="20"/>
    <w:semiHidden/>
    <w:qFormat/>
    <w:locked/>
    <w:uiPriority w:val="99"/>
    <w:rPr>
      <w:rFonts w:cs="Times New Roman"/>
      <w:sz w:val="18"/>
      <w:szCs w:val="18"/>
    </w:rPr>
  </w:style>
  <w:style w:type="character" w:customStyle="1" w:styleId="46">
    <w:name w:val="Title Char"/>
    <w:basedOn w:val="28"/>
    <w:link w:val="23"/>
    <w:qFormat/>
    <w:locked/>
    <w:uiPriority w:val="99"/>
    <w:rPr>
      <w:rFonts w:ascii="Cambria" w:hAnsi="Cambria" w:cs="Times New Roman"/>
      <w:b/>
      <w:bCs/>
      <w:sz w:val="32"/>
      <w:szCs w:val="32"/>
    </w:rPr>
  </w:style>
  <w:style w:type="character" w:customStyle="1" w:styleId="47">
    <w:name w:val="Comment Subject Char"/>
    <w:basedOn w:val="38"/>
    <w:link w:val="24"/>
    <w:qFormat/>
    <w:locked/>
    <w:uiPriority w:val="99"/>
    <w:rPr>
      <w:b/>
      <w:bCs/>
    </w:rPr>
  </w:style>
  <w:style w:type="character" w:customStyle="1" w:styleId="48">
    <w:name w:val="Body Text First Indent 2 Char"/>
    <w:basedOn w:val="39"/>
    <w:link w:val="25"/>
    <w:semiHidden/>
    <w:qFormat/>
    <w:locked/>
    <w:uiPriority w:val="99"/>
    <w:rPr>
      <w:rFonts w:ascii="Times New Roman" w:hAnsi="Times New Roman"/>
    </w:rPr>
  </w:style>
  <w:style w:type="paragraph" w:customStyle="1" w:styleId="49">
    <w:name w:val="正文（首行缩进2字符）"/>
    <w:basedOn w:val="1"/>
    <w:qFormat/>
    <w:uiPriority w:val="99"/>
    <w:pPr>
      <w:spacing w:line="360" w:lineRule="auto"/>
      <w:ind w:firstLine="420" w:firstLineChars="200"/>
    </w:pPr>
    <w:rPr>
      <w:szCs w:val="21"/>
    </w:rPr>
  </w:style>
  <w:style w:type="paragraph" w:customStyle="1" w:styleId="50">
    <w:name w:val="无间隔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1">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52">
    <w:name w:val="List Paragraph"/>
    <w:basedOn w:val="1"/>
    <w:qFormat/>
    <w:uiPriority w:val="99"/>
    <w:pPr>
      <w:ind w:firstLine="420" w:firstLineChars="200"/>
    </w:pPr>
    <w:rPr>
      <w:rFonts w:ascii="Calibri" w:hAnsi="Calibri"/>
      <w:szCs w:val="22"/>
    </w:rPr>
  </w:style>
  <w:style w:type="paragraph" w:customStyle="1" w:styleId="53">
    <w:name w:val="列出段落1"/>
    <w:basedOn w:val="1"/>
    <w:qFormat/>
    <w:uiPriority w:val="99"/>
    <w:pPr>
      <w:ind w:firstLine="420" w:firstLineChars="200"/>
    </w:pPr>
    <w:rPr>
      <w:rFonts w:ascii="Calibri" w:hAnsi="Calibri"/>
      <w:kern w:val="0"/>
      <w:szCs w:val="20"/>
    </w:rPr>
  </w:style>
  <w:style w:type="paragraph" w:customStyle="1" w:styleId="54">
    <w:name w:val="无间隔1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6">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4"/>
    <w:qFormat/>
    <w:uiPriority w:val="99"/>
    <w:rPr>
      <w:rFonts w:ascii="Times New Roman" w:hAnsi="Times New Roman" w:eastAsia="宋体" w:cs="Times New Roman"/>
      <w:kern w:val="0"/>
      <w:sz w:val="21"/>
      <w:szCs w:val="22"/>
      <w:lang w:val="en-US" w:eastAsia="zh-CN" w:bidi="ar-SA"/>
    </w:rPr>
  </w:style>
  <w:style w:type="paragraph" w:customStyle="1" w:styleId="58">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纯文本_3"/>
    <w:basedOn w:val="60"/>
    <w:qFormat/>
    <w:uiPriority w:val="99"/>
    <w:pPr>
      <w:widowControl/>
      <w:jc w:val="left"/>
    </w:pPr>
    <w:rPr>
      <w:rFonts w:ascii="宋体" w:hAnsi="Courier New"/>
      <w:szCs w:val="21"/>
    </w:rPr>
  </w:style>
  <w:style w:type="paragraph" w:customStyle="1" w:styleId="62">
    <w:name w:val="纯文本_0_1"/>
    <w:basedOn w:val="1"/>
    <w:qFormat/>
    <w:uiPriority w:val="99"/>
    <w:pPr>
      <w:widowControl/>
      <w:jc w:val="left"/>
    </w:pPr>
    <w:rPr>
      <w:rFonts w:ascii="宋体" w:hAnsi="Courier New"/>
      <w:szCs w:val="21"/>
    </w:rPr>
  </w:style>
  <w:style w:type="paragraph" w:customStyle="1" w:styleId="63">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7">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8">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69">
    <w:name w:val="font11"/>
    <w:qFormat/>
    <w:uiPriority w:val="99"/>
    <w:rPr>
      <w:rFonts w:ascii="Times New Roman" w:hAnsi="Times New Roman"/>
      <w:color w:val="000000"/>
      <w:sz w:val="24"/>
      <w:u w:val="none"/>
    </w:rPr>
  </w:style>
  <w:style w:type="character" w:customStyle="1" w:styleId="70">
    <w:name w:val="font01"/>
    <w:qFormat/>
    <w:uiPriority w:val="99"/>
    <w:rPr>
      <w:rFonts w:ascii="宋体" w:hAnsi="宋体" w:eastAsia="宋体"/>
      <w:color w:val="000000"/>
      <w:sz w:val="24"/>
      <w:u w:val="none"/>
    </w:rPr>
  </w:style>
  <w:style w:type="character" w:customStyle="1" w:styleId="71">
    <w:name w:val="font31"/>
    <w:qFormat/>
    <w:uiPriority w:val="99"/>
    <w:rPr>
      <w:rFonts w:ascii="宋体" w:hAnsi="宋体" w:eastAsia="宋体"/>
      <w:color w:val="000000"/>
      <w:sz w:val="24"/>
      <w:u w:val="none"/>
    </w:rPr>
  </w:style>
  <w:style w:type="paragraph" w:customStyle="1" w:styleId="72">
    <w:name w:val="正文 New New New New"/>
    <w:qFormat/>
    <w:uiPriority w:val="99"/>
    <w:pPr>
      <w:widowControl w:val="0"/>
      <w:jc w:val="both"/>
    </w:pPr>
    <w:rPr>
      <w:rFonts w:ascii="Times New Roman" w:hAnsi="Times New Roman" w:eastAsia="宋体" w:cs="Times New Roman"/>
      <w:kern w:val="0"/>
      <w:sz w:val="21"/>
      <w:szCs w:val="24"/>
      <w:lang w:val="en-US" w:eastAsia="zh-CN" w:bidi="ar-SA"/>
    </w:rPr>
  </w:style>
  <w:style w:type="paragraph" w:customStyle="1" w:styleId="73">
    <w:name w:val="p18"/>
    <w:basedOn w:val="1"/>
    <w:qFormat/>
    <w:uiPriority w:val="99"/>
    <w:pPr>
      <w:widowControl/>
      <w:spacing w:line="748" w:lineRule="atLeast"/>
      <w:ind w:left="-527" w:firstLine="527"/>
    </w:pPr>
    <w:rPr>
      <w:rFonts w:ascii="宋体" w:hAnsi="宋体" w:cs="宋体"/>
      <w:kern w:val="0"/>
      <w:sz w:val="24"/>
    </w:rPr>
  </w:style>
  <w:style w:type="paragraph" w:customStyle="1" w:styleId="74">
    <w:name w:val="投标标题1"/>
    <w:qFormat/>
    <w:uiPriority w:val="99"/>
    <w:pPr>
      <w:keepNext/>
      <w:keepLines/>
      <w:widowControl w:val="0"/>
      <w:spacing w:before="120" w:after="120"/>
      <w:ind w:left="144" w:hanging="144"/>
      <w:jc w:val="center"/>
      <w:outlineLvl w:val="0"/>
    </w:pPr>
    <w:rPr>
      <w:rFonts w:ascii="黑体" w:hAnsi="Times New Roman" w:eastAsia="黑体" w:cs="Times New Roman"/>
      <w:b/>
      <w:kern w:val="44"/>
      <w:sz w:val="28"/>
      <w:szCs w:val="28"/>
      <w:lang w:val="en-US" w:eastAsia="zh-CN" w:bidi="ar-SA"/>
    </w:rPr>
  </w:style>
  <w:style w:type="paragraph" w:customStyle="1" w:styleId="75">
    <w:name w:val="投标正文"/>
    <w:basedOn w:val="1"/>
    <w:qFormat/>
    <w:uiPriority w:val="99"/>
    <w:pPr>
      <w:spacing w:line="360" w:lineRule="auto"/>
      <w:ind w:left="100" w:firstLine="480" w:firstLineChars="200"/>
    </w:pPr>
    <w:rPr>
      <w:rFonts w:ascii="Calibri" w:hAnsi="Calibri"/>
      <w:sz w:val="24"/>
    </w:rPr>
  </w:style>
  <w:style w:type="paragraph" w:customStyle="1" w:styleId="76">
    <w:name w:val="投标文件正文"/>
    <w:basedOn w:val="1"/>
    <w:qFormat/>
    <w:uiPriority w:val="99"/>
    <w:pPr>
      <w:spacing w:afterLines="50" w:line="360" w:lineRule="auto"/>
      <w:ind w:firstLine="200" w:firstLineChars="200"/>
    </w:pPr>
    <w:rPr>
      <w:rFonts w:ascii="宋体" w:hAnsi="宋体"/>
      <w:color w:val="000000"/>
      <w:sz w:val="24"/>
    </w:rPr>
  </w:style>
  <w:style w:type="paragraph" w:customStyle="1" w:styleId="77">
    <w:name w:val="投标标题2"/>
    <w:qFormat/>
    <w:uiPriority w:val="99"/>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8">
    <w:name w:val="投标标题3"/>
    <w:qFormat/>
    <w:uiPriority w:val="99"/>
    <w:pPr>
      <w:keepNext/>
      <w:keepLines/>
      <w:widowControl w:val="0"/>
      <w:spacing w:beforeLines="50" w:afterLines="50" w:line="480" w:lineRule="auto"/>
      <w:ind w:left="420" w:hanging="420"/>
      <w:jc w:val="both"/>
      <w:outlineLvl w:val="2"/>
    </w:pPr>
    <w:rPr>
      <w:rFonts w:ascii="宋体" w:hAnsi="宋体" w:eastAsia="宋体" w:cs="Times New Roman"/>
      <w:b/>
      <w:color w:val="000000"/>
      <w:kern w:val="2"/>
      <w:sz w:val="24"/>
      <w:szCs w:val="24"/>
      <w:lang w:val="en-US" w:eastAsia="zh-CN" w:bidi="ar-SA"/>
    </w:rPr>
  </w:style>
  <w:style w:type="paragraph" w:customStyle="1" w:styleId="79">
    <w:name w:val="UserStyle_0"/>
    <w:qFormat/>
    <w:uiPriority w:val="99"/>
    <w:pPr>
      <w:tabs>
        <w:tab w:val="left" w:pos="2551"/>
        <w:tab w:val="left" w:pos="3118"/>
        <w:tab w:val="left" w:pos="4819"/>
        <w:tab w:val="left" w:pos="5386"/>
        <w:tab w:val="left" w:pos="5953"/>
        <w:tab w:val="left" w:pos="6520"/>
        <w:tab w:val="left" w:pos="7075"/>
        <w:tab w:val="left" w:pos="7654"/>
        <w:tab w:val="left" w:pos="8220"/>
      </w:tabs>
      <w:spacing w:before="1" w:after="1"/>
      <w:ind w:left="2551" w:right="1" w:hanging="2551"/>
      <w:textAlignment w:val="baseline"/>
    </w:pPr>
    <w:rPr>
      <w:rFonts w:ascii="Helvetica" w:hAnsi="Helvetica" w:eastAsia="平成明朝" w:cs="Times New Roman"/>
      <w:color w:val="000000"/>
      <w:kern w:val="0"/>
      <w:sz w:val="28"/>
      <w:szCs w:val="20"/>
      <w:lang w:val="en-US" w:eastAsia="ja-JP" w:bidi="ar-SA"/>
    </w:rPr>
  </w:style>
  <w:style w:type="paragraph" w:customStyle="1" w:styleId="80">
    <w:name w:val="列出段落"/>
    <w:basedOn w:val="1"/>
    <w:qFormat/>
    <w:uiPriority w:val="99"/>
    <w:pPr>
      <w:ind w:firstLine="420" w:firstLineChars="200"/>
    </w:pPr>
    <w:rPr>
      <w:rFonts w:ascii="Calibri" w:hAnsi="Calibri"/>
      <w:szCs w:val="22"/>
    </w:rPr>
  </w:style>
  <w:style w:type="character" w:customStyle="1" w:styleId="81">
    <w:name w:val="font21"/>
    <w:basedOn w:val="28"/>
    <w:qFormat/>
    <w:uiPriority w:val="0"/>
    <w:rPr>
      <w:rFonts w:hint="eastAsia" w:ascii="宋体" w:hAnsi="宋体" w:eastAsia="宋体" w:cs="宋体"/>
      <w:color w:val="000000"/>
      <w:sz w:val="24"/>
      <w:szCs w:val="24"/>
      <w:u w:val="none"/>
    </w:rPr>
  </w:style>
  <w:style w:type="paragraph" w:customStyle="1" w:styleId="82">
    <w:name w:val="彩色列表 - 强调文字颜色 11"/>
    <w:basedOn w:val="1"/>
    <w:qFormat/>
    <w:uiPriority w:val="0"/>
    <w:pPr>
      <w:widowControl/>
      <w:ind w:firstLine="200" w:firstLineChars="200"/>
      <w:jc w:val="left"/>
    </w:pPr>
    <w:rPr>
      <w:rFonts w:ascii="??" w:hAnsi="??" w:eastAsia="??" w:cs="??"/>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69</Pages>
  <Words>30523</Words>
  <Characters>33341</Characters>
  <Lines>0</Lines>
  <Paragraphs>0</Paragraphs>
  <TotalTime>44</TotalTime>
  <ScaleCrop>false</ScaleCrop>
  <LinksUpToDate>false</LinksUpToDate>
  <CharactersWithSpaces>35085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WPS123123</cp:lastModifiedBy>
  <cp:lastPrinted>2021-07-01T02:35:00Z</cp:lastPrinted>
  <dcterms:modified xsi:type="dcterms:W3CDTF">2023-05-29T03:23:53Z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85EF3B5873B9485EB8BF27E416795524_13</vt:lpwstr>
  </property>
</Properties>
</file>