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p>
    <w:p>
      <w:pPr>
        <w:pStyle w:val="12"/>
        <w:shd w:val="clear"/>
        <w:rPr>
          <w:rFonts w:hint="eastAsia" w:ascii="宋体" w:hAnsi="宋体" w:eastAsia="宋体" w:cs="宋体"/>
          <w:color w:val="000000" w:themeColor="text1"/>
          <w:highlight w:val="none"/>
          <w14:textFill>
            <w14:solidFill>
              <w14:schemeClr w14:val="tx1"/>
            </w14:solidFill>
          </w14:textFill>
        </w:rPr>
      </w:pP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lum contrast="11999"/>
                    </a:blip>
                    <a:stretch>
                      <a:fillRect/>
                    </a:stretch>
                  </pic:blipFill>
                  <pic:spPr>
                    <a:xfrm>
                      <a:off x="0" y="0"/>
                      <a:ext cx="2971800" cy="2091690"/>
                    </a:xfrm>
                    <a:prstGeom prst="rect">
                      <a:avLst/>
                    </a:prstGeom>
                    <a:noFill/>
                    <a:ln>
                      <a:noFill/>
                    </a:ln>
                  </pic:spPr>
                </pic:pic>
              </a:graphicData>
            </a:graphic>
          </wp:anchor>
        </w:drawing>
      </w:r>
    </w:p>
    <w:p>
      <w:pPr>
        <w:shd w:val="clear"/>
        <w:jc w:val="center"/>
        <w:rPr>
          <w:rFonts w:hint="eastAsia" w:ascii="宋体" w:hAnsi="宋体" w:eastAsia="宋体" w:cs="宋体"/>
          <w:color w:val="000000" w:themeColor="text1"/>
          <w:sz w:val="52"/>
          <w:szCs w:val="52"/>
          <w:highlight w:val="none"/>
          <w14:textFill>
            <w14:solidFill>
              <w14:schemeClr w14:val="tx1"/>
            </w14:solidFill>
          </w14:textFill>
        </w:rPr>
      </w:pPr>
    </w:p>
    <w:p>
      <w:pPr>
        <w:shd w:val="clear"/>
        <w:jc w:val="center"/>
        <w:rPr>
          <w:rFonts w:hint="eastAsia"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color w:val="000000" w:themeColor="text1"/>
          <w:sz w:val="72"/>
          <w:szCs w:val="72"/>
          <w:highlight w:val="none"/>
          <w14:textFill>
            <w14:solidFill>
              <w14:schemeClr w14:val="tx1"/>
            </w14:solidFill>
          </w14:textFill>
        </w:rPr>
        <w:t xml:space="preserve">         F-STONE</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jc w:val="center"/>
        <w:rPr>
          <w:rFonts w:hint="eastAsia" w:ascii="宋体" w:hAnsi="宋体" w:eastAsia="宋体" w:cs="宋体"/>
          <w:b/>
          <w:color w:val="000000" w:themeColor="text1"/>
          <w:sz w:val="72"/>
          <w:szCs w:val="72"/>
          <w:highlight w:val="none"/>
          <w14:textFill>
            <w14:solidFill>
              <w14:schemeClr w14:val="tx1"/>
            </w14:solidFill>
          </w14:textFill>
        </w:rPr>
      </w:pPr>
    </w:p>
    <w:p>
      <w:pPr>
        <w:shd w:val="clear"/>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政府采购电子竞争性磋商文件</w:t>
      </w:r>
    </w:p>
    <w:p>
      <w:pPr>
        <w:shd w:val="clear"/>
        <w:spacing w:line="360" w:lineRule="auto"/>
        <w:jc w:val="center"/>
        <w:textAlignment w:val="bottom"/>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jc w:val="center"/>
        <w:textAlignment w:val="bottom"/>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eastAsia="宋体" w:cs="宋体"/>
          <w:color w:val="000000" w:themeColor="text1"/>
          <w:sz w:val="28"/>
          <w:szCs w:val="28"/>
          <w:highlight w:val="none"/>
          <w:lang w:val="en-US" w:eastAsia="zh-CN"/>
          <w14:textFill>
            <w14:solidFill>
              <w14:schemeClr w14:val="tx1"/>
            </w14:solidFill>
          </w14:textFill>
        </w:rPr>
        <w:t>ZJWS2023-LQ02</w:t>
      </w:r>
    </w:p>
    <w:p>
      <w:pPr>
        <w:shd w:val="clear"/>
        <w:tabs>
          <w:tab w:val="left" w:pos="1860"/>
        </w:tabs>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pStyle w:val="12"/>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jc w:val="center"/>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ind w:firstLine="1400" w:firstLineChars="500"/>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采购项目：</w:t>
      </w:r>
      <w:r>
        <w:rPr>
          <w:rFonts w:hint="eastAsia" w:ascii="宋体" w:hAnsi="宋体" w:eastAsia="宋体" w:cs="宋体"/>
          <w:color w:val="000000" w:themeColor="text1"/>
          <w:kern w:val="0"/>
          <w:sz w:val="28"/>
          <w:highlight w:val="none"/>
          <w:lang w:val="en-US" w:eastAsia="zh-CN"/>
          <w14:textFill>
            <w14:solidFill>
              <w14:schemeClr w14:val="tx1"/>
            </w14:solidFill>
          </w14:textFill>
        </w:rPr>
        <w:t>路桥古街未来社区数字化系统采购</w:t>
      </w:r>
      <w:r>
        <w:rPr>
          <w:rFonts w:hint="eastAsia" w:ascii="宋体" w:hAnsi="宋体" w:eastAsia="宋体" w:cs="宋体"/>
          <w:color w:val="000000" w:themeColor="text1"/>
          <w:kern w:val="0"/>
          <w:sz w:val="28"/>
          <w:highlight w:val="none"/>
          <w14:textFill>
            <w14:solidFill>
              <w14:schemeClr w14:val="tx1"/>
            </w14:solidFill>
          </w14:textFill>
        </w:rPr>
        <w:t>项目</w:t>
      </w:r>
    </w:p>
    <w:p>
      <w:pPr>
        <w:shd w:val="clear"/>
        <w:autoSpaceDE w:val="0"/>
        <w:autoSpaceDN w:val="0"/>
        <w:adjustRightInd w:val="0"/>
        <w:spacing w:line="360" w:lineRule="auto"/>
        <w:ind w:firstLine="1400" w:firstLineChars="500"/>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采购单位：</w:t>
      </w:r>
      <w:r>
        <w:rPr>
          <w:rFonts w:hint="eastAsia" w:ascii="宋体" w:hAnsi="宋体" w:eastAsia="宋体" w:cs="宋体"/>
          <w:color w:val="000000" w:themeColor="text1"/>
          <w:kern w:val="0"/>
          <w:sz w:val="28"/>
          <w:highlight w:val="none"/>
          <w:lang w:val="en-US" w:eastAsia="zh-CN"/>
          <w14:textFill>
            <w14:solidFill>
              <w14:schemeClr w14:val="tx1"/>
            </w14:solidFill>
          </w14:textFill>
        </w:rPr>
        <w:t>台州市路桥区人民政府路桥街道办事处</w:t>
      </w:r>
    </w:p>
    <w:p>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14:textFill>
            <w14:solidFill>
              <w14:schemeClr w14:val="tx1"/>
            </w14:solidFill>
          </w14:textFill>
        </w:rPr>
      </w:pPr>
    </w:p>
    <w:p>
      <w:pPr>
        <w:pStyle w:val="12"/>
        <w:shd w:val="clear"/>
        <w:jc w:val="center"/>
        <w:rPr>
          <w:rFonts w:hint="eastAsia" w:ascii="宋体" w:hAnsi="宋体" w:eastAsia="宋体" w:cs="宋体"/>
          <w:color w:val="000000" w:themeColor="text1"/>
          <w:kern w:val="0"/>
          <w:sz w:val="28"/>
          <w:highlight w:val="none"/>
          <w14:textFill>
            <w14:solidFill>
              <w14:schemeClr w14:val="tx1"/>
            </w14:solidFill>
          </w14:textFill>
        </w:rPr>
      </w:pPr>
    </w:p>
    <w:p>
      <w:pPr>
        <w:pStyle w:val="18"/>
        <w:shd w:val="clear"/>
        <w:jc w:val="center"/>
        <w:rPr>
          <w:rFonts w:hint="eastAsia" w:ascii="宋体" w:hAnsi="宋体" w:eastAsia="宋体" w:cs="宋体"/>
          <w:color w:val="000000" w:themeColor="text1"/>
          <w:highlight w:val="none"/>
          <w14:textFill>
            <w14:solidFill>
              <w14:schemeClr w14:val="tx1"/>
            </w14:solidFill>
          </w14:textFill>
        </w:rPr>
      </w:pPr>
    </w:p>
    <w:p>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采购代理机构：浙江五石中正工程咨询有限公司</w:t>
      </w:r>
    </w:p>
    <w:p>
      <w:pPr>
        <w:shd w:val="clear"/>
        <w:autoSpaceDE w:val="0"/>
        <w:autoSpaceDN w:val="0"/>
        <w:adjustRightInd w:val="0"/>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202</w:t>
      </w:r>
      <w:r>
        <w:rPr>
          <w:rFonts w:hint="eastAsia" w:ascii="宋体" w:hAnsi="宋体" w:cs="宋体"/>
          <w:color w:val="000000" w:themeColor="text1"/>
          <w:kern w:val="0"/>
          <w:sz w:val="28"/>
          <w:highlight w:val="none"/>
          <w:lang w:val="en-US" w:eastAsia="zh-CN"/>
          <w14:textFill>
            <w14:solidFill>
              <w14:schemeClr w14:val="tx1"/>
            </w14:solidFill>
          </w14:textFill>
        </w:rPr>
        <w:t>3</w:t>
      </w:r>
      <w:r>
        <w:rPr>
          <w:rFonts w:hint="eastAsia" w:ascii="宋体" w:hAnsi="宋体" w:eastAsia="宋体" w:cs="宋体"/>
          <w:color w:val="000000" w:themeColor="text1"/>
          <w:kern w:val="0"/>
          <w:sz w:val="28"/>
          <w:highlight w:val="none"/>
          <w14:textFill>
            <w14:solidFill>
              <w14:schemeClr w14:val="tx1"/>
            </w14:solidFill>
          </w14:textFill>
        </w:rPr>
        <w:t>年1月</w:t>
      </w:r>
    </w:p>
    <w:p>
      <w:pPr>
        <w:shd w:val="clear"/>
        <w:jc w:val="center"/>
        <w:rPr>
          <w:rFonts w:hint="eastAsia" w:ascii="宋体" w:hAnsi="宋体" w:eastAsia="宋体" w:cs="宋体"/>
          <w:b/>
          <w:bCs/>
          <w:color w:val="000000" w:themeColor="text1"/>
          <w:sz w:val="36"/>
          <w:szCs w:val="36"/>
          <w:highlight w:val="none"/>
          <w14:textFill>
            <w14:solidFill>
              <w14:schemeClr w14:val="tx1"/>
            </w14:solidFill>
          </w14:textFill>
        </w:rPr>
        <w:sectPr>
          <w:headerReference r:id="rId4" w:type="default"/>
          <w:footerReference r:id="rId5" w:type="even"/>
          <w:pgSz w:w="11906" w:h="16838"/>
          <w:pgMar w:top="1440" w:right="1803" w:bottom="1440" w:left="1803" w:header="851" w:footer="992" w:gutter="0"/>
          <w:cols w:space="0" w:num="1"/>
          <w:docGrid w:type="lines" w:linePitch="317" w:charSpace="0"/>
        </w:sectPr>
      </w:pPr>
    </w:p>
    <w:p>
      <w:pPr>
        <w:shd w:val="clea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pPr>
        <w:shd w:val="clea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一、竞争性磋商公告</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二、供应商须知</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三、评审办法及评审标准  </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四、项目需求</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五、政府采购合同主要条款指引       </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六、响应文件格式附件</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3"/>
        <w:shd w:val="clear"/>
        <w:spacing w:line="240" w:lineRule="auto"/>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column"/>
      </w:r>
      <w:r>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t>第一部分 竞争性磋商公告</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根据《中华人民共和国政府采购法》及《浙江省政府向社会力量购买服务指导性目录</w:t>
      </w:r>
      <w:r>
        <w:rPr>
          <w:rFonts w:hint="eastAsia" w:ascii="宋体" w:hAnsi="宋体" w:cs="宋体"/>
          <w:b/>
          <w:bCs/>
          <w:color w:val="000000" w:themeColor="text1"/>
          <w:sz w:val="24"/>
          <w:szCs w:val="32"/>
          <w:highlight w:val="none"/>
          <w:lang w:eastAsia="zh-CN"/>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2023年度</w:t>
      </w:r>
      <w:r>
        <w:rPr>
          <w:rFonts w:hint="eastAsia" w:ascii="宋体" w:hAnsi="宋体" w:cs="宋体"/>
          <w:b/>
          <w:bCs/>
          <w:color w:val="000000" w:themeColor="text1"/>
          <w:sz w:val="24"/>
          <w:szCs w:val="32"/>
          <w:highlight w:val="none"/>
          <w:lang w:eastAsia="zh-CN"/>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》第</w:t>
      </w:r>
      <w:r>
        <w:rPr>
          <w:rFonts w:hint="eastAsia" w:ascii="宋体" w:hAnsi="宋体" w:cs="宋体"/>
          <w:b/>
          <w:bCs/>
          <w:color w:val="000000" w:themeColor="text1"/>
          <w:sz w:val="24"/>
          <w:szCs w:val="32"/>
          <w:highlight w:val="none"/>
          <w:lang w:val="en-US" w:eastAsia="zh-CN"/>
          <w14:textFill>
            <w14:solidFill>
              <w14:schemeClr w14:val="tx1"/>
            </w14:solidFill>
          </w14:textFill>
        </w:rPr>
        <w:t>B1001</w:t>
      </w:r>
      <w:r>
        <w:rPr>
          <w:rFonts w:hint="eastAsia" w:ascii="宋体" w:hAnsi="宋体" w:eastAsia="宋体" w:cs="宋体"/>
          <w:b/>
          <w:bCs/>
          <w:color w:val="000000" w:themeColor="text1"/>
          <w:sz w:val="24"/>
          <w:szCs w:val="32"/>
          <w:highlight w:val="none"/>
          <w14:textFill>
            <w14:solidFill>
              <w14:schemeClr w14:val="tx1"/>
            </w14:solidFill>
          </w14:textFill>
        </w:rPr>
        <w:t>条</w:t>
      </w:r>
      <w:r>
        <w:rPr>
          <w:rFonts w:hint="eastAsia" w:ascii="宋体" w:hAnsi="宋体" w:eastAsia="宋体" w:cs="宋体"/>
          <w:color w:val="000000" w:themeColor="text1"/>
          <w:sz w:val="24"/>
          <w:szCs w:val="32"/>
          <w:highlight w:val="none"/>
          <w14:textFill>
            <w14:solidFill>
              <w14:schemeClr w14:val="tx1"/>
            </w14:solidFill>
          </w14:textFill>
        </w:rPr>
        <w:t>，本项目为购买服务项目，采用竞争性磋商方式开展采购。</w:t>
      </w:r>
      <w:r>
        <w:rPr>
          <w:rFonts w:hint="eastAsia" w:ascii="宋体" w:hAnsi="宋体" w:eastAsia="宋体" w:cs="宋体"/>
          <w:b/>
          <w:bCs/>
          <w:color w:val="000000" w:themeColor="text1"/>
          <w:sz w:val="24"/>
          <w:szCs w:val="32"/>
          <w:highlight w:val="none"/>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受</w:t>
      </w:r>
      <w:r>
        <w:rPr>
          <w:rFonts w:hint="eastAsia" w:ascii="宋体" w:hAnsi="宋体" w:eastAsia="宋体" w:cs="宋体"/>
          <w:color w:val="000000" w:themeColor="text1"/>
          <w:sz w:val="24"/>
          <w:szCs w:val="32"/>
          <w:highlight w:val="none"/>
          <w:lang w:val="en-US" w:eastAsia="zh-CN"/>
          <w14:textFill>
            <w14:solidFill>
              <w14:schemeClr w14:val="tx1"/>
            </w14:solidFill>
          </w14:textFill>
        </w:rPr>
        <w:t>台州市路桥区人民政府路桥街道办事处</w:t>
      </w:r>
      <w:r>
        <w:rPr>
          <w:rFonts w:hint="eastAsia" w:ascii="宋体" w:hAnsi="宋体" w:eastAsia="宋体" w:cs="宋体"/>
          <w:color w:val="000000" w:themeColor="text1"/>
          <w:sz w:val="24"/>
          <w:szCs w:val="32"/>
          <w:highlight w:val="none"/>
          <w14:textFill>
            <w14:solidFill>
              <w14:schemeClr w14:val="tx1"/>
            </w14:solidFill>
          </w14:textFill>
        </w:rPr>
        <w:t>委托，现就其</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路桥古街未来社区数字化系统采购</w:t>
      </w:r>
      <w:r>
        <w:rPr>
          <w:rFonts w:hint="eastAsia" w:ascii="宋体" w:hAnsi="宋体" w:eastAsia="宋体" w:cs="宋体"/>
          <w:b/>
          <w:bCs/>
          <w:color w:val="000000" w:themeColor="text1"/>
          <w:sz w:val="24"/>
          <w:szCs w:val="32"/>
          <w:highlight w:val="none"/>
          <w14:textFill>
            <w14:solidFill>
              <w14:schemeClr w14:val="tx1"/>
            </w14:solidFill>
          </w14:textFill>
        </w:rPr>
        <w:t>项目</w:t>
      </w:r>
      <w:r>
        <w:rPr>
          <w:rFonts w:hint="eastAsia" w:ascii="宋体" w:hAnsi="宋体" w:eastAsia="宋体" w:cs="宋体"/>
          <w:color w:val="000000" w:themeColor="text1"/>
          <w:sz w:val="24"/>
          <w:szCs w:val="32"/>
          <w:highlight w:val="none"/>
          <w14:textFill>
            <w14:solidFill>
              <w14:schemeClr w14:val="tx1"/>
            </w14:solidFill>
          </w14:textFill>
        </w:rPr>
        <w:t>进行竞争性磋商采购，欢迎合格供应商前来磋商。</w:t>
      </w:r>
    </w:p>
    <w:p>
      <w:pPr>
        <w:shd w:val="clear"/>
        <w:spacing w:line="360" w:lineRule="auto"/>
        <w:ind w:firstLine="482"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一、项目编号：</w:t>
      </w:r>
      <w:r>
        <w:rPr>
          <w:rFonts w:hint="eastAsia" w:ascii="宋体" w:hAnsi="宋体" w:eastAsia="宋体" w:cs="宋体"/>
          <w:color w:val="000000" w:themeColor="text1"/>
          <w:sz w:val="24"/>
          <w:szCs w:val="32"/>
          <w:highlight w:val="none"/>
          <w:lang w:val="en-US" w:eastAsia="zh-CN"/>
          <w14:textFill>
            <w14:solidFill>
              <w14:schemeClr w14:val="tx1"/>
            </w14:solidFill>
          </w14:textFill>
        </w:rPr>
        <w:t>ZJWS2023-LQ02</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二、磋商内容：</w:t>
      </w:r>
    </w:p>
    <w:tbl>
      <w:tblPr>
        <w:tblStyle w:val="30"/>
        <w:tblW w:w="98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60"/>
        <w:gridCol w:w="3461"/>
        <w:gridCol w:w="805"/>
        <w:gridCol w:w="913"/>
        <w:gridCol w:w="1773"/>
        <w:gridCol w:w="22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660" w:type="dxa"/>
            <w:tcMar>
              <w:top w:w="75" w:type="dxa"/>
              <w:left w:w="75" w:type="dxa"/>
              <w:bottom w:w="75" w:type="dxa"/>
              <w:right w:w="75" w:type="dxa"/>
            </w:tcMar>
            <w:vAlign w:val="center"/>
          </w:tcPr>
          <w:p>
            <w:pPr>
              <w:shd w:val="clear"/>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标项</w:t>
            </w:r>
          </w:p>
        </w:tc>
        <w:tc>
          <w:tcPr>
            <w:tcW w:w="3461" w:type="dxa"/>
            <w:tcMar>
              <w:top w:w="75" w:type="dxa"/>
              <w:left w:w="75" w:type="dxa"/>
              <w:bottom w:w="75" w:type="dxa"/>
              <w:right w:w="75" w:type="dxa"/>
            </w:tcMar>
            <w:vAlign w:val="center"/>
          </w:tcPr>
          <w:p>
            <w:pPr>
              <w:shd w:val="clear"/>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项目名称</w:t>
            </w:r>
          </w:p>
        </w:tc>
        <w:tc>
          <w:tcPr>
            <w:tcW w:w="805" w:type="dxa"/>
            <w:tcMar>
              <w:top w:w="75" w:type="dxa"/>
              <w:left w:w="75" w:type="dxa"/>
              <w:bottom w:w="75" w:type="dxa"/>
              <w:right w:w="75" w:type="dxa"/>
            </w:tcMar>
            <w:vAlign w:val="center"/>
          </w:tcPr>
          <w:p>
            <w:pPr>
              <w:shd w:val="clear"/>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数量</w:t>
            </w:r>
          </w:p>
        </w:tc>
        <w:tc>
          <w:tcPr>
            <w:tcW w:w="913" w:type="dxa"/>
            <w:tcMar>
              <w:top w:w="75" w:type="dxa"/>
              <w:left w:w="75" w:type="dxa"/>
              <w:bottom w:w="75" w:type="dxa"/>
              <w:right w:w="75" w:type="dxa"/>
            </w:tcMar>
            <w:vAlign w:val="center"/>
          </w:tcPr>
          <w:p>
            <w:pPr>
              <w:shd w:val="clear"/>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单位</w:t>
            </w:r>
          </w:p>
        </w:tc>
        <w:tc>
          <w:tcPr>
            <w:tcW w:w="1773" w:type="dxa"/>
            <w:tcMar>
              <w:top w:w="75" w:type="dxa"/>
              <w:left w:w="75" w:type="dxa"/>
              <w:bottom w:w="75" w:type="dxa"/>
              <w:right w:w="75" w:type="dxa"/>
            </w:tcMar>
            <w:vAlign w:val="center"/>
          </w:tcPr>
          <w:p>
            <w:pPr>
              <w:shd w:val="clear"/>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预算/最高限价</w:t>
            </w:r>
          </w:p>
        </w:tc>
        <w:tc>
          <w:tcPr>
            <w:tcW w:w="2284" w:type="dxa"/>
            <w:tcMar>
              <w:top w:w="75" w:type="dxa"/>
              <w:left w:w="75" w:type="dxa"/>
              <w:bottom w:w="75" w:type="dxa"/>
              <w:right w:w="75" w:type="dxa"/>
            </w:tcMar>
            <w:vAlign w:val="center"/>
          </w:tcPr>
          <w:p>
            <w:pPr>
              <w:shd w:val="clear"/>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6" w:hRule="atLeast"/>
          <w:jc w:val="center"/>
        </w:trPr>
        <w:tc>
          <w:tcPr>
            <w:tcW w:w="660" w:type="dxa"/>
            <w:tcMar>
              <w:top w:w="75" w:type="dxa"/>
              <w:left w:w="75" w:type="dxa"/>
              <w:bottom w:w="75" w:type="dxa"/>
              <w:right w:w="75" w:type="dxa"/>
            </w:tcMar>
            <w:vAlign w:val="center"/>
          </w:tcPr>
          <w:p>
            <w:pPr>
              <w:shd w:val="clear"/>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p>
        </w:tc>
        <w:tc>
          <w:tcPr>
            <w:tcW w:w="3461" w:type="dxa"/>
            <w:tcMar>
              <w:top w:w="75" w:type="dxa"/>
              <w:left w:w="75" w:type="dxa"/>
              <w:bottom w:w="75" w:type="dxa"/>
              <w:right w:w="75" w:type="dxa"/>
            </w:tcMar>
            <w:vAlign w:val="center"/>
          </w:tcPr>
          <w:p>
            <w:pPr>
              <w:shd w:val="clear"/>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路桥古街未来社区数字化系统采购</w:t>
            </w:r>
            <w:r>
              <w:rPr>
                <w:rFonts w:hint="eastAsia" w:ascii="宋体" w:hAnsi="宋体" w:eastAsia="宋体" w:cs="宋体"/>
                <w:b/>
                <w:bCs/>
                <w:color w:val="000000" w:themeColor="text1"/>
                <w:sz w:val="24"/>
                <w:szCs w:val="32"/>
                <w:highlight w:val="none"/>
                <w14:textFill>
                  <w14:solidFill>
                    <w14:schemeClr w14:val="tx1"/>
                  </w14:solidFill>
                </w14:textFill>
              </w:rPr>
              <w:t>项目</w:t>
            </w:r>
          </w:p>
        </w:tc>
        <w:tc>
          <w:tcPr>
            <w:tcW w:w="805" w:type="dxa"/>
            <w:tcMar>
              <w:top w:w="75" w:type="dxa"/>
              <w:left w:w="75" w:type="dxa"/>
              <w:bottom w:w="75" w:type="dxa"/>
              <w:right w:w="75" w:type="dxa"/>
            </w:tcMar>
            <w:vAlign w:val="center"/>
          </w:tcPr>
          <w:p>
            <w:pPr>
              <w:shd w:val="clear"/>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p>
        </w:tc>
        <w:tc>
          <w:tcPr>
            <w:tcW w:w="913" w:type="dxa"/>
            <w:tcMar>
              <w:top w:w="75" w:type="dxa"/>
              <w:left w:w="75" w:type="dxa"/>
              <w:bottom w:w="75" w:type="dxa"/>
              <w:right w:w="75" w:type="dxa"/>
            </w:tcMar>
            <w:vAlign w:val="center"/>
          </w:tcPr>
          <w:p>
            <w:pPr>
              <w:shd w:val="clear"/>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w:t>
            </w:r>
          </w:p>
        </w:tc>
        <w:tc>
          <w:tcPr>
            <w:tcW w:w="1773" w:type="dxa"/>
            <w:tcMar>
              <w:top w:w="75" w:type="dxa"/>
              <w:left w:w="75" w:type="dxa"/>
              <w:bottom w:w="75" w:type="dxa"/>
              <w:right w:w="75" w:type="dxa"/>
            </w:tcMar>
            <w:vAlign w:val="center"/>
          </w:tcPr>
          <w:p>
            <w:pPr>
              <w:shd w:val="clear"/>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200万</w:t>
            </w:r>
            <w:r>
              <w:rPr>
                <w:rFonts w:hint="eastAsia" w:ascii="宋体" w:hAnsi="宋体" w:eastAsia="宋体" w:cs="宋体"/>
                <w:color w:val="000000" w:themeColor="text1"/>
                <w:sz w:val="24"/>
                <w:szCs w:val="32"/>
                <w:highlight w:val="none"/>
                <w14:textFill>
                  <w14:solidFill>
                    <w14:schemeClr w14:val="tx1"/>
                  </w14:solidFill>
                </w14:textFill>
              </w:rPr>
              <w:t>元</w:t>
            </w:r>
          </w:p>
        </w:tc>
        <w:tc>
          <w:tcPr>
            <w:tcW w:w="2284" w:type="dxa"/>
            <w:vAlign w:val="center"/>
          </w:tcPr>
          <w:p>
            <w:pPr>
              <w:shd w:val="clear"/>
              <w:jc w:val="center"/>
              <w:rPr>
                <w:rFonts w:hint="default"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软件不超过100万元、硬件不超过100万元</w:t>
            </w:r>
          </w:p>
        </w:tc>
      </w:tr>
    </w:tbl>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三、合格磋商供应商的资格条件：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2、本项目接受联合体投标。</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四、磋商文件获取的时间、方式：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1、本项目磋商文件于“政府采购云平台”在线获取，不提供磋商文件纸质版。供应商获取磋商文件前应先完成“政府采购云平台”的账号注册。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2、获取时间：自本公告发布之日起至响应文件递交截止时间止（以供应商完成获取磋商文件申请后下载磋商文件的时间为准）。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3、地点：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HYPERLINK "http://zfcg.czt.zj.gov.cn/"</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http：//zfcg.czt.zj.gov.cn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（2）供应商网上报名操作指南：“浙江政府采购网-办事指南-省采中心-网上报名”（http：//zfcg.czt.zj.gov.cn/bs_other/2018-03-30/12002.html）。</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特别提示：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五、投标说明：</w:t>
      </w:r>
    </w:p>
    <w:p>
      <w:pPr>
        <w:shd w:val="clear"/>
        <w:spacing w:line="360" w:lineRule="auto"/>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1.本项目实行电子投标，供应商应按照本项目采购文件和政采云平台的要求编制、加密并递交响应文件。供应商在使用系统进行投标的过程中遇到涉及平台使用的任何问题，可致电政采云平台技术支持热线咨询，联系方式：400-881-7190。</w:t>
      </w:r>
    </w:p>
    <w:p>
      <w:pPr>
        <w:shd w:val="clear"/>
        <w:spacing w:line="360" w:lineRule="auto"/>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2.供应商通过政采云平台电子投标工具制作响应文件，电子投标工具请供应商自行前往浙江政府采购网下载并安装（下载网址：http：//www.zjzfcg.gov.cn/bidClientTemplate/2019-05-27/12946.html）。</w:t>
      </w:r>
    </w:p>
    <w:p>
      <w:pPr>
        <w:shd w:val="clear"/>
        <w:spacing w:line="360" w:lineRule="auto"/>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3.供应商应在开标前完成CA数字证书办理。（办理流程详见</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HYPERLINK "http://www.zjzfcg.gov.cn/bidClientTemplate/2019-05-27/12945.html"</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kern w:val="0"/>
          <w:sz w:val="24"/>
          <w:highlight w:val="none"/>
          <w:u w:val="single"/>
          <w14:textFill>
            <w14:solidFill>
              <w14:schemeClr w14:val="tx1"/>
            </w14:solidFill>
          </w14:textFill>
        </w:rPr>
        <w:t>http：//www.zjzfcg.gov.cn/bidClientTemplate/2019-05-27/12945.html</w:t>
      </w:r>
      <w:r>
        <w:rPr>
          <w:rFonts w:hint="eastAsia" w:ascii="宋体" w:hAnsi="宋体" w:eastAsia="宋体" w:cs="宋体"/>
          <w:color w:val="000000" w:themeColor="text1"/>
          <w:kern w:val="0"/>
          <w:sz w:val="24"/>
          <w:highlight w:val="none"/>
          <w:u w:val="single"/>
          <w14:textFill>
            <w14:solidFill>
              <w14:schemeClr w14:val="tx1"/>
            </w14:solidFill>
          </w14:textFill>
        </w:rPr>
        <w:fldChar w:fldCharType="end"/>
      </w:r>
      <w:r>
        <w:rPr>
          <w:rFonts w:hint="eastAsia" w:ascii="宋体" w:hAnsi="宋体" w:eastAsia="宋体" w:cs="宋体"/>
          <w:color w:val="000000" w:themeColor="text1"/>
          <w:kern w:val="0"/>
          <w:sz w:val="24"/>
          <w:highlight w:val="none"/>
          <w:u w:val="single"/>
          <w14:textFill>
            <w14:solidFill>
              <w14:schemeClr w14:val="tx1"/>
            </w14:solidFill>
          </w14:textFill>
        </w:rPr>
        <w:t>，完成CA数字证书办理预计一周左右，请各供应商自行把握时间）</w:t>
      </w:r>
    </w:p>
    <w:p>
      <w:pPr>
        <w:shd w:val="clear"/>
        <w:spacing w:line="360" w:lineRule="auto"/>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4.供应商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截止时间后传输、递交的响应文件，将被拒收。</w:t>
      </w:r>
      <w:r>
        <w:rPr>
          <w:rFonts w:hint="eastAsia" w:ascii="宋体" w:hAnsi="宋体" w:eastAsia="宋体" w:cs="宋体"/>
          <w:color w:val="000000" w:themeColor="text1"/>
          <w:kern w:val="0"/>
          <w:sz w:val="24"/>
          <w:highlight w:val="none"/>
          <w:u w:val="single"/>
          <w:lang w:val="en-GB"/>
          <w14:textFill>
            <w14:solidFill>
              <w14:schemeClr w14:val="tx1"/>
            </w14:solidFill>
          </w14:textFill>
        </w:rPr>
        <w:t>在开标后规定的投标有效期内，供应商不能撤销响应文件。</w:t>
      </w:r>
    </w:p>
    <w:p>
      <w:pPr>
        <w:shd w:val="clea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5.响应文件的组成、份数、密封、效力</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本项目实行电子投标，供应商应准备电子响应文件、还可以提交以介质（U盘）存储的数据电文形式的备份响应文件：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5.1电子响应文件，按政采云平台项目采购--电子招投标操作指南及本采购文件要求编制。</w:t>
      </w:r>
    </w:p>
    <w:p>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0" w:name="_Hlk34639647"/>
      <w:r>
        <w:rPr>
          <w:rFonts w:hint="eastAsia" w:ascii="宋体" w:hAnsi="宋体" w:eastAsia="宋体" w:cs="宋体"/>
          <w:color w:val="000000" w:themeColor="text1"/>
          <w:sz w:val="24"/>
          <w:highlight w:val="none"/>
          <w14:textFill>
            <w14:solidFill>
              <w14:schemeClr w14:val="tx1"/>
            </w14:solidFill>
          </w14:textFill>
        </w:rPr>
        <w:t>5.2</w:t>
      </w:r>
      <w:r>
        <w:rPr>
          <w:rFonts w:hint="eastAsia" w:ascii="宋体" w:hAnsi="宋体" w:eastAsia="宋体" w:cs="宋体"/>
          <w:color w:val="000000" w:themeColor="text1"/>
          <w:sz w:val="24"/>
          <w:highlight w:val="none"/>
          <w:u w:val="single"/>
          <w14:textFill>
            <w14:solidFill>
              <w14:schemeClr w14:val="tx1"/>
            </w14:solidFill>
          </w14:textFill>
        </w:rPr>
        <w:t>磋商供应商在“政府采购云平台”完成“电子加密响应文件”的上传递交后，还可以在投标截止时间前递交以介质（U盘）存储的数据电文形式的“备份响应文件”，“备份响应文件”应当密封包装并在包装上标注投标项目名称、供应商名称并加盖公章。以介质（U盘）存储的数据电文形式形式的“备份响应文件”需分别密封，可采用以下两种方式其中一种送达（逾期送达或未密封将被拒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①在投标截止时间前送交到开标地点；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邮寄地址：浙江五石中正工程咨询有限公司（浙江五石中正工程咨询有限公司（浙江省台州市椒江区东环大道576号二楼，联系人：金老师，电话：0576-88781913））。</w:t>
      </w:r>
    </w:p>
    <w:p>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5.3通过“政府采购云平台”上传递交的“电子加密响应文件”无法按时解密，磋商供应商递交了备份响应文件的，以备份响应文件为依据，否则视为响应文件撤回。通过“政府采购云平台”上传递交的“电子加密响应文件”已按时解密的，“备份响应文件”自动失效。磋商供应商仅递交备份响应文件的，投标无效。</w:t>
      </w:r>
    </w:p>
    <w:bookmarkEnd w:id="0"/>
    <w:p>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1" w:name="_Hlk34638256"/>
      <w:r>
        <w:rPr>
          <w:rFonts w:hint="eastAsia" w:ascii="宋体" w:hAnsi="宋体" w:eastAsia="宋体" w:cs="宋体"/>
          <w:color w:val="000000" w:themeColor="text1"/>
          <w:sz w:val="24"/>
          <w:highlight w:val="none"/>
          <w:u w:val="single"/>
          <w14:textFill>
            <w14:solidFill>
              <w14:schemeClr w14:val="tx1"/>
            </w14:solidFill>
          </w14:textFill>
        </w:rPr>
        <w:t>5.4响应文件启用顺序和效力：响应文件的启用，按先后顺位分别为</w:t>
      </w:r>
      <w:bookmarkStart w:id="2" w:name="_Hlk34637932"/>
      <w:r>
        <w:rPr>
          <w:rFonts w:hint="eastAsia" w:ascii="宋体" w:hAnsi="宋体" w:eastAsia="宋体" w:cs="宋体"/>
          <w:color w:val="000000" w:themeColor="text1"/>
          <w:sz w:val="24"/>
          <w:highlight w:val="none"/>
          <w:u w:val="single"/>
          <w14:textFill>
            <w14:solidFill>
              <w14:schemeClr w14:val="tx1"/>
            </w14:solidFill>
          </w14:textFill>
        </w:rPr>
        <w:t>电子</w:t>
      </w:r>
      <w:bookmarkEnd w:id="2"/>
      <w:r>
        <w:rPr>
          <w:rFonts w:hint="eastAsia" w:ascii="宋体" w:hAnsi="宋体" w:eastAsia="宋体" w:cs="宋体"/>
          <w:color w:val="000000" w:themeColor="text1"/>
          <w:sz w:val="24"/>
          <w:highlight w:val="none"/>
          <w:u w:val="single"/>
          <w14:textFill>
            <w14:solidFill>
              <w14:schemeClr w14:val="tx1"/>
            </w14:solidFill>
          </w14:textFill>
        </w:rPr>
        <w:t>响应文件、以介质（U盘）存储的数据电文形式的备份响应文件备份响应文件。</w:t>
      </w:r>
      <w:bookmarkStart w:id="3" w:name="_Hlk34637983"/>
      <w:r>
        <w:rPr>
          <w:rFonts w:hint="eastAsia" w:ascii="宋体" w:hAnsi="宋体" w:eastAsia="宋体" w:cs="宋体"/>
          <w:color w:val="000000" w:themeColor="text1"/>
          <w:sz w:val="24"/>
          <w:highlight w:val="none"/>
          <w:u w:val="single"/>
          <w14:textFill>
            <w14:solidFill>
              <w14:schemeClr w14:val="tx1"/>
            </w14:solidFill>
          </w14:textFill>
        </w:rPr>
        <w:t>全部供应商的</w:t>
      </w:r>
      <w:bookmarkStart w:id="4" w:name="_Hlk34638083"/>
      <w:r>
        <w:rPr>
          <w:rFonts w:hint="eastAsia" w:ascii="宋体" w:hAnsi="宋体" w:eastAsia="宋体" w:cs="宋体"/>
          <w:color w:val="000000" w:themeColor="text1"/>
          <w:sz w:val="24"/>
          <w:highlight w:val="none"/>
          <w:u w:val="single"/>
          <w14:textFill>
            <w14:solidFill>
              <w14:schemeClr w14:val="tx1"/>
            </w14:solidFill>
          </w14:textFill>
        </w:rPr>
        <w:t>电子响应文件均已按时解密的，</w:t>
      </w:r>
      <w:bookmarkEnd w:id="4"/>
      <w:r>
        <w:rPr>
          <w:rFonts w:hint="eastAsia" w:ascii="宋体" w:hAnsi="宋体" w:eastAsia="宋体" w:cs="宋体"/>
          <w:color w:val="000000" w:themeColor="text1"/>
          <w:sz w:val="24"/>
          <w:highlight w:val="none"/>
          <w:u w:val="single"/>
          <w14:textFill>
            <w14:solidFill>
              <w14:schemeClr w14:val="tx1"/>
            </w14:solidFill>
          </w14:textFill>
        </w:rPr>
        <w:t>备份响应文件自动失效，全部供应商的电子响应文件均无法按时解密的，</w:t>
      </w:r>
      <w:bookmarkStart w:id="5" w:name="_Hlk34638161"/>
      <w:r>
        <w:rPr>
          <w:rFonts w:hint="eastAsia" w:ascii="宋体" w:hAnsi="宋体" w:eastAsia="宋体" w:cs="宋体"/>
          <w:color w:val="000000" w:themeColor="text1"/>
          <w:sz w:val="24"/>
          <w:highlight w:val="none"/>
          <w:u w:val="single"/>
          <w14:textFill>
            <w14:solidFill>
              <w14:schemeClr w14:val="tx1"/>
            </w14:solidFill>
          </w14:textFill>
        </w:rPr>
        <w:t>启用备份响应文件进行线下开评标。</w:t>
      </w:r>
      <w:bookmarkEnd w:id="5"/>
      <w:r>
        <w:rPr>
          <w:rFonts w:hint="eastAsia" w:ascii="宋体" w:hAnsi="宋体" w:eastAsia="宋体" w:cs="宋体"/>
          <w:color w:val="000000" w:themeColor="text1"/>
          <w:sz w:val="24"/>
          <w:highlight w:val="none"/>
          <w:u w:val="single"/>
          <w14:textFill>
            <w14:solidFill>
              <w14:schemeClr w14:val="tx1"/>
            </w14:solidFill>
          </w14:textFill>
        </w:rPr>
        <w:t>如果某位供应商的电子响应文件无法按时解密的，其响应文件为无效标，不启用备份响应文件。</w:t>
      </w:r>
      <w:bookmarkEnd w:id="1"/>
      <w:bookmarkEnd w:id="3"/>
    </w:p>
    <w:p>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5.5▲未传输递交电子响应文件的，投标无效。未按规定提供相应的备份响应文件，造成项目开评标活动无法进行下去的，投标无效。仅递交备份文件的，投标无效。</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eastAsia="宋体" w:cs="宋体"/>
          <w:color w:val="000000" w:themeColor="text1"/>
          <w:sz w:val="24"/>
          <w:szCs w:val="32"/>
          <w:highlight w:val="none"/>
          <w14:textFill>
            <w14:solidFill>
              <w14:schemeClr w14:val="tx1"/>
            </w14:solidFill>
          </w14:textFill>
        </w:rPr>
        <w:t>202</w:t>
      </w:r>
      <w:r>
        <w:rPr>
          <w:rFonts w:hint="eastAsia" w:ascii="宋体" w:hAnsi="宋体" w:eastAsia="宋体" w:cs="宋体"/>
          <w:color w:val="000000" w:themeColor="text1"/>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z w:val="24"/>
          <w:szCs w:val="32"/>
          <w:highlight w:val="none"/>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7</w:t>
      </w:r>
      <w:r>
        <w:rPr>
          <w:rFonts w:hint="eastAsia" w:ascii="宋体" w:hAnsi="宋体" w:eastAsia="宋体" w:cs="宋体"/>
          <w:color w:val="000000" w:themeColor="text1"/>
          <w:sz w:val="24"/>
          <w:szCs w:val="32"/>
          <w:highlight w:val="none"/>
          <w14:textFill>
            <w14:solidFill>
              <w14:schemeClr w14:val="tx1"/>
            </w14:solidFill>
          </w14:textFill>
        </w:rPr>
        <w:t>日上午</w:t>
      </w:r>
      <w:r>
        <w:rPr>
          <w:rFonts w:hint="eastAsia" w:ascii="宋体" w:hAnsi="宋体" w:cs="宋体"/>
          <w:color w:val="000000" w:themeColor="text1"/>
          <w:sz w:val="24"/>
          <w:szCs w:val="32"/>
          <w:highlight w:val="none"/>
          <w:lang w:val="en-US" w:eastAsia="zh-CN"/>
          <w14:textFill>
            <w14:solidFill>
              <w14:schemeClr w14:val="tx1"/>
            </w14:solidFill>
          </w14:textFill>
        </w:rPr>
        <w:t>09</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z w:val="24"/>
          <w:szCs w:val="32"/>
          <w:highlight w:val="none"/>
          <w14:textFill>
            <w14:solidFill>
              <w14:schemeClr w14:val="tx1"/>
            </w14:solidFill>
          </w14:textFill>
        </w:rPr>
        <w:t>0</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七、投标及开标地址：</w:t>
      </w:r>
      <w:r>
        <w:rPr>
          <w:rFonts w:hint="eastAsia" w:ascii="宋体" w:hAnsi="宋体" w:eastAsia="宋体" w:cs="宋体"/>
          <w:color w:val="000000" w:themeColor="text1"/>
          <w:sz w:val="24"/>
          <w:szCs w:val="32"/>
          <w:highlight w:val="none"/>
          <w14:textFill>
            <w14:solidFill>
              <w14:schemeClr w14:val="tx1"/>
            </w14:solidFill>
          </w14:textFill>
        </w:rPr>
        <w:t>“政府采购云平台”线上开标。</w:t>
      </w:r>
    </w:p>
    <w:p>
      <w:pPr>
        <w:shd w:val="clear"/>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八、相关注意事项：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以书面形式一次性针对同一环节（包括采购过程与采购结果）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1）信用信息查询的截止时点：开标后评标前；</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2）查询渠道：“信用中国”（</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HYPERLINK "qq://txfile/"</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www.creditchina.gov.cn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HYPERLINK "qq://txfile/"</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www.ccgp.gov.cn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）、“浙江政府采购网（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HYPERLINK "qq://txfile/"</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www.zjzfcg.gov.cn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3）信用信息查询记录和证据留存具体方式：采购代理机构经办人将查询网页打印与其他项目相关文件一并保存；</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4）信用信息的使用规则：供应商存在不良信用记录的，其投标将被作为无效投标被拒绝。</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3.不良信用记录指：被列入失信被执行人、重大税收违法失信主体、政府采购严重违法失信行为记录名单或浙江政府采购网曝光台中尚在行政处罚期内的。</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4.开标时间后30分钟内，供应商须登录“政采云”平台，用“项目采购-开标评标”功能解密响应文件，供应商未按时解密或解密失败的，其上传的电子响应文件自动失效。电脑及CA解密设备自备。</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九、联系方式：</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1、采购代理机构：</w:t>
      </w:r>
      <w:r>
        <w:rPr>
          <w:rFonts w:hint="eastAsia" w:ascii="宋体" w:hAnsi="宋体" w:eastAsia="宋体" w:cs="宋体"/>
          <w:color w:val="000000" w:themeColor="text1"/>
          <w:sz w:val="24"/>
          <w:szCs w:val="32"/>
          <w:highlight w:val="non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项目负责人：徐先生；联系电话：</w:t>
      </w:r>
      <w:r>
        <w:rPr>
          <w:rFonts w:hint="eastAsia" w:ascii="宋体" w:hAnsi="宋体" w:cs="宋体"/>
          <w:color w:val="000000" w:themeColor="text1"/>
          <w:sz w:val="24"/>
          <w:szCs w:val="32"/>
          <w:highlight w:val="none"/>
          <w:lang w:eastAsia="zh-CN"/>
          <w14:textFill>
            <w14:solidFill>
              <w14:schemeClr w14:val="tx1"/>
            </w14:solidFill>
          </w14:textFill>
        </w:rPr>
        <w:t>15088711407</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质疑接收人：徐少媚；联系电话：0576-88785265；</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报名联系人：高女士；联系电话：0571-85334203；传真：0571-85342190；</w:t>
      </w:r>
    </w:p>
    <w:p>
      <w:pPr>
        <w:shd w:val="clear"/>
        <w:spacing w:line="360" w:lineRule="auto"/>
        <w:ind w:firstLine="480"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地点：杭州市拱墅区白石路318号中国（杭州）人力资源服务产业园北楼512室；</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2、采购人：</w:t>
      </w:r>
      <w:r>
        <w:rPr>
          <w:rFonts w:hint="eastAsia" w:ascii="宋体" w:hAnsi="宋体" w:eastAsia="宋体" w:cs="宋体"/>
          <w:color w:val="000000" w:themeColor="text1"/>
          <w:sz w:val="24"/>
          <w:szCs w:val="32"/>
          <w:highlight w:val="none"/>
          <w:lang w:val="en-US" w:eastAsia="zh-CN"/>
          <w14:textFill>
            <w14:solidFill>
              <w14:schemeClr w14:val="tx1"/>
            </w14:solidFill>
          </w14:textFill>
        </w:rPr>
        <w:t>台州市路桥区人民政府路桥街道办事处</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联系人：</w:t>
      </w:r>
      <w:r>
        <w:rPr>
          <w:rFonts w:hint="eastAsia" w:ascii="宋体" w:hAnsi="宋体" w:eastAsia="宋体" w:cs="宋体"/>
          <w:color w:val="000000" w:themeColor="text1"/>
          <w:sz w:val="24"/>
          <w:szCs w:val="32"/>
          <w:highlight w:val="none"/>
          <w:lang w:val="en-US" w:eastAsia="zh-CN"/>
          <w14:textFill>
            <w14:solidFill>
              <w14:schemeClr w14:val="tx1"/>
            </w14:solidFill>
          </w14:textFill>
        </w:rPr>
        <w:t>潘先生</w:t>
      </w:r>
      <w:r>
        <w:rPr>
          <w:rFonts w:hint="eastAsia" w:ascii="宋体" w:hAnsi="宋体" w:eastAsia="宋体" w:cs="宋体"/>
          <w:color w:val="000000" w:themeColor="text1"/>
          <w:sz w:val="24"/>
          <w:szCs w:val="32"/>
          <w:highlight w:val="none"/>
          <w14:textFill>
            <w14:solidFill>
              <w14:schemeClr w14:val="tx1"/>
            </w14:solidFill>
          </w14:textFill>
        </w:rPr>
        <w:t>；联系电话：13326038080。</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质疑接收人：</w:t>
      </w:r>
      <w:r>
        <w:rPr>
          <w:rFonts w:hint="eastAsia" w:ascii="宋体" w:hAnsi="宋体" w:eastAsia="宋体" w:cs="宋体"/>
          <w:color w:val="000000" w:themeColor="text1"/>
          <w:sz w:val="24"/>
          <w:szCs w:val="32"/>
          <w:highlight w:val="none"/>
          <w:lang w:val="en-US" w:eastAsia="zh-CN"/>
          <w14:textFill>
            <w14:solidFill>
              <w14:schemeClr w14:val="tx1"/>
            </w14:solidFill>
          </w14:textFill>
        </w:rPr>
        <w:t>叶先生</w:t>
      </w:r>
      <w:r>
        <w:rPr>
          <w:rFonts w:hint="eastAsia" w:ascii="宋体" w:hAnsi="宋体" w:eastAsia="宋体" w:cs="宋体"/>
          <w:color w:val="000000" w:themeColor="text1"/>
          <w:sz w:val="24"/>
          <w:szCs w:val="32"/>
          <w:highlight w:val="none"/>
          <w14:textFill>
            <w14:solidFill>
              <w14:schemeClr w14:val="tx1"/>
            </w14:solidFill>
          </w14:textFill>
        </w:rPr>
        <w:t>；联系电话：0576-82460378。</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地址：台州市路桥区南南官大道399号。</w:t>
      </w:r>
    </w:p>
    <w:p>
      <w:pPr>
        <w:shd w:val="clear"/>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eastAsia="宋体" w:cs="宋体"/>
          <w:color w:val="000000" w:themeColor="text1"/>
          <w:sz w:val="24"/>
          <w:szCs w:val="24"/>
          <w:highlight w:val="none"/>
          <w14:textFill>
            <w14:solidFill>
              <w14:schemeClr w14:val="tx1"/>
            </w14:solidFill>
          </w14:textFill>
        </w:rPr>
        <w:t>台州市路桥区财政局监督绩效管理与采购监管科；</w:t>
      </w:r>
    </w:p>
    <w:p>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联系人：吴女士；监督投诉电话：0576-82517851；</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地址：台州市路桥区西路桥大道58号。</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4、其余事项：</w:t>
      </w:r>
      <w:r>
        <w:rPr>
          <w:rFonts w:hint="eastAsia" w:ascii="宋体" w:hAnsi="宋体" w:eastAsia="宋体" w:cs="宋体"/>
          <w:color w:val="000000" w:themeColor="text1"/>
          <w:sz w:val="24"/>
          <w:szCs w:val="32"/>
          <w:highlight w:val="none"/>
          <w14:textFill>
            <w14:solidFill>
              <w14:schemeClr w14:val="tx1"/>
            </w14:solidFill>
          </w14:textFill>
        </w:rPr>
        <w:t>中标供应商如有融资需求，可使用以下银行的政采贷服务。</w:t>
      </w:r>
    </w:p>
    <w:tbl>
      <w:tblPr>
        <w:tblStyle w:val="31"/>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银行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贷款年利率</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281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中国工商银行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王霖</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中国农业银行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龚盛</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中国建设银行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梅晶晶</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中国银行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任茜</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浦发银行台州分行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王渊</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浦发银行椒江分行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孙瑞华</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交通银行台州分行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周翔宇</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招商银行台州分行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王海玲</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浙商银行台州分行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5.01%起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章涉漪</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中信银行台州分行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4.15%起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陈金园</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华夏银行台州分行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邱明达</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泰隆银行开发区支行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梁宛莉</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民泰银行椒江支行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5.8%起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陈慧珠</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绍兴银行台州分行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郭庭斌</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温州银行台州分行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4.55%起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王晓波</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平安银行台州分行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6.53%起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李俊丽</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宁波银行台州分行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4.35%起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戴莉丽</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金华银行台州分行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金雪婷</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台州银行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洪婷</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邮储银行台州分行</w:t>
            </w:r>
          </w:p>
        </w:tc>
        <w:tc>
          <w:tcPr>
            <w:tcW w:w="15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3.85%起</w:t>
            </w:r>
          </w:p>
        </w:tc>
        <w:tc>
          <w:tcPr>
            <w:tcW w:w="121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董庆</w:t>
            </w:r>
          </w:p>
        </w:tc>
        <w:tc>
          <w:tcPr>
            <w:tcW w:w="281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81888982/18957683735</w:t>
            </w:r>
          </w:p>
        </w:tc>
      </w:tr>
    </w:tbl>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合同履约保函联系方式</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48"/>
        <w:gridCol w:w="2130"/>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33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保险公司名称</w:t>
            </w:r>
          </w:p>
        </w:tc>
        <w:tc>
          <w:tcPr>
            <w:tcW w:w="21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保费率</w:t>
            </w:r>
          </w:p>
        </w:tc>
        <w:tc>
          <w:tcPr>
            <w:tcW w:w="127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159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中国人寿财产保险股份有限公司台州中心支公司</w:t>
            </w:r>
          </w:p>
        </w:tc>
        <w:tc>
          <w:tcPr>
            <w:tcW w:w="21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127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徐凌</w:t>
            </w:r>
          </w:p>
        </w:tc>
        <w:tc>
          <w:tcPr>
            <w:tcW w:w="159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永诚财产保险股份有限公司台州分公司</w:t>
            </w:r>
          </w:p>
        </w:tc>
        <w:tc>
          <w:tcPr>
            <w:tcW w:w="21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年费率1%，最低保费1000元</w:t>
            </w:r>
          </w:p>
        </w:tc>
        <w:tc>
          <w:tcPr>
            <w:tcW w:w="127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尹刚强</w:t>
            </w:r>
          </w:p>
        </w:tc>
        <w:tc>
          <w:tcPr>
            <w:tcW w:w="159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华泰财产保险有限公司台州中心支公司</w:t>
            </w:r>
          </w:p>
        </w:tc>
        <w:tc>
          <w:tcPr>
            <w:tcW w:w="21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年费率0.5%，最低保费1000元</w:t>
            </w:r>
          </w:p>
        </w:tc>
        <w:tc>
          <w:tcPr>
            <w:tcW w:w="127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王灵芳</w:t>
            </w:r>
          </w:p>
        </w:tc>
        <w:tc>
          <w:tcPr>
            <w:tcW w:w="159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中国大地财产保险股份有限公司台州中心支公司</w:t>
            </w:r>
          </w:p>
        </w:tc>
        <w:tc>
          <w:tcPr>
            <w:tcW w:w="21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年费率1.5%，最低保费1000元</w:t>
            </w:r>
          </w:p>
        </w:tc>
        <w:tc>
          <w:tcPr>
            <w:tcW w:w="127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徐小明</w:t>
            </w:r>
          </w:p>
        </w:tc>
        <w:tc>
          <w:tcPr>
            <w:tcW w:w="159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阳光保险台州中心支公司</w:t>
            </w:r>
          </w:p>
        </w:tc>
        <w:tc>
          <w:tcPr>
            <w:tcW w:w="21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127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林高明</w:t>
            </w:r>
          </w:p>
        </w:tc>
        <w:tc>
          <w:tcPr>
            <w:tcW w:w="159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中华联合财产保险股份有限公司台州中心支公司</w:t>
            </w:r>
          </w:p>
        </w:tc>
        <w:tc>
          <w:tcPr>
            <w:tcW w:w="21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年费率2%，最低保费500元</w:t>
            </w:r>
          </w:p>
        </w:tc>
        <w:tc>
          <w:tcPr>
            <w:tcW w:w="127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王仙高</w:t>
            </w:r>
          </w:p>
        </w:tc>
        <w:tc>
          <w:tcPr>
            <w:tcW w:w="159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中国人民财产保险股份有限公司台州中心支公司</w:t>
            </w:r>
          </w:p>
        </w:tc>
        <w:tc>
          <w:tcPr>
            <w:tcW w:w="21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年费率0.3%，最低保费1000元</w:t>
            </w:r>
          </w:p>
        </w:tc>
        <w:tc>
          <w:tcPr>
            <w:tcW w:w="127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王仙春</w:t>
            </w:r>
          </w:p>
        </w:tc>
        <w:tc>
          <w:tcPr>
            <w:tcW w:w="159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永安财产保险股份有限公司台州中心支公司</w:t>
            </w:r>
          </w:p>
        </w:tc>
        <w:tc>
          <w:tcPr>
            <w:tcW w:w="21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年费率0.3%，最低保费1000</w:t>
            </w:r>
          </w:p>
        </w:tc>
        <w:tc>
          <w:tcPr>
            <w:tcW w:w="127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王春宇</w:t>
            </w:r>
          </w:p>
        </w:tc>
        <w:tc>
          <w:tcPr>
            <w:tcW w:w="159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13676675331</w:t>
            </w:r>
          </w:p>
        </w:tc>
      </w:tr>
    </w:tbl>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预付款保函联系方式</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93"/>
        <w:gridCol w:w="2115"/>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34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保险公司名称</w:t>
            </w:r>
          </w:p>
        </w:tc>
        <w:tc>
          <w:tcPr>
            <w:tcW w:w="211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保费率</w:t>
            </w:r>
          </w:p>
        </w:tc>
        <w:tc>
          <w:tcPr>
            <w:tcW w:w="127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159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中国人寿财产保险股份有限公司台州中心支公司</w:t>
            </w:r>
          </w:p>
        </w:tc>
        <w:tc>
          <w:tcPr>
            <w:tcW w:w="211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年费率3%，最低保费500元</w:t>
            </w:r>
          </w:p>
        </w:tc>
        <w:tc>
          <w:tcPr>
            <w:tcW w:w="127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徐凌</w:t>
            </w:r>
          </w:p>
        </w:tc>
        <w:tc>
          <w:tcPr>
            <w:tcW w:w="159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阳光保险台州中心支公司</w:t>
            </w:r>
          </w:p>
        </w:tc>
        <w:tc>
          <w:tcPr>
            <w:tcW w:w="211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127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林高明</w:t>
            </w:r>
          </w:p>
        </w:tc>
        <w:tc>
          <w:tcPr>
            <w:tcW w:w="159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天安财产保险股份有限公司台州中心支公司</w:t>
            </w:r>
          </w:p>
        </w:tc>
        <w:tc>
          <w:tcPr>
            <w:tcW w:w="211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年费率1%-2%，最低保费500元</w:t>
            </w:r>
          </w:p>
        </w:tc>
        <w:tc>
          <w:tcPr>
            <w:tcW w:w="127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罗赛</w:t>
            </w:r>
          </w:p>
        </w:tc>
        <w:tc>
          <w:tcPr>
            <w:tcW w:w="159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13736605643</w:t>
            </w:r>
          </w:p>
        </w:tc>
      </w:tr>
    </w:tbl>
    <w:p>
      <w:pPr>
        <w:pStyle w:val="9"/>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jc w:val="righ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righ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浙江五石中正工程咨询有限公司</w:t>
      </w:r>
    </w:p>
    <w:p>
      <w:pPr>
        <w:shd w:val="clear"/>
        <w:spacing w:line="360" w:lineRule="auto"/>
        <w:ind w:firstLine="6000" w:firstLineChars="25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202</w:t>
      </w:r>
      <w:r>
        <w:rPr>
          <w:rFonts w:hint="eastAsia" w:ascii="宋体" w:hAnsi="宋体" w:cs="宋体"/>
          <w:color w:val="000000" w:themeColor="text1"/>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z w:val="24"/>
          <w:szCs w:val="32"/>
          <w:highlight w:val="none"/>
          <w14:textFill>
            <w14:solidFill>
              <w14:schemeClr w14:val="tx1"/>
            </w14:solidFill>
          </w14:textFill>
        </w:rPr>
        <w:t>年1月</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3"/>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第二部分 供应商须知</w:t>
      </w:r>
    </w:p>
    <w:p>
      <w:pPr>
        <w:shd w:val="clear"/>
        <w:spacing w:line="360" w:lineRule="auto"/>
        <w:ind w:firstLine="482" w:firstLineChars="200"/>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前附表</w:t>
      </w:r>
    </w:p>
    <w:tbl>
      <w:tblPr>
        <w:tblStyle w:val="3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30"/>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5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    目</w:t>
            </w:r>
          </w:p>
        </w:tc>
        <w:tc>
          <w:tcPr>
            <w:tcW w:w="721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5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供应商特定资格要求</w:t>
            </w:r>
          </w:p>
        </w:tc>
        <w:tc>
          <w:tcPr>
            <w:tcW w:w="721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5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现场踏勘</w:t>
            </w:r>
          </w:p>
        </w:tc>
        <w:tc>
          <w:tcPr>
            <w:tcW w:w="721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各磋商供应商自行前往勘察现场和周围环境，所产生的费用由磋商供应商自理。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530" w:type="dxa"/>
            <w:vAlign w:val="center"/>
          </w:tcPr>
          <w:p>
            <w:pPr>
              <w:shd w:val="clea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磋商响应文件有效期</w:t>
            </w:r>
          </w:p>
        </w:tc>
        <w:tc>
          <w:tcPr>
            <w:tcW w:w="721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磋商响应有效期为磋商后90天，磋商响应有效期从提交磋商响应文件的截止之日起算。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5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磋商响应文件递交</w:t>
            </w:r>
          </w:p>
        </w:tc>
        <w:tc>
          <w:tcPr>
            <w:tcW w:w="721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本项目实行电子投标，供应商应准备电子响应文件、还可以提交以介质存储的数据电文形式的备份响应文件：</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1.电子响应文件，按政采云平台项目采购--电子招投标操作指南及本采购文件要求编制、递交。</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2.以介质存储的数据电文形式的备份响应文件，按政采云平台项目采购-电子招投标操作指南中上传的电子响应文件格式，以U盘形式提供。数量为1份。 </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响应文件启用顺序和效力：响应文件的启用，按先后顺位分别为电子响应文件、以U盘存储的数据电文形式的备份响应文件。顺位在先的响应文件已按时解密的，备份响应文件自动失效。在下一顺位的响应文件启用时，前一顺位的响应文件自动失效。</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4.▲未传输递交电子响应文件的，投标无效。仅提交备份文件的，投标无效。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5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磋商时间及地点</w:t>
            </w:r>
          </w:p>
        </w:tc>
        <w:tc>
          <w:tcPr>
            <w:tcW w:w="721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时间：202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日上午</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szCs w:val="32"/>
                <w:highlight w:val="none"/>
                <w14:textFill>
                  <w14:solidFill>
                    <w14:schemeClr w14:val="tx1"/>
                  </w14:solidFill>
                </w14:textFill>
              </w:rPr>
              <w:t>“政府采购云平台”线上开标</w:t>
            </w: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5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履约保证金</w:t>
            </w:r>
          </w:p>
        </w:tc>
        <w:tc>
          <w:tcPr>
            <w:tcW w:w="7212" w:type="dxa"/>
            <w:vAlign w:val="center"/>
          </w:tcPr>
          <w:p>
            <w:pPr>
              <w:shd w:val="clea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530" w:type="dxa"/>
            <w:vAlign w:val="center"/>
          </w:tcPr>
          <w:p>
            <w:pPr>
              <w:shd w:val="clear"/>
              <w:ind w:left="1"/>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样品及演示</w:t>
            </w:r>
          </w:p>
        </w:tc>
        <w:tc>
          <w:tcPr>
            <w:tcW w:w="7212" w:type="dxa"/>
            <w:vAlign w:val="center"/>
          </w:tcPr>
          <w:p>
            <w:pPr>
              <w:shd w:val="clear"/>
              <w:ind w:left="1"/>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无样品、</w:t>
            </w:r>
            <w:r>
              <w:rPr>
                <w:rFonts w:hint="eastAsia" w:ascii="宋体" w:hAnsi="宋体" w:cs="宋体"/>
                <w:b/>
                <w:bCs/>
                <w:color w:val="000000" w:themeColor="text1"/>
                <w:sz w:val="24"/>
                <w:highlight w:val="none"/>
                <w:lang w:val="en-US" w:eastAsia="zh-CN"/>
                <w14:textFill>
                  <w14:solidFill>
                    <w14:schemeClr w14:val="tx1"/>
                  </w14:solidFill>
                </w14:textFill>
              </w:rPr>
              <w:t>有</w:t>
            </w:r>
            <w:r>
              <w:rPr>
                <w:rFonts w:hint="eastAsia" w:ascii="宋体" w:hAnsi="宋体" w:eastAsia="宋体" w:cs="宋体"/>
                <w:b/>
                <w:bCs/>
                <w:color w:val="000000" w:themeColor="text1"/>
                <w:sz w:val="24"/>
                <w:highlight w:val="none"/>
                <w14:textFill>
                  <w14:solidFill>
                    <w14:schemeClr w14:val="tx1"/>
                  </w14:solidFill>
                </w14:textFill>
              </w:rPr>
              <w:t>演示</w:t>
            </w: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530" w:type="dxa"/>
            <w:vAlign w:val="center"/>
          </w:tcPr>
          <w:p>
            <w:pPr>
              <w:shd w:val="clear"/>
              <w:ind w:left="1"/>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节能环保</w:t>
            </w:r>
          </w:p>
        </w:tc>
        <w:tc>
          <w:tcPr>
            <w:tcW w:w="7212" w:type="dxa"/>
            <w:vAlign w:val="center"/>
          </w:tcPr>
          <w:p>
            <w:pPr>
              <w:shd w:val="clear"/>
              <w:ind w:left="1"/>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符合国家相关规定。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53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实质性条款</w:t>
            </w:r>
          </w:p>
        </w:tc>
        <w:tc>
          <w:tcPr>
            <w:tcW w:w="721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带“</w:t>
            </w:r>
            <w:r>
              <w:rPr>
                <w:rFonts w:hint="eastAsia" w:ascii="宋体" w:hAnsi="宋体" w:eastAsia="宋体" w:cs="宋体"/>
                <w:color w:val="000000" w:themeColor="text1"/>
                <w:sz w:val="24"/>
                <w:highlight w:val="none"/>
                <w14:textFill>
                  <w14:solidFill>
                    <w14:schemeClr w14:val="tx1"/>
                  </w14:solidFill>
                </w14:textFill>
              </w:rPr>
              <w:t>▲”的条款是实质性条款，磋商响应文件须做出实质性响应，否则终止磋商。</w:t>
            </w:r>
          </w:p>
        </w:tc>
      </w:tr>
    </w:tbl>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pStyle w:val="2"/>
        <w:shd w:val="clear"/>
        <w:rPr>
          <w:rFonts w:hint="eastAsia" w:ascii="宋体" w:hAnsi="宋体" w:eastAsia="宋体" w:cs="宋体"/>
          <w:b/>
          <w:bCs/>
          <w:color w:val="000000" w:themeColor="text1"/>
          <w:sz w:val="24"/>
          <w:szCs w:val="32"/>
          <w:highlight w:val="none"/>
          <w14:textFill>
            <w14:solidFill>
              <w14:schemeClr w14:val="tx1"/>
            </w14:solidFill>
          </w14:textFill>
        </w:rPr>
      </w:pPr>
    </w:p>
    <w:p>
      <w:pPr>
        <w:pStyle w:val="2"/>
        <w:shd w:val="clear"/>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 、总  则</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 适用范围</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本磋商文件适用于本次项目的磋商、评审、确定成交供应商、验收、合同履约、付款等行为（法律、法规另有规定的，从其规定）。</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（二）定义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1、“采购组织机构”：是指采购人委托组织磋商的采购代理机构。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3、磋商供应商：是指向采购组织机构提交磋商响应文件的单位或个人。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5、“书面形式”包括信函、传真等。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6、“▲”系指实质性要求条款。</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（三）磋商费用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不论磋商结果如何，供应商均应自行承担所有与磋商有关的全部费用（磋商文件有相关规定除外）。</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（四）特别说明</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1、供应商磋商所使用的资格、信誉、荣誉与企业认证必须为本法人所拥有。供应商磋商所使用的采购项目实施人员必须为本法人员工。</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3、供应商不得相互串通磋商报价，不得妨碍其他供应商的公平竞争，不得损害采购人或其他供应商的合法权益，供应商不得以向采购人、磋商小组成员行贿或者采取其他不正当手段谋取成交。</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5、磋商响应文件（即响应文件）格式中的表格式样可以根据项目差别做适当调整，但应当保持表格样式基本形态不变。</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供应商在参与政府采购活动中所签署的一切文件，包括但不限于签到表、《政府采购活动现场确认声明书》等文件，特别是有关利害关系应如实填写、如实披露，供应商授权参与政府采购的人员视为应当知道与采购人、其他供应商之间的利害关系。如未如实披露，则视为提供虚假材料，由投标人承担不利后果。</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二、磋商响应文件</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（一）磋商响应文件的组成</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供应商应仔细阅读磋商采购文件的所有内容，按磋商采购文件的要求，详细编制磋商响应文件。</w:t>
      </w:r>
      <w:r>
        <w:rPr>
          <w:rFonts w:hint="eastAsia" w:ascii="宋体" w:hAnsi="宋体" w:eastAsia="宋体" w:cs="宋体"/>
          <w:color w:val="000000" w:themeColor="text1"/>
          <w:sz w:val="24"/>
          <w:szCs w:val="32"/>
          <w:highlight w:val="none"/>
          <w:lang w:val="zh-CN"/>
          <w14:textFill>
            <w14:solidFill>
              <w14:schemeClr w14:val="tx1"/>
            </w14:solidFill>
          </w14:textFill>
        </w:rPr>
        <w:t>【特别提示：如有要求提供资料原件的，原件另行包装，并与磋商响应文件一起提交，磋商响应截止时间后所有原件不予接收。资料原件也可以用与原件相符的公证原件替代】</w:t>
      </w:r>
    </w:p>
    <w:p>
      <w:pPr>
        <w:shd w:val="clear"/>
        <w:spacing w:line="360" w:lineRule="auto"/>
        <w:ind w:firstLine="480"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1、资格证明内容的组成：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（1）磋商声明书；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（2）授权委托书（法定代表人（单位负责人）亲自办理磋商响应事宜的，则无需提交）；</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（3）法人或者其他组织的营业执照等证明文件，自然人的身份证明；</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（4）具有良好的商业信誉和健全的财务会计制度的承诺；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（5）依法缴纳税收和社会保障资金的证明文件；</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（6）具备履行合同所必需的设备和专业技术能力的承诺函；</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（7）参加政府采购活动前三年内，在经营活动中没有重大违法记录（承诺函）；</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联合体协议（若非联合体投标则无需提供）。</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2、商务与技术内容的组成：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ab/>
      </w:r>
      <w:r>
        <w:rPr>
          <w:rFonts w:hint="eastAsia" w:ascii="宋体" w:hAnsi="宋体" w:eastAsia="宋体" w:cs="宋体"/>
          <w:color w:val="000000" w:themeColor="text1"/>
          <w:sz w:val="24"/>
          <w:szCs w:val="32"/>
          <w:highlight w:val="none"/>
          <w14:textFill>
            <w14:solidFill>
              <w14:schemeClr w14:val="tx1"/>
            </w14:solidFill>
          </w14:textFill>
        </w:rPr>
        <w:t>供应商情况介绍一览表（格式见附件）；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（2）评标办法里的资信部分评分内容；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（3）商务偏离表（格式见附件）；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（4）项目整体技术响应方案：根据评标办法自行编制；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（5）项目实施人员一览表（格式见附件）；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（6）售后服务方案；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（7）培训方案；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（8）技术偏离表（格式见附件）；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（9）供应商认为需要提供的其他资料；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3、报价内容的组成</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1、开标一览表（格式见附件）；</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2、报价明细表（格式见附件）；</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en-US" w:eastAsia="zh-CN"/>
          <w14:textFill>
            <w14:solidFill>
              <w14:schemeClr w14:val="tx1"/>
            </w14:solidFill>
          </w14:textFill>
        </w:rPr>
        <w:t>中小企业声明函；</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14:textFill>
            <w14:solidFill>
              <w14:schemeClr w14:val="tx1"/>
            </w14:solidFill>
          </w14:textFill>
        </w:rPr>
        <w:t>针对报价磋商供应商认为其他需要说明的资料；</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投标总报价包括必备的附件、服务费、人工费、技术支持、招标代理费、税金、完成本项目的其它费用和政策性文件规定及合同包含的所有风险、责任等所有费用，所有费用已包含在投标报价中。</w:t>
      </w:r>
    </w:p>
    <w:p>
      <w:pPr>
        <w:shd w:val="clear"/>
        <w:spacing w:line="360" w:lineRule="auto"/>
        <w:ind w:firstLine="241" w:firstLineChars="100"/>
        <w:rPr>
          <w:rFonts w:hint="eastAsia" w:ascii="宋体" w:hAnsi="宋体" w:eastAsia="宋体" w:cs="宋体"/>
          <w:b/>
          <w:bCs/>
          <w:color w:val="000000" w:themeColor="text1"/>
          <w:sz w:val="24"/>
          <w:szCs w:val="32"/>
          <w:highlight w:val="none"/>
          <w:lang w:val="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（二）磋商响应文件的制作、封装及递交要求</w:t>
      </w:r>
    </w:p>
    <w:p>
      <w:pPr>
        <w:shd w:val="clear"/>
        <w:spacing w:line="360" w:lineRule="auto"/>
        <w:ind w:firstLine="482" w:firstLineChars="200"/>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1、磋商响应文件的制作要求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.1本项目通过“政府采购云平台（www.zcygov.cn）”实行在线投标响应（电子投标）。供应商应通过“政采云电子交易客户端”，并按照本</w:t>
      </w:r>
      <w:r>
        <w:rPr>
          <w:rFonts w:hint="eastAsia" w:ascii="宋体" w:hAnsi="宋体" w:eastAsia="宋体" w:cs="宋体"/>
          <w:color w:val="000000" w:themeColor="text1"/>
          <w:sz w:val="24"/>
          <w:szCs w:val="32"/>
          <w:highlight w:val="none"/>
          <w:lang w:val="zh-CN"/>
          <w14:textFill>
            <w14:solidFill>
              <w14:schemeClr w14:val="tx1"/>
            </w14:solidFill>
          </w14:textFill>
        </w:rPr>
        <w:t>磋商</w:t>
      </w:r>
      <w:r>
        <w:rPr>
          <w:rFonts w:hint="eastAsia" w:ascii="宋体" w:hAnsi="宋体" w:eastAsia="宋体" w:cs="宋体"/>
          <w:color w:val="000000" w:themeColor="text1"/>
          <w:sz w:val="24"/>
          <w:szCs w:val="32"/>
          <w:highlight w:val="none"/>
          <w:lang w:val="en-GB"/>
          <w14:textFill>
            <w14:solidFill>
              <w14:schemeClr w14:val="tx1"/>
            </w14:solidFill>
          </w14:textFill>
        </w:rPr>
        <w:t>文件和“政府采购云平台”的要求编制并加密</w:t>
      </w:r>
      <w:r>
        <w:rPr>
          <w:rFonts w:hint="eastAsia" w:ascii="宋体" w:hAnsi="宋体" w:eastAsia="宋体" w:cs="宋体"/>
          <w:color w:val="000000" w:themeColor="text1"/>
          <w:sz w:val="24"/>
          <w:szCs w:val="32"/>
          <w:highlight w:val="none"/>
          <w:lang w:val="zh-CN"/>
          <w14:textFill>
            <w14:solidFill>
              <w14:schemeClr w14:val="tx1"/>
            </w14:solidFill>
          </w14:textFill>
        </w:rPr>
        <w:t>磋商响应文件</w:t>
      </w:r>
      <w:r>
        <w:rPr>
          <w:rFonts w:hint="eastAsia" w:ascii="宋体" w:hAnsi="宋体" w:eastAsia="宋体" w:cs="宋体"/>
          <w:color w:val="000000" w:themeColor="text1"/>
          <w:sz w:val="24"/>
          <w:szCs w:val="32"/>
          <w:highlight w:val="none"/>
          <w:lang w:val="en-GB"/>
          <w14:textFill>
            <w14:solidFill>
              <w14:schemeClr w14:val="tx1"/>
            </w14:solidFill>
          </w14:textFill>
        </w:rPr>
        <w:t>。</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1.2各供应商在编制磋商响应文件时请按照磋商文件第六部分规定的格式进行，</w:t>
      </w:r>
      <w:r>
        <w:rPr>
          <w:rFonts w:hint="eastAsia" w:ascii="宋体" w:hAnsi="宋体" w:eastAsia="宋体" w:cs="宋体"/>
          <w:color w:val="000000" w:themeColor="text1"/>
          <w:sz w:val="24"/>
          <w:szCs w:val="32"/>
          <w:highlight w:val="none"/>
          <w:lang w:val="en-GB"/>
          <w14:textFill>
            <w14:solidFill>
              <w14:schemeClr w14:val="tx1"/>
            </w14:solidFill>
          </w14:textFill>
        </w:rPr>
        <w:t>并按格式要求在指定位置根据要求进行签章，否则视为未提供，未提供格式的，请各供应商自行拟定格式。</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1.3 供应商应对所提供的全部资料的真实性承担法律责任，磋商响应文件内容中有要求盖章或签字的地方，必须加盖磋商供应商的公章以及法定代表人（单位负责人）或授权委托代理人的盖章或签字，其中所有证书类文件提供的复印件必须全部加盖单位公章且必须在有效期内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1.4磋商响应文件以及磋商供应商与采购组织机构就有关磋商事宜的所有来往函电，均应以中文汉语书写。除签字、盖章、专用名称等特殊情形外，以中文汉语以外的文字表述的磋商响应文件视同未提供。</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1.5 若磋商供应商不按采购文件的要求提供资格审查材料，其风险由磋商供应商自行承担。</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2、提供备份响应文件要求：见《前附表》</w:t>
      </w:r>
    </w:p>
    <w:p>
      <w:pPr>
        <w:shd w:val="clear"/>
        <w:spacing w:line="360" w:lineRule="auto"/>
        <w:ind w:firstLine="482" w:firstLineChars="200"/>
        <w:jc w:val="left"/>
        <w:rPr>
          <w:rFonts w:hint="eastAsia" w:ascii="宋体" w:hAnsi="宋体" w:eastAsia="宋体" w:cs="宋体"/>
          <w:b/>
          <w:bCs/>
          <w:color w:val="000000" w:themeColor="text1"/>
          <w:sz w:val="24"/>
          <w:szCs w:val="32"/>
          <w:highlight w:val="none"/>
          <w:lang w:val="en-GB"/>
          <w14:textFill>
            <w14:solidFill>
              <w14:schemeClr w14:val="tx1"/>
            </w14:solidFill>
          </w14:textFill>
        </w:rPr>
      </w:pPr>
      <w:r>
        <w:rPr>
          <w:rFonts w:hint="eastAsia" w:ascii="宋体" w:hAnsi="宋体" w:eastAsia="宋体" w:cs="宋体"/>
          <w:b/>
          <w:bCs/>
          <w:color w:val="000000" w:themeColor="text1"/>
          <w:sz w:val="24"/>
          <w:szCs w:val="32"/>
          <w:highlight w:val="none"/>
          <w:lang w:val="en-GB"/>
          <w14:textFill>
            <w14:solidFill>
              <w14:schemeClr w14:val="tx1"/>
            </w14:solidFill>
          </w14:textFill>
        </w:rPr>
        <w:t>3、响应文件的签章</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磋商响应</w:t>
      </w:r>
      <w:r>
        <w:rPr>
          <w:rFonts w:hint="eastAsia" w:ascii="宋体" w:hAnsi="宋体" w:eastAsia="宋体" w:cs="宋体"/>
          <w:color w:val="000000" w:themeColor="text1"/>
          <w:sz w:val="24"/>
          <w:szCs w:val="32"/>
          <w:highlight w:val="none"/>
          <w:lang w:val="en-GB"/>
          <w14:textFill>
            <w14:solidFill>
              <w14:schemeClr w14:val="tx1"/>
            </w14:solidFill>
          </w14:textFill>
        </w:rPr>
        <w:t>文件按照</w:t>
      </w:r>
      <w:r>
        <w:rPr>
          <w:rFonts w:hint="eastAsia" w:ascii="宋体" w:hAnsi="宋体" w:eastAsia="宋体" w:cs="宋体"/>
          <w:color w:val="000000" w:themeColor="text1"/>
          <w:sz w:val="24"/>
          <w:szCs w:val="32"/>
          <w:highlight w:val="none"/>
          <w:lang w:val="zh-CN"/>
          <w14:textFill>
            <w14:solidFill>
              <w14:schemeClr w14:val="tx1"/>
            </w14:solidFill>
          </w14:textFill>
        </w:rPr>
        <w:t>磋商</w:t>
      </w:r>
      <w:r>
        <w:rPr>
          <w:rFonts w:hint="eastAsia" w:ascii="宋体" w:hAnsi="宋体" w:eastAsia="宋体" w:cs="宋体"/>
          <w:color w:val="000000" w:themeColor="text1"/>
          <w:sz w:val="24"/>
          <w:szCs w:val="32"/>
          <w:highlight w:val="none"/>
          <w:lang w:val="en-GB"/>
          <w14:textFill>
            <w14:solidFill>
              <w14:schemeClr w14:val="tx1"/>
            </w14:solidFill>
          </w14:textFill>
        </w:rPr>
        <w:t>文件第六部分格式要求进行签署、盖章。供应商的响应文件未按照</w:t>
      </w:r>
      <w:r>
        <w:rPr>
          <w:rFonts w:hint="eastAsia" w:ascii="宋体" w:hAnsi="宋体" w:eastAsia="宋体" w:cs="宋体"/>
          <w:color w:val="000000" w:themeColor="text1"/>
          <w:sz w:val="24"/>
          <w:szCs w:val="32"/>
          <w:highlight w:val="none"/>
          <w:lang w:val="zh-CN"/>
          <w14:textFill>
            <w14:solidFill>
              <w14:schemeClr w14:val="tx1"/>
            </w14:solidFill>
          </w14:textFill>
        </w:rPr>
        <w:t>磋商</w:t>
      </w:r>
      <w:r>
        <w:rPr>
          <w:rFonts w:hint="eastAsia" w:ascii="宋体" w:hAnsi="宋体" w:eastAsia="宋体" w:cs="宋体"/>
          <w:color w:val="000000" w:themeColor="text1"/>
          <w:sz w:val="24"/>
          <w:szCs w:val="32"/>
          <w:highlight w:val="none"/>
          <w:lang w:val="en-GB"/>
          <w14:textFill>
            <w14:solidFill>
              <w14:schemeClr w14:val="tx1"/>
            </w14:solidFill>
          </w14:textFill>
        </w:rPr>
        <w:t>文件要求签署、盖章的，其投标无效；其中电子响应文件中所须加盖公章部分均采用CA签章，并根据《政府采购项目电子交易管理操作指南-供应商》及本采购文件规定的格式和顺序编制电子响应文件并进行关联定位。</w:t>
      </w:r>
    </w:p>
    <w:p>
      <w:pPr>
        <w:shd w:val="clear"/>
        <w:spacing w:line="360" w:lineRule="auto"/>
        <w:ind w:firstLine="482" w:firstLineChars="200"/>
        <w:jc w:val="left"/>
        <w:rPr>
          <w:rFonts w:hint="eastAsia" w:ascii="宋体" w:hAnsi="宋体" w:eastAsia="宋体" w:cs="宋体"/>
          <w:b/>
          <w:bCs/>
          <w:color w:val="000000" w:themeColor="text1"/>
          <w:sz w:val="24"/>
          <w:szCs w:val="32"/>
          <w:highlight w:val="none"/>
          <w:lang w:val="en-GB"/>
          <w14:textFill>
            <w14:solidFill>
              <w14:schemeClr w14:val="tx1"/>
            </w14:solidFill>
          </w14:textFill>
        </w:rPr>
      </w:pPr>
      <w:r>
        <w:rPr>
          <w:rFonts w:hint="eastAsia" w:ascii="宋体" w:hAnsi="宋体" w:eastAsia="宋体" w:cs="宋体"/>
          <w:b/>
          <w:bCs/>
          <w:color w:val="000000" w:themeColor="text1"/>
          <w:sz w:val="24"/>
          <w:szCs w:val="32"/>
          <w:highlight w:val="none"/>
          <w:lang w:val="en-GB"/>
          <w14:textFill>
            <w14:solidFill>
              <w14:schemeClr w14:val="tx1"/>
            </w14:solidFill>
          </w14:textFill>
        </w:rPr>
        <w:t>4、备份响应文件的密封与标志</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4.1备份响应文件须密封包装。没有密封包装的响应文件，将被拒收。</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4.2备份响应文件包装封面物应写明项目名称、供应商名称（联合体投标的，包装物封面需注明联合体投标，并注明联合体成员各方的名称和联合体协议中约定的牵头人的名称）。</w:t>
      </w:r>
    </w:p>
    <w:p>
      <w:pPr>
        <w:shd w:val="clear"/>
        <w:spacing w:line="360" w:lineRule="auto"/>
        <w:ind w:firstLine="482" w:firstLineChars="200"/>
        <w:jc w:val="left"/>
        <w:rPr>
          <w:rFonts w:hint="eastAsia" w:ascii="宋体" w:hAnsi="宋体" w:eastAsia="宋体" w:cs="宋体"/>
          <w:b/>
          <w:bCs/>
          <w:color w:val="000000" w:themeColor="text1"/>
          <w:sz w:val="24"/>
          <w:szCs w:val="32"/>
          <w:highlight w:val="none"/>
          <w:lang w:val="en-GB"/>
          <w14:textFill>
            <w14:solidFill>
              <w14:schemeClr w14:val="tx1"/>
            </w14:solidFill>
          </w14:textFill>
        </w:rPr>
      </w:pPr>
      <w:r>
        <w:rPr>
          <w:rFonts w:hint="eastAsia" w:ascii="宋体" w:hAnsi="宋体" w:eastAsia="宋体" w:cs="宋体"/>
          <w:b/>
          <w:bCs/>
          <w:color w:val="000000" w:themeColor="text1"/>
          <w:sz w:val="24"/>
          <w:szCs w:val="32"/>
          <w:highlight w:val="none"/>
          <w:lang w:val="en-GB"/>
          <w14:textFill>
            <w14:solidFill>
              <w14:schemeClr w14:val="tx1"/>
            </w14:solidFill>
          </w14:textFill>
        </w:rPr>
        <w:t>5、磋商响应文件的上传和递交</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5.1“磋商响应文件”的上传、递交：见</w:t>
      </w:r>
      <w:r>
        <w:rPr>
          <w:rFonts w:hint="eastAsia" w:ascii="宋体" w:hAnsi="宋体" w:eastAsia="宋体" w:cs="宋体"/>
          <w:color w:val="000000" w:themeColor="text1"/>
          <w:sz w:val="24"/>
          <w:szCs w:val="32"/>
          <w:highlight w:val="none"/>
          <w:lang w:val="zh-CN"/>
          <w14:textFill>
            <w14:solidFill>
              <w14:schemeClr w14:val="tx1"/>
            </w14:solidFill>
          </w14:textFill>
        </w:rPr>
        <w:t>竞争性磋商公告及</w:t>
      </w:r>
      <w:r>
        <w:rPr>
          <w:rFonts w:hint="eastAsia" w:ascii="宋体" w:hAnsi="宋体" w:eastAsia="宋体" w:cs="宋体"/>
          <w:color w:val="000000" w:themeColor="text1"/>
          <w:sz w:val="24"/>
          <w:szCs w:val="32"/>
          <w:highlight w:val="none"/>
          <w:lang w:val="en-GB"/>
          <w14:textFill>
            <w14:solidFill>
              <w14:schemeClr w14:val="tx1"/>
            </w14:solidFill>
          </w14:textFill>
        </w:rPr>
        <w:t>《前附表》。▲未传输递交电子响应文件的，投标无效。</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5.</w:t>
      </w:r>
      <w:r>
        <w:rPr>
          <w:rFonts w:hint="eastAsia" w:ascii="宋体" w:hAnsi="宋体" w:eastAsia="宋体" w:cs="宋体"/>
          <w:color w:val="000000" w:themeColor="text1"/>
          <w:sz w:val="24"/>
          <w:szCs w:val="32"/>
          <w:highlight w:val="none"/>
          <w:lang w:val="zh-CN"/>
          <w14:textFill>
            <w14:solidFill>
              <w14:schemeClr w14:val="tx1"/>
            </w14:solidFill>
          </w14:textFill>
        </w:rPr>
        <w:t>2</w:t>
      </w:r>
      <w:r>
        <w:rPr>
          <w:rFonts w:hint="eastAsia" w:ascii="宋体" w:hAnsi="宋体" w:eastAsia="宋体" w:cs="宋体"/>
          <w:color w:val="000000" w:themeColor="text1"/>
          <w:sz w:val="24"/>
          <w:szCs w:val="32"/>
          <w:highlight w:val="none"/>
          <w:lang w:val="en-GB"/>
          <w14:textFill>
            <w14:solidFill>
              <w14:schemeClr w14:val="tx1"/>
            </w14:solidFill>
          </w14:textFill>
        </w:rPr>
        <w:t>供应商还可以在投标截止时间将以介质（U盘）存储的数据电文形式的备份磋商响应文件密封送交到招标公告规定的投标地点。</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未按规定提供相应的备份磋商响应文件，造成项目开评标活动无法进行下去的，投标无效。采购机构将拒绝接受逾期送达的磋商响应文件。</w:t>
      </w:r>
    </w:p>
    <w:p>
      <w:pPr>
        <w:shd w:val="clear"/>
        <w:spacing w:line="360" w:lineRule="auto"/>
        <w:ind w:firstLine="482" w:firstLineChars="200"/>
        <w:jc w:val="left"/>
        <w:rPr>
          <w:rFonts w:hint="eastAsia" w:ascii="宋体" w:hAnsi="宋体" w:eastAsia="宋体" w:cs="宋体"/>
          <w:b/>
          <w:bCs/>
          <w:color w:val="000000" w:themeColor="text1"/>
          <w:sz w:val="24"/>
          <w:szCs w:val="32"/>
          <w:highlight w:val="none"/>
          <w:lang w:val="en-GB"/>
          <w14:textFill>
            <w14:solidFill>
              <w14:schemeClr w14:val="tx1"/>
            </w14:solidFill>
          </w14:textFill>
        </w:rPr>
      </w:pPr>
      <w:r>
        <w:rPr>
          <w:rFonts w:hint="eastAsia" w:ascii="宋体" w:hAnsi="宋体" w:eastAsia="宋体" w:cs="宋体"/>
          <w:b/>
          <w:bCs/>
          <w:color w:val="000000" w:themeColor="text1"/>
          <w:sz w:val="24"/>
          <w:szCs w:val="32"/>
          <w:highlight w:val="none"/>
          <w:lang w:val="en-GB"/>
          <w14:textFill>
            <w14:solidFill>
              <w14:schemeClr w14:val="tx1"/>
            </w14:solidFill>
          </w14:textFill>
        </w:rPr>
        <w:t>6、响应文件的补充、修改、撤回</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6.1供应商应当在投标截止时间前完成电子响应文件的上传、递交，并可以补充、修改或者撤回响应文件。补充或者修改响应文件的，应当先行撤回原文件，补充、修改后重新上传、递交。投标截止时间前未完成上传、递交的，视为撤回响应文件。投标截止时间后递交的响应文件，“政府采购云平台”将予以拒收。</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6.</w:t>
      </w:r>
      <w:r>
        <w:rPr>
          <w:rFonts w:hint="eastAsia" w:ascii="宋体" w:hAnsi="宋体" w:eastAsia="宋体" w:cs="宋体"/>
          <w:color w:val="000000" w:themeColor="text1"/>
          <w:sz w:val="24"/>
          <w:szCs w:val="32"/>
          <w:highlight w:val="none"/>
          <w:lang w:val="zh-CN"/>
          <w14:textFill>
            <w14:solidFill>
              <w14:schemeClr w14:val="tx1"/>
            </w14:solidFill>
          </w14:textFill>
        </w:rPr>
        <w:t>2</w:t>
      </w:r>
      <w:r>
        <w:rPr>
          <w:rFonts w:hint="eastAsia" w:ascii="宋体" w:hAnsi="宋体" w:eastAsia="宋体" w:cs="宋体"/>
          <w:color w:val="000000" w:themeColor="text1"/>
          <w:sz w:val="24"/>
          <w:szCs w:val="32"/>
          <w:highlight w:val="none"/>
          <w:lang w:val="en-GB"/>
          <w14:textFill>
            <w14:solidFill>
              <w14:schemeClr w14:val="tx1"/>
            </w14:solidFill>
          </w14:textFill>
        </w:rPr>
        <w:t>投标截止时间后，磋商供应商不得撤回、修改响应文件。</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6.3</w:t>
      </w:r>
      <w:r>
        <w:rPr>
          <w:rFonts w:hint="eastAsia" w:ascii="宋体" w:hAnsi="宋体" w:eastAsia="宋体" w:cs="宋体"/>
          <w:color w:val="000000" w:themeColor="text1"/>
          <w:sz w:val="24"/>
          <w:szCs w:val="32"/>
          <w:highlight w:val="none"/>
          <w:lang w:val="en-GB"/>
          <w14:textFill>
            <w14:solidFill>
              <w14:schemeClr w14:val="tx1"/>
            </w14:solidFill>
          </w14:textFill>
        </w:rPr>
        <w:t>在开标后规定的投标有效期内，供应商不能撤销响应文件。</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（三）磋商响应文件的有效期</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自磋商响应截止日起90天磋商响应文件应保持有效。有效期不足的磋商响应文件将被拒绝。</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2、在特殊情况下，采购人可与磋商供应商协商延长磋商响应文件的有效期，这种要求和答复均以书面形式进行。</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3、成交供应商的磋商响应文件自磋商之日起至合同履行完毕均应保持有效。</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三、磋商</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（一）磋商程序</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1、采购组织机构将在“磋商公告”规定的时间和地点进行磋商，磋商采购会议由采购组织机构工作人员主持。</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主持人宣布磋商采购会议开始，介绍磋商现场的人员情况，宣读提交磋商响应文件的供应商名单、磋商纪律、应当回避的情形等注意事项，组织供应商签署不存在影响公平竞争的《政府采购活动现场确认声明书》。</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3、向各供应商发出电子加密响应文件【开始解密】通知，由供应商按磋商文件规定的时间内自行进行响应文件解密。磋商响应文件的制作和解密应使用同一个数字证书，否则将可能解密失败。</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4、采购组织机构点击【开启标书信息】，开启标书成功后进入开标流程。</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5、本项目原则上采用电子评审方法，若因政采云平台原因无法读取或电子开评标无法正常进行，采购代理机构将开启所有供应商递交的备份响应文件，以完成开、评标，电子响应文件及以介质存储的数据电文形式的备份响应文件自动失效。</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6、磋商小组必须按照客观、公正、审慎的原则，根据磋商文件规定的评审程序、评审方法和评审标准进行独立评审。未实质性响应磋商文件的响应文件按无效响应处理，磋商小组应当告知提交响应文件的供应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7、磋商小组所有成员集中与单一供应商分别进行磋商，并给予所有参加磋商的供应商平等的磋商机会。</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8、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当及时以书面形式同时通知所有参加磋商的供应商。供应商应当按照磋商文件的变动情况和磋商小组的要求重新提交响应文件，并由其法定代表人（单位负责人）或授权委托代理人签字或者加盖公章。</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 xml:space="preserve">9、磋商文件能够详细列明采购标的技术、服务要求的，磋商结束后，磋商小组将要求所有实质性响应的供应商在规定时间内提交最后报价，最后报价是供应商响应文件的有效组成部分。未提交最后报价的投标无效。 </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10、经磋商确定最终采购需求和提交最后报价的供应商后，由磋商小组采用综合评分法对提交最后报价的供应商的响应文件和最后报价进行综合评分。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11、磋商小组根据综合评分情况，按照评审得分由高到低顺序确定预成交供应商，编写评审报告。</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12、采购组织机构对磋商小组专家成员进行评价；</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13、主持人到磋商采购会现场宣布磋商结果（含技术得分、最后报价、报价得分及总得分），磋商采购会议结束。</w:t>
      </w: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特别说明：如遇政采云平台电子化开标或评审程序调整的，按调整后程序执行。</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（二）澄清问题的形式</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（三）错误修正</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磋商响应文件报价出现前后不一致的，除磋商采购文件另有规定外，按照下列规定修正：</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1、磋商响应文件中首次报价一览表内容与磋商响应文件中相应内容不一致的，以首次报价一览表为准；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2、大写金额和小写金额不一致的，以大写金额为准；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3、单价金额小数点或者百分比有明显错位的，以首次报价一览表的总价为准，并修改单价；</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4、总价金额与按单价汇总金额不一致的，以单价金额计算结果为准。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同时出现两种以上不一致的，按照前款规定的顺序修正。修正应当采用书面形式，并加盖公章，或者由法定代表人（单位负责人）或其授权的代表签字。修正后的报价经磋商供应商确认后产生约束力，磋商供应商不确认的，将终止磋商。</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（四）磋商供应商存在下列情况之一的，响应无效，终止磋商：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1、磋商响应文件中的商务与技术内容中的</w:t>
      </w:r>
      <w:r>
        <w:rPr>
          <w:rFonts w:hint="eastAsia" w:ascii="宋体" w:hAnsi="宋体" w:eastAsia="宋体" w:cs="宋体"/>
          <w:color w:val="000000" w:themeColor="text1"/>
          <w:sz w:val="24"/>
          <w:szCs w:val="32"/>
          <w:highlight w:val="none"/>
          <w14:textFill>
            <w14:solidFill>
              <w14:schemeClr w14:val="tx1"/>
            </w14:solidFill>
          </w14:textFill>
        </w:rPr>
        <w:t>服务</w:t>
      </w:r>
      <w:r>
        <w:rPr>
          <w:rFonts w:hint="eastAsia" w:ascii="宋体" w:hAnsi="宋体" w:eastAsia="宋体" w:cs="宋体"/>
          <w:color w:val="000000" w:themeColor="text1"/>
          <w:sz w:val="24"/>
          <w:szCs w:val="32"/>
          <w:highlight w:val="none"/>
          <w:lang w:val="zh-CN"/>
          <w14:textFill>
            <w14:solidFill>
              <w14:schemeClr w14:val="tx1"/>
            </w14:solidFill>
          </w14:textFill>
        </w:rPr>
        <w:t>出现重大偏差的；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2、不具备磋商采购文件中规定的资格要求的。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3、磋商响应文件含有采购人不能接受的附加条件的。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4、供应商代表人未能出具身份证明或与法定代表人（单位负责人）授权委托代理人身份不符的；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5、磋商小组认为供应商的报价明显低于其他通过符合性审查供应商的报价，有可能影响诚信履约的，应当要求其在评审现场合理的时间内提供书面说明，必要时提交相关证明材料；供应商不能证明其报价合理性的，磋商小组应当与其终止磋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6、报价超过磋商采购文件中规定的预算金额/最高限价。</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7</w:t>
      </w:r>
      <w:r>
        <w:rPr>
          <w:rFonts w:hint="eastAsia" w:ascii="宋体" w:hAnsi="宋体" w:eastAsia="宋体" w:cs="宋体"/>
          <w:color w:val="000000" w:themeColor="text1"/>
          <w:sz w:val="24"/>
          <w:szCs w:val="32"/>
          <w:highlight w:val="none"/>
          <w:lang w:val="zh-CN"/>
          <w14:textFill>
            <w14:solidFill>
              <w14:schemeClr w14:val="tx1"/>
            </w14:solidFill>
          </w14:textFill>
        </w:rPr>
        <w:t>、磋商响应文件提供虚假材料的。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8</w:t>
      </w:r>
      <w:r>
        <w:rPr>
          <w:rFonts w:hint="eastAsia" w:ascii="宋体" w:hAnsi="宋体" w:eastAsia="宋体" w:cs="宋体"/>
          <w:color w:val="000000" w:themeColor="text1"/>
          <w:sz w:val="24"/>
          <w:szCs w:val="32"/>
          <w:highlight w:val="none"/>
          <w:lang w:val="zh-CN"/>
          <w14:textFill>
            <w14:solidFill>
              <w14:schemeClr w14:val="tx1"/>
            </w14:solidFill>
          </w14:textFill>
        </w:rPr>
        <w:t>、不同供应商的磋商响应文件由同一单位或者个人编制；</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9</w:t>
      </w:r>
      <w:r>
        <w:rPr>
          <w:rFonts w:hint="eastAsia" w:ascii="宋体" w:hAnsi="宋体" w:eastAsia="宋体" w:cs="宋体"/>
          <w:color w:val="000000" w:themeColor="text1"/>
          <w:sz w:val="24"/>
          <w:szCs w:val="32"/>
          <w:highlight w:val="none"/>
          <w:lang w:val="zh-CN"/>
          <w14:textFill>
            <w14:solidFill>
              <w14:schemeClr w14:val="tx1"/>
            </w14:solidFill>
          </w14:textFill>
        </w:rPr>
        <w:t>、不同供应商委托同一单位或者个人办理磋商事宜；</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US" w:eastAsia="zh-CN"/>
          <w14:textFill>
            <w14:solidFill>
              <w14:schemeClr w14:val="tx1"/>
            </w14:solidFill>
          </w14:textFill>
        </w:rPr>
        <w:t>0</w:t>
      </w:r>
      <w:r>
        <w:rPr>
          <w:rFonts w:hint="eastAsia" w:ascii="宋体" w:hAnsi="宋体" w:eastAsia="宋体" w:cs="宋体"/>
          <w:color w:val="000000" w:themeColor="text1"/>
          <w:sz w:val="24"/>
          <w:szCs w:val="32"/>
          <w:highlight w:val="none"/>
          <w:lang w:val="zh-CN"/>
          <w14:textFill>
            <w14:solidFill>
              <w14:schemeClr w14:val="tx1"/>
            </w14:solidFill>
          </w14:textFill>
        </w:rPr>
        <w:t>、不同供应商的磋商响应文件载明的项目管理成员或者联系人员为同一人；</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z w:val="24"/>
          <w:szCs w:val="32"/>
          <w:highlight w:val="none"/>
          <w:lang w:val="zh-CN"/>
          <w14:textFill>
            <w14:solidFill>
              <w14:schemeClr w14:val="tx1"/>
            </w14:solidFill>
          </w14:textFill>
        </w:rPr>
        <w:t>、不同供应商的磋商响应文件异常一致或者报价呈规律性差异；</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、不同供应商的磋商响应文件相互混装；</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、不符合法律、法规和磋商采购文件中规定的其他实质性要求的（磋商采购文件中打“▲”内容及被拒绝的条款）。</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lang w:val="zh-CN"/>
          <w14:textFill>
            <w14:solidFill>
              <w14:schemeClr w14:val="tx1"/>
            </w14:solidFill>
          </w14:textFill>
        </w:rPr>
        <w:t>、未传输递交电子响应文件的或者未按规定提供相应的备份响应文件，造成项目开评标活动无法进行下去的。</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（五）有下列情况之一的，本次磋商终止：</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1、出现影响采购公正的违法、违规行为的；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 xml:space="preserve">2、磋商小组发现磋商文件存在歧义、重大缺陷导致评审工作无法进行，或者磋商文件内容违反国家有关强制性规定的； </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3、因重大变故，采购任务取消的；</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4、法律、法规和磋商文件规定的其他导致评审结果无效的。</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（六）磋商原则和方法</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2、磋商办法。具体磋商内容及评分标准等详见《三、评审办法及评审标准》。</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（七）评审过程的监控</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四、磋商结果确定</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3、发出成交通知书。采购组织机构在发布成交结果同时，向成交供应商发出成交通知书。</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5、代理费用：按照下列表格标准向中标单位收取招标代理费，中标方须在中标通知书发出5日内一</w:t>
      </w:r>
      <w:r>
        <w:rPr>
          <w:rFonts w:hint="eastAsia" w:ascii="宋体" w:hAnsi="宋体" w:eastAsia="宋体" w:cs="宋体"/>
          <w:color w:val="000000" w:themeColor="text1"/>
          <w:sz w:val="24"/>
          <w:szCs w:val="32"/>
          <w:highlight w:val="none"/>
          <w14:textFill>
            <w14:solidFill>
              <w14:schemeClr w14:val="tx1"/>
            </w14:solidFill>
          </w14:textFill>
        </w:rPr>
        <w:t>次性付清。（户名：浙江五石中正工程咨询有限公司；账号：1202003209900014176；开户银行：中国工商银行杭州市潮王路支行）财务电话：0571-88271625。</w:t>
      </w:r>
    </w:p>
    <w:tbl>
      <w:tblPr>
        <w:tblStyle w:val="30"/>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服务类型、费率、中标金额（万元）</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货物招标</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服务招标</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100以下</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100-500</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8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500-1000</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0.45%</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1000-5000</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0.50%</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5000-10000</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0.10%</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10000-100000</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8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100000以上</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c>
          <w:tcPr>
            <w:tcW w:w="15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r>
    </w:tbl>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五、合同签订及公告</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（一）签订合同</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1、采购人应当自成交通知书发出之日起</w:t>
      </w: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0</w:t>
      </w:r>
      <w:r>
        <w:rPr>
          <w:rFonts w:hint="eastAsia" w:ascii="宋体" w:hAnsi="宋体" w:eastAsia="宋体" w:cs="宋体"/>
          <w:color w:val="000000" w:themeColor="text1"/>
          <w:sz w:val="24"/>
          <w:szCs w:val="32"/>
          <w:highlight w:val="none"/>
          <w14:textFill>
            <w14:solidFill>
              <w14:schemeClr w14:val="tx1"/>
            </w14:solidFill>
          </w14:textFill>
        </w:rPr>
        <w:t>天</w:t>
      </w:r>
      <w:r>
        <w:rPr>
          <w:rFonts w:hint="eastAsia" w:ascii="宋体" w:hAnsi="宋体" w:eastAsia="宋体" w:cs="宋体"/>
          <w:color w:val="000000" w:themeColor="text1"/>
          <w:sz w:val="24"/>
          <w:szCs w:val="32"/>
          <w:highlight w:val="none"/>
          <w:lang w:val="zh-CN"/>
          <w14:textFill>
            <w14:solidFill>
              <w14:schemeClr w14:val="tx1"/>
            </w14:solidFill>
          </w14:textFill>
        </w:rPr>
        <w:t>内，按照磋商采购文件确定的合同文本以及采购标的、采购金额、采购数量和服务要求等事项签订政府采购合同。</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2、采购人不得向成交供应商提出超出磋商文件以外的任何要求作为签订合同的条件，不得与成交供应商订立背离磋商文件确定的合同文本以及采购标的、采购金额、采购数量和服务要求等实质性内容的协议。</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3、成交供应商无故拖延、拒签合同的，取消成交资格。</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做出处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（二）合同公告及备案</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1、采购人应当自政府采购合同签订之日起2个工作日内，在省级以上财政部门指定的政府采购信息发布媒体及相关网站上公告。</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2、采购人应当自政府采购合同签订之日起7个工作日内，将政府采购合同副本报同级人民政府财政部门备案以及采购组织机构存档。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p>
    <w:p>
      <w:pPr>
        <w:pStyle w:val="3"/>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第三部分 评审办法及评审标准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一、采购组织机构将组织磋商小组，磋商小组由3人以上单数组成，对供应商提供的磋商响应文件进行综合评审。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二、本次磋商项目的评审方法为</w:t>
      </w:r>
      <w:r>
        <w:rPr>
          <w:rFonts w:hint="eastAsia" w:ascii="宋体" w:hAnsi="宋体" w:eastAsia="宋体" w:cs="宋体"/>
          <w:b/>
          <w:bCs/>
          <w:color w:val="000000" w:themeColor="text1"/>
          <w:sz w:val="24"/>
          <w:szCs w:val="32"/>
          <w:highlight w:val="none"/>
          <w14:textFill>
            <w14:solidFill>
              <w14:schemeClr w14:val="tx1"/>
            </w14:solidFill>
          </w14:textFill>
        </w:rPr>
        <w:t>综合评分法</w:t>
      </w:r>
      <w:r>
        <w:rPr>
          <w:rFonts w:hint="eastAsia" w:ascii="宋体" w:hAnsi="宋体" w:eastAsia="宋体" w:cs="宋体"/>
          <w:color w:val="000000" w:themeColor="text1"/>
          <w:sz w:val="24"/>
          <w:szCs w:val="32"/>
          <w:highlight w:val="none"/>
          <w14:textFill>
            <w14:solidFill>
              <w14:schemeClr w14:val="tx1"/>
            </w14:solidFill>
          </w14:textFill>
        </w:rPr>
        <w:t>，总计100分。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（一）商务与技术文件中的客观分由磋商小组讨论后统一打分；其余在规定的分值内单独评定打分。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（二）各磋商供应商商务与技术文件得分按照磋商小组成员的独立评分结果汇总后的算术平均分计算，计算公式为：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商务与技术文件得分=磋商小组所有成员评分合计数/磋商小组组成人员数。</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（三）综合评分法中的价格分统一采用低价优先法计算，即满足磋商文件要求通过一轮磋商且最后报价最低的供应商的价格作为磋商基准价，其报价得满分。其他供应商的价格分统一按照下列公式计算：</w:t>
      </w:r>
    </w:p>
    <w:p>
      <w:pPr>
        <w:shd w:val="clear"/>
        <w:spacing w:line="360" w:lineRule="auto"/>
        <w:ind w:firstLine="482" w:firstLineChars="200"/>
        <w:rPr>
          <w:rFonts w:hint="eastAsia" w:ascii="宋体" w:hAnsi="宋体" w:eastAsia="宋体" w:cs="宋体"/>
          <w:b/>
          <w:bCs/>
          <w:color w:val="000000" w:themeColor="text1"/>
          <w:sz w:val="24"/>
          <w:szCs w:val="32"/>
          <w:highlight w:val="none"/>
          <w:u w:val="single"/>
          <w14:textFill>
            <w14:solidFill>
              <w14:schemeClr w14:val="tx1"/>
            </w14:solidFill>
          </w14:textFill>
        </w:rPr>
      </w:pPr>
      <w:r>
        <w:rPr>
          <w:rFonts w:hint="eastAsia" w:ascii="宋体" w:hAnsi="宋体" w:eastAsia="宋体" w:cs="宋体"/>
          <w:b/>
          <w:bCs/>
          <w:color w:val="000000" w:themeColor="text1"/>
          <w:sz w:val="24"/>
          <w:szCs w:val="32"/>
          <w:highlight w:val="none"/>
          <w:u w:val="single"/>
          <w14:textFill>
            <w14:solidFill>
              <w14:schemeClr w14:val="tx1"/>
            </w14:solidFill>
          </w14:textFill>
        </w:rPr>
        <w:t>投标报价得分=（评标基准价/投标报价）×20%×100 。</w:t>
      </w:r>
    </w:p>
    <w:p>
      <w:pPr>
        <w:shd w:val="clear"/>
        <w:autoSpaceDE w:val="0"/>
        <w:autoSpaceDN w:val="0"/>
        <w:adjustRightInd w:val="0"/>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（四）政府采购政策及优惠：</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zh-CN"/>
          <w14:textFill>
            <w14:solidFill>
              <w14:schemeClr w14:val="tx1"/>
            </w14:solidFill>
          </w14:textFill>
        </w:rPr>
        <w:t>）根据浙江省财政厅发布的《浙江省财政厅关于进一步加大政府采购支持中小企业力度</w:t>
      </w:r>
      <w:r>
        <w:rPr>
          <w:rFonts w:hint="eastAsia" w:ascii="宋体" w:hAnsi="宋体" w:eastAsia="宋体" w:cs="宋体"/>
          <w:color w:val="000000" w:themeColor="text1"/>
          <w:sz w:val="24"/>
          <w:szCs w:val="32"/>
          <w:highlight w:val="none"/>
          <w14:textFill>
            <w14:solidFill>
              <w14:schemeClr w14:val="tx1"/>
            </w14:solidFill>
          </w14:textFill>
        </w:rPr>
        <w:t xml:space="preserve"> 助力扎实稳住经济</w:t>
      </w:r>
      <w:r>
        <w:rPr>
          <w:rFonts w:hint="eastAsia" w:ascii="宋体" w:hAnsi="宋体" w:eastAsia="宋体" w:cs="宋体"/>
          <w:color w:val="000000" w:themeColor="text1"/>
          <w:sz w:val="24"/>
          <w:szCs w:val="32"/>
          <w:highlight w:val="none"/>
          <w:lang w:val="zh-CN"/>
          <w14:textFill>
            <w14:solidFill>
              <w14:schemeClr w14:val="tx1"/>
            </w14:solidFill>
          </w14:textFill>
        </w:rPr>
        <w:t>的通知》【浙财采监〔2022〕</w:t>
      </w:r>
      <w:r>
        <w:rPr>
          <w:rFonts w:hint="eastAsia" w:ascii="宋体" w:hAnsi="宋体" w:eastAsia="宋体" w:cs="宋体"/>
          <w:color w:val="000000" w:themeColor="text1"/>
          <w:sz w:val="24"/>
          <w:szCs w:val="32"/>
          <w:highlight w:val="none"/>
          <w14:textFill>
            <w14:solidFill>
              <w14:schemeClr w14:val="tx1"/>
            </w14:solidFill>
          </w14:textFill>
        </w:rPr>
        <w:t>8</w:t>
      </w:r>
      <w:r>
        <w:rPr>
          <w:rFonts w:hint="eastAsia" w:ascii="宋体" w:hAnsi="宋体" w:eastAsia="宋体" w:cs="宋体"/>
          <w:color w:val="000000" w:themeColor="text1"/>
          <w:sz w:val="24"/>
          <w:szCs w:val="32"/>
          <w:highlight w:val="none"/>
          <w:lang w:val="zh-CN"/>
          <w14:textFill>
            <w14:solidFill>
              <w14:schemeClr w14:val="tx1"/>
            </w14:solidFill>
          </w14:textFill>
        </w:rPr>
        <w:t>号】规定，落实财政部、工业和信息化部发布的《政府采购促进中小企业发展管理办法》【财库（2020）46号】和《财政部关于进一步加大政府采购支持中小企业力度的通知》【财库（</w:t>
      </w:r>
      <w:r>
        <w:rPr>
          <w:rFonts w:hint="eastAsia" w:ascii="宋体" w:hAnsi="宋体" w:eastAsia="宋体" w:cs="宋体"/>
          <w:color w:val="000000" w:themeColor="text1"/>
          <w:sz w:val="24"/>
          <w:szCs w:val="32"/>
          <w:highlight w:val="none"/>
          <w14:textFill>
            <w14:solidFill>
              <w14:schemeClr w14:val="tx1"/>
            </w14:solidFill>
          </w14:textFill>
        </w:rPr>
        <w:t>2022</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19号</w:t>
      </w:r>
      <w:r>
        <w:rPr>
          <w:rFonts w:hint="eastAsia" w:ascii="宋体" w:hAnsi="宋体" w:eastAsia="宋体" w:cs="宋体"/>
          <w:color w:val="000000" w:themeColor="text1"/>
          <w:sz w:val="24"/>
          <w:szCs w:val="32"/>
          <w:highlight w:val="none"/>
          <w:lang w:val="zh-CN"/>
          <w14:textFill>
            <w14:solidFill>
              <w14:schemeClr w14:val="tx1"/>
            </w14:solidFill>
          </w14:textFill>
        </w:rPr>
        <w:t>】有关规定，货物和服务项目中未预留份额专门面向中小企业采购的，以及预留份额项目中的非预留部分采购包，采购单位、采购代理机构应当对符合规定的小微企业报价给予</w:t>
      </w: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0%的扣除，用扣除后的价格参加评审。</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单位、采购代理机构应当对联合体或者大中型企业的报价给予</w:t>
      </w:r>
      <w:r>
        <w:rPr>
          <w:rFonts w:hint="eastAsia" w:ascii="宋体" w:hAnsi="宋体" w:eastAsia="宋体" w:cs="宋体"/>
          <w:color w:val="000000" w:themeColor="text1"/>
          <w:sz w:val="24"/>
          <w:szCs w:val="32"/>
          <w:highlight w:val="none"/>
          <w14:textFill>
            <w14:solidFill>
              <w14:schemeClr w14:val="tx1"/>
            </w14:solidFill>
          </w14:textFill>
        </w:rPr>
        <w:t>6%</w:t>
      </w:r>
      <w:r>
        <w:rPr>
          <w:rFonts w:hint="eastAsia" w:ascii="宋体" w:hAnsi="宋体" w:eastAsia="宋体" w:cs="宋体"/>
          <w:color w:val="000000" w:themeColor="text1"/>
          <w:sz w:val="24"/>
          <w:szCs w:val="32"/>
          <w:highlight w:val="none"/>
          <w:lang w:val="zh-CN"/>
          <w14:textFill>
            <w14:solidFill>
              <w14:schemeClr w14:val="tx1"/>
            </w14:solidFill>
          </w14:textFill>
        </w:rPr>
        <w:t>的扣除，用扣除后的价格参加评审。</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组成联合体或者接受分包的小微企业与联合体内其他企业、分包企业之间存在直接控股、管理关系的，不享受价格扣除优惠政策。</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投标文件中须同时出具《政府采购促进中小企业发展管理办法》【财库（2020）46号】规定的《中小企业声明函》，否则不得享受价格扣除。</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本项目对符合规定的小微企业（含小型企业）报价给予</w:t>
      </w:r>
      <w:r>
        <w:rPr>
          <w:rFonts w:hint="eastAsia" w:ascii="宋体" w:hAnsi="宋体" w:eastAsia="宋体" w:cs="宋体"/>
          <w:color w:val="000000" w:themeColor="text1"/>
          <w:sz w:val="24"/>
          <w:szCs w:val="32"/>
          <w:highlight w:val="none"/>
          <w14:textFill>
            <w14:solidFill>
              <w14:schemeClr w14:val="tx1"/>
            </w14:solidFill>
          </w14:textFill>
        </w:rPr>
        <w:t>20</w:t>
      </w:r>
      <w:r>
        <w:rPr>
          <w:rFonts w:hint="eastAsia" w:ascii="宋体" w:hAnsi="宋体" w:eastAsia="宋体" w:cs="宋体"/>
          <w:color w:val="000000" w:themeColor="text1"/>
          <w:sz w:val="24"/>
          <w:szCs w:val="32"/>
          <w:highlight w:val="none"/>
          <w:lang w:val="zh-CN"/>
          <w14:textFill>
            <w14:solidFill>
              <w14:schemeClr w14:val="tx1"/>
            </w14:solidFill>
          </w14:textFill>
        </w:rPr>
        <w:t>%的扣除。</w:t>
      </w:r>
    </w:p>
    <w:p>
      <w:pPr>
        <w:shd w:val="clear"/>
        <w:autoSpaceDE w:val="0"/>
        <w:autoSpaceDN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（2）根据《关于政府采购支持监狱企业发展有关问题的通知》（财库[2014]68号）的规定，供应商如为监狱企业且所投产品为小型或微型企业生产的，其投标报价扣除</w:t>
      </w:r>
      <w:r>
        <w:rPr>
          <w:rFonts w:hint="eastAsia" w:ascii="宋体" w:hAnsi="宋体" w:eastAsia="宋体" w:cs="宋体"/>
          <w:color w:val="000000" w:themeColor="text1"/>
          <w:kern w:val="0"/>
          <w:sz w:val="24"/>
          <w:highlight w:val="none"/>
          <w14:textFill>
            <w14:solidFill>
              <w14:schemeClr w14:val="tx1"/>
            </w14:solidFill>
          </w14:textFill>
        </w:rPr>
        <w:t>20</w:t>
      </w:r>
      <w:r>
        <w:rPr>
          <w:rFonts w:hint="eastAsia" w:ascii="宋体" w:hAnsi="宋体" w:eastAsia="宋体" w:cs="宋体"/>
          <w:color w:val="000000" w:themeColor="text1"/>
          <w:kern w:val="0"/>
          <w:sz w:val="24"/>
          <w:highlight w:val="none"/>
          <w:lang w:val="zh-CN"/>
          <w14:textFill>
            <w14:solidFill>
              <w14:schemeClr w14:val="tx1"/>
            </w14:solidFill>
          </w14:textFill>
        </w:rPr>
        <w:t>%后参与评审。</w:t>
      </w:r>
    </w:p>
    <w:p>
      <w:pPr>
        <w:shd w:val="clear"/>
        <w:autoSpaceDE w:val="0"/>
        <w:autoSpaceDN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pPr>
        <w:shd w:val="clear"/>
        <w:autoSpaceDE w:val="0"/>
        <w:autoSpaceDN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autoSpaceDE w:val="0"/>
        <w:autoSpaceDN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享受政府采购支持政策的残疾人福利性单位应当同时满足以下条件：</w:t>
      </w:r>
    </w:p>
    <w:p>
      <w:pPr>
        <w:shd w:val="clear"/>
        <w:autoSpaceDE w:val="0"/>
        <w:autoSpaceDN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①安置的残疾人占本单位在职职工人数的比例不低于25%（含25%），并且安置的残疾人人数不少于10人（含10人）；</w:t>
      </w:r>
    </w:p>
    <w:p>
      <w:pPr>
        <w:shd w:val="clear"/>
        <w:autoSpaceDE w:val="0"/>
        <w:autoSpaceDN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②依法与安置的每位残疾人签订了一年以上（含一年）的劳动合同或服务协议；</w:t>
      </w:r>
    </w:p>
    <w:p>
      <w:pPr>
        <w:shd w:val="clear"/>
        <w:autoSpaceDE w:val="0"/>
        <w:autoSpaceDN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③为安置的每位残疾人按月足额缴纳了基本养老保险、基本医疗保险、失业保险、工伤保险和生育保险等社会保险费；</w:t>
      </w:r>
    </w:p>
    <w:p>
      <w:pPr>
        <w:shd w:val="clear"/>
        <w:autoSpaceDE w:val="0"/>
        <w:autoSpaceDN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④通过银行等金融机构向安置的每位残疾人，按月支付了不低于单位所在区县适用的经省级人民政府批准的月最低工资标准的工资；</w:t>
      </w:r>
    </w:p>
    <w:p>
      <w:pPr>
        <w:shd w:val="clear"/>
        <w:autoSpaceDE w:val="0"/>
        <w:autoSpaceDN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pPr>
        <w:shd w:val="clear"/>
        <w:autoSpaceDE w:val="0"/>
        <w:autoSpaceDN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注：得分以系统计算为准，保留2位小数。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三、在最大限度地满足招标文件实质性要求前提下，评标委员会按照招标文件中规定的各项因素进行综合评审后，以评标总得分最高的供应商为中标候选人。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四、如综合得分相同，投标报价低者为先；如综合得分且投标报价相同的，服务类采购项目根据综合实力信誉较高者为先。</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五、提供相同品牌产品的不同供应商参加同一合同项下投标的，按一家供应商认定：</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（1）采用最低评标价法的采购项目，以其中通过资格审查、符合性审查且报价最低的参加评标；报价相同的，由评标委员会集体确定一个供应商参加评标，其他投标无效。</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（2）使用综合评分法的采购项目，评审后得分最高的同品牌供应商获得中标人推荐资格；评审得分相同的，由评标委员会集体推荐一个供应商作为中标候选人，其他同品牌供应商不作为中标候选人。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六</w:t>
      </w:r>
      <w:r>
        <w:rPr>
          <w:rFonts w:hint="eastAsia" w:ascii="宋体" w:hAnsi="宋体" w:eastAsia="宋体" w:cs="宋体"/>
          <w:color w:val="000000" w:themeColor="text1"/>
          <w:sz w:val="24"/>
          <w:szCs w:val="32"/>
          <w:highlight w:val="none"/>
          <w:lang w:val="zh-CN"/>
          <w14:textFill>
            <w14:solidFill>
              <w14:schemeClr w14:val="tx1"/>
            </w14:solidFill>
          </w14:textFill>
        </w:rPr>
        <w:t>、本次评分具体分值细化条款如下表：</w:t>
      </w:r>
    </w:p>
    <w:p>
      <w:pPr>
        <w:shd w:val="clear"/>
        <w:rPr>
          <w:rFonts w:hint="eastAsia" w:ascii="宋体" w:hAnsi="宋体" w:eastAsia="宋体" w:cs="宋体"/>
          <w:color w:val="000000" w:themeColor="text1"/>
          <w:highlight w:val="none"/>
          <w14:textFill>
            <w14:solidFill>
              <w14:schemeClr w14:val="tx1"/>
            </w14:solidFill>
          </w14:textFill>
        </w:rPr>
      </w:pPr>
    </w:p>
    <w:tbl>
      <w:tblPr>
        <w:tblStyle w:val="30"/>
        <w:tblW w:w="5089" w:type="pct"/>
        <w:tblInd w:w="0" w:type="dxa"/>
        <w:tblLayout w:type="fixed"/>
        <w:tblCellMar>
          <w:top w:w="0" w:type="dxa"/>
          <w:left w:w="108" w:type="dxa"/>
          <w:bottom w:w="0" w:type="dxa"/>
          <w:right w:w="108" w:type="dxa"/>
        </w:tblCellMar>
      </w:tblPr>
      <w:tblGrid>
        <w:gridCol w:w="507"/>
        <w:gridCol w:w="1095"/>
        <w:gridCol w:w="6286"/>
        <w:gridCol w:w="780"/>
      </w:tblGrid>
      <w:tr>
        <w:tblPrEx>
          <w:tblCellMar>
            <w:top w:w="0" w:type="dxa"/>
            <w:left w:w="108" w:type="dxa"/>
            <w:bottom w:w="0" w:type="dxa"/>
            <w:right w:w="108" w:type="dxa"/>
          </w:tblCellMar>
        </w:tblPrEx>
        <w:trPr>
          <w:trHeight w:val="280" w:hRule="atLeast"/>
        </w:trPr>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序号</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评分因素</w:t>
            </w:r>
          </w:p>
        </w:tc>
        <w:tc>
          <w:tcPr>
            <w:tcW w:w="6286" w:type="dxa"/>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评分标准</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分值</w:t>
            </w:r>
          </w:p>
        </w:tc>
      </w:tr>
      <w:tr>
        <w:tblPrEx>
          <w:tblCellMar>
            <w:top w:w="0" w:type="dxa"/>
            <w:left w:w="108" w:type="dxa"/>
            <w:bottom w:w="0" w:type="dxa"/>
            <w:right w:w="108" w:type="dxa"/>
          </w:tblCellMar>
        </w:tblPrEx>
        <w:trPr>
          <w:trHeight w:val="1320"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p>
        </w:tc>
        <w:tc>
          <w:tcPr>
            <w:tcW w:w="109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价格分（20分）</w:t>
            </w:r>
          </w:p>
        </w:tc>
        <w:tc>
          <w:tcPr>
            <w:tcW w:w="6286" w:type="dxa"/>
            <w:tcBorders>
              <w:top w:val="nil"/>
              <w:left w:val="nil"/>
              <w:bottom w:val="single" w:color="auto" w:sz="4" w:space="0"/>
              <w:right w:val="single" w:color="auto" w:sz="4" w:space="0"/>
            </w:tcBorders>
            <w:shd w:val="clear" w:color="auto" w:fill="auto"/>
            <w:vAlign w:val="center"/>
          </w:tcPr>
          <w:p>
            <w:pPr>
              <w:widowControl/>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基准价为满足评标要求且投标价格最低的报价，投标报价得分=(基准价／投标报价)×20，四舍五入，保留两位小数。报价高于预算价的，为无效投标文件。</w:t>
            </w:r>
          </w:p>
        </w:tc>
        <w:tc>
          <w:tcPr>
            <w:tcW w:w="780"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20</w:t>
            </w:r>
          </w:p>
        </w:tc>
      </w:tr>
      <w:tr>
        <w:tblPrEx>
          <w:tblCellMar>
            <w:top w:w="0" w:type="dxa"/>
            <w:left w:w="108" w:type="dxa"/>
            <w:bottom w:w="0" w:type="dxa"/>
            <w:right w:w="108" w:type="dxa"/>
          </w:tblCellMar>
        </w:tblPrEx>
        <w:trPr>
          <w:trHeight w:val="90"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w:t>
            </w:r>
          </w:p>
        </w:tc>
        <w:tc>
          <w:tcPr>
            <w:tcW w:w="109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资质（8分）</w:t>
            </w:r>
          </w:p>
        </w:tc>
        <w:tc>
          <w:tcPr>
            <w:tcW w:w="6286" w:type="dxa"/>
            <w:tcBorders>
              <w:top w:val="nil"/>
              <w:left w:val="nil"/>
              <w:bottom w:val="single" w:color="auto" w:sz="4" w:space="0"/>
              <w:right w:val="single" w:color="auto" w:sz="4" w:space="0"/>
            </w:tcBorders>
            <w:shd w:val="clear" w:color="auto" w:fill="auto"/>
            <w:vAlign w:val="center"/>
          </w:tcPr>
          <w:p>
            <w:pPr>
              <w:widowControl/>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1、供应商具有有效的信息安全管理体系认证证书、信息技术服务管理体系认证证书、业务连续性管理体系认证证书的每个得1分，最多得3分；</w:t>
            </w:r>
          </w:p>
          <w:p>
            <w:pPr>
              <w:widowControl/>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2、供应商具有有效的质量管理体系认证证书、环境管理体系认证证书、职业健康安全管理体系认证证书的每个得1分，最多得3分；</w:t>
            </w:r>
          </w:p>
          <w:p>
            <w:pPr>
              <w:widowControl/>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3、供应商具有云平台等保三级证书的得2分。</w:t>
            </w:r>
          </w:p>
          <w:p>
            <w:pPr>
              <w:widowControl/>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（提供证书扫描件并加盖公章，否则不得分）</w:t>
            </w:r>
          </w:p>
        </w:tc>
        <w:tc>
          <w:tcPr>
            <w:tcW w:w="780"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8</w:t>
            </w:r>
          </w:p>
        </w:tc>
      </w:tr>
      <w:tr>
        <w:tblPrEx>
          <w:tblCellMar>
            <w:top w:w="0" w:type="dxa"/>
            <w:left w:w="108" w:type="dxa"/>
            <w:bottom w:w="0" w:type="dxa"/>
            <w:right w:w="108" w:type="dxa"/>
          </w:tblCellMar>
        </w:tblPrEx>
        <w:trPr>
          <w:trHeight w:val="560" w:hRule="atLeast"/>
        </w:trPr>
        <w:tc>
          <w:tcPr>
            <w:tcW w:w="507" w:type="dxa"/>
            <w:vMerge w:val="restart"/>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w:t>
            </w:r>
          </w:p>
        </w:tc>
        <w:tc>
          <w:tcPr>
            <w:tcW w:w="1095" w:type="dxa"/>
            <w:vMerge w:val="restart"/>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人员配置（12分）</w:t>
            </w:r>
          </w:p>
        </w:tc>
        <w:tc>
          <w:tcPr>
            <w:tcW w:w="6286" w:type="dxa"/>
            <w:tcBorders>
              <w:top w:val="nil"/>
              <w:left w:val="nil"/>
              <w:bottom w:val="single" w:color="auto" w:sz="4" w:space="0"/>
              <w:right w:val="single" w:color="auto" w:sz="4" w:space="0"/>
            </w:tcBorders>
            <w:shd w:val="clear" w:color="auto" w:fill="auto"/>
            <w:vAlign w:val="center"/>
          </w:tcPr>
          <w:p>
            <w:pPr>
              <w:widowControl/>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根据拟派项目负责人具备高级信息系统项目管理师证书、高级物联网应用工程师、国际信息系统审计师证书、H3CSE证书的情况计分；具备以上1个类别证书得1分，具备以上2-3个类别证书得2分，具备以上4个类别证书得4分。</w:t>
            </w:r>
            <w:r>
              <w:rPr>
                <w:rFonts w:hint="eastAsia" w:ascii="宋体" w:hAnsi="宋体" w:eastAsia="宋体" w:cs="宋体"/>
                <w:b/>
                <w:color w:val="000000" w:themeColor="text1"/>
                <w:szCs w:val="21"/>
                <w:highlight w:val="none"/>
                <w:lang w:val="zh-CN"/>
                <w14:textFill>
                  <w14:solidFill>
                    <w14:schemeClr w14:val="tx1"/>
                  </w14:solidFill>
                </w14:textFill>
              </w:rPr>
              <w:t>（提供人员证书和人员</w:t>
            </w:r>
            <w:r>
              <w:rPr>
                <w:rFonts w:hint="eastAsia" w:ascii="宋体" w:hAnsi="宋体" w:eastAsia="宋体" w:cs="宋体"/>
                <w:b/>
                <w:color w:val="000000" w:themeColor="text1"/>
                <w:szCs w:val="21"/>
                <w:highlight w:val="none"/>
                <w14:textFill>
                  <w14:solidFill>
                    <w14:schemeClr w14:val="tx1"/>
                  </w14:solidFill>
                </w14:textFill>
              </w:rPr>
              <w:t>2022年8月-10月</w:t>
            </w:r>
            <w:r>
              <w:rPr>
                <w:rFonts w:hint="eastAsia" w:ascii="宋体" w:hAnsi="宋体" w:eastAsia="宋体" w:cs="宋体"/>
                <w:b/>
                <w:color w:val="000000" w:themeColor="text1"/>
                <w:szCs w:val="21"/>
                <w:highlight w:val="none"/>
                <w:lang w:val="zh-CN"/>
                <w14:textFill>
                  <w14:solidFill>
                    <w14:schemeClr w14:val="tx1"/>
                  </w14:solidFill>
                </w14:textFill>
              </w:rPr>
              <w:t>社保证明扫描件并加盖单位公章，否则不得分）</w:t>
            </w:r>
          </w:p>
        </w:tc>
        <w:tc>
          <w:tcPr>
            <w:tcW w:w="780" w:type="dxa"/>
            <w:vMerge w:val="restart"/>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12</w:t>
            </w:r>
          </w:p>
        </w:tc>
      </w:tr>
      <w:tr>
        <w:tblPrEx>
          <w:tblCellMar>
            <w:top w:w="0" w:type="dxa"/>
            <w:left w:w="108" w:type="dxa"/>
            <w:bottom w:w="0" w:type="dxa"/>
            <w:right w:w="108" w:type="dxa"/>
          </w:tblCellMar>
        </w:tblPrEx>
        <w:trPr>
          <w:trHeight w:val="840" w:hRule="atLeast"/>
        </w:trPr>
        <w:tc>
          <w:tcPr>
            <w:tcW w:w="507" w:type="dxa"/>
            <w:vMerge w:val="continue"/>
            <w:tcBorders>
              <w:top w:val="nil"/>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1095" w:type="dxa"/>
            <w:vMerge w:val="continue"/>
            <w:tcBorders>
              <w:top w:val="nil"/>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6286" w:type="dxa"/>
            <w:tcBorders>
              <w:top w:val="nil"/>
              <w:left w:val="nil"/>
              <w:bottom w:val="single" w:color="auto" w:sz="4" w:space="0"/>
              <w:right w:val="single" w:color="auto" w:sz="4" w:space="0"/>
            </w:tcBorders>
            <w:shd w:val="clear" w:color="auto" w:fill="auto"/>
            <w:vAlign w:val="center"/>
          </w:tcPr>
          <w:p>
            <w:pPr>
              <w:widowControl/>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根据拟派项目技术负责人具备系统集成项目管理工程师证书、数据中心机房运维与管理工程师证书、高级智能化系统集成项目经理证书、高级软件工程师证书的情况计分；具备以上1个类别证书得1分，具备以上2-3个类别证书得2分，具备以上4个类别证书得4分。</w:t>
            </w:r>
            <w:r>
              <w:rPr>
                <w:rFonts w:hint="eastAsia" w:ascii="宋体" w:hAnsi="宋体" w:eastAsia="宋体" w:cs="宋体"/>
                <w:b/>
                <w:color w:val="000000" w:themeColor="text1"/>
                <w:szCs w:val="21"/>
                <w:highlight w:val="none"/>
                <w:lang w:val="zh-CN"/>
                <w14:textFill>
                  <w14:solidFill>
                    <w14:schemeClr w14:val="tx1"/>
                  </w14:solidFill>
                </w14:textFill>
              </w:rPr>
              <w:t>（提供人员证书和人员</w:t>
            </w:r>
            <w:r>
              <w:rPr>
                <w:rFonts w:hint="eastAsia" w:ascii="宋体" w:hAnsi="宋体" w:eastAsia="宋体" w:cs="宋体"/>
                <w:b/>
                <w:color w:val="000000" w:themeColor="text1"/>
                <w:szCs w:val="21"/>
                <w:highlight w:val="none"/>
                <w14:textFill>
                  <w14:solidFill>
                    <w14:schemeClr w14:val="tx1"/>
                  </w14:solidFill>
                </w14:textFill>
              </w:rPr>
              <w:t>2022年8月-10月</w:t>
            </w:r>
            <w:r>
              <w:rPr>
                <w:rFonts w:hint="eastAsia" w:ascii="宋体" w:hAnsi="宋体" w:eastAsia="宋体" w:cs="宋体"/>
                <w:b/>
                <w:color w:val="000000" w:themeColor="text1"/>
                <w:szCs w:val="21"/>
                <w:highlight w:val="none"/>
                <w:lang w:val="zh-CN"/>
                <w14:textFill>
                  <w14:solidFill>
                    <w14:schemeClr w14:val="tx1"/>
                  </w14:solidFill>
                </w14:textFill>
              </w:rPr>
              <w:t>社保证明扫描件并加盖单位公章，否则不得分）</w:t>
            </w:r>
          </w:p>
        </w:tc>
        <w:tc>
          <w:tcPr>
            <w:tcW w:w="780" w:type="dxa"/>
            <w:vMerge w:val="continue"/>
            <w:tcBorders>
              <w:top w:val="nil"/>
              <w:left w:val="nil"/>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trPr>
        <w:tc>
          <w:tcPr>
            <w:tcW w:w="507" w:type="dxa"/>
            <w:vMerge w:val="continue"/>
            <w:tcBorders>
              <w:top w:val="nil"/>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1095" w:type="dxa"/>
            <w:vMerge w:val="continue"/>
            <w:tcBorders>
              <w:top w:val="nil"/>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6286" w:type="dxa"/>
            <w:tcBorders>
              <w:top w:val="nil"/>
              <w:left w:val="nil"/>
              <w:bottom w:val="single" w:color="auto" w:sz="4" w:space="0"/>
              <w:right w:val="single" w:color="auto" w:sz="4" w:space="0"/>
            </w:tcBorders>
            <w:shd w:val="clear" w:color="auto" w:fill="auto"/>
            <w:vAlign w:val="center"/>
          </w:tcPr>
          <w:p>
            <w:pPr>
              <w:widowControl/>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3、根据拟派项目组成员具备高级物联网应用工程师、高级软件工程师证书、数据隐私解决方案工程师证书、数据中心机房运维与管理工程师证书的，每一类得1分，最高得4分</w:t>
            </w:r>
            <w:r>
              <w:rPr>
                <w:rFonts w:hint="eastAsia" w:ascii="宋体" w:hAnsi="宋体" w:eastAsia="宋体" w:cs="宋体"/>
                <w:b/>
                <w:color w:val="000000" w:themeColor="text1"/>
                <w:szCs w:val="21"/>
                <w:highlight w:val="none"/>
                <w:lang w:val="zh-CN"/>
                <w14:textFill>
                  <w14:solidFill>
                    <w14:schemeClr w14:val="tx1"/>
                  </w14:solidFill>
                </w14:textFill>
              </w:rPr>
              <w:t>（提供人员证书和人员</w:t>
            </w:r>
            <w:r>
              <w:rPr>
                <w:rFonts w:hint="eastAsia" w:ascii="宋体" w:hAnsi="宋体" w:eastAsia="宋体" w:cs="宋体"/>
                <w:b/>
                <w:color w:val="000000" w:themeColor="text1"/>
                <w:szCs w:val="21"/>
                <w:highlight w:val="none"/>
                <w14:textFill>
                  <w14:solidFill>
                    <w14:schemeClr w14:val="tx1"/>
                  </w14:solidFill>
                </w14:textFill>
              </w:rPr>
              <w:t>2022年8月-10月</w:t>
            </w:r>
            <w:r>
              <w:rPr>
                <w:rFonts w:hint="eastAsia" w:ascii="宋体" w:hAnsi="宋体" w:eastAsia="宋体" w:cs="宋体"/>
                <w:b/>
                <w:color w:val="000000" w:themeColor="text1"/>
                <w:szCs w:val="21"/>
                <w:highlight w:val="none"/>
                <w:lang w:val="zh-CN"/>
                <w14:textFill>
                  <w14:solidFill>
                    <w14:schemeClr w14:val="tx1"/>
                  </w14:solidFill>
                </w14:textFill>
              </w:rPr>
              <w:t>社保证明扫描件并加盖单位公章，否则不得分，同一人员不重复计分）</w:t>
            </w:r>
          </w:p>
        </w:tc>
        <w:tc>
          <w:tcPr>
            <w:tcW w:w="780" w:type="dxa"/>
            <w:vMerge w:val="continue"/>
            <w:tcBorders>
              <w:top w:val="nil"/>
              <w:left w:val="nil"/>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w:t>
            </w:r>
          </w:p>
        </w:tc>
        <w:tc>
          <w:tcPr>
            <w:tcW w:w="1095" w:type="dxa"/>
            <w:tcBorders>
              <w:top w:val="nil"/>
              <w:left w:val="nil"/>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技术指标响应（</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24</w:t>
            </w:r>
            <w:r>
              <w:rPr>
                <w:rFonts w:hint="eastAsia" w:ascii="宋体" w:hAnsi="宋体" w:eastAsia="宋体" w:cs="宋体"/>
                <w:color w:val="000000" w:themeColor="text1"/>
                <w:kern w:val="0"/>
                <w:sz w:val="22"/>
                <w:szCs w:val="22"/>
                <w:highlight w:val="none"/>
                <w14:textFill>
                  <w14:solidFill>
                    <w14:schemeClr w14:val="tx1"/>
                  </w14:solidFill>
                </w14:textFill>
              </w:rPr>
              <w:t>分）</w:t>
            </w:r>
          </w:p>
        </w:tc>
        <w:tc>
          <w:tcPr>
            <w:tcW w:w="6286" w:type="dxa"/>
            <w:tcBorders>
              <w:top w:val="nil"/>
              <w:left w:val="nil"/>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根据供应商提供主要设备的技术参数、所需证书、检测检验报告、证明材料等与采购文件要求的符合度进行打分，全部满足采购文件要求的得</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24</w:t>
            </w:r>
            <w:r>
              <w:rPr>
                <w:rFonts w:hint="eastAsia" w:ascii="宋体" w:hAnsi="宋体" w:eastAsia="宋体" w:cs="宋体"/>
                <w:color w:val="000000" w:themeColor="text1"/>
                <w:kern w:val="0"/>
                <w:sz w:val="22"/>
                <w:szCs w:val="22"/>
                <w:highlight w:val="none"/>
                <w14:textFill>
                  <w14:solidFill>
                    <w14:schemeClr w14:val="tx1"/>
                  </w14:solidFill>
                </w14:textFill>
              </w:rPr>
              <w:t>分。其中： “★”为重要性指标，负偏离的每项扣1分；其余指标负偏离的每项扣</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0.2</w:t>
            </w:r>
            <w:r>
              <w:rPr>
                <w:rFonts w:hint="eastAsia" w:ascii="宋体" w:hAnsi="宋体" w:eastAsia="宋体" w:cs="宋体"/>
                <w:color w:val="000000" w:themeColor="text1"/>
                <w:kern w:val="0"/>
                <w:sz w:val="22"/>
                <w:szCs w:val="22"/>
                <w:highlight w:val="none"/>
                <w14:textFill>
                  <w14:solidFill>
                    <w14:schemeClr w14:val="tx1"/>
                  </w14:solidFill>
                </w14:textFill>
              </w:rPr>
              <w:t>分，扣完为止。本项最多得</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w:t>
            </w:r>
            <w:r>
              <w:rPr>
                <w:rFonts w:hint="eastAsia" w:ascii="宋体" w:hAnsi="宋体" w:cs="宋体"/>
                <w:color w:val="000000" w:themeColor="text1"/>
                <w:kern w:val="0"/>
                <w:sz w:val="22"/>
                <w:szCs w:val="22"/>
                <w:highlight w:val="none"/>
                <w:lang w:val="en-US" w:eastAsia="zh-CN"/>
                <w14:textFill>
                  <w14:solidFill>
                    <w14:schemeClr w14:val="tx1"/>
                  </w14:solidFill>
                </w14:textFill>
              </w:rPr>
              <w:t>4</w:t>
            </w:r>
            <w:bookmarkStart w:id="21" w:name="_GoBack"/>
            <w:bookmarkEnd w:id="21"/>
            <w:r>
              <w:rPr>
                <w:rFonts w:hint="eastAsia" w:ascii="宋体" w:hAnsi="宋体" w:eastAsia="宋体" w:cs="宋体"/>
                <w:color w:val="000000" w:themeColor="text1"/>
                <w:kern w:val="0"/>
                <w:sz w:val="22"/>
                <w:szCs w:val="22"/>
                <w:highlight w:val="none"/>
                <w14:textFill>
                  <w14:solidFill>
                    <w14:schemeClr w14:val="tx1"/>
                  </w14:solidFill>
                </w14:textFill>
              </w:rPr>
              <w:t>分。</w:t>
            </w:r>
          </w:p>
          <w:p>
            <w:pPr>
              <w:widowControl/>
              <w:shd w:val="clear"/>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提供对应证明资料，不提供不得分。</w:t>
            </w:r>
          </w:p>
        </w:tc>
        <w:tc>
          <w:tcPr>
            <w:tcW w:w="780"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24</w:t>
            </w:r>
          </w:p>
        </w:tc>
      </w:tr>
      <w:tr>
        <w:tblPrEx>
          <w:tblCellMar>
            <w:top w:w="0" w:type="dxa"/>
            <w:left w:w="108" w:type="dxa"/>
            <w:bottom w:w="0" w:type="dxa"/>
            <w:right w:w="108" w:type="dxa"/>
          </w:tblCellMar>
        </w:tblPrEx>
        <w:trPr>
          <w:trHeight w:val="840"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　</w:t>
            </w:r>
          </w:p>
        </w:tc>
        <w:tc>
          <w:tcPr>
            <w:tcW w:w="1095" w:type="dxa"/>
            <w:tcBorders>
              <w:top w:val="nil"/>
              <w:left w:val="nil"/>
              <w:bottom w:val="single" w:color="auto" w:sz="4" w:space="0"/>
              <w:right w:val="single" w:color="auto" w:sz="4" w:space="0"/>
            </w:tcBorders>
            <w:shd w:val="clear" w:color="auto" w:fill="auto"/>
            <w:vAlign w:val="center"/>
          </w:tcPr>
          <w:p>
            <w:pPr>
              <w:widowControl/>
              <w:shd w:val="clear"/>
              <w:jc w:val="both"/>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项目理解（4分）</w:t>
            </w:r>
          </w:p>
        </w:tc>
        <w:tc>
          <w:tcPr>
            <w:tcW w:w="6286" w:type="dxa"/>
            <w:tcBorders>
              <w:top w:val="nil"/>
              <w:left w:val="nil"/>
              <w:bottom w:val="single" w:color="auto" w:sz="4" w:space="0"/>
              <w:right w:val="single" w:color="auto" w:sz="4" w:space="0"/>
            </w:tcBorders>
            <w:shd w:val="clear" w:color="auto" w:fill="auto"/>
            <w:vAlign w:val="center"/>
          </w:tcPr>
          <w:p>
            <w:pPr>
              <w:widowControl/>
              <w:shd w:val="clea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根据投标人对本项目项目背景及建设目标的理解进行评审，</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理解内容明确，结合项目实际有具体分析且内容符合实际得3-4</w:t>
            </w:r>
            <w:r>
              <w:rPr>
                <w:rFonts w:hint="eastAsia" w:ascii="宋体" w:hAnsi="宋体" w:eastAsia="宋体" w:cs="宋体"/>
                <w:color w:val="000000" w:themeColor="text1"/>
                <w:kern w:val="0"/>
                <w:sz w:val="22"/>
                <w:szCs w:val="22"/>
                <w:highlight w:val="none"/>
                <w14:textFill>
                  <w14:solidFill>
                    <w14:schemeClr w14:val="tx1"/>
                  </w14:solidFill>
                </w14:textFill>
              </w:rPr>
              <w:t>分；</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对项目理解相对清晰，但未详细描述具体内容或描述较为简略得0.1-2.9分</w:t>
            </w:r>
            <w:r>
              <w:rPr>
                <w:rFonts w:hint="eastAsia" w:ascii="宋体" w:hAnsi="宋体" w:eastAsia="宋体" w:cs="宋体"/>
                <w:color w:val="000000" w:themeColor="text1"/>
                <w:kern w:val="0"/>
                <w:sz w:val="22"/>
                <w:szCs w:val="22"/>
                <w:highlight w:val="none"/>
                <w14:textFill>
                  <w14:solidFill>
                    <w14:schemeClr w14:val="tx1"/>
                  </w14:solidFill>
                </w14:textFill>
              </w:rPr>
              <w:t>。</w:t>
            </w:r>
          </w:p>
          <w:p>
            <w:pPr>
              <w:widowControl/>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未提供任何方案描述的，不得分。</w:t>
            </w:r>
          </w:p>
        </w:tc>
        <w:tc>
          <w:tcPr>
            <w:tcW w:w="780"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w:t>
            </w:r>
          </w:p>
        </w:tc>
      </w:tr>
      <w:tr>
        <w:tblPrEx>
          <w:tblCellMar>
            <w:top w:w="0" w:type="dxa"/>
            <w:left w:w="108" w:type="dxa"/>
            <w:bottom w:w="0" w:type="dxa"/>
            <w:right w:w="108" w:type="dxa"/>
          </w:tblCellMar>
        </w:tblPrEx>
        <w:trPr>
          <w:trHeight w:val="560"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6　</w:t>
            </w:r>
          </w:p>
        </w:tc>
        <w:tc>
          <w:tcPr>
            <w:tcW w:w="109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服务入口（</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4</w:t>
            </w:r>
            <w:r>
              <w:rPr>
                <w:rFonts w:hint="eastAsia" w:ascii="宋体" w:hAnsi="宋体" w:eastAsia="宋体" w:cs="宋体"/>
                <w:color w:val="000000" w:themeColor="text1"/>
                <w:kern w:val="0"/>
                <w:sz w:val="22"/>
                <w:szCs w:val="22"/>
                <w:highlight w:val="none"/>
                <w14:textFill>
                  <w14:solidFill>
                    <w14:schemeClr w14:val="tx1"/>
                  </w14:solidFill>
                </w14:textFill>
              </w:rPr>
              <w:t>分）</w:t>
            </w:r>
          </w:p>
        </w:tc>
        <w:tc>
          <w:tcPr>
            <w:tcW w:w="6286" w:type="dxa"/>
            <w:tcBorders>
              <w:top w:val="nil"/>
              <w:left w:val="nil"/>
              <w:bottom w:val="single" w:color="auto" w:sz="4" w:space="0"/>
              <w:right w:val="single" w:color="auto" w:sz="4" w:space="0"/>
            </w:tcBorders>
            <w:shd w:val="clear" w:color="auto" w:fill="auto"/>
            <w:vAlign w:val="center"/>
          </w:tcPr>
          <w:p>
            <w:pPr>
              <w:widowControl/>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根据投标人对本项目居民服务入口、社区运营入口、治理入口的方案描述进行评审</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方案明确，每一项内容均描述详细且结合实际得3-4分</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内容相对清晰，但所述内容未结合项目实际情况展开或描述简略得0.1-2.9分</w:t>
            </w:r>
            <w:r>
              <w:rPr>
                <w:rFonts w:hint="eastAsia" w:ascii="宋体" w:hAnsi="宋体" w:eastAsia="宋体" w:cs="宋体"/>
                <w:color w:val="000000" w:themeColor="text1"/>
                <w:kern w:val="0"/>
                <w:sz w:val="22"/>
                <w:szCs w:val="22"/>
                <w:highlight w:val="none"/>
                <w14:textFill>
                  <w14:solidFill>
                    <w14:schemeClr w14:val="tx1"/>
                  </w14:solidFill>
                </w14:textFill>
              </w:rPr>
              <w:t>；未提供不得分。</w:t>
            </w:r>
          </w:p>
        </w:tc>
        <w:tc>
          <w:tcPr>
            <w:tcW w:w="780"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4</w:t>
            </w:r>
          </w:p>
        </w:tc>
      </w:tr>
      <w:tr>
        <w:tblPrEx>
          <w:tblCellMar>
            <w:top w:w="0" w:type="dxa"/>
            <w:left w:w="108" w:type="dxa"/>
            <w:bottom w:w="0" w:type="dxa"/>
            <w:right w:w="108" w:type="dxa"/>
          </w:tblCellMar>
        </w:tblPrEx>
        <w:trPr>
          <w:trHeight w:val="840"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7　</w:t>
            </w:r>
          </w:p>
        </w:tc>
        <w:tc>
          <w:tcPr>
            <w:tcW w:w="109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社区物联接入</w:t>
            </w:r>
          </w:p>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（社区物联引擎）（</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4</w:t>
            </w:r>
            <w:r>
              <w:rPr>
                <w:rFonts w:hint="eastAsia" w:ascii="宋体" w:hAnsi="宋体" w:eastAsia="宋体" w:cs="宋体"/>
                <w:color w:val="000000" w:themeColor="text1"/>
                <w:kern w:val="0"/>
                <w:sz w:val="22"/>
                <w:szCs w:val="22"/>
                <w:highlight w:val="none"/>
                <w14:textFill>
                  <w14:solidFill>
                    <w14:schemeClr w14:val="tx1"/>
                  </w14:solidFill>
                </w14:textFill>
              </w:rPr>
              <w:t>分）</w:t>
            </w:r>
          </w:p>
        </w:tc>
        <w:tc>
          <w:tcPr>
            <w:tcW w:w="6286" w:type="dxa"/>
            <w:tcBorders>
              <w:top w:val="nil"/>
              <w:left w:val="nil"/>
              <w:bottom w:val="single" w:color="auto" w:sz="4" w:space="0"/>
              <w:right w:val="single" w:color="auto" w:sz="4" w:space="0"/>
            </w:tcBorders>
            <w:shd w:val="clear" w:color="auto" w:fill="auto"/>
            <w:vAlign w:val="center"/>
          </w:tcPr>
          <w:p>
            <w:pPr>
              <w:widowControl/>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根据投标人对本项目社区物联接入（社区物联引擎）方案进行综合评审：</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方案明确，每一项内容均描述详细且结合实际得3-4分</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内容相对清晰，但所述内容未结合项目实际情况展开或描述简略得0.1-2.9分</w:t>
            </w:r>
            <w:r>
              <w:rPr>
                <w:rFonts w:hint="eastAsia" w:ascii="宋体" w:hAnsi="宋体" w:eastAsia="宋体" w:cs="宋体"/>
                <w:color w:val="000000" w:themeColor="text1"/>
                <w:kern w:val="0"/>
                <w:sz w:val="22"/>
                <w:szCs w:val="22"/>
                <w:highlight w:val="none"/>
                <w14:textFill>
                  <w14:solidFill>
                    <w14:schemeClr w14:val="tx1"/>
                  </w14:solidFill>
                </w14:textFill>
              </w:rPr>
              <w:t>；未提供不得分。</w:t>
            </w:r>
          </w:p>
        </w:tc>
        <w:tc>
          <w:tcPr>
            <w:tcW w:w="780"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4</w:t>
            </w:r>
          </w:p>
        </w:tc>
      </w:tr>
      <w:tr>
        <w:tblPrEx>
          <w:tblCellMar>
            <w:top w:w="0" w:type="dxa"/>
            <w:left w:w="108" w:type="dxa"/>
            <w:bottom w:w="0" w:type="dxa"/>
            <w:right w:w="108" w:type="dxa"/>
          </w:tblCellMar>
        </w:tblPrEx>
        <w:trPr>
          <w:trHeight w:val="560"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8</w:t>
            </w:r>
          </w:p>
        </w:tc>
        <w:tc>
          <w:tcPr>
            <w:tcW w:w="109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社区数据仓（</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4</w:t>
            </w:r>
            <w:r>
              <w:rPr>
                <w:rFonts w:hint="eastAsia" w:ascii="宋体" w:hAnsi="宋体" w:eastAsia="宋体" w:cs="宋体"/>
                <w:color w:val="000000" w:themeColor="text1"/>
                <w:kern w:val="0"/>
                <w:sz w:val="22"/>
                <w:szCs w:val="22"/>
                <w:highlight w:val="none"/>
                <w14:textFill>
                  <w14:solidFill>
                    <w14:schemeClr w14:val="tx1"/>
                  </w14:solidFill>
                </w14:textFill>
              </w:rPr>
              <w:t>分）</w:t>
            </w:r>
          </w:p>
        </w:tc>
        <w:tc>
          <w:tcPr>
            <w:tcW w:w="6286" w:type="dxa"/>
            <w:tcBorders>
              <w:top w:val="nil"/>
              <w:left w:val="nil"/>
              <w:bottom w:val="single" w:color="auto" w:sz="4" w:space="0"/>
              <w:right w:val="single" w:color="auto" w:sz="4" w:space="0"/>
            </w:tcBorders>
            <w:shd w:val="clear" w:color="auto" w:fill="auto"/>
            <w:vAlign w:val="center"/>
          </w:tcPr>
          <w:p>
            <w:pPr>
              <w:widowControl/>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根据投标人对本项目数据汇聚、数据治理、数据管理的方案描述进行综合评审：</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方案明确，每一项内容均描述详细且结合实际得3-4分</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内容相对清晰，但所述内容未结合项目实际情况展开或描述简略得0.1-2.9分</w:t>
            </w:r>
            <w:r>
              <w:rPr>
                <w:rFonts w:hint="eastAsia" w:ascii="宋体" w:hAnsi="宋体" w:eastAsia="宋体" w:cs="宋体"/>
                <w:color w:val="000000" w:themeColor="text1"/>
                <w:kern w:val="0"/>
                <w:sz w:val="22"/>
                <w:szCs w:val="22"/>
                <w:highlight w:val="none"/>
                <w14:textFill>
                  <w14:solidFill>
                    <w14:schemeClr w14:val="tx1"/>
                  </w14:solidFill>
                </w14:textFill>
              </w:rPr>
              <w:t>；未提供不得分。</w:t>
            </w:r>
          </w:p>
        </w:tc>
        <w:tc>
          <w:tcPr>
            <w:tcW w:w="780"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4</w:t>
            </w:r>
          </w:p>
        </w:tc>
      </w:tr>
      <w:tr>
        <w:tblPrEx>
          <w:tblCellMar>
            <w:top w:w="0" w:type="dxa"/>
            <w:left w:w="108" w:type="dxa"/>
            <w:bottom w:w="0" w:type="dxa"/>
            <w:right w:w="108" w:type="dxa"/>
          </w:tblCellMar>
        </w:tblPrEx>
        <w:trPr>
          <w:trHeight w:val="400"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9</w:t>
            </w:r>
          </w:p>
        </w:tc>
        <w:tc>
          <w:tcPr>
            <w:tcW w:w="109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场景功能（3分）</w:t>
            </w:r>
          </w:p>
        </w:tc>
        <w:tc>
          <w:tcPr>
            <w:tcW w:w="6286" w:type="dxa"/>
            <w:tcBorders>
              <w:top w:val="nil"/>
              <w:left w:val="nil"/>
              <w:bottom w:val="single" w:color="auto" w:sz="4" w:space="0"/>
              <w:right w:val="single" w:color="auto" w:sz="4" w:space="0"/>
            </w:tcBorders>
            <w:shd w:val="clear" w:color="auto" w:fill="auto"/>
            <w:vAlign w:val="center"/>
          </w:tcPr>
          <w:p>
            <w:pPr>
              <w:widowControl/>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根据投标人提供的浙住通、邻里互动、生活一张图、社区自治应用功能描述进行评审：</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方案明确，每一项内容均描述详细且结合实际得2-3分</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内容相对清晰，但所述内容未结合项目实际情况展开或描述简略得0.1-1.9分</w:t>
            </w:r>
            <w:r>
              <w:rPr>
                <w:rFonts w:hint="eastAsia" w:ascii="宋体" w:hAnsi="宋体" w:eastAsia="宋体" w:cs="宋体"/>
                <w:color w:val="000000" w:themeColor="text1"/>
                <w:kern w:val="0"/>
                <w:sz w:val="22"/>
                <w:szCs w:val="22"/>
                <w:highlight w:val="none"/>
                <w14:textFill>
                  <w14:solidFill>
                    <w14:schemeClr w14:val="tx1"/>
                  </w14:solidFill>
                </w14:textFill>
              </w:rPr>
              <w:t>。未提供浙住通、邻里互动、生活一张图、社区自治应用功能的，不得分。</w:t>
            </w:r>
          </w:p>
        </w:tc>
        <w:tc>
          <w:tcPr>
            <w:tcW w:w="780"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w:t>
            </w:r>
          </w:p>
        </w:tc>
      </w:tr>
      <w:tr>
        <w:tblPrEx>
          <w:tblCellMar>
            <w:top w:w="0" w:type="dxa"/>
            <w:left w:w="108" w:type="dxa"/>
            <w:bottom w:w="0" w:type="dxa"/>
            <w:right w:w="108" w:type="dxa"/>
          </w:tblCellMar>
        </w:tblPrEx>
        <w:trPr>
          <w:trHeight w:val="840"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10</w:t>
            </w:r>
          </w:p>
        </w:tc>
        <w:tc>
          <w:tcPr>
            <w:tcW w:w="1095"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在线重大应用贯通实施承诺（2分）</w:t>
            </w:r>
          </w:p>
        </w:tc>
        <w:tc>
          <w:tcPr>
            <w:tcW w:w="6286" w:type="dxa"/>
            <w:tcBorders>
              <w:top w:val="nil"/>
              <w:left w:val="nil"/>
              <w:bottom w:val="single" w:color="auto" w:sz="4" w:space="0"/>
              <w:right w:val="single" w:color="auto" w:sz="4" w:space="0"/>
            </w:tcBorders>
            <w:shd w:val="clear" w:color="auto" w:fill="auto"/>
            <w:vAlign w:val="center"/>
          </w:tcPr>
          <w:p>
            <w:pPr>
              <w:widowControl/>
              <w:shd w:val="clea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投标人须提供承诺书，确保社区智慧服务平台与浙里未来社区在线重大应用贯通，2分</w:t>
            </w:r>
          </w:p>
          <w:p>
            <w:pPr>
              <w:widowControl/>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不承诺承诺的不得分。</w:t>
            </w:r>
          </w:p>
        </w:tc>
        <w:tc>
          <w:tcPr>
            <w:tcW w:w="780"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w:t>
            </w:r>
          </w:p>
        </w:tc>
      </w:tr>
      <w:tr>
        <w:tblPrEx>
          <w:tblCellMar>
            <w:top w:w="0" w:type="dxa"/>
            <w:left w:w="108" w:type="dxa"/>
            <w:bottom w:w="0" w:type="dxa"/>
            <w:right w:w="108" w:type="dxa"/>
          </w:tblCellMar>
        </w:tblPrEx>
        <w:trPr>
          <w:trHeight w:val="1902" w:hRule="atLeast"/>
        </w:trPr>
        <w:tc>
          <w:tcPr>
            <w:tcW w:w="507" w:type="dxa"/>
            <w:tcBorders>
              <w:top w:val="nil"/>
              <w:left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11　</w:t>
            </w:r>
          </w:p>
        </w:tc>
        <w:tc>
          <w:tcPr>
            <w:tcW w:w="1095" w:type="dxa"/>
            <w:tcBorders>
              <w:top w:val="nil"/>
              <w:left w:val="nil"/>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实施方案（</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5</w:t>
            </w:r>
            <w:r>
              <w:rPr>
                <w:rFonts w:hint="eastAsia" w:ascii="宋体" w:hAnsi="宋体" w:eastAsia="宋体" w:cs="宋体"/>
                <w:color w:val="000000" w:themeColor="text1"/>
                <w:kern w:val="0"/>
                <w:sz w:val="22"/>
                <w:szCs w:val="22"/>
                <w:highlight w:val="none"/>
                <w14:textFill>
                  <w14:solidFill>
                    <w14:schemeClr w14:val="tx1"/>
                  </w14:solidFill>
                </w14:textFill>
              </w:rPr>
              <w:t>分）</w:t>
            </w:r>
          </w:p>
        </w:tc>
        <w:tc>
          <w:tcPr>
            <w:tcW w:w="6286" w:type="dxa"/>
            <w:tcBorders>
              <w:top w:val="nil"/>
              <w:left w:val="nil"/>
              <w:right w:val="single" w:color="auto" w:sz="4" w:space="0"/>
            </w:tcBorders>
            <w:shd w:val="clear" w:color="auto" w:fill="auto"/>
            <w:vAlign w:val="center"/>
          </w:tcPr>
          <w:p>
            <w:pPr>
              <w:widowControl/>
              <w:shd w:val="clea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根据投标人对本项目贯通实施古街未来社区在线重大应用、平台部署、社区数字基建集成（物联设备集成)的项目实施方案进行评审。</w:t>
            </w:r>
          </w:p>
          <w:p>
            <w:pPr>
              <w:widowControl/>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方案明确，每一项内容均描述详细且结合实际得3-5分</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内容相对清晰，但所述内容未结合项目实际情况展开或描述简略得0.1-2.9分</w:t>
            </w:r>
            <w:r>
              <w:rPr>
                <w:rFonts w:hint="eastAsia" w:ascii="宋体" w:hAnsi="宋体" w:eastAsia="宋体" w:cs="宋体"/>
                <w:color w:val="000000" w:themeColor="text1"/>
                <w:kern w:val="0"/>
                <w:sz w:val="22"/>
                <w:szCs w:val="22"/>
                <w:highlight w:val="none"/>
                <w14:textFill>
                  <w14:solidFill>
                    <w14:schemeClr w14:val="tx1"/>
                  </w14:solidFill>
                </w14:textFill>
              </w:rPr>
              <w:t>；未提供不得分。</w:t>
            </w:r>
          </w:p>
        </w:tc>
        <w:tc>
          <w:tcPr>
            <w:tcW w:w="780" w:type="dxa"/>
            <w:tcBorders>
              <w:top w:val="nil"/>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w:t>
            </w:r>
          </w:p>
        </w:tc>
      </w:tr>
      <w:tr>
        <w:tblPrEx>
          <w:tblCellMar>
            <w:top w:w="0" w:type="dxa"/>
            <w:left w:w="108" w:type="dxa"/>
            <w:bottom w:w="0" w:type="dxa"/>
            <w:right w:w="108" w:type="dxa"/>
          </w:tblCellMar>
        </w:tblPrEx>
        <w:trPr>
          <w:trHeight w:val="1580" w:hRule="atLeast"/>
        </w:trPr>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服务保障能力（</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宋体"/>
                <w:color w:val="000000" w:themeColor="text1"/>
                <w:kern w:val="0"/>
                <w:sz w:val="22"/>
                <w:szCs w:val="22"/>
                <w:highlight w:val="none"/>
                <w14:textFill>
                  <w14:solidFill>
                    <w14:schemeClr w14:val="tx1"/>
                  </w14:solidFill>
                </w14:textFill>
              </w:rPr>
              <w:t>分）</w:t>
            </w:r>
          </w:p>
        </w:tc>
        <w:tc>
          <w:tcPr>
            <w:tcW w:w="628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对供应商提供的培训方案（包括应用开发培训、系统管理培训、系统运行维护培训等内容）的科学性、合理性、规范性和可操作性进行打分，包括培训计划、地点、组织等内容进行评定，</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最高得2分</w:t>
            </w:r>
            <w:r>
              <w:rPr>
                <w:rFonts w:hint="eastAsia" w:ascii="宋体" w:hAnsi="宋体" w:eastAsia="宋体" w:cs="宋体"/>
                <w:color w:val="000000" w:themeColor="text1"/>
                <w:kern w:val="0"/>
                <w:sz w:val="22"/>
                <w:szCs w:val="22"/>
                <w:highlight w:val="none"/>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w:t>
            </w:r>
          </w:p>
        </w:tc>
      </w:tr>
      <w:tr>
        <w:tblPrEx>
          <w:tblCellMar>
            <w:top w:w="0" w:type="dxa"/>
            <w:left w:w="108" w:type="dxa"/>
            <w:bottom w:w="0" w:type="dxa"/>
            <w:right w:w="108" w:type="dxa"/>
          </w:tblCellMar>
        </w:tblPrEx>
        <w:trPr>
          <w:trHeight w:val="2520" w:hRule="atLeast"/>
        </w:trPr>
        <w:tc>
          <w:tcPr>
            <w:tcW w:w="507" w:type="dxa"/>
            <w:vMerge w:val="restart"/>
            <w:tcBorders>
              <w:top w:val="single" w:color="auto" w:sz="4" w:space="0"/>
              <w:left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13</w:t>
            </w:r>
          </w:p>
        </w:tc>
        <w:tc>
          <w:tcPr>
            <w:tcW w:w="10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演示得分</w:t>
            </w:r>
          </w:p>
          <w:p>
            <w:pPr>
              <w:pStyle w:val="1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（8分）</w:t>
            </w:r>
          </w:p>
        </w:tc>
        <w:tc>
          <w:tcPr>
            <w:tcW w:w="6286" w:type="dxa"/>
            <w:tcBorders>
              <w:top w:val="single" w:color="auto" w:sz="4" w:space="0"/>
              <w:left w:val="nil"/>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一、社区驾驶舱演示（3分）：</w:t>
            </w:r>
          </w:p>
          <w:p>
            <w:pPr>
              <w:widowControl/>
              <w:shd w:val="clear"/>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1）演示治理驾驶舱，至少包括综合态势、智慧通行、生活服务、和睦邻里、社区共治及一老一小驾驶舱页面。</w:t>
            </w:r>
          </w:p>
          <w:p>
            <w:pPr>
              <w:widowControl/>
              <w:shd w:val="clear"/>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2）未来社区驾驶舱快速替换大屏组件功能演示：①支持页面组件的自由拖拽；②组件数据自定义编辑；③支持新增大屏页面；④支持驾驶舱配置完成进行发布展示；</w:t>
            </w:r>
          </w:p>
          <w:p>
            <w:pPr>
              <w:widowControl/>
              <w:shd w:val="clear"/>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3）驾驶舱组件编排能力演示：切换大屏各个统计数据的来源进行数据联动，数据来源包含静态数据、动态数据等组件数据，以满足社区管理、接待演示等场景；</w:t>
            </w:r>
          </w:p>
          <w:p>
            <w:pPr>
              <w:widowControl/>
              <w:shd w:val="clear"/>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根据演示效果评0-3分</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hd w:val="clear"/>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w:t>
            </w:r>
          </w:p>
        </w:tc>
      </w:tr>
      <w:tr>
        <w:tblPrEx>
          <w:tblCellMar>
            <w:top w:w="0" w:type="dxa"/>
            <w:left w:w="108" w:type="dxa"/>
            <w:bottom w:w="0" w:type="dxa"/>
            <w:right w:w="108" w:type="dxa"/>
          </w:tblCellMar>
        </w:tblPrEx>
        <w:trPr>
          <w:trHeight w:val="1845" w:hRule="atLeast"/>
        </w:trPr>
        <w:tc>
          <w:tcPr>
            <w:tcW w:w="507" w:type="dxa"/>
            <w:vMerge w:val="continue"/>
            <w:tcBorders>
              <w:left w:val="single" w:color="auto" w:sz="4" w:space="0"/>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109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hd w:val="clear"/>
              <w:jc w:val="left"/>
              <w:rPr>
                <w:rFonts w:hint="eastAsia" w:ascii="宋体" w:hAnsi="宋体" w:eastAsia="宋体" w:cs="宋体"/>
                <w:color w:val="000000" w:themeColor="text1"/>
                <w:kern w:val="0"/>
                <w:sz w:val="22"/>
                <w:szCs w:val="22"/>
                <w:highlight w:val="none"/>
                <w14:textFill>
                  <w14:solidFill>
                    <w14:schemeClr w14:val="tx1"/>
                  </w14:solidFill>
                </w14:textFill>
              </w:rPr>
            </w:pPr>
          </w:p>
        </w:tc>
        <w:tc>
          <w:tcPr>
            <w:tcW w:w="6286" w:type="dxa"/>
            <w:tcBorders>
              <w:top w:val="nil"/>
              <w:left w:val="nil"/>
              <w:bottom w:val="single" w:color="auto" w:sz="4" w:space="0"/>
              <w:right w:val="single" w:color="auto" w:sz="4" w:space="0"/>
            </w:tcBorders>
            <w:shd w:val="clear" w:color="auto" w:fill="auto"/>
            <w:vAlign w:val="center"/>
          </w:tcPr>
          <w:p>
            <w:pPr>
              <w:widowControl/>
              <w:shd w:val="clear"/>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p>
          <w:p>
            <w:pPr>
              <w:widowControl/>
              <w:shd w:val="clear"/>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二、场景应用演示（5分）：</w:t>
            </w:r>
          </w:p>
          <w:p>
            <w:pPr>
              <w:widowControl/>
              <w:shd w:val="clear"/>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1、投标单位根据项目需求，结合未来社区邻里、教育、健康、服务、治理、交通、低等场景的理解，演示相关功能模块。（根据演示效果打分：0-2分）；</w:t>
            </w:r>
          </w:p>
          <w:p>
            <w:pPr>
              <w:widowControl/>
              <w:shd w:val="clear"/>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浙住通：支持业主授权访客（房屋业主、家属、租客、物业/社区人员在浙住通上可对临时访客进行授权）、业主通行（通过在浙住通上注册，业主填写相关信息，从数据上进行人房数据匹配。业主在浙住通获取相关通行权限，适配小区通行场景）、人房核验（以人房数据挂接匹配，后续物业/社区人员对小区人员进行手动核实精准匹配，通过浙住通应用场景）（根据演示效果打分：0-1分）</w:t>
            </w:r>
          </w:p>
          <w:p>
            <w:pPr>
              <w:widowControl/>
              <w:shd w:val="clear"/>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邻里互动：通过构建线上邻里社群空间，为居民提供线上交流和互动的空间，通过搭建创建/发布社群、发布互动、社群/活动管理、加入社群、社群达人认证、参与话题互动、发布日常动态、社群活动评价反馈、社区闲置物品发布等功能。（根据演示效果打分：0-1分）</w:t>
            </w:r>
          </w:p>
          <w:p>
            <w:pPr>
              <w:widowControl/>
              <w:shd w:val="clear"/>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4、生活一张图：生活一张图后台管理系统添加或导入社区服务、配套、设施等点位及基础信息，即可呈现社区生活一张图。居民可点击生活一张图查看就近的生活服务配套设施。（根据演示效果打分：0-1分）</w:t>
            </w:r>
          </w:p>
        </w:tc>
        <w:tc>
          <w:tcPr>
            <w:tcW w:w="780" w:type="dxa"/>
            <w:tcBorders>
              <w:top w:val="nil"/>
              <w:left w:val="nil"/>
              <w:bottom w:val="single" w:color="auto" w:sz="4" w:space="0"/>
              <w:right w:val="single" w:color="auto" w:sz="4" w:space="0"/>
            </w:tcBorders>
            <w:shd w:val="clear" w:color="auto" w:fill="auto"/>
            <w:vAlign w:val="center"/>
          </w:tcPr>
          <w:p>
            <w:pPr>
              <w:widowControl/>
              <w:shd w:val="clear"/>
              <w:jc w:val="righ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w:t>
            </w:r>
          </w:p>
        </w:tc>
      </w:tr>
    </w:tbl>
    <w:p>
      <w:pPr>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36"/>
          <w:szCs w:val="44"/>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3"/>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第四部分 项目需求</w:t>
      </w:r>
    </w:p>
    <w:p>
      <w:pPr>
        <w:pStyle w:val="4"/>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6" w:name="_Toc178834693"/>
      <w:bookmarkStart w:id="7" w:name="_Toc264623588"/>
      <w:bookmarkStart w:id="8" w:name="_Toc178865417"/>
      <w:bookmarkStart w:id="9" w:name="_Toc171824109"/>
      <w:bookmarkStart w:id="10" w:name="_Toc264623590"/>
      <w:bookmarkStart w:id="11" w:name="_Toc178865419"/>
      <w:bookmarkStart w:id="12" w:name="_Toc165450799"/>
      <w:r>
        <w:rPr>
          <w:rFonts w:hint="eastAsia" w:ascii="宋体" w:hAnsi="宋体" w:eastAsia="宋体" w:cs="宋体"/>
          <w:color w:val="000000" w:themeColor="text1"/>
          <w:sz w:val="24"/>
          <w:szCs w:val="24"/>
          <w:highlight w:val="none"/>
          <w14:textFill>
            <w14:solidFill>
              <w14:schemeClr w14:val="tx1"/>
            </w14:solidFill>
          </w14:textFill>
        </w:rPr>
        <w:t>一、软件需求</w:t>
      </w:r>
    </w:p>
    <w:p>
      <w:pPr>
        <w:pStyle w:val="5"/>
        <w:pageBreakBefore w:val="0"/>
        <w:numPr>
          <w:ilvl w:val="0"/>
          <w:numId w:val="2"/>
        </w:numPr>
        <w:shd w:val="clear"/>
        <w:kinsoku/>
        <w:wordWrap/>
        <w:overflowPunct/>
        <w:topLinePunct w:val="0"/>
        <w:autoSpaceDE/>
        <w:autoSpaceDN/>
        <w:bidi w:val="0"/>
        <w:snapToGrid/>
        <w:spacing w:before="0" w:after="0" w:line="360" w:lineRule="auto"/>
        <w:ind w:lef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数字化工程部分总体需求</w:t>
      </w:r>
    </w:p>
    <w:p>
      <w:pPr>
        <w:pageBreakBefore w:val="0"/>
        <w:shd w:val="clear"/>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台州路桥古街未来社区智慧服务平台以未来社区为载体，推动社区数字基建升级，增设部分智能监控设备、健康设备等，增设门禁等安防设备，联动社区智慧服务平台，为新田园未来社区数字化运营提供有效支撑。</w:t>
      </w:r>
    </w:p>
    <w:p>
      <w:pPr>
        <w:pageBreakBefore w:val="0"/>
        <w:shd w:val="clear"/>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据省未来社区重大应用贯通实施要求，基于鹿城区实际，围绕“一统三化九场景”理念，立足自身资源禀赋和现实条件，突出需求导向，按照“底座赋能”、“标准+选配”原则落实特色场景，打造新田园未来社区智慧服务平台体系。</w:t>
      </w:r>
    </w:p>
    <w:p>
      <w:pPr>
        <w:pStyle w:val="5"/>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2.省重大应用贯通实施采购内容及要求</w:t>
      </w:r>
    </w:p>
    <w:p>
      <w:pPr>
        <w:pStyle w:val="6"/>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2.1社区底座贯通实施</w:t>
      </w:r>
    </w:p>
    <w:p>
      <w:pPr>
        <w:pStyle w:val="7"/>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2.1.1社区物联网引擎</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与社区子系统集成实施，包括：人行系统等物联子系统的集成。满足验收基本要求实现对物联终端进行统一接入与管理，汇报所有物联数据，支撑社区管理需要。</w:t>
      </w:r>
    </w:p>
    <w:p>
      <w:pPr>
        <w:pStyle w:val="7"/>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2.1.2社区数据仓</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验收基本要求，实现社区数据汇聚，包括物联感知数据、社区自组织各主体数源及市场服务等数据。社区空间人、车、房、物等资产数据和动态记录数据存储及管理功能。在数据安全与隐私保护基础上，上报数据到在线管理系统。</w:t>
      </w:r>
    </w:p>
    <w:p>
      <w:pPr>
        <w:pageBreakBefore w:val="0"/>
        <w:numPr>
          <w:ilvl w:val="0"/>
          <w:numId w:val="3"/>
        </w:numPr>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组织架构配置</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结合本地情况，设置人员组织架构，便于进行权限设置、事件处理、组织管理。</w:t>
      </w:r>
    </w:p>
    <w:p>
      <w:pPr>
        <w:pageBreakBefore w:val="0"/>
        <w:numPr>
          <w:ilvl w:val="0"/>
          <w:numId w:val="3"/>
        </w:numPr>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基础数据初始化</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通过省级库创建未来社区基础数据；为社区初始化省级人房数据管理系统账号和权限；社区、小区、幢、房，人、组织等人房基础数据初始化。</w:t>
      </w:r>
    </w:p>
    <w:p>
      <w:pPr>
        <w:pageBreakBefore w:val="0"/>
        <w:numPr>
          <w:ilvl w:val="0"/>
          <w:numId w:val="3"/>
        </w:numPr>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数据汇聚</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汇聚各业务子系统数据，包括人，房，车，物等主数据，以及各应用产生的数据。</w:t>
      </w:r>
    </w:p>
    <w:p>
      <w:pPr>
        <w:pageBreakBefore w:val="0"/>
        <w:numPr>
          <w:ilvl w:val="0"/>
          <w:numId w:val="3"/>
        </w:numPr>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数据治理</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对汇聚过来的数据进行清洗，存淀干净的数据。</w:t>
      </w:r>
    </w:p>
    <w:p>
      <w:pPr>
        <w:pageBreakBefore w:val="0"/>
        <w:numPr>
          <w:ilvl w:val="0"/>
          <w:numId w:val="3"/>
        </w:numPr>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数据应用</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聚合数据为应用提供数据服务。</w:t>
      </w:r>
    </w:p>
    <w:p>
      <w:pPr>
        <w:pageBreakBefore w:val="0"/>
        <w:numPr>
          <w:ilvl w:val="0"/>
          <w:numId w:val="3"/>
        </w:numPr>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数据上报</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对接通用版在线管理系统，上报运营监测数据。</w:t>
      </w:r>
    </w:p>
    <w:p>
      <w:pPr>
        <w:pStyle w:val="7"/>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2.1.3空间数据资产</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集成现有基础空间资源，为社区提供空间服务能力。</w:t>
      </w:r>
    </w:p>
    <w:p>
      <w:pPr>
        <w:pStyle w:val="7"/>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2.1.4应用能力中心</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社区物联引擎集成实施的基础之上，支撑门禁、停车、安防等应用服务；支撑智慧通行停车管理等场景应用的落地；在人房数据基础之上，形成社区账户等服务能力。满足验收基本要求，在社区平台上实施应用提供应用承接及落地集成的能力，包括统一的空间、用户、权限、支付、评价、物联、数据对接等基础支撑服务，实现应用接入、验证、发布、关闭等模块化集约化管理，避免重复建设，减少定制开发，有效降低成本。</w:t>
      </w:r>
    </w:p>
    <w:p>
      <w:pPr>
        <w:pStyle w:val="6"/>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2.2社区三端入口装配服务</w:t>
      </w:r>
    </w:p>
    <w:p>
      <w:pPr>
        <w:pStyle w:val="7"/>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2.2.1治理端</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完成通用版社区智慧服务平台治理入口的建设，满足验收基本要求；建成后可实时精准反映健康、养老、教育、邻里、治理场景的动态运行状态，辅助社区实现精准智理。</w:t>
      </w:r>
    </w:p>
    <w:p>
      <w:pPr>
        <w:pageBreakBefore w:val="0"/>
        <w:numPr>
          <w:ilvl w:val="0"/>
          <w:numId w:val="4"/>
        </w:numPr>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治理驾驶舱</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利用社区平台装配中心大屏可视化配置工具，根据社区治理指标需求设计及配置驾驶舱；根据社区平台装配中心场景配置工具配置综合驾驶舱、健康、教育、邻里、服务、治理五个场景驾驶舱；根据社区平台装配中心数据源连接工具，按照指标对应数据需求，配置数据源。</w:t>
      </w:r>
    </w:p>
    <w:p>
      <w:pPr>
        <w:pageBreakBefore w:val="0"/>
        <w:numPr>
          <w:ilvl w:val="0"/>
          <w:numId w:val="4"/>
        </w:numPr>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治理移动端</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标配社区治理移动端程序落地。</w:t>
      </w:r>
    </w:p>
    <w:p>
      <w:pPr>
        <w:pStyle w:val="7"/>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2.2.2服务端</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成通用版社区智慧服务平台居民服务入口的建设，满足验收基本要求；实现省级共性应用、属地共性应用、社区特色应用的上下贯通、综合集成，快速将应用透出到小程序，数字社会应用上架到浙里办·我的家园；满足未来社区居民对公共服务和市场化服务的基本需求。</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利用场景应用服务中心，将智慧通行、邻里互动、生活一张图、报事报修等服务应用配置化透出在本地居民服务端口。</w:t>
      </w:r>
    </w:p>
    <w:p>
      <w:pPr>
        <w:pStyle w:val="7"/>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2.2.3运营端</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完成通用版社区智慧平台运营入口的建设，满足验收基本要求；建成后可联动线下运营团队等，实现事件的分发、工单的管理，完成整体服务的闭环。</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利用场景应用服务中心配置化生成运营管理系统，配置居民服务入口的页面布局及对应的内容；完成通用版社区智慧平台运营入口的建设，满足验收基本要求；建成后可联动线下运营团队等，实现事件的分发、工单的管理，完成整体服务的闭环。</w:t>
      </w:r>
    </w:p>
    <w:p>
      <w:pPr>
        <w:pStyle w:val="6"/>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2.3省未来社区重大应用贯通实施服务</w:t>
      </w:r>
    </w:p>
    <w:p>
      <w:pPr>
        <w:pStyle w:val="7"/>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2.3.1高质高频应用应用实施</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场景应用服务中心”将应用透出到居民服务入口；通过“场景应用服务中心管理后台”中的“项目应用管理-应用管理”模块发布该应用到小程序中；完成应用初始化，确保应用内业务闭环，确保应用间协同顺利。</w:t>
      </w:r>
    </w:p>
    <w:p>
      <w:pPr>
        <w:pageBreakBefore w:val="0"/>
        <w:numPr>
          <w:ilvl w:val="0"/>
          <w:numId w:val="5"/>
        </w:numPr>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智慧通行（浙住通）</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省级共性应用落地，满足验收要求；依托省市级人房数据，结合门禁形成治理闭环，赋能社区精准治理和优质服务（门禁类硬件由社区建设时按要求采购）。</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1、配置居民服务端浙住通业务入口；</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2、配置社工治理端浙住通后台管理入口；</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3、门禁设备安装并绑定小区ID；</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4、门禁设备对接浙住通下行指令接口；</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5、设备平台对接浙住通上报数据接口；</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6、通过“场景应用服务中心”将应用透出到居民服务入口；</w:t>
      </w:r>
    </w:p>
    <w:p>
      <w:pPr>
        <w:pageBreakBefore w:val="0"/>
        <w:numPr>
          <w:ilvl w:val="0"/>
          <w:numId w:val="5"/>
        </w:numPr>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社区治理</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省级共性应用落地，满足验收要求；一纵：打通”居民-物业-社区-街道-区级部门”纵向渠道，消融层级间的信息壁垒，使事件、信息传透高效、透明化运作。（街道-区级部门贯通需要组织机制保障）一横：对接网格体系，创建跨业务、跨部门的“多跨”协同运作模式。一上一下：居民上报事件可逐层上报，并支持街道职能部门事件下发，与基层治理四平台衔接贯通。</w:t>
      </w:r>
    </w:p>
    <w:p>
      <w:pPr>
        <w:pageBreakBefore w:val="0"/>
        <w:numPr>
          <w:ilvl w:val="0"/>
          <w:numId w:val="5"/>
        </w:numPr>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邻里互动</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省级共性应用落地，满足验收要求，通过人房权赋能，完成社区居民实名认证，增强居民间的信任感，通过线上丰富多样的邻里客厅服务与线下邻里客厅空间相结合，提升邻里文化生活服务质量，拉近邻里距离，让居民在社区生活中有更多的参与感、获得感。</w:t>
      </w:r>
    </w:p>
    <w:p>
      <w:pPr>
        <w:pageBreakBefore w:val="0"/>
        <w:numPr>
          <w:ilvl w:val="0"/>
          <w:numId w:val="5"/>
        </w:numPr>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生活一张图</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省级共性应用落地，满足验收要求，集成社区重要场所点位数据，并于生活一张图后台管理系统添加或导入社区服务、配套、设施等点位及基础信息，即可呈现社区生活一张图。居民可点击生活一张图查看就近的生活服务配套设施，了解相关情况，并参与享受丰富的社区生活服务。</w:t>
      </w:r>
    </w:p>
    <w:p>
      <w:pPr>
        <w:pStyle w:val="7"/>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2.3.2数字社会优质应用贯通服务</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加快数字社会优质公共服务精准落地“一老一小”浙里康养、浙有善育数字社会重大应用。</w:t>
      </w:r>
    </w:p>
    <w:p>
      <w:pPr>
        <w:pStyle w:val="6"/>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2.4浙里办·我的家园上架实施服务</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根据浙里办·我的家园上架要求，进行应用上架。</w:t>
      </w:r>
    </w:p>
    <w:p>
      <w:pPr>
        <w:pStyle w:val="6"/>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2.5属地数字社会应用集成</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对接支持本地委办局推荐的应用上架到省场景应用服务中心。</w:t>
      </w:r>
    </w:p>
    <w:p>
      <w:pPr>
        <w:pStyle w:val="6"/>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2.6政府侧在线管理系统对接实施服务</w:t>
      </w:r>
    </w:p>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将社区创建和运营数据全面对接在线系统，确保数据真实有效鲜活</w:t>
      </w:r>
    </w:p>
    <w:p>
      <w:pPr>
        <w:pStyle w:val="5"/>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3.采购清单</w:t>
      </w:r>
    </w:p>
    <w:p>
      <w:pPr>
        <w:pStyle w:val="6"/>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3.1底座贯通实施部分</w:t>
      </w:r>
    </w:p>
    <w:tbl>
      <w:tblPr>
        <w:tblStyle w:val="30"/>
        <w:tblW w:w="4999" w:type="pct"/>
        <w:tblInd w:w="0" w:type="dxa"/>
        <w:tblLayout w:type="fixed"/>
        <w:tblCellMar>
          <w:top w:w="0" w:type="dxa"/>
          <w:left w:w="108" w:type="dxa"/>
          <w:bottom w:w="0" w:type="dxa"/>
          <w:right w:w="108" w:type="dxa"/>
        </w:tblCellMar>
      </w:tblPr>
      <w:tblGrid>
        <w:gridCol w:w="1165"/>
        <w:gridCol w:w="1463"/>
        <w:gridCol w:w="2011"/>
        <w:gridCol w:w="3875"/>
      </w:tblGrid>
      <w:tr>
        <w:tblPrEx>
          <w:tblCellMar>
            <w:top w:w="0" w:type="dxa"/>
            <w:left w:w="108" w:type="dxa"/>
            <w:bottom w:w="0" w:type="dxa"/>
            <w:right w:w="108" w:type="dxa"/>
          </w:tblCellMar>
        </w:tblPrEx>
        <w:trPr>
          <w:trHeight w:val="300" w:hRule="atLeast"/>
        </w:trPr>
        <w:tc>
          <w:tcPr>
            <w:tcW w:w="1165" w:type="dxa"/>
            <w:tcBorders>
              <w:top w:val="single" w:color="000000" w:sz="4" w:space="0"/>
              <w:left w:val="single" w:color="000000" w:sz="4" w:space="0"/>
              <w:bottom w:val="single" w:color="000000" w:sz="4" w:space="0"/>
              <w:right w:val="single" w:color="000000" w:sz="4" w:space="0"/>
            </w:tcBorders>
            <w:shd w:val="clear" w:color="auto" w:fill="33CCCC"/>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w:t>
            </w:r>
          </w:p>
        </w:tc>
        <w:tc>
          <w:tcPr>
            <w:tcW w:w="1463" w:type="dxa"/>
            <w:tcBorders>
              <w:top w:val="single" w:color="000000" w:sz="4" w:space="0"/>
              <w:left w:val="single" w:color="000000" w:sz="4" w:space="0"/>
              <w:bottom w:val="single" w:color="000000" w:sz="4" w:space="0"/>
              <w:right w:val="single" w:color="000000" w:sz="4" w:space="0"/>
            </w:tcBorders>
            <w:shd w:val="clear" w:color="auto" w:fill="33CCCC"/>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采购内容</w:t>
            </w:r>
          </w:p>
        </w:tc>
        <w:tc>
          <w:tcPr>
            <w:tcW w:w="2011" w:type="dxa"/>
            <w:tcBorders>
              <w:top w:val="single" w:color="000000" w:sz="4" w:space="0"/>
              <w:left w:val="single" w:color="000000" w:sz="4" w:space="0"/>
              <w:bottom w:val="single" w:color="000000" w:sz="4" w:space="0"/>
              <w:right w:val="single" w:color="000000" w:sz="4" w:space="0"/>
            </w:tcBorders>
            <w:shd w:val="clear" w:color="auto" w:fill="33CCCC"/>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采购服务细项</w:t>
            </w:r>
          </w:p>
        </w:tc>
        <w:tc>
          <w:tcPr>
            <w:tcW w:w="3875" w:type="dxa"/>
            <w:tcBorders>
              <w:top w:val="single" w:color="000000" w:sz="4" w:space="0"/>
              <w:left w:val="single" w:color="000000" w:sz="4" w:space="0"/>
              <w:bottom w:val="single" w:color="000000" w:sz="4" w:space="0"/>
              <w:right w:val="single" w:color="000000" w:sz="4" w:space="0"/>
            </w:tcBorders>
            <w:shd w:val="clear" w:color="auto" w:fill="33CCCC"/>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服务说明</w:t>
            </w:r>
          </w:p>
        </w:tc>
      </w:tr>
      <w:tr>
        <w:tblPrEx>
          <w:tblCellMar>
            <w:top w:w="0" w:type="dxa"/>
            <w:left w:w="108" w:type="dxa"/>
            <w:bottom w:w="0" w:type="dxa"/>
            <w:right w:w="108" w:type="dxa"/>
          </w:tblCellMar>
        </w:tblPrEx>
        <w:trPr>
          <w:trHeight w:val="600"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社区底座贯通实施</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社区物联网引擎</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社区物联引擎</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与社区子系统集成实施，包括：人行系统等物联子系统的集成</w:t>
            </w:r>
          </w:p>
        </w:tc>
      </w:tr>
      <w:tr>
        <w:tblPrEx>
          <w:tblCellMar>
            <w:top w:w="0" w:type="dxa"/>
            <w:left w:w="108" w:type="dxa"/>
            <w:bottom w:w="0" w:type="dxa"/>
            <w:right w:w="108" w:type="dxa"/>
          </w:tblCellMar>
        </w:tblPrEx>
        <w:trPr>
          <w:trHeight w:val="42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社区数据仓</w:t>
            </w:r>
          </w:p>
        </w:tc>
        <w:tc>
          <w:tcPr>
            <w:tcW w:w="2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组织架构配置</w:t>
            </w:r>
          </w:p>
        </w:tc>
        <w:tc>
          <w:tcPr>
            <w:tcW w:w="3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结合本地情况，设置人员组织架构，便于进行权限设置、事件处理、组织管理。</w:t>
            </w:r>
          </w:p>
        </w:tc>
      </w:tr>
      <w:tr>
        <w:tblPrEx>
          <w:tblCellMar>
            <w:top w:w="0" w:type="dxa"/>
            <w:left w:w="108" w:type="dxa"/>
            <w:bottom w:w="0" w:type="dxa"/>
            <w:right w:w="108" w:type="dxa"/>
          </w:tblCellMar>
        </w:tblPrEx>
        <w:trPr>
          <w:trHeight w:val="42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54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基础数据初始化</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1、通过省级库创建未来社区基础数据；</w:t>
            </w:r>
          </w:p>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2、为社区初始化省级人房数据管理系统账号和权限；</w:t>
            </w:r>
          </w:p>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3、社区、小区、幢、房，人、组织等人房基础数据初始化；</w:t>
            </w:r>
          </w:p>
        </w:tc>
      </w:tr>
      <w:tr>
        <w:tblPrEx>
          <w:tblCellMar>
            <w:top w:w="0" w:type="dxa"/>
            <w:left w:w="108" w:type="dxa"/>
            <w:bottom w:w="0" w:type="dxa"/>
            <w:right w:w="108" w:type="dxa"/>
          </w:tblCellMar>
        </w:tblPrEx>
        <w:trPr>
          <w:trHeight w:val="6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数据汇聚</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汇聚各业务子系统数据，包括人，房，车，物等主数据，以及各应用产生的数据。</w:t>
            </w:r>
          </w:p>
        </w:tc>
      </w:tr>
      <w:tr>
        <w:tblPrEx>
          <w:tblCellMar>
            <w:top w:w="0" w:type="dxa"/>
            <w:left w:w="108" w:type="dxa"/>
            <w:bottom w:w="0" w:type="dxa"/>
            <w:right w:w="108" w:type="dxa"/>
          </w:tblCellMar>
        </w:tblPrEx>
        <w:trPr>
          <w:trHeight w:val="6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数据治理</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对汇聚过来的数据进行清洗，存淀干净的数据</w:t>
            </w:r>
          </w:p>
        </w:tc>
      </w:tr>
      <w:tr>
        <w:tblPrEx>
          <w:tblCellMar>
            <w:top w:w="0" w:type="dxa"/>
            <w:left w:w="108" w:type="dxa"/>
            <w:bottom w:w="0" w:type="dxa"/>
            <w:right w:w="108" w:type="dxa"/>
          </w:tblCellMar>
        </w:tblPrEx>
        <w:trPr>
          <w:trHeight w:val="3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数据应用</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聚合数据为应用提供数据服务</w:t>
            </w:r>
          </w:p>
        </w:tc>
      </w:tr>
      <w:tr>
        <w:tblPrEx>
          <w:tblCellMar>
            <w:top w:w="0" w:type="dxa"/>
            <w:left w:w="108" w:type="dxa"/>
            <w:bottom w:w="0" w:type="dxa"/>
            <w:right w:w="108" w:type="dxa"/>
          </w:tblCellMar>
        </w:tblPrEx>
        <w:trPr>
          <w:trHeight w:val="6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数据上报</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对接通用版在线管理系统，上报运营监测数据。</w:t>
            </w:r>
          </w:p>
        </w:tc>
      </w:tr>
      <w:tr>
        <w:tblPrEx>
          <w:tblCellMar>
            <w:top w:w="0" w:type="dxa"/>
            <w:left w:w="108" w:type="dxa"/>
            <w:bottom w:w="0" w:type="dxa"/>
            <w:right w:w="108" w:type="dxa"/>
          </w:tblCellMar>
        </w:tblPrEx>
        <w:trPr>
          <w:trHeight w:val="6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空间数据资产</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空间数据资产</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集成现有基础空间资源，为社区提供空间服务能力；若无，则自行进行个性化建设</w:t>
            </w:r>
          </w:p>
        </w:tc>
      </w:tr>
      <w:tr>
        <w:tblPrEx>
          <w:tblCellMar>
            <w:top w:w="0" w:type="dxa"/>
            <w:left w:w="108" w:type="dxa"/>
            <w:bottom w:w="0" w:type="dxa"/>
            <w:right w:w="108" w:type="dxa"/>
          </w:tblCellMar>
        </w:tblPrEx>
        <w:trPr>
          <w:trHeight w:val="152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应用能力中心</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应用能力中心功能实施</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1、在社区物联引擎集成实施的基础之上，支撑门禁、停车、安防等应用服务；支撑智慧通行停车管理等场景应用的落地；</w:t>
            </w:r>
          </w:p>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2、在人房数据基础之上，形成社区账户等服务能力；</w:t>
            </w:r>
          </w:p>
        </w:tc>
      </w:tr>
      <w:tr>
        <w:tblPrEx>
          <w:tblCellMar>
            <w:top w:w="0" w:type="dxa"/>
            <w:left w:w="108" w:type="dxa"/>
            <w:bottom w:w="0" w:type="dxa"/>
            <w:right w:w="108" w:type="dxa"/>
          </w:tblCellMar>
        </w:tblPrEx>
        <w:trPr>
          <w:trHeight w:val="2740"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社区三端入口装配服务</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治理端搭建</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治理驾驶舱</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1、利用社区平台装配中心大屏可视化配置工具，根据社区治理指标需求设计及配置驾驶舱；</w:t>
            </w:r>
          </w:p>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2、根据社区平台装配中心场景配置工具配置综合驾驶舱、健康、教育、邻里、服务、治理五个场景驾驶舱；</w:t>
            </w:r>
          </w:p>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3、根据社区平台装配中心数据源连接工具，按照指标对应数据需求，配置数据源；</w:t>
            </w:r>
          </w:p>
        </w:tc>
      </w:tr>
      <w:tr>
        <w:tblPrEx>
          <w:tblCellMar>
            <w:top w:w="0" w:type="dxa"/>
            <w:left w:w="108" w:type="dxa"/>
            <w:bottom w:w="0" w:type="dxa"/>
            <w:right w:w="108" w:type="dxa"/>
          </w:tblCellMar>
        </w:tblPrEx>
        <w:trPr>
          <w:trHeight w:val="30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治理移动端</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标配社区治理移动端程序落地。</w:t>
            </w:r>
          </w:p>
        </w:tc>
      </w:tr>
      <w:tr>
        <w:tblPrEx>
          <w:tblCellMar>
            <w:top w:w="0" w:type="dxa"/>
            <w:left w:w="108" w:type="dxa"/>
            <w:bottom w:w="0" w:type="dxa"/>
            <w:right w:w="108" w:type="dxa"/>
          </w:tblCellMar>
        </w:tblPrEx>
        <w:trPr>
          <w:trHeight w:val="184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服务端搭建</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居民服务小程序</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1、根据社区平台装配中心小程序生成工具生成所在社区本地小程序居民服务入口。</w:t>
            </w:r>
          </w:p>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2、利用场景应用服务中心，将智慧通行、邻里互动、生活一张图、报事报修等服务应用配置化透出在本地居民服务端口；</w:t>
            </w:r>
          </w:p>
        </w:tc>
      </w:tr>
      <w:tr>
        <w:tblPrEx>
          <w:tblCellMar>
            <w:top w:w="0" w:type="dxa"/>
            <w:left w:w="108" w:type="dxa"/>
            <w:bottom w:w="0" w:type="dxa"/>
            <w:right w:w="108" w:type="dxa"/>
          </w:tblCellMar>
        </w:tblPrEx>
        <w:trPr>
          <w:trHeight w:val="1220"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运营端搭建</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运营管理系统</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利用场景应用服务中心配置化生成运营管理系统，配置居民服务入口的页面布局及对应的内容；（物业系统按需定制化部署）</w:t>
            </w:r>
          </w:p>
        </w:tc>
      </w:tr>
    </w:tbl>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6"/>
        <w:pageBreakBefore w:val="0"/>
        <w:shd w:val="clear"/>
        <w:kinsoku/>
        <w:wordWrap/>
        <w:overflowPunct/>
        <w:topLinePunct w:val="0"/>
        <w:autoSpaceDE/>
        <w:autoSpaceDN/>
        <w:bidi w:val="0"/>
        <w:snapToGrid/>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3.2应用建设部分</w:t>
      </w:r>
    </w:p>
    <w:tbl>
      <w:tblPr>
        <w:tblStyle w:val="30"/>
        <w:tblW w:w="5184" w:type="pct"/>
        <w:tblInd w:w="0" w:type="dxa"/>
        <w:tblLayout w:type="fixed"/>
        <w:tblCellMar>
          <w:top w:w="0" w:type="dxa"/>
          <w:left w:w="108" w:type="dxa"/>
          <w:bottom w:w="0" w:type="dxa"/>
          <w:right w:w="108" w:type="dxa"/>
        </w:tblCellMar>
      </w:tblPr>
      <w:tblGrid>
        <w:gridCol w:w="1164"/>
        <w:gridCol w:w="1462"/>
        <w:gridCol w:w="2012"/>
        <w:gridCol w:w="4191"/>
      </w:tblGrid>
      <w:tr>
        <w:tblPrEx>
          <w:tblCellMar>
            <w:top w:w="0" w:type="dxa"/>
            <w:left w:w="108" w:type="dxa"/>
            <w:bottom w:w="0" w:type="dxa"/>
            <w:right w:w="108" w:type="dxa"/>
          </w:tblCellMar>
        </w:tblPrEx>
        <w:trPr>
          <w:trHeight w:val="30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33CCCC"/>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w:t>
            </w:r>
          </w:p>
        </w:tc>
        <w:tc>
          <w:tcPr>
            <w:tcW w:w="1462" w:type="dxa"/>
            <w:tcBorders>
              <w:top w:val="single" w:color="000000" w:sz="4" w:space="0"/>
              <w:left w:val="single" w:color="000000" w:sz="4" w:space="0"/>
              <w:bottom w:val="single" w:color="000000" w:sz="4" w:space="0"/>
              <w:right w:val="single" w:color="000000" w:sz="4" w:space="0"/>
            </w:tcBorders>
            <w:shd w:val="clear" w:color="auto" w:fill="33CCCC"/>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采购内容</w:t>
            </w:r>
          </w:p>
        </w:tc>
        <w:tc>
          <w:tcPr>
            <w:tcW w:w="2012" w:type="dxa"/>
            <w:tcBorders>
              <w:top w:val="single" w:color="000000" w:sz="4" w:space="0"/>
              <w:left w:val="single" w:color="000000" w:sz="4" w:space="0"/>
              <w:bottom w:val="single" w:color="000000" w:sz="4" w:space="0"/>
              <w:right w:val="single" w:color="000000" w:sz="4" w:space="0"/>
            </w:tcBorders>
            <w:shd w:val="clear" w:color="auto" w:fill="33CCCC"/>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采购服务细项</w:t>
            </w:r>
          </w:p>
        </w:tc>
        <w:tc>
          <w:tcPr>
            <w:tcW w:w="4191" w:type="dxa"/>
            <w:tcBorders>
              <w:top w:val="single" w:color="000000" w:sz="4" w:space="0"/>
              <w:left w:val="single" w:color="000000" w:sz="4" w:space="0"/>
              <w:bottom w:val="single" w:color="000000" w:sz="4" w:space="0"/>
              <w:right w:val="single" w:color="000000" w:sz="4" w:space="0"/>
            </w:tcBorders>
            <w:shd w:val="clear" w:color="auto" w:fill="33CCCC"/>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服务说明</w:t>
            </w:r>
          </w:p>
        </w:tc>
      </w:tr>
      <w:tr>
        <w:tblPrEx>
          <w:tblCellMar>
            <w:top w:w="0" w:type="dxa"/>
            <w:left w:w="108" w:type="dxa"/>
            <w:bottom w:w="0" w:type="dxa"/>
            <w:right w:w="108" w:type="dxa"/>
          </w:tblCellMar>
        </w:tblPrEx>
        <w:trPr>
          <w:trHeight w:val="2160" w:hRule="atLeast"/>
        </w:trPr>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省未来社区重大应用贯通实施服务</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应用实施</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智慧通行</w:t>
            </w:r>
          </w:p>
        </w:tc>
        <w:tc>
          <w:tcPr>
            <w:tcW w:w="41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1、配置居民服务端浙住通业务入口；</w:t>
            </w:r>
          </w:p>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2、配置社工治理端浙住通后台管理入口；</w:t>
            </w:r>
          </w:p>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3、门禁设备安装并绑定小区ID；</w:t>
            </w:r>
          </w:p>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4、门禁设备对接浙住通下行指令接口；</w:t>
            </w:r>
          </w:p>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5、设备平台对接浙住通上报数据接口；</w:t>
            </w:r>
          </w:p>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6、通过“场景应用服务中心”将应用透出到居民服务入口；</w:t>
            </w:r>
          </w:p>
        </w:tc>
      </w:tr>
      <w:tr>
        <w:tblPrEx>
          <w:tblCellMar>
            <w:top w:w="0" w:type="dxa"/>
            <w:left w:w="108" w:type="dxa"/>
            <w:bottom w:w="0" w:type="dxa"/>
            <w:right w:w="108" w:type="dxa"/>
          </w:tblCellMar>
        </w:tblPrEx>
        <w:trPr>
          <w:trHeight w:val="1420" w:hRule="atLeast"/>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社区治理</w:t>
            </w:r>
          </w:p>
        </w:tc>
        <w:tc>
          <w:tcPr>
            <w:tcW w:w="4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1、通过“场景应用服务中心”将应用透出到居民服务入口；</w:t>
            </w:r>
          </w:p>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2、通过“场景应用服务中心管理后台”中的“项目应用管理-应用管理”模块发布该应用到小程序中；</w:t>
            </w:r>
          </w:p>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3、完成应用初始化，确保应用内业务闭环，确保应用间协同顺利。（如生活一张图调用“空间预约”等子应用）</w:t>
            </w:r>
          </w:p>
        </w:tc>
      </w:tr>
      <w:tr>
        <w:tblPrEx>
          <w:tblCellMar>
            <w:top w:w="0" w:type="dxa"/>
            <w:left w:w="108" w:type="dxa"/>
            <w:bottom w:w="0" w:type="dxa"/>
            <w:right w:w="108" w:type="dxa"/>
          </w:tblCellMar>
        </w:tblPrEx>
        <w:trPr>
          <w:trHeight w:val="1200" w:hRule="atLeast"/>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邻里互动</w:t>
            </w:r>
          </w:p>
        </w:tc>
        <w:tc>
          <w:tcPr>
            <w:tcW w:w="4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845" w:hRule="atLeast"/>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生活一张图</w:t>
            </w:r>
          </w:p>
        </w:tc>
        <w:tc>
          <w:tcPr>
            <w:tcW w:w="4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520" w:hRule="atLeast"/>
        </w:trPr>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其他应用实施服务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数字社会优质应用贯通服务</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浙里康养、浙有善育</w:t>
            </w:r>
          </w:p>
        </w:tc>
        <w:tc>
          <w:tcPr>
            <w:tcW w:w="41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1、优先落地“浙里康养”“浙有善育”数字社会重大应用，完成公共服务设施相关数据校验与落地。</w:t>
            </w:r>
          </w:p>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2、按需完成当地个性化“一老一小”相关应用落地</w:t>
            </w:r>
          </w:p>
        </w:tc>
      </w:tr>
      <w:tr>
        <w:tblPrEx>
          <w:tblCellMar>
            <w:top w:w="0" w:type="dxa"/>
            <w:left w:w="108" w:type="dxa"/>
            <w:bottom w:w="0" w:type="dxa"/>
            <w:right w:w="108" w:type="dxa"/>
          </w:tblCellMar>
        </w:tblPrEx>
        <w:trPr>
          <w:trHeight w:val="600" w:hRule="atLeast"/>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浙里办·我的家园上架实施服务</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浙里办上架</w:t>
            </w:r>
          </w:p>
        </w:tc>
        <w:tc>
          <w:tcPr>
            <w:tcW w:w="41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根据浙里办我的家园上架要求，进行应用上架</w:t>
            </w:r>
          </w:p>
        </w:tc>
      </w:tr>
      <w:tr>
        <w:tblPrEx>
          <w:tblCellMar>
            <w:top w:w="0" w:type="dxa"/>
            <w:left w:w="108" w:type="dxa"/>
            <w:bottom w:w="0" w:type="dxa"/>
            <w:right w:w="108" w:type="dxa"/>
          </w:tblCellMar>
        </w:tblPrEx>
        <w:trPr>
          <w:trHeight w:val="600" w:hRule="atLeast"/>
        </w:trPr>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属地数字社会应用集成</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支持本地公共服务应用对接</w:t>
            </w:r>
          </w:p>
        </w:tc>
        <w:tc>
          <w:tcPr>
            <w:tcW w:w="41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支持街道推荐的应用上架到省场景应用服务中心</w:t>
            </w:r>
          </w:p>
        </w:tc>
      </w:tr>
      <w:tr>
        <w:tblPrEx>
          <w:tblCellMar>
            <w:top w:w="0" w:type="dxa"/>
            <w:left w:w="108" w:type="dxa"/>
            <w:bottom w:w="0" w:type="dxa"/>
            <w:right w:w="108" w:type="dxa"/>
          </w:tblCellMar>
        </w:tblPrEx>
        <w:trPr>
          <w:trHeight w:val="90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政府侧在线管理系统对接实施服务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在线系统对接</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在线系统对接</w:t>
            </w:r>
          </w:p>
        </w:tc>
        <w:tc>
          <w:tcPr>
            <w:tcW w:w="41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7"/>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将社区创建和运营数据全面对接在线系统，确保数据真实有效鲜活</w:t>
            </w:r>
          </w:p>
        </w:tc>
      </w:tr>
    </w:tbl>
    <w:p>
      <w:pPr>
        <w:pageBreakBefore w:val="0"/>
        <w:shd w:val="clear"/>
        <w:kinsoku/>
        <w:wordWrap/>
        <w:overflowPunct/>
        <w:topLinePunct w:val="0"/>
        <w:autoSpaceDE/>
        <w:autoSpaceDN/>
        <w:bidi w:val="0"/>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社区应用子场景明细</w:t>
      </w:r>
    </w:p>
    <w:tbl>
      <w:tblPr>
        <w:tblStyle w:val="30"/>
        <w:tblW w:w="5253" w:type="pct"/>
        <w:tblInd w:w="0" w:type="dxa"/>
        <w:tblLayout w:type="fixed"/>
        <w:tblCellMar>
          <w:top w:w="15" w:type="dxa"/>
          <w:left w:w="15" w:type="dxa"/>
          <w:bottom w:w="15" w:type="dxa"/>
          <w:right w:w="15" w:type="dxa"/>
        </w:tblCellMar>
      </w:tblPr>
      <w:tblGrid>
        <w:gridCol w:w="701"/>
        <w:gridCol w:w="1023"/>
        <w:gridCol w:w="1661"/>
        <w:gridCol w:w="5366"/>
      </w:tblGrid>
      <w:tr>
        <w:tblPrEx>
          <w:tblCellMar>
            <w:top w:w="15" w:type="dxa"/>
            <w:left w:w="15" w:type="dxa"/>
            <w:bottom w:w="15" w:type="dxa"/>
            <w:right w:w="15" w:type="dxa"/>
          </w:tblCellMar>
        </w:tblPrEx>
        <w:trPr>
          <w:trHeight w:val="542" w:hRule="atLeast"/>
        </w:trPr>
        <w:tc>
          <w:tcPr>
            <w:tcW w:w="701" w:type="dxa"/>
            <w:tcBorders>
              <w:top w:val="single" w:color="2B2B2B" w:sz="4" w:space="0"/>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序号</w:t>
            </w:r>
          </w:p>
        </w:tc>
        <w:tc>
          <w:tcPr>
            <w:tcW w:w="1023" w:type="dxa"/>
            <w:tcBorders>
              <w:top w:val="single" w:color="2B2B2B" w:sz="4" w:space="0"/>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场景</w:t>
            </w:r>
          </w:p>
        </w:tc>
        <w:tc>
          <w:tcPr>
            <w:tcW w:w="1661" w:type="dxa"/>
            <w:tcBorders>
              <w:top w:val="single" w:color="2B2B2B" w:sz="4" w:space="0"/>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模块名称</w:t>
            </w:r>
          </w:p>
        </w:tc>
        <w:tc>
          <w:tcPr>
            <w:tcW w:w="5366" w:type="dxa"/>
            <w:tcBorders>
              <w:top w:val="single" w:color="2B2B2B" w:sz="4" w:space="0"/>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描述</w:t>
            </w:r>
          </w:p>
        </w:tc>
      </w:tr>
      <w:tr>
        <w:tblPrEx>
          <w:tblCellMar>
            <w:top w:w="15" w:type="dxa"/>
            <w:left w:w="15" w:type="dxa"/>
            <w:bottom w:w="15" w:type="dxa"/>
            <w:right w:w="15" w:type="dxa"/>
          </w:tblCellMar>
        </w:tblPrEx>
        <w:trPr>
          <w:trHeight w:val="224" w:hRule="atLeast"/>
        </w:trPr>
        <w:tc>
          <w:tcPr>
            <w:tcW w:w="701" w:type="dxa"/>
            <w:vMerge w:val="restart"/>
            <w:tcBorders>
              <w:top w:val="single" w:color="2B2B2B" w:sz="4" w:space="0"/>
              <w:left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023" w:type="dxa"/>
            <w:vMerge w:val="restart"/>
            <w:tcBorders>
              <w:top w:val="single" w:color="2B2B2B" w:sz="4" w:space="0"/>
              <w:left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邻里场景</w:t>
            </w:r>
          </w:p>
        </w:tc>
        <w:tc>
          <w:tcPr>
            <w:tcW w:w="1661" w:type="dxa"/>
            <w:tcBorders>
              <w:top w:val="single" w:color="2B2B2B"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积分系统</w:t>
            </w:r>
          </w:p>
        </w:tc>
        <w:tc>
          <w:tcPr>
            <w:tcW w:w="5366" w:type="dxa"/>
            <w:tcBorders>
              <w:top w:val="single" w:color="2B2B2B"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建立新田园未来社区内积分体系，居民可在每日任务或在社区内参加活动、消费等渠道获得积分，可进行积分兑换、积分抵现、积分抽奖等活动，增加社区生活趣味性。</w:t>
            </w:r>
          </w:p>
        </w:tc>
      </w:tr>
      <w:tr>
        <w:tblPrEx>
          <w:tblCellMar>
            <w:top w:w="15" w:type="dxa"/>
            <w:left w:w="15" w:type="dxa"/>
            <w:bottom w:w="15" w:type="dxa"/>
            <w:right w:w="15" w:type="dxa"/>
          </w:tblCellMar>
        </w:tblPrEx>
        <w:trPr>
          <w:trHeight w:val="249" w:hRule="atLeast"/>
        </w:trPr>
        <w:tc>
          <w:tcPr>
            <w:tcW w:w="701" w:type="dxa"/>
            <w:vMerge w:val="continue"/>
            <w:tcBorders>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023" w:type="dxa"/>
            <w:vMerge w:val="continue"/>
            <w:tcBorders>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1"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通知公告</w:t>
            </w:r>
          </w:p>
        </w:tc>
        <w:tc>
          <w:tcPr>
            <w:tcW w:w="5366"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为新田园社区管理员提供有关社区通知的发布入口，通过移动互联网实现居民及时掌握社区公共消息，阅读获得积分。</w:t>
            </w:r>
          </w:p>
        </w:tc>
      </w:tr>
      <w:tr>
        <w:tblPrEx>
          <w:tblCellMar>
            <w:top w:w="15" w:type="dxa"/>
            <w:left w:w="15" w:type="dxa"/>
            <w:bottom w:w="15" w:type="dxa"/>
            <w:right w:w="15" w:type="dxa"/>
          </w:tblCellMar>
        </w:tblPrEx>
        <w:trPr>
          <w:trHeight w:val="244" w:hRule="atLeast"/>
        </w:trPr>
        <w:tc>
          <w:tcPr>
            <w:tcW w:w="701" w:type="dxa"/>
            <w:vMerge w:val="continue"/>
            <w:tcBorders>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023" w:type="dxa"/>
            <w:vMerge w:val="continue"/>
            <w:tcBorders>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1"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闲置交易</w:t>
            </w:r>
          </w:p>
        </w:tc>
        <w:tc>
          <w:tcPr>
            <w:tcW w:w="5366"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卖家自主发布二手闲置物品在新田园社区易物平台上，社区居民通过新田园社区易物能够通过查询闲置物品，并支持与卖家进行联系，实现最终交易，实现闲置物品价值再利用。</w:t>
            </w:r>
          </w:p>
        </w:tc>
      </w:tr>
      <w:tr>
        <w:tblPrEx>
          <w:tblCellMar>
            <w:top w:w="15" w:type="dxa"/>
            <w:left w:w="15" w:type="dxa"/>
            <w:bottom w:w="15" w:type="dxa"/>
            <w:right w:w="15" w:type="dxa"/>
          </w:tblCellMar>
        </w:tblPrEx>
        <w:trPr>
          <w:trHeight w:val="2765" w:hRule="atLeast"/>
        </w:trPr>
        <w:tc>
          <w:tcPr>
            <w:tcW w:w="701" w:type="dxa"/>
            <w:vMerge w:val="continue"/>
            <w:tcBorders>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023" w:type="dxa"/>
            <w:vMerge w:val="continue"/>
            <w:tcBorders>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1"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邻里公约</w:t>
            </w:r>
          </w:p>
        </w:tc>
        <w:tc>
          <w:tcPr>
            <w:tcW w:w="5366"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居民可共同参与新田园社区公约的制定，对于已制定的公约表同意态度的需要进行签字，表否定态度的可以向社区提出异议，通过该模式加强居民与居民、居民与社区间的交流，达成沟通邻里的目的。新田园社区公约是参与制定的单位和个人共同信守的行为规范，它对于维护社会秩序、促进安定团结、加强社会主义精神文明建设有着不可低估的作用，参与获得积分。</w:t>
            </w:r>
          </w:p>
        </w:tc>
      </w:tr>
      <w:tr>
        <w:tblPrEx>
          <w:tblCellMar>
            <w:top w:w="15" w:type="dxa"/>
            <w:left w:w="15" w:type="dxa"/>
            <w:bottom w:w="15" w:type="dxa"/>
            <w:right w:w="15" w:type="dxa"/>
          </w:tblCellMar>
        </w:tblPrEx>
        <w:trPr>
          <w:trHeight w:val="219" w:hRule="atLeast"/>
        </w:trPr>
        <w:tc>
          <w:tcPr>
            <w:tcW w:w="701" w:type="dxa"/>
            <w:vMerge w:val="continue"/>
            <w:tcBorders>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023" w:type="dxa"/>
            <w:vMerge w:val="continue"/>
            <w:tcBorders>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1"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线上社群</w:t>
            </w:r>
          </w:p>
        </w:tc>
        <w:tc>
          <w:tcPr>
            <w:tcW w:w="5366"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为社区居民提供一个互相交流的平台，居民日常能够发布一些内容至圈子中分享给其他社区居民，支持社区居民在分享内容下方进行评论，参与获得积分。</w:t>
            </w:r>
          </w:p>
        </w:tc>
      </w:tr>
      <w:tr>
        <w:tblPrEx>
          <w:tblCellMar>
            <w:top w:w="15" w:type="dxa"/>
            <w:left w:w="15" w:type="dxa"/>
            <w:bottom w:w="15" w:type="dxa"/>
            <w:right w:w="15" w:type="dxa"/>
          </w:tblCellMar>
        </w:tblPrEx>
        <w:trPr>
          <w:trHeight w:val="274" w:hRule="atLeast"/>
        </w:trPr>
        <w:tc>
          <w:tcPr>
            <w:tcW w:w="701" w:type="dxa"/>
            <w:vMerge w:val="continue"/>
            <w:tcBorders>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023" w:type="dxa"/>
            <w:vMerge w:val="continue"/>
            <w:tcBorders>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1"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在线活动</w:t>
            </w:r>
          </w:p>
        </w:tc>
        <w:tc>
          <w:tcPr>
            <w:tcW w:w="5366"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通过活动发布为居民展示多样化社区活动，居民通过活动报名参与社区活动，参与获得积分。</w:t>
            </w:r>
          </w:p>
        </w:tc>
      </w:tr>
      <w:tr>
        <w:tblPrEx>
          <w:tblCellMar>
            <w:top w:w="15" w:type="dxa"/>
            <w:left w:w="15" w:type="dxa"/>
            <w:bottom w:w="15" w:type="dxa"/>
            <w:right w:w="15" w:type="dxa"/>
          </w:tblCellMar>
        </w:tblPrEx>
        <w:trPr>
          <w:trHeight w:val="166" w:hRule="atLeast"/>
        </w:trPr>
        <w:tc>
          <w:tcPr>
            <w:tcW w:w="701" w:type="dxa"/>
            <w:vMerge w:val="continue"/>
            <w:tcBorders>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023" w:type="dxa"/>
            <w:vMerge w:val="continue"/>
            <w:tcBorders>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1"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社区共建</w:t>
            </w:r>
          </w:p>
        </w:tc>
        <w:tc>
          <w:tcPr>
            <w:tcW w:w="5366" w:type="dxa"/>
            <w:tcBorders>
              <w:top w:val="single" w:color="auto" w:sz="4" w:space="0"/>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以社区共治为目的，实现社区居民可在线发起共建建议，由业委会负责受理、采纳以及全过程跟踪，向全社区居民公开共建内容，参与获得积分。</w:t>
            </w:r>
          </w:p>
        </w:tc>
      </w:tr>
      <w:tr>
        <w:tblPrEx>
          <w:tblCellMar>
            <w:top w:w="15" w:type="dxa"/>
            <w:left w:w="15" w:type="dxa"/>
            <w:bottom w:w="15" w:type="dxa"/>
            <w:right w:w="15" w:type="dxa"/>
          </w:tblCellMar>
        </w:tblPrEx>
        <w:trPr>
          <w:trHeight w:val="252" w:hRule="atLeast"/>
        </w:trPr>
        <w:tc>
          <w:tcPr>
            <w:tcW w:w="701" w:type="dxa"/>
            <w:vMerge w:val="restart"/>
            <w:tcBorders>
              <w:top w:val="single" w:color="2B2B2B" w:sz="4" w:space="0"/>
              <w:left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023" w:type="dxa"/>
            <w:vMerge w:val="restart"/>
            <w:tcBorders>
              <w:top w:val="single" w:color="auto" w:sz="4" w:space="0"/>
              <w:left w:val="single" w:color="2B2B2B" w:sz="4" w:space="0"/>
              <w:right w:val="single" w:color="2B2B2B" w:sz="4" w:space="0"/>
            </w:tcBorders>
            <w:vAlign w:val="center"/>
          </w:tcPr>
          <w:p>
            <w:pPr>
              <w:pageBreakBefore w:val="0"/>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教育场景</w:t>
            </w:r>
          </w:p>
        </w:tc>
        <w:tc>
          <w:tcPr>
            <w:tcW w:w="1661"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社区达人</w:t>
            </w:r>
          </w:p>
        </w:tc>
        <w:tc>
          <w:tcPr>
            <w:tcW w:w="5366" w:type="dxa"/>
            <w:tcBorders>
              <w:top w:val="single" w:color="2B2B2B"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通过资格申请入口支持填写用户基础信息、上传用户资料发起申请提交至后台审核，审核通过后将自动获取“新田园社区达人”的类型标签，获得积分。</w:t>
            </w:r>
          </w:p>
        </w:tc>
      </w:tr>
      <w:tr>
        <w:tblPrEx>
          <w:tblCellMar>
            <w:top w:w="15" w:type="dxa"/>
            <w:left w:w="15" w:type="dxa"/>
            <w:bottom w:w="15" w:type="dxa"/>
            <w:right w:w="15" w:type="dxa"/>
          </w:tblCellMar>
        </w:tblPrEx>
        <w:trPr>
          <w:trHeight w:val="112" w:hRule="atLeast"/>
        </w:trPr>
        <w:tc>
          <w:tcPr>
            <w:tcW w:w="701" w:type="dxa"/>
            <w:vMerge w:val="continue"/>
            <w:tcBorders>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023" w:type="dxa"/>
            <w:vMerge w:val="continue"/>
            <w:tcBorders>
              <w:left w:val="single" w:color="2B2B2B" w:sz="4" w:space="0"/>
              <w:bottom w:val="single" w:color="auto" w:sz="4" w:space="0"/>
              <w:right w:val="single" w:color="2B2B2B" w:sz="4" w:space="0"/>
            </w:tcBorders>
            <w:vAlign w:val="center"/>
          </w:tcPr>
          <w:p>
            <w:pPr>
              <w:pageBreakBefore w:val="0"/>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1"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幸福学堂</w:t>
            </w:r>
          </w:p>
        </w:tc>
        <w:tc>
          <w:tcPr>
            <w:tcW w:w="5366"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用于展示新田园社区社区独特的课程或活动的内容，居民通过小青学堂能够查看课程或活动详情，并参与报名。</w:t>
            </w:r>
          </w:p>
        </w:tc>
      </w:tr>
      <w:tr>
        <w:tblPrEx>
          <w:tblCellMar>
            <w:top w:w="15" w:type="dxa"/>
            <w:left w:w="15" w:type="dxa"/>
            <w:bottom w:w="15" w:type="dxa"/>
            <w:right w:w="15" w:type="dxa"/>
          </w:tblCellMar>
        </w:tblPrEx>
        <w:trPr>
          <w:trHeight w:val="254" w:hRule="atLeast"/>
        </w:trPr>
        <w:tc>
          <w:tcPr>
            <w:tcW w:w="701" w:type="dxa"/>
            <w:vMerge w:val="restart"/>
            <w:tcBorders>
              <w:top w:val="single" w:color="2B2B2B" w:sz="4" w:space="0"/>
              <w:left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023" w:type="dxa"/>
            <w:vMerge w:val="restart"/>
            <w:tcBorders>
              <w:top w:val="single" w:color="auto" w:sz="4" w:space="0"/>
              <w:left w:val="single" w:color="2B2B2B" w:sz="4" w:space="0"/>
              <w:right w:val="single" w:color="2B2B2B" w:sz="4" w:space="0"/>
            </w:tcBorders>
            <w:vAlign w:val="center"/>
          </w:tcPr>
          <w:p>
            <w:pPr>
              <w:pageBreakBefore w:val="0"/>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服务场景</w:t>
            </w:r>
          </w:p>
        </w:tc>
        <w:tc>
          <w:tcPr>
            <w:tcW w:w="1661"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报事报修</w:t>
            </w:r>
          </w:p>
        </w:tc>
        <w:tc>
          <w:tcPr>
            <w:tcW w:w="5366" w:type="dxa"/>
            <w:tcBorders>
              <w:top w:val="single" w:color="2B2B2B"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为居民实现随时随地报修、审核、派工、维修、评价等，提高社区服务效率和水平。</w:t>
            </w:r>
          </w:p>
        </w:tc>
      </w:tr>
      <w:tr>
        <w:tblPrEx>
          <w:tblCellMar>
            <w:top w:w="15" w:type="dxa"/>
            <w:left w:w="15" w:type="dxa"/>
            <w:bottom w:w="15" w:type="dxa"/>
            <w:right w:w="15" w:type="dxa"/>
          </w:tblCellMar>
        </w:tblPrEx>
        <w:trPr>
          <w:trHeight w:val="234" w:hRule="atLeast"/>
        </w:trPr>
        <w:tc>
          <w:tcPr>
            <w:tcW w:w="701" w:type="dxa"/>
            <w:vMerge w:val="continue"/>
            <w:tcBorders>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023" w:type="dxa"/>
            <w:vMerge w:val="continue"/>
            <w:tcBorders>
              <w:left w:val="single" w:color="2B2B2B" w:sz="4" w:space="0"/>
              <w:bottom w:val="single" w:color="auto" w:sz="4" w:space="0"/>
              <w:right w:val="single" w:color="2B2B2B" w:sz="4" w:space="0"/>
            </w:tcBorders>
            <w:vAlign w:val="center"/>
          </w:tcPr>
          <w:p>
            <w:pPr>
              <w:pageBreakBefore w:val="0"/>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1"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空间预约</w:t>
            </w:r>
          </w:p>
        </w:tc>
        <w:tc>
          <w:tcPr>
            <w:tcW w:w="5366"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居民使用该平台对社区内内部场馆进行预约申请，线上流程审批，审批过程实时可查看，参与获得积分。</w:t>
            </w:r>
          </w:p>
        </w:tc>
      </w:tr>
      <w:tr>
        <w:tblPrEx>
          <w:tblCellMar>
            <w:top w:w="15" w:type="dxa"/>
            <w:left w:w="15" w:type="dxa"/>
            <w:bottom w:w="15" w:type="dxa"/>
            <w:right w:w="15" w:type="dxa"/>
          </w:tblCellMar>
        </w:tblPrEx>
        <w:trPr>
          <w:trHeight w:val="304" w:hRule="atLeast"/>
        </w:trPr>
        <w:tc>
          <w:tcPr>
            <w:tcW w:w="701" w:type="dxa"/>
            <w:vMerge w:val="continue"/>
            <w:tcBorders>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023" w:type="dxa"/>
            <w:vMerge w:val="continue"/>
            <w:tcBorders>
              <w:left w:val="single" w:color="2B2B2B" w:sz="4" w:space="0"/>
              <w:bottom w:val="single" w:color="auto" w:sz="4" w:space="0"/>
              <w:right w:val="single" w:color="2B2B2B" w:sz="4" w:space="0"/>
            </w:tcBorders>
            <w:vAlign w:val="center"/>
          </w:tcPr>
          <w:p>
            <w:pPr>
              <w:pageBreakBefore w:val="0"/>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1"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生活圈</w:t>
            </w:r>
          </w:p>
        </w:tc>
        <w:tc>
          <w:tcPr>
            <w:tcW w:w="5366"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以社区为中心，形成5、10、15分钟生活圈，生活圈包含各类业态，展示商家信息、推送优惠活动，供社区居民进行查览使用。</w:t>
            </w:r>
          </w:p>
        </w:tc>
      </w:tr>
      <w:tr>
        <w:tblPrEx>
          <w:tblCellMar>
            <w:top w:w="15" w:type="dxa"/>
            <w:left w:w="15" w:type="dxa"/>
            <w:bottom w:w="15" w:type="dxa"/>
            <w:right w:w="15" w:type="dxa"/>
          </w:tblCellMar>
        </w:tblPrEx>
        <w:trPr>
          <w:trHeight w:val="212" w:hRule="atLeast"/>
        </w:trPr>
        <w:tc>
          <w:tcPr>
            <w:tcW w:w="701" w:type="dxa"/>
            <w:vMerge w:val="restart"/>
            <w:tcBorders>
              <w:top w:val="single" w:color="2B2B2B" w:sz="4" w:space="0"/>
              <w:left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023" w:type="dxa"/>
            <w:vMerge w:val="restart"/>
            <w:tcBorders>
              <w:top w:val="single" w:color="auto" w:sz="4" w:space="0"/>
              <w:left w:val="single" w:color="2B2B2B" w:sz="4" w:space="0"/>
              <w:right w:val="single" w:color="2B2B2B" w:sz="4" w:space="0"/>
            </w:tcBorders>
            <w:vAlign w:val="center"/>
          </w:tcPr>
          <w:p>
            <w:pPr>
              <w:pageBreakBefore w:val="0"/>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治理场景</w:t>
            </w:r>
          </w:p>
        </w:tc>
        <w:tc>
          <w:tcPr>
            <w:tcW w:w="1661"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社区党建</w:t>
            </w:r>
          </w:p>
        </w:tc>
        <w:tc>
          <w:tcPr>
            <w:tcW w:w="5366" w:type="dxa"/>
            <w:tcBorders>
              <w:top w:val="single" w:color="2B2B2B"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新田园党建将通过图文结合的形式记录展示党员先锋队岗、党员活动风采、党费缴纳、党务公开、党组织生活等内容，参与获得积分。</w:t>
            </w:r>
          </w:p>
        </w:tc>
      </w:tr>
      <w:tr>
        <w:tblPrEx>
          <w:tblCellMar>
            <w:top w:w="15" w:type="dxa"/>
            <w:left w:w="15" w:type="dxa"/>
            <w:bottom w:w="15" w:type="dxa"/>
            <w:right w:w="15" w:type="dxa"/>
          </w:tblCellMar>
        </w:tblPrEx>
        <w:trPr>
          <w:trHeight w:val="237" w:hRule="atLeast"/>
        </w:trPr>
        <w:tc>
          <w:tcPr>
            <w:tcW w:w="701" w:type="dxa"/>
            <w:vMerge w:val="continue"/>
            <w:tcBorders>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023" w:type="dxa"/>
            <w:vMerge w:val="continue"/>
            <w:tcBorders>
              <w:left w:val="single" w:color="2B2B2B" w:sz="4" w:space="0"/>
              <w:bottom w:val="single" w:color="auto" w:sz="4" w:space="0"/>
              <w:right w:val="single" w:color="2B2B2B" w:sz="4" w:space="0"/>
            </w:tcBorders>
            <w:vAlign w:val="center"/>
          </w:tcPr>
          <w:p>
            <w:pPr>
              <w:pageBreakBefore w:val="0"/>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1"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志愿服务</w:t>
            </w:r>
          </w:p>
        </w:tc>
        <w:tc>
          <w:tcPr>
            <w:tcW w:w="5366"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发布相关的社区志愿者招募活动，居民可以通过志愿服务模块进行在线报名活动，成为志愿者。志愿者活动开始时，居民按照活动要求完成活动内容，在活动结束后，可赠送活动相应积分。</w:t>
            </w:r>
          </w:p>
        </w:tc>
      </w:tr>
      <w:tr>
        <w:tblPrEx>
          <w:tblCellMar>
            <w:top w:w="15" w:type="dxa"/>
            <w:left w:w="15" w:type="dxa"/>
            <w:bottom w:w="15" w:type="dxa"/>
            <w:right w:w="15" w:type="dxa"/>
          </w:tblCellMar>
        </w:tblPrEx>
        <w:trPr>
          <w:trHeight w:val="217" w:hRule="atLeast"/>
        </w:trPr>
        <w:tc>
          <w:tcPr>
            <w:tcW w:w="701" w:type="dxa"/>
            <w:vMerge w:val="continue"/>
            <w:tcBorders>
              <w:left w:val="single" w:color="2B2B2B" w:sz="4" w:space="0"/>
              <w:bottom w:val="single" w:color="2B2B2B"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023" w:type="dxa"/>
            <w:vMerge w:val="continue"/>
            <w:tcBorders>
              <w:left w:val="single" w:color="2B2B2B" w:sz="4" w:space="0"/>
              <w:bottom w:val="single" w:color="auto" w:sz="4" w:space="0"/>
              <w:right w:val="single" w:color="2B2B2B" w:sz="4" w:space="0"/>
            </w:tcBorders>
            <w:vAlign w:val="center"/>
          </w:tcPr>
          <w:p>
            <w:pPr>
              <w:pageBreakBefore w:val="0"/>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1"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邻里选举</w:t>
            </w:r>
          </w:p>
        </w:tc>
        <w:tc>
          <w:tcPr>
            <w:tcW w:w="5366" w:type="dxa"/>
            <w:tcBorders>
              <w:top w:val="single" w:color="auto" w:sz="4" w:space="0"/>
              <w:left w:val="single" w:color="2B2B2B" w:sz="4" w:space="0"/>
              <w:bottom w:val="single" w:color="auto" w:sz="4" w:space="0"/>
              <w:right w:val="single" w:color="2B2B2B" w:sz="4" w:space="0"/>
            </w:tcBorders>
            <w:vAlign w:val="center"/>
          </w:tcPr>
          <w:p>
            <w:pPr>
              <w:pageBreakBefore w:val="0"/>
              <w:widowControl/>
              <w:shd w:val="clear"/>
              <w:kinsoku/>
              <w:wordWrap/>
              <w:overflowPunct/>
              <w:topLinePunct w:val="0"/>
              <w:autoSpaceDE/>
              <w:autoSpaceDN/>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供社区居民商讨关乎居民切身利益的事宜，如公共收益管理与使用等事项。应具备选举投票、事项表决、民意调查等类似功能模块，参与获得积分。</w:t>
            </w:r>
          </w:p>
        </w:tc>
      </w:tr>
    </w:tbl>
    <w:p>
      <w:pPr>
        <w:pStyle w:val="4"/>
        <w:pageBreakBefore w:val="0"/>
        <w:numPr>
          <w:ilvl w:val="0"/>
          <w:numId w:val="6"/>
        </w:numPr>
        <w:shd w:val="clear"/>
        <w:kinsoku/>
        <w:wordWrap/>
        <w:overflowPunct/>
        <w:topLinePunct w:val="0"/>
        <w:bidi w:val="0"/>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硬件需求</w:t>
      </w:r>
    </w:p>
    <w:p>
      <w:pPr>
        <w:pStyle w:val="5"/>
        <w:pageBreakBefore w:val="0"/>
        <w:shd w:val="clear"/>
        <w:kinsoku/>
        <w:wordWrap/>
        <w:overflowPunct/>
        <w:topLinePunct w:val="0"/>
        <w:bidi w:val="0"/>
        <w:spacing w:before="0" w:after="0"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硬件采购需求</w:t>
      </w:r>
    </w:p>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8"/>
        <w:gridCol w:w="1063"/>
        <w:gridCol w:w="6058"/>
        <w:gridCol w:w="587"/>
        <w:gridCol w:w="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一、邻里场景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（一）综合布线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单口面板</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面板主体塑料材质：优质ABS 工程塑料</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标识：含有机玻璃的标签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防尘门：优质ABS 工程塑料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Z字形弹簧材质：钢丝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连接方式：直接卡接信息模块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端口标识：自带内嵌式双面ICON，方便区分网络及语音端口应用</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边框拆卸：侧面拆卸边框，更加方便省力</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安装方式：使用面板包装内配套的双螺丝明装或暗装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匹配性：与语音、有线电视、五类、超五类，六类、超六类等全线模块兼容 （超六类非屏蔽模块本身自带防尘门，如需与此款面板匹配需将模块上的防尘门拆除）</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双扣面板</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面板主体塑料材质：优质ABS 工程塑料</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标识：含有机玻璃的标签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防尘门：优质ABS 工程塑料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Z字形弹簧材质：钢丝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连接方式：直接卡接信息模块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端口标识：自带内嵌式双面ICON，方便区分网络及语音端口应用</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边框拆卸：侧面拆卸边框，更加方便省力</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安装方式：使用面板包装内配套的双螺丝明装或暗装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匹配性：与语音、有线电视、五类、超五类，六类、超六类等全线模块兼容 （超六类非屏蔽模块本身自带防尘门，如需与此款面板匹配需将模块上的防尘门拆除）</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6类模块</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模块主体塑料材质：聚碳酸酯（PC）UL94V-0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IDC端子材质：磷青铜镀镍 ,IDC分线峰设计，易分线</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金针材质：磷青铜镀金50μm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连接方式：RJ45插孔配接跳线，IDC端接水平布线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IDC端子可卡接线径：单股或多股裸铜导体0.4-0.6mm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RJ45端口类型：8P8C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接线方式：110卡接式,使用110工具端接，保证线对自然绞距施工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频率范围：0～250MHz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通过单体测试认证</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通过POE++测试</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免焊锡，环保</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绝缘电阻：≥100MΩ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插入损耗：0.4dB@250MHz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插入力和拔出力：插入力≤20N，拔出力≥20N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RJ45拔插次数：≥1000次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IDC端子端接次数：≥250次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使用温度： -20～70℃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湿度：85%（温度85℃±3℃）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24口网络配线架</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配线架金属材质：全钢架结构+黑色喷塑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配线架塑料材质：阻燃塑胶料，防火等级达到UL94V-0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IDC打线端子：磷青铜镀镍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镀金层厚度：磷青铜金针镀金50μ″，镀软镍60μ</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配线架模块类型：6口一体式模块*4组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RJ45端口：可连接1-24根跳线</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接线端子类型：IDC与110双用端子，可卡接导体为0.4～0.6mm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安装性：19英寸标准机架式设备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配线架背部理线功能：配线架背部含1*24折叠式金属理线板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安装方式：使用配线架包装内标配螺丝安装于机架内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维护方式：打开机柜后门从背部进行维护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安装高度：1U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频率范围：0～250MHz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兼容110、KRONE工具</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提供24/48个标准接口，系统性能超过TIA/EIA-568.2-D标准要求, 支持T568A和T568B两种接线方式</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IDC带分线峰和预卡接功能，更方便施工</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插入损耗：0.4dB@250MHz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绝缘电阻：初始值≥100MΩ，恒定湿热试验后≥100MΩ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RJ45卡接次数：≥750次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接线端子卡接次数：≥250次</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使用温度：-40～70℃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湿度：85%（温度85℃±3℃）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100对110配线架</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100对110配线架</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RJ45-RJ45跳线六类</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RJ45-RJ45跳线六类，3米</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RJ45-RJ110跳线六类</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RJ45-RJ110跳线六类，2米</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六类网线</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性能符合YD/T 1019-2013、TIA568C标准</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产品选用优质无氧铜为传输导体，导体直径符合23AWG，同时采用了中心十字 PE 骨架分离 4 个单独线对设计，电气传输性能可靠优异，达到并超过六类系统指标, 为系统链路提供丰富的余量支持，施工敷设方便快捷。</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电气性能：特性阻抗：100±15Ω，</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导体间介电强度，DC，1min：1Kv/1min无击穿，</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导体与屏蔽间 加电压：DC 2. 5 kV 加压时间：lmin无击穿</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最小互电容：51pf/m，</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工作电容最大值：≤5.6nF/100m，最大平衡电容：160pf/km，</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最大电流平衡：2%，施工温度： 0～40℃，</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使用温度： -10～60℃，操作电压： DC 32～72V 。</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单根导体最大电阻：≤7.3Ω/100m，线对直流电阻不平衡性：≤1.0%</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单根阻燃性能  试样烧焦应不超过距上夹具下缘 50mm -540mm 的范围之外. 试样烧焦部分为距上夹 具下缘 290mm - 500mm处</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PVC护套，护套颜色：默认灰色 ，可选蓝色、橙色、白色(达到一定起订量)，成品外径：6.3±0.3mm，导体绝缘外径：1.1±0.05mm </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20°C时直流电阻不平衡相对与相对间 ≤4%. 线对内2导体间≤2%.</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在100米距离内提供250MHz带宽，典型应用速率为1000Mbps。</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敷设弯曲半径：建议敷设弯曲半径&gt;8倍线缆外径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敷设拉力：建议敷设时短期拉力&lt;110N使用拉力：建议使用时长期拉力&lt;20N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配管</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PVC25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桥架</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200*100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（二）网络及安全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吸顶AP</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1.新一代Wi-Fi 6 (802.11ax)技术</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2.11AX  2.4G/5G 双频并发，无线速率高达1800Mbps</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3.国标86壳体，外观优雅</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4.802.3af/at标准PoE网线供电，无需外接电源</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5.频谱导航，引导双频客户端优先连接到5GHz 频段上，使2.4GHz 和5GHz 两个频段负载更均衡，保障网络性能</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6.FIT模式支持自动射频调优</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7.FIT模式支持智能漫游</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8.支持弱信号剔除、禁止弱信号设备接入功能</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9.胖瘦一体，可以根据不同应用环境选择不同模式</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POE交换机</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1、IEEE802.3af/at兼容,支持IEEE802.3az节能功能</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2、8个10/100/1000Mbps RJ45端口+2个千兆电口,19寸标准机架式</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3、8个PSE供电端口，输出总功率达150Wat 工作温度：-20℃-75℃</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4、测试:Sifos, Lightning Surge 2KV,NuStreams-600i</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5、单端口最大输出功率15.4W  (48V时)                                                                                                                                                                         6、分段功率报警功能支持</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7、低压PD检测功能支持</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8、端口供电优先级功能支持</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9、端口过载保护功能支持</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10、电压等级指示功能支持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24口交换机</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1、24个10/100M/1000M电口，背板带宽48G</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2、材质：铁壳 IP30防护等级，19寸标准机架式</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3、工作温度：-25℃-75℃</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4、MAC地址表≥8K，防雷等级6KV</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5、支持端口自动翻转（Auto MDI/MDIX）功能</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提供标准交换、VLAN隔离和网络克隆三种工作模式，适应不同网络环境</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企业级路由器</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口全千兆PoE路由器，铁壳设计，终端带机量200台，最大支持600M带宽。整机带10个千兆以太网口，其中固化1个WAN口，3个LAN/WAN可切换口，以及8个支持标准802.3af/at的千兆PoE电口，整机PoE最大输出功率70W。集成AC控制器功能，最大可管理150台AP。</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防火墙</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详见“防火墙”技术参数要求。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（三）中心机房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防静电地板</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600*600*35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地板边支架</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40×40角钢(防锈处理)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地板台阶收边压条</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铝合金</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地面防尘处理</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三遍成活</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防雷接地</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国产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UPS电源</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单进单出纯在线式高频机，容量为6KVA</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输入电压范围要求：176-264VAC，输入功率因数：≥0.9；</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输出电压精度：220V±1%；</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输出波形失真度：正常工作线性负载≤ 1% ，非线性负载≤3%；</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动态电压瞬变范围：0%-100%-0%负载变化时，输出电压瞬变范围应≤3%。瞬变电压恢复时间应小于0ms；</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输出功率因数：不小于0.8；</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★过载能力 125%负载≥5分钟；投标时提供国家权威机构检测报告证明文件。</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★效率：93%以上（基于100%阻性负载）；提供国家权威机构检测报告证明文件。</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为保证负载不间断供电，市电与电池时间转换时间为0ms,旁路模式与市电逆变模式转换时间不大于0.5ms。</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蓄电池</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12V/100AH</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采用铅酸密封免维护蓄电池。</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电池设计寿命不低于6年（25°C环境下使用）。</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质保寿命：不低于3年，电池出现质量问题时，必须整组更换。</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★完全充电后的电池在25℃±2℃的环境中静放28天后，容量不低于97%。投标时提供国家权威机构检测报告证明文件。</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电池柜</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定制，（整机经磷化处理，耐磨防腐，每只电池箱配1只直流空开，16平方电池与电池之间连接线）</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安装辅材</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UPS运输，搬运，安装，调试等</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（四）公共安防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400 万全彩 摄像机（半球）</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400万 1/1.8" CMOS 臻全彩半球网络摄像机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智能侦测：支持越界侦测，区域入侵侦测</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最低照度: 彩色：0.0005 Lux @（F1.0，AGC ON），0 Lux with Light</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宽动态: 120 dB</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焦距： 2.8 mm，4 mm，6 mm，8 mm可选；</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最大图像尺寸: 2560 × 1440</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具有不小于1/1.8"靶面尺寸，内置暖白光补光灯。</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需支持DC12V供电，且在不小于DC12V±30%范围内变化时可以正常工作。</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客流摄像机</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400万 星光级 1/1.8"CMOS 多维客流半球型网络摄像机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具有不小于1/1.8"靶面尺寸。内置GPU芯片（公安部检验报告证明）</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可同时支持人脸比对、人脸属性分析、客流统计及人员重复进出次数统计功能。（公安部检验报告证明）</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支持双向统计客流量及统计重复客流数量，并将统计结果实时叠加在监控画面上。（公安部检验报告证明）</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最低照度: 彩色：0.0005 Lux @（F1.2，AGC ON）；黑白：0.0001 Lux @（F1.2，AGC ON），0 Lux with IR</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调节角度: 水平：0~355°，垂直：0~75°，旋转：0~355°</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宽动态: 120 dB</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焦距＆视场角: 2.8~12 mm：水平视场角：107°~39.8°，垂直视场角：56°~22.4°，对角视场角：130.1°~45.7°</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补光灯类型: 红外灯</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补光距离: 最远可达30 m</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防补光过曝: 支持</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红外波长范围: 850 nm</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最大图像尺寸: 2560 × 1440</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视频压缩标准: 主码流：H.265/H.264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监控电源</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输入电压：176-264VAC,输出电话：DC12V，输出电流：30A，输出功率360W</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网线</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UTP5E</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电源线</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RVV2*1.0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配管</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PVC25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安防核心交换机</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1、24个10/100M/1000M电口，背板带宽48G</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2、材质：铁壳 IP30防护等级,19寸标准机架式</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3、工作温度：-25℃-75℃</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4、MAC地址表≥8K，防雷等级6KV</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5、支持端口自动翻转（Auto MDI/MDIX）功能</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提供标准交换、VLAN隔离和网络克隆三种工作模式，适应不同网络环境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 路 8盘位录像机</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32路网络视频输入，网络输入带宽256Mbps；支持8个最大8T的SATA接口硬盘接入；1路HDMI、1路VGA输出；2个RJ45 10M/100M/1000M自适应以太网口，支持1/2/4/6/8/9/16/25/32/36画面分屏预览；手动录像、定时录像、事件录像、移动侦测录像、报警录像、动测或报警录像、动测且报警录像；即时回放、常规回放、事件回放、标签回放、智能回放、外部文件回放、日志回放。</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6T 硬盘</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6TB容量，3.5英寸 SATA 3.0接口，5400RPM</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单硬盘支持多达32个摄像头的高清流</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高达128MiB缓冲区，流畅存储视频有效防止丢帧</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24×7全天候高效稳定运行</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年度工作负载等级为180TB/年</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MTBF可达1,000,000小时</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管理平台（含软、硬件）</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产品具有16个硬盘插槽，≥2个千兆网口，64位多核处理器，≥48GB内存，内置SSD固态硬盘；（以公安部检测报告为准）可接入2T/3T/4T/6T/8T/10T/12TB/14TB/15TB/16TB SATA/SAS磁盘，支持硬盘交错功能，并支持在线热插拔（以公安部检测报告为准</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可扩展RS485接口、eSATA接口， 8个千兆网口或增配2个10Gb光纤接口或增配4个8Gb/16Gb光纤接口，或增配2个HDMI接口，或增配2个SAS3.0接口，或增配31个GPU。</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支持平台热备模式，一个样机的平台故障后，备用样机的平台接管故障样机的业务，待故障机平台恢复后，可接管备用样机平台业务</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★支持GPU智能卡与硬盘混插，GPU智能卡可插在硬盘插槽，GPU智能卡支持前面板更换；GPU支持热插拔，增加GPU业务不中断（以公安部检测报告为准）</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支持访客二维码、人脸授权通行门禁、可视对讲；支持访客身份证人证合一验证（以公安部检测报告为准）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服务器机柜</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19"42U(600*1100*2000)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人脸门禁一 体机</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详见“人脸门禁一体机”技术参数要求。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出门按钮</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结构：塑料面板；</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性能：最大耐电流1.25A，电压250V；</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输出：常开；</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类型：适合埋入式电器盒使用；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单门磁力锁</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锁体主体颜色为深灰色。</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最大静态直线拉力：280kg ± 15%</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断电开锁，满足消防要求；</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具有电锁状态指示灯（红灯为开锁状态， 绿灯为上锁状态）；</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支持锁状态侦测信号(门磁)输出：NO/NC/COM接点；</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（五）邻里会客厅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会议一体机</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 xml:space="preserve">详见“触摸一体机”技术参数要求。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视频投影机</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投影显示系统：3LCD显示系统，芯片尺寸：≥0.64”</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★亮度：≥ 5800流明（中心亮度）≥5500lm（ISO21118标准）</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分辨率：≥1920x1200</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★光源类型：纯激光光源</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对比度：≥5000,000:1</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投射比：≥1.2~2.0:1</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整机功率：≤360W</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接口：VGA INx1、HDMI INx2、Audio IN（3.5mm）x1、Audio Out（3.5mm）x1、VGA out x1、RS232C x1、RJ45x1、USB-Bx1、USB-Ax1、扬声器16Wx1</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影像模式：中国红、标准、计算机、护眼、配色板、DICOM、黑板绿、个人设定。</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中国红模式：机器内部增加特殊滤光片以及通过相应的软件算法调整，使得整机的色彩表现更丰富艳丽，富有层次，特别是在含有政企事业单位等正式场合整体红色表现更优秀。</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纯激光光源寿命长达20000小时，支持长时间使用。</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防尘等级：依据GB/T 4208-2017外壳防护等级（IP代码）国家标准，整机外壳防护等级实验（IP5X），光源外壳防护等级实验（IP6x）。</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支持水平和垂直方向镜头位移功能</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快速冷却功能：三种快速冷却方式可选，0秒允许关机后直接拔掉电源线无需等待投影机冷却，60秒比正常模式冷却时间短冷却速度快，正常即正常速度冷却，在不同模式下关机所需冷却时间不一样。</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梯形校正功能：多种功能可选，调整校正纯村或者复位，水平或者垂直梯形手动调整，四角校正，6角校正，以及曲面补正满足异形投影，17x11点多点校正，复位值将调整的梯形范围恢复原值。</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无线投屏：通过专用投屏软件，搭配WiFi dongle（选配）即可实现无线投屏功能，同时支持最多4分屏，以及将电脑图像投屏至多台投影机显示。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符合GB32028-2015《投影机能效限定值及能效等级》一级能效等级标准</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以上“★”条款，投标时须提供具有相应资质的第三方检测机构出具的检测报告。</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投影机幕布</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150寸，玻纤，电动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高清同屏器</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高清同屏器，HDMI接口</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吊架</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吊装支架</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音箱</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1、低音：1x8″低音单元  50芯音圈，140磁</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2、高音：1x34mm高音单元  34芯音圈，1″口径</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3、频响范围：75Hz-20KHz</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4、灵敏度：96dB</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5、额定功率：200W</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6、峰值功率：400W</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7、最大声压级：122dB</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8、阻抗：8（Ω）</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功放</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1.高效、节能、节约运营费用</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2.有源PFC，功率因数达0.99</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3.输出功率强劲，稳定驱动2欧姆负载；</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4.小巧、轻便、结构稳固；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5.立体声、单通道、桥接三种工作模式；</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6.灵敏度1Vrms，增益32dB、26dB可选择</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7.保护功能完善：短路、直流、过温等保护，过载功率控制、超温功率控制等</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8.符合安规、电磁兼容标准；</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9.温控风机，运行安静；</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10.宽工作电源范围，90-260VAC（±10%）</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11.8Ω  2×250W</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12.4Ω  2×425W</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13.2Ω  2×723W</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14.输入灵敏度 1Vrms</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15.串扰抑制 ≥80 dB</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16.频率响应 20Hz - 20 kHz</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17.输入阻抗  20kΩ（平衡) ，10kΩ（非平衡)</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18.信噪比 ≥100dB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音频处理器</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1.通道2输入/4输出，面板界面具备功能按钮；</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2.高性能DSP处理器，输入采用24 bit，48kHz的AKM  A / D转换器；</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数字处理包括：增益、极性转换、参量均衡器、棚架滤波器、时间延时、分频功能、压缩、限制和信号路由，D / A转换器使用24位delta-sigma转换器；</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3.每路输入可控制增益、延迟和六个滤波器 ；</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4.可存储多达30个预置。预设文件完全存储当前所有通道的所有控制数据。</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技术参数：</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1.8.频率响应 +/- 0.5dB （20Hz-20kHz）</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2.输入阻抗平衡：18K，</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3.最大输入电平 ：8V(VPP)</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4.输出阻抗 平衡：100欧</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5.最大输出电平：4V(RMS)</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6.动态范围：&gt;110dB（A未计权）</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7.失真度：≤0. 05%（+ 20dBu, 1kHz）</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8.电源消耗 &lt;20W</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反债抑制器</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1.采用自适应环境啸叫抑制算法，采用高速浮点数字音频处理器和先进的子带（Sub-Band)回声消除(Echo Cancellation)技术，可高速全自动完全消除啸叫和回声，同时让现场音频精准清晰实时送出，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内置自适应动态噪声滤波器，可滤掉现场环境的背景噪声但不影响语音信号高质量的传送。系统智能电平控制技术，可以获的到清晰、持续的、信号电平无明显波动的语音信号。内置AGC双向控制，具有区分加强信号和轻柔信号的能力，保持对讲话声调的连贯和语音易于听清楚，维持听感上的舒适性，能提升增益达6-15dB。</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★3.内置24Bit  A/D、D/A转换；24位DSP处理器，48KHz采样高速浮点运算数字音频处理器和最先进的子带（Sub-Band) 回声消除（Echo cancellation)技术，可有效消除回声和啸叫（提供彩页加盖厂家公章证明）。</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4.全自动化操作的工作方式，免人工调试，无论房间环境中位置、温度、湿度、装饰的改变，系统安装都无需进行声场调试，精准可靠使用简单。</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★5.内置自适应动态噪声滤波器，可滤掉现场环境的背景噪声但不影响语音信号高质量的传送。提高信噪比，改善音质（提供彩页加盖厂家公章证明）。</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6.内置AGC自动增益控制，可以获得到清晰、持续平稳的语音信号</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7.内置数字高低通调节控制，可限制语音频响。</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8.内置数字压限器:可提高拾音的距离。</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9.内置10段图示均衡器：频率控制更精确</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10.各功能可通过本机或连接电脑设置</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电源时序器</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★1.2寸彩色液晶智能显示屏，可实时显示当前电压，日期时间，通道开关状态（提供彩页加盖厂家公章证明）</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2.每通道独立设有Bypass设置，可ALL Bypass或单独Bypass</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3.支持面板LOCK锁定功能，防止误操作</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4.内置时钟芯片，可根据日期时间定时设置自动开关机，智能化不须人为操作</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5.支持多台设备级联顺序控制，级联自动检测设置</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6.每台设备自带设备编码ID检测和设置，可实现远程集中控制</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7.10组设备开关场景数据保存/调用，场景管理应用简单便捷</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★8.欠压、超压检测及报警，带滤波功能（提供彩页加盖厂家公章证明）</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9.单路额定输出电流：13A 额定总输出电流：30A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无线一拖二 手持</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1.UHF频段传输信号，频率范围：500MHz-900MHz；</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2.两通道接收信号,每通道有200个信道可选，每个信道以250KHz步进；每通道用49.75MHz；</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3.采用稳定的PLL数位锁相环合成技术和智能数字线路，整机性能稳定性显著提高；</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4.各通道配备独有的ID号，增强抗干扰功能，支持40台同时使用（即40台接收机和80个发射器）；</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5.内置高效抑制噪声线路，防啸叫功能显著；</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6.接收机背面设置2条橡胶接收天线，增强接收的信号，外观大方得体；</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7.背面设有2个平衡输出和1个混合非平衡输出，适合连接各种外置设备；</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8.不再局限于一发射只能配对单一通道，实现同一发射可在两个通道400个信道中互通互用，尽显人性化的高新技术设计；</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9.金属铝材手持咪管筒；手持设有射频功率选择档，可根据实际环境对应选择高（Hi）或（Lo)档；选择（Lo）时，可节省电池耗电量，延长使用时间，从而减少对其它频率发射接收的干扰；</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10.话筒耗电量为80mA，使用1.5V电池（2粒）供电，可连续使用8小时；</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11.使用距离: 空旷环境：80-100米      复杂环境：50-80米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无线一拖四 会议话筒</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1.UHF频段传输信号，频率范围：500MHz-900MHz；</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2.四通道接收信号,每通道有100个信道可选，每个信道以250KHz步进；每通道用24.75MHz；</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3.采用稳定的PLL数位锁相环合成技术和智能数字线路，整机性能稳定性显著提高；</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4.各通道配备独有的ID号，增强抗干扰功能，支持20台同时使用（即20台接收机和80个发射器）；</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5.内置高效抑制噪声线路，防啸叫功能显著；</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6.接收机背面设置2条橡胶接收天线，增强接收的信号，外观大方得体；</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7.背面设有2个平衡输出和1个混合非平衡输出，适合连接各种外置设备；</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8.不再局限于一发射只能配对单一通道，实现同一发射可在两个通道400个信道中互通互用，尽显人性化的高新技术设计；</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9.超静音轻触开关，轻按0.5S开启进入工作状态；</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10.灵活的鹅颈式咪杆设计，可360°全方位调节，咪杆灯环指示发言状态。</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11.话筒耗电量为80mA，使用1.5V电池（3粒）供电，可连续使用12小时；</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12.主机和发射器均具备LCD屏显示工作状态等内容</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13.使用距离: 空旷环境：80-100米，复杂环境：50-80米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8路调音台</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1.≥8路平衡式话筒输入，≥2组母线输出，≥1组AUX辅助输出，MP3播放器功能；</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2.话筒提供优质的+48V幻像电源；</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3.低噪音的前置放大，具有强大的抗干扰能力；</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4.配备高档调音台才具有的信号输入点（外接信号处理器）；</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5.三段英国风格均衡；</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6.电路板采用双面SMT贴片技术，使性能稳定可靠；</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7.≥1组AUX辅助输出AUX1为推子前；</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8.采用≥16种数字显示延时数码效果器，使声音特别动听；</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9.内置净化宽电压开关电源，电压范围：AC90 - 250V。</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配件、跳线</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定制</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二、教育场景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（一）幸福学堂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教育一体机 86 寸</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 xml:space="preserve">详见“触摸一体机”技术参数要求。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OPS模块</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采用 CPU Intel® Core i5/内存DDR4 8G /固态硬盘128G，Windows系统</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可移动支架</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1.U型设计，整洁大方；</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2.材质为优质碳钢钢化玻璃；</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3.承重范围≥260KG；</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4.金属搭配透明钢化玻璃，双轴承脚轮，静音顺滑，耐磨，360º轻松旋转、移动；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（二）学堂安防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400 万全彩 摄像机</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400万 1/1.8" CMOS 臻全彩筒型网络摄像机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智能侦测：支持越界侦测，区域入侵侦测</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最低照度: 彩色：0.0005 Lux @（F1.0，AGC ON），0 Lux with Light</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宽动态: 120 dB</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焦距： 2.8 mm，4 mm，6 mm，8 mm可选；</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最大图像尺寸: 2560 × 1440</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具有不小于1/1.8"靶面尺寸，内置暖白光补光灯。</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补光距离: 最远可达30 m</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需支持DC12V供电，且在不小于DC12V±30%范围内变化时可以正常工作。</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网线</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UTP5E</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电源线</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RVV2*1.0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配管</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PVC25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人脸门禁机</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详见“人脸门禁一体机”技术参数要求。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出门按钮</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结构：塑料面板；</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性能：最大耐电流1.25A，电压250V；</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输出：常开；</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类型：适合埋入式电器盒使用；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双门门磁力 锁</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锁体主体颜色为深灰色。</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最大静态直线拉力：280kg ± 15%</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断电开锁，满足消防要求；</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具有电锁状态指示灯（红灯为开锁状态， 绿灯为上锁状态）；</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支持锁状态侦测信号(门磁)输出：NO/NC/COM接点；</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工作电压：12V/420mA 或 24V/210mA；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三、健康场景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（一）老人食堂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400 万全彩 摄像机（半球）</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400万 1/1.8" CMOS 臻全彩半球网络摄像机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智能侦测：支持越界侦测，区域入侵侦测</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最低照度: 彩色：0.0005 Lux @（F1.0，AGC ON），0 Lux with Light</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宽动态: 120 dB</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焦距： 2.8 mm，4 mm，6 mm，8 mm可选；</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最大图像尺寸: 2560 × 1440</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具有不小于1/1.8"靶面尺寸，内置暖白光补光灯。</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需支持DC12V供电，且在不小于DC12V±30%范围内变化时可以正常工作。</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客流摄像机</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400万 星光级 1/1.8"CMOS 多维客流半球型网络摄像机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具有不小于1/1.8"靶面尺寸。内置GPU芯片（公安部检验报告证明）</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可同时支持人脸比对、人脸属性分析、客流统计及人员重复进出次数统计功能。（公安部检验报告证明）</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支持双向统计客流量及统计重复客流数量，并将统计结果实时叠加在监控画面上。（公安部检验报告证明）</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最低照度: 彩色：0.0005 Lux @（F1.2，AGC ON）；黑白：0.0001 Lux @（F1.2，AGC ON），0 Lux with IR</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调节角度: 水平：0~355°，垂直：0~75°，旋转：0~355°</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宽动态: 120 dB</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焦距＆视场角: 2.8~12 mm：水平视场角：107°~39.8°，垂直视场角：56°~22.4°，对角视场角：130.1°~45.7°</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补光灯类型: 红外灯</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补光距离: 最远可达30 m</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防补光过曝: 支持</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红外波长范围: 850 nm</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最大图像尺寸: 2560 × 1440</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视频压缩标准: 主码流：H.265/H.264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设备箱</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400*500*150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8口千兆交换机</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1、8个10/100M/1000M电口，背板带宽13.8G</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2、材质：铁壳 IP30防护等级</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3、工作温度：-25℃-75℃</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4、MAC地址表≥8K，防雷等级6KV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监控电源</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输入电压：176-264VAC,输出电话：DC12V，输出电流：20A，输出功率240W</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（二）未来社区展示走廊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LED 显示屏</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表贴三合一 SMD1212 黑灯；像素间距（mm） 1.53；模组分辨率（W×H） 208×104；模组尺寸（mm） 320（W）×160（H）×15；模组重量（kg/块） 0.2；模组最大功耗（W/块） 12；像素密度（点/m2 ） 422500；维护方式 磁吸前维护；显示屏亮度（nits） 600；色温（K） 8000—19000 可调；水平视角（°） 160；垂直视角（°） 160；对比度 4000:1；亮度均匀性 ≥97%；色度均匀性 ±0.003Cx,Cy 之内；最佳视距（m） ≥2；峰值功耗（W/m2） 410；平均功耗（W/m2） 210；供电要求 AC220-240V；驱动方式 恒流驱动；换帧频率（Hz） 60；刷新率（Hz） ≥3840；信号接口 HUB 320 接口；电源接口 VH4PIN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发送卡</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信号输入 1 路 DVI/HDMI；信号输出 4 路网口输出；信号控制 USB；最大带载分辨率 2048×1152@60Hz 或 1920×1200@60Hz；换帧频率(Hz) 60；刷新率(Hz) 3840；处理深度(bits) 16；灰度等级(Level) 65535；颜色 281.4 trillion；亮度控制 自动/手动；</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★发送卡支持640*480至3840*2160之间的多种分辨率视频信号自适应接入和视频信号输出，支持条屏模式，最大支持10000*100点。（提供封面具有ilac-MRA、CNAS、CMA、标识盖章的权威检测报告，并加盖生产厂家公章）</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发送卡支持缩放功能，可将输入信号进行缩放，以匹配LED的分辨率输出。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发送卡支持亮度调节，可以通过客户端、遥控器、PAD及物理按键进行调节，并支持多台设备同时调节。</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发送卡支持倍帧功能，可以将输入为30Hz的信号转成60Hz信号输出。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★发送卡可开启LED显示屏智能除湿模式，让显示屏亮度逐渐提升。（提供封面具有ilac-MRA、CNAS、CMA、标识盖章的权威检测报告，并加盖生产厂家公章）</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发送卡支持图片上传作为底图显示，且图片可轮巡。</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接收卡</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集成8个标准HUB320接口，免接HUB板</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采用千兆网口通信，可以连接PC</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支持亮色度逐点校正</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支持接收卡预存画面设置。</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支持温度、电压、网线通讯和视频源信号状态检测。</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 5Pin 液晶模块</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大屏管理软件</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详见“大屏管理软件”技术参数要求。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智能管理终 端</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详见“智能管理终端”技术参数要求。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视频处理器</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4进8出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1.设备应为纯硬件FPGA架构，CrossPoint全总线交换技术，背板等效带宽，不能内置PC/X86/X64架构硬件，以避免X86/X64架构天然存在的计算可靠性和准确性缺陷以及设备运行不稳定问题。</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2.输入输出板卡可热插拔，输入板卡热插拔恢复时间＜2s，输出板卡热插拔恢复时间＜8s。</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3.开机时间≤10s，启动电源至输出最总画面的时间间隔。</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★4、平均故障时间间隔（MTBF）不小于96000小时，保证设备能够稳定运行。（提供封面具有ilac-MRA、CNAS、CMA、标识盖章的权威检测报告）</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5、最大单机背板信号处理带宽不小于720Gbps。</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6.支持集中采集DVI、VGA、CVBS、HDBaseT、HDMI、SDI、YPbPr、光纤等2K信号，Dual-link DVI、HDMI 1.4、DisplayPort等4K信号。</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7.支持DVI、HDBaseT、HDMI、SDI、光纤、CVBS、Ypbpr等常见的2K信号输出，Dual-link DVI、HDMI 1.4等4K信号输出。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★8.单台设备最大规模支持128路高清输入，144路高清输出，均不需要设备级联。（提供封面具有ilac-MRA、CNAS、CMA、标识盖章的权威检测报告）</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9.设备具备静态底图功能，设备支持超大分辨率底图显示，横纵分辨率最大65535像素。</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10.支持设置拼接屏的拼缝补偿，可精确到1个像素。</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11.具备7x24 小时长时间连续开机工作的能力。</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钢结构</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主框架采用热镀锌方管焊接，焊点须打磨喷防锈漆处理。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配电柜</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配电柜20KW,具备过压、过流、欠压、缺相、短路、断路保护,具备分步延时起动和分步延时断电的功能。</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LED 开关电 源</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12V20A</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四、服务场景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（一）车行管理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车闸</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采用一体化机芯，平行齿轮减速连杆传动，传动平稳、效率高</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侧贴式安装，安装方便、结构紧凑</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齿轮碳钢材质，淬火处理工艺，抗磨损、抗冲击，寿命长</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直流无刷电机、输出力矩大、体积小，噪音低，精确智能控制</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支持遇阻反弹，开优先保护功能</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直流变频控制，快速抬杆慢速落杆，运行平稳</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事件日志记录、方便操作追踪</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支持红外，地感，雷达等多种防砸</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支持故障码数码管检测，日志记录、丰富状态指示，故障码数码管显示、问题定位快捷、方便维护</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手动开闸功能：停电时可转动手轮，使道闸保持开状态</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出入口终端</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硬件参数：</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处理器：高性能linux处理器，标配2T硬盘；</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1个1000Mbps自适应网口,8个100M网口（P1~P8为交换机，G1为独立网口，支持双网隔离）、1个RS485、4个USB；2个开关量输入，1个继电器开关量输出、1个VGA输出接口，1路内置预留ESATA接口、1个HDMI输出接口；</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存储功能：支持对车辆出入记录的本地存储：≥1500万辆通行车辆信息 和 400万辆的过车通行图片；</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平台功能：支持标准SDK对接协议，支持物联协议（云协议）对接；</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本地管理：支持VGA、HDMI显示控制，配合鼠标键盘即可使用，无需额外配置电脑</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跨网段摄像机访问功能:摄像机与客户端分别连接样机的不同网段时，客户端可以通过端口映射，跨网段直接访问摄像机，对摄像机进行操作（公安部检测报告证明）</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存储功能:具备数据直存功能，可将视频流直接写入存储；可采用自动分段记录的格式，相邻两段间最大的记录间隔时间≤0.4s；对于记录在存储介质上的视(音)频信息，取出的存储介质应能在同型号的其他设备上正常回放，以保证设备发生故障后记录资料的留存(或复制)；（公安部检测报告证明）</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显示屏</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双基色显示，可以显示红色、绿色、黄色</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分辨率64*64，支持最小16点阵显示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支持自定义语音报备，比如车牌信息、广告宣传信息、余位信息等</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可显示数字、字符、图形（BMP格式）、汉字，支持GB2312字符集，支持16x16点阵、32x32点阵常用汉字</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室外使用，防护等级IP54</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内置语音模块，可通过网线控制语音输出支持自定义语音播报</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立柱</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立柱高度：1.3米；立柱直径：60mm；1.3米处可安装一体机；0.5米处可安装“四行LED显示屏”</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防砸雷达</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采用79GHz MMIC技术，分辨率更高，检测更稳定；</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雷达检测距离可调，检测宽度可调，操作方便，通用性强；</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无需学习背景，适应更多复杂现场环境；</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采用先进的信号处理技术，可稳定检测到行人和车辆，有效防止“砸车、砸人”事故的发生。</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采用LED灯指示雷达工作状态，状态更直观。 </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自动记录雷达的配置参数，断电重启后可恢复至之前的工作状态；</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环境适应性强，检测性能不受电磁干扰、光照、灰尘、雨雪等外界环境影响。</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具备检测车和人功能，支持单人过滤。</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触发雷达</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采用79GHz MMIC技术，分辨率更高，检测更稳定；</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雷达检测距离可调，检测宽度可调，操作方便，通用性强；</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无需学习背景，适应更多复杂现场环境；</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提供RS485串口或者WIFI通讯功能，WIFI版本配备手机APP，可对雷达进行在线调试、固件升级，操作更方便；</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具备检测车和人功能，支持单人过滤。</w:t>
            </w:r>
          </w:p>
          <w:p>
            <w:pPr>
              <w:keepNext w:val="0"/>
              <w:keepLines w:val="0"/>
              <w:pageBreakBefore w:val="0"/>
              <w:widowControl/>
              <w:suppressLineNumbers w:val="0"/>
              <w:shd w:val="clear"/>
              <w:kinsoku/>
              <w:wordWrap/>
              <w:overflowPunct/>
              <w:topLinePunct w:val="0"/>
              <w:bidi w:val="0"/>
              <w:spacing w:line="360" w:lineRule="auto"/>
              <w:jc w:val="left"/>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自动记录雷达的配置参数，断电重启后可恢复至之前的工作状态；</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车检器</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独立式,支持接入的最大线圈数2,继电器输出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出入口视频单元</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集成度高：集摄像机、护罩、LED补光灯、镜头于一体，，有效节省施工布线成本；</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调试方便：采用3.1-6mm电动变焦镜头，支持软件自动调焦，调试更加方便，场景适应性更广</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接口丰富：丰富的控制接口，可直接控制道闸开/关，支持外接报警设备、LED显示屏、音频输入输出等</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识别车牌种类多：能够识别民用车牌（除5小车辆），新能源车牌，警用车牌，2012式新军用车牌，2012式武警车牌等</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智能识别算法：深度智能识别算法，支持8种车型，11种车身颜色，220种车标，3000种子品牌等特征识别</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黑白名单控制：可选配TF卡，支持黑、白名单的导入及对比，可直接联动道闸开闸，支持脱机运行</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多种触发模式：支持线圈触发、视频触发等多种触发模式；捕获率高，纯视频识别，纯视频抓拍时可捕获无车牌，捕获率99.5%以上</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防跟车模式：对于连续过车的场景，可实现跟车不落杆，有效解决拥堵问题</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支持串口推送功能，可将过程信息通过485输出，推送内容可以进行单独配置（以公安部委托检验报告为准）</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标志应不易被擦除（以公安部委托检验报告为准）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（二）人行管理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人行摆闸左边道</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设备采用直流无刷电机，通过自研算法有效保障设备稳定可靠运行，最少支持500万次无故障通行；</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设备可联网运行，支持远程控制管理功能，也可单机离线运行；</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设备支持人数统计功能，可针对进出方向分别进行统计；</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设备集成语音模块，可根据用户需求自定义语音播报内容；</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设备集成门禁主控板，可扩展人脸识别组件、读卡器、二维码、指纹等多种认证方式；</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门翼材质：不锈钢/亚克力(可选)</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电机类型：直流无刷电机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使用场景：IP54 室内外</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设备容量：支持6万张普通卡、3千张来宾卡、18万条事件记录</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通行速度：20-60人每分钟，受人员情况和通行模式影响</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闸机通道采用厚度不低于1.2mm的不锈钢板材；通道应至少采用6对红外对射（公安部检测报告证明）</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人行摆闸中间道</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设备采用直流无刷电机，通过自研算法有效保障设备稳定可靠运行，最少支持500万次无故障通行；</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设备可联网运行，支持远程控制管理功能，也可单机离线运行；</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设备支持人数统计功能，可针对进出方向分别进行统计；</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设备集成语音模块，可根据用户需求自定义语音播报内容；</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设备集成门禁主控板，可扩展人脸识别组件、读卡器、二维码、指纹等多种认证方式；</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门翼材质：不锈钢/亚克力(可选)</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电机类型：直流无刷电机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使用场景：IP54 室内外</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设备容量：支持6万张普通卡、3千张来宾卡、18万条事件记录</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通行速度：20-60人每分钟，受人员情况和通行模式影响</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闸机通道采用厚度不低于1.2mm的不锈钢板材；通道应至少采用6对红外对射（公安部检测报告证明）</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人行摆闸右边道</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设备采用直流无刷电机，通过自研算法有效保障设备稳定可靠运行，最少支持500万次无故障通行；</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设备可联网运行，支持远程控制管理功能，也可单机离线运行；</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设备支持人数统计功能，可针对进出方向分别进行统计；</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设备集成语音模块，可根据用户需求自定义语音播报内容；</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设备集成门禁主控板，可扩展人脸识别组件、读卡器、二维码、指纹等多种认证方式；</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门翼材质：不锈钢/亚克力(可选)</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电机类型：直流无刷电机</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使用场景：IP54 室内外</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设备容量：支持6万张普通卡、3千张来宾卡、18万条事件记录</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通行速度：20-60人每分钟，受人员情况和通行模式影响</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闸机通道采用厚度不低于1.2mm的不锈钢板材；通道应至少采用6对红外对射（公安部检测报告证明）</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人脸门禁一体机（含遮阳罩）</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详见”人脸门禁一体机”技术参数要求。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人脸门禁一体机二维码模块</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供电方式：DC5V-24V自适应</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通讯接口：RS485</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使用环境：室外</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工作温度：-20°C-65°C</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立式支架</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造型美观：铝合金喷塑材质，从底部出线方式，避免飞线影响美观。</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安装便捷：搭配人脸识别一体机或组件，可通过螺丝固定，稳定放置于人员通道上。</w:t>
            </w:r>
          </w:p>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角度可调节：可现场调节明眸设备15°仰角或垂直角度。</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设备箱</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400*500*300，不锈钢</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16口千兆交换机</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16个10/100M/1000M电口，背板带宽32G；材质：铁壳 IP30防护等级；MAC地址表≥8K，防雷等级6KV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配线配管</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电源线、网线、PVC管等</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五、通信网络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100M专线</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3年</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VPN专线</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3年</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eastAsia="zh-CN"/>
                <w14:textFill>
                  <w14:solidFill>
                    <w14:schemeClr w14:val="tx1"/>
                  </w14:solidFill>
                </w14:textFill>
              </w:rPr>
              <w:t>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条</w:t>
            </w:r>
          </w:p>
        </w:tc>
      </w:tr>
    </w:tbl>
    <w:p>
      <w:pPr>
        <w:pageBreakBefore w:val="0"/>
        <w:numPr>
          <w:ilvl w:val="0"/>
          <w:numId w:val="0"/>
        </w:numPr>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5"/>
        <w:pageBreakBefore w:val="0"/>
        <w:shd w:val="clear"/>
        <w:kinsoku/>
        <w:wordWrap/>
        <w:overflowPunct/>
        <w:topLinePunct w:val="0"/>
        <w:bidi w:val="0"/>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附件参数需求</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765"/>
        <w:gridCol w:w="632"/>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1397" w:type="dxa"/>
            <w:gridSpan w:val="2"/>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663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技术参数需求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397" w:type="dxa"/>
            <w:gridSpan w:val="2"/>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触摸</w:t>
            </w:r>
            <w:r>
              <w:rPr>
                <w:rFonts w:hint="eastAsia" w:ascii="宋体" w:hAnsi="宋体" w:eastAsia="宋体" w:cs="宋体"/>
                <w:color w:val="000000" w:themeColor="text1"/>
                <w:sz w:val="24"/>
                <w:szCs w:val="24"/>
                <w:highlight w:val="none"/>
                <w14:textFill>
                  <w14:solidFill>
                    <w14:schemeClr w14:val="tx1"/>
                  </w14:solidFill>
                </w14:textFill>
              </w:rPr>
              <w:t>一体机</w:t>
            </w:r>
          </w:p>
        </w:tc>
        <w:tc>
          <w:tcPr>
            <w:tcW w:w="6630" w:type="dxa"/>
            <w:vAlign w:val="center"/>
          </w:tcPr>
          <w:p>
            <w:pPr>
              <w:keepNext w:val="0"/>
              <w:keepLines w:val="0"/>
              <w:pageBreakBefore w:val="0"/>
              <w:widowControl/>
              <w:shd w:val="clear"/>
              <w:suppressAutoHyphens/>
              <w:kinsoku/>
              <w:wordWrap/>
              <w:overflowPunct/>
              <w:topLinePunct w:val="0"/>
              <w:autoSpaceDE/>
              <w:autoSpaceDN/>
              <w:bidi w:val="0"/>
              <w:adjustRightInd/>
              <w:snapToGrid/>
              <w:spacing w:line="360" w:lineRule="auto"/>
              <w:jc w:val="left"/>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一、显示屏参数：</w:t>
            </w:r>
          </w:p>
          <w:p>
            <w:pPr>
              <w:keepNext w:val="0"/>
              <w:keepLines w:val="0"/>
              <w:pageBreakBefore w:val="0"/>
              <w:widowControl/>
              <w:shd w:val="clear"/>
              <w:suppressAutoHyphen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LED液晶屏体，</w:t>
            </w:r>
            <w:r>
              <w:rPr>
                <w:rFonts w:hint="eastAsia" w:ascii="宋体" w:hAnsi="宋体" w:eastAsia="宋体" w:cs="宋体"/>
                <w:color w:val="000000" w:themeColor="text1"/>
                <w:kern w:val="0"/>
                <w:sz w:val="24"/>
                <w:szCs w:val="24"/>
                <w:highlight w:val="none"/>
                <w14:textFill>
                  <w14:solidFill>
                    <w14:schemeClr w14:val="tx1"/>
                  </w14:solidFill>
                </w14:textFill>
              </w:rPr>
              <w:t>显示尺寸≥86英寸，</w:t>
            </w:r>
            <w:r>
              <w:rPr>
                <w:rFonts w:hint="eastAsia" w:ascii="宋体" w:hAnsi="宋体" w:eastAsia="宋体" w:cs="宋体"/>
                <w:color w:val="000000" w:themeColor="text1"/>
                <w:sz w:val="24"/>
                <w:szCs w:val="24"/>
                <w:highlight w:val="none"/>
                <w14:textFill>
                  <w14:solidFill>
                    <w14:schemeClr w14:val="tx1"/>
                  </w14:solidFill>
                </w14:textFill>
              </w:rPr>
              <w:t xml:space="preserve">屏幕使用4K屏幕 </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显示比例：16:9，产品分辨率：3840*2160，4K超高清显示，对比度：≥1200:1；</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可视角度：178°（H）/178°（V）；</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采用 3.2mm AG 防眩光钢化玻璃，莫氏硬度 7 级，书写体验更佳；</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亮度：≥380cd/㎡，使用寿命≥30000hrs，面板亮度均匀度≥75%；</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★屏幕显示灰度分辨率等级达到128灰阶以上，最高可达256；【提供国家市场监督管理总局授权机构出具的检测报告复印件，原厂盖章】</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二、整机规格参数：</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铝合金圆弧边框设计，铝氧化处理，显示面积占比84%以上；</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采用一体化设计，支持一键开机，除电源线外，外部无任何内部功能模块的连接线；</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整机外壳采用铝型材设计，抗撞抗划抗腐蚀，降低使用过程中的损坏，散热性能良好，且转角处采用弧形无尖锐边缘连接；</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高精度红外触摸框，最高支持二十点触控，触控分辨率32768*32768；</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环境适应：工作温度0℃~40℃，储藏温度-10℃~60℃，工作湿度20%~80%，储藏湿度10%~80%；海拔5000米以下可正常使用；</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宽幅电压设计，自适用全球，确保电压不稳定区域安全使用；</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整机表面采用钢化玻璃，可承受（1.0±0.04）kg钢球1.5m高度自由下落撞击玻璃表面无损伤破裂，确保使用安全；</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8.屏幕采用0贴合工艺，钢化玻璃与屏幕之间的距离接近 0，有效防止光线反射，显示效果绝佳，书写体验优异；</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 整机具备防强光干扰性能，整机面板表面具备防眩光涂层，在100K LUX的强光照射下，产品各项书写、触控功能正常；</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 产品符合4级防雷要求，符合GB/T 17626.2-2018防静电干扰要求，符合GB/T 9254-2008  防辐射B级要求，设备外壳金属表面防腐蚀，整机具备防火功能；</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内置1200万像素高清摄像头，定焦，在安卓和 Windows 系统上使用视频会议软件可实现视频会议功能；</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★内置8阵列线性麦克风，有效拾音距离≤8米，支持Android和Windows双系统【提供国家市场监督管理总局授权机构出具的检测报告复印件，原厂盖章】；</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触摸禁用：可以实现触摸禁用功能，不仅是一台会议平板，更能成为一台电子广告牌，满足各种宣传展示功能；</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 产品自动识别外部接入型号，无需操作，接入信号可自动切换当前信号通道，并可手动关闭自动切换通道；</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 一键息屏：产品短时间不使用或休息时可以一键关闭液晶屏背光，有效降低功耗超过80%；</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 安卓系统采用新一代机芯，Cortex A73+A53四核CPU（主频1.5GHZ以上），Mali-G51 GPU，RAM≥3G，ROM≥64G的硬件配置；</w:t>
            </w:r>
          </w:p>
          <w:p>
            <w:pPr>
              <w:keepNext w:val="0"/>
              <w:keepLines w:val="0"/>
              <w:pageBreakBefore w:val="0"/>
              <w:shd w:val="clear"/>
              <w:tabs>
                <w:tab w:val="left" w:pos="353"/>
              </w:tabs>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 采用Andriod8.0触控大屏操作系统，支持多任务分屏协作一屏双显功能；</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18.整机内置无线WIFI模组，双WIFI设定，共模双频，一路作为WIFI连接网络，另一路作为热点投屏，且两路WIFI支持2.4G/5.8G双频段。整机内置隐藏天线，无外置显露天线，保证使用安全；</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 双网口设计，支持网络桥接功能，可以为下一级设备提供网络，在高保密场合无需外接其他网络设备；</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 支持网络共享，通过一根网线连接到整机，可以实现Android系统和Windows系统都上网；</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个性化设置，可根据企业需求自定义开机画面，可自定义开机自选信源通道，满足个性化场景需求；</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会议平板安卓下支持蓝牙功能，可通过外接蓝牙设备实现蓝牙传输；</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支持华为手机cast+同屏,可实现大屏反向控制手机。</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 支持更改主页上的图标，主页图标可以更换为其它系统应用或下载应用；</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 ★通过 RS232 接口，可实现远程开关机、切换信源等操作【提供国家市场监督管理总局授权机构出具的检测报告复印件，原厂盖章】</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26.支持自定义开机logo</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27.产品的HDMI接口支持CEC&amp;ARC 功能</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28.支持增减屏蔽侧边栏、USB存储禁用、应用安装禁用等功能</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29.支持集控功能，可通过后台远程进行语言切换、触摸控制、背景更改、开机LOGO更改、开机信源更改、软件安装、系统升级、开机、关机、锁屏、定时开关机等功能</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30.可通过飞享应用，实现手机传输图片、视频、文档等给会议平板，并可在会议平板进行打开、保存、插入白板等操作。；</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31.可通过智能检测功能，检测网络连通情况、网速、机器硬件设备故障问题。</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32.支持开启Windows模式，开启后机器将屏蔽内置安卓系统，直接进入OPS的Windows系统。</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三、触摸参数：</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触控书写技术：采用20点红外触控技术，Windows支持20点触控；</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书写方式：手指或笔等不透光的物体；免驱动，免校正红外技术，即插即用；</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★触摸响应时间≤8ms，90%以上触摸区域精度为±1mm，触摸有效识别高度≤2mm；【提供国家市场监督管理总局授权机构出具的检测报告复印件，原厂盖章】；</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触摸直径: ≥2mm；</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触摸框免驱，支持Windows XP，Windows7/8/10，Android，Mac/OS，Linux；</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外接电脑设备无需驱动，使用普通的Toush USB数据线就可以触控；</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理论触摸点击次数：无限次；</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四、无线传屏参数：</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整机内部直接发射WIFI热点，无需外接设备； </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标准USB接口，支持2.4G/5.8G双频传输；</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支持操作系统：Windows7/8/9，Mac OS，Android；</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最大4分屏支持1080P传输；</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实现外部电脑音视频高清信号实时传输到会议平板上，并可支持触摸回传；</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手机传屏不需接任何外部设备，只需连接机器内部发射的WiFi热点即可；</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单按键设计，只需按一下同屏器即可传屏，无需在会议平板进行任何操作；</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★同屏设置锁开启后，再次进入同屏设置需要输入密码，且同屏 APP 界面的 WiFi 名称和密码会被打码屏蔽【提供国家市场监督管理总局授权机构出具的检测报告复印件，原厂盖章】；</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 支持最多同时连接8只同屏器，可以自由选择显示画面，单屏、双屏、四分屏，适用于不同场景需求；</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 支持同屏器插入整机USB接口，实现应用升级，固件升级，无线配对</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镜像反控：会议平板上的内容反向镜像到手持终端上，并且手机端可控制平板上的操作内容；</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无线遥控：通过同屏的遥控功能，安卓手机可作为会议平板的鼠标、遥控器、键盘、空鼠等控制操作；</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同屏分享：安卓手机端可直接把文档传输给会议平板，可自动播放，并且手机端可对文件进行操作，如上下翻页、滚动等；</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 同屏传输：利用手机充当麦克风，通过手机声音输入传输到会议平板的音响系统，实现声音的放大，同时可打开摄像头，把现场同屏到机器上</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五、整机接口参数：</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前置接口：</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PUBLIC-USB 2.0*2</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后置接口：</w:t>
            </w:r>
            <w:r>
              <w:rPr>
                <w:rFonts w:hint="eastAsia" w:ascii="宋体" w:hAnsi="宋体" w:eastAsia="宋体" w:cs="宋体"/>
                <w:b w:val="0"/>
                <w:bCs w:val="0"/>
                <w:color w:val="000000" w:themeColor="text1"/>
                <w:sz w:val="24"/>
                <w:szCs w:val="24"/>
                <w:highlight w:val="none"/>
                <w14:textFill>
                  <w14:solidFill>
                    <w14:schemeClr w14:val="tx1"/>
                  </w14:solidFill>
                </w14:textFill>
              </w:rPr>
              <w:t>HDMI IN*2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OPS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USB*2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VGA</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PC-AUDIO</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RS232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DP</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TOUCH-USB</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SP/DIF</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Audio Out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LAN*2</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六、控制软件功能部分</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主页面简洁大方，4+1的UI设计实现操作的简单、快捷；</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★侧边栏：显示屏两侧均有可显示/可隐藏/可切换悬浮球按键，支持手势呼出功能，实现返回，切回主页，设置，任意通道批注，进程管理等系统操作【提供悬浮球软件著作权证书复印件，原厂盖章】；</w:t>
            </w:r>
          </w:p>
          <w:p>
            <w:pPr>
              <w:keepNext w:val="0"/>
              <w:keepLines w:val="0"/>
              <w:pageBreakBefore w:val="0"/>
              <w:widowControl/>
              <w:numPr>
                <w:ilvl w:val="0"/>
                <w:numId w:val="7"/>
              </w:numPr>
              <w:shd w:val="clear"/>
              <w:suppressAutoHyphen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全局侧边快速切换分屏，支持打开两个可分屏的应用，可以支持左右分屏显示，方便文档资料之间的对比；</w:t>
            </w:r>
          </w:p>
          <w:p>
            <w:pPr>
              <w:keepNext w:val="0"/>
              <w:keepLines w:val="0"/>
              <w:pageBreakBefore w:val="0"/>
              <w:widowControl/>
              <w:numPr>
                <w:ilvl w:val="0"/>
                <w:numId w:val="7"/>
              </w:numPr>
              <w:shd w:val="clear"/>
              <w:suppressAutoHyphen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本地会议白板功能【为保证软硬件兼容性，不接受第三方书写软件，提供本产品原厂书写软件著作权】：</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首次进入白板页面后，可在任意界面进入白板功能；</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支持单点书写，20点书写，笔锋书写，可自由切换书写模式；</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具备漫游功能，根据手势识别功能可扩大或缩小书写区域；</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★具备笔迹识别功能，可将手写体文字转换成电脑体文字（宋体、行书），支持中文、英文和中英混写【提供国家市场监督管理总局授权机构出具的检测报告复印件，原厂盖章】</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手势识别：单点接触书写，两点放大缩小，多点漫游，面接触自动识别板擦功能，如手背贴在电子白板屏幕上时，自动识别橡皮擦功能，快速擦除书写内容；</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支持6种图形插入，图片插入，图片插入可自定义插入路径；</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具备智能图形绘制功能，可手绘圆型、矩形、三角形、直线、虚线和箭头并识别为标准图形；</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具备智能表格功能，可默认插入 2*2 的表格，通过划线可增删行列， 行高列宽根据书写内容自适应，可手动拖动行高列宽，可一键自适应内容；</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支持流程图绘制，可插入圆角矩形、菱形、矩形和连接箭头；</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书写时可以增加多个页面，并可对每个页面内 容进行编辑，最多支持 99 个页面保存</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支持手机扫码保存（扫码保存可支持加密分享）、U盘保存、本地保存（可自定义命名、自定义目录、自定义保存文件格式）、邮件发送保存；</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支持白板文件直接打印，无需转化PDF等其他格式文件；</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★具备搜索功能，可进行百度搜索。还可配合笔迹识别、选择等功能实现直接对手写体文字进行关键词搜索【提供国家市场监督管理总局授权机构出具的检测报告复印件，原厂盖章】；</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文件保存有三种格式可选择：图片、PDF、白板文件</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支持白板文件二次编辑；</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支持无书写加页；</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支持自定义选择插入图片路径；</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支持退出时可选择是否保存白板；</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支持选择两种常用笔迹进行快速切换</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可将插入的图片进行角度翻转</w:t>
            </w:r>
          </w:p>
          <w:p>
            <w:pPr>
              <w:keepNext w:val="0"/>
              <w:keepLines w:val="0"/>
              <w:pageBreakBefore w:val="0"/>
              <w:numPr>
                <w:ilvl w:val="0"/>
                <w:numId w:val="8"/>
              </w:numPr>
              <w:shd w:val="clear"/>
              <w:suppressAutoHyphen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支持插入 4K 视频</w:t>
            </w:r>
          </w:p>
          <w:p>
            <w:pPr>
              <w:keepNext w:val="0"/>
              <w:keepLines w:val="0"/>
              <w:pageBreakBefore w:val="0"/>
              <w:numPr>
                <w:ilvl w:val="0"/>
                <w:numId w:val="7"/>
              </w:numPr>
              <w:shd w:val="clear"/>
              <w:suppressAutoHyphens/>
              <w:kinsoku/>
              <w:wordWrap/>
              <w:overflowPunct/>
              <w:topLinePunct w:val="0"/>
              <w:autoSpaceDE/>
              <w:autoSpaceDN/>
              <w:bidi w:val="0"/>
              <w:adjustRightInd/>
              <w:snapToGrid/>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★具备白板协同功能，不使用视频会议软件，可通过创建/加入会议室的方式 进行协同办公，各方书写可同步显示，可进行音/视频通话，具备全场静音功能、请出会议室功能、锁定会议室功能；</w:t>
            </w:r>
          </w:p>
          <w:p>
            <w:pPr>
              <w:keepNext w:val="0"/>
              <w:keepLines w:val="0"/>
              <w:pageBreakBefore w:val="0"/>
              <w:widowControl/>
              <w:numPr>
                <w:ilvl w:val="0"/>
                <w:numId w:val="7"/>
              </w:numPr>
              <w:shd w:val="clear"/>
              <w:suppressAutoHyphens/>
              <w:kinsoku/>
              <w:wordWrap/>
              <w:overflowPunct/>
              <w:topLinePunct w:val="0"/>
              <w:autoSpaceDE/>
              <w:autoSpaceDN/>
              <w:bidi w:val="0"/>
              <w:adjustRightInd/>
              <w:snapToGrid/>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文件演示，视频播放，可直接打开U盘或者本地保存的PPT，Word文档，Excel表格，图片，4K视频播放，PPT演示过程中可翻页，在线编辑，批注，批注可以截图的形式保存；</w:t>
            </w:r>
          </w:p>
          <w:p>
            <w:pPr>
              <w:keepNext w:val="0"/>
              <w:keepLines w:val="0"/>
              <w:pageBreakBefore w:val="0"/>
              <w:widowControl/>
              <w:numPr>
                <w:ilvl w:val="0"/>
                <w:numId w:val="7"/>
              </w:numPr>
              <w:shd w:val="clear"/>
              <w:suppressAutoHyphens/>
              <w:kinsoku/>
              <w:wordWrap/>
              <w:overflowPunct/>
              <w:topLinePunct w:val="0"/>
              <w:autoSpaceDE/>
              <w:autoSpaceDN/>
              <w:bidi w:val="0"/>
              <w:adjustRightInd/>
              <w:snapToGrid/>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文件演示可搭配智能笔辅助工作，演示PPT时可实现上下翻页，长按调出飞鼠；</w:t>
            </w:r>
          </w:p>
          <w:p>
            <w:pPr>
              <w:keepNext w:val="0"/>
              <w:keepLines w:val="0"/>
              <w:pageBreakBefore w:val="0"/>
              <w:widowControl/>
              <w:numPr>
                <w:ilvl w:val="0"/>
                <w:numId w:val="7"/>
              </w:numPr>
              <w:shd w:val="clear"/>
              <w:suppressAutoHyphens/>
              <w:kinsoku/>
              <w:wordWrap/>
              <w:overflowPunct/>
              <w:topLinePunct w:val="0"/>
              <w:autoSpaceDE/>
              <w:autoSpaceDN/>
              <w:bidi w:val="0"/>
              <w:adjustRightInd/>
              <w:snapToGrid/>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任意通道批注，支持十点书写批注，方便多人同步演示，批注内容可以截图的形式保存在白板中，实现二次批注，支持白板文件本地保存，扫码保存，且支持三种格式文件保存；</w:t>
            </w:r>
          </w:p>
          <w:p>
            <w:pPr>
              <w:keepNext w:val="0"/>
              <w:keepLines w:val="0"/>
              <w:pageBreakBefore w:val="0"/>
              <w:widowControl/>
              <w:numPr>
                <w:ilvl w:val="0"/>
                <w:numId w:val="7"/>
              </w:numPr>
              <w:shd w:val="clear"/>
              <w:suppressAutoHyphens/>
              <w:kinsoku/>
              <w:wordWrap/>
              <w:overflowPunct/>
              <w:topLinePunct w:val="0"/>
              <w:autoSpaceDE/>
              <w:autoSpaceDN/>
              <w:bidi w:val="0"/>
              <w:adjustRightInd/>
              <w:snapToGrid/>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欢迎界面：内置多种背景模板，方便多种场景快速开启欢迎模式，支持插入背景音乐，渲染会场气氛，一键开启签名墙模式，禁止修改书写内容，防止后人签名时擦除前人的笔记，支持保存签名文件；内置微信抽奖及照片抽奖； </w:t>
            </w:r>
          </w:p>
          <w:p>
            <w:pPr>
              <w:keepNext w:val="0"/>
              <w:keepLines w:val="0"/>
              <w:pageBreakBefore w:val="0"/>
              <w:widowControl/>
              <w:numPr>
                <w:ilvl w:val="0"/>
                <w:numId w:val="7"/>
              </w:numPr>
              <w:shd w:val="clear"/>
              <w:suppressAutoHyphen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文件管理器能自动识别文件格式，并且进行分类，方便查找；</w:t>
            </w:r>
          </w:p>
          <w:p>
            <w:pPr>
              <w:keepNext w:val="0"/>
              <w:keepLines w:val="0"/>
              <w:pageBreakBefore w:val="0"/>
              <w:widowControl/>
              <w:numPr>
                <w:ilvl w:val="0"/>
                <w:numId w:val="7"/>
              </w:numPr>
              <w:shd w:val="clear"/>
              <w:suppressAutoHyphen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会议投票软件，匿名或公开的方式进行扫码投票，提供单项或者多项的选择，最后结果以图表形式展现；；</w:t>
            </w:r>
          </w:p>
          <w:p>
            <w:pPr>
              <w:keepNext w:val="0"/>
              <w:keepLines w:val="0"/>
              <w:pageBreakBefore w:val="0"/>
              <w:widowControl/>
              <w:numPr>
                <w:ilvl w:val="0"/>
                <w:numId w:val="7"/>
              </w:numPr>
              <w:shd w:val="clear"/>
              <w:suppressAutoHyphen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为保证与大屏的适配性和操作体验，采用专用输入法软件；</w:t>
            </w:r>
          </w:p>
          <w:p>
            <w:pPr>
              <w:keepNext w:val="0"/>
              <w:keepLines w:val="0"/>
              <w:pageBreakBefore w:val="0"/>
              <w:widowControl/>
              <w:numPr>
                <w:ilvl w:val="0"/>
                <w:numId w:val="7"/>
              </w:numPr>
              <w:shd w:val="clear"/>
              <w:suppressAutoHyphen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安卓打印功能：在安卓系统下，会议平板可连接无线打印机，实现文档打印功能。</w:t>
            </w:r>
          </w:p>
          <w:p>
            <w:pPr>
              <w:keepNext w:val="0"/>
              <w:keepLines w:val="0"/>
              <w:pageBreakBefore w:val="0"/>
              <w:widowControl/>
              <w:numPr>
                <w:ilvl w:val="0"/>
                <w:numId w:val="7"/>
              </w:numPr>
              <w:shd w:val="clear"/>
              <w:suppressAutoHyphens/>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支持设置锁和开机锁屏，保证设备使用信息安全；</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七、无线同屏器</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1.传输协议：自定义协议、Airplay；</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2.传输WI-FI频段：5.8G/2.4G双频（硬路由模块）；</w:t>
            </w:r>
          </w:p>
          <w:p>
            <w:pPr>
              <w:keepNext w:val="0"/>
              <w:keepLines w:val="0"/>
              <w:pageBreakBefore w:val="0"/>
              <w:shd w:val="clear"/>
              <w:suppressAutoHyphens/>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实际带宽：1.25G带宽（硬路由模块）；</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3.鼠标延时典型值：＜55ms;</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4.平均断线率：＜1次/3小时（硬路由模块）；</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5.传输距离：≥15M@1080P；</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6.操控性：同屏器插入电脑，自动启动应用程序，自动连接会议小秘，一拍即投，操作简单方便；</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7.输入分辨率：1024*867、1280*720、1920*1080；</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8.带载能力：≥8个WiFi终端；</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9.兼容系统：windows、Android、Mac os；</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10.视频无损传输：最大1080P视频源；</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11.抢占功能：除两个IOS设备之间不能互抢占外所有设备可以相互抢占；</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12.系统升级：通过internet网络远程升级；</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13.一键内容共享、在会议平板上可实现对电脑反向操作；</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14.同屏器与会议平板为同一品牌。</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八、智能笔</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1.支持2.4G无线和蓝牙；</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2.鼠标：智能防抖算法，六轴空鼠；</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3.电源：200mAh聚合物锂电池，工作电压：3.7-4.2V，充电接口：MicroUSB；</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4.兼容接口：支持USB3.0/2.0/1.1;</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5.系统需求：Windows10/8/7/VISTA/2000/XP，Mac os10.0，Android 4.0；</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6.支持上下翻页，语音输入，无线光标，智能飞鼠；</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7.配合讯飞输入法可以实现语音输入；</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8.支持一键启动批注</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9.支持聚光灯功能</w:t>
            </w:r>
          </w:p>
          <w:p>
            <w:pPr>
              <w:keepNext w:val="0"/>
              <w:keepLines w:val="0"/>
              <w:pageBreakBefore w:val="0"/>
              <w:shd w:val="clear"/>
              <w:suppressAutoHyphens/>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10.智能笔与会议平板为同一品牌。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397" w:type="dxa"/>
            <w:gridSpan w:val="2"/>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大屏管理软件</w:t>
            </w: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轻量版大屏显控软件，支持8Gwindows系统部署，包含大屏显控、平板操控、内容切换、中控管理的功能。</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1、系统具备 C/S 和 B/S 结构，可通过客户端软件、平板和浏览器对大屏系统进行统一管理，包括大屏门户、 场景配置、预案切换、远程操控、 信号控制、 一键上墙、内容切换、多屏互动、窗口叠加/拼接/漫游/放大/缩小/移动/关闭等操作；支持查看信号源实时画面，实时查看大屏中正在播放的内容等功能。</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2、支持拼控器、播控主机、PC主机、中控主机设备增删改查的统一管理；支持查看播控主机、 PC 主机、中控主机设备的在线/离线状态；支持通过平台远程重启、更新播控主机的程序；支持场景关联播控主机的开关量模式。</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3、支持查看指定屏幕场景的播放状态，可添加、修改、删除、切换场景，并且可将场景关联中控模式，使场景与灯光、空调、投影等设备开关量模式联动。</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支持按照当前选定的显示屏建立相同分辨率的场景，以图形化编辑方式对窗口的开窗参数、窗口比例、窗口位置、窗口大小、窗口层级等参数进行设置，以鼠标拖动方式将信号、视频文件、字幕、图片、程序包等加载至场景中指定播放窗口；支持将网页、程序包、图片、视频、 PPT、Word 文档、 Excel、 PDF、文本等内容窗口拖动到大屏中，每种类型窗口可添加多个文件，可设置内容文件播放时长，内容播放顺序等属性；支持实时查看大屏显示的内容，可远程操控数据可视化面本、AR 客户端、VR 网页端、第三方业务系统等。（提供封面具有ilac-MRA、CNAS、CMA、标识盖章的公沪检检测报告）</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5、大屏上支持显示配置好的门户，作为统一的门户入口，可控制单块或多块屏幕一起切换；支持自定义设置门户标题、背景图片、菜单名称、菜单图片、菜单链接内容，包含页面、场景、二级门户等。</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6、可控制大屏的智能控制功能，包括广告、会议、监控、护眼模式的开启屏保，以及对具有除湿功能的大屏进行除湿。</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★7、支持可视化展示播控主机、屏幕、拼控器、中控主机、 PC 主机等设备的在离线统计信息以及播控主机的页面数量、分辨率、温度、稳定运行时长、设备告警等信息。（提供封面具有ilac-MRA、CNAS、CMA、标识盖章的公沪检检测报告并加盖生产厂家公章）</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8、支持屏幕、网页、窗口等类型投屏，不需要外接物理线缆；通过电脑/平板远程控制播控主机，并可实时显示画面，支持设置抓屏区域的分辨率，可设置为7680×2160、 3840×2160、 2736×1824、 1920×1080、 1280×720；</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★9、支持通过平板设置大屏门户菜单，可切换屏幕进行内容显示；支持通过门户菜单实现对大屏内容显示的导航操作；支持控制正在播放视频的进度，启动、停止播放；支持在平板上进行 PPT 上一页、下一页等操作；支持同步 WEB 端平台添加的所有内容，可实时切换大屏中显示的网页、视频、图片等；支持查看场景详情；支持拖动信号源至场景，可设置该信号窗口的大小、位置、置顶、放大/还原、层级等；支持查看场景下的信号源列表；支持查看预案、启动预案、停止预案；支持通过鹰眼视图框选大屏局部进行查看和控制；支持查看服务器 cpu、 gpu、内存参数；可实时查看大屏正在播放内容；可在播放信号源内容之前进行预查看，不影响大屏内容当前显示的内容；支持在平板上移动、删除虚拟 LED；支持实时查看大屏显示的内容，可远程操控数据可视化面本、AR 客户端、VR 网页端、第三方业务系统等。（提供封面具有ilac-MRA、CNAS、CMA、标识盖章的公沪检检测报告并加盖生产厂家公章）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397" w:type="dxa"/>
            <w:gridSpan w:val="2"/>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智能管理终端</w:t>
            </w: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1、一体化集成设备：工作电压210V/230V, 50/60Hz，外机结构优质型材加钢化玻璃，采用铝板结合箱体双侧自散热装置、有效提升设备防潮防腐、抗震及冲击性，适应于-45℃及65℃工作场景、实现7*24小时各种环境的无故障稳定工作。</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设备设计独特的供电原理，内置电源延时开关安全保障配套硬件寿命及后端设备稳定运行，电源输入处装置断路自熔断双备份保险丝（断路、高压情况下自动熔断，保护设备）、设备内置保险管及防浪涌装置双重保护模式。（提供浪涌冲击检测报告）</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3、全能型中控主机，四处理器结构，4 颗嵌入式高速多媒体处理器并行运算，双通道DDR3内存、固态硬盘及64位操作系统，让设备拥有更快的处理速度；同步支持至少1路HDMI和1路VGA+Audio信号输出、自带一键还原修复功能，支持1920*1080高清输出及4K高清视频画面的流畅播放、多口USB及百兆网口。 </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4、1路220V/400W智能稳压电源管理端口，可对后端设备（功能、显示器、处理器、配电箱等）的综合供电进行多种智能管理，改变传统管理模式，最大程度解决使用者的简便管理需求。</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5、支持本地、局域网、广域网等各种安全管理模式，在管理者不方便进行本地管理时（出差等情况），可开启紧急管理模式，进行远程管理达到本地管理同等操作功能。</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6、支持硬盘防护功能，双链路加密，嵌入式安全防护装置锁住操作系统防止病毒破坏，重启后系统自动极速还原。</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安全管理功能，设备都具备唯一的二维码，确保播放内容的安全唯一性，本地播放需要进行安全密码认证（防止无操作权限人员进行节目误播），认证成功后才能播放节目，节目列表可进行自由组合（TXT、PPT、JPG、MP4等视频），节目做到无缝切换，对于节目停留时间自由设置。并可根据需求对播放内容进行日志回访，查找任一时间段的工作状态。</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智能式一键开关管理设计，当开关按键关闭时，在关闭设备的同时会逐步关闭外设（处理器，拼接器、功放、配电箱等）的供电系统，让整套系统处于同级断电模式，在安全省电的同时可延长各类设备的使用寿命。反之开启时也会根据上理逐步开启这些外接设备，保证系统正常同步工作。同时软件会自动推送开、关机执行信息给管理人员。</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播放软件支持智能设备通过现场拍摄（视频、照片）通过管理端直接上传内容至播放端，上传成功后可直接通过管理端对内容进行切换或直播；也可把拍摄内容进行编辑后上传，节目单名称可以根据需求进行自定义命名（方便管理者点播）。</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10、根据设备管理播放要求，可分时段，多点位执行计划开、关整套设备任务（每天、每星期），同步发送设备运行信息及节目播放单给管理人员。</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智能化节目计划播放功能，当计划播放节目切换时，如设备处于关机状态，则在预播节目前一分钟设备自动上电开启，并在任务执行结束后自动关闭。如设备处于正常工作状态，则设备能自动切换到计划播放任务表，当执行结束后切换之前播放节目单。</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12、支持任意格式PPT (动态、静态)自动满屏输出到显示界面，避免黑边及省去PPT不同尺寸调整的不便；加载播放解码设置，可对多种格式的（mp4/mov/wmv/avi/rmvb/flv等）进行自动解码导播，省去用户安装多类播放器的不便。</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管理者可在智能设备网页或微信端实时查看对应授权设备的工作状态：设备运行状态（开、关机）、节目列表及播放状态，并可实时监控播放内容，加强播放内容安全性及实时监控便捷性。紧急情况可通过微信端对整套设备进行开、关机、切换节目等实用性操作。</w:t>
            </w:r>
          </w:p>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在任意地方登录智能设备PC（无须装任意软件），通过扫描二唯码，经过管理者安全反向认证后可实时查看设备运行状态及播放节目列表。并可以在PC上开、关机整套设备，上传内容（多个、单个）并直接投送到显示终端，达到众多本地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489" w:type="dxa"/>
            <w:vMerge w:val="restart"/>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765" w:type="dxa"/>
            <w:vMerge w:val="restart"/>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防火墙</w:t>
            </w:r>
          </w:p>
        </w:tc>
        <w:tc>
          <w:tcPr>
            <w:tcW w:w="632" w:type="dxa"/>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硬件规格与性能</w:t>
            </w: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产品必须入围AKTD名录，采用国产化兆芯ZX-C4600处理器，CPU物理核数不低于4核，采用中标麒麟操作系统，标准1U设备,单电源，标配4个10/100/1000M Base-TX，2个千兆光口；内置64G SSD硬盘，8G内存，吞吐≥2.5G，最大并发≥430万，每秒新建≥8万；默认支持IPSec VPN和SSL VPN模块（80个并发用户）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2" w:type="dxa"/>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模版式配置管理</w:t>
            </w: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★支持系统主要防护功能的统一化模板设置，模板分为高、中、低三个级别，分别对应不同防护强度，可通过Web界面选择切换（截图证明）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restart"/>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网络适应性</w:t>
            </w: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★支持ISP路由，支持联通、电信、教育网、移动等ISP服务商地址列表，列表可导出及导入，可通过Web界面选择不同的ISP服务商实现快速切换（截图证明）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必须支持基于应用的策略路由，可实现为不同的应用类型智能选择相应的链路；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支持基于 WEB地址URL的策略路由，可实现将不同类型的网站流量智能分配到不同的链路；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支持基于文件类型的策略路由，可实现将预定义或者自定义的文件按照不同的分类进行智能选路。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restart"/>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网络管理</w:t>
            </w: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★支持链路聚合功能，支持802.3ad和静态轮询、热备等多种模式，MAC、MAC&amp;IP、IP&amp;Port多种聚合负载算法（截图证明）。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除本地有线链路接入外，必须可提供至少一种其他媒介的灾备链路接入方案支持，如VSAT卫星网、海事卫星网等。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restart"/>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网络访问控制</w:t>
            </w: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★支持一体化安全策略配置，可以通过一条策略实现用户认证、IPS、AV、URL过滤、协议控制、流量控制、并发限制、新建限制、垃圾邮件过滤、审计等功能,简化用户管理（截图证明）。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支持策略命中数显示，并支持通过安全策略命中数范围查询（截图证明）。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restart"/>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上网行为管理</w:t>
            </w: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支持依据协议、源目的端口、二进制特征码等条件自定义应用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支持外发信息的控制，可实现对BBS发帖的限制和关键字过滤；可实现发送微博信息的限制和关键字过滤；可实现对WEB邮件的收发限制和关键字过滤，支持5种以上的web邮件系统。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★支持工业协议控制，支持协议的完整性检查，支持协议分片的控制（截图证明）。支持工业动态协议的NAT和访问控制（截图证明）。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支持对主流数据库基于用户的细粒度权限控制，实现对数据库服务器的保护。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restart"/>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流量控制与优化</w:t>
            </w: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支持针对文件类型进行流量管理，至少支持6类如：电影类、音乐类、图片类、文本类、压缩类、应用程序类等。可以针对不同类型的文件配置不同的流量管理规则。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支持针对URL类型进行流量管理，至少支持：旅游出行、美体美容、web代理、报刊杂志等。可以针对不同类型的URL配置不同的流量管理规则,包括最大带宽、保证带宽、协议流量优先级等。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为适应多出口环境，可以支持以网络安全区域为出接口的带宽保证策略。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restart"/>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漏洞扫描</w:t>
            </w: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支持包括后门、服务探测、文件共享、Windows系统补丁、认证等主动式扫描。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支持周，月定时漏洞扫描设置,及一次性漏洞扫描设置（截图证明）。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安全日志</w:t>
            </w: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支持至少3个Syslog服务器，发送流量、系统或默认3类型日志到不同服务器。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restart"/>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审计中心</w:t>
            </w: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支持快速链接，方便用户快速查看常用报表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支持访问数据库行为内容审计（截图证明）。数据库审计结果包含地址、端口、用户名、数据库名、表名、字段名、sql语句、操作行为、操作结果等。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★支持内置或外置数据存储介质；支持根据存储时间或硬盘使用率发送告警邮件；支持智能优化存储空间，保证近期数据的可追溯性，且必须支持手动删除保存时间较长的数据（截图证明）。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支持风险评估智能报表，要求至少支持泄密风险、法律风险、工作效率、离职风险等智能报表。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★支持对AV/IPS等攻击事件的全球地图呈现，呈现信息包含：基于经纬度、城市的攻击源、目地、攻击次数等，地图支持逐级缩放（截图证明）。支持国产化地图引擎（截图证明）。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restart"/>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高可用性</w:t>
            </w: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支持端口联动，支持上下行端口组的联动，可以实现单端口决定同组中的任意接口失效启动链路切换。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自动同步、心跳接口多级（≥2级）物理备份（截图证明）。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HA增加备墙可管理，HA具备不间断升级功能；HA主墙可重启备墙（截图证明）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restart"/>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产品资质要求</w:t>
            </w:r>
          </w:p>
        </w:tc>
        <w:tc>
          <w:tcPr>
            <w:tcW w:w="663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具备中国工信部颁发的电信设备进网许可证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产品具有中国信息安全测评中心颁发的信息安全产品自主原创证明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IPv6认证：产品具有全球IPv6测试中心颁发的《IPv6 Ready》金牌认证证书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restart"/>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厂家资质要求</w:t>
            </w: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厂商应具备安全服务和应急响应支撑能力，必须具备信息安全服务资质(安全工程类三级)和应急响应一级资质，并提供证书复印件。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厂商为CNCERT国家级应急服务支撑单位。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★厂商为公安部发布的GA/T1177-2014《信息安全技术第二代防火墙安全技术要求》标准起草单位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★为响应等级保护2.0标准，要求厂商为GBT22239-2019网络安全等级保护基本要求起草单位。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要求加入云安全联盟CSA, 作为该联盟成员，可及时获得病毒、木马、钓鱼网站、僵尸网络等样本信息，为用户提供更及时的安全防护。请提供CSA网站链接证明。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厂商应是微软MAPP计划战略合作伙伴（提供证明材料）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6630" w:type="dxa"/>
            <w:vAlign w:val="center"/>
          </w:tcPr>
          <w:p>
            <w:pPr>
              <w:keepNext w:val="0"/>
              <w:keepLines w:val="0"/>
              <w:pageBreakBefore w:val="0"/>
              <w:shd w:val="clear"/>
              <w:kinsoku/>
              <w:wordWrap/>
              <w:overflowPunct/>
              <w:topLinePunct w:val="0"/>
              <w:autoSpaceDE/>
              <w:autoSpaceDN/>
              <w:bidi w:val="0"/>
              <w:adjustRightInd/>
              <w:snapToGrid/>
              <w:spacing w:line="360" w:lineRule="auto"/>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要求厂商提供CVE原创漏洞数不小于500，提供漏洞列表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89"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65" w:type="dxa"/>
            <w:vMerge w:val="continue"/>
            <w:shd w:val="clear" w:color="000000"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632" w:type="dxa"/>
            <w:shd w:val="clear" w:color="000000" w:fill="FFFFFF"/>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维保</w:t>
            </w:r>
          </w:p>
        </w:tc>
        <w:tc>
          <w:tcPr>
            <w:tcW w:w="6630" w:type="dxa"/>
          </w:tcPr>
          <w:p>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提供3年原厂硬件维修和软件升级服务，以上所有功能业主在中标后有权要求测试，如有虚假应标按照废标处理。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89"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397" w:type="dxa"/>
            <w:gridSpan w:val="2"/>
            <w:shd w:val="clear" w:color="000000" w:fill="FFFFFF"/>
            <w:vAlign w:val="center"/>
          </w:tcPr>
          <w:p>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人脸门禁一体机</w:t>
            </w:r>
          </w:p>
        </w:tc>
        <w:tc>
          <w:tcPr>
            <w:tcW w:w="6630" w:type="dxa"/>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操作系统：嵌入式Linux操作系统；</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屏幕参数： 7英寸触摸显示屏，屏幕比例9:16，屏幕分辨率600*1024；</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摄像头参数：采用宽动态200万双目摄像头；</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认证方式：支持人脸、刷卡（Mifare卡/IC卡、手机NFC卡、CPU卡序列号/内容、身份证卡序列号）、密码认证方式，可外接身份证、指纹、蓝牙、二维码功能模块；</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人脸识别：采用深度学习算法，支持单人或多人识别（最多5人同时认证）功能；支持照片、视频防假；1:N人脸识别速度≤0.2s，人脸验证准确率≥99%；</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存储容量：本地支持10000人脸库、50000张卡，15万条事件记录；</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硬件接口：LAN*1、RS485*1、Wiegand * 1(支持双向)、typeC类型USB接口*1、电锁*1、门磁*1、报警输入*2、报警输出*1、开门按钮*1、SD卡槽*1（最大支持512GB）、3.5mm音频输出接口*1；</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通信方式及网络协议：有线网络；</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设备应采用嵌入式 linux 系统。（公安部检测报告证明）</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前面板防破坏能力应满足 IK07 的要求；结构后壳防破坏能力应满足 IK10 的要求；防水等级应满足IP66防护等级；应支持选择嵌入式、壁挂、桌面、立式、人员通道安装；（公安部检测报告证明）</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★人脸比对平均时间应＜120ms （1:1对比方式）；最大人脸识别距离：＞4m；最小人脸识别距离：＜0.2m；认假率（FAR）= 认假总次数/负样本对×100%；（公安部检测报告证明）</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★产品供应商应具有符合ISO/IEC 27701：2019要求的隐私信息管理体系认证。</w:t>
            </w:r>
          </w:p>
        </w:tc>
      </w:tr>
    </w:tbl>
    <w:p>
      <w:pPr>
        <w:pStyle w:val="12"/>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14"/>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bookmarkEnd w:id="6"/>
    <w:bookmarkEnd w:id="7"/>
    <w:bookmarkEnd w:id="8"/>
    <w:bookmarkEnd w:id="9"/>
    <w:bookmarkEnd w:id="10"/>
    <w:bookmarkEnd w:id="11"/>
    <w:bookmarkEnd w:id="12"/>
    <w:p>
      <w:pPr>
        <w:pStyle w:val="4"/>
        <w:pageBreakBefore w:val="0"/>
        <w:shd w:val="clear"/>
        <w:kinsoku/>
        <w:wordWrap/>
        <w:overflowPunct/>
        <w:topLinePunct w:val="0"/>
        <w:bidi w:val="0"/>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三、商务需求</w:t>
      </w:r>
    </w:p>
    <w:p>
      <w:pPr>
        <w:pageBreakBefore w:val="0"/>
        <w:widowControl/>
        <w:shd w:val="clear"/>
        <w:kinsoku/>
        <w:wordWrap/>
        <w:overflowPunct/>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bookmarkStart w:id="13" w:name="_Toc16036"/>
      <w:bookmarkStart w:id="14" w:name="_Toc7516"/>
      <w:bookmarkStart w:id="15" w:name="_Toc532477062"/>
      <w:bookmarkStart w:id="16" w:name="_Toc2934"/>
      <w:bookmarkStart w:id="17" w:name="_Toc6675"/>
      <w:r>
        <w:rPr>
          <w:rFonts w:hint="eastAsia" w:ascii="宋体" w:hAnsi="宋体" w:eastAsia="宋体" w:cs="宋体"/>
          <w:b/>
          <w:bCs/>
          <w:color w:val="000000" w:themeColor="text1"/>
          <w:sz w:val="24"/>
          <w:szCs w:val="24"/>
          <w:highlight w:val="none"/>
          <w14:textFill>
            <w14:solidFill>
              <w14:schemeClr w14:val="tx1"/>
            </w14:solidFill>
          </w14:textFill>
        </w:rPr>
        <w:t>1、项目验收要求</w:t>
      </w:r>
    </w:p>
    <w:p>
      <w:pPr>
        <w:pageBreakBefore w:val="0"/>
        <w:shd w:val="clear"/>
        <w:kinsoku/>
        <w:wordWrap/>
        <w:overflowPunct/>
        <w:topLinePunct w:val="0"/>
        <w:bidi w:val="0"/>
        <w:adjustRightInd w:val="0"/>
        <w:spacing w:line="360" w:lineRule="auto"/>
        <w:ind w:firstLine="42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1、按国家或行业标准、规定及技术标准等相关法律性文件进行验收。</w:t>
      </w:r>
    </w:p>
    <w:p>
      <w:pPr>
        <w:pageBreakBefore w:val="0"/>
        <w:shd w:val="clear"/>
        <w:kinsoku/>
        <w:wordWrap/>
        <w:overflowPunct/>
        <w:topLinePunct w:val="0"/>
        <w:bidi w:val="0"/>
        <w:adjustRightInd w:val="0"/>
        <w:spacing w:line="360" w:lineRule="auto"/>
        <w:ind w:firstLine="42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2、中标人根据招标要求进行产品（软件）安装调试、测试、试运行后，由采购人或采购人聘请技术专家依据验收标准并组织进行使用性能方面的验收。</w:t>
      </w:r>
    </w:p>
    <w:p>
      <w:pPr>
        <w:pageBreakBefore w:val="0"/>
        <w:shd w:val="clear"/>
        <w:kinsoku/>
        <w:wordWrap/>
        <w:overflowPunct/>
        <w:topLinePunct w:val="0"/>
        <w:bidi w:val="0"/>
        <w:adjustRightInd w:val="0"/>
        <w:spacing w:line="360" w:lineRule="auto"/>
        <w:ind w:firstLine="42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3、产品保护：中标人须负责全部产品（软件）的保护工作至验收合格交付采购人使用，若因中标人原因损坏其它设备及配件的，中标人须负责修理或给予赔偿。</w:t>
      </w:r>
    </w:p>
    <w:p>
      <w:pPr>
        <w:pageBreakBefore w:val="0"/>
        <w:shd w:val="clear"/>
        <w:kinsoku/>
        <w:wordWrap/>
        <w:overflowPunct/>
        <w:topLinePunct w:val="0"/>
        <w:bidi w:val="0"/>
        <w:adjustRightInd w:val="0"/>
        <w:spacing w:line="360" w:lineRule="auto"/>
        <w:ind w:firstLine="42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4、中标人按合同规定提供符合招标文件要求的产品（软件），安装调试完毕、运行正常，并经有关部门检验合格，所有的技术资料和清单已向采购人提交并被接受，验收被视为合格，双方签署验收合格证书。</w:t>
      </w:r>
    </w:p>
    <w:p>
      <w:pPr>
        <w:pageBreakBefore w:val="0"/>
        <w:shd w:val="clear"/>
        <w:kinsoku/>
        <w:wordWrap/>
        <w:overflowPunct/>
        <w:topLinePunct w:val="0"/>
        <w:bidi w:val="0"/>
        <w:adjustRightInd w:val="0"/>
        <w:spacing w:line="360" w:lineRule="auto"/>
        <w:ind w:firstLine="42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5、验收合格条件</w:t>
      </w:r>
    </w:p>
    <w:p>
      <w:pPr>
        <w:pageBreakBefore w:val="0"/>
        <w:shd w:val="clear"/>
        <w:kinsoku/>
        <w:wordWrap/>
        <w:overflowPunct/>
        <w:topLinePunct w:val="0"/>
        <w:bidi w:val="0"/>
        <w:adjustRightInd w:val="0"/>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（1）功能测试和检验时出现的问题已被解决至采购人认可。</w:t>
      </w:r>
    </w:p>
    <w:p>
      <w:pPr>
        <w:pageBreakBefore w:val="0"/>
        <w:shd w:val="clear"/>
        <w:kinsoku/>
        <w:wordWrap/>
        <w:overflowPunct/>
        <w:topLinePunct w:val="0"/>
        <w:bidi w:val="0"/>
        <w:adjustRightInd w:val="0"/>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（2）已提供了合同规定的全部产品（软件）和资料。</w:t>
      </w:r>
    </w:p>
    <w:p>
      <w:pPr>
        <w:pageBreakBefore w:val="0"/>
        <w:shd w:val="clear"/>
        <w:kinsoku/>
        <w:wordWrap/>
        <w:overflowPunct/>
        <w:topLinePunct w:val="0"/>
        <w:bidi w:val="0"/>
        <w:adjustRightInd w:val="0"/>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（3）产品在交付采购人使用前，需经采购人验收合格。</w:t>
      </w:r>
    </w:p>
    <w:p>
      <w:pPr>
        <w:pStyle w:val="55"/>
        <w:pageBreakBefore w:val="0"/>
        <w:numPr>
          <w:ilvl w:val="0"/>
          <w:numId w:val="9"/>
        </w:numPr>
        <w:shd w:val="clear"/>
        <w:kinsoku/>
        <w:wordWrap/>
        <w:overflowPunct/>
        <w:topLinePunct w:val="0"/>
        <w:bidi w:val="0"/>
        <w:adjustRightInd w:val="0"/>
        <w:spacing w:line="360" w:lineRule="auto"/>
        <w:ind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验收时提供完整的材料安装图和技术资料。</w:t>
      </w:r>
      <w:bookmarkEnd w:id="13"/>
      <w:bookmarkEnd w:id="14"/>
      <w:bookmarkEnd w:id="15"/>
      <w:bookmarkEnd w:id="16"/>
      <w:bookmarkEnd w:id="17"/>
    </w:p>
    <w:p>
      <w:pPr>
        <w:pageBreakBefore w:val="0"/>
        <w:widowControl/>
        <w:shd w:val="clear"/>
        <w:kinsoku/>
        <w:wordWrap/>
        <w:overflowPunct/>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bookmarkStart w:id="18" w:name="_Toc18762"/>
      <w:bookmarkStart w:id="19" w:name="_Toc14604"/>
    </w:p>
    <w:p>
      <w:pPr>
        <w:pageBreakBefore w:val="0"/>
        <w:widowControl/>
        <w:shd w:val="clear"/>
        <w:kinsoku/>
        <w:wordWrap/>
        <w:overflowPunct/>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2、培训要求</w:t>
      </w:r>
      <w:bookmarkEnd w:id="18"/>
      <w:bookmarkEnd w:id="19"/>
    </w:p>
    <w:p>
      <w:pPr>
        <w:pageBreakBefore w:val="0"/>
        <w:shd w:val="clear"/>
        <w:kinsoku/>
        <w:wordWrap/>
        <w:overflowPunct/>
        <w:topLinePunct w:val="0"/>
        <w:bidi w:val="0"/>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1、对应用部门各级系统应用人员的培训</w:t>
      </w:r>
    </w:p>
    <w:p>
      <w:pPr>
        <w:pageBreakBefore w:val="0"/>
        <w:shd w:val="clear"/>
        <w:kinsoku/>
        <w:wordWrap/>
        <w:overflowPunct/>
        <w:topLinePunct w:val="0"/>
        <w:autoSpaceDE w:val="0"/>
        <w:autoSpaceDN w:val="0"/>
        <w:bidi w:val="0"/>
        <w:adjustRightInd w:val="0"/>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使之能够了解系统的建设思想、主要功能和操作规程，能够熟练应用这一系统辅助开展工作，并能结合实际工作需要提出各种改进意见。</w:t>
      </w:r>
    </w:p>
    <w:p>
      <w:pPr>
        <w:pageBreakBefore w:val="0"/>
        <w:shd w:val="clear"/>
        <w:kinsoku/>
        <w:wordWrap/>
        <w:overflowPunct/>
        <w:topLinePunct w:val="0"/>
        <w:autoSpaceDE w:val="0"/>
        <w:autoSpaceDN w:val="0"/>
        <w:bidi w:val="0"/>
        <w:adjustRightInd w:val="0"/>
        <w:spacing w:line="360" w:lineRule="auto"/>
        <w:ind w:firstLine="42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2、系统运行维护人员的培训</w:t>
      </w:r>
    </w:p>
    <w:p>
      <w:pPr>
        <w:pageBreakBefore w:val="0"/>
        <w:shd w:val="clear"/>
        <w:kinsoku/>
        <w:wordWrap/>
        <w:overflowPunct/>
        <w:topLinePunct w:val="0"/>
        <w:autoSpaceDE w:val="0"/>
        <w:autoSpaceDN w:val="0"/>
        <w:bidi w:val="0"/>
        <w:adjustRightInd w:val="0"/>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运维人员培训主要包括以下几个方面：系统整体知识培训、业务系统培训等。通过培训使项目运维队伍能够充分了解本项目。</w:t>
      </w:r>
    </w:p>
    <w:p>
      <w:pPr>
        <w:pStyle w:val="89"/>
        <w:pageBreakBefore w:val="0"/>
        <w:numPr>
          <w:ilvl w:val="0"/>
          <w:numId w:val="0"/>
        </w:numPr>
        <w:shd w:val="clear"/>
        <w:kinsoku/>
        <w:wordWrap/>
        <w:overflowPunct/>
        <w:topLinePunct w:val="0"/>
        <w:bidi w:val="0"/>
        <w:snapToGrid w:val="0"/>
        <w:spacing w:after="0" w:line="360" w:lineRule="auto"/>
        <w:ind w:firstLine="482" w:firstLineChars="200"/>
        <w:rPr>
          <w:rStyle w:val="37"/>
          <w:rFonts w:hint="eastAsia" w:ascii="宋体" w:hAnsi="宋体" w:cs="宋体"/>
          <w:b/>
          <w:bCs/>
          <w:color w:val="000000" w:themeColor="text1"/>
          <w:sz w:val="24"/>
          <w:szCs w:val="24"/>
          <w:highlight w:val="none"/>
          <w:lang w:val="en-US" w:eastAsia="zh-CN"/>
          <w14:textFill>
            <w14:solidFill>
              <w14:schemeClr w14:val="tx1"/>
            </w14:solidFill>
          </w14:textFill>
        </w:rPr>
      </w:pPr>
    </w:p>
    <w:p>
      <w:pPr>
        <w:pStyle w:val="89"/>
        <w:pageBreakBefore w:val="0"/>
        <w:numPr>
          <w:ilvl w:val="0"/>
          <w:numId w:val="0"/>
        </w:numPr>
        <w:shd w:val="clear"/>
        <w:kinsoku/>
        <w:wordWrap/>
        <w:overflowPunct/>
        <w:topLinePunct w:val="0"/>
        <w:bidi w:val="0"/>
        <w:snapToGrid w:val="0"/>
        <w:spacing w:after="0" w:line="360" w:lineRule="auto"/>
        <w:ind w:firstLine="482" w:firstLineChars="200"/>
        <w:rPr>
          <w:rStyle w:val="37"/>
          <w:rFonts w:hint="eastAsia" w:ascii="宋体" w:hAnsi="宋体" w:eastAsia="宋体" w:cs="宋体"/>
          <w:b/>
          <w:bCs/>
          <w:color w:val="000000" w:themeColor="text1"/>
          <w:sz w:val="24"/>
          <w:szCs w:val="24"/>
          <w:highlight w:val="none"/>
          <w:lang w:eastAsia="zh-CN"/>
          <w14:textFill>
            <w14:solidFill>
              <w14:schemeClr w14:val="tx1"/>
            </w14:solidFill>
          </w14:textFill>
        </w:rPr>
      </w:pPr>
      <w:r>
        <w:rPr>
          <w:rStyle w:val="37"/>
          <w:rFonts w:hint="eastAsia" w:ascii="宋体" w:hAnsi="宋体" w:cs="宋体"/>
          <w:b/>
          <w:bCs/>
          <w:color w:val="000000" w:themeColor="text1"/>
          <w:sz w:val="24"/>
          <w:szCs w:val="24"/>
          <w:highlight w:val="none"/>
          <w:lang w:val="en-US" w:eastAsia="zh-CN"/>
          <w14:textFill>
            <w14:solidFill>
              <w14:schemeClr w14:val="tx1"/>
            </w14:solidFill>
          </w14:textFill>
        </w:rPr>
        <w:t>3、</w:t>
      </w:r>
      <w:r>
        <w:rPr>
          <w:rStyle w:val="37"/>
          <w:rFonts w:hint="eastAsia" w:ascii="宋体" w:hAnsi="宋体" w:eastAsia="宋体" w:cs="宋体"/>
          <w:b/>
          <w:bCs/>
          <w:color w:val="000000" w:themeColor="text1"/>
          <w:sz w:val="24"/>
          <w:szCs w:val="24"/>
          <w:highlight w:val="none"/>
          <w:lang w:eastAsia="zh-CN"/>
          <w14:textFill>
            <w14:solidFill>
              <w14:schemeClr w14:val="tx1"/>
            </w14:solidFill>
          </w14:textFill>
        </w:rPr>
        <w:t>商务要求</w:t>
      </w:r>
    </w:p>
    <w:tbl>
      <w:tblPr>
        <w:tblStyle w:val="30"/>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543" w:type="dxa"/>
            <w:vAlign w:val="center"/>
          </w:tcPr>
          <w:p>
            <w:pPr>
              <w:pageBreakBefore w:val="0"/>
              <w:shd w:val="clear"/>
              <w:kinsoku/>
              <w:wordWrap/>
              <w:overflowPunct/>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售后要求</w:t>
            </w:r>
          </w:p>
        </w:tc>
        <w:tc>
          <w:tcPr>
            <w:tcW w:w="7513" w:type="dxa"/>
          </w:tcPr>
          <w:p>
            <w:pPr>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1、免费质保维护期3个年度，自终验通过后开始计算。</w:t>
            </w:r>
          </w:p>
          <w:p>
            <w:pPr>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2、要求提供7×24小时运维服务，出现故障后1个小时内响应，48个小时内修复。</w:t>
            </w:r>
          </w:p>
          <w:p>
            <w:pPr>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3、项目后续配合服务期，及提供后续服务技术支持。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43" w:type="dxa"/>
            <w:vAlign w:val="center"/>
          </w:tcPr>
          <w:p>
            <w:pPr>
              <w:pageBreakBefore w:val="0"/>
              <w:shd w:val="clear"/>
              <w:kinsoku/>
              <w:wordWrap/>
              <w:overflowPunct/>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建设周期</w:t>
            </w:r>
          </w:p>
        </w:tc>
        <w:tc>
          <w:tcPr>
            <w:tcW w:w="7513" w:type="dxa"/>
            <w:vAlign w:val="center"/>
          </w:tcPr>
          <w:p>
            <w:pPr>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合同签订后30个工作日内开发完成。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543" w:type="dxa"/>
            <w:vAlign w:val="center"/>
          </w:tcPr>
          <w:p>
            <w:pPr>
              <w:pageBreakBefore w:val="0"/>
              <w:shd w:val="clear"/>
              <w:kinsoku/>
              <w:wordWrap/>
              <w:overflowPunct/>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履约保证金</w:t>
            </w:r>
          </w:p>
        </w:tc>
        <w:tc>
          <w:tcPr>
            <w:tcW w:w="7513" w:type="dxa"/>
            <w:vAlign w:val="center"/>
          </w:tcPr>
          <w:p>
            <w:pPr>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43" w:type="dxa"/>
            <w:vAlign w:val="center"/>
          </w:tcPr>
          <w:p>
            <w:pPr>
              <w:pageBreakBefore w:val="0"/>
              <w:shd w:val="clear"/>
              <w:kinsoku/>
              <w:wordWrap/>
              <w:overflowPunct/>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付款方式</w:t>
            </w:r>
          </w:p>
        </w:tc>
        <w:tc>
          <w:tcPr>
            <w:tcW w:w="7513" w:type="dxa"/>
            <w:vAlign w:val="center"/>
          </w:tcPr>
          <w:p>
            <w:pPr>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u w:val="none"/>
                <w14:textFill>
                  <w14:solidFill>
                    <w14:schemeClr w14:val="tx1"/>
                  </w14:solidFill>
                </w14:textFill>
              </w:rPr>
              <w:t>合同生效以及具备实施条件后七个工作日内</w:t>
            </w:r>
            <w:r>
              <w:rPr>
                <w:rFonts w:hint="eastAsia" w:ascii="宋体" w:hAnsi="宋体" w:eastAsia="宋体" w:cs="宋体"/>
                <w:color w:val="000000" w:themeColor="text1"/>
                <w:sz w:val="24"/>
                <w:szCs w:val="24"/>
                <w:highlight w:val="none"/>
                <w14:textFill>
                  <w14:solidFill>
                    <w14:schemeClr w14:val="tx1"/>
                  </w14:solidFill>
                </w14:textFill>
              </w:rPr>
              <w:t>，支付合同总额的30%，项目初验合格，支付合同总额的40%，最终验收完毕后支付余款。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43" w:type="dxa"/>
            <w:vAlign w:val="center"/>
          </w:tcPr>
          <w:p>
            <w:pPr>
              <w:pageBreakBefore w:val="0"/>
              <w:shd w:val="clear"/>
              <w:kinsoku/>
              <w:wordWrap/>
              <w:overflowPunct/>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投标报价及费用</w:t>
            </w:r>
          </w:p>
        </w:tc>
        <w:tc>
          <w:tcPr>
            <w:tcW w:w="7513" w:type="dxa"/>
            <w:vAlign w:val="center"/>
          </w:tcPr>
          <w:p>
            <w:pPr>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本项目由中标人自行负责开发、调试、实施、协助验收并承担质保期内的运维费用。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543" w:type="dxa"/>
            <w:vAlign w:val="center"/>
          </w:tcPr>
          <w:p>
            <w:pPr>
              <w:pageBreakBefore w:val="0"/>
              <w:shd w:val="clear"/>
              <w:kinsoku/>
              <w:wordWrap/>
              <w:overflowPunct/>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保密要求</w:t>
            </w:r>
          </w:p>
        </w:tc>
        <w:tc>
          <w:tcPr>
            <w:tcW w:w="7513" w:type="dxa"/>
            <w:vAlign w:val="center"/>
          </w:tcPr>
          <w:p>
            <w:pPr>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人(含项目组所有成员)必须对项目技术文件以及由采购人提供的所有内部资料、技术文档、数据和信息予以保密，未经采购人书面许可，中标人不得以任何形式向第三方透露本项目标书以及本项目的任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543" w:type="dxa"/>
            <w:vAlign w:val="center"/>
          </w:tcPr>
          <w:p>
            <w:pPr>
              <w:pageBreakBefore w:val="0"/>
              <w:shd w:val="clear"/>
              <w:kinsoku/>
              <w:wordWrap/>
              <w:overflowPunct/>
              <w:topLinePunct w:val="0"/>
              <w:bidi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安全生产责任</w:t>
            </w:r>
          </w:p>
        </w:tc>
        <w:tc>
          <w:tcPr>
            <w:tcW w:w="7513" w:type="dxa"/>
            <w:vAlign w:val="center"/>
          </w:tcPr>
          <w:p>
            <w:pPr>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中标人应自行承担项目实施过程中安全生产责任，采购人任何情况下均不承担因此产生的任何法律责任和经济责任。</w:t>
            </w:r>
          </w:p>
        </w:tc>
      </w:tr>
    </w:tbl>
    <w:p>
      <w:pPr>
        <w:shd w:val="clear"/>
        <w:snapToGrid w:val="0"/>
        <w:spacing w:line="320" w:lineRule="exact"/>
        <w:jc w:val="left"/>
        <w:rPr>
          <w:rStyle w:val="37"/>
          <w:rFonts w:hint="eastAsia" w:ascii="宋体" w:hAnsi="宋体" w:eastAsia="宋体" w:cs="宋体"/>
          <w:color w:val="000000" w:themeColor="text1"/>
          <w:highlight w:val="none"/>
          <w14:textFill>
            <w14:solidFill>
              <w14:schemeClr w14:val="tx1"/>
            </w14:solidFill>
          </w14:textFill>
        </w:rPr>
      </w:pPr>
    </w:p>
    <w:p>
      <w:pPr>
        <w:pStyle w:val="12"/>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pStyle w:val="2"/>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2"/>
        <w:shd w:val="clear"/>
        <w:rPr>
          <w:rFonts w:hint="eastAsia" w:ascii="宋体" w:hAnsi="宋体" w:eastAsia="宋体" w:cs="宋体"/>
          <w:b/>
          <w:bCs/>
          <w:color w:val="000000" w:themeColor="text1"/>
          <w:sz w:val="36"/>
          <w:szCs w:val="44"/>
          <w:highlight w:val="none"/>
          <w14:textFill>
            <w14:solidFill>
              <w14:schemeClr w14:val="tx1"/>
            </w14:solidFill>
          </w14:textFill>
        </w:rPr>
      </w:pPr>
    </w:p>
    <w:p>
      <w:pPr>
        <w:pStyle w:val="3"/>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第五部分 政府采购合同主要条款指引</w:t>
      </w:r>
    </w:p>
    <w:p>
      <w:pPr>
        <w:shd w:val="clear"/>
        <w:tabs>
          <w:tab w:val="left" w:pos="8280"/>
        </w:tabs>
        <w:autoSpaceDE w:val="0"/>
        <w:autoSpaceDN w:val="0"/>
        <w:adjustRightInd w:val="0"/>
        <w:spacing w:line="360" w:lineRule="auto"/>
        <w:ind w:right="2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项目编号：</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甲方（采购方）：</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乙方（供应商）：</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鉴证方（招标方）：</w:t>
      </w:r>
    </w:p>
    <w:p>
      <w:pPr>
        <w:numPr>
          <w:ilvl w:val="0"/>
          <w:numId w:val="0"/>
        </w:numPr>
        <w:shd w:val="clear"/>
        <w:spacing w:line="360" w:lineRule="auto"/>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甲</w:t>
      </w:r>
      <w:r>
        <w:rPr>
          <w:rFonts w:hint="eastAsia" w:ascii="宋体" w:hAnsi="宋体" w:eastAsia="宋体" w:cs="宋体"/>
          <w:color w:val="000000" w:themeColor="text1"/>
          <w:sz w:val="24"/>
          <w:highlight w:val="none"/>
          <w14:textFill>
            <w14:solidFill>
              <w14:schemeClr w14:val="tx1"/>
            </w14:solidFill>
          </w14:textFill>
        </w:rPr>
        <w:t>、乙双方根据</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项目</w:t>
      </w:r>
      <w:r>
        <w:rPr>
          <w:rFonts w:hint="eastAsia" w:ascii="宋体" w:hAnsi="宋体" w:eastAsia="宋体" w:cs="宋体"/>
          <w:color w:val="000000" w:themeColor="text1"/>
          <w:sz w:val="24"/>
          <w:highlight w:val="none"/>
          <w14:textFill>
            <w14:solidFill>
              <w14:schemeClr w14:val="tx1"/>
            </w14:solidFill>
          </w14:textFill>
        </w:rPr>
        <w:t>公开招标的结果，签署本合同。合同文本内容如下：</w:t>
      </w:r>
    </w:p>
    <w:p>
      <w:pPr>
        <w:shd w:val="clear"/>
        <w:spacing w:line="360" w:lineRule="auto"/>
        <w:ind w:firstLine="480" w:firstLineChars="200"/>
        <w:textAlignment w:val="baseline"/>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1.合同条款。</w:t>
      </w:r>
    </w:p>
    <w:p>
      <w:pPr>
        <w:shd w:val="clear"/>
        <w:spacing w:line="360" w:lineRule="auto"/>
        <w:ind w:firstLine="480" w:firstLineChars="200"/>
        <w:textAlignment w:val="baseline"/>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2.中标通知书。</w:t>
      </w:r>
    </w:p>
    <w:p>
      <w:pPr>
        <w:shd w:val="clear"/>
        <w:spacing w:line="360" w:lineRule="auto"/>
        <w:ind w:firstLine="480" w:firstLineChars="200"/>
        <w:textAlignment w:val="baseline"/>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3.更正补充文件。</w:t>
      </w:r>
    </w:p>
    <w:p>
      <w:pPr>
        <w:shd w:val="clear"/>
        <w:spacing w:line="360" w:lineRule="auto"/>
        <w:ind w:firstLine="480" w:firstLineChars="200"/>
        <w:textAlignment w:val="baseline"/>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4.招标文件。</w:t>
      </w:r>
    </w:p>
    <w:p>
      <w:pPr>
        <w:shd w:val="clear"/>
        <w:spacing w:line="360" w:lineRule="auto"/>
        <w:ind w:firstLine="480" w:firstLineChars="200"/>
        <w:textAlignment w:val="baseline"/>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5.中标供应商投标文件。</w:t>
      </w:r>
    </w:p>
    <w:p>
      <w:pPr>
        <w:shd w:val="clear"/>
        <w:spacing w:line="360" w:lineRule="auto"/>
        <w:ind w:firstLine="480" w:firstLineChars="200"/>
        <w:textAlignment w:val="baseline"/>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6.其他。</w:t>
      </w:r>
    </w:p>
    <w:p>
      <w:pPr>
        <w:shd w:val="clear"/>
        <w:spacing w:line="360" w:lineRule="auto"/>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一、合同金额</w:t>
      </w:r>
    </w:p>
    <w:p>
      <w:pPr>
        <w:shd w:val="clear"/>
        <w:ind w:firstLine="484" w:firstLineChars="202"/>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本合同金额为（大写）：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二、技术资料</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1.乙方应按招标文件规定的时间向甲方提供有关技术资料。</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三、知识产权</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乙方应保证提供服务过程中不会侵犯任何第三方的知识产权。</w:t>
      </w:r>
    </w:p>
    <w:p>
      <w:pPr>
        <w:numPr>
          <w:ilvl w:val="0"/>
          <w:numId w:val="0"/>
        </w:numPr>
        <w:shd w:val="clear"/>
        <w:spacing w:line="360" w:lineRule="auto"/>
        <w:ind w:leftChars="0"/>
        <w:rPr>
          <w:rFonts w:hint="eastAsia" w:ascii="宋体" w:hAnsi="宋体" w:cs="宋体"/>
          <w:b/>
          <w:bCs/>
          <w:color w:val="000000" w:themeColor="text1"/>
          <w:sz w:val="24"/>
          <w:highlight w:val="none"/>
          <w:lang w:val="en-US" w:eastAsia="zh-CN"/>
          <w14:textFill>
            <w14:solidFill>
              <w14:schemeClr w14:val="tx1"/>
            </w14:solidFill>
          </w14:textFill>
        </w:rPr>
      </w:pPr>
    </w:p>
    <w:p>
      <w:pPr>
        <w:numPr>
          <w:ilvl w:val="0"/>
          <w:numId w:val="0"/>
        </w:numPr>
        <w:shd w:val="clear"/>
        <w:spacing w:line="360" w:lineRule="auto"/>
        <w:ind w:left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履约保证金</w:t>
      </w:r>
    </w:p>
    <w:p>
      <w:pPr>
        <w:pStyle w:val="2"/>
        <w:numPr>
          <w:ilvl w:val="0"/>
          <w:numId w:val="0"/>
        </w:numPr>
        <w:shd w:val="clear"/>
        <w:ind w:leftChars="0" w:firstLine="480" w:firstLineChars="2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不收取。</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五、合同履行时间、履行方式及履行地点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1.履行时间：</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2.履行方式：</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3.履行地点：</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六、付款方式</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七、税费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本合同执行中相关的一切税费均由乙方负担。</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八、质量保证及售后服务</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1.乙方应按招标文件规定向甲方提供服务。</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2.乙方提供的服务成果对达不到要求者，根据实际情况，经双方协商，可按以下办法处理：</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⑴重做：由乙方承担所发生的全部费用。</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⑵解除合同。</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3．如在服务过程中发生问题，乙方在接到甲方通知后在1小时内到达甲方现场。</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九、违约责任</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1.甲方无正当理由拒收接受服务的，甲方向乙方偿付合同款项百分之五作为违约金。</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2.甲方无故逾期验收和办理款项支付手续的,甲方应按逾期付款总额每日万分之五向乙方支付违约金。</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3.乙方未能如期提供服务的，每日向甲方支付合同款项的万分之五作为违约金。乙方超过约定日期10个工作日仍不能提供服务的，甲方可解除本合同。</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4.乙方因未能如期提供服务或因其他违约行为导致甲方解除合同的，乙方应向甲方支付合同总值百分之五的违约金，如造成甲方损失超过违约金的，超出部分由乙方继续承担赔偿责任。</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十、不可抗力事件处理</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1.在合同有效期内，任何一方因不可抗力事件导致不能履行合同，则合同履行期可延长，其延长期与不可抗力影响期相同。</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2.不可抗力事件发生后，应立即通知对方，并寄送有关权威机构出具的证明。</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3.不可抗力事件延续120天以上，双方应通过友好协商，确定是否继续履行合同。</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十一、诉讼</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双方在执行合同中所发生的一切争议，应通过协商解决。如协商不成，可向甲方所在地人民法院提起诉讼。</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十二、合同生效及其它</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1.合同经双方法定代表人或授权代表签字并加盖单位公章后生效。</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2.本合同未尽事宜，遵照《民法典》有关条文执行。</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3.本合同一式六份。甲、乙双方各执两份，采购代理机构及政府采购监管处两份。本项目未尽事宜以招标文件、投标文件及澄清文件等为准。</w:t>
      </w:r>
    </w:p>
    <w:p>
      <w:pPr>
        <w:pStyle w:val="29"/>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甲方（公章）：                          乙方（公章）：</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法定代表人或委托代理人（签字）：          法定代表人或委托代理人（签字）：</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                              联系电话：</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开户银行（必填）：                      开户银行（必填）：</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账号（必填）：                          账号（必填）：</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签订时间：年月日                        签订时间：年月日</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鉴证方（鉴证章）：</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日期：年月日</w:t>
      </w: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pStyle w:val="3"/>
        <w:shd w:val="clear"/>
        <w:jc w:val="both"/>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3"/>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第六部分 响应文件格式附件</w:t>
      </w:r>
    </w:p>
    <w:p>
      <w:pPr>
        <w:shd w:val="clear"/>
        <w:spacing w:line="360" w:lineRule="auto"/>
        <w:ind w:firstLine="482" w:firstLineChars="200"/>
        <w:rPr>
          <w:rFonts w:hint="eastAsia" w:ascii="宋体" w:hAnsi="宋体" w:eastAsia="宋体" w:cs="宋体"/>
          <w:b/>
          <w:bCs/>
          <w:color w:val="000000" w:themeColor="text1"/>
          <w:sz w:val="24"/>
          <w:szCs w:val="32"/>
          <w:highlight w:val="none"/>
          <w:u w:val="singl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说明：对本章所有的投标书格式，投标方可根据自身情况进行补充和修改，但补充和修改不得造成与本格式内容有实质性的违背。</w:t>
      </w:r>
    </w:p>
    <w:p>
      <w:pPr>
        <w:shd w:val="clea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附件1　</w:t>
      </w:r>
      <w:r>
        <w:rPr>
          <w:rFonts w:hint="eastAsia" w:ascii="宋体" w:hAnsi="宋体" w:eastAsia="宋体" w:cs="宋体"/>
          <w:color w:val="000000" w:themeColor="text1"/>
          <w:sz w:val="30"/>
          <w:szCs w:val="30"/>
          <w:highlight w:val="none"/>
          <w14:textFill>
            <w14:solidFill>
              <w14:schemeClr w14:val="tx1"/>
            </w14:solidFill>
          </w14:textFill>
        </w:rPr>
        <w:t xml:space="preserve">　　                                       </w:t>
      </w:r>
      <w:r>
        <w:rPr>
          <w:rFonts w:hint="eastAsia" w:ascii="宋体" w:hAnsi="宋体" w:eastAsia="宋体" w:cs="宋体"/>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本</w:t>
      </w:r>
    </w:p>
    <w:p>
      <w:pPr>
        <w:shd w:val="clear"/>
        <w:spacing w:line="360" w:lineRule="auto"/>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spacing w:line="360" w:lineRule="auto"/>
        <w:ind w:firstLine="1800" w:firstLineChars="5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磋</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商</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响</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应</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供应商全称（公章）：</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资格证明文件目录</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（1）磋商声明书；（格式见附件）</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（2）授权委托书（法定代表人（单位负责人）亲自办理磋商响应事宜的，则无需提交）；（格式见附件）</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（3）法人或者其他组织的营业执照等证明文件，自然人的身份证明；（格式见附件）</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（4）具有良好的商业信誉和健全的财务会计制度的承诺；（格式见附件）</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（5）依法缴纳税收和社会保障资金的证明资料； </w:t>
      </w:r>
    </w:p>
    <w:p>
      <w:pPr>
        <w:shd w:val="clear"/>
        <w:spacing w:line="360" w:lineRule="auto"/>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（6）具备履行合同所必需的设备和专业技术能力的承诺函；（格式见附件）</w:t>
      </w:r>
    </w:p>
    <w:p>
      <w:pPr>
        <w:shd w:val="clear"/>
        <w:spacing w:line="360" w:lineRule="auto"/>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（7）参加政府采购活动前三年内，在经营活动中没有重大违法记录（承诺函）；（格式见附件）</w:t>
      </w:r>
    </w:p>
    <w:p>
      <w:pPr>
        <w:shd w:val="clear"/>
        <w:spacing w:line="360" w:lineRule="auto"/>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（8）需要说明的其他资料；</w:t>
      </w:r>
    </w:p>
    <w:p>
      <w:pPr>
        <w:shd w:val="clear"/>
        <w:spacing w:line="360" w:lineRule="auto"/>
        <w:ind w:firstLine="56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（9）联合体协议（若非联合体投标则无需提供）。（格式见附件）</w:t>
      </w:r>
    </w:p>
    <w:p>
      <w:pPr>
        <w:pStyle w:val="12"/>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60" w:lineRule="exact"/>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附件2                  磋商</w:t>
      </w:r>
      <w:r>
        <w:rPr>
          <w:rFonts w:hint="eastAsia" w:ascii="宋体" w:hAnsi="宋体" w:eastAsia="宋体" w:cs="宋体"/>
          <w:b/>
          <w:color w:val="000000" w:themeColor="text1"/>
          <w:kern w:val="0"/>
          <w:sz w:val="32"/>
          <w:szCs w:val="32"/>
          <w:highlight w:val="none"/>
          <w:lang w:val="zh-CN"/>
          <w14:textFill>
            <w14:solidFill>
              <w14:schemeClr w14:val="tx1"/>
            </w14:solidFill>
          </w14:textFill>
        </w:rPr>
        <w:t>声明书</w:t>
      </w:r>
    </w:p>
    <w:p>
      <w:pPr>
        <w:shd w:val="clear"/>
        <w:spacing w:line="460" w:lineRule="exac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（采购代理机构名称）：</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（供应商名称）</w:t>
      </w:r>
      <w:r>
        <w:rPr>
          <w:rFonts w:hint="eastAsia" w:ascii="宋体" w:hAnsi="宋体" w:eastAsia="宋体" w:cs="宋体"/>
          <w:color w:val="000000" w:themeColor="text1"/>
          <w:sz w:val="24"/>
          <w:szCs w:val="32"/>
          <w:highlight w:val="none"/>
          <w14:textFill>
            <w14:solidFill>
              <w14:schemeClr w14:val="tx1"/>
            </w14:solidFill>
          </w14:textFill>
        </w:rPr>
        <w:t>系中华人民共和国合法企业，经营地址</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w:t>
      </w:r>
      <w:r>
        <w:rPr>
          <w:rFonts w:hint="eastAsia" w:ascii="宋体" w:hAnsi="宋体" w:eastAsia="宋体" w:cs="宋体"/>
          <w:color w:val="000000" w:themeColor="text1"/>
          <w:sz w:val="24"/>
          <w:szCs w:val="32"/>
          <w:highlight w:val="none"/>
          <w:u w:val="single"/>
          <w14:textFill>
            <w14:solidFill>
              <w14:schemeClr w14:val="tx1"/>
            </w14:solidFill>
          </w14:textFill>
        </w:rPr>
        <w:t xml:space="preserve"> 姓名 </w:t>
      </w:r>
      <w:r>
        <w:rPr>
          <w:rFonts w:hint="eastAsia" w:ascii="宋体" w:hAnsi="宋体" w:eastAsia="宋体" w:cs="宋体"/>
          <w:color w:val="000000" w:themeColor="text1"/>
          <w:sz w:val="24"/>
          <w:szCs w:val="32"/>
          <w:highlight w:val="none"/>
          <w14:textFill>
            <w14:solidFill>
              <w14:schemeClr w14:val="tx1"/>
            </w14:solidFill>
          </w14:textFill>
        </w:rPr>
        <w:t>）系（</w:t>
      </w:r>
      <w:r>
        <w:rPr>
          <w:rFonts w:hint="eastAsia" w:ascii="宋体" w:hAnsi="宋体" w:eastAsia="宋体" w:cs="宋体"/>
          <w:color w:val="000000" w:themeColor="text1"/>
          <w:sz w:val="24"/>
          <w:szCs w:val="32"/>
          <w:highlight w:val="none"/>
          <w:u w:val="single"/>
          <w14:textFill>
            <w14:solidFill>
              <w14:schemeClr w14:val="tx1"/>
            </w14:solidFill>
          </w14:textFill>
        </w:rPr>
        <w:t xml:space="preserve"> 供应商名称 </w:t>
      </w:r>
      <w:r>
        <w:rPr>
          <w:rFonts w:hint="eastAsia" w:ascii="宋体" w:hAnsi="宋体" w:eastAsia="宋体" w:cs="宋体"/>
          <w:color w:val="000000" w:themeColor="text1"/>
          <w:sz w:val="24"/>
          <w:szCs w:val="32"/>
          <w:highlight w:val="none"/>
          <w14:textFill>
            <w14:solidFill>
              <w14:schemeClr w14:val="tx1"/>
            </w14:solidFill>
          </w14:textFill>
        </w:rPr>
        <w:t>）的法定代表人，我公司自愿参加贵方组织的（</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32"/>
          <w:highlight w:val="none"/>
          <w:u w:val="single"/>
          <w14:textFill>
            <w14:solidFill>
              <w14:schemeClr w14:val="tx1"/>
            </w14:solidFill>
          </w14:textFill>
        </w:rPr>
        <w:t xml:space="preserve">项目 </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）的磋商，为此，我公司就本次磋商有关事项郑重声明如下：</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pPr>
        <w:shd w:val="clear"/>
        <w:spacing w:line="460" w:lineRule="exact"/>
        <w:ind w:firstLine="480" w:firstLineChars="200"/>
        <w:rPr>
          <w:rFonts w:hint="eastAsia" w:ascii="宋体" w:hAnsi="宋体" w:eastAsia="宋体" w:cs="宋体"/>
          <w:color w:val="000000" w:themeColor="text1"/>
          <w:sz w:val="24"/>
          <w:szCs w:val="32"/>
          <w:highlight w:val="none"/>
          <w:lang w:val="af-ZA"/>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保证，</w:t>
      </w:r>
      <w:r>
        <w:rPr>
          <w:rFonts w:hint="eastAsia" w:ascii="宋体" w:hAnsi="宋体" w:eastAsia="宋体" w:cs="宋体"/>
          <w:color w:val="000000" w:themeColor="text1"/>
          <w:sz w:val="24"/>
          <w:szCs w:val="32"/>
          <w:highlight w:val="none"/>
          <w:lang w:val="af-ZA"/>
          <w14:textFill>
            <w14:solidFill>
              <w14:schemeClr w14:val="tx1"/>
            </w14:solidFill>
          </w14:textFill>
        </w:rPr>
        <w:t>采购人在中华人民共和国境内使用</w:t>
      </w:r>
      <w:r>
        <w:rPr>
          <w:rFonts w:hint="eastAsia" w:ascii="宋体" w:hAnsi="宋体" w:eastAsia="宋体" w:cs="宋体"/>
          <w:color w:val="000000" w:themeColor="text1"/>
          <w:sz w:val="24"/>
          <w:szCs w:val="32"/>
          <w:highlight w:val="none"/>
          <w14:textFill>
            <w14:solidFill>
              <w14:schemeClr w14:val="tx1"/>
            </w14:solidFill>
          </w14:textFill>
        </w:rPr>
        <w:t>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af-ZA"/>
          <w14:textFill>
            <w14:solidFill>
              <w14:schemeClr w14:val="tx1"/>
            </w14:solidFill>
          </w14:textFill>
        </w:rPr>
        <w:t>5、我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lang w:val="af-ZA"/>
          <w14:textFill>
            <w14:solidFill>
              <w14:schemeClr w14:val="tx1"/>
            </w14:solidFill>
          </w14:textFill>
        </w:rPr>
        <w:t>严格履行政府采购合同，不降低合同约定的产品质量和服务，不擅自变更、中止、终止合同，或拒绝履行合同义务；</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6、以上事项如有虚假或隐瞒，我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愿意承担一切后果，</w:t>
      </w:r>
      <w:r>
        <w:rPr>
          <w:rFonts w:hint="eastAsia" w:ascii="宋体" w:hAnsi="宋体" w:eastAsia="宋体" w:cs="宋体"/>
          <w:color w:val="000000" w:themeColor="text1"/>
          <w:sz w:val="24"/>
          <w:szCs w:val="32"/>
          <w:highlight w:val="none"/>
          <w:lang w:val="af-ZA"/>
          <w14:textFill>
            <w14:solidFill>
              <w14:schemeClr w14:val="tx1"/>
            </w14:solidFill>
          </w14:textFill>
        </w:rPr>
        <w:t>除在投标文件中明确拒绝的之外，均接受招标文件的一切条件，</w:t>
      </w:r>
      <w:r>
        <w:rPr>
          <w:rFonts w:hint="eastAsia" w:ascii="宋体" w:hAnsi="宋体" w:eastAsia="宋体" w:cs="宋体"/>
          <w:color w:val="000000" w:themeColor="text1"/>
          <w:sz w:val="24"/>
          <w:szCs w:val="32"/>
          <w:highlight w:val="none"/>
          <w14:textFill>
            <w14:solidFill>
              <w14:schemeClr w14:val="tx1"/>
            </w14:solidFill>
          </w14:textFill>
        </w:rPr>
        <w:t>并不再寻求任何旨在减轻或免除法律责任的辩解。</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本单位若违反以上承诺，将无条件接受项目主管部门和有关监督管理部门的调查，并愿意承担取消中标资格及限制在本地区参与投标等一切法律责任。</w:t>
      </w:r>
    </w:p>
    <w:p>
      <w:pPr>
        <w:shd w:val="clear"/>
        <w:spacing w:line="460" w:lineRule="exact"/>
        <w:ind w:firstLine="3840" w:firstLineChars="16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供应商名称（公章）：</w:t>
      </w:r>
    </w:p>
    <w:p>
      <w:pPr>
        <w:shd w:val="clear"/>
        <w:spacing w:line="460" w:lineRule="exact"/>
        <w:ind w:firstLine="3840" w:firstLineChars="16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法定代表人或授权委托代理人（签字）：</w:t>
      </w:r>
    </w:p>
    <w:p>
      <w:pPr>
        <w:shd w:val="clear"/>
        <w:spacing w:line="460" w:lineRule="exact"/>
        <w:ind w:firstLine="3840" w:firstLineChars="16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日期：</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附件3                   授权委托书</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(招标人)</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（供应商全称）</w:t>
      </w:r>
      <w:r>
        <w:rPr>
          <w:rFonts w:hint="eastAsia" w:ascii="宋体" w:hAnsi="宋体" w:eastAsia="宋体" w:cs="宋体"/>
          <w:color w:val="000000" w:themeColor="text1"/>
          <w:sz w:val="24"/>
          <w:szCs w:val="32"/>
          <w:highlight w:val="none"/>
          <w14:textFill>
            <w14:solidFill>
              <w14:schemeClr w14:val="tx1"/>
            </w14:solidFill>
          </w14:textFill>
        </w:rPr>
        <w:t>法定代表人</w:t>
      </w:r>
      <w:r>
        <w:rPr>
          <w:rFonts w:hint="eastAsia" w:ascii="宋体" w:hAnsi="宋体" w:eastAsia="宋体" w:cs="宋体"/>
          <w:color w:val="000000" w:themeColor="text1"/>
          <w:sz w:val="24"/>
          <w:szCs w:val="32"/>
          <w:highlight w:val="none"/>
          <w:u w:val="single"/>
          <w14:textFill>
            <w14:solidFill>
              <w14:schemeClr w14:val="tx1"/>
            </w14:solidFill>
          </w14:textFill>
        </w:rPr>
        <w:tab/>
      </w:r>
      <w:r>
        <w:rPr>
          <w:rFonts w:hint="eastAsia" w:ascii="宋体" w:hAnsi="宋体" w:eastAsia="宋体" w:cs="宋体"/>
          <w:color w:val="000000" w:themeColor="text1"/>
          <w:sz w:val="24"/>
          <w:szCs w:val="32"/>
          <w:highlight w:val="none"/>
          <w:u w:val="single"/>
          <w14:textFill>
            <w14:solidFill>
              <w14:schemeClr w14:val="tx1"/>
            </w14:solidFill>
          </w14:textFill>
        </w:rPr>
        <w:t xml:space="preserve">（法定代表人姓名） </w:t>
      </w:r>
      <w:r>
        <w:rPr>
          <w:rFonts w:hint="eastAsia" w:ascii="宋体" w:hAnsi="宋体" w:eastAsia="宋体" w:cs="宋体"/>
          <w:color w:val="000000" w:themeColor="text1"/>
          <w:sz w:val="24"/>
          <w:szCs w:val="32"/>
          <w:highlight w:val="none"/>
          <w14:textFill>
            <w14:solidFill>
              <w14:schemeClr w14:val="tx1"/>
            </w14:solidFill>
          </w14:textFill>
        </w:rPr>
        <w:t>授权</w:t>
      </w:r>
      <w:r>
        <w:rPr>
          <w:rFonts w:hint="eastAsia" w:ascii="宋体" w:hAnsi="宋体" w:eastAsia="宋体" w:cs="宋体"/>
          <w:color w:val="000000" w:themeColor="text1"/>
          <w:sz w:val="24"/>
          <w:szCs w:val="32"/>
          <w:highlight w:val="none"/>
          <w:u w:val="single"/>
          <w14:textFill>
            <w14:solidFill>
              <w14:schemeClr w14:val="tx1"/>
            </w14:solidFill>
          </w14:textFill>
        </w:rPr>
        <w:t xml:space="preserve"> （授权委托代理人姓名） </w:t>
      </w:r>
      <w:r>
        <w:rPr>
          <w:rFonts w:hint="eastAsia" w:ascii="宋体" w:hAnsi="宋体" w:eastAsia="宋体" w:cs="宋体"/>
          <w:color w:val="000000" w:themeColor="text1"/>
          <w:sz w:val="24"/>
          <w:szCs w:val="32"/>
          <w:highlight w:val="none"/>
          <w14:textFill>
            <w14:solidFill>
              <w14:schemeClr w14:val="tx1"/>
            </w14:solidFill>
          </w14:textFill>
        </w:rPr>
        <w:t>为授权委托代理人，参加贵单位组织的</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32"/>
          <w:highlight w:val="none"/>
          <w:u w:val="single"/>
          <w14:textFill>
            <w14:solidFill>
              <w14:schemeClr w14:val="tx1"/>
            </w14:solidFill>
          </w14:textFill>
        </w:rPr>
        <w:t>项目</w:t>
      </w:r>
      <w:r>
        <w:rPr>
          <w:rFonts w:hint="eastAsia" w:ascii="宋体" w:hAnsi="宋体" w:eastAsia="宋体" w:cs="宋体"/>
          <w:color w:val="000000" w:themeColor="text1"/>
          <w:sz w:val="24"/>
          <w:szCs w:val="32"/>
          <w:highlight w:val="none"/>
          <w14:textFill>
            <w14:solidFill>
              <w14:schemeClr w14:val="tx1"/>
            </w14:solidFill>
          </w14:textFill>
        </w:rPr>
        <w:t>的采购活动，并代表我方全权办理针对上述项目的磋商、签约等具体事务和签署相关文件。我方对授权委托代理人的签字事项负全部责任。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授权委托代理人无转委托权，特此委托。</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法定代表人（单位负责人）签字或盖章：</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供应商全称（公章）：                      </w:t>
      </w:r>
      <w:r>
        <w:rPr>
          <w:rFonts w:hint="eastAsia" w:ascii="宋体" w:hAnsi="宋体" w:eastAsia="宋体" w:cs="宋体"/>
          <w:color w:val="000000" w:themeColor="text1"/>
          <w:sz w:val="24"/>
          <w:szCs w:val="32"/>
          <w:highlight w:val="none"/>
          <w:lang w:val="zh-CN"/>
          <w14:textFill>
            <w14:solidFill>
              <w14:schemeClr w14:val="tx1"/>
            </w14:solidFill>
          </w14:textFill>
        </w:rPr>
        <w:t>日期：</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授权委托代理人姓名：</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职务：</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传真：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手机：</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详细通讯地址：</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邮政编码：</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p>
    <w:p>
      <w:pPr>
        <w:pStyle w:val="1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附：法定代表人及授权委托人身份证复印件</w:t>
      </w:r>
    </w:p>
    <w:p>
      <w:pPr>
        <w:pStyle w:val="13"/>
        <w:shd w:val="clear"/>
        <w:rPr>
          <w:rFonts w:hint="eastAsia" w:ascii="宋体" w:hAnsi="宋体" w:eastAsia="宋体" w:cs="宋体"/>
          <w:color w:val="000000" w:themeColor="text1"/>
          <w:highlight w:val="none"/>
          <w14:textFill>
            <w14:solidFill>
              <w14:schemeClr w14:val="tx1"/>
            </w14:solidFill>
          </w14:textFill>
        </w:rPr>
      </w:pPr>
    </w:p>
    <w:p>
      <w:pPr>
        <w:pStyle w:val="14"/>
        <w:shd w:val="clear"/>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p>
    <w:p>
      <w:pPr>
        <w:pStyle w:val="12"/>
        <w:shd w:val="clear"/>
        <w:rPr>
          <w:rFonts w:hint="eastAsia" w:ascii="宋体" w:hAnsi="宋体" w:eastAsia="宋体" w:cs="宋体"/>
          <w:color w:val="000000" w:themeColor="text1"/>
          <w:highlight w:val="none"/>
          <w14:textFill>
            <w14:solidFill>
              <w14:schemeClr w14:val="tx1"/>
            </w14:solidFill>
          </w14:textFill>
        </w:rPr>
      </w:pPr>
    </w:p>
    <w:p>
      <w:pPr>
        <w:pStyle w:val="13"/>
        <w:shd w:val="clear"/>
        <w:rPr>
          <w:rFonts w:hint="eastAsia" w:ascii="宋体" w:hAnsi="宋体" w:eastAsia="宋体" w:cs="宋体"/>
          <w:color w:val="000000" w:themeColor="text1"/>
          <w:highlight w:val="none"/>
          <w14:textFill>
            <w14:solidFill>
              <w14:schemeClr w14:val="tx1"/>
            </w14:solidFill>
          </w14:textFill>
        </w:rPr>
      </w:pPr>
    </w:p>
    <w:p>
      <w:pPr>
        <w:pStyle w:val="14"/>
        <w:shd w:val="clear"/>
        <w:rPr>
          <w:rFonts w:hint="eastAsia" w:ascii="宋体" w:hAnsi="宋体" w:eastAsia="宋体" w:cs="宋体"/>
          <w:color w:val="000000" w:themeColor="text1"/>
          <w:highlight w:val="none"/>
          <w14:textFill>
            <w14:solidFill>
              <w14:schemeClr w14:val="tx1"/>
            </w14:solidFill>
          </w14:textFill>
        </w:rPr>
      </w:pPr>
    </w:p>
    <w:p>
      <w:pPr>
        <w:shd w:val="clear"/>
        <w:rPr>
          <w:rFonts w:hint="eastAsia" w:ascii="宋体" w:hAnsi="宋体" w:eastAsia="宋体" w:cs="宋体"/>
          <w:color w:val="000000" w:themeColor="text1"/>
          <w:highlight w:val="none"/>
          <w14:textFill>
            <w14:solidFill>
              <w14:schemeClr w14:val="tx1"/>
            </w14:solidFill>
          </w14:textFill>
        </w:rPr>
      </w:pPr>
    </w:p>
    <w:p>
      <w:pPr>
        <w:pStyle w:val="2"/>
        <w:shd w:val="clear"/>
        <w:rPr>
          <w:rFonts w:hint="eastAsia" w:ascii="宋体" w:hAnsi="宋体" w:eastAsia="宋体" w:cs="宋体"/>
          <w:color w:val="000000" w:themeColor="text1"/>
          <w:highlight w:val="none"/>
          <w14:textFill>
            <w14:solidFill>
              <w14:schemeClr w14:val="tx1"/>
            </w14:solidFill>
          </w14:textFill>
        </w:rPr>
      </w:pPr>
    </w:p>
    <w:p>
      <w:pPr>
        <w:pStyle w:val="12"/>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附件4</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有效的法人或者其他组织的营业执照等证明文件（复印件），自然人的身份证明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说明：</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1.如供应商是企业（包括合伙企业），提供在工商部门注册的有效“企业法人营业执照”或“营业执照”；</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2.如供应商是事业单位，提供有效的“事业单位法人证书”；</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3.如供应商是非企业专业服务机构的，提供执业许可证等证明文件；</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4.如供应商是个体工商户，提供有效的“个体工商户营业执照”；</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5.如供应商是自然人，提供有效的自然人身份证明。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附件5</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依法缴纳税收和社会保障资金的证明文件</w:t>
      </w:r>
    </w:p>
    <w:p>
      <w:pPr>
        <w:shd w:val="clear"/>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磋商供应商名称（公章）：             </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法定代表人（签字或盖章）或授权委托代理人（签字）：</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附件6</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具有良好的商业信誉和健全的财务会计制度的承诺</w:t>
      </w:r>
    </w:p>
    <w:p>
      <w:pPr>
        <w:shd w:val="clear"/>
        <w:spacing w:line="360" w:lineRule="auto"/>
        <w:rPr>
          <w:rFonts w:hint="eastAsia" w:ascii="宋体" w:hAnsi="宋体" w:eastAsia="宋体" w:cs="宋体"/>
          <w:color w:val="000000" w:themeColor="text1"/>
          <w:sz w:val="24"/>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u w:val="singl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14:textFill>
            <w14:solidFill>
              <w14:schemeClr w14:val="tx1"/>
            </w14:solidFill>
          </w14:textFill>
        </w:rPr>
        <w:t>（</w:t>
      </w:r>
      <w:r>
        <w:rPr>
          <w:rFonts w:hint="eastAsia" w:ascii="宋体" w:hAnsi="宋体" w:eastAsia="宋体" w:cs="宋体"/>
          <w:color w:val="000000" w:themeColor="text1"/>
          <w:sz w:val="24"/>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pPr>
        <w:shd w:val="clear"/>
        <w:spacing w:line="360" w:lineRule="auto"/>
        <w:ind w:firstLine="42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针对贵方</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项目，我公司承诺：</w:t>
      </w:r>
    </w:p>
    <w:p>
      <w:pPr>
        <w:pStyle w:val="12"/>
        <w:shd w:val="clear"/>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具有良好的商业信誉和健全的财务会计制度，无处于被责令停业，财产被接管，冻结，破产状态，没有重大违法记录及不良服务记录。</w:t>
      </w:r>
    </w:p>
    <w:p>
      <w:pPr>
        <w:pStyle w:val="12"/>
        <w:shd w:val="clear"/>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在参与本次投标活动中，若虚假承诺，我公司愿意承担由此造成的一切法律后果。</w:t>
      </w:r>
    </w:p>
    <w:p>
      <w:pPr>
        <w:pStyle w:val="9"/>
        <w:shd w:val="clear"/>
        <w:rPr>
          <w:rFonts w:hint="eastAsia" w:ascii="宋体" w:hAnsi="宋体" w:eastAsia="宋体" w:cs="宋体"/>
          <w:color w:val="000000" w:themeColor="text1"/>
          <w:sz w:val="24"/>
          <w:szCs w:val="24"/>
          <w:highlight w:val="none"/>
          <w:lang w:val="zh-CN"/>
          <w14:textFill>
            <w14:solidFill>
              <w14:schemeClr w14:val="tx1"/>
            </w14:solidFill>
          </w14:textFill>
        </w:rPr>
      </w:pPr>
    </w:p>
    <w:p>
      <w:pPr>
        <w:pStyle w:val="23"/>
        <w:shd w:val="clear"/>
        <w:rPr>
          <w:rFonts w:hint="eastAsia" w:ascii="宋体" w:hAnsi="宋体" w:eastAsia="宋体" w:cs="宋体"/>
          <w:color w:val="000000" w:themeColor="text1"/>
          <w:sz w:val="24"/>
          <w:szCs w:val="24"/>
          <w:highlight w:val="none"/>
          <w:lang w:val="zh-CN"/>
          <w14:textFill>
            <w14:solidFill>
              <w14:schemeClr w14:val="tx1"/>
            </w14:solidFill>
          </w14:textFill>
        </w:rPr>
      </w:pPr>
    </w:p>
    <w:p>
      <w:pPr>
        <w:shd w:val="clear"/>
        <w:rPr>
          <w:rFonts w:hint="eastAsia" w:ascii="宋体" w:hAnsi="宋体" w:eastAsia="宋体" w:cs="宋体"/>
          <w:color w:val="000000" w:themeColor="text1"/>
          <w:sz w:val="24"/>
          <w:highlight w:val="none"/>
          <w:lang w:val="zh-CN"/>
          <w14:textFill>
            <w14:solidFill>
              <w14:schemeClr w14:val="tx1"/>
            </w14:solidFill>
          </w14:textFill>
        </w:rPr>
      </w:pPr>
    </w:p>
    <w:p>
      <w:pPr>
        <w:pStyle w:val="9"/>
        <w:shd w:val="clear"/>
        <w:rPr>
          <w:rFonts w:hint="eastAsia" w:ascii="宋体" w:hAnsi="宋体" w:eastAsia="宋体" w:cs="宋体"/>
          <w:color w:val="000000" w:themeColor="text1"/>
          <w:sz w:val="24"/>
          <w:szCs w:val="24"/>
          <w:highlight w:val="none"/>
          <w:lang w:val="zh-CN"/>
          <w14:textFill>
            <w14:solidFill>
              <w14:schemeClr w14:val="tx1"/>
            </w14:solidFill>
          </w14:textFill>
        </w:rPr>
      </w:pPr>
    </w:p>
    <w:p>
      <w:pPr>
        <w:pStyle w:val="23"/>
        <w:shd w:val="clear"/>
        <w:rPr>
          <w:rFonts w:hint="eastAsia" w:ascii="宋体" w:hAnsi="宋体" w:eastAsia="宋体" w:cs="宋体"/>
          <w:color w:val="000000" w:themeColor="text1"/>
          <w:sz w:val="24"/>
          <w:szCs w:val="24"/>
          <w:highlight w:val="none"/>
          <w:lang w:val="zh-CN"/>
          <w14:textFill>
            <w14:solidFill>
              <w14:schemeClr w14:val="tx1"/>
            </w14:solidFill>
          </w14:textFill>
        </w:rPr>
      </w:pPr>
    </w:p>
    <w:p>
      <w:pPr>
        <w:shd w:val="clear"/>
        <w:rPr>
          <w:rFonts w:hint="eastAsia" w:ascii="宋体" w:hAnsi="宋体" w:eastAsia="宋体" w:cs="宋体"/>
          <w:color w:val="000000" w:themeColor="text1"/>
          <w:sz w:val="24"/>
          <w:highlight w:val="none"/>
          <w:lang w:val="zh-CN"/>
          <w14:textFill>
            <w14:solidFill>
              <w14:schemeClr w14:val="tx1"/>
            </w14:solidFill>
          </w14:textFill>
        </w:rPr>
      </w:pPr>
    </w:p>
    <w:p>
      <w:pPr>
        <w:pStyle w:val="9"/>
        <w:shd w:val="clear"/>
        <w:rPr>
          <w:rFonts w:hint="eastAsia" w:ascii="宋体" w:hAnsi="宋体" w:eastAsia="宋体" w:cs="宋体"/>
          <w:color w:val="000000" w:themeColor="text1"/>
          <w:sz w:val="24"/>
          <w:szCs w:val="24"/>
          <w:highlight w:val="none"/>
          <w:lang w:val="zh-CN"/>
          <w14:textFill>
            <w14:solidFill>
              <w14:schemeClr w14:val="tx1"/>
            </w14:solidFill>
          </w14:textFill>
        </w:rPr>
      </w:pPr>
    </w:p>
    <w:p>
      <w:pPr>
        <w:pStyle w:val="23"/>
        <w:shd w:val="clear"/>
        <w:rPr>
          <w:rFonts w:hint="eastAsia" w:ascii="宋体" w:hAnsi="宋体" w:eastAsia="宋体" w:cs="宋体"/>
          <w:color w:val="000000" w:themeColor="text1"/>
          <w:sz w:val="24"/>
          <w:szCs w:val="24"/>
          <w:highlight w:val="none"/>
          <w:lang w:val="zh-CN"/>
          <w14:textFill>
            <w14:solidFill>
              <w14:schemeClr w14:val="tx1"/>
            </w14:solidFill>
          </w14:textFill>
        </w:rPr>
      </w:pPr>
    </w:p>
    <w:p>
      <w:pPr>
        <w:shd w:val="clear"/>
        <w:rPr>
          <w:rFonts w:hint="eastAsia" w:ascii="宋体" w:hAnsi="宋体" w:eastAsia="宋体" w:cs="宋体"/>
          <w:color w:val="000000" w:themeColor="text1"/>
          <w:sz w:val="24"/>
          <w:highlight w:val="none"/>
          <w:lang w:val="zh-CN"/>
          <w14:textFill>
            <w14:solidFill>
              <w14:schemeClr w14:val="tx1"/>
            </w14:solidFill>
          </w14:textFill>
        </w:rPr>
      </w:pPr>
    </w:p>
    <w:p>
      <w:pPr>
        <w:pStyle w:val="9"/>
        <w:shd w:val="clear"/>
        <w:rPr>
          <w:rFonts w:hint="eastAsia" w:ascii="宋体" w:hAnsi="宋体" w:eastAsia="宋体" w:cs="宋体"/>
          <w:color w:val="000000" w:themeColor="text1"/>
          <w:highlight w:val="none"/>
          <w:lang w:val="zh-CN"/>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磋商供应商名称（公章）：             </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法定代表人（签字或盖章）或授权委托代理人（签字）：</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日</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附件7</w:t>
      </w:r>
    </w:p>
    <w:p>
      <w:pPr>
        <w:shd w:val="clear"/>
        <w:spacing w:line="360" w:lineRule="auto"/>
        <w:ind w:firstLine="1200" w:firstLineChars="5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具备履行合同所必需的设备和专业技术能力的承诺函；</w:t>
      </w: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u w:val="singl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14:textFill>
            <w14:solidFill>
              <w14:schemeClr w14:val="tx1"/>
            </w14:solidFill>
          </w14:textFill>
        </w:rPr>
        <w:t>（招标人）、浙江五石中正工程咨询有限公司</w:t>
      </w:r>
    </w:p>
    <w:p>
      <w:pPr>
        <w:pStyle w:val="12"/>
        <w:shd w:val="clear"/>
        <w:ind w:firstLine="42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针对贵方</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highlight w:val="none"/>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，我公司在全面理解招标文件的要求之后，</w:t>
      </w:r>
      <w:r>
        <w:rPr>
          <w:rFonts w:hint="eastAsia" w:ascii="宋体" w:hAnsi="宋体" w:eastAsia="宋体" w:cs="宋体"/>
          <w:color w:val="000000" w:themeColor="text1"/>
          <w:szCs w:val="32"/>
          <w:highlight w:val="none"/>
          <w14:textFill>
            <w14:solidFill>
              <w14:schemeClr w14:val="tx1"/>
            </w14:solidFill>
          </w14:textFill>
        </w:rPr>
        <w:t>郑重承诺：我公司具有履行本项目合同所必须的设备和专业技术能力。</w:t>
      </w: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磋商供应商名称（公章）：             </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法定代表人（签字或盖章）或授权委托代理人（签字）：</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日</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rPr>
          <w:rFonts w:hint="eastAsia" w:ascii="宋体" w:hAnsi="宋体" w:eastAsia="宋体" w:cs="宋体"/>
          <w:bCs/>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附件8</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参加政府采购活动前3年内在经营活动中没有重大违法记录的</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书面声明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声明函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14:textFill>
            <w14:solidFill>
              <w14:schemeClr w14:val="tx1"/>
            </w14:solidFill>
          </w14:textFill>
        </w:rPr>
        <w:t>（招标人）、浙江五石中正工程咨询有限公司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我公司郑重承诺在参加本项目政府采购活动前三年内，在经营活动中</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填写“有”或“没有”，如实填写，如不填写视同未提供本声明函</w:t>
      </w:r>
      <w:r>
        <w:rPr>
          <w:rFonts w:hint="eastAsia" w:ascii="宋体" w:hAnsi="宋体" w:eastAsia="宋体" w:cs="宋体"/>
          <w:color w:val="000000" w:themeColor="text1"/>
          <w:sz w:val="24"/>
          <w:szCs w:val="32"/>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以上事项如有虚假或隐瞒，我方愿意承担一切后果和责任。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特此声明。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磋商供应商名称（公章）：             </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 xml:space="preserve">附件9                    </w:t>
      </w:r>
      <w:r>
        <w:rPr>
          <w:rFonts w:hint="eastAsia" w:ascii="宋体" w:hAnsi="宋体" w:eastAsia="宋体" w:cs="宋体"/>
          <w:b/>
          <w:bCs/>
          <w:color w:val="000000" w:themeColor="text1"/>
          <w:sz w:val="28"/>
          <w:szCs w:val="36"/>
          <w:highlight w:val="none"/>
          <w:lang w:val="zh-CN"/>
          <w14:textFill>
            <w14:solidFill>
              <w14:schemeClr w14:val="tx1"/>
            </w14:solidFill>
          </w14:textFill>
        </w:rPr>
        <w:t>联合体协议</w:t>
      </w:r>
    </w:p>
    <w:p>
      <w:pPr>
        <w:shd w:val="clear"/>
        <w:snapToGrid w:val="0"/>
        <w:spacing w:line="360" w:lineRule="auto"/>
        <w:ind w:firstLine="576"/>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pPr>
        <w:shd w:val="clea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（项目名称）【招标编号：</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r>
        <w:rPr>
          <w:rFonts w:hint="eastAsia" w:ascii="宋体" w:hAnsi="宋体" w:eastAsia="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hd w:val="clea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pStyle w:val="9"/>
        <w:shd w:val="clear"/>
        <w:ind w:firstLine="480"/>
        <w:rPr>
          <w:rFonts w:hint="eastAsia" w:ascii="宋体" w:hAnsi="宋体" w:eastAsia="宋体" w:cs="宋体"/>
          <w:color w:val="000000" w:themeColor="text1"/>
          <w:highlight w:val="none"/>
          <w:lang w:val="zh-CN"/>
          <w14:textFill>
            <w14:solidFill>
              <w14:schemeClr w14:val="tx1"/>
            </w14:solidFill>
          </w14:textFill>
        </w:rPr>
      </w:pPr>
    </w:p>
    <w:p>
      <w:pPr>
        <w:shd w:val="clear"/>
        <w:snapToGrid w:val="0"/>
        <w:spacing w:line="360" w:lineRule="auto"/>
        <w:ind w:firstLine="4080" w:firstLineChars="17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hd w:val="clear"/>
        <w:snapToGrid w:val="0"/>
        <w:spacing w:line="360" w:lineRule="auto"/>
        <w:ind w:firstLine="4080" w:firstLineChars="17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hd w:val="clea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hd w:val="clea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shd w:val="clear"/>
        <w:spacing w:line="380" w:lineRule="exact"/>
        <w:ind w:firstLine="3120" w:firstLineChars="1300"/>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注：协议书中须明确联合体各方在项目招投标、项目合同签订、项目实施等所有阶段中涉及到的工作分工。</w:t>
      </w:r>
    </w:p>
    <w:p>
      <w:pPr>
        <w:shd w:val="clear"/>
        <w:spacing w:line="360" w:lineRule="auto"/>
        <w:jc w:val="center"/>
        <w:rPr>
          <w:rFonts w:hint="eastAsia" w:ascii="宋体" w:hAnsi="宋体" w:eastAsia="宋体" w:cs="宋体"/>
          <w:b/>
          <w:bCs/>
          <w:color w:val="000000" w:themeColor="text1"/>
          <w:sz w:val="36"/>
          <w:szCs w:val="44"/>
          <w:highlight w:val="none"/>
          <w:lang w:val="zh-CN"/>
          <w14:textFill>
            <w14:solidFill>
              <w14:schemeClr w14:val="tx1"/>
            </w14:solidFill>
          </w14:textFill>
        </w:rPr>
      </w:pPr>
      <w:r>
        <w:rPr>
          <w:rFonts w:hint="eastAsia" w:ascii="宋体" w:hAnsi="宋体" w:eastAsia="宋体" w:cs="宋体"/>
          <w:b/>
          <w:bCs/>
          <w:color w:val="000000" w:themeColor="text1"/>
          <w:sz w:val="36"/>
          <w:szCs w:val="44"/>
          <w:highlight w:val="none"/>
          <w:lang w:val="zh-CN"/>
          <w14:textFill>
            <w14:solidFill>
              <w14:schemeClr w14:val="tx1"/>
            </w14:solidFill>
          </w14:textFill>
        </w:rPr>
        <w:t>商务与技术文件目录</w:t>
      </w:r>
    </w:p>
    <w:p>
      <w:pPr>
        <w:shd w:val="clear"/>
        <w:spacing w:line="360" w:lineRule="auto"/>
        <w:ind w:firstLine="560" w:firstLineChars="200"/>
        <w:rPr>
          <w:rFonts w:hint="eastAsia" w:ascii="宋体" w:hAnsi="宋体" w:eastAsia="宋体" w:cs="宋体"/>
          <w:color w:val="000000" w:themeColor="text1"/>
          <w:sz w:val="28"/>
          <w:szCs w:val="36"/>
          <w:highlight w:val="none"/>
          <w:lang w:val="zh-CN"/>
          <w14:textFill>
            <w14:solidFill>
              <w14:schemeClr w14:val="tx1"/>
            </w14:solidFill>
          </w14:textFill>
        </w:rPr>
      </w:pPr>
      <w:r>
        <w:rPr>
          <w:rFonts w:hint="eastAsia" w:ascii="宋体" w:hAnsi="宋体" w:eastAsia="宋体" w:cs="宋体"/>
          <w:color w:val="000000" w:themeColor="text1"/>
          <w:sz w:val="28"/>
          <w:szCs w:val="36"/>
          <w:highlight w:val="none"/>
          <w:lang w:val="zh-CN"/>
          <w14:textFill>
            <w14:solidFill>
              <w14:schemeClr w14:val="tx1"/>
            </w14:solidFill>
          </w14:textFill>
        </w:rPr>
        <w:t>（1）</w:t>
      </w:r>
      <w:r>
        <w:rPr>
          <w:rFonts w:hint="eastAsia" w:ascii="宋体" w:hAnsi="宋体" w:eastAsia="宋体" w:cs="宋体"/>
          <w:color w:val="000000" w:themeColor="text1"/>
          <w:sz w:val="28"/>
          <w:szCs w:val="36"/>
          <w:highlight w:val="none"/>
          <w:lang w:val="zh-CN"/>
          <w14:textFill>
            <w14:solidFill>
              <w14:schemeClr w14:val="tx1"/>
            </w14:solidFill>
          </w14:textFill>
        </w:rPr>
        <w:tab/>
      </w:r>
      <w:r>
        <w:rPr>
          <w:rFonts w:hint="eastAsia" w:ascii="宋体" w:hAnsi="宋体" w:eastAsia="宋体" w:cs="宋体"/>
          <w:color w:val="000000" w:themeColor="text1"/>
          <w:sz w:val="28"/>
          <w:szCs w:val="36"/>
          <w:highlight w:val="none"/>
          <w:lang w:val="zh-CN"/>
          <w14:textFill>
            <w14:solidFill>
              <w14:schemeClr w14:val="tx1"/>
            </w14:solidFill>
          </w14:textFill>
        </w:rPr>
        <w:t>供应商情况介绍一览表（格式见附件）；</w:t>
      </w:r>
    </w:p>
    <w:p>
      <w:pPr>
        <w:shd w:val="clear"/>
        <w:spacing w:line="360" w:lineRule="auto"/>
        <w:ind w:firstLine="560" w:firstLineChars="200"/>
        <w:rPr>
          <w:rFonts w:hint="eastAsia" w:ascii="宋体" w:hAnsi="宋体" w:eastAsia="宋体" w:cs="宋体"/>
          <w:color w:val="000000" w:themeColor="text1"/>
          <w:sz w:val="28"/>
          <w:szCs w:val="36"/>
          <w:highlight w:val="none"/>
          <w:lang w:val="zh-CN"/>
          <w14:textFill>
            <w14:solidFill>
              <w14:schemeClr w14:val="tx1"/>
            </w14:solidFill>
          </w14:textFill>
        </w:rPr>
      </w:pPr>
      <w:r>
        <w:rPr>
          <w:rFonts w:hint="eastAsia" w:ascii="宋体" w:hAnsi="宋体" w:eastAsia="宋体" w:cs="宋体"/>
          <w:color w:val="000000" w:themeColor="text1"/>
          <w:sz w:val="28"/>
          <w:szCs w:val="36"/>
          <w:highlight w:val="none"/>
          <w:lang w:val="zh-CN"/>
          <w14:textFill>
            <w14:solidFill>
              <w14:schemeClr w14:val="tx1"/>
            </w14:solidFill>
          </w14:textFill>
        </w:rPr>
        <w:t>（2）评标办法里的资信部分评分内容；</w:t>
      </w:r>
    </w:p>
    <w:p>
      <w:pPr>
        <w:shd w:val="clear"/>
        <w:spacing w:line="360" w:lineRule="auto"/>
        <w:ind w:firstLine="560" w:firstLineChars="200"/>
        <w:rPr>
          <w:rFonts w:hint="eastAsia" w:ascii="宋体" w:hAnsi="宋体" w:eastAsia="宋体" w:cs="宋体"/>
          <w:color w:val="000000" w:themeColor="text1"/>
          <w:sz w:val="28"/>
          <w:szCs w:val="36"/>
          <w:highlight w:val="none"/>
          <w:lang w:val="zh-CN"/>
          <w14:textFill>
            <w14:solidFill>
              <w14:schemeClr w14:val="tx1"/>
            </w14:solidFill>
          </w14:textFill>
        </w:rPr>
      </w:pPr>
      <w:r>
        <w:rPr>
          <w:rFonts w:hint="eastAsia" w:ascii="宋体" w:hAnsi="宋体" w:eastAsia="宋体" w:cs="宋体"/>
          <w:color w:val="000000" w:themeColor="text1"/>
          <w:sz w:val="28"/>
          <w:szCs w:val="36"/>
          <w:highlight w:val="none"/>
          <w:lang w:val="zh-CN"/>
          <w14:textFill>
            <w14:solidFill>
              <w14:schemeClr w14:val="tx1"/>
            </w14:solidFill>
          </w14:textFill>
        </w:rPr>
        <w:t>（3）商务偏离表（格式见附件）；</w:t>
      </w:r>
    </w:p>
    <w:p>
      <w:pPr>
        <w:shd w:val="clear"/>
        <w:spacing w:line="360" w:lineRule="auto"/>
        <w:ind w:firstLine="560" w:firstLineChars="200"/>
        <w:rPr>
          <w:rFonts w:hint="eastAsia" w:ascii="宋体" w:hAnsi="宋体" w:eastAsia="宋体" w:cs="宋体"/>
          <w:color w:val="000000" w:themeColor="text1"/>
          <w:sz w:val="28"/>
          <w:szCs w:val="36"/>
          <w:highlight w:val="none"/>
          <w:lang w:val="zh-CN"/>
          <w14:textFill>
            <w14:solidFill>
              <w14:schemeClr w14:val="tx1"/>
            </w14:solidFill>
          </w14:textFill>
        </w:rPr>
      </w:pPr>
      <w:r>
        <w:rPr>
          <w:rFonts w:hint="eastAsia" w:ascii="宋体" w:hAnsi="宋体" w:eastAsia="宋体" w:cs="宋体"/>
          <w:color w:val="000000" w:themeColor="text1"/>
          <w:sz w:val="28"/>
          <w:szCs w:val="36"/>
          <w:highlight w:val="none"/>
          <w:lang w:val="zh-CN"/>
          <w14:textFill>
            <w14:solidFill>
              <w14:schemeClr w14:val="tx1"/>
            </w14:solidFill>
          </w14:textFill>
        </w:rPr>
        <w:t>（4）项目整体技术响应方案：根据评标办法自行编制；</w:t>
      </w:r>
    </w:p>
    <w:p>
      <w:pPr>
        <w:shd w:val="clear"/>
        <w:spacing w:line="360" w:lineRule="auto"/>
        <w:ind w:firstLine="560" w:firstLineChars="200"/>
        <w:rPr>
          <w:rFonts w:hint="eastAsia" w:ascii="宋体" w:hAnsi="宋体" w:eastAsia="宋体" w:cs="宋体"/>
          <w:color w:val="000000" w:themeColor="text1"/>
          <w:sz w:val="28"/>
          <w:szCs w:val="36"/>
          <w:highlight w:val="none"/>
          <w:lang w:val="zh-CN"/>
          <w14:textFill>
            <w14:solidFill>
              <w14:schemeClr w14:val="tx1"/>
            </w14:solidFill>
          </w14:textFill>
        </w:rPr>
      </w:pPr>
      <w:r>
        <w:rPr>
          <w:rFonts w:hint="eastAsia" w:ascii="宋体" w:hAnsi="宋体" w:eastAsia="宋体" w:cs="宋体"/>
          <w:color w:val="000000" w:themeColor="text1"/>
          <w:sz w:val="28"/>
          <w:szCs w:val="36"/>
          <w:highlight w:val="none"/>
          <w:lang w:val="zh-CN"/>
          <w14:textFill>
            <w14:solidFill>
              <w14:schemeClr w14:val="tx1"/>
            </w14:solidFill>
          </w14:textFill>
        </w:rPr>
        <w:t>（5）项目实施人员一览表（格式见附件）；</w:t>
      </w:r>
    </w:p>
    <w:p>
      <w:pPr>
        <w:shd w:val="clear"/>
        <w:spacing w:line="360" w:lineRule="auto"/>
        <w:ind w:firstLine="560" w:firstLineChars="200"/>
        <w:rPr>
          <w:rFonts w:hint="eastAsia" w:ascii="宋体" w:hAnsi="宋体" w:eastAsia="宋体" w:cs="宋体"/>
          <w:color w:val="000000" w:themeColor="text1"/>
          <w:sz w:val="28"/>
          <w:szCs w:val="36"/>
          <w:highlight w:val="none"/>
          <w:lang w:val="zh-CN"/>
          <w14:textFill>
            <w14:solidFill>
              <w14:schemeClr w14:val="tx1"/>
            </w14:solidFill>
          </w14:textFill>
        </w:rPr>
      </w:pPr>
      <w:r>
        <w:rPr>
          <w:rFonts w:hint="eastAsia" w:ascii="宋体" w:hAnsi="宋体" w:eastAsia="宋体" w:cs="宋体"/>
          <w:color w:val="000000" w:themeColor="text1"/>
          <w:sz w:val="28"/>
          <w:szCs w:val="36"/>
          <w:highlight w:val="none"/>
          <w:lang w:val="zh-CN"/>
          <w14:textFill>
            <w14:solidFill>
              <w14:schemeClr w14:val="tx1"/>
            </w14:solidFill>
          </w14:textFill>
        </w:rPr>
        <w:t>（6）售后服务方案；</w:t>
      </w:r>
    </w:p>
    <w:p>
      <w:pPr>
        <w:shd w:val="clear"/>
        <w:spacing w:line="360" w:lineRule="auto"/>
        <w:ind w:firstLine="560" w:firstLineChars="200"/>
        <w:rPr>
          <w:rFonts w:hint="eastAsia" w:ascii="宋体" w:hAnsi="宋体" w:eastAsia="宋体" w:cs="宋体"/>
          <w:color w:val="000000" w:themeColor="text1"/>
          <w:sz w:val="28"/>
          <w:szCs w:val="36"/>
          <w:highlight w:val="none"/>
          <w:lang w:val="zh-CN"/>
          <w14:textFill>
            <w14:solidFill>
              <w14:schemeClr w14:val="tx1"/>
            </w14:solidFill>
          </w14:textFill>
        </w:rPr>
      </w:pPr>
      <w:r>
        <w:rPr>
          <w:rFonts w:hint="eastAsia" w:ascii="宋体" w:hAnsi="宋体" w:eastAsia="宋体" w:cs="宋体"/>
          <w:color w:val="000000" w:themeColor="text1"/>
          <w:sz w:val="28"/>
          <w:szCs w:val="36"/>
          <w:highlight w:val="none"/>
          <w:lang w:val="zh-CN"/>
          <w14:textFill>
            <w14:solidFill>
              <w14:schemeClr w14:val="tx1"/>
            </w14:solidFill>
          </w14:textFill>
        </w:rPr>
        <w:t>（7）培训方案；</w:t>
      </w:r>
    </w:p>
    <w:p>
      <w:pPr>
        <w:shd w:val="clear"/>
        <w:spacing w:line="360" w:lineRule="auto"/>
        <w:ind w:firstLine="560" w:firstLineChars="200"/>
        <w:rPr>
          <w:rFonts w:hint="eastAsia" w:ascii="宋体" w:hAnsi="宋体" w:eastAsia="宋体" w:cs="宋体"/>
          <w:color w:val="000000" w:themeColor="text1"/>
          <w:sz w:val="28"/>
          <w:szCs w:val="36"/>
          <w:highlight w:val="none"/>
          <w:lang w:val="zh-CN"/>
          <w14:textFill>
            <w14:solidFill>
              <w14:schemeClr w14:val="tx1"/>
            </w14:solidFill>
          </w14:textFill>
        </w:rPr>
      </w:pPr>
      <w:r>
        <w:rPr>
          <w:rFonts w:hint="eastAsia" w:ascii="宋体" w:hAnsi="宋体" w:eastAsia="宋体" w:cs="宋体"/>
          <w:color w:val="000000" w:themeColor="text1"/>
          <w:sz w:val="28"/>
          <w:szCs w:val="36"/>
          <w:highlight w:val="none"/>
          <w:lang w:val="zh-CN"/>
          <w14:textFill>
            <w14:solidFill>
              <w14:schemeClr w14:val="tx1"/>
            </w14:solidFill>
          </w14:textFill>
        </w:rPr>
        <w:t>（8）技术偏离表（格式见附件）；</w:t>
      </w:r>
    </w:p>
    <w:p>
      <w:pPr>
        <w:shd w:val="clear"/>
        <w:spacing w:line="360" w:lineRule="auto"/>
        <w:ind w:firstLine="560" w:firstLineChars="200"/>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lang w:val="zh-CN"/>
          <w14:textFill>
            <w14:solidFill>
              <w14:schemeClr w14:val="tx1"/>
            </w14:solidFill>
          </w14:textFill>
        </w:rPr>
        <w:t>（9）供应商认为需要提供的其他资料；</w:t>
      </w:r>
      <w:r>
        <w:rPr>
          <w:rFonts w:hint="eastAsia" w:ascii="宋体" w:hAnsi="宋体" w:eastAsia="宋体" w:cs="宋体"/>
          <w:color w:val="000000" w:themeColor="text1"/>
          <w:sz w:val="28"/>
          <w:szCs w:val="36"/>
          <w:highlight w:val="none"/>
          <w:lang w:val="zh-CN"/>
          <w14:textFill>
            <w14:solidFill>
              <w14:schemeClr w14:val="tx1"/>
            </w14:solidFill>
          </w14:textFill>
        </w:rPr>
        <w:br w:type="page"/>
      </w:r>
    </w:p>
    <w:p>
      <w:pPr>
        <w:shd w:val="clea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附件10</w:t>
      </w: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供应商基本情况表</w:t>
      </w:r>
    </w:p>
    <w:tbl>
      <w:tblPr>
        <w:tblStyle w:val="8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951"/>
        <w:gridCol w:w="942"/>
        <w:gridCol w:w="761"/>
        <w:gridCol w:w="181"/>
        <w:gridCol w:w="858"/>
        <w:gridCol w:w="85"/>
        <w:gridCol w:w="942"/>
        <w:gridCol w:w="781"/>
        <w:gridCol w:w="171"/>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8310" w:type="dxa"/>
            <w:gridSpan w:val="11"/>
            <w:tcBorders>
              <w:top w:val="single" w:color="000000" w:sz="2" w:space="0"/>
              <w:bottom w:val="single" w:color="000000" w:sz="2" w:space="0"/>
            </w:tcBorders>
          </w:tcPr>
          <w:p>
            <w:pPr>
              <w:shd w:val="clear"/>
              <w:spacing w:before="262" w:line="221" w:lineRule="auto"/>
              <w:ind w:firstLine="4261"/>
              <w:rPr>
                <w:rFonts w:hint="eastAsia" w:ascii="宋体" w:hAnsi="宋体" w:eastAsia="宋体" w:cs="宋体"/>
                <w:snapToGrid w:val="0"/>
                <w:color w:val="000000" w:themeColor="text1"/>
                <w:sz w:val="24"/>
                <w:highlight w:val="none"/>
                <w14:textFill>
                  <w14:solidFill>
                    <w14:schemeClr w14:val="tx1"/>
                  </w14:solidFill>
                </w14:textFill>
              </w:rPr>
            </w:pPr>
            <w:bookmarkStart w:id="20" w:name="_Hlk117792236"/>
            <w:r>
              <w:rPr>
                <w:rFonts w:hint="eastAsia" w:ascii="宋体" w:hAnsi="宋体" w:eastAsia="宋体" w:cs="宋体"/>
                <w:snapToGrid w:val="0"/>
                <w:color w:val="000000" w:themeColor="text1"/>
                <w:spacing w:val="-3"/>
                <w:sz w:val="24"/>
                <w:highlight w:val="none"/>
                <w14:textFill>
                  <w14:solidFill>
                    <w14:schemeClr w14:val="tx1"/>
                  </w14:solidFill>
                </w14:textFill>
              </w:rPr>
              <w:t>企业情况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414" w:type="dxa"/>
            <w:tcBorders>
              <w:top w:val="single" w:color="000000" w:sz="2" w:space="0"/>
              <w:bottom w:val="single" w:color="000000" w:sz="2" w:space="0"/>
            </w:tcBorders>
          </w:tcPr>
          <w:p>
            <w:pPr>
              <w:shd w:val="clear"/>
              <w:spacing w:before="258" w:line="221" w:lineRule="auto"/>
              <w:ind w:firstLine="330"/>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3"/>
                <w:sz w:val="24"/>
                <w:highlight w:val="none"/>
                <w14:textFill>
                  <w14:solidFill>
                    <w14:schemeClr w14:val="tx1"/>
                  </w14:solidFill>
                </w14:textFill>
              </w:rPr>
              <w:t>单位名称</w:t>
            </w:r>
          </w:p>
        </w:tc>
        <w:tc>
          <w:tcPr>
            <w:tcW w:w="6896" w:type="dxa"/>
            <w:gridSpan w:val="10"/>
            <w:tcBorders>
              <w:top w:val="single" w:color="000000" w:sz="2" w:space="0"/>
              <w:bottom w:val="single" w:color="000000" w:sz="2" w:space="0"/>
            </w:tcBorders>
          </w:tcPr>
          <w:p>
            <w:pPr>
              <w:shd w:val="clear"/>
              <w:rPr>
                <w:rFonts w:hint="eastAsia" w:ascii="宋体" w:hAnsi="宋体" w:eastAsia="宋体" w:cs="宋体"/>
                <w:snapToGrid w:val="0"/>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414" w:type="dxa"/>
            <w:tcBorders>
              <w:top w:val="single" w:color="000000" w:sz="2" w:space="0"/>
              <w:bottom w:val="single" w:color="000000" w:sz="2" w:space="0"/>
            </w:tcBorders>
          </w:tcPr>
          <w:p>
            <w:pPr>
              <w:shd w:val="clear"/>
              <w:spacing w:before="257" w:line="230" w:lineRule="auto"/>
              <w:ind w:firstLine="448"/>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5"/>
                <w:sz w:val="24"/>
                <w:highlight w:val="none"/>
                <w14:textFill>
                  <w14:solidFill>
                    <w14:schemeClr w14:val="tx1"/>
                  </w14:solidFill>
                </w14:textFill>
              </w:rPr>
              <w:t>地</w:t>
            </w:r>
            <w:r>
              <w:rPr>
                <w:rFonts w:hint="eastAsia" w:ascii="宋体" w:hAnsi="宋体" w:eastAsia="宋体" w:cs="宋体"/>
                <w:snapToGrid w:val="0"/>
                <w:color w:val="000000" w:themeColor="text1"/>
                <w:spacing w:val="5"/>
                <w:sz w:val="24"/>
                <w:highlight w:val="none"/>
                <w14:textFill>
                  <w14:solidFill>
                    <w14:schemeClr w14:val="tx1"/>
                  </w14:solidFill>
                </w14:textFill>
              </w:rPr>
              <w:t xml:space="preserve">  </w:t>
            </w:r>
            <w:r>
              <w:rPr>
                <w:rFonts w:hint="eastAsia" w:ascii="宋体" w:hAnsi="宋体" w:eastAsia="宋体" w:cs="宋体"/>
                <w:snapToGrid w:val="0"/>
                <w:color w:val="000000" w:themeColor="text1"/>
                <w:spacing w:val="-5"/>
                <w:sz w:val="24"/>
                <w:highlight w:val="none"/>
                <w14:textFill>
                  <w14:solidFill>
                    <w14:schemeClr w14:val="tx1"/>
                  </w14:solidFill>
                </w14:textFill>
              </w:rPr>
              <w:t>址</w:t>
            </w:r>
          </w:p>
        </w:tc>
        <w:tc>
          <w:tcPr>
            <w:tcW w:w="3693" w:type="dxa"/>
            <w:gridSpan w:val="5"/>
            <w:tcBorders>
              <w:top w:val="single" w:color="000000" w:sz="2" w:space="0"/>
              <w:bottom w:val="single" w:color="000000" w:sz="2" w:space="0"/>
            </w:tcBorders>
          </w:tcPr>
          <w:p>
            <w:pPr>
              <w:shd w:val="clear"/>
              <w:rPr>
                <w:rFonts w:hint="eastAsia" w:ascii="宋体" w:hAnsi="宋体" w:eastAsia="宋体" w:cs="宋体"/>
                <w:snapToGrid w:val="0"/>
                <w:color w:val="000000" w:themeColor="text1"/>
                <w:highlight w:val="none"/>
                <w14:textFill>
                  <w14:solidFill>
                    <w14:schemeClr w14:val="tx1"/>
                  </w14:solidFill>
                </w14:textFill>
              </w:rPr>
            </w:pPr>
          </w:p>
        </w:tc>
        <w:tc>
          <w:tcPr>
            <w:tcW w:w="1808" w:type="dxa"/>
            <w:gridSpan w:val="3"/>
            <w:tcBorders>
              <w:top w:val="single" w:color="000000" w:sz="2" w:space="0"/>
              <w:bottom w:val="single" w:color="000000" w:sz="2" w:space="0"/>
            </w:tcBorders>
          </w:tcPr>
          <w:p>
            <w:pPr>
              <w:shd w:val="clear"/>
              <w:spacing w:before="258" w:line="220" w:lineRule="auto"/>
              <w:ind w:firstLine="195"/>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2"/>
                <w:sz w:val="24"/>
                <w:highlight w:val="none"/>
                <w14:textFill>
                  <w14:solidFill>
                    <w14:schemeClr w14:val="tx1"/>
                  </w14:solidFill>
                </w14:textFill>
              </w:rPr>
              <w:t>法定代表人</w:t>
            </w:r>
          </w:p>
        </w:tc>
        <w:tc>
          <w:tcPr>
            <w:tcW w:w="1395" w:type="dxa"/>
            <w:gridSpan w:val="2"/>
            <w:tcBorders>
              <w:top w:val="single" w:color="000000" w:sz="2" w:space="0"/>
              <w:bottom w:val="single" w:color="000000" w:sz="2" w:space="0"/>
            </w:tcBorders>
          </w:tcPr>
          <w:p>
            <w:pPr>
              <w:shd w:val="clear"/>
              <w:rPr>
                <w:rFonts w:hint="eastAsia" w:ascii="宋体" w:hAnsi="宋体" w:eastAsia="宋体" w:cs="宋体"/>
                <w:snapToGrid w:val="0"/>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414" w:type="dxa"/>
            <w:tcBorders>
              <w:top w:val="single" w:color="000000" w:sz="2" w:space="0"/>
              <w:bottom w:val="single" w:color="000000" w:sz="2" w:space="0"/>
            </w:tcBorders>
          </w:tcPr>
          <w:p>
            <w:pPr>
              <w:shd w:val="clear"/>
              <w:spacing w:before="258" w:line="222" w:lineRule="auto"/>
              <w:ind w:firstLine="330"/>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3"/>
                <w:sz w:val="24"/>
                <w:highlight w:val="none"/>
                <w14:textFill>
                  <w14:solidFill>
                    <w14:schemeClr w14:val="tx1"/>
                  </w14:solidFill>
                </w14:textFill>
              </w:rPr>
              <w:t>成立时间</w:t>
            </w:r>
          </w:p>
        </w:tc>
        <w:tc>
          <w:tcPr>
            <w:tcW w:w="3693" w:type="dxa"/>
            <w:gridSpan w:val="5"/>
            <w:tcBorders>
              <w:top w:val="single" w:color="000000" w:sz="2" w:space="0"/>
              <w:bottom w:val="single" w:color="000000" w:sz="2" w:space="0"/>
            </w:tcBorders>
          </w:tcPr>
          <w:p>
            <w:pPr>
              <w:shd w:val="clear"/>
              <w:rPr>
                <w:rFonts w:hint="eastAsia" w:ascii="宋体" w:hAnsi="宋体" w:eastAsia="宋体" w:cs="宋体"/>
                <w:snapToGrid w:val="0"/>
                <w:color w:val="000000" w:themeColor="text1"/>
                <w:highlight w:val="none"/>
                <w14:textFill>
                  <w14:solidFill>
                    <w14:schemeClr w14:val="tx1"/>
                  </w14:solidFill>
                </w14:textFill>
              </w:rPr>
            </w:pPr>
          </w:p>
        </w:tc>
        <w:tc>
          <w:tcPr>
            <w:tcW w:w="1808" w:type="dxa"/>
            <w:gridSpan w:val="3"/>
            <w:tcBorders>
              <w:top w:val="single" w:color="000000" w:sz="2" w:space="0"/>
              <w:bottom w:val="single" w:color="000000" w:sz="2" w:space="0"/>
            </w:tcBorders>
          </w:tcPr>
          <w:p>
            <w:pPr>
              <w:shd w:val="clear"/>
              <w:spacing w:before="258" w:line="220" w:lineRule="auto"/>
              <w:ind w:firstLine="314"/>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2"/>
                <w:sz w:val="24"/>
                <w:highlight w:val="none"/>
                <w14:textFill>
                  <w14:solidFill>
                    <w14:schemeClr w14:val="tx1"/>
                  </w14:solidFill>
                </w14:textFill>
              </w:rPr>
              <w:t>注册资本</w:t>
            </w:r>
          </w:p>
        </w:tc>
        <w:tc>
          <w:tcPr>
            <w:tcW w:w="1395" w:type="dxa"/>
            <w:gridSpan w:val="2"/>
            <w:tcBorders>
              <w:top w:val="single" w:color="000000" w:sz="2" w:space="0"/>
              <w:bottom w:val="single" w:color="000000" w:sz="2" w:space="0"/>
            </w:tcBorders>
          </w:tcPr>
          <w:p>
            <w:pPr>
              <w:shd w:val="clear"/>
              <w:rPr>
                <w:rFonts w:hint="eastAsia" w:ascii="宋体" w:hAnsi="宋体" w:eastAsia="宋体" w:cs="宋体"/>
                <w:snapToGrid w:val="0"/>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414" w:type="dxa"/>
            <w:tcBorders>
              <w:top w:val="single" w:color="000000" w:sz="2" w:space="0"/>
              <w:bottom w:val="single" w:color="000000" w:sz="2" w:space="0"/>
            </w:tcBorders>
          </w:tcPr>
          <w:p>
            <w:pPr>
              <w:shd w:val="clear"/>
              <w:spacing w:before="260" w:line="221" w:lineRule="auto"/>
              <w:ind w:firstLine="329"/>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2"/>
                <w:sz w:val="24"/>
                <w:highlight w:val="none"/>
                <w14:textFill>
                  <w14:solidFill>
                    <w14:schemeClr w14:val="tx1"/>
                  </w14:solidFill>
                </w14:textFill>
              </w:rPr>
              <w:t>开户银行</w:t>
            </w:r>
          </w:p>
        </w:tc>
        <w:tc>
          <w:tcPr>
            <w:tcW w:w="2654" w:type="dxa"/>
            <w:gridSpan w:val="3"/>
            <w:tcBorders>
              <w:top w:val="single" w:color="000000" w:sz="2" w:space="0"/>
              <w:bottom w:val="single" w:color="000000" w:sz="2" w:space="0"/>
            </w:tcBorders>
          </w:tcPr>
          <w:p>
            <w:pPr>
              <w:shd w:val="clear"/>
              <w:rPr>
                <w:rFonts w:hint="eastAsia" w:ascii="宋体" w:hAnsi="宋体" w:eastAsia="宋体" w:cs="宋体"/>
                <w:snapToGrid w:val="0"/>
                <w:color w:val="000000" w:themeColor="text1"/>
                <w:highlight w:val="none"/>
                <w14:textFill>
                  <w14:solidFill>
                    <w14:schemeClr w14:val="tx1"/>
                  </w14:solidFill>
                </w14:textFill>
              </w:rPr>
            </w:pPr>
          </w:p>
        </w:tc>
        <w:tc>
          <w:tcPr>
            <w:tcW w:w="1039" w:type="dxa"/>
            <w:gridSpan w:val="2"/>
            <w:tcBorders>
              <w:top w:val="single" w:color="000000" w:sz="2" w:space="0"/>
              <w:bottom w:val="single" w:color="000000" w:sz="2" w:space="0"/>
            </w:tcBorders>
          </w:tcPr>
          <w:p>
            <w:pPr>
              <w:shd w:val="clear"/>
              <w:spacing w:before="260" w:line="221" w:lineRule="auto"/>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10"/>
                <w:sz w:val="24"/>
                <w:highlight w:val="none"/>
                <w14:textFill>
                  <w14:solidFill>
                    <w14:schemeClr w14:val="tx1"/>
                  </w14:solidFill>
                </w14:textFill>
              </w:rPr>
              <w:t>帐</w:t>
            </w:r>
            <w:r>
              <w:rPr>
                <w:rFonts w:hint="eastAsia" w:ascii="宋体" w:hAnsi="宋体" w:eastAsia="宋体" w:cs="宋体"/>
                <w:snapToGrid w:val="0"/>
                <w:color w:val="000000" w:themeColor="text1"/>
                <w:spacing w:val="8"/>
                <w:sz w:val="24"/>
                <w:highlight w:val="none"/>
                <w14:textFill>
                  <w14:solidFill>
                    <w14:schemeClr w14:val="tx1"/>
                  </w14:solidFill>
                </w14:textFill>
              </w:rPr>
              <w:t xml:space="preserve">  </w:t>
            </w:r>
            <w:r>
              <w:rPr>
                <w:rFonts w:hint="eastAsia" w:ascii="宋体" w:hAnsi="宋体" w:eastAsia="宋体" w:cs="宋体"/>
                <w:snapToGrid w:val="0"/>
                <w:color w:val="000000" w:themeColor="text1"/>
                <w:spacing w:val="-10"/>
                <w:sz w:val="24"/>
                <w:highlight w:val="none"/>
                <w14:textFill>
                  <w14:solidFill>
                    <w14:schemeClr w14:val="tx1"/>
                  </w14:solidFill>
                </w14:textFill>
              </w:rPr>
              <w:t>号</w:t>
            </w:r>
          </w:p>
        </w:tc>
        <w:tc>
          <w:tcPr>
            <w:tcW w:w="3203" w:type="dxa"/>
            <w:gridSpan w:val="5"/>
            <w:tcBorders>
              <w:top w:val="single" w:color="000000" w:sz="2" w:space="0"/>
              <w:bottom w:val="single" w:color="000000" w:sz="2" w:space="0"/>
            </w:tcBorders>
          </w:tcPr>
          <w:p>
            <w:pPr>
              <w:shd w:val="clear"/>
              <w:rPr>
                <w:rFonts w:hint="eastAsia" w:ascii="宋体" w:hAnsi="宋体" w:eastAsia="宋体" w:cs="宋体"/>
                <w:snapToGrid w:val="0"/>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414" w:type="dxa"/>
            <w:tcBorders>
              <w:top w:val="single" w:color="000000" w:sz="2" w:space="0"/>
              <w:bottom w:val="single" w:color="000000" w:sz="2" w:space="0"/>
            </w:tcBorders>
          </w:tcPr>
          <w:p>
            <w:pPr>
              <w:shd w:val="clear"/>
              <w:spacing w:before="317" w:line="220" w:lineRule="auto"/>
              <w:ind w:firstLine="212"/>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3"/>
                <w:sz w:val="24"/>
                <w:highlight w:val="none"/>
                <w14:textFill>
                  <w14:solidFill>
                    <w14:schemeClr w14:val="tx1"/>
                  </w14:solidFill>
                </w14:textFill>
              </w:rPr>
              <w:t>企业总人数</w:t>
            </w:r>
          </w:p>
        </w:tc>
        <w:tc>
          <w:tcPr>
            <w:tcW w:w="951" w:type="dxa"/>
            <w:tcBorders>
              <w:top w:val="single" w:color="000000" w:sz="2" w:space="0"/>
              <w:bottom w:val="single" w:color="000000" w:sz="2" w:space="0"/>
            </w:tcBorders>
          </w:tcPr>
          <w:p>
            <w:pPr>
              <w:shd w:val="clear"/>
              <w:rPr>
                <w:rFonts w:hint="eastAsia" w:ascii="宋体" w:hAnsi="宋体" w:eastAsia="宋体" w:cs="宋体"/>
                <w:snapToGrid w:val="0"/>
                <w:color w:val="000000" w:themeColor="text1"/>
                <w:highlight w:val="none"/>
                <w14:textFill>
                  <w14:solidFill>
                    <w14:schemeClr w14:val="tx1"/>
                  </w14:solidFill>
                </w14:textFill>
              </w:rPr>
            </w:pPr>
          </w:p>
        </w:tc>
        <w:tc>
          <w:tcPr>
            <w:tcW w:w="942" w:type="dxa"/>
            <w:tcBorders>
              <w:top w:val="single" w:color="000000" w:sz="2" w:space="0"/>
              <w:bottom w:val="single" w:color="000000" w:sz="2" w:space="0"/>
            </w:tcBorders>
          </w:tcPr>
          <w:p>
            <w:pPr>
              <w:shd w:val="clear"/>
              <w:spacing w:before="116" w:line="400" w:lineRule="exact"/>
              <w:ind w:firstLine="304"/>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4"/>
                <w:position w:val="11"/>
                <w:sz w:val="24"/>
                <w:highlight w:val="none"/>
                <w14:textFill>
                  <w14:solidFill>
                    <w14:schemeClr w14:val="tx1"/>
                  </w14:solidFill>
                </w14:textFill>
              </w:rPr>
              <w:t>管理</w:t>
            </w:r>
          </w:p>
          <w:p>
            <w:pPr>
              <w:shd w:val="clear"/>
              <w:spacing w:before="1" w:line="220" w:lineRule="auto"/>
              <w:ind w:firstLine="301"/>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3"/>
                <w:sz w:val="24"/>
                <w:highlight w:val="none"/>
                <w14:textFill>
                  <w14:solidFill>
                    <w14:schemeClr w14:val="tx1"/>
                  </w14:solidFill>
                </w14:textFill>
              </w:rPr>
              <w:t>人员</w:t>
            </w:r>
          </w:p>
        </w:tc>
        <w:tc>
          <w:tcPr>
            <w:tcW w:w="942" w:type="dxa"/>
            <w:gridSpan w:val="2"/>
            <w:tcBorders>
              <w:top w:val="single" w:color="000000" w:sz="2" w:space="0"/>
              <w:bottom w:val="single" w:color="000000" w:sz="2" w:space="0"/>
            </w:tcBorders>
          </w:tcPr>
          <w:p>
            <w:pPr>
              <w:shd w:val="clear"/>
              <w:rPr>
                <w:rFonts w:hint="eastAsia" w:ascii="宋体" w:hAnsi="宋体" w:eastAsia="宋体" w:cs="宋体"/>
                <w:snapToGrid w:val="0"/>
                <w:color w:val="000000" w:themeColor="text1"/>
                <w:highlight w:val="none"/>
                <w14:textFill>
                  <w14:solidFill>
                    <w14:schemeClr w14:val="tx1"/>
                  </w14:solidFill>
                </w14:textFill>
              </w:rPr>
            </w:pPr>
          </w:p>
        </w:tc>
        <w:tc>
          <w:tcPr>
            <w:tcW w:w="943" w:type="dxa"/>
            <w:gridSpan w:val="2"/>
            <w:tcBorders>
              <w:top w:val="single" w:color="000000" w:sz="2" w:space="0"/>
              <w:bottom w:val="single" w:color="000000" w:sz="2" w:space="0"/>
            </w:tcBorders>
          </w:tcPr>
          <w:p>
            <w:pPr>
              <w:shd w:val="clear"/>
              <w:spacing w:before="116" w:line="400" w:lineRule="exact"/>
              <w:ind w:firstLine="302"/>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3"/>
                <w:position w:val="11"/>
                <w:sz w:val="24"/>
                <w:highlight w:val="none"/>
                <w14:textFill>
                  <w14:solidFill>
                    <w14:schemeClr w14:val="tx1"/>
                  </w14:solidFill>
                </w14:textFill>
              </w:rPr>
              <w:t>技术</w:t>
            </w:r>
          </w:p>
          <w:p>
            <w:pPr>
              <w:shd w:val="clear"/>
              <w:spacing w:before="1" w:line="220" w:lineRule="auto"/>
              <w:ind w:firstLine="303"/>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3"/>
                <w:sz w:val="24"/>
                <w:highlight w:val="none"/>
                <w14:textFill>
                  <w14:solidFill>
                    <w14:schemeClr w14:val="tx1"/>
                  </w14:solidFill>
                </w14:textFill>
              </w:rPr>
              <w:t>人员</w:t>
            </w:r>
          </w:p>
        </w:tc>
        <w:tc>
          <w:tcPr>
            <w:tcW w:w="942" w:type="dxa"/>
            <w:tcBorders>
              <w:top w:val="single" w:color="000000" w:sz="2" w:space="0"/>
              <w:bottom w:val="single" w:color="000000" w:sz="2" w:space="0"/>
            </w:tcBorders>
          </w:tcPr>
          <w:p>
            <w:pPr>
              <w:shd w:val="clear"/>
              <w:rPr>
                <w:rFonts w:hint="eastAsia" w:ascii="宋体" w:hAnsi="宋体" w:eastAsia="宋体" w:cs="宋体"/>
                <w:snapToGrid w:val="0"/>
                <w:color w:val="000000" w:themeColor="text1"/>
                <w:highlight w:val="none"/>
                <w14:textFill>
                  <w14:solidFill>
                    <w14:schemeClr w14:val="tx1"/>
                  </w14:solidFill>
                </w14:textFill>
              </w:rPr>
            </w:pPr>
          </w:p>
        </w:tc>
        <w:tc>
          <w:tcPr>
            <w:tcW w:w="952" w:type="dxa"/>
            <w:gridSpan w:val="2"/>
            <w:tcBorders>
              <w:top w:val="single" w:color="000000" w:sz="2" w:space="0"/>
              <w:bottom w:val="single" w:color="000000" w:sz="2" w:space="0"/>
            </w:tcBorders>
          </w:tcPr>
          <w:p>
            <w:pPr>
              <w:shd w:val="clear"/>
              <w:spacing w:before="116" w:line="400" w:lineRule="exact"/>
              <w:ind w:firstLine="311"/>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3"/>
                <w:position w:val="12"/>
                <w:sz w:val="24"/>
                <w:highlight w:val="none"/>
                <w14:textFill>
                  <w14:solidFill>
                    <w14:schemeClr w14:val="tx1"/>
                  </w14:solidFill>
                </w14:textFill>
              </w:rPr>
              <w:t>职工</w:t>
            </w:r>
          </w:p>
          <w:p>
            <w:pPr>
              <w:shd w:val="clear"/>
              <w:spacing w:before="1" w:line="220" w:lineRule="auto"/>
              <w:ind w:firstLine="312"/>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3"/>
                <w:sz w:val="24"/>
                <w:highlight w:val="none"/>
                <w14:textFill>
                  <w14:solidFill>
                    <w14:schemeClr w14:val="tx1"/>
                  </w14:solidFill>
                </w14:textFill>
              </w:rPr>
              <w:t>人员</w:t>
            </w:r>
          </w:p>
        </w:tc>
        <w:tc>
          <w:tcPr>
            <w:tcW w:w="1224" w:type="dxa"/>
            <w:tcBorders>
              <w:top w:val="single" w:color="000000" w:sz="2" w:space="0"/>
              <w:bottom w:val="single" w:color="000000" w:sz="2" w:space="0"/>
            </w:tcBorders>
          </w:tcPr>
          <w:p>
            <w:pPr>
              <w:shd w:val="clear"/>
              <w:rPr>
                <w:rFonts w:hint="eastAsia" w:ascii="宋体" w:hAnsi="宋体" w:eastAsia="宋体" w:cs="宋体"/>
                <w:snapToGrid w:val="0"/>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414" w:type="dxa"/>
            <w:tcBorders>
              <w:top w:val="single" w:color="000000" w:sz="2" w:space="0"/>
              <w:bottom w:val="single" w:color="000000" w:sz="2" w:space="0"/>
            </w:tcBorders>
          </w:tcPr>
          <w:p>
            <w:pPr>
              <w:shd w:val="clear"/>
              <w:spacing w:before="261" w:line="221" w:lineRule="auto"/>
              <w:ind w:firstLine="114"/>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3"/>
                <w:sz w:val="24"/>
                <w:highlight w:val="none"/>
                <w14:textFill>
                  <w14:solidFill>
                    <w14:schemeClr w14:val="tx1"/>
                  </w14:solidFill>
                </w14:textFill>
              </w:rPr>
              <w:t>经营范围</w:t>
            </w:r>
          </w:p>
        </w:tc>
        <w:tc>
          <w:tcPr>
            <w:tcW w:w="6896" w:type="dxa"/>
            <w:gridSpan w:val="10"/>
            <w:tcBorders>
              <w:top w:val="single" w:color="000000" w:sz="2" w:space="0"/>
              <w:bottom w:val="single" w:color="000000" w:sz="2" w:space="0"/>
            </w:tcBorders>
          </w:tcPr>
          <w:p>
            <w:pPr>
              <w:shd w:val="clear"/>
              <w:rPr>
                <w:rFonts w:hint="eastAsia" w:ascii="宋体" w:hAnsi="宋体" w:eastAsia="宋体" w:cs="宋体"/>
                <w:snapToGrid w:val="0"/>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1414" w:type="dxa"/>
            <w:tcBorders>
              <w:top w:val="single" w:color="000000" w:sz="2" w:space="0"/>
              <w:bottom w:val="single" w:color="000000" w:sz="2" w:space="0"/>
            </w:tcBorders>
          </w:tcPr>
          <w:p>
            <w:pPr>
              <w:shd w:val="clear"/>
              <w:spacing w:line="258" w:lineRule="auto"/>
              <w:rPr>
                <w:rFonts w:hint="eastAsia" w:ascii="宋体" w:hAnsi="宋体" w:eastAsia="宋体" w:cs="宋体"/>
                <w:snapToGrid w:val="0"/>
                <w:color w:val="000000" w:themeColor="text1"/>
                <w:highlight w:val="none"/>
                <w14:textFill>
                  <w14:solidFill>
                    <w14:schemeClr w14:val="tx1"/>
                  </w14:solidFill>
                </w14:textFill>
              </w:rPr>
            </w:pPr>
          </w:p>
          <w:p>
            <w:pPr>
              <w:shd w:val="clear"/>
              <w:spacing w:before="78" w:line="319" w:lineRule="auto"/>
              <w:ind w:right="202"/>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pacing w:val="-3"/>
                <w:sz w:val="24"/>
                <w:highlight w:val="none"/>
                <w14:textFill>
                  <w14:solidFill>
                    <w14:schemeClr w14:val="tx1"/>
                  </w14:solidFill>
                </w14:textFill>
              </w:rPr>
              <w:t>企业现有的</w:t>
            </w:r>
            <w:r>
              <w:rPr>
                <w:rFonts w:hint="eastAsia" w:ascii="宋体" w:hAnsi="宋体" w:eastAsia="宋体" w:cs="宋体"/>
                <w:snapToGrid w:val="0"/>
                <w:color w:val="000000" w:themeColor="text1"/>
                <w:spacing w:val="-4"/>
                <w:sz w:val="24"/>
                <w:highlight w:val="none"/>
                <w14:textFill>
                  <w14:solidFill>
                    <w14:schemeClr w14:val="tx1"/>
                  </w14:solidFill>
                </w14:textFill>
              </w:rPr>
              <w:t>资质证书</w:t>
            </w:r>
          </w:p>
        </w:tc>
        <w:tc>
          <w:tcPr>
            <w:tcW w:w="6896" w:type="dxa"/>
            <w:gridSpan w:val="10"/>
            <w:tcBorders>
              <w:top w:val="single" w:color="000000" w:sz="2" w:space="0"/>
              <w:bottom w:val="single" w:color="000000" w:sz="2" w:space="0"/>
            </w:tcBorders>
          </w:tcPr>
          <w:p>
            <w:pPr>
              <w:shd w:val="clear"/>
              <w:rPr>
                <w:rFonts w:hint="eastAsia" w:ascii="宋体" w:hAnsi="宋体" w:eastAsia="宋体" w:cs="宋体"/>
                <w:snapToGrid w:val="0"/>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trPr>
        <w:tc>
          <w:tcPr>
            <w:tcW w:w="1414" w:type="dxa"/>
            <w:tcBorders>
              <w:top w:val="single" w:color="000000" w:sz="2" w:space="0"/>
              <w:bottom w:val="single" w:color="000000" w:sz="2" w:space="0"/>
            </w:tcBorders>
          </w:tcPr>
          <w:p>
            <w:pPr>
              <w:shd w:val="clear"/>
              <w:spacing w:before="78" w:line="319" w:lineRule="auto"/>
              <w:ind w:left="338" w:right="202" w:hanging="126"/>
              <w:rPr>
                <w:rFonts w:hint="eastAsia" w:ascii="宋体" w:hAnsi="宋体" w:eastAsia="宋体" w:cs="宋体"/>
                <w:snapToGrid w:val="0"/>
                <w:color w:val="000000" w:themeColor="text1"/>
                <w:spacing w:val="-3"/>
                <w:sz w:val="24"/>
                <w:highlight w:val="none"/>
                <w14:textFill>
                  <w14:solidFill>
                    <w14:schemeClr w14:val="tx1"/>
                  </w14:solidFill>
                </w14:textFill>
              </w:rPr>
            </w:pPr>
          </w:p>
          <w:p>
            <w:pPr>
              <w:shd w:val="clear"/>
              <w:spacing w:before="78" w:line="319" w:lineRule="auto"/>
              <w:ind w:left="338" w:right="202" w:hanging="126"/>
              <w:rPr>
                <w:rFonts w:hint="eastAsia" w:ascii="宋体" w:hAnsi="宋体" w:eastAsia="宋体" w:cs="宋体"/>
                <w:snapToGrid w:val="0"/>
                <w:color w:val="000000" w:themeColor="text1"/>
                <w:spacing w:val="-3"/>
                <w:sz w:val="24"/>
                <w:highlight w:val="none"/>
                <w14:textFill>
                  <w14:solidFill>
                    <w14:schemeClr w14:val="tx1"/>
                  </w14:solidFill>
                </w14:textFill>
              </w:rPr>
            </w:pPr>
          </w:p>
          <w:p>
            <w:pPr>
              <w:shd w:val="clear"/>
              <w:spacing w:before="78" w:line="319" w:lineRule="auto"/>
              <w:ind w:left="338" w:right="202" w:hanging="126"/>
              <w:rPr>
                <w:rFonts w:hint="eastAsia" w:ascii="宋体" w:hAnsi="宋体" w:eastAsia="宋体" w:cs="宋体"/>
                <w:snapToGrid w:val="0"/>
                <w:color w:val="000000" w:themeColor="text1"/>
                <w:highlight w:val="none"/>
                <w14:textFill>
                  <w14:solidFill>
                    <w14:schemeClr w14:val="tx1"/>
                  </w14:solidFill>
                </w14:textFill>
              </w:rPr>
            </w:pPr>
            <w:r>
              <w:rPr>
                <w:rFonts w:hint="eastAsia" w:ascii="宋体" w:hAnsi="宋体" w:eastAsia="宋体" w:cs="宋体"/>
                <w:snapToGrid w:val="0"/>
                <w:color w:val="000000" w:themeColor="text1"/>
                <w:spacing w:val="-3"/>
                <w:sz w:val="24"/>
                <w:highlight w:val="none"/>
                <w14:textFill>
                  <w14:solidFill>
                    <w14:schemeClr w14:val="tx1"/>
                  </w14:solidFill>
                </w14:textFill>
              </w:rPr>
              <w:t>公司简介</w:t>
            </w:r>
          </w:p>
        </w:tc>
        <w:tc>
          <w:tcPr>
            <w:tcW w:w="6896" w:type="dxa"/>
            <w:gridSpan w:val="10"/>
            <w:tcBorders>
              <w:top w:val="single" w:color="000000" w:sz="2" w:space="0"/>
              <w:bottom w:val="single" w:color="000000" w:sz="2" w:space="0"/>
            </w:tcBorders>
          </w:tcPr>
          <w:p>
            <w:pPr>
              <w:shd w:val="clear"/>
              <w:rPr>
                <w:rFonts w:hint="eastAsia" w:ascii="宋体" w:hAnsi="宋体" w:eastAsia="宋体" w:cs="宋体"/>
                <w:snapToGrid w:val="0"/>
                <w:color w:val="000000" w:themeColor="text1"/>
                <w:highlight w:val="none"/>
                <w14:textFill>
                  <w14:solidFill>
                    <w14:schemeClr w14:val="tx1"/>
                  </w14:solidFill>
                </w14:textFill>
              </w:rPr>
            </w:pPr>
          </w:p>
        </w:tc>
      </w:tr>
      <w:bookmarkEnd w:id="20"/>
    </w:tbl>
    <w:p>
      <w:pPr>
        <w:shd w:val="clear"/>
        <w:spacing w:before="114" w:line="220" w:lineRule="auto"/>
        <w:ind w:firstLine="12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3"/>
          <w:sz w:val="24"/>
          <w:highlight w:val="none"/>
          <w14:textFill>
            <w14:solidFill>
              <w14:schemeClr w14:val="tx1"/>
            </w14:solidFill>
          </w14:textFill>
        </w:rPr>
        <w:t>注：表格不能满足时可自行增加。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法定代表人或授权委托</w:t>
      </w:r>
      <w:r>
        <w:rPr>
          <w:rFonts w:hint="eastAsia" w:ascii="宋体" w:hAnsi="宋体" w:eastAsia="宋体" w:cs="宋体"/>
          <w:color w:val="000000" w:themeColor="text1"/>
          <w:sz w:val="24"/>
          <w:highlight w:val="none"/>
          <w14:textFill>
            <w14:solidFill>
              <w14:schemeClr w14:val="tx1"/>
            </w14:solidFill>
          </w14:textFill>
        </w:rPr>
        <w:t>代理</w:t>
      </w:r>
      <w:r>
        <w:rPr>
          <w:rFonts w:hint="eastAsia" w:ascii="宋体" w:hAnsi="宋体" w:eastAsia="宋体" w:cs="宋体"/>
          <w:color w:val="000000" w:themeColor="text1"/>
          <w:sz w:val="24"/>
          <w:highlight w:val="none"/>
          <w:lang w:val="zh-CN"/>
          <w14:textFill>
            <w14:solidFill>
              <w14:schemeClr w14:val="tx1"/>
            </w14:solidFill>
          </w14:textFill>
        </w:rPr>
        <w:t>人（签字</w:t>
      </w:r>
      <w:r>
        <w:rPr>
          <w:rFonts w:hint="eastAsia" w:ascii="宋体" w:hAnsi="宋体" w:eastAsia="宋体" w:cs="宋体"/>
          <w:color w:val="000000" w:themeColor="text1"/>
          <w:sz w:val="24"/>
          <w:highlight w:val="none"/>
          <w14:textFill>
            <w14:solidFill>
              <w14:schemeClr w14:val="tx1"/>
            </w14:solidFill>
          </w14:textFill>
        </w:rPr>
        <w:t>或盖章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br w:type="page"/>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附件11</w:t>
      </w: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项目实施人员一览表</w:t>
      </w:r>
    </w:p>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p>
    <w:tbl>
      <w:tblPr>
        <w:tblStyle w:val="3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7"/>
        <w:gridCol w:w="517"/>
        <w:gridCol w:w="957"/>
        <w:gridCol w:w="1578"/>
        <w:gridCol w:w="993"/>
        <w:gridCol w:w="1276"/>
        <w:gridCol w:w="1278"/>
        <w:gridCol w:w="1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序号</w:t>
            </w:r>
          </w:p>
        </w:tc>
        <w:tc>
          <w:tcPr>
            <w:tcW w:w="517"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姓名</w:t>
            </w:r>
          </w:p>
        </w:tc>
        <w:tc>
          <w:tcPr>
            <w:tcW w:w="957"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年龄</w:t>
            </w:r>
          </w:p>
        </w:tc>
        <w:tc>
          <w:tcPr>
            <w:tcW w:w="157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本项目拟任职务</w:t>
            </w:r>
          </w:p>
        </w:tc>
        <w:tc>
          <w:tcPr>
            <w:tcW w:w="99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资格证书</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证书编号</w:t>
            </w:r>
          </w:p>
        </w:tc>
        <w:tc>
          <w:tcPr>
            <w:tcW w:w="127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安排上岗起止时间</w:t>
            </w:r>
          </w:p>
        </w:tc>
        <w:tc>
          <w:tcPr>
            <w:tcW w:w="1460"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1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60"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1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60"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1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cBorders>
          </w:tcPr>
          <w:p>
            <w:pPr>
              <w:pStyle w:val="19"/>
              <w:shd w:val="clear"/>
              <w:snapToGrid w:val="0"/>
              <w:spacing w:before="158"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pPr>
              <w:pStyle w:val="19"/>
              <w:shd w:val="clear"/>
              <w:snapToGrid w:val="0"/>
              <w:spacing w:before="158"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9"/>
              <w:shd w:val="clear"/>
              <w:spacing w:line="360" w:lineRule="auto"/>
              <w:ind w:left="5250"/>
              <w:rPr>
                <w:rFonts w:hint="eastAsia" w:ascii="宋体" w:hAnsi="宋体" w:eastAsia="宋体" w:cs="宋体"/>
                <w:color w:val="000000" w:themeColor="text1"/>
                <w:sz w:val="24"/>
                <w:highlight w:val="none"/>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1460"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1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60"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1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60"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1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60"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1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60"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1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60"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bl>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1.在填写时，如本表格不适合供应商的实际情况，可根据本表格式自行划表填写。</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2.附人员证书复印件及社保证明复印件；</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法定代表人或授权委托</w:t>
      </w:r>
      <w:r>
        <w:rPr>
          <w:rFonts w:hint="eastAsia" w:ascii="宋体" w:hAnsi="宋体" w:eastAsia="宋体" w:cs="宋体"/>
          <w:color w:val="000000" w:themeColor="text1"/>
          <w:sz w:val="24"/>
          <w:highlight w:val="none"/>
          <w14:textFill>
            <w14:solidFill>
              <w14:schemeClr w14:val="tx1"/>
            </w14:solidFill>
          </w14:textFill>
        </w:rPr>
        <w:t>代理</w:t>
      </w:r>
      <w:r>
        <w:rPr>
          <w:rFonts w:hint="eastAsia" w:ascii="宋体" w:hAnsi="宋体" w:eastAsia="宋体" w:cs="宋体"/>
          <w:color w:val="000000" w:themeColor="text1"/>
          <w:sz w:val="24"/>
          <w:highlight w:val="none"/>
          <w:lang w:val="zh-CN"/>
          <w14:textFill>
            <w14:solidFill>
              <w14:schemeClr w14:val="tx1"/>
            </w14:solidFill>
          </w14:textFill>
        </w:rPr>
        <w:t>人（签字</w:t>
      </w:r>
      <w:r>
        <w:rPr>
          <w:rFonts w:hint="eastAsia" w:ascii="宋体" w:hAnsi="宋体" w:eastAsia="宋体" w:cs="宋体"/>
          <w:color w:val="000000" w:themeColor="text1"/>
          <w:sz w:val="24"/>
          <w:highlight w:val="none"/>
          <w14:textFill>
            <w14:solidFill>
              <w14:schemeClr w14:val="tx1"/>
            </w14:solidFill>
          </w14:textFill>
        </w:rPr>
        <w:t>或盖章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shd w:val="clear"/>
        <w:spacing w:line="360" w:lineRule="auto"/>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12</w:t>
      </w:r>
    </w:p>
    <w:p>
      <w:pPr>
        <w:shd w:val="clear"/>
        <w:spacing w:line="360" w:lineRule="auto"/>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商务响应表</w:t>
      </w: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项目编号：</w:t>
      </w:r>
    </w:p>
    <w:p>
      <w:pPr>
        <w:pStyle w:val="89"/>
        <w:shd w:val="clear"/>
        <w:snapToGrid w:val="0"/>
        <w:spacing w:after="0" w:line="380" w:lineRule="exact"/>
        <w:rPr>
          <w:rStyle w:val="37"/>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项目名称：</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6"/>
        <w:gridCol w:w="1326"/>
        <w:gridCol w:w="1326"/>
        <w:gridCol w:w="2166"/>
        <w:gridCol w:w="2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32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4"/>
                <w:szCs w:val="24"/>
                <w:highlight w:val="none"/>
                <w:lang w:eastAsia="zh-CN"/>
                <w14:textFill>
                  <w14:solidFill>
                    <w14:schemeClr w14:val="tx1"/>
                  </w14:solidFill>
                </w14:textFill>
              </w:rPr>
            </w:pPr>
            <w:r>
              <w:rPr>
                <w:rStyle w:val="37"/>
                <w:rFonts w:hint="eastAsia" w:ascii="宋体" w:hAnsi="宋体" w:eastAsia="宋体" w:cs="宋体"/>
                <w:color w:val="000000" w:themeColor="text1"/>
                <w:sz w:val="24"/>
                <w:szCs w:val="24"/>
                <w:highlight w:val="none"/>
                <w:lang w:eastAsia="zh-CN"/>
                <w14:textFill>
                  <w14:solidFill>
                    <w14:schemeClr w14:val="tx1"/>
                  </w14:solidFill>
                </w14:textFill>
              </w:rPr>
              <w:t>序号</w:t>
            </w: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4"/>
                <w:szCs w:val="24"/>
                <w:highlight w:val="none"/>
                <w14:textFill>
                  <w14:solidFill>
                    <w14:schemeClr w14:val="tx1"/>
                  </w14:solidFill>
                </w14:textFill>
              </w:rPr>
            </w:pPr>
            <w:r>
              <w:rPr>
                <w:rStyle w:val="37"/>
                <w:rFonts w:hint="eastAsia" w:ascii="宋体" w:hAnsi="宋体" w:eastAsia="宋体" w:cs="宋体"/>
                <w:color w:val="000000" w:themeColor="text1"/>
                <w:sz w:val="24"/>
                <w:szCs w:val="24"/>
                <w:highlight w:val="none"/>
                <w14:textFill>
                  <w14:solidFill>
                    <w14:schemeClr w14:val="tx1"/>
                  </w14:solidFill>
                </w14:textFill>
              </w:rPr>
              <w:t>招标文件</w:t>
            </w:r>
          </w:p>
          <w:p>
            <w:pPr>
              <w:pStyle w:val="89"/>
              <w:shd w:val="clear"/>
              <w:snapToGrid w:val="0"/>
              <w:spacing w:line="320" w:lineRule="exact"/>
              <w:jc w:val="center"/>
              <w:rPr>
                <w:rStyle w:val="37"/>
                <w:rFonts w:hint="eastAsia" w:ascii="宋体" w:hAnsi="宋体" w:eastAsia="宋体" w:cs="宋体"/>
                <w:color w:val="000000" w:themeColor="text1"/>
                <w:sz w:val="24"/>
                <w:szCs w:val="24"/>
                <w:highlight w:val="none"/>
                <w14:textFill>
                  <w14:solidFill>
                    <w14:schemeClr w14:val="tx1"/>
                  </w14:solidFill>
                </w14:textFill>
              </w:rPr>
            </w:pPr>
            <w:r>
              <w:rPr>
                <w:rStyle w:val="37"/>
                <w:rFonts w:hint="eastAsia" w:ascii="宋体" w:hAnsi="宋体" w:eastAsia="宋体" w:cs="宋体"/>
                <w:color w:val="000000" w:themeColor="text1"/>
                <w:sz w:val="24"/>
                <w:szCs w:val="24"/>
                <w:highlight w:val="none"/>
                <w14:textFill>
                  <w14:solidFill>
                    <w14:schemeClr w14:val="tx1"/>
                  </w14:solidFill>
                </w14:textFill>
              </w:rPr>
              <w:t>要求</w:t>
            </w: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4"/>
                <w:szCs w:val="24"/>
                <w:highlight w:val="none"/>
                <w14:textFill>
                  <w14:solidFill>
                    <w14:schemeClr w14:val="tx1"/>
                  </w14:solidFill>
                </w14:textFill>
              </w:rPr>
            </w:pPr>
            <w:r>
              <w:rPr>
                <w:rStyle w:val="37"/>
                <w:rFonts w:hint="eastAsia" w:ascii="宋体" w:hAnsi="宋体" w:eastAsia="宋体" w:cs="宋体"/>
                <w:color w:val="000000" w:themeColor="text1"/>
                <w:sz w:val="24"/>
                <w:szCs w:val="24"/>
                <w:highlight w:val="none"/>
                <w14:textFill>
                  <w14:solidFill>
                    <w14:schemeClr w14:val="tx1"/>
                  </w14:solidFill>
                </w14:textFill>
              </w:rPr>
              <w:t>是否响应</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4"/>
                <w:szCs w:val="24"/>
                <w:highlight w:val="none"/>
                <w14:textFill>
                  <w14:solidFill>
                    <w14:schemeClr w14:val="tx1"/>
                  </w14:solidFill>
                </w14:textFill>
              </w:rPr>
            </w:pPr>
            <w:r>
              <w:rPr>
                <w:rStyle w:val="37"/>
                <w:rFonts w:hint="eastAsia" w:ascii="宋体" w:hAnsi="宋体" w:eastAsia="宋体" w:cs="宋体"/>
                <w:color w:val="000000" w:themeColor="text1"/>
                <w:sz w:val="24"/>
                <w:szCs w:val="24"/>
                <w:highlight w:val="none"/>
                <w14:textFill>
                  <w14:solidFill>
                    <w14:schemeClr w14:val="tx1"/>
                  </w14:solidFill>
                </w14:textFill>
              </w:rPr>
              <w:t>投标人的承诺或说明</w:t>
            </w:r>
          </w:p>
        </w:tc>
        <w:tc>
          <w:tcPr>
            <w:tcW w:w="2166" w:type="dxa"/>
            <w:tcBorders>
              <w:top w:val="single" w:color="000000" w:sz="4" w:space="0"/>
              <w:left w:val="single" w:color="000000" w:sz="4" w:space="0"/>
              <w:bottom w:val="single" w:color="000000" w:sz="4" w:space="0"/>
              <w:right w:val="single" w:color="000000" w:sz="4" w:space="0"/>
            </w:tcBorders>
          </w:tcPr>
          <w:p>
            <w:pPr>
              <w:pStyle w:val="89"/>
              <w:shd w:val="clear"/>
              <w:snapToGrid w:val="0"/>
              <w:spacing w:line="320" w:lineRule="exact"/>
              <w:jc w:val="center"/>
              <w:rPr>
                <w:rStyle w:val="37"/>
                <w:rFonts w:hint="eastAsia" w:ascii="宋体" w:hAnsi="宋体" w:eastAsia="宋体" w:cs="宋体"/>
                <w:color w:val="000000" w:themeColor="text1"/>
                <w:sz w:val="24"/>
                <w:szCs w:val="24"/>
                <w:highlight w:val="none"/>
                <w14:textFill>
                  <w14:solidFill>
                    <w14:schemeClr w14:val="tx1"/>
                  </w14:solidFill>
                </w14:textFill>
              </w:rPr>
            </w:pPr>
            <w:r>
              <w:rPr>
                <w:rStyle w:val="37"/>
                <w:rFonts w:hint="eastAsia" w:ascii="宋体" w:hAnsi="宋体" w:eastAsia="宋体" w:cs="宋体"/>
                <w:color w:val="000000" w:themeColor="text1"/>
                <w:sz w:val="24"/>
                <w:szCs w:val="24"/>
                <w:highlight w:val="none"/>
                <w:lang w:eastAsia="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326" w:type="dxa"/>
            <w:tcBorders>
              <w:top w:val="single" w:color="000000" w:sz="4" w:space="0"/>
              <w:left w:val="single" w:color="000000" w:sz="4" w:space="0"/>
              <w:bottom w:val="single" w:color="000000" w:sz="4" w:space="0"/>
              <w:right w:val="single" w:color="000000" w:sz="4" w:space="0"/>
            </w:tcBorders>
            <w:vAlign w:val="center"/>
          </w:tcPr>
          <w:p>
            <w:pPr>
              <w:pStyle w:val="87"/>
              <w:shd w:val="clear"/>
              <w:snapToGrid w:val="0"/>
              <w:spacing w:line="360" w:lineRule="exact"/>
              <w:ind w:firstLine="0"/>
              <w:rPr>
                <w:rStyle w:val="37"/>
                <w:rFonts w:hint="eastAsia" w:ascii="宋体" w:hAnsi="宋体" w:eastAsia="宋体" w:cs="宋体"/>
                <w:color w:val="000000" w:themeColor="text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line="340" w:lineRule="exact"/>
              <w:rPr>
                <w:rStyle w:val="37"/>
                <w:rFonts w:hint="eastAsia" w:ascii="宋体" w:hAnsi="宋体" w:eastAsia="宋体" w:cs="宋体"/>
                <w:color w:val="000000" w:themeColor="text1"/>
                <w:szCs w:val="2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326" w:type="dxa"/>
            <w:tcBorders>
              <w:top w:val="single" w:color="000000" w:sz="4" w:space="0"/>
              <w:left w:val="single" w:color="000000" w:sz="4" w:space="0"/>
              <w:bottom w:val="single" w:color="000000" w:sz="4" w:space="0"/>
              <w:right w:val="single" w:color="000000" w:sz="4" w:space="0"/>
            </w:tcBorders>
            <w:vAlign w:val="center"/>
          </w:tcPr>
          <w:p>
            <w:pPr>
              <w:pStyle w:val="87"/>
              <w:shd w:val="clear"/>
              <w:snapToGrid w:val="0"/>
              <w:spacing w:line="360" w:lineRule="exact"/>
              <w:ind w:firstLine="0"/>
              <w:rPr>
                <w:rStyle w:val="37"/>
                <w:rFonts w:hint="eastAsia" w:ascii="宋体" w:hAnsi="宋体" w:eastAsia="宋体" w:cs="宋体"/>
                <w:color w:val="000000" w:themeColor="text1"/>
                <w:sz w:val="24"/>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line="340" w:lineRule="exact"/>
              <w:rPr>
                <w:rStyle w:val="37"/>
                <w:rFonts w:hint="eastAsia" w:ascii="宋体" w:hAnsi="宋体" w:eastAsia="宋体" w:cs="宋体"/>
                <w:color w:val="000000" w:themeColor="text1"/>
                <w:szCs w:val="2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326" w:type="dxa"/>
            <w:tcBorders>
              <w:top w:val="single" w:color="000000" w:sz="4" w:space="0"/>
              <w:left w:val="single" w:color="000000" w:sz="4" w:space="0"/>
              <w:bottom w:val="single" w:color="000000" w:sz="4" w:space="0"/>
              <w:right w:val="single" w:color="000000" w:sz="4" w:space="0"/>
            </w:tcBorders>
            <w:vAlign w:val="center"/>
          </w:tcPr>
          <w:p>
            <w:pPr>
              <w:pStyle w:val="87"/>
              <w:shd w:val="clear"/>
              <w:snapToGrid w:val="0"/>
              <w:spacing w:line="360" w:lineRule="exact"/>
              <w:ind w:firstLine="0"/>
              <w:rPr>
                <w:rStyle w:val="37"/>
                <w:rFonts w:hint="eastAsia" w:ascii="宋体" w:hAnsi="宋体" w:eastAsia="宋体" w:cs="宋体"/>
                <w:color w:val="000000" w:themeColor="text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line="340" w:lineRule="exact"/>
              <w:jc w:val="center"/>
              <w:rPr>
                <w:rStyle w:val="37"/>
                <w:rFonts w:hint="eastAsia" w:ascii="宋体" w:hAnsi="宋体" w:eastAsia="宋体" w:cs="宋体"/>
                <w:color w:val="000000" w:themeColor="text1"/>
                <w:szCs w:val="2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326" w:type="dxa"/>
            <w:tcBorders>
              <w:top w:val="single" w:color="000000" w:sz="4" w:space="0"/>
              <w:left w:val="single" w:color="000000" w:sz="4" w:space="0"/>
              <w:bottom w:val="single" w:color="000000" w:sz="4" w:space="0"/>
              <w:right w:val="single" w:color="000000" w:sz="4" w:space="0"/>
            </w:tcBorders>
            <w:vAlign w:val="center"/>
          </w:tcPr>
          <w:p>
            <w:pPr>
              <w:pStyle w:val="87"/>
              <w:shd w:val="clear"/>
              <w:snapToGrid w:val="0"/>
              <w:spacing w:line="360" w:lineRule="exact"/>
              <w:ind w:firstLine="0"/>
              <w:rPr>
                <w:rStyle w:val="37"/>
                <w:rFonts w:hint="eastAsia" w:ascii="宋体" w:hAnsi="宋体" w:eastAsia="宋体" w:cs="宋体"/>
                <w:color w:val="000000" w:themeColor="text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line="340" w:lineRule="exact"/>
              <w:rPr>
                <w:rStyle w:val="37"/>
                <w:rFonts w:hint="eastAsia" w:ascii="宋体" w:hAnsi="宋体" w:eastAsia="宋体" w:cs="宋体"/>
                <w:color w:val="000000" w:themeColor="text1"/>
                <w:szCs w:val="2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326" w:type="dxa"/>
            <w:tcBorders>
              <w:top w:val="single" w:color="000000" w:sz="4" w:space="0"/>
              <w:left w:val="single" w:color="000000" w:sz="4" w:space="0"/>
              <w:bottom w:val="single" w:color="000000" w:sz="4" w:space="0"/>
              <w:right w:val="single" w:color="000000" w:sz="4" w:space="0"/>
            </w:tcBorders>
            <w:vAlign w:val="center"/>
          </w:tcPr>
          <w:p>
            <w:pPr>
              <w:pStyle w:val="87"/>
              <w:shd w:val="clear"/>
              <w:snapToGrid w:val="0"/>
              <w:spacing w:line="360" w:lineRule="exact"/>
              <w:ind w:firstLine="0"/>
              <w:rPr>
                <w:rStyle w:val="37"/>
                <w:rFonts w:hint="eastAsia" w:ascii="宋体" w:hAnsi="宋体" w:eastAsia="宋体" w:cs="宋体"/>
                <w:color w:val="000000" w:themeColor="text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line="340" w:lineRule="exact"/>
              <w:rPr>
                <w:rStyle w:val="37"/>
                <w:rFonts w:hint="eastAsia" w:ascii="宋体" w:hAnsi="宋体" w:eastAsia="宋体" w:cs="宋体"/>
                <w:color w:val="000000" w:themeColor="text1"/>
                <w:szCs w:val="2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326" w:type="dxa"/>
            <w:tcBorders>
              <w:top w:val="single" w:color="000000" w:sz="4" w:space="0"/>
              <w:left w:val="single" w:color="000000" w:sz="4" w:space="0"/>
              <w:bottom w:val="single" w:color="000000" w:sz="4" w:space="0"/>
              <w:right w:val="single" w:color="000000" w:sz="4" w:space="0"/>
            </w:tcBorders>
            <w:vAlign w:val="center"/>
          </w:tcPr>
          <w:p>
            <w:pPr>
              <w:pStyle w:val="87"/>
              <w:shd w:val="clear"/>
              <w:snapToGrid w:val="0"/>
              <w:spacing w:line="360" w:lineRule="exact"/>
              <w:ind w:firstLine="0"/>
              <w:rPr>
                <w:rStyle w:val="37"/>
                <w:rFonts w:hint="eastAsia" w:ascii="宋体" w:hAnsi="宋体" w:eastAsia="宋体" w:cs="宋体"/>
                <w:color w:val="000000" w:themeColor="text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line="340" w:lineRule="exact"/>
              <w:rPr>
                <w:rStyle w:val="37"/>
                <w:rFonts w:hint="eastAsia" w:ascii="宋体" w:hAnsi="宋体" w:eastAsia="宋体" w:cs="宋体"/>
                <w:color w:val="000000" w:themeColor="text1"/>
                <w:szCs w:val="2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326" w:type="dxa"/>
            <w:tcBorders>
              <w:top w:val="single" w:color="000000" w:sz="4" w:space="0"/>
              <w:left w:val="single" w:color="000000" w:sz="4" w:space="0"/>
              <w:bottom w:val="single" w:color="000000" w:sz="4" w:space="0"/>
              <w:right w:val="single" w:color="000000" w:sz="4" w:space="0"/>
            </w:tcBorders>
            <w:vAlign w:val="center"/>
          </w:tcPr>
          <w:p>
            <w:pPr>
              <w:pStyle w:val="87"/>
              <w:shd w:val="clear"/>
              <w:snapToGrid w:val="0"/>
              <w:spacing w:line="360" w:lineRule="exact"/>
              <w:ind w:firstLine="0"/>
              <w:rPr>
                <w:rStyle w:val="37"/>
                <w:rFonts w:hint="eastAsia" w:ascii="宋体" w:hAnsi="宋体" w:eastAsia="宋体" w:cs="宋体"/>
                <w:color w:val="000000" w:themeColor="text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line="340" w:lineRule="exact"/>
              <w:rPr>
                <w:rStyle w:val="37"/>
                <w:rFonts w:hint="eastAsia" w:ascii="宋体" w:hAnsi="宋体" w:eastAsia="宋体" w:cs="宋体"/>
                <w:color w:val="000000" w:themeColor="text1"/>
                <w:kern w:val="0"/>
                <w:szCs w:val="30"/>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326" w:type="dxa"/>
            <w:tcBorders>
              <w:top w:val="single" w:color="000000" w:sz="4" w:space="0"/>
              <w:left w:val="single" w:color="000000" w:sz="4" w:space="0"/>
              <w:bottom w:val="single" w:color="000000" w:sz="4" w:space="0"/>
              <w:right w:val="single" w:color="000000" w:sz="4" w:space="0"/>
            </w:tcBorders>
            <w:vAlign w:val="center"/>
          </w:tcPr>
          <w:p>
            <w:pPr>
              <w:pStyle w:val="87"/>
              <w:shd w:val="clear"/>
              <w:snapToGrid w:val="0"/>
              <w:spacing w:line="360" w:lineRule="exact"/>
              <w:ind w:firstLine="0"/>
              <w:rPr>
                <w:rStyle w:val="37"/>
                <w:rFonts w:hint="eastAsia" w:ascii="宋体" w:hAnsi="宋体" w:eastAsia="宋体" w:cs="宋体"/>
                <w:color w:val="000000" w:themeColor="text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shd w:val="clear"/>
              <w:snapToGrid w:val="0"/>
              <w:spacing w:line="340" w:lineRule="exact"/>
              <w:rPr>
                <w:rStyle w:val="37"/>
                <w:rFonts w:hint="eastAsia" w:ascii="宋体" w:hAnsi="宋体" w:eastAsia="宋体" w:cs="宋体"/>
                <w:color w:val="000000" w:themeColor="text1"/>
                <w:kern w:val="0"/>
                <w:szCs w:val="30"/>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326" w:type="dxa"/>
            <w:tcBorders>
              <w:top w:val="single" w:color="000000" w:sz="4" w:space="0"/>
              <w:left w:val="single" w:color="000000" w:sz="4" w:space="0"/>
              <w:bottom w:val="single" w:color="000000" w:sz="4" w:space="0"/>
              <w:right w:val="single" w:color="000000" w:sz="4" w:space="0"/>
            </w:tcBorders>
            <w:vAlign w:val="center"/>
          </w:tcPr>
          <w:p>
            <w:pPr>
              <w:pStyle w:val="87"/>
              <w:shd w:val="clear"/>
              <w:snapToGrid w:val="0"/>
              <w:spacing w:line="360" w:lineRule="exact"/>
              <w:ind w:firstLine="0"/>
              <w:rPr>
                <w:rStyle w:val="37"/>
                <w:rFonts w:hint="eastAsia" w:ascii="宋体" w:hAnsi="宋体" w:eastAsia="宋体" w:cs="宋体"/>
                <w:b/>
                <w:color w:val="000000" w:themeColor="text1"/>
                <w:szCs w:val="2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after="0" w:line="340" w:lineRule="exact"/>
              <w:rPr>
                <w:rStyle w:val="37"/>
                <w:rFonts w:hint="eastAsia" w:ascii="宋体" w:hAnsi="宋体" w:eastAsia="宋体" w:cs="宋体"/>
                <w:b/>
                <w:color w:val="000000" w:themeColor="text1"/>
                <w:sz w:val="21"/>
                <w:szCs w:val="2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326" w:type="dxa"/>
            <w:tcBorders>
              <w:top w:val="single" w:color="000000" w:sz="4" w:space="0"/>
              <w:left w:val="single" w:color="000000" w:sz="4" w:space="0"/>
              <w:bottom w:val="single" w:color="000000" w:sz="4" w:space="0"/>
              <w:right w:val="single" w:color="000000" w:sz="4" w:space="0"/>
            </w:tcBorders>
            <w:vAlign w:val="center"/>
          </w:tcPr>
          <w:p>
            <w:pPr>
              <w:pStyle w:val="87"/>
              <w:shd w:val="clear"/>
              <w:snapToGrid w:val="0"/>
              <w:spacing w:line="360" w:lineRule="exact"/>
              <w:ind w:firstLine="0"/>
              <w:rPr>
                <w:rStyle w:val="37"/>
                <w:rFonts w:hint="eastAsia" w:ascii="宋体" w:hAnsi="宋体" w:eastAsia="宋体" w:cs="宋体"/>
                <w:color w:val="000000" w:themeColor="text1"/>
                <w:szCs w:val="2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after="0" w:line="340" w:lineRule="exact"/>
              <w:rPr>
                <w:rStyle w:val="37"/>
                <w:rFonts w:hint="eastAsia" w:ascii="宋体" w:hAnsi="宋体" w:eastAsia="宋体" w:cs="宋体"/>
                <w:b/>
                <w:color w:val="000000" w:themeColor="text1"/>
                <w:sz w:val="21"/>
                <w:szCs w:val="21"/>
                <w:highlight w:val="none"/>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tcPr>
          <w:p>
            <w:pPr>
              <w:pStyle w:val="89"/>
              <w:shd w:val="clear"/>
              <w:snapToGrid w:val="0"/>
              <w:spacing w:line="320" w:lineRule="exact"/>
              <w:jc w:val="center"/>
              <w:rPr>
                <w:rStyle w:val="37"/>
                <w:rFonts w:hint="eastAsia" w:ascii="宋体" w:hAnsi="宋体" w:eastAsia="宋体" w:cs="宋体"/>
                <w:color w:val="000000" w:themeColor="text1"/>
                <w:sz w:val="21"/>
                <w:szCs w:val="21"/>
                <w:highlight w:val="none"/>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napToGrid w:val="0"/>
        <w:spacing w:line="360" w:lineRule="auto"/>
        <w:ind w:left="735" w:right="280" w:hanging="735"/>
        <w:rPr>
          <w:rStyle w:val="37"/>
          <w:rFonts w:hint="eastAsia" w:ascii="宋体" w:hAnsi="宋体" w:eastAsia="宋体" w:cs="宋体"/>
          <w:color w:val="000000" w:themeColor="text1"/>
          <w:kern w:val="1"/>
          <w:sz w:val="24"/>
          <w:szCs w:val="24"/>
          <w:highlight w:val="none"/>
          <w14:textFill>
            <w14:solidFill>
              <w14:schemeClr w14:val="tx1"/>
            </w14:solidFill>
          </w14:textFill>
        </w:rPr>
      </w:pPr>
      <w:r>
        <w:rPr>
          <w:rStyle w:val="37"/>
          <w:rFonts w:hint="eastAsia" w:ascii="宋体" w:hAnsi="宋体" w:eastAsia="宋体" w:cs="宋体"/>
          <w:color w:val="000000" w:themeColor="text1"/>
          <w:kern w:val="1"/>
          <w:sz w:val="24"/>
          <w:szCs w:val="24"/>
          <w:highlight w:val="none"/>
          <w14:textFill>
            <w14:solidFill>
              <w14:schemeClr w14:val="tx1"/>
            </w14:solidFill>
          </w14:textFill>
        </w:rPr>
        <w:t>注：1、本表格为商务要求中除报价以外的其他要求，不填写视同完全响应招标文件要求。此表可在不改变格式的情况下可自行制作。</w:t>
      </w:r>
    </w:p>
    <w:p>
      <w:pPr>
        <w:shd w:val="clear"/>
        <w:snapToGrid w:val="0"/>
        <w:spacing w:line="360" w:lineRule="auto"/>
        <w:ind w:right="280" w:firstLine="480" w:firstLineChars="200"/>
        <w:rPr>
          <w:rStyle w:val="37"/>
          <w:rFonts w:hint="eastAsia" w:ascii="宋体" w:hAnsi="宋体" w:eastAsia="宋体" w:cs="宋体"/>
          <w:color w:val="000000" w:themeColor="text1"/>
          <w:kern w:val="1"/>
          <w:sz w:val="24"/>
          <w:szCs w:val="24"/>
          <w:highlight w:val="none"/>
          <w14:textFill>
            <w14:solidFill>
              <w14:schemeClr w14:val="tx1"/>
            </w14:solidFill>
          </w14:textFill>
        </w:rPr>
      </w:pPr>
      <w:r>
        <w:rPr>
          <w:rStyle w:val="37"/>
          <w:rFonts w:hint="eastAsia" w:ascii="宋体" w:hAnsi="宋体" w:eastAsia="宋体" w:cs="宋体"/>
          <w:color w:val="000000" w:themeColor="text1"/>
          <w:kern w:val="1"/>
          <w:sz w:val="24"/>
          <w:szCs w:val="24"/>
          <w:highlight w:val="none"/>
          <w14:textFill>
            <w14:solidFill>
              <w14:schemeClr w14:val="tx1"/>
            </w14:solidFill>
          </w14:textFill>
        </w:rPr>
        <w:t>2、备注栏填正偏离、负偏离或无偏离。</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法定代表人或授权委托</w:t>
      </w:r>
      <w:r>
        <w:rPr>
          <w:rFonts w:hint="eastAsia" w:ascii="宋体" w:hAnsi="宋体" w:eastAsia="宋体" w:cs="宋体"/>
          <w:color w:val="000000" w:themeColor="text1"/>
          <w:sz w:val="24"/>
          <w:highlight w:val="none"/>
          <w14:textFill>
            <w14:solidFill>
              <w14:schemeClr w14:val="tx1"/>
            </w14:solidFill>
          </w14:textFill>
        </w:rPr>
        <w:t>代理</w:t>
      </w:r>
      <w:r>
        <w:rPr>
          <w:rFonts w:hint="eastAsia" w:ascii="宋体" w:hAnsi="宋体" w:eastAsia="宋体" w:cs="宋体"/>
          <w:color w:val="000000" w:themeColor="text1"/>
          <w:sz w:val="24"/>
          <w:highlight w:val="none"/>
          <w:lang w:val="zh-CN"/>
          <w14:textFill>
            <w14:solidFill>
              <w14:schemeClr w14:val="tx1"/>
            </w14:solidFill>
          </w14:textFill>
        </w:rPr>
        <w:t>人（签字</w:t>
      </w:r>
      <w:r>
        <w:rPr>
          <w:rFonts w:hint="eastAsia" w:ascii="宋体" w:hAnsi="宋体" w:eastAsia="宋体" w:cs="宋体"/>
          <w:color w:val="000000" w:themeColor="text1"/>
          <w:sz w:val="24"/>
          <w:highlight w:val="none"/>
          <w14:textFill>
            <w14:solidFill>
              <w14:schemeClr w14:val="tx1"/>
            </w14:solidFill>
          </w14:textFill>
        </w:rPr>
        <w:t>或盖章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br w:type="page"/>
      </w:r>
    </w:p>
    <w:p>
      <w:pPr>
        <w:shd w:val="clear"/>
        <w:spacing w:line="360" w:lineRule="auto"/>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13</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89"/>
        <w:shd w:val="clear"/>
        <w:snapToGrid w:val="0"/>
        <w:spacing w:line="380" w:lineRule="exact"/>
        <w:jc w:val="center"/>
        <w:rPr>
          <w:rStyle w:val="37"/>
          <w:rFonts w:hint="eastAsia" w:ascii="宋体" w:hAnsi="宋体" w:eastAsia="宋体" w:cs="宋体"/>
          <w:b/>
          <w:bCs/>
          <w:color w:val="000000" w:themeColor="text1"/>
          <w:sz w:val="28"/>
          <w:szCs w:val="28"/>
          <w:highlight w:val="none"/>
          <w:lang w:eastAsia="zh-CN"/>
          <w14:textFill>
            <w14:solidFill>
              <w14:schemeClr w14:val="tx1"/>
            </w14:solidFill>
          </w14:textFill>
        </w:rPr>
      </w:pPr>
      <w:r>
        <w:rPr>
          <w:rStyle w:val="37"/>
          <w:rFonts w:hint="eastAsia" w:ascii="宋体" w:hAnsi="宋体" w:eastAsia="宋体" w:cs="宋体"/>
          <w:b/>
          <w:bCs/>
          <w:color w:val="000000" w:themeColor="text1"/>
          <w:sz w:val="28"/>
          <w:szCs w:val="28"/>
          <w:highlight w:val="none"/>
          <w:lang w:eastAsia="zh-CN"/>
          <w14:textFill>
            <w14:solidFill>
              <w14:schemeClr w14:val="tx1"/>
            </w14:solidFill>
          </w14:textFill>
        </w:rPr>
        <w:t>技术响应表</w:t>
      </w: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项目编号：</w:t>
      </w:r>
    </w:p>
    <w:p>
      <w:pPr>
        <w:shd w:val="clear"/>
        <w:snapToGrid w:val="0"/>
        <w:rPr>
          <w:rStyle w:val="37"/>
          <w:rFonts w:hint="eastAsia" w:ascii="宋体" w:hAnsi="宋体" w:eastAsia="宋体" w:cs="宋体"/>
          <w:color w:val="000000" w:themeColor="text1"/>
          <w:kern w:val="1"/>
          <w:szCs w:val="21"/>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项目名称：</w:t>
      </w:r>
    </w:p>
    <w:tbl>
      <w:tblPr>
        <w:tblStyle w:val="30"/>
        <w:tblW w:w="8405" w:type="dxa"/>
        <w:tblInd w:w="108" w:type="dxa"/>
        <w:tblLayout w:type="fixed"/>
        <w:tblCellMar>
          <w:top w:w="0" w:type="dxa"/>
          <w:left w:w="0" w:type="dxa"/>
          <w:bottom w:w="0" w:type="dxa"/>
          <w:right w:w="0" w:type="dxa"/>
        </w:tblCellMar>
      </w:tblPr>
      <w:tblGrid>
        <w:gridCol w:w="900"/>
        <w:gridCol w:w="1502"/>
        <w:gridCol w:w="2302"/>
        <w:gridCol w:w="2002"/>
        <w:gridCol w:w="1699"/>
      </w:tblGrid>
      <w:tr>
        <w:tblPrEx>
          <w:tblCellMar>
            <w:top w:w="0" w:type="dxa"/>
            <w:left w:w="0" w:type="dxa"/>
            <w:bottom w:w="0" w:type="dxa"/>
            <w:right w:w="0" w:type="dxa"/>
          </w:tblCellMar>
        </w:tblPrEx>
        <w:trPr>
          <w:trHeight w:val="529" w:hRule="atLeast"/>
        </w:trPr>
        <w:tc>
          <w:tcPr>
            <w:tcW w:w="900" w:type="dxa"/>
            <w:tcBorders>
              <w:top w:val="single" w:color="000000" w:sz="6" w:space="0"/>
              <w:left w:val="single" w:color="000000" w:sz="6" w:space="0"/>
              <w:bottom w:val="single" w:color="000000" w:sz="6" w:space="0"/>
              <w:right w:val="single" w:color="000000" w:sz="6" w:space="0"/>
            </w:tcBorders>
            <w:vAlign w:val="center"/>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r>
              <w:rPr>
                <w:rStyle w:val="37"/>
                <w:rFonts w:hint="eastAsia" w:ascii="宋体" w:hAnsi="宋体" w:eastAsia="宋体" w:cs="宋体"/>
                <w:b/>
                <w:color w:val="000000" w:themeColor="text1"/>
                <w:kern w:val="1"/>
                <w:szCs w:val="21"/>
                <w:highlight w:val="none"/>
                <w14:textFill>
                  <w14:solidFill>
                    <w14:schemeClr w14:val="tx1"/>
                  </w14:solidFill>
                </w14:textFill>
              </w:rPr>
              <w:t>序 号</w:t>
            </w:r>
          </w:p>
        </w:tc>
        <w:tc>
          <w:tcPr>
            <w:tcW w:w="1502" w:type="dxa"/>
            <w:tcBorders>
              <w:top w:val="single" w:color="000000" w:sz="6" w:space="0"/>
              <w:left w:val="single" w:color="000000" w:sz="6" w:space="0"/>
              <w:bottom w:val="single" w:color="000000" w:sz="6" w:space="0"/>
              <w:right w:val="single" w:color="000000" w:sz="6" w:space="0"/>
            </w:tcBorders>
            <w:vAlign w:val="center"/>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r>
              <w:rPr>
                <w:rStyle w:val="37"/>
                <w:rFonts w:hint="eastAsia" w:ascii="宋体" w:hAnsi="宋体" w:eastAsia="宋体" w:cs="宋体"/>
                <w:b/>
                <w:color w:val="000000" w:themeColor="text1"/>
                <w:kern w:val="1"/>
                <w:szCs w:val="21"/>
                <w:highlight w:val="none"/>
                <w14:textFill>
                  <w14:solidFill>
                    <w14:schemeClr w14:val="tx1"/>
                  </w14:solidFill>
                </w14:textFill>
              </w:rPr>
              <w:t>内容</w:t>
            </w:r>
          </w:p>
        </w:tc>
        <w:tc>
          <w:tcPr>
            <w:tcW w:w="2302" w:type="dxa"/>
            <w:tcBorders>
              <w:top w:val="single" w:color="000000" w:sz="6" w:space="0"/>
              <w:left w:val="single" w:color="000000" w:sz="6" w:space="0"/>
              <w:bottom w:val="single" w:color="000000" w:sz="6" w:space="0"/>
              <w:right w:val="single" w:color="000000" w:sz="6" w:space="0"/>
            </w:tcBorders>
            <w:vAlign w:val="center"/>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r>
              <w:rPr>
                <w:rStyle w:val="37"/>
                <w:rFonts w:hint="eastAsia" w:ascii="宋体" w:hAnsi="宋体" w:eastAsia="宋体" w:cs="宋体"/>
                <w:b/>
                <w:color w:val="000000" w:themeColor="text1"/>
                <w:kern w:val="1"/>
                <w:szCs w:val="21"/>
                <w:highlight w:val="none"/>
                <w14:textFill>
                  <w14:solidFill>
                    <w14:schemeClr w14:val="tx1"/>
                  </w14:solidFill>
                </w14:textFill>
              </w:rPr>
              <w:t>招标文件规范要求</w:t>
            </w:r>
          </w:p>
        </w:tc>
        <w:tc>
          <w:tcPr>
            <w:tcW w:w="2002" w:type="dxa"/>
            <w:tcBorders>
              <w:top w:val="single" w:color="000000" w:sz="6" w:space="0"/>
              <w:left w:val="single" w:color="000000" w:sz="6" w:space="0"/>
              <w:bottom w:val="single" w:color="000000" w:sz="6" w:space="0"/>
              <w:right w:val="single" w:color="000000" w:sz="6" w:space="0"/>
            </w:tcBorders>
            <w:vAlign w:val="center"/>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r>
              <w:rPr>
                <w:rStyle w:val="37"/>
                <w:rFonts w:hint="eastAsia" w:ascii="宋体" w:hAnsi="宋体" w:eastAsia="宋体" w:cs="宋体"/>
                <w:b/>
                <w:color w:val="000000" w:themeColor="text1"/>
                <w:kern w:val="1"/>
                <w:szCs w:val="21"/>
                <w:highlight w:val="none"/>
                <w14:textFill>
                  <w14:solidFill>
                    <w14:schemeClr w14:val="tx1"/>
                  </w14:solidFill>
                </w14:textFill>
              </w:rPr>
              <w:t>投标文件对应规范</w:t>
            </w:r>
          </w:p>
        </w:tc>
        <w:tc>
          <w:tcPr>
            <w:tcW w:w="1699" w:type="dxa"/>
            <w:tcBorders>
              <w:top w:val="single" w:color="000000" w:sz="6" w:space="0"/>
              <w:left w:val="single" w:color="000000" w:sz="6" w:space="0"/>
              <w:bottom w:val="single" w:color="000000" w:sz="6" w:space="0"/>
              <w:right w:val="single" w:color="000000" w:sz="6" w:space="0"/>
            </w:tcBorders>
            <w:vAlign w:val="center"/>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r>
              <w:rPr>
                <w:rStyle w:val="37"/>
                <w:rFonts w:hint="eastAsia" w:ascii="宋体" w:hAnsi="宋体" w:eastAsia="宋体" w:cs="宋体"/>
                <w:b/>
                <w:color w:val="000000" w:themeColor="text1"/>
                <w:kern w:val="1"/>
                <w:szCs w:val="21"/>
                <w:highlight w:val="none"/>
                <w14:textFill>
                  <w14:solidFill>
                    <w14:schemeClr w14:val="tx1"/>
                  </w14:solidFill>
                </w14:textFill>
              </w:rPr>
              <w:t>偏离情况</w:t>
            </w:r>
          </w:p>
        </w:tc>
      </w:tr>
      <w:tr>
        <w:tblPrEx>
          <w:tblCellMar>
            <w:top w:w="0" w:type="dxa"/>
            <w:left w:w="0" w:type="dxa"/>
            <w:bottom w:w="0" w:type="dxa"/>
            <w:right w:w="0" w:type="dxa"/>
          </w:tblCellMar>
        </w:tblPrEx>
        <w:trPr>
          <w:trHeight w:val="251" w:hRule="atLeast"/>
        </w:trPr>
        <w:tc>
          <w:tcPr>
            <w:tcW w:w="900"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23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20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1699"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r>
      <w:tr>
        <w:tblPrEx>
          <w:tblCellMar>
            <w:top w:w="0" w:type="dxa"/>
            <w:left w:w="0" w:type="dxa"/>
            <w:bottom w:w="0" w:type="dxa"/>
            <w:right w:w="0" w:type="dxa"/>
          </w:tblCellMar>
        </w:tblPrEx>
        <w:trPr>
          <w:trHeight w:val="251" w:hRule="atLeast"/>
        </w:trPr>
        <w:tc>
          <w:tcPr>
            <w:tcW w:w="900"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23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20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1699"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r>
      <w:tr>
        <w:tblPrEx>
          <w:tblCellMar>
            <w:top w:w="0" w:type="dxa"/>
            <w:left w:w="0" w:type="dxa"/>
            <w:bottom w:w="0" w:type="dxa"/>
            <w:right w:w="0" w:type="dxa"/>
          </w:tblCellMar>
        </w:tblPrEx>
        <w:trPr>
          <w:trHeight w:val="259" w:hRule="atLeast"/>
        </w:trPr>
        <w:tc>
          <w:tcPr>
            <w:tcW w:w="900"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23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20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1699"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r>
      <w:tr>
        <w:tblPrEx>
          <w:tblCellMar>
            <w:top w:w="0" w:type="dxa"/>
            <w:left w:w="0" w:type="dxa"/>
            <w:bottom w:w="0" w:type="dxa"/>
            <w:right w:w="0" w:type="dxa"/>
          </w:tblCellMar>
        </w:tblPrEx>
        <w:trPr>
          <w:trHeight w:val="251" w:hRule="atLeast"/>
        </w:trPr>
        <w:tc>
          <w:tcPr>
            <w:tcW w:w="900"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23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20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1699"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r>
      <w:tr>
        <w:tblPrEx>
          <w:tblCellMar>
            <w:top w:w="0" w:type="dxa"/>
            <w:left w:w="0" w:type="dxa"/>
            <w:bottom w:w="0" w:type="dxa"/>
            <w:right w:w="0" w:type="dxa"/>
          </w:tblCellMar>
        </w:tblPrEx>
        <w:trPr>
          <w:trHeight w:val="251" w:hRule="atLeast"/>
        </w:trPr>
        <w:tc>
          <w:tcPr>
            <w:tcW w:w="900"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23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20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1699"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r>
      <w:tr>
        <w:tblPrEx>
          <w:tblCellMar>
            <w:top w:w="0" w:type="dxa"/>
            <w:left w:w="0" w:type="dxa"/>
            <w:bottom w:w="0" w:type="dxa"/>
            <w:right w:w="0" w:type="dxa"/>
          </w:tblCellMar>
        </w:tblPrEx>
        <w:trPr>
          <w:trHeight w:val="259" w:hRule="atLeast"/>
        </w:trPr>
        <w:tc>
          <w:tcPr>
            <w:tcW w:w="900"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15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23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2002"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c>
          <w:tcPr>
            <w:tcW w:w="1699" w:type="dxa"/>
            <w:tcBorders>
              <w:top w:val="single" w:color="000000" w:sz="6" w:space="0"/>
              <w:left w:val="single" w:color="000000" w:sz="6" w:space="0"/>
              <w:bottom w:val="single" w:color="000000" w:sz="6" w:space="0"/>
              <w:right w:val="single" w:color="000000" w:sz="6" w:space="0"/>
            </w:tcBorders>
          </w:tcPr>
          <w:p>
            <w:pPr>
              <w:shd w:val="clear"/>
              <w:snapToGrid w:val="0"/>
              <w:jc w:val="center"/>
              <w:rPr>
                <w:rStyle w:val="37"/>
                <w:rFonts w:hint="eastAsia" w:ascii="宋体" w:hAnsi="宋体" w:eastAsia="宋体" w:cs="宋体"/>
                <w:b/>
                <w:color w:val="000000" w:themeColor="text1"/>
                <w:kern w:val="1"/>
                <w:szCs w:val="21"/>
                <w:highlight w:val="none"/>
                <w14:textFill>
                  <w14:solidFill>
                    <w14:schemeClr w14:val="tx1"/>
                  </w14:solidFill>
                </w14:textFill>
              </w:rPr>
            </w:pPr>
          </w:p>
        </w:tc>
      </w:tr>
    </w:tbl>
    <w:p>
      <w:pPr>
        <w:shd w:val="clear"/>
        <w:snapToGrid w:val="0"/>
        <w:spacing w:line="360" w:lineRule="auto"/>
        <w:ind w:firstLine="480" w:firstLineChars="200"/>
        <w:rPr>
          <w:rStyle w:val="37"/>
          <w:rFonts w:hint="eastAsia" w:ascii="宋体" w:hAnsi="宋体" w:eastAsia="宋体" w:cs="宋体"/>
          <w:color w:val="000000" w:themeColor="text1"/>
          <w:kern w:val="1"/>
          <w:sz w:val="24"/>
          <w:szCs w:val="24"/>
          <w:highlight w:val="none"/>
          <w14:textFill>
            <w14:solidFill>
              <w14:schemeClr w14:val="tx1"/>
            </w14:solidFill>
          </w14:textFill>
        </w:rPr>
      </w:pPr>
      <w:r>
        <w:rPr>
          <w:rStyle w:val="37"/>
          <w:rFonts w:hint="eastAsia" w:ascii="宋体" w:hAnsi="宋体" w:eastAsia="宋体" w:cs="宋体"/>
          <w:color w:val="000000" w:themeColor="text1"/>
          <w:kern w:val="1"/>
          <w:sz w:val="24"/>
          <w:szCs w:val="24"/>
          <w:highlight w:val="none"/>
          <w14:textFill>
            <w14:solidFill>
              <w14:schemeClr w14:val="tx1"/>
            </w14:solidFill>
          </w14:textFill>
        </w:rPr>
        <w:t>注：1、投标人应对照招标文件要求在“偏离情况”栏注明“正偏离”、“负偏离”或“无偏离”。行数可视情况自行添加。</w:t>
      </w:r>
    </w:p>
    <w:p>
      <w:pPr>
        <w:shd w:val="clear"/>
        <w:snapToGrid w:val="0"/>
        <w:spacing w:line="360" w:lineRule="auto"/>
        <w:ind w:firstLine="840" w:firstLineChars="350"/>
        <w:rPr>
          <w:rStyle w:val="37"/>
          <w:rFonts w:hint="eastAsia" w:ascii="宋体" w:hAnsi="宋体" w:eastAsia="宋体" w:cs="宋体"/>
          <w:color w:val="000000" w:themeColor="text1"/>
          <w:kern w:val="1"/>
          <w:sz w:val="24"/>
          <w:szCs w:val="24"/>
          <w:highlight w:val="none"/>
          <w14:textFill>
            <w14:solidFill>
              <w14:schemeClr w14:val="tx1"/>
            </w14:solidFill>
          </w14:textFill>
        </w:rPr>
      </w:pPr>
      <w:r>
        <w:rPr>
          <w:rStyle w:val="37"/>
          <w:rFonts w:hint="eastAsia" w:ascii="宋体" w:hAnsi="宋体" w:eastAsia="宋体" w:cs="宋体"/>
          <w:color w:val="000000" w:themeColor="text1"/>
          <w:kern w:val="1"/>
          <w:sz w:val="24"/>
          <w:szCs w:val="24"/>
          <w:highlight w:val="none"/>
          <w14:textFill>
            <w14:solidFill>
              <w14:schemeClr w14:val="tx1"/>
            </w14:solidFill>
          </w14:textFill>
        </w:rPr>
        <w:t>2、不填写视同完全响应招标文件的要求。</w:t>
      </w:r>
    </w:p>
    <w:p>
      <w:pPr>
        <w:pStyle w:val="89"/>
        <w:shd w:val="clear"/>
        <w:snapToGrid w:val="0"/>
        <w:spacing w:line="380" w:lineRule="exact"/>
        <w:rPr>
          <w:rStyle w:val="37"/>
          <w:rFonts w:hint="eastAsia" w:ascii="宋体" w:hAnsi="宋体" w:eastAsia="宋体" w:cs="宋体"/>
          <w:color w:val="000000" w:themeColor="text1"/>
          <w:sz w:val="21"/>
          <w:szCs w:val="21"/>
          <w:highlight w:val="none"/>
          <w:lang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法定代表人或授权委托</w:t>
      </w:r>
      <w:r>
        <w:rPr>
          <w:rFonts w:hint="eastAsia" w:ascii="宋体" w:hAnsi="宋体" w:eastAsia="宋体" w:cs="宋体"/>
          <w:color w:val="000000" w:themeColor="text1"/>
          <w:sz w:val="24"/>
          <w:highlight w:val="none"/>
          <w14:textFill>
            <w14:solidFill>
              <w14:schemeClr w14:val="tx1"/>
            </w14:solidFill>
          </w14:textFill>
        </w:rPr>
        <w:t>代理</w:t>
      </w:r>
      <w:r>
        <w:rPr>
          <w:rFonts w:hint="eastAsia" w:ascii="宋体" w:hAnsi="宋体" w:eastAsia="宋体" w:cs="宋体"/>
          <w:color w:val="000000" w:themeColor="text1"/>
          <w:sz w:val="24"/>
          <w:highlight w:val="none"/>
          <w:lang w:val="zh-CN"/>
          <w14:textFill>
            <w14:solidFill>
              <w14:schemeClr w14:val="tx1"/>
            </w14:solidFill>
          </w14:textFill>
        </w:rPr>
        <w:t>人（签字</w:t>
      </w:r>
      <w:r>
        <w:rPr>
          <w:rFonts w:hint="eastAsia" w:ascii="宋体" w:hAnsi="宋体" w:eastAsia="宋体" w:cs="宋体"/>
          <w:color w:val="000000" w:themeColor="text1"/>
          <w:sz w:val="24"/>
          <w:highlight w:val="none"/>
          <w14:textFill>
            <w14:solidFill>
              <w14:schemeClr w14:val="tx1"/>
            </w14:solidFill>
          </w14:textFill>
        </w:rPr>
        <w:t>或盖章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报价文件目录</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1、开标一览表（格式见附件）；</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2、报价明细表（格式见附件）；</w:t>
      </w:r>
    </w:p>
    <w:p>
      <w:pPr>
        <w:pStyle w:val="2"/>
        <w:shd w:val="clear"/>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3、中小企业声明函；</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3、针对报价磋商供应商认为其他需要说明的资料；</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附件14</w:t>
      </w: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首次报价一览表</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项目编号：</w:t>
      </w: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项目名称：</w:t>
      </w:r>
      <w:r>
        <w:rPr>
          <w:rFonts w:hint="eastAsia" w:ascii="宋体" w:hAnsi="宋体" w:eastAsia="宋体" w:cs="宋体"/>
          <w:color w:val="000000" w:themeColor="text1"/>
          <w:sz w:val="24"/>
          <w:szCs w:val="32"/>
          <w:highlight w:val="none"/>
          <w14:textFill>
            <w14:solidFill>
              <w14:schemeClr w14:val="tx1"/>
            </w14:solidFill>
          </w14:textFill>
        </w:rPr>
        <w:t xml:space="preserve">                                      [货币单位：人民币/元]</w:t>
      </w:r>
    </w:p>
    <w:tbl>
      <w:tblPr>
        <w:tblStyle w:val="3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line="360" w:lineRule="auto"/>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投标总报价</w:t>
            </w:r>
          </w:p>
          <w:p>
            <w:pPr>
              <w:shd w:val="clear"/>
              <w:autoSpaceDE w:val="0"/>
              <w:autoSpaceDN w:val="0"/>
              <w:spacing w:line="360" w:lineRule="auto"/>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(人民币元)</w:t>
            </w:r>
          </w:p>
        </w:tc>
        <w:tc>
          <w:tcPr>
            <w:tcW w:w="1349"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line="360" w:lineRule="auto"/>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w:t>
            </w:r>
          </w:p>
        </w:tc>
        <w:tc>
          <w:tcPr>
            <w:tcW w:w="4629"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line="360" w:lineRule="auto"/>
              <w:jc w:val="center"/>
              <w:textAlignment w:val="bottom"/>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line="360" w:lineRule="auto"/>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line="360" w:lineRule="auto"/>
              <w:jc w:val="center"/>
              <w:textAlignment w:val="bottom"/>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填报要求：</w:t>
      </w:r>
    </w:p>
    <w:p>
      <w:pPr>
        <w:shd w:val="clear"/>
        <w:spacing w:line="360" w:lineRule="auto"/>
        <w:ind w:firstLine="48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1.投标总报价</w:t>
      </w:r>
      <w:r>
        <w:rPr>
          <w:rFonts w:hint="eastAsia" w:ascii="宋体" w:hAnsi="宋体" w:eastAsia="宋体" w:cs="宋体"/>
          <w:color w:val="000000" w:themeColor="text1"/>
          <w:kern w:val="0"/>
          <w:sz w:val="24"/>
          <w:highlight w:val="none"/>
          <w14:textFill>
            <w14:solidFill>
              <w14:schemeClr w14:val="tx1"/>
            </w14:solidFill>
          </w14:textFill>
        </w:rPr>
        <w:t>包括必备的附件、服务费、人工费、技术支持、招标代理费、税金、完成本项目的其它费用和政策性文件规定及合同包含的所有风险、责任等所有费用，所有</w:t>
      </w:r>
      <w:r>
        <w:rPr>
          <w:rFonts w:hint="eastAsia" w:ascii="宋体" w:hAnsi="宋体" w:eastAsia="宋体" w:cs="宋体"/>
          <w:color w:val="000000" w:themeColor="text1"/>
          <w:kern w:val="0"/>
          <w:sz w:val="24"/>
          <w:highlight w:val="none"/>
          <w:lang w:val="zh-CN"/>
          <w14:textFill>
            <w14:solidFill>
              <w14:schemeClr w14:val="tx1"/>
            </w14:solidFill>
          </w14:textFill>
        </w:rPr>
        <w:t>费用已包含在投标报价中。</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2.报价一经涂改，应在涂改处加盖单位公章，或者由法定代表人或授权委托代理人签字或盖章，否则其投标作无效标处理。</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法定代表人或授权委托</w:t>
      </w:r>
      <w:r>
        <w:rPr>
          <w:rFonts w:hint="eastAsia" w:ascii="宋体" w:hAnsi="宋体" w:eastAsia="宋体" w:cs="宋体"/>
          <w:color w:val="000000" w:themeColor="text1"/>
          <w:sz w:val="24"/>
          <w:highlight w:val="none"/>
          <w14:textFill>
            <w14:solidFill>
              <w14:schemeClr w14:val="tx1"/>
            </w14:solidFill>
          </w14:textFill>
        </w:rPr>
        <w:t>代理</w:t>
      </w:r>
      <w:r>
        <w:rPr>
          <w:rFonts w:hint="eastAsia" w:ascii="宋体" w:hAnsi="宋体" w:eastAsia="宋体" w:cs="宋体"/>
          <w:color w:val="000000" w:themeColor="text1"/>
          <w:sz w:val="24"/>
          <w:highlight w:val="none"/>
          <w:lang w:val="zh-CN"/>
          <w14:textFill>
            <w14:solidFill>
              <w14:schemeClr w14:val="tx1"/>
            </w14:solidFill>
          </w14:textFill>
        </w:rPr>
        <w:t>人（签字</w:t>
      </w:r>
      <w:r>
        <w:rPr>
          <w:rFonts w:hint="eastAsia" w:ascii="宋体" w:hAnsi="宋体" w:eastAsia="宋体" w:cs="宋体"/>
          <w:color w:val="000000" w:themeColor="text1"/>
          <w:sz w:val="24"/>
          <w:highlight w:val="none"/>
          <w14:textFill>
            <w14:solidFill>
              <w14:schemeClr w14:val="tx1"/>
            </w14:solidFill>
          </w14:textFill>
        </w:rPr>
        <w:t>或盖章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pStyle w:val="9"/>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附件15</w:t>
      </w:r>
    </w:p>
    <w:p>
      <w:pPr>
        <w:shd w:val="clea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报价明细表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项目名称：</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项目编号：                                       [单位：人民币/元]</w:t>
      </w:r>
    </w:p>
    <w:tbl>
      <w:tblPr>
        <w:tblStyle w:val="30"/>
        <w:tblW w:w="821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10"/>
        <w:gridCol w:w="2955"/>
        <w:gridCol w:w="1698"/>
        <w:gridCol w:w="1290"/>
        <w:gridCol w:w="126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295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名称</w:t>
            </w:r>
          </w:p>
        </w:tc>
        <w:tc>
          <w:tcPr>
            <w:tcW w:w="1698"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数量</w:t>
            </w:r>
          </w:p>
        </w:tc>
        <w:tc>
          <w:tcPr>
            <w:tcW w:w="129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单价</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1</w:t>
            </w:r>
          </w:p>
        </w:tc>
        <w:tc>
          <w:tcPr>
            <w:tcW w:w="2955" w:type="dxa"/>
            <w:tcBorders>
              <w:top w:val="single" w:color="auto" w:sz="4" w:space="0"/>
              <w:left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p>
        </w:tc>
        <w:tc>
          <w:tcPr>
            <w:tcW w:w="1698" w:type="dxa"/>
            <w:tcBorders>
              <w:top w:val="single" w:color="auto" w:sz="4" w:space="0"/>
              <w:left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p>
        </w:tc>
        <w:tc>
          <w:tcPr>
            <w:tcW w:w="1290" w:type="dxa"/>
            <w:tcBorders>
              <w:top w:val="single" w:color="auto" w:sz="4" w:space="0"/>
              <w:left w:val="single" w:color="auto" w:sz="4" w:space="0"/>
              <w:right w:val="single" w:color="auto" w:sz="4" w:space="0"/>
            </w:tcBorders>
            <w:vAlign w:val="center"/>
          </w:tcPr>
          <w:p>
            <w:pPr>
              <w:pStyle w:val="26"/>
              <w:shd w:val="clear"/>
              <w:snapToGrid w:val="0"/>
              <w:spacing w:beforeAutospacing="0" w:afterAutospacing="0"/>
              <w:rPr>
                <w:rFonts w:hint="eastAsia" w:ascii="宋体" w:hAnsi="宋体" w:eastAsia="宋体" w:cs="宋体"/>
                <w:color w:val="000000" w:themeColor="text1"/>
                <w:highlight w:val="none"/>
                <w14:textFill>
                  <w14:solidFill>
                    <w14:schemeClr w14:val="tx1"/>
                  </w14:solidFill>
                </w14:textFill>
              </w:rPr>
            </w:pPr>
          </w:p>
        </w:tc>
        <w:tc>
          <w:tcPr>
            <w:tcW w:w="1260" w:type="dxa"/>
            <w:tcBorders>
              <w:top w:val="single" w:color="auto" w:sz="4" w:space="0"/>
              <w:left w:val="single" w:color="auto" w:sz="4" w:space="0"/>
              <w:right w:val="single" w:color="auto" w:sz="4" w:space="0"/>
            </w:tcBorders>
            <w:vAlign w:val="center"/>
          </w:tcPr>
          <w:p>
            <w:pPr>
              <w:pStyle w:val="26"/>
              <w:shd w:val="clear"/>
              <w:snapToGrid w:val="0"/>
              <w:spacing w:beforeAutospacing="0" w:afterAutospacing="0"/>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2</w:t>
            </w:r>
          </w:p>
        </w:tc>
        <w:tc>
          <w:tcPr>
            <w:tcW w:w="2955" w:type="dxa"/>
            <w:tcBorders>
              <w:top w:val="single" w:color="auto" w:sz="4" w:space="0"/>
              <w:left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p>
        </w:tc>
        <w:tc>
          <w:tcPr>
            <w:tcW w:w="1698" w:type="dxa"/>
            <w:tcBorders>
              <w:top w:val="single" w:color="auto" w:sz="4" w:space="0"/>
              <w:left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rPr>
                <w:rFonts w:hint="eastAsia" w:ascii="宋体" w:hAnsi="宋体" w:eastAsia="宋体" w:cs="宋体"/>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3</w:t>
            </w:r>
          </w:p>
        </w:tc>
        <w:tc>
          <w:tcPr>
            <w:tcW w:w="2955" w:type="dxa"/>
            <w:tcBorders>
              <w:top w:val="single" w:color="auto" w:sz="4" w:space="0"/>
              <w:left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p>
        </w:tc>
        <w:tc>
          <w:tcPr>
            <w:tcW w:w="1698" w:type="dxa"/>
            <w:tcBorders>
              <w:top w:val="single" w:color="auto" w:sz="4" w:space="0"/>
              <w:left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rPr>
                <w:rFonts w:hint="eastAsia" w:ascii="宋体" w:hAnsi="宋体" w:eastAsia="宋体" w:cs="宋体"/>
                <w:color w:val="000000" w:themeColor="text1"/>
                <w:highlight w:val="none"/>
                <w:shd w:val="clear" w:color="auto" w:fill="FFFFFF"/>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rPr>
                <w:rFonts w:hint="eastAsia" w:ascii="宋体" w:hAnsi="宋体" w:eastAsia="宋体" w:cs="宋体"/>
                <w:color w:val="000000" w:themeColor="text1"/>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4</w:t>
            </w:r>
          </w:p>
        </w:tc>
        <w:tc>
          <w:tcPr>
            <w:tcW w:w="2955"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p>
        </w:tc>
        <w:tc>
          <w:tcPr>
            <w:tcW w:w="1698"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rPr>
                <w:rFonts w:hint="eastAsia" w:ascii="宋体" w:hAnsi="宋体" w:eastAsia="宋体" w:cs="宋体"/>
                <w:color w:val="000000" w:themeColor="text1"/>
                <w:highlight w:val="none"/>
                <w:shd w:val="clear" w:color="auto" w:fill="FFFFFF"/>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rPr>
                <w:rFonts w:hint="eastAsia" w:ascii="宋体" w:hAnsi="宋体" w:eastAsia="宋体" w:cs="宋体"/>
                <w:color w:val="000000" w:themeColor="text1"/>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5</w:t>
            </w:r>
          </w:p>
        </w:tc>
        <w:tc>
          <w:tcPr>
            <w:tcW w:w="2955"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p>
        </w:tc>
        <w:tc>
          <w:tcPr>
            <w:tcW w:w="1698"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rPr>
                <w:rFonts w:hint="eastAsia" w:ascii="宋体" w:hAnsi="宋体" w:eastAsia="宋体" w:cs="宋体"/>
                <w:color w:val="000000" w:themeColor="text1"/>
                <w:highlight w:val="none"/>
                <w:shd w:val="clear" w:color="auto" w:fill="FFFFFF"/>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rPr>
                <w:rFonts w:hint="eastAsia" w:ascii="宋体" w:hAnsi="宋体" w:eastAsia="宋体" w:cs="宋体"/>
                <w:color w:val="000000" w:themeColor="text1"/>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6</w:t>
            </w:r>
          </w:p>
        </w:tc>
        <w:tc>
          <w:tcPr>
            <w:tcW w:w="2955"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p>
        </w:tc>
        <w:tc>
          <w:tcPr>
            <w:tcW w:w="1698"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jc w:val="center"/>
              <w:rPr>
                <w:rFonts w:hint="eastAsia" w:ascii="宋体" w:hAnsi="宋体" w:eastAsia="宋体" w:cs="宋体"/>
                <w:color w:val="000000" w:themeColor="text1"/>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rPr>
                <w:rFonts w:hint="eastAsia" w:ascii="宋体" w:hAnsi="宋体" w:eastAsia="宋体" w:cs="宋体"/>
                <w:color w:val="000000" w:themeColor="text1"/>
                <w:highlight w:val="none"/>
                <w:shd w:val="clear" w:color="auto" w:fill="FFFFFF"/>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6"/>
              <w:shd w:val="clear"/>
              <w:snapToGrid w:val="0"/>
              <w:spacing w:beforeAutospacing="0" w:afterAutospacing="0"/>
              <w:rPr>
                <w:rFonts w:hint="eastAsia" w:ascii="宋体" w:hAnsi="宋体" w:eastAsia="宋体" w:cs="宋体"/>
                <w:color w:val="000000" w:themeColor="text1"/>
                <w:highlight w:val="none"/>
                <w:shd w:val="clear" w:color="auto" w:fill="FFFFFF"/>
                <w14:textFill>
                  <w14:solidFill>
                    <w14:schemeClr w14:val="tx1"/>
                  </w14:solidFill>
                </w14:textFill>
              </w:rPr>
            </w:pPr>
          </w:p>
        </w:tc>
      </w:tr>
    </w:tbl>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1.本表为《开标一览表》的报价明细表，如有缺项、漏项，视为投标报价中已包含相关费用，采购单位无需另外支付任何费用。</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“报价明细表”中的报价合计应与“开标一览表”中的投标总报价相一致，不一致时，以开标一览表为准。</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投标报价明细表所填内容按</w:t>
      </w:r>
      <w:r>
        <w:rPr>
          <w:rFonts w:hint="eastAsia" w:ascii="宋体" w:hAnsi="宋体" w:eastAsia="宋体" w:cs="宋体"/>
          <w:color w:val="000000" w:themeColor="text1"/>
          <w:sz w:val="24"/>
          <w:szCs w:val="32"/>
          <w:highlight w:val="none"/>
          <w14:textFill>
            <w14:solidFill>
              <w14:schemeClr w14:val="tx1"/>
            </w14:solidFill>
          </w14:textFill>
        </w:rPr>
        <w:t>磋商</w:t>
      </w:r>
      <w:r>
        <w:rPr>
          <w:rFonts w:hint="eastAsia" w:ascii="宋体" w:hAnsi="宋体" w:eastAsia="宋体" w:cs="宋体"/>
          <w:color w:val="000000" w:themeColor="text1"/>
          <w:sz w:val="24"/>
          <w:szCs w:val="32"/>
          <w:highlight w:val="none"/>
          <w:lang w:val="zh-CN"/>
          <w14:textFill>
            <w14:solidFill>
              <w14:schemeClr w14:val="tx1"/>
            </w14:solidFill>
          </w14:textFill>
        </w:rPr>
        <w:t>文件采购要求为准。如有漏报的，视同已包含在投标总价内或已作优惠处理。有重大缺项的将作无效标处理。</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法定代表人或授权委托</w:t>
      </w:r>
      <w:r>
        <w:rPr>
          <w:rFonts w:hint="eastAsia" w:ascii="宋体" w:hAnsi="宋体" w:eastAsia="宋体" w:cs="宋体"/>
          <w:color w:val="000000" w:themeColor="text1"/>
          <w:sz w:val="24"/>
          <w:highlight w:val="none"/>
          <w14:textFill>
            <w14:solidFill>
              <w14:schemeClr w14:val="tx1"/>
            </w14:solidFill>
          </w14:textFill>
        </w:rPr>
        <w:t>代理</w:t>
      </w:r>
      <w:r>
        <w:rPr>
          <w:rFonts w:hint="eastAsia" w:ascii="宋体" w:hAnsi="宋体" w:eastAsia="宋体" w:cs="宋体"/>
          <w:color w:val="000000" w:themeColor="text1"/>
          <w:sz w:val="24"/>
          <w:highlight w:val="none"/>
          <w:lang w:val="zh-CN"/>
          <w14:textFill>
            <w14:solidFill>
              <w14:schemeClr w14:val="tx1"/>
            </w14:solidFill>
          </w14:textFill>
        </w:rPr>
        <w:t>人（签字</w:t>
      </w:r>
      <w:r>
        <w:rPr>
          <w:rFonts w:hint="eastAsia" w:ascii="宋体" w:hAnsi="宋体" w:eastAsia="宋体" w:cs="宋体"/>
          <w:color w:val="000000" w:themeColor="text1"/>
          <w:sz w:val="24"/>
          <w:highlight w:val="none"/>
          <w14:textFill>
            <w14:solidFill>
              <w14:schemeClr w14:val="tx1"/>
            </w14:solidFill>
          </w14:textFill>
        </w:rPr>
        <w:t>或盖章</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附件16</w:t>
      </w:r>
    </w:p>
    <w:p>
      <w:pPr>
        <w:shd w:val="clea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中小企业声明函（工程、服务）</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eastAsia="宋体" w:cs="宋体"/>
          <w:bCs/>
          <w:color w:val="000000" w:themeColor="text1"/>
          <w:sz w:val="24"/>
          <w:highlight w:val="none"/>
          <w:u w:val="single"/>
          <w14:textFill>
            <w14:solidFill>
              <w14:schemeClr w14:val="tx1"/>
            </w14:solidFill>
          </w14:textFill>
        </w:rPr>
        <w:t>（单位名称）</w:t>
      </w:r>
      <w:r>
        <w:rPr>
          <w:rFonts w:hint="eastAsia" w:ascii="宋体" w:hAnsi="宋体" w:eastAsia="宋体" w:cs="宋体"/>
          <w:bCs/>
          <w:color w:val="000000" w:themeColor="text1"/>
          <w:sz w:val="24"/>
          <w:highlight w:val="none"/>
          <w14:textFill>
            <w14:solidFill>
              <w14:schemeClr w14:val="tx1"/>
            </w14:solidFill>
          </w14:textFill>
        </w:rPr>
        <w:t>的</w:t>
      </w:r>
      <w:r>
        <w:rPr>
          <w:rFonts w:hint="eastAsia" w:ascii="宋体" w:hAnsi="宋体" w:eastAsia="宋体" w:cs="宋体"/>
          <w:bCs/>
          <w:color w:val="000000" w:themeColor="text1"/>
          <w:sz w:val="24"/>
          <w:highlight w:val="none"/>
          <w:u w:val="single"/>
          <w14:textFill>
            <w14:solidFill>
              <w14:schemeClr w14:val="tx1"/>
            </w14:solidFill>
          </w14:textFill>
        </w:rPr>
        <w:t>（项目名称）</w:t>
      </w:r>
      <w:r>
        <w:rPr>
          <w:rFonts w:hint="eastAsia" w:ascii="宋体" w:hAnsi="宋体" w:eastAsia="宋体" w:cs="宋体"/>
          <w:bCs/>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采购活动，工程的施工单位全部为符合政策要求的中小企业（或者：服务全部由符合政策要求的中小企业承接）。相关企业的具体情况如下：</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eastAsia="宋体" w:cs="宋体"/>
          <w:bCs/>
          <w:color w:val="000000" w:themeColor="text1"/>
          <w:sz w:val="24"/>
          <w:highlight w:val="none"/>
          <w:u w:val="single"/>
          <w14:textFill>
            <w14:solidFill>
              <w14:schemeClr w14:val="tx1"/>
            </w14:solidFill>
          </w14:textFill>
        </w:rPr>
        <w:t>（标的名称）</w:t>
      </w:r>
      <w:r>
        <w:rPr>
          <w:rFonts w:hint="eastAsia" w:ascii="宋体" w:hAnsi="宋体" w:eastAsia="宋体" w:cs="宋体"/>
          <w:bCs/>
          <w:color w:val="000000" w:themeColor="text1"/>
          <w:sz w:val="24"/>
          <w:highlight w:val="none"/>
          <w14:textFill>
            <w14:solidFill>
              <w14:schemeClr w14:val="tx1"/>
            </w14:solidFill>
          </w14:textFill>
        </w:rPr>
        <w:t>，属于</w:t>
      </w:r>
      <w:r>
        <w:rPr>
          <w:rFonts w:hint="eastAsia" w:ascii="宋体" w:hAnsi="宋体" w:eastAsia="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bCs/>
          <w:color w:val="000000" w:themeColor="text1"/>
          <w:sz w:val="24"/>
          <w:highlight w:val="none"/>
          <w14:textFill>
            <w14:solidFill>
              <w14:schemeClr w14:val="tx1"/>
            </w14:solidFill>
          </w14:textFill>
        </w:rPr>
        <w:t>；承建（承接）企业为</w:t>
      </w:r>
      <w:r>
        <w:rPr>
          <w:rFonts w:hint="eastAsia" w:ascii="宋体" w:hAnsi="宋体" w:eastAsia="宋体" w:cs="宋体"/>
          <w:bCs/>
          <w:color w:val="000000" w:themeColor="text1"/>
          <w:sz w:val="24"/>
          <w:highlight w:val="none"/>
          <w:u w:val="single"/>
          <w14:textFill>
            <w14:solidFill>
              <w14:schemeClr w14:val="tx1"/>
            </w14:solidFill>
          </w14:textFill>
        </w:rPr>
        <w:t>（企业名称）</w:t>
      </w:r>
      <w:r>
        <w:rPr>
          <w:rFonts w:hint="eastAsia" w:ascii="宋体" w:hAnsi="宋体" w:eastAsia="宋体" w:cs="宋体"/>
          <w:bCs/>
          <w:color w:val="000000" w:themeColor="text1"/>
          <w:sz w:val="24"/>
          <w:highlight w:val="none"/>
          <w14:textFill>
            <w14:solidFill>
              <w14:schemeClr w14:val="tx1"/>
            </w14:solidFill>
          </w14:textFill>
        </w:rPr>
        <w:t>，从业人员</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人，营业收入为</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万元，资产总额为</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w:t>
      </w:r>
      <w:r>
        <w:rPr>
          <w:rStyle w:val="36"/>
          <w:rFonts w:hint="eastAsia" w:ascii="宋体" w:hAnsi="宋体" w:eastAsia="宋体" w:cs="宋体"/>
          <w:bCs/>
          <w:color w:val="000000" w:themeColor="text1"/>
          <w:sz w:val="24"/>
          <w:highlight w:val="none"/>
          <w14:textFill>
            <w14:solidFill>
              <w14:schemeClr w14:val="tx1"/>
            </w14:solidFill>
          </w14:textFill>
        </w:rPr>
        <w:footnoteReference w:id="0"/>
      </w:r>
      <w:r>
        <w:rPr>
          <w:rFonts w:hint="eastAsia" w:ascii="宋体" w:hAnsi="宋体" w:eastAsia="宋体" w:cs="宋体"/>
          <w:bCs/>
          <w:color w:val="000000" w:themeColor="text1"/>
          <w:sz w:val="24"/>
          <w:highlight w:val="none"/>
          <w14:textFill>
            <w14:solidFill>
              <w14:schemeClr w14:val="tx1"/>
            </w14:solidFill>
          </w14:textFill>
        </w:rPr>
        <w:t>，属于</w:t>
      </w:r>
      <w:r>
        <w:rPr>
          <w:rFonts w:hint="eastAsia" w:ascii="宋体" w:hAnsi="宋体" w:eastAsia="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r>
        <w:rPr>
          <w:rFonts w:hint="eastAsia" w:ascii="宋体" w:hAnsi="宋体" w:eastAsia="宋体" w:cs="宋体"/>
          <w:bCs/>
          <w:color w:val="000000" w:themeColor="text1"/>
          <w:sz w:val="24"/>
          <w:highlight w:val="none"/>
          <w:u w:val="single"/>
          <w14:textFill>
            <w14:solidFill>
              <w14:schemeClr w14:val="tx1"/>
            </w14:solidFill>
          </w14:textFill>
        </w:rPr>
        <w:t>（标的名称）</w:t>
      </w:r>
      <w:r>
        <w:rPr>
          <w:rFonts w:hint="eastAsia" w:ascii="宋体" w:hAnsi="宋体" w:eastAsia="宋体" w:cs="宋体"/>
          <w:bCs/>
          <w:color w:val="000000" w:themeColor="text1"/>
          <w:sz w:val="24"/>
          <w:highlight w:val="none"/>
          <w14:textFill>
            <w14:solidFill>
              <w14:schemeClr w14:val="tx1"/>
            </w14:solidFill>
          </w14:textFill>
        </w:rPr>
        <w:t>，属于</w:t>
      </w:r>
      <w:r>
        <w:rPr>
          <w:rFonts w:hint="eastAsia" w:ascii="宋体" w:hAnsi="宋体" w:eastAsia="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bCs/>
          <w:color w:val="000000" w:themeColor="text1"/>
          <w:sz w:val="24"/>
          <w:highlight w:val="none"/>
          <w14:textFill>
            <w14:solidFill>
              <w14:schemeClr w14:val="tx1"/>
            </w14:solidFill>
          </w14:textFill>
        </w:rPr>
        <w:t>；承建（承接）企业为</w:t>
      </w:r>
      <w:r>
        <w:rPr>
          <w:rFonts w:hint="eastAsia" w:ascii="宋体" w:hAnsi="宋体" w:eastAsia="宋体" w:cs="宋体"/>
          <w:bCs/>
          <w:color w:val="000000" w:themeColor="text1"/>
          <w:sz w:val="24"/>
          <w:highlight w:val="none"/>
          <w:u w:val="single"/>
          <w14:textFill>
            <w14:solidFill>
              <w14:schemeClr w14:val="tx1"/>
            </w14:solidFill>
          </w14:textFill>
        </w:rPr>
        <w:t>（企业名称）</w:t>
      </w:r>
      <w:r>
        <w:rPr>
          <w:rFonts w:hint="eastAsia" w:ascii="宋体" w:hAnsi="宋体" w:eastAsia="宋体" w:cs="宋体"/>
          <w:bCs/>
          <w:color w:val="000000" w:themeColor="text1"/>
          <w:sz w:val="24"/>
          <w:highlight w:val="none"/>
          <w14:textFill>
            <w14:solidFill>
              <w14:schemeClr w14:val="tx1"/>
            </w14:solidFill>
          </w14:textFill>
        </w:rPr>
        <w:t>，从业人员</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人，营业收入为</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万元，资产总额为</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万元，属于</w:t>
      </w:r>
      <w:r>
        <w:rPr>
          <w:rFonts w:hint="eastAsia" w:ascii="宋体" w:hAnsi="宋体" w:eastAsia="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本企业对上述声明内容的真实性负责。如有虚假，将依法承担相应责任。 </w:t>
      </w: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ind w:firstLine="4800" w:firstLineChars="20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企业名称（盖章）：</w:t>
      </w:r>
    </w:p>
    <w:p>
      <w:pPr>
        <w:shd w:val="clear"/>
        <w:spacing w:line="360" w:lineRule="auto"/>
        <w:ind w:firstLine="4800" w:firstLineChars="20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17"/>
        <w:shd w:val="clear"/>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pPr>
        <w:pStyle w:val="17"/>
        <w:shd w:val="clear"/>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pPr>
        <w:pStyle w:val="17"/>
        <w:shd w:val="clear"/>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pPr>
        <w:pStyle w:val="17"/>
        <w:shd w:val="clear"/>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pPr>
        <w:pStyle w:val="17"/>
        <w:shd w:val="clear"/>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pPr>
        <w:shd w:val="clear"/>
        <w:jc w:val="center"/>
        <w:rPr>
          <w:rFonts w:hint="eastAsia" w:ascii="宋体" w:hAnsi="宋体" w:eastAsia="宋体" w:cs="宋体"/>
          <w:b/>
          <w:color w:val="000000" w:themeColor="text1"/>
          <w:sz w:val="32"/>
          <w:szCs w:val="32"/>
          <w:highlight w:val="none"/>
          <w:lang w:val="en-GB"/>
          <w14:textFill>
            <w14:solidFill>
              <w14:schemeClr w14:val="tx1"/>
            </w14:solidFill>
          </w14:textFill>
        </w:rPr>
      </w:pPr>
      <w:r>
        <w:rPr>
          <w:rFonts w:hint="eastAsia" w:ascii="宋体" w:hAnsi="宋体" w:eastAsia="宋体" w:cs="宋体"/>
          <w:b/>
          <w:color w:val="000000" w:themeColor="text1"/>
          <w:sz w:val="32"/>
          <w:szCs w:val="32"/>
          <w:highlight w:val="none"/>
          <w:lang w:val="en-GB"/>
          <w14:textFill>
            <w14:solidFill>
              <w14:schemeClr w14:val="tx1"/>
            </w14:solidFill>
          </w14:textFill>
        </w:rPr>
        <w:t>残疾人福利性单位声明函</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2880" w:firstLineChars="1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单位名称（单位公章）：</w:t>
      </w: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日期：</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pStyle w:val="68"/>
        <w:shd w:val="clear"/>
        <w:spacing w:line="360" w:lineRule="auto"/>
        <w:ind w:left="4253" w:leftChars="2025" w:right="360"/>
        <w:jc w:val="right"/>
        <w:rPr>
          <w:rFonts w:hint="eastAsia" w:ascii="宋体" w:hAnsi="宋体" w:eastAsia="宋体" w:cs="宋体"/>
          <w:color w:val="000000" w:themeColor="text1"/>
          <w:sz w:val="24"/>
          <w:highlight w:val="none"/>
          <w14:textFill>
            <w14:solidFill>
              <w14:schemeClr w14:val="tx1"/>
            </w14:solidFill>
          </w14:textFill>
        </w:rPr>
      </w:pPr>
    </w:p>
    <w:p>
      <w:pPr>
        <w:shd w:val="clear"/>
        <w:spacing w:line="420" w:lineRule="exact"/>
        <w:rPr>
          <w:rFonts w:hint="eastAsia" w:ascii="宋体" w:hAnsi="宋体" w:eastAsia="宋体" w:cs="宋体"/>
          <w:b/>
          <w:bCs/>
          <w:color w:val="000000" w:themeColor="text1"/>
          <w:sz w:val="28"/>
          <w:szCs w:val="36"/>
          <w:highlight w:val="none"/>
          <w:lang w:val="en-GB"/>
          <w14:textFill>
            <w14:solidFill>
              <w14:schemeClr w14:val="tx1"/>
            </w14:solidFill>
          </w14:textFill>
        </w:rPr>
      </w:pPr>
    </w:p>
    <w:p>
      <w:pPr>
        <w:shd w:val="clear"/>
        <w:spacing w:line="420" w:lineRule="exact"/>
        <w:rPr>
          <w:rFonts w:hint="eastAsia" w:ascii="宋体" w:hAnsi="宋体" w:eastAsia="宋体" w:cs="宋体"/>
          <w:b/>
          <w:bCs/>
          <w:color w:val="000000" w:themeColor="text1"/>
          <w:sz w:val="28"/>
          <w:szCs w:val="36"/>
          <w:highlight w:val="none"/>
          <w:lang w:val="en-GB"/>
          <w14:textFill>
            <w14:solidFill>
              <w14:schemeClr w14:val="tx1"/>
            </w14:solidFill>
          </w14:textFill>
        </w:rPr>
      </w:pPr>
    </w:p>
    <w:p>
      <w:pPr>
        <w:shd w:val="clear"/>
        <w:spacing w:line="420" w:lineRule="exact"/>
        <w:rPr>
          <w:rFonts w:hint="eastAsia" w:ascii="宋体" w:hAnsi="宋体" w:eastAsia="宋体" w:cs="宋体"/>
          <w:b/>
          <w:bCs/>
          <w:color w:val="000000" w:themeColor="text1"/>
          <w:sz w:val="28"/>
          <w:szCs w:val="36"/>
          <w:highlight w:val="none"/>
          <w:lang w:val="en-GB"/>
          <w14:textFill>
            <w14:solidFill>
              <w14:schemeClr w14:val="tx1"/>
            </w14:solidFill>
          </w14:textFill>
        </w:rPr>
      </w:pPr>
    </w:p>
    <w:p>
      <w:pPr>
        <w:shd w:val="clear"/>
        <w:spacing w:line="420" w:lineRule="exact"/>
        <w:rPr>
          <w:rFonts w:hint="eastAsia" w:ascii="宋体" w:hAnsi="宋体" w:eastAsia="宋体" w:cs="宋体"/>
          <w:b/>
          <w:bCs/>
          <w:color w:val="000000" w:themeColor="text1"/>
          <w:sz w:val="28"/>
          <w:szCs w:val="36"/>
          <w:highlight w:val="none"/>
          <w:lang w:val="en-GB"/>
          <w14:textFill>
            <w14:solidFill>
              <w14:schemeClr w14:val="tx1"/>
            </w14:solidFill>
          </w14:textFill>
        </w:rPr>
      </w:pPr>
      <w:r>
        <w:rPr>
          <w:rFonts w:hint="eastAsia" w:ascii="宋体" w:hAnsi="宋体" w:eastAsia="宋体" w:cs="宋体"/>
          <w:b/>
          <w:bCs/>
          <w:color w:val="000000" w:themeColor="text1"/>
          <w:sz w:val="28"/>
          <w:szCs w:val="36"/>
          <w:highlight w:val="none"/>
          <w:lang w:val="en-GB"/>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 xml:space="preserve">                </w:t>
      </w:r>
      <w:r>
        <w:rPr>
          <w:rFonts w:hint="eastAsia" w:ascii="宋体" w:hAnsi="宋体" w:eastAsia="宋体" w:cs="宋体"/>
          <w:b/>
          <w:bCs/>
          <w:color w:val="000000" w:themeColor="text1"/>
          <w:sz w:val="28"/>
          <w:szCs w:val="36"/>
          <w:highlight w:val="none"/>
          <w:lang w:val="en-GB"/>
          <w14:textFill>
            <w14:solidFill>
              <w14:schemeClr w14:val="tx1"/>
            </w14:solidFill>
          </w14:textFill>
        </w:rPr>
        <w:t>政府采购活动确认声明书</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highlight w:val="none"/>
          <w14:textFill>
            <w14:solidFill>
              <w14:schemeClr w14:val="tx1"/>
            </w14:solidFill>
          </w14:textFill>
        </w:rPr>
        <w:t>（采购组织机构名称）：</w:t>
      </w:r>
    </w:p>
    <w:p>
      <w:pPr>
        <w:shd w:val="clear"/>
        <w:spacing w:line="42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本人经由</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单位</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（法人代表）合法授权参加</w:t>
      </w:r>
      <w:r>
        <w:rPr>
          <w:rFonts w:hint="eastAsia" w:ascii="宋体" w:hAnsi="宋体" w:eastAsia="宋体" w:cs="宋体"/>
          <w:b/>
          <w:bCs/>
          <w:color w:val="000000" w:themeColor="text1"/>
          <w:sz w:val="24"/>
          <w:highlight w:val="none"/>
          <w:u w:val="single"/>
          <w:lang w:val="zh-CN"/>
          <w14:textFill>
            <w14:solidFill>
              <w14:schemeClr w14:val="tx1"/>
            </w14:solidFill>
          </w14:textFill>
        </w:rPr>
        <w:t>路桥古街未来社区数字化系统采购项目</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lang w:val="zh-CN"/>
          <w14:textFill>
            <w14:solidFill>
              <w14:schemeClr w14:val="tx1"/>
            </w14:solidFill>
          </w14:textFill>
        </w:rPr>
        <w:t>编号：</w:t>
      </w:r>
      <w:r>
        <w:rPr>
          <w:rFonts w:hint="eastAsia" w:ascii="宋体" w:hAnsi="宋体" w:eastAsia="宋体" w:cs="宋体"/>
          <w:b/>
          <w:bCs/>
          <w:color w:val="000000" w:themeColor="text1"/>
          <w:sz w:val="24"/>
          <w:highlight w:val="none"/>
          <w:u w:val="single"/>
          <w:lang w:val="zh-CN"/>
          <w14:textFill>
            <w14:solidFill>
              <w14:schemeClr w14:val="tx1"/>
            </w14:solidFill>
          </w14:textFill>
        </w:rPr>
        <w:t>ZJWS2023-LQ02</w:t>
      </w:r>
      <w:r>
        <w:rPr>
          <w:rFonts w:hint="eastAsia" w:ascii="宋体" w:hAnsi="宋体" w:eastAsia="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一、本单位与采购人之间 □不存在利害关系 □存在下列利害关系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A.投资关系    B.行政隶属关系    C.业务指导关系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D.其他可能影响采购公正的利害关系（如有，请如实说明）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（供应商名称）之间存在下列利害关系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A.法定代表人或负责人或实际控制人是同一人</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B.法定代表人或负责人或实际控制人是夫妻关系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C.法定代表人或负责人或实际控制人是直系血亲关系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D.法定代表人或负责人或实际控制人存在三代以内旁系血亲关系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E.法定代表人或负责人或实际控制人存在近姻亲关系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F.法定代表人或负责人或实际控制人存在股份控制或实际控制关系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G.存在共同直接或间接投资设立子公司、联营企业和合营企业情况</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I.其他利害关系情况</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三、现已清楚知道并严格遵守政府采购法律法规和现场纪律。</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四、我发现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供应商之间存在或可能存在上述第二条第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项利害关系。</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pPr>
        <w:shd w:val="clear"/>
        <w:spacing w:line="420" w:lineRule="exact"/>
        <w:ind w:firstLine="4819" w:firstLineChars="20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供应商代表签名：</w:t>
      </w:r>
    </w:p>
    <w:p>
      <w:pPr>
        <w:shd w:val="clear"/>
        <w:spacing w:line="420" w:lineRule="exact"/>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年  月  日</w:t>
      </w:r>
    </w:p>
    <w:p>
      <w:pPr>
        <w:shd w:val="clear"/>
        <w:spacing w:line="420" w:lineRule="exact"/>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说明：资格及商务技术文件开启后30分钟内，供应商通过邮件形式将经授权代表签署的《</w:t>
      </w:r>
      <w:r>
        <w:rPr>
          <w:rFonts w:hint="eastAsia" w:ascii="宋体" w:hAnsi="宋体" w:eastAsia="宋体" w:cs="宋体"/>
          <w:b/>
          <w:bCs/>
          <w:color w:val="000000" w:themeColor="text1"/>
          <w:sz w:val="24"/>
          <w:highlight w:val="none"/>
          <w:lang w:val="en-GB"/>
          <w14:textFill>
            <w14:solidFill>
              <w14:schemeClr w14:val="tx1"/>
            </w14:solidFill>
          </w14:textFill>
        </w:rPr>
        <w:t>政府采购活动确认声明书</w:t>
      </w:r>
      <w:r>
        <w:rPr>
          <w:rFonts w:hint="eastAsia" w:ascii="宋体" w:hAnsi="宋体" w:eastAsia="宋体" w:cs="宋体"/>
          <w:b/>
          <w:bCs/>
          <w:color w:val="000000" w:themeColor="text1"/>
          <w:sz w:val="24"/>
          <w:highlight w:val="none"/>
          <w14:textFill>
            <w14:solidFill>
              <w14:schemeClr w14:val="tx1"/>
            </w14:solidFill>
          </w14:textFill>
        </w:rPr>
        <w:t>》扫描件发至代理机构邮箱（邮箱地址：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"mailto:303054329@qq.com）；"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z w:val="24"/>
          <w:highlight w:val="none"/>
          <w14:textFill>
            <w14:solidFill>
              <w14:schemeClr w14:val="tx1"/>
            </w14:solidFill>
          </w14:textFill>
        </w:rPr>
        <w:t>zjwstz@163.com）；</w:t>
      </w:r>
      <w:r>
        <w:rPr>
          <w:rFonts w:hint="eastAsia" w:ascii="宋体" w:hAnsi="宋体" w:eastAsia="宋体" w:cs="宋体"/>
          <w:b/>
          <w:bCs/>
          <w:color w:val="000000" w:themeColor="text1"/>
          <w:sz w:val="24"/>
          <w:highlight w:val="none"/>
          <w14:textFill>
            <w14:solidFill>
              <w14:schemeClr w14:val="tx1"/>
            </w14:solidFill>
          </w14:textFill>
        </w:rPr>
        <w:fldChar w:fldCharType="end"/>
      </w:r>
      <w:r>
        <w:rPr>
          <w:rFonts w:hint="eastAsia" w:ascii="宋体" w:hAnsi="宋体" w:eastAsia="宋体" w:cs="宋体"/>
          <w:b/>
          <w:bCs/>
          <w:color w:val="000000" w:themeColor="text1"/>
          <w:sz w:val="24"/>
          <w:highlight w:val="none"/>
          <w14:textFill>
            <w14:solidFill>
              <w14:schemeClr w14:val="tx1"/>
            </w14:solidFill>
          </w14:textFill>
        </w:rPr>
        <w:t>不填写或未按规定发出邮件的，视同默认不存在确认声明书中的相关违规情形。</w:t>
      </w:r>
    </w:p>
    <w:sectPr>
      <w:footerReference r:id="rId6" w:type="default"/>
      <w:pgSz w:w="11906" w:h="16838"/>
      <w:pgMar w:top="1440" w:right="1803" w:bottom="1440" w:left="1803" w:header="851" w:footer="992"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3"/>
      </w:rPr>
    </w:pPr>
    <w:r>
      <w:rPr>
        <w:rStyle w:val="33"/>
      </w:rPr>
      <w:fldChar w:fldCharType="begin"/>
    </w:r>
    <w:r>
      <w:rPr>
        <w:rStyle w:val="33"/>
      </w:rPr>
      <w:instrText xml:space="preserve"> PAGE </w:instrText>
    </w:r>
    <w:r>
      <w:rPr>
        <w:rStyle w:val="33"/>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4"/>
      </w:pPr>
      <w:r>
        <w:rPr>
          <w:rStyle w:val="36"/>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Cs/>
        <w:color w:val="000000"/>
        <w:kern w:val="0"/>
        <w:sz w:val="18"/>
        <w:u w:val="single"/>
      </w:rPr>
      <w:t>台州市政府采购电子竞争性磋商文件</w:t>
    </w:r>
    <w:r>
      <w:rPr>
        <w:b/>
        <w:iCs/>
        <w:color w:val="000000"/>
        <w:kern w:val="0"/>
        <w:sz w:val="18"/>
        <w:u w:val="single"/>
      </w:rPr>
      <w:t xml:space="preserve">   </w:t>
    </w:r>
    <w:r>
      <w:rPr>
        <w:rFonts w:hint="eastAsia"/>
        <w:b/>
        <w:iCs/>
        <w:color w:val="000000"/>
        <w:kern w:val="0"/>
        <w:sz w:val="18"/>
        <w:u w:val="single"/>
      </w:rPr>
      <w:t xml:space="preserve">       </w:t>
    </w:r>
    <w:r>
      <w:rPr>
        <w:b/>
        <w:iCs/>
        <w:color w:val="000000"/>
        <w:kern w:val="0"/>
        <w:sz w:val="18"/>
        <w:u w:val="single"/>
      </w:rPr>
      <w:t xml:space="preserve">                                      </w:t>
    </w:r>
    <w:r>
      <w:rPr>
        <w:rFonts w:hint="eastAsia"/>
        <w:b/>
        <w:iCs/>
        <w:color w:val="000000"/>
        <w:spacing w:val="-20"/>
        <w:kern w:val="0"/>
        <w:sz w:val="18"/>
        <w:u w:val="single"/>
      </w:rPr>
      <w:t>第</w:t>
    </w:r>
    <w:r>
      <w:rPr>
        <w:b/>
        <w:iCs/>
        <w:color w:val="000000"/>
        <w:spacing w:val="-20"/>
        <w:kern w:val="0"/>
        <w:sz w:val="18"/>
        <w:u w:val="single"/>
      </w:rPr>
      <w:fldChar w:fldCharType="begin"/>
    </w:r>
    <w:r>
      <w:rPr>
        <w:b/>
        <w:iCs/>
        <w:color w:val="000000"/>
        <w:spacing w:val="-20"/>
        <w:kern w:val="0"/>
        <w:sz w:val="18"/>
        <w:u w:val="single"/>
      </w:rPr>
      <w:instrText xml:space="preserve"> PAGE </w:instrText>
    </w:r>
    <w:r>
      <w:rPr>
        <w:b/>
        <w:iCs/>
        <w:color w:val="000000"/>
        <w:spacing w:val="-20"/>
        <w:kern w:val="0"/>
        <w:sz w:val="18"/>
        <w:u w:val="single"/>
      </w:rPr>
      <w:fldChar w:fldCharType="separate"/>
    </w:r>
    <w:r>
      <w:rPr>
        <w:b/>
        <w:iCs/>
        <w:color w:val="000000"/>
        <w:spacing w:val="-20"/>
        <w:kern w:val="0"/>
        <w:sz w:val="18"/>
        <w:u w:val="single"/>
      </w:rPr>
      <w:t>8</w:t>
    </w:r>
    <w:r>
      <w:rPr>
        <w:b/>
        <w:iCs/>
        <w:color w:val="000000"/>
        <w:spacing w:val="-20"/>
        <w:kern w:val="0"/>
        <w:sz w:val="18"/>
        <w:u w:val="single"/>
      </w:rPr>
      <w:fldChar w:fldCharType="end"/>
    </w:r>
    <w:r>
      <w:rPr>
        <w:rFonts w:hint="eastAsia"/>
        <w:b/>
        <w:iCs/>
        <w:color w:val="000000"/>
        <w:spacing w:val="-20"/>
        <w:kern w:val="0"/>
        <w:sz w:val="18"/>
        <w:u w:val="single"/>
      </w:rPr>
      <w:t>页共</w:t>
    </w:r>
    <w:r>
      <w:rPr>
        <w:b/>
        <w:iCs/>
        <w:color w:val="000000"/>
        <w:spacing w:val="-20"/>
        <w:kern w:val="0"/>
        <w:sz w:val="18"/>
        <w:u w:val="single"/>
      </w:rPr>
      <w:fldChar w:fldCharType="begin"/>
    </w:r>
    <w:r>
      <w:rPr>
        <w:b/>
        <w:iCs/>
        <w:color w:val="000000"/>
        <w:spacing w:val="-20"/>
        <w:kern w:val="0"/>
        <w:sz w:val="18"/>
        <w:u w:val="single"/>
      </w:rPr>
      <w:instrText xml:space="preserve"> NUMPAGES </w:instrText>
    </w:r>
    <w:r>
      <w:rPr>
        <w:b/>
        <w:iCs/>
        <w:color w:val="000000"/>
        <w:spacing w:val="-20"/>
        <w:kern w:val="0"/>
        <w:sz w:val="18"/>
        <w:u w:val="single"/>
      </w:rPr>
      <w:fldChar w:fldCharType="separate"/>
    </w:r>
    <w:r>
      <w:rPr>
        <w:b/>
        <w:iCs/>
        <w:color w:val="000000"/>
        <w:spacing w:val="-20"/>
        <w:kern w:val="0"/>
        <w:sz w:val="18"/>
        <w:u w:val="single"/>
      </w:rPr>
      <w:t>60</w:t>
    </w:r>
    <w:r>
      <w:rPr>
        <w:b/>
        <w:iCs/>
        <w:color w:val="000000"/>
        <w:spacing w:val="-20"/>
        <w:kern w:val="0"/>
        <w:sz w:val="18"/>
        <w:u w:val="single"/>
      </w:rPr>
      <w:fldChar w:fldCharType="end"/>
    </w:r>
    <w:r>
      <w:rPr>
        <w:rFonts w:hint="eastAsia"/>
        <w:b/>
        <w:iCs/>
        <w:color w:val="000000"/>
        <w:spacing w:val="-20"/>
        <w:kern w:val="0"/>
        <w:sz w:val="18"/>
        <w:u w:val="single"/>
      </w:rPr>
      <w:t>页</w:t>
    </w:r>
  </w:p>
  <w:p>
    <w:pPr>
      <w:pStyle w:val="2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52B7C"/>
    <w:multiLevelType w:val="singleLevel"/>
    <w:tmpl w:val="88952B7C"/>
    <w:lvl w:ilvl="0" w:tentative="0">
      <w:start w:val="1"/>
      <w:numFmt w:val="bullet"/>
      <w:lvlText w:val=""/>
      <w:lvlJc w:val="left"/>
      <w:pPr>
        <w:ind w:left="420" w:hanging="420"/>
      </w:pPr>
      <w:rPr>
        <w:rFonts w:hint="default" w:ascii="Wingdings" w:hAnsi="Wingdings"/>
      </w:rPr>
    </w:lvl>
  </w:abstractNum>
  <w:abstractNum w:abstractNumId="1">
    <w:nsid w:val="AE2D8F7B"/>
    <w:multiLevelType w:val="singleLevel"/>
    <w:tmpl w:val="AE2D8F7B"/>
    <w:lvl w:ilvl="0" w:tentative="0">
      <w:start w:val="1"/>
      <w:numFmt w:val="decimal"/>
      <w:pStyle w:val="8"/>
      <w:lvlText w:val="%1."/>
      <w:lvlJc w:val="left"/>
      <w:pPr>
        <w:tabs>
          <w:tab w:val="left" w:pos="360"/>
        </w:tabs>
        <w:ind w:left="360" w:hanging="360"/>
      </w:pPr>
      <w:rPr>
        <w:rFonts w:cs="Times New Roman"/>
      </w:rPr>
    </w:lvl>
  </w:abstractNum>
  <w:abstractNum w:abstractNumId="2">
    <w:nsid w:val="C0065543"/>
    <w:multiLevelType w:val="singleLevel"/>
    <w:tmpl w:val="C0065543"/>
    <w:lvl w:ilvl="0" w:tentative="0">
      <w:start w:val="2"/>
      <w:numFmt w:val="decimal"/>
      <w:suff w:val="space"/>
      <w:lvlText w:val="%1."/>
      <w:lvlJc w:val="left"/>
      <w:rPr>
        <w:rFonts w:hint="default"/>
        <w:b w:val="0"/>
        <w:bCs w:val="0"/>
      </w:rPr>
    </w:lvl>
  </w:abstractNum>
  <w:abstractNum w:abstractNumId="3">
    <w:nsid w:val="C4E0FDBE"/>
    <w:multiLevelType w:val="singleLevel"/>
    <w:tmpl w:val="C4E0FDBE"/>
    <w:lvl w:ilvl="0" w:tentative="0">
      <w:start w:val="1"/>
      <w:numFmt w:val="lowerLetter"/>
      <w:suff w:val="space"/>
      <w:lvlText w:val="%1."/>
      <w:lvlJc w:val="left"/>
      <w:rPr>
        <w:rFonts w:hint="default"/>
        <w:b w:val="0"/>
        <w:bCs w:val="0"/>
      </w:rPr>
    </w:lvl>
  </w:abstractNum>
  <w:abstractNum w:abstractNumId="4">
    <w:nsid w:val="1D7A1125"/>
    <w:multiLevelType w:val="multilevel"/>
    <w:tmpl w:val="1D7A11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0E47120"/>
    <w:multiLevelType w:val="singleLevel"/>
    <w:tmpl w:val="30E47120"/>
    <w:lvl w:ilvl="0" w:tentative="0">
      <w:start w:val="2"/>
      <w:numFmt w:val="chineseCounting"/>
      <w:suff w:val="nothing"/>
      <w:lvlText w:val="%1、"/>
      <w:lvlJc w:val="left"/>
      <w:rPr>
        <w:rFonts w:hint="eastAsia"/>
      </w:rPr>
    </w:lvl>
  </w:abstractNum>
  <w:abstractNum w:abstractNumId="6">
    <w:nsid w:val="38BE148A"/>
    <w:multiLevelType w:val="multilevel"/>
    <w:tmpl w:val="38BE148A"/>
    <w:lvl w:ilvl="0" w:tentative="0">
      <w:start w:val="4"/>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AB15C30"/>
    <w:multiLevelType w:val="singleLevel"/>
    <w:tmpl w:val="4AB15C30"/>
    <w:lvl w:ilvl="0" w:tentative="0">
      <w:start w:val="1"/>
      <w:numFmt w:val="bullet"/>
      <w:lvlText w:val=""/>
      <w:lvlJc w:val="left"/>
      <w:pPr>
        <w:ind w:left="420" w:hanging="420"/>
      </w:pPr>
      <w:rPr>
        <w:rFonts w:hint="default" w:ascii="Wingdings" w:hAnsi="Wingdings"/>
      </w:rPr>
    </w:lvl>
  </w:abstractNum>
  <w:abstractNum w:abstractNumId="8">
    <w:nsid w:val="60594FF4"/>
    <w:multiLevelType w:val="singleLevel"/>
    <w:tmpl w:val="60594FF4"/>
    <w:lvl w:ilvl="0" w:tentative="0">
      <w:start w:val="1"/>
      <w:numFmt w:val="bullet"/>
      <w:lvlText w:val=""/>
      <w:lvlJc w:val="left"/>
      <w:pPr>
        <w:ind w:left="420" w:hanging="420"/>
      </w:pPr>
      <w:rPr>
        <w:rFonts w:hint="default" w:ascii="Wingdings" w:hAnsi="Wingdings"/>
      </w:rPr>
    </w:lvl>
  </w:abstractNum>
  <w:num w:numId="1">
    <w:abstractNumId w:val="1"/>
  </w:num>
  <w:num w:numId="2">
    <w:abstractNumId w:val="4"/>
  </w:num>
  <w:num w:numId="3">
    <w:abstractNumId w:val="7"/>
  </w:num>
  <w:num w:numId="4">
    <w:abstractNumId w:val="0"/>
  </w:num>
  <w:num w:numId="5">
    <w:abstractNumId w:val="8"/>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rawingGridVerticalSpacing w:val="159"/>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mM5ZmViZjJiNTAxNWQ4OGJlNWI5MmE4Y2RjY2MifQ=="/>
  </w:docVars>
  <w:rsids>
    <w:rsidRoot w:val="00000000"/>
    <w:rsid w:val="014852B3"/>
    <w:rsid w:val="09EC2C93"/>
    <w:rsid w:val="0A0501E5"/>
    <w:rsid w:val="0DE46363"/>
    <w:rsid w:val="0F0A253B"/>
    <w:rsid w:val="15A2098F"/>
    <w:rsid w:val="187D188E"/>
    <w:rsid w:val="1C071B9A"/>
    <w:rsid w:val="1F8B4890"/>
    <w:rsid w:val="2767283C"/>
    <w:rsid w:val="2C8965FC"/>
    <w:rsid w:val="2E862DF3"/>
    <w:rsid w:val="389425B0"/>
    <w:rsid w:val="40DC2D46"/>
    <w:rsid w:val="444F5AA3"/>
    <w:rsid w:val="464A0752"/>
    <w:rsid w:val="4A6873F9"/>
    <w:rsid w:val="4C0038A3"/>
    <w:rsid w:val="50395ABF"/>
    <w:rsid w:val="57001554"/>
    <w:rsid w:val="59915E79"/>
    <w:rsid w:val="5B0311A3"/>
    <w:rsid w:val="5CE113C5"/>
    <w:rsid w:val="5D4336AB"/>
    <w:rsid w:val="60D14338"/>
    <w:rsid w:val="656D1F23"/>
    <w:rsid w:val="6764577B"/>
    <w:rsid w:val="67F87BB6"/>
    <w:rsid w:val="6D9E2FAE"/>
    <w:rsid w:val="71995F66"/>
    <w:rsid w:val="7535244A"/>
    <w:rsid w:val="753B10E2"/>
    <w:rsid w:val="76EE044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ocked="1"/>
    <w:lsdException w:qFormat="1"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qFormat="1" w:uiPriority="39" w:semiHidden="0" w:name="toc 4" w:locked="1"/>
    <w:lsdException w:uiPriority="39" w:name="toc 5" w:locked="1"/>
    <w:lsdException w:qFormat="1" w:unhideWhenUsed="0" w:uiPriority="39" w:semiHidden="0" w:name="toc 6" w:locked="1"/>
    <w:lsdException w:uiPriority="39" w:name="toc 7" w:locked="1"/>
    <w:lsdException w:qFormat="1" w:unhideWhenUsed="0" w:uiPriority="0" w:semiHidden="0" w:name="toc 8" w:locked="1"/>
    <w:lsdException w:uiPriority="39" w:name="toc 9" w:locked="1"/>
    <w:lsdException w:qFormat="1" w:unhideWhenUsed="0" w:uiPriority="99" w:semiHidden="0" w:name="Normal Indent"/>
    <w:lsdException w:qFormat="1" w:uiPriority="99" w:semiHidden="0" w:name="footnote text" w:locked="1"/>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0" w:semiHidden="0" w:name="Body Text 3" w:locked="1"/>
    <w:lsdException w:uiPriority="99" w:name="Body Text Indent 2" w:locked="1"/>
    <w:lsdException w:uiPriority="99" w:name="Body Text Indent 3" w:locked="1"/>
    <w:lsdException w:qFormat="1" w:unhideWhenUsed="0" w:uiPriority="99" w:semiHidden="0" w:name="Block Text" w:locked="1"/>
    <w:lsdException w:qFormat="1" w:unhideWhenUsed="0" w:uiPriority="0"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9"/>
    <w:pPr>
      <w:keepNext/>
      <w:keepLines/>
      <w:spacing w:before="340" w:after="330" w:line="578" w:lineRule="auto"/>
      <w:jc w:val="center"/>
      <w:outlineLvl w:val="0"/>
    </w:pPr>
    <w:rPr>
      <w:b/>
      <w:bCs/>
      <w:kern w:val="44"/>
      <w:sz w:val="36"/>
      <w:szCs w:val="44"/>
    </w:rPr>
  </w:style>
  <w:style w:type="paragraph" w:styleId="4">
    <w:name w:val="heading 2"/>
    <w:basedOn w:val="1"/>
    <w:next w:val="1"/>
    <w:link w:val="81"/>
    <w:qFormat/>
    <w:uiPriority w:val="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39"/>
    <w:qFormat/>
    <w:uiPriority w:val="9"/>
    <w:pPr>
      <w:keepNext/>
      <w:keepLines/>
      <w:spacing w:before="260" w:after="260" w:line="416" w:lineRule="auto"/>
      <w:outlineLvl w:val="2"/>
    </w:pPr>
    <w:rPr>
      <w:b/>
      <w:bCs/>
      <w:sz w:val="32"/>
      <w:szCs w:val="32"/>
    </w:rPr>
  </w:style>
  <w:style w:type="paragraph" w:styleId="6">
    <w:name w:val="heading 4"/>
    <w:basedOn w:val="1"/>
    <w:next w:val="1"/>
    <w:qFormat/>
    <w:locked/>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38"/>
    <w:unhideWhenUsed/>
    <w:qFormat/>
    <w:locked/>
    <w:uiPriority w:val="9"/>
    <w:pPr>
      <w:keepNext/>
      <w:keepLines/>
      <w:spacing w:before="280" w:after="290" w:line="376" w:lineRule="auto"/>
      <w:outlineLvl w:val="4"/>
    </w:pPr>
    <w:rPr>
      <w:b/>
      <w:bCs/>
      <w:sz w:val="28"/>
      <w:szCs w:val="28"/>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8">
    <w:name w:val="List Number"/>
    <w:basedOn w:val="1"/>
    <w:qFormat/>
    <w:uiPriority w:val="99"/>
    <w:pPr>
      <w:numPr>
        <w:ilvl w:val="0"/>
        <w:numId w:val="1"/>
      </w:numPr>
    </w:pPr>
  </w:style>
  <w:style w:type="paragraph" w:styleId="9">
    <w:name w:val="Normal Indent"/>
    <w:basedOn w:val="1"/>
    <w:next w:val="1"/>
    <w:qFormat/>
    <w:uiPriority w:val="99"/>
    <w:pPr>
      <w:ind w:firstLine="420"/>
    </w:pPr>
    <w:rPr>
      <w:szCs w:val="20"/>
    </w:rPr>
  </w:style>
  <w:style w:type="paragraph" w:styleId="10">
    <w:name w:val="annotation text"/>
    <w:basedOn w:val="1"/>
    <w:link w:val="46"/>
    <w:qFormat/>
    <w:uiPriority w:val="99"/>
    <w:pPr>
      <w:jc w:val="left"/>
    </w:pPr>
  </w:style>
  <w:style w:type="paragraph" w:styleId="11">
    <w:name w:val="Body Text 3"/>
    <w:basedOn w:val="1"/>
    <w:qFormat/>
    <w:locked/>
    <w:uiPriority w:val="0"/>
    <w:pPr>
      <w:spacing w:line="360" w:lineRule="auto"/>
      <w:jc w:val="center"/>
    </w:pPr>
    <w:rPr>
      <w:rFonts w:ascii="宋体" w:hAnsi="宋体"/>
      <w:bCs/>
      <w:iCs/>
      <w:szCs w:val="28"/>
    </w:rPr>
  </w:style>
  <w:style w:type="paragraph" w:styleId="12">
    <w:name w:val="Body Text"/>
    <w:basedOn w:val="1"/>
    <w:next w:val="13"/>
    <w:link w:val="45"/>
    <w:qFormat/>
    <w:uiPriority w:val="99"/>
    <w:pPr>
      <w:spacing w:line="360" w:lineRule="exact"/>
    </w:pPr>
    <w:rPr>
      <w:sz w:val="24"/>
    </w:rPr>
  </w:style>
  <w:style w:type="paragraph" w:styleId="13">
    <w:name w:val="Body Text First Indent"/>
    <w:basedOn w:val="12"/>
    <w:next w:val="14"/>
    <w:qFormat/>
    <w:locked/>
    <w:uiPriority w:val="99"/>
    <w:pPr>
      <w:ind w:firstLine="420"/>
    </w:pPr>
    <w:rPr>
      <w:sz w:val="21"/>
    </w:rPr>
  </w:style>
  <w:style w:type="paragraph" w:styleId="14">
    <w:name w:val="toc 6"/>
    <w:basedOn w:val="1"/>
    <w:next w:val="1"/>
    <w:qFormat/>
    <w:locked/>
    <w:uiPriority w:val="39"/>
    <w:pPr>
      <w:widowControl/>
      <w:ind w:left="1000"/>
      <w:jc w:val="left"/>
    </w:pPr>
    <w:rPr>
      <w:kern w:val="0"/>
      <w:sz w:val="18"/>
      <w:szCs w:val="20"/>
    </w:rPr>
  </w:style>
  <w:style w:type="paragraph" w:styleId="15">
    <w:name w:val="Body Text Indent"/>
    <w:basedOn w:val="1"/>
    <w:next w:val="9"/>
    <w:link w:val="47"/>
    <w:qFormat/>
    <w:uiPriority w:val="99"/>
    <w:pPr>
      <w:spacing w:after="120"/>
      <w:ind w:left="420" w:leftChars="200"/>
    </w:pPr>
  </w:style>
  <w:style w:type="paragraph" w:styleId="16">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7">
    <w:name w:val="Plain Text"/>
    <w:basedOn w:val="1"/>
    <w:next w:val="1"/>
    <w:link w:val="48"/>
    <w:qFormat/>
    <w:uiPriority w:val="99"/>
    <w:rPr>
      <w:rFonts w:ascii="宋体" w:hAnsi="Courier New"/>
    </w:rPr>
  </w:style>
  <w:style w:type="paragraph" w:styleId="18">
    <w:name w:val="toc 8"/>
    <w:basedOn w:val="1"/>
    <w:next w:val="1"/>
    <w:qFormat/>
    <w:locked/>
    <w:uiPriority w:val="0"/>
    <w:pPr>
      <w:ind w:left="2940" w:leftChars="1400"/>
    </w:pPr>
    <w:rPr>
      <w:rFonts w:ascii="Calibri" w:hAnsi="Calibri"/>
      <w:szCs w:val="22"/>
    </w:rPr>
  </w:style>
  <w:style w:type="paragraph" w:styleId="19">
    <w:name w:val="Date"/>
    <w:basedOn w:val="1"/>
    <w:next w:val="1"/>
    <w:link w:val="49"/>
    <w:qFormat/>
    <w:uiPriority w:val="99"/>
    <w:pPr>
      <w:ind w:left="2500" w:leftChars="2500"/>
    </w:pPr>
    <w:rPr>
      <w:rFonts w:ascii="Calibri" w:hAnsi="Calibri" w:eastAsia="楷体_GB2312"/>
      <w:sz w:val="32"/>
      <w:szCs w:val="22"/>
    </w:rPr>
  </w:style>
  <w:style w:type="paragraph" w:styleId="20">
    <w:name w:val="Balloon Text"/>
    <w:basedOn w:val="1"/>
    <w:link w:val="50"/>
    <w:qFormat/>
    <w:uiPriority w:val="99"/>
    <w:rPr>
      <w:sz w:val="18"/>
      <w:szCs w:val="18"/>
    </w:rPr>
  </w:style>
  <w:style w:type="paragraph" w:styleId="21">
    <w:name w:val="footer"/>
    <w:basedOn w:val="1"/>
    <w:link w:val="51"/>
    <w:qFormat/>
    <w:uiPriority w:val="0"/>
    <w:pPr>
      <w:tabs>
        <w:tab w:val="center" w:pos="4153"/>
        <w:tab w:val="right" w:pos="8306"/>
      </w:tabs>
      <w:snapToGrid w:val="0"/>
      <w:jc w:val="left"/>
    </w:pPr>
    <w:rPr>
      <w:sz w:val="18"/>
    </w:rPr>
  </w:style>
  <w:style w:type="paragraph" w:styleId="22">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4"/>
    <w:basedOn w:val="1"/>
    <w:next w:val="1"/>
    <w:unhideWhenUsed/>
    <w:qFormat/>
    <w:locked/>
    <w:uiPriority w:val="39"/>
    <w:pPr>
      <w:ind w:left="630"/>
      <w:jc w:val="left"/>
    </w:pPr>
    <w:rPr>
      <w:rFonts w:ascii="Calibri" w:hAnsi="Calibri"/>
      <w:sz w:val="18"/>
      <w:szCs w:val="18"/>
    </w:rPr>
  </w:style>
  <w:style w:type="paragraph" w:styleId="24">
    <w:name w:val="footnote text"/>
    <w:basedOn w:val="1"/>
    <w:unhideWhenUsed/>
    <w:qFormat/>
    <w:locked/>
    <w:uiPriority w:val="99"/>
    <w:pPr>
      <w:snapToGrid w:val="0"/>
      <w:jc w:val="left"/>
    </w:pPr>
    <w:rPr>
      <w:sz w:val="18"/>
    </w:rPr>
  </w:style>
  <w:style w:type="paragraph" w:styleId="25">
    <w:name w:val="toc 2"/>
    <w:basedOn w:val="1"/>
    <w:next w:val="1"/>
    <w:qFormat/>
    <w:uiPriority w:val="99"/>
    <w:pPr>
      <w:ind w:left="420" w:leftChars="200"/>
    </w:pPr>
  </w:style>
  <w:style w:type="paragraph" w:styleId="26">
    <w:name w:val="Normal (Web)"/>
    <w:basedOn w:val="1"/>
    <w:next w:val="25"/>
    <w:qFormat/>
    <w:uiPriority w:val="99"/>
    <w:pPr>
      <w:widowControl/>
      <w:spacing w:before="100" w:beforeAutospacing="1" w:after="100" w:afterAutospacing="1"/>
      <w:jc w:val="left"/>
    </w:pPr>
    <w:rPr>
      <w:rFonts w:ascii="宋体" w:hAnsi="宋体"/>
      <w:kern w:val="0"/>
      <w:sz w:val="24"/>
    </w:rPr>
  </w:style>
  <w:style w:type="paragraph" w:styleId="27">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8">
    <w:name w:val="annotation subject"/>
    <w:basedOn w:val="10"/>
    <w:next w:val="10"/>
    <w:link w:val="53"/>
    <w:qFormat/>
    <w:uiPriority w:val="99"/>
    <w:rPr>
      <w:b/>
      <w:bCs/>
    </w:rPr>
  </w:style>
  <w:style w:type="paragraph" w:styleId="29">
    <w:name w:val="Body Text First Indent 2"/>
    <w:basedOn w:val="15"/>
    <w:next w:val="1"/>
    <w:qFormat/>
    <w:locked/>
    <w:uiPriority w:val="0"/>
    <w:pPr>
      <w:ind w:firstLine="420"/>
    </w:pPr>
  </w:style>
  <w:style w:type="table" w:styleId="31">
    <w:name w:val="Table Grid"/>
    <w:basedOn w:val="30"/>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locked/>
    <w:uiPriority w:val="0"/>
  </w:style>
  <w:style w:type="character" w:styleId="34">
    <w:name w:val="Hyperlink"/>
    <w:qFormat/>
    <w:locked/>
    <w:uiPriority w:val="0"/>
    <w:rPr>
      <w:color w:val="0000FF"/>
      <w:u w:val="single"/>
    </w:rPr>
  </w:style>
  <w:style w:type="character" w:styleId="35">
    <w:name w:val="annotation reference"/>
    <w:qFormat/>
    <w:uiPriority w:val="99"/>
    <w:rPr>
      <w:rFonts w:cs="Times New Roman"/>
      <w:sz w:val="21"/>
      <w:szCs w:val="21"/>
    </w:rPr>
  </w:style>
  <w:style w:type="character" w:styleId="36">
    <w:name w:val="footnote reference"/>
    <w:unhideWhenUsed/>
    <w:qFormat/>
    <w:locked/>
    <w:uiPriority w:val="99"/>
    <w:rPr>
      <w:vertAlign w:val="superscript"/>
    </w:rPr>
  </w:style>
  <w:style w:type="character" w:customStyle="1" w:styleId="37">
    <w:name w:val="NormalCharacter"/>
    <w:qFormat/>
    <w:uiPriority w:val="0"/>
  </w:style>
  <w:style w:type="character" w:customStyle="1" w:styleId="38">
    <w:name w:val="标题 5 字符"/>
    <w:basedOn w:val="32"/>
    <w:link w:val="7"/>
    <w:qFormat/>
    <w:uiPriority w:val="9"/>
    <w:rPr>
      <w:b/>
      <w:bCs/>
      <w:kern w:val="2"/>
      <w:sz w:val="28"/>
      <w:szCs w:val="28"/>
    </w:rPr>
  </w:style>
  <w:style w:type="character" w:customStyle="1" w:styleId="39">
    <w:name w:val="标题 3 字符"/>
    <w:link w:val="5"/>
    <w:semiHidden/>
    <w:qFormat/>
    <w:locked/>
    <w:uiPriority w:val="99"/>
    <w:rPr>
      <w:rFonts w:cs="Times New Roman"/>
      <w:b/>
      <w:bCs/>
      <w:sz w:val="32"/>
      <w:szCs w:val="32"/>
    </w:rPr>
  </w:style>
  <w:style w:type="paragraph" w:customStyle="1" w:styleId="40">
    <w:name w:val="_Style 4"/>
    <w:next w:val="1"/>
    <w:qFormat/>
    <w:uiPriority w:val="0"/>
    <w:pPr>
      <w:wordWrap w:val="0"/>
    </w:pPr>
    <w:rPr>
      <w:rFonts w:ascii="Times New Roman" w:hAnsi="Times New Roman" w:eastAsia="宋体" w:cs="Times New Roman"/>
      <w:sz w:val="32"/>
      <w:lang w:val="en-US" w:eastAsia="zh-CN" w:bidi="ar-SA"/>
    </w:rPr>
  </w:style>
  <w:style w:type="paragraph" w:customStyle="1" w:styleId="4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正文（首行缩进2字符）"/>
    <w:basedOn w:val="1"/>
    <w:qFormat/>
    <w:uiPriority w:val="0"/>
    <w:pPr>
      <w:spacing w:line="360" w:lineRule="auto"/>
      <w:ind w:firstLine="420" w:firstLineChars="200"/>
    </w:pPr>
    <w:rPr>
      <w:szCs w:val="21"/>
    </w:rPr>
  </w:style>
  <w:style w:type="character" w:customStyle="1" w:styleId="43">
    <w:name w:val="标题 1 字符"/>
    <w:link w:val="3"/>
    <w:qFormat/>
    <w:locked/>
    <w:uiPriority w:val="9"/>
    <w:rPr>
      <w:b/>
      <w:bCs/>
      <w:kern w:val="44"/>
      <w:sz w:val="36"/>
      <w:szCs w:val="44"/>
    </w:rPr>
  </w:style>
  <w:style w:type="character" w:customStyle="1" w:styleId="44">
    <w:name w:val="标题 2 字符"/>
    <w:semiHidden/>
    <w:qFormat/>
    <w:locked/>
    <w:uiPriority w:val="99"/>
    <w:rPr>
      <w:rFonts w:ascii="Cambria" w:hAnsi="Cambria" w:eastAsia="宋体" w:cs="Times New Roman"/>
      <w:b/>
      <w:bCs/>
      <w:sz w:val="32"/>
      <w:szCs w:val="32"/>
    </w:rPr>
  </w:style>
  <w:style w:type="character" w:customStyle="1" w:styleId="45">
    <w:name w:val="正文文本 字符"/>
    <w:link w:val="12"/>
    <w:semiHidden/>
    <w:qFormat/>
    <w:locked/>
    <w:uiPriority w:val="99"/>
    <w:rPr>
      <w:rFonts w:cs="Times New Roman"/>
      <w:sz w:val="24"/>
      <w:szCs w:val="24"/>
    </w:rPr>
  </w:style>
  <w:style w:type="character" w:customStyle="1" w:styleId="46">
    <w:name w:val="批注文字 字符"/>
    <w:link w:val="10"/>
    <w:qFormat/>
    <w:locked/>
    <w:uiPriority w:val="99"/>
    <w:rPr>
      <w:rFonts w:ascii="Times New Roman" w:hAnsi="Times New Roman" w:eastAsia="宋体" w:cs="Times New Roman"/>
      <w:kern w:val="2"/>
      <w:sz w:val="24"/>
      <w:szCs w:val="24"/>
    </w:rPr>
  </w:style>
  <w:style w:type="character" w:customStyle="1" w:styleId="47">
    <w:name w:val="正文文本缩进 字符"/>
    <w:link w:val="15"/>
    <w:qFormat/>
    <w:locked/>
    <w:uiPriority w:val="99"/>
    <w:rPr>
      <w:rFonts w:cs="Times New Roman"/>
      <w:kern w:val="2"/>
      <w:sz w:val="24"/>
      <w:szCs w:val="24"/>
    </w:rPr>
  </w:style>
  <w:style w:type="character" w:customStyle="1" w:styleId="48">
    <w:name w:val="纯文本 字符"/>
    <w:link w:val="17"/>
    <w:semiHidden/>
    <w:qFormat/>
    <w:locked/>
    <w:uiPriority w:val="99"/>
    <w:rPr>
      <w:rFonts w:ascii="宋体" w:hAnsi="Courier New" w:cs="Courier New"/>
      <w:sz w:val="21"/>
      <w:szCs w:val="21"/>
    </w:rPr>
  </w:style>
  <w:style w:type="character" w:customStyle="1" w:styleId="49">
    <w:name w:val="日期 字符"/>
    <w:link w:val="19"/>
    <w:semiHidden/>
    <w:qFormat/>
    <w:locked/>
    <w:uiPriority w:val="99"/>
    <w:rPr>
      <w:rFonts w:cs="Times New Roman"/>
      <w:sz w:val="24"/>
      <w:szCs w:val="24"/>
    </w:rPr>
  </w:style>
  <w:style w:type="character" w:customStyle="1" w:styleId="50">
    <w:name w:val="批注框文本 字符"/>
    <w:link w:val="20"/>
    <w:qFormat/>
    <w:locked/>
    <w:uiPriority w:val="99"/>
    <w:rPr>
      <w:rFonts w:ascii="Times New Roman" w:hAnsi="Times New Roman" w:eastAsia="宋体" w:cs="Times New Roman"/>
      <w:kern w:val="2"/>
      <w:sz w:val="18"/>
      <w:szCs w:val="18"/>
    </w:rPr>
  </w:style>
  <w:style w:type="character" w:customStyle="1" w:styleId="51">
    <w:name w:val="页脚 字符"/>
    <w:link w:val="21"/>
    <w:qFormat/>
    <w:locked/>
    <w:uiPriority w:val="0"/>
    <w:rPr>
      <w:rFonts w:cs="Times New Roman"/>
      <w:sz w:val="18"/>
      <w:szCs w:val="18"/>
    </w:rPr>
  </w:style>
  <w:style w:type="character" w:customStyle="1" w:styleId="52">
    <w:name w:val="页眉 字符"/>
    <w:link w:val="22"/>
    <w:qFormat/>
    <w:locked/>
    <w:uiPriority w:val="99"/>
    <w:rPr>
      <w:rFonts w:cs="Times New Roman"/>
      <w:sz w:val="18"/>
      <w:szCs w:val="18"/>
    </w:rPr>
  </w:style>
  <w:style w:type="character" w:customStyle="1" w:styleId="53">
    <w:name w:val="批注主题 字符"/>
    <w:link w:val="28"/>
    <w:qFormat/>
    <w:locked/>
    <w:uiPriority w:val="99"/>
    <w:rPr>
      <w:rFonts w:ascii="Times New Roman" w:hAnsi="Times New Roman" w:eastAsia="宋体" w:cs="Times New Roman"/>
      <w:b/>
      <w:bCs/>
      <w:kern w:val="2"/>
      <w:sz w:val="24"/>
      <w:szCs w:val="24"/>
    </w:rPr>
  </w:style>
  <w:style w:type="paragraph" w:customStyle="1" w:styleId="54">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55">
    <w:name w:val="List Paragraph"/>
    <w:basedOn w:val="1"/>
    <w:qFormat/>
    <w:uiPriority w:val="99"/>
    <w:pPr>
      <w:ind w:firstLine="420" w:firstLineChars="200"/>
    </w:pPr>
    <w:rPr>
      <w:rFonts w:ascii="Calibri" w:hAnsi="Calibri"/>
      <w:szCs w:val="22"/>
    </w:rPr>
  </w:style>
  <w:style w:type="paragraph" w:customStyle="1" w:styleId="56">
    <w:name w:val="列出段落1"/>
    <w:basedOn w:val="1"/>
    <w:qFormat/>
    <w:uiPriority w:val="99"/>
    <w:pPr>
      <w:ind w:firstLine="420" w:firstLineChars="200"/>
    </w:pPr>
    <w:rPr>
      <w:rFonts w:ascii="Calibri" w:hAnsi="Calibri"/>
      <w:kern w:val="0"/>
      <w:szCs w:val="20"/>
    </w:rPr>
  </w:style>
  <w:style w:type="paragraph" w:customStyle="1" w:styleId="57">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8">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9">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4"/>
    <w:qFormat/>
    <w:uiPriority w:val="99"/>
    <w:rPr>
      <w:rFonts w:ascii="Times New Roman" w:hAnsi="Times New Roman" w:eastAsia="宋体" w:cs="Times New Roman"/>
      <w:sz w:val="21"/>
      <w:szCs w:val="22"/>
      <w:lang w:val="en-US" w:eastAsia="zh-CN" w:bidi="ar-SA"/>
    </w:rPr>
  </w:style>
  <w:style w:type="paragraph" w:customStyle="1" w:styleId="61">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纯文本_3"/>
    <w:basedOn w:val="63"/>
    <w:qFormat/>
    <w:uiPriority w:val="99"/>
    <w:pPr>
      <w:widowControl/>
      <w:jc w:val="left"/>
    </w:pPr>
    <w:rPr>
      <w:rFonts w:ascii="宋体" w:hAnsi="Courier New"/>
      <w:szCs w:val="21"/>
    </w:rPr>
  </w:style>
  <w:style w:type="paragraph" w:customStyle="1" w:styleId="65">
    <w:name w:val="纯文本_0_1"/>
    <w:basedOn w:val="1"/>
    <w:qFormat/>
    <w:uiPriority w:val="99"/>
    <w:pPr>
      <w:widowControl/>
      <w:jc w:val="left"/>
    </w:pPr>
    <w:rPr>
      <w:rFonts w:ascii="宋体" w:hAnsi="Courier New"/>
      <w:szCs w:val="21"/>
    </w:rPr>
  </w:style>
  <w:style w:type="paragraph" w:customStyle="1" w:styleId="66">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0">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71">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72">
    <w:name w:val="font11"/>
    <w:qFormat/>
    <w:uiPriority w:val="0"/>
    <w:rPr>
      <w:rFonts w:hint="default" w:ascii="Times New Roman" w:hAnsi="Times New Roman" w:cs="Times New Roman"/>
      <w:color w:val="000000"/>
      <w:sz w:val="24"/>
      <w:szCs w:val="24"/>
      <w:u w:val="none"/>
    </w:rPr>
  </w:style>
  <w:style w:type="character" w:customStyle="1" w:styleId="73">
    <w:name w:val="font01"/>
    <w:qFormat/>
    <w:uiPriority w:val="0"/>
    <w:rPr>
      <w:rFonts w:hint="eastAsia" w:ascii="宋体" w:hAnsi="宋体" w:eastAsia="宋体" w:cs="宋体"/>
      <w:color w:val="000000"/>
      <w:sz w:val="24"/>
      <w:szCs w:val="24"/>
      <w:u w:val="none"/>
    </w:rPr>
  </w:style>
  <w:style w:type="character" w:customStyle="1" w:styleId="74">
    <w:name w:val="font31"/>
    <w:qFormat/>
    <w:uiPriority w:val="0"/>
    <w:rPr>
      <w:rFonts w:hint="eastAsia" w:ascii="宋体" w:hAnsi="宋体" w:eastAsia="宋体" w:cs="宋体"/>
      <w:color w:val="000000"/>
      <w:sz w:val="24"/>
      <w:szCs w:val="24"/>
      <w:u w:val="none"/>
    </w:rPr>
  </w:style>
  <w:style w:type="paragraph" w:customStyle="1" w:styleId="75">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6">
    <w:name w:val="p18"/>
    <w:basedOn w:val="1"/>
    <w:qFormat/>
    <w:uiPriority w:val="99"/>
    <w:pPr>
      <w:widowControl/>
      <w:spacing w:line="748" w:lineRule="atLeast"/>
      <w:ind w:left="-527" w:firstLine="527"/>
    </w:pPr>
    <w:rPr>
      <w:rFonts w:ascii="宋体" w:hAnsi="宋体" w:cs="宋体"/>
      <w:kern w:val="0"/>
      <w:sz w:val="24"/>
    </w:rPr>
  </w:style>
  <w:style w:type="paragraph" w:customStyle="1" w:styleId="77">
    <w:name w:val="表格文字"/>
    <w:basedOn w:val="1"/>
    <w:next w:val="12"/>
    <w:qFormat/>
    <w:uiPriority w:val="99"/>
    <w:pPr>
      <w:adjustRightInd w:val="0"/>
      <w:spacing w:line="420" w:lineRule="atLeast"/>
      <w:jc w:val="left"/>
      <w:textAlignment w:val="baseline"/>
    </w:pPr>
    <w:rPr>
      <w:kern w:val="0"/>
    </w:rPr>
  </w:style>
  <w:style w:type="paragraph" w:customStyle="1" w:styleId="78">
    <w:name w:val="正文2"/>
    <w:basedOn w:val="1"/>
    <w:qFormat/>
    <w:uiPriority w:val="0"/>
    <w:pPr>
      <w:spacing w:before="156" w:line="360" w:lineRule="auto"/>
      <w:ind w:firstLine="510" w:firstLineChars="200"/>
    </w:pPr>
    <w:rPr>
      <w:rFonts w:ascii="Calibri" w:hAnsi="Calibri"/>
      <w:sz w:val="24"/>
      <w:szCs w:val="20"/>
    </w:rPr>
  </w:style>
  <w:style w:type="paragraph" w:customStyle="1" w:styleId="79">
    <w:name w:val="样式 标题 2 + Times New Roman 四号 非加粗 段前: 5 磅 段后: 0 磅 行距: 固定值 20..."/>
    <w:basedOn w:val="4"/>
    <w:qFormat/>
    <w:uiPriority w:val="0"/>
    <w:pPr>
      <w:spacing w:before="100" w:line="400" w:lineRule="exact"/>
    </w:pPr>
    <w:rPr>
      <w:rFonts w:cs="宋体"/>
      <w:b w:val="0"/>
      <w:sz w:val="28"/>
      <w:szCs w:val="20"/>
    </w:rPr>
  </w:style>
  <w:style w:type="paragraph" w:customStyle="1" w:styleId="80">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81">
    <w:name w:val="标题 2 字符1"/>
    <w:link w:val="4"/>
    <w:qFormat/>
    <w:uiPriority w:val="0"/>
    <w:rPr>
      <w:rFonts w:ascii="Arial" w:hAnsi="Arial" w:eastAsia="黑体"/>
      <w:b/>
      <w:bCs/>
      <w:sz w:val="32"/>
      <w:szCs w:val="32"/>
    </w:rPr>
  </w:style>
  <w:style w:type="paragraph" w:customStyle="1" w:styleId="82">
    <w:name w:val="城建正文"/>
    <w:basedOn w:val="1"/>
    <w:qFormat/>
    <w:uiPriority w:val="0"/>
    <w:pPr>
      <w:spacing w:line="500" w:lineRule="exact"/>
      <w:ind w:firstLine="200" w:firstLineChars="200"/>
    </w:pPr>
    <w:rPr>
      <w:kern w:val="0"/>
      <w:sz w:val="24"/>
    </w:rPr>
  </w:style>
  <w:style w:type="paragraph" w:customStyle="1" w:styleId="8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4">
    <w:name w:val="font21"/>
    <w:qFormat/>
    <w:uiPriority w:val="0"/>
    <w:rPr>
      <w:rFonts w:hint="eastAsia" w:ascii="宋体" w:hAnsi="宋体" w:eastAsia="宋体" w:cs="宋体"/>
      <w:color w:val="000000"/>
      <w:sz w:val="21"/>
      <w:szCs w:val="21"/>
      <w:u w:val="none"/>
    </w:rPr>
  </w:style>
  <w:style w:type="paragraph" w:customStyle="1" w:styleId="85">
    <w:name w:val="正文首行缩进 21"/>
    <w:basedOn w:val="1"/>
    <w:qFormat/>
    <w:uiPriority w:val="0"/>
    <w:pPr>
      <w:spacing w:after="120"/>
      <w:ind w:left="420" w:leftChars="200" w:firstLine="420"/>
    </w:pPr>
    <w:rPr>
      <w:rFonts w:cs="宋体"/>
      <w:color w:val="000000"/>
      <w:szCs w:val="21"/>
    </w:rPr>
  </w:style>
  <w:style w:type="table" w:customStyle="1" w:styleId="86">
    <w:name w:val="Table Normal"/>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87">
    <w:name w:val="NormalIndent"/>
    <w:basedOn w:val="1"/>
    <w:link w:val="88"/>
    <w:qFormat/>
    <w:uiPriority w:val="0"/>
    <w:pPr>
      <w:widowControl/>
      <w:ind w:firstLine="420"/>
      <w:textAlignment w:val="baseline"/>
    </w:pPr>
    <w:rPr>
      <w:rFonts w:cstheme="minorBidi"/>
      <w:szCs w:val="20"/>
    </w:rPr>
  </w:style>
  <w:style w:type="character" w:customStyle="1" w:styleId="88">
    <w:name w:val="UserStyle_9"/>
    <w:link w:val="87"/>
    <w:qFormat/>
    <w:locked/>
    <w:uiPriority w:val="0"/>
    <w:rPr>
      <w:rFonts w:cstheme="minorBidi"/>
      <w:kern w:val="2"/>
      <w:sz w:val="21"/>
    </w:rPr>
  </w:style>
  <w:style w:type="paragraph" w:customStyle="1" w:styleId="89">
    <w:name w:val="UserStyle_175"/>
    <w:basedOn w:val="1"/>
    <w:qFormat/>
    <w:uiPriority w:val="0"/>
    <w:pPr>
      <w:widowControl/>
      <w:spacing w:after="160" w:line="240" w:lineRule="exact"/>
      <w:jc w:val="left"/>
      <w:textAlignment w:val="baseline"/>
    </w:pPr>
    <w:rPr>
      <w:rFonts w:ascii="Verdana" w:hAnsi="Verdana" w:cstheme="minorBidi"/>
      <w:kern w:val="0"/>
      <w:sz w:val="20"/>
      <w:szCs w:val="20"/>
      <w:lang w:eastAsia="en-US"/>
    </w:rPr>
  </w:style>
  <w:style w:type="paragraph" w:customStyle="1" w:styleId="9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103</Pages>
  <Words>49438</Words>
  <Characters>55239</Characters>
  <Lines>2924</Lines>
  <Paragraphs>3085</Paragraphs>
  <TotalTime>32</TotalTime>
  <ScaleCrop>false</ScaleCrop>
  <LinksUpToDate>false</LinksUpToDate>
  <CharactersWithSpaces>57563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2018-06-20T05:33:00Z</dcterms:created>
  <dc:creator>S-mile</dc:creator>
  <cp:lastModifiedBy>。。。</cp:lastModifiedBy>
  <cp:lastPrinted>2022-12-02T17:01:00Z</cp:lastPrinted>
  <dcterms:modified xsi:type="dcterms:W3CDTF">2023-02-07T07:34:02Z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8276CEECD1AD47DB9C66B27DBD3B297F</vt:lpwstr>
  </property>
</Properties>
</file>