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000000" w:themeColor="text1"/>
          <w:sz w:val="72"/>
          <w:szCs w:val="72"/>
          <w:lang w:eastAsia="zh-CN"/>
          <w14:textFill>
            <w14:solidFill>
              <w14:schemeClr w14:val="tx1"/>
            </w14:solidFill>
          </w14:textFill>
        </w:rPr>
      </w:pPr>
      <w:r>
        <w:rPr>
          <w:rFonts w:hint="eastAsia" w:ascii="微软雅黑" w:hAnsi="微软雅黑" w:eastAsia="微软雅黑" w:cs="微软雅黑"/>
          <w:b/>
          <w:bCs w:val="0"/>
          <w:color w:val="000000" w:themeColor="text1"/>
          <w:sz w:val="72"/>
          <w:szCs w:val="72"/>
          <w:lang w:eastAsia="zh-CN"/>
          <w14:textFill>
            <w14:solidFill>
              <w14:schemeClr w14:val="tx1"/>
            </w14:solidFill>
          </w14:textFill>
        </w:rPr>
        <w:t>康山街道精细化管理服务</w:t>
      </w:r>
    </w:p>
    <w:p>
      <w:pPr>
        <w:jc w:val="center"/>
        <w:rPr>
          <w:rFonts w:hint="eastAsia" w:ascii="微软雅黑" w:hAnsi="微软雅黑" w:eastAsia="微软雅黑" w:cs="微软雅黑"/>
          <w:b/>
          <w:bCs w:val="0"/>
          <w:color w:val="000000" w:themeColor="text1"/>
          <w:sz w:val="72"/>
          <w:szCs w:val="72"/>
          <w:u w:val="single"/>
          <w14:textFill>
            <w14:solidFill>
              <w14:schemeClr w14:val="tx1"/>
            </w14:solidFill>
          </w14:textFill>
        </w:rPr>
      </w:pPr>
      <w:r>
        <w:rPr>
          <w:rFonts w:hint="eastAsia" w:ascii="微软雅黑" w:hAnsi="微软雅黑" w:eastAsia="微软雅黑" w:cs="微软雅黑"/>
          <w:b/>
          <w:bCs w:val="0"/>
          <w:color w:val="000000" w:themeColor="text1"/>
          <w:sz w:val="72"/>
          <w:szCs w:val="72"/>
          <w:lang w:eastAsia="zh-CN"/>
          <w14:textFill>
            <w14:solidFill>
              <w14:schemeClr w14:val="tx1"/>
            </w14:solidFill>
          </w14:textFill>
        </w:rPr>
        <w:t>外包项目</w:t>
      </w:r>
    </w:p>
    <w:p>
      <w:pPr>
        <w:rPr>
          <w:rFonts w:cs="Calibri"/>
          <w:b/>
          <w:color w:val="000000" w:themeColor="text1"/>
          <w:szCs w:val="21"/>
          <w:u w:val="single"/>
          <w14:textFill>
            <w14:solidFill>
              <w14:schemeClr w14:val="tx1"/>
            </w14:solidFill>
          </w14:textFill>
        </w:rPr>
      </w:pPr>
    </w:p>
    <w:p>
      <w:pPr>
        <w:jc w:val="center"/>
        <w:rPr>
          <w:rFonts w:hint="eastAsia" w:ascii="微软雅黑" w:hAnsi="微软雅黑" w:eastAsia="微软雅黑" w:cs="微软雅黑"/>
          <w:b/>
          <w:color w:val="000000" w:themeColor="text1"/>
          <w:sz w:val="100"/>
          <w:szCs w:val="100"/>
          <w14:textFill>
            <w14:solidFill>
              <w14:schemeClr w14:val="tx1"/>
            </w14:solidFill>
          </w14:textFill>
        </w:rPr>
      </w:pPr>
      <w:r>
        <w:rPr>
          <w:rFonts w:hint="eastAsia" w:ascii="微软雅黑" w:hAnsi="微软雅黑" w:eastAsia="微软雅黑" w:cs="微软雅黑"/>
          <w:b/>
          <w:color w:val="000000" w:themeColor="text1"/>
          <w:sz w:val="72"/>
          <w:szCs w:val="72"/>
          <w14:textFill>
            <w14:solidFill>
              <w14:schemeClr w14:val="tx1"/>
            </w14:solidFill>
          </w14:textFill>
        </w:rPr>
        <w:t>采购文件</w:t>
      </w:r>
    </w:p>
    <w:p>
      <w:pPr>
        <w:rPr>
          <w:rFonts w:cs="Calibri"/>
          <w:b/>
          <w:color w:val="000000" w:themeColor="text1"/>
          <w:szCs w:val="21"/>
          <w14:textFill>
            <w14:solidFill>
              <w14:schemeClr w14:val="tx1"/>
            </w14:solidFill>
          </w14:textFill>
        </w:rPr>
      </w:pPr>
    </w:p>
    <w:p>
      <w:pPr>
        <w:rPr>
          <w:rFonts w:cs="Calibri"/>
          <w:b/>
          <w:color w:val="000000" w:themeColor="text1"/>
          <w:szCs w:val="21"/>
          <w14:textFill>
            <w14:solidFill>
              <w14:schemeClr w14:val="tx1"/>
            </w14:solidFill>
          </w14:textFill>
        </w:rPr>
      </w:pPr>
    </w:p>
    <w:p>
      <w:pPr>
        <w:jc w:val="center"/>
        <w:rPr>
          <w:rFonts w:cs="Calibri"/>
          <w:b/>
          <w:color w:val="000000" w:themeColor="text1"/>
          <w:sz w:val="36"/>
          <w14:textFill>
            <w14:solidFill>
              <w14:schemeClr w14:val="tx1"/>
            </w14:solidFill>
          </w14:textFill>
        </w:rPr>
      </w:pPr>
      <w:r>
        <w:rPr>
          <w:rFonts w:cs="Calibri"/>
          <w:color w:val="000000" w:themeColor="text1"/>
          <w14:textFill>
            <w14:solidFill>
              <w14:schemeClr w14:val="tx1"/>
            </w14:solidFill>
          </w14:textFill>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pPr>
        <w:rPr>
          <w:rFonts w:cs="Calibri"/>
          <w:b/>
          <w:color w:val="000000" w:themeColor="text1"/>
          <w:szCs w:val="21"/>
          <w14:textFill>
            <w14:solidFill>
              <w14:schemeClr w14:val="tx1"/>
            </w14:solidFill>
          </w14:textFill>
        </w:rPr>
      </w:pPr>
    </w:p>
    <w:p>
      <w:pPr>
        <w:rPr>
          <w:rFonts w:cs="Calibri"/>
          <w:b/>
          <w:color w:val="000000" w:themeColor="text1"/>
          <w:szCs w:val="21"/>
          <w14:textFill>
            <w14:solidFill>
              <w14:schemeClr w14:val="tx1"/>
            </w14:solidFill>
          </w14:textFill>
        </w:rPr>
      </w:pPr>
    </w:p>
    <w:p>
      <w:pPr>
        <w:ind w:firstLine="1494" w:firstLineChars="496"/>
        <w:rPr>
          <w:rFonts w:cs="Calibri"/>
          <w:b/>
          <w:color w:val="000000" w:themeColor="text1"/>
          <w:sz w:val="30"/>
          <w:szCs w:val="30"/>
          <w14:textFill>
            <w14:solidFill>
              <w14:schemeClr w14:val="tx1"/>
            </w14:solidFill>
          </w14:textFill>
        </w:rPr>
      </w:pPr>
    </w:p>
    <w:p>
      <w:pPr>
        <w:rPr>
          <w:rFonts w:hint="eastAsia" w:ascii="微软雅黑" w:hAnsi="微软雅黑" w:eastAsia="微软雅黑" w:cs="微软雅黑"/>
          <w:b/>
          <w:color w:val="000000" w:themeColor="text1"/>
          <w:sz w:val="30"/>
          <w:szCs w:val="30"/>
          <w14:textFill>
            <w14:solidFill>
              <w14:schemeClr w14:val="tx1"/>
            </w14:solidFill>
          </w14:textFill>
        </w:rPr>
      </w:pPr>
    </w:p>
    <w:p>
      <w:pPr>
        <w:ind w:firstLine="300" w:firstLineChars="100"/>
        <w:rPr>
          <w:rFonts w:hint="eastAsia" w:ascii="微软雅黑" w:hAnsi="微软雅黑" w:eastAsia="微软雅黑" w:cs="微软雅黑"/>
          <w:b w:val="0"/>
          <w:bCs/>
          <w:color w:val="000000" w:themeColor="text1"/>
          <w:sz w:val="30"/>
          <w:szCs w:val="30"/>
          <w14:textFill>
            <w14:solidFill>
              <w14:schemeClr w14:val="tx1"/>
            </w14:solidFill>
          </w14:textFill>
        </w:rPr>
      </w:pPr>
      <w:r>
        <w:rPr>
          <w:rFonts w:hint="eastAsia" w:ascii="微软雅黑" w:hAnsi="微软雅黑" w:eastAsia="微软雅黑" w:cs="微软雅黑"/>
          <w:b/>
          <w:color w:val="000000" w:themeColor="text1"/>
          <w:sz w:val="30"/>
          <w:szCs w:val="30"/>
          <w14:textFill>
            <w14:solidFill>
              <w14:schemeClr w14:val="tx1"/>
            </w14:solidFill>
          </w14:textFill>
        </w:rPr>
        <w:t>采购方式：</w:t>
      </w:r>
      <w:r>
        <w:rPr>
          <w:rFonts w:hint="eastAsia" w:ascii="微软雅黑" w:hAnsi="微软雅黑" w:eastAsia="微软雅黑" w:cs="微软雅黑"/>
          <w:b w:val="0"/>
          <w:bCs/>
          <w:color w:val="000000" w:themeColor="text1"/>
          <w:sz w:val="30"/>
          <w:szCs w:val="30"/>
          <w14:textFill>
            <w14:solidFill>
              <w14:schemeClr w14:val="tx1"/>
            </w14:solidFill>
          </w14:textFill>
        </w:rPr>
        <w:t>竞争性磋商</w:t>
      </w:r>
    </w:p>
    <w:p>
      <w:pPr>
        <w:ind w:firstLine="300" w:firstLineChars="100"/>
        <w:rPr>
          <w:rFonts w:hint="eastAsia"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 w:val="30"/>
          <w:szCs w:val="30"/>
          <w14:textFill>
            <w14:solidFill>
              <w14:schemeClr w14:val="tx1"/>
            </w14:solidFill>
          </w14:textFill>
        </w:rPr>
        <w:t>项目编号：</w:t>
      </w:r>
      <w:r>
        <w:rPr>
          <w:rFonts w:hint="eastAsia" w:ascii="微软雅黑" w:hAnsi="微软雅黑" w:eastAsia="微软雅黑" w:cs="微软雅黑"/>
          <w:b w:val="0"/>
          <w:bCs/>
          <w:color w:val="000000" w:themeColor="text1"/>
          <w:sz w:val="30"/>
          <w:szCs w:val="30"/>
          <w:lang w:eastAsia="zh-CN"/>
          <w14:textFill>
            <w14:solidFill>
              <w14:schemeClr w14:val="tx1"/>
            </w14:solidFill>
          </w14:textFill>
        </w:rPr>
        <w:t>CTZB-2023060327</w:t>
      </w:r>
    </w:p>
    <w:p>
      <w:pPr>
        <w:ind w:firstLine="300" w:firstLineChars="100"/>
        <w:rPr>
          <w:rFonts w:hint="eastAsia" w:ascii="微软雅黑" w:hAnsi="微软雅黑" w:eastAsia="微软雅黑" w:cs="微软雅黑"/>
          <w:b/>
          <w:color w:val="000000" w:themeColor="text1"/>
          <w:sz w:val="30"/>
          <w:szCs w:val="30"/>
          <w14:textFill>
            <w14:solidFill>
              <w14:schemeClr w14:val="tx1"/>
            </w14:solidFill>
          </w14:textFill>
        </w:rPr>
      </w:pPr>
      <w:r>
        <w:rPr>
          <w:rFonts w:hint="eastAsia" w:ascii="微软雅黑" w:hAnsi="微软雅黑" w:eastAsia="微软雅黑" w:cs="微软雅黑"/>
          <w:b/>
          <w:color w:val="000000" w:themeColor="text1"/>
          <w:sz w:val="30"/>
          <w:szCs w:val="30"/>
          <w14:textFill>
            <w14:solidFill>
              <w14:schemeClr w14:val="tx1"/>
            </w14:solidFill>
          </w14:textFill>
        </w:rPr>
        <w:t>采购人：</w:t>
      </w:r>
      <w:r>
        <w:rPr>
          <w:rFonts w:hint="eastAsia" w:ascii="微软雅黑" w:hAnsi="微软雅黑" w:eastAsia="微软雅黑" w:cs="微软雅黑"/>
          <w:b w:val="0"/>
          <w:bCs/>
          <w:color w:val="000000" w:themeColor="text1"/>
          <w:sz w:val="30"/>
          <w:szCs w:val="30"/>
          <w:u w:val="single"/>
          <w:lang w:eastAsia="zh-CN"/>
          <w14:textFill>
            <w14:solidFill>
              <w14:schemeClr w14:val="tx1"/>
            </w14:solidFill>
          </w14:textFill>
        </w:rPr>
        <w:t>湖州市人民政府康山街道办事处</w:t>
      </w:r>
      <w:r>
        <w:rPr>
          <w:rFonts w:hint="eastAsia" w:ascii="微软雅黑" w:hAnsi="微软雅黑" w:eastAsia="微软雅黑" w:cs="微软雅黑"/>
          <w:b w:val="0"/>
          <w:bCs/>
          <w:color w:val="000000" w:themeColor="text1"/>
          <w:sz w:val="30"/>
          <w:szCs w:val="30"/>
          <w:u w:val="singl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30"/>
          <w:szCs w:val="30"/>
          <w:u w:val="single"/>
          <w:lang w:val="en-US" w:eastAsia="zh-CN"/>
          <w14:textFill>
            <w14:solidFill>
              <w14:schemeClr w14:val="tx1"/>
            </w14:solidFill>
          </w14:textFill>
        </w:rPr>
        <w:t xml:space="preserve">   </w:t>
      </w:r>
      <w:r>
        <w:rPr>
          <w:rFonts w:hint="eastAsia" w:ascii="微软雅黑" w:hAnsi="微软雅黑" w:eastAsia="微软雅黑" w:cs="微软雅黑"/>
          <w:b/>
          <w:color w:val="000000" w:themeColor="text1"/>
          <w:sz w:val="30"/>
          <w:szCs w:val="30"/>
          <w14:textFill>
            <w14:solidFill>
              <w14:schemeClr w14:val="tx1"/>
            </w14:solidFill>
          </w14:textFill>
        </w:rPr>
        <w:t>（盖章）</w:t>
      </w:r>
    </w:p>
    <w:p>
      <w:pPr>
        <w:ind w:firstLine="300" w:firstLineChars="100"/>
        <w:rPr>
          <w:rFonts w:hint="eastAsia" w:ascii="微软雅黑" w:hAnsi="微软雅黑" w:eastAsia="微软雅黑" w:cs="微软雅黑"/>
          <w:b/>
          <w:color w:val="000000" w:themeColor="text1"/>
          <w:sz w:val="30"/>
          <w:szCs w:val="30"/>
          <w14:textFill>
            <w14:solidFill>
              <w14:schemeClr w14:val="tx1"/>
            </w14:solidFill>
          </w14:textFill>
        </w:rPr>
      </w:pPr>
      <w:r>
        <w:rPr>
          <w:rFonts w:hint="eastAsia" w:ascii="微软雅黑" w:hAnsi="微软雅黑" w:eastAsia="微软雅黑" w:cs="微软雅黑"/>
          <w:b/>
          <w:color w:val="000000" w:themeColor="text1"/>
          <w:sz w:val="30"/>
          <w:szCs w:val="30"/>
          <w14:textFill>
            <w14:solidFill>
              <w14:schemeClr w14:val="tx1"/>
            </w14:solidFill>
          </w14:textFill>
        </w:rPr>
        <w:t>采购代理机构：</w:t>
      </w:r>
      <w:r>
        <w:rPr>
          <w:rFonts w:hint="eastAsia" w:ascii="微软雅黑" w:hAnsi="微软雅黑" w:eastAsia="微软雅黑" w:cs="微软雅黑"/>
          <w:b w:val="0"/>
          <w:bCs/>
          <w:color w:val="000000" w:themeColor="text1"/>
          <w:sz w:val="30"/>
          <w:szCs w:val="30"/>
          <w:u w:val="single"/>
          <w14:textFill>
            <w14:solidFill>
              <w14:schemeClr w14:val="tx1"/>
            </w14:solidFill>
          </w14:textFill>
        </w:rPr>
        <w:t>浙江省成套招标代理有限公司</w:t>
      </w:r>
      <w:r>
        <w:rPr>
          <w:rFonts w:hint="eastAsia" w:ascii="微软雅黑" w:hAnsi="微软雅黑" w:eastAsia="微软雅黑" w:cs="微软雅黑"/>
          <w:b/>
          <w:color w:val="000000" w:themeColor="text1"/>
          <w:sz w:val="30"/>
          <w:szCs w:val="30"/>
          <w14:textFill>
            <w14:solidFill>
              <w14:schemeClr w14:val="tx1"/>
            </w14:solidFill>
          </w14:textFill>
        </w:rPr>
        <w:t>（盖章）</w:t>
      </w:r>
    </w:p>
    <w:p>
      <w:pPr>
        <w:jc w:val="center"/>
        <w:rPr>
          <w:rFonts w:cs="Calibri"/>
          <w:b/>
          <w:color w:val="000000" w:themeColor="text1"/>
          <w:sz w:val="30"/>
          <w:szCs w:val="30"/>
          <w14:textFill>
            <w14:solidFill>
              <w14:schemeClr w14:val="tx1"/>
            </w14:solidFill>
          </w14:textFill>
        </w:rPr>
      </w:pPr>
    </w:p>
    <w:p>
      <w:pPr>
        <w:ind w:firstLine="440" w:firstLineChars="100"/>
        <w:jc w:val="center"/>
        <w:rPr>
          <w:rFonts w:hint="eastAsia" w:ascii="微软雅黑" w:hAnsi="微软雅黑" w:eastAsia="微软雅黑" w:cs="微软雅黑"/>
          <w:b/>
          <w:color w:val="000000" w:themeColor="text1"/>
          <w:sz w:val="44"/>
          <w:szCs w:val="44"/>
          <w:u w:val="none"/>
          <w14:textFill>
            <w14:solidFill>
              <w14:schemeClr w14:val="tx1"/>
            </w14:solidFill>
          </w14:textFill>
        </w:rPr>
      </w:pPr>
      <w:r>
        <w:rPr>
          <w:rFonts w:hint="eastAsia" w:ascii="微软雅黑" w:hAnsi="微软雅黑" w:eastAsia="微软雅黑" w:cs="微软雅黑"/>
          <w:b/>
          <w:color w:val="000000" w:themeColor="text1"/>
          <w:sz w:val="44"/>
          <w:szCs w:val="44"/>
          <w:u w:val="none"/>
          <w14:textFill>
            <w14:solidFill>
              <w14:schemeClr w14:val="tx1"/>
            </w14:solidFill>
          </w14:textFill>
        </w:rPr>
        <w:t>二〇二三年</w:t>
      </w:r>
      <w:r>
        <w:rPr>
          <w:rFonts w:hint="eastAsia" w:ascii="微软雅黑" w:hAnsi="微软雅黑" w:eastAsia="微软雅黑" w:cs="微软雅黑"/>
          <w:b/>
          <w:color w:val="000000" w:themeColor="text1"/>
          <w:sz w:val="44"/>
          <w:szCs w:val="44"/>
          <w:u w:val="none"/>
          <w:lang w:eastAsia="zh-CN"/>
          <w14:textFill>
            <w14:solidFill>
              <w14:schemeClr w14:val="tx1"/>
            </w14:solidFill>
          </w14:textFill>
        </w:rPr>
        <w:t>六</w:t>
      </w:r>
      <w:r>
        <w:rPr>
          <w:rFonts w:hint="eastAsia" w:ascii="微软雅黑" w:hAnsi="微软雅黑" w:eastAsia="微软雅黑" w:cs="微软雅黑"/>
          <w:b/>
          <w:color w:val="000000" w:themeColor="text1"/>
          <w:sz w:val="44"/>
          <w:szCs w:val="44"/>
          <w:u w:val="none"/>
          <w14:textFill>
            <w14:solidFill>
              <w14:schemeClr w14:val="tx1"/>
            </w14:solidFill>
          </w14:textFill>
        </w:rPr>
        <w:t>月</w:t>
      </w:r>
    </w:p>
    <w:p>
      <w:pPr>
        <w:pStyle w:val="5"/>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bookmarkStart w:id="0" w:name="_Toc23506"/>
      <w:bookmarkStart w:id="1" w:name="_Toc18479"/>
    </w:p>
    <w:p>
      <w:pPr>
        <w:pStyle w:val="5"/>
        <w:rPr>
          <w:rFonts w:cs="Calibri"/>
          <w:color w:val="000000" w:themeColor="text1"/>
          <w14:textFill>
            <w14:solidFill>
              <w14:schemeClr w14:val="tx1"/>
            </w14:solidFill>
          </w14:textFill>
        </w:rPr>
      </w:pPr>
    </w:p>
    <w:p>
      <w:pPr>
        <w:pStyle w:val="5"/>
        <w:rPr>
          <w:rFonts w:cs="Calibri"/>
          <w:color w:val="000000" w:themeColor="text1"/>
          <w14:textFill>
            <w14:solidFill>
              <w14:schemeClr w14:val="tx1"/>
            </w14:solidFill>
          </w14:textFill>
        </w:rPr>
      </w:pPr>
    </w:p>
    <w:p>
      <w:pPr>
        <w:pStyle w:val="5"/>
        <w:rPr>
          <w:rFonts w:cs="Calibri"/>
          <w:color w:val="000000" w:themeColor="text1"/>
          <w14:textFill>
            <w14:solidFill>
              <w14:schemeClr w14:val="tx1"/>
            </w14:solidFill>
          </w14:textFill>
        </w:rPr>
      </w:pPr>
    </w:p>
    <w:p>
      <w:pPr>
        <w:pStyle w:val="5"/>
        <w:rPr>
          <w:rFonts w:cs="Calibri"/>
          <w:color w:val="000000" w:themeColor="text1"/>
          <w:sz w:val="52"/>
          <w:szCs w:val="52"/>
          <w14:textFill>
            <w14:solidFill>
              <w14:schemeClr w14:val="tx1"/>
            </w14:solidFill>
          </w14:textFill>
        </w:rPr>
      </w:pPr>
      <w:r>
        <w:rPr>
          <w:rFonts w:cs="Calibri"/>
          <w:color w:val="000000" w:themeColor="text1"/>
          <w:sz w:val="52"/>
          <w:szCs w:val="52"/>
          <w14:textFill>
            <w14:solidFill>
              <w14:schemeClr w14:val="tx1"/>
            </w14:solidFill>
          </w14:textFill>
        </w:rPr>
        <w:t>目</w:t>
      </w:r>
      <w:r>
        <w:rPr>
          <w:rFonts w:hint="eastAsia" w:cs="Calibri"/>
          <w:color w:val="000000" w:themeColor="text1"/>
          <w:sz w:val="52"/>
          <w:szCs w:val="52"/>
          <w:lang w:val="en-US" w:eastAsia="zh-CN"/>
          <w14:textFill>
            <w14:solidFill>
              <w14:schemeClr w14:val="tx1"/>
            </w14:solidFill>
          </w14:textFill>
        </w:rPr>
        <w:t xml:space="preserve">  </w:t>
      </w:r>
      <w:r>
        <w:rPr>
          <w:rFonts w:cs="Calibri"/>
          <w:color w:val="000000" w:themeColor="text1"/>
          <w:sz w:val="52"/>
          <w:szCs w:val="52"/>
          <w14:textFill>
            <w14:solidFill>
              <w14:schemeClr w14:val="tx1"/>
            </w14:solidFill>
          </w14:textFill>
        </w:rPr>
        <w:t>录</w:t>
      </w:r>
      <w:bookmarkEnd w:id="0"/>
      <w:bookmarkEnd w:id="1"/>
    </w:p>
    <w:p>
      <w:pPr>
        <w:pStyle w:val="29"/>
        <w:tabs>
          <w:tab w:val="right" w:leader="dot" w:pos="9186"/>
          <w:tab w:val="clear" w:pos="9403"/>
        </w:tabs>
        <w:rPr>
          <w:color w:val="000000" w:themeColor="text1"/>
          <w:sz w:val="28"/>
          <w:szCs w:val="28"/>
          <w14:textFill>
            <w14:solidFill>
              <w14:schemeClr w14:val="tx1"/>
            </w14:solidFill>
          </w14:textFill>
        </w:rPr>
      </w:pPr>
      <w:r>
        <w:rPr>
          <w:rFonts w:cs="Calibri"/>
          <w:bCs w:val="0"/>
          <w:caps w:val="0"/>
          <w:color w:val="000000" w:themeColor="text1"/>
          <w:kern w:val="0"/>
          <w:szCs w:val="21"/>
          <w14:textFill>
            <w14:solidFill>
              <w14:schemeClr w14:val="tx1"/>
            </w14:solidFill>
          </w14:textFill>
        </w:rPr>
        <w:fldChar w:fldCharType="begin"/>
      </w:r>
      <w:r>
        <w:rPr>
          <w:rFonts w:cs="Calibri"/>
          <w:bCs w:val="0"/>
          <w:caps w:val="0"/>
          <w:color w:val="000000" w:themeColor="text1"/>
          <w:kern w:val="0"/>
          <w:szCs w:val="21"/>
          <w14:textFill>
            <w14:solidFill>
              <w14:schemeClr w14:val="tx1"/>
            </w14:solidFill>
          </w14:textFill>
        </w:rPr>
        <w:instrText xml:space="preserve"> TOC \o "1-1" \h \z </w:instrText>
      </w:r>
      <w:r>
        <w:rPr>
          <w:rFonts w:cs="Calibri"/>
          <w:bCs w:val="0"/>
          <w:caps w:val="0"/>
          <w:color w:val="000000" w:themeColor="text1"/>
          <w:kern w:val="0"/>
          <w:szCs w:val="21"/>
          <w14:textFill>
            <w14:solidFill>
              <w14:schemeClr w14:val="tx1"/>
            </w14:solidFill>
          </w14:textFill>
        </w:rPr>
        <w:fldChar w:fldCharType="separate"/>
      </w:r>
      <w:r>
        <w:rPr>
          <w:sz w:val="28"/>
          <w:szCs w:val="28"/>
        </w:rPr>
        <w:fldChar w:fldCharType="begin"/>
      </w:r>
      <w:r>
        <w:rPr>
          <w:sz w:val="28"/>
          <w:szCs w:val="28"/>
        </w:rPr>
        <w:instrText xml:space="preserve"> HYPERLINK \l "_Toc18479" </w:instrText>
      </w:r>
      <w:r>
        <w:rPr>
          <w:sz w:val="28"/>
          <w:szCs w:val="28"/>
        </w:rPr>
        <w:fldChar w:fldCharType="separate"/>
      </w:r>
      <w:r>
        <w:rPr>
          <w:rFonts w:cs="Calibri"/>
          <w:color w:val="000000" w:themeColor="text1"/>
          <w:sz w:val="28"/>
          <w:szCs w:val="28"/>
          <w14:textFill>
            <w14:solidFill>
              <w14:schemeClr w14:val="tx1"/>
            </w14:solidFill>
          </w14:textFill>
        </w:rPr>
        <w:t>目录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_Toc18479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"_Toc22481" </w:instrText>
      </w:r>
      <w:r>
        <w:rPr>
          <w:sz w:val="28"/>
          <w:szCs w:val="28"/>
        </w:rPr>
        <w:fldChar w:fldCharType="separate"/>
      </w:r>
      <w:r>
        <w:rPr>
          <w:rFonts w:cs="Calibri"/>
          <w:color w:val="000000" w:themeColor="text1"/>
          <w:sz w:val="28"/>
          <w:szCs w:val="28"/>
          <w14:textFill>
            <w14:solidFill>
              <w14:schemeClr w14:val="tx1"/>
            </w14:solidFill>
          </w14:textFill>
        </w:rPr>
        <w:t>第一章  竞争性磋商采购公告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_Toc22481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"_Toc30953" </w:instrText>
      </w:r>
      <w:r>
        <w:rPr>
          <w:sz w:val="28"/>
          <w:szCs w:val="28"/>
        </w:rPr>
        <w:fldChar w:fldCharType="separate"/>
      </w:r>
      <w:r>
        <w:rPr>
          <w:rFonts w:cs="Calibri"/>
          <w:color w:val="000000" w:themeColor="text1"/>
          <w:sz w:val="28"/>
          <w:szCs w:val="28"/>
          <w14:textFill>
            <w14:solidFill>
              <w14:schemeClr w14:val="tx1"/>
            </w14:solidFill>
          </w14:textFill>
        </w:rPr>
        <w:t>第二章  采购项目总体要求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_Toc30953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"_Toc1561" </w:instrText>
      </w:r>
      <w:r>
        <w:rPr>
          <w:sz w:val="28"/>
          <w:szCs w:val="28"/>
        </w:rPr>
        <w:fldChar w:fldCharType="separate"/>
      </w:r>
      <w:r>
        <w:rPr>
          <w:rFonts w:cs="Calibri"/>
          <w:color w:val="000000" w:themeColor="text1"/>
          <w:sz w:val="28"/>
          <w:szCs w:val="28"/>
          <w14:textFill>
            <w14:solidFill>
              <w14:schemeClr w14:val="tx1"/>
            </w14:solidFill>
          </w14:textFill>
        </w:rPr>
        <w:t>第三章  采购需求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_Toc1561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"_Toc11217" </w:instrText>
      </w:r>
      <w:r>
        <w:rPr>
          <w:sz w:val="28"/>
          <w:szCs w:val="28"/>
        </w:rPr>
        <w:fldChar w:fldCharType="separate"/>
      </w:r>
      <w:r>
        <w:rPr>
          <w:rFonts w:cs="Calibri"/>
          <w:color w:val="000000" w:themeColor="text1"/>
          <w:sz w:val="28"/>
          <w:szCs w:val="28"/>
          <w14:textFill>
            <w14:solidFill>
              <w14:schemeClr w14:val="tx1"/>
            </w14:solidFill>
          </w14:textFill>
        </w:rPr>
        <w:t>第四章  合同草案条款</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_Toc11217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"_Toc14015" </w:instrText>
      </w:r>
      <w:r>
        <w:rPr>
          <w:sz w:val="28"/>
          <w:szCs w:val="28"/>
        </w:rPr>
        <w:fldChar w:fldCharType="separate"/>
      </w:r>
      <w:r>
        <w:rPr>
          <w:rFonts w:cs="Calibri"/>
          <w:color w:val="000000" w:themeColor="text1"/>
          <w:sz w:val="28"/>
          <w:szCs w:val="28"/>
          <w14:textFill>
            <w14:solidFill>
              <w14:schemeClr w14:val="tx1"/>
            </w14:solidFill>
          </w14:textFill>
        </w:rPr>
        <w:t>第五章  磋商评审办法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_Toc14015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sz w:val="28"/>
          <w:szCs w:val="28"/>
          <w14:textFill>
            <w14:solidFill>
              <w14:schemeClr w14:val="tx1"/>
            </w14:solidFill>
          </w14:textFill>
        </w:rPr>
      </w:pPr>
      <w:r>
        <w:rPr>
          <w:sz w:val="28"/>
          <w:szCs w:val="28"/>
        </w:rPr>
        <w:fldChar w:fldCharType="begin"/>
      </w:r>
      <w:r>
        <w:rPr>
          <w:sz w:val="28"/>
          <w:szCs w:val="28"/>
        </w:rPr>
        <w:instrText xml:space="preserve"> HYPERLINK \l "_Toc13793" </w:instrText>
      </w:r>
      <w:r>
        <w:rPr>
          <w:sz w:val="28"/>
          <w:szCs w:val="28"/>
        </w:rPr>
        <w:fldChar w:fldCharType="separate"/>
      </w:r>
      <w:r>
        <w:rPr>
          <w:rFonts w:cs="Calibri"/>
          <w:color w:val="000000" w:themeColor="text1"/>
          <w:sz w:val="28"/>
          <w:szCs w:val="28"/>
          <w14:textFill>
            <w14:solidFill>
              <w14:schemeClr w14:val="tx1"/>
            </w14:solidFill>
          </w14:textFill>
        </w:rPr>
        <w:t>第六章  磋商须知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_Toc13793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9"/>
        <w:tabs>
          <w:tab w:val="right" w:leader="dot" w:pos="9186"/>
          <w:tab w:val="clear" w:pos="9403"/>
        </w:tabs>
        <w:rPr>
          <w:color w:val="000000" w:themeColor="text1"/>
          <w14:textFill>
            <w14:solidFill>
              <w14:schemeClr w14:val="tx1"/>
            </w14:solidFill>
          </w14:textFill>
        </w:rPr>
      </w:pPr>
      <w:r>
        <w:rPr>
          <w:sz w:val="28"/>
          <w:szCs w:val="28"/>
        </w:rPr>
        <w:fldChar w:fldCharType="begin"/>
      </w:r>
      <w:r>
        <w:rPr>
          <w:sz w:val="28"/>
          <w:szCs w:val="28"/>
        </w:rPr>
        <w:instrText xml:space="preserve"> HYPERLINK \l "_Toc23596" </w:instrText>
      </w:r>
      <w:r>
        <w:rPr>
          <w:sz w:val="28"/>
          <w:szCs w:val="28"/>
        </w:rPr>
        <w:fldChar w:fldCharType="separate"/>
      </w:r>
      <w:r>
        <w:rPr>
          <w:rFonts w:cs="Calibri"/>
          <w:color w:val="000000" w:themeColor="text1"/>
          <w:sz w:val="28"/>
          <w:szCs w:val="28"/>
          <w14:textFill>
            <w14:solidFill>
              <w14:schemeClr w14:val="tx1"/>
            </w14:solidFill>
          </w14:textFill>
        </w:rPr>
        <w:t>第七章  磋商响应文件格式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_Toc23596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fldChar w:fldCharType="end"/>
      </w:r>
      <w:r>
        <w:rPr>
          <w:rFonts w:cs="Calibri"/>
          <w:color w:val="000000" w:themeColor="text1"/>
          <w:kern w:val="0"/>
          <w14:textFill>
            <w14:solidFill>
              <w14:schemeClr w14:val="tx1"/>
            </w14:solidFill>
          </w14:textFill>
        </w:rPr>
        <w:br w:type="page"/>
      </w:r>
    </w:p>
    <w:p>
      <w:pPr>
        <w:pStyle w:val="5"/>
        <w:rPr>
          <w:rFonts w:cs="Calibri"/>
          <w:color w:val="000000" w:themeColor="text1"/>
          <w14:textFill>
            <w14:solidFill>
              <w14:schemeClr w14:val="tx1"/>
            </w14:solidFill>
          </w14:textFill>
        </w:rPr>
      </w:pPr>
      <w:bookmarkStart w:id="2" w:name="_Toc22481"/>
      <w:bookmarkStart w:id="3" w:name="_Toc2585"/>
      <w:r>
        <w:rPr>
          <w:rFonts w:cs="Calibri"/>
          <w:color w:val="000000" w:themeColor="text1"/>
          <w14:textFill>
            <w14:solidFill>
              <w14:schemeClr w14:val="tx1"/>
            </w14:solidFill>
          </w14:textFill>
        </w:rPr>
        <w:t>第一章  竞争性磋商采购公告</w:t>
      </w:r>
      <w:bookmarkEnd w:id="2"/>
      <w:bookmarkEnd w:id="3"/>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bookmarkStart w:id="4" w:name="_Toc28359012"/>
      <w:bookmarkStart w:id="5" w:name="_Toc35393629"/>
      <w:bookmarkStart w:id="6" w:name="_Toc35393798"/>
      <w:bookmarkStart w:id="7" w:name="_Toc28359089"/>
      <w:r>
        <w:rPr>
          <w:rFonts w:hint="eastAsia" w:ascii="宋体" w:hAnsi="宋体" w:cs="宋体"/>
          <w:color w:val="000000" w:themeColor="text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康山街道精细化管理服务外包项目</w:t>
      </w:r>
      <w:r>
        <w:rPr>
          <w:rFonts w:hint="eastAsia" w:ascii="宋体" w:hAnsi="宋体" w:cs="宋体"/>
          <w:color w:val="000000" w:themeColor="text1"/>
          <w:szCs w:val="21"/>
          <w14:textFill>
            <w14:solidFill>
              <w14:schemeClr w14:val="tx1"/>
            </w14:solidFill>
          </w14:textFill>
        </w:rPr>
        <w:t>竞争性磋商公告采购项目的潜在供应商应在浙江政府采购网：</w:t>
      </w:r>
      <w:r>
        <w:fldChar w:fldCharType="begin"/>
      </w:r>
      <w:r>
        <w:instrText xml:space="preserve"> HYPERLINK "http://zfcg.czt.zj.gov.cn/获取采购文件，并于2021年08月" </w:instrText>
      </w:r>
      <w:r>
        <w:fldChar w:fldCharType="separate"/>
      </w:r>
      <w:r>
        <w:rPr>
          <w:rFonts w:hint="eastAsia" w:ascii="宋体" w:hAnsi="宋体" w:cs="宋体"/>
          <w:color w:val="000000" w:themeColor="text1"/>
          <w:szCs w:val="21"/>
          <w14:textFill>
            <w14:solidFill>
              <w14:schemeClr w14:val="tx1"/>
            </w14:solidFill>
          </w14:textFill>
        </w:rPr>
        <w:t>http://zfcg.czt.zj.gov.cn/获取采购文件，并于2023年</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日9点30分（北京时间）前提交（上传）响应文件。</w:t>
      </w:r>
    </w:p>
    <w:p>
      <w:pPr>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一、项目基本情况</w:t>
      </w:r>
      <w:bookmarkEnd w:id="4"/>
      <w:bookmarkEnd w:id="5"/>
      <w:bookmarkEnd w:id="6"/>
      <w:bookmarkEnd w:id="7"/>
    </w:p>
    <w:p>
      <w:pPr>
        <w:ind w:firstLine="420" w:firstLineChars="200"/>
        <w:rPr>
          <w:rFonts w:hint="eastAsia" w:eastAsia="宋体" w:cs="Calibri"/>
          <w:color w:val="000000" w:themeColor="text1"/>
          <w:kern w:val="0"/>
          <w:szCs w:val="21"/>
          <w:vertAlign w:val="subscript"/>
          <w:lang w:eastAsia="zh-CN"/>
          <w14:textFill>
            <w14:solidFill>
              <w14:schemeClr w14:val="tx1"/>
            </w14:solidFill>
          </w14:textFill>
        </w:rPr>
      </w:pPr>
      <w:r>
        <w:rPr>
          <w:rFonts w:hint="eastAsia" w:cs="Calibri"/>
          <w:color w:val="000000" w:themeColor="text1"/>
          <w:kern w:val="0"/>
          <w:szCs w:val="21"/>
          <w14:textFill>
            <w14:solidFill>
              <w14:schemeClr w14:val="tx1"/>
            </w14:solidFill>
          </w14:textFill>
        </w:rPr>
        <w:t>项目编号：</w:t>
      </w:r>
      <w:r>
        <w:rPr>
          <w:rFonts w:hint="eastAsia" w:cs="Calibri"/>
          <w:color w:val="000000" w:themeColor="text1"/>
          <w:kern w:val="0"/>
          <w:szCs w:val="21"/>
          <w:lang w:eastAsia="zh-CN"/>
          <w14:textFill>
            <w14:solidFill>
              <w14:schemeClr w14:val="tx1"/>
            </w14:solidFill>
          </w14:textFill>
        </w:rPr>
        <w:t>CTZB-2023060327</w:t>
      </w:r>
    </w:p>
    <w:p>
      <w:pPr>
        <w:ind w:firstLine="420" w:firstLineChars="200"/>
        <w:rPr>
          <w:rFonts w:cs="Calibri"/>
          <w:color w:val="000000" w:themeColor="text1"/>
          <w:kern w:val="0"/>
          <w:szCs w:val="21"/>
          <w:vertAlign w:val="subscript"/>
          <w14:textFill>
            <w14:solidFill>
              <w14:schemeClr w14:val="tx1"/>
            </w14:solidFill>
          </w14:textFill>
        </w:rPr>
      </w:pPr>
      <w:r>
        <w:rPr>
          <w:rFonts w:hint="eastAsia" w:cs="Calibri"/>
          <w:color w:val="000000" w:themeColor="text1"/>
          <w:kern w:val="0"/>
          <w:szCs w:val="21"/>
          <w14:textFill>
            <w14:solidFill>
              <w14:schemeClr w14:val="tx1"/>
            </w14:solidFill>
          </w14:textFill>
        </w:rPr>
        <w:t>项目名称：</w:t>
      </w:r>
      <w:r>
        <w:rPr>
          <w:rFonts w:hint="eastAsia" w:cs="Calibri"/>
          <w:color w:val="000000" w:themeColor="text1"/>
          <w:kern w:val="0"/>
          <w:szCs w:val="21"/>
          <w:lang w:eastAsia="zh-CN"/>
          <w14:textFill>
            <w14:solidFill>
              <w14:schemeClr w14:val="tx1"/>
            </w14:solidFill>
          </w14:textFill>
        </w:rPr>
        <w:t>康山街道精细化管理服务外包项目</w:t>
      </w:r>
      <w:r>
        <w:rPr>
          <w:rFonts w:hint="eastAsia" w:cs="Calibri"/>
          <w:color w:val="000000" w:themeColor="text1"/>
          <w:kern w:val="0"/>
          <w:szCs w:val="21"/>
          <w14:textFill>
            <w14:solidFill>
              <w14:schemeClr w14:val="tx1"/>
            </w14:solidFill>
          </w14:textFill>
        </w:rPr>
        <w:t>采购</w:t>
      </w:r>
      <w:bookmarkStart w:id="80" w:name="_GoBack"/>
      <w:bookmarkEnd w:id="80"/>
      <w:r>
        <w:rPr>
          <w:rFonts w:hint="eastAsia" w:cs="Calibri"/>
          <w:color w:val="000000" w:themeColor="text1"/>
          <w:kern w:val="0"/>
          <w:szCs w:val="21"/>
          <w14:textFill>
            <w14:solidFill>
              <w14:schemeClr w14:val="tx1"/>
            </w14:solidFill>
          </w14:textFill>
        </w:rPr>
        <w:t>方式：竞争性磋商</w:t>
      </w:r>
    </w:p>
    <w:p>
      <w:pPr>
        <w:ind w:firstLine="420" w:firstLineChars="200"/>
        <w:rPr>
          <w:rFonts w:hint="eastAsia" w:eastAsia="宋体" w:cs="Calibri"/>
          <w:color w:val="000000" w:themeColor="text1"/>
          <w:kern w:val="0"/>
          <w:szCs w:val="21"/>
          <w:lang w:eastAsia="zh-CN"/>
          <w14:textFill>
            <w14:solidFill>
              <w14:schemeClr w14:val="tx1"/>
            </w14:solidFill>
          </w14:textFill>
        </w:rPr>
      </w:pPr>
      <w:r>
        <w:rPr>
          <w:rFonts w:hint="eastAsia" w:cs="Calibri"/>
          <w:color w:val="000000" w:themeColor="text1"/>
          <w:kern w:val="0"/>
          <w:szCs w:val="21"/>
          <w14:textFill>
            <w14:solidFill>
              <w14:schemeClr w14:val="tx1"/>
            </w14:solidFill>
          </w14:textFill>
        </w:rPr>
        <w:t>预算金额（元）：</w:t>
      </w:r>
      <w:r>
        <w:rPr>
          <w:rFonts w:hint="eastAsia" w:cs="Calibri"/>
          <w:color w:val="000000" w:themeColor="text1"/>
          <w:kern w:val="0"/>
          <w:szCs w:val="21"/>
          <w:lang w:val="en-US" w:eastAsia="zh-CN"/>
          <w14:textFill>
            <w14:solidFill>
              <w14:schemeClr w14:val="tx1"/>
            </w14:solidFill>
          </w14:textFill>
        </w:rPr>
        <w:t xml:space="preserve">1120000 </w:t>
      </w:r>
    </w:p>
    <w:p>
      <w:pPr>
        <w:ind w:firstLine="420" w:firstLineChars="200"/>
        <w:rPr>
          <w:rFonts w:hint="eastAsia" w:eastAsia="宋体" w:cs="Calibri"/>
          <w:color w:val="000000" w:themeColor="text1"/>
          <w:kern w:val="0"/>
          <w:szCs w:val="21"/>
          <w:lang w:val="en-US" w:eastAsia="zh-CN"/>
          <w14:textFill>
            <w14:solidFill>
              <w14:schemeClr w14:val="tx1"/>
            </w14:solidFill>
          </w14:textFill>
        </w:rPr>
      </w:pPr>
      <w:r>
        <w:rPr>
          <w:rFonts w:hint="eastAsia" w:cs="Calibri"/>
          <w:color w:val="000000" w:themeColor="text1"/>
          <w:kern w:val="0"/>
          <w:szCs w:val="21"/>
          <w14:textFill>
            <w14:solidFill>
              <w14:schemeClr w14:val="tx1"/>
            </w14:solidFill>
          </w14:textFill>
        </w:rPr>
        <w:t>最高限价（元）：</w:t>
      </w:r>
      <w:r>
        <w:rPr>
          <w:rFonts w:hint="eastAsia" w:cs="Calibri"/>
          <w:color w:val="000000" w:themeColor="text1"/>
          <w:kern w:val="0"/>
          <w:szCs w:val="21"/>
          <w:lang w:val="en-US" w:eastAsia="zh-CN"/>
          <w14:textFill>
            <w14:solidFill>
              <w14:schemeClr w14:val="tx1"/>
            </w14:solidFill>
          </w14:textFill>
        </w:rPr>
        <w:t>/</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采购需求：</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标项名称：</w:t>
      </w:r>
      <w:r>
        <w:rPr>
          <w:rFonts w:hint="eastAsia" w:cs="Calibri"/>
          <w:color w:val="000000" w:themeColor="text1"/>
          <w:kern w:val="0"/>
          <w:szCs w:val="21"/>
          <w:lang w:eastAsia="zh-CN"/>
          <w14:textFill>
            <w14:solidFill>
              <w14:schemeClr w14:val="tx1"/>
            </w14:solidFill>
          </w14:textFill>
        </w:rPr>
        <w:t>康山街道精细化管理服务外包项目</w:t>
      </w:r>
      <w:r>
        <w:rPr>
          <w:rFonts w:hint="eastAsia" w:cs="Calibri"/>
          <w:color w:val="000000" w:themeColor="text1"/>
          <w:kern w:val="0"/>
          <w:szCs w:val="21"/>
          <w14:textFill>
            <w14:solidFill>
              <w14:schemeClr w14:val="tx1"/>
            </w14:solidFill>
          </w14:textFill>
        </w:rPr>
        <w:t>数量：不限           </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预算金额（元）：</w:t>
      </w:r>
      <w:r>
        <w:rPr>
          <w:rFonts w:hint="eastAsia" w:cs="Calibri"/>
          <w:color w:val="000000" w:themeColor="text1"/>
          <w:kern w:val="0"/>
          <w:szCs w:val="21"/>
          <w:lang w:val="en-US" w:eastAsia="zh-CN"/>
          <w14:textFill>
            <w14:solidFill>
              <w14:schemeClr w14:val="tx1"/>
            </w14:solidFill>
          </w14:textFill>
        </w:rPr>
        <w:t xml:space="preserve">1120000 </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简要规格描述：详见招标需求 </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备注： </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合同履约期限：</w:t>
      </w:r>
    </w:p>
    <w:p>
      <w:pPr>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标项 1，自合同签订之日起</w:t>
      </w:r>
      <w:r>
        <w:rPr>
          <w:rFonts w:hint="eastAsia" w:cs="Calibri"/>
          <w:color w:val="000000" w:themeColor="text1"/>
          <w:kern w:val="0"/>
          <w:szCs w:val="21"/>
          <w:lang w:val="en-US" w:eastAsia="zh-CN"/>
          <w14:textFill>
            <w14:solidFill>
              <w14:schemeClr w14:val="tx1"/>
            </w14:solidFill>
          </w14:textFill>
        </w:rPr>
        <w:t>一年</w:t>
      </w:r>
      <w:r>
        <w:rPr>
          <w:rFonts w:hint="eastAsia" w:cs="Calibri"/>
          <w:color w:val="000000" w:themeColor="text1"/>
          <w:kern w:val="0"/>
          <w:szCs w:val="21"/>
          <w14:textFill>
            <w14:solidFill>
              <w14:schemeClr w14:val="tx1"/>
            </w14:solidFill>
          </w14:textFill>
        </w:rPr>
        <w:t>（具体服务开始日期以采购人通知为准）；</w:t>
      </w:r>
    </w:p>
    <w:p>
      <w:pPr>
        <w:ind w:firstLine="420" w:firstLineChars="200"/>
        <w:rPr>
          <w:rFonts w:cs="Calibri"/>
          <w:color w:val="000000" w:themeColor="text1"/>
          <w:szCs w:val="21"/>
          <w14:textFill>
            <w14:solidFill>
              <w14:schemeClr w14:val="tx1"/>
            </w14:solidFill>
          </w14:textFill>
        </w:rPr>
      </w:pPr>
      <w:r>
        <w:rPr>
          <w:rFonts w:hint="eastAsia" w:cs="Calibri"/>
          <w:color w:val="000000" w:themeColor="text1"/>
          <w:kern w:val="0"/>
          <w:szCs w:val="21"/>
          <w14:textFill>
            <w14:solidFill>
              <w14:schemeClr w14:val="tx1"/>
            </w14:solidFill>
          </w14:textFill>
        </w:rPr>
        <w:t>本项目（否）接受联合体投标。 </w:t>
      </w:r>
      <w:r>
        <w:rPr>
          <w:rFonts w:hint="eastAsia" w:cs="Calibri"/>
          <w:color w:val="000000" w:themeColor="text1"/>
          <w:szCs w:val="21"/>
          <w14:textFill>
            <w14:solidFill>
              <w14:schemeClr w14:val="tx1"/>
            </w14:solidFill>
          </w14:textFill>
        </w:rPr>
        <w:t> </w:t>
      </w:r>
    </w:p>
    <w:p>
      <w:pPr>
        <w:ind w:firstLine="422" w:firstLineChars="200"/>
        <w:rPr>
          <w:rFonts w:cs="Calibri"/>
          <w:b/>
          <w:bCs/>
          <w:color w:val="000000" w:themeColor="text1"/>
          <w:szCs w:val="21"/>
          <w14:textFill>
            <w14:solidFill>
              <w14:schemeClr w14:val="tx1"/>
            </w14:solidFill>
          </w14:textFill>
        </w:rPr>
      </w:pPr>
      <w:bookmarkStart w:id="8" w:name="_Toc28359090"/>
      <w:bookmarkStart w:id="9" w:name="_Toc35393630"/>
      <w:bookmarkStart w:id="10" w:name="_Toc35393799"/>
      <w:bookmarkStart w:id="11" w:name="_Toc28359013"/>
      <w:r>
        <w:rPr>
          <w:rFonts w:cs="Calibri"/>
          <w:b/>
          <w:bCs/>
          <w:color w:val="000000" w:themeColor="text1"/>
          <w:szCs w:val="21"/>
          <w14:textFill>
            <w14:solidFill>
              <w14:schemeClr w14:val="tx1"/>
            </w14:solidFill>
          </w14:textFill>
        </w:rPr>
        <w:t>二、供应商的资格要求：</w:t>
      </w:r>
      <w:bookmarkEnd w:id="8"/>
      <w:bookmarkEnd w:id="9"/>
      <w:bookmarkEnd w:id="10"/>
      <w:bookmarkEnd w:id="11"/>
    </w:p>
    <w:p>
      <w:pPr>
        <w:widowControl/>
        <w:adjustRightInd w:val="0"/>
        <w:ind w:firstLine="422" w:firstLineChars="200"/>
        <w:jc w:val="left"/>
        <w:rPr>
          <w:rFonts w:cs="Calibri"/>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1. 基本资格要求</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22" w:firstLineChars="200"/>
        <w:rPr>
          <w:rFonts w:cs="Calibri"/>
          <w:color w:val="000000" w:themeColor="text1"/>
          <w:kern w:val="0"/>
          <w:szCs w:val="21"/>
          <w14:textFill>
            <w14:solidFill>
              <w14:schemeClr w14:val="tx1"/>
            </w14:solidFill>
          </w14:textFill>
        </w:rPr>
      </w:pPr>
      <w:r>
        <w:rPr>
          <w:rFonts w:cs="Calibri"/>
          <w:b/>
          <w:bCs/>
          <w:color w:val="000000" w:themeColor="text1"/>
          <w:szCs w:val="21"/>
          <w14:textFill>
            <w14:solidFill>
              <w14:schemeClr w14:val="tx1"/>
            </w14:solidFill>
          </w14:textFill>
        </w:rPr>
        <w:t>2. 落实政府采购政策需满足的资格要求：</w:t>
      </w:r>
      <w:r>
        <w:rPr>
          <w:rFonts w:hint="eastAsia" w:cs="Calibri"/>
          <w:color w:val="000000" w:themeColor="text1"/>
          <w:kern w:val="0"/>
          <w:szCs w:val="21"/>
          <w14:textFill>
            <w14:solidFill>
              <w14:schemeClr w14:val="tx1"/>
            </w14:solidFill>
          </w14:textFill>
        </w:rPr>
        <w:t>供应商为中小企业/小微企业</w:t>
      </w:r>
      <w:r>
        <w:rPr>
          <w:rFonts w:cs="Calibri"/>
          <w:color w:val="000000" w:themeColor="text1"/>
          <w:kern w:val="0"/>
          <w:szCs w:val="21"/>
          <w14:textFill>
            <w14:solidFill>
              <w14:schemeClr w14:val="tx1"/>
            </w14:solidFill>
          </w14:textFill>
        </w:rPr>
        <w:t>；</w:t>
      </w:r>
    </w:p>
    <w:p>
      <w:pPr>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三、获取（下载）采购文件</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时间：采购公告发布之日起至磋商响应文件提交截止时间前；</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地点（网址）：浙江政府采购网（http://zfcg.czt.zj.gov.cn/）；</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color w:val="000000" w:themeColor="text1"/>
          <w:kern w:val="0"/>
          <w:szCs w:val="21"/>
          <w14:textFill>
            <w14:solidFill>
              <w14:schemeClr w14:val="tx1"/>
            </w14:solidFill>
          </w14:textFill>
        </w:rPr>
        <w:t>；</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售价（元）：0。</w:t>
      </w:r>
    </w:p>
    <w:p>
      <w:pPr>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四、响应文件提交（上传）</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截止时间：</w:t>
      </w:r>
      <w:r>
        <w:rPr>
          <w:rFonts w:hint="eastAsia" w:cs="Calibri"/>
          <w:color w:val="000000" w:themeColor="text1"/>
          <w:szCs w:val="21"/>
          <w14:textFill>
            <w14:solidFill>
              <w14:schemeClr w14:val="tx1"/>
            </w14:solidFill>
          </w14:textFill>
        </w:rPr>
        <w:t>2023年</w:t>
      </w:r>
      <w:r>
        <w:rPr>
          <w:rFonts w:hint="eastAsia" w:cs="Calibri"/>
          <w:color w:val="000000" w:themeColor="text1"/>
          <w:szCs w:val="21"/>
          <w:lang w:val="en-US" w:eastAsia="zh-CN"/>
          <w14:textFill>
            <w14:solidFill>
              <w14:schemeClr w14:val="tx1"/>
            </w14:solidFill>
          </w14:textFill>
        </w:rPr>
        <w:t xml:space="preserve">  </w:t>
      </w:r>
      <w:r>
        <w:rPr>
          <w:rFonts w:hint="eastAsia" w:cs="Calibri"/>
          <w:color w:val="000000" w:themeColor="text1"/>
          <w:szCs w:val="21"/>
          <w14:textFill>
            <w14:solidFill>
              <w14:schemeClr w14:val="tx1"/>
            </w14:solidFill>
          </w14:textFill>
        </w:rPr>
        <w:t>月</w:t>
      </w:r>
      <w:r>
        <w:rPr>
          <w:rFonts w:hint="eastAsia" w:cs="Calibri"/>
          <w:color w:val="000000" w:themeColor="text1"/>
          <w:szCs w:val="21"/>
          <w:lang w:val="en-US" w:eastAsia="zh-CN"/>
          <w14:textFill>
            <w14:solidFill>
              <w14:schemeClr w14:val="tx1"/>
            </w14:solidFill>
          </w14:textFill>
        </w:rPr>
        <w:t xml:space="preserve">  </w:t>
      </w:r>
      <w:r>
        <w:rPr>
          <w:rFonts w:hint="eastAsia" w:cs="Calibri"/>
          <w:color w:val="000000" w:themeColor="text1"/>
          <w:szCs w:val="21"/>
          <w14:textFill>
            <w14:solidFill>
              <w14:schemeClr w14:val="tx1"/>
            </w14:solidFill>
          </w14:textFill>
        </w:rPr>
        <w:t>日9</w:t>
      </w:r>
      <w:r>
        <w:rPr>
          <w:rFonts w:cs="Calibri"/>
          <w:color w:val="000000" w:themeColor="text1"/>
          <w:szCs w:val="21"/>
          <w14:textFill>
            <w14:solidFill>
              <w14:schemeClr w14:val="tx1"/>
            </w14:solidFill>
          </w14:textFill>
        </w:rPr>
        <w:t>时</w:t>
      </w:r>
      <w:r>
        <w:rPr>
          <w:rFonts w:hint="eastAsia" w:cs="Calibri"/>
          <w:color w:val="000000" w:themeColor="text1"/>
          <w:szCs w:val="21"/>
          <w14:textFill>
            <w14:solidFill>
              <w14:schemeClr w14:val="tx1"/>
            </w14:solidFill>
          </w14:textFill>
        </w:rPr>
        <w:t>30分</w:t>
      </w:r>
      <w:r>
        <w:rPr>
          <w:rFonts w:cs="Calibri"/>
          <w:color w:val="000000" w:themeColor="text1"/>
          <w:kern w:val="0"/>
          <w:szCs w:val="21"/>
          <w14:textFill>
            <w14:solidFill>
              <w14:schemeClr w14:val="tx1"/>
            </w14:solidFill>
          </w14:textFill>
        </w:rPr>
        <w:t>；</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地点（网址）：</w:t>
      </w:r>
      <w:r>
        <w:rPr>
          <w:rFonts w:cs="Calibri"/>
          <w:color w:val="000000" w:themeColor="text1"/>
          <w:kern w:val="0"/>
          <w:szCs w:val="21"/>
          <w14:textFill>
            <w14:solidFill>
              <w14:schemeClr w14:val="tx1"/>
            </w14:solidFill>
          </w14:textFill>
        </w:rPr>
        <w:t>政府采购云平台（https://www.zcygov.cn）；</w:t>
      </w:r>
    </w:p>
    <w:p>
      <w:pPr>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五、开启</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时间：</w:t>
      </w:r>
      <w:r>
        <w:rPr>
          <w:rFonts w:hint="eastAsia" w:cs="Calibri"/>
          <w:color w:val="000000" w:themeColor="text1"/>
          <w:szCs w:val="21"/>
          <w14:textFill>
            <w14:solidFill>
              <w14:schemeClr w14:val="tx1"/>
            </w14:solidFill>
          </w14:textFill>
        </w:rPr>
        <w:t>2023年</w:t>
      </w:r>
      <w:r>
        <w:rPr>
          <w:rFonts w:hint="eastAsia" w:cs="Calibri"/>
          <w:color w:val="000000" w:themeColor="text1"/>
          <w:szCs w:val="21"/>
          <w:lang w:val="en-US" w:eastAsia="zh-CN"/>
          <w14:textFill>
            <w14:solidFill>
              <w14:schemeClr w14:val="tx1"/>
            </w14:solidFill>
          </w14:textFill>
        </w:rPr>
        <w:t xml:space="preserve">  </w:t>
      </w:r>
      <w:r>
        <w:rPr>
          <w:rFonts w:hint="eastAsia" w:cs="Calibri"/>
          <w:color w:val="000000" w:themeColor="text1"/>
          <w:szCs w:val="21"/>
          <w14:textFill>
            <w14:solidFill>
              <w14:schemeClr w14:val="tx1"/>
            </w14:solidFill>
          </w14:textFill>
        </w:rPr>
        <w:t>月</w:t>
      </w:r>
      <w:r>
        <w:rPr>
          <w:rFonts w:hint="eastAsia" w:cs="Calibri"/>
          <w:color w:val="000000" w:themeColor="text1"/>
          <w:szCs w:val="21"/>
          <w:lang w:val="en-US" w:eastAsia="zh-CN"/>
          <w14:textFill>
            <w14:solidFill>
              <w14:schemeClr w14:val="tx1"/>
            </w14:solidFill>
          </w14:textFill>
        </w:rPr>
        <w:t xml:space="preserve">  </w:t>
      </w:r>
      <w:r>
        <w:rPr>
          <w:rFonts w:hint="eastAsia" w:cs="Calibri"/>
          <w:color w:val="000000" w:themeColor="text1"/>
          <w:szCs w:val="21"/>
          <w14:textFill>
            <w14:solidFill>
              <w14:schemeClr w14:val="tx1"/>
            </w14:solidFill>
          </w14:textFill>
        </w:rPr>
        <w:t>日9</w:t>
      </w:r>
      <w:r>
        <w:rPr>
          <w:rFonts w:cs="Calibri"/>
          <w:color w:val="000000" w:themeColor="text1"/>
          <w:szCs w:val="21"/>
          <w14:textFill>
            <w14:solidFill>
              <w14:schemeClr w14:val="tx1"/>
            </w14:solidFill>
          </w14:textFill>
        </w:rPr>
        <w:t>时</w:t>
      </w:r>
      <w:r>
        <w:rPr>
          <w:rFonts w:hint="eastAsia" w:cs="Calibri"/>
          <w:color w:val="000000" w:themeColor="text1"/>
          <w:szCs w:val="21"/>
          <w14:textFill>
            <w14:solidFill>
              <w14:schemeClr w14:val="tx1"/>
            </w14:solidFill>
          </w14:textFill>
        </w:rPr>
        <w:t>30分</w:t>
      </w:r>
      <w:r>
        <w:rPr>
          <w:rFonts w:cs="Calibri"/>
          <w:color w:val="000000" w:themeColor="text1"/>
          <w:kern w:val="0"/>
          <w:szCs w:val="21"/>
          <w14:textFill>
            <w14:solidFill>
              <w14:schemeClr w14:val="tx1"/>
            </w14:solidFill>
          </w14:textFill>
        </w:rPr>
        <w:t>；</w:t>
      </w:r>
    </w:p>
    <w:p>
      <w:pPr>
        <w:ind w:firstLine="420" w:firstLineChars="200"/>
        <w:rPr>
          <w:rFonts w:cs="Calibri"/>
          <w:color w:val="000000" w:themeColor="text1"/>
          <w:kern w:val="0"/>
          <w:szCs w:val="21"/>
          <w14:textFill>
            <w14:solidFill>
              <w14:schemeClr w14:val="tx1"/>
            </w14:solidFill>
          </w14:textFill>
        </w:rPr>
      </w:pPr>
      <w:r>
        <w:rPr>
          <w:rFonts w:cs="Calibri"/>
          <w:color w:val="000000" w:themeColor="text1"/>
          <w:szCs w:val="21"/>
          <w14:textFill>
            <w14:solidFill>
              <w14:schemeClr w14:val="tx1"/>
            </w14:solidFill>
          </w14:textFill>
        </w:rPr>
        <w:t>地点（网址）：</w:t>
      </w:r>
      <w:r>
        <w:rPr>
          <w:rFonts w:cs="Calibri"/>
          <w:color w:val="000000" w:themeColor="text1"/>
          <w:kern w:val="0"/>
          <w:szCs w:val="21"/>
          <w14:textFill>
            <w14:solidFill>
              <w14:schemeClr w14:val="tx1"/>
            </w14:solidFill>
          </w14:textFill>
        </w:rPr>
        <w:t>在政府采购云平台（https://www.zcygov.cn）上开启磋商响应文件；</w:t>
      </w:r>
    </w:p>
    <w:p>
      <w:pPr>
        <w:ind w:firstLine="422" w:firstLineChars="200"/>
        <w:rPr>
          <w:rFonts w:cs="Calibri"/>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六、公告期限</w:t>
      </w:r>
      <w:r>
        <w:rPr>
          <w:rFonts w:hint="eastAsia" w:cs="Calibri"/>
          <w:b/>
          <w:bCs/>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自本公告发布之日起3个工作日。</w:t>
      </w:r>
    </w:p>
    <w:p>
      <w:pPr>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七、其他补充事宜</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ind w:firstLine="420" w:firstLineChars="200"/>
        <w:rPr>
          <w:rFonts w:cs="Calibri"/>
          <w:b/>
          <w:bCs/>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3.</w:t>
      </w:r>
      <w:r>
        <w:rPr>
          <w:rFonts w:cs="Calibri"/>
          <w:color w:val="000000" w:themeColor="text1"/>
          <w14:textFill>
            <w14:solidFill>
              <w14:schemeClr w14:val="tx1"/>
            </w14:solidFill>
          </w14:textFill>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4.其他事项：</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kern w:val="0"/>
          <w:szCs w:val="21"/>
          <w14:textFill>
            <w14:solidFill>
              <w14:schemeClr w14:val="tx1"/>
            </w14:solidFill>
          </w14:textFill>
        </w:rPr>
        <w:t>4.1未按竞争性磋商采购公告规定获取采购文件的潜在供应商不得对采购文件提出质疑，其响应文件将被拒绝；</w:t>
      </w:r>
      <w:r>
        <w:rPr>
          <w:rFonts w:cs="Calibri"/>
          <w:color w:val="000000" w:themeColor="text1"/>
          <w:szCs w:val="21"/>
          <w14:textFill>
            <w14:solidFill>
              <w14:schemeClr w14:val="tx1"/>
            </w14:solidFill>
          </w14:textFill>
        </w:rPr>
        <w:t>通过本公告下方“游客，浏览采购文件”下载的采购文件仅供浏览，不视作依法获取采购文件。</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w:t>
      </w: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在线投标响应（电子投标）说明：</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（1）本项目采用政府采购电子化交易；</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（2）供应商应在提交磋商响应文件前完成CA数字证书办理。（办理流程详见http://zfcg.czt.zj.gov.cn/bidClientTemplate/2019-05-27/12945.html）；</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（3）供应商应安装“政采云投标客户端”，电子投标工具请供应商自行前往浙江政府采购网下载并安装，（下载网址：http://zfcg.czt.zj.gov.cn/bidClientTemplate/2019-09-24/12975.html）；</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（4）电子交易具体流程详见操作指南：登录政府采购云平台（https://www.zcygov.cn/），从首页-服务中心-帮助文档-项目采购-电子招投标，查看文档和视频；</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（5）如有疑问，可致电政府采购云平台技术支持热线咨询，联系方式：400-881-7190。</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w:t>
      </w:r>
      <w:r>
        <w:rPr>
          <w:rFonts w:hint="eastAsia" w:cs="Calibri"/>
          <w:color w:val="000000" w:themeColor="text1"/>
          <w:kern w:val="0"/>
          <w:szCs w:val="21"/>
          <w14:textFill>
            <w14:solidFill>
              <w14:schemeClr w14:val="tx1"/>
            </w14:solidFill>
          </w14:textFill>
        </w:rPr>
        <w:t>3</w:t>
      </w:r>
      <w:r>
        <w:rPr>
          <w:rFonts w:cs="Calibri"/>
          <w:color w:val="000000" w:themeColor="text1"/>
          <w:kern w:val="0"/>
          <w:szCs w:val="21"/>
          <w14:textFill>
            <w14:solidFill>
              <w14:schemeClr w14:val="tx1"/>
            </w14:solidFill>
          </w14:textFill>
        </w:rPr>
        <w:t>开标时间后30分钟内，</w:t>
      </w:r>
      <w:r>
        <w:rPr>
          <w:rFonts w:cs="Calibri"/>
          <w:color w:val="000000" w:themeColor="text1"/>
          <w:szCs w:val="21"/>
          <w14:textFill>
            <w14:solidFill>
              <w14:schemeClr w14:val="tx1"/>
            </w14:solidFill>
          </w14:textFill>
        </w:rPr>
        <w:t>供应商</w:t>
      </w:r>
      <w:r>
        <w:rPr>
          <w:rFonts w:cs="Calibri"/>
          <w:color w:val="000000" w:themeColor="text1"/>
          <w:kern w:val="0"/>
          <w:szCs w:val="21"/>
          <w14:textFill>
            <w14:solidFill>
              <w14:schemeClr w14:val="tx1"/>
            </w14:solidFill>
          </w14:textFill>
        </w:rPr>
        <w:t>须登录政府采购云平台，用“项目采购-开标评标”功能解密磋商响应文件（线上）。</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pPr>
        <w:widowControl/>
        <w:adjustRightInd w:val="0"/>
        <w:ind w:firstLine="420" w:firstLineChars="200"/>
        <w:jc w:val="left"/>
        <w:rPr>
          <w:rFonts w:hint="eastAsia" w:eastAsia="宋体" w:cs="Calibri"/>
          <w:color w:val="000000" w:themeColor="text1"/>
          <w:szCs w:val="21"/>
          <w:lang w:eastAsia="zh-CN"/>
          <w14:textFill>
            <w14:solidFill>
              <w14:schemeClr w14:val="tx1"/>
            </w14:solidFill>
          </w14:textFill>
        </w:rPr>
      </w:pPr>
      <w:r>
        <w:rPr>
          <w:rFonts w:hint="eastAsia" w:cs="Calibri"/>
          <w:color w:val="000000" w:themeColor="text1"/>
          <w:szCs w:val="21"/>
          <w14:textFill>
            <w14:solidFill>
              <w14:schemeClr w14:val="tx1"/>
            </w14:solidFill>
          </w14:textFill>
        </w:rPr>
        <w:t>4.5中标（成交）供应商融资途径信息</w:t>
      </w:r>
    </w:p>
    <w:p>
      <w:pPr>
        <w:widowControl/>
        <w:adjustRightInd w:val="0"/>
        <w:ind w:firstLine="420" w:firstLineChars="200"/>
        <w:jc w:val="left"/>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ind w:firstLine="422" w:firstLineChars="200"/>
        <w:rPr>
          <w:rFonts w:cs="Calibri"/>
          <w:b/>
          <w:bCs/>
          <w:color w:val="000000" w:themeColor="text1"/>
          <w:szCs w:val="21"/>
          <w14:textFill>
            <w14:solidFill>
              <w14:schemeClr w14:val="tx1"/>
            </w14:solidFill>
          </w14:textFill>
        </w:rPr>
      </w:pPr>
      <w:bookmarkStart w:id="12" w:name="_Toc35393636"/>
      <w:bookmarkStart w:id="13" w:name="_Toc28359018"/>
      <w:bookmarkStart w:id="14" w:name="_Toc28359095"/>
      <w:bookmarkStart w:id="15" w:name="_Toc35393805"/>
      <w:r>
        <w:rPr>
          <w:rFonts w:cs="Calibri"/>
          <w:b/>
          <w:bCs/>
          <w:color w:val="000000" w:themeColor="text1"/>
          <w:szCs w:val="21"/>
          <w14:textFill>
            <w14:solidFill>
              <w14:schemeClr w14:val="tx1"/>
            </w14:solidFill>
          </w14:textFill>
        </w:rPr>
        <w:t>八、</w:t>
      </w:r>
      <w:bookmarkEnd w:id="12"/>
      <w:bookmarkEnd w:id="13"/>
      <w:bookmarkEnd w:id="14"/>
      <w:bookmarkEnd w:id="15"/>
      <w:r>
        <w:rPr>
          <w:rFonts w:cs="Calibri"/>
          <w:b/>
          <w:bCs/>
          <w:color w:val="000000" w:themeColor="text1"/>
          <w:szCs w:val="21"/>
          <w14:textFill>
            <w14:solidFill>
              <w14:schemeClr w14:val="tx1"/>
            </w14:solidFill>
          </w14:textFill>
        </w:rPr>
        <w:t>对本次采购提出询问、质疑、投诉，请按以下方式联系。</w:t>
      </w:r>
    </w:p>
    <w:p>
      <w:pPr>
        <w:widowControl/>
        <w:ind w:firstLine="420" w:firstLineChars="200"/>
        <w:rPr>
          <w:rFonts w:cs="Calibri"/>
          <w:color w:val="000000" w:themeColor="text1"/>
          <w:szCs w:val="21"/>
          <w14:textFill>
            <w14:solidFill>
              <w14:schemeClr w14:val="tx1"/>
            </w14:solidFill>
          </w14:textFill>
        </w:rPr>
      </w:pPr>
      <w:bookmarkStart w:id="16" w:name="_Toc28359019"/>
      <w:bookmarkStart w:id="17" w:name="_Toc28359096"/>
      <w:bookmarkStart w:id="18" w:name="_Toc35393637"/>
      <w:bookmarkStart w:id="19" w:name="_Toc35393806"/>
      <w:r>
        <w:rPr>
          <w:rFonts w:cs="Calibri"/>
          <w:color w:val="000000" w:themeColor="text1"/>
          <w:szCs w:val="21"/>
          <w14:textFill>
            <w14:solidFill>
              <w14:schemeClr w14:val="tx1"/>
            </w14:solidFill>
          </w14:textFill>
        </w:rPr>
        <w:t>1.采购人信息</w:t>
      </w:r>
    </w:p>
    <w:p>
      <w:pPr>
        <w:widowControl/>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名    称：</w:t>
      </w:r>
      <w:r>
        <w:rPr>
          <w:rFonts w:hint="eastAsia" w:cs="Calibri"/>
          <w:color w:val="000000" w:themeColor="text1"/>
          <w:szCs w:val="21"/>
          <w:lang w:eastAsia="zh-CN"/>
          <w14:textFill>
            <w14:solidFill>
              <w14:schemeClr w14:val="tx1"/>
            </w14:solidFill>
          </w14:textFill>
        </w:rPr>
        <w:t>湖州市人民政府康山街道办事处</w:t>
      </w:r>
      <w:r>
        <w:rPr>
          <w:rFonts w:cs="Calibri"/>
          <w:color w:val="000000" w:themeColor="text1"/>
          <w:szCs w:val="21"/>
          <w14:textFill>
            <w14:solidFill>
              <w14:schemeClr w14:val="tx1"/>
            </w14:solidFill>
          </w14:textFill>
        </w:rPr>
        <w:t> </w:t>
      </w:r>
    </w:p>
    <w:p>
      <w:pPr>
        <w:widowControl/>
        <w:ind w:firstLine="420" w:firstLineChars="200"/>
        <w:rPr>
          <w:rFonts w:hint="eastAsia"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    址：</w:t>
      </w:r>
      <w:r>
        <w:rPr>
          <w:rFonts w:hint="eastAsia" w:cs="Calibri"/>
          <w:color w:val="000000" w:themeColor="text1"/>
          <w:szCs w:val="21"/>
          <w:lang w:eastAsia="zh-CN"/>
          <w14:textFill>
            <w14:solidFill>
              <w14:schemeClr w14:val="tx1"/>
            </w14:solidFill>
          </w14:textFill>
        </w:rPr>
        <w:t>湖州市吴兴区康山街道七里亭路199号</w:t>
      </w:r>
    </w:p>
    <w:p>
      <w:pPr>
        <w:widowControl/>
        <w:ind w:firstLine="420" w:firstLineChars="200"/>
        <w:rPr>
          <w:rFonts w:cs="Calibri"/>
          <w:color w:val="4F81BD" w:themeColor="accent1"/>
          <w:szCs w:val="21"/>
          <w14:textFill>
            <w14:solidFill>
              <w14:schemeClr w14:val="accent1"/>
            </w14:solidFill>
          </w14:textFill>
        </w:rPr>
      </w:pPr>
      <w:r>
        <w:rPr>
          <w:rFonts w:cs="Calibri"/>
          <w:color w:val="000000" w:themeColor="text1"/>
          <w:szCs w:val="21"/>
          <w14:textFill>
            <w14:solidFill>
              <w14:schemeClr w14:val="tx1"/>
            </w14:solidFill>
          </w14:textFill>
        </w:rPr>
        <w:t>项目联系人（询问）：</w:t>
      </w:r>
      <w:r>
        <w:rPr>
          <w:rFonts w:hint="eastAsia" w:cs="Calibri"/>
          <w:color w:val="4F81BD" w:themeColor="accent1"/>
          <w:szCs w:val="21"/>
          <w:lang w:val="en-US" w:eastAsia="zh-CN"/>
          <w14:textFill>
            <w14:solidFill>
              <w14:schemeClr w14:val="accent1"/>
            </w14:solidFill>
          </w14:textFill>
        </w:rPr>
        <w:t xml:space="preserve">潘惠凯 </w:t>
      </w:r>
    </w:p>
    <w:p>
      <w:pPr>
        <w:widowControl/>
        <w:ind w:firstLine="420" w:firstLineChars="200"/>
        <w:rPr>
          <w:rFonts w:hint="eastAsia" w:cs="Calibri"/>
          <w:color w:val="4F81BD" w:themeColor="accent1"/>
          <w:szCs w:val="21"/>
          <w:lang w:val="en-US" w:eastAsia="zh-CN"/>
          <w14:textFill>
            <w14:solidFill>
              <w14:schemeClr w14:val="accent1"/>
            </w14:solidFill>
          </w14:textFill>
        </w:rPr>
      </w:pPr>
      <w:r>
        <w:rPr>
          <w:rFonts w:cs="Calibri"/>
          <w:color w:val="4F81BD" w:themeColor="accent1"/>
          <w:szCs w:val="21"/>
          <w14:textFill>
            <w14:solidFill>
              <w14:schemeClr w14:val="accent1"/>
            </w14:solidFill>
          </w14:textFill>
        </w:rPr>
        <w:t>项目联系方式（询问）：</w:t>
      </w:r>
      <w:r>
        <w:rPr>
          <w:rFonts w:hint="eastAsia" w:cs="Calibri"/>
          <w:color w:val="4F81BD" w:themeColor="accent1"/>
          <w:szCs w:val="21"/>
          <w:lang w:val="en-US" w:eastAsia="zh-CN"/>
          <w14:textFill>
            <w14:solidFill>
              <w14:schemeClr w14:val="accent1"/>
            </w14:solidFill>
          </w14:textFill>
        </w:rPr>
        <w:t xml:space="preserve">0572-2971911 </w:t>
      </w:r>
    </w:p>
    <w:p>
      <w:pPr>
        <w:widowControl/>
        <w:ind w:firstLine="420" w:firstLineChars="200"/>
        <w:rPr>
          <w:rFonts w:hint="default" w:eastAsia="宋体" w:cs="Calibri"/>
          <w:color w:val="4F81BD" w:themeColor="accent1"/>
          <w:szCs w:val="21"/>
          <w:lang w:val="en-US" w:eastAsia="zh-CN"/>
          <w14:textFill>
            <w14:solidFill>
              <w14:schemeClr w14:val="accent1"/>
            </w14:solidFill>
          </w14:textFill>
        </w:rPr>
      </w:pPr>
      <w:r>
        <w:rPr>
          <w:rFonts w:cs="Calibri"/>
          <w:color w:val="4F81BD" w:themeColor="accent1"/>
          <w:szCs w:val="21"/>
          <w14:textFill>
            <w14:solidFill>
              <w14:schemeClr w14:val="accent1"/>
            </w14:solidFill>
          </w14:textFill>
        </w:rPr>
        <w:t>质疑联系人：</w:t>
      </w:r>
      <w:r>
        <w:rPr>
          <w:rFonts w:hint="eastAsia" w:cs="Calibri"/>
          <w:color w:val="4F81BD" w:themeColor="accent1"/>
          <w:szCs w:val="21"/>
          <w:lang w:val="en-US" w:eastAsia="zh-CN"/>
          <w14:textFill>
            <w14:solidFill>
              <w14:schemeClr w14:val="accent1"/>
            </w14:solidFill>
          </w14:textFill>
        </w:rPr>
        <w:t xml:space="preserve"> 潘惠凯</w:t>
      </w:r>
    </w:p>
    <w:p>
      <w:pPr>
        <w:widowControl/>
        <w:ind w:firstLine="420" w:firstLineChars="200"/>
        <w:rPr>
          <w:rFonts w:cs="Calibri"/>
          <w:color w:val="4F81BD" w:themeColor="accent1"/>
          <w:szCs w:val="21"/>
          <w14:textFill>
            <w14:solidFill>
              <w14:schemeClr w14:val="accent1"/>
            </w14:solidFill>
          </w14:textFill>
        </w:rPr>
      </w:pPr>
      <w:r>
        <w:rPr>
          <w:rFonts w:cs="Calibri"/>
          <w:color w:val="4F81BD" w:themeColor="accent1"/>
          <w:szCs w:val="21"/>
          <w14:textFill>
            <w14:solidFill>
              <w14:schemeClr w14:val="accent1"/>
            </w14:solidFill>
          </w14:textFill>
        </w:rPr>
        <w:t>质疑联系方式：</w:t>
      </w:r>
      <w:r>
        <w:rPr>
          <w:rFonts w:hint="eastAsia" w:cs="Calibri"/>
          <w:color w:val="4F81BD" w:themeColor="accent1"/>
          <w:szCs w:val="21"/>
          <w:lang w:val="en-US" w:eastAsia="zh-CN"/>
          <w14:textFill>
            <w14:solidFill>
              <w14:schemeClr w14:val="accent1"/>
            </w14:solidFill>
          </w14:textFill>
        </w:rPr>
        <w:t xml:space="preserve">0572-2971911 </w:t>
      </w:r>
      <w:r>
        <w:rPr>
          <w:rFonts w:cs="Calibri"/>
          <w:color w:val="4F81BD" w:themeColor="accent1"/>
          <w:szCs w:val="21"/>
          <w14:textFill>
            <w14:solidFill>
              <w14:schemeClr w14:val="accent1"/>
            </w14:solidFill>
          </w14:textFill>
        </w:rPr>
        <w:t> </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szCs w:val="21"/>
          <w14:textFill>
            <w14:solidFill>
              <w14:schemeClr w14:val="tx1"/>
            </w14:solidFill>
          </w14:textFill>
        </w:rPr>
        <w:t>2.采购代理机构信息</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名称：浙江省成套招标代理有限公司</w:t>
      </w:r>
    </w:p>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地址：浙江省湖州市凤凰路137号国际贸易大厦9楼</w:t>
      </w:r>
    </w:p>
    <w:p>
      <w:pPr>
        <w:widowControl/>
        <w:ind w:firstLine="420" w:firstLineChars="200"/>
        <w:rPr>
          <w:rFonts w:hint="eastAsia" w:eastAsia="宋体" w:cs="Calibri"/>
          <w:color w:val="000000" w:themeColor="text1"/>
          <w:kern w:val="0"/>
          <w:szCs w:val="21"/>
          <w:lang w:eastAsia="zh-CN"/>
          <w14:textFill>
            <w14:solidFill>
              <w14:schemeClr w14:val="tx1"/>
            </w14:solidFill>
          </w14:textFill>
        </w:rPr>
      </w:pPr>
      <w:r>
        <w:rPr>
          <w:rFonts w:hint="eastAsia" w:cs="Calibri"/>
          <w:color w:val="000000" w:themeColor="text1"/>
          <w:kern w:val="0"/>
          <w:szCs w:val="21"/>
          <w14:textFill>
            <w14:solidFill>
              <w14:schemeClr w14:val="tx1"/>
            </w14:solidFill>
          </w14:textFill>
        </w:rPr>
        <w:t>项目联系人</w:t>
      </w:r>
      <w:r>
        <w:rPr>
          <w:rFonts w:cs="Calibri"/>
          <w:color w:val="000000" w:themeColor="text1"/>
          <w:kern w:val="0"/>
          <w:szCs w:val="21"/>
          <w14:textFill>
            <w14:solidFill>
              <w14:schemeClr w14:val="tx1"/>
            </w14:solidFill>
          </w14:textFill>
        </w:rPr>
        <w:t>（询问）</w:t>
      </w:r>
      <w:r>
        <w:rPr>
          <w:rFonts w:hint="eastAsia" w:cs="Calibri"/>
          <w:color w:val="000000" w:themeColor="text1"/>
          <w:kern w:val="0"/>
          <w:szCs w:val="21"/>
          <w14:textFill>
            <w14:solidFill>
              <w14:schemeClr w14:val="tx1"/>
            </w14:solidFill>
          </w14:textFill>
        </w:rPr>
        <w:t>：小</w:t>
      </w:r>
      <w:r>
        <w:rPr>
          <w:rFonts w:hint="eastAsia" w:cs="Calibri"/>
          <w:color w:val="000000" w:themeColor="text1"/>
          <w:kern w:val="0"/>
          <w:szCs w:val="21"/>
          <w:lang w:val="en-US" w:eastAsia="zh-CN"/>
          <w14:textFill>
            <w14:solidFill>
              <w14:schemeClr w14:val="tx1"/>
            </w14:solidFill>
          </w14:textFill>
        </w:rPr>
        <w:t>顾</w:t>
      </w:r>
    </w:p>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联系电话</w:t>
      </w:r>
      <w:r>
        <w:rPr>
          <w:rFonts w:cs="Calibri"/>
          <w:color w:val="000000" w:themeColor="text1"/>
          <w:kern w:val="0"/>
          <w:szCs w:val="21"/>
          <w14:textFill>
            <w14:solidFill>
              <w14:schemeClr w14:val="tx1"/>
            </w14:solidFill>
          </w14:textFill>
        </w:rPr>
        <w:t>（询问）</w:t>
      </w:r>
      <w:r>
        <w:rPr>
          <w:rFonts w:hint="eastAsia" w:cs="Calibri"/>
          <w:color w:val="000000" w:themeColor="text1"/>
          <w:kern w:val="0"/>
          <w:szCs w:val="21"/>
          <w14:textFill>
            <w14:solidFill>
              <w14:schemeClr w14:val="tx1"/>
            </w14:solidFill>
          </w14:textFill>
        </w:rPr>
        <w:t>：0572-2275857</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质疑联系</w:t>
      </w:r>
      <w:r>
        <w:rPr>
          <w:rFonts w:hint="eastAsia" w:cs="Calibri"/>
          <w:color w:val="000000" w:themeColor="text1"/>
          <w:kern w:val="0"/>
          <w:szCs w:val="21"/>
          <w14:textFill>
            <w14:solidFill>
              <w14:schemeClr w14:val="tx1"/>
            </w14:solidFill>
          </w14:textFill>
        </w:rPr>
        <w:t>人：小吴</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联系电话</w:t>
      </w:r>
      <w:r>
        <w:rPr>
          <w:rFonts w:hint="eastAsia" w:cs="Calibri"/>
          <w:color w:val="000000" w:themeColor="text1"/>
          <w:kern w:val="0"/>
          <w:szCs w:val="21"/>
          <w14:textFill>
            <w14:solidFill>
              <w14:schemeClr w14:val="tx1"/>
            </w14:solidFill>
          </w14:textFill>
        </w:rPr>
        <w:t>：0572-2275855</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3.同级政府采购监督管理部门</w:t>
      </w:r>
    </w:p>
    <w:bookmarkEnd w:id="16"/>
    <w:bookmarkEnd w:id="17"/>
    <w:bookmarkEnd w:id="18"/>
    <w:bookmarkEnd w:id="19"/>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名    称：湖州市财政局</w:t>
      </w:r>
    </w:p>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地　　址：湖州市龙王山路518号</w:t>
      </w:r>
    </w:p>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联系人：李女士</w:t>
      </w:r>
    </w:p>
    <w:p>
      <w:pPr>
        <w:widowControl/>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监督投诉电话：0572-2150086</w:t>
      </w:r>
    </w:p>
    <w:p>
      <w:pPr>
        <w:widowControl/>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br w:type="page"/>
      </w:r>
    </w:p>
    <w:p>
      <w:pPr>
        <w:pStyle w:val="5"/>
        <w:rPr>
          <w:rFonts w:cs="Calibri"/>
          <w:color w:val="000000" w:themeColor="text1"/>
          <w14:textFill>
            <w14:solidFill>
              <w14:schemeClr w14:val="tx1"/>
            </w14:solidFill>
          </w14:textFill>
        </w:rPr>
      </w:pPr>
      <w:bookmarkStart w:id="20" w:name="_Toc8477"/>
      <w:bookmarkStart w:id="21" w:name="_Toc413075737"/>
      <w:bookmarkStart w:id="22" w:name="_Toc30953"/>
    </w:p>
    <w:p>
      <w:pPr>
        <w:pStyle w:val="5"/>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第二章  采购项目总体要求</w:t>
      </w:r>
      <w:bookmarkEnd w:id="20"/>
      <w:bookmarkEnd w:id="21"/>
      <w:bookmarkEnd w:id="22"/>
    </w:p>
    <w:p>
      <w:pPr>
        <w:pStyle w:val="7"/>
        <w:ind w:firstLine="422"/>
        <w:rPr>
          <w:rFonts w:cs="Calibri"/>
          <w:color w:val="000000" w:themeColor="text1"/>
          <w14:textFill>
            <w14:solidFill>
              <w14:schemeClr w14:val="tx1"/>
            </w14:solidFill>
          </w14:textFill>
        </w:rPr>
      </w:pPr>
      <w:bookmarkStart w:id="23" w:name="_Toc413075738"/>
      <w:bookmarkStart w:id="24" w:name="_Toc335039016"/>
      <w:bookmarkStart w:id="25" w:name="_Toc82873320"/>
      <w:bookmarkStart w:id="26" w:name="_Toc82338237"/>
      <w:bookmarkStart w:id="27" w:name="_Toc82338235"/>
      <w:bookmarkStart w:id="28" w:name="_Toc82873318"/>
    </w:p>
    <w:p>
      <w:pPr>
        <w:pStyle w:val="7"/>
        <w:pageBreakBefore w:val="0"/>
        <w:widowControl w:val="0"/>
        <w:kinsoku/>
        <w:wordWrap/>
        <w:overflowPunct/>
        <w:topLinePunct w:val="0"/>
        <w:autoSpaceDE/>
        <w:autoSpaceDN/>
        <w:bidi w:val="0"/>
        <w:snapToGrid w:val="0"/>
        <w:spacing w:line="360" w:lineRule="auto"/>
        <w:ind w:firstLine="422"/>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一、技术标准、规范（不限于以下）</w:t>
      </w:r>
      <w:bookmarkEnd w:id="23"/>
      <w:bookmarkEnd w:id="24"/>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1、国家规定的标准及规范，按最新的标准及规范执行。</w:t>
      </w:r>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2、行业标准及规范，按最新的标准及规范执行。</w:t>
      </w:r>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3、与服务有关的材料设备质量应符合中华人民共和国及产品品牌所在国的有关质量标准，上述标准如有不一致，执行两者中更严格的标准。</w:t>
      </w:r>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4、其它相关标准及规范，按最新的标准及规范执行。</w:t>
      </w:r>
    </w:p>
    <w:bookmarkEnd w:id="25"/>
    <w:bookmarkEnd w:id="26"/>
    <w:bookmarkEnd w:id="27"/>
    <w:bookmarkEnd w:id="28"/>
    <w:p>
      <w:pPr>
        <w:pStyle w:val="7"/>
        <w:pageBreakBefore w:val="0"/>
        <w:widowControl w:val="0"/>
        <w:kinsoku/>
        <w:wordWrap/>
        <w:overflowPunct/>
        <w:topLinePunct w:val="0"/>
        <w:autoSpaceDE/>
        <w:autoSpaceDN/>
        <w:bidi w:val="0"/>
        <w:snapToGrid w:val="0"/>
        <w:spacing w:line="360" w:lineRule="auto"/>
        <w:ind w:firstLine="422"/>
        <w:textAlignment w:val="auto"/>
        <w:rPr>
          <w:rFonts w:cs="Calibri"/>
          <w:color w:val="000000" w:themeColor="text1"/>
          <w14:textFill>
            <w14:solidFill>
              <w14:schemeClr w14:val="tx1"/>
            </w14:solidFill>
          </w14:textFill>
        </w:rPr>
      </w:pPr>
      <w:bookmarkStart w:id="29" w:name="_Toc413075739"/>
      <w:bookmarkStart w:id="30" w:name="_Toc328992072"/>
      <w:bookmarkStart w:id="31" w:name="_Toc335039018"/>
      <w:bookmarkStart w:id="32" w:name="_Toc329113953"/>
      <w:r>
        <w:rPr>
          <w:rFonts w:cs="Calibri"/>
          <w:color w:val="000000" w:themeColor="text1"/>
          <w14:textFill>
            <w14:solidFill>
              <w14:schemeClr w14:val="tx1"/>
            </w14:solidFill>
          </w14:textFill>
        </w:rPr>
        <w:t>二、</w:t>
      </w:r>
      <w:bookmarkEnd w:id="29"/>
      <w:bookmarkEnd w:id="30"/>
      <w:bookmarkEnd w:id="31"/>
      <w:bookmarkEnd w:id="32"/>
      <w:r>
        <w:rPr>
          <w:rFonts w:cs="Calibri"/>
          <w:color w:val="000000" w:themeColor="text1"/>
          <w14:textFill>
            <w14:solidFill>
              <w14:schemeClr w14:val="tx1"/>
            </w14:solidFill>
          </w14:textFill>
        </w:rPr>
        <w:t>采购需求</w:t>
      </w:r>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具体要求详见采购文件的“第三章 采购需求”。</w:t>
      </w:r>
    </w:p>
    <w:p>
      <w:pPr>
        <w:pStyle w:val="7"/>
        <w:pageBreakBefore w:val="0"/>
        <w:widowControl w:val="0"/>
        <w:kinsoku/>
        <w:wordWrap/>
        <w:overflowPunct/>
        <w:topLinePunct w:val="0"/>
        <w:autoSpaceDE/>
        <w:autoSpaceDN/>
        <w:bidi w:val="0"/>
        <w:snapToGrid w:val="0"/>
        <w:spacing w:line="360" w:lineRule="auto"/>
        <w:ind w:firstLine="422"/>
        <w:textAlignment w:val="auto"/>
        <w:rPr>
          <w:rFonts w:cs="Calibri"/>
          <w:color w:val="000000" w:themeColor="text1"/>
          <w14:textFill>
            <w14:solidFill>
              <w14:schemeClr w14:val="tx1"/>
            </w14:solidFill>
          </w14:textFill>
        </w:rPr>
      </w:pPr>
      <w:bookmarkStart w:id="33" w:name="_Toc413075740"/>
      <w:bookmarkStart w:id="34" w:name="_Toc329113954"/>
      <w:bookmarkStart w:id="35" w:name="_Toc328992073"/>
      <w:bookmarkStart w:id="36" w:name="_Toc335039019"/>
      <w:r>
        <w:rPr>
          <w:rFonts w:cs="Calibri"/>
          <w:color w:val="000000" w:themeColor="text1"/>
          <w14:textFill>
            <w14:solidFill>
              <w14:schemeClr w14:val="tx1"/>
            </w14:solidFill>
          </w14:textFill>
        </w:rPr>
        <w:t>三、工作范围</w:t>
      </w:r>
      <w:bookmarkEnd w:id="33"/>
      <w:bookmarkEnd w:id="34"/>
      <w:bookmarkEnd w:id="35"/>
      <w:bookmarkEnd w:id="36"/>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各供应商须按国家有关标准及规范完成采购文件规定的所有工作内容：</w:t>
      </w:r>
    </w:p>
    <w:p>
      <w:pPr>
        <w:pageBreakBefore w:val="0"/>
        <w:widowControl w:val="0"/>
        <w:kinsoku/>
        <w:wordWrap/>
        <w:overflowPunct/>
        <w:topLinePunct w:val="0"/>
        <w:autoSpaceDE/>
        <w:autoSpaceDN/>
        <w:bidi w:val="0"/>
        <w:snapToGrid w:val="0"/>
        <w:spacing w:line="360" w:lineRule="auto"/>
        <w:ind w:firstLine="420" w:firstLineChars="200"/>
        <w:textAlignment w:val="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1、履行所有规定服务。</w:t>
      </w:r>
    </w:p>
    <w:p>
      <w:pPr>
        <w:pageBreakBefore w:val="0"/>
        <w:widowControl w:val="0"/>
        <w:kinsoku/>
        <w:wordWrap/>
        <w:overflowPunct/>
        <w:topLinePunct w:val="0"/>
        <w:autoSpaceDE/>
        <w:autoSpaceDN/>
        <w:bidi w:val="0"/>
        <w:snapToGrid w:val="0"/>
        <w:spacing w:line="360" w:lineRule="auto"/>
        <w:ind w:firstLine="420" w:firstLineChars="200"/>
        <w:jc w:val="both"/>
        <w:textAlignment w:val="auto"/>
        <w:rPr>
          <w:rFonts w:cs="Calibri"/>
          <w:b/>
          <w:bCs/>
          <w:color w:val="000000" w:themeColor="text1"/>
          <w:sz w:val="22"/>
          <w:szCs w:val="32"/>
          <w14:textFill>
            <w14:solidFill>
              <w14:schemeClr w14:val="tx1"/>
            </w14:solidFill>
          </w14:textFill>
        </w:rPr>
      </w:pPr>
      <w:r>
        <w:rPr>
          <w:rFonts w:cs="Calibri"/>
          <w:color w:val="000000" w:themeColor="text1"/>
          <w14:textFill>
            <w14:solidFill>
              <w14:schemeClr w14:val="tx1"/>
            </w14:solidFill>
          </w14:textFill>
        </w:rPr>
        <w:t>2、服务须达到采购文件规定的质量标准及使用要求。</w:t>
      </w:r>
      <w:r>
        <w:rPr>
          <w:rFonts w:cs="Calibri"/>
          <w:bCs/>
          <w:color w:val="000000" w:themeColor="text1"/>
          <w14:textFill>
            <w14:solidFill>
              <w14:schemeClr w14:val="tx1"/>
            </w14:solidFill>
          </w14:textFill>
        </w:rPr>
        <w:br w:type="page"/>
      </w:r>
      <w:bookmarkStart w:id="37" w:name="_Toc82873317"/>
      <w:bookmarkStart w:id="38" w:name="_Toc211745566"/>
      <w:bookmarkStart w:id="39" w:name="_Toc82338234"/>
      <w:bookmarkStart w:id="40" w:name="_Toc350453730"/>
      <w:bookmarkStart w:id="41" w:name="_Toc1561"/>
      <w:bookmarkStart w:id="42" w:name="_Toc15478"/>
      <w:r>
        <w:rPr>
          <w:rFonts w:cs="Calibri"/>
          <w:b/>
          <w:bCs/>
          <w:color w:val="000000" w:themeColor="text1"/>
          <w:sz w:val="28"/>
          <w:szCs w:val="40"/>
          <w14:textFill>
            <w14:solidFill>
              <w14:schemeClr w14:val="tx1"/>
            </w14:solidFill>
          </w14:textFill>
        </w:rPr>
        <w:t xml:space="preserve">第三章  </w:t>
      </w:r>
      <w:bookmarkEnd w:id="37"/>
      <w:bookmarkEnd w:id="38"/>
      <w:bookmarkEnd w:id="39"/>
      <w:bookmarkEnd w:id="40"/>
      <w:bookmarkStart w:id="43" w:name="_Toc82873330"/>
      <w:bookmarkStart w:id="44" w:name="_Toc82338247"/>
      <w:bookmarkStart w:id="45" w:name="_Toc259644123"/>
      <w:bookmarkStart w:id="46" w:name="_Toc330306493"/>
      <w:r>
        <w:rPr>
          <w:rFonts w:cs="Calibri"/>
          <w:b/>
          <w:bCs/>
          <w:color w:val="000000" w:themeColor="text1"/>
          <w:sz w:val="28"/>
          <w:szCs w:val="40"/>
          <w14:textFill>
            <w14:solidFill>
              <w14:schemeClr w14:val="tx1"/>
            </w14:solidFill>
          </w14:textFill>
        </w:rPr>
        <w:t>采购需求</w:t>
      </w:r>
      <w:bookmarkEnd w:id="41"/>
      <w:bookmarkEnd w:id="42"/>
    </w:p>
    <w:p>
      <w:pPr>
        <w:pStyle w:val="7"/>
        <w:ind w:firstLine="422"/>
        <w:jc w:val="center"/>
        <w:rPr>
          <w:rFonts w:cs="Calibri"/>
          <w:color w:val="000000" w:themeColor="text1"/>
          <w14:textFill>
            <w14:solidFill>
              <w14:schemeClr w14:val="tx1"/>
            </w14:solidFill>
          </w14:textFill>
        </w:rPr>
      </w:pPr>
    </w:p>
    <w:p>
      <w:pPr>
        <w:spacing w:line="240" w:lineRule="auto"/>
        <w:jc w:val="both"/>
        <w:rPr>
          <w:rFonts w:hint="eastAsia" w:ascii="宋体" w:hAnsi="宋体" w:eastAsia="宋体" w:cs="宋体"/>
          <w:sz w:val="28"/>
          <w:szCs w:val="28"/>
          <w:lang w:val="en-US" w:eastAsia="zh-CN"/>
        </w:rPr>
      </w:pPr>
      <w:bookmarkStart w:id="47" w:name="_Toc325532437"/>
      <w:bookmarkStart w:id="48" w:name="_Toc11217"/>
      <w:bookmarkStart w:id="49" w:name="_Toc14187"/>
      <w:r>
        <w:rPr>
          <w:rFonts w:hint="eastAsia" w:ascii="宋体" w:hAnsi="宋体" w:eastAsia="宋体" w:cs="宋体"/>
          <w:b/>
          <w:bCs/>
          <w:sz w:val="24"/>
          <w:szCs w:val="24"/>
          <w:lang w:val="en-US" w:eastAsia="zh-CN"/>
        </w:rPr>
        <w:t>一、项目概况：</w:t>
      </w: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4F81BD" w:themeColor="accent1"/>
          <w:sz w:val="28"/>
          <w:szCs w:val="28"/>
          <w:lang w:val="en-US" w:eastAsia="zh-CN"/>
          <w14:textFill>
            <w14:solidFill>
              <w14:schemeClr w14:val="accent1"/>
            </w14:solidFill>
          </w14:textFill>
        </w:rPr>
        <w:t xml:space="preserve"> </w:t>
      </w:r>
      <w:r>
        <w:rPr>
          <w:rFonts w:hint="eastAsia" w:ascii="宋体" w:hAnsi="宋体" w:eastAsia="宋体" w:cs="宋体"/>
          <w:b w:val="0"/>
          <w:bCs w:val="0"/>
          <w:sz w:val="24"/>
          <w:szCs w:val="24"/>
          <w:lang w:val="en-US" w:eastAsia="zh-CN"/>
        </w:rPr>
        <w:t>康山街道行政区域总面积46万平方公里，下辖10个行政村，13个社区和13个专业市场。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1、主要</w:t>
      </w:r>
      <w:r>
        <w:rPr>
          <w:rFonts w:hint="eastAsia" w:ascii="宋体" w:hAnsi="宋体" w:eastAsia="宋体" w:cs="宋体"/>
          <w:b/>
          <w:bCs/>
          <w:sz w:val="24"/>
          <w:szCs w:val="24"/>
          <w:lang w:val="en-US" w:eastAsia="zh-CN"/>
        </w:rPr>
        <w:t>任务目标：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落实辖区内安置小区日常精细化管理工作，完成不少于2次/日频次的巡查，安排高峰期市容市貌的监督管理（王家漾小区周边、夹山漾小区周边、清河家园小区周边、金湖人家小区周边等），市长热线投诉举报量控制在5件/日以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二、按照精细化考核要求对辖区内8条考核路段定岗管理，根据考核结果量化打分，8条路段路面巡检总扣分不得超过40分。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三、协助做好犬类管理，流浪犬收容每月不少于5条，不文明养犬类辅助执法不少于5件/月。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四、协助做好辖区内垃圾管理工作，每周完成全域巡查百分百覆盖，重点区域点位每日不少于1次，新增生活垃圾、建筑垃圾事件发现不超过5日，特别严重的不得超过3日。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五、协助做好违法建设管控工作，新增违法建设发现不超过2日。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4F81BD" w:themeColor="accent1"/>
          <w:sz w:val="28"/>
          <w:szCs w:val="28"/>
          <w:lang w:val="en-US" w:eastAsia="zh-CN"/>
          <w14:textFill>
            <w14:solidFill>
              <w14:schemeClr w14:val="accent1"/>
            </w14:solidFill>
          </w14:textFill>
        </w:rPr>
      </w:pPr>
      <w:r>
        <w:rPr>
          <w:rFonts w:hint="eastAsia" w:ascii="宋体" w:hAnsi="宋体" w:eastAsia="宋体" w:cs="宋体"/>
          <w:b w:val="0"/>
          <w:bCs w:val="0"/>
          <w:sz w:val="24"/>
          <w:szCs w:val="24"/>
          <w:lang w:val="en-US" w:eastAsia="zh-CN"/>
        </w:rPr>
        <w:t>六、针对道路破损，道板砖破损，道路指示牌破损变形，各类窨井盖（雨水、污水、电力、通讯等）缺失、破损、沉降，街景亮化设施缺损等情况进行汇总上报处理。</w:t>
      </w:r>
    </w:p>
    <w:p>
      <w:pPr>
        <w:spacing w:line="240" w:lineRule="auto"/>
        <w:jc w:val="left"/>
        <w:rPr>
          <w:rFonts w:hint="eastAsia" w:ascii="宋体" w:hAnsi="宋体" w:eastAsia="宋体" w:cs="宋体"/>
          <w:color w:val="4F81BD" w:themeColor="accent1"/>
          <w:sz w:val="28"/>
          <w:szCs w:val="28"/>
          <w:lang w:val="en-US" w:eastAsia="zh-CN"/>
          <w14:textFill>
            <w14:solidFill>
              <w14:schemeClr w14:val="accent1"/>
            </w14:solidFill>
          </w14:textFill>
        </w:rPr>
      </w:pPr>
    </w:p>
    <w:p>
      <w:pPr>
        <w:spacing w:line="240" w:lineRule="auto"/>
        <w:ind w:firstLine="562" w:firstLineChars="200"/>
        <w:jc w:val="left"/>
        <w:rPr>
          <w:rFonts w:hint="eastAsia" w:ascii="宋体" w:hAnsi="宋体" w:eastAsia="宋体" w:cs="宋体"/>
          <w:color w:val="auto"/>
          <w:sz w:val="24"/>
          <w:szCs w:val="24"/>
          <w:lang w:val="en-US" w:eastAsia="zh-CN"/>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4"/>
          <w:szCs w:val="24"/>
          <w:lang w:val="en-US" w:eastAsia="zh-CN"/>
        </w:rPr>
        <w:t>服务主要内容：</w:t>
      </w:r>
      <w:r>
        <w:rPr>
          <w:rFonts w:hint="eastAsia" w:ascii="宋体" w:hAnsi="宋体" w:eastAsia="宋体" w:cs="宋体"/>
          <w:color w:val="auto"/>
          <w:sz w:val="24"/>
          <w:szCs w:val="24"/>
        </w:rPr>
        <w:t>协助执法人员</w:t>
      </w:r>
      <w:r>
        <w:rPr>
          <w:rFonts w:hint="eastAsia" w:ascii="宋体" w:hAnsi="宋体" w:eastAsia="宋体" w:cs="宋体"/>
          <w:color w:val="auto"/>
          <w:sz w:val="24"/>
          <w:szCs w:val="24"/>
          <w:lang w:val="en-US" w:eastAsia="zh-CN"/>
        </w:rPr>
        <w:t>进行辖区秩序管理，包括</w:t>
      </w:r>
      <w:r>
        <w:rPr>
          <w:rFonts w:hint="eastAsia" w:ascii="宋体" w:hAnsi="宋体" w:cs="宋体"/>
          <w:color w:val="auto"/>
          <w:sz w:val="24"/>
          <w:szCs w:val="24"/>
          <w:lang w:val="en-US" w:eastAsia="zh-CN"/>
        </w:rPr>
        <w:t>但不仅限于</w:t>
      </w:r>
      <w:r>
        <w:rPr>
          <w:rFonts w:hint="eastAsia" w:ascii="宋体" w:hAnsi="宋体" w:eastAsia="宋体" w:cs="宋体"/>
          <w:color w:val="auto"/>
          <w:sz w:val="24"/>
          <w:szCs w:val="24"/>
          <w:lang w:val="en-US" w:eastAsia="zh-CN"/>
        </w:rPr>
        <w:t>立岗管理、在建工地巡查、违建装修管控、农贸市场管理、道路秩序维护等工作。</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、服务期限</w:t>
      </w:r>
      <w:r>
        <w:rPr>
          <w:rFonts w:hint="eastAsia" w:ascii="宋体" w:hAnsi="宋体" w:eastAsia="宋体" w:cs="宋体"/>
          <w:sz w:val="24"/>
          <w:szCs w:val="24"/>
          <w:lang w:val="en-US" w:eastAsia="zh-CN"/>
        </w:rPr>
        <w:t>：一年。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、其它要求：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的报价须包含完成本项目服务所需的所有费用，包含但不限于人员工资（包括人员基本工资、各类福利和补贴（如高温补贴、加班补贴等）、社保（基本养老、基本医疗、工伤、生育、失业保险）、各种保险），人员工作服、人员住宿场所费用和餐费补贴、人员所使用作业工具等各类耗材费、管理费（包括管理人员工资、人员培训费、办公管理用房费、其他管理费）和运营费用，安全文明作业费，税金，其他与本项目有关的费用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2、其中人员基本工资不得低于湖州市劳动和社会保障局最新发布的湖州市市最低劳动工资。在合同履行期间如遇法定基本工资上调等政策性因素的情况，合同价均不作调整。</w:t>
      </w:r>
    </w:p>
    <w:p>
      <w:pPr>
        <w:pStyle w:val="2"/>
        <w:ind w:firstLine="520" w:firstLineChars="200"/>
        <w:rPr>
          <w:rFonts w:hint="default"/>
          <w:lang w:val="en-US" w:eastAsia="zh-CN"/>
        </w:rPr>
      </w:pPr>
      <w:r>
        <w:rPr>
          <w:rFonts w:hint="eastAsia" w:ascii="宋体" w:hAnsi="宋体" w:cs="宋体"/>
          <w:b w:val="0"/>
          <w:bCs w:val="0"/>
          <w:sz w:val="24"/>
          <w:szCs w:val="24"/>
          <w:lang w:val="en-US" w:eastAsia="zh-CN"/>
        </w:rPr>
        <w:t>3、本项目精细化管理所需的车辆、设备等都由中标供应商提供，各供应商须自行考虑。</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一）街面市容秩序维持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宣传普及市容环境卫生管理条例等法律法规，引导、指导管理对象自觉遵守市容环境规定和要求；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开展街面市容巡查，对各类市容环境违法违规行为及时予以劝阻，引导当事人进行整改，确保辖区内无流动摊贩点、固定设摊和乱摊乱放现象；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3、协助配合</w:t>
      </w:r>
      <w:r>
        <w:rPr>
          <w:rFonts w:hint="eastAsia" w:ascii="宋体" w:hAnsi="宋体" w:cs="宋体"/>
          <w:b w:val="0"/>
          <w:bCs w:val="0"/>
          <w:sz w:val="24"/>
          <w:szCs w:val="24"/>
          <w:lang w:val="en-US" w:eastAsia="zh-CN"/>
        </w:rPr>
        <w:t>相关</w:t>
      </w:r>
      <w:r>
        <w:rPr>
          <w:rFonts w:hint="eastAsia" w:ascii="宋体" w:hAnsi="宋体" w:eastAsia="宋体" w:cs="宋体"/>
          <w:b w:val="0"/>
          <w:bCs w:val="0"/>
          <w:sz w:val="24"/>
          <w:szCs w:val="24"/>
          <w:lang w:val="en-US" w:eastAsia="zh-CN"/>
        </w:rPr>
        <w:t>部门开展市容执法相关工作。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（二）街面设施巡查管理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对沿街店牌店招、户外广告设施进行巡查，及时发现“一店多招”、设施损坏和安全隐患，劝导责任人进行维修整改，确保道路两侧门店无跨门经营现象，无乱挂横幅、乱设置广告牌等现象；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对新设置和改造设施的行为，查看相关许可，对违法违规行为进行劝阻，必要时告知当事人相关申请受理途径；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发现有店家进行店面装修或开展临时商业活动的要核查店家是否经过相关部门备案，店家未备案的，对相关活动进行劝阻并停止，店家先到主管部门进行备案登记，经同意后方可开展；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发现有当事人擅自占用城市绿化用地，破坏草坪、绿篱、花卉、树木、植被，擅自修剪、移植、砍伐城市树木及擅自在绿地上停车的，要及时予以劝阻、取证拍照，并报告主管部门相关事项；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5、对责任人不履行整改或设施存在重大安全隐患的，及时向主管部门报告。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（三）治安维稳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1、对街道重点区域（学校、菜场、商圈等）进行定期、定点巡查；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2、重大节假日、重大活动、重大事件期间，安排人员维护现场秩序，确保群众人身安全。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（四）其他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参与市容整治联合执法行动。协助配合相关部门、单位开展城市管理相关治理、保障、拆违（区域内）等工作；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中标人必须按照国家、省、市有关城市容貌标准和路段管理标准，并达到以下市容市貌管理及维护质量要求：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（一）街面市容服务质量要求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劝导、督促沿路单位、店铺和个人严格遵守“门前三包”规定，保持“三包”区域内市容环境卫生整洁有序，做到无出店经营、占道经营、店外作业、乱泼污水、乱倒垃圾、乱悬乱挂、乱晾乱晒、乱贴乱画、乱堆乱放、乱搭乱建等脏乱差现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2、沿路上不设摊点；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3、沿路街巷保持畅通有序，各类摊点经</w:t>
      </w:r>
      <w:r>
        <w:rPr>
          <w:rFonts w:hint="eastAsia" w:ascii="宋体" w:hAnsi="宋体" w:cs="宋体"/>
          <w:b w:val="0"/>
          <w:bCs w:val="0"/>
          <w:sz w:val="24"/>
          <w:szCs w:val="24"/>
          <w:lang w:val="en-US" w:eastAsia="zh-CN"/>
        </w:rPr>
        <w:t>相关</w:t>
      </w:r>
      <w:r>
        <w:rPr>
          <w:rFonts w:hint="eastAsia" w:ascii="宋体" w:hAnsi="宋体" w:eastAsia="宋体" w:cs="宋体"/>
          <w:b w:val="0"/>
          <w:bCs w:val="0"/>
          <w:sz w:val="24"/>
          <w:szCs w:val="24"/>
          <w:lang w:val="en-US" w:eastAsia="zh-CN"/>
        </w:rPr>
        <w:t>部门批准可以在巷内指定位置经营，不准超出巷口；无流动摊点占道经营现象。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4、对辖区范围内主要马路边上机动车辆违规停放进行劝阻、管制，确保机动车停放有序；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5、对辖区范围内重点区域（菜场、学校、商圈等）三轮车、电瓶车停放进行管制，确保非机动车停放有序；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（二）街面设施服务质量要求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户外广告和门头招牌按照规定标准设置，保持整洁、美观、安全；店面门前、人行道、绿化带、花坛游园无条幅、落地招牌及乱张贴、乱涂写、乱刻画现象；对破旧损坏、未批先设或不按审批要求设置灯箱、招牌、条幅、宣传点等现象能够得到及时发现、及时劝阻、及时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沿路建筑物装饰装修和建筑工地施工严格遵守文明施工相关规定，设置施工围挡，按照规定处置建筑垃圾，保持市容整洁、道路畅通、文明安全；对未经批准擅自倾倒、堆放建筑垃圾，擅自开墙破路、占道施工作业、占道堆放物料以及车辆抛洒、带泥行驶等违法违章行为能够得到及时发现、及时劝阻、及时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3、沿路音响器材噪音扰民，小锅炉烟尘扰民、焚烧垃圾及其它破坏绿化的行为能够得到及时发现、及时劝阻、及时报告。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4、擅自占用城市绿化用地，破坏草坪、绿篱、花卉、树木、植被，擅自修剪、移植、砍伐城市树木，擅自在绿地上停车及其它破坏绿化的行为能够得到及时发现、及时劝阻、及时留证、及时报告。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（三）街道治安维稳服务质量要求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确保辖区范围内无由中标供应商处理不当而引发的群体性信访事件；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sz w:val="24"/>
          <w:szCs w:val="24"/>
        </w:rPr>
        <w:t>协助执法人员</w:t>
      </w:r>
      <w:r>
        <w:rPr>
          <w:rFonts w:hint="eastAsia" w:ascii="宋体" w:hAnsi="宋体" w:eastAsia="宋体" w:cs="宋体"/>
          <w:b w:val="0"/>
          <w:bCs w:val="0"/>
          <w:sz w:val="24"/>
          <w:szCs w:val="24"/>
          <w:lang w:val="en-US" w:eastAsia="zh-CN"/>
        </w:rPr>
        <w:t>调解辖区范围内的群众纠纷，处理好各类突发事件；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（四）其他服务质量要求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1、管理区域范围内夜间若有突发状况，须无条件配合街道做好行政执法工作。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2、配合街道做好管理区域范围内行政执法职权范围内的工作。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3、确保辖区范围内其它影响市容市貌或违反城市管理法律法规规章规定的行为能够得到及时发现、及时劝阻、及时报告。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（五）文明劝导服务方式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1、中标人开展的区域保序服务作业所需的工具、设备，服装、等装备，均由中标人自行解决，但必须符合相关市容市貌技术规程、规范要求。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2、中标人按照要求对服务区域进行不间断巡查，发现影响市容市貌和环境秩序的脏乱差现象，应及时宣传、提醒、告知、劝阻。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3、中标人不具有行政处罚权，不能没收、暂扣违法行为人的物品或从事违法行为的工具，不能以任何名义对违法行为人进行处罚，不得以任何名义收取任何费用。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4、中标人应坚持服务至上的理念，倡导微笑服务，使用文明劝导礼貌用语，严禁粗言秽语，严禁威胁、辱骂、殴打服务对象。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5、中标人应积极参加文明城市创建工作，在实施劝导服务的同时，须主动捡拾白色垃圾、烟蒂等废弃物；带头遵守城市文明公约，并积极开展便民服务活动，为市民群众起到良好示范作用。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6、在工作中出现管理难题时，可按照规定程序报告</w:t>
      </w:r>
      <w:r>
        <w:rPr>
          <w:rFonts w:hint="eastAsia" w:ascii="宋体" w:hAnsi="宋体" w:cs="宋体"/>
          <w:b w:val="0"/>
          <w:bCs w:val="0"/>
          <w:sz w:val="24"/>
          <w:szCs w:val="24"/>
          <w:lang w:val="en-US" w:eastAsia="zh-CN"/>
        </w:rPr>
        <w:t>康山街道综合</w:t>
      </w:r>
      <w:r>
        <w:rPr>
          <w:rFonts w:hint="eastAsia" w:ascii="宋体" w:hAnsi="宋体" w:eastAsia="宋体" w:cs="宋体"/>
          <w:b w:val="0"/>
          <w:bCs w:val="0"/>
          <w:sz w:val="24"/>
          <w:szCs w:val="24"/>
          <w:lang w:val="en-US" w:eastAsia="zh-CN"/>
        </w:rPr>
        <w:t>执法中队，请求给予支持与协助。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7、中标人工作人员不得利用占道经营收取摊位费或保护费，不得借工作之便谋取其它私利，不得参加各种违法犯罪活动</w:t>
      </w:r>
      <w:r>
        <w:rPr>
          <w:rFonts w:hint="eastAsia" w:ascii="宋体" w:hAnsi="宋体" w:eastAsia="宋体" w:cs="宋体"/>
          <w:b/>
          <w:bCs/>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、考核办法：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协管员</w:t>
      </w:r>
      <w:r>
        <w:rPr>
          <w:rFonts w:hint="eastAsia" w:ascii="宋体" w:hAnsi="宋体" w:eastAsia="宋体" w:cs="宋体"/>
          <w:b/>
          <w:bCs/>
          <w:sz w:val="24"/>
          <w:szCs w:val="24"/>
        </w:rPr>
        <w:t>岗位职责</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岗位职责1：</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4F81BD" w:themeColor="accent1"/>
          <w:sz w:val="24"/>
          <w:szCs w:val="24"/>
          <w14:textFill>
            <w14:solidFill>
              <w14:schemeClr w14:val="accent1"/>
            </w14:solidFill>
          </w14:textFill>
        </w:rPr>
      </w:pPr>
      <w:r>
        <w:rPr>
          <w:rFonts w:hint="eastAsia" w:ascii="宋体" w:hAnsi="宋体" w:eastAsia="宋体" w:cs="宋体"/>
          <w:sz w:val="24"/>
          <w:szCs w:val="24"/>
        </w:rPr>
        <w:t>　　</w:t>
      </w:r>
      <w:r>
        <w:rPr>
          <w:rFonts w:hint="eastAsia" w:ascii="宋体" w:hAnsi="宋体" w:eastAsia="宋体" w:cs="宋体"/>
          <w:color w:val="4F81BD" w:themeColor="accent1"/>
          <w:sz w:val="24"/>
          <w:szCs w:val="24"/>
          <w14:textFill>
            <w14:solidFill>
              <w14:schemeClr w14:val="accent1"/>
            </w14:solidFill>
          </w14:textFill>
        </w:rPr>
        <w:t>1、认真遵守作息时间，(作息时间</w:t>
      </w:r>
      <w:r>
        <w:rPr>
          <w:rFonts w:hint="eastAsia" w:ascii="宋体" w:hAnsi="宋体" w:cs="宋体"/>
          <w:color w:val="4F81BD" w:themeColor="accent1"/>
          <w:sz w:val="24"/>
          <w:szCs w:val="24"/>
          <w:lang w:val="en-US" w:eastAsia="zh-CN"/>
          <w14:textFill>
            <w14:solidFill>
              <w14:schemeClr w14:val="accent1"/>
            </w14:solidFill>
          </w14:textFill>
        </w:rPr>
        <w:t>与综合行政执法康山中队执法人员同步</w:t>
      </w:r>
      <w:r>
        <w:rPr>
          <w:rFonts w:hint="eastAsia" w:ascii="宋体" w:hAnsi="宋体" w:eastAsia="宋体" w:cs="宋体"/>
          <w:color w:val="4F81BD" w:themeColor="accent1"/>
          <w:sz w:val="24"/>
          <w:szCs w:val="24"/>
          <w14:textFill>
            <w14:solidFill>
              <w14:schemeClr w14:val="accent1"/>
            </w14:solidFill>
          </w14:textFill>
        </w:rPr>
        <w:t>)。重点路口的守点时间根据情况另行安排。</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2、严格请销假制度。事假凭请假条审批;病假凭医院证明、书面申请审批。对病事假人员，</w:t>
      </w:r>
      <w:r>
        <w:rPr>
          <w:rFonts w:hint="eastAsia" w:ascii="宋体" w:hAnsi="宋体" w:cs="宋体"/>
          <w:sz w:val="24"/>
          <w:szCs w:val="24"/>
          <w:lang w:val="en-US" w:eastAsia="zh-CN"/>
        </w:rPr>
        <w:t>协管员</w:t>
      </w:r>
      <w:r>
        <w:rPr>
          <w:rFonts w:hint="eastAsia" w:ascii="宋体" w:hAnsi="宋体" w:eastAsia="宋体" w:cs="宋体"/>
          <w:sz w:val="24"/>
          <w:szCs w:val="24"/>
        </w:rPr>
        <w:t>负责人要认真做好登记，每月底将病、事假情况汇总后报办公室存档备查。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3、工作时间内不准看书、打牌、下棋、串岗、脱岗等。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4、每周一或有重大活动、检查时，要统一着装，其余时间可着便服，上班期间佩带统一制作的标志。</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5、定点人员要认真履行职责，严格遵守作息时间，不准迟到、早退，遇有特殊情况及时与小组巡查人员联系，协同解决。</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6、参与日常巡查的</w:t>
      </w:r>
      <w:r>
        <w:rPr>
          <w:rFonts w:hint="eastAsia" w:ascii="宋体" w:hAnsi="宋体" w:cs="宋体"/>
          <w:sz w:val="24"/>
          <w:szCs w:val="24"/>
          <w:lang w:val="en-US" w:eastAsia="zh-CN"/>
        </w:rPr>
        <w:t>协管员</w:t>
      </w:r>
      <w:r>
        <w:rPr>
          <w:rFonts w:hint="eastAsia" w:ascii="宋体" w:hAnsi="宋体" w:eastAsia="宋体" w:cs="宋体"/>
          <w:sz w:val="24"/>
          <w:szCs w:val="24"/>
        </w:rPr>
        <w:t>要始终和正式队员在一起，不得分开。</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7、重点地段和路口守点的</w:t>
      </w:r>
      <w:r>
        <w:rPr>
          <w:rFonts w:hint="eastAsia" w:ascii="宋体" w:hAnsi="宋体" w:cs="宋体"/>
          <w:sz w:val="24"/>
          <w:szCs w:val="24"/>
          <w:lang w:val="en-US" w:eastAsia="zh-CN"/>
        </w:rPr>
        <w:t>协管员</w:t>
      </w:r>
      <w:r>
        <w:rPr>
          <w:rFonts w:hint="eastAsia" w:ascii="宋体" w:hAnsi="宋体" w:eastAsia="宋体" w:cs="宋体"/>
          <w:sz w:val="24"/>
          <w:szCs w:val="24"/>
        </w:rPr>
        <w:t>，要认真履行职责。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岗位职责2：</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60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向责任单位(门店)和居民宣传城市管理的法律、法规、规章和门前市容环境卫生责任制的基本要求。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00" w:leftChars="0"/>
        <w:textAlignment w:val="auto"/>
        <w:rPr>
          <w:rFonts w:hint="eastAsia" w:ascii="宋体" w:hAnsi="宋体" w:eastAsia="宋体" w:cs="宋体"/>
          <w:sz w:val="24"/>
          <w:szCs w:val="24"/>
        </w:rPr>
      </w:pPr>
      <w:r>
        <w:rPr>
          <w:rFonts w:hint="eastAsia" w:ascii="宋体" w:hAnsi="宋体" w:eastAsia="宋体" w:cs="宋体"/>
          <w:sz w:val="24"/>
          <w:szCs w:val="24"/>
        </w:rPr>
        <w:t>2、负责门前市容环境卫生责任制的监督和管理，包括对责任单位(门店)店外经营和乱摆乱倒行为进行制止，对机动车停放进行规范，对随地乱吐痰，乱扔果皮纸屑的行为进行教育。</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3、服务街巷社区，参与社区日常性的城市管理工作，对所辖社区进行巡视检查，督促所分管的路段和沿街责任单位(门店)履行门前市容环境卫生责任。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4、对违反城市管理法制、法规、规章规定的行为进行劝助、制止无效时，及时向城管行政执法人员进行报告，并协助行政执法人员督促违法行为人改正违法行为。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5、收集、反映社区、单位、居民对城市管理工作方面的意见和建议，及时向所在街道办事处报告。</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岗位职责3：</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一、负责辖区内人行道以上车辆停放的管理工作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要求人行道上的自行车、摩托车停放有序，对自行车、摩托车驾驶人在现场的，要劝阻驾驶人按规定有序停放;对自行车、摩托车驾驶人不在现场的，要主动将车辆按规定摆放整齐。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严禁在人行道上停放各类机动车，对机动车驾驶人在现场的，要求其立即驶离，对机动车驾驶人不在现场的，要及时向中队报告，由中队按程序进行处理。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二、负责辖区内占路经营或占路堆放物料的的管理工作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沿街门店有室外经营、占路堆放沙土、杂物和摆放灯箱、广告牌匾以及流动摊点占路经营等行为时，要及时进行劝阻和制止,并做好教育与宣传工作。对拒不服从管理的，要及时向中队报告，安排清理或调查取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三、负责对辖区内乱贴乱画的清理工作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发现有在沿街建筑物、线杆以及树木上乱贴乱画的行为时，要及时予以制止，并要求违法行为人自行清理干净。对拒不服从管理者，及时向中队报告，由中队安排调查处理。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发现有乱贴乱画现象，便于清除的，要及时进行清理，清理难度较大的，要及时报告</w:t>
      </w:r>
      <w:r>
        <w:rPr>
          <w:rFonts w:hint="eastAsia" w:ascii="宋体" w:hAnsi="宋体" w:cs="宋体"/>
          <w:sz w:val="24"/>
          <w:szCs w:val="24"/>
          <w:lang w:val="en-US" w:eastAsia="zh-CN"/>
        </w:rPr>
        <w:t>管理人员</w:t>
      </w:r>
      <w:r>
        <w:rPr>
          <w:rFonts w:hint="eastAsia" w:ascii="宋体" w:hAnsi="宋体" w:eastAsia="宋体" w:cs="宋体"/>
          <w:sz w:val="24"/>
          <w:szCs w:val="24"/>
        </w:rPr>
        <w:t>，由</w:t>
      </w:r>
      <w:r>
        <w:rPr>
          <w:rFonts w:hint="eastAsia" w:ascii="宋体" w:hAnsi="宋体" w:cs="宋体"/>
          <w:sz w:val="24"/>
          <w:szCs w:val="24"/>
          <w:lang w:val="en-US" w:eastAsia="zh-CN"/>
        </w:rPr>
        <w:t>管理人员</w:t>
      </w:r>
      <w:r>
        <w:rPr>
          <w:rFonts w:hint="eastAsia" w:ascii="宋体" w:hAnsi="宋体" w:eastAsia="宋体" w:cs="宋体"/>
          <w:sz w:val="24"/>
          <w:szCs w:val="24"/>
        </w:rPr>
        <w:t>向办公室提出，安排人员清理。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四、负责辖区内乱挂乱晒的管理工作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发现沿街有乱挂条幅、乱晒衣服、毛巾、被褥等物品时要及时进行劝阻。要求其立即将物品清理，对拒不服从管理的，及时向中队报告，安排清理。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五、负责辖区内污染、损坏路面的清理工作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发现因修、洗车和加工喷漆等行为造成路面污染，以及私自挖掘城市道路、私拉管线造成路面损坏的行为时，要及时进行制止并向中队报告，进行调查处理。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六、负责辖区内乱倒垃圾的管理工作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有不按规定时间、地点倾倒垃圾的行为时，要进行劝阻和制止。对于正在乱倒的要及时制止，并要求违法行为人立即清除，已经乱倒而违法行为人又不在现场的，要及时向中队或执法监督科报告，由执法监督科通知相关单位及时清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七、负责辖区内城市绿化管理工作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发现有破坏绿地、损毁树木的行为时，要及时劝阻和制止。并向中队报告，由中队安排调查处理。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八、完成上级交办的其他各项工作任务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协管员</w:t>
      </w:r>
      <w:r>
        <w:rPr>
          <w:rFonts w:hint="eastAsia" w:ascii="宋体" w:hAnsi="宋体" w:eastAsia="宋体" w:cs="宋体"/>
          <w:sz w:val="24"/>
          <w:szCs w:val="24"/>
        </w:rPr>
        <w:t>巡查过程中，发现有上述违法违章行为在进行劝阻、制止时，要耐心细致，并注意语言文明。在管理过程中，做到文明管理、秉公办事、廉洁自律、遵章守纪，自觉维护城管队伍的良好形象。</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岗位职责4：</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主要职责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1、宣传城市管理方面的法律、法规和规章，协助执法人员开展城市管理工作。</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2、服务社区，参与城市管理日常性的管理工作，对所辖区域实行动态巡视检查。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3、劝阻和制止所发现的违反城市管理法规的行为，劝阻、制止无效时，及时向执法人员报告，并协助执法人员督促违法行为人改正违法行为。</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4、收集并及时反映责任区域单位、群众对城市管理工作方面的意见和建议。</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具体职责：</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1、对违章占道堆码、经营的行为进行制止。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2、对乱堆乱倒乱扔的行为进行制止。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3、对人行道乱停乱放车辆的行为进行制止。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4、对无证开挖城市道路的行为进行制止。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5、对乱张乱贴乱写广告、标语、电话号码的行为进行制止。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6、对车辆未封盖严密、沿街撒落、泄漏的行为进行制止。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7、对损坏、污染城市市政设施的行为进行制止。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8、对门前三包责任进行督促和落实。</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9、对其他影响城市市容环境的行为进行制止。</w:t>
      </w:r>
    </w:p>
    <w:p>
      <w:pPr>
        <w:pStyle w:val="2"/>
        <w:keepNext w:val="0"/>
        <w:keepLines w:val="0"/>
        <w:pageBreakBefore w:val="0"/>
        <w:kinsoku/>
        <w:wordWrap/>
        <w:overflowPunct/>
        <w:topLinePunct w:val="0"/>
        <w:autoSpaceDE/>
        <w:autoSpaceDN/>
        <w:bidi w:val="0"/>
        <w:adjustRightInd/>
        <w:spacing w:line="360" w:lineRule="auto"/>
        <w:textAlignment w:val="auto"/>
        <w:rPr>
          <w:rFonts w:hint="eastAsia" w:eastAsia="宋体"/>
          <w:lang w:val="en-US" w:eastAsia="zh-CN"/>
        </w:rPr>
      </w:pPr>
      <w:r>
        <w:rPr>
          <w:rFonts w:hint="eastAsia" w:ascii="宋体" w:hAnsi="宋体" w:cs="宋体"/>
          <w:sz w:val="24"/>
          <w:szCs w:val="24"/>
          <w:lang w:val="en-US" w:eastAsia="zh-CN"/>
        </w:rPr>
        <w:t xml:space="preserve">   10、对乡村生活垃圾</w:t>
      </w:r>
      <w:r>
        <w:rPr>
          <w:rFonts w:hint="eastAsia" w:ascii="宋体" w:hAnsi="宋体" w:eastAsia="宋体" w:cs="宋体"/>
          <w:sz w:val="24"/>
          <w:szCs w:val="24"/>
        </w:rPr>
        <w:t>乱堆乱倒乱扔的行为进行制止</w:t>
      </w:r>
      <w:r>
        <w:rPr>
          <w:rFonts w:hint="eastAsia" w:ascii="宋体" w:hAnsi="宋体" w:cs="宋体"/>
          <w:sz w:val="24"/>
          <w:szCs w:val="24"/>
          <w:lang w:eastAsia="zh-CN"/>
        </w:rPr>
        <w:t>。</w:t>
      </w:r>
    </w:p>
    <w:p>
      <w:pPr>
        <w:adjustRightInd w:val="0"/>
        <w:spacing w:before="280" w:beforeLines="50" w:line="240" w:lineRule="auto"/>
        <w:ind w:firstLine="482" w:firstLineChars="200"/>
        <w:jc w:val="center"/>
        <w:rPr>
          <w:rFonts w:hint="eastAsia" w:ascii="宋体" w:hAnsi="宋体" w:eastAsia="宋体" w:cs="宋体"/>
          <w:b/>
          <w:bCs/>
          <w:kern w:val="0"/>
          <w:sz w:val="24"/>
          <w:szCs w:val="24"/>
          <w:lang w:val="en-US" w:eastAsia="zh-CN"/>
        </w:rPr>
      </w:pPr>
    </w:p>
    <w:p>
      <w:pPr>
        <w:adjustRightInd w:val="0"/>
        <w:spacing w:before="280" w:beforeLines="50" w:line="240" w:lineRule="auto"/>
        <w:ind w:firstLine="482" w:firstLineChars="200"/>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考核办法</w:t>
      </w:r>
    </w:p>
    <w:p>
      <w:pPr>
        <w:pStyle w:val="9"/>
        <w:spacing w:line="240" w:lineRule="auto"/>
        <w:rPr>
          <w:rFonts w:hint="eastAsia" w:ascii="宋体" w:hAnsi="宋体" w:eastAsia="宋体" w:cs="宋体"/>
          <w:sz w:val="24"/>
        </w:rPr>
      </w:pPr>
      <w:r>
        <w:rPr>
          <w:rFonts w:hint="eastAsia" w:ascii="宋体" w:hAnsi="宋体" w:cs="宋体"/>
          <w:sz w:val="24"/>
          <w:lang w:val="en-US" w:eastAsia="zh-CN"/>
        </w:rPr>
        <w:t>对协管员的考核参照【综合行政执法康山中队管理办法及考核制度】</w:t>
      </w:r>
    </w:p>
    <w:p>
      <w:pPr>
        <w:pStyle w:val="9"/>
        <w:spacing w:line="240" w:lineRule="auto"/>
        <w:rPr>
          <w:rFonts w:hint="eastAsia" w:ascii="宋体" w:hAnsi="宋体" w:eastAsia="宋体" w:cs="宋体"/>
        </w:rPr>
      </w:pPr>
      <w:r>
        <w:rPr>
          <w:rFonts w:hint="eastAsia" w:ascii="宋体" w:hAnsi="宋体" w:eastAsia="宋体" w:cs="宋体"/>
          <w:sz w:val="24"/>
        </w:rPr>
        <w:t>▲</w:t>
      </w:r>
      <w:r>
        <w:rPr>
          <w:rFonts w:hint="eastAsia" w:ascii="宋体" w:hAnsi="宋体" w:cs="宋体"/>
          <w:sz w:val="24"/>
          <w:lang w:val="en-US" w:eastAsia="zh-CN"/>
        </w:rPr>
        <w:t>六</w:t>
      </w:r>
      <w:r>
        <w:rPr>
          <w:rFonts w:hint="eastAsia" w:ascii="宋体" w:hAnsi="宋体" w:eastAsia="宋体" w:cs="宋体"/>
          <w:b w:val="0"/>
          <w:bCs w:val="0"/>
          <w:sz w:val="24"/>
        </w:rPr>
        <w:t>、其他要求：</w:t>
      </w:r>
      <w:r>
        <w:rPr>
          <w:rFonts w:hint="eastAsia" w:ascii="宋体" w:hAnsi="宋体" w:eastAsia="宋体" w:cs="宋体"/>
          <w:sz w:val="24"/>
        </w:rPr>
        <w:t>成交供应商在合同签订前须提供与最终报价金额一致的明细作为合同附件。</w:t>
      </w:r>
    </w:p>
    <w:p>
      <w:pPr>
        <w:rPr>
          <w:rFonts w:hint="eastAsia" w:ascii="宋体" w:hAnsi="宋体" w:eastAsia="宋体" w:cs="宋体"/>
          <w:b/>
          <w:sz w:val="24"/>
        </w:rPr>
      </w:pPr>
      <w:r>
        <w:rPr>
          <w:rFonts w:hint="eastAsia" w:ascii="宋体" w:hAnsi="宋体" w:eastAsia="宋体" w:cs="宋体"/>
          <w:b/>
          <w:bCs/>
          <w:sz w:val="24"/>
        </w:rPr>
        <w:t>▲</w:t>
      </w:r>
      <w:r>
        <w:rPr>
          <w:rFonts w:hint="eastAsia" w:ascii="宋体" w:hAnsi="宋体" w:cs="宋体"/>
          <w:b/>
          <w:bCs/>
          <w:sz w:val="24"/>
          <w:lang w:val="en-US" w:eastAsia="zh-CN"/>
        </w:rPr>
        <w:t>七</w:t>
      </w:r>
      <w:r>
        <w:rPr>
          <w:rFonts w:hint="eastAsia" w:ascii="宋体" w:hAnsi="宋体" w:eastAsia="宋体" w:cs="宋体"/>
          <w:b/>
          <w:sz w:val="24"/>
        </w:rPr>
        <w:t>、商务要求</w:t>
      </w:r>
    </w:p>
    <w:tbl>
      <w:tblPr>
        <w:tblStyle w:val="47"/>
        <w:tblpPr w:leftFromText="180" w:rightFromText="180" w:vertAnchor="text" w:horzAnchor="page" w:tblpX="1285" w:tblpY="39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rPr>
                <w:rFonts w:hint="eastAsia" w:ascii="宋体" w:hAnsi="宋体" w:eastAsia="宋体" w:cs="宋体"/>
                <w:sz w:val="24"/>
                <w:szCs w:val="24"/>
                <w:highlight w:val="none"/>
                <w:lang w:val="en-US"/>
              </w:rPr>
            </w:pPr>
            <w:r>
              <w:rPr>
                <w:rFonts w:hint="eastAsia" w:ascii="宋体" w:hAnsi="宋体" w:eastAsia="宋体" w:cs="宋体"/>
                <w:bCs/>
                <w:sz w:val="24"/>
                <w:highlight w:val="yellow"/>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eastAsia" w:ascii="宋体" w:hAnsi="宋体" w:eastAsia="宋体" w:cs="宋体"/>
                <w:sz w:val="24"/>
                <w:szCs w:val="24"/>
              </w:rPr>
            </w:pPr>
            <w:r>
              <w:rPr>
                <w:rFonts w:hint="eastAsia" w:ascii="宋体" w:hAnsi="宋体" w:eastAsia="宋体" w:cs="宋体"/>
                <w:sz w:val="24"/>
                <w:szCs w:val="24"/>
              </w:rPr>
              <w:t>服务地点</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360"/>
              </w:tabs>
              <w:rPr>
                <w:rFonts w:hint="eastAsia" w:ascii="宋体" w:hAnsi="宋体" w:eastAsia="宋体" w:cs="宋体"/>
                <w:sz w:val="24"/>
                <w:szCs w:val="24"/>
              </w:rPr>
            </w:pPr>
            <w:r>
              <w:rPr>
                <w:rFonts w:hint="eastAsia" w:ascii="宋体" w:hAnsi="宋体" w:eastAsia="宋体" w:cs="宋体"/>
                <w:sz w:val="24"/>
                <w:szCs w:val="24"/>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在疫情期间，根据浙江省财政厅《关于坚决打赢疫情防控阻击战进一步做好政府采购资金支持企业发展工作的通知》（浙财采监﹝2020﹞3 号）要求,制订以下付款方式</w:t>
            </w:r>
            <w:r>
              <w:rPr>
                <w:rFonts w:hint="eastAsia" w:ascii="宋体" w:hAnsi="宋体" w:eastAsia="宋体" w:cs="Times New Roman"/>
                <w:sz w:val="24"/>
                <w:szCs w:val="24"/>
                <w:lang w:eastAsia="zh-CN"/>
              </w:rPr>
              <w:t>：</w:t>
            </w:r>
          </w:p>
          <w:p>
            <w:pPr>
              <w:numPr>
                <w:ilvl w:val="0"/>
                <w:numId w:val="0"/>
              </w:numPr>
              <w:tabs>
                <w:tab w:val="left" w:pos="0"/>
              </w:tabs>
              <w:rPr>
                <w:rFonts w:hint="eastAsia" w:ascii="宋体" w:hAnsi="宋体" w:eastAsia="宋体" w:cs="Times New Roman"/>
                <w:color w:val="4F81BD" w:themeColor="accent1"/>
                <w:sz w:val="24"/>
                <w:szCs w:val="24"/>
                <w:highlight w:val="none"/>
                <w:lang w:val="en-US" w:eastAsia="zh-CN"/>
                <w14:textFill>
                  <w14:solidFill>
                    <w14:schemeClr w14:val="accent1"/>
                  </w14:solidFill>
                </w14:textFill>
              </w:rPr>
            </w:pPr>
            <w:r>
              <w:rPr>
                <w:rFonts w:hint="eastAsia" w:ascii="宋体" w:hAnsi="宋体" w:eastAsia="宋体" w:cs="Times New Roman"/>
                <w:color w:val="4F81BD" w:themeColor="accent1"/>
                <w:sz w:val="24"/>
                <w:szCs w:val="24"/>
                <w:highlight w:val="none"/>
                <w:lang w:val="en-US" w:eastAsia="zh-CN"/>
                <w14:textFill>
                  <w14:solidFill>
                    <w14:schemeClr w14:val="accent1"/>
                  </w14:solidFill>
                </w14:textFill>
              </w:rPr>
              <w:t>采购合同生效及具备实施条件后</w:t>
            </w:r>
            <w:r>
              <w:rPr>
                <w:rFonts w:hint="eastAsia" w:ascii="宋体" w:hAnsi="宋体" w:cs="Times New Roman"/>
                <w:color w:val="4F81BD" w:themeColor="accent1"/>
                <w:sz w:val="24"/>
                <w:szCs w:val="24"/>
                <w:highlight w:val="none"/>
                <w:lang w:val="en-US" w:eastAsia="zh-CN"/>
                <w14:textFill>
                  <w14:solidFill>
                    <w14:schemeClr w14:val="accent1"/>
                  </w14:solidFill>
                </w14:textFill>
              </w:rPr>
              <w:t>30</w:t>
            </w:r>
            <w:r>
              <w:rPr>
                <w:rFonts w:hint="eastAsia" w:ascii="宋体" w:hAnsi="宋体" w:eastAsia="宋体" w:cs="Times New Roman"/>
                <w:color w:val="4F81BD" w:themeColor="accent1"/>
                <w:sz w:val="24"/>
                <w:szCs w:val="24"/>
                <w:highlight w:val="none"/>
                <w:lang w:val="en-US" w:eastAsia="zh-CN"/>
                <w14:textFill>
                  <w14:solidFill>
                    <w14:schemeClr w14:val="accent1"/>
                  </w14:solidFill>
                </w14:textFill>
              </w:rPr>
              <w:t>天内支付合同总价的40%，服务期满后一次性付清余款</w:t>
            </w:r>
            <w:r>
              <w:rPr>
                <w:rFonts w:hint="eastAsia" w:ascii="宋体" w:hAnsi="宋体" w:cs="Times New Roman"/>
                <w:color w:val="4F81BD" w:themeColor="accent1"/>
                <w:sz w:val="24"/>
                <w:szCs w:val="24"/>
                <w:highlight w:val="none"/>
                <w:lang w:val="en-US" w:eastAsia="zh-CN"/>
                <w14:textFill>
                  <w14:solidFill>
                    <w14:schemeClr w14:val="accent1"/>
                  </w14:solidFill>
                </w14:textFill>
              </w:rPr>
              <w:t>。</w:t>
            </w:r>
            <w:r>
              <w:rPr>
                <w:rFonts w:hint="eastAsia" w:ascii="宋体" w:hAnsi="宋体" w:eastAsia="宋体" w:cs="宋体"/>
                <w:color w:val="000000"/>
                <w:sz w:val="22"/>
                <w:szCs w:val="22"/>
              </w:rPr>
              <w:t>（具体支付方式可另行协商）</w:t>
            </w:r>
          </w:p>
          <w:p>
            <w:pPr>
              <w:numPr>
                <w:ilvl w:val="0"/>
                <w:numId w:val="0"/>
              </w:numPr>
              <w:tabs>
                <w:tab w:val="left" w:pos="0"/>
              </w:tabs>
              <w:rPr>
                <w:rFonts w:hint="eastAsia" w:ascii="宋体" w:hAnsi="宋体" w:eastAsia="宋体" w:cs="宋体"/>
                <w:color w:val="FF0000"/>
                <w:sz w:val="24"/>
                <w:szCs w:val="24"/>
                <w:highlight w:val="none"/>
              </w:rPr>
            </w:pPr>
            <w:r>
              <w:rPr>
                <w:rFonts w:hint="eastAsia" w:ascii="宋体" w:hAnsi="宋体" w:eastAsia="宋体" w:cs="Times New Roman"/>
                <w:sz w:val="24"/>
                <w:szCs w:val="24"/>
                <w:lang w:val="en-US" w:eastAsia="zh-CN"/>
              </w:rPr>
              <w:t>注:</w:t>
            </w:r>
            <w:r>
              <w:rPr>
                <w:rFonts w:hint="eastAsia" w:ascii="宋体" w:hAnsi="宋体" w:eastAsia="宋体" w:cs="Times New Roman"/>
                <w:sz w:val="24"/>
                <w:szCs w:val="24"/>
                <w:lang w:eastAsia="zh-CN"/>
              </w:rPr>
              <w:t>（</w:t>
            </w:r>
            <w:r>
              <w:rPr>
                <w:rFonts w:hint="eastAsia" w:ascii="宋体" w:hAnsi="宋体" w:eastAsia="宋体" w:cs="Times New Roman"/>
                <w:sz w:val="24"/>
                <w:szCs w:val="24"/>
              </w:rPr>
              <w:t>在签订合同时，成交供应商明确表示无需预付款或者主动要求降低预付款比例的，采购人可不适用前述规定。</w:t>
            </w:r>
            <w:r>
              <w:rPr>
                <w:rFonts w:hint="eastAsia" w:ascii="宋体" w:hAnsi="宋体" w:eastAsia="宋体" w:cs="Times New Roman"/>
                <w:sz w:val="24"/>
                <w:szCs w:val="24"/>
                <w:lang w:eastAsia="zh-CN"/>
              </w:rPr>
              <w:t>）</w:t>
            </w:r>
          </w:p>
        </w:tc>
      </w:tr>
    </w:tbl>
    <w:p>
      <w:pPr>
        <w:autoSpaceDE w:val="0"/>
        <w:autoSpaceDN w:val="0"/>
        <w:adjustRightInd w:val="0"/>
        <w:snapToGrid w:val="0"/>
        <w:textAlignment w:val="bottom"/>
        <w:rPr>
          <w:rFonts w:hint="eastAsia" w:ascii="宋体" w:hAnsi="宋体" w:eastAsia="宋体" w:cs="宋体"/>
          <w:b/>
          <w:bCs/>
          <w:sz w:val="24"/>
        </w:rPr>
      </w:pPr>
    </w:p>
    <w:p>
      <w:pPr>
        <w:autoSpaceDE w:val="0"/>
        <w:autoSpaceDN w:val="0"/>
        <w:adjustRightInd w:val="0"/>
        <w:snapToGrid w:val="0"/>
        <w:spacing w:line="380" w:lineRule="exact"/>
        <w:ind w:firstLine="482" w:firstLineChars="200"/>
        <w:textAlignment w:val="bottom"/>
        <w:rPr>
          <w:rFonts w:hint="eastAsia" w:ascii="宋体" w:hAnsi="宋体" w:eastAsia="宋体" w:cs="宋体"/>
          <w:b/>
          <w:bCs/>
          <w:i/>
          <w:sz w:val="24"/>
          <w:u w:val="single"/>
        </w:rPr>
      </w:pPr>
      <w:r>
        <w:rPr>
          <w:rFonts w:hint="eastAsia" w:ascii="宋体" w:hAnsi="宋体" w:eastAsia="宋体" w:cs="宋体"/>
          <w:b/>
          <w:bCs/>
          <w:sz w:val="24"/>
        </w:rPr>
        <w:t>本磋商文件中带“▲”的条款为实质性条款，竞标人必须在响应文件中全部作出响应，否则将作无效标处理；本磋商文件中带“</w:t>
      </w:r>
      <w:r>
        <w:rPr>
          <w:rFonts w:hint="eastAsia" w:ascii="宋体" w:hAnsi="宋体" w:eastAsia="宋体" w:cs="宋体"/>
          <w:sz w:val="24"/>
        </w:rPr>
        <w:t>★</w:t>
      </w:r>
      <w:r>
        <w:rPr>
          <w:rFonts w:hint="eastAsia" w:ascii="宋体" w:hAnsi="宋体" w:eastAsia="宋体" w:cs="宋体"/>
          <w:b/>
          <w:bCs/>
          <w:sz w:val="24"/>
        </w:rPr>
        <w:t>”的条款为重要条款。</w:t>
      </w:r>
    </w:p>
    <w:p>
      <w:pPr>
        <w:autoSpaceDE w:val="0"/>
        <w:autoSpaceDN w:val="0"/>
        <w:adjustRightInd w:val="0"/>
        <w:snapToGrid w:val="0"/>
        <w:spacing w:line="380" w:lineRule="exact"/>
        <w:ind w:firstLine="482" w:firstLineChars="200"/>
        <w:textAlignment w:val="bottom"/>
        <w:rPr>
          <w:rFonts w:hint="eastAsia" w:ascii="宋体" w:hAnsi="宋体" w:eastAsia="宋体" w:cs="宋体"/>
          <w:b/>
          <w:bCs/>
          <w:i w:val="0"/>
          <w:iCs/>
          <w:sz w:val="24"/>
          <w:u w:val="single"/>
        </w:rPr>
      </w:pPr>
      <w:r>
        <w:rPr>
          <w:rFonts w:hint="eastAsia" w:ascii="宋体" w:hAnsi="宋体" w:eastAsia="宋体" w:cs="宋体"/>
          <w:b/>
          <w:bCs/>
          <w:i w:val="0"/>
          <w:iCs/>
          <w:sz w:val="24"/>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keepNext w:val="0"/>
        <w:keepLines w:val="0"/>
        <w:pageBreakBefore w:val="0"/>
        <w:kinsoku/>
        <w:wordWrap/>
        <w:overflowPunct/>
        <w:topLinePunct w:val="0"/>
        <w:autoSpaceDE/>
        <w:autoSpaceDN/>
        <w:bidi w:val="0"/>
        <w:snapToGrid w:val="0"/>
        <w:spacing w:line="36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pStyle w:val="5"/>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第四章  </w:t>
      </w:r>
      <w:bookmarkEnd w:id="47"/>
      <w:r>
        <w:rPr>
          <w:rFonts w:cs="Calibri"/>
          <w:color w:val="000000" w:themeColor="text1"/>
          <w14:textFill>
            <w14:solidFill>
              <w14:schemeClr w14:val="tx1"/>
            </w14:solidFill>
          </w14:textFill>
        </w:rPr>
        <w:t>合同草案条款</w:t>
      </w:r>
      <w:bookmarkEnd w:id="48"/>
      <w:bookmarkEnd w:id="49"/>
      <w:r>
        <w:rPr>
          <w:rFonts w:hint="eastAsia" w:cs="Calibri"/>
          <w:color w:val="000000" w:themeColor="text1"/>
          <w14:textFill>
            <w14:solidFill>
              <w14:schemeClr w14:val="tx1"/>
            </w14:solidFill>
          </w14:textFill>
        </w:rPr>
        <w:t>（供参考）</w:t>
      </w:r>
    </w:p>
    <w:p>
      <w:pPr>
        <w:jc w:val="center"/>
        <w:rPr>
          <w:rFonts w:cs="Calibri"/>
          <w:color w:val="000000" w:themeColor="text1"/>
          <w:sz w:val="32"/>
          <w:szCs w:val="32"/>
          <w14:textFill>
            <w14:solidFill>
              <w14:schemeClr w14:val="tx1"/>
            </w14:solidFill>
          </w14:textFill>
        </w:rPr>
      </w:pPr>
    </w:p>
    <w:p>
      <w:pPr>
        <w:jc w:val="center"/>
        <w:rPr>
          <w:rFonts w:hint="eastAsia" w:ascii="宋体" w:hAnsi="宋体" w:eastAsia="宋体" w:cs="宋体"/>
          <w:b/>
          <w:sz w:val="28"/>
          <w:szCs w:val="28"/>
        </w:rPr>
      </w:pPr>
      <w:r>
        <w:rPr>
          <w:rFonts w:hint="eastAsia" w:ascii="宋体" w:hAnsi="宋体" w:eastAsia="宋体" w:cs="宋体"/>
          <w:b/>
          <w:sz w:val="28"/>
          <w:szCs w:val="28"/>
        </w:rPr>
        <w:t>合同主要条款</w:t>
      </w:r>
    </w:p>
    <w:p>
      <w:pPr>
        <w:jc w:val="center"/>
        <w:rPr>
          <w:rFonts w:hint="eastAsia" w:ascii="宋体" w:hAnsi="宋体" w:eastAsia="宋体" w:cs="宋体"/>
          <w:b/>
          <w:sz w:val="28"/>
          <w:szCs w:val="28"/>
        </w:rPr>
      </w:pPr>
      <w:r>
        <w:rPr>
          <w:rFonts w:hint="eastAsia" w:ascii="宋体" w:hAnsi="宋体" w:eastAsia="宋体" w:cs="宋体"/>
          <w:b/>
          <w:sz w:val="28"/>
          <w:szCs w:val="28"/>
        </w:rPr>
        <w:t>（服务类）</w:t>
      </w:r>
    </w:p>
    <w:p>
      <w:pPr>
        <w:spacing w:line="360" w:lineRule="auto"/>
        <w:jc w:val="center"/>
        <w:rPr>
          <w:rFonts w:hint="eastAsia" w:ascii="宋体" w:hAnsi="宋体" w:eastAsia="宋体" w:cs="宋体"/>
          <w:b/>
          <w:bCs/>
          <w:spacing w:val="-20"/>
          <w:sz w:val="22"/>
          <w:szCs w:val="22"/>
          <w:lang w:eastAsia="zh-CN"/>
        </w:rPr>
      </w:pPr>
      <w:r>
        <w:rPr>
          <w:rFonts w:hint="eastAsia" w:ascii="宋体" w:hAnsi="宋体" w:eastAsia="宋体" w:cs="宋体"/>
          <w:b/>
          <w:bCs/>
          <w:spacing w:val="-20"/>
          <w:sz w:val="22"/>
          <w:szCs w:val="22"/>
        </w:rPr>
        <w:t>财政审批编号:</w:t>
      </w:r>
      <w:r>
        <w:rPr>
          <w:rFonts w:hint="eastAsia" w:ascii="宋体" w:hAnsi="宋体" w:eastAsia="宋体" w:cs="宋体"/>
          <w:b/>
          <w:bCs/>
          <w:spacing w:val="-20"/>
          <w:sz w:val="22"/>
          <w:szCs w:val="22"/>
          <w:lang w:val="en-US" w:eastAsia="zh-CN"/>
        </w:rPr>
        <w:t xml:space="preserve">   </w:t>
      </w:r>
      <w:r>
        <w:rPr>
          <w:rFonts w:hint="eastAsia" w:ascii="宋体" w:hAnsi="宋体" w:eastAsia="宋体" w:cs="宋体"/>
          <w:b/>
          <w:bCs/>
          <w:spacing w:val="-20"/>
          <w:sz w:val="22"/>
          <w:szCs w:val="22"/>
        </w:rPr>
        <w:t xml:space="preserve">;   </w:t>
      </w:r>
      <w:r>
        <w:rPr>
          <w:rFonts w:hint="eastAsia" w:ascii="宋体" w:hAnsi="宋体" w:eastAsia="宋体" w:cs="宋体"/>
          <w:b/>
          <w:bCs/>
          <w:spacing w:val="-20"/>
          <w:sz w:val="22"/>
          <w:szCs w:val="22"/>
          <w:lang w:val="en-US" w:eastAsia="zh-CN"/>
        </w:rPr>
        <w:t xml:space="preserve">                   </w:t>
      </w:r>
      <w:r>
        <w:rPr>
          <w:rFonts w:hint="eastAsia" w:ascii="宋体" w:hAnsi="宋体" w:eastAsia="宋体" w:cs="宋体"/>
          <w:b/>
          <w:bCs/>
          <w:spacing w:val="-20"/>
          <w:sz w:val="22"/>
          <w:szCs w:val="22"/>
        </w:rPr>
        <w:t xml:space="preserve">  招标文件编号: </w:t>
      </w:r>
      <w:r>
        <w:rPr>
          <w:rFonts w:hint="eastAsia" w:ascii="宋体" w:hAnsi="宋体" w:eastAsia="宋体" w:cs="宋体"/>
          <w:b/>
          <w:bCs/>
          <w:spacing w:val="-20"/>
          <w:sz w:val="22"/>
          <w:szCs w:val="22"/>
          <w:lang w:val="en-US" w:eastAsia="zh-CN"/>
        </w:rPr>
        <w:t xml:space="preserve"> </w:t>
      </w:r>
    </w:p>
    <w:p>
      <w:pPr>
        <w:spacing w:line="360" w:lineRule="auto"/>
        <w:rPr>
          <w:rFonts w:hint="eastAsia" w:ascii="宋体" w:hAnsi="宋体" w:eastAsia="宋体" w:cs="宋体"/>
          <w:b/>
          <w:bCs/>
          <w:sz w:val="22"/>
          <w:szCs w:val="22"/>
        </w:rPr>
      </w:pPr>
      <w:r>
        <w:rPr>
          <w:rFonts w:hint="eastAsia" w:ascii="宋体" w:hAnsi="宋体" w:eastAsia="宋体" w:cs="宋体"/>
          <w:b/>
          <w:bCs/>
          <w:sz w:val="22"/>
          <w:szCs w:val="22"/>
        </w:rPr>
        <w:t>1.定义</w:t>
      </w:r>
    </w:p>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本合同中的下列术语应解释为：</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1.1“合同”系指供需双方签署的、合同格式中载明的供需双方所达成的协议，包括所有的附件、附录和构成合同的所有文件；</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1.2“合同价”系指根据合同规定，采购人在供应商完全履行合同义务后应付给的价格；</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1.3“货物”系指供应商根据合同规定向采购人提供的一切货物、质量保证书和其他技术资料及技术参数；</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1.4“服务”系指根据合同规定供应商承担与供货有关的辅助服务，如运输、装卸、安装、保险以及其他的服务，例如安装、调试提供技术援助、培训和其他类似的义务；</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1.5“采购人”系指</w:t>
      </w:r>
      <w:r>
        <w:rPr>
          <w:rFonts w:hint="eastAsia" w:ascii="宋体" w:hAnsi="宋体" w:eastAsia="宋体" w:cs="宋体"/>
          <w:bCs/>
          <w:sz w:val="22"/>
          <w:szCs w:val="22"/>
        </w:rPr>
        <w:t>具体使用货物和接受服务的使用单位；</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1.6“供应商”系指根据合同规定提供采购项目货物和服务的具有法人资格的公司、企业或实体；</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1.7“财政审批编号”系指市财政局审批编号。</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2.合同项目与内容</w:t>
      </w:r>
    </w:p>
    <w:p>
      <w:pPr>
        <w:spacing w:line="440" w:lineRule="exact"/>
        <w:ind w:firstLine="440" w:firstLineChars="200"/>
        <w:rPr>
          <w:rFonts w:hint="eastAsia" w:ascii="宋体" w:hAnsi="宋体" w:eastAsia="宋体" w:cs="宋体"/>
          <w:b/>
          <w:bCs/>
          <w:sz w:val="22"/>
          <w:szCs w:val="22"/>
        </w:rPr>
      </w:pPr>
      <w:r>
        <w:rPr>
          <w:rFonts w:hint="eastAsia" w:ascii="宋体" w:hAnsi="宋体" w:eastAsia="宋体" w:cs="宋体"/>
          <w:sz w:val="22"/>
          <w:szCs w:val="22"/>
          <w:lang w:val="en-US" w:eastAsia="zh-CN"/>
        </w:rPr>
        <w:t>康山</w:t>
      </w:r>
      <w:r>
        <w:rPr>
          <w:rFonts w:hint="eastAsia" w:ascii="宋体" w:hAnsi="宋体" w:eastAsia="宋体" w:cs="宋体"/>
          <w:sz w:val="22"/>
          <w:szCs w:val="22"/>
          <w:lang w:eastAsia="zh-CN"/>
        </w:rPr>
        <w:t>街道精细化管理服务外包项目</w:t>
      </w:r>
      <w:r>
        <w:rPr>
          <w:rFonts w:hint="eastAsia" w:ascii="宋体" w:hAnsi="宋体" w:eastAsia="宋体" w:cs="宋体"/>
          <w:sz w:val="22"/>
          <w:szCs w:val="22"/>
        </w:rPr>
        <w:t xml:space="preserve">  </w:t>
      </w:r>
      <w:r>
        <w:rPr>
          <w:rFonts w:hint="eastAsia" w:ascii="宋体" w:hAnsi="宋体" w:eastAsia="宋体" w:cs="宋体"/>
          <w:b/>
          <w:bCs/>
          <w:sz w:val="22"/>
          <w:szCs w:val="22"/>
        </w:rPr>
        <w:t xml:space="preserve"> </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3.服务时间与服务地点</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服务时间：详见招标文件要求；</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服务地点：由采购单位指定。</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4.签署合同的要求</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4.1、供应商必须按照竞标文件和询标过程中承诺的条款以及中标通知书中规定的时间、地点与采购人签订合同；</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4.2、所签订的合同内容不得对招标文件和供应商的投标文件作实质性修改；</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4.3、采购人不得向供应商提出任何不合理的要求，作为签订合同的条件，不得与供应商私下订立背离合同实质性内容的协议；</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4.4、自采购合同签订之日起 7个工作日内，将采购合同副本2份送本项目招标代理机构、同级人民政府财政部门备案。</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5.技术规范</w:t>
      </w:r>
    </w:p>
    <w:p>
      <w:pPr>
        <w:spacing w:line="440" w:lineRule="exact"/>
        <w:ind w:firstLine="440" w:firstLineChars="200"/>
        <w:rPr>
          <w:rFonts w:hint="eastAsia" w:ascii="宋体" w:hAnsi="宋体" w:eastAsia="宋体" w:cs="宋体"/>
          <w:sz w:val="22"/>
          <w:szCs w:val="22"/>
          <w:lang w:val="zh-CN"/>
        </w:rPr>
      </w:pPr>
      <w:r>
        <w:rPr>
          <w:rFonts w:hint="eastAsia" w:ascii="宋体" w:hAnsi="宋体" w:eastAsia="宋体" w:cs="宋体"/>
          <w:sz w:val="22"/>
          <w:szCs w:val="22"/>
          <w:lang w:val="zh-CN"/>
        </w:rPr>
        <w:t>本合同执行国家及本省、市现行项目实施及验收规范及有关条例、实施办法等。</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提供和交付的服务技术规范应与招标文件规定的技术规范相一致。</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6.知识产权</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供应商保证所提供的服务及货物均不存在知识产权纠纷。供应商应保证采购人在使用时不受第三方提出侵犯其专利权、商标权等知识产权的诉讼。</w:t>
      </w:r>
    </w:p>
    <w:p>
      <w:pPr>
        <w:spacing w:line="440" w:lineRule="exact"/>
        <w:rPr>
          <w:rFonts w:hint="eastAsia" w:ascii="宋体" w:hAnsi="宋体" w:eastAsia="宋体" w:cs="宋体"/>
          <w:b/>
          <w:bCs/>
          <w:color w:val="000000"/>
          <w:sz w:val="22"/>
          <w:szCs w:val="22"/>
        </w:rPr>
      </w:pPr>
      <w:r>
        <w:rPr>
          <w:rFonts w:hint="eastAsia" w:ascii="宋体" w:hAnsi="宋体" w:eastAsia="宋体" w:cs="宋体"/>
          <w:b/>
          <w:bCs/>
          <w:color w:val="000000"/>
          <w:sz w:val="22"/>
          <w:szCs w:val="22"/>
        </w:rPr>
        <w:t>7.</w:t>
      </w:r>
      <w:r>
        <w:rPr>
          <w:rFonts w:hint="eastAsia" w:ascii="宋体" w:hAnsi="宋体" w:eastAsia="宋体" w:cs="宋体"/>
          <w:color w:val="000000"/>
          <w:sz w:val="22"/>
          <w:szCs w:val="22"/>
        </w:rPr>
        <w:t xml:space="preserve"> </w:t>
      </w:r>
      <w:r>
        <w:rPr>
          <w:rFonts w:hint="eastAsia" w:ascii="宋体" w:hAnsi="宋体" w:eastAsia="宋体" w:cs="宋体"/>
          <w:b/>
          <w:bCs/>
          <w:color w:val="000000"/>
          <w:sz w:val="22"/>
          <w:szCs w:val="22"/>
        </w:rPr>
        <w:t>工作考核及付款方式</w:t>
      </w:r>
    </w:p>
    <w:p>
      <w:pPr>
        <w:spacing w:line="440" w:lineRule="exact"/>
        <w:ind w:firstLine="442" w:firstLineChars="200"/>
        <w:rPr>
          <w:rFonts w:hint="eastAsia" w:ascii="宋体" w:hAnsi="宋体" w:eastAsia="宋体" w:cs="宋体"/>
          <w:b/>
          <w:color w:val="000000"/>
          <w:sz w:val="22"/>
          <w:szCs w:val="22"/>
        </w:rPr>
      </w:pPr>
      <w:r>
        <w:rPr>
          <w:rFonts w:hint="eastAsia" w:ascii="宋体" w:hAnsi="宋体" w:eastAsia="宋体" w:cs="宋体"/>
          <w:b/>
          <w:color w:val="000000"/>
          <w:sz w:val="22"/>
          <w:szCs w:val="22"/>
        </w:rPr>
        <w:t>在疫情期间，根据省财政厅《关于坚决打赢疫情防控阻击战进一步做好政府采购资金支持企业发展工作的通知》（浙财采监【2020】3号）要求。</w:t>
      </w:r>
    </w:p>
    <w:p>
      <w:pPr>
        <w:numPr>
          <w:ilvl w:val="0"/>
          <w:numId w:val="0"/>
        </w:numPr>
        <w:tabs>
          <w:tab w:val="left" w:pos="0"/>
        </w:tabs>
        <w:rPr>
          <w:rFonts w:hint="eastAsia" w:ascii="宋体" w:hAnsi="宋体" w:eastAsia="宋体" w:cs="宋体"/>
          <w:bCs/>
          <w:color w:val="FF0000"/>
          <w:sz w:val="22"/>
          <w:szCs w:val="22"/>
        </w:rPr>
      </w:pPr>
      <w:r>
        <w:rPr>
          <w:rFonts w:hint="eastAsia" w:ascii="宋体" w:hAnsi="宋体" w:eastAsia="宋体" w:cs="宋体"/>
          <w:b/>
          <w:color w:val="FF0000"/>
          <w:sz w:val="22"/>
          <w:szCs w:val="22"/>
        </w:rPr>
        <w:t>付款方式：</w:t>
      </w:r>
      <w:r>
        <w:rPr>
          <w:rFonts w:hint="eastAsia" w:ascii="宋体" w:hAnsi="宋体" w:eastAsia="宋体" w:cs="Times New Roman"/>
          <w:color w:val="4F81BD" w:themeColor="accent1"/>
          <w:sz w:val="24"/>
          <w:szCs w:val="24"/>
          <w:highlight w:val="none"/>
          <w:lang w:val="en-US" w:eastAsia="zh-CN"/>
          <w14:textFill>
            <w14:solidFill>
              <w14:schemeClr w14:val="accent1"/>
            </w14:solidFill>
          </w14:textFill>
        </w:rPr>
        <w:t>采购合同生效及具备实施条件后</w:t>
      </w:r>
      <w:r>
        <w:rPr>
          <w:rFonts w:hint="eastAsia" w:ascii="宋体" w:hAnsi="宋体" w:cs="Times New Roman"/>
          <w:color w:val="4F81BD" w:themeColor="accent1"/>
          <w:sz w:val="24"/>
          <w:szCs w:val="24"/>
          <w:highlight w:val="none"/>
          <w:lang w:val="en-US" w:eastAsia="zh-CN"/>
          <w14:textFill>
            <w14:solidFill>
              <w14:schemeClr w14:val="accent1"/>
            </w14:solidFill>
          </w14:textFill>
        </w:rPr>
        <w:t>30</w:t>
      </w:r>
      <w:r>
        <w:rPr>
          <w:rFonts w:hint="eastAsia" w:ascii="宋体" w:hAnsi="宋体" w:eastAsia="宋体" w:cs="Times New Roman"/>
          <w:color w:val="4F81BD" w:themeColor="accent1"/>
          <w:sz w:val="24"/>
          <w:szCs w:val="24"/>
          <w:highlight w:val="none"/>
          <w:lang w:val="en-US" w:eastAsia="zh-CN"/>
          <w14:textFill>
            <w14:solidFill>
              <w14:schemeClr w14:val="accent1"/>
            </w14:solidFill>
          </w14:textFill>
        </w:rPr>
        <w:t>天内支付合同总价的40%，服务期满后一次性付清余款</w:t>
      </w:r>
      <w:r>
        <w:rPr>
          <w:rFonts w:hint="eastAsia" w:ascii="宋体" w:hAnsi="宋体" w:cs="Times New Roman"/>
          <w:color w:val="4F81BD" w:themeColor="accent1"/>
          <w:sz w:val="24"/>
          <w:szCs w:val="24"/>
          <w:highlight w:val="none"/>
          <w:lang w:val="en-US" w:eastAsia="zh-CN"/>
          <w14:textFill>
            <w14:solidFill>
              <w14:schemeClr w14:val="accent1"/>
            </w14:solidFill>
          </w14:textFill>
        </w:rPr>
        <w:t>。</w:t>
      </w:r>
      <w:r>
        <w:rPr>
          <w:rFonts w:hint="eastAsia" w:ascii="宋体" w:hAnsi="宋体" w:eastAsia="宋体" w:cs="宋体"/>
          <w:color w:val="4F81BD" w:themeColor="accent1"/>
          <w:sz w:val="22"/>
          <w:szCs w:val="22"/>
          <w14:textFill>
            <w14:solidFill>
              <w14:schemeClr w14:val="accent1"/>
            </w14:solidFill>
          </w14:textFill>
        </w:rPr>
        <w:t>（具体支付方式可另行协商）</w:t>
      </w:r>
    </w:p>
    <w:p>
      <w:pPr>
        <w:spacing w:line="440" w:lineRule="exact"/>
        <w:rPr>
          <w:rFonts w:hint="eastAsia" w:ascii="宋体" w:hAnsi="宋体" w:eastAsia="宋体" w:cs="宋体"/>
          <w:sz w:val="22"/>
          <w:szCs w:val="22"/>
        </w:rPr>
      </w:pPr>
      <w:r>
        <w:rPr>
          <w:rFonts w:hint="eastAsia" w:ascii="宋体" w:hAnsi="宋体" w:eastAsia="宋体" w:cs="宋体"/>
          <w:b/>
          <w:bCs/>
          <w:sz w:val="22"/>
          <w:szCs w:val="22"/>
        </w:rPr>
        <w:t>8.支付</w:t>
      </w:r>
      <w:r>
        <w:rPr>
          <w:rFonts w:hint="eastAsia" w:ascii="宋体" w:hAnsi="宋体" w:eastAsia="宋体" w:cs="宋体"/>
          <w:sz w:val="22"/>
          <w:szCs w:val="22"/>
        </w:rPr>
        <w:t>：支付应使用人民币；</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9.技术服务</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供应商应负责安排采购人相关人员进行操作、维修的培训。具体时间及培训内容在投标时由供应商提出建议；</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10.售后服务及承诺</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10.1供应商应明确承诺售后服务各项内容和措施，提供详细的服务地点、联系人、电话等有关资料；</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10.2</w:t>
      </w:r>
      <w:r>
        <w:rPr>
          <w:rFonts w:hint="eastAsia" w:ascii="宋体" w:hAnsi="宋体" w:eastAsia="宋体" w:cs="宋体"/>
          <w:b/>
          <w:bCs/>
          <w:sz w:val="22"/>
          <w:szCs w:val="22"/>
        </w:rPr>
        <w:t>服务期：详见招标文件要求</w:t>
      </w:r>
      <w:r>
        <w:rPr>
          <w:rFonts w:hint="eastAsia" w:ascii="宋体" w:hAnsi="宋体" w:eastAsia="宋体" w:cs="宋体"/>
          <w:bCs/>
          <w:sz w:val="22"/>
          <w:szCs w:val="22"/>
        </w:rPr>
        <w:t>。在服务期内，因服务质量所发生的一切费用均由供应商承担；</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11.履约保证及后续服务</w:t>
      </w:r>
    </w:p>
    <w:p>
      <w:pPr>
        <w:spacing w:line="440" w:lineRule="exact"/>
        <w:ind w:firstLine="442" w:firstLineChars="200"/>
        <w:rPr>
          <w:rFonts w:hint="eastAsia" w:ascii="宋体" w:hAnsi="宋体" w:eastAsia="宋体" w:cs="宋体"/>
          <w:b/>
          <w:bCs/>
          <w:color w:val="4F81BD" w:themeColor="accent1"/>
          <w:sz w:val="22"/>
          <w:szCs w:val="22"/>
          <w14:textFill>
            <w14:solidFill>
              <w14:schemeClr w14:val="accent1"/>
            </w14:solidFill>
          </w14:textFill>
        </w:rPr>
      </w:pPr>
      <w:r>
        <w:rPr>
          <w:rFonts w:hint="eastAsia" w:ascii="宋体" w:hAnsi="宋体" w:eastAsia="宋体" w:cs="宋体"/>
          <w:b/>
          <w:bCs/>
          <w:color w:val="4F81BD" w:themeColor="accent1"/>
          <w:sz w:val="22"/>
          <w:szCs w:val="22"/>
          <w14:textFill>
            <w14:solidFill>
              <w14:schemeClr w14:val="accent1"/>
            </w14:solidFill>
          </w14:textFill>
        </w:rPr>
        <w:t>11.1 供应商应在签订本合同之日起</w:t>
      </w:r>
      <w:r>
        <w:rPr>
          <w:rFonts w:hint="eastAsia" w:ascii="宋体" w:hAnsi="宋体" w:eastAsia="宋体" w:cs="宋体"/>
          <w:b/>
          <w:bCs/>
          <w:color w:val="4F81BD" w:themeColor="accent1"/>
          <w:sz w:val="22"/>
          <w:szCs w:val="22"/>
          <w:u w:val="single"/>
          <w14:textFill>
            <w14:solidFill>
              <w14:schemeClr w14:val="accent1"/>
            </w14:solidFill>
          </w14:textFill>
        </w:rPr>
        <w:t>/</w:t>
      </w:r>
      <w:r>
        <w:rPr>
          <w:rFonts w:hint="eastAsia" w:ascii="宋体" w:hAnsi="宋体" w:eastAsia="宋体" w:cs="宋体"/>
          <w:b/>
          <w:bCs/>
          <w:color w:val="4F81BD" w:themeColor="accent1"/>
          <w:sz w:val="22"/>
          <w:szCs w:val="22"/>
          <w14:textFill>
            <w14:solidFill>
              <w14:schemeClr w14:val="accent1"/>
            </w14:solidFill>
          </w14:textFill>
        </w:rPr>
        <w:t>日内提供履约保证金</w:t>
      </w:r>
      <w:r>
        <w:rPr>
          <w:rFonts w:hint="eastAsia" w:ascii="宋体" w:hAnsi="宋体" w:eastAsia="宋体" w:cs="宋体"/>
          <w:b/>
          <w:bCs/>
          <w:color w:val="4F81BD" w:themeColor="accent1"/>
          <w:sz w:val="22"/>
          <w:szCs w:val="22"/>
          <w:u w:val="single"/>
          <w14:textFill>
            <w14:solidFill>
              <w14:schemeClr w14:val="accent1"/>
            </w14:solidFill>
          </w14:textFill>
        </w:rPr>
        <w:t>/</w:t>
      </w:r>
      <w:r>
        <w:rPr>
          <w:rFonts w:hint="eastAsia" w:ascii="宋体" w:hAnsi="宋体" w:eastAsia="宋体" w:cs="宋体"/>
          <w:b/>
          <w:bCs/>
          <w:color w:val="4F81BD" w:themeColor="accent1"/>
          <w:sz w:val="22"/>
          <w:szCs w:val="22"/>
          <w14:textFill>
            <w14:solidFill>
              <w14:schemeClr w14:val="accent1"/>
            </w14:solidFill>
          </w14:textFill>
        </w:rPr>
        <w:t>元，提供由银行、保险公司出具保函形式提交履约保证金。</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11.2 供应商应按招标文件规定的服务标准向采购人提供服务。</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11.3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11.4 供应商提供的服务人员不符合本合同约定的数额，供应商应当自接到采购人通知之日起2日内予以补足，采购人有权按照缺岗天数及缺岗人数扣除相应的履约保证金。</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11.5 由于供应商服务人员原因在服务工作中给采购人的设施、材料造成损失，供应商应负责赔偿。</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11.6 在使用过程中发生问题，供应商在接到采购人通知后在</w:t>
      </w:r>
      <w:r>
        <w:rPr>
          <w:rFonts w:hint="eastAsia" w:ascii="宋体" w:hAnsi="宋体" w:eastAsia="宋体" w:cs="宋体"/>
          <w:bCs/>
          <w:sz w:val="22"/>
          <w:szCs w:val="22"/>
          <w:u w:val="single"/>
        </w:rPr>
        <w:t xml:space="preserve">    </w:t>
      </w:r>
      <w:r>
        <w:rPr>
          <w:rFonts w:hint="eastAsia" w:ascii="宋体" w:hAnsi="宋体" w:eastAsia="宋体" w:cs="宋体"/>
          <w:bCs/>
          <w:sz w:val="22"/>
          <w:szCs w:val="22"/>
        </w:rPr>
        <w:t>小时内到达采购人现场。</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11.7 在服务质量保证期内，供应商应对出现的服务质量及安全问题负责处理解决并承担一切费用。</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11.8 在本合同履行完毕后，采购人扣除供应商在履约过程中产生的本合同涉及的相关赔偿金额后，在</w:t>
      </w:r>
      <w:r>
        <w:rPr>
          <w:rFonts w:hint="eastAsia" w:ascii="宋体" w:hAnsi="宋体" w:eastAsia="宋体" w:cs="宋体"/>
          <w:bCs/>
          <w:sz w:val="22"/>
          <w:szCs w:val="22"/>
          <w:u w:val="single"/>
        </w:rPr>
        <w:t>/</w:t>
      </w:r>
      <w:r>
        <w:rPr>
          <w:rFonts w:hint="eastAsia" w:ascii="宋体" w:hAnsi="宋体" w:eastAsia="宋体" w:cs="宋体"/>
          <w:bCs/>
          <w:sz w:val="22"/>
          <w:szCs w:val="22"/>
        </w:rPr>
        <w:t>日内将剩余履约保证金退还至供应商。</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12.违约责任</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12.1 采购人无正当理由拒收接受服务的，采购人向供应商偿付合同款项百分之五作为违约金。</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12.2 采购人无故逾期验收和办理款项支付手续的,采购人应按逾期付款总额每日万分之五向供应商支付违约金。</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12.4</w:t>
      </w:r>
      <w:r>
        <w:rPr>
          <w:rFonts w:hint="eastAsia" w:ascii="宋体" w:hAnsi="宋体" w:eastAsia="宋体" w:cs="宋体"/>
          <w:sz w:val="22"/>
          <w:szCs w:val="22"/>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r>
        <w:rPr>
          <w:rFonts w:hint="eastAsia" w:ascii="宋体" w:hAnsi="宋体" w:eastAsia="宋体" w:cs="宋体"/>
          <w:bCs/>
          <w:sz w:val="22"/>
          <w:szCs w:val="22"/>
        </w:rPr>
        <w:t xml:space="preserve"> </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13.不可抗力事件处理</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13.1 在合同有效期内，任何一方因不可抗力事件导致不能履行合同，则合同履行期可延长，其延长期与不可抗力影响期相同。</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13.2 不可抗力事件发生后，应立即通知对方，并寄送有关权威机构出具的证明。</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13.3 不可抗力事件延续120天以上，双方应通过友好协商，确定是否继续履行合同。</w:t>
      </w:r>
    </w:p>
    <w:p>
      <w:pPr>
        <w:spacing w:line="440" w:lineRule="exact"/>
        <w:rPr>
          <w:rFonts w:hint="eastAsia" w:ascii="宋体" w:hAnsi="宋体" w:eastAsia="宋体" w:cs="宋体"/>
          <w:bCs/>
          <w:sz w:val="22"/>
          <w:szCs w:val="22"/>
        </w:rPr>
      </w:pPr>
      <w:r>
        <w:rPr>
          <w:rFonts w:hint="eastAsia" w:ascii="宋体" w:hAnsi="宋体" w:eastAsia="宋体" w:cs="宋体"/>
          <w:b/>
          <w:bCs/>
          <w:sz w:val="22"/>
          <w:szCs w:val="22"/>
        </w:rPr>
        <w:t>14.</w:t>
      </w:r>
      <w:r>
        <w:rPr>
          <w:rFonts w:hint="eastAsia" w:ascii="宋体" w:hAnsi="宋体" w:eastAsia="宋体" w:cs="宋体"/>
          <w:bCs/>
          <w:sz w:val="22"/>
          <w:szCs w:val="22"/>
        </w:rPr>
        <w:t xml:space="preserve"> </w:t>
      </w:r>
      <w:r>
        <w:rPr>
          <w:rFonts w:hint="eastAsia" w:ascii="宋体" w:hAnsi="宋体" w:eastAsia="宋体" w:cs="宋体"/>
          <w:b/>
          <w:bCs/>
          <w:sz w:val="22"/>
          <w:szCs w:val="22"/>
        </w:rPr>
        <w:t>争议解决</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14.1在执行本合同中所发生的或与本合同有关的一切争端，合同双方应通过友好协商解决，经过协商仍不能解决，双方选择通过下列第x种方式解决：</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（1）将争端提交湖州仲裁委员会仲裁</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（2）直接向采购人所在地有管辖权的人民法院起诉。</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14.2仲裁费用或诉讼费用应由败诉方负担。</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14.3在仲裁或诉讼期间，除进行仲裁或诉讼的部分外，本合同其它部分应继续执行。</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15.转让或分包</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15.1本合同范围的服务，应由供应商提供，不得转让他人供应；</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15.3本合同全部或部分的分包不能减轻供应商承担的责任，供应商仍须将分包人的任何行动、错误或疏忽当作是自己完成的并负全责；</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15.4在任何分包合同中，须注明分包人按分包合同的范围履行，在供应商按本合同的履行终止时（不论任何原因），亦同时一并终止；</w:t>
      </w:r>
    </w:p>
    <w:p>
      <w:pPr>
        <w:spacing w:line="44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15.5如有转让和未经采购人同意的分包行为，采购人有权给予终止合同。</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16.适用法律</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sz w:val="22"/>
          <w:szCs w:val="22"/>
        </w:rPr>
        <w:t>合同适用法律有《中华人民共和国政府采购法》、《中华人民共和国</w:t>
      </w:r>
      <w:r>
        <w:rPr>
          <w:rFonts w:hint="eastAsia" w:ascii="宋体" w:hAnsi="宋体" w:cs="宋体"/>
          <w:sz w:val="22"/>
          <w:szCs w:val="22"/>
          <w:lang w:eastAsia="zh-CN"/>
        </w:rPr>
        <w:t>民法典</w:t>
      </w:r>
      <w:r>
        <w:rPr>
          <w:rFonts w:hint="eastAsia" w:ascii="宋体" w:hAnsi="宋体" w:eastAsia="宋体" w:cs="宋体"/>
          <w:sz w:val="22"/>
          <w:szCs w:val="22"/>
        </w:rPr>
        <w:t>》和浙江省有关条例等。</w:t>
      </w:r>
    </w:p>
    <w:p>
      <w:pPr>
        <w:spacing w:line="440" w:lineRule="exact"/>
        <w:rPr>
          <w:rFonts w:hint="eastAsia" w:ascii="宋体" w:hAnsi="宋体" w:eastAsia="宋体" w:cs="宋体"/>
          <w:b/>
          <w:bCs/>
          <w:sz w:val="22"/>
          <w:szCs w:val="22"/>
        </w:rPr>
      </w:pPr>
      <w:r>
        <w:rPr>
          <w:rFonts w:hint="eastAsia" w:ascii="宋体" w:hAnsi="宋体" w:eastAsia="宋体" w:cs="宋体"/>
          <w:b/>
          <w:bCs/>
          <w:sz w:val="22"/>
          <w:szCs w:val="22"/>
        </w:rPr>
        <w:t>17.合同生效及其他</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17.1本合同经双方法人及法定代表人签字盖章生效；</w:t>
      </w: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17.2本合同一式</w:t>
      </w:r>
      <w:r>
        <w:rPr>
          <w:rFonts w:hint="eastAsia" w:ascii="宋体" w:hAnsi="宋体" w:cs="宋体"/>
          <w:bCs/>
          <w:sz w:val="22"/>
          <w:szCs w:val="22"/>
          <w:lang w:val="en-US" w:eastAsia="zh-CN"/>
        </w:rPr>
        <w:t>六</w:t>
      </w:r>
      <w:r>
        <w:rPr>
          <w:rFonts w:hint="eastAsia" w:ascii="宋体" w:hAnsi="宋体" w:eastAsia="宋体" w:cs="宋体"/>
          <w:bCs/>
          <w:sz w:val="22"/>
          <w:szCs w:val="22"/>
        </w:rPr>
        <w:t>份，供应商、采购人各执</w:t>
      </w:r>
      <w:r>
        <w:rPr>
          <w:rFonts w:hint="eastAsia" w:ascii="宋体" w:hAnsi="宋体" w:cs="宋体"/>
          <w:bCs/>
          <w:sz w:val="22"/>
          <w:szCs w:val="22"/>
          <w:lang w:val="en-US" w:eastAsia="zh-CN"/>
        </w:rPr>
        <w:t>二</w:t>
      </w:r>
      <w:r>
        <w:rPr>
          <w:rFonts w:hint="eastAsia" w:ascii="宋体" w:hAnsi="宋体" w:eastAsia="宋体" w:cs="宋体"/>
          <w:bCs/>
          <w:sz w:val="22"/>
          <w:szCs w:val="22"/>
        </w:rPr>
        <w:t>份；市财政局执一份</w:t>
      </w:r>
      <w:r>
        <w:rPr>
          <w:rFonts w:hint="eastAsia" w:ascii="宋体" w:hAnsi="宋体" w:cs="宋体"/>
          <w:bCs/>
          <w:sz w:val="22"/>
          <w:szCs w:val="22"/>
          <w:lang w:eastAsia="zh-CN"/>
        </w:rPr>
        <w:t>，</w:t>
      </w:r>
      <w:r>
        <w:rPr>
          <w:rFonts w:hint="eastAsia" w:ascii="宋体" w:hAnsi="宋体" w:cs="宋体"/>
          <w:bCs/>
          <w:sz w:val="22"/>
          <w:szCs w:val="22"/>
          <w:lang w:val="en-US" w:eastAsia="zh-CN"/>
        </w:rPr>
        <w:t>代理机构一份</w:t>
      </w:r>
      <w:r>
        <w:rPr>
          <w:rFonts w:hint="eastAsia" w:ascii="宋体" w:hAnsi="宋体" w:eastAsia="宋体" w:cs="宋体"/>
          <w:bCs/>
          <w:sz w:val="22"/>
          <w:szCs w:val="22"/>
        </w:rPr>
        <w:t>。</w:t>
      </w:r>
    </w:p>
    <w:p>
      <w:pPr>
        <w:spacing w:line="440" w:lineRule="exact"/>
        <w:ind w:firstLine="440" w:firstLineChars="200"/>
        <w:rPr>
          <w:rFonts w:hint="eastAsia" w:ascii="宋体" w:hAnsi="宋体" w:eastAsia="宋体" w:cs="宋体"/>
          <w:bCs/>
          <w:sz w:val="22"/>
          <w:szCs w:val="22"/>
        </w:rPr>
      </w:pP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 xml:space="preserve">采购人：                                 供应商： </w:t>
      </w:r>
    </w:p>
    <w:p>
      <w:pPr>
        <w:spacing w:line="440" w:lineRule="exact"/>
        <w:ind w:firstLine="440" w:firstLineChars="200"/>
        <w:rPr>
          <w:rFonts w:hint="eastAsia" w:ascii="宋体" w:hAnsi="宋体" w:eastAsia="宋体" w:cs="宋体"/>
          <w:bCs/>
          <w:sz w:val="22"/>
          <w:szCs w:val="22"/>
        </w:rPr>
      </w:pP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 xml:space="preserve">地址：                                   地址： </w:t>
      </w:r>
    </w:p>
    <w:p>
      <w:pPr>
        <w:spacing w:line="440" w:lineRule="exact"/>
        <w:ind w:firstLine="440" w:firstLineChars="200"/>
        <w:rPr>
          <w:rFonts w:hint="eastAsia" w:ascii="宋体" w:hAnsi="宋体" w:eastAsia="宋体" w:cs="宋体"/>
          <w:bCs/>
          <w:sz w:val="22"/>
          <w:szCs w:val="22"/>
        </w:rPr>
      </w:pPr>
    </w:p>
    <w:p>
      <w:pPr>
        <w:spacing w:line="440" w:lineRule="exact"/>
        <w:ind w:firstLine="440" w:firstLineChars="200"/>
        <w:rPr>
          <w:rFonts w:hint="eastAsia" w:ascii="宋体" w:hAnsi="宋体" w:eastAsia="宋体" w:cs="宋体"/>
          <w:bCs/>
          <w:sz w:val="22"/>
          <w:szCs w:val="22"/>
        </w:rPr>
      </w:pPr>
      <w:r>
        <w:rPr>
          <w:rFonts w:hint="eastAsia" w:ascii="宋体" w:hAnsi="宋体" w:eastAsia="宋体" w:cs="宋体"/>
          <w:bCs/>
          <w:sz w:val="22"/>
          <w:szCs w:val="22"/>
        </w:rPr>
        <w:t xml:space="preserve">法定（或授权）代表人：          </w:t>
      </w:r>
      <w:r>
        <w:rPr>
          <w:rFonts w:hint="eastAsia" w:ascii="宋体" w:hAnsi="宋体" w:cs="宋体"/>
          <w:bCs/>
          <w:sz w:val="22"/>
          <w:szCs w:val="22"/>
          <w:lang w:val="en-US" w:eastAsia="zh-CN"/>
        </w:rPr>
        <w:t xml:space="preserve">       </w:t>
      </w:r>
      <w:r>
        <w:rPr>
          <w:rFonts w:hint="eastAsia" w:ascii="宋体" w:hAnsi="宋体" w:eastAsia="宋体" w:cs="宋体"/>
          <w:bCs/>
          <w:sz w:val="22"/>
          <w:szCs w:val="22"/>
        </w:rPr>
        <w:t xml:space="preserve">  法定（或授权）代表人：</w:t>
      </w:r>
    </w:p>
    <w:p>
      <w:pPr>
        <w:spacing w:line="440" w:lineRule="exact"/>
        <w:ind w:firstLine="440" w:firstLineChars="200"/>
        <w:rPr>
          <w:rFonts w:hint="eastAsia" w:ascii="宋体" w:hAnsi="宋体" w:eastAsia="宋体" w:cs="宋体"/>
          <w:bCs/>
          <w:sz w:val="22"/>
          <w:szCs w:val="22"/>
        </w:rPr>
      </w:pPr>
    </w:p>
    <w:p>
      <w:pPr>
        <w:widowControl/>
        <w:snapToGrid w:val="0"/>
        <w:spacing w:before="100" w:beforeAutospacing="1" w:after="100" w:afterAutospacing="1" w:line="320" w:lineRule="atLeast"/>
        <w:ind w:firstLine="440" w:firstLineChars="200"/>
        <w:jc w:val="left"/>
        <w:rPr>
          <w:rFonts w:hint="eastAsia" w:ascii="宋体" w:hAnsi="宋体" w:eastAsia="宋体" w:cs="宋体"/>
          <w:kern w:val="0"/>
          <w:sz w:val="24"/>
        </w:rPr>
      </w:pPr>
      <w:r>
        <w:rPr>
          <w:rFonts w:hint="eastAsia" w:ascii="宋体" w:hAnsi="宋体" w:eastAsia="宋体" w:cs="宋体"/>
          <w:bCs/>
          <w:sz w:val="22"/>
          <w:szCs w:val="22"/>
        </w:rPr>
        <w:t xml:space="preserve">签字日期：   年  月  日          </w:t>
      </w:r>
      <w:r>
        <w:rPr>
          <w:rFonts w:hint="eastAsia" w:ascii="宋体" w:hAnsi="宋体" w:cs="宋体"/>
          <w:bCs/>
          <w:sz w:val="22"/>
          <w:szCs w:val="22"/>
          <w:lang w:val="en-US" w:eastAsia="zh-CN"/>
        </w:rPr>
        <w:t xml:space="preserve">        </w:t>
      </w:r>
      <w:r>
        <w:rPr>
          <w:rFonts w:hint="eastAsia" w:ascii="宋体" w:hAnsi="宋体" w:eastAsia="宋体" w:cs="宋体"/>
          <w:bCs/>
          <w:sz w:val="22"/>
          <w:szCs w:val="22"/>
        </w:rPr>
        <w:t>签字日期：   年  月  日</w:t>
      </w:r>
    </w:p>
    <w:p>
      <w:pPr>
        <w:pStyle w:val="5"/>
        <w:rPr>
          <w:rFonts w:cs="Calibri"/>
          <w:color w:val="000000" w:themeColor="text1"/>
          <w14:textFill>
            <w14:solidFill>
              <w14:schemeClr w14:val="tx1"/>
            </w14:solidFill>
          </w14:textFill>
        </w:rPr>
      </w:pPr>
      <w:r>
        <w:rPr>
          <w:rFonts w:cs="Calibri"/>
          <w:color w:val="000000" w:themeColor="text1"/>
          <w:spacing w:val="6"/>
          <w:szCs w:val="21"/>
          <w14:textFill>
            <w14:solidFill>
              <w14:schemeClr w14:val="tx1"/>
            </w14:solidFill>
          </w14:textFill>
        </w:rPr>
        <w:br w:type="page"/>
      </w:r>
      <w:bookmarkStart w:id="50" w:name="_Toc21760"/>
      <w:bookmarkStart w:id="51" w:name="_Toc14015"/>
      <w:r>
        <w:rPr>
          <w:rFonts w:cs="Calibri"/>
          <w:color w:val="000000" w:themeColor="text1"/>
          <w14:textFill>
            <w14:solidFill>
              <w14:schemeClr w14:val="tx1"/>
            </w14:solidFill>
          </w14:textFill>
        </w:rPr>
        <w:t>第五章  磋商评审办法</w:t>
      </w:r>
      <w:bookmarkEnd w:id="43"/>
      <w:bookmarkEnd w:id="44"/>
      <w:bookmarkEnd w:id="45"/>
      <w:bookmarkEnd w:id="46"/>
      <w:bookmarkEnd w:id="50"/>
      <w:bookmarkEnd w:id="51"/>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本评审办法遵照《中华人民共和国政府采购法》、《政府采购竞争性磋商采购方式管理暂行办法》等政府采购有关法律、法规、规章、文件的规定，并结合本项目的具体情况制定。</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一、评审原则</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二、磋商、评审</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1.磋商、评审工作由磋商小组负责。</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2.审查供应商的资格条件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磋商小组对所有供应商是否满足采购文件规定资格条件进行审查，经审查，如有供应商资格不符合采购文件规定资格条件，采用书面形式告知供应商。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3.符合性审查</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磋商小组要求供应商澄清、说明或者更正响应文件以书面形式作出。供应商的澄清、说明或者更正应当由法定代表人或其授权代表签字或者加盖公章。由授权代表签字的，应当附法定代表人授权书。</w:t>
      </w:r>
    </w:p>
    <w:p>
      <w:pPr>
        <w:adjustRightInd w:val="0"/>
        <w:ind w:firstLine="422" w:firstLineChars="200"/>
        <w:rPr>
          <w:rFonts w:cs="Calibri"/>
          <w:b/>
          <w:color w:val="000000" w:themeColor="text1"/>
          <w:szCs w:val="21"/>
          <w14:textFill>
            <w14:solidFill>
              <w14:schemeClr w14:val="tx1"/>
            </w14:solidFill>
          </w14:textFill>
        </w:rPr>
      </w:pPr>
      <w:bookmarkStart w:id="52" w:name="_Toc419708028"/>
      <w:r>
        <w:rPr>
          <w:rFonts w:cs="Calibri"/>
          <w:b/>
          <w:color w:val="000000" w:themeColor="text1"/>
          <w:szCs w:val="21"/>
          <w14:textFill>
            <w14:solidFill>
              <w14:schemeClr w14:val="tx1"/>
            </w14:solidFill>
          </w14:textFill>
        </w:rPr>
        <w:t>3.1</w:t>
      </w:r>
      <w:bookmarkEnd w:id="52"/>
      <w:r>
        <w:rPr>
          <w:rFonts w:cs="Calibri"/>
          <w:b/>
          <w:color w:val="000000" w:themeColor="text1"/>
          <w:szCs w:val="21"/>
          <w14:textFill>
            <w14:solidFill>
              <w14:schemeClr w14:val="tx1"/>
            </w14:solidFill>
          </w14:textFill>
        </w:rPr>
        <w:t>资格及响应符合性审查</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磋商响应文件如存在以下情况之一的，经磋商小组少数服从多数原则审核认定，作为符合性审查未通过，判定为无效响应，不进入后续评审：</w:t>
      </w:r>
    </w:p>
    <w:p>
      <w:pPr>
        <w:autoSpaceDE w:val="0"/>
        <w:autoSpaceDN w:val="0"/>
        <w:ind w:firstLine="422" w:firstLineChars="200"/>
        <w:rPr>
          <w:rFonts w:cs="Calibri"/>
          <w:b/>
          <w:bCs/>
          <w:color w:val="000000" w:themeColor="text1"/>
          <w:kern w:val="0"/>
          <w:szCs w:val="21"/>
          <w14:textFill>
            <w14:solidFill>
              <w14:schemeClr w14:val="tx1"/>
            </w14:solidFill>
          </w14:textFill>
        </w:rPr>
      </w:pPr>
      <w:bookmarkStart w:id="53" w:name="_Toc419708029"/>
      <w:r>
        <w:rPr>
          <w:rFonts w:cs="Calibri"/>
          <w:b/>
          <w:bCs/>
          <w:color w:val="000000" w:themeColor="text1"/>
          <w:kern w:val="0"/>
          <w:szCs w:val="21"/>
          <w14:textFill>
            <w14:solidFill>
              <w14:schemeClr w14:val="tx1"/>
            </w14:solidFill>
          </w14:textFill>
        </w:rPr>
        <w:t>（1）磋商响应文件中提供的资料无法证明供应商满足采购文件载明的供应商资格要求；</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（2）磋商响应文件未按采购文件的要求盖章的；</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（3）磋商响应文件标明的商务、技术响应与事实不符或虚假响应的；</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（4）未实质性响应采购文件规定的实质性内容的；</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（5）技术解决方案、服务实施方案不能满足本项目实施需要；</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（6）磋商响应文件提出了不能满足采购文件要求的实施周期、质保期等要求的；</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（7）存在串通情况的；</w:t>
      </w:r>
    </w:p>
    <w:p>
      <w:pPr>
        <w:ind w:firstLine="422" w:firstLineChars="200"/>
        <w:rPr>
          <w:rFonts w:cs="Calibri"/>
          <w:color w:val="000000" w:themeColor="text1"/>
          <w14:textFill>
            <w14:solidFill>
              <w14:schemeClr w14:val="tx1"/>
            </w14:solidFill>
          </w14:textFill>
        </w:rPr>
      </w:pPr>
      <w:r>
        <w:rPr>
          <w:rFonts w:cs="Calibri"/>
          <w:b/>
          <w:color w:val="000000" w:themeColor="text1"/>
          <w:szCs w:val="21"/>
          <w14:textFill>
            <w14:solidFill>
              <w14:schemeClr w14:val="tx1"/>
            </w14:solidFill>
          </w14:textFill>
        </w:rPr>
        <w:t>◇</w:t>
      </w:r>
      <w:r>
        <w:rPr>
          <w:rFonts w:cs="Calibri"/>
          <w:color w:val="000000" w:themeColor="text1"/>
          <w14:textFill>
            <w14:solidFill>
              <w14:schemeClr w14:val="tx1"/>
            </w14:solidFill>
          </w14:textFill>
        </w:rPr>
        <w:t>不同</w:t>
      </w:r>
      <w:r>
        <w:rPr>
          <w:rFonts w:hint="eastAsia" w:cs="Calibri"/>
          <w:color w:val="000000" w:themeColor="text1"/>
          <w14:textFill>
            <w14:solidFill>
              <w14:schemeClr w14:val="tx1"/>
            </w14:solidFill>
          </w14:textFill>
        </w:rPr>
        <w:t>供应商</w:t>
      </w:r>
      <w:r>
        <w:rPr>
          <w:rFonts w:cs="Calibri"/>
          <w:color w:val="000000" w:themeColor="text1"/>
          <w14:textFill>
            <w14:solidFill>
              <w14:schemeClr w14:val="tx1"/>
            </w14:solidFill>
          </w14:textFill>
        </w:rPr>
        <w:t>的</w:t>
      </w:r>
      <w:r>
        <w:rPr>
          <w:rFonts w:hint="eastAsia" w:cs="Calibri"/>
          <w:color w:val="000000" w:themeColor="text1"/>
          <w14:textFill>
            <w14:solidFill>
              <w14:schemeClr w14:val="tx1"/>
            </w14:solidFill>
          </w14:textFill>
        </w:rPr>
        <w:t>响应</w:t>
      </w:r>
      <w:r>
        <w:rPr>
          <w:rFonts w:cs="Calibri"/>
          <w:color w:val="000000" w:themeColor="text1"/>
          <w14:textFill>
            <w14:solidFill>
              <w14:schemeClr w14:val="tx1"/>
            </w14:solidFill>
          </w14:textFill>
        </w:rPr>
        <w:t>文件由同一单位或者个人编制；</w:t>
      </w:r>
    </w:p>
    <w:p>
      <w:pPr>
        <w:ind w:firstLine="422" w:firstLineChars="200"/>
        <w:rPr>
          <w:rFonts w:cs="Calibri"/>
          <w:color w:val="000000" w:themeColor="text1"/>
          <w14:textFill>
            <w14:solidFill>
              <w14:schemeClr w14:val="tx1"/>
            </w14:solidFill>
          </w14:textFill>
        </w:rPr>
      </w:pPr>
      <w:r>
        <w:rPr>
          <w:rFonts w:cs="Calibri"/>
          <w:b/>
          <w:color w:val="000000" w:themeColor="text1"/>
          <w:szCs w:val="21"/>
          <w14:textFill>
            <w14:solidFill>
              <w14:schemeClr w14:val="tx1"/>
            </w14:solidFill>
          </w14:textFill>
        </w:rPr>
        <w:t>◇</w:t>
      </w:r>
      <w:r>
        <w:rPr>
          <w:rFonts w:cs="Calibri"/>
          <w:color w:val="000000" w:themeColor="text1"/>
          <w14:textFill>
            <w14:solidFill>
              <w14:schemeClr w14:val="tx1"/>
            </w14:solidFill>
          </w14:textFill>
        </w:rPr>
        <w:t>不同</w:t>
      </w:r>
      <w:r>
        <w:rPr>
          <w:rFonts w:hint="eastAsia" w:cs="Calibri"/>
          <w:color w:val="000000" w:themeColor="text1"/>
          <w14:textFill>
            <w14:solidFill>
              <w14:schemeClr w14:val="tx1"/>
            </w14:solidFill>
          </w14:textFill>
        </w:rPr>
        <w:t>供应商</w:t>
      </w:r>
      <w:r>
        <w:rPr>
          <w:rFonts w:cs="Calibri"/>
          <w:color w:val="000000" w:themeColor="text1"/>
          <w14:textFill>
            <w14:solidFill>
              <w14:schemeClr w14:val="tx1"/>
            </w14:solidFill>
          </w14:textFill>
        </w:rPr>
        <w:t>委托同一单位或者个人办理</w:t>
      </w:r>
      <w:r>
        <w:rPr>
          <w:rFonts w:hint="eastAsia" w:cs="Calibri"/>
          <w:color w:val="000000" w:themeColor="text1"/>
          <w14:textFill>
            <w14:solidFill>
              <w14:schemeClr w14:val="tx1"/>
            </w14:solidFill>
          </w14:textFill>
        </w:rPr>
        <w:t>磋商响应</w:t>
      </w:r>
      <w:r>
        <w:rPr>
          <w:rFonts w:cs="Calibri"/>
          <w:color w:val="000000" w:themeColor="text1"/>
          <w14:textFill>
            <w14:solidFill>
              <w14:schemeClr w14:val="tx1"/>
            </w14:solidFill>
          </w14:textFill>
        </w:rPr>
        <w:t>事宜；</w:t>
      </w:r>
    </w:p>
    <w:p>
      <w:pPr>
        <w:ind w:firstLine="422" w:firstLineChars="200"/>
        <w:rPr>
          <w:rFonts w:cs="Calibri"/>
          <w:color w:val="000000" w:themeColor="text1"/>
          <w14:textFill>
            <w14:solidFill>
              <w14:schemeClr w14:val="tx1"/>
            </w14:solidFill>
          </w14:textFill>
        </w:rPr>
      </w:pPr>
      <w:r>
        <w:rPr>
          <w:rFonts w:cs="Calibri"/>
          <w:b/>
          <w:color w:val="000000" w:themeColor="text1"/>
          <w:szCs w:val="21"/>
          <w14:textFill>
            <w14:solidFill>
              <w14:schemeClr w14:val="tx1"/>
            </w14:solidFill>
          </w14:textFill>
        </w:rPr>
        <w:t>◇</w:t>
      </w:r>
      <w:r>
        <w:rPr>
          <w:rFonts w:cs="Calibri"/>
          <w:color w:val="000000" w:themeColor="text1"/>
          <w14:textFill>
            <w14:solidFill>
              <w14:schemeClr w14:val="tx1"/>
            </w14:solidFill>
          </w14:textFill>
        </w:rPr>
        <w:t>不同</w:t>
      </w:r>
      <w:r>
        <w:rPr>
          <w:rFonts w:hint="eastAsia" w:cs="Calibri"/>
          <w:color w:val="000000" w:themeColor="text1"/>
          <w14:textFill>
            <w14:solidFill>
              <w14:schemeClr w14:val="tx1"/>
            </w14:solidFill>
          </w14:textFill>
        </w:rPr>
        <w:t>供应商</w:t>
      </w:r>
      <w:r>
        <w:rPr>
          <w:rFonts w:cs="Calibri"/>
          <w:color w:val="000000" w:themeColor="text1"/>
          <w14:textFill>
            <w14:solidFill>
              <w14:schemeClr w14:val="tx1"/>
            </w14:solidFill>
          </w14:textFill>
        </w:rPr>
        <w:t>的</w:t>
      </w:r>
      <w:r>
        <w:rPr>
          <w:rFonts w:hint="eastAsia" w:cs="Calibri"/>
          <w:color w:val="000000" w:themeColor="text1"/>
          <w14:textFill>
            <w14:solidFill>
              <w14:schemeClr w14:val="tx1"/>
            </w14:solidFill>
          </w14:textFill>
        </w:rPr>
        <w:t>响应</w:t>
      </w:r>
      <w:r>
        <w:rPr>
          <w:rFonts w:cs="Calibri"/>
          <w:color w:val="000000" w:themeColor="text1"/>
          <w14:textFill>
            <w14:solidFill>
              <w14:schemeClr w14:val="tx1"/>
            </w14:solidFill>
          </w14:textFill>
        </w:rPr>
        <w:t>文件载明的项目管理成员或者联系人员为同一人；</w:t>
      </w:r>
    </w:p>
    <w:p>
      <w:pPr>
        <w:ind w:firstLine="422" w:firstLineChars="200"/>
        <w:rPr>
          <w:rFonts w:cs="Calibri"/>
          <w:color w:val="000000" w:themeColor="text1"/>
          <w14:textFill>
            <w14:solidFill>
              <w14:schemeClr w14:val="tx1"/>
            </w14:solidFill>
          </w14:textFill>
        </w:rPr>
      </w:pPr>
      <w:r>
        <w:rPr>
          <w:rFonts w:cs="Calibri"/>
          <w:b/>
          <w:color w:val="000000" w:themeColor="text1"/>
          <w:szCs w:val="21"/>
          <w14:textFill>
            <w14:solidFill>
              <w14:schemeClr w14:val="tx1"/>
            </w14:solidFill>
          </w14:textFill>
        </w:rPr>
        <w:t>◇</w:t>
      </w:r>
      <w:r>
        <w:rPr>
          <w:rFonts w:cs="Calibri"/>
          <w:color w:val="000000" w:themeColor="text1"/>
          <w14:textFill>
            <w14:solidFill>
              <w14:schemeClr w14:val="tx1"/>
            </w14:solidFill>
          </w14:textFill>
        </w:rPr>
        <w:t>不同</w:t>
      </w:r>
      <w:r>
        <w:rPr>
          <w:rFonts w:hint="eastAsia" w:cs="Calibri"/>
          <w:color w:val="000000" w:themeColor="text1"/>
          <w14:textFill>
            <w14:solidFill>
              <w14:schemeClr w14:val="tx1"/>
            </w14:solidFill>
          </w14:textFill>
        </w:rPr>
        <w:t>供应商</w:t>
      </w:r>
      <w:r>
        <w:rPr>
          <w:rFonts w:cs="Calibri"/>
          <w:color w:val="000000" w:themeColor="text1"/>
          <w14:textFill>
            <w14:solidFill>
              <w14:schemeClr w14:val="tx1"/>
            </w14:solidFill>
          </w14:textFill>
        </w:rPr>
        <w:t>的</w:t>
      </w:r>
      <w:r>
        <w:rPr>
          <w:rFonts w:hint="eastAsia" w:cs="Calibri"/>
          <w:color w:val="000000" w:themeColor="text1"/>
          <w14:textFill>
            <w14:solidFill>
              <w14:schemeClr w14:val="tx1"/>
            </w14:solidFill>
          </w14:textFill>
        </w:rPr>
        <w:t>响应</w:t>
      </w:r>
      <w:r>
        <w:rPr>
          <w:rFonts w:cs="Calibri"/>
          <w:color w:val="000000" w:themeColor="text1"/>
          <w14:textFill>
            <w14:solidFill>
              <w14:schemeClr w14:val="tx1"/>
            </w14:solidFill>
          </w14:textFill>
        </w:rPr>
        <w:t>文件异常一致或者报价呈规律性差异；</w:t>
      </w:r>
    </w:p>
    <w:p>
      <w:pPr>
        <w:pStyle w:val="13"/>
        <w:rPr>
          <w:color w:val="000000" w:themeColor="text1"/>
          <w14:textFill>
            <w14:solidFill>
              <w14:schemeClr w14:val="tx1"/>
            </w14:solidFill>
          </w14:textFill>
        </w:rPr>
      </w:pPr>
      <w:r>
        <w:rPr>
          <w:rFonts w:cs="Calibri"/>
          <w:b/>
          <w:color w:val="000000" w:themeColor="text1"/>
          <w:szCs w:val="21"/>
          <w14:textFill>
            <w14:solidFill>
              <w14:schemeClr w14:val="tx1"/>
            </w14:solidFill>
          </w14:textFill>
        </w:rPr>
        <w:t>◇</w:t>
      </w:r>
      <w:r>
        <w:rPr>
          <w:rFonts w:cs="Calibri"/>
          <w:color w:val="000000" w:themeColor="text1"/>
          <w14:textFill>
            <w14:solidFill>
              <w14:schemeClr w14:val="tx1"/>
            </w14:solidFill>
          </w14:textFill>
        </w:rPr>
        <w:t>不同</w:t>
      </w:r>
      <w:r>
        <w:rPr>
          <w:rFonts w:hint="eastAsia" w:cs="Calibri"/>
          <w:color w:val="000000" w:themeColor="text1"/>
          <w14:textFill>
            <w14:solidFill>
              <w14:schemeClr w14:val="tx1"/>
            </w14:solidFill>
          </w14:textFill>
        </w:rPr>
        <w:t>供应商</w:t>
      </w:r>
      <w:r>
        <w:rPr>
          <w:rFonts w:cs="Calibri"/>
          <w:color w:val="000000" w:themeColor="text1"/>
          <w14:textFill>
            <w14:solidFill>
              <w14:schemeClr w14:val="tx1"/>
            </w14:solidFill>
          </w14:textFill>
        </w:rPr>
        <w:t>的</w:t>
      </w:r>
      <w:r>
        <w:rPr>
          <w:rFonts w:hint="eastAsia" w:cs="Calibri"/>
          <w:color w:val="000000" w:themeColor="text1"/>
          <w14:textFill>
            <w14:solidFill>
              <w14:schemeClr w14:val="tx1"/>
            </w14:solidFill>
          </w14:textFill>
        </w:rPr>
        <w:t>响应</w:t>
      </w:r>
      <w:r>
        <w:rPr>
          <w:rFonts w:cs="Calibri"/>
          <w:color w:val="000000" w:themeColor="text1"/>
          <w14:textFill>
            <w14:solidFill>
              <w14:schemeClr w14:val="tx1"/>
            </w14:solidFill>
          </w14:textFill>
        </w:rPr>
        <w:t>文件相互混装；</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（8）存在法律、法规、规章、采购文件规定的其它无效情况的；</w:t>
      </w:r>
    </w:p>
    <w:p>
      <w:pPr>
        <w:autoSpaceDE w:val="0"/>
        <w:autoSpaceDN w:val="0"/>
        <w:ind w:firstLine="422" w:firstLineChars="200"/>
        <w:rPr>
          <w:rFonts w:cs="Calibri"/>
          <w:b/>
          <w:bCs/>
          <w:color w:val="000000" w:themeColor="text1"/>
          <w:kern w:val="0"/>
          <w:szCs w:val="21"/>
          <w14:textFill>
            <w14:solidFill>
              <w14:schemeClr w14:val="tx1"/>
            </w14:solidFill>
          </w14:textFill>
        </w:rPr>
      </w:pPr>
      <w:r>
        <w:rPr>
          <w:rFonts w:cs="Calibri"/>
          <w:b/>
          <w:bCs/>
          <w:color w:val="000000" w:themeColor="text1"/>
          <w:kern w:val="0"/>
          <w:szCs w:val="21"/>
          <w14:textFill>
            <w14:solidFill>
              <w14:schemeClr w14:val="tx1"/>
            </w14:solidFill>
          </w14:textFill>
        </w:rPr>
        <w:t>（9）退出磋商的供应商的磋商响应文件；</w:t>
      </w:r>
    </w:p>
    <w:p>
      <w:pPr>
        <w:adjustRightInd w:val="0"/>
        <w:ind w:firstLine="422" w:firstLineChars="200"/>
        <w:rPr>
          <w:rFonts w:cs="Calibri"/>
          <w:b/>
          <w:color w:val="000000" w:themeColor="text1"/>
          <w:szCs w:val="21"/>
          <w14:textFill>
            <w14:solidFill>
              <w14:schemeClr w14:val="tx1"/>
            </w14:solidFill>
          </w14:textFill>
        </w:rPr>
      </w:pPr>
      <w:r>
        <w:rPr>
          <w:rFonts w:cs="Calibri"/>
          <w:b/>
          <w:color w:val="000000" w:themeColor="text1"/>
          <w:szCs w:val="21"/>
          <w14:textFill>
            <w14:solidFill>
              <w14:schemeClr w14:val="tx1"/>
            </w14:solidFill>
          </w14:textFill>
        </w:rPr>
        <w:t>3.2报价符合性审查</w:t>
      </w:r>
      <w:bookmarkEnd w:id="53"/>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3.2.1 报价错误修正</w:t>
      </w:r>
    </w:p>
    <w:p>
      <w:pPr>
        <w:pStyle w:val="63"/>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磋商小组将对报价文件进行校核，报价出现前后不一致的，</w:t>
      </w:r>
      <w:r>
        <w:rPr>
          <w:rFonts w:ascii="Calibri" w:hAnsi="Calibri" w:cs="Calibri"/>
          <w:bCs/>
          <w:color w:val="000000" w:themeColor="text1"/>
          <w14:textFill>
            <w14:solidFill>
              <w14:schemeClr w14:val="tx1"/>
            </w14:solidFill>
          </w14:textFill>
        </w:rPr>
        <w:t>按照下列规定修正：</w:t>
      </w:r>
    </w:p>
    <w:p>
      <w:pPr>
        <w:pStyle w:val="63"/>
        <w:spacing w:line="300" w:lineRule="auto"/>
        <w:ind w:firstLine="422"/>
        <w:rPr>
          <w:rFonts w:ascii="Calibri" w:hAnsi="Calibri" w:cs="Calibri"/>
          <w:b/>
          <w:color w:val="000000" w:themeColor="text1"/>
          <w14:textFill>
            <w14:solidFill>
              <w14:schemeClr w14:val="tx1"/>
            </w14:solidFill>
          </w14:textFill>
        </w:rPr>
      </w:pPr>
      <w:r>
        <w:rPr>
          <w:rFonts w:ascii="Calibri" w:hAnsi="Calibri" w:cs="Calibri"/>
          <w:b/>
          <w:color w:val="000000" w:themeColor="text1"/>
          <w14:textFill>
            <w14:solidFill>
              <w14:schemeClr w14:val="tx1"/>
            </w14:solidFill>
          </w14:textFill>
        </w:rPr>
        <w:t>（1）报价一览表（报价表）内容与磋商响应文件中相应内容不一致的，以报价一览表（报价表）为准；</w:t>
      </w:r>
    </w:p>
    <w:p>
      <w:pPr>
        <w:pStyle w:val="63"/>
        <w:spacing w:line="300" w:lineRule="auto"/>
        <w:ind w:firstLine="422"/>
        <w:rPr>
          <w:rFonts w:ascii="Calibri" w:hAnsi="Calibri" w:cs="Calibri"/>
          <w:b/>
          <w:color w:val="000000" w:themeColor="text1"/>
          <w14:textFill>
            <w14:solidFill>
              <w14:schemeClr w14:val="tx1"/>
            </w14:solidFill>
          </w14:textFill>
        </w:rPr>
      </w:pPr>
      <w:r>
        <w:rPr>
          <w:rFonts w:ascii="Calibri" w:hAnsi="Calibri" w:cs="Calibri"/>
          <w:b/>
          <w:color w:val="000000" w:themeColor="text1"/>
          <w14:textFill>
            <w14:solidFill>
              <w14:schemeClr w14:val="tx1"/>
            </w14:solidFill>
          </w14:textFill>
        </w:rPr>
        <w:t>（2）大写金额和小写金额不一致的，以大写金额为准；</w:t>
      </w:r>
    </w:p>
    <w:p>
      <w:pPr>
        <w:pStyle w:val="63"/>
        <w:spacing w:line="300" w:lineRule="auto"/>
        <w:ind w:firstLine="422"/>
        <w:rPr>
          <w:rFonts w:ascii="Calibri" w:hAnsi="Calibri" w:cs="Calibri"/>
          <w:b/>
          <w:color w:val="000000" w:themeColor="text1"/>
          <w14:textFill>
            <w14:solidFill>
              <w14:schemeClr w14:val="tx1"/>
            </w14:solidFill>
          </w14:textFill>
        </w:rPr>
      </w:pPr>
      <w:r>
        <w:rPr>
          <w:rFonts w:ascii="Calibri" w:hAnsi="Calibri" w:cs="Calibri"/>
          <w:b/>
          <w:color w:val="000000" w:themeColor="text1"/>
          <w14:textFill>
            <w14:solidFill>
              <w14:schemeClr w14:val="tx1"/>
            </w14:solidFill>
          </w14:textFill>
        </w:rPr>
        <w:t>（3）单价金额小数点或者百分比有明显错位的，以报价一览表的总价为准，并修改单价；</w:t>
      </w:r>
    </w:p>
    <w:p>
      <w:pPr>
        <w:pStyle w:val="63"/>
        <w:spacing w:line="300" w:lineRule="auto"/>
        <w:ind w:firstLine="422"/>
        <w:rPr>
          <w:rFonts w:ascii="Calibri" w:hAnsi="Calibri" w:cs="Calibri"/>
          <w:b/>
          <w:color w:val="000000" w:themeColor="text1"/>
          <w14:textFill>
            <w14:solidFill>
              <w14:schemeClr w14:val="tx1"/>
            </w14:solidFill>
          </w14:textFill>
        </w:rPr>
      </w:pPr>
      <w:r>
        <w:rPr>
          <w:rFonts w:ascii="Calibri" w:hAnsi="Calibri" w:cs="Calibri"/>
          <w:b/>
          <w:color w:val="000000" w:themeColor="text1"/>
          <w14:textFill>
            <w14:solidFill>
              <w14:schemeClr w14:val="tx1"/>
            </w14:solidFill>
          </w14:textFill>
        </w:rPr>
        <w:t>（4）总价金额与按单价汇总金额不一致的，以单价金额计算结果为准。</w:t>
      </w:r>
    </w:p>
    <w:p>
      <w:pPr>
        <w:pStyle w:val="63"/>
        <w:spacing w:line="300" w:lineRule="auto"/>
        <w:ind w:firstLine="422"/>
        <w:rPr>
          <w:rFonts w:ascii="Calibri" w:hAnsi="Calibri" w:cs="Calibri"/>
          <w:b/>
          <w:color w:val="000000" w:themeColor="text1"/>
          <w14:textFill>
            <w14:solidFill>
              <w14:schemeClr w14:val="tx1"/>
            </w14:solidFill>
          </w14:textFill>
        </w:rPr>
      </w:pPr>
      <w:r>
        <w:rPr>
          <w:rFonts w:ascii="Calibri" w:hAnsi="Calibri" w:cs="Calibri"/>
          <w:b/>
          <w:color w:val="000000" w:themeColor="text1"/>
          <w14:textFill>
            <w14:solidFill>
              <w14:schemeClr w14:val="tx1"/>
            </w14:solidFill>
          </w14:textFill>
        </w:rPr>
        <w:t>同时出现两种以上不一致的，按照前款规定的顺序修正。修正后的报价以澄清方式经供应商确认后产生约束力，供应商不确认的，磋商小组应判定其为无效标。</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3.2.2合理报价澄清说明</w:t>
      </w:r>
    </w:p>
    <w:p>
      <w:pPr>
        <w:pStyle w:val="63"/>
        <w:spacing w:line="300" w:lineRule="auto"/>
        <w:ind w:firstLine="422"/>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pPr>
        <w:autoSpaceDE w:val="0"/>
        <w:autoSpaceDN w:val="0"/>
        <w:ind w:firstLine="424" w:firstLineChars="202"/>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3.2.3磋商响应文件如存在以下情况之一的，经磋商小组少数服从多数原则审核认定，作为符合性审查未通过，判定为无效标，不进入后续评审：</w:t>
      </w:r>
    </w:p>
    <w:p>
      <w:pPr>
        <w:adjustRightInd w:val="0"/>
        <w:ind w:firstLine="422" w:firstLineChars="200"/>
        <w:rPr>
          <w:rFonts w:cs="Calibri"/>
          <w:b/>
          <w:bCs/>
          <w:color w:val="000000" w:themeColor="text1"/>
          <w:szCs w:val="21"/>
          <w14:textFill>
            <w14:solidFill>
              <w14:schemeClr w14:val="tx1"/>
            </w14:solidFill>
          </w14:textFill>
        </w:rPr>
      </w:pPr>
      <w:bookmarkStart w:id="54" w:name="_Toc227380470"/>
      <w:r>
        <w:rPr>
          <w:rFonts w:cs="Calibri"/>
          <w:b/>
          <w:bCs/>
          <w:color w:val="000000" w:themeColor="text1"/>
          <w:szCs w:val="21"/>
          <w14:textFill>
            <w14:solidFill>
              <w14:schemeClr w14:val="tx1"/>
            </w14:solidFill>
          </w14:textFill>
        </w:rPr>
        <w:t>（1）采购人不调整采购需求的情况下，供应商的最后报价高于初次报价；</w:t>
      </w:r>
    </w:p>
    <w:p>
      <w:pPr>
        <w:adjustRightInd w:val="0"/>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（2）最后报价超过采购文件规定的预算价或最高限价；</w:t>
      </w:r>
    </w:p>
    <w:p>
      <w:pPr>
        <w:adjustRightInd w:val="0"/>
        <w:ind w:firstLine="422" w:firstLineChars="200"/>
        <w:rPr>
          <w:rFonts w:cs="Calibri"/>
          <w:b/>
          <w:bCs/>
          <w:color w:val="000000" w:themeColor="text1"/>
          <w:szCs w:val="21"/>
          <w14:textFill>
            <w14:solidFill>
              <w14:schemeClr w14:val="tx1"/>
            </w14:solidFill>
          </w14:textFill>
        </w:rPr>
      </w:pPr>
      <w:r>
        <w:rPr>
          <w:rFonts w:cs="Calibri"/>
          <w:b/>
          <w:bCs/>
          <w:color w:val="000000" w:themeColor="text1"/>
          <w:szCs w:val="21"/>
          <w14:textFill>
            <w14:solidFill>
              <w14:schemeClr w14:val="tx1"/>
            </w14:solidFill>
          </w14:textFill>
        </w:rPr>
        <w:t>（3）磋商小组认为供应商最后报价符合3.2.2合理报价澄清说明情形的；</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4.磋商小组确定磋商要点和磋商程序，逐一与各供应商进行磋商，并记录磋商内容及供应商承诺内容。</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经过磋商结束后，磋商小组对符合要求的有效供应商根据磋商响应文件响应情况、磋商情况等进行评审，并向采购人提出评审意见和评审报告。</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评审报告应当包括以下主要内容：</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（1）邀请供应商参加采购活动的具体方式和相关情况；</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（2）响应文件开启日期和地点；</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（3）获取采购文件的供应商名单和磋商小组成员名单；</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（4）评审情况记录和说明，包括对供应商的资格审查情况、供应商响应文件评审情况、磋商情况、报价情况等；</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（5）提出的成交候选供应商的排序名单及理由。</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磋商小组对需要共同认定的事项存在争议的，应当按照少数服从多数的原则作出结论，持不同意见的磋商小组成员应当在评审报告上签署不同意见及理由，否则视为同意评审报告</w:t>
      </w:r>
    </w:p>
    <w:p>
      <w:pPr>
        <w:widowControl/>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三、评审细则</w:t>
      </w:r>
    </w:p>
    <w:p>
      <w:pPr>
        <w:pStyle w:val="25"/>
        <w:adjustRightInd w:val="0"/>
        <w:spacing w:line="300" w:lineRule="auto"/>
        <w:ind w:firstLine="420" w:firstLineChars="200"/>
        <w:rPr>
          <w:rFonts w:ascii="Calibri" w:cs="Calibri"/>
          <w:color w:val="000000" w:themeColor="text1"/>
          <w:sz w:val="21"/>
          <w:szCs w:val="21"/>
          <w14:textFill>
            <w14:solidFill>
              <w14:schemeClr w14:val="tx1"/>
            </w14:solidFill>
          </w14:textFill>
        </w:rPr>
      </w:pPr>
      <w:r>
        <w:rPr>
          <w:rFonts w:ascii="Calibri" w:cs="Calibri"/>
          <w:color w:val="000000" w:themeColor="text1"/>
          <w:sz w:val="21"/>
          <w:szCs w:val="21"/>
          <w14:textFill>
            <w14:solidFill>
              <w14:schemeClr w14:val="tx1"/>
            </w14:solidFill>
          </w14:textFill>
        </w:rPr>
        <w:t>1.本项目采用综合评分法（总分100分），磋商小组根据本评审办法进行评审，对各供应商的价格、商务、技术等评分因素在分值范围内进行各自打分。每个供应商最终得分=价格分+商务技术分。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2.评审时，磋商小组各成员应当独立对每个有效响应的文件进行评价、打分，然后汇总每个供应商每项评分因素的得分。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3.对供应商的价格分等客观评分项的评分应当一致，对其他需要借助专业知识评判的主观评分项，应当严格按照评分细则公正评分。</w:t>
      </w:r>
    </w:p>
    <w:p>
      <w:pPr>
        <w:adjustRightInd w:val="0"/>
        <w:ind w:firstLine="420" w:firstLineChars="200"/>
        <w:rPr>
          <w:rFonts w:cs="Calibri"/>
          <w:color w:val="000000" w:themeColor="text1"/>
          <w:szCs w:val="21"/>
          <w14:textFill>
            <w14:solidFill>
              <w14:schemeClr w14:val="tx1"/>
            </w14:solidFill>
          </w14:textFill>
        </w:rPr>
      </w:pPr>
      <w:bookmarkStart w:id="55" w:name="_Toc345320402"/>
      <w:r>
        <w:rPr>
          <w:rFonts w:cs="Calibri"/>
          <w:color w:val="000000" w:themeColor="text1"/>
          <w:szCs w:val="21"/>
          <w14:textFill>
            <w14:solidFill>
              <w14:schemeClr w14:val="tx1"/>
            </w14:solidFill>
          </w14:textFill>
        </w:rPr>
        <w:t>4.磋商小组按评审得分由高到低顺序推荐成交候选供应商，评审得分相同的，按照最后报价由低到高的顺序推荐，评审得分且最后报价相同的，按照技术指标优劣顺序推荐，并编写评审报告。</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5.评分因素及分值范围</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5.1商务技术分</w:t>
      </w:r>
      <w:bookmarkEnd w:id="55"/>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磋商小组根据评审情况在分值范围内独立打分。每个供应商的最终得分为磋商小组打分汇总后的算术平均值。</w:t>
      </w:r>
    </w:p>
    <w:tbl>
      <w:tblPr>
        <w:tblStyle w:val="47"/>
        <w:tblpPr w:leftFromText="180" w:rightFromText="180" w:vertAnchor="text" w:horzAnchor="page" w:tblpX="1000" w:tblpY="42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338"/>
        <w:gridCol w:w="728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widowControl/>
              <w:jc w:val="center"/>
              <w:rPr>
                <w:rFonts w:hint="eastAsia" w:ascii="宋体" w:hAnsi="宋体" w:eastAsia="宋体" w:cs="宋体"/>
                <w:kern w:val="0"/>
                <w:sz w:val="24"/>
              </w:rPr>
            </w:pPr>
            <w:bookmarkStart w:id="56" w:name="_Toc345320401"/>
            <w:r>
              <w:rPr>
                <w:rFonts w:hint="eastAsia" w:ascii="宋体" w:hAnsi="宋体" w:eastAsia="宋体" w:cs="宋体"/>
                <w:kern w:val="0"/>
                <w:sz w:val="24"/>
              </w:rPr>
              <w:t>序号</w:t>
            </w:r>
          </w:p>
        </w:tc>
        <w:tc>
          <w:tcPr>
            <w:tcW w:w="1338"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评分</w:t>
            </w:r>
          </w:p>
          <w:p>
            <w:pPr>
              <w:jc w:val="center"/>
              <w:rPr>
                <w:rFonts w:hint="eastAsia" w:ascii="宋体" w:hAnsi="宋体" w:eastAsia="宋体" w:cs="宋体"/>
                <w:kern w:val="0"/>
                <w:sz w:val="24"/>
              </w:rPr>
            </w:pPr>
            <w:r>
              <w:rPr>
                <w:rFonts w:hint="eastAsia" w:ascii="宋体" w:hAnsi="宋体" w:eastAsia="宋体" w:cs="宋体"/>
                <w:kern w:val="0"/>
                <w:sz w:val="24"/>
              </w:rPr>
              <w:t>因素</w:t>
            </w:r>
          </w:p>
        </w:tc>
        <w:tc>
          <w:tcPr>
            <w:tcW w:w="7284"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评分标准</w:t>
            </w:r>
          </w:p>
        </w:tc>
        <w:tc>
          <w:tcPr>
            <w:tcW w:w="805" w:type="dxa"/>
            <w:noWrap w:val="0"/>
            <w:vAlign w:val="center"/>
          </w:tcPr>
          <w:p>
            <w:pPr>
              <w:jc w:val="center"/>
              <w:rPr>
                <w:rFonts w:hint="eastAsia" w:ascii="宋体" w:hAnsi="宋体" w:eastAsia="宋体" w:cs="宋体"/>
                <w:kern w:val="0"/>
                <w:sz w:val="24"/>
              </w:rPr>
            </w:pPr>
            <w:r>
              <w:rPr>
                <w:rFonts w:hint="eastAsia" w:ascii="宋体" w:hAnsi="宋体" w:eastAsia="宋体" w:cs="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35" w:type="dxa"/>
            <w:noWrap w:val="0"/>
            <w:vAlign w:val="center"/>
          </w:tcPr>
          <w:p>
            <w:pPr>
              <w:spacing w:line="400" w:lineRule="exact"/>
              <w:jc w:val="center"/>
              <w:rPr>
                <w:rFonts w:hint="eastAsia" w:ascii="宋体" w:hAnsi="宋体" w:eastAsia="宋体" w:cs="宋体"/>
                <w:kern w:val="0"/>
                <w:sz w:val="24"/>
              </w:rPr>
            </w:pPr>
            <w:r>
              <w:rPr>
                <w:rFonts w:hint="eastAsia" w:ascii="宋体" w:hAnsi="宋体" w:eastAsia="宋体" w:cs="宋体"/>
                <w:sz w:val="24"/>
              </w:rPr>
              <w:t>1</w:t>
            </w:r>
          </w:p>
        </w:tc>
        <w:tc>
          <w:tcPr>
            <w:tcW w:w="1338" w:type="dxa"/>
            <w:tcBorders>
              <w:right w:val="single" w:color="auto" w:sz="4" w:space="0"/>
            </w:tcBorders>
            <w:noWrap w:val="0"/>
            <w:vAlign w:val="center"/>
          </w:tcPr>
          <w:p>
            <w:pPr>
              <w:widowControl/>
              <w:spacing w:line="400" w:lineRule="exact"/>
              <w:jc w:val="center"/>
              <w:textAlignment w:val="center"/>
              <w:rPr>
                <w:rFonts w:hint="eastAsia" w:ascii="宋体" w:hAnsi="宋体" w:eastAsia="宋体" w:cs="宋体"/>
                <w:kern w:val="0"/>
                <w:sz w:val="24"/>
                <w:lang w:bidi="ar"/>
              </w:rPr>
            </w:pPr>
          </w:p>
          <w:p>
            <w:pPr>
              <w:widowControl/>
              <w:spacing w:line="400" w:lineRule="exact"/>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项目分析</w:t>
            </w:r>
          </w:p>
          <w:p>
            <w:pPr>
              <w:widowControl/>
              <w:spacing w:line="400" w:lineRule="exact"/>
              <w:jc w:val="center"/>
              <w:textAlignment w:val="center"/>
              <w:rPr>
                <w:rFonts w:hint="eastAsia" w:ascii="宋体" w:hAnsi="宋体" w:eastAsia="宋体" w:cs="宋体"/>
                <w:kern w:val="0"/>
                <w:sz w:val="24"/>
                <w:lang w:bidi="ar"/>
              </w:rPr>
            </w:pPr>
            <w:r>
              <w:rPr>
                <w:rFonts w:hint="eastAsia" w:ascii="宋体" w:hAnsi="宋体" w:eastAsia="宋体" w:cs="宋体"/>
                <w:kern w:val="0"/>
                <w:sz w:val="24"/>
                <w:lang w:bidi="ar"/>
              </w:rPr>
              <w:t>方案</w:t>
            </w:r>
          </w:p>
          <w:p>
            <w:pPr>
              <w:spacing w:line="400" w:lineRule="exact"/>
              <w:jc w:val="center"/>
              <w:rPr>
                <w:rFonts w:hint="eastAsia" w:ascii="宋体" w:hAnsi="宋体" w:eastAsia="宋体" w:cs="宋体"/>
                <w:kern w:val="0"/>
                <w:sz w:val="24"/>
              </w:rPr>
            </w:pPr>
          </w:p>
        </w:tc>
        <w:tc>
          <w:tcPr>
            <w:tcW w:w="7284" w:type="dxa"/>
            <w:tcBorders>
              <w:top w:val="single" w:color="auto" w:sz="4" w:space="0"/>
              <w:left w:val="single" w:color="auto" w:sz="4" w:space="0"/>
              <w:right w:val="single" w:color="auto" w:sz="4" w:space="0"/>
            </w:tcBorders>
            <w:noWrap w:val="0"/>
            <w:vAlign w:val="center"/>
          </w:tcPr>
          <w:p>
            <w:pPr>
              <w:widowControl/>
              <w:spacing w:line="400" w:lineRule="exact"/>
              <w:rPr>
                <w:rFonts w:hint="eastAsia" w:ascii="宋体" w:hAnsi="宋体" w:eastAsia="宋体" w:cs="宋体"/>
                <w:kern w:val="0"/>
                <w:sz w:val="24"/>
              </w:rPr>
            </w:pPr>
            <w:r>
              <w:rPr>
                <w:rFonts w:hint="eastAsia" w:ascii="宋体" w:hAnsi="宋体" w:eastAsia="宋体" w:cs="宋体"/>
                <w:kern w:val="0"/>
                <w:sz w:val="24"/>
                <w:lang w:bidi="ar"/>
              </w:rPr>
              <w:t>详细阐述本项目区域</w:t>
            </w:r>
            <w:r>
              <w:rPr>
                <w:rFonts w:hint="eastAsia" w:ascii="宋体" w:hAnsi="宋体" w:eastAsia="宋体" w:cs="宋体"/>
                <w:kern w:val="0"/>
                <w:sz w:val="24"/>
                <w:lang w:val="en-US" w:eastAsia="zh-CN" w:bidi="ar"/>
              </w:rPr>
              <w:t>管理</w:t>
            </w:r>
            <w:r>
              <w:rPr>
                <w:rFonts w:hint="eastAsia" w:ascii="宋体" w:hAnsi="宋体" w:eastAsia="宋体" w:cs="宋体"/>
                <w:kern w:val="0"/>
                <w:sz w:val="24"/>
                <w:lang w:bidi="ar"/>
              </w:rPr>
              <w:t>相关现状、存在问题以及针对问题进行的重点难点分析，并针对性的提出</w:t>
            </w:r>
            <w:r>
              <w:rPr>
                <w:rFonts w:hint="eastAsia" w:ascii="宋体" w:hAnsi="宋体" w:eastAsia="宋体" w:cs="宋体"/>
                <w:kern w:val="0"/>
                <w:sz w:val="24"/>
                <w:lang w:val="en-US" w:eastAsia="zh-CN" w:bidi="ar"/>
              </w:rPr>
              <w:t>分析法方案与</w:t>
            </w:r>
            <w:r>
              <w:rPr>
                <w:rFonts w:hint="eastAsia" w:ascii="宋体" w:hAnsi="宋体" w:eastAsia="宋体" w:cs="宋体"/>
                <w:kern w:val="0"/>
                <w:sz w:val="24"/>
                <w:lang w:bidi="ar"/>
              </w:rPr>
              <w:t>解决方案</w:t>
            </w:r>
            <w:r>
              <w:rPr>
                <w:rFonts w:hint="eastAsia" w:ascii="宋体" w:hAnsi="宋体" w:eastAsia="宋体" w:cs="宋体"/>
                <w:kern w:val="0"/>
                <w:sz w:val="24"/>
                <w:lang w:val="en-US" w:eastAsia="zh-CN" w:bidi="ar"/>
              </w:rPr>
              <w:t>的得5分</w:t>
            </w:r>
            <w:r>
              <w:rPr>
                <w:rFonts w:hint="eastAsia" w:ascii="宋体" w:hAnsi="宋体" w:eastAsia="宋体" w:cs="宋体"/>
                <w:kern w:val="0"/>
                <w:sz w:val="24"/>
                <w:lang w:bidi="ar"/>
              </w:rPr>
              <w:t>。方案欠缺或不合理的，每处扣</w:t>
            </w:r>
            <w:r>
              <w:rPr>
                <w:rFonts w:hint="eastAsia" w:ascii="宋体" w:hAnsi="宋体" w:eastAsia="宋体" w:cs="宋体"/>
                <w:kern w:val="0"/>
                <w:sz w:val="24"/>
                <w:lang w:val="en-US" w:eastAsia="zh-CN" w:bidi="ar"/>
              </w:rPr>
              <w:t>0.5</w:t>
            </w:r>
            <w:r>
              <w:rPr>
                <w:rFonts w:hint="eastAsia" w:ascii="宋体" w:hAnsi="宋体" w:eastAsia="宋体" w:cs="宋体"/>
                <w:kern w:val="0"/>
                <w:sz w:val="24"/>
                <w:lang w:bidi="ar"/>
              </w:rPr>
              <w:t>分，扣完为止。</w:t>
            </w:r>
          </w:p>
        </w:tc>
        <w:tc>
          <w:tcPr>
            <w:tcW w:w="80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35" w:type="dxa"/>
            <w:vMerge w:val="restart"/>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2</w:t>
            </w:r>
          </w:p>
        </w:tc>
        <w:tc>
          <w:tcPr>
            <w:tcW w:w="1338" w:type="dxa"/>
            <w:vMerge w:val="restart"/>
            <w:tcBorders>
              <w:right w:val="single" w:color="auto" w:sz="4" w:space="0"/>
            </w:tcBorders>
            <w:noWrap w:val="0"/>
            <w:vAlign w:val="center"/>
          </w:tcPr>
          <w:p>
            <w:pPr>
              <w:widowControl/>
              <w:jc w:val="center"/>
              <w:rPr>
                <w:rFonts w:hint="eastAsia" w:ascii="宋体" w:hAnsi="宋体" w:eastAsia="宋体" w:cs="宋体"/>
                <w:kern w:val="0"/>
                <w:sz w:val="24"/>
              </w:rPr>
            </w:pPr>
          </w:p>
          <w:p>
            <w:pPr>
              <w:widowControl/>
              <w:jc w:val="center"/>
              <w:rPr>
                <w:rFonts w:hint="eastAsia" w:ascii="宋体" w:hAnsi="宋体" w:eastAsia="宋体" w:cs="宋体"/>
                <w:kern w:val="0"/>
                <w:sz w:val="24"/>
              </w:rPr>
            </w:pPr>
            <w:r>
              <w:rPr>
                <w:rFonts w:hint="eastAsia" w:ascii="宋体" w:hAnsi="宋体" w:eastAsia="宋体" w:cs="宋体"/>
                <w:kern w:val="0"/>
                <w:sz w:val="24"/>
              </w:rPr>
              <w:t>项目</w:t>
            </w:r>
            <w:r>
              <w:rPr>
                <w:rFonts w:hint="eastAsia" w:ascii="宋体" w:hAnsi="宋体" w:eastAsia="宋体" w:cs="宋体"/>
                <w:kern w:val="0"/>
                <w:sz w:val="24"/>
                <w:lang w:val="en-US" w:eastAsia="zh-CN"/>
              </w:rPr>
              <w:t>服务</w:t>
            </w:r>
            <w:r>
              <w:rPr>
                <w:rFonts w:hint="eastAsia" w:ascii="宋体" w:hAnsi="宋体" w:eastAsia="宋体" w:cs="宋体"/>
                <w:kern w:val="0"/>
                <w:sz w:val="24"/>
              </w:rPr>
              <w:t>方案</w:t>
            </w:r>
          </w:p>
        </w:tc>
        <w:tc>
          <w:tcPr>
            <w:tcW w:w="728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rPr>
            </w:pPr>
            <w:r>
              <w:rPr>
                <w:rFonts w:hint="eastAsia" w:ascii="宋体" w:hAnsi="宋体" w:eastAsia="宋体" w:cs="宋体"/>
                <w:kern w:val="0"/>
                <w:sz w:val="24"/>
              </w:rPr>
              <w:t>针对本项目设计一套</w:t>
            </w:r>
            <w:r>
              <w:rPr>
                <w:rFonts w:hint="eastAsia" w:ascii="宋体" w:hAnsi="宋体" w:eastAsia="宋体" w:cs="宋体"/>
                <w:kern w:val="0"/>
                <w:sz w:val="24"/>
                <w:lang w:val="en-US" w:eastAsia="zh-CN"/>
              </w:rPr>
              <w:t>服务</w:t>
            </w:r>
            <w:r>
              <w:rPr>
                <w:rFonts w:hint="eastAsia" w:ascii="宋体" w:hAnsi="宋体" w:eastAsia="宋体" w:cs="宋体"/>
                <w:kern w:val="0"/>
                <w:sz w:val="24"/>
              </w:rPr>
              <w:t>方案。包括服务时间、</w:t>
            </w:r>
            <w:r>
              <w:rPr>
                <w:rFonts w:hint="eastAsia" w:ascii="宋体" w:hAnsi="宋体" w:eastAsia="宋体" w:cs="宋体"/>
                <w:kern w:val="0"/>
                <w:sz w:val="24"/>
                <w:lang w:val="en-US" w:eastAsia="zh-CN"/>
              </w:rPr>
              <w:t>管理机制等</w:t>
            </w:r>
            <w:r>
              <w:rPr>
                <w:rFonts w:hint="eastAsia" w:ascii="宋体" w:hAnsi="宋体" w:eastAsia="宋体" w:cs="宋体"/>
                <w:kern w:val="0"/>
                <w:sz w:val="24"/>
              </w:rPr>
              <w:t>针对本项目提供特色服务设计方案</w:t>
            </w:r>
            <w:r>
              <w:rPr>
                <w:rFonts w:hint="eastAsia" w:ascii="宋体" w:hAnsi="宋体" w:eastAsia="宋体" w:cs="宋体"/>
                <w:kern w:val="0"/>
                <w:sz w:val="24"/>
                <w:lang w:val="en-US" w:eastAsia="zh-CN"/>
              </w:rPr>
              <w:t>的得5</w:t>
            </w:r>
            <w:r>
              <w:rPr>
                <w:rFonts w:hint="eastAsia" w:ascii="宋体" w:hAnsi="宋体" w:eastAsia="宋体" w:cs="宋体"/>
                <w:kern w:val="0"/>
                <w:sz w:val="24"/>
                <w:lang w:eastAsia="zh-CN"/>
              </w:rPr>
              <w:t>分，欠缺或不合理的，每处扣</w:t>
            </w:r>
            <w:r>
              <w:rPr>
                <w:rFonts w:hint="eastAsia" w:ascii="宋体" w:hAnsi="宋体" w:eastAsia="宋体" w:cs="宋体"/>
                <w:kern w:val="0"/>
                <w:sz w:val="24"/>
                <w:lang w:val="en-US" w:eastAsia="zh-CN"/>
              </w:rPr>
              <w:t>0.5-1分</w:t>
            </w:r>
            <w:r>
              <w:rPr>
                <w:rFonts w:hint="eastAsia" w:ascii="宋体" w:hAnsi="宋体" w:eastAsia="宋体" w:cs="宋体"/>
                <w:kern w:val="0"/>
                <w:sz w:val="24"/>
                <w:lang w:eastAsia="zh-CN"/>
              </w:rPr>
              <w:t>，</w:t>
            </w:r>
            <w:r>
              <w:rPr>
                <w:rFonts w:hint="eastAsia" w:ascii="宋体" w:hAnsi="宋体" w:eastAsia="宋体" w:cs="宋体"/>
                <w:sz w:val="24"/>
                <w:highlight w:val="none"/>
              </w:rPr>
              <w:t>扣完为止。</w:t>
            </w:r>
            <w:r>
              <w:rPr>
                <w:rFonts w:hint="eastAsia" w:ascii="宋体" w:hAnsi="宋体" w:eastAsia="宋体" w:cs="宋体"/>
                <w:kern w:val="0"/>
                <w:sz w:val="24"/>
                <w:lang w:eastAsia="zh-CN"/>
              </w:rPr>
              <w:t>不提供不得分。</w:t>
            </w:r>
          </w:p>
        </w:tc>
        <w:tc>
          <w:tcPr>
            <w:tcW w:w="805"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lang w:val="en-US" w:eastAsia="zh-CN"/>
              </w:rPr>
              <w:t>20</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35" w:type="dxa"/>
            <w:vMerge w:val="continue"/>
            <w:noWrap w:val="0"/>
            <w:vAlign w:val="center"/>
          </w:tcPr>
          <w:p>
            <w:pPr>
              <w:widowControl/>
              <w:jc w:val="center"/>
              <w:rPr>
                <w:rFonts w:hint="eastAsia" w:ascii="宋体" w:hAnsi="宋体" w:eastAsia="宋体" w:cs="宋体"/>
                <w:kern w:val="0"/>
                <w:sz w:val="24"/>
              </w:rPr>
            </w:pPr>
          </w:p>
        </w:tc>
        <w:tc>
          <w:tcPr>
            <w:tcW w:w="1338" w:type="dxa"/>
            <w:vMerge w:val="continue"/>
            <w:tcBorders>
              <w:right w:val="single" w:color="auto" w:sz="4" w:space="0"/>
            </w:tcBorders>
            <w:noWrap w:val="0"/>
            <w:vAlign w:val="center"/>
          </w:tcPr>
          <w:p>
            <w:pPr>
              <w:widowControl/>
              <w:jc w:val="center"/>
              <w:rPr>
                <w:rFonts w:hint="eastAsia" w:ascii="宋体" w:hAnsi="宋体" w:eastAsia="宋体" w:cs="宋体"/>
                <w:kern w:val="0"/>
                <w:sz w:val="24"/>
              </w:rPr>
            </w:pPr>
          </w:p>
        </w:tc>
        <w:tc>
          <w:tcPr>
            <w:tcW w:w="728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对投标人提供的重点区域学校部分的管理措施提供相关方案的得5分，</w:t>
            </w:r>
            <w:r>
              <w:rPr>
                <w:rFonts w:hint="eastAsia" w:ascii="宋体" w:hAnsi="宋体" w:eastAsia="宋体" w:cs="宋体"/>
                <w:sz w:val="24"/>
                <w:lang w:val="en-US" w:eastAsia="zh-CN"/>
              </w:rPr>
              <w:t>欠缺或不合理的，每处扣0.5分，扣完为止。不提供不得分。</w:t>
            </w:r>
          </w:p>
        </w:tc>
        <w:tc>
          <w:tcPr>
            <w:tcW w:w="805" w:type="dxa"/>
            <w:vMerge w:val="continue"/>
            <w:tcBorders>
              <w:left w:val="single" w:color="auto" w:sz="4" w:space="0"/>
              <w:right w:val="single" w:color="auto" w:sz="4" w:space="0"/>
            </w:tcBorders>
            <w:noWrap w:val="0"/>
            <w:vAlign w:val="center"/>
          </w:tcPr>
          <w:p>
            <w:pPr>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535" w:type="dxa"/>
            <w:vMerge w:val="continue"/>
            <w:noWrap w:val="0"/>
            <w:vAlign w:val="center"/>
          </w:tcPr>
          <w:p>
            <w:pPr>
              <w:widowControl/>
              <w:jc w:val="center"/>
              <w:rPr>
                <w:rFonts w:hint="eastAsia" w:ascii="宋体" w:hAnsi="宋体" w:eastAsia="宋体" w:cs="宋体"/>
                <w:kern w:val="0"/>
                <w:sz w:val="24"/>
              </w:rPr>
            </w:pPr>
          </w:p>
        </w:tc>
        <w:tc>
          <w:tcPr>
            <w:tcW w:w="1338" w:type="dxa"/>
            <w:vMerge w:val="continue"/>
            <w:tcBorders>
              <w:right w:val="single" w:color="auto" w:sz="4" w:space="0"/>
            </w:tcBorders>
            <w:noWrap w:val="0"/>
            <w:vAlign w:val="center"/>
          </w:tcPr>
          <w:p>
            <w:pPr>
              <w:widowControl/>
              <w:jc w:val="center"/>
              <w:rPr>
                <w:rFonts w:hint="eastAsia" w:ascii="宋体" w:hAnsi="宋体" w:eastAsia="宋体" w:cs="宋体"/>
                <w:kern w:val="0"/>
                <w:sz w:val="24"/>
              </w:rPr>
            </w:pPr>
          </w:p>
        </w:tc>
        <w:tc>
          <w:tcPr>
            <w:tcW w:w="728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对投标人提供的重点区域菜场部分的管理措施</w:t>
            </w:r>
            <w:r>
              <w:rPr>
                <w:rFonts w:hint="eastAsia" w:ascii="宋体" w:hAnsi="宋体" w:eastAsia="宋体" w:cs="宋体"/>
                <w:kern w:val="0"/>
                <w:sz w:val="24"/>
                <w:lang w:val="en-US" w:eastAsia="zh-CN"/>
              </w:rPr>
              <w:t>提供相关方案</w:t>
            </w:r>
            <w:r>
              <w:rPr>
                <w:rFonts w:hint="eastAsia" w:ascii="宋体" w:hAnsi="宋体" w:eastAsia="宋体" w:cs="宋体"/>
                <w:sz w:val="24"/>
                <w:lang w:val="en-US" w:eastAsia="zh-CN"/>
              </w:rPr>
              <w:t>的得5分，欠缺或不合理的，每处扣0.5分，扣完为止。不提供不得分。</w:t>
            </w:r>
          </w:p>
        </w:tc>
        <w:tc>
          <w:tcPr>
            <w:tcW w:w="805" w:type="dxa"/>
            <w:vMerge w:val="continue"/>
            <w:tcBorders>
              <w:left w:val="single" w:color="auto" w:sz="4" w:space="0"/>
              <w:right w:val="single" w:color="auto" w:sz="4" w:space="0"/>
            </w:tcBorders>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535" w:type="dxa"/>
            <w:vMerge w:val="continue"/>
            <w:noWrap w:val="0"/>
            <w:vAlign w:val="center"/>
          </w:tcPr>
          <w:p>
            <w:pPr>
              <w:widowControl/>
              <w:jc w:val="center"/>
              <w:rPr>
                <w:rFonts w:hint="eastAsia" w:ascii="宋体" w:hAnsi="宋体" w:eastAsia="宋体" w:cs="宋体"/>
                <w:kern w:val="0"/>
                <w:sz w:val="24"/>
              </w:rPr>
            </w:pPr>
          </w:p>
        </w:tc>
        <w:tc>
          <w:tcPr>
            <w:tcW w:w="1338" w:type="dxa"/>
            <w:vMerge w:val="continue"/>
            <w:tcBorders>
              <w:right w:val="single" w:color="auto" w:sz="4" w:space="0"/>
            </w:tcBorders>
            <w:noWrap w:val="0"/>
            <w:vAlign w:val="center"/>
          </w:tcPr>
          <w:p>
            <w:pPr>
              <w:widowControl/>
              <w:rPr>
                <w:rFonts w:hint="eastAsia" w:ascii="宋体" w:hAnsi="宋体" w:eastAsia="宋体" w:cs="宋体"/>
                <w:kern w:val="0"/>
                <w:sz w:val="24"/>
              </w:rPr>
            </w:pPr>
          </w:p>
        </w:tc>
        <w:tc>
          <w:tcPr>
            <w:tcW w:w="728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kern w:val="0"/>
                <w:sz w:val="24"/>
                <w:lang w:val="en-US"/>
              </w:rPr>
            </w:pPr>
            <w:r>
              <w:rPr>
                <w:rFonts w:hint="eastAsia" w:ascii="宋体" w:hAnsi="宋体" w:eastAsia="宋体" w:cs="宋体"/>
                <w:kern w:val="0"/>
                <w:sz w:val="24"/>
                <w:lang w:val="en-US" w:eastAsia="zh-CN"/>
              </w:rPr>
              <w:t>对投标人提供的重点区域商圈部分的管理措施提供相关方案的得5分，</w:t>
            </w:r>
            <w:r>
              <w:rPr>
                <w:rFonts w:hint="eastAsia" w:ascii="宋体" w:hAnsi="宋体" w:eastAsia="宋体" w:cs="宋体"/>
                <w:sz w:val="24"/>
                <w:lang w:val="en-US" w:eastAsia="zh-CN"/>
              </w:rPr>
              <w:t>欠缺或不合理的，每处扣0.5分，扣完为止。不提供不得分。</w:t>
            </w:r>
          </w:p>
        </w:tc>
        <w:tc>
          <w:tcPr>
            <w:tcW w:w="805" w:type="dxa"/>
            <w:vMerge w:val="continue"/>
            <w:tcBorders>
              <w:left w:val="single" w:color="auto" w:sz="4" w:space="0"/>
              <w:right w:val="single" w:color="auto" w:sz="4" w:space="0"/>
            </w:tcBorders>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1338" w:type="dxa"/>
            <w:tcBorders>
              <w:right w:val="single" w:color="auto" w:sz="4" w:space="0"/>
            </w:tcBorders>
            <w:noWrap w:val="0"/>
            <w:vAlign w:val="center"/>
          </w:tcPr>
          <w:p>
            <w:pPr>
              <w:widowControl/>
              <w:ind w:left="240" w:hanging="240" w:hangingChars="100"/>
              <w:rPr>
                <w:rFonts w:hint="eastAsia" w:ascii="宋体" w:hAnsi="宋体" w:eastAsia="宋体" w:cs="宋体"/>
                <w:kern w:val="0"/>
                <w:sz w:val="24"/>
              </w:rPr>
            </w:pPr>
            <w:r>
              <w:rPr>
                <w:rFonts w:hint="eastAsia" w:ascii="宋体" w:hAnsi="宋体" w:eastAsia="宋体" w:cs="宋体"/>
                <w:kern w:val="0"/>
                <w:sz w:val="24"/>
              </w:rPr>
              <w:t>保障措施方案</w:t>
            </w:r>
          </w:p>
        </w:tc>
        <w:tc>
          <w:tcPr>
            <w:tcW w:w="728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lang w:val="en-US" w:eastAsia="zh-CN"/>
              </w:rPr>
              <w:t>服务</w:t>
            </w:r>
            <w:r>
              <w:rPr>
                <w:rFonts w:hint="eastAsia" w:ascii="宋体" w:hAnsi="宋体" w:eastAsia="宋体" w:cs="宋体"/>
                <w:sz w:val="24"/>
              </w:rPr>
              <w:t>保障</w:t>
            </w:r>
            <w:r>
              <w:rPr>
                <w:rFonts w:hint="eastAsia" w:ascii="宋体" w:hAnsi="宋体" w:eastAsia="宋体" w:cs="宋体"/>
                <w:sz w:val="24"/>
                <w:lang w:val="en-US" w:eastAsia="zh-CN"/>
              </w:rPr>
              <w:t>措施</w:t>
            </w:r>
            <w:r>
              <w:rPr>
                <w:rFonts w:hint="eastAsia" w:ascii="宋体" w:hAnsi="宋体" w:eastAsia="宋体" w:cs="宋体"/>
                <w:sz w:val="24"/>
              </w:rPr>
              <w:t>：项目</w:t>
            </w:r>
            <w:r>
              <w:rPr>
                <w:rFonts w:hint="eastAsia" w:ascii="宋体" w:hAnsi="宋体" w:eastAsia="宋体" w:cs="宋体"/>
                <w:sz w:val="24"/>
                <w:lang w:val="en-US" w:eastAsia="zh-CN"/>
              </w:rPr>
              <w:t>服务</w:t>
            </w:r>
            <w:r>
              <w:rPr>
                <w:rFonts w:hint="eastAsia" w:ascii="宋体" w:hAnsi="宋体" w:eastAsia="宋体" w:cs="宋体"/>
                <w:sz w:val="24"/>
              </w:rPr>
              <w:t>计划切实可行，能够遵循项目</w:t>
            </w:r>
            <w:r>
              <w:rPr>
                <w:rFonts w:hint="eastAsia" w:ascii="宋体" w:hAnsi="宋体" w:eastAsia="宋体" w:cs="宋体"/>
                <w:sz w:val="24"/>
                <w:lang w:val="en-US" w:eastAsia="zh-CN"/>
              </w:rPr>
              <w:t>服务</w:t>
            </w:r>
            <w:r>
              <w:rPr>
                <w:rFonts w:hint="eastAsia" w:ascii="宋体" w:hAnsi="宋体" w:eastAsia="宋体" w:cs="宋体"/>
                <w:sz w:val="24"/>
              </w:rPr>
              <w:t>原则并根据项目实际需要安排</w:t>
            </w:r>
            <w:r>
              <w:rPr>
                <w:rFonts w:hint="eastAsia" w:ascii="宋体" w:hAnsi="宋体" w:eastAsia="宋体" w:cs="宋体"/>
                <w:sz w:val="24"/>
                <w:lang w:val="en-US" w:eastAsia="zh-CN"/>
              </w:rPr>
              <w:t>秩序管理</w:t>
            </w:r>
            <w:r>
              <w:rPr>
                <w:rFonts w:hint="eastAsia" w:ascii="宋体" w:hAnsi="宋体" w:eastAsia="宋体" w:cs="宋体"/>
                <w:sz w:val="24"/>
              </w:rPr>
              <w:t>服务</w:t>
            </w:r>
            <w:r>
              <w:rPr>
                <w:rFonts w:hint="eastAsia" w:ascii="宋体" w:hAnsi="宋体" w:eastAsia="宋体" w:cs="宋体"/>
                <w:sz w:val="24"/>
                <w:lang w:eastAsia="zh-CN"/>
              </w:rPr>
              <w:t>、</w:t>
            </w:r>
            <w:r>
              <w:rPr>
                <w:rFonts w:hint="eastAsia" w:ascii="宋体" w:hAnsi="宋体" w:eastAsia="宋体" w:cs="宋体"/>
                <w:sz w:val="24"/>
                <w:lang w:val="en-US" w:eastAsia="zh-CN"/>
              </w:rPr>
              <w:t>保障措施</w:t>
            </w:r>
            <w:r>
              <w:rPr>
                <w:rFonts w:hint="eastAsia" w:ascii="宋体" w:hAnsi="宋体" w:eastAsia="宋体" w:cs="宋体"/>
                <w:sz w:val="24"/>
              </w:rPr>
              <w:t>的，能体现明确的</w:t>
            </w:r>
            <w:r>
              <w:rPr>
                <w:rFonts w:hint="eastAsia" w:ascii="宋体" w:hAnsi="宋体" w:eastAsia="宋体" w:cs="宋体"/>
                <w:sz w:val="24"/>
                <w:lang w:val="en-US" w:eastAsia="zh-CN"/>
              </w:rPr>
              <w:t>服务</w:t>
            </w:r>
            <w:r>
              <w:rPr>
                <w:rFonts w:hint="eastAsia" w:ascii="宋体" w:hAnsi="宋体" w:eastAsia="宋体" w:cs="宋体"/>
                <w:sz w:val="24"/>
              </w:rPr>
              <w:t>和</w:t>
            </w:r>
            <w:r>
              <w:rPr>
                <w:rFonts w:hint="eastAsia" w:ascii="宋体" w:hAnsi="宋体" w:eastAsia="宋体" w:cs="宋体"/>
                <w:sz w:val="24"/>
                <w:lang w:val="en-US" w:eastAsia="zh-CN"/>
              </w:rPr>
              <w:t>措施</w:t>
            </w:r>
            <w:r>
              <w:rPr>
                <w:rFonts w:hint="eastAsia" w:ascii="宋体" w:hAnsi="宋体" w:eastAsia="宋体" w:cs="宋体"/>
                <w:sz w:val="24"/>
              </w:rPr>
              <w:t>的得</w:t>
            </w:r>
            <w:r>
              <w:rPr>
                <w:rFonts w:hint="eastAsia" w:ascii="宋体" w:hAnsi="宋体" w:eastAsia="宋体" w:cs="宋体"/>
                <w:sz w:val="24"/>
                <w:lang w:val="en-US" w:eastAsia="zh-CN"/>
              </w:rPr>
              <w:t>5</w:t>
            </w:r>
            <w:r>
              <w:rPr>
                <w:rFonts w:hint="eastAsia" w:ascii="宋体" w:hAnsi="宋体" w:eastAsia="宋体" w:cs="宋体"/>
                <w:sz w:val="24"/>
              </w:rPr>
              <w:t>分；欠缺或不合理的，每处扣0.5分，扣完为止。</w:t>
            </w:r>
          </w:p>
        </w:tc>
        <w:tc>
          <w:tcPr>
            <w:tcW w:w="80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p>
        </w:tc>
        <w:tc>
          <w:tcPr>
            <w:tcW w:w="133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活动</w:t>
            </w:r>
            <w:r>
              <w:rPr>
                <w:rFonts w:hint="eastAsia" w:ascii="宋体" w:hAnsi="宋体" w:eastAsia="宋体" w:cs="宋体"/>
                <w:color w:val="000000"/>
                <w:sz w:val="24"/>
              </w:rPr>
              <w:t>预防方案</w:t>
            </w:r>
          </w:p>
        </w:tc>
        <w:tc>
          <w:tcPr>
            <w:tcW w:w="7284" w:type="dxa"/>
            <w:noWrap w:val="0"/>
            <w:vAlign w:val="center"/>
          </w:tcPr>
          <w:p>
            <w:pPr>
              <w:spacing w:line="320" w:lineRule="exact"/>
              <w:contextualSpacing/>
              <w:jc w:val="left"/>
              <w:rPr>
                <w:rFonts w:hint="eastAsia" w:ascii="宋体" w:hAnsi="宋体" w:eastAsia="宋体" w:cs="宋体"/>
                <w:color w:val="000000"/>
                <w:sz w:val="24"/>
              </w:rPr>
            </w:pPr>
            <w:r>
              <w:rPr>
                <w:rFonts w:hint="eastAsia" w:ascii="宋体" w:hAnsi="宋体" w:eastAsia="宋体" w:cs="宋体"/>
                <w:color w:val="000000"/>
                <w:sz w:val="24"/>
              </w:rPr>
              <w:t>根据投标人提供的针对大型活动、节庆假日、创优评优和突击检查等特殊时期的应急保障措施</w:t>
            </w:r>
            <w:r>
              <w:rPr>
                <w:rFonts w:hint="eastAsia" w:ascii="宋体" w:hAnsi="宋体" w:eastAsia="宋体" w:cs="宋体"/>
                <w:color w:val="000000"/>
                <w:sz w:val="24"/>
                <w:lang w:val="en-US" w:eastAsia="zh-CN"/>
              </w:rPr>
              <w:t>等提供相关安全预防方案的</w:t>
            </w:r>
            <w:r>
              <w:rPr>
                <w:rFonts w:hint="eastAsia" w:ascii="宋体" w:hAnsi="宋体" w:eastAsia="宋体" w:cs="宋体"/>
                <w:color w:val="000000"/>
                <w:sz w:val="24"/>
                <w:lang w:eastAsia="zh-CN"/>
              </w:rPr>
              <w:t>得</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分，</w:t>
            </w:r>
            <w:r>
              <w:rPr>
                <w:rFonts w:hint="eastAsia" w:ascii="宋体" w:hAnsi="宋体" w:eastAsia="宋体" w:cs="宋体"/>
                <w:sz w:val="24"/>
              </w:rPr>
              <w:t>欠缺或不合理的，每处扣0.5分，扣完为止。</w:t>
            </w:r>
          </w:p>
        </w:tc>
        <w:tc>
          <w:tcPr>
            <w:tcW w:w="805" w:type="dxa"/>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安全预防方案</w:t>
            </w:r>
          </w:p>
        </w:tc>
        <w:tc>
          <w:tcPr>
            <w:tcW w:w="7284" w:type="dxa"/>
            <w:noWrap w:val="0"/>
            <w:vAlign w:val="center"/>
          </w:tcPr>
          <w:p>
            <w:pPr>
              <w:spacing w:line="320" w:lineRule="exact"/>
              <w:contextualSpacing/>
              <w:jc w:val="left"/>
              <w:rPr>
                <w:rFonts w:hint="eastAsia" w:ascii="宋体" w:hAnsi="宋体" w:eastAsia="宋体" w:cs="宋体"/>
                <w:color w:val="000000"/>
                <w:sz w:val="24"/>
                <w:lang w:val="en-US" w:eastAsia="zh-CN"/>
              </w:rPr>
            </w:pPr>
            <w:r>
              <w:rPr>
                <w:rFonts w:hint="eastAsia" w:ascii="宋体" w:hAnsi="宋体" w:eastAsia="宋体" w:cs="宋体"/>
                <w:color w:val="000000"/>
                <w:sz w:val="24"/>
              </w:rPr>
              <w:t>根据投标人提供的针对重大</w:t>
            </w:r>
            <w:r>
              <w:rPr>
                <w:rFonts w:hint="eastAsia" w:ascii="宋体" w:hAnsi="宋体" w:eastAsia="宋体" w:cs="宋体"/>
                <w:color w:val="000000"/>
                <w:sz w:val="24"/>
                <w:lang w:val="en-US" w:eastAsia="zh-CN"/>
              </w:rPr>
              <w:t>安全</w:t>
            </w:r>
            <w:r>
              <w:rPr>
                <w:rFonts w:hint="eastAsia" w:ascii="宋体" w:hAnsi="宋体" w:eastAsia="宋体" w:cs="宋体"/>
                <w:color w:val="000000"/>
                <w:sz w:val="24"/>
              </w:rPr>
              <w:t>事件</w:t>
            </w:r>
            <w:r>
              <w:rPr>
                <w:rFonts w:hint="eastAsia" w:ascii="宋体" w:hAnsi="宋体" w:eastAsia="宋体" w:cs="宋体"/>
                <w:color w:val="000000"/>
                <w:sz w:val="24"/>
                <w:lang w:val="en-US" w:eastAsia="zh-CN"/>
              </w:rPr>
              <w:t>和</w:t>
            </w:r>
            <w:r>
              <w:rPr>
                <w:rFonts w:hint="eastAsia" w:ascii="宋体" w:hAnsi="宋体" w:eastAsia="宋体" w:cs="宋体"/>
                <w:color w:val="000000"/>
                <w:sz w:val="24"/>
              </w:rPr>
              <w:t>防台防汛期间</w:t>
            </w:r>
            <w:r>
              <w:rPr>
                <w:rFonts w:hint="eastAsia" w:ascii="宋体" w:hAnsi="宋体" w:eastAsia="宋体" w:cs="宋体"/>
                <w:color w:val="000000"/>
                <w:sz w:val="24"/>
                <w:lang w:val="en-US" w:eastAsia="zh-CN"/>
              </w:rPr>
              <w:t>提供安全的保障措施，如何保障辖区群众安全，提供相关的方案的</w:t>
            </w:r>
            <w:r>
              <w:rPr>
                <w:rFonts w:hint="eastAsia" w:ascii="宋体" w:hAnsi="宋体" w:eastAsia="宋体" w:cs="宋体"/>
                <w:color w:val="000000"/>
                <w:sz w:val="24"/>
                <w:lang w:eastAsia="zh-CN"/>
              </w:rPr>
              <w:t>得</w:t>
            </w:r>
            <w:r>
              <w:rPr>
                <w:rFonts w:hint="eastAsia" w:ascii="宋体" w:hAnsi="宋体" w:cs="宋体"/>
                <w:color w:val="000000"/>
                <w:sz w:val="24"/>
                <w:lang w:val="en-US" w:eastAsia="zh-CN"/>
              </w:rPr>
              <w:t>6</w:t>
            </w:r>
            <w:r>
              <w:rPr>
                <w:rFonts w:hint="eastAsia" w:ascii="宋体" w:hAnsi="宋体" w:eastAsia="宋体" w:cs="宋体"/>
                <w:color w:val="000000"/>
                <w:sz w:val="24"/>
                <w:lang w:eastAsia="zh-CN"/>
              </w:rPr>
              <w:t>分，</w:t>
            </w:r>
            <w:r>
              <w:rPr>
                <w:rFonts w:hint="eastAsia" w:ascii="宋体" w:hAnsi="宋体" w:eastAsia="宋体" w:cs="宋体"/>
                <w:sz w:val="24"/>
              </w:rPr>
              <w:t>欠缺或不合理的，每处扣0.5分，扣完为止。</w:t>
            </w:r>
          </w:p>
        </w:tc>
        <w:tc>
          <w:tcPr>
            <w:tcW w:w="805"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疾病防护预案</w:t>
            </w:r>
          </w:p>
        </w:tc>
        <w:tc>
          <w:tcPr>
            <w:tcW w:w="7284" w:type="dxa"/>
            <w:noWrap w:val="0"/>
            <w:vAlign w:val="center"/>
          </w:tcPr>
          <w:p>
            <w:pPr>
              <w:spacing w:line="320" w:lineRule="exact"/>
              <w:contextualSpacing/>
              <w:jc w:val="left"/>
              <w:rPr>
                <w:rFonts w:hint="eastAsia" w:ascii="宋体" w:hAnsi="宋体" w:eastAsia="宋体" w:cs="宋体"/>
                <w:color w:val="000000"/>
                <w:sz w:val="24"/>
              </w:rPr>
            </w:pPr>
            <w:r>
              <w:rPr>
                <w:rFonts w:hint="eastAsia" w:ascii="宋体" w:hAnsi="宋体" w:eastAsia="宋体" w:cs="宋体"/>
                <w:color w:val="000000"/>
                <w:sz w:val="24"/>
                <w:lang w:val="en-US" w:eastAsia="zh-CN"/>
              </w:rPr>
              <w:t>提供疾病防控预案，包括对于一般</w:t>
            </w:r>
            <w:r>
              <w:rPr>
                <w:rFonts w:hint="eastAsia" w:ascii="宋体" w:hAnsi="宋体" w:eastAsia="宋体" w:cs="宋体"/>
                <w:color w:val="000000"/>
                <w:sz w:val="24"/>
              </w:rPr>
              <w:t>疾病控制预防</w:t>
            </w:r>
            <w:r>
              <w:rPr>
                <w:rFonts w:hint="eastAsia" w:ascii="宋体" w:hAnsi="宋体" w:eastAsia="宋体" w:cs="宋体"/>
                <w:color w:val="000000"/>
                <w:sz w:val="24"/>
                <w:lang w:val="en-US" w:eastAsia="zh-CN"/>
              </w:rPr>
              <w:t>及目前新型冠状病毒防控等提供相关有效合理的防护方案的</w:t>
            </w:r>
            <w:r>
              <w:rPr>
                <w:rFonts w:hint="eastAsia" w:ascii="宋体" w:hAnsi="宋体" w:eastAsia="宋体" w:cs="宋体"/>
                <w:color w:val="000000"/>
                <w:sz w:val="24"/>
                <w:lang w:eastAsia="zh-CN"/>
              </w:rPr>
              <w:t>得</w:t>
            </w:r>
            <w:r>
              <w:rPr>
                <w:rFonts w:hint="eastAsia" w:ascii="宋体" w:hAnsi="宋体" w:cs="宋体"/>
                <w:color w:val="000000"/>
                <w:sz w:val="24"/>
                <w:lang w:val="en-US" w:eastAsia="zh-CN"/>
              </w:rPr>
              <w:t>6</w:t>
            </w:r>
            <w:r>
              <w:rPr>
                <w:rFonts w:hint="eastAsia" w:ascii="宋体" w:hAnsi="宋体" w:eastAsia="宋体" w:cs="宋体"/>
                <w:color w:val="000000"/>
                <w:sz w:val="24"/>
                <w:lang w:eastAsia="zh-CN"/>
              </w:rPr>
              <w:t>分，</w:t>
            </w:r>
            <w:r>
              <w:rPr>
                <w:rFonts w:hint="eastAsia" w:ascii="宋体" w:hAnsi="宋体" w:eastAsia="宋体" w:cs="宋体"/>
                <w:sz w:val="24"/>
              </w:rPr>
              <w:t>欠缺或不合理的，每处扣0.5分，扣完为止。</w:t>
            </w:r>
          </w:p>
        </w:tc>
        <w:tc>
          <w:tcPr>
            <w:tcW w:w="805"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人员管理方案</w:t>
            </w:r>
          </w:p>
        </w:tc>
        <w:tc>
          <w:tcPr>
            <w:tcW w:w="7284" w:type="dxa"/>
            <w:noWrap w:val="0"/>
            <w:vAlign w:val="center"/>
          </w:tcPr>
          <w:p>
            <w:pPr>
              <w:keepNext w:val="0"/>
              <w:keepLines w:val="0"/>
              <w:suppressLineNumbers w:val="0"/>
              <w:spacing w:before="0" w:beforeAutospacing="0" w:after="0" w:afterAutospacing="0" w:line="320" w:lineRule="exact"/>
              <w:ind w:left="0" w:leftChars="0" w:right="0" w:rightChars="0"/>
              <w:contextualSpacing/>
              <w:jc w:val="left"/>
              <w:rPr>
                <w:rFonts w:hint="eastAsia" w:ascii="宋体" w:hAnsi="宋体" w:eastAsia="宋体" w:cs="宋体"/>
                <w:sz w:val="24"/>
              </w:rPr>
            </w:pPr>
            <w:r>
              <w:rPr>
                <w:rFonts w:hint="eastAsia" w:ascii="宋体" w:hAnsi="宋体" w:eastAsia="宋体" w:cs="宋体"/>
                <w:sz w:val="24"/>
              </w:rPr>
              <w:t>评标委员会根据投标人提供的针对本项目的人员管理方案，如人员考核方案、合同执行期间的人员数量保障方案、人员安全保障措施、人员管理规范、</w:t>
            </w:r>
            <w:r>
              <w:rPr>
                <w:rFonts w:hint="eastAsia" w:ascii="宋体" w:hAnsi="宋体" w:eastAsia="宋体" w:cs="宋体"/>
                <w:sz w:val="24"/>
                <w:lang w:val="en-US" w:eastAsia="zh-CN"/>
              </w:rPr>
              <w:t>如何在工作中配合相关部门的工作，</w:t>
            </w:r>
            <w:r>
              <w:rPr>
                <w:rFonts w:hint="eastAsia" w:ascii="宋体" w:hAnsi="宋体" w:eastAsia="宋体" w:cs="宋体"/>
                <w:color w:val="000000"/>
                <w:sz w:val="24"/>
                <w:lang w:val="en-US" w:eastAsia="zh-CN"/>
              </w:rPr>
              <w:t>供相关的方案的</w:t>
            </w:r>
            <w:r>
              <w:rPr>
                <w:rFonts w:hint="eastAsia" w:ascii="宋体" w:hAnsi="宋体" w:eastAsia="宋体" w:cs="宋体"/>
                <w:color w:val="000000"/>
                <w:sz w:val="24"/>
                <w:lang w:eastAsia="zh-CN"/>
              </w:rPr>
              <w:t>得</w:t>
            </w:r>
            <w:r>
              <w:rPr>
                <w:rFonts w:hint="eastAsia" w:ascii="宋体" w:hAnsi="宋体" w:cs="宋体"/>
                <w:color w:val="000000"/>
                <w:sz w:val="24"/>
                <w:lang w:val="en-US" w:eastAsia="zh-CN"/>
              </w:rPr>
              <w:t>6</w:t>
            </w:r>
            <w:r>
              <w:rPr>
                <w:rFonts w:hint="eastAsia" w:ascii="宋体" w:hAnsi="宋体" w:eastAsia="宋体" w:cs="宋体"/>
                <w:color w:val="000000"/>
                <w:sz w:val="24"/>
                <w:lang w:eastAsia="zh-CN"/>
              </w:rPr>
              <w:t>分，</w:t>
            </w:r>
            <w:r>
              <w:rPr>
                <w:rFonts w:hint="eastAsia" w:ascii="宋体" w:hAnsi="宋体" w:eastAsia="宋体" w:cs="宋体"/>
                <w:sz w:val="24"/>
              </w:rPr>
              <w:t>欠缺或不合理的，每处扣0.5分，扣完为止。</w:t>
            </w:r>
          </w:p>
        </w:tc>
        <w:tc>
          <w:tcPr>
            <w:tcW w:w="80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w:t>
            </w:r>
          </w:p>
        </w:tc>
        <w:tc>
          <w:tcPr>
            <w:tcW w:w="133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团队方案</w:t>
            </w:r>
          </w:p>
        </w:tc>
        <w:tc>
          <w:tcPr>
            <w:tcW w:w="7284" w:type="dxa"/>
            <w:noWrap w:val="0"/>
            <w:vAlign w:val="center"/>
          </w:tcPr>
          <w:p>
            <w:pPr>
              <w:keepNext w:val="0"/>
              <w:keepLines w:val="0"/>
              <w:suppressLineNumbers w:val="0"/>
              <w:spacing w:before="0" w:beforeAutospacing="0" w:after="0" w:afterAutospacing="0" w:line="320" w:lineRule="exact"/>
              <w:ind w:left="0" w:leftChars="0" w:right="0" w:rightChars="0"/>
              <w:contextualSpacing/>
              <w:jc w:val="left"/>
              <w:rPr>
                <w:rFonts w:hint="eastAsia" w:ascii="宋体" w:hAnsi="宋体" w:eastAsia="宋体" w:cs="宋体"/>
                <w:color w:val="000000"/>
                <w:sz w:val="24"/>
              </w:rPr>
            </w:pPr>
            <w:r>
              <w:rPr>
                <w:rFonts w:hint="eastAsia" w:ascii="宋体" w:hAnsi="宋体" w:eastAsia="宋体" w:cs="宋体"/>
                <w:sz w:val="24"/>
              </w:rPr>
              <w:t>供应商对项目</w:t>
            </w:r>
            <w:r>
              <w:rPr>
                <w:rFonts w:hint="eastAsia" w:ascii="宋体" w:hAnsi="宋体" w:eastAsia="宋体" w:cs="宋体"/>
                <w:sz w:val="24"/>
                <w:lang w:val="en-US" w:eastAsia="zh-CN"/>
              </w:rPr>
              <w:t>的</w:t>
            </w:r>
            <w:r>
              <w:rPr>
                <w:rFonts w:hint="eastAsia" w:ascii="宋体" w:hAnsi="宋体" w:eastAsia="宋体" w:cs="宋体"/>
                <w:sz w:val="24"/>
              </w:rPr>
              <w:t>技术力量和人力资源安排投入主要技术人员专业配置齐全、岗位分工完整，能很好的分工协调项目实施事宜得</w:t>
            </w:r>
            <w:r>
              <w:rPr>
                <w:rFonts w:hint="eastAsia" w:ascii="宋体" w:hAnsi="宋体" w:cs="宋体"/>
                <w:sz w:val="24"/>
                <w:lang w:val="en-US" w:eastAsia="zh-CN"/>
              </w:rPr>
              <w:t>6</w:t>
            </w:r>
            <w:r>
              <w:rPr>
                <w:rFonts w:hint="eastAsia" w:ascii="宋体" w:hAnsi="宋体" w:eastAsia="宋体" w:cs="宋体"/>
                <w:sz w:val="24"/>
              </w:rPr>
              <w:t>分，专业配置不齐全，岗位分工不明确每处扣0.5分，扣完为止。</w:t>
            </w:r>
          </w:p>
        </w:tc>
        <w:tc>
          <w:tcPr>
            <w:tcW w:w="80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w:t>
            </w:r>
          </w:p>
        </w:tc>
        <w:tc>
          <w:tcPr>
            <w:tcW w:w="133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合理化</w:t>
            </w:r>
          </w:p>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rPr>
              <w:t>建议</w:t>
            </w:r>
          </w:p>
        </w:tc>
        <w:tc>
          <w:tcPr>
            <w:tcW w:w="7284" w:type="dxa"/>
            <w:noWrap w:val="0"/>
            <w:vAlign w:val="center"/>
          </w:tcPr>
          <w:p>
            <w:p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rPr>
              <w:t>对本项目的了解程度，系统是否存在不足之处，针对本项目提出合理化建议，每提出一条合理化建议的得</w:t>
            </w:r>
            <w:r>
              <w:rPr>
                <w:rFonts w:hint="eastAsia" w:ascii="宋体" w:hAnsi="宋体" w:eastAsia="宋体" w:cs="宋体"/>
                <w:color w:val="000000"/>
                <w:sz w:val="24"/>
                <w:lang w:val="en-US" w:eastAsia="zh-CN"/>
              </w:rPr>
              <w:t>1</w:t>
            </w:r>
            <w:r>
              <w:rPr>
                <w:rFonts w:hint="eastAsia" w:ascii="宋体" w:hAnsi="宋体" w:eastAsia="宋体" w:cs="宋体"/>
                <w:color w:val="000000"/>
                <w:sz w:val="24"/>
              </w:rPr>
              <w:t>分，最高得</w:t>
            </w:r>
            <w:r>
              <w:rPr>
                <w:rFonts w:hint="eastAsia" w:ascii="宋体" w:hAnsi="宋体" w:cs="宋体"/>
                <w:color w:val="000000"/>
                <w:sz w:val="24"/>
                <w:lang w:val="en-US" w:eastAsia="zh-CN"/>
              </w:rPr>
              <w:t>6</w:t>
            </w:r>
            <w:r>
              <w:rPr>
                <w:rFonts w:hint="eastAsia" w:ascii="宋体" w:hAnsi="宋体" w:eastAsia="宋体" w:cs="宋体"/>
                <w:color w:val="000000"/>
                <w:sz w:val="24"/>
              </w:rPr>
              <w:t>分。</w:t>
            </w:r>
          </w:p>
        </w:tc>
        <w:tc>
          <w:tcPr>
            <w:tcW w:w="80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338" w:type="dxa"/>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管理制度</w:t>
            </w:r>
          </w:p>
        </w:tc>
        <w:tc>
          <w:tcPr>
            <w:tcW w:w="7284" w:type="dxa"/>
            <w:noWrap w:val="0"/>
            <w:vAlign w:val="center"/>
          </w:tcPr>
          <w:p>
            <w:pPr>
              <w:spacing w:line="320" w:lineRule="exact"/>
              <w:contextualSpacing/>
              <w:jc w:val="left"/>
              <w:rPr>
                <w:rFonts w:hint="eastAsia" w:ascii="宋体" w:hAnsi="宋体" w:eastAsia="宋体" w:cs="宋体"/>
                <w:color w:val="000000"/>
                <w:sz w:val="24"/>
              </w:rPr>
            </w:pPr>
            <w:r>
              <w:rPr>
                <w:rFonts w:hint="eastAsia" w:ascii="宋体" w:hAnsi="宋体" w:eastAsia="宋体" w:cs="宋体"/>
                <w:color w:val="000000"/>
                <w:sz w:val="24"/>
              </w:rPr>
              <w:t>提供相关的</w:t>
            </w:r>
            <w:r>
              <w:rPr>
                <w:rFonts w:hint="eastAsia" w:ascii="宋体" w:hAnsi="宋体" w:eastAsia="宋体" w:cs="宋体"/>
                <w:color w:val="000000"/>
                <w:sz w:val="24"/>
                <w:lang w:val="en-US" w:eastAsia="zh-CN"/>
              </w:rPr>
              <w:t>管理</w:t>
            </w:r>
            <w:r>
              <w:rPr>
                <w:rFonts w:hint="eastAsia" w:ascii="宋体" w:hAnsi="宋体" w:eastAsia="宋体" w:cs="宋体"/>
                <w:color w:val="000000"/>
                <w:sz w:val="24"/>
              </w:rPr>
              <w:t>制度方案</w:t>
            </w:r>
            <w:r>
              <w:rPr>
                <w:rFonts w:hint="eastAsia" w:ascii="宋体" w:hAnsi="宋体" w:eastAsia="宋体" w:cs="宋体"/>
                <w:color w:val="000000"/>
                <w:sz w:val="24"/>
                <w:lang w:eastAsia="zh-CN"/>
              </w:rPr>
              <w:t>（包括劳动纪律；职工奖惩制度；检查、考核制度；职工行为规范制度等），岗位责任明确。管理工作有计划，有员工培训计划。内容齐全的得</w:t>
            </w:r>
            <w:r>
              <w:rPr>
                <w:rFonts w:hint="eastAsia" w:ascii="宋体" w:hAnsi="宋体" w:eastAsia="宋体" w:cs="宋体"/>
                <w:color w:val="000000"/>
                <w:sz w:val="24"/>
                <w:lang w:val="en-US" w:eastAsia="zh-CN"/>
              </w:rPr>
              <w:t>的</w:t>
            </w:r>
            <w:r>
              <w:rPr>
                <w:rFonts w:hint="eastAsia" w:ascii="宋体" w:hAnsi="宋体" w:eastAsia="宋体" w:cs="宋体"/>
                <w:color w:val="000000"/>
                <w:sz w:val="24"/>
              </w:rPr>
              <w:t>得</w:t>
            </w:r>
            <w:r>
              <w:rPr>
                <w:rFonts w:hint="eastAsia" w:ascii="宋体" w:hAnsi="宋体" w:cs="宋体"/>
                <w:color w:val="000000"/>
                <w:sz w:val="24"/>
                <w:lang w:val="en-US" w:eastAsia="zh-CN"/>
              </w:rPr>
              <w:t>6</w:t>
            </w:r>
            <w:r>
              <w:rPr>
                <w:rFonts w:hint="eastAsia" w:ascii="宋体" w:hAnsi="宋体" w:eastAsia="宋体" w:cs="宋体"/>
                <w:color w:val="000000"/>
                <w:sz w:val="24"/>
              </w:rPr>
              <w:t>分，欠缺或不合理的，每处扣0.5分，扣完为止。</w:t>
            </w:r>
          </w:p>
        </w:tc>
        <w:tc>
          <w:tcPr>
            <w:tcW w:w="805"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员工培训</w:t>
            </w:r>
          </w:p>
        </w:tc>
        <w:tc>
          <w:tcPr>
            <w:tcW w:w="7284" w:type="dxa"/>
            <w:noWrap w:val="0"/>
            <w:vAlign w:val="center"/>
          </w:tcPr>
          <w:p>
            <w:pPr>
              <w:numPr>
                <w:ilvl w:val="0"/>
                <w:numId w:val="0"/>
              </w:numPr>
              <w:spacing w:line="320" w:lineRule="exact"/>
              <w:ind w:leftChars="0"/>
              <w:contextualSpacing/>
              <w:jc w:val="left"/>
              <w:rPr>
                <w:rFonts w:hint="eastAsia" w:ascii="宋体" w:hAnsi="宋体" w:eastAsia="宋体" w:cs="宋体"/>
                <w:color w:val="000000"/>
                <w:kern w:val="2"/>
                <w:sz w:val="24"/>
                <w:szCs w:val="24"/>
                <w:lang w:val="en-US" w:eastAsia="zh-CN" w:bidi="ar-SA"/>
              </w:rPr>
            </w:pPr>
            <w:r>
              <w:rPr>
                <w:rFonts w:hint="eastAsia" w:ascii="宋体" w:hAnsi="宋体" w:eastAsia="宋体" w:cs="宋体"/>
                <w:sz w:val="24"/>
              </w:rPr>
              <w:t>设置专业培训部门，包括岗前培训和在岗培训，培训方案完善且有针对性，培训内容包含服务态度、岗位技能、身份识别、职业道德、及各种安全作业等知识的培训，有详细的年度培训计划和方案的得</w:t>
            </w:r>
            <w:r>
              <w:rPr>
                <w:rFonts w:hint="eastAsia" w:ascii="宋体" w:hAnsi="宋体" w:cs="宋体"/>
                <w:sz w:val="24"/>
                <w:lang w:val="en-US" w:eastAsia="zh-CN"/>
              </w:rPr>
              <w:t>6</w:t>
            </w:r>
            <w:r>
              <w:rPr>
                <w:rFonts w:hint="eastAsia" w:ascii="宋体" w:hAnsi="宋体" w:eastAsia="宋体" w:cs="宋体"/>
                <w:sz w:val="24"/>
              </w:rPr>
              <w:t>分，案欠缺或不合理的，每处扣</w:t>
            </w:r>
            <w:r>
              <w:rPr>
                <w:rFonts w:hint="eastAsia" w:ascii="宋体" w:hAnsi="宋体" w:eastAsia="宋体" w:cs="宋体"/>
                <w:sz w:val="24"/>
                <w:lang w:val="en-US" w:eastAsia="zh-CN"/>
              </w:rPr>
              <w:t>0.5</w:t>
            </w:r>
            <w:r>
              <w:rPr>
                <w:rFonts w:hint="eastAsia" w:ascii="宋体" w:hAnsi="宋体" w:eastAsia="宋体" w:cs="宋体"/>
                <w:sz w:val="24"/>
              </w:rPr>
              <w:t>分，扣完为止。</w:t>
            </w:r>
          </w:p>
        </w:tc>
        <w:tc>
          <w:tcPr>
            <w:tcW w:w="805"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12</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人员配置要求</w:t>
            </w:r>
          </w:p>
        </w:tc>
        <w:tc>
          <w:tcPr>
            <w:tcW w:w="7284" w:type="dxa"/>
            <w:noWrap w:val="0"/>
            <w:vAlign w:val="center"/>
          </w:tcPr>
          <w:p>
            <w:pPr>
              <w:keepNext w:val="0"/>
              <w:keepLines w:val="0"/>
              <w:suppressLineNumbers w:val="0"/>
              <w:spacing w:before="0" w:beforeAutospacing="0" w:after="0" w:afterAutospacing="0" w:line="320" w:lineRule="exact"/>
              <w:ind w:left="0" w:leftChars="0" w:right="0" w:rightChars="0"/>
              <w:contextualSpacing/>
              <w:jc w:val="left"/>
              <w:rPr>
                <w:rFonts w:hint="default" w:ascii="宋体" w:hAnsi="宋体" w:eastAsia="宋体" w:cs="宋体"/>
                <w:b/>
                <w:bCs/>
                <w:sz w:val="24"/>
                <w:u w:val="single"/>
                <w:lang w:val="en-US"/>
              </w:rPr>
            </w:pPr>
            <w:r>
              <w:rPr>
                <w:rFonts w:hint="eastAsia" w:ascii="宋体" w:hAnsi="宋体" w:cs="宋体"/>
                <w:color w:val="000000"/>
                <w:kern w:val="2"/>
                <w:sz w:val="24"/>
                <w:szCs w:val="24"/>
                <w:lang w:val="en-US" w:eastAsia="zh-CN" w:bidi="ar-SA"/>
              </w:rPr>
              <w:t>投标人对于本项目拟投入的全部人员要求年龄在20-35周岁；身高173以上；持有C证驾照以上；身体健康，无刑事处罚的得6分；（提供人员近一个月社保，</w:t>
            </w:r>
            <w:r>
              <w:rPr>
                <w:rFonts w:hint="eastAsia" w:ascii="宋体" w:hAnsi="宋体" w:eastAsia="宋体" w:cs="宋体"/>
                <w:sz w:val="24"/>
                <w:lang w:val="en-US" w:eastAsia="zh-CN"/>
              </w:rPr>
              <w:t>不提供不得分</w:t>
            </w:r>
            <w:r>
              <w:rPr>
                <w:rFonts w:hint="eastAsia" w:ascii="宋体" w:hAnsi="宋体" w:cs="宋体"/>
                <w:sz w:val="24"/>
                <w:lang w:val="en-US" w:eastAsia="zh-CN"/>
              </w:rPr>
              <w:t>。</w:t>
            </w:r>
            <w:r>
              <w:rPr>
                <w:rFonts w:hint="eastAsia" w:ascii="宋体" w:hAnsi="宋体" w:cs="宋体"/>
                <w:color w:val="000000"/>
                <w:kern w:val="2"/>
                <w:sz w:val="24"/>
                <w:szCs w:val="24"/>
                <w:lang w:val="en-US" w:eastAsia="zh-CN" w:bidi="ar-SA"/>
              </w:rPr>
              <w:t>）</w:t>
            </w:r>
          </w:p>
        </w:tc>
        <w:tc>
          <w:tcPr>
            <w:tcW w:w="80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13</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企业认证</w:t>
            </w:r>
          </w:p>
        </w:tc>
        <w:tc>
          <w:tcPr>
            <w:tcW w:w="7284" w:type="dxa"/>
            <w:noWrap w:val="0"/>
            <w:vAlign w:val="center"/>
          </w:tcPr>
          <w:p>
            <w:pPr>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具备有效期内的质量管理体系认证证书，得2分；具有有效期内的环境管理体系认证证书，得2分；具有有效期内的职业健康安全管理体系认证证书，得2分；</w:t>
            </w:r>
          </w:p>
          <w:p>
            <w:pPr>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（以上认证需提供相关的证明材料）</w:t>
            </w:r>
          </w:p>
        </w:tc>
        <w:tc>
          <w:tcPr>
            <w:tcW w:w="80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lang w:val="en-US" w:eastAsia="zh-CN"/>
              </w:rPr>
            </w:pPr>
            <w:r>
              <w:rPr>
                <w:rFonts w:hint="eastAsia" w:ascii="宋体" w:hAnsi="宋体" w:eastAsia="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noWrap w:val="0"/>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14</w:t>
            </w:r>
          </w:p>
        </w:tc>
        <w:tc>
          <w:tcPr>
            <w:tcW w:w="1338" w:type="dxa"/>
            <w:noWrap w:val="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企业业绩</w:t>
            </w:r>
          </w:p>
        </w:tc>
        <w:tc>
          <w:tcPr>
            <w:tcW w:w="7284" w:type="dxa"/>
            <w:noWrap w:val="0"/>
            <w:vAlign w:val="center"/>
          </w:tcPr>
          <w:p>
            <w:pPr>
              <w:numPr>
                <w:ilvl w:val="0"/>
                <w:numId w:val="0"/>
              </w:numPr>
              <w:spacing w:line="320" w:lineRule="exact"/>
              <w:ind w:leftChars="0"/>
              <w:contextualSpacing/>
              <w:jc w:val="left"/>
              <w:rPr>
                <w:rFonts w:hint="eastAsia" w:ascii="宋体" w:hAnsi="宋体" w:eastAsia="宋体" w:cs="宋体"/>
                <w:color w:val="000000"/>
                <w:sz w:val="24"/>
              </w:rPr>
            </w:pPr>
            <w:r>
              <w:rPr>
                <w:rFonts w:hint="eastAsia" w:ascii="宋体" w:hAnsi="宋体" w:eastAsia="宋体" w:cs="宋体"/>
                <w:color w:val="000000"/>
                <w:sz w:val="24"/>
              </w:rPr>
              <w:t>投标人提供20</w:t>
            </w:r>
            <w:r>
              <w:rPr>
                <w:rFonts w:hint="eastAsia" w:ascii="宋体" w:hAnsi="宋体" w:cs="宋体"/>
                <w:color w:val="000000"/>
                <w:sz w:val="24"/>
                <w:lang w:val="en-US" w:eastAsia="zh-CN"/>
              </w:rPr>
              <w:t>20</w:t>
            </w:r>
            <w:r>
              <w:rPr>
                <w:rFonts w:hint="eastAsia" w:ascii="宋体" w:hAnsi="宋体" w:eastAsia="宋体" w:cs="宋体"/>
                <w:color w:val="000000"/>
                <w:sz w:val="24"/>
              </w:rPr>
              <w:t>年1月1日至今的类似的相关业绩每提供一份得1分，最高</w:t>
            </w:r>
            <w:r>
              <w:rPr>
                <w:rFonts w:hint="eastAsia" w:ascii="宋体" w:hAnsi="宋体" w:cs="宋体"/>
                <w:color w:val="000000"/>
                <w:sz w:val="24"/>
                <w:lang w:val="en-US" w:eastAsia="zh-CN"/>
              </w:rPr>
              <w:t>1</w:t>
            </w:r>
            <w:r>
              <w:rPr>
                <w:rFonts w:hint="eastAsia" w:ascii="宋体" w:hAnsi="宋体" w:eastAsia="宋体" w:cs="宋体"/>
                <w:color w:val="000000"/>
                <w:sz w:val="24"/>
              </w:rPr>
              <w:t>分。</w:t>
            </w:r>
          </w:p>
          <w:p>
            <w:pPr>
              <w:numPr>
                <w:ilvl w:val="0"/>
                <w:numId w:val="0"/>
              </w:numPr>
              <w:spacing w:line="320" w:lineRule="exact"/>
              <w:ind w:leftChars="0"/>
              <w:contextualSpacing/>
              <w:jc w:val="left"/>
              <w:rPr>
                <w:rFonts w:hint="eastAsia" w:ascii="宋体" w:hAnsi="宋体" w:eastAsia="宋体" w:cs="宋体"/>
                <w:color w:val="000000"/>
                <w:kern w:val="2"/>
                <w:sz w:val="24"/>
                <w:szCs w:val="24"/>
                <w:lang w:val="en-US" w:eastAsia="zh-CN" w:bidi="ar-SA"/>
              </w:rPr>
            </w:pPr>
            <w:r>
              <w:rPr>
                <w:rFonts w:hint="eastAsia" w:ascii="宋体" w:hAnsi="宋体" w:eastAsia="宋体" w:cs="宋体"/>
                <w:b/>
                <w:bCs/>
                <w:sz w:val="24"/>
                <w:u w:val="single"/>
              </w:rPr>
              <w:t>（提供合同和证明其真实性的证明文件）</w:t>
            </w:r>
          </w:p>
        </w:tc>
        <w:tc>
          <w:tcPr>
            <w:tcW w:w="805" w:type="dxa"/>
            <w:noWrap w:val="0"/>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 xml:space="preserve">分 </w:t>
            </w:r>
          </w:p>
        </w:tc>
      </w:tr>
    </w:tbl>
    <w:p>
      <w:pPr>
        <w:pStyle w:val="7"/>
        <w:ind w:firstLine="422"/>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5.2价格分</w:t>
      </w:r>
      <w:bookmarkEnd w:id="56"/>
    </w:p>
    <w:p>
      <w:pPr>
        <w:widowControl/>
        <w:ind w:firstLine="480" w:firstLineChars="200"/>
        <w:rPr>
          <w:rFonts w:cs="Calibri"/>
          <w:color w:val="000000" w:themeColor="text1"/>
          <w:kern w:val="0"/>
          <w:sz w:val="24"/>
          <w:szCs w:val="24"/>
          <w14:textFill>
            <w14:solidFill>
              <w14:schemeClr w14:val="tx1"/>
            </w14:solidFill>
          </w14:textFill>
        </w:rPr>
      </w:pPr>
      <w:r>
        <w:rPr>
          <w:rFonts w:cs="Calibri"/>
          <w:color w:val="000000" w:themeColor="text1"/>
          <w:kern w:val="0"/>
          <w:sz w:val="24"/>
          <w:szCs w:val="24"/>
          <w14:textFill>
            <w14:solidFill>
              <w14:schemeClr w14:val="tx1"/>
            </w14:solidFill>
          </w14:textFill>
        </w:rPr>
        <w:t>价格评分将在有效响应文件范围内进行，最高得</w:t>
      </w:r>
      <w:r>
        <w:rPr>
          <w:rFonts w:hint="eastAsia" w:cs="Calibri"/>
          <w:color w:val="000000" w:themeColor="text1"/>
          <w:kern w:val="0"/>
          <w:sz w:val="24"/>
          <w:szCs w:val="24"/>
          <w:u w:val="single"/>
          <w14:textFill>
            <w14:solidFill>
              <w14:schemeClr w14:val="tx1"/>
            </w14:solidFill>
          </w14:textFill>
        </w:rPr>
        <w:t>1</w:t>
      </w:r>
      <w:r>
        <w:rPr>
          <w:rFonts w:cs="Calibri"/>
          <w:color w:val="000000" w:themeColor="text1"/>
          <w:kern w:val="0"/>
          <w:sz w:val="24"/>
          <w:szCs w:val="24"/>
          <w:u w:val="single"/>
          <w14:textFill>
            <w14:solidFill>
              <w14:schemeClr w14:val="tx1"/>
            </w14:solidFill>
          </w14:textFill>
        </w:rPr>
        <w:t>0</w:t>
      </w:r>
      <w:r>
        <w:rPr>
          <w:rFonts w:cs="Calibri"/>
          <w:color w:val="000000" w:themeColor="text1"/>
          <w:kern w:val="0"/>
          <w:sz w:val="24"/>
          <w:szCs w:val="24"/>
          <w14:textFill>
            <w14:solidFill>
              <w14:schemeClr w14:val="tx1"/>
            </w14:solidFill>
          </w14:textFill>
        </w:rPr>
        <w:t>分，最低得</w:t>
      </w:r>
      <w:r>
        <w:rPr>
          <w:rFonts w:cs="Calibri"/>
          <w:color w:val="000000" w:themeColor="text1"/>
          <w:kern w:val="0"/>
          <w:sz w:val="24"/>
          <w:szCs w:val="24"/>
          <w:u w:val="single"/>
          <w14:textFill>
            <w14:solidFill>
              <w14:schemeClr w14:val="tx1"/>
            </w14:solidFill>
          </w14:textFill>
        </w:rPr>
        <w:t>0</w:t>
      </w:r>
      <w:r>
        <w:rPr>
          <w:rFonts w:cs="Calibri"/>
          <w:color w:val="000000" w:themeColor="text1"/>
          <w:kern w:val="0"/>
          <w:sz w:val="24"/>
          <w:szCs w:val="24"/>
          <w14:textFill>
            <w14:solidFill>
              <w14:schemeClr w14:val="tx1"/>
            </w14:solidFill>
          </w14:textFill>
        </w:rPr>
        <w:t>分（小数点后保留二位小数，第三位四舍五入）。满足采购文件要求且最后报价最低的供应商的价格为磋商基准价，其价格分为满分。其他供应商的价格分统一按照下列公式计算：</w:t>
      </w:r>
    </w:p>
    <w:p>
      <w:pPr>
        <w:widowControl/>
        <w:adjustRightInd w:val="0"/>
        <w:ind w:firstLine="480" w:firstLineChars="200"/>
        <w:rPr>
          <w:rFonts w:cs="Calibri"/>
          <w:color w:val="000000" w:themeColor="text1"/>
          <w:kern w:val="0"/>
          <w:sz w:val="24"/>
          <w:szCs w:val="24"/>
          <w14:textFill>
            <w14:solidFill>
              <w14:schemeClr w14:val="tx1"/>
            </w14:solidFill>
          </w14:textFill>
        </w:rPr>
      </w:pPr>
      <w:r>
        <w:rPr>
          <w:rFonts w:cs="Calibri"/>
          <w:color w:val="000000" w:themeColor="text1"/>
          <w:kern w:val="0"/>
          <w:sz w:val="24"/>
          <w:szCs w:val="24"/>
          <w14:textFill>
            <w14:solidFill>
              <w14:schemeClr w14:val="tx1"/>
            </w14:solidFill>
          </w14:textFill>
        </w:rPr>
        <w:t>磋商报价得分=（磋商基准价／最后磋商报价）×</w:t>
      </w:r>
      <w:r>
        <w:rPr>
          <w:rFonts w:hint="eastAsia" w:cs="Calibri"/>
          <w:color w:val="000000" w:themeColor="text1"/>
          <w:kern w:val="0"/>
          <w:sz w:val="24"/>
          <w:szCs w:val="24"/>
          <w14:textFill>
            <w14:solidFill>
              <w14:schemeClr w14:val="tx1"/>
            </w14:solidFill>
          </w14:textFill>
        </w:rPr>
        <w:t>1</w:t>
      </w:r>
      <w:r>
        <w:rPr>
          <w:rFonts w:cs="Calibri"/>
          <w:color w:val="000000" w:themeColor="text1"/>
          <w:kern w:val="0"/>
          <w:sz w:val="24"/>
          <w:szCs w:val="24"/>
          <w14:textFill>
            <w14:solidFill>
              <w14:schemeClr w14:val="tx1"/>
            </w14:solidFill>
          </w14:textFill>
        </w:rPr>
        <w:t>0%×100</w:t>
      </w:r>
    </w:p>
    <w:p>
      <w:pPr>
        <w:pStyle w:val="7"/>
        <w:ind w:firstLine="422"/>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四、重新评审</w:t>
      </w:r>
    </w:p>
    <w:p>
      <w:pPr>
        <w:autoSpaceDE w:val="0"/>
        <w:autoSpaceDN w:val="0"/>
        <w:adjustRightInd w:val="0"/>
        <w:ind w:firstLine="480" w:firstLineChars="200"/>
        <w:textAlignment w:val="bottom"/>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评审结果形成后，除下列情形外，采购人或采购代理机构不得重新评审：</w:t>
      </w:r>
    </w:p>
    <w:p>
      <w:pPr>
        <w:autoSpaceDE w:val="0"/>
        <w:autoSpaceDN w:val="0"/>
        <w:adjustRightInd w:val="0"/>
        <w:ind w:firstLine="480" w:firstLineChars="200"/>
        <w:textAlignment w:val="bottom"/>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（一）资格性检查认定错误；</w:t>
      </w:r>
    </w:p>
    <w:p>
      <w:pPr>
        <w:autoSpaceDE w:val="0"/>
        <w:autoSpaceDN w:val="0"/>
        <w:adjustRightInd w:val="0"/>
        <w:ind w:firstLine="480" w:firstLineChars="200"/>
        <w:textAlignment w:val="bottom"/>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（二）分值汇总计算错误；</w:t>
      </w:r>
    </w:p>
    <w:p>
      <w:pPr>
        <w:autoSpaceDE w:val="0"/>
        <w:autoSpaceDN w:val="0"/>
        <w:adjustRightInd w:val="0"/>
        <w:ind w:firstLine="480" w:firstLineChars="200"/>
        <w:textAlignment w:val="bottom"/>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（三）分项评分超出评分标准范围；</w:t>
      </w:r>
    </w:p>
    <w:p>
      <w:pPr>
        <w:pStyle w:val="66"/>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（四）客观分评分不一致；</w:t>
      </w:r>
    </w:p>
    <w:p>
      <w:pPr>
        <w:pStyle w:val="66"/>
        <w:rPr>
          <w:rFonts w:cs="Calibri"/>
          <w:color w:val="000000" w:themeColor="text1"/>
          <w:sz w:val="24"/>
          <w:szCs w:val="24"/>
          <w14:textFill>
            <w14:solidFill>
              <w14:schemeClr w14:val="tx1"/>
            </w14:solidFill>
          </w14:textFill>
        </w:rPr>
      </w:pPr>
      <w:r>
        <w:rPr>
          <w:rFonts w:cs="Calibri"/>
          <w:color w:val="000000" w:themeColor="text1"/>
          <w:sz w:val="24"/>
          <w:szCs w:val="24"/>
          <w14:textFill>
            <w14:solidFill>
              <w14:schemeClr w14:val="tx1"/>
            </w14:solidFill>
          </w14:textFill>
        </w:rPr>
        <w:t>（五）经磋商小组一致认定评分畸高、畸低的情形。</w:t>
      </w:r>
    </w:p>
    <w:p>
      <w:pPr>
        <w:pStyle w:val="5"/>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bookmarkStart w:id="57" w:name="_Toc13793"/>
      <w:bookmarkStart w:id="58" w:name="_Toc12435"/>
      <w:r>
        <w:rPr>
          <w:rFonts w:cs="Calibri"/>
          <w:color w:val="000000" w:themeColor="text1"/>
          <w14:textFill>
            <w14:solidFill>
              <w14:schemeClr w14:val="tx1"/>
            </w14:solidFill>
          </w14:textFill>
        </w:rPr>
        <w:t>第六章  磋商</w:t>
      </w:r>
      <w:bookmarkEnd w:id="54"/>
      <w:r>
        <w:rPr>
          <w:rFonts w:cs="Calibri"/>
          <w:color w:val="000000" w:themeColor="text1"/>
          <w14:textFill>
            <w14:solidFill>
              <w14:schemeClr w14:val="tx1"/>
            </w14:solidFill>
          </w14:textFill>
        </w:rPr>
        <w:t>须知</w:t>
      </w:r>
      <w:bookmarkEnd w:id="57"/>
      <w:bookmarkEnd w:id="58"/>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磋商须知前附表</w:t>
      </w:r>
    </w:p>
    <w:tbl>
      <w:tblPr>
        <w:tblStyle w:val="47"/>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7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磋商须知条款号</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名称</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1.3</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采购人</w:t>
            </w:r>
          </w:p>
        </w:tc>
        <w:tc>
          <w:tcPr>
            <w:tcW w:w="5953" w:type="dxa"/>
            <w:vAlign w:val="center"/>
          </w:tcPr>
          <w:p>
            <w:pPr>
              <w:rPr>
                <w:rFonts w:hint="eastAsia" w:eastAsia="宋体"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采购人名称：</w:t>
            </w:r>
            <w:r>
              <w:rPr>
                <w:rFonts w:hint="eastAsia" w:cs="Calibri"/>
                <w:color w:val="000000" w:themeColor="text1"/>
                <w:lang w:eastAsia="zh-CN"/>
                <w14:textFill>
                  <w14:solidFill>
                    <w14:schemeClr w14:val="tx1"/>
                  </w14:solidFill>
                </w14:textFill>
              </w:rPr>
              <w:t>湖州市人民政府康山街道办事处</w:t>
            </w:r>
          </w:p>
          <w:p>
            <w:pPr>
              <w:widowControl/>
              <w:rPr>
                <w:rFonts w:hint="default" w:cs="Calibri"/>
                <w:color w:val="000000" w:themeColor="text1"/>
                <w:lang w:val="en-US" w:eastAsia="zh-CN"/>
                <w14:textFill>
                  <w14:solidFill>
                    <w14:schemeClr w14:val="tx1"/>
                  </w14:solidFill>
                </w14:textFill>
              </w:rPr>
            </w:pPr>
            <w:r>
              <w:rPr>
                <w:rFonts w:cs="Calibri"/>
                <w:color w:val="000000" w:themeColor="text1"/>
                <w14:textFill>
                  <w14:solidFill>
                    <w14:schemeClr w14:val="tx1"/>
                  </w14:solidFill>
                </w14:textFill>
              </w:rPr>
              <w:t>项目联系人（询问）：</w:t>
            </w:r>
            <w:r>
              <w:rPr>
                <w:rFonts w:hint="eastAsia" w:cs="Calibri"/>
                <w:color w:val="000000" w:themeColor="text1"/>
                <w:lang w:val="en-US" w:eastAsia="zh-CN"/>
                <w14:textFill>
                  <w14:solidFill>
                    <w14:schemeClr w14:val="tx1"/>
                  </w14:solidFill>
                </w14:textFill>
              </w:rPr>
              <w:t xml:space="preserve">  潘惠凯</w:t>
            </w:r>
          </w:p>
          <w:p>
            <w:pPr>
              <w:widowControl/>
              <w:rPr>
                <w:rFonts w:hint="eastAsia" w:eastAsia="宋体"/>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联系电话（询问）：</w:t>
            </w:r>
            <w:r>
              <w:rPr>
                <w:rFonts w:hint="eastAsia" w:cs="Calibri"/>
                <w:color w:val="000000" w:themeColor="text1"/>
                <w:lang w:val="en-US" w:eastAsia="zh-CN"/>
                <w14:textFill>
                  <w14:solidFill>
                    <w14:schemeClr w14:val="tx1"/>
                  </w14:solidFill>
                </w14:textFill>
              </w:rPr>
              <w:t xml:space="preserve"> 0572-2971911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1.3</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采购代理机构</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采购代理机构名称：浙江省成套招标代理有限公司</w:t>
            </w:r>
          </w:p>
          <w:p>
            <w:pPr>
              <w:spacing w:line="360" w:lineRule="auto"/>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地址：</w:t>
            </w:r>
            <w:r>
              <w:rPr>
                <w:rFonts w:hint="eastAsia" w:cs="Calibri"/>
                <w:color w:val="000000" w:themeColor="text1"/>
                <w14:textFill>
                  <w14:solidFill>
                    <w14:schemeClr w14:val="tx1"/>
                  </w14:solidFill>
                </w14:textFill>
              </w:rPr>
              <w:t>湖州市凤凰路137号国际贸易大厦9楼</w:t>
            </w:r>
          </w:p>
          <w:p>
            <w:pPr>
              <w:spacing w:line="360" w:lineRule="auto"/>
              <w:rPr>
                <w:rFonts w:hint="eastAsia" w:cs="Calibri"/>
                <w:color w:val="000000" w:themeColor="text1"/>
                <w14:textFill>
                  <w14:solidFill>
                    <w14:schemeClr w14:val="tx1"/>
                  </w14:solidFill>
                </w14:textFill>
              </w:rPr>
            </w:pPr>
            <w:r>
              <w:rPr>
                <w:rFonts w:cs="Calibri"/>
                <w:color w:val="000000" w:themeColor="text1"/>
                <w14:textFill>
                  <w14:solidFill>
                    <w14:schemeClr w14:val="tx1"/>
                  </w14:solidFill>
                </w14:textFill>
              </w:rPr>
              <w:t>项目采购联系人：</w:t>
            </w:r>
            <w:r>
              <w:rPr>
                <w:rFonts w:hint="eastAsia" w:cs="Calibri"/>
                <w:color w:val="000000" w:themeColor="text1"/>
                <w14:textFill>
                  <w14:solidFill>
                    <w14:schemeClr w14:val="tx1"/>
                  </w14:solidFill>
                </w14:textFill>
              </w:rPr>
              <w:t>顾先生</w:t>
            </w:r>
          </w:p>
          <w:p>
            <w:pPr>
              <w:spacing w:line="360" w:lineRule="auto"/>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联系电话：0572-2275857</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电子邮箱：</w:t>
            </w:r>
            <w:r>
              <w:rPr>
                <w:rFonts w:hint="eastAsia" w:cs="Calibri"/>
                <w:color w:val="000000" w:themeColor="text1"/>
                <w:lang w:val="en-US" w:eastAsia="zh-CN"/>
                <w14:textFill>
                  <w14:solidFill>
                    <w14:schemeClr w14:val="tx1"/>
                  </w14:solidFill>
                </w14:textFill>
              </w:rPr>
              <w:t>272271260</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1.9</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踏勘现场</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不组织，供应商如有需要，经采购人同意后可自行前往，踏勘期间发生的费用或意外导致伤亡等一切责任和损失均由供应商自负。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1.10</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答疑会</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3.3.2</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磋商响应文件盖章要求</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磋商响应文件按“第七章 磋商响应文件格式”中提供的格式要求盖章。公章采用单位CA章或单位公章。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3.3.2</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磋商响应文件装订要求</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本项目响应时采用电子文件，不需提供纸质磋商响应文件，无装订要求。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3.5</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磋商保证金</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不需交纳磋商保证金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3.6</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磋商响应文件有效期</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自磋商响应文件提交截止时间起120天内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3.7</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磋商响应文件密封及标记要求</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供应商如提交备份电子磋商响应文件，以介质存储的数据电文形式的备份电子磋商响应文件应密封，封皮应注明供应商名称、项目名称。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3.8.1</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磋商响应文件提交截止时间</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3.8.1</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磋商响应文件提交地点</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4.3.1</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磋商响应文件开启时间和地点</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按“竞争性磋商采购公告”规定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5.8</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采购代理服务费</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采购代理服务费由成交供应商支付。</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采购代理服务费金额</w:t>
            </w:r>
            <w:r>
              <w:rPr>
                <w:rFonts w:hint="eastAsia" w:cs="Calibri"/>
                <w:color w:val="000000" w:themeColor="text1"/>
                <w14:textFill>
                  <w14:solidFill>
                    <w14:schemeClr w14:val="tx1"/>
                  </w14:solidFill>
                </w14:textFill>
              </w:rPr>
              <w:t>：标项一：</w:t>
            </w:r>
            <w:r>
              <w:rPr>
                <w:rFonts w:hint="eastAsia" w:cs="Calibri"/>
                <w:color w:val="000000" w:themeColor="text1"/>
                <w:lang w:val="en-US" w:eastAsia="zh-CN"/>
                <w14:textFill>
                  <w14:solidFill>
                    <w14:schemeClr w14:val="tx1"/>
                  </w14:solidFill>
                </w14:textFill>
              </w:rPr>
              <w:t xml:space="preserve">9756 </w:t>
            </w:r>
            <w:r>
              <w:rPr>
                <w:rFonts w:hint="eastAsia" w:cs="Calibri"/>
                <w:color w:val="000000" w:themeColor="text1"/>
                <w14:textFill>
                  <w14:solidFill>
                    <w14:schemeClr w14:val="tx1"/>
                  </w14:solidFill>
                </w14:textFill>
              </w:rPr>
              <w:t>元；</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采购代理服务费缴纳形式：</w:t>
            </w:r>
            <w:r>
              <w:rPr>
                <w:rFonts w:hint="eastAsia" w:cs="Calibri"/>
                <w:color w:val="000000" w:themeColor="text1"/>
                <w14:textFill>
                  <w14:solidFill>
                    <w14:schemeClr w14:val="tx1"/>
                  </w14:solidFill>
                </w14:textFill>
              </w:rPr>
              <w:t>转账</w:t>
            </w:r>
            <w:r>
              <w:rPr>
                <w:rFonts w:cs="Calibri"/>
                <w:color w:val="000000" w:themeColor="text1"/>
                <w14:textFill>
                  <w14:solidFill>
                    <w14:schemeClr w14:val="tx1"/>
                  </w14:solidFill>
                </w14:textFill>
              </w:rPr>
              <w:t>/现金</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采购代理服务费由成交供应商在接到成交通知书时以人民币方式向采购代理机构支付。汇入以下账户：</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单位名称：浙江省成套招标代理有限公司湖州分公司</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开户银行：湖州银行日月城支行</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银行账号：</w:t>
            </w:r>
            <w:r>
              <w:rPr>
                <w:rFonts w:cs="Calibri"/>
                <w:color w:val="000000" w:themeColor="text1"/>
                <w14:textFill>
                  <w14:solidFill>
                    <w14:schemeClr w14:val="tx1"/>
                  </w14:solidFill>
                </w14:textFill>
              </w:rPr>
              <w:t>8000 2764 5000 167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10</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其他</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（1）请供应商仔细阅读本采购文件，其中带“▲”标记的条款为实质性内容，供应商须对带“▲”标记的条款作出实质性响应。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特别提醒</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12</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特别提醒</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根据《关于在政府采购活动中查询及使用信用记录有关问题的通知》财库[2016]125号的规定：</w:t>
            </w:r>
          </w:p>
          <w:p>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w:t>
            </w:r>
            <w:r>
              <w:rPr>
                <w:rFonts w:cs="Calibri"/>
                <w:color w:val="000000" w:themeColor="text1"/>
                <w14:textFill>
                  <w14:solidFill>
                    <w14:schemeClr w14:val="tx1"/>
                  </w14:solidFill>
                </w14:textFill>
              </w:rPr>
              <w:t>1）采购人或采购代理机构将对本项目供应商的信用信息进行查询。</w:t>
            </w:r>
          </w:p>
          <w:p>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w:t>
            </w:r>
            <w:r>
              <w:rPr>
                <w:rFonts w:cs="Calibri"/>
                <w:color w:val="000000" w:themeColor="text1"/>
                <w14:textFill>
                  <w14:solidFill>
                    <w14:schemeClr w14:val="tx1"/>
                  </w14:solidFill>
                </w14:textFill>
              </w:rPr>
              <w:t>2）查询渠道为信用中国网站、中国政府采购网。</w:t>
            </w:r>
          </w:p>
          <w:p>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w:t>
            </w:r>
            <w:r>
              <w:rPr>
                <w:rFonts w:cs="Calibri"/>
                <w:color w:val="000000" w:themeColor="text1"/>
                <w14:textFill>
                  <w14:solidFill>
                    <w14:schemeClr w14:val="tx1"/>
                  </w14:solidFill>
                </w14:textFill>
              </w:rPr>
              <w:t>3）列入失信被执行人名单、重大税收违法案件当事人名单、政府采购严重违法失信行为记录名单等供应商信用信息均将用于本项目。</w:t>
            </w:r>
          </w:p>
          <w:p>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w:t>
            </w:r>
            <w:r>
              <w:rPr>
                <w:rFonts w:cs="Calibri"/>
                <w:color w:val="000000" w:themeColor="text1"/>
                <w14:textFill>
                  <w14:solidFill>
                    <w14:schemeClr w14:val="tx1"/>
                  </w14:solidFill>
                </w14:textFill>
              </w:rPr>
              <w:t>4）信用信息查询记录和证据以网页截图等方式留存。</w:t>
            </w:r>
          </w:p>
          <w:p>
            <w:pPr>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w:t>
            </w:r>
            <w:r>
              <w:rPr>
                <w:rFonts w:cs="Calibri"/>
                <w:color w:val="000000" w:themeColor="text1"/>
                <w14:textFill>
                  <w14:solidFill>
                    <w14:schemeClr w14:val="tx1"/>
                  </w14:solidFill>
                </w14:textFill>
              </w:rPr>
              <w:t>5）磋商响应文件提交截止日当日网站显示的信用信息将作为评审和确定成交供应商的依据。</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（6）</w:t>
            </w:r>
            <w:r>
              <w:rPr>
                <w:rFonts w:cs="Calibri"/>
                <w:color w:val="000000" w:themeColor="text1"/>
                <w:szCs w:val="21"/>
                <w14:textFill>
                  <w14:solidFill>
                    <w14:schemeClr w14:val="tx1"/>
                  </w14:solidFill>
                </w14:textFill>
              </w:rPr>
              <w:t>联合体成员存在以上不良信用记录的，视同联合体存在不良信用记录。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13</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特别提醒</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成交供应商应在合同签订前完成政府采购云平台全部注册步骤并成为正式注册入库供应商，否则将导致合同款无法正常支付，责任由成交供应商承担。请供应商尽早完成注册。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5"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14</w:t>
            </w:r>
          </w:p>
        </w:tc>
        <w:tc>
          <w:tcPr>
            <w:tcW w:w="197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特别提醒</w:t>
            </w:r>
          </w:p>
        </w:tc>
        <w:tc>
          <w:tcPr>
            <w:tcW w:w="595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成交供应商按需提供与电子磋商响应文件内容一致的纸质磋商响应文件一正</w:t>
            </w:r>
            <w:r>
              <w:rPr>
                <w:rFonts w:hint="eastAsia" w:cs="Calibri"/>
                <w:color w:val="000000" w:themeColor="text1"/>
                <w14:textFill>
                  <w14:solidFill>
                    <w14:schemeClr w14:val="tx1"/>
                  </w14:solidFill>
                </w14:textFill>
              </w:rPr>
              <w:t>一</w:t>
            </w:r>
            <w:r>
              <w:rPr>
                <w:rFonts w:cs="Calibri"/>
                <w:color w:val="000000" w:themeColor="text1"/>
                <w14:textFill>
                  <w14:solidFill>
                    <w14:schemeClr w14:val="tx1"/>
                  </w14:solidFill>
                </w14:textFill>
              </w:rPr>
              <w:t>副，装订成册，采用胶订或线订，不得采用活页夹等可随时拆换的方式装订。（胶订或线订以外装订形式视为活页装订）</w:t>
            </w:r>
            <w:r>
              <w:rPr>
                <w:rFonts w:hint="eastAsia" w:cs="Calibri"/>
                <w:color w:val="000000" w:themeColor="text1"/>
                <w14:textFill>
                  <w14:solidFill>
                    <w14:schemeClr w14:val="tx1"/>
                  </w14:solidFill>
                </w14:textFill>
              </w:rPr>
              <w:t>。纸质文件双面打印。</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成交供应商在领取成交通知书时提供纸质磋商响应文件。</w:t>
            </w:r>
          </w:p>
        </w:tc>
      </w:tr>
    </w:tbl>
    <w:p>
      <w:pPr>
        <w:rPr>
          <w:rFonts w:cs="Calibri"/>
          <w:b/>
          <w:bCs/>
          <w:color w:val="000000" w:themeColor="text1"/>
          <w:sz w:val="24"/>
          <w14:textFill>
            <w14:solidFill>
              <w14:schemeClr w14:val="tx1"/>
            </w14:solidFill>
          </w14:textFill>
        </w:rPr>
      </w:pPr>
      <w:r>
        <w:rPr>
          <w:rFonts w:cs="Calibri"/>
          <w:b/>
          <w:bCs/>
          <w:color w:val="000000" w:themeColor="text1"/>
          <w:sz w:val="24"/>
          <w14:textFill>
            <w14:solidFill>
              <w14:schemeClr w14:val="tx1"/>
            </w14:solidFill>
          </w14:textFill>
        </w:rPr>
        <w:br w:type="page"/>
      </w:r>
    </w:p>
    <w:p>
      <w:pPr>
        <w:pStyle w:val="7"/>
        <w:ind w:firstLine="422"/>
        <w:rPr>
          <w:rFonts w:cs="Calibri"/>
          <w:color w:val="000000" w:themeColor="text1"/>
          <w:szCs w:val="21"/>
          <w14:textFill>
            <w14:solidFill>
              <w14:schemeClr w14:val="tx1"/>
            </w14:solidFill>
          </w14:textFill>
        </w:rPr>
      </w:pPr>
      <w:bookmarkStart w:id="59" w:name="_Toc82338239"/>
      <w:bookmarkStart w:id="60" w:name="_Toc82873322"/>
      <w:bookmarkStart w:id="61" w:name="_Toc227380480"/>
      <w:r>
        <w:rPr>
          <w:rFonts w:cs="Calibri"/>
          <w:color w:val="000000" w:themeColor="text1"/>
          <w:szCs w:val="21"/>
          <w14:textFill>
            <w14:solidFill>
              <w14:schemeClr w14:val="tx1"/>
            </w14:solidFill>
          </w14:textFill>
        </w:rPr>
        <w:t>一、</w:t>
      </w:r>
      <w:bookmarkEnd w:id="59"/>
      <w:bookmarkEnd w:id="60"/>
      <w:bookmarkEnd w:id="61"/>
      <w:r>
        <w:rPr>
          <w:rFonts w:cs="Calibri"/>
          <w:color w:val="000000" w:themeColor="text1"/>
          <w:szCs w:val="21"/>
          <w14:textFill>
            <w14:solidFill>
              <w14:schemeClr w14:val="tx1"/>
            </w14:solidFill>
          </w14:textFill>
        </w:rPr>
        <w:t>采购说明</w:t>
      </w:r>
    </w:p>
    <w:p>
      <w:pPr>
        <w:pStyle w:val="8"/>
        <w:ind w:firstLine="422"/>
        <w:rPr>
          <w:rFonts w:cs="Calibri"/>
          <w:color w:val="000000" w:themeColor="text1"/>
          <w14:textFill>
            <w14:solidFill>
              <w14:schemeClr w14:val="tx1"/>
            </w14:solidFill>
          </w14:textFill>
        </w:rPr>
      </w:pPr>
      <w:bookmarkStart w:id="62" w:name="_Toc227380481"/>
      <w:bookmarkStart w:id="63" w:name="_Toc82873323"/>
      <w:bookmarkStart w:id="64" w:name="_Toc82338240"/>
      <w:r>
        <w:rPr>
          <w:rFonts w:cs="Calibri"/>
          <w:color w:val="000000" w:themeColor="text1"/>
          <w14:textFill>
            <w14:solidFill>
              <w14:schemeClr w14:val="tx1"/>
            </w14:solidFill>
          </w14:textFill>
        </w:rPr>
        <w:t>1.1 采购依据</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本次采购工作是按照《中华人民共和国政府采购法》、《政府采购竞争性磋商采购方式管理暂行办法》等有关法律、法规、规章、文件等规定组织和实施。</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1.2 本项目采购方式</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2"/>
    <w:bookmarkEnd w:id="63"/>
    <w:bookmarkEnd w:id="64"/>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1.3 定义</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电子交易活动：是指以数据电文形式，依托政府采购项目电子交易平台进行的政府采购交易活动。</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采购人：是指依法进行政府采购的国家机关、事业单位、团体组织，见“磋商须知前附表”，本文件中招标人与采购人意思相同</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采购代理机构：受采购人委托，在委托的范围内办理政府采购事宜的机构，见“磋商须知前附表”；</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采购组织机构：指采购人和受采购人委托的采购代理机构</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供应商：是指参加本政府采购项目磋商、签订合同、实施的单位，按阶段不同，分别理解为潜在供应商、磋商供应商、成交候选供应商、成交供应商、乙方</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竞争性磋商采购文件：指向供应商发出的采购需求文件，本文件中采购文件与竞争性磋商采购文件意思相同</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磋商代表：是指参加本项目采购活动的供应商法定代表人或法定代表人授权代表</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联合体：是指两个以上单位组成联合体，以一个供应商的身份参加磋商</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甲方（发包人）：是指合同签订的一方，一般与采购人相同</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乙方（承包人）：是指合同签订的另一方，与成交供应商相同</w:t>
      </w:r>
      <w:r>
        <w:rPr>
          <w:rFonts w:hint="eastAsia" w:cs="Calibri"/>
          <w:color w:val="000000" w:themeColor="text1"/>
          <w:szCs w:val="2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hint="eastAsia" w:cs="Calibri"/>
          <w:color w:val="000000" w:themeColor="text1"/>
          <w14:textFill>
            <w14:solidFill>
              <w14:schemeClr w14:val="tx1"/>
            </w14:solidFill>
          </w14:textFill>
        </w:rPr>
        <w:t>分包供应商：是指与供应商签订分包意向协议的，将承担部分合同内容的其他供应商。</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中小企业划分标准：《中小企业划分标准》（工信部联企业[2011]300号）。</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在政府采购活动中，供应商提供的货物、工程或者服务符合下列情形的，享受《政府采购促进中小企业发展管理办法》（财库〔2020〕46号）规定的中小企业扶持政策：</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（1）在货物采购项目中，货物由中小企业制造，即货物由中小企业生产且使用该中小企业商号或者注册商标；</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（2）在工程采购项目中，工程由中小企业承建，即工程施工单位为中小企业；</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（3）在服务采购项目中，服务由中小企业承接，即提供服务的人员为中小企业依照《中华人民共和国劳动合同法》订立劳动合同的从业人员。</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在货物采购项目中，供应商提供的货物既有中小企业制造货物，也有大型企业制造货物的，不享受本办法规定的中小企业扶持政策。</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color w:val="000000" w:themeColor="text1"/>
          <w14:textFill>
            <w14:solidFill>
              <w14:schemeClr w14:val="tx1"/>
            </w14:solidFill>
          </w14:textFill>
        </w:rPr>
        <w:t>。</w:t>
      </w:r>
    </w:p>
    <w:p>
      <w:pPr>
        <w:autoSpaceDE w:val="0"/>
        <w:autoSpaceDN w:val="0"/>
        <w:ind w:firstLine="420" w:firstLineChars="200"/>
        <w:textAlignment w:val="bottom"/>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残疾人福利性单位：符合《财政部 民政部 中国残疾人联合会关于促进残疾人就业政府采购政策的通知》（财库〔2017〕 141号）的规定的单位</w:t>
      </w:r>
      <w:r>
        <w:rPr>
          <w:rFonts w:hint="eastAsia" w:cs="Calibri"/>
          <w:color w:val="000000" w:themeColor="text1"/>
          <w14:textFill>
            <w14:solidFill>
              <w14:schemeClr w14:val="tx1"/>
            </w14:solidFill>
          </w14:textFill>
        </w:rPr>
        <w:t>。</w:t>
      </w:r>
    </w:p>
    <w:p>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同级政府采购监督管理部门：</w:t>
      </w:r>
      <w:r>
        <w:rPr>
          <w:rFonts w:hint="eastAsia" w:cs="Calibri"/>
          <w:color w:val="000000" w:themeColor="text1"/>
          <w:szCs w:val="21"/>
          <w14:textFill>
            <w14:solidFill>
              <w14:schemeClr w14:val="tx1"/>
            </w14:solidFill>
          </w14:textFill>
        </w:rPr>
        <w:t>湖州市</w:t>
      </w:r>
      <w:r>
        <w:rPr>
          <w:rFonts w:cs="Calibri"/>
          <w:color w:val="000000" w:themeColor="text1"/>
          <w:szCs w:val="21"/>
          <w14:textFill>
            <w14:solidFill>
              <w14:schemeClr w14:val="tx1"/>
            </w14:solidFill>
          </w14:textFill>
        </w:rPr>
        <w:t>财政</w:t>
      </w:r>
      <w:r>
        <w:rPr>
          <w:rFonts w:hint="eastAsia" w:cs="Calibri"/>
          <w:color w:val="000000" w:themeColor="text1"/>
          <w:szCs w:val="21"/>
          <w14:textFill>
            <w14:solidFill>
              <w14:schemeClr w14:val="tx1"/>
            </w14:solidFill>
          </w14:textFill>
        </w:rPr>
        <w:t>局</w:t>
      </w:r>
      <w:r>
        <w:rPr>
          <w:rFonts w:cs="Calibri"/>
          <w:color w:val="000000" w:themeColor="text1"/>
          <w:szCs w:val="21"/>
          <w14:textFill>
            <w14:solidFill>
              <w14:schemeClr w14:val="tx1"/>
            </w14:solidFill>
          </w14:textFill>
        </w:rPr>
        <w:t>政府采购监管处</w:t>
      </w:r>
      <w:r>
        <w:rPr>
          <w:rFonts w:hint="eastAsia" w:cs="Calibri"/>
          <w:color w:val="000000" w:themeColor="text1"/>
          <w:szCs w:val="21"/>
          <w14:textFill>
            <w14:solidFill>
              <w14:schemeClr w14:val="tx1"/>
            </w14:solidFill>
          </w14:textFill>
        </w:rPr>
        <w:t>。</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1.4 联合体</w:t>
      </w:r>
      <w:r>
        <w:rPr>
          <w:rFonts w:hint="eastAsia" w:cs="Calibri"/>
          <w:color w:val="000000" w:themeColor="text1"/>
          <w14:textFill>
            <w14:solidFill>
              <w14:schemeClr w14:val="tx1"/>
            </w14:solidFill>
          </w14:textFill>
        </w:rPr>
        <w:t>：</w:t>
      </w:r>
      <w:r>
        <w:rPr>
          <w:rFonts w:cs="Calibri"/>
          <w:b w:val="0"/>
          <w:color w:val="000000" w:themeColor="text1"/>
          <w:szCs w:val="24"/>
          <w14:textFill>
            <w14:solidFill>
              <w14:schemeClr w14:val="tx1"/>
            </w14:solidFill>
          </w14:textFill>
        </w:rPr>
        <w:t>本项目</w:t>
      </w:r>
      <w:r>
        <w:rPr>
          <w:rFonts w:hint="eastAsia" w:cs="Calibri"/>
          <w:b w:val="0"/>
          <w:color w:val="000000" w:themeColor="text1"/>
          <w:szCs w:val="24"/>
          <w14:textFill>
            <w14:solidFill>
              <w14:schemeClr w14:val="tx1"/>
            </w14:solidFill>
          </w14:textFill>
        </w:rPr>
        <w:t>不</w:t>
      </w:r>
      <w:r>
        <w:rPr>
          <w:rFonts w:cs="Calibri"/>
          <w:b w:val="0"/>
          <w:color w:val="000000" w:themeColor="text1"/>
          <w:szCs w:val="24"/>
          <w14:textFill>
            <w14:solidFill>
              <w14:schemeClr w14:val="tx1"/>
            </w14:solidFill>
          </w14:textFill>
        </w:rPr>
        <w:t>接受联合体。</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1.5 费用</w:t>
      </w:r>
    </w:p>
    <w:p>
      <w:pPr>
        <w:pStyle w:val="63"/>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无论采购活动中的做法和结果如何，供应商自行承担采购活动中所发生的全部费用。</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1.6 保密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1.7 语言文字</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除专用术语外，与采购有关的语言使用中文。专用术语应附有中文注释。</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1.8 计量单位</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所有计量均采用中华人民共和国法定计量单位。</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1.9 踏勘现场</w:t>
      </w:r>
      <w:r>
        <w:rPr>
          <w:rFonts w:hint="eastAsia" w:cs="Calibri"/>
          <w:color w:val="000000" w:themeColor="text1"/>
          <w14:textFill>
            <w14:solidFill>
              <w14:schemeClr w14:val="tx1"/>
            </w14:solidFill>
          </w14:textFill>
        </w:rPr>
        <w:t>：</w:t>
      </w:r>
      <w:r>
        <w:rPr>
          <w:rFonts w:hint="eastAsia" w:cs="Calibri"/>
          <w:b w:val="0"/>
          <w:color w:val="000000" w:themeColor="text1"/>
          <w:szCs w:val="21"/>
          <w14:textFill>
            <w14:solidFill>
              <w14:schemeClr w14:val="tx1"/>
            </w14:solidFill>
          </w14:textFill>
        </w:rPr>
        <w:t>本项目不统一组织</w:t>
      </w:r>
      <w:r>
        <w:rPr>
          <w:rFonts w:cs="Calibri"/>
          <w:b w:val="0"/>
          <w:color w:val="000000" w:themeColor="text1"/>
          <w:szCs w:val="21"/>
          <w14:textFill>
            <w14:solidFill>
              <w14:schemeClr w14:val="tx1"/>
            </w14:solidFill>
          </w14:textFill>
        </w:rPr>
        <w:t>踏勘现场</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r>
        <w:rPr>
          <w:rFonts w:hint="eastAsia" w:cs="Calibri"/>
          <w:color w:val="000000" w:themeColor="text1"/>
          <w:szCs w:val="21"/>
          <w14:textFill>
            <w14:solidFill>
              <w14:schemeClr w14:val="tx1"/>
            </w14:solidFill>
          </w14:textFill>
        </w:rPr>
        <w:t>本项目不组织</w:t>
      </w:r>
      <w:r>
        <w:rPr>
          <w:rFonts w:cs="Calibri"/>
          <w:color w:val="000000" w:themeColor="text1"/>
          <w:szCs w:val="21"/>
          <w14:textFill>
            <w14:solidFill>
              <w14:schemeClr w14:val="tx1"/>
            </w14:solidFill>
          </w14:textFill>
        </w:rPr>
        <w:t>现场踏勘</w:t>
      </w:r>
      <w:r>
        <w:rPr>
          <w:rFonts w:hint="eastAsia" w:cs="Calibri"/>
          <w:color w:val="000000" w:themeColor="text1"/>
          <w:szCs w:val="21"/>
          <w14:textFill>
            <w14:solidFill>
              <w14:schemeClr w14:val="tx1"/>
            </w14:solidFill>
          </w14:textFill>
        </w:rPr>
        <w:t>。</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1.9.2供应商踏勘现场发生的费用自理。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1.9.3除采购人的原因外，供应商自行负责在踏勘现场中所发生的人员伤亡和财产损失。</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1.10 答疑会</w:t>
      </w:r>
      <w:r>
        <w:rPr>
          <w:rFonts w:hint="eastAsia" w:cs="Calibri"/>
          <w:color w:val="000000" w:themeColor="text1"/>
          <w14:textFill>
            <w14:solidFill>
              <w14:schemeClr w14:val="tx1"/>
            </w14:solidFill>
          </w14:textFill>
        </w:rPr>
        <w:t>：</w:t>
      </w:r>
      <w:r>
        <w:rPr>
          <w:rFonts w:hint="eastAsia" w:cs="Calibri"/>
          <w:b w:val="0"/>
          <w:color w:val="000000" w:themeColor="text1"/>
          <w:szCs w:val="21"/>
          <w14:textFill>
            <w14:solidFill>
              <w14:schemeClr w14:val="tx1"/>
            </w14:solidFill>
          </w14:textFill>
        </w:rPr>
        <w:t>本项目不统一召开项目</w:t>
      </w:r>
      <w:r>
        <w:rPr>
          <w:rFonts w:cs="Calibri"/>
          <w:b w:val="0"/>
          <w:color w:val="000000" w:themeColor="text1"/>
          <w:szCs w:val="21"/>
          <w14:textFill>
            <w14:solidFill>
              <w14:schemeClr w14:val="tx1"/>
            </w14:solidFill>
          </w14:textFill>
        </w:rPr>
        <w:t>答疑会</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1.11 分包</w:t>
      </w:r>
      <w:r>
        <w:rPr>
          <w:rFonts w:hint="eastAsia" w:cs="Calibri"/>
          <w:color w:val="000000" w:themeColor="text1"/>
          <w14:textFill>
            <w14:solidFill>
              <w14:schemeClr w14:val="tx1"/>
            </w14:solidFill>
          </w14:textFill>
        </w:rPr>
        <w:t>及转包：</w:t>
      </w:r>
      <w:r>
        <w:rPr>
          <w:rFonts w:hint="eastAsia" w:cs="Calibri"/>
          <w:b w:val="0"/>
          <w:color w:val="000000" w:themeColor="text1"/>
          <w:szCs w:val="21"/>
          <w14:textFill>
            <w14:solidFill>
              <w14:schemeClr w14:val="tx1"/>
            </w14:solidFill>
          </w14:textFill>
        </w:rPr>
        <w:t>本项目不允许分包，不允许转包。</w:t>
      </w:r>
    </w:p>
    <w:p>
      <w:pPr>
        <w:pStyle w:val="8"/>
        <w:ind w:firstLine="422"/>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1.12 偏离</w:t>
      </w:r>
      <w:r>
        <w:rPr>
          <w:rFonts w:hint="eastAsia" w:cs="Calibri"/>
          <w:color w:val="000000" w:themeColor="text1"/>
          <w14:textFill>
            <w14:solidFill>
              <w14:schemeClr w14:val="tx1"/>
            </w14:solidFill>
          </w14:textFill>
        </w:rPr>
        <w:t>：</w:t>
      </w:r>
      <w:r>
        <w:rPr>
          <w:rFonts w:cs="Calibri"/>
          <w:b w:val="0"/>
          <w:color w:val="000000" w:themeColor="text1"/>
          <w:szCs w:val="21"/>
          <w14:textFill>
            <w14:solidFill>
              <w14:schemeClr w14:val="tx1"/>
            </w14:solidFill>
          </w14:textFill>
        </w:rPr>
        <w:t>磋商响应文件应完全响应采购文件规定的实质性内容和条件。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1.13 其他</w:t>
      </w:r>
    </w:p>
    <w:p>
      <w:pPr>
        <w:pStyle w:val="63"/>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1.13.1</w:t>
      </w:r>
      <w:r>
        <w:rPr>
          <w:rFonts w:ascii="Calibri" w:hAnsi="Calibri" w:cs="Calibri"/>
          <w:b/>
          <w:color w:val="000000" w:themeColor="text1"/>
          <w14:textFill>
            <w14:solidFill>
              <w14:schemeClr w14:val="tx1"/>
            </w14:solidFill>
          </w14:textFill>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pPr>
        <w:pStyle w:val="63"/>
        <w:spacing w:line="300" w:lineRule="auto"/>
        <w:ind w:firstLine="420"/>
        <w:rPr>
          <w:rFonts w:ascii="Calibri" w:hAnsi="Calibri" w:cs="Calibri"/>
          <w:bCs/>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1.13.2▲</w:t>
      </w:r>
      <w:r>
        <w:rPr>
          <w:rFonts w:ascii="Calibri" w:hAnsi="Calibri" w:cs="Calibri"/>
          <w:b/>
          <w:bCs/>
          <w:color w:val="000000" w:themeColor="text1"/>
          <w:u w:val="single"/>
          <w14:textFill>
            <w14:solidFill>
              <w14:schemeClr w14:val="tx1"/>
            </w14:solidFill>
          </w14:textFill>
        </w:rPr>
        <w:t>供应商对所参加磋商的标项内的采购内容必须全部进行响应。</w:t>
      </w:r>
    </w:p>
    <w:p>
      <w:pPr>
        <w:pStyle w:val="63"/>
        <w:spacing w:line="300" w:lineRule="auto"/>
        <w:ind w:firstLine="420"/>
        <w:rPr>
          <w:rFonts w:ascii="Calibri" w:hAnsi="Calibri" w:cs="Calibri"/>
          <w:bCs/>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1.13.3</w:t>
      </w:r>
      <w:r>
        <w:rPr>
          <w:rFonts w:ascii="Calibri" w:hAnsi="Calibri" w:cs="Calibri"/>
          <w:bCs/>
          <w:color w:val="000000" w:themeColor="text1"/>
          <w14:textFill>
            <w14:solidFill>
              <w14:schemeClr w14:val="tx1"/>
            </w14:solidFill>
          </w14:textFill>
        </w:rPr>
        <w:t>采购文件中如有描述歧义或前后不一致的地方，磋商小组有权按公平、合理的原则进行评判，但对同一条款的评判适用于每个供应商。</w:t>
      </w:r>
    </w:p>
    <w:p>
      <w:pPr>
        <w:pStyle w:val="63"/>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w:t>
      </w:r>
      <w:r>
        <w:rPr>
          <w:rFonts w:ascii="Calibri" w:hAnsi="Calibri" w:cs="Calibri"/>
          <w:bCs/>
          <w:color w:val="000000" w:themeColor="text1"/>
          <w14:textFill>
            <w14:solidFill>
              <w14:schemeClr w14:val="tx1"/>
            </w14:solidFill>
          </w14:textFill>
        </w:rPr>
        <w:t>.4磋商响应文件的响应内容必须真实、明确、准确。否则，磋商小组将对其作出不利的评审。</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w:t>
      </w: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项目资金为财政</w:t>
      </w:r>
      <w:r>
        <w:rPr>
          <w:rFonts w:hint="eastAsia" w:cs="Calibri"/>
          <w:color w:val="000000" w:themeColor="text1"/>
          <w:szCs w:val="21"/>
          <w14:textFill>
            <w14:solidFill>
              <w14:schemeClr w14:val="tx1"/>
            </w14:solidFill>
          </w14:textFill>
        </w:rPr>
        <w:t>资金</w:t>
      </w:r>
      <w:r>
        <w:rPr>
          <w:rFonts w:cs="Calibri"/>
          <w:color w:val="000000" w:themeColor="text1"/>
          <w:szCs w:val="21"/>
          <w14:textFill>
            <w14:solidFill>
              <w14:schemeClr w14:val="tx1"/>
            </w14:solidFill>
          </w14:textFill>
        </w:rPr>
        <w:t>，资金已落实。</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w:t>
      </w: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ind w:firstLine="422" w:firstLineChars="200"/>
        <w:rPr>
          <w:rFonts w:cs="Calibri"/>
          <w:b/>
          <w:color w:val="000000" w:themeColor="text1"/>
          <w:kern w:val="0"/>
          <w:szCs w:val="21"/>
          <w:u w:val="single"/>
          <w14:textFill>
            <w14:solidFill>
              <w14:schemeClr w14:val="tx1"/>
            </w14:solidFill>
          </w14:textFill>
        </w:rPr>
      </w:pPr>
      <w:r>
        <w:rPr>
          <w:rFonts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14:textFill>
            <w14:solidFill>
              <w14:schemeClr w14:val="tx1"/>
            </w14:solidFill>
          </w14:textFill>
        </w:rPr>
        <w:t>7</w:t>
      </w:r>
      <w:r>
        <w:rPr>
          <w:rFonts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pPr>
        <w:pStyle w:val="7"/>
        <w:ind w:firstLine="422"/>
        <w:rPr>
          <w:rFonts w:cs="Calibri"/>
          <w:color w:val="000000" w:themeColor="text1"/>
          <w14:textFill>
            <w14:solidFill>
              <w14:schemeClr w14:val="tx1"/>
            </w14:solidFill>
          </w14:textFill>
        </w:rPr>
      </w:pPr>
      <w:bookmarkStart w:id="65" w:name="_Toc334729025"/>
      <w:r>
        <w:rPr>
          <w:rFonts w:cs="Calibri"/>
          <w:color w:val="000000" w:themeColor="text1"/>
          <w14:textFill>
            <w14:solidFill>
              <w14:schemeClr w14:val="tx1"/>
            </w14:solidFill>
          </w14:textFill>
        </w:rPr>
        <w:t>二、</w:t>
      </w:r>
      <w:bookmarkEnd w:id="65"/>
      <w:r>
        <w:rPr>
          <w:rFonts w:cs="Calibri"/>
          <w:color w:val="000000" w:themeColor="text1"/>
          <w14:textFill>
            <w14:solidFill>
              <w14:schemeClr w14:val="tx1"/>
            </w14:solidFill>
          </w14:textFill>
        </w:rPr>
        <w:t>采购文件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2.1 采购文件组成</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2.1.1 第一章 竞争性磋商采购公告</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2.1.2 第二章 采购项目总体要求</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2.1.3 第三章 采购需求</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2.1.4 第四章 合同草案条款</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2.1.5 第五章 磋商评审办法</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2.1.6 第六章 磋商须知</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2.1.7 第七章 磋商响应文件格式</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2.1.8 采购文件补充文件（如有）</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2.2 采购文件的质疑</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2.2.2 质疑书须包括以下内容：</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（1）供应商的姓名或者名称、地址、邮编、联系人及联系电话；</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（2）质疑项目的名称、编号；</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（3）具体、明确的质疑事项和与质疑事项相关的请求；</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（4）事实依据；</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（5）必要的法律依据；</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（6）提出质疑的日期。</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2.2.4 质疑书中涉及的相关材料中有外文资料的，应当将与质疑相关的外文资料完整、客观、真实地翻译为中文，并注明翻译人员姓名、工作单位、联系方式等信息。</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2.2.5 供应商为自然人的，应当由本人签字；供应商为法人或者其他组织的，应当由法定代表人、主要负责人，或者其授权代表签字或者盖章，并加盖公章。否则不予受理。</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 xml:space="preserve">2.2.6 </w:t>
      </w:r>
      <w:r>
        <w:rPr>
          <w:rFonts w:cs="Calibri"/>
          <w:color w:val="000000" w:themeColor="text1"/>
          <w14:textFill>
            <w14:solidFill>
              <w14:schemeClr w14:val="tx1"/>
            </w14:solidFill>
          </w14:textFill>
        </w:rPr>
        <w:t>质疑书以直接送达或邮寄送达方式（份数为一式三份）或传真送达方式或以扫描件在线提交方式</w:t>
      </w:r>
      <w:r>
        <w:rPr>
          <w:rFonts w:cs="Calibri"/>
          <w:color w:val="000000" w:themeColor="text1"/>
          <w:kern w:val="0"/>
          <w:szCs w:val="21"/>
          <w14:textFill>
            <w14:solidFill>
              <w14:schemeClr w14:val="tx1"/>
            </w14:solidFill>
          </w14:textFill>
        </w:rPr>
        <w:t>。</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2.2.8</w:t>
      </w:r>
      <w:r>
        <w:rPr>
          <w:rFonts w:cs="Calibri"/>
          <w:color w:val="000000" w:themeColor="text1"/>
          <w:szCs w:val="21"/>
          <w14:textFill>
            <w14:solidFill>
              <w14:schemeClr w14:val="tx1"/>
            </w14:solidFill>
          </w14:textFill>
        </w:rPr>
        <w:t>如联合体响应，质疑应由组成联合体的所有供应商共同提出。</w:t>
      </w:r>
    </w:p>
    <w:p>
      <w:pPr>
        <w:pStyle w:val="8"/>
        <w:ind w:firstLine="422"/>
        <w:rPr>
          <w:rFonts w:cs="Calibri"/>
          <w:color w:val="000000" w:themeColor="text1"/>
          <w14:textFill>
            <w14:solidFill>
              <w14:schemeClr w14:val="tx1"/>
            </w14:solidFill>
          </w14:textFill>
        </w:rPr>
      </w:pPr>
      <w:bookmarkStart w:id="66" w:name="_Toc227380482"/>
      <w:bookmarkStart w:id="67" w:name="_Toc82873324"/>
      <w:bookmarkStart w:id="68" w:name="_Toc82338241"/>
      <w:r>
        <w:rPr>
          <w:rFonts w:cs="Calibri"/>
          <w:color w:val="000000" w:themeColor="text1"/>
          <w14:textFill>
            <w14:solidFill>
              <w14:schemeClr w14:val="tx1"/>
            </w14:solidFill>
          </w14:textFill>
        </w:rPr>
        <w:t>2.3 采购文件的澄清</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2.3.2 供应商要求澄清的资料应加盖单位公章、写明日期。</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2.3.6 供应商未对采购文件提出疑问的，采购代理机构将视其为无异议。</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2.3.7 当采购文件与补充文件就同一内容的表述不一致时，以最后发出的书面文件为准。</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2.4 采购文件的修改</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2.4.6 供应商要求澄清的资料应加盖单位公章、写明日期。</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2.4.7 对补充文件的澄清答复按2.3款规定。</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2.4.8 当采购文件与补充文件就同一内容的表述不一致时，以最后发出的书面文件为准。</w:t>
      </w:r>
    </w:p>
    <w:p>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2.4.9 任何口头答复均不属于采购文件的组成部分。</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三、</w:t>
      </w:r>
      <w:bookmarkEnd w:id="66"/>
      <w:bookmarkEnd w:id="67"/>
      <w:bookmarkEnd w:id="68"/>
      <w:r>
        <w:rPr>
          <w:rFonts w:cs="Calibri"/>
          <w:color w:val="000000" w:themeColor="text1"/>
          <w14:textFill>
            <w14:solidFill>
              <w14:schemeClr w14:val="tx1"/>
            </w14:solidFill>
          </w14:textFill>
        </w:rPr>
        <w:t>磋商响应</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3.1 磋商响应文件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3.2 磋商响应文件构成</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3.2.1 资格文件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（1）法人营业执照副本、组织机构代码证及税务登记证或“三证合一”证书或“五证合一”证书及资质证书；</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val="zh-CN"/>
          <w14:textFill>
            <w14:solidFill>
              <w14:schemeClr w14:val="tx1"/>
            </w14:solidFill>
          </w14:textFill>
        </w:rPr>
        <w:t>）法定代表人有效身份证明书及身份证明材料、法</w:t>
      </w:r>
      <w:r>
        <w:rPr>
          <w:rFonts w:hint="eastAsia" w:ascii="宋体" w:hAnsi="宋体" w:cs="宋体"/>
          <w:bCs/>
          <w:color w:val="000000" w:themeColor="text1"/>
          <w:szCs w:val="21"/>
          <w14:textFill>
            <w14:solidFill>
              <w14:schemeClr w14:val="tx1"/>
            </w14:solidFill>
          </w14:textFill>
        </w:rPr>
        <w:t>定代表人授权委托书（法定代表人参与不需提供此书）及授权代理人有效身份证明（法定代表人参与不需提供此书）；</w:t>
      </w:r>
    </w:p>
    <w:p>
      <w:pPr>
        <w:adjustRightInd w:val="0"/>
        <w:ind w:firstLine="420" w:firstLineChars="200"/>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具有良好商业信誉的声明函</w:t>
      </w:r>
      <w:r>
        <w:rPr>
          <w:rFonts w:hint="eastAsia" w:ascii="宋体" w:hAnsi="宋体" w:cs="宋体"/>
          <w:bCs/>
          <w:color w:val="000000" w:themeColor="text1"/>
          <w:szCs w:val="21"/>
          <w:lang w:val="zh-CN"/>
          <w14:textFill>
            <w14:solidFill>
              <w14:schemeClr w14:val="tx1"/>
            </w14:solidFill>
          </w14:textFill>
        </w:rPr>
        <w:t>（格式见附件）；</w:t>
      </w:r>
    </w:p>
    <w:p>
      <w:pPr>
        <w:adjustRightInd w:val="0"/>
        <w:ind w:firstLine="420" w:firstLineChars="200"/>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lang w:val="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具有履行合同所必需的设备和专业技术能力的声明函（格式见附件）；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lang w:val="zh-CN"/>
          <w14:textFill>
            <w14:solidFill>
              <w14:schemeClr w14:val="tx1"/>
            </w14:solidFill>
          </w14:textFill>
        </w:rPr>
        <w:t>中小企业声明函及相关证明材料（若有，格式见附件）；</w:t>
      </w:r>
    </w:p>
    <w:p>
      <w:pPr>
        <w:adjustRightInd w:val="0"/>
        <w:ind w:firstLine="420" w:firstLineChars="200"/>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lang w:val="zh-CN"/>
          <w14:textFill>
            <w14:solidFill>
              <w14:schemeClr w14:val="tx1"/>
            </w14:solidFill>
          </w14:textFill>
        </w:rPr>
        <w:t>残疾人福利企业声明函及相关证明材料（若有，格式见附件）；</w:t>
      </w:r>
    </w:p>
    <w:p>
      <w:pPr>
        <w:adjustRightInd w:val="0"/>
        <w:ind w:firstLine="420" w:firstLineChars="200"/>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w:t>
      </w:r>
      <w:r>
        <w:rPr>
          <w:rFonts w:hint="eastAsia" w:ascii="宋体" w:hAnsi="宋体" w:cs="宋体"/>
          <w:bCs/>
          <w:color w:val="000000" w:themeColor="text1"/>
          <w:szCs w:val="21"/>
          <w:lang w:val="zh-CN"/>
          <w14:textFill>
            <w14:solidFill>
              <w14:schemeClr w14:val="tx1"/>
            </w14:solidFill>
          </w14:textFill>
        </w:rPr>
        <w:t>属于监狱企业的相关证明文件（若有，格式见附件）；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lang w:val="zh-CN"/>
          <w14:textFill>
            <w14:solidFill>
              <w14:schemeClr w14:val="tx1"/>
            </w14:solidFill>
          </w14:textFill>
        </w:rPr>
        <w:t>投标供应商针对资格需要说明的其他文件和说明。</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3.2.2 商务、技术文件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（1）评分索引表；</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（2）根据评分内容自行编制；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（3）廉政承诺书；</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（4）供应商认为需要提供的其他资料。</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3.2.3 报价文件</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（1）磋商响应函；</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（2）初次报价一览表；</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（3）初次报价明细组成表；</w:t>
      </w:r>
    </w:p>
    <w:p>
      <w:pPr>
        <w:adjustRightIn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（4）交纳采购代理服务费承诺书；</w:t>
      </w:r>
    </w:p>
    <w:p>
      <w:pPr>
        <w:adjustRightInd w:val="0"/>
        <w:ind w:firstLine="420" w:firstLineChars="200"/>
        <w:rPr>
          <w:color w:val="000000" w:themeColor="text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（5）供应商认为需要提供的其他资料。</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3.3 磋商响应文件的编制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3.3.1 内容编制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（2）关联定位规则：一个关联点关联一页或关联多页；多个关联点可以关联同一页。</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（3）分别编制资格文件、报价文件、商务技术文件。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（6）由于字迹模糊或表达不清引起的后果由供应商负责。</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（7）编制磋商响应文件时建议选用“谷歌或火狐浏览器”。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（8）磋商响应文件可以线下完成盖章后传输提交政府采购云平台。</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（9）生成的电子磋商响应文件的文件后缀名为【.jmbs】，备份电子磋商响应文件的文件后缀名为【.bfbs】。</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3.3.2 格式要求</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（1）磋商响应文件应编制目录。</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（2）磋商响应文件应按“磋商须知前附表”要求盖章。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（3）磋商响应文件装订要求详见“磋商须知前附表”。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（4）磋商响应文件格式为PDF。</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（5）单个文件上传大小上限为300M。</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3.4 报价</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3.4.1 ▲</w:t>
      </w:r>
      <w:r>
        <w:rPr>
          <w:rFonts w:cs="Calibri"/>
          <w:b/>
          <w:bCs/>
          <w:color w:val="000000" w:themeColor="text1"/>
          <w:szCs w:val="21"/>
          <w:u w:val="single"/>
          <w14:textFill>
            <w14:solidFill>
              <w14:schemeClr w14:val="tx1"/>
            </w14:solidFill>
          </w14:textFill>
        </w:rPr>
        <w:t>本项目报价为含税人民币价。</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3.4.2 报价包括履行所有规定服务的全部费用。服务及服务成果须达到采购文件规定的质量标准及使用要求。</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3.4.3 报价应按不同费用构成分开填写，具体详见“第七章 磋商响应文件格式”。</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3.4.4 供应商应在“政府采购云平台”中填写报价，报价应与上传的报价文件一致，如有不一致，以上传的报价文件中报价为准。</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3.5 磋商保证金</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3.5.1 本项目不需交纳磋商保证金。</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3.6 磋商响应文件有效期</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3.6.1 磋商响应文件有效期按“磋商须知前附表”规定，磋商响应文件应在该有效期内保持有效。合同签订后，磋商响应文件作为合同附件，磋商响应文件有效期同合同有效期。</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3.6.3 供应商可拒绝接受延期要求。同意延长有效期的供应商不能修改磋商响应文件。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3.6.4 磋商响应文件有效期内，供应商撤销响应文件的，应承担采购人提出的索赔。</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3.7 磋商响应文件的密封及标记</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3.7.1 磋商响应文件应按以下方法密封及标记</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磋商响应文件密封及标记要求见“磋商须知前附表”。</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3.8 磋商响应文件的提交</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3.8</w:t>
      </w:r>
      <w:r>
        <w:rPr>
          <w:rFonts w:cs="Calibri"/>
          <w:color w:val="000000" w:themeColor="text1"/>
          <w:szCs w:val="21"/>
          <w14:textFill>
            <w14:solidFill>
              <w14:schemeClr w14:val="tx1"/>
            </w14:solidFill>
          </w14:textFill>
        </w:rPr>
        <w:t>.1 提交磋商响应文件</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（1）电子磋商响应文件传输提交</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（2）备份电子磋商响应文件提交</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供应商可以提交备份电子磋商响应文件，如提交备份电子磋商响应文件，请按以下方式提交。</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14:textFill>
            <w14:solidFill>
              <w14:schemeClr w14:val="tx1"/>
            </w14:solidFill>
          </w14:textFill>
        </w:rPr>
        <w:t>姓名：小</w:t>
      </w:r>
      <w:r>
        <w:rPr>
          <w:rFonts w:hint="eastAsia" w:cs="Calibri"/>
          <w:color w:val="000000" w:themeColor="text1"/>
          <w:szCs w:val="21"/>
          <w:lang w:val="en-US" w:eastAsia="zh-CN"/>
          <w14:textFill>
            <w14:solidFill>
              <w14:schemeClr w14:val="tx1"/>
            </w14:solidFill>
          </w14:textFill>
        </w:rPr>
        <w:t>顾</w:t>
      </w:r>
      <w:r>
        <w:rPr>
          <w:rFonts w:hint="eastAsia" w:cs="Calibri"/>
          <w:color w:val="000000" w:themeColor="text1"/>
          <w:szCs w:val="21"/>
          <w14:textFill>
            <w14:solidFill>
              <w14:schemeClr w14:val="tx1"/>
            </w14:solidFill>
          </w14:textFill>
        </w:rPr>
        <w:t>，联系电话：</w:t>
      </w:r>
      <w:r>
        <w:rPr>
          <w:rFonts w:cs="Calibri"/>
          <w:color w:val="000000" w:themeColor="text1"/>
          <w:szCs w:val="21"/>
          <w14:textFill>
            <w14:solidFill>
              <w14:schemeClr w14:val="tx1"/>
            </w14:solidFill>
          </w14:textFill>
        </w:rPr>
        <w:t>057</w:t>
      </w:r>
      <w:r>
        <w:rPr>
          <w:rFonts w:hint="eastAsia" w:cs="Calibri"/>
          <w:color w:val="000000" w:themeColor="text1"/>
          <w:szCs w:val="21"/>
          <w14:textFill>
            <w14:solidFill>
              <w14:schemeClr w14:val="tx1"/>
            </w14:solidFill>
          </w14:textFill>
        </w:rPr>
        <w:t>2-2275857</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地址：湖州市凤凰路137号国际贸易大厦9楼906</w:t>
      </w:r>
      <w:r>
        <w:rPr>
          <w:rFonts w:cs="Calibri"/>
          <w:color w:val="000000" w:themeColor="text1"/>
          <w:szCs w:val="21"/>
          <w14:textFill>
            <w14:solidFill>
              <w14:schemeClr w14:val="tx1"/>
            </w14:solidFill>
          </w14:textFill>
        </w:rPr>
        <w:t>），使其在磋商响应文件提交截止时间以前收到。封皮应注明供应商名称、项目名称。</w:t>
      </w:r>
    </w:p>
    <w:p>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pPr>
        <w:pStyle w:val="63"/>
        <w:adjustRightInd w:val="0"/>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3.8.2 供应商提交的磋商响应文件均不予退还。</w:t>
      </w:r>
    </w:p>
    <w:p>
      <w:pPr>
        <w:pStyle w:val="63"/>
        <w:adjustRightInd w:val="0"/>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3.8.3 逾期传输的电子磋商响应文件，采购人将不予受理。</w:t>
      </w:r>
    </w:p>
    <w:p>
      <w:pPr>
        <w:pStyle w:val="63"/>
        <w:adjustRightInd w:val="0"/>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3.9 磋商响应文件的补充、修改和撤回</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3.10 备选磋商响应方案</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供应商不得提交备选磋商响应方案，否则，磋商响应文件将被判定为无效标。【注：备选磋商响应方案不是指备份磋商响应文件】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3.11 不予受理的磋商响应文件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（1）逾期传输的或逾期送达的或者未送达指定地点的磋商响应文件；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（2）未密封的备份电子磋商响应文件；</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四、磋商程序</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4.1 组建磋商小组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采购组织机构将依法组建磋商小组。磋商小组由采购人代表和评审专家共3人及以上组成。</w:t>
      </w:r>
    </w:p>
    <w:p>
      <w:pPr>
        <w:pStyle w:val="8"/>
        <w:ind w:firstLine="422"/>
        <w:rPr>
          <w:rFonts w:cs="Calibri"/>
          <w:color w:val="000000" w:themeColor="text1"/>
          <w14:textFill>
            <w14:solidFill>
              <w14:schemeClr w14:val="tx1"/>
            </w14:solidFill>
          </w14:textFill>
        </w:rPr>
      </w:pPr>
      <w:bookmarkStart w:id="69" w:name="_Toc251938331"/>
      <w:r>
        <w:rPr>
          <w:rFonts w:cs="Calibri"/>
          <w:color w:val="000000" w:themeColor="text1"/>
          <w14:textFill>
            <w14:solidFill>
              <w14:schemeClr w14:val="tx1"/>
            </w14:solidFill>
          </w14:textFill>
        </w:rPr>
        <w:t>4.2 磋商准备</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4.2.1采购人按“磋商须知前附表”规定的时间、地点公开开启磋商响应文件，并邀请所有供应商代表准时在线参加。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4.2.2供应商代表应在线参加磋商活动。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4.2.3磋商活动组织人员告知所有供应商磋商活动组织人员情况，已提交磋商响应文件的供应商名单、应当回避的情形、开启最后报价文件的预计时间等，组织供应商签署《政府采购活动现场确认声明书》。</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4.3 在线解密</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4.3.1在线解密开始时间</w:t>
      </w:r>
    </w:p>
    <w:p>
      <w:pPr>
        <w:pStyle w:val="63"/>
        <w:adjustRightInd w:val="0"/>
        <w:spacing w:line="300" w:lineRule="auto"/>
        <w:ind w:firstLine="42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至磋商响应文件提交截止时间，磋商</w:t>
      </w:r>
      <w:r>
        <w:rPr>
          <w:rFonts w:ascii="Calibri" w:hAnsi="Calibri" w:cs="Calibri"/>
          <w:color w:val="000000" w:themeColor="text1"/>
          <w14:textFill>
            <w14:solidFill>
              <w14:schemeClr w14:val="tx1"/>
            </w14:solidFill>
          </w14:textFill>
        </w:rPr>
        <w:t>活动组织人员</w:t>
      </w:r>
      <w:r>
        <w:rPr>
          <w:rFonts w:ascii="Calibri" w:hAnsi="Calibri" w:cs="Calibri"/>
          <w:color w:val="000000" w:themeColor="text1"/>
          <w:kern w:val="0"/>
          <w14:textFill>
            <w14:solidFill>
              <w14:schemeClr w14:val="tx1"/>
            </w14:solidFill>
          </w14:textFill>
        </w:rPr>
        <w:t>启动在线解密程序，供应商应登录政府采购云平台在在线解密时间内对已提交的电子磋商响应文件进行解密。</w:t>
      </w:r>
    </w:p>
    <w:p>
      <w:pPr>
        <w:pStyle w:val="63"/>
        <w:adjustRightInd w:val="0"/>
        <w:spacing w:line="300" w:lineRule="auto"/>
        <w:ind w:firstLine="42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4.3.2解密异常处理</w:t>
      </w:r>
    </w:p>
    <w:p>
      <w:pPr>
        <w:pStyle w:val="63"/>
        <w:adjustRightInd w:val="0"/>
        <w:spacing w:line="300" w:lineRule="auto"/>
        <w:ind w:firstLine="42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如在线解密失败，</w:t>
      </w:r>
      <w:r>
        <w:rPr>
          <w:rFonts w:ascii="Calibri" w:hAnsi="Calibri" w:cs="Calibri"/>
          <w:color w:val="000000" w:themeColor="text1"/>
          <w14:textFill>
            <w14:solidFill>
              <w14:schemeClr w14:val="tx1"/>
            </w14:solidFill>
          </w14:textFill>
        </w:rPr>
        <w:t>磋商活动组织人员</w:t>
      </w:r>
      <w:r>
        <w:rPr>
          <w:rFonts w:ascii="Calibri" w:hAnsi="Calibri" w:cs="Calibri"/>
          <w:color w:val="000000" w:themeColor="text1"/>
          <w:kern w:val="0"/>
          <w14:textFill>
            <w14:solidFill>
              <w14:schemeClr w14:val="tx1"/>
            </w14:solidFill>
          </w14:textFill>
        </w:rPr>
        <w:t>将启动异常处理，上传供应商在磋商响应文件提交截止时间前提交的备份电子磋商响应文件进行再次解密，如未提供备份电子磋商响应文件，将不进行再次解密程序。无法在线解密视为供应商放弃磋商响应。</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4.3.3在线解密时间</w:t>
      </w:r>
    </w:p>
    <w:p>
      <w:pPr>
        <w:adjustRightInd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在线解密时间为30分钟。</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4.4 在线开启磋商响应文件</w:t>
      </w:r>
    </w:p>
    <w:p>
      <w:pPr>
        <w:widowControl/>
        <w:adjustRightInd w:val="0"/>
        <w:ind w:firstLine="420" w:firstLineChars="200"/>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待所有供应商在线解密结束后，</w:t>
      </w:r>
      <w:r>
        <w:rPr>
          <w:rFonts w:cs="Calibri"/>
          <w:color w:val="000000" w:themeColor="text1"/>
          <w:szCs w:val="21"/>
          <w14:textFill>
            <w14:solidFill>
              <w14:schemeClr w14:val="tx1"/>
            </w14:solidFill>
          </w14:textFill>
        </w:rPr>
        <w:t>磋商活动组织人员</w:t>
      </w:r>
      <w:r>
        <w:rPr>
          <w:rFonts w:cs="Calibri"/>
          <w:color w:val="000000" w:themeColor="text1"/>
          <w:kern w:val="0"/>
          <w:szCs w:val="21"/>
          <w14:textFill>
            <w14:solidFill>
              <w14:schemeClr w14:val="tx1"/>
            </w14:solidFill>
          </w14:textFill>
        </w:rPr>
        <w:t>在线开启磋商响应文件。</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4.5 组织磋商活动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4.5.1磋商小组所有成员应当集中与单一供应商分别进行磋商，并将给予所有参加磋商的供应商平等的磋商机会。</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4.5.3供应商按照采购文件的变动情况和磋商小组的要求进行承诺并作为磋商响应文件的一部分，并加盖单位公章，上传政府采购云平台。</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4.5.4已提交响应文件的供应商，在提交最后报价之前，可以根据磋商情况退出磋商。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4.5.5在政府采购云平台中汇总各供应商的得分，通知供应商经评审无效的理由。</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4.5.6磋商结束后，磋商小组将要求所有实质性响应的供应商按政府采购云平台规定时间内分别进行最后报价，最后报价是供应商响应文件的有效组成部分。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4.5.8磋商的任何一方不得透露与磋商有关的其他供应商的技术资料、价格和其他信息。</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4.5.9采购代理机构对相关磋商内容进行记录，以存档备查。</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4.5.10磋商评审期间，供应商应随时随地答复磋商小组的提出的问题，解答包括有关的商务、技术问题等，并按磋商小组要求及时形成磋商承诺。</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4.6 磋商活动异议</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p>
      <w:pPr>
        <w:pStyle w:val="7"/>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五、评审及合同签订</w:t>
      </w:r>
      <w:bookmarkEnd w:id="69"/>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5.1 评审</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本项目采用综合评分法。</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经磋商确定最终采购需求、供应商提交磋商承诺后，磋商小组根据评审办法完成商务技术评分并汇总。</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供应商提交最后报价后，磋商小组根据评审办法对报价进行评分并汇总。</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政府采购云平台汇总各供应商的商务技术分、报价分作为各供应商的评审得分。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具体评审办法详见“第五章 磋商评审办法”。本项目原则上采用电子评审方法。</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5.2 终止竞争性磋商采购活动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出现下列情形之一的，采购组织机构将终止竞争性磋商采购活动：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（1）因情况变化，不再符合规定的竞争性磋商采购方式适用情形的；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（2）出现影响采购公正的违法、违规行为的；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（5）因重大变故，采购任务取消的；</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5.3 确定采购结果</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采购代理机构在评审结束后2个工作日内将评审报告送采购人确认；</w:t>
      </w:r>
    </w:p>
    <w:p>
      <w:pPr>
        <w:pStyle w:val="63"/>
        <w:spacing w:line="300" w:lineRule="auto"/>
        <w:ind w:firstLine="42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5.4 结果公告</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在采购人确认采购结果后，采购代理机构将成交结果发布在政府采购网上进行公告。</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5.5 发出成交通知书</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5.5.1发布成交结果公告同时，采购代理机构将以书面形式向成交供应商发出成交通知书。</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5.6 采购过程、采购结果质疑</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5.6.1供应商认为采购过程、采购结果使自己的合法权益受到损害的，供应商可以提出书面质疑。质疑应当有明确的请求和必要的证明材料。</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5.6.2质疑书须包括以下内容：</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（1）供应商的姓名或者名称、地址、邮编、联系人及联系电话；</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（2）质疑项目的名称、编号；</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（3）具体、明确的质疑事项和与质疑事项相关的请求；</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（4）事实依据；</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（5）必要的法律依据；</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（6）提出质疑的日期。</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5.6.3采购过程的质疑期限自为各采购程序环节结束之日起7个工作日内，供应商应在质疑期限内一次性向采购代理机构提出针对采购过程的质疑，逾期提出不予受理。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5.6.4质疑书中涉及的相关材料中有外文资料的，应当将与质疑相关的外文资料完整、客观、真实地翻译为中文，并注明翻译人员姓名、工作单位、联系方式等信息。</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5.6.5供应商为自然人的，应当由本人签字；供应商为法人或者其他组织的，应当由法定代表人、主要负责人，或者其授权代表签字或者盖章，并加盖公章。否则不予受理。</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5.6.6</w:t>
      </w:r>
      <w:r>
        <w:rPr>
          <w:rFonts w:cs="Calibri"/>
          <w:color w:val="000000" w:themeColor="text1"/>
          <w14:textFill>
            <w14:solidFill>
              <w14:schemeClr w14:val="tx1"/>
            </w14:solidFill>
          </w14:textFill>
        </w:rPr>
        <w:t>质疑书以直接送达或邮寄送达方式（份数为一式三份）或传真送达方式或以扫描件在线提交方式</w:t>
      </w:r>
      <w:r>
        <w:rPr>
          <w:rFonts w:cs="Calibri"/>
          <w:color w:val="000000" w:themeColor="text1"/>
          <w:szCs w:val="21"/>
          <w14:textFill>
            <w14:solidFill>
              <w14:schemeClr w14:val="tx1"/>
            </w14:solidFill>
          </w14:textFill>
        </w:rPr>
        <w:t>。</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5.6.7质疑书以传真形式提交后，同时须向采购代理机构提交质疑书原件，采购代理机构以收到原件之日作为收到质疑日。</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5.6.8供应商不得捏造事实、提供虚假材料或者以非法手段取得证明材料进行质疑。</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5.6.9</w:t>
      </w:r>
      <w:r>
        <w:rPr>
          <w:rFonts w:cs="Calibri"/>
          <w:color w:val="000000" w:themeColor="text1"/>
          <w:szCs w:val="21"/>
          <w14:textFill>
            <w14:solidFill>
              <w14:schemeClr w14:val="tx1"/>
            </w14:solidFill>
          </w14:textFill>
        </w:rPr>
        <w:t>如联合体响应，质疑应由组成联合体的所有供应商共同提出。</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5.7 签订合同</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5.7.1 成交供应商应在接到成交通知书后按成交通知书规定的时间、地点与采购人签订合同。</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5.7.2采购文件及补充文件、磋商修改文件、成交供应商的磋商响应文件及磋商响应修改文件、磋商过程中有关承诺文件和成交通知书均作为合同附件。</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5.7.4拒签合同</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5.8 采购代理服务费</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本次采购代理服务费按“磋商须知前附表”规定收取。</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成交供应商不按采购文件规定交纳采购代理服务费，将取消其成交资格。成交供应商应向采购代理机构交纳采购文件规定的采购代理服务费作为赔偿。</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六、其他</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6.1采购过程中出现以下情形，导致电子交易平台无法正常运行，或者无法保证电子交易的公平、公正和安全时，采购组织机构将中止电子交易活动：</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（1）电子交易平台发生故障而无法登录访问的；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（2）电子交易平台应用或数据库出现错误，不能进行正常操作的；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（3）电子交易平台发现严重安全漏洞，有潜在泄密危险的；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（4）病毒发作导致不能进行正常操作的；</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（5）其他无法保证电子交易的公平、公正和安全的情况。</w:t>
      </w:r>
    </w:p>
    <w:p>
      <w:pPr>
        <w:adjustRightInd w:val="0"/>
        <w:ind w:firstLine="420" w:firstLineChars="200"/>
        <w:rPr>
          <w:rFonts w:cs="Calibri"/>
          <w:b/>
          <w:color w:val="000000" w:themeColor="text1"/>
          <w:sz w:val="28"/>
          <w:szCs w:val="28"/>
          <w14:textFill>
            <w14:solidFill>
              <w14:schemeClr w14:val="tx1"/>
            </w14:solidFill>
          </w14:textFill>
        </w:rPr>
      </w:pPr>
      <w:r>
        <w:rPr>
          <w:rFonts w:cs="Calibri"/>
          <w:color w:val="000000" w:themeColor="text1"/>
          <w:szCs w:val="21"/>
          <w14:textFill>
            <w14:solidFill>
              <w14:schemeClr w14:val="tx1"/>
            </w14:solidFill>
          </w14:textFill>
        </w:rPr>
        <w:t>出现前款规定情形，不影响采购公平、公正性的，采购组织机构将待上述情形消除后继续组织电子交易活动，也可以决定某些环节以纸质形式进行；影响或可能影响采购公平、公正性的，将重新采购。</w:t>
      </w:r>
      <w:r>
        <w:rPr>
          <w:rFonts w:cs="Calibri"/>
          <w:b/>
          <w:color w:val="000000" w:themeColor="text1"/>
          <w:sz w:val="28"/>
          <w:szCs w:val="28"/>
          <w14:textFill>
            <w14:solidFill>
              <w14:schemeClr w14:val="tx1"/>
            </w14:solidFill>
          </w14:textFill>
        </w:rPr>
        <w:br w:type="page"/>
      </w:r>
    </w:p>
    <w:p>
      <w:pPr>
        <w:pStyle w:val="5"/>
        <w:rPr>
          <w:rFonts w:cs="Calibri"/>
          <w:color w:val="000000" w:themeColor="text1"/>
          <w14:textFill>
            <w14:solidFill>
              <w14:schemeClr w14:val="tx1"/>
            </w14:solidFill>
          </w14:textFill>
        </w:rPr>
      </w:pPr>
      <w:bookmarkStart w:id="70" w:name="_Toc8657"/>
      <w:bookmarkStart w:id="71" w:name="_Toc82338246"/>
      <w:bookmarkStart w:id="72" w:name="_Toc227380487"/>
      <w:bookmarkStart w:id="73" w:name="_Toc82873329"/>
      <w:bookmarkStart w:id="74" w:name="_Toc23596"/>
      <w:r>
        <w:rPr>
          <w:rFonts w:cs="Calibri"/>
          <w:color w:val="000000" w:themeColor="text1"/>
          <w14:textFill>
            <w14:solidFill>
              <w14:schemeClr w14:val="tx1"/>
            </w14:solidFill>
          </w14:textFill>
        </w:rPr>
        <w:t>第七章  磋商响应文件格式</w:t>
      </w:r>
      <w:bookmarkEnd w:id="70"/>
      <w:bookmarkEnd w:id="71"/>
      <w:bookmarkEnd w:id="72"/>
      <w:bookmarkEnd w:id="73"/>
      <w:bookmarkEnd w:id="74"/>
    </w:p>
    <w:p>
      <w:pPr>
        <w:jc w:val="cente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（未提供格式的由供应商自拟）</w:t>
      </w:r>
    </w:p>
    <w:p>
      <w:pPr>
        <w:ind w:firstLine="2850" w:firstLineChars="1183"/>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法定代表人有效身份证明书</w:t>
      </w:r>
    </w:p>
    <w:p>
      <w:pPr>
        <w:pStyle w:val="13"/>
        <w:spacing w:line="400" w:lineRule="exact"/>
        <w:ind w:firstLine="513" w:firstLineChars="156"/>
        <w:jc w:val="center"/>
        <w:rPr>
          <w:rFonts w:ascii="宋体" w:hAnsi="宋体" w:cs="宋体"/>
          <w:b/>
          <w:bCs/>
          <w:color w:val="000000" w:themeColor="text1"/>
          <w:spacing w:val="24"/>
          <w:sz w:val="28"/>
          <w:szCs w:val="28"/>
          <w14:textFill>
            <w14:solidFill>
              <w14:schemeClr w14:val="tx1"/>
            </w14:solidFill>
          </w14:textFill>
        </w:rPr>
      </w:pPr>
    </w:p>
    <w:p>
      <w:pPr>
        <w:pStyle w:val="13"/>
        <w:spacing w:line="400" w:lineRule="exact"/>
        <w:ind w:firstLine="451" w:firstLineChars="156"/>
        <w:jc w:val="center"/>
        <w:rPr>
          <w:rFonts w:ascii="宋体" w:hAnsi="宋体" w:cs="宋体"/>
          <w:b/>
          <w:bCs/>
          <w:color w:val="000000" w:themeColor="text1"/>
          <w:spacing w:val="24"/>
          <w:sz w:val="24"/>
          <w14:textFill>
            <w14:solidFill>
              <w14:schemeClr w14:val="tx1"/>
            </w14:solidFill>
          </w14:textFill>
        </w:rPr>
      </w:pPr>
    </w:p>
    <w:p>
      <w:pPr>
        <w:pStyle w:val="13"/>
        <w:spacing w:line="400" w:lineRule="exact"/>
        <w:ind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（单位全称）</w:t>
      </w: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的法定代表人，身份证号码为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特此证明</w:t>
      </w: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竞标人：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w:t>
      </w: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3"/>
        <w:spacing w:line="400" w:lineRule="exact"/>
        <w:ind w:firstLine="3012" w:firstLineChars="125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法定代表人或其授权代理人（签名或盖章）</w:t>
      </w:r>
    </w:p>
    <w:p>
      <w:pPr>
        <w:pStyle w:val="13"/>
        <w:spacing w:line="400" w:lineRule="exact"/>
        <w:ind w:firstLine="374" w:firstLineChars="156"/>
        <w:jc w:val="center"/>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pStyle w:val="13"/>
        <w:spacing w:line="400" w:lineRule="exact"/>
        <w:ind w:firstLine="374" w:firstLineChars="156"/>
        <w:jc w:val="center"/>
        <w:rPr>
          <w:rFonts w:ascii="宋体" w:hAnsi="宋体" w:cs="宋体"/>
          <w:color w:val="000000" w:themeColor="text1"/>
          <w:sz w:val="24"/>
          <w14:textFill>
            <w14:solidFill>
              <w14:schemeClr w14:val="tx1"/>
            </w14:solidFill>
          </w14:textFill>
        </w:rPr>
      </w:pPr>
    </w:p>
    <w:p>
      <w:pPr>
        <w:pStyle w:val="13"/>
        <w:spacing w:line="40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Style w:val="13"/>
        <w:spacing w:line="400" w:lineRule="exact"/>
        <w:ind w:firstLine="0"/>
        <w:rPr>
          <w:rFonts w:ascii="宋体" w:hAnsi="宋体" w:cs="宋体"/>
          <w:color w:val="000000" w:themeColor="text1"/>
          <w:sz w:val="24"/>
          <w14:textFill>
            <w14:solidFill>
              <w14:schemeClr w14:val="tx1"/>
            </w14:solidFill>
          </w14:textFill>
        </w:rPr>
      </w:pPr>
    </w:p>
    <w:p>
      <w:pPr>
        <w:pStyle w:val="13"/>
        <w:spacing w:line="400" w:lineRule="exact"/>
        <w:ind w:firstLine="374" w:firstLineChars="15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有效身份证明复印件粘贴处</w:t>
      </w:r>
    </w:p>
    <w:p>
      <w:pPr>
        <w:pStyle w:val="13"/>
        <w:spacing w:line="400" w:lineRule="exact"/>
        <w:ind w:firstLine="436" w:firstLineChars="156"/>
        <w:jc w:val="center"/>
        <w:rPr>
          <w:rFonts w:ascii="宋体" w:hAnsi="宋体" w:cs="宋体"/>
          <w:color w:val="000000" w:themeColor="text1"/>
          <w:sz w:val="28"/>
          <w:szCs w:val="28"/>
          <w14:textFill>
            <w14:solidFill>
              <w14:schemeClr w14:val="tx1"/>
            </w14:solidFill>
          </w14:textFill>
        </w:rPr>
      </w:pPr>
    </w:p>
    <w:p>
      <w:pPr>
        <w:pStyle w:val="13"/>
        <w:spacing w:line="400" w:lineRule="exact"/>
        <w:ind w:firstLine="468" w:firstLineChars="156"/>
        <w:jc w:val="center"/>
        <w:rPr>
          <w:rFonts w:ascii="宋体" w:hAnsi="宋体" w:cs="宋体"/>
          <w:color w:val="000000" w:themeColor="text1"/>
          <w:sz w:val="30"/>
          <w14:textFill>
            <w14:solidFill>
              <w14:schemeClr w14:val="tx1"/>
            </w14:solidFill>
          </w14:textFill>
        </w:rPr>
      </w:pPr>
    </w:p>
    <w:p>
      <w:pPr>
        <w:pStyle w:val="13"/>
        <w:spacing w:line="400" w:lineRule="exact"/>
        <w:ind w:firstLine="545" w:firstLineChars="156"/>
        <w:jc w:val="center"/>
        <w:rPr>
          <w:rFonts w:ascii="宋体" w:hAnsi="宋体" w:cs="宋体"/>
          <w:b/>
          <w:bCs/>
          <w:color w:val="000000" w:themeColor="text1"/>
          <w:spacing w:val="24"/>
          <w:sz w:val="30"/>
          <w14:textFill>
            <w14:solidFill>
              <w14:schemeClr w14:val="tx1"/>
            </w14:solidFill>
          </w14:textFill>
        </w:rPr>
      </w:pPr>
    </w:p>
    <w:p>
      <w:pPr>
        <w:pStyle w:val="13"/>
        <w:spacing w:line="400" w:lineRule="exact"/>
        <w:ind w:firstLine="545" w:firstLineChars="156"/>
        <w:jc w:val="center"/>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pacing w:val="24"/>
          <w:sz w:val="3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法定代表人授权委托书</w:t>
      </w: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400" w:lineRule="exact"/>
        <w:ind w:firstLine="480" w:firstLineChars="200"/>
        <w:rPr>
          <w:rFonts w:ascii="宋体" w:hAnsi="宋体" w:cs="宋体"/>
          <w:color w:val="000000" w:themeColor="text1"/>
          <w:sz w:val="24"/>
          <w14:textFill>
            <w14:solidFill>
              <w14:schemeClr w14:val="tx1"/>
            </w14:solidFill>
          </w14:textFill>
        </w:rPr>
      </w:pPr>
    </w:p>
    <w:p>
      <w:pPr>
        <w:spacing w:line="52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（竞标人名称）的法定代表人，现授权委托本单位的在职职工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（姓名）为我单位代理人，以本单位的名义参加</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项目的竞争性磋商活动。被授权代理人在竞争性磋商、合同谈判过程中所签署的一切文件和处理与之有关的一切事务，我均予以承认。</w:t>
      </w:r>
    </w:p>
    <w:p>
      <w:pPr>
        <w:spacing w:line="5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被授权人无转委托权，特此委托。</w:t>
      </w:r>
    </w:p>
    <w:p>
      <w:pPr>
        <w:spacing w:line="520" w:lineRule="exact"/>
        <w:rPr>
          <w:rFonts w:ascii="宋体" w:hAnsi="宋体" w:cs="宋体"/>
          <w:b/>
          <w:color w:val="000000" w:themeColor="text1"/>
          <w:sz w:val="24"/>
          <w14:textFill>
            <w14:solidFill>
              <w14:schemeClr w14:val="tx1"/>
            </w14:solidFill>
          </w14:textFill>
        </w:rPr>
      </w:pPr>
    </w:p>
    <w:p>
      <w:pPr>
        <w:spacing w:line="520" w:lineRule="exact"/>
        <w:ind w:left="2698" w:leftChars="1285" w:firstLine="600" w:firstLineChars="2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授权代理人：</w:t>
      </w:r>
      <w:r>
        <w:rPr>
          <w:rFonts w:hint="eastAsia" w:ascii="宋体" w:hAnsi="宋体" w:cs="宋体"/>
          <w:color w:val="000000" w:themeColor="text1"/>
          <w:sz w:val="24"/>
          <w:u w:val="single"/>
          <w14:textFill>
            <w14:solidFill>
              <w14:schemeClr w14:val="tx1"/>
            </w14:solidFill>
          </w14:textFill>
        </w:rPr>
        <w:t xml:space="preserve">   （签字）           </w:t>
      </w:r>
    </w:p>
    <w:p>
      <w:pPr>
        <w:spacing w:line="520" w:lineRule="exact"/>
        <w:ind w:left="2698" w:leftChars="1285" w:firstLine="600" w:firstLineChars="2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p>
    <w:p>
      <w:pPr>
        <w:spacing w:line="520" w:lineRule="exact"/>
        <w:ind w:left="2698" w:leftChars="1285" w:firstLine="600" w:firstLineChars="25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p>
    <w:p>
      <w:pPr>
        <w:spacing w:line="520" w:lineRule="exact"/>
        <w:ind w:left="2698" w:leftChars="1285"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竞标人：</w:t>
      </w:r>
      <w:r>
        <w:rPr>
          <w:rFonts w:hint="eastAsia" w:ascii="宋体" w:hAnsi="宋体" w:cs="宋体"/>
          <w:color w:val="000000" w:themeColor="text1"/>
          <w:sz w:val="24"/>
          <w:u w:val="single"/>
          <w14:textFill>
            <w14:solidFill>
              <w14:schemeClr w14:val="tx1"/>
            </w14:solidFill>
          </w14:textFill>
        </w:rPr>
        <w:t xml:space="preserve">           （盖章）       </w:t>
      </w:r>
    </w:p>
    <w:p>
      <w:pPr>
        <w:spacing w:line="520" w:lineRule="exact"/>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w:t>
      </w:r>
      <w:r>
        <w:rPr>
          <w:rFonts w:hint="eastAsia" w:ascii="宋体" w:hAnsi="宋体" w:cs="宋体"/>
          <w:color w:val="000000" w:themeColor="text1"/>
          <w:sz w:val="24"/>
          <w:u w:val="single"/>
          <w14:textFill>
            <w14:solidFill>
              <w14:schemeClr w14:val="tx1"/>
            </w14:solidFill>
          </w14:textFill>
        </w:rPr>
        <w:t xml:space="preserve">            （签名或盖章）</w:t>
      </w:r>
    </w:p>
    <w:p>
      <w:pPr>
        <w:spacing w:line="520" w:lineRule="exact"/>
        <w:jc w:val="center"/>
        <w:rPr>
          <w:rFonts w:ascii="宋体" w:hAnsi="宋体" w:cs="宋体"/>
          <w:color w:val="000000" w:themeColor="text1"/>
          <w:sz w:val="24"/>
          <w:u w:val="single"/>
          <w14:textFill>
            <w14:solidFill>
              <w14:schemeClr w14:val="tx1"/>
            </w14:solidFill>
          </w14:textFill>
        </w:rPr>
      </w:pPr>
    </w:p>
    <w:p>
      <w:pPr>
        <w:pStyle w:val="13"/>
        <w:spacing w:line="520" w:lineRule="exact"/>
        <w:ind w:firstLine="4574" w:firstLineChars="190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13"/>
        <w:spacing w:line="520" w:lineRule="exact"/>
        <w:ind w:firstLine="374" w:firstLineChars="15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Style w:val="13"/>
        <w:spacing w:line="520" w:lineRule="exact"/>
        <w:ind w:firstLine="374" w:firstLineChars="156"/>
        <w:jc w:val="center"/>
        <w:rPr>
          <w:rFonts w:ascii="宋体" w:hAnsi="宋体" w:cs="宋体"/>
          <w:color w:val="000000" w:themeColor="text1"/>
          <w:sz w:val="24"/>
          <w14:textFill>
            <w14:solidFill>
              <w14:schemeClr w14:val="tx1"/>
            </w14:solidFill>
          </w14:textFill>
        </w:rPr>
      </w:pPr>
    </w:p>
    <w:p>
      <w:pPr>
        <w:pStyle w:val="13"/>
        <w:spacing w:line="520" w:lineRule="exact"/>
        <w:ind w:firstLine="374" w:firstLineChars="156"/>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授权代理人有效身份证明复印件粘贴处</w:t>
      </w:r>
    </w:p>
    <w:p>
      <w:pPr>
        <w:pStyle w:val="13"/>
        <w:spacing w:line="520" w:lineRule="exact"/>
        <w:ind w:firstLine="374" w:firstLineChars="156"/>
        <w:jc w:val="center"/>
        <w:rPr>
          <w:rFonts w:ascii="宋体" w:hAnsi="宋体" w:cs="宋体"/>
          <w:color w:val="000000" w:themeColor="text1"/>
          <w:sz w:val="24"/>
          <w14:textFill>
            <w14:solidFill>
              <w14:schemeClr w14:val="tx1"/>
            </w14:solidFill>
          </w14:textFill>
        </w:rPr>
      </w:pPr>
    </w:p>
    <w:p>
      <w:pPr>
        <w:pStyle w:val="13"/>
        <w:spacing w:line="520" w:lineRule="exact"/>
        <w:ind w:firstLine="374" w:firstLineChars="156"/>
        <w:jc w:val="center"/>
        <w:rPr>
          <w:rFonts w:ascii="宋体" w:hAnsi="宋体" w:cs="宋体"/>
          <w:color w:val="000000" w:themeColor="text1"/>
          <w:sz w:val="24"/>
          <w14:textFill>
            <w14:solidFill>
              <w14:schemeClr w14:val="tx1"/>
            </w14:solidFill>
          </w14:textFill>
        </w:rPr>
      </w:pPr>
    </w:p>
    <w:p>
      <w:pPr>
        <w:spacing w:line="520" w:lineRule="exact"/>
        <w:rPr>
          <w:rFonts w:ascii="宋体" w:hAnsi="宋体" w:cs="宋体"/>
          <w:b/>
          <w:bCs/>
          <w:color w:val="000000" w:themeColor="text1"/>
          <w:sz w:val="24"/>
          <w14:textFill>
            <w14:solidFill>
              <w14:schemeClr w14:val="tx1"/>
            </w14:solidFill>
          </w14:textFill>
        </w:rPr>
      </w:pPr>
    </w:p>
    <w:p>
      <w:pPr>
        <w:spacing w:line="520" w:lineRule="exact"/>
        <w:rPr>
          <w:rFonts w:ascii="宋体" w:hAnsi="宋体" w:cs="宋体"/>
          <w:b/>
          <w:bCs/>
          <w:color w:val="000000" w:themeColor="text1"/>
          <w:sz w:val="30"/>
          <w14:textFill>
            <w14:solidFill>
              <w14:schemeClr w14:val="tx1"/>
            </w14:solidFill>
          </w14:textFill>
        </w:rPr>
      </w:pPr>
    </w:p>
    <w:p>
      <w:pPr>
        <w:pStyle w:val="4"/>
        <w:ind w:firstLine="2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ind w:firstLine="210"/>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930" w:lineRule="atLeast"/>
        <w:ind w:left="594" w:right="31"/>
        <w:jc w:val="center"/>
        <w:rPr>
          <w:rFonts w:ascii="宋体" w:hAnsi="宋体" w:cs="宋体"/>
          <w:b/>
          <w:color w:val="000000" w:themeColor="text1"/>
          <w:spacing w:val="12"/>
          <w:sz w:val="28"/>
          <w:szCs w:val="28"/>
          <w14:textFill>
            <w14:solidFill>
              <w14:schemeClr w14:val="tx1"/>
            </w14:solidFill>
          </w14:textFill>
        </w:rPr>
      </w:pPr>
      <w:r>
        <w:rPr>
          <w:rFonts w:hint="eastAsia" w:ascii="宋体" w:hAnsi="宋体" w:cs="宋体"/>
          <w:b/>
          <w:color w:val="000000" w:themeColor="text1"/>
          <w:spacing w:val="12"/>
          <w:sz w:val="28"/>
          <w:szCs w:val="28"/>
          <w14:textFill>
            <w14:solidFill>
              <w14:schemeClr w14:val="tx1"/>
            </w14:solidFill>
          </w14:textFill>
        </w:rPr>
        <w:t>具有良好商业信誉的声明函</w:t>
      </w:r>
    </w:p>
    <w:p>
      <w:pPr>
        <w:pStyle w:val="9"/>
        <w:rPr>
          <w:color w:val="000000" w:themeColor="text1"/>
          <w14:textFill>
            <w14:solidFill>
              <w14:schemeClr w14:val="tx1"/>
            </w14:solidFill>
          </w14:textFill>
        </w:rPr>
      </w:pPr>
    </w:p>
    <w:p>
      <w:pPr>
        <w:pStyle w:val="22"/>
        <w:adjustRightInd w:val="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u w:val="single"/>
          <w:lang w:eastAsia="zh-CN"/>
          <w14:textFill>
            <w14:solidFill>
              <w14:schemeClr w14:val="tx1"/>
            </w14:solidFill>
          </w14:textFill>
        </w:rPr>
        <w:t>湖州市人民政府康山街道办事处</w:t>
      </w:r>
      <w:r>
        <w:rPr>
          <w:rFonts w:ascii="Calibri" w:hAnsi="Calibri" w:cs="Calibri"/>
          <w:color w:val="000000" w:themeColor="text1"/>
          <w:sz w:val="24"/>
          <w:szCs w:val="24"/>
          <w14:textFill>
            <w14:solidFill>
              <w14:schemeClr w14:val="tx1"/>
            </w14:solidFill>
          </w14:textFill>
        </w:rPr>
        <w:t>：</w:t>
      </w:r>
    </w:p>
    <w:p>
      <w:pPr>
        <w:rPr>
          <w:rFonts w:cs="Calibri"/>
          <w:color w:val="000000" w:themeColor="text1"/>
          <w:kern w:val="0"/>
          <w:sz w:val="24"/>
          <w14:textFill>
            <w14:solidFill>
              <w14:schemeClr w14:val="tx1"/>
            </w14:solidFill>
          </w14:textFill>
        </w:rPr>
      </w:pPr>
      <w:r>
        <w:rPr>
          <w:rFonts w:cs="Calibri"/>
          <w:color w:val="000000" w:themeColor="text1"/>
          <w:sz w:val="24"/>
          <w:u w:val="single"/>
          <w14:textFill>
            <w14:solidFill>
              <w14:schemeClr w14:val="tx1"/>
            </w14:solidFill>
          </w14:textFill>
        </w:rPr>
        <w:t>浙江省成套招标代理有限公司</w:t>
      </w:r>
      <w:r>
        <w:rPr>
          <w:rFonts w:cs="Calibri"/>
          <w:color w:val="000000" w:themeColor="text1"/>
          <w:sz w:val="24"/>
          <w14:textFill>
            <w14:solidFill>
              <w14:schemeClr w14:val="tx1"/>
            </w14:solidFill>
          </w14:textFill>
        </w:rPr>
        <w:t>：</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截至</w:t>
      </w:r>
      <w:r>
        <w:rPr>
          <w:rFonts w:hint="eastAsia" w:cs="Calibri"/>
          <w:color w:val="000000" w:themeColor="text1"/>
          <w:kern w:val="0"/>
          <w:sz w:val="24"/>
          <w:u w:val="single"/>
          <w14:textFill>
            <w14:solidFill>
              <w14:schemeClr w14:val="tx1"/>
            </w14:solidFill>
          </w14:textFill>
        </w:rPr>
        <w:t xml:space="preserve">      （采购人）      （项目名称）      （项目编号）</w:t>
      </w:r>
      <w:r>
        <w:rPr>
          <w:rFonts w:hint="eastAsia" w:cs="Calibri"/>
          <w:color w:val="000000" w:themeColor="text1"/>
          <w:kern w:val="0"/>
          <w:sz w:val="24"/>
          <w14:textFill>
            <w14:solidFill>
              <w14:schemeClr w14:val="tx1"/>
            </w14:solidFill>
          </w14:textFill>
        </w:rPr>
        <w:t>的投标截止时间，我方具有良好的商业信誉，员工社保缴纳及企业纳税行为正常。</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本公司对上述声明的真实性负责。如有虚假，愿意承担相应责任，对此无任何异议。</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特此声明！</w:t>
      </w:r>
    </w:p>
    <w:p>
      <w:pPr>
        <w:ind w:firstLine="480" w:firstLineChars="200"/>
        <w:rPr>
          <w:rFonts w:cs="Calibri"/>
          <w:color w:val="000000" w:themeColor="text1"/>
          <w:kern w:val="0"/>
          <w:sz w:val="24"/>
          <w14:textFill>
            <w14:solidFill>
              <w14:schemeClr w14:val="tx1"/>
            </w14:solidFill>
          </w14:textFill>
        </w:rPr>
      </w:pP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竞标人全称：（盖单位公章）</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日期： 年 月 日</w:t>
      </w:r>
    </w:p>
    <w:p>
      <w:pPr>
        <w:ind w:firstLine="560" w:firstLineChars="200"/>
        <w:rPr>
          <w:rFonts w:cs="Calibri"/>
          <w:color w:val="000000" w:themeColor="text1"/>
          <w:kern w:val="0"/>
          <w:sz w:val="28"/>
          <w:szCs w:val="28"/>
          <w14:textFill>
            <w14:solidFill>
              <w14:schemeClr w14:val="tx1"/>
            </w14:solidFill>
          </w14:textFill>
        </w:rPr>
      </w:pPr>
    </w:p>
    <w:p>
      <w:pPr>
        <w:jc w:val="center"/>
        <w:rPr>
          <w:rFonts w:ascii="微软雅黑" w:hAnsi="微软雅黑" w:eastAsia="微软雅黑" w:cs="微软雅黑"/>
          <w:b/>
          <w:color w:val="000000" w:themeColor="text1"/>
          <w:sz w:val="28"/>
          <w:szCs w:val="28"/>
          <w14:textFill>
            <w14:solidFill>
              <w14:schemeClr w14:val="tx1"/>
            </w14:solidFill>
          </w14:textFill>
        </w:rPr>
      </w:pPr>
    </w:p>
    <w:p>
      <w:pPr>
        <w:jc w:val="center"/>
        <w:rPr>
          <w:rFonts w:ascii="微软雅黑" w:hAnsi="微软雅黑" w:eastAsia="微软雅黑" w:cs="微软雅黑"/>
          <w:b/>
          <w:color w:val="000000" w:themeColor="text1"/>
          <w:sz w:val="24"/>
          <w14:textFill>
            <w14:solidFill>
              <w14:schemeClr w14:val="tx1"/>
            </w14:solidFill>
          </w14:textFill>
        </w:rPr>
      </w:pPr>
    </w:p>
    <w:p>
      <w:pPr>
        <w:jc w:val="center"/>
        <w:rPr>
          <w:rFonts w:ascii="微软雅黑" w:hAnsi="微软雅黑" w:eastAsia="微软雅黑" w:cs="微软雅黑"/>
          <w:b/>
          <w:color w:val="000000" w:themeColor="text1"/>
          <w:sz w:val="24"/>
          <w14:textFill>
            <w14:solidFill>
              <w14:schemeClr w14:val="tx1"/>
            </w14:solidFill>
          </w14:textFill>
        </w:rPr>
      </w:pPr>
    </w:p>
    <w:p>
      <w:pPr>
        <w:spacing w:line="930" w:lineRule="atLeast"/>
        <w:ind w:left="594" w:right="31"/>
        <w:jc w:val="center"/>
        <w:rPr>
          <w:rFonts w:ascii="宋体" w:hAnsi="宋体" w:cs="宋体"/>
          <w:b/>
          <w:color w:val="000000" w:themeColor="text1"/>
          <w:spacing w:val="12"/>
          <w:sz w:val="28"/>
          <w:szCs w:val="28"/>
          <w14:textFill>
            <w14:solidFill>
              <w14:schemeClr w14:val="tx1"/>
            </w14:solidFill>
          </w14:textFill>
        </w:rPr>
      </w:pPr>
      <w:r>
        <w:rPr>
          <w:rFonts w:hint="eastAsia" w:ascii="宋体" w:hAnsi="宋体" w:cs="宋体"/>
          <w:b/>
          <w:color w:val="000000" w:themeColor="text1"/>
          <w:spacing w:val="12"/>
          <w:sz w:val="28"/>
          <w:szCs w:val="28"/>
          <w14:textFill>
            <w14:solidFill>
              <w14:schemeClr w14:val="tx1"/>
            </w14:solidFill>
          </w14:textFill>
        </w:rPr>
        <w:t>具有履行合同所必需的设备和专业技术能力的声明函</w:t>
      </w:r>
    </w:p>
    <w:p>
      <w:pPr>
        <w:pStyle w:val="22"/>
        <w:adjustRightInd w:val="0"/>
        <w:rPr>
          <w:rFonts w:ascii="微软雅黑" w:hAnsi="微软雅黑" w:eastAsia="微软雅黑" w:cs="微软雅黑"/>
          <w:color w:val="000000" w:themeColor="text1"/>
          <w:u w:val="single"/>
          <w14:textFill>
            <w14:solidFill>
              <w14:schemeClr w14:val="tx1"/>
            </w14:solidFill>
          </w14:textFill>
        </w:rPr>
      </w:pPr>
    </w:p>
    <w:p>
      <w:pPr>
        <w:pStyle w:val="22"/>
        <w:adjustRightInd w:val="0"/>
        <w:rPr>
          <w:rFonts w:ascii="Calibri" w:hAnsi="Calibri" w:cs="Calibri"/>
          <w:color w:val="000000" w:themeColor="text1"/>
          <w:sz w:val="24"/>
          <w:szCs w:val="24"/>
          <w14:textFill>
            <w14:solidFill>
              <w14:schemeClr w14:val="tx1"/>
            </w14:solidFill>
          </w14:textFill>
        </w:rPr>
      </w:pPr>
      <w:r>
        <w:rPr>
          <w:rFonts w:hint="eastAsia" w:ascii="Calibri" w:hAnsi="Calibri" w:cs="Calibri"/>
          <w:color w:val="000000" w:themeColor="text1"/>
          <w:sz w:val="24"/>
          <w:szCs w:val="24"/>
          <w:u w:val="single"/>
          <w:lang w:eastAsia="zh-CN"/>
          <w14:textFill>
            <w14:solidFill>
              <w14:schemeClr w14:val="tx1"/>
            </w14:solidFill>
          </w14:textFill>
        </w:rPr>
        <w:t>湖州市人民政府康山街道办事处</w:t>
      </w:r>
      <w:r>
        <w:rPr>
          <w:rFonts w:ascii="Calibri" w:hAnsi="Calibri" w:cs="Calibri"/>
          <w:color w:val="000000" w:themeColor="text1"/>
          <w:sz w:val="24"/>
          <w:szCs w:val="24"/>
          <w14:textFill>
            <w14:solidFill>
              <w14:schemeClr w14:val="tx1"/>
            </w14:solidFill>
          </w14:textFill>
        </w:rPr>
        <w:t>：</w:t>
      </w:r>
    </w:p>
    <w:p>
      <w:pPr>
        <w:rPr>
          <w:rFonts w:cs="Calibri"/>
          <w:color w:val="000000" w:themeColor="text1"/>
          <w:kern w:val="0"/>
          <w:sz w:val="24"/>
          <w14:textFill>
            <w14:solidFill>
              <w14:schemeClr w14:val="tx1"/>
            </w14:solidFill>
          </w14:textFill>
        </w:rPr>
      </w:pPr>
      <w:r>
        <w:rPr>
          <w:rFonts w:cs="Calibri"/>
          <w:color w:val="000000" w:themeColor="text1"/>
          <w:sz w:val="24"/>
          <w:u w:val="single"/>
          <w14:textFill>
            <w14:solidFill>
              <w14:schemeClr w14:val="tx1"/>
            </w14:solidFill>
          </w14:textFill>
        </w:rPr>
        <w:t>浙江省成套招标代理有限公司</w:t>
      </w:r>
      <w:r>
        <w:rPr>
          <w:rFonts w:cs="Calibri"/>
          <w:color w:val="000000" w:themeColor="text1"/>
          <w:sz w:val="24"/>
          <w14:textFill>
            <w14:solidFill>
              <w14:schemeClr w14:val="tx1"/>
            </w14:solidFill>
          </w14:textFill>
        </w:rPr>
        <w:t>：</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我方郑重承诺，我方具有履行</w:t>
      </w:r>
      <w:r>
        <w:rPr>
          <w:rFonts w:hint="eastAsia" w:cs="Calibri"/>
          <w:color w:val="000000" w:themeColor="text1"/>
          <w:kern w:val="0"/>
          <w:sz w:val="24"/>
          <w:u w:val="single"/>
          <w14:textFill>
            <w14:solidFill>
              <w14:schemeClr w14:val="tx1"/>
            </w14:solidFill>
          </w14:textFill>
        </w:rPr>
        <w:t xml:space="preserve">       （项目名称）    （项目编号）</w:t>
      </w:r>
      <w:r>
        <w:rPr>
          <w:rFonts w:hint="eastAsia" w:cs="Calibri"/>
          <w:color w:val="000000" w:themeColor="text1"/>
          <w:kern w:val="0"/>
          <w:sz w:val="24"/>
          <w14:textFill>
            <w14:solidFill>
              <w14:schemeClr w14:val="tx1"/>
            </w14:solidFill>
          </w14:textFill>
        </w:rPr>
        <w:t>合同所必需的设备和专业技术能力。如中标，我方将保证合同顺利履行。</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本公司对上述声明的真实性负责。如有虚假，愿意承担相应责任，对此无任何异议。</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特此声明！</w:t>
      </w:r>
    </w:p>
    <w:p>
      <w:pPr>
        <w:ind w:firstLine="480" w:firstLineChars="200"/>
        <w:rPr>
          <w:rFonts w:cs="Calibri"/>
          <w:color w:val="000000" w:themeColor="text1"/>
          <w:kern w:val="0"/>
          <w:sz w:val="24"/>
          <w14:textFill>
            <w14:solidFill>
              <w14:schemeClr w14:val="tx1"/>
            </w14:solidFill>
          </w14:textFill>
        </w:rPr>
      </w:pPr>
    </w:p>
    <w:p>
      <w:pPr>
        <w:ind w:firstLine="480" w:firstLineChars="200"/>
        <w:rPr>
          <w:rFonts w:cs="Calibri"/>
          <w:color w:val="000000" w:themeColor="text1"/>
          <w:kern w:val="0"/>
          <w:sz w:val="24"/>
          <w14:textFill>
            <w14:solidFill>
              <w14:schemeClr w14:val="tx1"/>
            </w14:solidFill>
          </w14:textFill>
        </w:rPr>
      </w:pP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竞标人全称：（盖单位公章）</w:t>
      </w:r>
    </w:p>
    <w:p>
      <w:pPr>
        <w:ind w:firstLine="480" w:firstLineChars="200"/>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日期：  年 月 日</w:t>
      </w:r>
    </w:p>
    <w:p>
      <w:pPr>
        <w:ind w:firstLine="420" w:firstLineChars="200"/>
        <w:rPr>
          <w:rFonts w:cs="Calibri"/>
          <w:color w:val="000000" w:themeColor="text1"/>
          <w:kern w:val="0"/>
          <w:szCs w:val="21"/>
          <w14:textFill>
            <w14:solidFill>
              <w14:schemeClr w14:val="tx1"/>
            </w14:solidFill>
          </w14:textFill>
        </w:rPr>
      </w:pPr>
    </w:p>
    <w:p>
      <w:pPr>
        <w:spacing w:line="930" w:lineRule="atLeast"/>
        <w:ind w:left="594" w:right="31"/>
        <w:jc w:val="center"/>
        <w:rPr>
          <w:rFonts w:ascii="宋体" w:hAnsi="宋体" w:cs="宋体"/>
          <w:b/>
          <w:color w:val="000000" w:themeColor="text1"/>
          <w:spacing w:val="12"/>
          <w:sz w:val="28"/>
          <w:szCs w:val="28"/>
          <w14:textFill>
            <w14:solidFill>
              <w14:schemeClr w14:val="tx1"/>
            </w14:solidFill>
          </w14:textFill>
        </w:rPr>
      </w:pPr>
      <w:bookmarkStart w:id="75" w:name="_Toc437953149"/>
    </w:p>
    <w:p>
      <w:pPr>
        <w:spacing w:line="930" w:lineRule="atLeast"/>
        <w:ind w:left="594" w:right="31"/>
        <w:jc w:val="center"/>
        <w:rPr>
          <w:rFonts w:ascii="宋体" w:hAnsi="宋体" w:cs="宋体"/>
          <w:b/>
          <w:color w:val="000000" w:themeColor="text1"/>
          <w:spacing w:val="12"/>
          <w:sz w:val="28"/>
          <w:szCs w:val="28"/>
          <w14:textFill>
            <w14:solidFill>
              <w14:schemeClr w14:val="tx1"/>
            </w14:solidFill>
          </w14:textFill>
        </w:rPr>
      </w:pPr>
      <w:r>
        <w:rPr>
          <w:rFonts w:hint="eastAsia" w:ascii="宋体" w:hAnsi="宋体" w:cs="宋体"/>
          <w:b/>
          <w:color w:val="000000" w:themeColor="text1"/>
          <w:spacing w:val="12"/>
          <w:sz w:val="28"/>
          <w:szCs w:val="28"/>
          <w14:textFill>
            <w14:solidFill>
              <w14:schemeClr w14:val="tx1"/>
            </w14:solidFill>
          </w14:textFill>
        </w:rPr>
        <w:t>中小业声明函</w:t>
      </w:r>
    </w:p>
    <w:p>
      <w:pPr>
        <w:pStyle w:val="139"/>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本公司（联合体）郑重声明，根据《政府采购促进中小企业发展管理办法》（财库</w:t>
      </w:r>
      <w:r>
        <w:rPr>
          <w:rFonts w:hint="eastAsia"/>
          <w:color w:val="000000" w:themeColor="text1"/>
          <w:sz w:val="24"/>
          <w:szCs w:val="24"/>
          <w:lang w:val="en-US" w:eastAsia="zh-CN"/>
          <w14:textFill>
            <w14:solidFill>
              <w14:schemeClr w14:val="tx1"/>
            </w14:solidFill>
          </w14:textFill>
        </w:rPr>
        <w:t>财库[2020] 46号</w:t>
      </w:r>
      <w:r>
        <w:rPr>
          <w:rFonts w:hint="eastAsia"/>
          <w:color w:val="000000" w:themeColor="text1"/>
          <w:sz w:val="24"/>
          <w:szCs w:val="24"/>
          <w14:textFill>
            <w14:solidFill>
              <w14:schemeClr w14:val="tx1"/>
            </w14:solidFill>
          </w14:textFill>
        </w:rPr>
        <w:t>）的规定，本公司（联合体）参加</w:t>
      </w:r>
      <w:r>
        <w:rPr>
          <w:rFonts w:hint="eastAsia"/>
          <w:i/>
          <w:iCs/>
          <w:color w:val="000000" w:themeColor="text1"/>
          <w:sz w:val="24"/>
          <w:szCs w:val="24"/>
          <w:u w:val="single"/>
          <w14:textFill>
            <w14:solidFill>
              <w14:schemeClr w14:val="tx1"/>
            </w14:solidFill>
          </w14:textFill>
        </w:rPr>
        <w:t>（单位名称）</w:t>
      </w:r>
      <w:r>
        <w:rPr>
          <w:rFonts w:hint="eastAsia"/>
          <w:color w:val="000000" w:themeColor="text1"/>
          <w:sz w:val="24"/>
          <w:szCs w:val="24"/>
          <w14:textFill>
            <w14:solidFill>
              <w14:schemeClr w14:val="tx1"/>
            </w14:solidFill>
          </w14:textFill>
        </w:rPr>
        <w:t>的</w:t>
      </w:r>
      <w:r>
        <w:rPr>
          <w:rFonts w:hint="eastAsia"/>
          <w:i/>
          <w:iCs/>
          <w:color w:val="000000" w:themeColor="text1"/>
          <w:sz w:val="24"/>
          <w:szCs w:val="24"/>
          <w:u w:val="single"/>
          <w14:textFill>
            <w14:solidFill>
              <w14:schemeClr w14:val="tx1"/>
            </w14:solidFill>
          </w14:textFill>
        </w:rPr>
        <w:t>（项目名称）</w:t>
      </w:r>
      <w:r>
        <w:rPr>
          <w:rFonts w:hint="eastAsia"/>
          <w:color w:val="000000" w:themeColor="text1"/>
          <w:sz w:val="24"/>
          <w:szCs w:val="24"/>
          <w14:textFill>
            <w14:solidFill>
              <w14:schemeClr w14:val="tx1"/>
            </w14:solidFill>
          </w14:textFill>
        </w:rPr>
        <w:t>采购活动，服务全部由符合政策要求的中小企业承接（或者：工程的施工单位全部为符合政策要求的中小企业）。相关企业（含联合体中的中小企业、签订分包意向协议的中小企业）的具体情 况如下：</w:t>
      </w:r>
      <w:bookmarkStart w:id="76" w:name="bookmark35"/>
      <w:bookmarkEnd w:id="76"/>
    </w:p>
    <w:p>
      <w:pPr>
        <w:pStyle w:val="139"/>
        <w:numPr>
          <w:ilvl w:val="0"/>
          <w:numId w:val="3"/>
        </w:numPr>
        <w:spacing w:line="480" w:lineRule="auto"/>
        <w:ind w:firstLine="480" w:firstLineChars="200"/>
        <w:rPr>
          <w:color w:val="000000" w:themeColor="text1"/>
          <w:sz w:val="24"/>
          <w:szCs w:val="24"/>
          <w14:textFill>
            <w14:solidFill>
              <w14:schemeClr w14:val="tx1"/>
            </w14:solidFill>
          </w14:textFill>
        </w:rPr>
      </w:pPr>
      <w:r>
        <w:rPr>
          <w:rFonts w:hint="eastAsia"/>
          <w:i/>
          <w:iCs/>
          <w:color w:val="000000" w:themeColor="text1"/>
          <w:sz w:val="24"/>
          <w:szCs w:val="24"/>
          <w:u w:val="single"/>
          <w14:textFill>
            <w14:solidFill>
              <w14:schemeClr w14:val="tx1"/>
            </w14:solidFill>
          </w14:textFill>
        </w:rPr>
        <w:t>（标的名称）</w:t>
      </w:r>
      <w:r>
        <w:rPr>
          <w:rFonts w:hint="eastAsia"/>
          <w:color w:val="000000" w:themeColor="text1"/>
          <w:sz w:val="24"/>
          <w:szCs w:val="24"/>
          <w14:textFill>
            <w14:solidFill>
              <w14:schemeClr w14:val="tx1"/>
            </w14:solidFill>
          </w14:textFill>
        </w:rPr>
        <w:t>,属于</w:t>
      </w:r>
      <w:r>
        <w:rPr>
          <w:rFonts w:hint="eastAsia"/>
          <w:i/>
          <w:iCs/>
          <w:color w:val="000000" w:themeColor="text1"/>
          <w:sz w:val="24"/>
          <w:szCs w:val="24"/>
          <w:u w:val="single"/>
          <w14:textFill>
            <w14:solidFill>
              <w14:schemeClr w14:val="tx1"/>
            </w14:solidFill>
          </w14:textFill>
        </w:rPr>
        <w:t>（采购文件中明确的所属行业）</w:t>
      </w:r>
      <w:r>
        <w:rPr>
          <w:rFonts w:hint="eastAsia"/>
          <w:color w:val="000000" w:themeColor="text1"/>
          <w:sz w:val="24"/>
          <w:szCs w:val="24"/>
          <w14:textFill>
            <w14:solidFill>
              <w14:schemeClr w14:val="tx1"/>
            </w14:solidFill>
          </w14:textFill>
        </w:rPr>
        <w:t>, 承接（承建）企业为</w:t>
      </w:r>
      <w:r>
        <w:rPr>
          <w:rFonts w:hint="eastAsia"/>
          <w:i/>
          <w:iCs/>
          <w:color w:val="000000" w:themeColor="text1"/>
          <w:sz w:val="24"/>
          <w:szCs w:val="24"/>
          <w:u w:val="single"/>
          <w14:textFill>
            <w14:solidFill>
              <w14:schemeClr w14:val="tx1"/>
            </w14:solidFill>
          </w14:textFill>
        </w:rPr>
        <w:t>（企业名称）</w:t>
      </w:r>
      <w:r>
        <w:rPr>
          <w:rFonts w:hint="eastAsia"/>
          <w:color w:val="000000" w:themeColor="text1"/>
          <w:sz w:val="24"/>
          <w:szCs w:val="24"/>
          <w14:textFill>
            <w14:solidFill>
              <w14:schemeClr w14:val="tx1"/>
            </w14:solidFill>
          </w14:textFill>
        </w:rPr>
        <w:t>,从业人员</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人，营业收入为</w:t>
      </w:r>
      <w:r>
        <w:rPr>
          <w:rFonts w:hint="eastAsia"/>
          <w:color w:val="000000" w:themeColor="text1"/>
          <w:sz w:val="24"/>
          <w:szCs w:val="24"/>
          <w:u w:val="single"/>
          <w:lang w:val="en-US" w:eastAsia="zh-CN" w:bidi="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万元，资产总额为</w:t>
      </w:r>
      <w:r>
        <w:rPr>
          <w:rFonts w:hint="eastAsia"/>
          <w:color w:val="000000" w:themeColor="text1"/>
          <w:sz w:val="24"/>
          <w:szCs w:val="24"/>
          <w:u w:val="single"/>
          <w:lang w:val="en-US" w:eastAsia="zh-CN" w:bidi="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w:t>
      </w:r>
      <w:r>
        <w:rPr>
          <w:rFonts w:hint="eastAsia"/>
          <w:color w:val="000000" w:themeColor="text1"/>
          <w:sz w:val="24"/>
          <w:szCs w:val="24"/>
          <w:lang w:val="en-US" w:eastAsia="zh-CN" w:bidi="en-US"/>
          <w14:textFill>
            <w14:solidFill>
              <w14:schemeClr w14:val="tx1"/>
            </w14:solidFill>
          </w14:textFill>
        </w:rPr>
        <w:t>，</w:t>
      </w:r>
      <w:r>
        <w:rPr>
          <w:rFonts w:hint="eastAsia"/>
          <w:color w:val="000000" w:themeColor="text1"/>
          <w:sz w:val="24"/>
          <w:szCs w:val="24"/>
          <w14:textFill>
            <w14:solidFill>
              <w14:schemeClr w14:val="tx1"/>
            </w14:solidFill>
          </w14:textFill>
        </w:rPr>
        <w:t>属于</w:t>
      </w:r>
      <w:r>
        <w:rPr>
          <w:rFonts w:hint="eastAsia"/>
          <w:i/>
          <w:iCs/>
          <w:color w:val="000000" w:themeColor="text1"/>
          <w:sz w:val="24"/>
          <w:szCs w:val="24"/>
          <w:u w:val="single"/>
          <w14:textFill>
            <w14:solidFill>
              <w14:schemeClr w14:val="tx1"/>
            </w14:solidFill>
          </w14:textFill>
        </w:rPr>
        <w:t>（中型企业、小型企业、微型企业）</w:t>
      </w:r>
      <w:r>
        <w:rPr>
          <w:rFonts w:hint="eastAsia"/>
          <w:color w:val="000000" w:themeColor="text1"/>
          <w:sz w:val="24"/>
          <w:szCs w:val="24"/>
          <w14:textFill>
            <w14:solidFill>
              <w14:schemeClr w14:val="tx1"/>
            </w14:solidFill>
          </w14:textFill>
        </w:rPr>
        <w:t>,</w:t>
      </w:r>
      <w:bookmarkStart w:id="77" w:name="bookmark36"/>
      <w:bookmarkEnd w:id="77"/>
    </w:p>
    <w:p>
      <w:pPr>
        <w:pStyle w:val="139"/>
        <w:numPr>
          <w:ilvl w:val="0"/>
          <w:numId w:val="3"/>
        </w:numPr>
        <w:spacing w:line="480" w:lineRule="auto"/>
        <w:ind w:firstLine="480" w:firstLineChars="200"/>
        <w:rPr>
          <w:color w:val="000000" w:themeColor="text1"/>
          <w:sz w:val="24"/>
          <w:szCs w:val="24"/>
          <w14:textFill>
            <w14:solidFill>
              <w14:schemeClr w14:val="tx1"/>
            </w14:solidFill>
          </w14:textFill>
        </w:rPr>
      </w:pPr>
      <w:r>
        <w:rPr>
          <w:rFonts w:hint="eastAsia"/>
          <w:i/>
          <w:iCs/>
          <w:color w:val="000000" w:themeColor="text1"/>
          <w:sz w:val="24"/>
          <w:szCs w:val="24"/>
          <w:u w:val="single"/>
          <w14:textFill>
            <w14:solidFill>
              <w14:schemeClr w14:val="tx1"/>
            </w14:solidFill>
          </w14:textFill>
        </w:rPr>
        <w:t>（标的名称）</w:t>
      </w:r>
      <w:r>
        <w:rPr>
          <w:rFonts w:hint="eastAsia"/>
          <w:color w:val="000000" w:themeColor="text1"/>
          <w:sz w:val="24"/>
          <w:szCs w:val="24"/>
          <w14:textFill>
            <w14:solidFill>
              <w14:schemeClr w14:val="tx1"/>
            </w14:solidFill>
          </w14:textFill>
        </w:rPr>
        <w:t>,属于</w:t>
      </w:r>
      <w:r>
        <w:rPr>
          <w:rFonts w:hint="eastAsia"/>
          <w:i/>
          <w:iCs/>
          <w:color w:val="000000" w:themeColor="text1"/>
          <w:sz w:val="24"/>
          <w:szCs w:val="24"/>
          <w:u w:val="single"/>
          <w14:textFill>
            <w14:solidFill>
              <w14:schemeClr w14:val="tx1"/>
            </w14:solidFill>
          </w14:textFill>
        </w:rPr>
        <w:t>（采购文件中明确的所属行业）</w:t>
      </w:r>
      <w:r>
        <w:rPr>
          <w:rFonts w:hint="eastAsia"/>
          <w:color w:val="000000" w:themeColor="text1"/>
          <w:sz w:val="24"/>
          <w:szCs w:val="24"/>
          <w14:textFill>
            <w14:solidFill>
              <w14:schemeClr w14:val="tx1"/>
            </w14:solidFill>
          </w14:textFill>
        </w:rPr>
        <w:t>, 承接（承建）企业为</w:t>
      </w:r>
      <w:r>
        <w:rPr>
          <w:rFonts w:hint="eastAsia"/>
          <w:i/>
          <w:iCs/>
          <w:color w:val="000000" w:themeColor="text1"/>
          <w:sz w:val="24"/>
          <w:szCs w:val="24"/>
          <w:u w:val="single"/>
          <w14:textFill>
            <w14:solidFill>
              <w14:schemeClr w14:val="tx1"/>
            </w14:solidFill>
          </w14:textFill>
        </w:rPr>
        <w:t>（企业名称）</w:t>
      </w:r>
      <w:r>
        <w:rPr>
          <w:rFonts w:hint="eastAsia"/>
          <w:color w:val="000000" w:themeColor="text1"/>
          <w:sz w:val="24"/>
          <w:szCs w:val="24"/>
          <w14:textFill>
            <w14:solidFill>
              <w14:schemeClr w14:val="tx1"/>
            </w14:solidFill>
          </w14:textFill>
        </w:rPr>
        <w:t>,从业人员</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ab/>
      </w:r>
      <w:r>
        <w:rPr>
          <w:rFonts w:hint="eastAsia"/>
          <w:color w:val="000000" w:themeColor="text1"/>
          <w:sz w:val="24"/>
          <w:szCs w:val="24"/>
          <w14:textFill>
            <w14:solidFill>
              <w14:schemeClr w14:val="tx1"/>
            </w14:solidFill>
          </w14:textFill>
        </w:rPr>
        <w:t>人，营业 收入为</w:t>
      </w:r>
      <w:r>
        <w:rPr>
          <w:rFonts w:hint="eastAsia"/>
          <w:color w:val="000000" w:themeColor="text1"/>
          <w:sz w:val="24"/>
          <w:szCs w:val="24"/>
          <w:u w:val="single"/>
          <w:lang w:val="en-US" w:eastAsia="zh-CN" w:bidi="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万元，资产总额为</w:t>
      </w:r>
      <w:r>
        <w:rPr>
          <w:rFonts w:hint="eastAsia"/>
          <w:color w:val="000000" w:themeColor="text1"/>
          <w:sz w:val="24"/>
          <w:szCs w:val="24"/>
          <w:u w:val="single"/>
          <w:lang w:val="en-US" w:eastAsia="zh-CN" w:bidi="zh-CN"/>
          <w14:textFill>
            <w14:solidFill>
              <w14:schemeClr w14:val="tx1"/>
            </w14:solidFill>
          </w14:textFill>
        </w:rPr>
        <w:t xml:space="preserve">    </w:t>
      </w:r>
      <w:r>
        <w:rPr>
          <w:rFonts w:hint="eastAsia"/>
          <w:color w:val="000000" w:themeColor="text1"/>
          <w:sz w:val="24"/>
          <w:szCs w:val="24"/>
          <w14:textFill>
            <w14:solidFill>
              <w14:schemeClr w14:val="tx1"/>
            </w14:solidFill>
          </w14:textFill>
        </w:rPr>
        <w:t>万元，属于</w:t>
      </w:r>
      <w:r>
        <w:rPr>
          <w:rFonts w:hint="eastAsia"/>
          <w:i/>
          <w:iCs/>
          <w:color w:val="000000" w:themeColor="text1"/>
          <w:sz w:val="24"/>
          <w:szCs w:val="24"/>
          <w:u w:val="single"/>
          <w14:textFill>
            <w14:solidFill>
              <w14:schemeClr w14:val="tx1"/>
            </w14:solidFill>
          </w14:textFill>
        </w:rPr>
        <w:t>（中型企业、小型企业、微型企</w:t>
      </w:r>
      <w:r>
        <w:rPr>
          <w:rFonts w:hint="eastAsia"/>
          <w:i/>
          <w:iCs/>
          <w:color w:val="000000" w:themeColor="text1"/>
          <w:sz w:val="24"/>
          <w:szCs w:val="24"/>
          <w:u w:val="single"/>
          <w:lang w:val="zh-CN" w:eastAsia="zh-CN" w:bidi="zh-CN"/>
          <w14:textFill>
            <w14:solidFill>
              <w14:schemeClr w14:val="tx1"/>
            </w14:solidFill>
          </w14:textFill>
        </w:rPr>
        <w:t>业）</w:t>
      </w:r>
      <w:r>
        <w:rPr>
          <w:rFonts w:hint="eastAsia"/>
          <w:color w:val="000000" w:themeColor="text1"/>
          <w:sz w:val="24"/>
          <w:szCs w:val="24"/>
          <w:lang w:val="zh-CN" w:eastAsia="zh-CN" w:bidi="zh-CN"/>
          <w14:textFill>
            <w14:solidFill>
              <w14:schemeClr w14:val="tx1"/>
            </w14:solidFill>
          </w14:textFill>
        </w:rPr>
        <w:t>,</w:t>
      </w:r>
    </w:p>
    <w:p>
      <w:pPr>
        <w:pStyle w:val="139"/>
        <w:spacing w:line="480" w:lineRule="auto"/>
        <w:ind w:firstLine="660"/>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p>
      <w:pPr>
        <w:pStyle w:val="139"/>
        <w:spacing w:line="480" w:lineRule="auto"/>
        <w:ind w:firstLine="6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pStyle w:val="139"/>
        <w:spacing w:line="480" w:lineRule="auto"/>
        <w:ind w:firstLine="66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本企业对上述声明内容的真实性负责。如有虚假，将依法承担相应责任。</w:t>
      </w:r>
    </w:p>
    <w:p>
      <w:pPr>
        <w:pStyle w:val="139"/>
        <w:spacing w:line="48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企业名称（盖章）：</w:t>
      </w:r>
    </w:p>
    <w:p>
      <w:pPr>
        <w:pStyle w:val="139"/>
        <w:spacing w:line="480" w:lineRule="auto"/>
        <w:ind w:firstLine="0"/>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日期：</w:t>
      </w:r>
    </w:p>
    <w:p>
      <w:pPr>
        <w:spacing w:before="12" w:line="271" w:lineRule="auto"/>
        <w:ind w:left="114" w:right="31" w:firstLine="48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注：从业人员、营业收入、资产总额填报上一年度数据，无上一年度数据的新成立企业可不填报。</w:t>
      </w:r>
    </w:p>
    <w:p>
      <w:pPr>
        <w:spacing w:line="327" w:lineRule="exact"/>
        <w:ind w:left="594" w:right="-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填写说明：</w:t>
      </w:r>
    </w:p>
    <w:p>
      <w:pPr>
        <w:spacing w:before="55"/>
        <w:ind w:right="-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1）所投标项内的产品如由多个企业制造的</w:t>
      </w:r>
      <w:r>
        <w:rPr>
          <w:rFonts w:hint="eastAsia" w:ascii="宋体" w:hAnsi="宋体" w:cs="宋体"/>
          <w:color w:val="000000" w:themeColor="text1"/>
          <w:spacing w:val="-14"/>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在填写企业类型时</w:t>
      </w:r>
      <w:r>
        <w:rPr>
          <w:rFonts w:hint="eastAsia" w:ascii="宋体" w:hAnsi="宋体" w:cs="宋体"/>
          <w:color w:val="000000" w:themeColor="text1"/>
          <w:spacing w:val="-1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按产品生产企业 中规模最大的企业类型填写；</w:t>
      </w:r>
    </w:p>
    <w:p>
      <w:pPr>
        <w:spacing w:before="10" w:line="271" w:lineRule="auto"/>
        <w:ind w:right="31"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2）投标产品制造商投标，提供供应商出具的《中小企业声明函》及其相关的充分 的证明材料；代理商投标，提供供应商及主要产品制造商出具的《中小企业声明函》及其相关的充分的证明材料；</w:t>
      </w:r>
    </w:p>
    <w:p>
      <w:pPr>
        <w:spacing w:before="10" w:line="271" w:lineRule="auto"/>
        <w:ind w:left="114" w:right="31" w:firstLine="480"/>
        <w:rPr>
          <w:rFonts w:ascii="微软雅黑" w:hAnsi="微软雅黑" w:eastAsia="微软雅黑" w:cs="微软雅黑"/>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▲供应商提供的中小企业声明函与实际情况不符的，视为供应商提供虚假材料投标的，投标无效。本项目对应行业：其他未列明行业。</w:t>
      </w:r>
    </w:p>
    <w:p>
      <w:pPr>
        <w:spacing w:line="200" w:lineRule="exact"/>
        <w:rPr>
          <w:rFonts w:ascii="微软雅黑" w:hAnsi="微软雅黑" w:eastAsia="微软雅黑" w:cs="微软雅黑"/>
          <w:color w:val="000000" w:themeColor="text1"/>
          <w:sz w:val="24"/>
          <w14:textFill>
            <w14:solidFill>
              <w14:schemeClr w14:val="tx1"/>
            </w14:solidFill>
          </w14:textFill>
        </w:rPr>
      </w:pPr>
    </w:p>
    <w:p>
      <w:pPr>
        <w:ind w:left="3714" w:right="3691"/>
        <w:jc w:val="center"/>
        <w:rPr>
          <w:rFonts w:ascii="微软雅黑" w:hAnsi="微软雅黑" w:eastAsia="微软雅黑" w:cs="微软雅黑"/>
          <w:color w:val="000000" w:themeColor="text1"/>
          <w:sz w:val="24"/>
          <w14:textFill>
            <w14:solidFill>
              <w14:schemeClr w14:val="tx1"/>
            </w14:solidFill>
          </w14:textFill>
        </w:rPr>
      </w:pPr>
    </w:p>
    <w:p>
      <w:pPr>
        <w:ind w:left="3714" w:right="3691"/>
        <w:jc w:val="center"/>
        <w:rPr>
          <w:rFonts w:ascii="微软雅黑" w:hAnsi="微软雅黑" w:eastAsia="微软雅黑" w:cs="微软雅黑"/>
          <w:color w:val="000000" w:themeColor="text1"/>
          <w:sz w:val="24"/>
          <w14:textFill>
            <w14:solidFill>
              <w14:schemeClr w14:val="tx1"/>
            </w14:solidFill>
          </w14:textFill>
        </w:rPr>
      </w:pPr>
    </w:p>
    <w:p>
      <w:pPr>
        <w:ind w:left="3714" w:right="3691"/>
        <w:jc w:val="center"/>
        <w:rPr>
          <w:rFonts w:ascii="微软雅黑" w:hAnsi="微软雅黑" w:eastAsia="微软雅黑" w:cs="微软雅黑"/>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ind w:left="3714" w:right="3691"/>
        <w:jc w:val="center"/>
        <w:rPr>
          <w:rFonts w:ascii="微软雅黑" w:hAnsi="微软雅黑" w:eastAsia="微软雅黑" w:cs="微软雅黑"/>
          <w:b/>
          <w:color w:val="000000" w:themeColor="text1"/>
          <w:sz w:val="24"/>
          <w14:textFill>
            <w14:solidFill>
              <w14:schemeClr w14:val="tx1"/>
            </w14:solidFill>
          </w14:textFill>
        </w:rPr>
      </w:pPr>
    </w:p>
    <w:p>
      <w:pPr>
        <w:spacing w:line="930" w:lineRule="atLeast"/>
        <w:ind w:left="594" w:right="31"/>
        <w:jc w:val="center"/>
        <w:rPr>
          <w:rFonts w:ascii="宋体" w:hAnsi="宋体" w:cs="宋体"/>
          <w:b/>
          <w:color w:val="000000" w:themeColor="text1"/>
          <w:spacing w:val="12"/>
          <w:sz w:val="28"/>
          <w:szCs w:val="28"/>
          <w14:textFill>
            <w14:solidFill>
              <w14:schemeClr w14:val="tx1"/>
            </w14:solidFill>
          </w14:textFill>
        </w:rPr>
      </w:pPr>
      <w:r>
        <w:rPr>
          <w:rFonts w:hint="eastAsia" w:ascii="宋体" w:hAnsi="宋体" w:cs="宋体"/>
          <w:b/>
          <w:color w:val="000000" w:themeColor="text1"/>
          <w:spacing w:val="12"/>
          <w:sz w:val="28"/>
          <w:szCs w:val="28"/>
          <w14:textFill>
            <w14:solidFill>
              <w14:schemeClr w14:val="tx1"/>
            </w14:solidFill>
          </w14:textFill>
        </w:rPr>
        <w:t>监狱企业声函</w:t>
      </w:r>
    </w:p>
    <w:p>
      <w:pPr>
        <w:spacing w:before="55" w:line="270" w:lineRule="auto"/>
        <w:ind w:left="563" w:right="62" w:hanging="2"/>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【不属于监狱企业的无需填写、递交】 </w:t>
      </w:r>
    </w:p>
    <w:p>
      <w:pPr>
        <w:spacing w:before="55" w:line="270" w:lineRule="auto"/>
        <w:ind w:left="563" w:right="62" w:hanging="2"/>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本公司郑重声明</w:t>
      </w:r>
      <w:r>
        <w:rPr>
          <w:rFonts w:hint="eastAsia" w:ascii="宋体" w:hAnsi="宋体" w:cs="宋体"/>
          <w:color w:val="000000" w:themeColor="text1"/>
          <w:spacing w:val="-1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w:t>
      </w:r>
      <w:r>
        <w:rPr>
          <w:rFonts w:hint="eastAsia" w:ascii="宋体" w:hAnsi="宋体" w:cs="宋体"/>
          <w:color w:val="000000" w:themeColor="text1"/>
          <w:spacing w:val="-12"/>
          <w:sz w:val="24"/>
          <w14:textFill>
            <w14:solidFill>
              <w14:schemeClr w14:val="tx1"/>
            </w14:solidFill>
          </w14:textFill>
        </w:rPr>
        <w:t>据</w:t>
      </w:r>
      <w:r>
        <w:rPr>
          <w:rFonts w:hint="eastAsia" w:ascii="宋体" w:hAnsi="宋体" w:cs="宋体"/>
          <w:color w:val="000000" w:themeColor="text1"/>
          <w:sz w:val="24"/>
          <w14:textFill>
            <w14:solidFill>
              <w14:schemeClr w14:val="tx1"/>
            </w14:solidFill>
          </w14:textFill>
        </w:rPr>
        <w:t>《关于政府采购支持监狱企业发展有关问题的通知》</w:t>
      </w:r>
      <w:r>
        <w:rPr>
          <w:rFonts w:hint="eastAsia" w:ascii="宋体" w:hAnsi="宋体" w:cs="宋体"/>
          <w:color w:val="000000" w:themeColor="text1"/>
          <w:spacing w:val="4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（财</w:t>
      </w:r>
    </w:p>
    <w:p>
      <w:pPr>
        <w:tabs>
          <w:tab w:val="left" w:pos="2740"/>
          <w:tab w:val="left" w:pos="4180"/>
          <w:tab w:val="left" w:pos="6680"/>
        </w:tabs>
        <w:spacing w:before="14" w:line="271" w:lineRule="auto"/>
        <w:ind w:left="594" w:right="31" w:hanging="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库</w:t>
      </w:r>
      <w:r>
        <w:rPr>
          <w:rFonts w:hint="eastAsia" w:ascii="宋体" w:hAnsi="宋体" w:cs="宋体"/>
          <w:color w:val="000000" w:themeColor="text1"/>
          <w:w w:val="155"/>
          <w:sz w:val="24"/>
          <w14:textFill>
            <w14:solidFill>
              <w14:schemeClr w14:val="tx1"/>
            </w14:solidFill>
          </w14:textFill>
        </w:rPr>
        <w:t>[</w:t>
      </w:r>
      <w:r>
        <w:rPr>
          <w:rFonts w:hint="eastAsia" w:ascii="宋体" w:hAnsi="宋体" w:cs="宋体"/>
          <w:color w:val="000000" w:themeColor="text1"/>
          <w:w w:val="86"/>
          <w:sz w:val="24"/>
          <w14:textFill>
            <w14:solidFill>
              <w14:schemeClr w14:val="tx1"/>
            </w14:solidFill>
          </w14:textFill>
        </w:rPr>
        <w:t>2014</w:t>
      </w:r>
      <w:r>
        <w:rPr>
          <w:rFonts w:hint="eastAsia" w:ascii="宋体" w:hAnsi="宋体" w:cs="宋体"/>
          <w:color w:val="000000" w:themeColor="text1"/>
          <w:w w:val="155"/>
          <w:sz w:val="24"/>
          <w14:textFill>
            <w14:solidFill>
              <w14:schemeClr w14:val="tx1"/>
            </w14:solidFill>
          </w14:textFill>
        </w:rPr>
        <w:t>]</w:t>
      </w:r>
      <w:r>
        <w:rPr>
          <w:rFonts w:hint="eastAsia" w:ascii="宋体" w:hAnsi="宋体" w:cs="宋体"/>
          <w:color w:val="000000" w:themeColor="text1"/>
          <w:w w:val="86"/>
          <w:sz w:val="24"/>
          <w14:textFill>
            <w14:solidFill>
              <w14:schemeClr w14:val="tx1"/>
            </w14:solidFill>
          </w14:textFill>
        </w:rPr>
        <w:t>68</w:t>
      </w:r>
      <w:r>
        <w:rPr>
          <w:rFonts w:hint="eastAsia" w:ascii="宋体" w:hAnsi="宋体" w:cs="宋体"/>
          <w:color w:val="000000" w:themeColor="text1"/>
          <w:sz w:val="24"/>
          <w14:textFill>
            <w14:solidFill>
              <w14:schemeClr w14:val="tx1"/>
            </w14:solidFill>
          </w14:textFill>
        </w:rPr>
        <w:t>号）的规定，本公司为</w:t>
      </w:r>
      <w:r>
        <w:rPr>
          <w:rFonts w:hint="eastAsia" w:ascii="宋体" w:hAnsi="宋体" w:cs="宋体"/>
          <w:color w:val="000000" w:themeColor="text1"/>
          <w:sz w:val="24"/>
          <w:u w:val="single" w:color="000000"/>
          <w14:textFill>
            <w14:solidFill>
              <w14:schemeClr w14:val="tx1"/>
            </w14:solidFill>
          </w14:textFill>
        </w:rPr>
        <w:t>监狱企业</w:t>
      </w:r>
      <w:r>
        <w:rPr>
          <w:rFonts w:hint="eastAsia" w:ascii="宋体" w:hAnsi="宋体" w:cs="宋体"/>
          <w:color w:val="000000" w:themeColor="text1"/>
          <w:sz w:val="24"/>
          <w14:textFill>
            <w14:solidFill>
              <w14:schemeClr w14:val="tx1"/>
            </w14:solidFill>
          </w14:textFill>
        </w:rPr>
        <w:t>。 根据上述标准，我公司属于监狱企业</w:t>
      </w:r>
    </w:p>
    <w:p>
      <w:pPr>
        <w:tabs>
          <w:tab w:val="left" w:pos="2740"/>
          <w:tab w:val="left" w:pos="4180"/>
          <w:tab w:val="left" w:pos="6680"/>
        </w:tabs>
        <w:spacing w:before="14" w:line="271" w:lineRule="auto"/>
        <w:ind w:left="594" w:right="31" w:hanging="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的理由为</w:t>
      </w:r>
      <w:r>
        <w:rPr>
          <w:rFonts w:hint="eastAsia"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w w:val="33"/>
          <w:sz w:val="24"/>
          <w:u w:val="single" w:color="000000"/>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本公司为参</w:t>
      </w:r>
      <w:r>
        <w:rPr>
          <w:rFonts w:hint="eastAsia" w:ascii="宋体" w:hAnsi="宋体" w:cs="宋体"/>
          <w:color w:val="000000" w:themeColor="text1"/>
          <w:spacing w:val="-7"/>
          <w:sz w:val="24"/>
          <w14:textFill>
            <w14:solidFill>
              <w14:schemeClr w14:val="tx1"/>
            </w14:solidFill>
          </w14:textFill>
        </w:rPr>
        <w:t>加</w:t>
      </w:r>
      <w:r>
        <w:rPr>
          <w:rFonts w:hint="eastAsia" w:ascii="宋体" w:hAnsi="宋体" w:cs="宋体"/>
          <w:color w:val="000000" w:themeColor="text1"/>
          <w:spacing w:val="-2"/>
          <w:sz w:val="24"/>
          <w14:textFill>
            <w14:solidFill>
              <w14:schemeClr w14:val="tx1"/>
            </w14:solidFill>
          </w14:textFill>
        </w:rPr>
        <w:t>（</w:t>
      </w:r>
      <w:r>
        <w:rPr>
          <w:rFonts w:hint="eastAsia" w:ascii="宋体" w:hAnsi="宋体" w:cs="宋体"/>
          <w:color w:val="000000" w:themeColor="text1"/>
          <w:w w:val="67"/>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sz w:val="24"/>
          <w:u w:val="single" w:color="000000"/>
          <w14:textFill>
            <w14:solidFill>
              <w14:schemeClr w14:val="tx1"/>
            </w14:solidFill>
          </w14:textFill>
        </w:rPr>
        <w:t>项目名称</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46"/>
          <w:sz w:val="24"/>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项目</w:t>
      </w:r>
    </w:p>
    <w:p>
      <w:pPr>
        <w:tabs>
          <w:tab w:val="left" w:pos="2740"/>
          <w:tab w:val="left" w:pos="4180"/>
          <w:tab w:val="left" w:pos="6680"/>
        </w:tabs>
        <w:spacing w:before="14" w:line="271" w:lineRule="auto"/>
        <w:ind w:left="594" w:right="31" w:hanging="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spacing w:val="-7"/>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采购活动提供本企业提供服务。 本公司对上述声明的真实</w:t>
      </w:r>
    </w:p>
    <w:p>
      <w:pPr>
        <w:tabs>
          <w:tab w:val="left" w:pos="2740"/>
          <w:tab w:val="left" w:pos="4180"/>
          <w:tab w:val="left" w:pos="6680"/>
        </w:tabs>
        <w:spacing w:before="14" w:line="271" w:lineRule="auto"/>
        <w:ind w:left="594" w:right="31" w:hanging="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性负责。如有虚假，将依法承担相应责任。</w:t>
      </w:r>
    </w:p>
    <w:p>
      <w:pPr>
        <w:spacing w:line="200" w:lineRule="exact"/>
        <w:rPr>
          <w:rFonts w:ascii="宋体" w:hAnsi="宋体" w:cs="宋体"/>
          <w:color w:val="000000" w:themeColor="text1"/>
          <w:sz w:val="20"/>
          <w:szCs w:val="20"/>
          <w14:textFill>
            <w14:solidFill>
              <w14:schemeClr w14:val="tx1"/>
            </w14:solidFill>
          </w14:textFill>
        </w:rPr>
      </w:pPr>
    </w:p>
    <w:p>
      <w:pPr>
        <w:spacing w:before="18" w:line="260" w:lineRule="exact"/>
        <w:rPr>
          <w:rFonts w:ascii="宋体" w:hAnsi="宋体" w:cs="宋体"/>
          <w:color w:val="000000" w:themeColor="text1"/>
          <w:sz w:val="26"/>
          <w:szCs w:val="26"/>
          <w14:textFill>
            <w14:solidFill>
              <w14:schemeClr w14:val="tx1"/>
            </w14:solidFill>
          </w14:textFill>
        </w:rPr>
      </w:pPr>
    </w:p>
    <w:p>
      <w:pPr>
        <w:tabs>
          <w:tab w:val="left" w:pos="1780"/>
          <w:tab w:val="left" w:pos="2260"/>
          <w:tab w:val="left" w:pos="2740"/>
        </w:tabs>
        <w:spacing w:line="272" w:lineRule="auto"/>
        <w:ind w:left="594" w:right="61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竞标人名称（盖章）： </w:t>
      </w:r>
    </w:p>
    <w:p>
      <w:pPr>
        <w:tabs>
          <w:tab w:val="left" w:pos="1780"/>
          <w:tab w:val="left" w:pos="2260"/>
          <w:tab w:val="left" w:pos="2740"/>
        </w:tabs>
        <w:spacing w:line="272" w:lineRule="auto"/>
        <w:ind w:left="594" w:right="61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 日</w:t>
      </w:r>
    </w:p>
    <w:p>
      <w:pPr>
        <w:spacing w:line="930" w:lineRule="atLeast"/>
        <w:ind w:left="594" w:right="31"/>
        <w:jc w:val="center"/>
        <w:rPr>
          <w:rFonts w:ascii="微软雅黑" w:hAnsi="微软雅黑" w:eastAsia="微软雅黑" w:cs="微软雅黑"/>
          <w:b/>
          <w:color w:val="000000" w:themeColor="text1"/>
          <w:spacing w:val="12"/>
          <w:sz w:val="24"/>
          <w14:textFill>
            <w14:solidFill>
              <w14:schemeClr w14:val="tx1"/>
            </w14:solidFill>
          </w14:textFill>
        </w:rPr>
      </w:pPr>
    </w:p>
    <w:p>
      <w:pPr>
        <w:spacing w:line="930" w:lineRule="atLeast"/>
        <w:ind w:left="594" w:right="31"/>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pacing w:val="12"/>
          <w:sz w:val="28"/>
          <w:szCs w:val="28"/>
          <w14:textFill>
            <w14:solidFill>
              <w14:schemeClr w14:val="tx1"/>
            </w14:solidFill>
          </w14:textFill>
        </w:rPr>
        <w:t>残</w:t>
      </w:r>
      <w:r>
        <w:rPr>
          <w:rFonts w:hint="eastAsia" w:ascii="宋体" w:hAnsi="宋体" w:cs="宋体"/>
          <w:b/>
          <w:color w:val="000000" w:themeColor="text1"/>
          <w:spacing w:val="14"/>
          <w:sz w:val="28"/>
          <w:szCs w:val="28"/>
          <w14:textFill>
            <w14:solidFill>
              <w14:schemeClr w14:val="tx1"/>
            </w14:solidFill>
          </w14:textFill>
        </w:rPr>
        <w:t>疾</w:t>
      </w:r>
      <w:r>
        <w:rPr>
          <w:rFonts w:hint="eastAsia" w:ascii="宋体" w:hAnsi="宋体" w:cs="宋体"/>
          <w:b/>
          <w:color w:val="000000" w:themeColor="text1"/>
          <w:spacing w:val="12"/>
          <w:sz w:val="28"/>
          <w:szCs w:val="28"/>
          <w14:textFill>
            <w14:solidFill>
              <w14:schemeClr w14:val="tx1"/>
            </w14:solidFill>
          </w14:textFill>
        </w:rPr>
        <w:t>人</w:t>
      </w:r>
      <w:r>
        <w:rPr>
          <w:rFonts w:hint="eastAsia" w:ascii="宋体" w:hAnsi="宋体" w:cs="宋体"/>
          <w:b/>
          <w:color w:val="000000" w:themeColor="text1"/>
          <w:spacing w:val="14"/>
          <w:sz w:val="28"/>
          <w:szCs w:val="28"/>
          <w14:textFill>
            <w14:solidFill>
              <w14:schemeClr w14:val="tx1"/>
            </w14:solidFill>
          </w14:textFill>
        </w:rPr>
        <w:t>福</w:t>
      </w:r>
      <w:r>
        <w:rPr>
          <w:rFonts w:hint="eastAsia" w:ascii="宋体" w:hAnsi="宋体" w:cs="宋体"/>
          <w:b/>
          <w:color w:val="000000" w:themeColor="text1"/>
          <w:spacing w:val="12"/>
          <w:sz w:val="28"/>
          <w:szCs w:val="28"/>
          <w14:textFill>
            <w14:solidFill>
              <w14:schemeClr w14:val="tx1"/>
            </w14:solidFill>
          </w14:textFill>
        </w:rPr>
        <w:t>利性</w:t>
      </w:r>
      <w:r>
        <w:rPr>
          <w:rFonts w:hint="eastAsia" w:ascii="宋体" w:hAnsi="宋体" w:cs="宋体"/>
          <w:b/>
          <w:color w:val="000000" w:themeColor="text1"/>
          <w:spacing w:val="14"/>
          <w:sz w:val="28"/>
          <w:szCs w:val="28"/>
          <w14:textFill>
            <w14:solidFill>
              <w14:schemeClr w14:val="tx1"/>
            </w14:solidFill>
          </w14:textFill>
        </w:rPr>
        <w:t>单</w:t>
      </w:r>
      <w:r>
        <w:rPr>
          <w:rFonts w:hint="eastAsia" w:ascii="宋体" w:hAnsi="宋体" w:cs="宋体"/>
          <w:b/>
          <w:color w:val="000000" w:themeColor="text1"/>
          <w:spacing w:val="12"/>
          <w:sz w:val="28"/>
          <w:szCs w:val="28"/>
          <w14:textFill>
            <w14:solidFill>
              <w14:schemeClr w14:val="tx1"/>
            </w14:solidFill>
          </w14:textFill>
        </w:rPr>
        <w:t>位</w:t>
      </w:r>
      <w:r>
        <w:rPr>
          <w:rFonts w:hint="eastAsia" w:ascii="宋体" w:hAnsi="宋体" w:cs="宋体"/>
          <w:b/>
          <w:color w:val="000000" w:themeColor="text1"/>
          <w:spacing w:val="14"/>
          <w:sz w:val="28"/>
          <w:szCs w:val="28"/>
          <w14:textFill>
            <w14:solidFill>
              <w14:schemeClr w14:val="tx1"/>
            </w14:solidFill>
          </w14:textFill>
        </w:rPr>
        <w:t>声</w:t>
      </w:r>
      <w:r>
        <w:rPr>
          <w:rFonts w:hint="eastAsia" w:ascii="宋体" w:hAnsi="宋体" w:cs="宋体"/>
          <w:b/>
          <w:color w:val="000000" w:themeColor="text1"/>
          <w:spacing w:val="12"/>
          <w:sz w:val="28"/>
          <w:szCs w:val="28"/>
          <w14:textFill>
            <w14:solidFill>
              <w14:schemeClr w14:val="tx1"/>
            </w14:solidFill>
          </w14:textFill>
        </w:rPr>
        <w:t>明</w:t>
      </w:r>
      <w:r>
        <w:rPr>
          <w:rFonts w:hint="eastAsia" w:ascii="宋体" w:hAnsi="宋体" w:cs="宋体"/>
          <w:b/>
          <w:color w:val="000000" w:themeColor="text1"/>
          <w:sz w:val="28"/>
          <w:szCs w:val="28"/>
          <w14:textFill>
            <w14:solidFill>
              <w14:schemeClr w14:val="tx1"/>
            </w14:solidFill>
          </w14:textFill>
        </w:rPr>
        <w:t>函</w:t>
      </w:r>
    </w:p>
    <w:p>
      <w:pPr>
        <w:spacing w:before="55" w:line="270" w:lineRule="auto"/>
        <w:ind w:left="563" w:right="62" w:hanging="2"/>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【非残疾人福利性单位无需提供】</w:t>
      </w:r>
    </w:p>
    <w:p>
      <w:pPr>
        <w:spacing w:before="55" w:line="270" w:lineRule="auto"/>
        <w:ind w:left="563" w:right="62" w:hanging="2"/>
        <w:jc w:val="center"/>
        <w:rPr>
          <w:rFonts w:ascii="宋体" w:hAnsi="宋体" w:cs="宋体"/>
          <w:color w:val="000000" w:themeColor="text1"/>
          <w:spacing w:val="-11"/>
          <w:sz w:val="24"/>
          <w14:textFill>
            <w14:solidFill>
              <w14:schemeClr w14:val="tx1"/>
            </w14:solidFill>
          </w14:textFill>
        </w:rPr>
      </w:pPr>
    </w:p>
    <w:p>
      <w:pPr>
        <w:spacing w:line="360" w:lineRule="auto"/>
        <w:ind w:right="28" w:firstLine="488"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本单位郑重声</w:t>
      </w:r>
      <w:r>
        <w:rPr>
          <w:rFonts w:hint="eastAsia" w:ascii="宋体" w:hAnsi="宋体" w:cs="宋体"/>
          <w:color w:val="000000" w:themeColor="text1"/>
          <w:sz w:val="24"/>
          <w14:textFill>
            <w14:solidFill>
              <w14:schemeClr w14:val="tx1"/>
            </w14:solidFill>
          </w14:textFill>
        </w:rPr>
        <w:t>明</w:t>
      </w:r>
      <w:r>
        <w:rPr>
          <w:rFonts w:hint="eastAsia" w:ascii="宋体" w:hAnsi="宋体" w:cs="宋体"/>
          <w:color w:val="000000" w:themeColor="text1"/>
          <w:spacing w:val="2"/>
          <w:sz w:val="24"/>
          <w14:textFill>
            <w14:solidFill>
              <w14:schemeClr w14:val="tx1"/>
            </w14:solidFill>
          </w14:textFill>
        </w:rPr>
        <w:t>，根据《财政</w:t>
      </w:r>
      <w:r>
        <w:rPr>
          <w:rFonts w:hint="eastAsia" w:ascii="宋体" w:hAnsi="宋体" w:cs="宋体"/>
          <w:color w:val="000000" w:themeColor="text1"/>
          <w:sz w:val="24"/>
          <w14:textFill>
            <w14:solidFill>
              <w14:schemeClr w14:val="tx1"/>
            </w14:solidFill>
          </w14:textFill>
        </w:rPr>
        <w:t>部</w:t>
      </w:r>
      <w:r>
        <w:rPr>
          <w:rFonts w:hint="eastAsia" w:ascii="宋体" w:hAnsi="宋体" w:cs="宋体"/>
          <w:color w:val="000000" w:themeColor="text1"/>
          <w:spacing w:val="2"/>
          <w:sz w:val="24"/>
          <w14:textFill>
            <w14:solidFill>
              <w14:schemeClr w14:val="tx1"/>
            </w14:solidFill>
          </w14:textFill>
        </w:rPr>
        <w:t>民政</w:t>
      </w:r>
      <w:r>
        <w:rPr>
          <w:rFonts w:hint="eastAsia" w:ascii="宋体" w:hAnsi="宋体" w:cs="宋体"/>
          <w:color w:val="000000" w:themeColor="text1"/>
          <w:sz w:val="24"/>
          <w14:textFill>
            <w14:solidFill>
              <w14:schemeClr w14:val="tx1"/>
            </w14:solidFill>
          </w14:textFill>
        </w:rPr>
        <w:t>部</w:t>
      </w:r>
      <w:r>
        <w:rPr>
          <w:rFonts w:hint="eastAsia" w:ascii="宋体" w:hAnsi="宋体" w:cs="宋体"/>
          <w:color w:val="000000" w:themeColor="text1"/>
          <w:spacing w:val="2"/>
          <w:sz w:val="24"/>
          <w14:textFill>
            <w14:solidFill>
              <w14:schemeClr w14:val="tx1"/>
            </w14:solidFill>
          </w14:textFill>
        </w:rPr>
        <w:t>中国残疾人联</w:t>
      </w:r>
      <w:r>
        <w:rPr>
          <w:rFonts w:hint="eastAsia" w:ascii="宋体" w:hAnsi="宋体" w:cs="宋体"/>
          <w:color w:val="000000" w:themeColor="text1"/>
          <w:sz w:val="24"/>
          <w14:textFill>
            <w14:solidFill>
              <w14:schemeClr w14:val="tx1"/>
            </w14:solidFill>
          </w14:textFill>
        </w:rPr>
        <w:t>合</w:t>
      </w:r>
      <w:r>
        <w:rPr>
          <w:rFonts w:hint="eastAsia" w:ascii="宋体" w:hAnsi="宋体" w:cs="宋体"/>
          <w:color w:val="000000" w:themeColor="text1"/>
          <w:spacing w:val="2"/>
          <w:sz w:val="24"/>
          <w14:textFill>
            <w14:solidFill>
              <w14:schemeClr w14:val="tx1"/>
            </w14:solidFill>
          </w14:textFill>
        </w:rPr>
        <w:t>会关于促进残疾人就</w:t>
      </w:r>
      <w:r>
        <w:rPr>
          <w:rFonts w:hint="eastAsia" w:ascii="宋体" w:hAnsi="宋体" w:cs="宋体"/>
          <w:color w:val="000000" w:themeColor="text1"/>
          <w:sz w:val="24"/>
          <w14:textFill>
            <w14:solidFill>
              <w14:schemeClr w14:val="tx1"/>
            </w14:solidFill>
          </w14:textFill>
        </w:rPr>
        <w:t>业政府</w:t>
      </w:r>
      <w:r>
        <w:rPr>
          <w:rFonts w:hint="eastAsia" w:ascii="宋体" w:hAnsi="宋体" w:cs="宋体"/>
          <w:color w:val="000000" w:themeColor="text1"/>
          <w:spacing w:val="2"/>
          <w:sz w:val="24"/>
          <w14:textFill>
            <w14:solidFill>
              <w14:schemeClr w14:val="tx1"/>
            </w14:solidFill>
          </w14:textFill>
        </w:rPr>
        <w:t>采</w:t>
      </w:r>
      <w:r>
        <w:rPr>
          <w:rFonts w:hint="eastAsia" w:ascii="宋体" w:hAnsi="宋体" w:cs="宋体"/>
          <w:color w:val="000000" w:themeColor="text1"/>
          <w:sz w:val="24"/>
          <w14:textFill>
            <w14:solidFill>
              <w14:schemeClr w14:val="tx1"/>
            </w14:solidFill>
          </w14:textFill>
        </w:rPr>
        <w:t>购政策的</w:t>
      </w:r>
      <w:r>
        <w:rPr>
          <w:rFonts w:hint="eastAsia" w:ascii="宋体" w:hAnsi="宋体" w:cs="宋体"/>
          <w:color w:val="000000" w:themeColor="text1"/>
          <w:spacing w:val="2"/>
          <w:sz w:val="24"/>
          <w14:textFill>
            <w14:solidFill>
              <w14:schemeClr w14:val="tx1"/>
            </w14:solidFill>
          </w14:textFill>
        </w:rPr>
        <w:t>通</w:t>
      </w:r>
      <w:r>
        <w:rPr>
          <w:rFonts w:hint="eastAsia" w:ascii="宋体" w:hAnsi="宋体" w:cs="宋体"/>
          <w:color w:val="000000" w:themeColor="text1"/>
          <w:sz w:val="24"/>
          <w14:textFill>
            <w14:solidFill>
              <w14:schemeClr w14:val="tx1"/>
            </w14:solidFill>
          </w14:textFill>
        </w:rPr>
        <w:t>知》（</w:t>
      </w:r>
      <w:r>
        <w:rPr>
          <w:rFonts w:hint="eastAsia" w:ascii="宋体" w:hAnsi="宋体" w:cs="宋体"/>
          <w:color w:val="000000" w:themeColor="text1"/>
          <w:spacing w:val="2"/>
          <w:sz w:val="24"/>
          <w14:textFill>
            <w14:solidFill>
              <w14:schemeClr w14:val="tx1"/>
            </w14:solidFill>
          </w14:textFill>
        </w:rPr>
        <w:t>财</w:t>
      </w:r>
      <w:r>
        <w:rPr>
          <w:rFonts w:hint="eastAsia" w:ascii="宋体" w:hAnsi="宋体" w:cs="宋体"/>
          <w:color w:val="000000" w:themeColor="text1"/>
          <w:sz w:val="24"/>
          <w14:textFill>
            <w14:solidFill>
              <w14:schemeClr w14:val="tx1"/>
            </w14:solidFill>
          </w14:textFill>
        </w:rPr>
        <w:t>库〔2017〕</w:t>
      </w:r>
      <w:r>
        <w:rPr>
          <w:rFonts w:hint="eastAsia" w:ascii="宋体" w:hAnsi="宋体" w:cs="宋体"/>
          <w:color w:val="000000" w:themeColor="text1"/>
          <w:spacing w:val="-18"/>
          <w:sz w:val="24"/>
          <w14:textFill>
            <w14:solidFill>
              <w14:schemeClr w14:val="tx1"/>
            </w14:solidFill>
          </w14:textFill>
        </w:rPr>
        <w:t xml:space="preserve"> </w:t>
      </w:r>
      <w:r>
        <w:rPr>
          <w:rFonts w:hint="eastAsia" w:ascii="宋体" w:hAnsi="宋体" w:cs="宋体"/>
          <w:color w:val="000000" w:themeColor="text1"/>
          <w:w w:val="86"/>
          <w:sz w:val="24"/>
          <w14:textFill>
            <w14:solidFill>
              <w14:schemeClr w14:val="tx1"/>
            </w14:solidFill>
          </w14:textFill>
        </w:rPr>
        <w:t>141</w:t>
      </w:r>
      <w:r>
        <w:rPr>
          <w:rFonts w:hint="eastAsia" w:ascii="宋体" w:hAnsi="宋体" w:cs="宋体"/>
          <w:color w:val="000000" w:themeColor="text1"/>
          <w:spacing w:val="10"/>
          <w:w w:val="86"/>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w:t>
      </w:r>
      <w:r>
        <w:rPr>
          <w:rFonts w:hint="eastAsia" w:ascii="宋体" w:hAnsi="宋体" w:cs="宋体"/>
          <w:color w:val="000000" w:themeColor="text1"/>
          <w:spacing w:val="2"/>
          <w:sz w:val="24"/>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规定，本</w:t>
      </w:r>
      <w:r>
        <w:rPr>
          <w:rFonts w:hint="eastAsia" w:ascii="宋体" w:hAnsi="宋体" w:cs="宋体"/>
          <w:color w:val="000000" w:themeColor="text1"/>
          <w:spacing w:val="2"/>
          <w:sz w:val="24"/>
          <w14:textFill>
            <w14:solidFill>
              <w14:schemeClr w14:val="tx1"/>
            </w14:solidFill>
          </w14:textFill>
        </w:rPr>
        <w:t>单</w:t>
      </w:r>
      <w:r>
        <w:rPr>
          <w:rFonts w:hint="eastAsia" w:ascii="宋体" w:hAnsi="宋体" w:cs="宋体"/>
          <w:color w:val="000000" w:themeColor="text1"/>
          <w:sz w:val="24"/>
          <w14:textFill>
            <w14:solidFill>
              <w14:schemeClr w14:val="tx1"/>
            </w14:solidFill>
          </w14:textFill>
        </w:rPr>
        <w:t>位为符</w:t>
      </w:r>
      <w:r>
        <w:rPr>
          <w:rFonts w:hint="eastAsia" w:ascii="宋体" w:hAnsi="宋体" w:cs="宋体"/>
          <w:color w:val="000000" w:themeColor="text1"/>
          <w:spacing w:val="2"/>
          <w:sz w:val="24"/>
          <w14:textFill>
            <w14:solidFill>
              <w14:schemeClr w14:val="tx1"/>
            </w14:solidFill>
          </w14:textFill>
        </w:rPr>
        <w:t>合</w:t>
      </w:r>
      <w:r>
        <w:rPr>
          <w:rFonts w:hint="eastAsia" w:ascii="宋体" w:hAnsi="宋体" w:cs="宋体"/>
          <w:color w:val="000000" w:themeColor="text1"/>
          <w:sz w:val="24"/>
          <w14:textFill>
            <w14:solidFill>
              <w14:schemeClr w14:val="tx1"/>
            </w14:solidFill>
          </w14:textFill>
        </w:rPr>
        <w:t>条件的残</w:t>
      </w:r>
      <w:r>
        <w:rPr>
          <w:rFonts w:hint="eastAsia" w:ascii="宋体" w:hAnsi="宋体" w:cs="宋体"/>
          <w:color w:val="000000" w:themeColor="text1"/>
          <w:spacing w:val="2"/>
          <w:sz w:val="24"/>
          <w14:textFill>
            <w14:solidFill>
              <w14:schemeClr w14:val="tx1"/>
            </w14:solidFill>
          </w14:textFill>
        </w:rPr>
        <w:t>疾</w:t>
      </w:r>
      <w:r>
        <w:rPr>
          <w:rFonts w:hint="eastAsia" w:ascii="宋体" w:hAnsi="宋体" w:cs="宋体"/>
          <w:color w:val="000000" w:themeColor="text1"/>
          <w:sz w:val="24"/>
          <w14:textFill>
            <w14:solidFill>
              <w14:schemeClr w14:val="tx1"/>
            </w14:solidFill>
          </w14:textFill>
        </w:rPr>
        <w:t>人</w:t>
      </w:r>
      <w:r>
        <w:rPr>
          <w:rFonts w:hint="eastAsia" w:ascii="宋体" w:hAnsi="宋体" w:cs="宋体"/>
          <w:color w:val="000000" w:themeColor="text1"/>
          <w:spacing w:val="2"/>
          <w:sz w:val="24"/>
          <w14:textFill>
            <w14:solidFill>
              <w14:schemeClr w14:val="tx1"/>
            </w14:solidFill>
          </w14:textFill>
        </w:rPr>
        <w:t>福利性单位，且本单位参加</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单位的</w:t>
      </w:r>
      <w:r>
        <w:rPr>
          <w:rFonts w:hint="eastAsia" w:ascii="宋体" w:hAnsi="宋体" w:cs="宋体"/>
          <w:color w:val="000000" w:themeColor="text1"/>
          <w:spacing w:val="-20"/>
          <w:sz w:val="24"/>
          <w:u w:val="single" w:color="000000"/>
          <w14:textFill>
            <w14:solidFill>
              <w14:schemeClr w14:val="tx1"/>
            </w14:solidFill>
          </w14:textFill>
        </w:rPr>
        <w:t xml:space="preserve"> </w:t>
      </w:r>
      <w:r>
        <w:rPr>
          <w:rFonts w:hint="eastAsia" w:ascii="宋体" w:hAnsi="宋体" w:cs="宋体"/>
          <w:color w:val="000000" w:themeColor="text1"/>
          <w:sz w:val="24"/>
          <w:u w:val="single" w:color="000000"/>
          <w14:textFill>
            <w14:solidFill>
              <w14:schemeClr w14:val="tx1"/>
            </w14:solidFill>
          </w14:textFill>
        </w:rPr>
        <w:tab/>
      </w:r>
      <w:r>
        <w:rPr>
          <w:rFonts w:hint="eastAsia" w:ascii="宋体" w:hAnsi="宋体" w:cs="宋体"/>
          <w:color w:val="000000" w:themeColor="text1"/>
          <w:spacing w:val="2"/>
          <w:sz w:val="24"/>
          <w14:textFill>
            <w14:solidFill>
              <w14:schemeClr w14:val="tx1"/>
            </w14:solidFill>
          </w14:textFill>
        </w:rPr>
        <w:t>项目采购活动提供本单位制造的货</w:t>
      </w:r>
      <w:r>
        <w:rPr>
          <w:rFonts w:hint="eastAsia" w:ascii="宋体" w:hAnsi="宋体" w:cs="宋体"/>
          <w:color w:val="000000" w:themeColor="text1"/>
          <w:sz w:val="24"/>
          <w14:textFill>
            <w14:solidFill>
              <w14:schemeClr w14:val="tx1"/>
            </w14:solidFill>
          </w14:textFill>
        </w:rPr>
        <w:t>物（由本单位承担工程</w:t>
      </w:r>
      <w:r>
        <w:rPr>
          <w:rFonts w:hint="eastAsia" w:ascii="宋体" w:hAnsi="宋体" w:cs="宋体"/>
          <w:color w:val="000000" w:themeColor="text1"/>
          <w:w w:val="119"/>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提供服务</w:t>
      </w:r>
      <w:r>
        <w:rPr>
          <w:rFonts w:hint="eastAsia" w:ascii="宋体" w:hAnsi="宋体" w:cs="宋体"/>
          <w:color w:val="000000" w:themeColor="text1"/>
          <w:spacing w:val="-14"/>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或者提供其他残疾人福利性单位制造的货</w:t>
      </w:r>
      <w:r>
        <w:rPr>
          <w:rFonts w:hint="eastAsia" w:ascii="宋体" w:hAnsi="宋体" w:cs="宋体"/>
          <w:color w:val="000000" w:themeColor="text1"/>
          <w:spacing w:val="-12"/>
          <w:sz w:val="24"/>
          <w14:textFill>
            <w14:solidFill>
              <w14:schemeClr w14:val="tx1"/>
            </w14:solidFill>
          </w14:textFill>
        </w:rPr>
        <w:t>物</w:t>
      </w:r>
      <w:r>
        <w:rPr>
          <w:rFonts w:hint="eastAsia" w:ascii="宋体" w:hAnsi="宋体" w:cs="宋体"/>
          <w:color w:val="000000" w:themeColor="text1"/>
          <w:sz w:val="24"/>
          <w14:textFill>
            <w14:solidFill>
              <w14:schemeClr w14:val="tx1"/>
            </w14:solidFill>
          </w14:textFill>
        </w:rPr>
        <w:t>（不包 括使用非残疾人福利性单位注册商标的货物）。</w:t>
      </w:r>
    </w:p>
    <w:p>
      <w:pPr>
        <w:spacing w:before="14"/>
        <w:ind w:right="-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before="6" w:line="180" w:lineRule="exact"/>
        <w:rPr>
          <w:rFonts w:ascii="宋体" w:hAnsi="宋体" w:cs="宋体"/>
          <w:color w:val="000000" w:themeColor="text1"/>
          <w:sz w:val="18"/>
          <w:szCs w:val="18"/>
          <w14:textFill>
            <w14:solidFill>
              <w14:schemeClr w14:val="tx1"/>
            </w14:solidFill>
          </w14:textFill>
        </w:rPr>
      </w:pPr>
    </w:p>
    <w:p>
      <w:pPr>
        <w:spacing w:line="200" w:lineRule="exact"/>
        <w:rPr>
          <w:rFonts w:ascii="宋体" w:hAnsi="宋体" w:cs="宋体"/>
          <w:color w:val="000000" w:themeColor="text1"/>
          <w:sz w:val="20"/>
          <w:szCs w:val="20"/>
          <w14:textFill>
            <w14:solidFill>
              <w14:schemeClr w14:val="tx1"/>
            </w14:solidFill>
          </w14:textFill>
        </w:rPr>
      </w:pPr>
    </w:p>
    <w:p>
      <w:pPr>
        <w:spacing w:line="200" w:lineRule="exact"/>
        <w:rPr>
          <w:rFonts w:ascii="宋体" w:hAnsi="宋体" w:cs="宋体"/>
          <w:color w:val="000000" w:themeColor="text1"/>
          <w:sz w:val="20"/>
          <w:szCs w:val="20"/>
          <w14:textFill>
            <w14:solidFill>
              <w14:schemeClr w14:val="tx1"/>
            </w14:solidFill>
          </w14:textFill>
        </w:rPr>
      </w:pPr>
    </w:p>
    <w:p>
      <w:pPr>
        <w:tabs>
          <w:tab w:val="left" w:pos="1780"/>
          <w:tab w:val="left" w:pos="2260"/>
          <w:tab w:val="left" w:pos="2740"/>
        </w:tabs>
        <w:spacing w:line="272" w:lineRule="auto"/>
        <w:ind w:left="594" w:right="61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竞标人名称（盖章）： </w:t>
      </w:r>
    </w:p>
    <w:p>
      <w:pPr>
        <w:tabs>
          <w:tab w:val="left" w:pos="1780"/>
          <w:tab w:val="left" w:pos="2260"/>
          <w:tab w:val="left" w:pos="2740"/>
        </w:tabs>
        <w:spacing w:line="272" w:lineRule="auto"/>
        <w:ind w:left="594" w:right="61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月 日</w:t>
      </w:r>
    </w:p>
    <w:p>
      <w:pPr>
        <w:pStyle w:val="7"/>
        <w:ind w:firstLine="422"/>
        <w:rPr>
          <w:rFonts w:cs="Calibri"/>
          <w:color w:val="000000" w:themeColor="text1"/>
          <w:kern w:val="0"/>
          <w14:textFill>
            <w14:solidFill>
              <w14:schemeClr w14:val="tx1"/>
            </w14:solidFill>
          </w14:textFill>
        </w:rPr>
      </w:pPr>
    </w:p>
    <w:p>
      <w:pPr>
        <w:pStyle w:val="7"/>
        <w:ind w:firstLine="422"/>
        <w:rPr>
          <w:rFonts w:cs="Calibri"/>
          <w:color w:val="000000" w:themeColor="text1"/>
          <w:kern w:val="0"/>
          <w14:textFill>
            <w14:solidFill>
              <w14:schemeClr w14:val="tx1"/>
            </w14:solidFill>
          </w14:textFill>
        </w:rPr>
      </w:pPr>
    </w:p>
    <w:p>
      <w:pPr>
        <w:rPr>
          <w:color w:val="000000" w:themeColor="text1"/>
          <w14:textFill>
            <w14:solidFill>
              <w14:schemeClr w14:val="tx1"/>
            </w14:solidFill>
          </w14:textFill>
        </w:rPr>
      </w:pPr>
    </w:p>
    <w:p>
      <w:pPr>
        <w:pStyle w:val="7"/>
        <w:ind w:firstLine="422"/>
        <w:rPr>
          <w:rFonts w:cs="Calibri"/>
          <w:color w:val="000000" w:themeColor="text1"/>
          <w:kern w:val="0"/>
          <w14:textFill>
            <w14:solidFill>
              <w14:schemeClr w14:val="tx1"/>
            </w14:solidFill>
          </w14:textFill>
        </w:rPr>
      </w:pPr>
    </w:p>
    <w:p>
      <w:pPr>
        <w:pStyle w:val="7"/>
        <w:ind w:firstLine="422"/>
        <w:rPr>
          <w:rFonts w:cs="Calibri"/>
          <w:color w:val="000000" w:themeColor="text1"/>
          <w:kern w:val="0"/>
          <w14:textFill>
            <w14:solidFill>
              <w14:schemeClr w14:val="tx1"/>
            </w14:solidFill>
          </w14:textFill>
        </w:rPr>
      </w:pPr>
    </w:p>
    <w:p>
      <w:pPr>
        <w:pStyle w:val="7"/>
        <w:ind w:firstLine="422"/>
        <w:rPr>
          <w:rFonts w:cs="Calibri"/>
          <w:color w:val="000000" w:themeColor="text1"/>
          <w:kern w:val="0"/>
          <w14:textFill>
            <w14:solidFill>
              <w14:schemeClr w14:val="tx1"/>
            </w14:solidFill>
          </w14:textFill>
        </w:rPr>
      </w:pPr>
    </w:p>
    <w:p>
      <w:pPr>
        <w:pStyle w:val="7"/>
        <w:ind w:firstLine="422"/>
        <w:rPr>
          <w:rFonts w:cs="Calibri"/>
          <w:color w:val="000000" w:themeColor="text1"/>
          <w:kern w:val="0"/>
          <w14:textFill>
            <w14:solidFill>
              <w14:schemeClr w14:val="tx1"/>
            </w14:solidFill>
          </w14:textFill>
        </w:rPr>
      </w:pPr>
    </w:p>
    <w:p>
      <w:pPr>
        <w:rPr>
          <w:color w:val="000000" w:themeColor="text1"/>
          <w14:textFill>
            <w14:solidFill>
              <w14:schemeClr w14:val="tx1"/>
            </w14:solidFill>
          </w14:textFill>
        </w:rPr>
      </w:pPr>
    </w:p>
    <w:bookmarkEnd w:id="75"/>
    <w:p>
      <w:pPr>
        <w:pStyle w:val="8"/>
        <w:ind w:firstLine="422"/>
        <w:rPr>
          <w:rFonts w:cs="Calibri"/>
          <w:color w:val="000000" w:themeColor="text1"/>
          <w14:textFill>
            <w14:solidFill>
              <w14:schemeClr w14:val="tx1"/>
            </w14:solidFill>
          </w14:textFill>
        </w:rPr>
      </w:pPr>
      <w:bookmarkStart w:id="78" w:name="_Toc245088215"/>
      <w:bookmarkStart w:id="79" w:name="_Toc345575550"/>
    </w:p>
    <w:p>
      <w:pPr>
        <w:pStyle w:val="8"/>
        <w:ind w:firstLine="422"/>
        <w:rPr>
          <w:rFonts w:cs="Calibri"/>
          <w:color w:val="000000" w:themeColor="text1"/>
          <w14:textFill>
            <w14:solidFill>
              <w14:schemeClr w14:val="tx1"/>
            </w14:solidFill>
          </w14:textFill>
        </w:rPr>
      </w:pPr>
    </w:p>
    <w:p>
      <w:pPr>
        <w:pStyle w:val="8"/>
        <w:ind w:firstLine="422"/>
        <w:rPr>
          <w:rFonts w:cs="Calibri"/>
          <w:color w:val="000000" w:themeColor="text1"/>
          <w14:textFill>
            <w14:solidFill>
              <w14:schemeClr w14:val="tx1"/>
            </w14:solidFill>
          </w14:textFill>
        </w:rPr>
      </w:pPr>
    </w:p>
    <w:bookmarkEnd w:id="78"/>
    <w:bookmarkEnd w:id="79"/>
    <w:p>
      <w:pPr>
        <w:jc w:val="center"/>
        <w:rPr>
          <w:rFonts w:cs="Calibri"/>
          <w:b/>
          <w:bCs/>
          <w:color w:val="000000" w:themeColor="text1"/>
          <w:sz w:val="28"/>
          <w:szCs w:val="28"/>
          <w14:textFill>
            <w14:solidFill>
              <w14:schemeClr w14:val="tx1"/>
            </w14:solidFill>
          </w14:textFill>
        </w:rPr>
      </w:pPr>
      <w:r>
        <w:rPr>
          <w:rFonts w:hint="eastAsia" w:cs="Calibri"/>
          <w:b/>
          <w:bCs/>
          <w:color w:val="000000" w:themeColor="text1"/>
          <w:sz w:val="28"/>
          <w:szCs w:val="28"/>
          <w14:textFill>
            <w14:solidFill>
              <w14:schemeClr w14:val="tx1"/>
            </w14:solidFill>
          </w14:textFill>
        </w:rPr>
        <w:t>企业业绩</w:t>
      </w:r>
    </w:p>
    <w:p>
      <w:pPr>
        <w:pStyle w:val="22"/>
        <w:adjustRightInd w:val="0"/>
        <w:rPr>
          <w:rFonts w:hint="eastAsia" w:ascii="Calibri" w:hAnsi="Calibri" w:eastAsia="宋体" w:cs="Calibri"/>
          <w:color w:val="000000" w:themeColor="text1"/>
          <w:szCs w:val="21"/>
          <w:lang w:eastAsia="zh-CN"/>
          <w14:textFill>
            <w14:solidFill>
              <w14:schemeClr w14:val="tx1"/>
            </w14:solidFill>
          </w14:textFill>
        </w:rPr>
      </w:pPr>
      <w:r>
        <w:rPr>
          <w:rFonts w:ascii="Calibri" w:hAnsi="Calibri" w:cs="Calibri"/>
          <w:color w:val="000000" w:themeColor="text1"/>
          <w:szCs w:val="21"/>
          <w14:textFill>
            <w14:solidFill>
              <w14:schemeClr w14:val="tx1"/>
            </w14:solidFill>
          </w14:textFill>
        </w:rPr>
        <w:t>采购人：</w:t>
      </w:r>
      <w:r>
        <w:rPr>
          <w:rFonts w:hint="eastAsia" w:ascii="Calibri" w:hAnsi="Calibri" w:cs="Calibri"/>
          <w:color w:val="000000" w:themeColor="text1"/>
          <w:szCs w:val="21"/>
          <w:lang w:eastAsia="zh-CN"/>
          <w14:textFill>
            <w14:solidFill>
              <w14:schemeClr w14:val="tx1"/>
            </w14:solidFill>
          </w14:textFill>
        </w:rPr>
        <w:t>湖州市人民政府康山街道办事处</w:t>
      </w:r>
    </w:p>
    <w:p>
      <w:pPr>
        <w:rPr>
          <w:rFonts w:hint="eastAsia" w:eastAsia="宋体" w:cs="Calibri"/>
          <w:color w:val="000000" w:themeColor="text1"/>
          <w:lang w:eastAsia="zh-CN"/>
          <w14:textFill>
            <w14:solidFill>
              <w14:schemeClr w14:val="tx1"/>
            </w14:solidFill>
          </w14:textFill>
        </w:rPr>
      </w:pPr>
      <w:r>
        <w:rPr>
          <w:rFonts w:ascii="Calibri" w:hAnsi="Calibri" w:cs="Calibri"/>
          <w:color w:val="000000" w:themeColor="text1"/>
          <w14:textFill>
            <w14:solidFill>
              <w14:schemeClr w14:val="tx1"/>
            </w14:solidFill>
          </w14:textFill>
        </w:rPr>
        <w:t>项目名称：</w:t>
      </w:r>
      <w:r>
        <w:rPr>
          <w:rFonts w:hint="eastAsia" w:cs="Calibri"/>
          <w:color w:val="000000" w:themeColor="text1"/>
          <w:kern w:val="0"/>
          <w:szCs w:val="21"/>
          <w:lang w:eastAsia="zh-CN"/>
          <w14:textFill>
            <w14:solidFill>
              <w14:schemeClr w14:val="tx1"/>
            </w14:solidFill>
          </w14:textFill>
        </w:rPr>
        <w:t>康山街道精细化管理服务外包项目</w:t>
      </w:r>
      <w:r>
        <w:rPr>
          <w:rFonts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CTZB-2023060327</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aps/>
                <w:color w:val="000000" w:themeColor="text1"/>
                <w14:textFill>
                  <w14:solidFill>
                    <w14:schemeClr w14:val="tx1"/>
                  </w14:solidFill>
                </w14:textFill>
              </w:rPr>
            </w:pPr>
            <w:r>
              <w:rPr>
                <w:rFonts w:cs="Calibri"/>
                <w:color w:val="000000" w:themeColor="text1"/>
                <w14:textFill>
                  <w14:solidFill>
                    <w14:schemeClr w14:val="tx1"/>
                  </w14:solidFill>
                </w14:textFill>
              </w:rPr>
              <w:t>标项名称：</w:t>
            </w:r>
            <w:r>
              <w:rPr>
                <w:rFonts w:hint="eastAsia" w:cs="Calibri"/>
                <w:color w:val="000000" w:themeColor="text1"/>
                <w:lang w:eastAsia="zh-CN"/>
                <w14:textFill>
                  <w14:solidFill>
                    <w14:schemeClr w14:val="tx1"/>
                  </w14:solidFill>
                </w14:textFill>
              </w:rPr>
              <w:t>康山街道精细化管理服务外包项目</w:t>
            </w:r>
            <w:r>
              <w:rPr>
                <w:rFonts w:cs="Calibri"/>
                <w:caps/>
                <w:color w:val="000000" w:themeColor="text1"/>
                <w14:textFill>
                  <w14:solidFill>
                    <w14:schemeClr w14:val="tx1"/>
                  </w14:solidFill>
                </w14:textFill>
              </w:rPr>
              <w:t>序号</w:t>
            </w:r>
          </w:p>
        </w:tc>
        <w:tc>
          <w:tcPr>
            <w:tcW w:w="1080" w:type="dxa"/>
            <w:vAlign w:val="center"/>
          </w:tcPr>
          <w:p>
            <w:pPr>
              <w:jc w:val="center"/>
              <w:rPr>
                <w:rFonts w:cs="Calibri"/>
                <w:caps/>
                <w:color w:val="000000" w:themeColor="text1"/>
                <w14:textFill>
                  <w14:solidFill>
                    <w14:schemeClr w14:val="tx1"/>
                  </w14:solidFill>
                </w14:textFill>
              </w:rPr>
            </w:pPr>
            <w:r>
              <w:rPr>
                <w:rFonts w:cs="Calibri"/>
                <w:color w:val="000000" w:themeColor="text1"/>
                <w14:textFill>
                  <w14:solidFill>
                    <w14:schemeClr w14:val="tx1"/>
                  </w14:solidFill>
                </w14:textFill>
              </w:rPr>
              <w:t>合同编号</w:t>
            </w:r>
          </w:p>
        </w:tc>
        <w:tc>
          <w:tcPr>
            <w:tcW w:w="1440" w:type="dxa"/>
            <w:vAlign w:val="center"/>
          </w:tcPr>
          <w:p>
            <w:pPr>
              <w:jc w:val="center"/>
              <w:rPr>
                <w:rFonts w:cs="Calibri"/>
                <w:caps/>
                <w:color w:val="000000" w:themeColor="text1"/>
                <w14:textFill>
                  <w14:solidFill>
                    <w14:schemeClr w14:val="tx1"/>
                  </w14:solidFill>
                </w14:textFill>
              </w:rPr>
            </w:pPr>
            <w:r>
              <w:rPr>
                <w:rFonts w:cs="Calibri"/>
                <w:caps/>
                <w:color w:val="000000" w:themeColor="text1"/>
                <w14:textFill>
                  <w14:solidFill>
                    <w14:schemeClr w14:val="tx1"/>
                  </w14:solidFill>
                </w14:textFill>
              </w:rPr>
              <w:t>用户名称</w:t>
            </w:r>
          </w:p>
        </w:tc>
        <w:tc>
          <w:tcPr>
            <w:tcW w:w="1620" w:type="dxa"/>
            <w:vAlign w:val="center"/>
          </w:tcPr>
          <w:p>
            <w:pPr>
              <w:jc w:val="center"/>
              <w:rPr>
                <w:rFonts w:cs="Calibri"/>
                <w:caps/>
                <w:color w:val="000000" w:themeColor="text1"/>
                <w14:textFill>
                  <w14:solidFill>
                    <w14:schemeClr w14:val="tx1"/>
                  </w14:solidFill>
                </w14:textFill>
              </w:rPr>
            </w:pPr>
            <w:r>
              <w:rPr>
                <w:rFonts w:cs="Calibri"/>
                <w:caps/>
                <w:color w:val="000000" w:themeColor="text1"/>
                <w14:textFill>
                  <w14:solidFill>
                    <w14:schemeClr w14:val="tx1"/>
                  </w14:solidFill>
                </w14:textFill>
              </w:rPr>
              <w:t>合同内容描述</w:t>
            </w:r>
          </w:p>
        </w:tc>
        <w:tc>
          <w:tcPr>
            <w:tcW w:w="1080" w:type="dxa"/>
            <w:vAlign w:val="center"/>
          </w:tcPr>
          <w:p>
            <w:pPr>
              <w:jc w:val="center"/>
              <w:rPr>
                <w:rFonts w:cs="Calibri"/>
                <w:caps/>
                <w:color w:val="000000" w:themeColor="text1"/>
                <w14:textFill>
                  <w14:solidFill>
                    <w14:schemeClr w14:val="tx1"/>
                  </w14:solidFill>
                </w14:textFill>
              </w:rPr>
            </w:pPr>
            <w:r>
              <w:rPr>
                <w:rFonts w:cs="Calibri"/>
                <w:caps/>
                <w:color w:val="000000" w:themeColor="text1"/>
                <w14:textFill>
                  <w14:solidFill>
                    <w14:schemeClr w14:val="tx1"/>
                  </w14:solidFill>
                </w14:textFill>
              </w:rPr>
              <w:t>合同金额</w:t>
            </w:r>
          </w:p>
        </w:tc>
        <w:tc>
          <w:tcPr>
            <w:tcW w:w="1080" w:type="dxa"/>
            <w:vAlign w:val="center"/>
          </w:tcPr>
          <w:p>
            <w:pPr>
              <w:jc w:val="center"/>
              <w:rPr>
                <w:rFonts w:cs="Calibri"/>
                <w:caps/>
                <w:color w:val="000000" w:themeColor="text1"/>
                <w14:textFill>
                  <w14:solidFill>
                    <w14:schemeClr w14:val="tx1"/>
                  </w14:solidFill>
                </w14:textFill>
              </w:rPr>
            </w:pPr>
            <w:r>
              <w:rPr>
                <w:rFonts w:cs="Calibri"/>
                <w:color w:val="000000" w:themeColor="text1"/>
                <w14:textFill>
                  <w14:solidFill>
                    <w14:schemeClr w14:val="tx1"/>
                  </w14:solidFill>
                </w14:textFill>
              </w:rPr>
              <w:t>签约及完成日期</w:t>
            </w:r>
          </w:p>
        </w:tc>
        <w:tc>
          <w:tcPr>
            <w:tcW w:w="900" w:type="dxa"/>
            <w:vAlign w:val="center"/>
          </w:tcPr>
          <w:p>
            <w:pPr>
              <w:jc w:val="cente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联系人</w:t>
            </w:r>
          </w:p>
        </w:tc>
        <w:tc>
          <w:tcPr>
            <w:tcW w:w="900" w:type="dxa"/>
            <w:vAlign w:val="center"/>
          </w:tcPr>
          <w:p>
            <w:pPr>
              <w:jc w:val="cente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联系电话</w:t>
            </w:r>
          </w:p>
        </w:tc>
        <w:tc>
          <w:tcPr>
            <w:tcW w:w="719" w:type="dxa"/>
            <w:vAlign w:val="center"/>
          </w:tcPr>
          <w:p>
            <w:pPr>
              <w:jc w:val="cente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440" w:type="dxa"/>
            <w:vAlign w:val="center"/>
          </w:tcPr>
          <w:p>
            <w:pPr>
              <w:jc w:val="center"/>
              <w:rPr>
                <w:rFonts w:cs="Calibri"/>
                <w:color w:val="000000" w:themeColor="text1"/>
                <w:spacing w:val="20"/>
                <w14:textFill>
                  <w14:solidFill>
                    <w14:schemeClr w14:val="tx1"/>
                  </w14:solidFill>
                </w14:textFill>
              </w:rPr>
            </w:pPr>
          </w:p>
        </w:tc>
        <w:tc>
          <w:tcPr>
            <w:tcW w:w="162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108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900" w:type="dxa"/>
            <w:vAlign w:val="center"/>
          </w:tcPr>
          <w:p>
            <w:pPr>
              <w:jc w:val="center"/>
              <w:rPr>
                <w:rFonts w:cs="Calibri"/>
                <w:color w:val="000000" w:themeColor="text1"/>
                <w:spacing w:val="20"/>
                <w14:textFill>
                  <w14:solidFill>
                    <w14:schemeClr w14:val="tx1"/>
                  </w14:solidFill>
                </w14:textFill>
              </w:rPr>
            </w:pPr>
          </w:p>
        </w:tc>
        <w:tc>
          <w:tcPr>
            <w:tcW w:w="719" w:type="dxa"/>
            <w:vAlign w:val="center"/>
          </w:tcPr>
          <w:p>
            <w:pPr>
              <w:jc w:val="center"/>
              <w:rPr>
                <w:rFonts w:cs="Calibri"/>
                <w:color w:val="000000" w:themeColor="text1"/>
                <w:spacing w:val="20"/>
                <w14:textFill>
                  <w14:solidFill>
                    <w14:schemeClr w14:val="tx1"/>
                  </w14:solidFill>
                </w14:textFill>
              </w:rPr>
            </w:pPr>
          </w:p>
        </w:tc>
      </w:tr>
    </w:tbl>
    <w:p>
      <w:pPr>
        <w:adjustRightInd w:val="0"/>
        <w:rPr>
          <w:rFonts w:cs="Calibri"/>
          <w:color w:val="000000" w:themeColor="text1"/>
          <w14:textFill>
            <w14:solidFill>
              <w14:schemeClr w14:val="tx1"/>
            </w14:solidFill>
          </w14:textFill>
        </w:rPr>
      </w:pP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rPr>
          <w:rFonts w:cs="Calibri"/>
          <w:color w:val="000000" w:themeColor="text1"/>
          <w:szCs w:val="21"/>
          <w14:textFill>
            <w14:solidFill>
              <w14:schemeClr w14:val="tx1"/>
            </w14:solidFill>
          </w14:textFill>
        </w:rPr>
      </w:pP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填写说明：</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（1）此表不提供，可视为无业绩。</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（2）此表仅提供了格式，表格不够可自行增加。</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（3）表后附合同等相关证明材料。</w:t>
      </w:r>
    </w:p>
    <w:p>
      <w:pPr>
        <w:jc w:val="center"/>
        <w:rPr>
          <w:rFonts w:cs="Calibri"/>
          <w:b/>
          <w:bCs/>
          <w:color w:val="000000" w:themeColor="text1"/>
          <w:sz w:val="28"/>
          <w:szCs w:val="28"/>
          <w14:textFill>
            <w14:solidFill>
              <w14:schemeClr w14:val="tx1"/>
            </w14:solidFill>
          </w14:textFill>
        </w:rPr>
      </w:pPr>
      <w:r>
        <w:rPr>
          <w:rFonts w:cs="Calibri"/>
          <w:color w:val="000000" w:themeColor="text1"/>
          <w:spacing w:val="20"/>
          <w14:textFill>
            <w14:solidFill>
              <w14:schemeClr w14:val="tx1"/>
            </w14:solidFill>
          </w14:textFill>
        </w:rPr>
        <w:br w:type="page"/>
      </w:r>
      <w:r>
        <w:rPr>
          <w:rFonts w:cs="Calibri"/>
          <w:b/>
          <w:bCs/>
          <w:color w:val="000000" w:themeColor="text1"/>
          <w:sz w:val="28"/>
          <w:szCs w:val="28"/>
          <w14:textFill>
            <w14:solidFill>
              <w14:schemeClr w14:val="tx1"/>
            </w14:solidFill>
          </w14:textFill>
        </w:rPr>
        <w:t>廉政承诺书</w:t>
      </w:r>
    </w:p>
    <w:p>
      <w:pPr>
        <w:rPr>
          <w:rFonts w:cs="Calibri"/>
          <w:color w:val="000000" w:themeColor="text1"/>
          <w:szCs w:val="21"/>
          <w14:textFill>
            <w14:solidFill>
              <w14:schemeClr w14:val="tx1"/>
            </w14:solidFill>
          </w14:textFill>
        </w:rPr>
      </w:pPr>
      <w:r>
        <w:rPr>
          <w:rFonts w:hint="eastAsia" w:cs="Calibri"/>
          <w:color w:val="000000" w:themeColor="text1"/>
          <w:szCs w:val="21"/>
          <w:u w:val="single"/>
          <w:lang w:eastAsia="zh-CN"/>
          <w14:textFill>
            <w14:solidFill>
              <w14:schemeClr w14:val="tx1"/>
            </w14:solidFill>
          </w14:textFill>
        </w:rPr>
        <w:t>湖州市人民政府康山街道办事处</w:t>
      </w:r>
      <w:r>
        <w:rPr>
          <w:rFonts w:cs="Calibri"/>
          <w:color w:val="000000" w:themeColor="text1"/>
          <w:szCs w:val="21"/>
          <w14:textFill>
            <w14:solidFill>
              <w14:schemeClr w14:val="tx1"/>
            </w14:solidFill>
          </w14:textFill>
        </w:rPr>
        <w:t>：</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我单位响应</w:t>
      </w:r>
      <w:r>
        <w:rPr>
          <w:rFonts w:hint="eastAsia" w:cs="Calibri"/>
          <w:color w:val="000000" w:themeColor="text1"/>
          <w:szCs w:val="21"/>
          <w:u w:val="single"/>
          <w:lang w:eastAsia="zh-CN"/>
          <w14:textFill>
            <w14:solidFill>
              <w14:schemeClr w14:val="tx1"/>
            </w14:solidFill>
          </w14:textFill>
        </w:rPr>
        <w:t>湖州市人民政府康山街道办事处</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CTZB-2023060327</w:t>
      </w:r>
      <w:r>
        <w:rPr>
          <w:rFonts w:cs="Calibri"/>
          <w:color w:val="000000" w:themeColor="text1"/>
          <w:szCs w:val="21"/>
          <w14:textFill>
            <w14:solidFill>
              <w14:schemeClr w14:val="tx1"/>
            </w14:solidFill>
          </w14:textFill>
        </w:rPr>
        <w:t>（项目编号）</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一、不向项目有关人员及部门赠送礼金礼物、有价证券、回扣以及中介费、介绍费、咨询费等好处费；</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二、不为项目有关人员及部门报销应由你方单位或个人支付的费用；</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三、不向项目有关人员及部门提供有可能影响公正的宴请和健身娱乐等活动；</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四、不为项目有关人员及部门出国（境）、旅游等提供方便；</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五、不为项目有关人员个人装修住房、婚丧嫁娶、配偶子女工作安排等提供好处；</w:t>
      </w:r>
    </w:p>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如违反上述承诺，你单位有权立即取消我单位磋商、成交资格。由此引起的相应损失均由我单位承担。</w:t>
      </w:r>
    </w:p>
    <w:p>
      <w:pPr>
        <w:rPr>
          <w:rFonts w:cs="Calibri"/>
          <w:color w:val="000000" w:themeColor="text1"/>
          <w:szCs w:val="21"/>
          <w14:textFill>
            <w14:solidFill>
              <w14:schemeClr w14:val="tx1"/>
            </w14:solidFill>
          </w14:textFill>
        </w:rPr>
      </w:pPr>
    </w:p>
    <w:p>
      <w:pPr>
        <w:rPr>
          <w:rFonts w:cs="Calibri"/>
          <w:color w:val="000000" w:themeColor="text1"/>
          <w:szCs w:val="21"/>
          <w14:textFill>
            <w14:solidFill>
              <w14:schemeClr w14:val="tx1"/>
            </w14:solidFill>
          </w14:textFill>
        </w:rPr>
      </w:pP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pStyle w:val="22"/>
        <w:adjustRightInd w:val="0"/>
        <w:jc w:val="center"/>
        <w:rPr>
          <w:rFonts w:ascii="Calibri" w:hAnsi="Calibri" w:cs="Calibri"/>
          <w:b/>
          <w:bCs/>
          <w:color w:val="000000" w:themeColor="text1"/>
          <w:sz w:val="28"/>
          <w:szCs w:val="28"/>
          <w14:textFill>
            <w14:solidFill>
              <w14:schemeClr w14:val="tx1"/>
            </w14:solidFill>
          </w14:textFill>
        </w:rPr>
      </w:pPr>
      <w:r>
        <w:rPr>
          <w:rFonts w:cs="Calibri"/>
          <w:color w:val="000000" w:themeColor="text1"/>
          <w:szCs w:val="21"/>
          <w14:textFill>
            <w14:solidFill>
              <w14:schemeClr w14:val="tx1"/>
            </w14:solidFill>
          </w14:textFill>
        </w:rPr>
        <w:br w:type="page"/>
      </w:r>
      <w:r>
        <w:rPr>
          <w:rFonts w:ascii="Calibri" w:hAnsi="Calibri" w:cs="Calibri"/>
          <w:b/>
          <w:bCs/>
          <w:color w:val="000000" w:themeColor="text1"/>
          <w:sz w:val="28"/>
          <w:szCs w:val="28"/>
          <w14:textFill>
            <w14:solidFill>
              <w14:schemeClr w14:val="tx1"/>
            </w14:solidFill>
          </w14:textFill>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单位名称</w:t>
            </w:r>
          </w:p>
        </w:tc>
        <w:tc>
          <w:tcPr>
            <w:tcW w:w="1078" w:type="dxa"/>
            <w:vAlign w:val="center"/>
          </w:tcPr>
          <w:p>
            <w:pPr>
              <w:jc w:val="center"/>
              <w:rPr>
                <w:rFonts w:cs="Calibri"/>
                <w:color w:val="000000" w:themeColor="text1"/>
                <w:szCs w:val="21"/>
                <w14:textFill>
                  <w14:solidFill>
                    <w14:schemeClr w14:val="tx1"/>
                  </w14:solidFill>
                </w14:textFill>
              </w:rPr>
            </w:pPr>
          </w:p>
        </w:tc>
        <w:tc>
          <w:tcPr>
            <w:tcW w:w="895"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电话</w:t>
            </w:r>
          </w:p>
        </w:tc>
        <w:tc>
          <w:tcPr>
            <w:tcW w:w="2045" w:type="dxa"/>
            <w:vAlign w:val="center"/>
          </w:tcPr>
          <w:p>
            <w:pPr>
              <w:jc w:val="center"/>
              <w:rPr>
                <w:rFonts w:cs="Calibri"/>
                <w:color w:val="000000" w:themeColor="text1"/>
                <w:szCs w:val="21"/>
                <w14:textFill>
                  <w14:solidFill>
                    <w14:schemeClr w14:val="tx1"/>
                  </w14:solidFill>
                </w14:textFill>
              </w:rPr>
            </w:pPr>
          </w:p>
        </w:tc>
        <w:tc>
          <w:tcPr>
            <w:tcW w:w="689"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主管部门</w:t>
            </w:r>
          </w:p>
        </w:tc>
        <w:tc>
          <w:tcPr>
            <w:tcW w:w="674" w:type="dxa"/>
            <w:vAlign w:val="center"/>
          </w:tcPr>
          <w:p>
            <w:pPr>
              <w:jc w:val="center"/>
              <w:rPr>
                <w:rFonts w:cs="Calibri"/>
                <w:color w:val="000000" w:themeColor="text1"/>
                <w:szCs w:val="21"/>
                <w14:textFill>
                  <w14:solidFill>
                    <w14:schemeClr w14:val="tx1"/>
                  </w14:solidFill>
                </w14:textFill>
              </w:rPr>
            </w:pPr>
          </w:p>
        </w:tc>
        <w:tc>
          <w:tcPr>
            <w:tcW w:w="1355"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单位法人</w:t>
            </w:r>
          </w:p>
        </w:tc>
        <w:tc>
          <w:tcPr>
            <w:tcW w:w="657" w:type="dxa"/>
            <w:vAlign w:val="center"/>
          </w:tcPr>
          <w:p>
            <w:pPr>
              <w:jc w:val="center"/>
              <w:rPr>
                <w:rFonts w:cs="Calibri"/>
                <w:color w:val="000000" w:themeColor="text1"/>
                <w:szCs w:val="21"/>
                <w14:textFill>
                  <w14:solidFill>
                    <w14:schemeClr w14:val="tx1"/>
                  </w14:solidFill>
                </w14:textFill>
              </w:rPr>
            </w:pPr>
          </w:p>
        </w:tc>
        <w:tc>
          <w:tcPr>
            <w:tcW w:w="594"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职务</w:t>
            </w:r>
          </w:p>
        </w:tc>
        <w:tc>
          <w:tcPr>
            <w:tcW w:w="572" w:type="dxa"/>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地 址</w:t>
            </w:r>
          </w:p>
        </w:tc>
        <w:tc>
          <w:tcPr>
            <w:tcW w:w="1078" w:type="dxa"/>
            <w:vAlign w:val="center"/>
          </w:tcPr>
          <w:p>
            <w:pPr>
              <w:jc w:val="center"/>
              <w:rPr>
                <w:rFonts w:cs="Calibri"/>
                <w:color w:val="000000" w:themeColor="text1"/>
                <w:szCs w:val="21"/>
                <w14:textFill>
                  <w14:solidFill>
                    <w14:schemeClr w14:val="tx1"/>
                  </w14:solidFill>
                </w14:textFill>
              </w:rPr>
            </w:pPr>
          </w:p>
        </w:tc>
        <w:tc>
          <w:tcPr>
            <w:tcW w:w="895"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传真</w:t>
            </w:r>
          </w:p>
        </w:tc>
        <w:tc>
          <w:tcPr>
            <w:tcW w:w="2045" w:type="dxa"/>
            <w:vAlign w:val="center"/>
          </w:tcPr>
          <w:p>
            <w:pPr>
              <w:jc w:val="center"/>
              <w:rPr>
                <w:rFonts w:cs="Calibri"/>
                <w:color w:val="000000" w:themeColor="text1"/>
                <w:szCs w:val="21"/>
                <w14:textFill>
                  <w14:solidFill>
                    <w14:schemeClr w14:val="tx1"/>
                  </w14:solidFill>
                </w14:textFill>
              </w:rPr>
            </w:pPr>
          </w:p>
        </w:tc>
        <w:tc>
          <w:tcPr>
            <w:tcW w:w="689"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单位性质</w:t>
            </w:r>
          </w:p>
        </w:tc>
        <w:tc>
          <w:tcPr>
            <w:tcW w:w="674" w:type="dxa"/>
            <w:vAlign w:val="center"/>
          </w:tcPr>
          <w:p>
            <w:pPr>
              <w:jc w:val="center"/>
              <w:rPr>
                <w:rFonts w:cs="Calibri"/>
                <w:color w:val="000000" w:themeColor="text1"/>
                <w:szCs w:val="21"/>
                <w14:textFill>
                  <w14:solidFill>
                    <w14:schemeClr w14:val="tx1"/>
                  </w14:solidFill>
                </w14:textFill>
              </w:rPr>
            </w:pPr>
          </w:p>
        </w:tc>
        <w:tc>
          <w:tcPr>
            <w:tcW w:w="1355"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技术负责人</w:t>
            </w:r>
          </w:p>
        </w:tc>
        <w:tc>
          <w:tcPr>
            <w:tcW w:w="657" w:type="dxa"/>
            <w:vAlign w:val="center"/>
          </w:tcPr>
          <w:p>
            <w:pPr>
              <w:jc w:val="center"/>
              <w:rPr>
                <w:rFonts w:cs="Calibri"/>
                <w:color w:val="000000" w:themeColor="text1"/>
                <w:szCs w:val="21"/>
                <w14:textFill>
                  <w14:solidFill>
                    <w14:schemeClr w14:val="tx1"/>
                  </w14:solidFill>
                </w14:textFill>
              </w:rPr>
            </w:pPr>
          </w:p>
        </w:tc>
        <w:tc>
          <w:tcPr>
            <w:tcW w:w="594"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职务</w:t>
            </w:r>
          </w:p>
        </w:tc>
        <w:tc>
          <w:tcPr>
            <w:tcW w:w="572" w:type="dxa"/>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单位概况</w:t>
            </w:r>
          </w:p>
        </w:tc>
        <w:tc>
          <w:tcPr>
            <w:tcW w:w="1193"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营业执照经营范围</w:t>
            </w:r>
          </w:p>
        </w:tc>
        <w:tc>
          <w:tcPr>
            <w:tcW w:w="2825" w:type="dxa"/>
            <w:gridSpan w:val="2"/>
            <w:vAlign w:val="center"/>
          </w:tcPr>
          <w:p>
            <w:pPr>
              <w:jc w:val="left"/>
              <w:rPr>
                <w:rFonts w:cs="Calibri"/>
                <w:color w:val="000000" w:themeColor="text1"/>
                <w:szCs w:val="21"/>
                <w14:textFill>
                  <w14:solidFill>
                    <w14:schemeClr w14:val="tx1"/>
                  </w14:solidFill>
                </w14:textFill>
              </w:rPr>
            </w:pPr>
          </w:p>
        </w:tc>
        <w:tc>
          <w:tcPr>
            <w:tcW w:w="689" w:type="dxa"/>
            <w:vMerge w:val="restart"/>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上一年主要经济指标</w:t>
            </w:r>
          </w:p>
        </w:tc>
        <w:tc>
          <w:tcPr>
            <w:tcW w:w="1367" w:type="dxa"/>
            <w:gridSpan w:val="2"/>
            <w:tcBorders>
              <w:right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年营业收入</w:t>
            </w:r>
          </w:p>
        </w:tc>
        <w:tc>
          <w:tcPr>
            <w:tcW w:w="2485" w:type="dxa"/>
            <w:gridSpan w:val="4"/>
            <w:tcBorders>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统一社会信用代码</w:t>
            </w:r>
          </w:p>
        </w:tc>
        <w:tc>
          <w:tcPr>
            <w:tcW w:w="2825" w:type="dxa"/>
            <w:gridSpan w:val="2"/>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right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资产总额</w:t>
            </w:r>
          </w:p>
        </w:tc>
        <w:tc>
          <w:tcPr>
            <w:tcW w:w="2485" w:type="dxa"/>
            <w:gridSpan w:val="4"/>
            <w:tcBorders>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资质情况</w:t>
            </w:r>
          </w:p>
        </w:tc>
        <w:tc>
          <w:tcPr>
            <w:tcW w:w="2825" w:type="dxa"/>
            <w:gridSpan w:val="2"/>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left w:val="single" w:color="auto" w:sz="4" w:space="0"/>
              <w:bottom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信用情况</w:t>
            </w:r>
          </w:p>
        </w:tc>
        <w:tc>
          <w:tcPr>
            <w:tcW w:w="2825" w:type="dxa"/>
            <w:gridSpan w:val="2"/>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bottom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荣誉情况</w:t>
            </w:r>
          </w:p>
        </w:tc>
        <w:tc>
          <w:tcPr>
            <w:tcW w:w="2825"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体系认证</w:t>
            </w:r>
          </w:p>
        </w:tc>
        <w:tc>
          <w:tcPr>
            <w:tcW w:w="2825"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开户银行</w:t>
            </w:r>
          </w:p>
        </w:tc>
        <w:tc>
          <w:tcPr>
            <w:tcW w:w="2825"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pPr>
              <w:jc w:val="center"/>
              <w:rPr>
                <w:rFonts w:cs="Calibri"/>
                <w:color w:val="000000" w:themeColor="text1"/>
                <w:szCs w:val="21"/>
                <w14:textFill>
                  <w14:solidFill>
                    <w14:schemeClr w14:val="tx1"/>
                  </w14:solidFill>
                </w14:textFill>
              </w:rPr>
            </w:pPr>
          </w:p>
        </w:tc>
        <w:tc>
          <w:tcPr>
            <w:tcW w:w="1193"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账号</w:t>
            </w:r>
          </w:p>
        </w:tc>
        <w:tc>
          <w:tcPr>
            <w:tcW w:w="2825"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689" w:type="dxa"/>
            <w:vMerge w:val="continue"/>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1193" w:type="dxa"/>
            <w:gridSpan w:val="2"/>
            <w:tcBorders>
              <w:bottom w:val="single" w:color="auto" w:sz="4" w:space="0"/>
            </w:tcBorders>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职工总数</w:t>
            </w:r>
          </w:p>
        </w:tc>
        <w:tc>
          <w:tcPr>
            <w:tcW w:w="2825" w:type="dxa"/>
            <w:gridSpan w:val="2"/>
            <w:tcBorders>
              <w:bottom w:val="single" w:color="auto" w:sz="4" w:space="0"/>
            </w:tcBorders>
            <w:vAlign w:val="center"/>
          </w:tcPr>
          <w:p>
            <w:pPr>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共  人</w:t>
            </w:r>
          </w:p>
          <w:p>
            <w:pPr>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其中：</w:t>
            </w:r>
          </w:p>
        </w:tc>
        <w:tc>
          <w:tcPr>
            <w:tcW w:w="689" w:type="dxa"/>
            <w:vMerge w:val="continue"/>
            <w:tcBorders>
              <w:bottom w:val="single" w:color="auto" w:sz="4" w:space="0"/>
            </w:tcBorders>
            <w:vAlign w:val="center"/>
          </w:tcPr>
          <w:p>
            <w:pPr>
              <w:jc w:val="center"/>
              <w:rPr>
                <w:rFonts w:cs="Calibri"/>
                <w:color w:val="000000" w:themeColor="text1"/>
                <w:szCs w:val="21"/>
                <w14:textFill>
                  <w14:solidFill>
                    <w14:schemeClr w14:val="tx1"/>
                  </w14:solidFill>
                </w14:textFill>
              </w:rPr>
            </w:pPr>
          </w:p>
        </w:tc>
        <w:tc>
          <w:tcPr>
            <w:tcW w:w="1367" w:type="dxa"/>
            <w:gridSpan w:val="2"/>
            <w:tcBorders>
              <w:top w:val="single" w:color="auto" w:sz="4" w:space="0"/>
              <w:bottom w:val="single" w:color="auto" w:sz="4" w:space="0"/>
              <w:right w:val="single" w:color="auto" w:sz="4" w:space="0"/>
            </w:tcBorders>
            <w:vAlign w:val="center"/>
          </w:tcPr>
          <w:p>
            <w:pPr>
              <w:jc w:val="center"/>
              <w:rPr>
                <w:rFonts w:cs="Calibri"/>
                <w:color w:val="000000" w:themeColor="text1"/>
                <w:szCs w:val="21"/>
                <w14:textFill>
                  <w14:solidFill>
                    <w14:schemeClr w14:val="tx1"/>
                  </w14:solidFill>
                </w14:textFill>
              </w:rPr>
            </w:pPr>
          </w:p>
        </w:tc>
        <w:tc>
          <w:tcPr>
            <w:tcW w:w="2485" w:type="dxa"/>
            <w:gridSpan w:val="4"/>
            <w:tcBorders>
              <w:top w:val="single" w:color="auto" w:sz="4" w:space="0"/>
              <w:left w:val="single" w:color="auto" w:sz="4" w:space="0"/>
            </w:tcBorders>
            <w:vAlign w:val="center"/>
          </w:tcPr>
          <w:p>
            <w:pPr>
              <w:jc w:val="center"/>
              <w:rPr>
                <w:rFonts w:cs="Calibri"/>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pPr>
              <w:jc w:val="cente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其他说明</w:t>
            </w:r>
          </w:p>
        </w:tc>
        <w:tc>
          <w:tcPr>
            <w:tcW w:w="8559" w:type="dxa"/>
            <w:gridSpan w:val="11"/>
            <w:vAlign w:val="center"/>
          </w:tcPr>
          <w:p>
            <w:pPr>
              <w:rPr>
                <w:rFonts w:cs="Calibri"/>
                <w:color w:val="000000" w:themeColor="text1"/>
                <w:szCs w:val="21"/>
                <w:u w:val="single"/>
                <w14:textFill>
                  <w14:solidFill>
                    <w14:schemeClr w14:val="tx1"/>
                  </w14:solidFill>
                </w14:textFill>
              </w:rPr>
            </w:pPr>
          </w:p>
        </w:tc>
      </w:tr>
    </w:tbl>
    <w:p>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【说明】：相关证明材料附后。</w:t>
      </w: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ind w:firstLine="420" w:firstLineChars="200"/>
        <w:rPr>
          <w:rFonts w:cs="Calibri"/>
          <w:color w:val="000000" w:themeColor="text1"/>
          <w:szCs w:val="21"/>
          <w14:textFill>
            <w14:solidFill>
              <w14:schemeClr w14:val="tx1"/>
            </w14:solidFill>
          </w14:textFill>
        </w:rPr>
      </w:pP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说明：</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（1）供应商简介、技术力量、资质、信用、荣誉、管理体系认证等资料。（资格审查资料中已提供的不需重复提供）附后。</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（2）供应商应如实填写以上内容，不得有虚假。没有内容可不填。</w:t>
      </w:r>
    </w:p>
    <w:p>
      <w:pPr>
        <w:pStyle w:val="22"/>
        <w:adjustRightInd w:val="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（3）评审办法所要求资料请务必提供。</w:t>
      </w:r>
    </w:p>
    <w:p>
      <w:pPr>
        <w:pStyle w:val="18"/>
        <w:ind w:left="840" w:hanging="420"/>
        <w:rPr>
          <w:rFonts w:cs="Calibri"/>
          <w:color w:val="000000" w:themeColor="text1"/>
          <w:spacing w:val="20"/>
          <w14:textFill>
            <w14:solidFill>
              <w14:schemeClr w14:val="tx1"/>
            </w14:solidFill>
          </w14:textFill>
        </w:rPr>
      </w:pPr>
      <w:r>
        <w:rPr>
          <w:rFonts w:cs="Calibri"/>
          <w:color w:val="000000" w:themeColor="text1"/>
          <w14:textFill>
            <w14:solidFill>
              <w14:schemeClr w14:val="tx1"/>
            </w14:solidFill>
          </w14:textFill>
        </w:rPr>
        <w:br w:type="page"/>
      </w:r>
    </w:p>
    <w:p>
      <w:pPr>
        <w:jc w:val="center"/>
        <w:rPr>
          <w:rFonts w:cs="Calibri"/>
          <w:b/>
          <w:bCs/>
          <w:color w:val="000000" w:themeColor="text1"/>
          <w:sz w:val="28"/>
          <w:szCs w:val="28"/>
          <w14:textFill>
            <w14:solidFill>
              <w14:schemeClr w14:val="tx1"/>
            </w14:solidFill>
          </w14:textFill>
        </w:rPr>
      </w:pPr>
      <w:r>
        <w:rPr>
          <w:rFonts w:cs="Calibri"/>
          <w:b/>
          <w:bCs/>
          <w:color w:val="000000" w:themeColor="text1"/>
          <w:sz w:val="28"/>
          <w:szCs w:val="28"/>
          <w14:textFill>
            <w14:solidFill>
              <w14:schemeClr w14:val="tx1"/>
            </w14:solidFill>
          </w14:textFill>
        </w:rPr>
        <w:t>磋商响应函</w:t>
      </w:r>
    </w:p>
    <w:p>
      <w:pPr>
        <w:rPr>
          <w:rFonts w:cs="Calibri"/>
          <w:color w:val="000000" w:themeColor="text1"/>
          <w14:textFill>
            <w14:solidFill>
              <w14:schemeClr w14:val="tx1"/>
            </w14:solidFill>
          </w14:textFill>
        </w:rPr>
      </w:pPr>
      <w:r>
        <w:rPr>
          <w:rFonts w:hint="eastAsia" w:cs="Calibri"/>
          <w:color w:val="000000" w:themeColor="text1"/>
          <w:lang w:eastAsia="zh-CN"/>
          <w14:textFill>
            <w14:solidFill>
              <w14:schemeClr w14:val="tx1"/>
            </w14:solidFill>
          </w14:textFill>
        </w:rPr>
        <w:t>湖州市人民政府康山街道办事处</w:t>
      </w:r>
      <w:r>
        <w:rPr>
          <w:rFonts w:cs="Calibri"/>
          <w:color w:val="000000" w:themeColor="text1"/>
          <w14:textFill>
            <w14:solidFill>
              <w14:schemeClr w14:val="tx1"/>
            </w14:solidFill>
          </w14:textFill>
        </w:rPr>
        <w:t>：</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浙江省成套招标代理有限公司：</w:t>
      </w:r>
    </w:p>
    <w:p>
      <w:pPr>
        <w:ind w:firstLine="420" w:firstLineChars="200"/>
        <w:rPr>
          <w:rFonts w:cs="Calibri"/>
          <w:color w:val="000000" w:themeColor="text1"/>
          <w14:textFill>
            <w14:solidFill>
              <w14:schemeClr w14:val="tx1"/>
            </w14:solidFill>
          </w14:textFill>
        </w:rPr>
      </w:pPr>
      <w:r>
        <w:rPr>
          <w:rFonts w:cs="Calibri"/>
          <w:color w:val="000000" w:themeColor="text1"/>
          <w:u w:val="single"/>
          <w14:textFill>
            <w14:solidFill>
              <w14:schemeClr w14:val="tx1"/>
            </w14:solidFill>
          </w14:textFill>
        </w:rPr>
        <w:t xml:space="preserve">（供应商全称）     </w:t>
      </w:r>
      <w:r>
        <w:rPr>
          <w:rFonts w:cs="Calibri"/>
          <w:color w:val="000000" w:themeColor="text1"/>
          <w14:textFill>
            <w14:solidFill>
              <w14:schemeClr w14:val="tx1"/>
            </w14:solidFill>
          </w14:textFill>
        </w:rPr>
        <w:t>参加你方组织的</w:t>
      </w:r>
      <w:r>
        <w:rPr>
          <w:rFonts w:hint="eastAsia" w:cs="Calibri"/>
          <w:color w:val="000000" w:themeColor="text1"/>
          <w:u w:val="single"/>
          <w:lang w:eastAsia="zh-CN"/>
          <w14:textFill>
            <w14:solidFill>
              <w14:schemeClr w14:val="tx1"/>
            </w14:solidFill>
          </w14:textFill>
        </w:rPr>
        <w:t>湖州市人民政府康山街道办事处</w:t>
      </w:r>
      <w:r>
        <w:rPr>
          <w:rFonts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14:textFill>
            <w14:solidFill>
              <w14:schemeClr w14:val="tx1"/>
            </w14:solidFill>
          </w14:textFill>
        </w:rPr>
        <w:t>（项目名称）</w:t>
      </w:r>
      <w:r>
        <w:rPr>
          <w:rFonts w:hint="eastAsia" w:cs="Calibri"/>
          <w:color w:val="000000" w:themeColor="text1"/>
          <w:u w:val="single"/>
          <w:lang w:eastAsia="zh-CN"/>
          <w14:textFill>
            <w14:solidFill>
              <w14:schemeClr w14:val="tx1"/>
            </w14:solidFill>
          </w14:textFill>
        </w:rPr>
        <w:t>CTZB-2023060327</w:t>
      </w:r>
      <w:r>
        <w:rPr>
          <w:rFonts w:cs="Calibri"/>
          <w:color w:val="000000" w:themeColor="text1"/>
          <w14:textFill>
            <w14:solidFill>
              <w14:schemeClr w14:val="tx1"/>
            </w14:solidFill>
          </w14:textFill>
        </w:rPr>
        <w:t>（项目编号）的竞争性磋商采购活动，并对</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14:textFill>
            <w14:solidFill>
              <w14:schemeClr w14:val="tx1"/>
            </w14:solidFill>
          </w14:textFill>
        </w:rPr>
        <w:t>（标项名称）进行磋商响应。为此我方：</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1、承诺在磋商须知规定的磋商响应文件提交截止日起遵守本磋商响应文件中的承诺，且在磋商响应文件有效期满之前均具有约束力。</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2、承诺已经具备本项目采购文件规定的参加本项目政府采购活动的供应商应当具备的资格条件。</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3、已详细审核全部采购文件，包括采购文件补充文件（如果有）、有关附件，确认无误。</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4、提供磋商须知规定的全部磋商响应文件。</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5、初次报价详见《初次报价一览表》。</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6、保证遵守采购文件中的其他有关规定。</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8、保证忠实地执行双方所签订的合同，并承担合同规定的责任和义务。</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9、承诺不存在以下行为：</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a）提供虚假材料谋取中标、成交的；</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b）采取不正当手段诋毁、排挤其他供应商的；</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c）与采购人、其它供应商或者采购代理机构恶意串通的；</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d）向采购人、采购代理机构行贿或者提供其他不正当利益的；</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e）拒绝有关部门监督检查或提供虚假情况的。</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10、本磋商响应文件自磋商之日起120天内有效（如成交，顺延至合同结束）。</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11、承诺，磋商响应文件有效期内我单位如果撤销磋商响应文件的，我单位接受采购人提出的索赔。</w:t>
      </w:r>
    </w:p>
    <w:p>
      <w:pPr>
        <w:rPr>
          <w:rFonts w:cs="Calibri"/>
          <w:color w:val="000000" w:themeColor="text1"/>
          <w14:textFill>
            <w14:solidFill>
              <w14:schemeClr w14:val="tx1"/>
            </w14:solidFill>
          </w14:textFill>
        </w:rPr>
      </w:pPr>
    </w:p>
    <w:p>
      <w:pPr>
        <w:rPr>
          <w:rFonts w:cs="Calibri"/>
          <w:color w:val="000000" w:themeColor="text1"/>
          <w14:textFill>
            <w14:solidFill>
              <w14:schemeClr w14:val="tx1"/>
            </w14:solidFill>
          </w14:textFill>
        </w:rPr>
      </w:pP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供应商全称：</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（盖单位公章）</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日期：</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年  月  日</w:t>
      </w:r>
    </w:p>
    <w:p>
      <w:pPr>
        <w:rPr>
          <w:rFonts w:cs="Calibri"/>
          <w:color w:val="000000" w:themeColor="text1"/>
          <w:u w:val="single"/>
          <w14:textFill>
            <w14:solidFill>
              <w14:schemeClr w14:val="tx1"/>
            </w14:solidFill>
          </w14:textFill>
        </w:rPr>
      </w:pPr>
      <w:r>
        <w:rPr>
          <w:rFonts w:cs="Calibri"/>
          <w:color w:val="000000" w:themeColor="text1"/>
          <w14:textFill>
            <w14:solidFill>
              <w14:schemeClr w14:val="tx1"/>
            </w14:solidFill>
          </w14:textFill>
        </w:rPr>
        <w:t>单位地址：</w:t>
      </w:r>
      <w:r>
        <w:rPr>
          <w:rFonts w:cs="Calibri"/>
          <w:color w:val="000000" w:themeColor="text1"/>
          <w:u w:val="single"/>
          <w14:textFill>
            <w14:solidFill>
              <w14:schemeClr w14:val="tx1"/>
            </w14:solidFill>
          </w14:textFill>
        </w:rPr>
        <w:t xml:space="preserve">    </w:t>
      </w:r>
    </w:p>
    <w:p>
      <w:pPr>
        <w:rPr>
          <w:rFonts w:cs="Calibri"/>
          <w:color w:val="000000" w:themeColor="text1"/>
          <w:u w:val="single"/>
          <w14:textFill>
            <w14:solidFill>
              <w14:schemeClr w14:val="tx1"/>
            </w14:solidFill>
          </w14:textFill>
        </w:rPr>
      </w:pPr>
      <w:r>
        <w:rPr>
          <w:rFonts w:cs="Calibri"/>
          <w:color w:val="000000" w:themeColor="text1"/>
          <w14:textFill>
            <w14:solidFill>
              <w14:schemeClr w14:val="tx1"/>
            </w14:solidFill>
          </w14:textFill>
        </w:rPr>
        <w:t>邮编：</w:t>
      </w:r>
      <w:r>
        <w:rPr>
          <w:rFonts w:cs="Calibri"/>
          <w:color w:val="000000" w:themeColor="text1"/>
          <w:u w:val="single"/>
          <w14:textFill>
            <w14:solidFill>
              <w14:schemeClr w14:val="tx1"/>
            </w14:solidFill>
          </w14:textFill>
        </w:rPr>
        <w:t xml:space="preserve">     </w:t>
      </w:r>
    </w:p>
    <w:p>
      <w:pPr>
        <w:rPr>
          <w:rFonts w:cs="Calibri"/>
          <w:color w:val="000000" w:themeColor="text1"/>
          <w:u w:val="single"/>
          <w14:textFill>
            <w14:solidFill>
              <w14:schemeClr w14:val="tx1"/>
            </w14:solidFill>
          </w14:textFill>
        </w:rPr>
      </w:pPr>
      <w:r>
        <w:rPr>
          <w:rFonts w:cs="Calibri"/>
          <w:color w:val="000000" w:themeColor="text1"/>
          <w14:textFill>
            <w14:solidFill>
              <w14:schemeClr w14:val="tx1"/>
            </w14:solidFill>
          </w14:textFill>
        </w:rPr>
        <w:t>电话：</w:t>
      </w:r>
      <w:r>
        <w:rPr>
          <w:rFonts w:cs="Calibri"/>
          <w:color w:val="000000" w:themeColor="text1"/>
          <w:u w:val="single"/>
          <w14:textFill>
            <w14:solidFill>
              <w14:schemeClr w14:val="tx1"/>
            </w14:solidFill>
          </w14:textFill>
        </w:rPr>
        <w:t xml:space="preserve">     </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传真：</w:t>
      </w:r>
      <w:r>
        <w:rPr>
          <w:rFonts w:cs="Calibri"/>
          <w:color w:val="000000" w:themeColor="text1"/>
          <w:u w:val="single"/>
          <w14:textFill>
            <w14:solidFill>
              <w14:schemeClr w14:val="tx1"/>
            </w14:solidFill>
          </w14:textFill>
        </w:rPr>
        <w:t xml:space="preserve">       </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pPr>
        <w:jc w:val="center"/>
        <w:rPr>
          <w:rFonts w:cs="Calibri"/>
          <w:b/>
          <w:bCs/>
          <w:color w:val="000000" w:themeColor="text1"/>
          <w:sz w:val="28"/>
          <w:szCs w:val="28"/>
          <w14:textFill>
            <w14:solidFill>
              <w14:schemeClr w14:val="tx1"/>
            </w14:solidFill>
          </w14:textFill>
        </w:rPr>
      </w:pPr>
      <w:r>
        <w:rPr>
          <w:rFonts w:cs="Calibri"/>
          <w:b/>
          <w:bCs/>
          <w:color w:val="000000" w:themeColor="text1"/>
          <w:sz w:val="28"/>
          <w:szCs w:val="28"/>
          <w14:textFill>
            <w14:solidFill>
              <w14:schemeClr w14:val="tx1"/>
            </w14:solidFill>
          </w14:textFill>
        </w:rPr>
        <w:t>初次报价一览表</w:t>
      </w:r>
    </w:p>
    <w:p>
      <w:pPr>
        <w:rPr>
          <w:rFonts w:hint="eastAsia" w:eastAsia="宋体"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湖州市人民政府康山街道办事处</w:t>
      </w:r>
    </w:p>
    <w:p>
      <w:pPr>
        <w:rPr>
          <w:rFonts w:hint="eastAsia" w:eastAsia="宋体"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康山街道精细化管理服务外包项目</w:t>
      </w:r>
      <w:r>
        <w:rPr>
          <w:rFonts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CTZB-2023060327</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color w:val="000000" w:themeColor="text1"/>
                <w14:textFill>
                  <w14:solidFill>
                    <w14:schemeClr w14:val="tx1"/>
                  </w14:solidFill>
                </w14:textFill>
              </w:rPr>
            </w:pPr>
            <w:r>
              <w:rPr>
                <w:rFonts w:cs="Calibri"/>
                <w:b/>
                <w:color w:val="000000" w:themeColor="text1"/>
                <w14:textFill>
                  <w14:solidFill>
                    <w14:schemeClr w14:val="tx1"/>
                  </w14:solidFill>
                </w14:textFill>
              </w:rPr>
              <w:t>序号</w:t>
            </w:r>
          </w:p>
        </w:tc>
        <w:tc>
          <w:tcPr>
            <w:tcW w:w="4066" w:type="dxa"/>
            <w:vAlign w:val="center"/>
          </w:tcPr>
          <w:p>
            <w:pPr>
              <w:jc w:val="center"/>
              <w:rPr>
                <w:rFonts w:cs="Calibri"/>
                <w:b/>
                <w:color w:val="000000" w:themeColor="text1"/>
                <w14:textFill>
                  <w14:solidFill>
                    <w14:schemeClr w14:val="tx1"/>
                  </w14:solidFill>
                </w14:textFill>
              </w:rPr>
            </w:pPr>
            <w:r>
              <w:rPr>
                <w:rFonts w:cs="Calibri"/>
                <w:b/>
                <w:color w:val="000000" w:themeColor="text1"/>
                <w14:textFill>
                  <w14:solidFill>
                    <w14:schemeClr w14:val="tx1"/>
                  </w14:solidFill>
                </w14:textFill>
              </w:rPr>
              <w:t>标项名称</w:t>
            </w:r>
          </w:p>
        </w:tc>
        <w:tc>
          <w:tcPr>
            <w:tcW w:w="700" w:type="dxa"/>
            <w:vAlign w:val="center"/>
          </w:tcPr>
          <w:p>
            <w:pPr>
              <w:jc w:val="center"/>
              <w:rPr>
                <w:rFonts w:cs="Calibri"/>
                <w:b/>
                <w:color w:val="000000" w:themeColor="text1"/>
                <w14:textFill>
                  <w14:solidFill>
                    <w14:schemeClr w14:val="tx1"/>
                  </w14:solidFill>
                </w14:textFill>
              </w:rPr>
            </w:pPr>
            <w:r>
              <w:rPr>
                <w:rFonts w:cs="Calibri"/>
                <w:b/>
                <w:color w:val="000000" w:themeColor="text1"/>
                <w14:textFill>
                  <w14:solidFill>
                    <w14:schemeClr w14:val="tx1"/>
                  </w14:solidFill>
                </w14:textFill>
              </w:rPr>
              <w:t>数量</w:t>
            </w:r>
          </w:p>
        </w:tc>
        <w:tc>
          <w:tcPr>
            <w:tcW w:w="700" w:type="dxa"/>
            <w:vAlign w:val="center"/>
          </w:tcPr>
          <w:p>
            <w:pPr>
              <w:jc w:val="center"/>
              <w:rPr>
                <w:rFonts w:cs="Calibri"/>
                <w:b/>
                <w:color w:val="000000" w:themeColor="text1"/>
                <w14:textFill>
                  <w14:solidFill>
                    <w14:schemeClr w14:val="tx1"/>
                  </w14:solidFill>
                </w14:textFill>
              </w:rPr>
            </w:pPr>
            <w:r>
              <w:rPr>
                <w:rFonts w:cs="Calibri"/>
                <w:b/>
                <w:color w:val="000000" w:themeColor="text1"/>
                <w14:textFill>
                  <w14:solidFill>
                    <w14:schemeClr w14:val="tx1"/>
                  </w14:solidFill>
                </w14:textFill>
              </w:rPr>
              <w:t>单位</w:t>
            </w:r>
          </w:p>
        </w:tc>
        <w:tc>
          <w:tcPr>
            <w:tcW w:w="3176" w:type="dxa"/>
            <w:vAlign w:val="center"/>
          </w:tcPr>
          <w:p>
            <w:pPr>
              <w:jc w:val="center"/>
              <w:rPr>
                <w:rFonts w:cs="Calibri"/>
                <w:b/>
                <w:color w:val="000000" w:themeColor="text1"/>
                <w14:textFill>
                  <w14:solidFill>
                    <w14:schemeClr w14:val="tx1"/>
                  </w14:solidFill>
                </w14:textFill>
              </w:rPr>
            </w:pPr>
            <w:r>
              <w:rPr>
                <w:rFonts w:hint="eastAsia" w:cs="Calibri"/>
                <w:b/>
                <w:color w:val="000000" w:themeColor="text1"/>
                <w14:textFill>
                  <w14:solidFill>
                    <w14:schemeClr w14:val="tx1"/>
                  </w14:solidFill>
                </w14:textFill>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widowControl/>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w:t>
            </w:r>
          </w:p>
        </w:tc>
        <w:tc>
          <w:tcPr>
            <w:tcW w:w="4066" w:type="dxa"/>
            <w:vAlign w:val="center"/>
          </w:tcPr>
          <w:p>
            <w:pPr>
              <w:widowControl/>
              <w:jc w:val="left"/>
              <w:rPr>
                <w:rFonts w:hint="eastAsia" w:eastAsia="宋体" w:cs="Calibri"/>
                <w:color w:val="000000" w:themeColor="text1"/>
                <w:kern w:val="0"/>
                <w:szCs w:val="21"/>
                <w:lang w:eastAsia="zh-CN"/>
                <w14:textFill>
                  <w14:solidFill>
                    <w14:schemeClr w14:val="tx1"/>
                  </w14:solidFill>
                </w14:textFill>
              </w:rPr>
            </w:pPr>
            <w:r>
              <w:rPr>
                <w:rFonts w:hint="eastAsia" w:cs="Calibri"/>
                <w:color w:val="000000" w:themeColor="text1"/>
                <w:lang w:eastAsia="zh-CN"/>
                <w14:textFill>
                  <w14:solidFill>
                    <w14:schemeClr w14:val="tx1"/>
                  </w14:solidFill>
                </w14:textFill>
              </w:rPr>
              <w:t>康山街道精细化管理服务外包项目</w:t>
            </w:r>
          </w:p>
        </w:tc>
        <w:tc>
          <w:tcPr>
            <w:tcW w:w="700" w:type="dxa"/>
            <w:vAlign w:val="center"/>
          </w:tcPr>
          <w:p>
            <w:pPr>
              <w:widowControl/>
              <w:jc w:val="center"/>
              <w:rPr>
                <w:rFonts w:cs="Calibri"/>
                <w:color w:val="000000" w:themeColor="text1"/>
                <w:kern w:val="0"/>
                <w:szCs w:val="21"/>
                <w14:textFill>
                  <w14:solidFill>
                    <w14:schemeClr w14:val="tx1"/>
                  </w14:solidFill>
                </w14:textFill>
              </w:rPr>
            </w:pPr>
            <w:r>
              <w:rPr>
                <w:rFonts w:cs="Calibri"/>
                <w:color w:val="000000" w:themeColor="text1"/>
                <w:szCs w:val="21"/>
                <w14:textFill>
                  <w14:solidFill>
                    <w14:schemeClr w14:val="tx1"/>
                  </w14:solidFill>
                </w14:textFill>
              </w:rPr>
              <w:t>1</w:t>
            </w:r>
          </w:p>
        </w:tc>
        <w:tc>
          <w:tcPr>
            <w:tcW w:w="700" w:type="dxa"/>
            <w:vAlign w:val="center"/>
          </w:tcPr>
          <w:p>
            <w:pPr>
              <w:widowControl/>
              <w:jc w:val="center"/>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项</w:t>
            </w:r>
          </w:p>
        </w:tc>
        <w:tc>
          <w:tcPr>
            <w:tcW w:w="3176" w:type="dxa"/>
            <w:vAlign w:val="center"/>
          </w:tcPr>
          <w:p>
            <w:pPr>
              <w:jc w:val="center"/>
              <w:rPr>
                <w:rFonts w:cs="Calibri"/>
                <w:b/>
                <w:color w:val="000000" w:themeColor="text1"/>
                <w14:textFill>
                  <w14:solidFill>
                    <w14:schemeClr w14:val="tx1"/>
                  </w14:solidFill>
                </w14:textFill>
              </w:rPr>
            </w:pPr>
            <w:r>
              <w:rPr>
                <w:rFonts w:cs="Calibri"/>
                <w:b/>
                <w:bCs/>
                <w:color w:val="000000" w:themeColor="text1"/>
                <w14:textFill>
                  <w14:solidFill>
                    <w14:schemeClr w14:val="tx1"/>
                  </w14:solidFill>
                </w14:textFill>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6" w:type="dxa"/>
            <w:vAlign w:val="center"/>
          </w:tcPr>
          <w:p>
            <w:pPr>
              <w:jc w:val="center"/>
              <w:rPr>
                <w:rFonts w:cs="Calibri"/>
                <w:b/>
                <w:color w:val="000000" w:themeColor="text1"/>
                <w14:textFill>
                  <w14:solidFill>
                    <w14:schemeClr w14:val="tx1"/>
                  </w14:solidFill>
                </w14:textFill>
              </w:rPr>
            </w:pPr>
            <w:r>
              <w:rPr>
                <w:rFonts w:cs="Calibri"/>
                <w:b/>
                <w:color w:val="000000" w:themeColor="text1"/>
                <w14:textFill>
                  <w14:solidFill>
                    <w14:schemeClr w14:val="tx1"/>
                  </w14:solidFill>
                </w14:textFill>
              </w:rPr>
              <w:t>2</w:t>
            </w:r>
          </w:p>
        </w:tc>
        <w:tc>
          <w:tcPr>
            <w:tcW w:w="4066" w:type="dxa"/>
            <w:vAlign w:val="center"/>
          </w:tcPr>
          <w:p>
            <w:pPr>
              <w:jc w:val="center"/>
              <w:rPr>
                <w:rFonts w:cs="Calibri"/>
                <w:b/>
                <w:color w:val="000000" w:themeColor="text1"/>
                <w14:textFill>
                  <w14:solidFill>
                    <w14:schemeClr w14:val="tx1"/>
                  </w14:solidFill>
                </w14:textFill>
              </w:rPr>
            </w:pPr>
            <w:r>
              <w:rPr>
                <w:rFonts w:cs="Calibri"/>
                <w:color w:val="000000" w:themeColor="text1"/>
                <w14:textFill>
                  <w14:solidFill>
                    <w14:schemeClr w14:val="tx1"/>
                  </w14:solidFill>
                </w14:textFill>
              </w:rPr>
              <w:t>报价合计</w:t>
            </w:r>
          </w:p>
        </w:tc>
        <w:tc>
          <w:tcPr>
            <w:tcW w:w="4576" w:type="dxa"/>
            <w:gridSpan w:val="3"/>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小写：￥</w:t>
            </w:r>
          </w:p>
          <w:p>
            <w:pPr>
              <w:rPr>
                <w:rFonts w:cs="Calibri"/>
                <w:b/>
                <w:color w:val="000000" w:themeColor="text1"/>
                <w14:textFill>
                  <w14:solidFill>
                    <w14:schemeClr w14:val="tx1"/>
                  </w14:solidFill>
                </w14:textFill>
              </w:rPr>
            </w:pPr>
            <w:r>
              <w:rPr>
                <w:rFonts w:cs="Calibri"/>
                <w:color w:val="000000" w:themeColor="text1"/>
                <w14:textFill>
                  <w14:solidFill>
                    <w14:schemeClr w14:val="tx1"/>
                  </w14:solidFill>
                </w14:textFill>
              </w:rPr>
              <w:t>大写：人民币</w:t>
            </w:r>
          </w:p>
        </w:tc>
      </w:tr>
    </w:tbl>
    <w:p>
      <w:pPr>
        <w:adjustRightInd w:val="0"/>
        <w:ind w:firstLine="420" w:firstLineChars="200"/>
        <w:rPr>
          <w:rFonts w:cs="Calibri"/>
          <w:color w:val="000000" w:themeColor="text1"/>
          <w:szCs w:val="21"/>
          <w14:textFill>
            <w14:solidFill>
              <w14:schemeClr w14:val="tx1"/>
            </w14:solidFill>
          </w14:textFill>
        </w:rPr>
      </w:pP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rPr>
          <w:rFonts w:cs="Calibri"/>
          <w:color w:val="000000" w:themeColor="text1"/>
          <w14:textFill>
            <w14:solidFill>
              <w14:schemeClr w14:val="tx1"/>
            </w14:solidFill>
          </w14:textFill>
        </w:rPr>
      </w:pP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填写说明：</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（1）具体价格明细详见《初次报价组成明细表》。</w:t>
      </w:r>
    </w:p>
    <w:p>
      <w:pPr>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（2）大写金额与小写金额不一致时，以大写金额为准。</w:t>
      </w:r>
    </w:p>
    <w:p>
      <w:pPr>
        <w:pStyle w:val="8"/>
        <w:ind w:firstLine="422"/>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pPr>
        <w:jc w:val="center"/>
        <w:rPr>
          <w:rFonts w:cs="Calibri"/>
          <w:b/>
          <w:bCs/>
          <w:color w:val="000000" w:themeColor="text1"/>
          <w:sz w:val="28"/>
          <w:szCs w:val="28"/>
          <w14:textFill>
            <w14:solidFill>
              <w14:schemeClr w14:val="tx1"/>
            </w14:solidFill>
          </w14:textFill>
        </w:rPr>
      </w:pPr>
      <w:r>
        <w:rPr>
          <w:rFonts w:cs="Calibri"/>
          <w:b/>
          <w:bCs/>
          <w:color w:val="000000" w:themeColor="text1"/>
          <w:sz w:val="28"/>
          <w:szCs w:val="28"/>
          <w14:textFill>
            <w14:solidFill>
              <w14:schemeClr w14:val="tx1"/>
            </w14:solidFill>
          </w14:textFill>
        </w:rPr>
        <w:t>初次报价组成明细表</w:t>
      </w:r>
    </w:p>
    <w:p>
      <w:pPr>
        <w:rPr>
          <w:rFonts w:hint="eastAsia" w:eastAsia="宋体"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采购人：</w:t>
      </w:r>
      <w:r>
        <w:rPr>
          <w:rFonts w:hint="eastAsia" w:cs="Calibri"/>
          <w:color w:val="000000" w:themeColor="text1"/>
          <w:lang w:eastAsia="zh-CN"/>
          <w14:textFill>
            <w14:solidFill>
              <w14:schemeClr w14:val="tx1"/>
            </w14:solidFill>
          </w14:textFill>
        </w:rPr>
        <w:t>湖州市人民政府康山街道办事处</w:t>
      </w:r>
    </w:p>
    <w:p>
      <w:pPr>
        <w:rPr>
          <w:rFonts w:hint="eastAsia"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项目名称：</w:t>
      </w:r>
      <w:r>
        <w:rPr>
          <w:rFonts w:hint="eastAsia" w:cs="Calibri"/>
          <w:color w:val="000000" w:themeColor="text1"/>
          <w:lang w:eastAsia="zh-CN"/>
          <w14:textFill>
            <w14:solidFill>
              <w14:schemeClr w14:val="tx1"/>
            </w14:solidFill>
          </w14:textFill>
        </w:rPr>
        <w:t>康山街道精细化管理服务外包项目</w:t>
      </w:r>
    </w:p>
    <w:p>
      <w:pPr>
        <w:rPr>
          <w:rFonts w:hint="eastAsia" w:eastAsia="宋体" w:cs="Calibri"/>
          <w:color w:val="000000" w:themeColor="text1"/>
          <w:lang w:eastAsia="zh-CN"/>
          <w14:textFill>
            <w14:solidFill>
              <w14:schemeClr w14:val="tx1"/>
            </w14:solidFill>
          </w14:textFill>
        </w:rPr>
      </w:pPr>
      <w:r>
        <w:rPr>
          <w:rFonts w:cs="Calibri"/>
          <w:color w:val="000000" w:themeColor="text1"/>
          <w14:textFill>
            <w14:solidFill>
              <w14:schemeClr w14:val="tx1"/>
            </w14:solidFill>
          </w14:textFill>
        </w:rPr>
        <w:t>项目编号：</w:t>
      </w:r>
      <w:r>
        <w:rPr>
          <w:rFonts w:hint="eastAsia" w:cs="Calibri"/>
          <w:color w:val="000000" w:themeColor="text1"/>
          <w:lang w:eastAsia="zh-CN"/>
          <w14:textFill>
            <w14:solidFill>
              <w14:schemeClr w14:val="tx1"/>
            </w14:solidFill>
          </w14:textFill>
        </w:rPr>
        <w:t>CTZB-2023060327</w:t>
      </w:r>
    </w:p>
    <w:p>
      <w:pPr>
        <w:jc w:val="both"/>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标项名称：</w:t>
      </w:r>
      <w:r>
        <w:rPr>
          <w:rFonts w:hint="eastAsia" w:cs="Calibri"/>
          <w:color w:val="000000" w:themeColor="text1"/>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（价格单位：元人民币）</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序号</w:t>
            </w:r>
          </w:p>
        </w:tc>
        <w:tc>
          <w:tcPr>
            <w:tcW w:w="183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内容名称</w:t>
            </w:r>
          </w:p>
        </w:tc>
        <w:tc>
          <w:tcPr>
            <w:tcW w:w="1633"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内容描述</w:t>
            </w:r>
          </w:p>
        </w:tc>
        <w:tc>
          <w:tcPr>
            <w:tcW w:w="738"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数量</w:t>
            </w:r>
          </w:p>
        </w:tc>
        <w:tc>
          <w:tcPr>
            <w:tcW w:w="754"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单位</w:t>
            </w:r>
          </w:p>
        </w:tc>
        <w:tc>
          <w:tcPr>
            <w:tcW w:w="122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单价</w:t>
            </w:r>
          </w:p>
        </w:tc>
        <w:tc>
          <w:tcPr>
            <w:tcW w:w="1191"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合价</w:t>
            </w:r>
          </w:p>
        </w:tc>
        <w:tc>
          <w:tcPr>
            <w:tcW w:w="1258" w:type="dxa"/>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p>
        </w:tc>
        <w:tc>
          <w:tcPr>
            <w:tcW w:w="1833" w:type="dxa"/>
            <w:vAlign w:val="center"/>
          </w:tcPr>
          <w:p>
            <w:pPr>
              <w:rPr>
                <w:rFonts w:cs="Calibri"/>
                <w:color w:val="000000" w:themeColor="text1"/>
                <w14:textFill>
                  <w14:solidFill>
                    <w14:schemeClr w14:val="tx1"/>
                  </w14:solidFill>
                </w14:textFill>
              </w:rPr>
            </w:pPr>
          </w:p>
        </w:tc>
        <w:tc>
          <w:tcPr>
            <w:tcW w:w="1633" w:type="dxa"/>
            <w:vAlign w:val="center"/>
          </w:tcPr>
          <w:p>
            <w:pPr>
              <w:rPr>
                <w:rFonts w:cs="Calibri"/>
                <w:color w:val="000000" w:themeColor="text1"/>
                <w14:textFill>
                  <w14:solidFill>
                    <w14:schemeClr w14:val="tx1"/>
                  </w14:solidFill>
                </w14:textFill>
              </w:rPr>
            </w:pPr>
          </w:p>
        </w:tc>
        <w:tc>
          <w:tcPr>
            <w:tcW w:w="738" w:type="dxa"/>
            <w:vAlign w:val="center"/>
          </w:tcPr>
          <w:p>
            <w:pPr>
              <w:rPr>
                <w:rFonts w:cs="Calibri"/>
                <w:color w:val="000000" w:themeColor="text1"/>
                <w14:textFill>
                  <w14:solidFill>
                    <w14:schemeClr w14:val="tx1"/>
                  </w14:solidFill>
                </w14:textFill>
              </w:rPr>
            </w:pPr>
          </w:p>
        </w:tc>
        <w:tc>
          <w:tcPr>
            <w:tcW w:w="754" w:type="dxa"/>
            <w:vAlign w:val="center"/>
          </w:tcPr>
          <w:p>
            <w:pPr>
              <w:rPr>
                <w:rFonts w:cs="Calibri"/>
                <w:color w:val="000000" w:themeColor="text1"/>
                <w14:textFill>
                  <w14:solidFill>
                    <w14:schemeClr w14:val="tx1"/>
                  </w14:solidFill>
                </w14:textFill>
              </w:rPr>
            </w:pPr>
          </w:p>
        </w:tc>
        <w:tc>
          <w:tcPr>
            <w:tcW w:w="1221" w:type="dxa"/>
            <w:vAlign w:val="center"/>
          </w:tcPr>
          <w:p>
            <w:pPr>
              <w:rPr>
                <w:rFonts w:cs="Calibri"/>
                <w:color w:val="000000" w:themeColor="text1"/>
                <w14:textFill>
                  <w14:solidFill>
                    <w14:schemeClr w14:val="tx1"/>
                  </w14:solidFill>
                </w14:textFill>
              </w:rPr>
            </w:pPr>
          </w:p>
        </w:tc>
        <w:tc>
          <w:tcPr>
            <w:tcW w:w="1191" w:type="dxa"/>
          </w:tcPr>
          <w:p>
            <w:pPr>
              <w:rPr>
                <w:rFonts w:cs="Calibri"/>
                <w:color w:val="000000" w:themeColor="text1"/>
                <w14:textFill>
                  <w14:solidFill>
                    <w14:schemeClr w14:val="tx1"/>
                  </w14:solidFill>
                </w14:textFill>
              </w:rPr>
            </w:pPr>
          </w:p>
        </w:tc>
        <w:tc>
          <w:tcPr>
            <w:tcW w:w="1258" w:type="dxa"/>
            <w:vAlign w:val="center"/>
          </w:tcPr>
          <w:p>
            <w:pPr>
              <w:rPr>
                <w:rFonts w:cs="Calibr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p>
        </w:tc>
        <w:tc>
          <w:tcPr>
            <w:tcW w:w="1833" w:type="dxa"/>
            <w:vAlign w:val="center"/>
          </w:tcPr>
          <w:p>
            <w:pPr>
              <w:rPr>
                <w:rFonts w:cs="Calibri"/>
                <w:color w:val="000000" w:themeColor="text1"/>
                <w14:textFill>
                  <w14:solidFill>
                    <w14:schemeClr w14:val="tx1"/>
                  </w14:solidFill>
                </w14:textFill>
              </w:rPr>
            </w:pPr>
          </w:p>
        </w:tc>
        <w:tc>
          <w:tcPr>
            <w:tcW w:w="1633" w:type="dxa"/>
            <w:vAlign w:val="center"/>
          </w:tcPr>
          <w:p>
            <w:pPr>
              <w:rPr>
                <w:rFonts w:cs="Calibri"/>
                <w:color w:val="000000" w:themeColor="text1"/>
                <w14:textFill>
                  <w14:solidFill>
                    <w14:schemeClr w14:val="tx1"/>
                  </w14:solidFill>
                </w14:textFill>
              </w:rPr>
            </w:pPr>
          </w:p>
        </w:tc>
        <w:tc>
          <w:tcPr>
            <w:tcW w:w="738" w:type="dxa"/>
            <w:vAlign w:val="center"/>
          </w:tcPr>
          <w:p>
            <w:pPr>
              <w:rPr>
                <w:rFonts w:cs="Calibri"/>
                <w:color w:val="000000" w:themeColor="text1"/>
                <w14:textFill>
                  <w14:solidFill>
                    <w14:schemeClr w14:val="tx1"/>
                  </w14:solidFill>
                </w14:textFill>
              </w:rPr>
            </w:pPr>
          </w:p>
        </w:tc>
        <w:tc>
          <w:tcPr>
            <w:tcW w:w="754" w:type="dxa"/>
            <w:vAlign w:val="center"/>
          </w:tcPr>
          <w:p>
            <w:pPr>
              <w:rPr>
                <w:rFonts w:cs="Calibri"/>
                <w:color w:val="000000" w:themeColor="text1"/>
                <w14:textFill>
                  <w14:solidFill>
                    <w14:schemeClr w14:val="tx1"/>
                  </w14:solidFill>
                </w14:textFill>
              </w:rPr>
            </w:pPr>
          </w:p>
        </w:tc>
        <w:tc>
          <w:tcPr>
            <w:tcW w:w="1221" w:type="dxa"/>
            <w:vAlign w:val="center"/>
          </w:tcPr>
          <w:p>
            <w:pPr>
              <w:rPr>
                <w:rFonts w:cs="Calibri"/>
                <w:color w:val="000000" w:themeColor="text1"/>
                <w14:textFill>
                  <w14:solidFill>
                    <w14:schemeClr w14:val="tx1"/>
                  </w14:solidFill>
                </w14:textFill>
              </w:rPr>
            </w:pPr>
          </w:p>
        </w:tc>
        <w:tc>
          <w:tcPr>
            <w:tcW w:w="1191" w:type="dxa"/>
          </w:tcPr>
          <w:p>
            <w:pPr>
              <w:rPr>
                <w:rFonts w:cs="Calibri"/>
                <w:color w:val="000000" w:themeColor="text1"/>
                <w14:textFill>
                  <w14:solidFill>
                    <w14:schemeClr w14:val="tx1"/>
                  </w14:solidFill>
                </w14:textFill>
              </w:rPr>
            </w:pPr>
          </w:p>
        </w:tc>
        <w:tc>
          <w:tcPr>
            <w:tcW w:w="1258" w:type="dxa"/>
            <w:vAlign w:val="center"/>
          </w:tcPr>
          <w:p>
            <w:pPr>
              <w:rPr>
                <w:rFonts w:cs="Calibr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p>
        </w:tc>
        <w:tc>
          <w:tcPr>
            <w:tcW w:w="1833" w:type="dxa"/>
            <w:vAlign w:val="center"/>
          </w:tcPr>
          <w:p>
            <w:pPr>
              <w:rPr>
                <w:rFonts w:cs="Calibri"/>
                <w:color w:val="000000" w:themeColor="text1"/>
                <w14:textFill>
                  <w14:solidFill>
                    <w14:schemeClr w14:val="tx1"/>
                  </w14:solidFill>
                </w14:textFill>
              </w:rPr>
            </w:pPr>
          </w:p>
        </w:tc>
        <w:tc>
          <w:tcPr>
            <w:tcW w:w="1633" w:type="dxa"/>
            <w:vAlign w:val="center"/>
          </w:tcPr>
          <w:p>
            <w:pPr>
              <w:rPr>
                <w:rFonts w:cs="Calibri"/>
                <w:color w:val="000000" w:themeColor="text1"/>
                <w14:textFill>
                  <w14:solidFill>
                    <w14:schemeClr w14:val="tx1"/>
                  </w14:solidFill>
                </w14:textFill>
              </w:rPr>
            </w:pPr>
          </w:p>
        </w:tc>
        <w:tc>
          <w:tcPr>
            <w:tcW w:w="738" w:type="dxa"/>
            <w:vAlign w:val="center"/>
          </w:tcPr>
          <w:p>
            <w:pPr>
              <w:rPr>
                <w:rFonts w:cs="Calibri"/>
                <w:color w:val="000000" w:themeColor="text1"/>
                <w14:textFill>
                  <w14:solidFill>
                    <w14:schemeClr w14:val="tx1"/>
                  </w14:solidFill>
                </w14:textFill>
              </w:rPr>
            </w:pPr>
          </w:p>
        </w:tc>
        <w:tc>
          <w:tcPr>
            <w:tcW w:w="754" w:type="dxa"/>
            <w:vAlign w:val="center"/>
          </w:tcPr>
          <w:p>
            <w:pPr>
              <w:rPr>
                <w:rFonts w:cs="Calibri"/>
                <w:color w:val="000000" w:themeColor="text1"/>
                <w14:textFill>
                  <w14:solidFill>
                    <w14:schemeClr w14:val="tx1"/>
                  </w14:solidFill>
                </w14:textFill>
              </w:rPr>
            </w:pPr>
          </w:p>
        </w:tc>
        <w:tc>
          <w:tcPr>
            <w:tcW w:w="1221" w:type="dxa"/>
            <w:vAlign w:val="center"/>
          </w:tcPr>
          <w:p>
            <w:pPr>
              <w:rPr>
                <w:rFonts w:cs="Calibri"/>
                <w:color w:val="000000" w:themeColor="text1"/>
                <w14:textFill>
                  <w14:solidFill>
                    <w14:schemeClr w14:val="tx1"/>
                  </w14:solidFill>
                </w14:textFill>
              </w:rPr>
            </w:pPr>
          </w:p>
        </w:tc>
        <w:tc>
          <w:tcPr>
            <w:tcW w:w="1191" w:type="dxa"/>
          </w:tcPr>
          <w:p>
            <w:pPr>
              <w:rPr>
                <w:rFonts w:cs="Calibri"/>
                <w:color w:val="000000" w:themeColor="text1"/>
                <w14:textFill>
                  <w14:solidFill>
                    <w14:schemeClr w14:val="tx1"/>
                  </w14:solidFill>
                </w14:textFill>
              </w:rPr>
            </w:pPr>
          </w:p>
        </w:tc>
        <w:tc>
          <w:tcPr>
            <w:tcW w:w="1258" w:type="dxa"/>
            <w:vAlign w:val="center"/>
          </w:tcPr>
          <w:p>
            <w:pPr>
              <w:rPr>
                <w:rFonts w:cs="Calibr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p>
        </w:tc>
        <w:tc>
          <w:tcPr>
            <w:tcW w:w="1833" w:type="dxa"/>
            <w:vAlign w:val="center"/>
          </w:tcPr>
          <w:p>
            <w:pPr>
              <w:rPr>
                <w:rFonts w:cs="Calibri"/>
                <w:color w:val="000000" w:themeColor="text1"/>
                <w14:textFill>
                  <w14:solidFill>
                    <w14:schemeClr w14:val="tx1"/>
                  </w14:solidFill>
                </w14:textFill>
              </w:rPr>
            </w:pPr>
          </w:p>
        </w:tc>
        <w:tc>
          <w:tcPr>
            <w:tcW w:w="1633" w:type="dxa"/>
            <w:vAlign w:val="center"/>
          </w:tcPr>
          <w:p>
            <w:pPr>
              <w:rPr>
                <w:rFonts w:cs="Calibri"/>
                <w:color w:val="000000" w:themeColor="text1"/>
                <w14:textFill>
                  <w14:solidFill>
                    <w14:schemeClr w14:val="tx1"/>
                  </w14:solidFill>
                </w14:textFill>
              </w:rPr>
            </w:pPr>
          </w:p>
        </w:tc>
        <w:tc>
          <w:tcPr>
            <w:tcW w:w="738" w:type="dxa"/>
            <w:vAlign w:val="center"/>
          </w:tcPr>
          <w:p>
            <w:pPr>
              <w:rPr>
                <w:rFonts w:cs="Calibri"/>
                <w:color w:val="000000" w:themeColor="text1"/>
                <w14:textFill>
                  <w14:solidFill>
                    <w14:schemeClr w14:val="tx1"/>
                  </w14:solidFill>
                </w14:textFill>
              </w:rPr>
            </w:pPr>
          </w:p>
        </w:tc>
        <w:tc>
          <w:tcPr>
            <w:tcW w:w="754" w:type="dxa"/>
            <w:vAlign w:val="center"/>
          </w:tcPr>
          <w:p>
            <w:pPr>
              <w:rPr>
                <w:rFonts w:cs="Calibri"/>
                <w:color w:val="000000" w:themeColor="text1"/>
                <w14:textFill>
                  <w14:solidFill>
                    <w14:schemeClr w14:val="tx1"/>
                  </w14:solidFill>
                </w14:textFill>
              </w:rPr>
            </w:pPr>
          </w:p>
        </w:tc>
        <w:tc>
          <w:tcPr>
            <w:tcW w:w="1221" w:type="dxa"/>
            <w:vAlign w:val="center"/>
          </w:tcPr>
          <w:p>
            <w:pPr>
              <w:rPr>
                <w:rFonts w:cs="Calibri"/>
                <w:color w:val="000000" w:themeColor="text1"/>
                <w14:textFill>
                  <w14:solidFill>
                    <w14:schemeClr w14:val="tx1"/>
                  </w14:solidFill>
                </w14:textFill>
              </w:rPr>
            </w:pPr>
          </w:p>
        </w:tc>
        <w:tc>
          <w:tcPr>
            <w:tcW w:w="1191" w:type="dxa"/>
          </w:tcPr>
          <w:p>
            <w:pPr>
              <w:rPr>
                <w:rFonts w:cs="Calibri"/>
                <w:color w:val="000000" w:themeColor="text1"/>
                <w14:textFill>
                  <w14:solidFill>
                    <w14:schemeClr w14:val="tx1"/>
                  </w14:solidFill>
                </w14:textFill>
              </w:rPr>
            </w:pPr>
          </w:p>
        </w:tc>
        <w:tc>
          <w:tcPr>
            <w:tcW w:w="1258" w:type="dxa"/>
            <w:vAlign w:val="center"/>
          </w:tcPr>
          <w:p>
            <w:pPr>
              <w:rPr>
                <w:rFonts w:cs="Calibr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vAlign w:val="center"/>
          </w:tcPr>
          <w:p>
            <w:pPr>
              <w:rPr>
                <w:rFonts w:cs="Calibri"/>
                <w:color w:val="000000" w:themeColor="text1"/>
                <w14:textFill>
                  <w14:solidFill>
                    <w14:schemeClr w14:val="tx1"/>
                  </w14:solidFill>
                </w14:textFill>
              </w:rPr>
            </w:pPr>
          </w:p>
        </w:tc>
        <w:tc>
          <w:tcPr>
            <w:tcW w:w="6179" w:type="dxa"/>
            <w:gridSpan w:val="5"/>
            <w:vAlign w:val="center"/>
          </w:tcPr>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合计（以上费用之和）</w:t>
            </w:r>
          </w:p>
        </w:tc>
        <w:tc>
          <w:tcPr>
            <w:tcW w:w="1191" w:type="dxa"/>
          </w:tcPr>
          <w:p>
            <w:pPr>
              <w:rPr>
                <w:rFonts w:cs="Calibri"/>
                <w:color w:val="000000" w:themeColor="text1"/>
                <w14:textFill>
                  <w14:solidFill>
                    <w14:schemeClr w14:val="tx1"/>
                  </w14:solidFill>
                </w14:textFill>
              </w:rPr>
            </w:pPr>
          </w:p>
        </w:tc>
        <w:tc>
          <w:tcPr>
            <w:tcW w:w="1258" w:type="dxa"/>
            <w:vAlign w:val="center"/>
          </w:tcPr>
          <w:p>
            <w:pPr>
              <w:rPr>
                <w:rFonts w:cs="Calibri"/>
                <w:color w:val="000000" w:themeColor="text1"/>
                <w14:textFill>
                  <w14:solidFill>
                    <w14:schemeClr w14:val="tx1"/>
                  </w14:solidFill>
                </w14:textFill>
              </w:rPr>
            </w:pPr>
          </w:p>
        </w:tc>
      </w:tr>
    </w:tbl>
    <w:p>
      <w:pPr>
        <w:pStyle w:val="22"/>
        <w:adjustRightInd w:val="0"/>
        <w:ind w:firstLine="480"/>
        <w:rPr>
          <w:rFonts w:ascii="Calibri" w:hAnsi="Calibri" w:cs="Calibri"/>
          <w:color w:val="000000" w:themeColor="text1"/>
          <w14:textFill>
            <w14:solidFill>
              <w14:schemeClr w14:val="tx1"/>
            </w14:solidFill>
          </w14:textFill>
        </w:rPr>
      </w:pP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供应商全称：</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（盖单位公章）</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日期：</w:t>
      </w:r>
      <w:r>
        <w:rPr>
          <w:rFonts w:hint="eastAsia" w:cs="Calibri"/>
          <w:color w:val="000000" w:themeColor="text1"/>
          <w14:textFill>
            <w14:solidFill>
              <w14:schemeClr w14:val="tx1"/>
            </w14:solidFill>
          </w14:textFill>
        </w:rPr>
        <w:t xml:space="preserve">  </w:t>
      </w:r>
      <w:r>
        <w:rPr>
          <w:rFonts w:cs="Calibri"/>
          <w:color w:val="000000" w:themeColor="text1"/>
          <w14:textFill>
            <w14:solidFill>
              <w14:schemeClr w14:val="tx1"/>
            </w14:solidFill>
          </w14:textFill>
        </w:rPr>
        <w:t>年  月  日</w:t>
      </w:r>
    </w:p>
    <w:p>
      <w:pPr>
        <w:ind w:firstLine="420" w:firstLineChars="200"/>
        <w:rPr>
          <w:rFonts w:cs="Calibri"/>
          <w:color w:val="000000" w:themeColor="text1"/>
          <w14:textFill>
            <w14:solidFill>
              <w14:schemeClr w14:val="tx1"/>
            </w14:solidFill>
          </w14:textFill>
        </w:rPr>
      </w:pP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报价说明：</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（1）除甲方提供采购文件约定的内容外，其他均由乙方完成。</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（2）服务、工程所使用的设备按设备使用费计入。</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（3）合计费用结转至初次报价一览表。</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（4）表中不得有给予采购人的赠品、回扣或者与本项目采购无关的其他商品、服务。</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（5）各分项报价应合理，且不应低于成本。</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（6）根据联合协议、分包意向协议内容，在备注栏填写承接主体。如供应商非联合体或不分包，不用填写。</w:t>
      </w:r>
    </w:p>
    <w:p>
      <w:pPr>
        <w:pStyle w:val="8"/>
        <w:ind w:firstLine="422"/>
        <w:rPr>
          <w:rFonts w:cs="Calibri"/>
          <w:bCs/>
          <w:color w:val="000000" w:themeColor="text1"/>
          <w:sz w:val="24"/>
          <w14:textFill>
            <w14:solidFill>
              <w14:schemeClr w14:val="tx1"/>
            </w14:solidFill>
          </w14:textFill>
        </w:rPr>
      </w:pPr>
      <w:r>
        <w:rPr>
          <w:rFonts w:cs="Calibri"/>
          <w:color w:val="000000" w:themeColor="text1"/>
          <w14:textFill>
            <w14:solidFill>
              <w14:schemeClr w14:val="tx1"/>
            </w14:solidFill>
          </w14:textFill>
        </w:rPr>
        <w:br w:type="page"/>
      </w:r>
    </w:p>
    <w:p>
      <w:pPr>
        <w:jc w:val="center"/>
        <w:rPr>
          <w:rFonts w:cs="Calibri"/>
          <w:b/>
          <w:bCs/>
          <w:color w:val="000000" w:themeColor="text1"/>
          <w:sz w:val="28"/>
          <w:szCs w:val="28"/>
          <w14:textFill>
            <w14:solidFill>
              <w14:schemeClr w14:val="tx1"/>
            </w14:solidFill>
          </w14:textFill>
        </w:rPr>
      </w:pPr>
      <w:r>
        <w:rPr>
          <w:rFonts w:cs="Calibri"/>
          <w:b/>
          <w:bCs/>
          <w:color w:val="000000" w:themeColor="text1"/>
          <w:sz w:val="28"/>
          <w:szCs w:val="28"/>
          <w14:textFill>
            <w14:solidFill>
              <w14:schemeClr w14:val="tx1"/>
            </w14:solidFill>
          </w14:textFill>
        </w:rPr>
        <w:t>交纳代理服务费承诺书</w:t>
      </w:r>
    </w:p>
    <w:p>
      <w:pPr>
        <w:adjustRightInd w:val="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浙江省成套招标代理有限公司：</w:t>
      </w:r>
    </w:p>
    <w:p>
      <w:pPr>
        <w:adjustRightInd w:val="0"/>
        <w:ind w:firstLine="420" w:firstLineChars="200"/>
        <w:rPr>
          <w:rFonts w:cs="Calibri"/>
          <w:color w:val="000000" w:themeColor="text1"/>
          <w:szCs w:val="21"/>
          <w14:textFill>
            <w14:solidFill>
              <w14:schemeClr w14:val="tx1"/>
            </w14:solidFill>
          </w14:textFill>
        </w:rPr>
      </w:pP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lang w:eastAsia="zh-CN"/>
          <w14:textFill>
            <w14:solidFill>
              <w14:schemeClr w14:val="tx1"/>
            </w14:solidFill>
          </w14:textFill>
        </w:rPr>
        <w:t>湖州市人民政府康山街道办事处</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CTZB-2023060327</w:t>
      </w:r>
      <w:r>
        <w:rPr>
          <w:rFonts w:cs="Calibri"/>
          <w:color w:val="000000" w:themeColor="text1"/>
          <w:szCs w:val="21"/>
          <w14:textFill>
            <w14:solidFill>
              <w14:schemeClr w14:val="tx1"/>
            </w14:solidFill>
          </w14:textFill>
        </w:rPr>
        <w:t>（项目编号）</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（标项名称）的采购中若获成交，我单位保证按文件的规定，向浙江省成套招标代理有限公司支付采购代理服务费。如我单位未按上述承诺支付采购代理服务费</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由此产生的一切法律后果和责任由我单位承担。</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我单位声明放弃对此提出任何异议和追索的权利。</w:t>
      </w:r>
    </w:p>
    <w:p>
      <w:pPr>
        <w:adjustRightInd w:val="0"/>
        <w:ind w:firstLine="420" w:firstLineChars="200"/>
        <w:rPr>
          <w:rFonts w:cs="Calibri"/>
          <w:color w:val="000000" w:themeColor="text1"/>
          <w:szCs w:val="21"/>
          <w14:textFill>
            <w14:solidFill>
              <w14:schemeClr w14:val="tx1"/>
            </w14:solidFill>
          </w14:textFill>
        </w:rPr>
      </w:pPr>
    </w:p>
    <w:p>
      <w:pPr>
        <w:pStyle w:val="22"/>
        <w:adjustRightInd w:val="0"/>
        <w:ind w:firstLine="420" w:firstLineChars="200"/>
        <w:rPr>
          <w:rFonts w:ascii="Calibri" w:hAnsi="Calibri" w:cs="Calibri"/>
          <w:color w:val="000000" w:themeColor="text1"/>
          <w:szCs w:val="21"/>
          <w14:textFill>
            <w14:solidFill>
              <w14:schemeClr w14:val="tx1"/>
            </w14:solidFill>
          </w14:textFill>
        </w:rPr>
      </w:pPr>
      <w:r>
        <w:rPr>
          <w:rFonts w:ascii="Calibri" w:hAnsi="Calibri" w:cs="Calibri"/>
          <w:color w:val="000000" w:themeColor="text1"/>
          <w:szCs w:val="21"/>
          <w14:textFill>
            <w14:solidFill>
              <w14:schemeClr w14:val="tx1"/>
            </w14:solidFill>
          </w14:textFill>
        </w:rPr>
        <w:t>特此承诺。</w:t>
      </w: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pPr>
        <w:pStyle w:val="22"/>
        <w:adjustRightInd w:val="0"/>
        <w:jc w:val="center"/>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政府采购活动现场确认声明书</w:t>
      </w:r>
    </w:p>
    <w:p>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浙江省成套招标代理有限公司：</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本人经由单位法定代表人合法授权参加</w:t>
      </w:r>
      <w:r>
        <w:rPr>
          <w:rFonts w:hint="eastAsia" w:cs="Calibri"/>
          <w:color w:val="000000" w:themeColor="text1"/>
          <w:u w:val="single"/>
          <w:lang w:eastAsia="zh-CN"/>
          <w14:textFill>
            <w14:solidFill>
              <w14:schemeClr w14:val="tx1"/>
            </w14:solidFill>
          </w14:textFill>
        </w:rPr>
        <w:t>湖州市人民政府康山街道办事处</w:t>
      </w:r>
      <w:r>
        <w:rPr>
          <w:rFonts w:cs="Calibri"/>
          <w:color w:val="000000" w:themeColor="text1"/>
          <w14:textFill>
            <w14:solidFill>
              <w14:schemeClr w14:val="tx1"/>
            </w14:solidFill>
          </w14:textFill>
        </w:rPr>
        <w:t>（采购人）</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14:textFill>
            <w14:solidFill>
              <w14:schemeClr w14:val="tx1"/>
            </w14:solidFill>
          </w14:textFill>
        </w:rPr>
        <w:t>（项目名称）</w:t>
      </w:r>
      <w:r>
        <w:rPr>
          <w:rFonts w:hint="eastAsia" w:cs="Calibri"/>
          <w:color w:val="000000" w:themeColor="text1"/>
          <w:szCs w:val="21"/>
          <w:u w:val="single"/>
          <w:lang w:eastAsia="zh-CN"/>
          <w14:textFill>
            <w14:solidFill>
              <w14:schemeClr w14:val="tx1"/>
            </w14:solidFill>
          </w14:textFill>
        </w:rPr>
        <w:t>CTZB-2023060327</w:t>
      </w:r>
      <w:r>
        <w:rPr>
          <w:rFonts w:cs="Calibri"/>
          <w:color w:val="000000" w:themeColor="text1"/>
          <w14:textFill>
            <w14:solidFill>
              <w14:schemeClr w14:val="tx1"/>
            </w14:solidFill>
          </w14:textFill>
        </w:rPr>
        <w:t>（项目编号）</w:t>
      </w:r>
      <w:r>
        <w:rPr>
          <w:rFonts w:hint="eastAsia" w:cs="Calibri"/>
          <w:color w:val="000000" w:themeColor="text1"/>
          <w:u w:val="single"/>
          <w:lang w:eastAsia="zh-CN"/>
          <w14:textFill>
            <w14:solidFill>
              <w14:schemeClr w14:val="tx1"/>
            </w14:solidFill>
          </w14:textFill>
        </w:rPr>
        <w:t>康山街道精细化管理服务外包项目</w:t>
      </w:r>
      <w:r>
        <w:rPr>
          <w:rFonts w:cs="Calibri"/>
          <w:color w:val="000000" w:themeColor="text1"/>
          <w:szCs w:val="21"/>
          <w14:textFill>
            <w14:solidFill>
              <w14:schemeClr w14:val="tx1"/>
            </w14:solidFill>
          </w14:textFill>
        </w:rPr>
        <w:t>（标项名称）</w:t>
      </w:r>
      <w:r>
        <w:rPr>
          <w:rFonts w:cs="Calibri"/>
          <w:color w:val="000000" w:themeColor="text1"/>
          <w14:textFill>
            <w14:solidFill>
              <w14:schemeClr w14:val="tx1"/>
            </w14:solidFill>
          </w14:textFill>
        </w:rPr>
        <w:t>政府采购活动，经与本单位法人代表人联系确认，现就有关公平竞争事项郑重声明如下：</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一、本单位与采购人之间 </w:t>
      </w:r>
      <w:r>
        <w:rPr>
          <w:rFonts w:cs="Calibri"/>
          <w:color w:val="000000" w:themeColor="text1"/>
          <w:kern w:val="0"/>
          <w:szCs w:val="21"/>
          <w14:textFill>
            <w14:solidFill>
              <w14:schemeClr w14:val="tx1"/>
            </w14:solidFill>
          </w14:textFill>
        </w:rPr>
        <w:sym w:font="Wingdings 2" w:char="00A3"/>
      </w:r>
      <w:r>
        <w:rPr>
          <w:rFonts w:cs="Calibri"/>
          <w:color w:val="000000" w:themeColor="text1"/>
          <w14:textFill>
            <w14:solidFill>
              <w14:schemeClr w14:val="tx1"/>
            </w14:solidFill>
          </w14:textFill>
        </w:rPr>
        <w:t xml:space="preserve">不存在利害关系 </w:t>
      </w:r>
      <w:r>
        <w:rPr>
          <w:rFonts w:cs="Calibri"/>
          <w:color w:val="000000" w:themeColor="text1"/>
          <w:kern w:val="0"/>
          <w:szCs w:val="21"/>
          <w14:textFill>
            <w14:solidFill>
              <w14:schemeClr w14:val="tx1"/>
            </w14:solidFill>
          </w14:textFill>
        </w:rPr>
        <w:sym w:font="Wingdings 2" w:char="00A3"/>
      </w:r>
      <w:r>
        <w:rPr>
          <w:rFonts w:cs="Calibri"/>
          <w:color w:val="000000" w:themeColor="text1"/>
          <w14:textFill>
            <w14:solidFill>
              <w14:schemeClr w14:val="tx1"/>
            </w14:solidFill>
          </w14:textFill>
        </w:rPr>
        <w:t>存在下列利害关系【</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A.投资关系    B.行政隶属关系    C.业务指导关系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D.其他可能影响采购公正的利害关系（如有，请如实说明）【</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二、现已清楚知道参加本项目采购活动的其他所有供应商名称，本单位 </w:t>
      </w:r>
      <w:r>
        <w:rPr>
          <w:rFonts w:cs="Calibri"/>
          <w:color w:val="000000" w:themeColor="text1"/>
          <w:kern w:val="0"/>
          <w:szCs w:val="21"/>
          <w14:textFill>
            <w14:solidFill>
              <w14:schemeClr w14:val="tx1"/>
            </w14:solidFill>
          </w14:textFill>
        </w:rPr>
        <w:sym w:font="Wingdings 2" w:char="00A3"/>
      </w:r>
      <w:r>
        <w:rPr>
          <w:rFonts w:cs="Calibri"/>
          <w:color w:val="000000" w:themeColor="text1"/>
          <w14:textFill>
            <w14:solidFill>
              <w14:schemeClr w14:val="tx1"/>
            </w14:solidFill>
          </w14:textFill>
        </w:rPr>
        <w:t xml:space="preserve">与其他所有供应商之间均不存在利害关系 </w:t>
      </w:r>
      <w:r>
        <w:rPr>
          <w:rFonts w:cs="Calibri"/>
          <w:color w:val="000000" w:themeColor="text1"/>
          <w:kern w:val="0"/>
          <w:szCs w:val="21"/>
          <w14:textFill>
            <w14:solidFill>
              <w14:schemeClr w14:val="tx1"/>
            </w14:solidFill>
          </w14:textFill>
        </w:rPr>
        <w:sym w:font="Wingdings 2" w:char="00A3"/>
      </w:r>
      <w:r>
        <w:rPr>
          <w:rFonts w:cs="Calibri"/>
          <w:color w:val="000000" w:themeColor="text1"/>
          <w14:textFill>
            <w14:solidFill>
              <w14:schemeClr w14:val="tx1"/>
            </w14:solidFill>
          </w14:textFill>
        </w:rPr>
        <w:t>与【</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】（供应商名称）之间存在下列利害关系【</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A.法定代表人或负责人或实际控制人是同一人</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B.法定代表人或负责人或实际控制人是夫妻关系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C.法定代表人或负责人或实际控制人是直系血亲关系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D.法定代表人或负责人或实际控制人存在三代以内旁系血亲关系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E.法定代表人或负责人或实际控制人存在近姻亲关系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F.法定代表人或负责人或实际控制人存在股份控制或实际控制关系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G.存在共同直接或间接投资设立子公司、联营企业和合营企业情况</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H.存在分级代理或代销关系、同一生产制造商关系、管理关系、重要业务（占主营业务收入50%以上）或重要财务往来关系（如融资）等其他实质性控制关系</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I.其他利害关系情况【</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三、现已清楚知道并严格遵守政府采购法律法规和现场纪律。</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四、我发现【</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】供应商之间存在或可能存在上述第二条第【</w:t>
      </w:r>
      <w:r>
        <w:rPr>
          <w:rFonts w:cs="Calibri"/>
          <w:color w:val="000000" w:themeColor="text1"/>
          <w:u w:val="single"/>
          <w14:textFill>
            <w14:solidFill>
              <w14:schemeClr w14:val="tx1"/>
            </w14:solidFill>
          </w14:textFill>
        </w:rPr>
        <w:t xml:space="preserve">        </w:t>
      </w:r>
      <w:r>
        <w:rPr>
          <w:rFonts w:cs="Calibri"/>
          <w:color w:val="000000" w:themeColor="text1"/>
          <w14:textFill>
            <w14:solidFill>
              <w14:schemeClr w14:val="tx1"/>
            </w14:solidFill>
          </w14:textFill>
        </w:rPr>
        <w:t>】项利害关系。</w:t>
      </w:r>
    </w:p>
    <w:p>
      <w:pPr>
        <w:ind w:firstLine="420" w:firstLineChars="200"/>
        <w:rPr>
          <w:rFonts w:cs="Calibri"/>
          <w:color w:val="000000" w:themeColor="text1"/>
          <w14:textFill>
            <w14:solidFill>
              <w14:schemeClr w14:val="tx1"/>
            </w14:solidFill>
          </w14:textFill>
        </w:rPr>
      </w:pPr>
    </w:p>
    <w:p>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年  月  日</w:t>
      </w:r>
    </w:p>
    <w:p>
      <w:pPr>
        <w:ind w:firstLine="420" w:firstLineChars="200"/>
        <w:rPr>
          <w:rFonts w:cs="Calibri"/>
          <w:color w:val="000000" w:themeColor="text1"/>
          <w14:textFill>
            <w14:solidFill>
              <w14:schemeClr w14:val="tx1"/>
            </w14:solidFill>
          </w14:textFill>
        </w:rPr>
      </w:pP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说明：</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（1）供应商解密响应文件及获知其他供应商信息进行如实声明并盖章，以扫描件形式提交给采购代理机构，邮箱：</w:t>
      </w:r>
      <w:r>
        <w:rPr>
          <w:rFonts w:hint="eastAsia" w:cs="Calibri"/>
          <w:color w:val="000000" w:themeColor="text1"/>
          <w14:textFill>
            <w14:solidFill>
              <w14:schemeClr w14:val="tx1"/>
            </w14:solidFill>
          </w14:textFill>
        </w:rPr>
        <w:t>272271260@qq.com</w:t>
      </w:r>
      <w:r>
        <w:rPr>
          <w:rFonts w:cs="Calibri"/>
          <w:color w:val="000000" w:themeColor="text1"/>
          <w14:textFill>
            <w14:solidFill>
              <w14:schemeClr w14:val="tx1"/>
            </w14:solidFill>
          </w14:textFill>
        </w:rPr>
        <w:t>。</w:t>
      </w:r>
    </w:p>
    <w:p>
      <w:pPr>
        <w:ind w:firstLine="420" w:firstLineChars="20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（2）此声明书不用编入响应文件中。</w:t>
      </w:r>
    </w:p>
    <w:p>
      <w:pPr>
        <w:rPr>
          <w:rFonts w:cs="Calibri"/>
          <w:color w:val="000000" w:themeColor="text1"/>
          <w14:textFill>
            <w14:solidFill>
              <w14:schemeClr w14:val="tx1"/>
            </w14:solidFill>
          </w14:textFill>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rt">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1769" w:wrap="around" w:vAnchor="text" w:hAnchor="margin" w:xAlign="center" w:y="7"/>
      <w:pBdr>
        <w:top w:val="none" w:color="auto" w:sz="0" w:space="0"/>
      </w:pBdr>
      <w:rPr>
        <w:rStyle w:val="51"/>
      </w:rPr>
    </w:pPr>
    <w:r>
      <w:rPr>
        <w:rStyle w:val="51"/>
        <w:rFonts w:hint="eastAsia"/>
      </w:rPr>
      <w:t>第</w:t>
    </w:r>
    <w:r>
      <w:fldChar w:fldCharType="begin"/>
    </w:r>
    <w:r>
      <w:rPr>
        <w:rStyle w:val="51"/>
      </w:rPr>
      <w:instrText xml:space="preserve">PAGE  </w:instrText>
    </w:r>
    <w:r>
      <w:fldChar w:fldCharType="separate"/>
    </w:r>
    <w:r>
      <w:rPr>
        <w:rStyle w:val="51"/>
      </w:rPr>
      <w:t>2</w:t>
    </w:r>
    <w:r>
      <w:fldChar w:fldCharType="end"/>
    </w:r>
    <w:r>
      <w:rPr>
        <w:rStyle w:val="51"/>
        <w:rFonts w:hint="eastAsia"/>
      </w:rPr>
      <w:t>页，共</w:t>
    </w:r>
    <w:r>
      <w:fldChar w:fldCharType="begin"/>
    </w:r>
    <w:r>
      <w:instrText xml:space="preserve"> NUMPAGES   \* MERGEFORMAT </w:instrText>
    </w:r>
    <w:r>
      <w:fldChar w:fldCharType="separate"/>
    </w:r>
    <w:r>
      <w:rPr>
        <w:lang w:val="zh-CN"/>
      </w:rPr>
      <w:t>50</w:t>
    </w:r>
    <w:r>
      <w:rPr>
        <w:lang w:val="zh-CN"/>
      </w:rPr>
      <w:fldChar w:fldCharType="end"/>
    </w:r>
    <w:r>
      <w:rPr>
        <w:rStyle w:val="51"/>
        <w:rFonts w:hint="eastAsia"/>
      </w:rPr>
      <w:t>页</w:t>
    </w:r>
  </w:p>
  <w:p>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51"/>
      </w:rPr>
    </w:pPr>
    <w:r>
      <w:fldChar w:fldCharType="begin"/>
    </w:r>
    <w:r>
      <w:rPr>
        <w:rStyle w:val="51"/>
      </w:rPr>
      <w:instrText xml:space="preserve">PAGE  </w:instrText>
    </w:r>
    <w:r>
      <w:fldChar w:fldCharType="end"/>
    </w:r>
  </w:p>
  <w:p>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cs="Calibri"/>
        <w:sz w:val="16"/>
        <w:szCs w:val="16"/>
      </w:rPr>
    </w:pPr>
    <w:r>
      <w:rPr>
        <w:rFonts w:hint="eastAsia" w:cs="Calibri"/>
        <w:sz w:val="16"/>
        <w:szCs w:val="16"/>
        <w:lang w:eastAsia="zh-CN"/>
      </w:rPr>
      <w:t>康山街道精细化管理服务外包项目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36835"/>
    <w:multiLevelType w:val="singleLevel"/>
    <w:tmpl w:val="90736835"/>
    <w:lvl w:ilvl="0" w:tentative="0">
      <w:start w:val="1"/>
      <w:numFmt w:val="decimal"/>
      <w:suff w:val="nothing"/>
      <w:lvlText w:val="%1、"/>
      <w:lvlJc w:val="left"/>
      <w:pPr>
        <w:ind w:left="600" w:firstLine="0"/>
      </w:pPr>
    </w:lvl>
  </w:abstractNum>
  <w:abstractNum w:abstractNumId="1">
    <w:nsid w:val="ACBEE2B4"/>
    <w:multiLevelType w:val="singleLevel"/>
    <w:tmpl w:val="ACBEE2B4"/>
    <w:lvl w:ilvl="0" w:tentative="0">
      <w:start w:val="1"/>
      <w:numFmt w:val="decimal"/>
      <w:lvlText w:val="%1."/>
      <w:lvlJc w:val="left"/>
      <w:pPr>
        <w:tabs>
          <w:tab w:val="left" w:pos="312"/>
        </w:tabs>
      </w:pPr>
    </w:lvl>
  </w:abstractNum>
  <w:abstractNum w:abstractNumId="2">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9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ZDc3MDA0MWNmMDY5NWQ2MWYzNTJkZDZhYjI3YWI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837DFC"/>
    <w:rsid w:val="01985C4C"/>
    <w:rsid w:val="01BE78D4"/>
    <w:rsid w:val="01C173E4"/>
    <w:rsid w:val="01F22DC1"/>
    <w:rsid w:val="01FB398A"/>
    <w:rsid w:val="02016F64"/>
    <w:rsid w:val="020A63E2"/>
    <w:rsid w:val="0222150B"/>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9D7FC0"/>
    <w:rsid w:val="03AA4690"/>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F21A1"/>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B2BC6"/>
    <w:rsid w:val="093C6528"/>
    <w:rsid w:val="094758C6"/>
    <w:rsid w:val="095B3DEE"/>
    <w:rsid w:val="09600284"/>
    <w:rsid w:val="096535E0"/>
    <w:rsid w:val="099C6A7F"/>
    <w:rsid w:val="09B50647"/>
    <w:rsid w:val="09CC47B5"/>
    <w:rsid w:val="09F61EEA"/>
    <w:rsid w:val="0A12388E"/>
    <w:rsid w:val="0A196EA2"/>
    <w:rsid w:val="0A2A53B5"/>
    <w:rsid w:val="0A66612B"/>
    <w:rsid w:val="0AB4187F"/>
    <w:rsid w:val="0ADE3054"/>
    <w:rsid w:val="0B325CE9"/>
    <w:rsid w:val="0B613989"/>
    <w:rsid w:val="0B631646"/>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D5C8A"/>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E580D"/>
    <w:rsid w:val="117229AE"/>
    <w:rsid w:val="1188593E"/>
    <w:rsid w:val="11C534F4"/>
    <w:rsid w:val="11ED44F6"/>
    <w:rsid w:val="11FA7022"/>
    <w:rsid w:val="11FD14BB"/>
    <w:rsid w:val="12225CAA"/>
    <w:rsid w:val="12331108"/>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9E6C5C"/>
    <w:rsid w:val="14A50D22"/>
    <w:rsid w:val="14CE6D4C"/>
    <w:rsid w:val="14D038EB"/>
    <w:rsid w:val="14D91F1E"/>
    <w:rsid w:val="14EF6400"/>
    <w:rsid w:val="1507376F"/>
    <w:rsid w:val="15091F36"/>
    <w:rsid w:val="15227455"/>
    <w:rsid w:val="152A5D43"/>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7A82A25"/>
    <w:rsid w:val="17B812FA"/>
    <w:rsid w:val="18563E21"/>
    <w:rsid w:val="185B1319"/>
    <w:rsid w:val="1866638A"/>
    <w:rsid w:val="187B7C20"/>
    <w:rsid w:val="18AC086B"/>
    <w:rsid w:val="18BD208E"/>
    <w:rsid w:val="18C518CD"/>
    <w:rsid w:val="18D17796"/>
    <w:rsid w:val="18DE28CC"/>
    <w:rsid w:val="18DE3F6B"/>
    <w:rsid w:val="18FF5A77"/>
    <w:rsid w:val="190E5651"/>
    <w:rsid w:val="192106A5"/>
    <w:rsid w:val="19303ECE"/>
    <w:rsid w:val="19373A71"/>
    <w:rsid w:val="194D4493"/>
    <w:rsid w:val="197665B2"/>
    <w:rsid w:val="197E5D3E"/>
    <w:rsid w:val="19822FE5"/>
    <w:rsid w:val="199913F8"/>
    <w:rsid w:val="1A0528AB"/>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413708"/>
    <w:rsid w:val="1D881D7D"/>
    <w:rsid w:val="1D9634DE"/>
    <w:rsid w:val="1D996DB1"/>
    <w:rsid w:val="1D9E434C"/>
    <w:rsid w:val="1DB96EDC"/>
    <w:rsid w:val="1DB97D03"/>
    <w:rsid w:val="1DCF5E36"/>
    <w:rsid w:val="1DE54F9D"/>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2134F"/>
    <w:rsid w:val="206A2F59"/>
    <w:rsid w:val="207B4CEA"/>
    <w:rsid w:val="209065F4"/>
    <w:rsid w:val="209D7086"/>
    <w:rsid w:val="20AB42AF"/>
    <w:rsid w:val="20D52763"/>
    <w:rsid w:val="20EA57AB"/>
    <w:rsid w:val="21017212"/>
    <w:rsid w:val="211846FE"/>
    <w:rsid w:val="21324BA9"/>
    <w:rsid w:val="21517ACD"/>
    <w:rsid w:val="21604DC0"/>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D10FF1"/>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659E8"/>
    <w:rsid w:val="26CF3502"/>
    <w:rsid w:val="271F4AA6"/>
    <w:rsid w:val="272A7E74"/>
    <w:rsid w:val="274A1BF0"/>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1423C4"/>
    <w:rsid w:val="2A3C5448"/>
    <w:rsid w:val="2A415D03"/>
    <w:rsid w:val="2A512622"/>
    <w:rsid w:val="2A7F3244"/>
    <w:rsid w:val="2A8F65AC"/>
    <w:rsid w:val="2AB92E95"/>
    <w:rsid w:val="2AD9750D"/>
    <w:rsid w:val="2AD97C96"/>
    <w:rsid w:val="2ADB6052"/>
    <w:rsid w:val="2AE003BC"/>
    <w:rsid w:val="2AEC64E3"/>
    <w:rsid w:val="2AFE3776"/>
    <w:rsid w:val="2B00200C"/>
    <w:rsid w:val="2B074226"/>
    <w:rsid w:val="2B1D778C"/>
    <w:rsid w:val="2B2120DC"/>
    <w:rsid w:val="2B225143"/>
    <w:rsid w:val="2B3D0E54"/>
    <w:rsid w:val="2B422360"/>
    <w:rsid w:val="2B4A6F65"/>
    <w:rsid w:val="2B767FE9"/>
    <w:rsid w:val="2BA75C66"/>
    <w:rsid w:val="2BCC1B53"/>
    <w:rsid w:val="2BD07260"/>
    <w:rsid w:val="2BDC0564"/>
    <w:rsid w:val="2BFB0C95"/>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7E6BEA"/>
    <w:rsid w:val="2F8634AE"/>
    <w:rsid w:val="2F8B65CB"/>
    <w:rsid w:val="2F8F7873"/>
    <w:rsid w:val="2FAE6B5E"/>
    <w:rsid w:val="2FE76D40"/>
    <w:rsid w:val="2FE805E8"/>
    <w:rsid w:val="2FF15056"/>
    <w:rsid w:val="2FF86EFF"/>
    <w:rsid w:val="2FFD710E"/>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2604A3"/>
    <w:rsid w:val="32361419"/>
    <w:rsid w:val="323D1FDB"/>
    <w:rsid w:val="325E43F3"/>
    <w:rsid w:val="32B901EF"/>
    <w:rsid w:val="32C160E8"/>
    <w:rsid w:val="32DD4713"/>
    <w:rsid w:val="32E7381C"/>
    <w:rsid w:val="32FA20C8"/>
    <w:rsid w:val="32FC4A5B"/>
    <w:rsid w:val="330702C3"/>
    <w:rsid w:val="330A1147"/>
    <w:rsid w:val="332F4A1F"/>
    <w:rsid w:val="335B6B6E"/>
    <w:rsid w:val="335E2BA1"/>
    <w:rsid w:val="336F55DF"/>
    <w:rsid w:val="3384576D"/>
    <w:rsid w:val="339E4FB8"/>
    <w:rsid w:val="33CB06BF"/>
    <w:rsid w:val="33D97D25"/>
    <w:rsid w:val="33DA1665"/>
    <w:rsid w:val="33F66100"/>
    <w:rsid w:val="33F75870"/>
    <w:rsid w:val="34054F1B"/>
    <w:rsid w:val="340674E7"/>
    <w:rsid w:val="34292E8E"/>
    <w:rsid w:val="3430602A"/>
    <w:rsid w:val="34375E4C"/>
    <w:rsid w:val="345D169B"/>
    <w:rsid w:val="3460766F"/>
    <w:rsid w:val="348F1EE9"/>
    <w:rsid w:val="349B5802"/>
    <w:rsid w:val="34A93B17"/>
    <w:rsid w:val="34BA0D4E"/>
    <w:rsid w:val="34BC6C17"/>
    <w:rsid w:val="34BF1D18"/>
    <w:rsid w:val="34CA0CFE"/>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72E522E"/>
    <w:rsid w:val="373174A6"/>
    <w:rsid w:val="37350B76"/>
    <w:rsid w:val="374024B5"/>
    <w:rsid w:val="3747333B"/>
    <w:rsid w:val="374A2D93"/>
    <w:rsid w:val="374D5C57"/>
    <w:rsid w:val="37520B1E"/>
    <w:rsid w:val="377D40BB"/>
    <w:rsid w:val="37A41082"/>
    <w:rsid w:val="37C821A8"/>
    <w:rsid w:val="37E72B6D"/>
    <w:rsid w:val="3808077E"/>
    <w:rsid w:val="38495F3C"/>
    <w:rsid w:val="388A48A5"/>
    <w:rsid w:val="38B66E3D"/>
    <w:rsid w:val="38C9794F"/>
    <w:rsid w:val="38CF4D4C"/>
    <w:rsid w:val="38EA55B0"/>
    <w:rsid w:val="38FD58FA"/>
    <w:rsid w:val="39181530"/>
    <w:rsid w:val="391E65D7"/>
    <w:rsid w:val="39267924"/>
    <w:rsid w:val="39340367"/>
    <w:rsid w:val="39551AF6"/>
    <w:rsid w:val="395956BB"/>
    <w:rsid w:val="397446DD"/>
    <w:rsid w:val="397F7126"/>
    <w:rsid w:val="399D0085"/>
    <w:rsid w:val="39B93EB7"/>
    <w:rsid w:val="39BC7DFB"/>
    <w:rsid w:val="39C953F0"/>
    <w:rsid w:val="39D1050B"/>
    <w:rsid w:val="39EC777E"/>
    <w:rsid w:val="3A136B0B"/>
    <w:rsid w:val="3A734D1A"/>
    <w:rsid w:val="3A960A01"/>
    <w:rsid w:val="3AA50AA5"/>
    <w:rsid w:val="3AAE3606"/>
    <w:rsid w:val="3AB34E04"/>
    <w:rsid w:val="3AB8441D"/>
    <w:rsid w:val="3ACA2721"/>
    <w:rsid w:val="3AE46B63"/>
    <w:rsid w:val="3B1178AD"/>
    <w:rsid w:val="3B14171A"/>
    <w:rsid w:val="3B157586"/>
    <w:rsid w:val="3B3322F5"/>
    <w:rsid w:val="3B8273EB"/>
    <w:rsid w:val="3B93283D"/>
    <w:rsid w:val="3BA42103"/>
    <w:rsid w:val="3BA638C5"/>
    <w:rsid w:val="3BDE5D47"/>
    <w:rsid w:val="3BEF4E3D"/>
    <w:rsid w:val="3BF14035"/>
    <w:rsid w:val="3BFD5EE1"/>
    <w:rsid w:val="3BFE9198"/>
    <w:rsid w:val="3C000E42"/>
    <w:rsid w:val="3C0A5DD9"/>
    <w:rsid w:val="3C2F1539"/>
    <w:rsid w:val="3C531413"/>
    <w:rsid w:val="3C541E98"/>
    <w:rsid w:val="3C5557E4"/>
    <w:rsid w:val="3C69645F"/>
    <w:rsid w:val="3C780106"/>
    <w:rsid w:val="3C985175"/>
    <w:rsid w:val="3CA03BBE"/>
    <w:rsid w:val="3CAD6717"/>
    <w:rsid w:val="3CB051F1"/>
    <w:rsid w:val="3CC30E48"/>
    <w:rsid w:val="3CE44CA1"/>
    <w:rsid w:val="3CEE87DB"/>
    <w:rsid w:val="3CF469FF"/>
    <w:rsid w:val="3CFC5420"/>
    <w:rsid w:val="3D1D132C"/>
    <w:rsid w:val="3D24286F"/>
    <w:rsid w:val="3D3D3E73"/>
    <w:rsid w:val="3D451F63"/>
    <w:rsid w:val="3D4C5492"/>
    <w:rsid w:val="3D627784"/>
    <w:rsid w:val="3D6E7FAE"/>
    <w:rsid w:val="3D737885"/>
    <w:rsid w:val="3DB21BDB"/>
    <w:rsid w:val="3DBE1AA9"/>
    <w:rsid w:val="3DBE70F1"/>
    <w:rsid w:val="3DD2747B"/>
    <w:rsid w:val="3DEE474D"/>
    <w:rsid w:val="3DFB5872"/>
    <w:rsid w:val="3E05668B"/>
    <w:rsid w:val="3E1A5671"/>
    <w:rsid w:val="3E3C10D7"/>
    <w:rsid w:val="3E422C18"/>
    <w:rsid w:val="3E5E28E2"/>
    <w:rsid w:val="3E643218"/>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3FEBFC00"/>
    <w:rsid w:val="403B06A3"/>
    <w:rsid w:val="405E1F3A"/>
    <w:rsid w:val="405F7EBC"/>
    <w:rsid w:val="407C1AA8"/>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9A6ED7"/>
    <w:rsid w:val="44A05E16"/>
    <w:rsid w:val="44AC19BE"/>
    <w:rsid w:val="44B150E0"/>
    <w:rsid w:val="44B31864"/>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45B35"/>
    <w:rsid w:val="4A8C0A08"/>
    <w:rsid w:val="4A9D16F1"/>
    <w:rsid w:val="4AAE6624"/>
    <w:rsid w:val="4AC735EC"/>
    <w:rsid w:val="4B3A0112"/>
    <w:rsid w:val="4B3C5FDC"/>
    <w:rsid w:val="4B431506"/>
    <w:rsid w:val="4B4F38FD"/>
    <w:rsid w:val="4B587D50"/>
    <w:rsid w:val="4BD60C65"/>
    <w:rsid w:val="4BE60228"/>
    <w:rsid w:val="4BE932B7"/>
    <w:rsid w:val="4C117205"/>
    <w:rsid w:val="4C1F5D7A"/>
    <w:rsid w:val="4C22094B"/>
    <w:rsid w:val="4C2819F4"/>
    <w:rsid w:val="4C33748F"/>
    <w:rsid w:val="4C35131C"/>
    <w:rsid w:val="4C361AF4"/>
    <w:rsid w:val="4C510646"/>
    <w:rsid w:val="4C634260"/>
    <w:rsid w:val="4CAE58A1"/>
    <w:rsid w:val="4CE53E69"/>
    <w:rsid w:val="4D133327"/>
    <w:rsid w:val="4D237263"/>
    <w:rsid w:val="4D242750"/>
    <w:rsid w:val="4D2E27CC"/>
    <w:rsid w:val="4D53524D"/>
    <w:rsid w:val="4D6025E4"/>
    <w:rsid w:val="4D6F4DC4"/>
    <w:rsid w:val="4D8436B7"/>
    <w:rsid w:val="4DC57707"/>
    <w:rsid w:val="4DC96C7F"/>
    <w:rsid w:val="4DDD1B47"/>
    <w:rsid w:val="4DF80AFB"/>
    <w:rsid w:val="4DFFE628"/>
    <w:rsid w:val="4E02283F"/>
    <w:rsid w:val="4E036E8C"/>
    <w:rsid w:val="4E097368"/>
    <w:rsid w:val="4E1567A7"/>
    <w:rsid w:val="4E434158"/>
    <w:rsid w:val="4E58592C"/>
    <w:rsid w:val="4E6B55B6"/>
    <w:rsid w:val="4E735675"/>
    <w:rsid w:val="4E776E4B"/>
    <w:rsid w:val="4E8C7B5A"/>
    <w:rsid w:val="4E9135BE"/>
    <w:rsid w:val="4EB17E6E"/>
    <w:rsid w:val="4ED6776C"/>
    <w:rsid w:val="4EDA62F8"/>
    <w:rsid w:val="4EE706A4"/>
    <w:rsid w:val="4F024D20"/>
    <w:rsid w:val="4F103E11"/>
    <w:rsid w:val="4F1D71BE"/>
    <w:rsid w:val="4F1E4542"/>
    <w:rsid w:val="4F255831"/>
    <w:rsid w:val="4F663425"/>
    <w:rsid w:val="4FB209EE"/>
    <w:rsid w:val="4FFE9425"/>
    <w:rsid w:val="50045AA5"/>
    <w:rsid w:val="500F75AC"/>
    <w:rsid w:val="503C1EAD"/>
    <w:rsid w:val="504D35A5"/>
    <w:rsid w:val="506E2E6E"/>
    <w:rsid w:val="50B371A3"/>
    <w:rsid w:val="50DD15E4"/>
    <w:rsid w:val="50E72296"/>
    <w:rsid w:val="50E72960"/>
    <w:rsid w:val="51611E59"/>
    <w:rsid w:val="516F5F0E"/>
    <w:rsid w:val="51774ACE"/>
    <w:rsid w:val="518669C8"/>
    <w:rsid w:val="518E041E"/>
    <w:rsid w:val="51C31508"/>
    <w:rsid w:val="51D101E0"/>
    <w:rsid w:val="51D208D4"/>
    <w:rsid w:val="51D22A76"/>
    <w:rsid w:val="51DA05A8"/>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E12A5C"/>
    <w:rsid w:val="550D12DE"/>
    <w:rsid w:val="550F1D67"/>
    <w:rsid w:val="551B18C3"/>
    <w:rsid w:val="551F73FB"/>
    <w:rsid w:val="55226F39"/>
    <w:rsid w:val="552F0C08"/>
    <w:rsid w:val="553E1602"/>
    <w:rsid w:val="55515ED3"/>
    <w:rsid w:val="555A700D"/>
    <w:rsid w:val="555F767E"/>
    <w:rsid w:val="55623CF6"/>
    <w:rsid w:val="55756E92"/>
    <w:rsid w:val="55CD7939"/>
    <w:rsid w:val="55F63716"/>
    <w:rsid w:val="5647017D"/>
    <w:rsid w:val="565863CD"/>
    <w:rsid w:val="565A1B38"/>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51C1E"/>
    <w:rsid w:val="58D67214"/>
    <w:rsid w:val="58EB6B81"/>
    <w:rsid w:val="58F05AC9"/>
    <w:rsid w:val="591F39C2"/>
    <w:rsid w:val="595720BA"/>
    <w:rsid w:val="59587D98"/>
    <w:rsid w:val="5984178B"/>
    <w:rsid w:val="5988157A"/>
    <w:rsid w:val="59A44D23"/>
    <w:rsid w:val="59A95129"/>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3802C7"/>
    <w:rsid w:val="5C5C26D0"/>
    <w:rsid w:val="5C8037D0"/>
    <w:rsid w:val="5C890A5F"/>
    <w:rsid w:val="5CAF48DE"/>
    <w:rsid w:val="5CB20C2D"/>
    <w:rsid w:val="5CC826A5"/>
    <w:rsid w:val="5CDE7F12"/>
    <w:rsid w:val="5CE57AF4"/>
    <w:rsid w:val="5CFFC398"/>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BFADC"/>
    <w:rsid w:val="5EEF3871"/>
    <w:rsid w:val="5F4B136B"/>
    <w:rsid w:val="5F7506B8"/>
    <w:rsid w:val="5F751700"/>
    <w:rsid w:val="5F7DC491"/>
    <w:rsid w:val="5F84739D"/>
    <w:rsid w:val="5FA300E3"/>
    <w:rsid w:val="5FBD57C0"/>
    <w:rsid w:val="5FD6A186"/>
    <w:rsid w:val="600E37F1"/>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767467"/>
    <w:rsid w:val="62C31FED"/>
    <w:rsid w:val="62C4171F"/>
    <w:rsid w:val="63084B52"/>
    <w:rsid w:val="6319475A"/>
    <w:rsid w:val="63426DA0"/>
    <w:rsid w:val="635C30B6"/>
    <w:rsid w:val="63700553"/>
    <w:rsid w:val="637A029C"/>
    <w:rsid w:val="63917582"/>
    <w:rsid w:val="6396771B"/>
    <w:rsid w:val="63C92C80"/>
    <w:rsid w:val="63CE010C"/>
    <w:rsid w:val="63EF11F3"/>
    <w:rsid w:val="64000A02"/>
    <w:rsid w:val="643D25EC"/>
    <w:rsid w:val="645067A3"/>
    <w:rsid w:val="64562EC2"/>
    <w:rsid w:val="64777DF5"/>
    <w:rsid w:val="64826BF5"/>
    <w:rsid w:val="649846DB"/>
    <w:rsid w:val="649E4BEF"/>
    <w:rsid w:val="6522064E"/>
    <w:rsid w:val="65313719"/>
    <w:rsid w:val="65387C9C"/>
    <w:rsid w:val="655A5966"/>
    <w:rsid w:val="657D7A2E"/>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6A4DBB"/>
    <w:rsid w:val="67AD0AE3"/>
    <w:rsid w:val="67CA2110"/>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1046F6"/>
    <w:rsid w:val="6A23335C"/>
    <w:rsid w:val="6A2719E1"/>
    <w:rsid w:val="6A375FAE"/>
    <w:rsid w:val="6A416A6A"/>
    <w:rsid w:val="6A5364FE"/>
    <w:rsid w:val="6A5C2A16"/>
    <w:rsid w:val="6A661FC5"/>
    <w:rsid w:val="6A774CA4"/>
    <w:rsid w:val="6A786C3C"/>
    <w:rsid w:val="6A82754B"/>
    <w:rsid w:val="6A960474"/>
    <w:rsid w:val="6AA10C29"/>
    <w:rsid w:val="6AAE3BD7"/>
    <w:rsid w:val="6ACC49F1"/>
    <w:rsid w:val="6ACF1964"/>
    <w:rsid w:val="6AD9452C"/>
    <w:rsid w:val="6AE2386B"/>
    <w:rsid w:val="6AEC2EDF"/>
    <w:rsid w:val="6B096FBE"/>
    <w:rsid w:val="6B1A2EA8"/>
    <w:rsid w:val="6B1F50C0"/>
    <w:rsid w:val="6B21560C"/>
    <w:rsid w:val="6B2E5313"/>
    <w:rsid w:val="6B3368A5"/>
    <w:rsid w:val="6B506065"/>
    <w:rsid w:val="6B5C1652"/>
    <w:rsid w:val="6B687347"/>
    <w:rsid w:val="6B7C154F"/>
    <w:rsid w:val="6B85537C"/>
    <w:rsid w:val="6B92261A"/>
    <w:rsid w:val="6B943718"/>
    <w:rsid w:val="6B9B2CBA"/>
    <w:rsid w:val="6BAD5A34"/>
    <w:rsid w:val="6BCA5141"/>
    <w:rsid w:val="6BCE3290"/>
    <w:rsid w:val="6BE8415A"/>
    <w:rsid w:val="6BF06490"/>
    <w:rsid w:val="6BFF4E8E"/>
    <w:rsid w:val="6C254D0A"/>
    <w:rsid w:val="6C30020F"/>
    <w:rsid w:val="6C3D2DFC"/>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C0579"/>
    <w:rsid w:val="6EFE771B"/>
    <w:rsid w:val="6EFF1BE0"/>
    <w:rsid w:val="6F4416F0"/>
    <w:rsid w:val="6F597DBC"/>
    <w:rsid w:val="6F603FAD"/>
    <w:rsid w:val="6F6D5EB4"/>
    <w:rsid w:val="6FA53E02"/>
    <w:rsid w:val="6FA61409"/>
    <w:rsid w:val="6FB70FC4"/>
    <w:rsid w:val="6FB940AF"/>
    <w:rsid w:val="6FC456DD"/>
    <w:rsid w:val="6FCA2C1D"/>
    <w:rsid w:val="6FD617B9"/>
    <w:rsid w:val="6FEA4E9A"/>
    <w:rsid w:val="6FF669A7"/>
    <w:rsid w:val="6FFA3DC5"/>
    <w:rsid w:val="6FFB38F9"/>
    <w:rsid w:val="6FFFAFEC"/>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726A9A"/>
    <w:rsid w:val="737C0F77"/>
    <w:rsid w:val="738F7E33"/>
    <w:rsid w:val="739053D9"/>
    <w:rsid w:val="73BC38F8"/>
    <w:rsid w:val="73BF1A3D"/>
    <w:rsid w:val="73C81838"/>
    <w:rsid w:val="73E6670B"/>
    <w:rsid w:val="73EE2546"/>
    <w:rsid w:val="73F50A08"/>
    <w:rsid w:val="74336AEC"/>
    <w:rsid w:val="7447504B"/>
    <w:rsid w:val="747B5ADB"/>
    <w:rsid w:val="748A65D1"/>
    <w:rsid w:val="749C58E1"/>
    <w:rsid w:val="74AB6438"/>
    <w:rsid w:val="75165677"/>
    <w:rsid w:val="751A39B7"/>
    <w:rsid w:val="75235932"/>
    <w:rsid w:val="75361722"/>
    <w:rsid w:val="7555100E"/>
    <w:rsid w:val="758C00D8"/>
    <w:rsid w:val="75B16F7B"/>
    <w:rsid w:val="75C84ED8"/>
    <w:rsid w:val="76165B7C"/>
    <w:rsid w:val="762D0D05"/>
    <w:rsid w:val="766643CE"/>
    <w:rsid w:val="76691BBB"/>
    <w:rsid w:val="769737C0"/>
    <w:rsid w:val="76CB4933"/>
    <w:rsid w:val="76DC0C89"/>
    <w:rsid w:val="76E510DF"/>
    <w:rsid w:val="76E56077"/>
    <w:rsid w:val="76EB0CA1"/>
    <w:rsid w:val="76EF12AB"/>
    <w:rsid w:val="77033FC7"/>
    <w:rsid w:val="770B2528"/>
    <w:rsid w:val="77195370"/>
    <w:rsid w:val="773439F2"/>
    <w:rsid w:val="773D770D"/>
    <w:rsid w:val="77412B74"/>
    <w:rsid w:val="774F8014"/>
    <w:rsid w:val="77603F06"/>
    <w:rsid w:val="77872819"/>
    <w:rsid w:val="77AE714F"/>
    <w:rsid w:val="77B4681C"/>
    <w:rsid w:val="77CF18B6"/>
    <w:rsid w:val="77EFAC31"/>
    <w:rsid w:val="77FC9092"/>
    <w:rsid w:val="78073C70"/>
    <w:rsid w:val="78333460"/>
    <w:rsid w:val="78374149"/>
    <w:rsid w:val="78380C3F"/>
    <w:rsid w:val="785C77FF"/>
    <w:rsid w:val="788A3EF2"/>
    <w:rsid w:val="78BB542A"/>
    <w:rsid w:val="78D52F1B"/>
    <w:rsid w:val="78EE0311"/>
    <w:rsid w:val="79510127"/>
    <w:rsid w:val="79C73ADB"/>
    <w:rsid w:val="79E35F15"/>
    <w:rsid w:val="79EB4E78"/>
    <w:rsid w:val="79EFC504"/>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BDF5497"/>
    <w:rsid w:val="7BFC5E84"/>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CEE8720"/>
    <w:rsid w:val="7D00114D"/>
    <w:rsid w:val="7D017ED7"/>
    <w:rsid w:val="7D327BF0"/>
    <w:rsid w:val="7D530B8B"/>
    <w:rsid w:val="7D61205A"/>
    <w:rsid w:val="7D815718"/>
    <w:rsid w:val="7DFB529C"/>
    <w:rsid w:val="7DFF26B6"/>
    <w:rsid w:val="7E010587"/>
    <w:rsid w:val="7E121CE7"/>
    <w:rsid w:val="7E1C4976"/>
    <w:rsid w:val="7E220734"/>
    <w:rsid w:val="7E2B33E9"/>
    <w:rsid w:val="7E3A4BC5"/>
    <w:rsid w:val="7E45707E"/>
    <w:rsid w:val="7E4B4DE6"/>
    <w:rsid w:val="7E59498D"/>
    <w:rsid w:val="7E63227B"/>
    <w:rsid w:val="7E6D383F"/>
    <w:rsid w:val="7E717212"/>
    <w:rsid w:val="7EAF357B"/>
    <w:rsid w:val="7EC6515A"/>
    <w:rsid w:val="7ECD28DB"/>
    <w:rsid w:val="7ED15400"/>
    <w:rsid w:val="7ED7769E"/>
    <w:rsid w:val="7EE74459"/>
    <w:rsid w:val="7EF00D35"/>
    <w:rsid w:val="7F0662C5"/>
    <w:rsid w:val="7F21355F"/>
    <w:rsid w:val="7F3537F8"/>
    <w:rsid w:val="7F443B8F"/>
    <w:rsid w:val="7F58461F"/>
    <w:rsid w:val="7F611D3F"/>
    <w:rsid w:val="7F6F16CD"/>
    <w:rsid w:val="7F947550"/>
    <w:rsid w:val="7F9D0E91"/>
    <w:rsid w:val="7FA34429"/>
    <w:rsid w:val="7FAA04CC"/>
    <w:rsid w:val="7FBE576D"/>
    <w:rsid w:val="7FBFDE7B"/>
    <w:rsid w:val="7FDE7E37"/>
    <w:rsid w:val="7FE82BA1"/>
    <w:rsid w:val="8DFCFA04"/>
    <w:rsid w:val="96CEA2FA"/>
    <w:rsid w:val="99378D41"/>
    <w:rsid w:val="A6FBA698"/>
    <w:rsid w:val="AD6B5907"/>
    <w:rsid w:val="AD7CE2A8"/>
    <w:rsid w:val="ADF4ACC0"/>
    <w:rsid w:val="B2FB1896"/>
    <w:rsid w:val="B997E611"/>
    <w:rsid w:val="BCCE0286"/>
    <w:rsid w:val="BF74F19D"/>
    <w:rsid w:val="BF7ED604"/>
    <w:rsid w:val="BFA71B00"/>
    <w:rsid w:val="C6FB6882"/>
    <w:rsid w:val="CC3FBBB1"/>
    <w:rsid w:val="CEBAFE3E"/>
    <w:rsid w:val="D771ACA2"/>
    <w:rsid w:val="DB3FC8F8"/>
    <w:rsid w:val="DDBF89F3"/>
    <w:rsid w:val="DE7F0373"/>
    <w:rsid w:val="DEBD70BD"/>
    <w:rsid w:val="DEF7B543"/>
    <w:rsid w:val="DFDDA14F"/>
    <w:rsid w:val="DFF19CE7"/>
    <w:rsid w:val="E2DB5408"/>
    <w:rsid w:val="E33DE279"/>
    <w:rsid w:val="EBFB4474"/>
    <w:rsid w:val="EBFBF681"/>
    <w:rsid w:val="EEBEA054"/>
    <w:rsid w:val="EEDF194D"/>
    <w:rsid w:val="EF810AF5"/>
    <w:rsid w:val="EFFDAB0D"/>
    <w:rsid w:val="F3BF87FE"/>
    <w:rsid w:val="F3FBE8D7"/>
    <w:rsid w:val="F4F79C74"/>
    <w:rsid w:val="F7FFED4F"/>
    <w:rsid w:val="F9DB4158"/>
    <w:rsid w:val="FAFE7DAD"/>
    <w:rsid w:val="FBAE1492"/>
    <w:rsid w:val="FBD3FD30"/>
    <w:rsid w:val="FD7F22F1"/>
    <w:rsid w:val="FDAC52B7"/>
    <w:rsid w:val="FDEF81B9"/>
    <w:rsid w:val="FE6DCBB4"/>
    <w:rsid w:val="FF3B8B29"/>
    <w:rsid w:val="FFCE0EA9"/>
    <w:rsid w:val="FFFF9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5">
    <w:name w:val="heading 1"/>
    <w:basedOn w:val="6"/>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7">
    <w:name w:val="heading 2"/>
    <w:basedOn w:val="1"/>
    <w:next w:val="1"/>
    <w:link w:val="56"/>
    <w:qFormat/>
    <w:uiPriority w:val="0"/>
    <w:pPr>
      <w:keepNext/>
      <w:keepLines/>
      <w:adjustRightInd w:val="0"/>
      <w:ind w:firstLine="200" w:firstLineChars="200"/>
      <w:outlineLvl w:val="1"/>
    </w:pPr>
    <w:rPr>
      <w:rFonts w:cs="Arial"/>
      <w:b/>
      <w:bCs/>
      <w:szCs w:val="32"/>
    </w:rPr>
  </w:style>
  <w:style w:type="paragraph" w:styleId="8">
    <w:name w:val="heading 3"/>
    <w:basedOn w:val="1"/>
    <w:next w:val="1"/>
    <w:qFormat/>
    <w:uiPriority w:val="0"/>
    <w:pPr>
      <w:widowControl/>
      <w:autoSpaceDE w:val="0"/>
      <w:autoSpaceDN w:val="0"/>
      <w:ind w:firstLine="200" w:firstLineChars="200"/>
      <w:outlineLvl w:val="2"/>
    </w:pPr>
    <w:rPr>
      <w:b/>
      <w:szCs w:val="20"/>
    </w:rPr>
  </w:style>
  <w:style w:type="paragraph" w:styleId="9">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4"/>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Body Text First Indent"/>
    <w:basedOn w:val="3"/>
    <w:next w:val="1"/>
    <w:qFormat/>
    <w:uiPriority w:val="0"/>
    <w:pPr>
      <w:spacing w:after="120" w:line="288" w:lineRule="auto"/>
      <w:ind w:firstLine="420" w:firstLineChars="100"/>
      <w:jc w:val="both"/>
      <w:textAlignment w:val="auto"/>
    </w:pPr>
    <w:rPr>
      <w:rFonts w:ascii="Times New Roman" w:eastAsia="宋体"/>
      <w:kern w:val="2"/>
      <w:sz w:val="21"/>
    </w:rPr>
  </w:style>
  <w:style w:type="paragraph" w:customStyle="1" w:styleId="6">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39"/>
    <w:pPr>
      <w:ind w:left="1260"/>
      <w:jc w:val="left"/>
    </w:pPr>
    <w:rPr>
      <w:szCs w:val="21"/>
    </w:rPr>
  </w:style>
  <w:style w:type="paragraph" w:styleId="13">
    <w:name w:val="Normal Indent"/>
    <w:basedOn w:val="1"/>
    <w:next w:val="1"/>
    <w:link w:val="65"/>
    <w:qFormat/>
    <w:uiPriority w:val="0"/>
    <w:pPr>
      <w:ind w:firstLine="420"/>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pPr>
      <w:spacing w:line="440" w:lineRule="atLeast"/>
      <w:jc w:val="center"/>
    </w:pPr>
    <w:rPr>
      <w:rFonts w:ascii="楷体_GB2312" w:eastAsia="楷体_GB2312"/>
      <w:b/>
      <w:color w:val="000000"/>
      <w:sz w:val="30"/>
    </w:rPr>
  </w:style>
  <w:style w:type="paragraph" w:styleId="17">
    <w:name w:val="Body Text Indent"/>
    <w:basedOn w:val="1"/>
    <w:next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8">
    <w:name w:val="List 2"/>
    <w:basedOn w:val="1"/>
    <w:qFormat/>
    <w:uiPriority w:val="0"/>
    <w:pPr>
      <w:ind w:left="100" w:leftChars="200" w:hanging="200" w:hangingChars="200"/>
    </w:pPr>
  </w:style>
  <w:style w:type="paragraph" w:styleId="19">
    <w:name w:val="Block Text"/>
    <w:basedOn w:val="1"/>
    <w:qFormat/>
    <w:uiPriority w:val="0"/>
    <w:pPr>
      <w:adjustRightInd w:val="0"/>
      <w:ind w:left="420" w:right="33"/>
      <w:jc w:val="left"/>
    </w:pPr>
    <w:rPr>
      <w:kern w:val="0"/>
      <w:sz w:val="24"/>
      <w:szCs w:val="20"/>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adjustRightInd w:val="0"/>
      <w:spacing w:line="360" w:lineRule="auto"/>
      <w:ind w:left="420"/>
      <w:jc w:val="left"/>
    </w:pPr>
    <w:rPr>
      <w:iCs/>
    </w:rPr>
  </w:style>
  <w:style w:type="paragraph" w:styleId="22">
    <w:name w:val="Plain Text"/>
    <w:basedOn w:val="1"/>
    <w:next w:val="13"/>
    <w:link w:val="114"/>
    <w:qFormat/>
    <w:uiPriority w:val="0"/>
    <w:rPr>
      <w:rFonts w:ascii="宋体" w:hAnsi="Courier New"/>
      <w:szCs w:val="20"/>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00"/>
      <w:sz w:val="24"/>
    </w:rPr>
  </w:style>
  <w:style w:type="paragraph" w:styleId="25">
    <w:name w:val="Body Text Indent 2"/>
    <w:basedOn w:val="1"/>
    <w:qFormat/>
    <w:uiPriority w:val="0"/>
    <w:pPr>
      <w:widowControl/>
      <w:spacing w:line="480" w:lineRule="atLeast"/>
      <w:ind w:firstLine="480"/>
    </w:pPr>
    <w:rPr>
      <w:rFonts w:ascii="宋体"/>
      <w:kern w:val="0"/>
      <w:sz w:val="24"/>
      <w:szCs w:val="20"/>
    </w:rPr>
  </w:style>
  <w:style w:type="paragraph" w:styleId="26">
    <w:name w:val="Balloon Text"/>
    <w:basedOn w:val="1"/>
    <w:semiHidden/>
    <w:qFormat/>
    <w:uiPriority w:val="0"/>
    <w:rPr>
      <w:sz w:val="18"/>
      <w:szCs w:val="18"/>
    </w:rPr>
  </w:style>
  <w:style w:type="paragraph" w:styleId="27">
    <w:name w:val="footer"/>
    <w:basedOn w:val="1"/>
    <w:link w:val="125"/>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5"/>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tabs>
        <w:tab w:val="right" w:leader="dot" w:pos="9403"/>
      </w:tabs>
    </w:pPr>
    <w:rPr>
      <w:rFonts w:cs="Arial"/>
      <w:b/>
      <w:bCs/>
      <w:caps/>
    </w:rPr>
  </w:style>
  <w:style w:type="paragraph" w:styleId="30">
    <w:name w:val="toc 4"/>
    <w:basedOn w:val="1"/>
    <w:next w:val="1"/>
    <w:qFormat/>
    <w:uiPriority w:val="39"/>
    <w:pPr>
      <w:ind w:left="630"/>
      <w:jc w:val="left"/>
    </w:pPr>
    <w:rPr>
      <w:szCs w:val="21"/>
    </w:rPr>
  </w:style>
  <w:style w:type="paragraph" w:styleId="31">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style>
  <w:style w:type="paragraph" w:styleId="33">
    <w:name w:val="toc 6"/>
    <w:basedOn w:val="1"/>
    <w:next w:val="1"/>
    <w:qFormat/>
    <w:uiPriority w:val="39"/>
    <w:pPr>
      <w:ind w:left="1050"/>
      <w:jc w:val="left"/>
    </w:pPr>
    <w:rPr>
      <w:szCs w:val="21"/>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8">
    <w:name w:val="toc 9"/>
    <w:basedOn w:val="1"/>
    <w:next w:val="1"/>
    <w:qFormat/>
    <w:uiPriority w:val="39"/>
    <w:pPr>
      <w:ind w:left="1680"/>
      <w:jc w:val="left"/>
    </w:pPr>
    <w:rPr>
      <w:szCs w:val="21"/>
    </w:rPr>
  </w:style>
  <w:style w:type="paragraph" w:styleId="39">
    <w:name w:val="Body Text 2"/>
    <w:basedOn w:val="1"/>
    <w:qFormat/>
    <w:uiPriority w:val="0"/>
    <w:rPr>
      <w:b/>
      <w:bCs/>
      <w:color w:val="000000"/>
      <w:sz w:val="28"/>
    </w:rPr>
  </w:style>
  <w:style w:type="paragraph" w:styleId="40">
    <w:name w:val="List 4"/>
    <w:basedOn w:val="1"/>
    <w:qFormat/>
    <w:uiPriority w:val="0"/>
    <w:pPr>
      <w:ind w:left="100" w:leftChars="600" w:hanging="200" w:hangingChars="200"/>
    </w:pPr>
    <w:rPr>
      <w:szCs w:val="20"/>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ind w:firstLine="200" w:firstLineChars="200"/>
    </w:pPr>
    <w:rPr>
      <w:sz w:val="24"/>
    </w:rPr>
  </w:style>
  <w:style w:type="paragraph" w:styleId="44">
    <w:name w:val="Title"/>
    <w:basedOn w:val="1"/>
    <w:qFormat/>
    <w:uiPriority w:val="0"/>
    <w:pPr>
      <w:jc w:val="center"/>
    </w:pPr>
    <w:rPr>
      <w:sz w:val="30"/>
    </w:rPr>
  </w:style>
  <w:style w:type="paragraph" w:styleId="45">
    <w:name w:val="annotation subject"/>
    <w:basedOn w:val="15"/>
    <w:next w:val="15"/>
    <w:semiHidden/>
    <w:qFormat/>
    <w:uiPriority w:val="0"/>
    <w:rPr>
      <w:b/>
      <w:bCs/>
    </w:rPr>
  </w:style>
  <w:style w:type="paragraph" w:styleId="46">
    <w:name w:val="Body Text First Indent 2"/>
    <w:basedOn w:val="17"/>
    <w:unhideWhenUsed/>
    <w:qFormat/>
    <w:uiPriority w:val="99"/>
    <w:pPr>
      <w:tabs>
        <w:tab w:val="left" w:pos="0"/>
        <w:tab w:val="left" w:pos="993"/>
        <w:tab w:val="left" w:pos="1134"/>
      </w:tabs>
      <w:ind w:firstLine="420" w:firstLineChars="2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rPr>
      <w:rFonts w:ascii="Calibri" w:hAnsi="Calibri" w:eastAsia="宋体"/>
    </w:rPr>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character" w:customStyle="1" w:styleId="56">
    <w:name w:val="标题 2 Char"/>
    <w:link w:val="7"/>
    <w:qFormat/>
    <w:uiPriority w:val="0"/>
    <w:rPr>
      <w:rFonts w:ascii="Calibri" w:hAnsi="Calibri" w:eastAsia="宋体" w:cs="Arial"/>
      <w:b/>
      <w:bCs/>
      <w:szCs w:val="32"/>
    </w:rPr>
  </w:style>
  <w:style w:type="character" w:customStyle="1" w:styleId="57">
    <w:name w:val="NormalCharacter"/>
    <w:qFormat/>
    <w:uiPriority w:val="0"/>
    <w:rPr>
      <w:rFonts w:ascii="Calibri" w:hAnsi="Calibri" w:eastAsia="宋体" w:cs="Times New Roman"/>
      <w:kern w:val="2"/>
      <w:sz w:val="24"/>
      <w:lang w:val="en-US" w:eastAsia="zh-CN" w:bidi="ar-SA"/>
    </w:rPr>
  </w:style>
  <w:style w:type="paragraph" w:customStyle="1" w:styleId="58">
    <w:name w:val="Default"/>
    <w:next w:val="59"/>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5"/>
    <w:qFormat/>
    <w:uiPriority w:val="0"/>
    <w:rPr>
      <w:rFonts w:ascii="Calibri" w:hAnsi="Calibri" w:eastAsia="宋体"/>
      <w:b/>
      <w:color w:val="000000"/>
      <w:sz w:val="28"/>
    </w:rPr>
  </w:style>
  <w:style w:type="paragraph" w:customStyle="1" w:styleId="63">
    <w:name w:val="样式1"/>
    <w:basedOn w:val="1"/>
    <w:next w:val="1"/>
    <w:link w:val="112"/>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Char"/>
    <w:link w:val="13"/>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7"/>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5"/>
    <w:qFormat/>
    <w:uiPriority w:val="0"/>
    <w:pPr>
      <w:widowControl/>
      <w:spacing w:line="440" w:lineRule="atLeast"/>
      <w:ind w:firstLine="480"/>
    </w:pPr>
    <w:rPr>
      <w:kern w:val="0"/>
      <w:sz w:val="24"/>
      <w:szCs w:val="20"/>
    </w:rPr>
  </w:style>
  <w:style w:type="paragraph" w:customStyle="1" w:styleId="70">
    <w:name w:val="Char4"/>
    <w:basedOn w:val="13"/>
    <w:qFormat/>
    <w:uiPriority w:val="0"/>
    <w:pPr>
      <w:widowControl/>
      <w:spacing w:afterLines="50" w:line="360" w:lineRule="auto"/>
      <w:ind w:firstLine="480" w:firstLineChars="200"/>
      <w:jc w:val="left"/>
    </w:pPr>
  </w:style>
  <w:style w:type="paragraph" w:customStyle="1" w:styleId="71">
    <w:name w:val="正文1"/>
    <w:basedOn w:val="14"/>
    <w:next w:val="1"/>
    <w:qFormat/>
    <w:uiPriority w:val="0"/>
    <w:pPr>
      <w:ind w:firstLine="200" w:firstLineChars="200"/>
    </w:pPr>
    <w:rPr>
      <w:sz w:val="24"/>
    </w:rPr>
  </w:style>
  <w:style w:type="paragraph" w:customStyle="1" w:styleId="72">
    <w:name w:val="内文正文"/>
    <w:basedOn w:val="22"/>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7"/>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2"/>
    <w:qFormat/>
    <w:uiPriority w:val="0"/>
    <w:pPr>
      <w:spacing w:line="0" w:lineRule="atLeast"/>
      <w:outlineLvl w:val="0"/>
    </w:pPr>
    <w:rPr>
      <w:sz w:val="28"/>
    </w:rPr>
  </w:style>
  <w:style w:type="paragraph" w:customStyle="1" w:styleId="87">
    <w:name w:val="_Style 71"/>
    <w:basedOn w:val="5"/>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qFormat/>
    <w:uiPriority w:val="0"/>
    <w:rPr>
      <w:rFonts w:ascii="仿宋_GB2312" w:eastAsia="仿宋_GB2312"/>
      <w:b/>
      <w:sz w:val="32"/>
      <w:szCs w:val="32"/>
    </w:rPr>
  </w:style>
  <w:style w:type="paragraph" w:customStyle="1" w:styleId="89">
    <w:name w:val="列出段落2"/>
    <w:basedOn w:val="1"/>
    <w:qFormat/>
    <w:uiPriority w:val="0"/>
    <w:pPr>
      <w:ind w:firstLine="420" w:firstLineChars="200"/>
    </w:pPr>
  </w:style>
  <w:style w:type="paragraph" w:customStyle="1" w:styleId="90">
    <w:name w:val="样式 标题 2 + 首行缩进:  2 字符"/>
    <w:basedOn w:val="7"/>
    <w:qFormat/>
    <w:uiPriority w:val="0"/>
    <w:pPr>
      <w:ind w:firstLine="482"/>
    </w:pPr>
    <w:rPr>
      <w:rFonts w:cs="宋体"/>
      <w:szCs w:val="20"/>
    </w:rPr>
  </w:style>
  <w:style w:type="paragraph" w:customStyle="1" w:styleId="91">
    <w:name w:val="gf正文1"/>
    <w:basedOn w:val="1"/>
    <w:link w:val="109"/>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qFormat/>
    <w:uiPriority w:val="0"/>
    <w:rPr>
      <w:rFonts w:eastAsia="Times New Roman"/>
      <w:kern w:val="0"/>
      <w:sz w:val="20"/>
      <w:szCs w:val="20"/>
      <w:lang w:val="zh-CN"/>
    </w:rPr>
  </w:style>
  <w:style w:type="paragraph" w:customStyle="1" w:styleId="93">
    <w:name w:val="正文－恩普"/>
    <w:basedOn w:val="13"/>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qFormat/>
    <w:uiPriority w:val="0"/>
    <w:rPr>
      <w:rFonts w:ascii="仿宋_GB2312" w:eastAsia="仿宋_GB2312"/>
      <w:b/>
      <w:sz w:val="32"/>
      <w:szCs w:val="32"/>
    </w:rPr>
  </w:style>
  <w:style w:type="paragraph" w:customStyle="1" w:styleId="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qFormat/>
    <w:uiPriority w:val="0"/>
    <w:rPr>
      <w:szCs w:val="20"/>
    </w:rPr>
  </w:style>
  <w:style w:type="paragraph" w:customStyle="1" w:styleId="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3"/>
    <w:qFormat/>
    <w:uiPriority w:val="0"/>
    <w:pPr>
      <w:widowControl/>
      <w:spacing w:afterLines="50" w:line="360" w:lineRule="auto"/>
      <w:ind w:firstLine="480" w:firstLineChars="200"/>
      <w:jc w:val="left"/>
    </w:pPr>
  </w:style>
  <w:style w:type="paragraph" w:customStyle="1" w:styleId="107">
    <w:name w:val="默认段落字体 Para Char"/>
    <w:basedOn w:val="1"/>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9"/>
    <w:qFormat/>
    <w:uiPriority w:val="0"/>
  </w:style>
  <w:style w:type="character" w:customStyle="1" w:styleId="111">
    <w:name w:val="列出段落 Char"/>
    <w:link w:val="96"/>
    <w:qFormat/>
    <w:uiPriority w:val="0"/>
    <w:rPr>
      <w:rFonts w:ascii="Calibri" w:hAnsi="Calibri" w:eastAsia="宋体"/>
      <w:kern w:val="2"/>
      <w:sz w:val="21"/>
      <w:szCs w:val="22"/>
      <w:lang w:val="en-US" w:eastAsia="zh-CN" w:bidi="ar-SA"/>
    </w:rPr>
  </w:style>
  <w:style w:type="character" w:customStyle="1" w:styleId="112">
    <w:name w:val="样式1 Char"/>
    <w:link w:val="63"/>
    <w:qFormat/>
    <w:uiPriority w:val="0"/>
    <w:rPr>
      <w:rFonts w:ascii="宋体" w:hAnsi="宋体" w:eastAsia="宋体"/>
      <w:kern w:val="2"/>
      <w:sz w:val="21"/>
      <w:szCs w:val="21"/>
      <w:lang w:val="en-US" w:eastAsia="zh-CN" w:bidi="ar-SA"/>
    </w:rPr>
  </w:style>
  <w:style w:type="character" w:customStyle="1" w:styleId="113">
    <w:name w:val="普通文字 Char Char1"/>
    <w:qFormat/>
    <w:uiPriority w:val="0"/>
    <w:rPr>
      <w:rFonts w:ascii="宋体" w:hAnsi="Courier New" w:eastAsia="宋体"/>
      <w:kern w:val="2"/>
      <w:sz w:val="21"/>
      <w:lang w:val="en-US" w:eastAsia="zh-CN" w:bidi="ar-SA"/>
    </w:rPr>
  </w:style>
  <w:style w:type="character" w:customStyle="1" w:styleId="114">
    <w:name w:val="纯文本 Char"/>
    <w:link w:val="22"/>
    <w:qFormat/>
    <w:uiPriority w:val="0"/>
    <w:rPr>
      <w:rFonts w:ascii="宋体" w:hAnsi="Courier New" w:eastAsia="宋体"/>
      <w:kern w:val="2"/>
      <w:sz w:val="21"/>
      <w:lang w:val="en-US" w:eastAsia="zh-CN" w:bidi="ar-SA"/>
    </w:rPr>
  </w:style>
  <w:style w:type="character" w:customStyle="1" w:styleId="115">
    <w:name w:val="页眉 Char"/>
    <w:link w:val="28"/>
    <w:qFormat/>
    <w:uiPriority w:val="0"/>
    <w:rPr>
      <w:rFonts w:eastAsia="宋体"/>
      <w:kern w:val="2"/>
      <w:sz w:val="18"/>
      <w:szCs w:val="18"/>
      <w:lang w:val="en-US" w:eastAsia="zh-CN" w:bidi="ar-SA"/>
    </w:rPr>
  </w:style>
  <w:style w:type="character" w:customStyle="1" w:styleId="116">
    <w:name w:val="1page sec3 Char Char"/>
    <w:qFormat/>
    <w:uiPriority w:val="0"/>
    <w:rPr>
      <w:rFonts w:eastAsia="宋体"/>
      <w:kern w:val="2"/>
      <w:sz w:val="18"/>
      <w:szCs w:val="18"/>
      <w:lang w:val="en-US" w:eastAsia="zh-CN" w:bidi="ar-SA"/>
    </w:rPr>
  </w:style>
  <w:style w:type="character" w:customStyle="1" w:styleId="117">
    <w:name w:val="标题 4 Char"/>
    <w:link w:val="9"/>
    <w:semiHidden/>
    <w:qFormat/>
    <w:uiPriority w:val="0"/>
    <w:rPr>
      <w:rFonts w:ascii="Cambria" w:hAnsi="Cambria" w:eastAsia="宋体" w:cs="Times New Roman"/>
      <w:b/>
      <w:bCs/>
      <w:kern w:val="2"/>
      <w:sz w:val="28"/>
      <w:szCs w:val="28"/>
    </w:rPr>
  </w:style>
  <w:style w:type="character" w:customStyle="1" w:styleId="118">
    <w:name w:val="unnamed51"/>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1"/>
    <w:qFormat/>
    <w:uiPriority w:val="0"/>
    <w:rPr>
      <w:rFonts w:ascii="Cambria" w:hAnsi="Cambria"/>
      <w:b/>
      <w:bCs/>
      <w:kern w:val="28"/>
      <w:sz w:val="32"/>
      <w:szCs w:val="32"/>
    </w:rPr>
  </w:style>
  <w:style w:type="character" w:customStyle="1" w:styleId="122">
    <w:name w:val="Char Char Char1"/>
    <w:link w:val="98"/>
    <w:qFormat/>
    <w:uiPriority w:val="0"/>
    <w:rPr>
      <w:rFonts w:ascii="仿宋_GB2312" w:eastAsia="仿宋_GB2312"/>
      <w:b/>
      <w:kern w:val="2"/>
      <w:sz w:val="32"/>
      <w:szCs w:val="32"/>
      <w:lang w:val="en-US" w:eastAsia="zh-CN" w:bidi="ar-SA"/>
    </w:rPr>
  </w:style>
  <w:style w:type="character" w:customStyle="1" w:styleId="123">
    <w:name w:val="Char Char"/>
    <w:qFormat/>
    <w:uiPriority w:val="0"/>
    <w:rPr>
      <w:rFonts w:eastAsia="宋体"/>
      <w:kern w:val="2"/>
      <w:sz w:val="18"/>
      <w:szCs w:val="18"/>
      <w:lang w:val="en-US" w:eastAsia="zh-CN" w:bidi="ar-SA"/>
    </w:rPr>
  </w:style>
  <w:style w:type="character" w:customStyle="1" w:styleId="124">
    <w:name w:val="Char Char2"/>
    <w:qFormat/>
    <w:uiPriority w:val="0"/>
    <w:rPr>
      <w:rFonts w:ascii="宋体" w:hAnsi="Courier New" w:eastAsia="宋体" w:cs="Courier New"/>
      <w:kern w:val="2"/>
      <w:sz w:val="21"/>
      <w:szCs w:val="21"/>
      <w:lang w:val="en-US" w:eastAsia="zh-CN" w:bidi="ar-SA"/>
    </w:rPr>
  </w:style>
  <w:style w:type="character" w:customStyle="1" w:styleId="125">
    <w:name w:val="页脚 Char"/>
    <w:link w:val="27"/>
    <w:qFormat/>
    <w:uiPriority w:val="0"/>
    <w:rPr>
      <w:rFonts w:ascii="Calibri" w:hAnsi="Calibri" w:eastAsia="宋体"/>
      <w:kern w:val="2"/>
      <w:sz w:val="18"/>
      <w:szCs w:val="18"/>
      <w:lang w:val="en-US" w:eastAsia="zh-CN" w:bidi="ar-SA"/>
    </w:rPr>
  </w:style>
  <w:style w:type="character" w:customStyle="1" w:styleId="126">
    <w:name w:val="特点 Char"/>
    <w:qFormat/>
    <w:uiPriority w:val="0"/>
    <w:rPr>
      <w:rFonts w:eastAsia="宋体"/>
      <w:kern w:val="2"/>
      <w:sz w:val="21"/>
      <w:szCs w:val="24"/>
      <w:lang w:val="en-US" w:eastAsia="zh-CN" w:bidi="ar-SA"/>
    </w:rPr>
  </w:style>
  <w:style w:type="character" w:customStyle="1" w:styleId="127">
    <w:name w:val="投标正文 Char"/>
    <w:link w:val="67"/>
    <w:qFormat/>
    <w:uiPriority w:val="0"/>
    <w:rPr>
      <w:rFonts w:ascii="Calibri" w:hAnsi="Calibri"/>
      <w:sz w:val="24"/>
      <w:szCs w:val="24"/>
    </w:rPr>
  </w:style>
  <w:style w:type="character" w:customStyle="1" w:styleId="128">
    <w:name w:val="样式1 Char Char Char"/>
    <w:qFormat/>
    <w:uiPriority w:val="0"/>
    <w:rPr>
      <w:rFonts w:ascii="Arial" w:hAnsi="Arial" w:eastAsia="宋体"/>
      <w:kern w:val="2"/>
      <w:sz w:val="21"/>
      <w:szCs w:val="24"/>
      <w:lang w:val="en-US" w:eastAsia="zh-CN" w:bidi="ar-SA"/>
    </w:rPr>
  </w:style>
  <w:style w:type="character" w:customStyle="1" w:styleId="129">
    <w:name w:val="Char Char31"/>
    <w:qFormat/>
    <w:uiPriority w:val="0"/>
    <w:rPr>
      <w:rFonts w:ascii="Arial" w:hAnsi="Arial" w:eastAsia="宋体"/>
      <w:b/>
      <w:bCs/>
      <w:kern w:val="2"/>
      <w:sz w:val="21"/>
      <w:szCs w:val="32"/>
      <w:lang w:val="en-US" w:eastAsia="zh-CN" w:bidi="ar-SA"/>
    </w:rPr>
  </w:style>
  <w:style w:type="character" w:customStyle="1" w:styleId="130">
    <w:name w:val="正文2 Char"/>
    <w:link w:val="73"/>
    <w:qFormat/>
    <w:uiPriority w:val="0"/>
    <w:rPr>
      <w:rFonts w:eastAsia="宋体"/>
      <w:kern w:val="2"/>
      <w:sz w:val="24"/>
      <w:lang w:bidi="ar-SA"/>
    </w:rPr>
  </w:style>
  <w:style w:type="character" w:customStyle="1" w:styleId="131">
    <w:name w:val="srt131"/>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qFormat/>
    <w:uiPriority w:val="99"/>
    <w:pPr>
      <w:ind w:firstLine="420" w:firstLineChars="200"/>
    </w:pPr>
    <w:rPr>
      <w:szCs w:val="22"/>
    </w:rPr>
  </w:style>
  <w:style w:type="paragraph" w:customStyle="1" w:styleId="133">
    <w:name w:val="列出段落3"/>
    <w:basedOn w:val="1"/>
    <w:unhideWhenUsed/>
    <w:qFormat/>
    <w:uiPriority w:val="99"/>
    <w:pPr>
      <w:ind w:firstLine="420" w:firstLineChars="200"/>
    </w:pPr>
  </w:style>
  <w:style w:type="paragraph" w:customStyle="1" w:styleId="134">
    <w:name w:val="纯文本1"/>
    <w:basedOn w:val="71"/>
    <w:qFormat/>
    <w:uiPriority w:val="0"/>
    <w:pPr>
      <w:widowControl/>
      <w:jc w:val="left"/>
    </w:pPr>
    <w:rPr>
      <w:rFonts w:ascii="宋体" w:hAnsi="Courier New"/>
      <w:szCs w:val="20"/>
    </w:rPr>
  </w:style>
  <w:style w:type="paragraph" w:customStyle="1" w:styleId="1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qFormat/>
    <w:uiPriority w:val="0"/>
    <w:rPr>
      <w:rFonts w:ascii="Times New Roman" w:hAnsi="Times New Roman" w:eastAsia="??" w:cs="宋体"/>
      <w:sz w:val="22"/>
      <w:szCs w:val="22"/>
      <w:lang w:val="en-US" w:eastAsia="en-US" w:bidi="ar-SA"/>
    </w:rPr>
  </w:style>
  <w:style w:type="paragraph" w:customStyle="1" w:styleId="138">
    <w:name w:val="列表段落1"/>
    <w:basedOn w:val="1"/>
    <w:qFormat/>
    <w:uiPriority w:val="0"/>
    <w:pPr>
      <w:ind w:firstLine="420" w:firstLineChars="200"/>
    </w:pPr>
    <w:rPr>
      <w:szCs w:val="22"/>
    </w:rPr>
  </w:style>
  <w:style w:type="paragraph" w:customStyle="1" w:styleId="139">
    <w:name w:val="Body text|1"/>
    <w:basedOn w:val="1"/>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30672</Words>
  <Characters>32242</Characters>
  <Lines>265</Lines>
  <Paragraphs>74</Paragraphs>
  <TotalTime>39</TotalTime>
  <ScaleCrop>false</ScaleCrop>
  <LinksUpToDate>false</LinksUpToDate>
  <CharactersWithSpaces>33583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2023-01-02T09:06:00Z</dcterms:created>
  <dc:creator>lyj</dc:creator>
  <cp:lastModifiedBy>等枫</cp:lastModifiedBy>
  <cp:lastPrinted>2023-04-14T05:05:00Z</cp:lastPrinted>
  <dcterms:modified xsi:type="dcterms:W3CDTF">2023-06-20T03:57:07Z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1725B5FA251847BA91D5B004F156FFA5_13</vt:lpwstr>
  </property>
</Properties>
</file>