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新魏" w:hAnsi="宋体" w:eastAsia="华文新魏"/>
          <w:b/>
          <w:sz w:val="52"/>
          <w:szCs w:val="52"/>
        </w:rPr>
      </w:pPr>
      <w:bookmarkStart w:id="0" w:name="OLE_LINK1"/>
    </w:p>
    <w:p>
      <w:pPr>
        <w:jc w:val="center"/>
        <w:rPr>
          <w:rFonts w:ascii="华文新魏" w:hAnsi="宋体" w:eastAsia="华文新魏"/>
          <w:b/>
          <w:spacing w:val="-14"/>
          <w:sz w:val="52"/>
          <w:szCs w:val="52"/>
        </w:rPr>
      </w:pPr>
    </w:p>
    <w:p>
      <w:pPr>
        <w:jc w:val="center"/>
        <w:rPr>
          <w:rFonts w:ascii="华文新魏" w:hAnsi="华文新魏" w:eastAsia="华文新魏"/>
          <w:b/>
          <w:sz w:val="52"/>
        </w:rPr>
      </w:pPr>
      <w:r>
        <w:rPr>
          <w:rFonts w:hint="eastAsia" w:ascii="华文新魏" w:hAnsi="华文新魏" w:eastAsia="华文新魏"/>
          <w:b/>
          <w:sz w:val="52"/>
        </w:rPr>
        <w:t>舟山市食品药品检验检测研究院</w:t>
      </w:r>
    </w:p>
    <w:p>
      <w:pPr>
        <w:jc w:val="center"/>
        <w:rPr>
          <w:rFonts w:ascii="华文新魏" w:hAnsi="华文新魏" w:eastAsia="华文新魏"/>
          <w:b/>
          <w:sz w:val="52"/>
        </w:rPr>
      </w:pPr>
      <w:r>
        <w:rPr>
          <w:rFonts w:hint="eastAsia" w:ascii="华文新魏" w:hAnsi="华文新魏" w:eastAsia="华文新魏"/>
          <w:b/>
          <w:sz w:val="52"/>
        </w:rPr>
        <w:t>实验室仪器设备维保综合服务项目</w:t>
      </w:r>
    </w:p>
    <w:p>
      <w:pPr>
        <w:snapToGrid w:val="0"/>
        <w:spacing w:line="312" w:lineRule="auto"/>
        <w:rPr>
          <w:rFonts w:ascii="华文新魏" w:hAnsi="华文新魏" w:eastAsia="华文新魏"/>
          <w:b/>
          <w:sz w:val="52"/>
        </w:rPr>
      </w:pPr>
    </w:p>
    <w:p>
      <w:pPr>
        <w:snapToGrid w:val="0"/>
        <w:spacing w:line="312" w:lineRule="auto"/>
        <w:jc w:val="center"/>
        <w:rPr>
          <w:rFonts w:ascii="华文新魏" w:hAnsi="华文新魏" w:eastAsia="华文新魏"/>
          <w:b/>
          <w:sz w:val="52"/>
        </w:rPr>
      </w:pPr>
      <w:r>
        <w:rPr>
          <w:rFonts w:hint="eastAsia" w:ascii="华文新魏" w:hAnsi="华文新魏" w:eastAsia="华文新魏"/>
          <w:b/>
          <w:sz w:val="52"/>
        </w:rPr>
        <w:t>招标文件</w:t>
      </w:r>
    </w:p>
    <w:p>
      <w:pPr>
        <w:snapToGrid w:val="0"/>
        <w:spacing w:before="120" w:line="312" w:lineRule="auto"/>
        <w:rPr>
          <w:rFonts w:ascii="华文新魏" w:hAnsi="华文新魏" w:eastAsia="华文新魏"/>
          <w:b/>
          <w:sz w:val="32"/>
        </w:rPr>
      </w:pPr>
    </w:p>
    <w:p>
      <w:pPr>
        <w:snapToGrid w:val="0"/>
        <w:spacing w:before="120" w:line="312" w:lineRule="auto"/>
        <w:rPr>
          <w:rFonts w:ascii="华文新魏" w:hAnsi="宋体" w:eastAsia="华文新魏"/>
          <w:b/>
          <w:sz w:val="32"/>
        </w:rPr>
      </w:pPr>
      <w:r>
        <w:rPr>
          <w:rFonts w:hint="eastAsia" w:ascii="华文新魏" w:hAnsi="华文新魏" w:eastAsia="华文新魏"/>
          <w:b/>
          <w:sz w:val="32"/>
        </w:rPr>
        <w:t>项目编号：</w:t>
      </w:r>
      <w:r>
        <w:rPr>
          <w:rFonts w:hint="eastAsia" w:ascii="华文新魏" w:hAnsi="宋体" w:eastAsia="华文新魏"/>
          <w:b/>
          <w:sz w:val="32"/>
        </w:rPr>
        <w:t>SZGXZS2022139</w:t>
      </w:r>
    </w:p>
    <w:p>
      <w:pPr>
        <w:snapToGrid w:val="0"/>
        <w:spacing w:before="120" w:line="312" w:lineRule="auto"/>
        <w:ind w:left="1602" w:hanging="1602" w:hangingChars="500"/>
        <w:rPr>
          <w:rFonts w:ascii="华文新魏" w:hAnsi="华文新魏" w:eastAsia="华文新魏"/>
          <w:b/>
          <w:sz w:val="32"/>
        </w:rPr>
      </w:pPr>
    </w:p>
    <w:p>
      <w:pPr>
        <w:snapToGrid w:val="0"/>
        <w:spacing w:before="120" w:line="312" w:lineRule="auto"/>
        <w:ind w:left="1602" w:hanging="1602" w:hangingChars="500"/>
        <w:rPr>
          <w:rFonts w:ascii="华文新魏" w:hAnsi="华文新魏" w:eastAsia="华文新魏"/>
          <w:sz w:val="32"/>
        </w:rPr>
      </w:pPr>
      <w:r>
        <w:rPr>
          <w:rFonts w:hint="eastAsia" w:ascii="华文新魏" w:hAnsi="华文新魏" w:eastAsia="华文新魏"/>
          <w:b/>
          <w:sz w:val="32"/>
        </w:rPr>
        <w:t>项目名称</w:t>
      </w:r>
      <w:r>
        <w:rPr>
          <w:rFonts w:hint="eastAsia" w:ascii="华文新魏" w:hAnsi="华文新魏" w:eastAsia="华文新魏"/>
          <w:sz w:val="32"/>
        </w:rPr>
        <w:t>：</w:t>
      </w:r>
      <w:r>
        <w:rPr>
          <w:rFonts w:hint="eastAsia" w:ascii="华文新魏" w:hAnsi="华文新魏" w:eastAsia="华文新魏"/>
          <w:b/>
          <w:sz w:val="32"/>
        </w:rPr>
        <w:t>舟山市食品药品检验检测研究院实验室仪器设备维保综合服务项目</w:t>
      </w:r>
    </w:p>
    <w:p>
      <w:pPr>
        <w:snapToGrid w:val="0"/>
        <w:spacing w:before="120" w:line="312" w:lineRule="auto"/>
        <w:rPr>
          <w:rFonts w:ascii="华文新魏" w:hAnsi="华文新魏" w:eastAsia="华文新魏"/>
          <w:b/>
          <w:w w:val="95"/>
          <w:sz w:val="32"/>
        </w:rPr>
      </w:pPr>
    </w:p>
    <w:p>
      <w:pPr>
        <w:snapToGrid w:val="0"/>
        <w:spacing w:before="120" w:line="312" w:lineRule="auto"/>
        <w:ind w:left="1523" w:hanging="1522" w:hangingChars="500"/>
        <w:rPr>
          <w:rFonts w:ascii="华文新魏" w:hAnsi="华文新魏" w:eastAsia="华文新魏"/>
          <w:sz w:val="32"/>
        </w:rPr>
      </w:pPr>
      <w:r>
        <w:rPr>
          <w:rFonts w:hint="eastAsia" w:ascii="华文新魏" w:hAnsi="华文新魏" w:eastAsia="华文新魏"/>
          <w:b/>
          <w:w w:val="95"/>
          <w:sz w:val="32"/>
        </w:rPr>
        <w:t>采购单位：</w:t>
      </w:r>
      <w:r>
        <w:rPr>
          <w:rFonts w:hint="eastAsia" w:ascii="华文新魏" w:hAnsi="华文新魏" w:eastAsia="华文新魏"/>
          <w:b/>
          <w:sz w:val="32"/>
        </w:rPr>
        <w:t>舟山市食品药品检验检测研究院</w:t>
      </w:r>
    </w:p>
    <w:p>
      <w:pPr>
        <w:snapToGrid w:val="0"/>
        <w:spacing w:before="120" w:line="312" w:lineRule="auto"/>
        <w:rPr>
          <w:rFonts w:ascii="华文新魏" w:hAnsi="华文新魏" w:eastAsia="华文新魏"/>
          <w:b/>
          <w:w w:val="95"/>
          <w:sz w:val="32"/>
        </w:rPr>
      </w:pPr>
    </w:p>
    <w:p>
      <w:pPr>
        <w:snapToGrid w:val="0"/>
        <w:spacing w:before="120" w:line="312" w:lineRule="auto"/>
        <w:rPr>
          <w:rFonts w:ascii="华文新魏" w:hAnsi="华文新魏" w:eastAsia="华文新魏"/>
          <w:b/>
          <w:w w:val="95"/>
          <w:sz w:val="32"/>
        </w:rPr>
      </w:pPr>
      <w:r>
        <w:rPr>
          <w:rFonts w:hint="eastAsia" w:ascii="华文新魏" w:hAnsi="华文新魏" w:eastAsia="华文新魏"/>
          <w:b/>
          <w:w w:val="95"/>
          <w:sz w:val="32"/>
        </w:rPr>
        <w:t>代理机构： 深圳市国信招标有限公司</w:t>
      </w:r>
    </w:p>
    <w:p>
      <w:pPr>
        <w:snapToGrid w:val="0"/>
        <w:spacing w:before="120" w:line="312" w:lineRule="auto"/>
        <w:ind w:left="5974" w:hanging="5968" w:hangingChars="1961"/>
        <w:rPr>
          <w:rFonts w:ascii="华文新魏" w:hAnsi="华文新魏" w:eastAsia="华文新魏"/>
          <w:b/>
          <w:w w:val="95"/>
          <w:sz w:val="32"/>
        </w:rPr>
      </w:pPr>
    </w:p>
    <w:p>
      <w:pPr>
        <w:snapToGrid w:val="0"/>
        <w:spacing w:before="120" w:line="312" w:lineRule="auto"/>
        <w:rPr>
          <w:rFonts w:ascii="华文新魏" w:hAnsi="华文新魏" w:eastAsia="华文新魏"/>
          <w:b/>
          <w:w w:val="95"/>
          <w:sz w:val="32"/>
        </w:rPr>
      </w:pPr>
    </w:p>
    <w:p>
      <w:pPr>
        <w:snapToGrid w:val="0"/>
        <w:spacing w:before="120" w:line="312" w:lineRule="auto"/>
        <w:ind w:left="6046" w:leftChars="2625" w:hanging="533" w:hangingChars="175"/>
        <w:rPr>
          <w:rFonts w:ascii="华文新魏" w:hAnsi="华文新魏" w:eastAsia="华文新魏"/>
          <w:b/>
          <w:w w:val="95"/>
          <w:sz w:val="32"/>
        </w:rPr>
      </w:pPr>
      <w:r>
        <w:rPr>
          <w:rFonts w:hint="eastAsia" w:ascii="华文新魏" w:hAnsi="华文新魏" w:eastAsia="华文新魏"/>
          <w:b/>
          <w:w w:val="95"/>
          <w:sz w:val="32"/>
        </w:rPr>
        <w:t>202</w:t>
      </w:r>
      <w:r>
        <w:rPr>
          <w:rFonts w:ascii="华文新魏" w:hAnsi="华文新魏" w:eastAsia="华文新魏"/>
          <w:b/>
          <w:w w:val="95"/>
          <w:sz w:val="32"/>
        </w:rPr>
        <w:t>2</w:t>
      </w:r>
      <w:r>
        <w:rPr>
          <w:rFonts w:hint="eastAsia" w:ascii="华文新魏" w:hAnsi="华文新魏" w:eastAsia="华文新魏"/>
          <w:b/>
          <w:w w:val="95"/>
          <w:sz w:val="32"/>
        </w:rPr>
        <w:t>年0</w:t>
      </w:r>
      <w:r>
        <w:rPr>
          <w:rFonts w:ascii="华文新魏" w:hAnsi="华文新魏" w:eastAsia="华文新魏"/>
          <w:b/>
          <w:w w:val="95"/>
          <w:sz w:val="32"/>
        </w:rPr>
        <w:t>8</w:t>
      </w:r>
      <w:r>
        <w:rPr>
          <w:rFonts w:hint="eastAsia" w:ascii="华文新魏" w:hAnsi="华文新魏" w:eastAsia="华文新魏"/>
          <w:b/>
          <w:w w:val="95"/>
          <w:sz w:val="32"/>
        </w:rPr>
        <w:t>月</w:t>
      </w:r>
      <w:r>
        <w:rPr>
          <w:rFonts w:hint="eastAsia" w:ascii="华文新魏" w:hAnsi="华文新魏" w:eastAsia="华文新魏"/>
          <w:b/>
          <w:w w:val="95"/>
          <w:sz w:val="32"/>
          <w:lang w:val="en-US" w:eastAsia="zh-CN"/>
        </w:rPr>
        <w:t>10</w:t>
      </w:r>
      <w:r>
        <w:rPr>
          <w:rFonts w:hint="eastAsia" w:ascii="华文新魏" w:hAnsi="华文新魏" w:eastAsia="华文新魏"/>
          <w:b/>
          <w:w w:val="95"/>
          <w:sz w:val="32"/>
        </w:rPr>
        <w:t>日</w:t>
      </w:r>
    </w:p>
    <w:p>
      <w:pPr>
        <w:snapToGrid w:val="0"/>
        <w:spacing w:before="120" w:line="312" w:lineRule="auto"/>
        <w:ind w:left="6057" w:leftChars="2409" w:hanging="998" w:hangingChars="328"/>
        <w:rPr>
          <w:rFonts w:ascii="华文新魏" w:hAnsi="华文新魏" w:eastAsia="华文新魏"/>
          <w:b/>
          <w:w w:val="95"/>
          <w:sz w:val="32"/>
        </w:rPr>
      </w:pPr>
    </w:p>
    <w:p>
      <w:pPr>
        <w:snapToGrid w:val="0"/>
        <w:spacing w:before="120" w:line="312" w:lineRule="auto"/>
        <w:rPr>
          <w:rFonts w:ascii="创艺简标宋" w:hAnsi="宋体" w:eastAsia="创艺简标宋"/>
          <w:sz w:val="44"/>
        </w:rPr>
        <w:sectPr>
          <w:footerReference r:id="rId3" w:type="default"/>
          <w:footerReference r:id="rId4" w:type="even"/>
          <w:pgSz w:w="11906" w:h="16838"/>
          <w:pgMar w:top="1304" w:right="1106" w:bottom="1304" w:left="1531" w:header="1304" w:footer="1304" w:gutter="0"/>
          <w:cols w:space="720" w:num="1"/>
        </w:sectPr>
      </w:pPr>
    </w:p>
    <w:p>
      <w:pPr>
        <w:snapToGrid w:val="0"/>
        <w:spacing w:before="120" w:line="312" w:lineRule="auto"/>
        <w:rPr>
          <w:rFonts w:ascii="创艺简标宋" w:hAnsi="宋体" w:eastAsia="创艺简标宋"/>
          <w:sz w:val="44"/>
        </w:rPr>
      </w:pPr>
    </w:p>
    <w:p>
      <w:pPr>
        <w:snapToGrid w:val="0"/>
        <w:spacing w:before="120" w:line="312" w:lineRule="auto"/>
        <w:jc w:val="center"/>
        <w:rPr>
          <w:rFonts w:asciiTheme="minorEastAsia" w:hAnsiTheme="minorEastAsia" w:eastAsiaTheme="minorEastAsia"/>
          <w:b/>
          <w:sz w:val="44"/>
        </w:rPr>
      </w:pPr>
      <w:r>
        <w:rPr>
          <w:rFonts w:hint="eastAsia" w:asciiTheme="minorEastAsia" w:hAnsiTheme="minorEastAsia" w:eastAsiaTheme="minorEastAsia"/>
          <w:b/>
          <w:sz w:val="44"/>
        </w:rPr>
        <w:t>目    录</w:t>
      </w:r>
    </w:p>
    <w:p>
      <w:pPr>
        <w:widowControl/>
        <w:numPr>
          <w:ilvl w:val="0"/>
          <w:numId w:val="4"/>
        </w:numPr>
        <w:overflowPunct w:val="0"/>
        <w:autoSpaceDE w:val="0"/>
        <w:autoSpaceDN w:val="0"/>
        <w:adjustRightInd w:val="0"/>
        <w:snapToGrid w:val="0"/>
        <w:spacing w:line="360" w:lineRule="auto"/>
        <w:textAlignment w:val="baseline"/>
        <w:rPr>
          <w:rFonts w:ascii="宋体" w:hAnsi="宋体"/>
          <w:sz w:val="24"/>
        </w:rPr>
      </w:pPr>
      <w:r>
        <w:rPr>
          <w:rFonts w:hint="eastAsia" w:ascii="宋体" w:hAnsi="宋体"/>
          <w:sz w:val="24"/>
        </w:rPr>
        <w:t>采购公告</w:t>
      </w:r>
    </w:p>
    <w:p>
      <w:pPr>
        <w:widowControl/>
        <w:numPr>
          <w:ilvl w:val="0"/>
          <w:numId w:val="4"/>
        </w:numPr>
        <w:overflowPunct w:val="0"/>
        <w:autoSpaceDE w:val="0"/>
        <w:autoSpaceDN w:val="0"/>
        <w:adjustRightInd w:val="0"/>
        <w:snapToGrid w:val="0"/>
        <w:spacing w:line="360" w:lineRule="auto"/>
        <w:textAlignment w:val="baseline"/>
        <w:rPr>
          <w:rFonts w:ascii="宋体" w:hAnsi="宋体"/>
          <w:sz w:val="24"/>
        </w:rPr>
      </w:pPr>
      <w:r>
        <w:rPr>
          <w:rFonts w:hint="eastAsia" w:ascii="宋体" w:hAnsi="宋体"/>
          <w:sz w:val="24"/>
        </w:rPr>
        <w:t>招标需求</w:t>
      </w:r>
    </w:p>
    <w:p>
      <w:pPr>
        <w:widowControl/>
        <w:numPr>
          <w:ilvl w:val="0"/>
          <w:numId w:val="4"/>
        </w:numPr>
        <w:overflowPunct w:val="0"/>
        <w:autoSpaceDE w:val="0"/>
        <w:autoSpaceDN w:val="0"/>
        <w:adjustRightInd w:val="0"/>
        <w:snapToGrid w:val="0"/>
        <w:spacing w:line="360" w:lineRule="auto"/>
        <w:textAlignment w:val="baseline"/>
        <w:rPr>
          <w:rFonts w:ascii="宋体" w:hAnsi="宋体"/>
          <w:sz w:val="24"/>
        </w:rPr>
      </w:pPr>
      <w:r>
        <w:rPr>
          <w:rFonts w:hint="eastAsia" w:ascii="宋体" w:hAnsi="宋体"/>
          <w:sz w:val="24"/>
        </w:rPr>
        <w:t>投标人须知</w:t>
      </w:r>
    </w:p>
    <w:p>
      <w:pPr>
        <w:snapToGrid w:val="0"/>
        <w:spacing w:line="360" w:lineRule="auto"/>
        <w:ind w:left="1440"/>
        <w:rPr>
          <w:rFonts w:ascii="宋体" w:hAnsi="宋体"/>
          <w:sz w:val="24"/>
        </w:rPr>
      </w:pPr>
      <w:r>
        <w:rPr>
          <w:rFonts w:hint="eastAsia" w:ascii="宋体" w:hAnsi="宋体"/>
          <w:sz w:val="24"/>
        </w:rPr>
        <w:t>前附表</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宋体" w:hAnsi="宋体"/>
          <w:sz w:val="24"/>
        </w:rPr>
      </w:pPr>
      <w:r>
        <w:rPr>
          <w:rFonts w:hint="eastAsia" w:ascii="宋体" w:hAnsi="宋体"/>
          <w:sz w:val="24"/>
        </w:rPr>
        <w:t>总则</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宋体" w:hAnsi="宋体"/>
          <w:sz w:val="24"/>
        </w:rPr>
      </w:pPr>
      <w:r>
        <w:rPr>
          <w:rFonts w:hint="eastAsia" w:ascii="宋体" w:hAnsi="宋体"/>
          <w:sz w:val="24"/>
        </w:rPr>
        <w:t>招标文件</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宋体" w:hAnsi="宋体"/>
          <w:sz w:val="24"/>
        </w:rPr>
      </w:pPr>
      <w:r>
        <w:rPr>
          <w:rFonts w:hint="eastAsia" w:ascii="宋体" w:hAnsi="宋体"/>
          <w:sz w:val="24"/>
        </w:rPr>
        <w:t>投标文件编制</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宋体" w:hAnsi="宋体"/>
          <w:sz w:val="24"/>
        </w:rPr>
      </w:pPr>
      <w:r>
        <w:rPr>
          <w:rFonts w:hint="eastAsia" w:ascii="宋体" w:hAnsi="宋体"/>
          <w:sz w:val="24"/>
        </w:rPr>
        <w:t>开标</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宋体" w:hAnsi="宋体"/>
          <w:sz w:val="24"/>
        </w:rPr>
      </w:pPr>
      <w:r>
        <w:rPr>
          <w:rFonts w:hint="eastAsia" w:ascii="宋体" w:hAnsi="宋体"/>
          <w:sz w:val="24"/>
        </w:rPr>
        <w:t>评标</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宋体" w:hAnsi="宋体"/>
          <w:sz w:val="24"/>
        </w:rPr>
      </w:pPr>
      <w:r>
        <w:rPr>
          <w:rFonts w:hint="eastAsia" w:ascii="宋体" w:hAnsi="宋体"/>
          <w:sz w:val="24"/>
        </w:rPr>
        <w:t>定标</w:t>
      </w:r>
    </w:p>
    <w:p>
      <w:pPr>
        <w:widowControl/>
        <w:numPr>
          <w:ilvl w:val="1"/>
          <w:numId w:val="5"/>
        </w:numPr>
        <w:tabs>
          <w:tab w:val="left" w:pos="1305"/>
        </w:tabs>
        <w:overflowPunct w:val="0"/>
        <w:autoSpaceDE w:val="0"/>
        <w:autoSpaceDN w:val="0"/>
        <w:adjustRightInd w:val="0"/>
        <w:snapToGrid w:val="0"/>
        <w:spacing w:line="360" w:lineRule="auto"/>
        <w:textAlignment w:val="baseline"/>
        <w:rPr>
          <w:rFonts w:ascii="宋体" w:hAnsi="宋体"/>
          <w:sz w:val="24"/>
        </w:rPr>
      </w:pPr>
      <w:r>
        <w:rPr>
          <w:rFonts w:hint="eastAsia" w:ascii="宋体" w:hAnsi="宋体"/>
          <w:sz w:val="24"/>
        </w:rPr>
        <w:t>合同授予</w:t>
      </w:r>
    </w:p>
    <w:p>
      <w:pPr>
        <w:widowControl/>
        <w:overflowPunct w:val="0"/>
        <w:autoSpaceDE w:val="0"/>
        <w:autoSpaceDN w:val="0"/>
        <w:adjustRightInd w:val="0"/>
        <w:snapToGrid w:val="0"/>
        <w:spacing w:line="360" w:lineRule="auto"/>
        <w:ind w:left="165"/>
        <w:textAlignment w:val="baseline"/>
        <w:rPr>
          <w:rFonts w:ascii="宋体" w:hAnsi="宋体"/>
          <w:sz w:val="24"/>
        </w:rPr>
      </w:pPr>
      <w:r>
        <w:rPr>
          <w:rFonts w:hint="eastAsia" w:ascii="宋体" w:hAnsi="宋体"/>
          <w:sz w:val="24"/>
        </w:rPr>
        <w:t>第四章     评标办法及评分标准</w:t>
      </w:r>
    </w:p>
    <w:p>
      <w:pPr>
        <w:widowControl/>
        <w:overflowPunct w:val="0"/>
        <w:autoSpaceDE w:val="0"/>
        <w:autoSpaceDN w:val="0"/>
        <w:adjustRightInd w:val="0"/>
        <w:snapToGrid w:val="0"/>
        <w:spacing w:line="360" w:lineRule="auto"/>
        <w:ind w:left="165"/>
        <w:textAlignment w:val="baseline"/>
        <w:rPr>
          <w:rFonts w:ascii="宋体" w:hAnsi="宋体"/>
          <w:sz w:val="24"/>
        </w:rPr>
      </w:pPr>
      <w:r>
        <w:rPr>
          <w:rFonts w:hint="eastAsia" w:ascii="宋体" w:hAnsi="宋体"/>
          <w:sz w:val="24"/>
        </w:rPr>
        <w:t>第五章     政府采购合同主要条款</w:t>
      </w:r>
    </w:p>
    <w:p>
      <w:pPr>
        <w:widowControl/>
        <w:overflowPunct w:val="0"/>
        <w:autoSpaceDE w:val="0"/>
        <w:autoSpaceDN w:val="0"/>
        <w:adjustRightInd w:val="0"/>
        <w:snapToGrid w:val="0"/>
        <w:spacing w:line="360" w:lineRule="auto"/>
        <w:ind w:left="165"/>
        <w:textAlignment w:val="baseline"/>
        <w:rPr>
          <w:rFonts w:ascii="宋体" w:hAnsi="宋体"/>
          <w:sz w:val="24"/>
        </w:rPr>
      </w:pPr>
      <w:r>
        <w:rPr>
          <w:rFonts w:hint="eastAsia" w:ascii="宋体" w:hAnsi="宋体"/>
          <w:sz w:val="24"/>
        </w:rPr>
        <w:t>第六章     投标文件相关格式</w:t>
      </w:r>
    </w:p>
    <w:p>
      <w:pPr>
        <w:snapToGrid w:val="0"/>
        <w:spacing w:before="120" w:line="312" w:lineRule="auto"/>
        <w:outlineLvl w:val="0"/>
        <w:rPr>
          <w:rFonts w:hAnsi="宋体"/>
        </w:rPr>
      </w:pPr>
    </w:p>
    <w:p>
      <w:pPr>
        <w:snapToGrid w:val="0"/>
        <w:spacing w:before="120" w:line="312" w:lineRule="auto"/>
        <w:outlineLvl w:val="0"/>
        <w:rPr>
          <w:rFonts w:hAnsi="宋体"/>
        </w:rPr>
      </w:pPr>
    </w:p>
    <w:p>
      <w:pPr>
        <w:snapToGrid w:val="0"/>
        <w:spacing w:before="120" w:line="312" w:lineRule="auto"/>
        <w:outlineLvl w:val="0"/>
        <w:rPr>
          <w:rFonts w:hAnsi="宋体"/>
        </w:rPr>
      </w:pPr>
    </w:p>
    <w:p>
      <w:pPr>
        <w:snapToGrid w:val="0"/>
        <w:spacing w:before="120" w:line="312" w:lineRule="auto"/>
        <w:outlineLvl w:val="0"/>
        <w:rPr>
          <w:rFonts w:hAnsi="宋体"/>
        </w:rPr>
      </w:pPr>
    </w:p>
    <w:p>
      <w:pPr>
        <w:snapToGrid w:val="0"/>
        <w:spacing w:before="120" w:line="312" w:lineRule="auto"/>
        <w:outlineLvl w:val="0"/>
        <w:rPr>
          <w:rFonts w:hAnsi="宋体"/>
        </w:rPr>
      </w:pPr>
    </w:p>
    <w:p>
      <w:pPr>
        <w:snapToGrid w:val="0"/>
        <w:spacing w:before="120" w:line="312" w:lineRule="auto"/>
        <w:outlineLvl w:val="0"/>
        <w:rPr>
          <w:rFonts w:hAnsi="宋体"/>
        </w:rPr>
      </w:pPr>
    </w:p>
    <w:p>
      <w:pPr>
        <w:snapToGrid w:val="0"/>
        <w:spacing w:before="120" w:line="312" w:lineRule="auto"/>
        <w:outlineLvl w:val="0"/>
        <w:rPr>
          <w:rFonts w:hAnsi="宋体"/>
        </w:rPr>
      </w:pPr>
    </w:p>
    <w:p>
      <w:pPr>
        <w:snapToGrid w:val="0"/>
        <w:spacing w:before="120" w:line="312" w:lineRule="auto"/>
        <w:outlineLvl w:val="0"/>
        <w:rPr>
          <w:rFonts w:hAnsi="宋体"/>
        </w:rPr>
        <w:sectPr>
          <w:pgSz w:w="11906" w:h="16838"/>
          <w:pgMar w:top="1304" w:right="1106" w:bottom="1304" w:left="1531" w:header="1304" w:footer="1304" w:gutter="0"/>
          <w:cols w:space="720" w:num="1"/>
        </w:sectPr>
      </w:pPr>
    </w:p>
    <w:p>
      <w:pPr>
        <w:snapToGrid w:val="0"/>
        <w:spacing w:before="120" w:line="312" w:lineRule="auto"/>
        <w:jc w:val="center"/>
        <w:outlineLvl w:val="0"/>
        <w:rPr>
          <w:rFonts w:ascii="黑体" w:hAnsi="宋体" w:eastAsia="黑体"/>
          <w:sz w:val="30"/>
        </w:rPr>
      </w:pPr>
      <w:r>
        <w:rPr>
          <w:rFonts w:hint="eastAsia" w:ascii="黑体" w:hAnsi="宋体" w:eastAsia="黑体"/>
          <w:sz w:val="30"/>
        </w:rPr>
        <w:t>第一章  公开招标采购公告</w:t>
      </w:r>
    </w:p>
    <w:p>
      <w:pPr>
        <w:spacing w:line="312" w:lineRule="auto"/>
        <w:rPr>
          <w:rFonts w:hAnsi="宋体"/>
        </w:rPr>
      </w:pPr>
    </w:p>
    <w:p>
      <w:pPr>
        <w:spacing w:line="360" w:lineRule="auto"/>
        <w:ind w:firstLine="420" w:firstLineChars="200"/>
        <w:rPr>
          <w:szCs w:val="21"/>
        </w:rPr>
      </w:pPr>
      <w:r>
        <w:rPr>
          <w:rFonts w:hint="eastAsia"/>
        </w:rPr>
        <w:t>根据《中华人民</w:t>
      </w:r>
      <w:r>
        <w:rPr>
          <w:rFonts w:hint="eastAsia"/>
          <w:szCs w:val="21"/>
        </w:rPr>
        <w:t>共和国政府采购法》等规定，受舟山市食品药品检验检测研究院委托，现就舟山市食品药品检验检测研究院实验室仪器设备维保综合服务项目进行公开招标，欢迎符合资质要求并能提供相关服务的供应商参加投标。</w:t>
      </w:r>
    </w:p>
    <w:p>
      <w:pPr>
        <w:widowControl/>
        <w:spacing w:line="360" w:lineRule="auto"/>
        <w:jc w:val="left"/>
        <w:rPr>
          <w:rStyle w:val="38"/>
          <w:rFonts w:hAnsi="宋体"/>
          <w:szCs w:val="21"/>
        </w:rPr>
      </w:pPr>
      <w:r>
        <w:rPr>
          <w:rStyle w:val="38"/>
          <w:rFonts w:hint="eastAsia" w:hAnsi="宋体"/>
          <w:szCs w:val="21"/>
        </w:rPr>
        <w:t>一、项目名称：</w:t>
      </w:r>
      <w:r>
        <w:rPr>
          <w:rFonts w:hint="eastAsia" w:ascii="宋体"/>
          <w:szCs w:val="21"/>
        </w:rPr>
        <w:t>舟山市食品药品检验检测研究院实验室仪器设备维保综合服务项目</w:t>
      </w:r>
    </w:p>
    <w:p>
      <w:pPr>
        <w:widowControl/>
        <w:spacing w:line="360" w:lineRule="auto"/>
        <w:jc w:val="left"/>
        <w:rPr>
          <w:rFonts w:ascii="宋体" w:hAnsi="宋体"/>
          <w:b/>
          <w:bCs/>
          <w:sz w:val="28"/>
          <w:szCs w:val="28"/>
        </w:rPr>
      </w:pPr>
      <w:r>
        <w:rPr>
          <w:rStyle w:val="38"/>
          <w:rFonts w:hint="eastAsia" w:hAnsi="宋体"/>
          <w:szCs w:val="21"/>
        </w:rPr>
        <w:t>二、</w:t>
      </w:r>
      <w:r>
        <w:rPr>
          <w:rStyle w:val="38"/>
          <w:rFonts w:hAnsi="宋体"/>
          <w:szCs w:val="21"/>
        </w:rPr>
        <w:t>招标项目编号：</w:t>
      </w:r>
      <w:r>
        <w:rPr>
          <w:rFonts w:hint="eastAsia" w:ascii="宋体" w:hAnsi="宋体"/>
          <w:kern w:val="0"/>
          <w:szCs w:val="21"/>
          <w:shd w:val="clear" w:color="auto" w:fill="FFFFFF"/>
        </w:rPr>
        <w:t>SZGXZS2022139</w:t>
      </w:r>
    </w:p>
    <w:p>
      <w:pPr>
        <w:pStyle w:val="72"/>
        <w:spacing w:beforeAutospacing="0" w:afterAutospacing="0" w:line="360" w:lineRule="auto"/>
        <w:jc w:val="both"/>
        <w:rPr>
          <w:sz w:val="21"/>
          <w:szCs w:val="21"/>
          <w:shd w:val="clear" w:color="auto" w:fill="FFFFFF"/>
        </w:rPr>
      </w:pPr>
      <w:r>
        <w:rPr>
          <w:rStyle w:val="38"/>
          <w:rFonts w:hint="eastAsia"/>
          <w:sz w:val="21"/>
          <w:szCs w:val="21"/>
        </w:rPr>
        <w:t>三、</w:t>
      </w:r>
      <w:r>
        <w:rPr>
          <w:rStyle w:val="38"/>
          <w:sz w:val="21"/>
          <w:szCs w:val="21"/>
        </w:rPr>
        <w:t>采购组织类型：</w:t>
      </w:r>
      <w:r>
        <w:rPr>
          <w:sz w:val="21"/>
          <w:szCs w:val="21"/>
          <w:shd w:val="clear" w:color="auto" w:fill="FFFFFF"/>
        </w:rPr>
        <w:t>分散采购委托代理</w:t>
      </w:r>
    </w:p>
    <w:p>
      <w:pPr>
        <w:pStyle w:val="72"/>
        <w:spacing w:beforeAutospacing="0" w:afterAutospacing="0" w:line="360" w:lineRule="auto"/>
        <w:jc w:val="both"/>
        <w:rPr>
          <w:rStyle w:val="38"/>
          <w:sz w:val="21"/>
          <w:szCs w:val="21"/>
        </w:rPr>
      </w:pPr>
      <w:r>
        <w:rPr>
          <w:rStyle w:val="38"/>
          <w:rFonts w:hint="eastAsia"/>
          <w:sz w:val="21"/>
          <w:szCs w:val="21"/>
        </w:rPr>
        <w:t>四、</w:t>
      </w:r>
      <w:r>
        <w:rPr>
          <w:rStyle w:val="38"/>
          <w:sz w:val="21"/>
          <w:szCs w:val="21"/>
        </w:rPr>
        <w:t>招标项目概况（内容、用途、数量、简要技术要求等）:</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4820"/>
        <w:gridCol w:w="850"/>
        <w:gridCol w:w="85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pStyle w:val="72"/>
              <w:spacing w:beforeAutospacing="0" w:afterAutospacing="0" w:line="312" w:lineRule="auto"/>
              <w:jc w:val="center"/>
              <w:rPr>
                <w:rStyle w:val="38"/>
                <w:rFonts w:asciiTheme="minorEastAsia" w:hAnsiTheme="minorEastAsia"/>
                <w:b w:val="0"/>
                <w:sz w:val="21"/>
                <w:szCs w:val="21"/>
              </w:rPr>
            </w:pPr>
            <w:r>
              <w:rPr>
                <w:rStyle w:val="38"/>
                <w:rFonts w:hint="eastAsia" w:asciiTheme="minorEastAsia" w:hAnsiTheme="minorEastAsia" w:eastAsiaTheme="minorEastAsia"/>
                <w:sz w:val="21"/>
                <w:szCs w:val="21"/>
              </w:rPr>
              <w:t>序号</w:t>
            </w:r>
          </w:p>
        </w:tc>
        <w:tc>
          <w:tcPr>
            <w:tcW w:w="4820" w:type="dxa"/>
            <w:tcBorders>
              <w:right w:val="single" w:color="auto" w:sz="4" w:space="0"/>
            </w:tcBorders>
            <w:vAlign w:val="center"/>
          </w:tcPr>
          <w:p>
            <w:pPr>
              <w:pStyle w:val="72"/>
              <w:spacing w:beforeAutospacing="0" w:afterAutospacing="0" w:line="312" w:lineRule="auto"/>
              <w:jc w:val="center"/>
              <w:rPr>
                <w:rStyle w:val="38"/>
                <w:rFonts w:asciiTheme="minorEastAsia" w:hAnsiTheme="minorEastAsia"/>
                <w:b w:val="0"/>
                <w:sz w:val="21"/>
                <w:szCs w:val="21"/>
              </w:rPr>
            </w:pPr>
            <w:r>
              <w:rPr>
                <w:rStyle w:val="38"/>
                <w:rFonts w:hint="eastAsia" w:asciiTheme="minorEastAsia" w:hAnsiTheme="minorEastAsia" w:eastAsiaTheme="minorEastAsia"/>
                <w:sz w:val="21"/>
                <w:szCs w:val="21"/>
              </w:rPr>
              <w:t>建设内容</w:t>
            </w:r>
          </w:p>
        </w:tc>
        <w:tc>
          <w:tcPr>
            <w:tcW w:w="850" w:type="dxa"/>
            <w:tcBorders>
              <w:left w:val="single" w:color="auto" w:sz="4" w:space="0"/>
              <w:right w:val="single" w:color="auto" w:sz="4" w:space="0"/>
            </w:tcBorders>
            <w:vAlign w:val="center"/>
          </w:tcPr>
          <w:p>
            <w:pPr>
              <w:pStyle w:val="72"/>
              <w:spacing w:beforeAutospacing="0" w:afterAutospacing="0" w:line="312" w:lineRule="auto"/>
              <w:jc w:val="center"/>
              <w:rPr>
                <w:rStyle w:val="38"/>
                <w:rFonts w:asciiTheme="minorEastAsia" w:hAnsiTheme="minorEastAsia"/>
                <w:b w:val="0"/>
                <w:sz w:val="21"/>
                <w:szCs w:val="21"/>
              </w:rPr>
            </w:pPr>
            <w:r>
              <w:rPr>
                <w:rStyle w:val="38"/>
                <w:rFonts w:hint="eastAsia" w:asciiTheme="minorEastAsia" w:hAnsiTheme="minorEastAsia" w:eastAsiaTheme="minorEastAsia"/>
                <w:sz w:val="21"/>
                <w:szCs w:val="21"/>
              </w:rPr>
              <w:t>数量</w:t>
            </w:r>
          </w:p>
        </w:tc>
        <w:tc>
          <w:tcPr>
            <w:tcW w:w="851" w:type="dxa"/>
            <w:tcBorders>
              <w:left w:val="single" w:color="auto" w:sz="4" w:space="0"/>
            </w:tcBorders>
            <w:vAlign w:val="center"/>
          </w:tcPr>
          <w:p>
            <w:pPr>
              <w:pStyle w:val="72"/>
              <w:spacing w:beforeAutospacing="0" w:afterAutospacing="0" w:line="312" w:lineRule="auto"/>
              <w:jc w:val="center"/>
              <w:rPr>
                <w:rStyle w:val="38"/>
                <w:rFonts w:asciiTheme="minorEastAsia" w:hAnsiTheme="minorEastAsia"/>
                <w:b w:val="0"/>
                <w:sz w:val="21"/>
                <w:szCs w:val="21"/>
              </w:rPr>
            </w:pPr>
            <w:r>
              <w:rPr>
                <w:rStyle w:val="38"/>
                <w:rFonts w:hint="eastAsia" w:asciiTheme="minorEastAsia" w:hAnsiTheme="minorEastAsia" w:eastAsiaTheme="minorEastAsia"/>
                <w:sz w:val="21"/>
                <w:szCs w:val="21"/>
              </w:rPr>
              <w:t>单位</w:t>
            </w:r>
          </w:p>
        </w:tc>
        <w:tc>
          <w:tcPr>
            <w:tcW w:w="1559" w:type="dxa"/>
            <w:tcBorders>
              <w:right w:val="single" w:color="auto" w:sz="4" w:space="0"/>
            </w:tcBorders>
            <w:vAlign w:val="center"/>
          </w:tcPr>
          <w:p>
            <w:pPr>
              <w:pStyle w:val="72"/>
              <w:spacing w:beforeAutospacing="0" w:afterAutospacing="0" w:line="312" w:lineRule="auto"/>
              <w:jc w:val="center"/>
              <w:rPr>
                <w:rStyle w:val="38"/>
                <w:rFonts w:asciiTheme="minorEastAsia" w:hAnsiTheme="minorEastAsia"/>
                <w:b w:val="0"/>
                <w:sz w:val="21"/>
                <w:szCs w:val="21"/>
              </w:rPr>
            </w:pPr>
            <w:r>
              <w:rPr>
                <w:rStyle w:val="38"/>
                <w:rFonts w:hint="eastAsia" w:asciiTheme="minorEastAsia" w:hAnsiTheme="minorEastAsia" w:eastAsiaTheme="minorEastAsia"/>
                <w:sz w:val="21"/>
                <w:szCs w:val="21"/>
              </w:rPr>
              <w:t>预算金额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jc w:val="center"/>
              <w:rPr>
                <w:kern w:val="0"/>
                <w:sz w:val="20"/>
                <w:szCs w:val="24"/>
              </w:rPr>
            </w:pPr>
            <w:r>
              <w:rPr>
                <w:kern w:val="0"/>
                <w:sz w:val="20"/>
                <w:szCs w:val="24"/>
              </w:rPr>
              <w:t>1</w:t>
            </w:r>
          </w:p>
        </w:tc>
        <w:tc>
          <w:tcPr>
            <w:tcW w:w="4820" w:type="dxa"/>
            <w:tcBorders>
              <w:right w:val="single" w:color="auto" w:sz="4" w:space="0"/>
            </w:tcBorders>
            <w:vAlign w:val="center"/>
          </w:tcPr>
          <w:p>
            <w:pPr>
              <w:widowControl/>
              <w:jc w:val="center"/>
              <w:rPr>
                <w:kern w:val="0"/>
                <w:sz w:val="20"/>
                <w:szCs w:val="24"/>
              </w:rPr>
            </w:pPr>
            <w:r>
              <w:rPr>
                <w:rFonts w:hint="eastAsia" w:ascii="宋体"/>
                <w:kern w:val="0"/>
                <w:sz w:val="20"/>
                <w:szCs w:val="21"/>
              </w:rPr>
              <w:t>舟山市食品药品检验检测研究院实验室仪器设备维保综合服务项目</w:t>
            </w:r>
          </w:p>
        </w:tc>
        <w:tc>
          <w:tcPr>
            <w:tcW w:w="850" w:type="dxa"/>
            <w:tcBorders>
              <w:left w:val="single" w:color="auto" w:sz="4" w:space="0"/>
              <w:right w:val="single" w:color="auto" w:sz="4" w:space="0"/>
            </w:tcBorders>
            <w:vAlign w:val="center"/>
          </w:tcPr>
          <w:p>
            <w:pPr>
              <w:widowControl/>
              <w:jc w:val="center"/>
              <w:rPr>
                <w:rFonts w:asciiTheme="minorEastAsia" w:hAnsiTheme="minorEastAsia" w:eastAsiaTheme="minorEastAsia"/>
                <w:kern w:val="0"/>
                <w:sz w:val="20"/>
                <w:szCs w:val="24"/>
              </w:rPr>
            </w:pPr>
            <w:r>
              <w:rPr>
                <w:rFonts w:hint="eastAsia" w:asciiTheme="minorEastAsia" w:hAnsiTheme="minorEastAsia" w:eastAsiaTheme="minorEastAsia"/>
                <w:kern w:val="0"/>
                <w:sz w:val="20"/>
                <w:szCs w:val="24"/>
              </w:rPr>
              <w:t>1</w:t>
            </w:r>
          </w:p>
        </w:tc>
        <w:tc>
          <w:tcPr>
            <w:tcW w:w="851" w:type="dxa"/>
            <w:tcBorders>
              <w:left w:val="single" w:color="auto" w:sz="4" w:space="0"/>
            </w:tcBorders>
            <w:vAlign w:val="center"/>
          </w:tcPr>
          <w:p>
            <w:pPr>
              <w:widowControl/>
              <w:jc w:val="center"/>
              <w:rPr>
                <w:rFonts w:asciiTheme="minorEastAsia" w:hAnsiTheme="minorEastAsia" w:eastAsiaTheme="minorEastAsia"/>
                <w:kern w:val="0"/>
                <w:sz w:val="20"/>
                <w:szCs w:val="24"/>
              </w:rPr>
            </w:pPr>
            <w:r>
              <w:rPr>
                <w:rFonts w:hint="eastAsia" w:asciiTheme="minorEastAsia" w:hAnsiTheme="minorEastAsia" w:eastAsiaTheme="minorEastAsia"/>
                <w:kern w:val="0"/>
                <w:sz w:val="20"/>
                <w:szCs w:val="24"/>
              </w:rPr>
              <w:t>项</w:t>
            </w:r>
          </w:p>
        </w:tc>
        <w:tc>
          <w:tcPr>
            <w:tcW w:w="1559" w:type="dxa"/>
            <w:tcBorders>
              <w:right w:val="single" w:color="auto" w:sz="4" w:space="0"/>
            </w:tcBorders>
            <w:vAlign w:val="center"/>
          </w:tcPr>
          <w:p>
            <w:pPr>
              <w:pStyle w:val="72"/>
              <w:spacing w:beforeAutospacing="0" w:afterAutospacing="0" w:line="312" w:lineRule="auto"/>
              <w:jc w:val="center"/>
              <w:rPr>
                <w:rStyle w:val="38"/>
                <w:rFonts w:asciiTheme="minorEastAsia" w:hAnsiTheme="minorEastAsia" w:eastAsiaTheme="minorEastAsia"/>
                <w:b w:val="0"/>
                <w:sz w:val="21"/>
                <w:szCs w:val="21"/>
              </w:rPr>
            </w:pPr>
            <w:r>
              <w:rPr>
                <w:rStyle w:val="38"/>
                <w:rFonts w:hint="eastAsia" w:asciiTheme="minorEastAsia" w:hAnsiTheme="minorEastAsia" w:eastAsiaTheme="minorEastAsia"/>
                <w:sz w:val="21"/>
                <w:szCs w:val="21"/>
              </w:rPr>
              <w:t>115万元</w:t>
            </w:r>
          </w:p>
        </w:tc>
      </w:tr>
    </w:tbl>
    <w:p>
      <w:pPr>
        <w:pStyle w:val="72"/>
        <w:spacing w:beforeAutospacing="0" w:afterAutospacing="0" w:line="360" w:lineRule="auto"/>
        <w:jc w:val="both"/>
        <w:rPr>
          <w:rStyle w:val="38"/>
          <w:sz w:val="21"/>
          <w:szCs w:val="21"/>
        </w:rPr>
      </w:pPr>
    </w:p>
    <w:p>
      <w:pPr>
        <w:pStyle w:val="72"/>
        <w:spacing w:beforeAutospacing="0" w:afterAutospacing="0" w:line="360" w:lineRule="auto"/>
        <w:jc w:val="both"/>
        <w:rPr>
          <w:rStyle w:val="38"/>
          <w:b w:val="0"/>
          <w:sz w:val="21"/>
          <w:szCs w:val="21"/>
        </w:rPr>
      </w:pPr>
      <w:r>
        <w:rPr>
          <w:rStyle w:val="38"/>
          <w:sz w:val="21"/>
          <w:szCs w:val="21"/>
        </w:rPr>
        <w:t>五、投标供应商资格要求:</w:t>
      </w:r>
    </w:p>
    <w:p>
      <w:pPr>
        <w:pStyle w:val="72"/>
        <w:shd w:val="clear" w:color="auto" w:fill="FFFFFF"/>
        <w:spacing w:beforeAutospacing="0" w:afterAutospacing="0" w:line="360" w:lineRule="auto"/>
        <w:ind w:firstLine="420" w:firstLineChars="20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 xml:space="preserve">. </w:t>
      </w:r>
      <w:r>
        <w:rPr>
          <w:rFonts w:hint="eastAsia" w:cs="宋体"/>
          <w:sz w:val="21"/>
          <w:szCs w:val="21"/>
        </w:rPr>
        <w:t>①</w:t>
      </w:r>
      <w:r>
        <w:rPr>
          <w:rFonts w:ascii="Times New Roman" w:hAnsi="Times New Roman"/>
          <w:sz w:val="21"/>
          <w:szCs w:val="21"/>
        </w:rPr>
        <w:t>具有独立承担民事责任的能力；</w:t>
      </w:r>
      <w:r>
        <w:rPr>
          <w:rFonts w:hint="eastAsia" w:cs="宋体"/>
          <w:sz w:val="21"/>
          <w:szCs w:val="21"/>
        </w:rPr>
        <w:t>②</w:t>
      </w:r>
      <w:r>
        <w:rPr>
          <w:rFonts w:ascii="Times New Roman" w:hAnsi="Times New Roman"/>
          <w:sz w:val="21"/>
          <w:szCs w:val="21"/>
        </w:rPr>
        <w:t>具有良好的商业信誉和健全的财务会计制度；</w:t>
      </w:r>
      <w:r>
        <w:rPr>
          <w:rFonts w:hint="eastAsia" w:cs="宋体"/>
          <w:sz w:val="21"/>
          <w:szCs w:val="21"/>
        </w:rPr>
        <w:t>③</w:t>
      </w:r>
      <w:r>
        <w:rPr>
          <w:rFonts w:ascii="Times New Roman" w:hAnsi="Times New Roman"/>
          <w:sz w:val="21"/>
          <w:szCs w:val="21"/>
        </w:rPr>
        <w:t>具有履行合同所必需的设备和专业技术能力；</w:t>
      </w:r>
      <w:r>
        <w:rPr>
          <w:rFonts w:hint="eastAsia" w:cs="宋体"/>
          <w:sz w:val="21"/>
          <w:szCs w:val="21"/>
        </w:rPr>
        <w:t>④</w:t>
      </w:r>
      <w:r>
        <w:rPr>
          <w:rFonts w:ascii="Times New Roman" w:hAnsi="Times New Roman"/>
          <w:sz w:val="21"/>
          <w:szCs w:val="21"/>
        </w:rPr>
        <w:t>参加政府采购活动前三年内，无依法缴纳税收和社会保障资金的不良记录；</w:t>
      </w:r>
      <w:r>
        <w:rPr>
          <w:rFonts w:hint="eastAsia" w:cs="宋体"/>
          <w:sz w:val="21"/>
          <w:szCs w:val="21"/>
        </w:rPr>
        <w:t>⑤</w:t>
      </w:r>
      <w:r>
        <w:rPr>
          <w:rFonts w:ascii="Times New Roman" w:hAnsi="Times New Roman"/>
          <w:sz w:val="21"/>
          <w:szCs w:val="21"/>
        </w:rPr>
        <w:t>参加政府采购活动前三年内，在经营活动中没有重大违法记录；</w:t>
      </w:r>
      <w:r>
        <w:rPr>
          <w:rFonts w:hint="eastAsia" w:cs="宋体"/>
          <w:sz w:val="21"/>
          <w:szCs w:val="21"/>
        </w:rPr>
        <w:t>⑥</w:t>
      </w:r>
      <w:r>
        <w:rPr>
          <w:rFonts w:ascii="Times New Roman" w:hAnsi="Times New Roman"/>
          <w:sz w:val="21"/>
          <w:szCs w:val="21"/>
        </w:rPr>
        <w:t>法律、行政法规规定的其他条件。</w:t>
      </w:r>
    </w:p>
    <w:p>
      <w:pPr>
        <w:pStyle w:val="72"/>
        <w:shd w:val="clear" w:color="auto" w:fill="FFFFFF"/>
        <w:spacing w:beforeAutospacing="0" w:afterAutospacing="0" w:line="360" w:lineRule="auto"/>
        <w:ind w:firstLine="420" w:firstLineChars="20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 xml:space="preserve">. </w:t>
      </w:r>
      <w:r>
        <w:rPr>
          <w:rFonts w:ascii="Times New Roman" w:hAnsi="Times New Roman"/>
          <w:sz w:val="21"/>
          <w:szCs w:val="21"/>
        </w:rPr>
        <w:t>未被“信用中国”（www.creditchina.gov.cn）、中国政府采购网（www.ccgp.gov.cn）列入失信被执行人、重大税收违法案件当事人名单、政府采购严重违法失信行为记录名单。</w:t>
      </w:r>
    </w:p>
    <w:p>
      <w:pPr>
        <w:pStyle w:val="72"/>
        <w:shd w:val="clear" w:color="auto" w:fill="FFFFFF"/>
        <w:spacing w:beforeAutospacing="0" w:afterAutospacing="0" w:line="360" w:lineRule="auto"/>
        <w:ind w:firstLine="422" w:firstLineChars="200"/>
        <w:rPr>
          <w:rFonts w:ascii="Times New Roman" w:hAnsi="Times New Roman"/>
          <w:b/>
          <w:sz w:val="21"/>
          <w:szCs w:val="21"/>
        </w:rPr>
      </w:pPr>
      <w:r>
        <w:rPr>
          <w:rFonts w:hint="eastAsia" w:ascii="Times New Roman" w:hAnsi="Times New Roman"/>
          <w:b/>
          <w:color w:val="FF0000"/>
          <w:sz w:val="21"/>
          <w:szCs w:val="21"/>
        </w:rPr>
        <w:t>3. 本项目不专门面向中小企业。本项目对应的中小企业划分标准所属行业：其他未列明行业。</w:t>
      </w:r>
    </w:p>
    <w:p>
      <w:pPr>
        <w:pStyle w:val="72"/>
        <w:shd w:val="clear" w:color="auto" w:fill="FFFFFF"/>
        <w:spacing w:beforeAutospacing="0" w:afterAutospacing="0" w:line="360" w:lineRule="auto"/>
        <w:rPr>
          <w:rFonts w:ascii="Times New Roman" w:hAnsi="Times New Roman"/>
          <w:sz w:val="21"/>
          <w:szCs w:val="21"/>
        </w:rPr>
      </w:pPr>
      <w:r>
        <w:rPr>
          <w:rStyle w:val="38"/>
          <w:sz w:val="21"/>
          <w:szCs w:val="21"/>
        </w:rPr>
        <w:t>六、</w:t>
      </w:r>
      <w:r>
        <w:rPr>
          <w:rFonts w:ascii="Times New Roman" w:hAnsi="Times New Roman"/>
          <w:b/>
          <w:sz w:val="21"/>
          <w:szCs w:val="21"/>
        </w:rPr>
        <w:t>公告期限：</w:t>
      </w:r>
      <w:r>
        <w:rPr>
          <w:rFonts w:ascii="Times New Roman" w:hAnsi="Times New Roman"/>
          <w:b/>
          <w:sz w:val="21"/>
          <w:szCs w:val="21"/>
          <w:u w:val="single"/>
        </w:rPr>
        <w:t>自公告发布之日起5个工作日</w:t>
      </w:r>
    </w:p>
    <w:p>
      <w:pPr>
        <w:snapToGrid w:val="0"/>
        <w:spacing w:line="360" w:lineRule="auto"/>
        <w:rPr>
          <w:szCs w:val="21"/>
        </w:rPr>
      </w:pPr>
      <w:r>
        <w:rPr>
          <w:b/>
          <w:bCs/>
          <w:szCs w:val="21"/>
        </w:rPr>
        <w:t>七</w:t>
      </w:r>
      <w:r>
        <w:rPr>
          <w:rFonts w:hint="eastAsia"/>
          <w:b/>
          <w:bCs/>
          <w:szCs w:val="21"/>
        </w:rPr>
        <w:t>、</w:t>
      </w:r>
      <w:r>
        <w:rPr>
          <w:b/>
          <w:bCs/>
          <w:szCs w:val="21"/>
        </w:rPr>
        <w:t>注册及采购文件的获取</w:t>
      </w:r>
      <w:r>
        <w:rPr>
          <w:szCs w:val="21"/>
        </w:rPr>
        <w:t>：</w:t>
      </w:r>
    </w:p>
    <w:p>
      <w:pPr>
        <w:pStyle w:val="72"/>
        <w:shd w:val="clear" w:color="auto" w:fill="FFFFFF"/>
        <w:spacing w:beforeAutospacing="0" w:afterAutospacing="0" w:line="360" w:lineRule="auto"/>
        <w:ind w:firstLine="417" w:firstLineChars="198"/>
        <w:rPr>
          <w:rFonts w:ascii="Times New Roman" w:hAnsi="Times New Roman"/>
          <w:b/>
          <w:bCs/>
          <w:sz w:val="21"/>
          <w:szCs w:val="21"/>
          <w:shd w:val="clear" w:color="auto" w:fill="FFFFFF"/>
        </w:rPr>
      </w:pPr>
      <w:r>
        <w:rPr>
          <w:rFonts w:ascii="Times New Roman" w:hAnsi="Times New Roman"/>
          <w:b/>
          <w:bCs/>
          <w:sz w:val="21"/>
          <w:szCs w:val="21"/>
          <w:shd w:val="clear" w:color="auto" w:fill="FFFFFF"/>
        </w:rPr>
        <w:t>1</w:t>
      </w:r>
      <w:r>
        <w:rPr>
          <w:rFonts w:hint="eastAsia" w:ascii="Times New Roman" w:hAnsi="Times New Roman"/>
          <w:b/>
          <w:bCs/>
          <w:sz w:val="21"/>
          <w:szCs w:val="21"/>
          <w:shd w:val="clear" w:color="auto" w:fill="FFFFFF"/>
        </w:rPr>
        <w:t>.</w:t>
      </w:r>
      <w:r>
        <w:rPr>
          <w:rFonts w:ascii="Times New Roman" w:hAnsi="Times New Roman"/>
          <w:b/>
          <w:bCs/>
          <w:sz w:val="21"/>
          <w:szCs w:val="21"/>
          <w:shd w:val="clear" w:color="auto" w:fill="FFFFFF"/>
        </w:rPr>
        <w:t>本项目只实行网上获取采购文件。</w:t>
      </w:r>
    </w:p>
    <w:p>
      <w:pPr>
        <w:pStyle w:val="72"/>
        <w:shd w:val="clear" w:color="auto" w:fill="FFFFFF"/>
        <w:spacing w:beforeAutospacing="0" w:afterAutospacing="0" w:line="360" w:lineRule="auto"/>
        <w:ind w:firstLine="417" w:firstLineChars="198"/>
        <w:rPr>
          <w:rFonts w:ascii="Times New Roman" w:hAnsi="Times New Roman"/>
          <w:b/>
          <w:bCs/>
          <w:sz w:val="21"/>
          <w:szCs w:val="21"/>
          <w:shd w:val="clear" w:color="auto" w:fill="FFFFFF"/>
        </w:rPr>
      </w:pPr>
      <w:r>
        <w:rPr>
          <w:rFonts w:ascii="Times New Roman" w:hAnsi="Times New Roman"/>
          <w:b/>
          <w:bCs/>
          <w:sz w:val="21"/>
          <w:szCs w:val="21"/>
          <w:shd w:val="clear" w:color="auto" w:fill="FFFFFF"/>
        </w:rPr>
        <w:t>2</w:t>
      </w:r>
      <w:r>
        <w:rPr>
          <w:rFonts w:hint="eastAsia" w:ascii="Times New Roman" w:hAnsi="Times New Roman"/>
          <w:b/>
          <w:bCs/>
          <w:sz w:val="21"/>
          <w:szCs w:val="21"/>
          <w:shd w:val="clear" w:color="auto" w:fill="FFFFFF"/>
        </w:rPr>
        <w:t>.</w:t>
      </w:r>
      <w:r>
        <w:rPr>
          <w:rFonts w:ascii="Times New Roman" w:hAnsi="Times New Roman"/>
          <w:b/>
          <w:bCs/>
          <w:sz w:val="21"/>
          <w:szCs w:val="21"/>
          <w:shd w:val="clear" w:color="auto" w:fill="FFFFFF"/>
        </w:rPr>
        <w:t>获取采购文件网址</w:t>
      </w:r>
      <w:r>
        <w:rPr>
          <w:rFonts w:ascii="Times New Roman" w:hAnsi="Times New Roman"/>
          <w:sz w:val="21"/>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sz w:val="21"/>
          <w:szCs w:val="21"/>
          <w:u w:val="single"/>
          <w:shd w:val="clear" w:color="auto" w:fill="FFFFFF"/>
        </w:rPr>
        <w:t>www.zjzfcg.gov.cn</w:t>
      </w:r>
      <w:r>
        <w:rPr>
          <w:rFonts w:ascii="Times New Roman" w:hAnsi="Times New Roman"/>
          <w:sz w:val="21"/>
          <w:szCs w:val="21"/>
          <w:u w:val="single"/>
          <w:shd w:val="clear" w:color="auto" w:fill="FFFFFF"/>
        </w:rPr>
        <w:fldChar w:fldCharType="end"/>
      </w:r>
      <w:r>
        <w:rPr>
          <w:rFonts w:ascii="Times New Roman" w:hAnsi="Times New Roman"/>
          <w:sz w:val="21"/>
          <w:szCs w:val="21"/>
          <w:shd w:val="clear" w:color="auto" w:fill="FFFFFF"/>
        </w:rPr>
        <w:t>（用“政采云”注册账号、密码登录系统后获取采购文件）</w:t>
      </w:r>
    </w:p>
    <w:p>
      <w:pPr>
        <w:pStyle w:val="72"/>
        <w:shd w:val="clear" w:color="auto" w:fill="FFFFFF"/>
        <w:spacing w:beforeAutospacing="0" w:afterAutospacing="0" w:line="360" w:lineRule="auto"/>
        <w:ind w:left="416" w:leftChars="198"/>
        <w:rPr>
          <w:rFonts w:ascii="Times New Roman" w:hAnsi="Times New Roman"/>
          <w:b/>
          <w:bCs/>
          <w:sz w:val="21"/>
          <w:szCs w:val="21"/>
          <w:shd w:val="clear" w:color="auto" w:fill="FFFFFF"/>
        </w:rPr>
      </w:pPr>
      <w:r>
        <w:rPr>
          <w:rFonts w:ascii="Times New Roman" w:hAnsi="Times New Roman"/>
          <w:b/>
          <w:bCs/>
          <w:sz w:val="21"/>
          <w:szCs w:val="21"/>
          <w:shd w:val="clear" w:color="auto" w:fill="FFFFFF"/>
        </w:rPr>
        <w:t>3</w:t>
      </w:r>
      <w:r>
        <w:rPr>
          <w:rFonts w:hint="eastAsia" w:ascii="Times New Roman" w:hAnsi="Times New Roman"/>
          <w:b/>
          <w:bCs/>
          <w:sz w:val="21"/>
          <w:szCs w:val="21"/>
          <w:shd w:val="clear" w:color="auto" w:fill="FFFFFF"/>
        </w:rPr>
        <w:t>.</w:t>
      </w:r>
      <w:r>
        <w:rPr>
          <w:rFonts w:ascii="Times New Roman" w:hAnsi="Times New Roman"/>
          <w:b/>
          <w:bCs/>
          <w:sz w:val="21"/>
          <w:szCs w:val="21"/>
          <w:shd w:val="clear" w:color="auto" w:fill="FFFFFF"/>
        </w:rPr>
        <w:t>免费注册网址：浙江政府采购网（供应商注册页面）：</w:t>
      </w:r>
    </w:p>
    <w:p>
      <w:pPr>
        <w:pStyle w:val="72"/>
        <w:shd w:val="clear" w:color="auto" w:fill="FFFFFF"/>
        <w:spacing w:beforeAutospacing="0" w:afterAutospacing="0" w:line="360" w:lineRule="auto"/>
        <w:rPr>
          <w:rFonts w:ascii="Times New Roman" w:hAnsi="Times New Roman"/>
          <w:sz w:val="21"/>
          <w:szCs w:val="21"/>
          <w:shd w:val="clear" w:color="auto" w:fill="FFFFFF"/>
        </w:rPr>
      </w:pPr>
      <w:r>
        <w:rPr>
          <w:rFonts w:ascii="Times New Roman" w:hAnsi="Times New Roman"/>
          <w:sz w:val="21"/>
          <w:szCs w:val="21"/>
          <w:u w:val="single"/>
          <w:shd w:val="clear" w:color="auto" w:fill="FFFFFF"/>
        </w:rPr>
        <w:t>https://middle.zcygov.cn/settle-front/#/registry</w:t>
      </w:r>
      <w:r>
        <w:rPr>
          <w:rFonts w:ascii="Times New Roman" w:hAnsi="Times New Roman"/>
          <w:sz w:val="21"/>
          <w:szCs w:val="21"/>
          <w:shd w:val="clear" w:color="auto" w:fill="FFFFFF"/>
        </w:rPr>
        <w:t>“政采云”，咨询电话：400-881-7190。已经注册成功的供应商无需重复注册。</w:t>
      </w:r>
    </w:p>
    <w:p>
      <w:pPr>
        <w:pStyle w:val="72"/>
        <w:shd w:val="clear" w:color="auto" w:fill="FFFFFF"/>
        <w:spacing w:beforeAutospacing="0" w:afterAutospacing="0" w:line="360" w:lineRule="auto"/>
        <w:ind w:firstLine="417" w:firstLineChars="198"/>
        <w:rPr>
          <w:rFonts w:ascii="Times New Roman" w:hAnsi="Times New Roman"/>
          <w:sz w:val="21"/>
          <w:szCs w:val="21"/>
          <w:shd w:val="clear" w:color="auto" w:fill="FFFFFF"/>
        </w:rPr>
      </w:pPr>
      <w:r>
        <w:rPr>
          <w:rFonts w:ascii="Times New Roman" w:hAnsi="Times New Roman"/>
          <w:b/>
          <w:bCs/>
          <w:sz w:val="21"/>
          <w:szCs w:val="21"/>
          <w:shd w:val="clear" w:color="auto" w:fill="FFFFFF"/>
        </w:rPr>
        <w:t>4</w:t>
      </w:r>
      <w:r>
        <w:rPr>
          <w:rFonts w:hint="eastAsia" w:ascii="Times New Roman" w:hAnsi="Times New Roman"/>
          <w:b/>
          <w:bCs/>
          <w:sz w:val="21"/>
          <w:szCs w:val="21"/>
          <w:shd w:val="clear" w:color="auto" w:fill="FFFFFF"/>
        </w:rPr>
        <w:t>.</w:t>
      </w:r>
      <w:r>
        <w:rPr>
          <w:rFonts w:ascii="Times New Roman" w:hAnsi="Times New Roman"/>
          <w:b/>
          <w:bCs/>
          <w:sz w:val="21"/>
          <w:szCs w:val="21"/>
          <w:shd w:val="clear" w:color="auto" w:fill="FFFFFF"/>
        </w:rPr>
        <w:t>获取采购文件时间：</w:t>
      </w:r>
      <w:r>
        <w:rPr>
          <w:rFonts w:hint="eastAsia" w:ascii="Times New Roman" w:hAnsi="Times New Roman"/>
          <w:sz w:val="21"/>
          <w:szCs w:val="21"/>
          <w:shd w:val="clear" w:color="auto" w:fill="FFFFFF"/>
        </w:rPr>
        <w:t>公告发布之日至投标截止时间</w:t>
      </w:r>
    </w:p>
    <w:p>
      <w:pPr>
        <w:pStyle w:val="72"/>
        <w:shd w:val="clear" w:color="auto" w:fill="FFFFFF"/>
        <w:spacing w:beforeAutospacing="0" w:afterAutospacing="0" w:line="360" w:lineRule="auto"/>
        <w:rPr>
          <w:rFonts w:ascii="Times New Roman" w:hAnsi="Times New Roman"/>
          <w:b/>
          <w:bCs/>
          <w:kern w:val="2"/>
          <w:sz w:val="21"/>
          <w:szCs w:val="21"/>
        </w:rPr>
      </w:pPr>
      <w:r>
        <w:rPr>
          <w:rFonts w:ascii="Times New Roman" w:hAnsi="Times New Roman"/>
          <w:b/>
          <w:bCs/>
          <w:kern w:val="2"/>
          <w:sz w:val="21"/>
          <w:szCs w:val="21"/>
        </w:rPr>
        <w:t>八、投标文件的制作及递交;</w:t>
      </w:r>
    </w:p>
    <w:p>
      <w:pPr>
        <w:pStyle w:val="72"/>
        <w:shd w:val="clear" w:color="auto" w:fill="FFFFFF"/>
        <w:spacing w:beforeAutospacing="0" w:afterAutospacing="0" w:line="360" w:lineRule="auto"/>
        <w:ind w:firstLine="420" w:firstLineChars="200"/>
        <w:rPr>
          <w:rFonts w:ascii="Times New Roman" w:hAnsi="Times New Roman"/>
          <w:sz w:val="21"/>
          <w:szCs w:val="21"/>
          <w:shd w:val="clear" w:color="auto" w:fill="FFFFFF"/>
        </w:rPr>
      </w:pPr>
      <w:r>
        <w:rPr>
          <w:rFonts w:ascii="Times New Roman" w:hAnsi="Times New Roman"/>
          <w:sz w:val="21"/>
          <w:szCs w:val="21"/>
          <w:shd w:val="clear" w:color="auto" w:fill="FFFFFF"/>
        </w:rPr>
        <w:t>1</w:t>
      </w:r>
      <w:r>
        <w:rPr>
          <w:rFonts w:hint="eastAsia" w:ascii="Times New Roman" w:hAnsi="Times New Roman"/>
          <w:sz w:val="21"/>
          <w:szCs w:val="21"/>
          <w:shd w:val="clear" w:color="auto" w:fill="FFFFFF"/>
        </w:rPr>
        <w:t>.</w:t>
      </w:r>
      <w:r>
        <w:rPr>
          <w:rFonts w:ascii="Times New Roman" w:hAnsi="Times New Roman"/>
          <w:sz w:val="21"/>
          <w:szCs w:val="21"/>
          <w:shd w:val="clear" w:color="auto" w:fill="FFFFFF"/>
        </w:rPr>
        <w:t>供应商须</w:t>
      </w:r>
      <w:r>
        <w:rPr>
          <w:rFonts w:ascii="Times New Roman" w:hAnsi="Times New Roman"/>
          <w:b/>
          <w:bCs/>
          <w:sz w:val="21"/>
          <w:szCs w:val="21"/>
          <w:shd w:val="clear" w:color="auto" w:fill="FFFFFF"/>
        </w:rPr>
        <w:t>在线获取CA数字证书</w:t>
      </w:r>
      <w:r>
        <w:rPr>
          <w:rFonts w:ascii="Times New Roman" w:hAnsi="Times New Roman"/>
          <w:sz w:val="21"/>
          <w:szCs w:val="21"/>
          <w:shd w:val="clear" w:color="auto" w:fill="FFFFFF"/>
        </w:rPr>
        <w:t>（完成CA数字证书办理预计一周左右，建议各投标人自行把握时间）</w:t>
      </w:r>
      <w:r>
        <w:rPr>
          <w:rFonts w:ascii="Times New Roman" w:hAnsi="Times New Roman"/>
          <w:b/>
          <w:bCs/>
          <w:sz w:val="21"/>
          <w:szCs w:val="21"/>
          <w:shd w:val="clear" w:color="auto" w:fill="FFFFFF"/>
        </w:rPr>
        <w:t>，</w:t>
      </w:r>
      <w:r>
        <w:rPr>
          <w:rFonts w:ascii="Times New Roman" w:hAnsi="Times New Roman"/>
          <w:sz w:val="21"/>
          <w:szCs w:val="21"/>
          <w:shd w:val="clear" w:color="auto" w:fill="FFFFFF"/>
        </w:rPr>
        <w:t>并登</w:t>
      </w:r>
      <w:r>
        <w:rPr>
          <w:rFonts w:hint="eastAsia" w:ascii="Times New Roman" w:hAnsi="Times New Roman"/>
          <w:sz w:val="21"/>
          <w:szCs w:val="21"/>
          <w:shd w:val="clear" w:color="auto" w:fill="FFFFFF"/>
        </w:rPr>
        <w:t>录</w:t>
      </w:r>
      <w:r>
        <w:rPr>
          <w:rFonts w:ascii="Times New Roman" w:hAnsi="Times New Roman"/>
          <w:sz w:val="21"/>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sz w:val="21"/>
          <w:szCs w:val="21"/>
          <w:shd w:val="clear" w:color="auto" w:fill="FFFFFF"/>
        </w:rPr>
        <w:t>www.zjzfcg.gov.cn</w:t>
      </w:r>
      <w:r>
        <w:rPr>
          <w:rFonts w:ascii="Times New Roman" w:hAnsi="Times New Roman"/>
          <w:sz w:val="21"/>
          <w:szCs w:val="21"/>
          <w:shd w:val="clear" w:color="auto" w:fill="FFFFFF"/>
        </w:rPr>
        <w:fldChar w:fldCharType="end"/>
      </w:r>
      <w:r>
        <w:rPr>
          <w:rFonts w:ascii="Times New Roman" w:hAnsi="Times New Roman"/>
          <w:sz w:val="21"/>
          <w:szCs w:val="21"/>
          <w:shd w:val="clear" w:color="auto" w:fill="FFFFFF"/>
        </w:rPr>
        <w:t>），进入“下载专区”下载“电子交易客户端”，制作投标文件。</w:t>
      </w:r>
    </w:p>
    <w:p>
      <w:pPr>
        <w:pStyle w:val="72"/>
        <w:spacing w:beforeAutospacing="0" w:afterAutospacing="0" w:line="360" w:lineRule="auto"/>
        <w:ind w:firstLine="420" w:firstLineChars="200"/>
        <w:jc w:val="both"/>
        <w:rPr>
          <w:rFonts w:ascii="Times New Roman" w:hAnsi="Times New Roman"/>
          <w:sz w:val="21"/>
          <w:szCs w:val="21"/>
          <w:shd w:val="clear" w:color="auto" w:fill="FFFFFF"/>
        </w:rPr>
      </w:pPr>
      <w:r>
        <w:rPr>
          <w:rFonts w:ascii="Times New Roman" w:hAnsi="Times New Roman"/>
          <w:sz w:val="21"/>
          <w:szCs w:val="21"/>
          <w:shd w:val="clear" w:color="auto" w:fill="FFFFFF"/>
        </w:rPr>
        <w:t>2</w:t>
      </w:r>
      <w:r>
        <w:rPr>
          <w:rFonts w:hint="eastAsia" w:ascii="Times New Roman" w:hAnsi="Times New Roman"/>
          <w:sz w:val="21"/>
          <w:szCs w:val="21"/>
          <w:shd w:val="clear" w:color="auto" w:fill="FFFFFF"/>
        </w:rPr>
        <w:t>.</w:t>
      </w:r>
      <w:r>
        <w:rPr>
          <w:rFonts w:ascii="Times New Roman" w:hAnsi="Times New Roman"/>
          <w:sz w:val="21"/>
          <w:szCs w:val="21"/>
          <w:shd w:val="clear" w:color="auto" w:fill="FFFFFF"/>
        </w:rPr>
        <w:t>投标人将加密的电子版投标文件于投标截止时间前上传到政采云系统中。</w:t>
      </w:r>
    </w:p>
    <w:p>
      <w:pPr>
        <w:pStyle w:val="72"/>
        <w:shd w:val="clear" w:color="auto" w:fill="FFFFFF"/>
        <w:spacing w:beforeAutospacing="0" w:afterAutospacing="0" w:line="360" w:lineRule="auto"/>
        <w:ind w:left="420" w:leftChars="200"/>
        <w:rPr>
          <w:rFonts w:ascii="Times New Roman" w:hAnsi="Times New Roman"/>
          <w:sz w:val="21"/>
          <w:szCs w:val="21"/>
          <w:u w:val="single"/>
          <w:shd w:val="clear" w:color="auto" w:fill="FFFFFF"/>
        </w:rPr>
      </w:pPr>
      <w:r>
        <w:rPr>
          <w:rFonts w:ascii="Times New Roman" w:hAnsi="Times New Roman"/>
          <w:sz w:val="21"/>
          <w:szCs w:val="21"/>
          <w:shd w:val="clear" w:color="auto" w:fill="FFFFFF"/>
        </w:rPr>
        <w:t>3</w:t>
      </w:r>
      <w:r>
        <w:rPr>
          <w:rFonts w:hint="eastAsia" w:ascii="Times New Roman" w:hAnsi="Times New Roman"/>
          <w:sz w:val="21"/>
          <w:szCs w:val="21"/>
          <w:shd w:val="clear" w:color="auto" w:fill="FFFFFF"/>
        </w:rPr>
        <w:t xml:space="preserve">. </w:t>
      </w:r>
      <w:r>
        <w:rPr>
          <w:rFonts w:ascii="Times New Roman" w:hAnsi="Times New Roman"/>
          <w:sz w:val="21"/>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sz w:val="21"/>
          <w:szCs w:val="21"/>
          <w:u w:val="single"/>
          <w:shd w:val="clear" w:color="auto" w:fill="FFFFFF"/>
        </w:rPr>
        <w:t>https://edu.zcygov.cn/luban/e-biding?utm=a0004.2ef5001f.0001.0109.da8b35e0da8611e98d8937b7ef8a3544</w:t>
      </w:r>
      <w:r>
        <w:rPr>
          <w:rFonts w:ascii="Times New Roman" w:hAnsi="Times New Roman"/>
          <w:sz w:val="21"/>
          <w:szCs w:val="21"/>
          <w:u w:val="single"/>
          <w:shd w:val="clear" w:color="auto" w:fill="FFFFFF"/>
        </w:rPr>
        <w:fldChar w:fldCharType="end"/>
      </w:r>
    </w:p>
    <w:p>
      <w:pPr>
        <w:pStyle w:val="72"/>
        <w:spacing w:beforeAutospacing="0" w:afterAutospacing="0" w:line="360" w:lineRule="auto"/>
        <w:jc w:val="both"/>
        <w:rPr>
          <w:rStyle w:val="38"/>
          <w:b w:val="0"/>
          <w:sz w:val="21"/>
          <w:szCs w:val="21"/>
        </w:rPr>
      </w:pPr>
      <w:r>
        <w:rPr>
          <w:rStyle w:val="38"/>
          <w:sz w:val="21"/>
          <w:szCs w:val="21"/>
        </w:rPr>
        <w:t>九、投标保证金：无。</w:t>
      </w:r>
    </w:p>
    <w:p>
      <w:pPr>
        <w:pStyle w:val="72"/>
        <w:spacing w:beforeAutospacing="0" w:afterAutospacing="0" w:line="360" w:lineRule="auto"/>
        <w:jc w:val="both"/>
        <w:rPr>
          <w:rStyle w:val="38"/>
          <w:sz w:val="21"/>
          <w:szCs w:val="21"/>
        </w:rPr>
      </w:pPr>
      <w:r>
        <w:rPr>
          <w:rStyle w:val="38"/>
          <w:sz w:val="21"/>
          <w:szCs w:val="21"/>
        </w:rPr>
        <w:t>十、投标截止时间和地址：</w:t>
      </w:r>
    </w:p>
    <w:p>
      <w:pPr>
        <w:spacing w:line="360" w:lineRule="auto"/>
        <w:ind w:firstLine="630" w:firstLineChars="300"/>
        <w:rPr>
          <w:szCs w:val="21"/>
        </w:rPr>
      </w:pPr>
      <w:r>
        <w:rPr>
          <w:szCs w:val="21"/>
        </w:rPr>
        <w:t>1</w:t>
      </w:r>
      <w:r>
        <w:rPr>
          <w:rFonts w:hint="eastAsia"/>
          <w:szCs w:val="21"/>
        </w:rPr>
        <w:t>.</w:t>
      </w:r>
      <w:r>
        <w:rPr>
          <w:szCs w:val="21"/>
        </w:rPr>
        <w:t>本项目实行电子投标。</w:t>
      </w:r>
    </w:p>
    <w:p>
      <w:pPr>
        <w:spacing w:line="360" w:lineRule="auto"/>
        <w:ind w:firstLine="420" w:firstLineChars="200"/>
        <w:rPr>
          <w:szCs w:val="21"/>
        </w:rPr>
      </w:pPr>
      <w:r>
        <w:rPr>
          <w:szCs w:val="21"/>
        </w:rPr>
        <w:t>投标人应准备电子投标文件、以介质存储的数据电文形式的备份投标文件、纸质备份投标文件三类：</w:t>
      </w:r>
    </w:p>
    <w:p>
      <w:pPr>
        <w:spacing w:line="360" w:lineRule="auto"/>
        <w:ind w:firstLine="420" w:firstLineChars="200"/>
        <w:rPr>
          <w:szCs w:val="21"/>
        </w:rPr>
      </w:pPr>
      <w:r>
        <w:rPr>
          <w:szCs w:val="21"/>
        </w:rPr>
        <w:t>（1）电子投标文件，按政采云平台项目采购-电子交易操作指南及本招标文件要求递交。</w:t>
      </w:r>
      <w:r>
        <w:rPr>
          <w:szCs w:val="21"/>
          <w:shd w:val="clear" w:color="auto" w:fill="FFFFFF"/>
        </w:rPr>
        <w:t>投标人应于</w:t>
      </w:r>
      <w:bookmarkStart w:id="1" w:name="_Hlk100345522"/>
      <w:r>
        <w:rPr>
          <w:szCs w:val="21"/>
          <w:shd w:val="clear" w:color="auto" w:fill="FFFFFF"/>
        </w:rPr>
        <w:t>2022年</w:t>
      </w:r>
      <w:r>
        <w:rPr>
          <w:rFonts w:hint="eastAsia"/>
          <w:szCs w:val="21"/>
          <w:shd w:val="clear" w:color="auto" w:fill="FFFFFF"/>
          <w:lang w:val="en-US" w:eastAsia="zh-CN"/>
        </w:rPr>
        <w:t>9</w:t>
      </w:r>
      <w:r>
        <w:rPr>
          <w:szCs w:val="21"/>
          <w:shd w:val="clear" w:color="auto" w:fill="FFFFFF"/>
        </w:rPr>
        <w:t>月</w:t>
      </w:r>
      <w:r>
        <w:rPr>
          <w:rFonts w:hint="eastAsia"/>
          <w:szCs w:val="21"/>
          <w:shd w:val="clear" w:color="auto" w:fill="FFFFFF"/>
          <w:lang w:val="en-US" w:eastAsia="zh-CN"/>
        </w:rPr>
        <w:t>2</w:t>
      </w:r>
      <w:r>
        <w:rPr>
          <w:szCs w:val="21"/>
          <w:shd w:val="clear" w:color="auto" w:fill="FFFFFF"/>
        </w:rPr>
        <w:t>日</w:t>
      </w:r>
      <w:r>
        <w:rPr>
          <w:rFonts w:hint="eastAsia"/>
          <w:szCs w:val="21"/>
          <w:shd w:val="clear" w:color="auto" w:fill="FFFFFF"/>
        </w:rPr>
        <w:t>14：</w:t>
      </w:r>
      <w:r>
        <w:rPr>
          <w:rFonts w:hint="eastAsia"/>
          <w:szCs w:val="21"/>
          <w:shd w:val="clear" w:color="auto" w:fill="FFFFFF"/>
          <w:lang w:val="en-US" w:eastAsia="zh-CN"/>
        </w:rPr>
        <w:t>3</w:t>
      </w:r>
      <w:r>
        <w:rPr>
          <w:rFonts w:hint="eastAsia"/>
          <w:szCs w:val="21"/>
          <w:shd w:val="clear" w:color="auto" w:fill="FFFFFF"/>
        </w:rPr>
        <w:t>5</w:t>
      </w:r>
      <w:bookmarkEnd w:id="1"/>
      <w:r>
        <w:rPr>
          <w:szCs w:val="21"/>
          <w:shd w:val="clear" w:color="auto" w:fill="FFFFFF"/>
        </w:rPr>
        <w:t>前将加密的电子版投标文件上传到政采云系统中（不准时上传视为无效标）。</w:t>
      </w:r>
      <w:r>
        <w:rPr>
          <w:b/>
          <w:szCs w:val="21"/>
          <w:shd w:val="clear" w:color="auto" w:fill="FFFFFF"/>
        </w:rPr>
        <w:t>CA数字证书随身携带或准时解码。</w:t>
      </w:r>
    </w:p>
    <w:p>
      <w:pPr>
        <w:spacing w:line="360" w:lineRule="auto"/>
        <w:ind w:firstLine="420" w:firstLineChars="200"/>
        <w:rPr>
          <w:szCs w:val="21"/>
        </w:rPr>
      </w:pPr>
      <w:r>
        <w:rPr>
          <w:szCs w:val="21"/>
        </w:rPr>
        <w:t>（2）以介质存储的数据电文形式的备份投标文件，按政采云平台项目采购-电子交易操作指南中上传的电子投标文件格式，以U盘形式存储提供。数量为1份。</w:t>
      </w:r>
    </w:p>
    <w:p>
      <w:pPr>
        <w:spacing w:line="360" w:lineRule="auto"/>
        <w:ind w:firstLine="420"/>
        <w:rPr>
          <w:szCs w:val="21"/>
        </w:rPr>
      </w:pPr>
      <w:r>
        <w:rPr>
          <w:szCs w:val="21"/>
        </w:rPr>
        <w:t>（3）纸质备份投标文件将以纸质文件的形式递交。数量为：正本、副本各1份。</w:t>
      </w:r>
    </w:p>
    <w:p>
      <w:pPr>
        <w:pStyle w:val="72"/>
        <w:shd w:val="clear" w:color="auto" w:fill="FFFFFF"/>
        <w:spacing w:beforeAutospacing="0" w:afterAutospacing="0" w:line="360" w:lineRule="auto"/>
        <w:ind w:firstLine="516" w:firstLineChars="246"/>
        <w:rPr>
          <w:rFonts w:ascii="Times New Roman" w:hAnsi="Times New Roman"/>
          <w:sz w:val="21"/>
          <w:szCs w:val="21"/>
        </w:rPr>
      </w:pPr>
      <w:r>
        <w:rPr>
          <w:rFonts w:ascii="Times New Roman" w:hAnsi="Times New Roman"/>
          <w:sz w:val="21"/>
          <w:szCs w:val="21"/>
        </w:rPr>
        <w:t>投标人应于2022年</w:t>
      </w:r>
      <w:r>
        <w:rPr>
          <w:rFonts w:hint="eastAsia" w:ascii="Times New Roman" w:hAnsi="Times New Roman"/>
          <w:sz w:val="21"/>
          <w:szCs w:val="21"/>
          <w:lang w:val="en-US" w:eastAsia="zh-CN"/>
        </w:rPr>
        <w:t>9</w:t>
      </w:r>
      <w:r>
        <w:rPr>
          <w:rFonts w:ascii="Times New Roman" w:hAnsi="Times New Roman"/>
          <w:sz w:val="21"/>
          <w:szCs w:val="21"/>
        </w:rPr>
        <w:t>月</w:t>
      </w:r>
      <w:r>
        <w:rPr>
          <w:rFonts w:hint="eastAsia" w:ascii="Times New Roman" w:hAnsi="Times New Roman"/>
          <w:sz w:val="21"/>
          <w:szCs w:val="21"/>
          <w:lang w:val="en-US" w:eastAsia="zh-CN"/>
        </w:rPr>
        <w:t>1</w:t>
      </w:r>
      <w:r>
        <w:rPr>
          <w:rFonts w:ascii="Times New Roman" w:hAnsi="Times New Roman"/>
          <w:sz w:val="21"/>
          <w:szCs w:val="21"/>
        </w:rPr>
        <w:t>日11：30（北京时间）前将备份的投标文件寄于采购代理公司，地址：舟山市定海区昌国路232号中楼202  深圳市国信招标有限公司舟山分公司，未按时寄到的自行承担风险。也可开标会现场递交。</w:t>
      </w:r>
    </w:p>
    <w:p>
      <w:pPr>
        <w:pStyle w:val="72"/>
        <w:shd w:val="clear" w:color="auto" w:fill="FFFFFF"/>
        <w:spacing w:beforeAutospacing="0" w:afterAutospacing="0" w:line="360" w:lineRule="auto"/>
        <w:ind w:firstLine="413" w:firstLineChars="196"/>
        <w:rPr>
          <w:rFonts w:ascii="Times New Roman" w:hAnsi="Times New Roman"/>
          <w:b/>
          <w:sz w:val="21"/>
          <w:szCs w:val="21"/>
        </w:rPr>
      </w:pPr>
      <w:r>
        <w:rPr>
          <w:rFonts w:ascii="Times New Roman" w:hAnsi="Times New Roman"/>
          <w:b/>
          <w:sz w:val="21"/>
          <w:szCs w:val="21"/>
        </w:rPr>
        <w:t>投标人可以不提供备份投标文件，造成项目开评标活动无法进行下去的，投标无效，相关风险由投标人自行承担。</w:t>
      </w:r>
    </w:p>
    <w:p>
      <w:pPr>
        <w:pStyle w:val="72"/>
        <w:shd w:val="clear" w:color="auto" w:fill="FFFFFF"/>
        <w:spacing w:beforeAutospacing="0" w:afterAutospacing="0" w:line="360" w:lineRule="auto"/>
        <w:ind w:firstLine="413" w:firstLineChars="196"/>
        <w:rPr>
          <w:rFonts w:cs="宋体"/>
          <w:bCs/>
          <w:color w:val="auto"/>
          <w:kern w:val="2"/>
          <w:sz w:val="21"/>
          <w:szCs w:val="21"/>
        </w:rPr>
      </w:pPr>
      <w:r>
        <w:rPr>
          <w:rFonts w:hint="eastAsia" w:cs="宋体"/>
          <w:b/>
          <w:bCs/>
          <w:kern w:val="2"/>
          <w:sz w:val="21"/>
          <w:szCs w:val="21"/>
        </w:rPr>
        <w:t>2.开标时间：</w:t>
      </w:r>
      <w:r>
        <w:rPr>
          <w:rFonts w:hint="eastAsia" w:cs="宋体"/>
          <w:bCs/>
          <w:color w:val="auto"/>
          <w:kern w:val="2"/>
          <w:sz w:val="21"/>
          <w:szCs w:val="21"/>
        </w:rPr>
        <w:t>2022年</w:t>
      </w:r>
      <w:r>
        <w:rPr>
          <w:rFonts w:hint="eastAsia" w:cs="宋体"/>
          <w:bCs/>
          <w:color w:val="auto"/>
          <w:kern w:val="2"/>
          <w:sz w:val="21"/>
          <w:szCs w:val="21"/>
          <w:lang w:val="en-US" w:eastAsia="zh-CN"/>
        </w:rPr>
        <w:t>9</w:t>
      </w:r>
      <w:r>
        <w:rPr>
          <w:rFonts w:hint="eastAsia" w:cs="宋体"/>
          <w:bCs/>
          <w:color w:val="auto"/>
          <w:kern w:val="2"/>
          <w:sz w:val="21"/>
          <w:szCs w:val="21"/>
        </w:rPr>
        <w:t>月</w:t>
      </w:r>
      <w:r>
        <w:rPr>
          <w:rFonts w:hint="eastAsia" w:cs="宋体"/>
          <w:bCs/>
          <w:color w:val="auto"/>
          <w:kern w:val="2"/>
          <w:sz w:val="21"/>
          <w:szCs w:val="21"/>
          <w:lang w:val="en-US" w:eastAsia="zh-CN"/>
        </w:rPr>
        <w:t>2</w:t>
      </w:r>
      <w:r>
        <w:rPr>
          <w:rFonts w:hint="eastAsia" w:cs="宋体"/>
          <w:bCs/>
          <w:color w:val="auto"/>
          <w:kern w:val="2"/>
          <w:sz w:val="21"/>
          <w:szCs w:val="21"/>
        </w:rPr>
        <w:t>日</w:t>
      </w:r>
      <w:r>
        <w:rPr>
          <w:rFonts w:hint="eastAsia" w:cs="宋体"/>
          <w:bCs/>
          <w:color w:val="auto"/>
          <w:kern w:val="2"/>
          <w:sz w:val="21"/>
          <w:szCs w:val="21"/>
          <w:lang w:val="en-US" w:eastAsia="zh-CN"/>
        </w:rPr>
        <w:t>14</w:t>
      </w:r>
      <w:r>
        <w:rPr>
          <w:rFonts w:hint="eastAsia" w:cs="宋体"/>
          <w:bCs/>
          <w:color w:val="auto"/>
          <w:kern w:val="2"/>
          <w:sz w:val="21"/>
          <w:szCs w:val="21"/>
        </w:rPr>
        <w:t>:3</w:t>
      </w:r>
      <w:r>
        <w:rPr>
          <w:rFonts w:hint="eastAsia" w:cs="宋体"/>
          <w:bCs/>
          <w:color w:val="auto"/>
          <w:kern w:val="2"/>
          <w:sz w:val="21"/>
          <w:szCs w:val="21"/>
          <w:lang w:val="en-US" w:eastAsia="zh-CN"/>
        </w:rPr>
        <w:t>5</w:t>
      </w:r>
      <w:r>
        <w:rPr>
          <w:rFonts w:hint="eastAsia" w:cs="宋体"/>
          <w:bCs/>
          <w:color w:val="auto"/>
          <w:kern w:val="2"/>
          <w:sz w:val="21"/>
          <w:szCs w:val="21"/>
        </w:rPr>
        <w:t>（北京时间）</w:t>
      </w:r>
    </w:p>
    <w:p>
      <w:pPr>
        <w:pStyle w:val="72"/>
        <w:shd w:val="clear" w:color="auto" w:fill="FFFFFF"/>
        <w:spacing w:beforeAutospacing="0" w:afterAutospacing="0" w:line="360" w:lineRule="auto"/>
        <w:ind w:firstLine="430"/>
        <w:rPr>
          <w:rFonts w:cs="宋体"/>
          <w:bCs/>
          <w:kern w:val="2"/>
          <w:sz w:val="21"/>
          <w:szCs w:val="21"/>
        </w:rPr>
      </w:pPr>
      <w:r>
        <w:rPr>
          <w:rFonts w:hint="eastAsia" w:cs="宋体"/>
          <w:b/>
          <w:bCs/>
          <w:kern w:val="2"/>
          <w:sz w:val="21"/>
          <w:szCs w:val="21"/>
        </w:rPr>
        <w:t>3.开标地点：</w:t>
      </w:r>
      <w:r>
        <w:rPr>
          <w:rFonts w:hint="eastAsia" w:cs="宋体"/>
          <w:bCs/>
          <w:kern w:val="2"/>
          <w:sz w:val="21"/>
          <w:szCs w:val="21"/>
        </w:rPr>
        <w:t>舟山市公共资源交易中心（舟山市新城翁山路555号四楼（大宗商品交易中心同幢西边））开标室</w:t>
      </w:r>
    </w:p>
    <w:p>
      <w:pPr>
        <w:pStyle w:val="72"/>
        <w:shd w:val="clear" w:color="auto" w:fill="FFFFFF"/>
        <w:spacing w:beforeAutospacing="0" w:afterAutospacing="0" w:line="360" w:lineRule="auto"/>
        <w:rPr>
          <w:rStyle w:val="38"/>
          <w:b w:val="0"/>
          <w:sz w:val="21"/>
          <w:szCs w:val="21"/>
        </w:rPr>
      </w:pPr>
      <w:r>
        <w:rPr>
          <w:rStyle w:val="38"/>
          <w:sz w:val="21"/>
          <w:szCs w:val="21"/>
        </w:rPr>
        <w:t>十一</w:t>
      </w:r>
      <w:r>
        <w:rPr>
          <w:rStyle w:val="38"/>
          <w:rFonts w:hint="eastAsia"/>
          <w:sz w:val="21"/>
          <w:szCs w:val="21"/>
        </w:rPr>
        <w:t>、</w:t>
      </w:r>
      <w:r>
        <w:rPr>
          <w:rStyle w:val="38"/>
          <w:sz w:val="21"/>
          <w:szCs w:val="21"/>
        </w:rPr>
        <w:t>其他事项：</w:t>
      </w:r>
    </w:p>
    <w:p>
      <w:pPr>
        <w:spacing w:line="360" w:lineRule="auto"/>
        <w:ind w:firstLine="420" w:firstLineChars="200"/>
      </w:pPr>
      <w:r>
        <w:rPr>
          <w:szCs w:val="21"/>
        </w:rPr>
        <w:t>1</w:t>
      </w:r>
      <w:r>
        <w:rPr>
          <w:rFonts w:hint="eastAsia"/>
          <w:szCs w:val="21"/>
        </w:rPr>
        <w:t>.</w:t>
      </w:r>
      <w: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szCs w:val="21"/>
        </w:rPr>
      </w:pPr>
      <w:r>
        <w:rPr>
          <w:szCs w:val="21"/>
        </w:rPr>
        <w:t>2</w:t>
      </w:r>
      <w:r>
        <w:rPr>
          <w:rFonts w:hint="eastAsia"/>
          <w:szCs w:val="21"/>
        </w:rPr>
        <w:t>.</w:t>
      </w:r>
      <w:r>
        <w:rPr>
          <w:szCs w:val="21"/>
        </w:rPr>
        <w:t>投标人应在合同签订前成为浙江政府采购网正式注册供应商。</w:t>
      </w:r>
    </w:p>
    <w:p>
      <w:pPr>
        <w:pStyle w:val="72"/>
        <w:spacing w:beforeAutospacing="0" w:afterAutospacing="0" w:line="360" w:lineRule="auto"/>
        <w:jc w:val="both"/>
        <w:rPr>
          <w:rStyle w:val="38"/>
          <w:b w:val="0"/>
          <w:sz w:val="21"/>
          <w:szCs w:val="21"/>
        </w:rPr>
      </w:pPr>
      <w:r>
        <w:rPr>
          <w:rStyle w:val="38"/>
          <w:sz w:val="21"/>
          <w:szCs w:val="21"/>
        </w:rPr>
        <w:t>十二</w:t>
      </w:r>
      <w:r>
        <w:rPr>
          <w:rStyle w:val="38"/>
          <w:rFonts w:hint="eastAsia"/>
          <w:sz w:val="21"/>
          <w:szCs w:val="21"/>
        </w:rPr>
        <w:t>、</w:t>
      </w:r>
      <w:r>
        <w:rPr>
          <w:rStyle w:val="38"/>
          <w:sz w:val="21"/>
          <w:szCs w:val="21"/>
        </w:rPr>
        <w:t>联系方式：</w:t>
      </w:r>
    </w:p>
    <w:p>
      <w:pPr>
        <w:pStyle w:val="31"/>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1</w:t>
      </w:r>
      <w:r>
        <w:rPr>
          <w:rFonts w:hint="eastAsia" w:ascii="Times New Roman" w:hAnsi="Times New Roman" w:cs="Times New Roman"/>
          <w:sz w:val="21"/>
          <w:szCs w:val="21"/>
          <w:shd w:val="clear" w:color="auto" w:fill="FFFFFF"/>
        </w:rPr>
        <w:t>.</w:t>
      </w:r>
      <w:r>
        <w:rPr>
          <w:rFonts w:ascii="Times New Roman" w:hAnsi="Times New Roman" w:cs="Times New Roman"/>
          <w:sz w:val="21"/>
          <w:szCs w:val="21"/>
          <w:shd w:val="clear" w:color="auto" w:fill="FFFFFF"/>
        </w:rPr>
        <w:t>采购代理机构名称：深圳市国信招标有限公司舟山分公司</w:t>
      </w:r>
    </w:p>
    <w:p>
      <w:pPr>
        <w:pStyle w:val="31"/>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联系人：朱女士、任女士</w:t>
      </w:r>
    </w:p>
    <w:p>
      <w:pPr>
        <w:pStyle w:val="31"/>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联系电话：0580-2054476，13857236444，13567673203</w:t>
      </w:r>
    </w:p>
    <w:p>
      <w:pPr>
        <w:pStyle w:val="31"/>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质疑答复联系人：王女士</w:t>
      </w:r>
    </w:p>
    <w:p>
      <w:pPr>
        <w:pStyle w:val="31"/>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联系电话：0580-2054476，13587045176</w:t>
      </w:r>
    </w:p>
    <w:p>
      <w:pPr>
        <w:pStyle w:val="31"/>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传真： 0580-2054476</w:t>
      </w:r>
    </w:p>
    <w:p>
      <w:pPr>
        <w:pStyle w:val="31"/>
        <w:spacing w:before="0" w:beforeAutospacing="0" w:after="0" w:afterAutospacing="0" w:line="360" w:lineRule="auto"/>
        <w:ind w:firstLine="420"/>
        <w:jc w:val="both"/>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地</w:t>
      </w:r>
      <w:r>
        <w:rPr>
          <w:rFonts w:hint="eastAsia" w:ascii="Times New Roman" w:hAnsi="Times New Roman" w:cs="Times New Roman"/>
          <w:sz w:val="21"/>
          <w:szCs w:val="21"/>
          <w:shd w:val="clear" w:color="auto" w:fill="FFFFFF"/>
        </w:rPr>
        <w:t>址：</w:t>
      </w:r>
      <w:r>
        <w:rPr>
          <w:rFonts w:ascii="Times New Roman" w:hAnsi="Times New Roman" w:cs="Times New Roman"/>
          <w:sz w:val="21"/>
          <w:szCs w:val="21"/>
          <w:shd w:val="clear" w:color="auto" w:fill="FFFFFF"/>
        </w:rPr>
        <w:t>舟山市定海区昌国路232号中楼202</w:t>
      </w:r>
    </w:p>
    <w:p>
      <w:pPr>
        <w:spacing w:line="360" w:lineRule="auto"/>
        <w:ind w:firstLine="472" w:firstLineChars="225"/>
        <w:rPr>
          <w:rFonts w:hint="eastAsia"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.采购人：采购人：舟山市食品药品检验检测研究院</w:t>
      </w:r>
    </w:p>
    <w:p>
      <w:pPr>
        <w:spacing w:line="360" w:lineRule="auto"/>
        <w:ind w:firstLine="472" w:firstLineChars="225"/>
        <w:rPr>
          <w:rFonts w:hint="eastAsia" w:ascii="宋体" w:hAnsi="宋体"/>
          <w:szCs w:val="21"/>
          <w:shd w:val="clear" w:color="auto" w:fill="FFFFFF"/>
        </w:rPr>
      </w:pPr>
      <w:r>
        <w:rPr>
          <w:rFonts w:hint="eastAsia" w:ascii="宋体" w:hAnsi="宋体"/>
          <w:szCs w:val="21"/>
          <w:shd w:val="clear" w:color="auto" w:fill="FFFFFF"/>
        </w:rPr>
        <w:t>联系人：周勇</w:t>
      </w:r>
    </w:p>
    <w:p>
      <w:pPr>
        <w:spacing w:line="360" w:lineRule="auto"/>
        <w:ind w:firstLine="472" w:firstLineChars="225"/>
        <w:rPr>
          <w:rFonts w:hint="eastAsia" w:ascii="宋体" w:hAnsi="宋体"/>
          <w:szCs w:val="21"/>
          <w:shd w:val="clear" w:color="auto" w:fill="FFFFFF"/>
        </w:rPr>
      </w:pPr>
      <w:r>
        <w:rPr>
          <w:rFonts w:hint="eastAsia" w:ascii="宋体" w:hAnsi="宋体"/>
          <w:szCs w:val="21"/>
          <w:shd w:val="clear" w:color="auto" w:fill="FFFFFF"/>
        </w:rPr>
        <w:t>联系电话：0580-2183120 13957211127</w:t>
      </w:r>
    </w:p>
    <w:p>
      <w:pPr>
        <w:spacing w:line="360" w:lineRule="auto"/>
        <w:ind w:firstLine="472" w:firstLineChars="225"/>
        <w:rPr>
          <w:rFonts w:hint="eastAsia" w:ascii="宋体" w:hAnsi="宋体"/>
          <w:szCs w:val="21"/>
          <w:shd w:val="clear" w:color="auto" w:fill="FFFFFF"/>
        </w:rPr>
      </w:pPr>
      <w:r>
        <w:rPr>
          <w:rFonts w:hint="eastAsia" w:ascii="宋体" w:hAnsi="宋体"/>
          <w:szCs w:val="21"/>
          <w:shd w:val="clear" w:color="auto" w:fill="FFFFFF"/>
        </w:rPr>
        <w:t>质疑答复联系人： 陈翔</w:t>
      </w:r>
    </w:p>
    <w:p>
      <w:pPr>
        <w:spacing w:line="360" w:lineRule="auto"/>
        <w:ind w:firstLine="472" w:firstLineChars="225"/>
        <w:rPr>
          <w:rFonts w:hint="eastAsia" w:ascii="宋体" w:hAnsi="宋体"/>
          <w:szCs w:val="21"/>
          <w:shd w:val="clear" w:color="auto" w:fill="FFFFFF"/>
        </w:rPr>
      </w:pPr>
      <w:r>
        <w:rPr>
          <w:rFonts w:hint="eastAsia" w:ascii="宋体" w:hAnsi="宋体"/>
          <w:szCs w:val="21"/>
          <w:shd w:val="clear" w:color="auto" w:fill="FFFFFF"/>
        </w:rPr>
        <w:t>联系电话： 0580-2031172 13615805498</w:t>
      </w:r>
    </w:p>
    <w:p>
      <w:pPr>
        <w:spacing w:line="360" w:lineRule="auto"/>
        <w:ind w:firstLine="472" w:firstLineChars="225"/>
        <w:rPr>
          <w:rFonts w:hint="eastAsia" w:ascii="宋体" w:hAnsi="宋体"/>
          <w:szCs w:val="21"/>
          <w:shd w:val="clear" w:color="auto" w:fill="FFFFFF"/>
        </w:rPr>
      </w:pPr>
      <w:r>
        <w:rPr>
          <w:rFonts w:hint="eastAsia" w:ascii="宋体" w:hAnsi="宋体"/>
          <w:szCs w:val="21"/>
          <w:shd w:val="clear" w:color="auto" w:fill="FFFFFF"/>
        </w:rPr>
        <w:t>地址：舟山市北蝉新港开发区弘禄大道49号</w:t>
      </w:r>
    </w:p>
    <w:p>
      <w:pPr>
        <w:spacing w:line="360" w:lineRule="auto"/>
        <w:ind w:firstLine="472" w:firstLineChars="225"/>
        <w:rPr>
          <w:rFonts w:ascii="宋体" w:hAnsi="宋体"/>
          <w:szCs w:val="21"/>
        </w:rPr>
      </w:pPr>
      <w:r>
        <w:rPr>
          <w:rFonts w:hint="eastAsia" w:ascii="宋体" w:hAnsi="宋体"/>
          <w:szCs w:val="21"/>
        </w:rPr>
        <w:t>3.</w:t>
      </w:r>
      <w:r>
        <w:rPr>
          <w:rFonts w:hint="eastAsia" w:ascii="宋体" w:hAnsi="宋体" w:cs="宋体"/>
          <w:szCs w:val="21"/>
          <w:shd w:val="clear" w:color="auto" w:fill="FFFFFF"/>
        </w:rPr>
        <w:t>同级政府采购监督管理部门名称</w:t>
      </w:r>
      <w:r>
        <w:rPr>
          <w:rFonts w:hint="eastAsia" w:ascii="宋体" w:hAnsi="宋体"/>
          <w:szCs w:val="21"/>
        </w:rPr>
        <w:t>：舟山市财政局政府采购监管处</w:t>
      </w:r>
    </w:p>
    <w:p>
      <w:pPr>
        <w:spacing w:line="360" w:lineRule="auto"/>
        <w:ind w:firstLine="472" w:firstLineChars="225"/>
        <w:rPr>
          <w:rFonts w:ascii="宋体" w:hAnsi="宋体"/>
          <w:szCs w:val="21"/>
        </w:rPr>
      </w:pPr>
      <w:r>
        <w:rPr>
          <w:rFonts w:hint="eastAsia" w:ascii="宋体" w:hAnsi="宋体"/>
          <w:szCs w:val="21"/>
        </w:rPr>
        <w:t>监督投拆电话：</w:t>
      </w:r>
      <w:r>
        <w:rPr>
          <w:rFonts w:ascii="宋体" w:hAnsi="宋体"/>
          <w:szCs w:val="21"/>
        </w:rPr>
        <w:t>0580-</w:t>
      </w:r>
      <w:r>
        <w:rPr>
          <w:rFonts w:hint="eastAsia" w:ascii="宋体" w:hAnsi="宋体"/>
          <w:szCs w:val="21"/>
        </w:rPr>
        <w:t>2282519</w:t>
      </w:r>
    </w:p>
    <w:p>
      <w:pPr>
        <w:spacing w:line="360" w:lineRule="auto"/>
        <w:ind w:firstLine="678" w:firstLineChars="225"/>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jc w:val="center"/>
        <w:rPr>
          <w:b/>
          <w:sz w:val="30"/>
        </w:rPr>
      </w:pPr>
    </w:p>
    <w:p>
      <w:pPr>
        <w:snapToGrid w:val="0"/>
        <w:spacing w:line="312" w:lineRule="auto"/>
        <w:rPr>
          <w:b/>
          <w:sz w:val="30"/>
        </w:rPr>
      </w:pPr>
    </w:p>
    <w:p>
      <w:pPr>
        <w:snapToGrid w:val="0"/>
        <w:spacing w:line="312" w:lineRule="auto"/>
        <w:rPr>
          <w:b/>
          <w:sz w:val="30"/>
        </w:rPr>
      </w:pPr>
    </w:p>
    <w:p>
      <w:pPr>
        <w:pStyle w:val="43"/>
      </w:pPr>
    </w:p>
    <w:p>
      <w:pPr>
        <w:pStyle w:val="3"/>
      </w:pPr>
    </w:p>
    <w:p>
      <w:pPr>
        <w:pStyle w:val="3"/>
      </w:pPr>
    </w:p>
    <w:p>
      <w:pPr>
        <w:pStyle w:val="3"/>
      </w:pPr>
    </w:p>
    <w:p>
      <w:pPr>
        <w:pStyle w:val="3"/>
      </w:pPr>
    </w:p>
    <w:p>
      <w:pPr>
        <w:pStyle w:val="3"/>
      </w:pPr>
    </w:p>
    <w:p>
      <w:pPr>
        <w:pStyle w:val="3"/>
      </w:pPr>
    </w:p>
    <w:p>
      <w:pPr>
        <w:pStyle w:val="3"/>
      </w:pPr>
    </w:p>
    <w:p>
      <w:pPr>
        <w:snapToGrid w:val="0"/>
        <w:spacing w:line="312" w:lineRule="auto"/>
        <w:jc w:val="center"/>
        <w:rPr>
          <w:rFonts w:ascii="黑体" w:hAnsi="宋体" w:eastAsia="黑体"/>
          <w:sz w:val="30"/>
        </w:rPr>
      </w:pPr>
      <w:r>
        <w:rPr>
          <w:rFonts w:hint="eastAsia"/>
          <w:b/>
          <w:sz w:val="30"/>
        </w:rPr>
        <w:t>第二章  招标需求</w:t>
      </w:r>
    </w:p>
    <w:p>
      <w:pPr>
        <w:spacing w:line="360" w:lineRule="auto"/>
        <w:rPr>
          <w:b/>
        </w:rPr>
      </w:pPr>
    </w:p>
    <w:p>
      <w:pPr>
        <w:pStyle w:val="43"/>
        <w:spacing w:line="312" w:lineRule="auto"/>
        <w:rPr>
          <w:rFonts w:ascii="宋体" w:hAnsi="宋体" w:cs="宋体"/>
          <w:b/>
          <w:sz w:val="24"/>
        </w:rPr>
      </w:pPr>
      <w:r>
        <w:rPr>
          <w:rFonts w:hint="eastAsia" w:ascii="宋体" w:hAnsi="宋体" w:cs="宋体"/>
          <w:b/>
          <w:sz w:val="24"/>
        </w:rPr>
        <w:t>一、采购项目：舟山市食品药品检验检测研究院实验室仪器设备维保综合服务项目</w:t>
      </w:r>
    </w:p>
    <w:p>
      <w:pPr>
        <w:pStyle w:val="43"/>
        <w:spacing w:line="312" w:lineRule="auto"/>
        <w:ind w:firstLine="420" w:firstLineChars="200"/>
        <w:rPr>
          <w:rFonts w:cs="宋体" w:asciiTheme="minorEastAsia" w:hAnsiTheme="minorEastAsia" w:eastAsiaTheme="minorEastAsia"/>
          <w:color w:val="000000" w:themeColor="text1"/>
          <w:sz w:val="21"/>
          <w:szCs w:val="21"/>
          <w:highlight w:val="none"/>
        </w:rPr>
      </w:pPr>
      <w:r>
        <w:rPr>
          <w:rFonts w:hint="eastAsia" w:cs="宋体" w:asciiTheme="minorEastAsia" w:hAnsiTheme="minorEastAsia" w:eastAsiaTheme="minorEastAsia"/>
          <w:color w:val="000000" w:themeColor="text1"/>
          <w:sz w:val="21"/>
          <w:szCs w:val="21"/>
        </w:rPr>
        <w:t>1.为实</w:t>
      </w:r>
      <w:r>
        <w:rPr>
          <w:rFonts w:hint="eastAsia" w:cs="宋体" w:asciiTheme="minorEastAsia" w:hAnsiTheme="minorEastAsia" w:eastAsiaTheme="minorEastAsia"/>
          <w:color w:val="000000" w:themeColor="text1"/>
          <w:sz w:val="21"/>
          <w:szCs w:val="21"/>
          <w:highlight w:val="none"/>
        </w:rPr>
        <w:t>现采购方重点仪器设备故障快速维修、减少仪器设备停机时间、提高检测准确率、保障采购方检测任务的高效性和及时性，结合采购方各个部门的实际需求，特启动本次实验室仪器设备维保综合服务项目。项目涉及采购方2</w:t>
      </w:r>
      <w:r>
        <w:rPr>
          <w:rFonts w:cs="宋体" w:asciiTheme="minorEastAsia" w:hAnsiTheme="minorEastAsia" w:eastAsiaTheme="minorEastAsia"/>
          <w:color w:val="000000" w:themeColor="text1"/>
          <w:sz w:val="21"/>
          <w:szCs w:val="21"/>
          <w:highlight w:val="none"/>
        </w:rPr>
        <w:t>9</w:t>
      </w:r>
      <w:r>
        <w:rPr>
          <w:rFonts w:hint="eastAsia" w:cs="宋体" w:asciiTheme="minorEastAsia" w:hAnsiTheme="minorEastAsia" w:eastAsiaTheme="minorEastAsia"/>
          <w:color w:val="000000" w:themeColor="text1"/>
          <w:sz w:val="21"/>
          <w:szCs w:val="21"/>
          <w:highlight w:val="none"/>
        </w:rPr>
        <w:t>台实验室重点仪器设备，涉及仪器厂家有岛津、赛默飞、安捷伦，</w:t>
      </w:r>
      <w:r>
        <w:rPr>
          <w:rFonts w:cs="宋体" w:asciiTheme="minorEastAsia" w:hAnsiTheme="minorEastAsia" w:eastAsiaTheme="minorEastAsia"/>
          <w:color w:val="000000" w:themeColor="text1"/>
          <w:sz w:val="21"/>
          <w:szCs w:val="21"/>
          <w:highlight w:val="none"/>
        </w:rPr>
        <w:t>W</w:t>
      </w:r>
      <w:r>
        <w:rPr>
          <w:rFonts w:hint="eastAsia" w:cs="宋体" w:asciiTheme="minorEastAsia" w:hAnsiTheme="minorEastAsia" w:eastAsiaTheme="minorEastAsia"/>
          <w:color w:val="000000" w:themeColor="text1"/>
          <w:sz w:val="21"/>
          <w:szCs w:val="21"/>
          <w:highlight w:val="none"/>
        </w:rPr>
        <w:t>aters</w:t>
      </w:r>
      <w:r>
        <w:rPr>
          <w:rFonts w:cs="宋体" w:asciiTheme="minorEastAsia" w:hAnsiTheme="minorEastAsia" w:eastAsiaTheme="minorEastAsia"/>
          <w:color w:val="000000" w:themeColor="text1"/>
          <w:sz w:val="21"/>
          <w:szCs w:val="21"/>
          <w:highlight w:val="none"/>
        </w:rPr>
        <w:t>和</w:t>
      </w:r>
      <w:r>
        <w:rPr>
          <w:rFonts w:hint="eastAsia" w:cs="宋体" w:asciiTheme="minorEastAsia" w:hAnsiTheme="minorEastAsia" w:eastAsiaTheme="minorEastAsia"/>
          <w:color w:val="000000" w:themeColor="text1"/>
          <w:sz w:val="21"/>
          <w:szCs w:val="21"/>
          <w:highlight w:val="none"/>
        </w:rPr>
        <w:t>P</w:t>
      </w:r>
      <w:r>
        <w:rPr>
          <w:rFonts w:cs="宋体" w:asciiTheme="minorEastAsia" w:hAnsiTheme="minorEastAsia" w:eastAsiaTheme="minorEastAsia"/>
          <w:color w:val="000000" w:themeColor="text1"/>
          <w:sz w:val="21"/>
          <w:szCs w:val="21"/>
          <w:highlight w:val="none"/>
        </w:rPr>
        <w:t>E</w:t>
      </w:r>
      <w:r>
        <w:rPr>
          <w:rFonts w:hint="eastAsia" w:cs="宋体" w:asciiTheme="minorEastAsia" w:hAnsiTheme="minorEastAsia" w:eastAsiaTheme="minorEastAsia"/>
          <w:color w:val="000000" w:themeColor="text1"/>
          <w:sz w:val="21"/>
          <w:szCs w:val="21"/>
          <w:highlight w:val="none"/>
        </w:rPr>
        <w:t>等。</w:t>
      </w:r>
    </w:p>
    <w:p>
      <w:pPr>
        <w:pStyle w:val="43"/>
        <w:spacing w:line="312" w:lineRule="auto"/>
        <w:ind w:firstLine="411" w:firstLineChars="196"/>
        <w:rPr>
          <w:rFonts w:cs="宋体" w:asciiTheme="minorEastAsia" w:hAnsiTheme="minorEastAsia" w:eastAsiaTheme="minorEastAsia"/>
          <w:sz w:val="21"/>
          <w:szCs w:val="21"/>
          <w:highlight w:val="none"/>
        </w:rPr>
      </w:pPr>
      <w:r>
        <w:rPr>
          <w:rFonts w:cs="宋体" w:asciiTheme="minorEastAsia" w:hAnsiTheme="minorEastAsia" w:eastAsiaTheme="minorEastAsia"/>
          <w:sz w:val="21"/>
          <w:szCs w:val="21"/>
          <w:highlight w:val="none"/>
        </w:rPr>
        <w:t>2</w:t>
      </w:r>
      <w:r>
        <w:rPr>
          <w:rFonts w:hint="eastAsia" w:cs="宋体" w:asciiTheme="minorEastAsia" w:hAnsiTheme="minorEastAsia" w:eastAsiaTheme="minorEastAsia"/>
          <w:sz w:val="21"/>
          <w:szCs w:val="21"/>
          <w:highlight w:val="none"/>
        </w:rPr>
        <w:t>.项目建设内容为舟山市食品药品检验检测研究院实验室仪器设备维保综合服务项目。</w:t>
      </w:r>
    </w:p>
    <w:p>
      <w:pPr>
        <w:pStyle w:val="43"/>
        <w:spacing w:line="312" w:lineRule="auto"/>
        <w:ind w:firstLine="411" w:firstLineChars="196"/>
        <w:rPr>
          <w:rFonts w:cs="宋体" w:asciiTheme="minorEastAsia" w:hAnsiTheme="minorEastAsia" w:eastAsiaTheme="minorEastAsia"/>
          <w:sz w:val="21"/>
          <w:szCs w:val="21"/>
          <w:highlight w:val="none"/>
        </w:rPr>
      </w:pPr>
      <w:r>
        <w:rPr>
          <w:rFonts w:cs="宋体" w:asciiTheme="minorEastAsia" w:hAnsiTheme="minorEastAsia" w:eastAsiaTheme="minorEastAsia"/>
          <w:sz w:val="21"/>
          <w:szCs w:val="21"/>
          <w:highlight w:val="none"/>
        </w:rPr>
        <w:t>3</w:t>
      </w:r>
      <w:r>
        <w:rPr>
          <w:rFonts w:hint="eastAsia" w:cs="宋体" w:asciiTheme="minorEastAsia" w:hAnsiTheme="minorEastAsia" w:eastAsiaTheme="minorEastAsia"/>
          <w:sz w:val="21"/>
          <w:szCs w:val="21"/>
          <w:highlight w:val="none"/>
        </w:rPr>
        <w:t>.中标方应与采购方就此项目签订合同。</w:t>
      </w:r>
    </w:p>
    <w:p>
      <w:pPr>
        <w:pStyle w:val="43"/>
        <w:spacing w:line="312" w:lineRule="auto"/>
        <w:ind w:firstLine="411" w:firstLineChars="196"/>
        <w:rPr>
          <w:rFonts w:asciiTheme="minorEastAsia" w:hAnsiTheme="minorEastAsia" w:eastAsiaTheme="minorEastAsia"/>
          <w:sz w:val="21"/>
          <w:szCs w:val="21"/>
          <w:highlight w:val="none"/>
        </w:rPr>
      </w:pPr>
    </w:p>
    <w:p>
      <w:pPr>
        <w:spacing w:line="360" w:lineRule="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二、服务要求及维保设备清单：</w:t>
      </w:r>
    </w:p>
    <w:p>
      <w:pPr>
        <w:pStyle w:val="148"/>
        <w:tabs>
          <w:tab w:val="left" w:pos="3375"/>
        </w:tabs>
        <w:spacing w:line="312" w:lineRule="auto"/>
        <w:ind w:firstLine="0" w:firstLineChars="0"/>
        <w:rPr>
          <w:rFonts w:asciiTheme="minorEastAsia" w:hAnsiTheme="minorEastAsia" w:eastAsiaTheme="minorEastAsia"/>
          <w:kern w:val="0"/>
          <w:szCs w:val="21"/>
          <w:highlight w:val="none"/>
        </w:rPr>
      </w:pPr>
      <w:bookmarkStart w:id="2" w:name="_Toc528221798"/>
      <w:bookmarkEnd w:id="2"/>
      <w:r>
        <w:rPr>
          <w:rFonts w:hint="eastAsia" w:asciiTheme="minorEastAsia" w:hAnsiTheme="minorEastAsia" w:eastAsiaTheme="minorEastAsia"/>
          <w:b/>
          <w:bCs/>
          <w:kern w:val="0"/>
          <w:szCs w:val="21"/>
          <w:highlight w:val="none"/>
        </w:rPr>
        <w:t>（一）服务要求：</w:t>
      </w:r>
      <w:r>
        <w:rPr>
          <w:rFonts w:asciiTheme="minorEastAsia" w:hAnsiTheme="minorEastAsia" w:eastAsiaTheme="minorEastAsia"/>
          <w:kern w:val="0"/>
          <w:szCs w:val="21"/>
          <w:highlight w:val="none"/>
        </w:rPr>
        <w:tab/>
      </w:r>
    </w:p>
    <w:p>
      <w:pPr>
        <w:spacing w:line="312"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1.定期巡检：</w:t>
      </w:r>
    </w:p>
    <w:p>
      <w:pPr>
        <w:spacing w:line="312"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投标人须进行不定期（至少每周二次）的巡检服务，配合用户进行日常的设备管理、维修及维护。 </w:t>
      </w:r>
    </w:p>
    <w:p>
      <w:pPr>
        <w:spacing w:line="312" w:lineRule="auto"/>
        <w:ind w:firstLine="42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2.提供在线支持，现场维修及零配件更换。</w:t>
      </w:r>
    </w:p>
    <w:p>
      <w:pPr>
        <w:spacing w:line="312"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（1）在线支持：采购人拨打服务热线后30分钟内必须响应，进行在线技术支持及答疑，初步判断机器故障及制定维修方案。</w:t>
      </w:r>
    </w:p>
    <w:p>
      <w:pPr>
        <w:spacing w:line="312"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color w:val="000000"/>
          <w:szCs w:val="21"/>
          <w:highlight w:val="none"/>
        </w:rPr>
        <w:t>★</w:t>
      </w:r>
      <w:r>
        <w:rPr>
          <w:rFonts w:hint="eastAsia" w:asciiTheme="minorEastAsia" w:hAnsiTheme="minorEastAsia" w:eastAsiaTheme="minorEastAsia"/>
          <w:szCs w:val="21"/>
          <w:highlight w:val="none"/>
        </w:rPr>
        <w:t>（2）现场维修：对用户无法自行排除的故障，工程师须</w:t>
      </w:r>
      <w:r>
        <w:rPr>
          <w:rFonts w:hint="eastAsia" w:cs="宋体" w:asciiTheme="minorEastAsia" w:hAnsiTheme="minorEastAsia" w:eastAsiaTheme="minorEastAsia"/>
          <w:color w:val="000000"/>
          <w:szCs w:val="21"/>
          <w:highlight w:val="none"/>
        </w:rPr>
        <w:t>48小时内到达现场（不含节假日）一般故障24小时内解决，复杂故障72小时之内解决（不含订购零配件时间）</w:t>
      </w:r>
      <w:r>
        <w:rPr>
          <w:rFonts w:hint="eastAsia" w:asciiTheme="minorEastAsia" w:hAnsiTheme="minorEastAsia" w:eastAsiaTheme="minorEastAsia"/>
          <w:szCs w:val="21"/>
          <w:highlight w:val="none"/>
        </w:rPr>
        <w:t>，7天内无法解决最终问题的，必须请设备原厂进行上门维修，否则被视为履约能力不足而影响下一年度的该设备维保信誉评价。</w:t>
      </w:r>
    </w:p>
    <w:p>
      <w:pPr>
        <w:spacing w:line="312" w:lineRule="auto"/>
        <w:ind w:firstLine="420" w:firstLineChars="200"/>
        <w:rPr>
          <w:rFonts w:cs="宋体" w:asciiTheme="minorEastAsia" w:hAnsiTheme="minorEastAsia" w:eastAsiaTheme="minorEastAsia"/>
          <w:szCs w:val="21"/>
          <w:highlight w:val="none"/>
        </w:rPr>
      </w:pPr>
      <w:r>
        <w:rPr>
          <w:rFonts w:hint="eastAsia" w:asciiTheme="minorEastAsia" w:hAnsiTheme="minorEastAsia" w:eastAsiaTheme="minorEastAsia"/>
          <w:color w:val="000000"/>
          <w:szCs w:val="21"/>
          <w:highlight w:val="none"/>
        </w:rPr>
        <w:t>★</w:t>
      </w:r>
      <w:r>
        <w:rPr>
          <w:rFonts w:hint="eastAsia" w:asciiTheme="minorEastAsia" w:hAnsiTheme="minorEastAsia" w:eastAsiaTheme="minorEastAsia"/>
          <w:szCs w:val="21"/>
          <w:highlight w:val="none"/>
        </w:rPr>
        <w:t>（3） 所替换的零配件必须是</w:t>
      </w:r>
      <w:r>
        <w:rPr>
          <w:rFonts w:hint="eastAsia" w:asciiTheme="minorEastAsia" w:hAnsiTheme="minorEastAsia" w:eastAsiaTheme="minorEastAsia"/>
          <w:b/>
          <w:szCs w:val="21"/>
          <w:highlight w:val="none"/>
        </w:rPr>
        <w:t>原厂全新零配件</w:t>
      </w:r>
      <w:r>
        <w:rPr>
          <w:rFonts w:hint="eastAsia" w:asciiTheme="minorEastAsia" w:hAnsiTheme="minorEastAsia" w:eastAsiaTheme="minorEastAsia"/>
          <w:szCs w:val="21"/>
          <w:highlight w:val="none"/>
        </w:rPr>
        <w:t>。对使用年限超过9年的设备若因零部件不能及时供应，可与采购人另协商修复时间和解决办法。</w:t>
      </w:r>
      <w:r>
        <w:rPr>
          <w:rFonts w:hint="eastAsia" w:cs="宋体" w:asciiTheme="minorEastAsia" w:hAnsiTheme="minorEastAsia" w:eastAsiaTheme="minorEastAsia"/>
          <w:szCs w:val="21"/>
          <w:highlight w:val="none"/>
        </w:rPr>
        <w:t>如果出现零配件断货无法供应的情况，用户有权终止该设备的维保合约，双方均不承担违约责任，双方按该设备月维保单价及实际维保月数结算维保费用，多退少补。</w:t>
      </w:r>
    </w:p>
    <w:p>
      <w:pPr>
        <w:spacing w:line="440" w:lineRule="exact"/>
        <w:ind w:firstLine="210" w:firstLineChars="100"/>
        <w:rPr>
          <w:szCs w:val="21"/>
          <w:highlight w:val="none"/>
        </w:rPr>
      </w:pPr>
      <w:r>
        <w:rPr>
          <w:rFonts w:hint="eastAsia" w:asciiTheme="minorEastAsia" w:hAnsiTheme="minorEastAsia" w:eastAsiaTheme="minorEastAsia"/>
          <w:color w:val="000000"/>
          <w:szCs w:val="21"/>
          <w:highlight w:val="none"/>
        </w:rPr>
        <w:t>★</w:t>
      </w:r>
      <w:r>
        <w:rPr>
          <w:rFonts w:hint="eastAsia" w:cs="宋体" w:asciiTheme="minorEastAsia" w:hAnsiTheme="minorEastAsia" w:eastAsiaTheme="minorEastAsia"/>
          <w:szCs w:val="21"/>
          <w:highlight w:val="none"/>
        </w:rPr>
        <w:t>（4）</w:t>
      </w:r>
      <w:r>
        <w:rPr>
          <w:rFonts w:hint="eastAsia"/>
          <w:szCs w:val="21"/>
          <w:highlight w:val="none"/>
        </w:rPr>
        <w:t>维保服务内容均应包含清单中各设备的实际配套模块及部件。</w:t>
      </w:r>
    </w:p>
    <w:p>
      <w:pPr>
        <w:spacing w:line="312"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（5）需根据国标GBT22729-2008中附录A的要求，对现有色谱工作软件进行升级，升级为具备分子量计算功能（GPC）的软件系统，并提供相应方法耗材包一套（包含氨基酸分析</w:t>
      </w:r>
      <w:r>
        <w:rPr>
          <w:rFonts w:hint="eastAsia" w:cs="宋体" w:asciiTheme="minorEastAsia" w:hAnsiTheme="minorEastAsia" w:eastAsiaTheme="minorEastAsia"/>
          <w:color w:val="FF0000"/>
          <w:szCs w:val="21"/>
          <w:highlight w:val="none"/>
        </w:rPr>
        <w:t>柱</w:t>
      </w:r>
      <w:r>
        <w:rPr>
          <w:rFonts w:hint="eastAsia" w:cs="宋体" w:asciiTheme="minorEastAsia" w:hAnsiTheme="minorEastAsia" w:eastAsiaTheme="minorEastAsia"/>
          <w:szCs w:val="21"/>
          <w:highlight w:val="none"/>
        </w:rPr>
        <w:t>1根，配套保护</w:t>
      </w:r>
      <w:r>
        <w:rPr>
          <w:rFonts w:hint="eastAsia" w:cs="宋体" w:asciiTheme="minorEastAsia" w:hAnsiTheme="minorEastAsia" w:eastAsiaTheme="minorEastAsia"/>
          <w:color w:val="FF0000"/>
          <w:szCs w:val="21"/>
          <w:highlight w:val="none"/>
        </w:rPr>
        <w:t>柱</w:t>
      </w:r>
      <w:r>
        <w:rPr>
          <w:rFonts w:hint="eastAsia" w:cs="宋体" w:asciiTheme="minorEastAsia" w:hAnsiTheme="minorEastAsia" w:eastAsiaTheme="minorEastAsia"/>
          <w:szCs w:val="21"/>
          <w:highlight w:val="none"/>
        </w:rPr>
        <w:t>1个，氨基酸试剂盒一套），并提供相应培训。</w:t>
      </w:r>
    </w:p>
    <w:p>
      <w:pPr>
        <w:spacing w:line="312"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 xml:space="preserve">设备报修之日起7日内未修复的，该设备的维保期延展计算，超过一天该设备维保期顺延一天（以此类推）。 </w:t>
      </w:r>
    </w:p>
    <w:p>
      <w:pPr>
        <w:spacing w:line="312"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合同期限内</w:t>
      </w:r>
      <w:r>
        <w:rPr>
          <w:rFonts w:asciiTheme="minorEastAsia" w:hAnsiTheme="minorEastAsia" w:eastAsiaTheme="minorEastAsia"/>
          <w:szCs w:val="21"/>
          <w:highlight w:val="none"/>
        </w:rPr>
        <w:t>报修</w:t>
      </w:r>
      <w:r>
        <w:rPr>
          <w:rFonts w:hint="eastAsia" w:asciiTheme="minorEastAsia" w:hAnsiTheme="minorEastAsia" w:eastAsiaTheme="minorEastAsia"/>
          <w:szCs w:val="21"/>
          <w:highlight w:val="none"/>
        </w:rPr>
        <w:t>而未</w:t>
      </w:r>
      <w:r>
        <w:rPr>
          <w:rFonts w:asciiTheme="minorEastAsia" w:hAnsiTheme="minorEastAsia" w:eastAsiaTheme="minorEastAsia"/>
          <w:szCs w:val="21"/>
          <w:highlight w:val="none"/>
        </w:rPr>
        <w:t>在</w:t>
      </w:r>
      <w:r>
        <w:rPr>
          <w:rFonts w:hint="eastAsia" w:asciiTheme="minorEastAsia" w:hAnsiTheme="minorEastAsia" w:eastAsiaTheme="minorEastAsia"/>
          <w:szCs w:val="21"/>
          <w:highlight w:val="none"/>
        </w:rPr>
        <w:t>合同期限内修复</w:t>
      </w:r>
      <w:r>
        <w:rPr>
          <w:rFonts w:asciiTheme="minorEastAsia" w:hAnsiTheme="minorEastAsia" w:eastAsiaTheme="minorEastAsia"/>
          <w:szCs w:val="21"/>
          <w:highlight w:val="none"/>
        </w:rPr>
        <w:t>的设备，</w:t>
      </w:r>
      <w:r>
        <w:rPr>
          <w:rFonts w:hint="eastAsia" w:asciiTheme="minorEastAsia" w:hAnsiTheme="minorEastAsia" w:eastAsiaTheme="minorEastAsia"/>
          <w:szCs w:val="21"/>
          <w:highlight w:val="none"/>
        </w:rPr>
        <w:t>不</w:t>
      </w:r>
      <w:r>
        <w:rPr>
          <w:rFonts w:asciiTheme="minorEastAsia" w:hAnsiTheme="minorEastAsia" w:eastAsiaTheme="minorEastAsia"/>
          <w:szCs w:val="21"/>
          <w:highlight w:val="none"/>
        </w:rPr>
        <w:t>因</w:t>
      </w:r>
      <w:r>
        <w:rPr>
          <w:rFonts w:hint="eastAsia" w:asciiTheme="minorEastAsia" w:hAnsiTheme="minorEastAsia" w:eastAsiaTheme="minorEastAsia"/>
          <w:szCs w:val="21"/>
          <w:highlight w:val="none"/>
        </w:rPr>
        <w:t>合同期限已</w:t>
      </w:r>
      <w:r>
        <w:rPr>
          <w:rFonts w:asciiTheme="minorEastAsia" w:hAnsiTheme="minorEastAsia" w:eastAsiaTheme="minorEastAsia"/>
          <w:szCs w:val="21"/>
          <w:highlight w:val="none"/>
        </w:rPr>
        <w:t>过而</w:t>
      </w:r>
      <w:r>
        <w:rPr>
          <w:rFonts w:hint="eastAsia" w:asciiTheme="minorEastAsia" w:hAnsiTheme="minorEastAsia" w:eastAsiaTheme="minorEastAsia"/>
          <w:szCs w:val="21"/>
          <w:highlight w:val="none"/>
        </w:rPr>
        <w:t>维保</w:t>
      </w:r>
      <w:r>
        <w:rPr>
          <w:rFonts w:asciiTheme="minorEastAsia" w:hAnsiTheme="minorEastAsia" w:eastAsiaTheme="minorEastAsia"/>
          <w:szCs w:val="21"/>
          <w:highlight w:val="none"/>
        </w:rPr>
        <w:t>失</w:t>
      </w:r>
      <w:r>
        <w:rPr>
          <w:rFonts w:hint="eastAsia" w:asciiTheme="minorEastAsia" w:hAnsiTheme="minorEastAsia" w:eastAsiaTheme="minorEastAsia"/>
          <w:szCs w:val="21"/>
          <w:highlight w:val="none"/>
        </w:rPr>
        <w:t>效，投标人仍必</w:t>
      </w:r>
      <w:r>
        <w:rPr>
          <w:rFonts w:asciiTheme="minorEastAsia" w:hAnsiTheme="minorEastAsia" w:eastAsiaTheme="minorEastAsia"/>
          <w:szCs w:val="21"/>
          <w:highlight w:val="none"/>
        </w:rPr>
        <w:t>须</w:t>
      </w:r>
      <w:r>
        <w:rPr>
          <w:rFonts w:hint="eastAsia" w:asciiTheme="minorEastAsia" w:hAnsiTheme="minorEastAsia" w:eastAsiaTheme="minorEastAsia"/>
          <w:szCs w:val="21"/>
          <w:highlight w:val="none"/>
        </w:rPr>
        <w:t>修复该仪器</w:t>
      </w:r>
      <w:r>
        <w:rPr>
          <w:rFonts w:asciiTheme="minorEastAsia" w:hAnsiTheme="minorEastAsia" w:eastAsiaTheme="minorEastAsia"/>
          <w:szCs w:val="21"/>
          <w:highlight w:val="none"/>
        </w:rPr>
        <w:t>设备</w:t>
      </w:r>
      <w:r>
        <w:rPr>
          <w:rFonts w:hint="eastAsia" w:asciiTheme="minorEastAsia" w:hAnsiTheme="minorEastAsia" w:eastAsiaTheme="minorEastAsia"/>
          <w:szCs w:val="21"/>
          <w:highlight w:val="none"/>
        </w:rPr>
        <w:t>。</w:t>
      </w:r>
    </w:p>
    <w:p>
      <w:pPr>
        <w:spacing w:line="312"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3.投标人</w:t>
      </w:r>
      <w:r>
        <w:rPr>
          <w:rFonts w:asciiTheme="minorEastAsia" w:hAnsiTheme="minorEastAsia" w:eastAsiaTheme="minorEastAsia"/>
          <w:szCs w:val="21"/>
          <w:highlight w:val="none"/>
        </w:rPr>
        <w:t>必须</w:t>
      </w:r>
      <w:r>
        <w:rPr>
          <w:rFonts w:hint="eastAsia" w:asciiTheme="minorEastAsia" w:hAnsiTheme="minorEastAsia" w:eastAsiaTheme="minorEastAsia"/>
          <w:szCs w:val="21"/>
          <w:highlight w:val="none"/>
        </w:rPr>
        <w:t>拥有能够满足本</w:t>
      </w:r>
      <w:r>
        <w:rPr>
          <w:rFonts w:asciiTheme="minorEastAsia" w:hAnsiTheme="minorEastAsia" w:eastAsiaTheme="minorEastAsia"/>
          <w:szCs w:val="21"/>
          <w:highlight w:val="none"/>
        </w:rPr>
        <w:t>采购项目</w:t>
      </w:r>
      <w:r>
        <w:rPr>
          <w:rFonts w:hint="eastAsia" w:asciiTheme="minorEastAsia" w:hAnsiTheme="minorEastAsia" w:eastAsiaTheme="minorEastAsia"/>
          <w:szCs w:val="21"/>
          <w:highlight w:val="none"/>
        </w:rPr>
        <w:t>所需要的备品备件库，并提供备品备件库的相关信息（库房面积、库存金额、主要零配件名称等）</w:t>
      </w:r>
      <w:r>
        <w:rPr>
          <w:rFonts w:hint="eastAsia" w:cs="宋体" w:asciiTheme="minorEastAsia" w:hAnsiTheme="minorEastAsia" w:eastAsiaTheme="minorEastAsia"/>
          <w:szCs w:val="21"/>
          <w:highlight w:val="none"/>
        </w:rPr>
        <w:t>。</w:t>
      </w:r>
    </w:p>
    <w:p>
      <w:pPr>
        <w:spacing w:line="312"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4.投标人应针对维保项目指定项目负责人或技术负责人，具备一定的专业素质，维修技术人员应具有色谱、质谱、光谱等大型设备维修维护工作经验（应提供相关培训证书及近6个月的社保证明）</w:t>
      </w:r>
    </w:p>
    <w:p>
      <w:pPr>
        <w:autoSpaceDE w:val="0"/>
        <w:autoSpaceDN w:val="0"/>
        <w:spacing w:line="360" w:lineRule="auto"/>
        <w:ind w:firstLine="420" w:firstLineChars="200"/>
        <w:rPr>
          <w:rFonts w:asciiTheme="minorEastAsia" w:hAnsiTheme="minorEastAsia" w:eastAsiaTheme="minorEastAsia"/>
          <w:bCs/>
          <w:color w:val="000000"/>
          <w:szCs w:val="21"/>
          <w:highlight w:val="none"/>
        </w:rPr>
      </w:pPr>
      <w:r>
        <w:rPr>
          <w:rFonts w:hint="eastAsia" w:cs="宋体" w:asciiTheme="minorEastAsia" w:hAnsiTheme="minorEastAsia" w:eastAsiaTheme="minorEastAsia"/>
          <w:szCs w:val="21"/>
          <w:highlight w:val="none"/>
        </w:rPr>
        <w:t>5.</w:t>
      </w:r>
      <w:r>
        <w:rPr>
          <w:rFonts w:asciiTheme="minorEastAsia" w:hAnsiTheme="minorEastAsia" w:eastAsiaTheme="minorEastAsia"/>
          <w:bCs/>
          <w:szCs w:val="21"/>
          <w:highlight w:val="none"/>
        </w:rPr>
        <w:t>序号</w:t>
      </w:r>
      <w:r>
        <w:rPr>
          <w:rFonts w:asciiTheme="minorEastAsia" w:hAnsiTheme="minorEastAsia" w:eastAsiaTheme="minorEastAsia"/>
          <w:bCs/>
          <w:color w:val="000000"/>
          <w:szCs w:val="21"/>
          <w:highlight w:val="none"/>
        </w:rPr>
        <w:t>1-</w:t>
      </w:r>
      <w:r>
        <w:rPr>
          <w:rFonts w:hint="eastAsia" w:asciiTheme="minorEastAsia" w:hAnsiTheme="minorEastAsia" w:eastAsiaTheme="minorEastAsia"/>
          <w:bCs/>
          <w:color w:val="000000"/>
          <w:szCs w:val="21"/>
          <w:highlight w:val="none"/>
        </w:rPr>
        <w:t>1</w:t>
      </w:r>
      <w:r>
        <w:rPr>
          <w:rFonts w:asciiTheme="minorEastAsia" w:hAnsiTheme="minorEastAsia" w:eastAsiaTheme="minorEastAsia"/>
          <w:bCs/>
          <w:color w:val="000000"/>
          <w:szCs w:val="21"/>
          <w:highlight w:val="none"/>
        </w:rPr>
        <w:t>1号的仪器设备需提供原厂维修</w:t>
      </w:r>
      <w:r>
        <w:rPr>
          <w:rFonts w:hint="eastAsia" w:asciiTheme="minorEastAsia" w:hAnsiTheme="minorEastAsia" w:eastAsiaTheme="minorEastAsia"/>
          <w:bCs/>
          <w:color w:val="000000"/>
          <w:szCs w:val="21"/>
          <w:highlight w:val="none"/>
        </w:rPr>
        <w:t>服务</w:t>
      </w:r>
      <w:r>
        <w:rPr>
          <w:rFonts w:asciiTheme="minorEastAsia" w:hAnsiTheme="minorEastAsia" w:eastAsiaTheme="minorEastAsia"/>
          <w:bCs/>
          <w:color w:val="000000"/>
          <w:szCs w:val="21"/>
          <w:highlight w:val="none"/>
        </w:rPr>
        <w:t>；序号</w:t>
      </w:r>
      <w:r>
        <w:rPr>
          <w:rFonts w:hint="eastAsia" w:asciiTheme="minorEastAsia" w:hAnsiTheme="minorEastAsia" w:eastAsiaTheme="minorEastAsia"/>
          <w:bCs/>
          <w:color w:val="000000"/>
          <w:szCs w:val="21"/>
          <w:highlight w:val="none"/>
        </w:rPr>
        <w:t>1</w:t>
      </w:r>
      <w:r>
        <w:rPr>
          <w:rFonts w:asciiTheme="minorEastAsia" w:hAnsiTheme="minorEastAsia" w:eastAsiaTheme="minorEastAsia"/>
          <w:bCs/>
          <w:color w:val="000000"/>
          <w:szCs w:val="21"/>
          <w:highlight w:val="none"/>
        </w:rPr>
        <w:t>2-</w:t>
      </w:r>
      <w:r>
        <w:rPr>
          <w:rFonts w:hint="eastAsia" w:asciiTheme="minorEastAsia" w:hAnsiTheme="minorEastAsia" w:eastAsiaTheme="minorEastAsia"/>
          <w:bCs/>
          <w:color w:val="000000"/>
          <w:szCs w:val="21"/>
          <w:highlight w:val="none"/>
        </w:rPr>
        <w:t>2</w:t>
      </w:r>
      <w:r>
        <w:rPr>
          <w:rFonts w:asciiTheme="minorEastAsia" w:hAnsiTheme="minorEastAsia" w:eastAsiaTheme="minorEastAsia"/>
          <w:bCs/>
          <w:color w:val="000000"/>
          <w:szCs w:val="21"/>
          <w:highlight w:val="none"/>
        </w:rPr>
        <w:t>9的维保仪器设备如未按</w:t>
      </w:r>
      <w:r>
        <w:rPr>
          <w:rFonts w:hint="eastAsia" w:asciiTheme="minorEastAsia" w:hAnsiTheme="minorEastAsia" w:eastAsiaTheme="minorEastAsia"/>
          <w:bCs/>
          <w:color w:val="000000"/>
          <w:szCs w:val="21"/>
          <w:highlight w:val="none"/>
        </w:rPr>
        <w:t>2、（2）</w:t>
      </w:r>
      <w:r>
        <w:rPr>
          <w:rFonts w:asciiTheme="minorEastAsia" w:hAnsiTheme="minorEastAsia" w:eastAsiaTheme="minorEastAsia"/>
          <w:bCs/>
          <w:color w:val="000000"/>
          <w:szCs w:val="21"/>
          <w:highlight w:val="none"/>
        </w:rPr>
        <w:t>中规定时间内完成维修的，应请原厂家工程师提供上门维修，所产生的所有费用由投标人承担；</w:t>
      </w:r>
    </w:p>
    <w:p>
      <w:pPr>
        <w:spacing w:line="312"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6.业绩方面主要提供与本项目中同类设备的维保设备案例（201</w:t>
      </w:r>
      <w:r>
        <w:rPr>
          <w:rFonts w:cs="宋体" w:asciiTheme="minorEastAsia" w:hAnsiTheme="minorEastAsia" w:eastAsiaTheme="minorEastAsia"/>
          <w:szCs w:val="21"/>
          <w:highlight w:val="none"/>
        </w:rPr>
        <w:t>9</w:t>
      </w:r>
      <w:r>
        <w:rPr>
          <w:rFonts w:hint="eastAsia" w:cs="宋体" w:asciiTheme="minorEastAsia" w:hAnsiTheme="minorEastAsia" w:eastAsiaTheme="minorEastAsia"/>
          <w:szCs w:val="21"/>
          <w:highlight w:val="none"/>
        </w:rPr>
        <w:t>年以来）</w:t>
      </w:r>
    </w:p>
    <w:p>
      <w:pPr>
        <w:spacing w:line="312" w:lineRule="auto"/>
        <w:ind w:firstLine="840" w:firstLineChars="400"/>
        <w:rPr>
          <w:rFonts w:cs="宋体" w:asciiTheme="minorEastAsia" w:hAnsiTheme="minorEastAsia" w:eastAsiaTheme="minorEastAsia"/>
          <w:szCs w:val="21"/>
        </w:rPr>
      </w:pPr>
      <w:r>
        <w:rPr>
          <w:rFonts w:hint="eastAsia" w:cs="宋体" w:asciiTheme="minorEastAsia" w:hAnsiTheme="minorEastAsia" w:eastAsiaTheme="minorEastAsia"/>
          <w:szCs w:val="21"/>
        </w:rPr>
        <w:t>色谱类：气相色谱仪、液相色谱仪</w:t>
      </w:r>
    </w:p>
    <w:p>
      <w:pPr>
        <w:pStyle w:val="3"/>
        <w:spacing w:line="312" w:lineRule="auto"/>
        <w:ind w:firstLine="840" w:firstLineChars="4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质谱类：气相色谱-质谱联用仪、液相色谱-质谱联用仪</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7.维保报告要求</w:t>
      </w:r>
    </w:p>
    <w:p>
      <w:pPr>
        <w:tabs>
          <w:tab w:val="left" w:pos="1701"/>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（1）投标人应建立维保技术档案。每次维保工作结束，需出具维修保养报告，由采购人填写意见和签字确认。</w:t>
      </w:r>
    </w:p>
    <w:p>
      <w:pPr>
        <w:tabs>
          <w:tab w:val="left" w:pos="1701"/>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（2）每半年为采购人提供一份半年度维保情况报告，报告应包括维修保养服务内容、故障处理、零配件更换情况、设备状况分析及评价及对设备运行及使用的建议。</w:t>
      </w:r>
    </w:p>
    <w:p>
      <w:pPr>
        <w:spacing w:line="360" w:lineRule="auto"/>
        <w:ind w:firstLine="199" w:firstLineChars="95"/>
        <w:rPr>
          <w:rFonts w:asciiTheme="minorEastAsia" w:hAnsiTheme="minorEastAsia" w:eastAsiaTheme="minorEastAsia"/>
          <w:szCs w:val="21"/>
        </w:rPr>
      </w:pPr>
      <w:r>
        <w:rPr>
          <w:rFonts w:hint="eastAsia" w:asciiTheme="minorEastAsia" w:hAnsiTheme="minorEastAsia" w:eastAsiaTheme="minorEastAsia"/>
          <w:szCs w:val="21"/>
        </w:rPr>
        <w:t xml:space="preserve">   8.安全要求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为了避免工作事故、人身与设备损伤，也为了保持良好工作秩序，维保技术人员在现场期间，应遵守采购人的规章制度及其实验室相关安全规定。投标人应对维保技术人员进行安全教育并采取严格的安全措施，承担由于自身原因所造成的事故责任及其发生的一切费用。</w:t>
      </w:r>
    </w:p>
    <w:p>
      <w:pPr>
        <w:spacing w:line="360" w:lineRule="auto"/>
        <w:ind w:firstLine="382" w:firstLineChars="182"/>
        <w:rPr>
          <w:rStyle w:val="147"/>
          <w:rFonts w:asciiTheme="minorEastAsia" w:hAnsiTheme="minorEastAsia" w:eastAsiaTheme="minorEastAsia"/>
          <w:sz w:val="21"/>
          <w:szCs w:val="21"/>
        </w:rPr>
      </w:pPr>
      <w:bookmarkStart w:id="3" w:name="_Toc501460570"/>
      <w:r>
        <w:rPr>
          <w:rFonts w:hint="eastAsia" w:asciiTheme="minorEastAsia" w:hAnsiTheme="minorEastAsia" w:eastAsiaTheme="minorEastAsia"/>
          <w:szCs w:val="21"/>
        </w:rPr>
        <w:t xml:space="preserve"> 9.维保</w:t>
      </w:r>
      <w:r>
        <w:rPr>
          <w:rStyle w:val="147"/>
          <w:rFonts w:hint="eastAsia" w:asciiTheme="minorEastAsia" w:hAnsiTheme="minorEastAsia" w:eastAsiaTheme="minorEastAsia"/>
          <w:b w:val="0"/>
          <w:sz w:val="21"/>
          <w:szCs w:val="21"/>
        </w:rPr>
        <w:t>验收</w:t>
      </w:r>
      <w:bookmarkEnd w:id="3"/>
      <w:r>
        <w:rPr>
          <w:rStyle w:val="147"/>
          <w:rFonts w:hint="eastAsia" w:asciiTheme="minorEastAsia" w:hAnsiTheme="minorEastAsia" w:eastAsiaTheme="minorEastAsia"/>
          <w:b w:val="0"/>
          <w:sz w:val="21"/>
          <w:szCs w:val="21"/>
        </w:rPr>
        <w:t>方法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（1）合同、招标文件、投标文件、相关的法律法规标准规范，均为采购人的验收依据。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（2）验收方式：投标人对设备进行维保或故障修理完毕后，经观察、监测设备运行正常后，通知采购人进行验收。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（3）采购人将根据验收依据对投标人的维保成果进行考核，如发现投标人的维保不符合要求，投标人应按采购人的要求进行整改。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（4）若投标人不配合采购人要求进行整改，采购人有权解除合同，且不承担任何赔偿责任。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（5）若因投标人原因导致设备损坏的，则投标人须赔偿采购人一切损失。</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 若因投标人原因在合理期限（15天）内未及时修复或无法修复设备的，则采购人有权另行委托其他投标人维修，所需的一切费用由投标人承担，采购人视情有权终止该设备的维保合同。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（7）若产生维保质量异议，采购人有权委托相关具有检验资质的机构针对维护保养成果进行检验，其检验结果将做为验收标准的组成部分之一。</w:t>
      </w:r>
    </w:p>
    <w:p>
      <w:pPr>
        <w:widowControl/>
        <w:spacing w:line="360" w:lineRule="auto"/>
        <w:jc w:val="left"/>
        <w:rPr>
          <w:rFonts w:cs="宋体" w:asciiTheme="minorEastAsia" w:hAnsiTheme="minorEastAsia" w:eastAsiaTheme="minorEastAsia"/>
          <w:b/>
          <w:szCs w:val="21"/>
        </w:rPr>
      </w:pPr>
      <w:r>
        <w:rPr>
          <w:rFonts w:cs="宋体" w:asciiTheme="minorEastAsia" w:hAnsiTheme="minorEastAsia" w:eastAsiaTheme="minorEastAsia"/>
          <w:b/>
          <w:szCs w:val="21"/>
        </w:rPr>
        <w:br w:type="page"/>
      </w:r>
    </w:p>
    <w:p>
      <w:pPr>
        <w:snapToGrid w:val="0"/>
        <w:spacing w:before="50" w:after="50" w:line="360" w:lineRule="auto"/>
        <w:jc w:val="left"/>
        <w:rPr>
          <w:rFonts w:asciiTheme="minorEastAsia" w:hAnsiTheme="minorEastAsia" w:eastAsiaTheme="minorEastAsia"/>
          <w:szCs w:val="21"/>
        </w:rPr>
      </w:pPr>
      <w:r>
        <w:rPr>
          <w:rFonts w:hint="eastAsia" w:asciiTheme="minorEastAsia" w:hAnsiTheme="minorEastAsia" w:eastAsiaTheme="minorEastAsia"/>
          <w:b/>
          <w:szCs w:val="21"/>
          <w:highlight w:val="none"/>
        </w:rPr>
        <w:t>（二）维保设备清单</w:t>
      </w:r>
    </w:p>
    <w:tbl>
      <w:tblPr>
        <w:tblStyle w:val="36"/>
        <w:tblW w:w="9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
        <w:gridCol w:w="3523"/>
        <w:gridCol w:w="1044"/>
        <w:gridCol w:w="1809"/>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仪器名称</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设备原值</w:t>
            </w:r>
          </w:p>
          <w:p>
            <w:pPr>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设备型号</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序列号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823" w:type="dxa"/>
            <w:noWrap/>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液相色谱-质谱联用仪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w:t>
            </w:r>
          </w:p>
        </w:tc>
        <w:tc>
          <w:tcPr>
            <w:tcW w:w="1618"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Ultimate 3000/TSQ</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TQU04161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超高效液相色谱三重四杆质谱联用仪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41.95</w:t>
            </w:r>
          </w:p>
        </w:tc>
        <w:tc>
          <w:tcPr>
            <w:tcW w:w="1618"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XEVOTQXS</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WBA0057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气相色谱三重四级杆质谱联用仪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47.3</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000C</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US1612U1M1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超高效液相色谱三重四杆质谱联用仪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50</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470</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SG1904G101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气相色谱三重四级杆质谱联用仪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44.6</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000D</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US1852U1M1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气相色谱三重四级杆质谱联用仪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28.7</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000C</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US1535U201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超高效液相色谱三重四杆质谱联用仪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50</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470</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SG1633G003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高效液相色谱仪(双检测器)</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3.2</w:t>
            </w:r>
          </w:p>
        </w:tc>
        <w:tc>
          <w:tcPr>
            <w:tcW w:w="1618"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1260</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DEAB805915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气相色谱质谱联用仪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7.7</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975C</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US71246211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高效液相色谱仪(三个检测器)</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8.4</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1260</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DEAB814245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电感耦合等离子体质谱仪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70</w:t>
            </w:r>
          </w:p>
        </w:tc>
        <w:tc>
          <w:tcPr>
            <w:tcW w:w="1618"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Elan DRC e</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AH14160809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高效液相色谱仪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8.7</w:t>
            </w:r>
          </w:p>
        </w:tc>
        <w:tc>
          <w:tcPr>
            <w:tcW w:w="1618"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1260</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DEAB809220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高效液相色谱仪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8</w:t>
            </w:r>
          </w:p>
        </w:tc>
        <w:tc>
          <w:tcPr>
            <w:tcW w:w="1618" w:type="dxa"/>
            <w:vAlign w:val="center"/>
          </w:tcPr>
          <w:p>
            <w:pPr>
              <w:rPr>
                <w:rFonts w:asciiTheme="minorEastAsia" w:hAnsiTheme="minorEastAsia" w:eastAsiaTheme="minorEastAsia"/>
                <w:szCs w:val="21"/>
              </w:rPr>
            </w:pPr>
            <w:r>
              <w:rPr>
                <w:rFonts w:asciiTheme="minorEastAsia" w:hAnsiTheme="minorEastAsia" w:eastAsiaTheme="minorEastAsia"/>
                <w:szCs w:val="21"/>
              </w:rPr>
              <w:t xml:space="preserve">     1260</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DEAB805914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4</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高效液相色谱仪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0.55</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200</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DE23921176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高效液相色谱仪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9.5</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260</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DEADO16633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6</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高效液相色谱仪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9.8</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200</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DE62957304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7</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高效液相色谱仪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0.5</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260</w:t>
            </w:r>
            <w:r>
              <w:rPr>
                <w:rFonts w:hint="eastAsia" w:asciiTheme="minorEastAsia" w:hAnsiTheme="minorEastAsia" w:eastAsiaTheme="minorEastAsia"/>
                <w:szCs w:val="21"/>
              </w:rPr>
              <w:t>II</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DEAEV01249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8</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气相色谱仪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0.6</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890A+HS</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US10802018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9</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高效液相色谱仪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9.8</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260</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DEAD014986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高效液相色谱仪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1260Ⅱ</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DEAE201217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气相色谱仪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2.5</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890B(FID)</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US15333021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2</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气相色谱仪</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8.5</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890B(ECD)</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US15343038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3</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高效液相色谱仪(二个检测器)</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8.3</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200</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DE62956755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4</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气相色谱仪7890B(ECD)</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8.5</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890B</w:t>
            </w:r>
            <w:r>
              <w:rPr>
                <w:rFonts w:hint="eastAsia" w:asciiTheme="minorEastAsia" w:hAnsiTheme="minorEastAsia" w:eastAsiaTheme="minorEastAsia"/>
                <w:szCs w:val="21"/>
              </w:rPr>
              <w:t>（</w:t>
            </w:r>
            <w:r>
              <w:rPr>
                <w:rFonts w:asciiTheme="minorEastAsia" w:hAnsiTheme="minorEastAsia" w:eastAsiaTheme="minorEastAsia"/>
                <w:szCs w:val="21"/>
              </w:rPr>
              <w:t>ECD）</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US15343039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5</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气相色谱仪7890A(FPD+ECD)</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3.5</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890A(FPD+ECD)</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US10720007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6</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 xml:space="preserve">waters高效液相色谱仪  </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2</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Acquity ARC</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H16VQS166G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27</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 xml:space="preserve">waters高效液相色谱仪  </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2</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Acquity ARC</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H16VQS178G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 xml:space="preserve">PE高效液相色谱仪 </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8</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Altus-A10</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E15SHC574A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2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29</w:t>
            </w:r>
          </w:p>
        </w:tc>
        <w:tc>
          <w:tcPr>
            <w:tcW w:w="3283"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 xml:space="preserve">PE高效液相色谱仪 </w:t>
            </w:r>
          </w:p>
        </w:tc>
        <w:tc>
          <w:tcPr>
            <w:tcW w:w="97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8</w:t>
            </w:r>
          </w:p>
        </w:tc>
        <w:tc>
          <w:tcPr>
            <w:tcW w:w="1618"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Altus-A10</w:t>
            </w:r>
          </w:p>
        </w:tc>
        <w:tc>
          <w:tcPr>
            <w:tcW w:w="1756" w:type="dxa"/>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F15SHC090A</w:t>
            </w:r>
          </w:p>
        </w:tc>
      </w:tr>
    </w:tbl>
    <w:p>
      <w:pPr>
        <w:spacing w:line="312" w:lineRule="auto"/>
        <w:rPr>
          <w:rFonts w:ascii="宋体" w:hAnsi="宋体"/>
          <w:sz w:val="24"/>
          <w:szCs w:val="24"/>
        </w:rPr>
      </w:pPr>
    </w:p>
    <w:p>
      <w:pPr>
        <w:spacing w:line="312" w:lineRule="auto"/>
        <w:rPr>
          <w:rFonts w:ascii="宋体" w:hAnsi="宋体"/>
          <w:b/>
          <w:sz w:val="24"/>
          <w:szCs w:val="24"/>
        </w:rPr>
      </w:pPr>
      <w:r>
        <w:rPr>
          <w:rFonts w:hint="eastAsia" w:ascii="宋体" w:hAnsi="宋体"/>
          <w:sz w:val="24"/>
          <w:szCs w:val="24"/>
        </w:rPr>
        <w:t>三</w:t>
      </w:r>
      <w:r>
        <w:rPr>
          <w:rFonts w:hint="eastAsia" w:ascii="宋体" w:hAnsi="宋体"/>
          <w:b/>
          <w:sz w:val="24"/>
          <w:szCs w:val="24"/>
        </w:rPr>
        <w:t>、商务要求:</w:t>
      </w:r>
    </w:p>
    <w:p>
      <w:pPr>
        <w:spacing w:line="312" w:lineRule="auto"/>
        <w:ind w:firstLine="210" w:firstLineChars="100"/>
        <w:rPr>
          <w:rFonts w:ascii="宋体" w:hAnsi="宋体"/>
          <w:b/>
          <w:bCs/>
          <w:color w:val="FF0000"/>
          <w:szCs w:val="21"/>
          <w:highlight w:val="none"/>
        </w:rPr>
      </w:pPr>
      <w:r>
        <w:rPr>
          <w:rFonts w:hint="eastAsia" w:ascii="宋体" w:hAnsi="宋体"/>
          <w:szCs w:val="21"/>
          <w:highlight w:val="none"/>
        </w:rPr>
        <w:t>（一）</w:t>
      </w:r>
      <w:r>
        <w:rPr>
          <w:rFonts w:hint="eastAsia" w:ascii="宋体" w:hAnsi="宋体"/>
          <w:b/>
          <w:bCs/>
          <w:color w:val="FF0000"/>
          <w:szCs w:val="21"/>
          <w:highlight w:val="none"/>
        </w:rPr>
        <w:t>服务期限：2</w:t>
      </w:r>
      <w:r>
        <w:rPr>
          <w:rFonts w:ascii="宋体" w:hAnsi="宋体"/>
          <w:b/>
          <w:bCs/>
          <w:color w:val="FF0000"/>
          <w:szCs w:val="21"/>
          <w:highlight w:val="none"/>
        </w:rPr>
        <w:t>023</w:t>
      </w:r>
      <w:r>
        <w:rPr>
          <w:rFonts w:hint="eastAsia" w:ascii="宋体" w:hAnsi="宋体"/>
          <w:b/>
          <w:bCs/>
          <w:color w:val="FF0000"/>
          <w:szCs w:val="21"/>
          <w:highlight w:val="none"/>
        </w:rPr>
        <w:t>年</w:t>
      </w:r>
      <w:r>
        <w:rPr>
          <w:rFonts w:ascii="宋体" w:hAnsi="宋体"/>
          <w:b/>
          <w:bCs/>
          <w:color w:val="FF0000"/>
          <w:szCs w:val="21"/>
          <w:highlight w:val="none"/>
        </w:rPr>
        <w:t>1</w:t>
      </w:r>
      <w:r>
        <w:rPr>
          <w:rFonts w:hint="eastAsia" w:ascii="宋体" w:hAnsi="宋体"/>
          <w:b/>
          <w:bCs/>
          <w:color w:val="FF0000"/>
          <w:szCs w:val="21"/>
          <w:highlight w:val="none"/>
        </w:rPr>
        <w:t>月1日至202</w:t>
      </w:r>
      <w:r>
        <w:rPr>
          <w:rFonts w:ascii="宋体" w:hAnsi="宋体"/>
          <w:b/>
          <w:bCs/>
          <w:color w:val="FF0000"/>
          <w:szCs w:val="21"/>
          <w:highlight w:val="none"/>
        </w:rPr>
        <w:t>3</w:t>
      </w:r>
      <w:r>
        <w:rPr>
          <w:rFonts w:hint="eastAsia" w:ascii="宋体" w:hAnsi="宋体"/>
          <w:b/>
          <w:bCs/>
          <w:color w:val="FF0000"/>
          <w:szCs w:val="21"/>
          <w:highlight w:val="none"/>
        </w:rPr>
        <w:t>年12月31日</w:t>
      </w:r>
    </w:p>
    <w:p>
      <w:pPr>
        <w:spacing w:line="312" w:lineRule="auto"/>
        <w:ind w:firstLine="199" w:firstLineChars="95"/>
        <w:rPr>
          <w:rFonts w:ascii="宋体" w:hAnsi="宋体"/>
          <w:szCs w:val="21"/>
          <w:highlight w:val="none"/>
        </w:rPr>
      </w:pPr>
      <w:r>
        <w:rPr>
          <w:rFonts w:hint="eastAsia" w:ascii="宋体" w:hAnsi="宋体"/>
          <w:szCs w:val="21"/>
          <w:highlight w:val="none"/>
        </w:rPr>
        <w:t>（二）服务地点：浙江省舟山市定海区舟山高新技术产业园区弘禄大道49号</w:t>
      </w:r>
    </w:p>
    <w:p>
      <w:pPr>
        <w:spacing w:line="312" w:lineRule="auto"/>
        <w:ind w:firstLine="210" w:firstLineChars="100"/>
        <w:rPr>
          <w:rFonts w:ascii="宋体" w:hAnsi="宋体"/>
          <w:szCs w:val="21"/>
          <w:highlight w:val="none"/>
        </w:rPr>
      </w:pPr>
      <w:r>
        <w:rPr>
          <w:rFonts w:hint="eastAsia" w:ascii="宋体" w:hAnsi="宋体"/>
          <w:szCs w:val="21"/>
          <w:highlight w:val="none"/>
        </w:rPr>
        <w:t>（三）维保费用：本合同服务范围内的设备在合同有效期内进行维保所发生的全部费用（更换零配件费、人工费和差旅费等）由投标人承担。</w:t>
      </w:r>
    </w:p>
    <w:p>
      <w:pPr>
        <w:spacing w:line="312" w:lineRule="auto"/>
        <w:ind w:left="409" w:leftChars="95" w:hanging="210" w:hangingChars="100"/>
        <w:rPr>
          <w:rFonts w:ascii="宋体" w:hAnsi="宋体"/>
          <w:szCs w:val="21"/>
        </w:rPr>
      </w:pPr>
      <w:r>
        <w:rPr>
          <w:rFonts w:hint="eastAsia" w:ascii="宋体" w:hAnsi="宋体"/>
          <w:szCs w:val="21"/>
        </w:rPr>
        <w:t>（四）采购人付款方式：</w:t>
      </w:r>
    </w:p>
    <w:p>
      <w:pPr>
        <w:pStyle w:val="15"/>
        <w:ind w:firstLine="420" w:firstLineChars="200"/>
        <w:rPr>
          <w:rFonts w:hint="default" w:eastAsia="宋体"/>
          <w:lang w:val="en-US" w:eastAsia="zh-CN"/>
        </w:rPr>
      </w:pPr>
      <w:r>
        <w:rPr>
          <w:rFonts w:hint="eastAsia" w:ascii="宋体" w:hAnsi="宋体"/>
          <w:color w:val="auto"/>
          <w:szCs w:val="21"/>
          <w:highlight w:val="none"/>
        </w:rPr>
        <w:t>合同签订后7个工作日内支付合同总价的</w:t>
      </w:r>
      <w:r>
        <w:rPr>
          <w:rFonts w:hint="eastAsia" w:ascii="宋体" w:hAnsi="宋体"/>
          <w:color w:val="auto"/>
          <w:szCs w:val="21"/>
          <w:highlight w:val="none"/>
          <w:lang w:val="en-US" w:eastAsia="zh-CN"/>
        </w:rPr>
        <w:t>7</w:t>
      </w:r>
      <w:r>
        <w:rPr>
          <w:rFonts w:hint="eastAsia" w:ascii="宋体" w:hAnsi="宋体"/>
          <w:color w:val="auto"/>
          <w:szCs w:val="21"/>
          <w:highlight w:val="none"/>
        </w:rPr>
        <w:t>0%，</w:t>
      </w:r>
      <w:r>
        <w:rPr>
          <w:rFonts w:hint="eastAsia" w:ascii="宋体" w:hAnsi="宋体"/>
          <w:color w:val="auto"/>
          <w:szCs w:val="21"/>
          <w:highlight w:val="none"/>
          <w:lang w:val="en-US" w:eastAsia="zh-CN"/>
        </w:rPr>
        <w:t>同时</w:t>
      </w:r>
      <w:r>
        <w:rPr>
          <w:rFonts w:hint="eastAsia" w:ascii="宋体" w:hAnsi="宋体"/>
          <w:bCs/>
          <w:color w:val="auto"/>
          <w:szCs w:val="21"/>
          <w:highlight w:val="none"/>
        </w:rPr>
        <w:t>中</w:t>
      </w:r>
      <w:r>
        <w:rPr>
          <w:rFonts w:hint="eastAsia" w:ascii="宋体" w:hAnsi="宋体"/>
          <w:bCs/>
          <w:szCs w:val="21"/>
        </w:rPr>
        <w:t>标人提供预付款担保(预付款担保形式可以是银行保函、担保公司担保等)。</w:t>
      </w:r>
      <w:r>
        <w:rPr>
          <w:rFonts w:hint="eastAsia" w:ascii="宋体" w:hAnsi="宋体"/>
          <w:bCs/>
          <w:szCs w:val="21"/>
          <w:lang w:val="en-US" w:eastAsia="zh-CN"/>
        </w:rPr>
        <w:t>余款2个月内付清。</w:t>
      </w:r>
    </w:p>
    <w:p>
      <w:pPr>
        <w:spacing w:line="360" w:lineRule="auto"/>
        <w:ind w:firstLine="420" w:firstLineChars="200"/>
        <w:rPr>
          <w:rFonts w:ascii="宋体" w:hAnsi="宋体"/>
          <w:color w:val="FF0000"/>
          <w:szCs w:val="21"/>
        </w:rPr>
      </w:pPr>
    </w:p>
    <w:p>
      <w:pPr>
        <w:spacing w:line="312" w:lineRule="auto"/>
        <w:ind w:firstLine="525" w:firstLineChars="250"/>
        <w:rPr>
          <w:rFonts w:ascii="宋体" w:hAnsi="宋体"/>
          <w:szCs w:val="21"/>
        </w:rPr>
      </w:pPr>
      <w:r>
        <w:rPr>
          <w:rFonts w:hint="eastAsia" w:ascii="宋体" w:hAnsi="宋体"/>
          <w:szCs w:val="21"/>
        </w:rPr>
        <w:t>2.若采购人因设备更新或其它原因而发生设备闲置、停用或报废的，须提早15天以电话或邮件等方式通知到中标单位。则每年的维护结算费用重新计算如下：</w:t>
      </w:r>
    </w:p>
    <w:p>
      <w:pPr>
        <w:spacing w:line="312" w:lineRule="auto"/>
        <w:ind w:firstLine="420" w:firstLineChars="200"/>
        <w:rPr>
          <w:rFonts w:ascii="宋体" w:hAnsi="宋体"/>
          <w:szCs w:val="21"/>
        </w:rPr>
      </w:pPr>
      <w:r>
        <w:rPr>
          <w:rFonts w:hint="eastAsia" w:ascii="宋体" w:hAnsi="宋体"/>
          <w:szCs w:val="21"/>
        </w:rPr>
        <w:t>a. 维护费用=每台设备月维保单价*实际已完成维保月数</w:t>
      </w:r>
    </w:p>
    <w:p>
      <w:pPr>
        <w:spacing w:line="312" w:lineRule="auto"/>
        <w:ind w:firstLine="420" w:firstLineChars="200"/>
        <w:rPr>
          <w:rFonts w:ascii="宋体" w:hAnsi="宋体"/>
          <w:szCs w:val="21"/>
        </w:rPr>
      </w:pPr>
      <w:r>
        <w:rPr>
          <w:rFonts w:hint="eastAsia" w:ascii="宋体" w:hAnsi="宋体"/>
          <w:szCs w:val="21"/>
        </w:rPr>
        <w:t>b. 实际已完成维保月数以通知书上的停用日期为维护服务的截止日期。</w:t>
      </w:r>
    </w:p>
    <w:p>
      <w:pPr>
        <w:spacing w:line="312" w:lineRule="auto"/>
        <w:ind w:firstLine="420" w:firstLineChars="200"/>
        <w:rPr>
          <w:rFonts w:ascii="宋体" w:hAnsi="宋体"/>
          <w:szCs w:val="21"/>
        </w:rPr>
      </w:pPr>
      <w:r>
        <w:rPr>
          <w:rFonts w:hint="eastAsia" w:ascii="宋体" w:hAnsi="宋体"/>
          <w:szCs w:val="21"/>
        </w:rPr>
        <w:t>c.维护天数不足15天的按半个月计算，不足30天的按一个月计算费用。</w:t>
      </w:r>
    </w:p>
    <w:p>
      <w:pPr>
        <w:widowControl/>
        <w:autoSpaceDE w:val="0"/>
        <w:autoSpaceDN w:val="0"/>
        <w:spacing w:line="312" w:lineRule="auto"/>
        <w:ind w:right="-53" w:rightChars="-25"/>
        <w:textAlignment w:val="bottom"/>
        <w:rPr>
          <w:rFonts w:ascii="宋体" w:hAnsi="宋体"/>
          <w:b/>
          <w:sz w:val="24"/>
        </w:rPr>
      </w:pPr>
    </w:p>
    <w:p>
      <w:pPr>
        <w:widowControl/>
        <w:autoSpaceDE w:val="0"/>
        <w:autoSpaceDN w:val="0"/>
        <w:spacing w:line="312" w:lineRule="auto"/>
        <w:ind w:right="-53" w:rightChars="-25"/>
        <w:textAlignment w:val="bottom"/>
        <w:rPr>
          <w:rFonts w:ascii="宋体" w:hAnsi="宋体"/>
          <w:b/>
          <w:sz w:val="24"/>
        </w:rPr>
      </w:pPr>
      <w:r>
        <w:rPr>
          <w:rFonts w:hint="eastAsia" w:ascii="宋体" w:hAnsi="宋体"/>
          <w:b/>
          <w:sz w:val="24"/>
        </w:rPr>
        <w:t>四、报价要求</w:t>
      </w:r>
    </w:p>
    <w:p>
      <w:pPr>
        <w:spacing w:line="360" w:lineRule="auto"/>
        <w:ind w:firstLine="420" w:firstLineChars="200"/>
        <w:rPr>
          <w:rFonts w:ascii="宋体" w:hAnsi="宋体"/>
          <w:szCs w:val="21"/>
        </w:rPr>
      </w:pPr>
      <w:r>
        <w:rPr>
          <w:rFonts w:hint="eastAsia" w:ascii="宋体" w:hAnsi="宋体"/>
          <w:szCs w:val="21"/>
        </w:rPr>
        <w:t>1. 投标人应根据招标文件进行报价。投标报价一旦核实确认，不得再做更改。对投标人漏报致使系统未能达到需求的功能和效果，其费用和后果由投标人自行负责。</w:t>
      </w:r>
    </w:p>
    <w:p>
      <w:pPr>
        <w:tabs>
          <w:tab w:val="left" w:pos="0"/>
        </w:tabs>
        <w:adjustRightInd w:val="0"/>
        <w:snapToGrid w:val="0"/>
        <w:spacing w:line="312" w:lineRule="auto"/>
        <w:ind w:firstLine="420" w:firstLineChars="200"/>
        <w:jc w:val="left"/>
        <w:rPr>
          <w:rFonts w:ascii="宋体" w:hAnsi="宋体"/>
          <w:szCs w:val="21"/>
        </w:rPr>
      </w:pPr>
      <w:r>
        <w:rPr>
          <w:rFonts w:hint="eastAsia" w:ascii="宋体" w:hAnsi="宋体"/>
          <w:szCs w:val="21"/>
        </w:rPr>
        <w:t xml:space="preserve">2. 投标人对每种设备的报价必须是唯一的。招标人不接受有任何选择的报价。 </w:t>
      </w:r>
    </w:p>
    <w:p>
      <w:pPr>
        <w:tabs>
          <w:tab w:val="left" w:pos="0"/>
        </w:tabs>
        <w:adjustRightInd w:val="0"/>
        <w:snapToGrid w:val="0"/>
        <w:spacing w:line="312" w:lineRule="auto"/>
        <w:ind w:firstLine="420" w:firstLineChars="200"/>
        <w:jc w:val="left"/>
        <w:rPr>
          <w:rFonts w:ascii="宋体" w:hAnsi="宋体"/>
          <w:szCs w:val="21"/>
        </w:rPr>
      </w:pPr>
      <w:r>
        <w:rPr>
          <w:rFonts w:hint="eastAsia" w:ascii="宋体" w:hAnsi="宋体"/>
          <w:szCs w:val="21"/>
        </w:rPr>
        <w:t xml:space="preserve">3. 所有报价均应已包含国家规定的所有税费。 </w:t>
      </w:r>
    </w:p>
    <w:p>
      <w:pPr>
        <w:tabs>
          <w:tab w:val="left" w:pos="0"/>
        </w:tabs>
        <w:adjustRightInd w:val="0"/>
        <w:snapToGrid w:val="0"/>
        <w:spacing w:line="312" w:lineRule="auto"/>
        <w:ind w:firstLine="420" w:firstLineChars="200"/>
        <w:jc w:val="left"/>
        <w:rPr>
          <w:rFonts w:ascii="宋体" w:hAnsi="宋体"/>
          <w:szCs w:val="21"/>
        </w:rPr>
      </w:pPr>
      <w:r>
        <w:rPr>
          <w:rFonts w:hint="eastAsia" w:ascii="宋体" w:hAnsi="宋体"/>
          <w:szCs w:val="21"/>
        </w:rPr>
        <w:t>4. 投标总报价应等于“详细产品报价清单”的设备总报价、保修期内售后服务费用之和。应包括材料价、损耗价、运至业主指定地点的运输费、装卸费、保险费、制作、安装、加固、调试等配套工程及税金等一切费用。</w:t>
      </w:r>
    </w:p>
    <w:p>
      <w:pPr>
        <w:tabs>
          <w:tab w:val="left" w:pos="0"/>
        </w:tabs>
        <w:adjustRightInd w:val="0"/>
        <w:snapToGrid w:val="0"/>
        <w:spacing w:line="312" w:lineRule="auto"/>
        <w:ind w:firstLine="420" w:firstLineChars="200"/>
        <w:jc w:val="left"/>
        <w:rPr>
          <w:rFonts w:cs="宋体" w:asciiTheme="minorEastAsia" w:hAnsiTheme="minorEastAsia" w:eastAsiaTheme="minorEastAsia"/>
          <w:bCs/>
          <w:szCs w:val="21"/>
        </w:rPr>
      </w:pPr>
      <w:r>
        <w:rPr>
          <w:rFonts w:hint="eastAsia" w:ascii="宋体" w:hAnsi="宋体"/>
        </w:rPr>
        <w:t>5．</w:t>
      </w:r>
      <w:r>
        <w:rPr>
          <w:rFonts w:hint="eastAsia" w:cs="宋体" w:asciiTheme="minorEastAsia" w:hAnsiTheme="minorEastAsia" w:eastAsiaTheme="minorEastAsia"/>
          <w:bCs/>
          <w:szCs w:val="21"/>
        </w:rPr>
        <w:t>扶持政策说明：</w:t>
      </w:r>
    </w:p>
    <w:p>
      <w:pPr>
        <w:spacing w:line="312" w:lineRule="auto"/>
        <w:ind w:firstLine="420" w:firstLineChars="200"/>
        <w:rPr>
          <w:rFonts w:ascii="宋体" w:hAnsi="宋体"/>
          <w:b/>
          <w:u w:val="single"/>
        </w:rPr>
      </w:pPr>
      <w:r>
        <w:rPr>
          <w:rFonts w:hint="eastAsia" w:ascii="宋体" w:hAnsi="宋体"/>
        </w:rPr>
        <w:t>（1）根据财政部财库〔2022〕19号《关于进一步加大政府采购支持中小企业力度的通知》、《浙江省财政厅关于进一步加大政府采购支持中小企业力度 助力扎实稳住经济的通知》（浙财采监[2022]8号）规定，对小型和微型企业的价格给予20%的扣除。对于联合协议或者分包意向协议约定小微企业的合同份额占到合同总金额30%以上的，给予6%的扣除。属于小型和微型企业的，投标文件中投标人必须提供《中小企业声明函》。</w:t>
      </w:r>
      <w:r>
        <w:rPr>
          <w:rFonts w:hint="eastAsia" w:ascii="宋体" w:hAnsi="宋体"/>
          <w:color w:val="FF0000"/>
        </w:rPr>
        <w:t>本项目对应的中小企业划分标准所属行业：</w:t>
      </w:r>
      <w:r>
        <w:rPr>
          <w:rFonts w:hint="eastAsia"/>
          <w:b/>
          <w:color w:val="FF0000"/>
          <w:szCs w:val="21"/>
        </w:rPr>
        <w:t>其他未列明行业</w:t>
      </w:r>
      <w:r>
        <w:rPr>
          <w:rFonts w:hint="eastAsia" w:ascii="宋体" w:hAnsi="宋体"/>
          <w:b/>
          <w:color w:val="FF0000"/>
          <w:u w:val="single"/>
        </w:rPr>
        <w:t>。</w:t>
      </w:r>
    </w:p>
    <w:p>
      <w:pPr>
        <w:spacing w:line="312" w:lineRule="auto"/>
        <w:ind w:firstLine="420" w:firstLineChars="200"/>
        <w:rPr>
          <w:rFonts w:ascii="宋体" w:hAnsi="宋体"/>
        </w:rPr>
      </w:pPr>
      <w:r>
        <w:rPr>
          <w:rFonts w:hint="eastAsia" w:ascii="宋体" w:hAnsi="宋体"/>
        </w:rPr>
        <w:t>未提供完整证明材料的，投标报价不予扣减。</w:t>
      </w:r>
    </w:p>
    <w:p>
      <w:pPr>
        <w:spacing w:line="312" w:lineRule="auto"/>
        <w:ind w:firstLine="420" w:firstLineChars="200"/>
        <w:rPr>
          <w:rFonts w:ascii="宋体" w:hAnsi="宋体"/>
        </w:rPr>
      </w:pPr>
      <w:r>
        <w:rPr>
          <w:rFonts w:hint="eastAsia" w:ascii="宋体" w:hAnsi="宋体"/>
        </w:rPr>
        <w:t>（2）根据《关于政府采购支持监狱企业发展有关问题的通知》（财库[2014]68号）的规定，供应商如为监狱企业且所投产品为小型或微型企业生产的，其投标报价扣除20%后参与评审。</w:t>
      </w:r>
    </w:p>
    <w:p>
      <w:pPr>
        <w:spacing w:line="312" w:lineRule="auto"/>
        <w:ind w:firstLine="420" w:firstLineChars="200"/>
        <w:rPr>
          <w:rFonts w:ascii="宋体" w:hAnsi="宋体"/>
        </w:rPr>
      </w:pPr>
      <w:r>
        <w:rPr>
          <w:rFonts w:hint="eastAsia" w:ascii="宋体" w:hAnsi="宋体"/>
        </w:rPr>
        <w:t>投标文件中须同时提供：供应商的省级以上监狱管理局、戒毒管理局（含新疆生产建设兵团）出具的属于监狱企业的证明文件，投标产品制造商的小微企业证明，未提供完整证明材料的，投标报价不予扣减。</w:t>
      </w:r>
    </w:p>
    <w:p>
      <w:pPr>
        <w:spacing w:line="312" w:lineRule="auto"/>
        <w:ind w:firstLine="420" w:firstLineChars="200"/>
        <w:rPr>
          <w:rFonts w:ascii="宋体" w:hAnsi="宋体"/>
        </w:rPr>
      </w:pPr>
      <w:r>
        <w:rPr>
          <w:rFonts w:hint="eastAsia" w:ascii="宋体" w:hAnsi="宋体"/>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spacing w:line="312" w:lineRule="auto"/>
        <w:ind w:firstLine="420" w:firstLineChars="200"/>
        <w:rPr>
          <w:rFonts w:ascii="宋体" w:hAnsi="宋体"/>
        </w:rPr>
      </w:pPr>
      <w:r>
        <w:rPr>
          <w:rFonts w:hint="eastAsia" w:ascii="宋体" w:hAnsi="宋体"/>
        </w:rPr>
        <w:t>投标文件中须提供：《残疾人福利性单位声明函》，未提供完整证明材料的，投标报价不予扣减。</w:t>
      </w:r>
    </w:p>
    <w:p>
      <w:pPr>
        <w:spacing w:line="312" w:lineRule="auto"/>
        <w:ind w:firstLine="420" w:firstLineChars="200"/>
        <w:rPr>
          <w:rFonts w:ascii="宋体" w:hAnsi="宋体"/>
        </w:rPr>
      </w:pPr>
      <w:r>
        <w:rPr>
          <w:rFonts w:hint="eastAsia" w:ascii="宋体" w:hAnsi="宋体"/>
        </w:rPr>
        <w:t>上述1，2，3政策不重复计算。</w:t>
      </w:r>
    </w:p>
    <w:p>
      <w:pPr>
        <w:spacing w:line="312" w:lineRule="auto"/>
        <w:ind w:firstLine="420" w:firstLineChars="200"/>
        <w:rPr>
          <w:rFonts w:ascii="宋体" w:hAnsi="宋体"/>
        </w:rPr>
      </w:pPr>
      <w:r>
        <w:rPr>
          <w:rFonts w:hint="eastAsia" w:ascii="宋体" w:hAnsi="宋体"/>
        </w:rPr>
        <w:t>此项由评标委员会集体核实后统一打分。</w:t>
      </w:r>
    </w:p>
    <w:p>
      <w:pPr>
        <w:spacing w:line="312" w:lineRule="auto"/>
        <w:ind w:firstLine="420" w:firstLineChars="200"/>
        <w:rPr>
          <w:rFonts w:ascii="宋体" w:hAnsi="宋体"/>
          <w:b/>
          <w:szCs w:val="21"/>
        </w:rPr>
      </w:pPr>
      <w:r>
        <w:rPr>
          <w:rFonts w:hint="eastAsia" w:ascii="宋体" w:hAnsi="宋体"/>
          <w:szCs w:val="21"/>
        </w:rPr>
        <w:t xml:space="preserve">5. </w:t>
      </w:r>
      <w:r>
        <w:rPr>
          <w:rFonts w:hint="eastAsia" w:ascii="宋体" w:hAnsi="宋体"/>
          <w:b/>
          <w:szCs w:val="21"/>
        </w:rPr>
        <w:t>本次项目的预算金额为：人民币壹佰壹拾伍万元整（1，150，000.00元）。</w:t>
      </w:r>
    </w:p>
    <w:p>
      <w:pPr>
        <w:spacing w:line="312" w:lineRule="auto"/>
        <w:ind w:firstLine="420" w:firstLineChars="200"/>
      </w:pPr>
    </w:p>
    <w:p>
      <w:pPr>
        <w:tabs>
          <w:tab w:val="left" w:pos="0"/>
        </w:tabs>
        <w:autoSpaceDE w:val="0"/>
        <w:autoSpaceDN w:val="0"/>
        <w:adjustRightInd w:val="0"/>
        <w:snapToGrid w:val="0"/>
        <w:spacing w:line="336" w:lineRule="auto"/>
        <w:ind w:left="315" w:leftChars="150" w:firstLine="105" w:firstLineChars="50"/>
        <w:rPr>
          <w:rFonts w:ascii="宋体" w:hAnsi="宋体"/>
          <w:szCs w:val="21"/>
        </w:rPr>
      </w:pPr>
    </w:p>
    <w:p>
      <w:pPr>
        <w:snapToGrid w:val="0"/>
        <w:spacing w:line="336" w:lineRule="auto"/>
        <w:rPr>
          <w:rFonts w:asciiTheme="minorEastAsia" w:hAnsiTheme="minorEastAsia" w:eastAsiaTheme="minorEastAsia"/>
          <w:b/>
          <w:sz w:val="24"/>
        </w:rPr>
      </w:pPr>
      <w:r>
        <w:rPr>
          <w:rFonts w:hint="eastAsia" w:asciiTheme="minorEastAsia" w:hAnsiTheme="minorEastAsia" w:eastAsiaTheme="minorEastAsia"/>
          <w:b/>
          <w:sz w:val="24"/>
        </w:rPr>
        <w:t>五、其他</w:t>
      </w:r>
    </w:p>
    <w:p>
      <w:pPr>
        <w:pStyle w:val="20"/>
        <w:snapToGrid w:val="0"/>
        <w:spacing w:before="120" w:line="336" w:lineRule="auto"/>
        <w:ind w:right="-252" w:firstLine="415" w:firstLineChars="198"/>
        <w:rPr>
          <w:rFonts w:asciiTheme="minorEastAsia" w:hAnsiTheme="minorEastAsia" w:eastAsiaTheme="minorEastAsia"/>
          <w:b/>
          <w:sz w:val="21"/>
          <w:szCs w:val="21"/>
        </w:rPr>
      </w:pPr>
      <w:r>
        <w:rPr>
          <w:rFonts w:hint="eastAsia" w:asciiTheme="minorEastAsia" w:hAnsiTheme="minorEastAsia" w:eastAsiaTheme="minorEastAsia"/>
          <w:sz w:val="21"/>
          <w:szCs w:val="21"/>
        </w:rPr>
        <w:t>投标人或中标人应对招标、实施、运行、维护等过程中数据和信息安全负保密责任，并在信息系统中采取保密措施，因此造成的不良影响和损失，应承担相应责任。</w:t>
      </w:r>
    </w:p>
    <w:p>
      <w:pPr>
        <w:pageBreakBefore/>
        <w:snapToGrid w:val="0"/>
        <w:jc w:val="center"/>
        <w:rPr>
          <w:sz w:val="28"/>
        </w:rPr>
      </w:pPr>
      <w:r>
        <w:rPr>
          <w:rFonts w:hint="eastAsia" w:ascii="宋体"/>
          <w:b/>
          <w:sz w:val="32"/>
        </w:rPr>
        <w:t xml:space="preserve">第三章   </w:t>
      </w:r>
      <w:r>
        <w:rPr>
          <w:rFonts w:hint="eastAsia"/>
          <w:b/>
          <w:sz w:val="32"/>
        </w:rPr>
        <w:t>投标人须知</w:t>
      </w:r>
    </w:p>
    <w:p>
      <w:pPr>
        <w:snapToGrid w:val="0"/>
        <w:ind w:firstLine="4340" w:firstLineChars="1550"/>
        <w:rPr>
          <w:sz w:val="28"/>
        </w:rPr>
      </w:pPr>
      <w:r>
        <w:rPr>
          <w:rFonts w:hint="eastAsia"/>
          <w:sz w:val="28"/>
        </w:rPr>
        <w:t>前附表</w:t>
      </w:r>
    </w:p>
    <w:tbl>
      <w:tblPr>
        <w:tblStyle w:val="35"/>
        <w:tblW w:w="9652"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4856"/>
        <w:gridCol w:w="1098"/>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序号</w:t>
            </w:r>
          </w:p>
        </w:tc>
        <w:tc>
          <w:tcPr>
            <w:tcW w:w="9122" w:type="dxa"/>
            <w:gridSpan w:val="4"/>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1</w:t>
            </w:r>
          </w:p>
        </w:tc>
        <w:tc>
          <w:tcPr>
            <w:tcW w:w="151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jc w:val="center"/>
              <w:rPr>
                <w:rFonts w:ascii="宋体" w:hAnsi="宋体"/>
                <w:b/>
              </w:rPr>
            </w:pPr>
            <w:r>
              <w:rPr>
                <w:rFonts w:hint="eastAsia" w:ascii="宋体" w:hAnsi="宋体"/>
                <w:b/>
              </w:rPr>
              <w:t>项目名称</w:t>
            </w:r>
          </w:p>
        </w:tc>
        <w:tc>
          <w:tcPr>
            <w:tcW w:w="484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rPr>
                <w:rFonts w:ascii="宋体" w:hAnsi="宋体"/>
                <w:bCs/>
                <w:lang w:val="zh-CN"/>
              </w:rPr>
            </w:pPr>
            <w:r>
              <w:rPr>
                <w:rFonts w:hint="eastAsia"/>
                <w:szCs w:val="21"/>
              </w:rPr>
              <w:t>舟山市食品药品检验检测研究院实验室仪器设备维保综合服务项目</w:t>
            </w:r>
          </w:p>
        </w:tc>
        <w:tc>
          <w:tcPr>
            <w:tcW w:w="108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jc w:val="center"/>
              <w:rPr>
                <w:rFonts w:ascii="宋体" w:hAnsi="宋体"/>
                <w:bCs/>
              </w:rPr>
            </w:pPr>
            <w:r>
              <w:rPr>
                <w:rFonts w:hint="eastAsia" w:ascii="宋体" w:hAnsi="宋体"/>
                <w:b/>
              </w:rPr>
              <w:t>招标编号</w:t>
            </w:r>
          </w:p>
        </w:tc>
        <w:tc>
          <w:tcPr>
            <w:tcW w:w="164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rPr>
                <w:rFonts w:ascii="宋体" w:hAnsi="宋体"/>
                <w:bCs/>
              </w:rPr>
            </w:pPr>
            <w:r>
              <w:rPr>
                <w:rFonts w:hint="eastAsia" w:ascii="宋体" w:hAnsi="宋体"/>
              </w:rPr>
              <w:t>SZGXZS2022139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2</w:t>
            </w:r>
          </w:p>
        </w:tc>
        <w:tc>
          <w:tcPr>
            <w:tcW w:w="151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jc w:val="center"/>
              <w:rPr>
                <w:rFonts w:ascii="宋体" w:hAnsi="宋体"/>
                <w:b/>
              </w:rPr>
            </w:pPr>
            <w:r>
              <w:rPr>
                <w:rFonts w:hint="eastAsia" w:ascii="宋体" w:hAnsi="宋体"/>
                <w:b/>
              </w:rPr>
              <w:t>采购单位名称</w:t>
            </w:r>
          </w:p>
        </w:tc>
        <w:tc>
          <w:tcPr>
            <w:tcW w:w="7596"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rPr>
                <w:bCs/>
              </w:rPr>
            </w:pPr>
            <w:r>
              <w:rPr>
                <w:rFonts w:hint="eastAsia"/>
              </w:rPr>
              <w:t>舟山市食品药品检验检测研究院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3</w:t>
            </w:r>
          </w:p>
        </w:tc>
        <w:tc>
          <w:tcPr>
            <w:tcW w:w="151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jc w:val="center"/>
              <w:rPr>
                <w:rFonts w:ascii="宋体" w:hAnsi="宋体"/>
                <w:b/>
              </w:rPr>
            </w:pPr>
            <w:r>
              <w:rPr>
                <w:rFonts w:hint="eastAsia" w:ascii="宋体" w:hAnsi="宋体"/>
                <w:b/>
              </w:rPr>
              <w:t>采购内容</w:t>
            </w:r>
          </w:p>
        </w:tc>
        <w:tc>
          <w:tcPr>
            <w:tcW w:w="7596"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850"/>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pStyle w:val="72"/>
                    <w:spacing w:beforeAutospacing="0" w:afterAutospacing="0" w:line="312" w:lineRule="auto"/>
                    <w:jc w:val="center"/>
                    <w:rPr>
                      <w:rStyle w:val="38"/>
                      <w:rFonts w:asciiTheme="minorEastAsia" w:hAnsiTheme="minorEastAsia"/>
                      <w:b w:val="0"/>
                      <w:sz w:val="21"/>
                      <w:szCs w:val="21"/>
                    </w:rPr>
                  </w:pPr>
                  <w:r>
                    <w:rPr>
                      <w:rStyle w:val="38"/>
                      <w:rFonts w:hint="eastAsia" w:asciiTheme="minorEastAsia" w:hAnsiTheme="minorEastAsia" w:eastAsiaTheme="minorEastAsia"/>
                      <w:sz w:val="21"/>
                      <w:szCs w:val="21"/>
                    </w:rPr>
                    <w:t>序号</w:t>
                  </w:r>
                </w:p>
              </w:tc>
              <w:tc>
                <w:tcPr>
                  <w:tcW w:w="4820" w:type="dxa"/>
                  <w:tcBorders>
                    <w:right w:val="single" w:color="auto" w:sz="4" w:space="0"/>
                  </w:tcBorders>
                  <w:vAlign w:val="center"/>
                </w:tcPr>
                <w:p>
                  <w:pPr>
                    <w:pStyle w:val="72"/>
                    <w:spacing w:beforeAutospacing="0" w:afterAutospacing="0" w:line="312" w:lineRule="auto"/>
                    <w:jc w:val="center"/>
                    <w:rPr>
                      <w:rStyle w:val="38"/>
                      <w:rFonts w:asciiTheme="minorEastAsia" w:hAnsiTheme="minorEastAsia"/>
                      <w:b w:val="0"/>
                      <w:sz w:val="21"/>
                      <w:szCs w:val="21"/>
                    </w:rPr>
                  </w:pPr>
                  <w:r>
                    <w:rPr>
                      <w:rStyle w:val="38"/>
                      <w:rFonts w:hint="eastAsia" w:asciiTheme="minorEastAsia" w:hAnsiTheme="minorEastAsia" w:eastAsiaTheme="minorEastAsia"/>
                      <w:sz w:val="21"/>
                      <w:szCs w:val="21"/>
                    </w:rPr>
                    <w:t>建设内容</w:t>
                  </w:r>
                </w:p>
              </w:tc>
              <w:tc>
                <w:tcPr>
                  <w:tcW w:w="850" w:type="dxa"/>
                  <w:tcBorders>
                    <w:left w:val="single" w:color="auto" w:sz="4" w:space="0"/>
                    <w:right w:val="single" w:color="auto" w:sz="4" w:space="0"/>
                  </w:tcBorders>
                  <w:vAlign w:val="center"/>
                </w:tcPr>
                <w:p>
                  <w:pPr>
                    <w:pStyle w:val="72"/>
                    <w:spacing w:beforeAutospacing="0" w:afterAutospacing="0" w:line="312" w:lineRule="auto"/>
                    <w:jc w:val="center"/>
                    <w:rPr>
                      <w:rStyle w:val="38"/>
                      <w:rFonts w:asciiTheme="minorEastAsia" w:hAnsiTheme="minorEastAsia"/>
                      <w:b w:val="0"/>
                      <w:sz w:val="21"/>
                      <w:szCs w:val="21"/>
                    </w:rPr>
                  </w:pPr>
                  <w:r>
                    <w:rPr>
                      <w:rStyle w:val="38"/>
                      <w:rFonts w:hint="eastAsia" w:asciiTheme="minorEastAsia" w:hAnsiTheme="minorEastAsia" w:eastAsiaTheme="minorEastAsia"/>
                      <w:sz w:val="21"/>
                      <w:szCs w:val="21"/>
                    </w:rPr>
                    <w:t>数量</w:t>
                  </w:r>
                </w:p>
              </w:tc>
              <w:tc>
                <w:tcPr>
                  <w:tcW w:w="851" w:type="dxa"/>
                  <w:tcBorders>
                    <w:left w:val="single" w:color="auto" w:sz="4" w:space="0"/>
                  </w:tcBorders>
                  <w:vAlign w:val="center"/>
                </w:tcPr>
                <w:p>
                  <w:pPr>
                    <w:pStyle w:val="72"/>
                    <w:spacing w:beforeAutospacing="0" w:afterAutospacing="0" w:line="312" w:lineRule="auto"/>
                    <w:jc w:val="center"/>
                    <w:rPr>
                      <w:rStyle w:val="38"/>
                      <w:rFonts w:asciiTheme="minorEastAsia" w:hAnsiTheme="minorEastAsia"/>
                      <w:b w:val="0"/>
                      <w:sz w:val="21"/>
                      <w:szCs w:val="21"/>
                    </w:rPr>
                  </w:pPr>
                  <w:r>
                    <w:rPr>
                      <w:rStyle w:val="38"/>
                      <w:rFonts w:hint="eastAsia" w:asciiTheme="minorEastAsia" w:hAnsiTheme="minorEastAsia" w:eastAsiaTheme="minorEastAsia"/>
                      <w:sz w:val="21"/>
                      <w:szCs w:val="2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jc w:val="center"/>
                    <w:rPr>
                      <w:kern w:val="0"/>
                      <w:szCs w:val="21"/>
                    </w:rPr>
                  </w:pPr>
                  <w:r>
                    <w:rPr>
                      <w:kern w:val="0"/>
                      <w:szCs w:val="21"/>
                    </w:rPr>
                    <w:t>1</w:t>
                  </w:r>
                </w:p>
              </w:tc>
              <w:tc>
                <w:tcPr>
                  <w:tcW w:w="4820" w:type="dxa"/>
                  <w:tcBorders>
                    <w:right w:val="single" w:color="auto" w:sz="4" w:space="0"/>
                  </w:tcBorders>
                  <w:vAlign w:val="center"/>
                </w:tcPr>
                <w:p>
                  <w:pPr>
                    <w:widowControl/>
                    <w:jc w:val="center"/>
                    <w:rPr>
                      <w:kern w:val="0"/>
                      <w:szCs w:val="21"/>
                    </w:rPr>
                  </w:pPr>
                  <w:r>
                    <w:rPr>
                      <w:rFonts w:hint="eastAsia" w:ascii="宋体"/>
                      <w:kern w:val="0"/>
                      <w:szCs w:val="21"/>
                    </w:rPr>
                    <w:t>舟山市食品药品检验检测研究院实验室仪器设备维保综合服务项目</w:t>
                  </w:r>
                </w:p>
              </w:tc>
              <w:tc>
                <w:tcPr>
                  <w:tcW w:w="850" w:type="dxa"/>
                  <w:tcBorders>
                    <w:left w:val="single" w:color="auto" w:sz="4" w:space="0"/>
                    <w:right w:val="single" w:color="auto" w:sz="4" w:space="0"/>
                  </w:tcBorders>
                  <w:vAlign w:val="center"/>
                </w:tcPr>
                <w:p>
                  <w:pPr>
                    <w:widowControl/>
                    <w:jc w:val="center"/>
                    <w:rPr>
                      <w:rFonts w:asciiTheme="minorEastAsia" w:hAnsiTheme="minorEastAsia" w:eastAsiaTheme="minorEastAsia"/>
                      <w:kern w:val="0"/>
                      <w:sz w:val="20"/>
                      <w:szCs w:val="24"/>
                    </w:rPr>
                  </w:pPr>
                  <w:r>
                    <w:rPr>
                      <w:rFonts w:hint="eastAsia" w:asciiTheme="minorEastAsia" w:hAnsiTheme="minorEastAsia" w:eastAsiaTheme="minorEastAsia"/>
                      <w:kern w:val="0"/>
                      <w:sz w:val="20"/>
                      <w:szCs w:val="24"/>
                    </w:rPr>
                    <w:t>1</w:t>
                  </w:r>
                </w:p>
              </w:tc>
              <w:tc>
                <w:tcPr>
                  <w:tcW w:w="851" w:type="dxa"/>
                  <w:tcBorders>
                    <w:left w:val="single" w:color="auto" w:sz="4" w:space="0"/>
                  </w:tcBorders>
                  <w:vAlign w:val="center"/>
                </w:tcPr>
                <w:p>
                  <w:pPr>
                    <w:widowControl/>
                    <w:jc w:val="center"/>
                    <w:rPr>
                      <w:rFonts w:asciiTheme="minorEastAsia" w:hAnsiTheme="minorEastAsia" w:eastAsiaTheme="minorEastAsia"/>
                      <w:kern w:val="0"/>
                      <w:sz w:val="20"/>
                      <w:szCs w:val="24"/>
                    </w:rPr>
                  </w:pPr>
                  <w:r>
                    <w:rPr>
                      <w:rFonts w:hint="eastAsia" w:asciiTheme="minorEastAsia" w:hAnsiTheme="minorEastAsia" w:eastAsiaTheme="minorEastAsia"/>
                      <w:kern w:val="0"/>
                      <w:sz w:val="20"/>
                      <w:szCs w:val="24"/>
                    </w:rPr>
                    <w:t>项</w:t>
                  </w:r>
                </w:p>
              </w:tc>
            </w:tr>
          </w:tbl>
          <w:p>
            <w:pPr>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4</w:t>
            </w:r>
          </w:p>
        </w:tc>
        <w:tc>
          <w:tcPr>
            <w:tcW w:w="151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jc w:val="center"/>
              <w:rPr>
                <w:rFonts w:ascii="宋体" w:hAnsi="宋体"/>
                <w:b/>
              </w:rPr>
            </w:pPr>
            <w:r>
              <w:rPr>
                <w:rFonts w:hint="eastAsia" w:ascii="宋体" w:hAnsi="宋体"/>
                <w:b/>
              </w:rPr>
              <w:t>本项目预算</w:t>
            </w:r>
          </w:p>
        </w:tc>
        <w:tc>
          <w:tcPr>
            <w:tcW w:w="7596"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jc w:val="left"/>
              <w:rPr>
                <w:rFonts w:ascii="宋体"/>
                <w:szCs w:val="21"/>
              </w:rPr>
            </w:pPr>
            <w:r>
              <w:rPr>
                <w:rFonts w:hint="eastAsia" w:ascii="宋体" w:hAnsi="宋体"/>
                <w:b/>
                <w:szCs w:val="21"/>
              </w:rPr>
              <w:t>人民币壹佰壹拾伍万元整（1，150，000.00元）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5</w:t>
            </w:r>
          </w:p>
        </w:tc>
        <w:tc>
          <w:tcPr>
            <w:tcW w:w="151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jc w:val="center"/>
              <w:rPr>
                <w:rFonts w:ascii="宋体" w:hAnsi="宋体"/>
                <w:b/>
                <w:szCs w:val="21"/>
              </w:rPr>
            </w:pPr>
            <w:r>
              <w:rPr>
                <w:rFonts w:hint="eastAsia" w:ascii="宋体" w:hAnsi="宋体"/>
                <w:b/>
                <w:szCs w:val="21"/>
              </w:rPr>
              <w:t xml:space="preserve"> 服务期限</w:t>
            </w:r>
          </w:p>
        </w:tc>
        <w:tc>
          <w:tcPr>
            <w:tcW w:w="7596"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rPr>
                <w:szCs w:val="21"/>
              </w:rPr>
            </w:pPr>
            <w:r>
              <w:rPr>
                <w:rFonts w:hint="eastAsia"/>
                <w:b/>
                <w:bCs/>
              </w:rPr>
              <w:t>合同签订之日起至202</w:t>
            </w:r>
            <w:r>
              <w:rPr>
                <w:b/>
                <w:bCs/>
              </w:rPr>
              <w:t>3</w:t>
            </w:r>
            <w:r>
              <w:rPr>
                <w:rFonts w:hint="eastAsia"/>
                <w:b/>
                <w:bCs/>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6</w:t>
            </w:r>
          </w:p>
        </w:tc>
        <w:tc>
          <w:tcPr>
            <w:tcW w:w="151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jc w:val="center"/>
              <w:rPr>
                <w:rFonts w:ascii="宋体" w:hAnsi="宋体"/>
                <w:b/>
                <w:szCs w:val="21"/>
              </w:rPr>
            </w:pPr>
            <w:r>
              <w:rPr>
                <w:rFonts w:hint="eastAsia" w:ascii="宋体" w:hAnsi="宋体"/>
                <w:b/>
                <w:szCs w:val="21"/>
              </w:rPr>
              <w:t>投标有效期</w:t>
            </w:r>
          </w:p>
        </w:tc>
        <w:tc>
          <w:tcPr>
            <w:tcW w:w="7596"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rPr>
                <w:rFonts w:ascii="宋体" w:hAnsi="宋体"/>
                <w:szCs w:val="21"/>
              </w:rPr>
            </w:pPr>
            <w:r>
              <w:rPr>
                <w:rFonts w:hint="eastAsia" w:ascii="宋体" w:hAnsi="宋体"/>
                <w:szCs w:val="21"/>
                <w:u w:val="single"/>
              </w:rPr>
              <w:t xml:space="preserve"> 90 日</w:t>
            </w:r>
            <w:r>
              <w:rPr>
                <w:rFonts w:hint="eastAsia" w:ascii="宋体" w:hAnsi="宋体"/>
                <w:szCs w:val="21"/>
              </w:rPr>
              <w:t>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7</w:t>
            </w:r>
          </w:p>
        </w:tc>
        <w:tc>
          <w:tcPr>
            <w:tcW w:w="151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jc w:val="center"/>
              <w:rPr>
                <w:rFonts w:ascii="宋体" w:hAnsi="宋体"/>
                <w:b/>
                <w:szCs w:val="21"/>
              </w:rPr>
            </w:pPr>
            <w:r>
              <w:rPr>
                <w:rFonts w:hint="eastAsia" w:ascii="宋体" w:hAnsi="宋体"/>
                <w:b/>
                <w:szCs w:val="21"/>
              </w:rPr>
              <w:t>评标办法</w:t>
            </w:r>
          </w:p>
        </w:tc>
        <w:tc>
          <w:tcPr>
            <w:tcW w:w="7596"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ind w:firstLine="105" w:firstLineChars="50"/>
              <w:rPr>
                <w:rFonts w:ascii="宋体" w:hAns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8</w:t>
            </w:r>
          </w:p>
        </w:tc>
        <w:tc>
          <w:tcPr>
            <w:tcW w:w="151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jc w:val="center"/>
              <w:rPr>
                <w:rFonts w:ascii="宋体" w:hAnsi="宋体"/>
                <w:b/>
                <w:color w:val="auto"/>
                <w:szCs w:val="21"/>
              </w:rPr>
            </w:pPr>
            <w:r>
              <w:rPr>
                <w:rFonts w:hint="eastAsia" w:ascii="宋体" w:hAnsi="宋体"/>
                <w:b/>
                <w:color w:val="auto"/>
                <w:szCs w:val="21"/>
              </w:rPr>
              <w:t>签订合同</w:t>
            </w:r>
          </w:p>
        </w:tc>
        <w:tc>
          <w:tcPr>
            <w:tcW w:w="7596"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rPr>
                <w:rFonts w:ascii="宋体" w:hAnsi="宋体"/>
                <w:color w:val="auto"/>
                <w:szCs w:val="21"/>
              </w:rPr>
            </w:pPr>
            <w:r>
              <w:rPr>
                <w:rFonts w:hint="eastAsia" w:ascii="宋体" w:hAnsi="宋体"/>
                <w:color w:val="auto"/>
                <w:szCs w:val="21"/>
              </w:rPr>
              <w:t>中标通知书发出后</w:t>
            </w:r>
            <w:r>
              <w:rPr>
                <w:rFonts w:hint="eastAsia" w:ascii="宋体" w:hAnsi="宋体"/>
                <w:color w:val="auto"/>
                <w:szCs w:val="21"/>
                <w:u w:val="single"/>
              </w:rPr>
              <w:t xml:space="preserve">30 </w:t>
            </w:r>
            <w:r>
              <w:rPr>
                <w:rFonts w:hint="eastAsia" w:ascii="宋体" w:hAnsi="宋体"/>
                <w:color w:val="auto"/>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9</w:t>
            </w:r>
          </w:p>
        </w:tc>
        <w:tc>
          <w:tcPr>
            <w:tcW w:w="151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jc w:val="center"/>
              <w:rPr>
                <w:rFonts w:ascii="宋体" w:hAnsi="宋体"/>
                <w:b/>
                <w:color w:val="auto"/>
                <w:szCs w:val="21"/>
                <w:highlight w:val="none"/>
              </w:rPr>
            </w:pPr>
            <w:r>
              <w:rPr>
                <w:rFonts w:hint="eastAsia" w:ascii="宋体" w:hAnsi="宋体"/>
                <w:b/>
                <w:color w:val="auto"/>
                <w:szCs w:val="21"/>
                <w:highlight w:val="none"/>
              </w:rPr>
              <w:t>资金结算</w:t>
            </w:r>
          </w:p>
        </w:tc>
        <w:tc>
          <w:tcPr>
            <w:tcW w:w="7596"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rPr>
                <w:rFonts w:hint="eastAsia"/>
                <w:color w:val="auto"/>
                <w:highlight w:val="none"/>
              </w:rPr>
            </w:pPr>
            <w:r>
              <w:rPr>
                <w:rFonts w:hint="eastAsia"/>
                <w:color w:val="auto"/>
                <w:highlight w:val="none"/>
              </w:rPr>
              <w:t xml:space="preserve">1.合同签订后7个工作日内支付合同总价的70%，同时中标人提供预付款担保(预付款担保形式可以是银行保函、担保公司担保等)。余款2个月内付清。 </w:t>
            </w:r>
          </w:p>
          <w:p>
            <w:pPr>
              <w:spacing w:line="240" w:lineRule="exact"/>
              <w:rPr>
                <w:color w:val="auto"/>
                <w:highlight w:val="none"/>
              </w:rPr>
            </w:pPr>
            <w:r>
              <w:rPr>
                <w:rFonts w:hint="eastAsia"/>
                <w:color w:val="auto"/>
                <w:highlight w:val="none"/>
              </w:rPr>
              <w:t>2.若采购人因设备更新或其它原因而发生设备闲置、停用或报废的，须提早15天以电话或邮件等方式通知到中标单位。则每年的维护结算费用重新计算如下：</w:t>
            </w:r>
          </w:p>
          <w:p>
            <w:pPr>
              <w:spacing w:line="240" w:lineRule="exact"/>
              <w:rPr>
                <w:color w:val="auto"/>
                <w:highlight w:val="none"/>
              </w:rPr>
            </w:pPr>
            <w:r>
              <w:rPr>
                <w:rFonts w:hint="eastAsia"/>
                <w:color w:val="auto"/>
                <w:highlight w:val="none"/>
              </w:rPr>
              <w:t>a. 维护费用=每台设备月维保单价*实际已完成维保月数</w:t>
            </w:r>
          </w:p>
          <w:p>
            <w:pPr>
              <w:spacing w:line="240" w:lineRule="exact"/>
              <w:rPr>
                <w:color w:val="auto"/>
                <w:highlight w:val="none"/>
              </w:rPr>
            </w:pPr>
            <w:r>
              <w:rPr>
                <w:rFonts w:hint="eastAsia"/>
                <w:color w:val="auto"/>
                <w:highlight w:val="none"/>
              </w:rPr>
              <w:t>b. 实际已完成维保月数以通知书上的停用日期为维护服务的截止日期。</w:t>
            </w:r>
          </w:p>
          <w:p>
            <w:pPr>
              <w:spacing w:line="240" w:lineRule="exact"/>
              <w:rPr>
                <w:color w:val="auto"/>
                <w:highlight w:val="none"/>
              </w:rPr>
            </w:pPr>
            <w:r>
              <w:rPr>
                <w:rFonts w:hint="eastAsia"/>
                <w:color w:val="auto"/>
                <w:highlight w:val="none"/>
              </w:rPr>
              <w:t>c.维护天数不足15天的按半个月计算，不足30天的按一个月计算费用。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10</w:t>
            </w:r>
          </w:p>
        </w:tc>
        <w:tc>
          <w:tcPr>
            <w:tcW w:w="151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jc w:val="center"/>
              <w:rPr>
                <w:rFonts w:ascii="宋体" w:hAnsi="宋体"/>
                <w:b/>
                <w:color w:val="auto"/>
                <w:szCs w:val="21"/>
              </w:rPr>
            </w:pPr>
            <w:r>
              <w:rPr>
                <w:rFonts w:hint="eastAsia" w:ascii="宋体" w:hAnsi="宋体"/>
                <w:b/>
                <w:color w:val="auto"/>
                <w:szCs w:val="21"/>
              </w:rPr>
              <w:t>投标报价</w:t>
            </w:r>
          </w:p>
          <w:p>
            <w:pPr>
              <w:spacing w:line="240" w:lineRule="exact"/>
              <w:jc w:val="center"/>
              <w:rPr>
                <w:rFonts w:ascii="宋体" w:hAnsi="宋体"/>
                <w:b/>
                <w:color w:val="auto"/>
                <w:szCs w:val="21"/>
              </w:rPr>
            </w:pPr>
            <w:r>
              <w:rPr>
                <w:rFonts w:hint="eastAsia" w:ascii="宋体" w:hAnsi="宋体"/>
                <w:b/>
                <w:color w:val="auto"/>
                <w:szCs w:val="21"/>
              </w:rPr>
              <w:t>与费用</w:t>
            </w:r>
          </w:p>
        </w:tc>
        <w:tc>
          <w:tcPr>
            <w:tcW w:w="7596"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rPr>
                <w:rFonts w:ascii="宋体" w:hAnsi="宋体"/>
                <w:color w:val="auto"/>
                <w:szCs w:val="21"/>
              </w:rPr>
            </w:pPr>
            <w:r>
              <w:rPr>
                <w:rFonts w:hint="eastAsia" w:ascii="宋体" w:hAnsi="宋体"/>
                <w:color w:val="auto"/>
                <w:szCs w:val="21"/>
              </w:rPr>
              <w:t>1.本项目的投标应以人民币报价，投标报价应包括所有费用。</w:t>
            </w:r>
          </w:p>
          <w:p>
            <w:pPr>
              <w:spacing w:line="240" w:lineRule="exact"/>
              <w:rPr>
                <w:rFonts w:asciiTheme="minorEastAsia" w:hAnsiTheme="minorEastAsia" w:eastAsiaTheme="minorEastAsia"/>
                <w:bCs/>
                <w:color w:val="auto"/>
                <w:szCs w:val="21"/>
              </w:rPr>
            </w:pPr>
            <w:r>
              <w:rPr>
                <w:rFonts w:hint="eastAsia" w:ascii="宋体" w:hAnsi="宋体"/>
                <w:color w:val="auto"/>
                <w:szCs w:val="21"/>
              </w:rPr>
              <w:t>2.投</w:t>
            </w:r>
            <w:r>
              <w:rPr>
                <w:rFonts w:hint="eastAsia" w:asciiTheme="minorEastAsia" w:hAnsiTheme="minorEastAsia" w:eastAsiaTheme="minorEastAsia"/>
                <w:bCs/>
                <w:color w:val="auto"/>
                <w:szCs w:val="21"/>
              </w:rPr>
              <w:t>标人应承担其参加本招标活动自身所发生的费用。</w:t>
            </w:r>
          </w:p>
          <w:p>
            <w:pPr>
              <w:spacing w:line="24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3.中标供应商须缴纳招标代理费，收费标准为：人民币陆仟玖佰元整（6</w:t>
            </w:r>
            <w:r>
              <w:rPr>
                <w:rFonts w:asciiTheme="minorEastAsia" w:hAnsiTheme="minorEastAsia" w:eastAsiaTheme="minorEastAsia"/>
                <w:bCs/>
                <w:color w:val="auto"/>
                <w:szCs w:val="21"/>
              </w:rPr>
              <w:t>,</w:t>
            </w:r>
            <w:r>
              <w:rPr>
                <w:rFonts w:hint="eastAsia" w:asciiTheme="minorEastAsia" w:hAnsiTheme="minorEastAsia" w:eastAsiaTheme="minorEastAsia"/>
                <w:bCs/>
                <w:color w:val="auto"/>
                <w:szCs w:val="21"/>
              </w:rPr>
              <w:t>900.00元）。</w:t>
            </w:r>
          </w:p>
          <w:p>
            <w:pPr>
              <w:spacing w:line="240" w:lineRule="exact"/>
              <w:rPr>
                <w:rFonts w:ascii="宋体" w:hAnsi="宋体"/>
                <w:color w:val="auto"/>
                <w:szCs w:val="21"/>
              </w:rPr>
            </w:pPr>
            <w:r>
              <w:rPr>
                <w:rFonts w:hint="eastAsia" w:ascii="宋体" w:hAnsi="宋体"/>
                <w:color w:val="auto"/>
              </w:rPr>
              <w:t>4.中标通知书发出的同时，中标供应商应及时支付招标代理费，收到服务费后提供全额发票。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11</w:t>
            </w:r>
          </w:p>
        </w:tc>
        <w:tc>
          <w:tcPr>
            <w:tcW w:w="151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jc w:val="center"/>
              <w:rPr>
                <w:rFonts w:ascii="宋体" w:hAnsi="宋体"/>
                <w:b/>
                <w:szCs w:val="21"/>
              </w:rPr>
            </w:pPr>
            <w:r>
              <w:rPr>
                <w:rFonts w:hint="eastAsia" w:ascii="宋体" w:hAnsi="宋体"/>
                <w:b/>
                <w:szCs w:val="21"/>
              </w:rPr>
              <w:t>银行账号</w:t>
            </w:r>
          </w:p>
        </w:tc>
        <w:tc>
          <w:tcPr>
            <w:tcW w:w="7596"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40" w:lineRule="exact"/>
              <w:rPr>
                <w:rFonts w:ascii="宋体" w:hAnsi="宋体"/>
                <w:szCs w:val="21"/>
              </w:rPr>
            </w:pPr>
            <w:r>
              <w:rPr>
                <w:rFonts w:hint="eastAsia" w:ascii="宋体" w:hAnsi="宋体"/>
                <w:szCs w:val="21"/>
              </w:rPr>
              <w:t>收款单位：深圳市国信招标有限公司舟山分公司</w:t>
            </w:r>
          </w:p>
          <w:p>
            <w:pPr>
              <w:spacing w:line="240" w:lineRule="exact"/>
              <w:rPr>
                <w:rFonts w:ascii="宋体" w:hAnsi="宋体"/>
                <w:szCs w:val="21"/>
              </w:rPr>
            </w:pPr>
            <w:r>
              <w:rPr>
                <w:rFonts w:hint="eastAsia" w:ascii="宋体" w:hAnsi="宋体"/>
                <w:szCs w:val="21"/>
              </w:rPr>
              <w:t>开户银行：中国工商银行舟山市定海区支行，</w:t>
            </w:r>
          </w:p>
          <w:p>
            <w:pPr>
              <w:spacing w:line="240" w:lineRule="exact"/>
              <w:rPr>
                <w:rFonts w:ascii="宋体" w:hAnsi="宋体"/>
                <w:szCs w:val="21"/>
              </w:rPr>
            </w:pPr>
            <w:r>
              <w:rPr>
                <w:rFonts w:hint="eastAsia" w:ascii="宋体" w:hAnsi="宋体"/>
                <w:szCs w:val="21"/>
              </w:rPr>
              <w:t>银行账号：1206020209200081758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12</w:t>
            </w:r>
          </w:p>
        </w:tc>
        <w:tc>
          <w:tcPr>
            <w:tcW w:w="151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 xml:space="preserve"> 投标文件的</w:t>
            </w:r>
          </w:p>
          <w:p>
            <w:pPr>
              <w:snapToGrid w:val="0"/>
              <w:spacing w:line="240" w:lineRule="exact"/>
              <w:jc w:val="center"/>
              <w:rPr>
                <w:rFonts w:ascii="宋体" w:hAnsi="宋体"/>
                <w:b/>
              </w:rPr>
            </w:pPr>
            <w:r>
              <w:rPr>
                <w:rFonts w:hint="eastAsia" w:ascii="宋体" w:hAnsi="宋体"/>
                <w:b/>
              </w:rPr>
              <w:t>组成</w:t>
            </w:r>
          </w:p>
        </w:tc>
        <w:tc>
          <w:tcPr>
            <w:tcW w:w="7596"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rPr>
                <w:rFonts w:ascii="宋体" w:hAnsi="宋体"/>
                <w:szCs w:val="21"/>
              </w:rPr>
            </w:pPr>
            <w:r>
              <w:rPr>
                <w:rFonts w:hint="eastAsia" w:ascii="宋体" w:hAnsi="宋体"/>
                <w:szCs w:val="21"/>
              </w:rPr>
              <w:t>投标文件由资格响应文件、商务及技术响应文件、报价文件组成。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13</w:t>
            </w:r>
          </w:p>
        </w:tc>
        <w:tc>
          <w:tcPr>
            <w:tcW w:w="1512"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投标文件的</w:t>
            </w:r>
          </w:p>
          <w:p>
            <w:pPr>
              <w:spacing w:line="360" w:lineRule="auto"/>
              <w:ind w:firstLine="517" w:firstLineChars="245"/>
              <w:rPr>
                <w:b/>
                <w:szCs w:val="21"/>
                <w:shd w:val="pct10" w:color="auto" w:fill="FFFFFF"/>
              </w:rPr>
            </w:pPr>
            <w:r>
              <w:rPr>
                <w:rFonts w:hint="eastAsia" w:ascii="宋体" w:hAnsi="宋体"/>
                <w:b/>
              </w:rPr>
              <w:t>制作</w:t>
            </w:r>
          </w:p>
        </w:tc>
        <w:tc>
          <w:tcPr>
            <w:tcW w:w="7596"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rPr>
                <w:szCs w:val="21"/>
              </w:rPr>
            </w:pPr>
            <w:r>
              <w:rPr>
                <w:szCs w:val="21"/>
              </w:rPr>
              <w:t>本项目实行电子投标。</w:t>
            </w:r>
          </w:p>
          <w:p>
            <w:pPr>
              <w:rPr>
                <w:szCs w:val="21"/>
              </w:rPr>
            </w:pPr>
            <w:r>
              <w:rPr>
                <w:szCs w:val="21"/>
              </w:rPr>
              <w:t>投标人应准备电子投标文件、以介质存储的数据电文形式的备份投标文件、纸质备份投标文件三类：</w:t>
            </w:r>
          </w:p>
          <w:p>
            <w:pPr>
              <w:rPr>
                <w:szCs w:val="21"/>
              </w:rPr>
            </w:pPr>
            <w:r>
              <w:rPr>
                <w:szCs w:val="21"/>
              </w:rPr>
              <w:t>（1）电子投标文件，按政采云平台项目采购-电子交易操作指南及本招标文件要求递交。</w:t>
            </w:r>
          </w:p>
          <w:p>
            <w:pPr>
              <w:rPr>
                <w:szCs w:val="21"/>
              </w:rPr>
            </w:pPr>
            <w:r>
              <w:rPr>
                <w:szCs w:val="21"/>
              </w:rPr>
              <w:t>（2）以介质存储的数据电文形式的备份投标文件，按政采云平台项目采购-电子交易操作指南中上传的电子投标文件格式，以U盘形式存储提供。数量为1份。</w:t>
            </w:r>
          </w:p>
          <w:p>
            <w:pPr>
              <w:rPr>
                <w:szCs w:val="21"/>
              </w:rPr>
            </w:pPr>
            <w:r>
              <w:rPr>
                <w:szCs w:val="21"/>
              </w:rPr>
              <w:t>（3）纸质备份投标文件将以纸质文件的形式递交。数量为：正本、副本各1份。（报价文件正本一份，副本一份，单独密封）</w:t>
            </w:r>
          </w:p>
          <w:p>
            <w:pPr>
              <w:rPr>
                <w:szCs w:val="21"/>
              </w:rPr>
            </w:pPr>
            <w:r>
              <w:rPr>
                <w:szCs w:val="21"/>
              </w:rPr>
              <w:t>投标文件均由资格响应文件、商务及技术响应文件、报价文件组成。</w:t>
            </w:r>
          </w:p>
          <w:p>
            <w:pPr>
              <w:rPr>
                <w:rFonts w:ascii="宋体" w:hAnsi="宋体" w:cs="宋体"/>
                <w:sz w:val="22"/>
              </w:rPr>
            </w:pPr>
            <w:r>
              <w:rPr>
                <w:b/>
                <w:szCs w:val="21"/>
              </w:rPr>
              <w:t>投标人可以不提供备份投标文件，造成项目开评标活动无法进行下去的，投标无效，相关风险由投标人自行承担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14</w:t>
            </w:r>
          </w:p>
        </w:tc>
        <w:tc>
          <w:tcPr>
            <w:tcW w:w="151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投标文件的</w:t>
            </w:r>
          </w:p>
          <w:p>
            <w:pPr>
              <w:spacing w:line="300" w:lineRule="auto"/>
              <w:jc w:val="center"/>
              <w:rPr>
                <w:rFonts w:ascii="宋体" w:hAnsi="宋体" w:cs="宋体"/>
                <w:b/>
                <w:sz w:val="22"/>
                <w:shd w:val="pct10" w:color="auto" w:fill="FFFFFF"/>
              </w:rPr>
            </w:pPr>
            <w:r>
              <w:rPr>
                <w:rFonts w:hint="eastAsia" w:ascii="宋体" w:hAnsi="宋体"/>
                <w:b/>
              </w:rPr>
              <w:t>组成</w:t>
            </w:r>
          </w:p>
        </w:tc>
        <w:tc>
          <w:tcPr>
            <w:tcW w:w="7596"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rPr>
                <w:sz w:val="22"/>
              </w:rPr>
            </w:pPr>
            <w:r>
              <w:rPr>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rPr>
                <w:sz w:val="22"/>
              </w:rPr>
            </w:pPr>
            <w:r>
              <w:rPr>
                <w:sz w:val="22"/>
              </w:rPr>
              <w:t>投标人应当在规定时间前将以介质存储的数据电文形式的备份投标文件和纸质备份投标文件寄到或送达采购代理公司</w:t>
            </w:r>
            <w:r>
              <w:rPr>
                <w:rFonts w:hint="eastAsia"/>
                <w:sz w:val="22"/>
              </w:rPr>
              <w:t>。地址：</w:t>
            </w:r>
            <w:r>
              <w:rPr>
                <w:sz w:val="22"/>
              </w:rPr>
              <w:t>舟山市定海区昌国路232号中楼202</w:t>
            </w:r>
            <w:r>
              <w:rPr>
                <w:szCs w:val="21"/>
              </w:rPr>
              <w:t>深圳市国信招标有限公司舟山分公司</w:t>
            </w:r>
            <w:r>
              <w:rPr>
                <w:sz w:val="22"/>
              </w:rPr>
              <w:t>。逾期送达或未密封将被拒收。也可现场递交。</w:t>
            </w:r>
          </w:p>
          <w:p>
            <w:pPr>
              <w:rPr>
                <w:sz w:val="22"/>
              </w:rPr>
            </w:pPr>
            <w:r>
              <w:rPr>
                <w:sz w:val="22"/>
              </w:rPr>
              <w:t>投标人递交以介质存储的数据电文形式的备份投标文件和纸质备份投标文件时，如出现下列情况之一的，将被拒收：</w:t>
            </w:r>
          </w:p>
          <w:p>
            <w:pPr>
              <w:rPr>
                <w:sz w:val="22"/>
              </w:rPr>
            </w:pPr>
            <w:r>
              <w:rPr>
                <w:sz w:val="22"/>
              </w:rPr>
              <w:t>1</w:t>
            </w:r>
            <w:r>
              <w:rPr>
                <w:rFonts w:hint="eastAsia"/>
                <w:sz w:val="22"/>
              </w:rPr>
              <w:t>.</w:t>
            </w:r>
            <w:r>
              <w:rPr>
                <w:sz w:val="22"/>
              </w:rPr>
              <w:t>未按规定密封或标记的投标文件；</w:t>
            </w:r>
          </w:p>
          <w:p>
            <w:pPr>
              <w:rPr>
                <w:sz w:val="22"/>
              </w:rPr>
            </w:pPr>
            <w:r>
              <w:rPr>
                <w:sz w:val="22"/>
              </w:rPr>
              <w:t>2</w:t>
            </w:r>
            <w:r>
              <w:rPr>
                <w:rFonts w:hint="eastAsia"/>
                <w:sz w:val="22"/>
              </w:rPr>
              <w:t>.</w:t>
            </w:r>
            <w:r>
              <w:rPr>
                <w:sz w:val="22"/>
              </w:rPr>
              <w:t>由于包装不妥，在送交途中严重破损或失散的；</w:t>
            </w:r>
          </w:p>
          <w:p>
            <w:pPr>
              <w:rPr>
                <w:sz w:val="22"/>
              </w:rPr>
            </w:pPr>
            <w:r>
              <w:rPr>
                <w:sz w:val="22"/>
              </w:rPr>
              <w:t>3</w:t>
            </w:r>
            <w:r>
              <w:rPr>
                <w:rFonts w:hint="eastAsia"/>
                <w:sz w:val="22"/>
              </w:rPr>
              <w:t>.</w:t>
            </w:r>
            <w:r>
              <w:rPr>
                <w:sz w:val="22"/>
              </w:rPr>
              <w:t>未成功办理投标人报名手续的；</w:t>
            </w:r>
          </w:p>
          <w:p>
            <w:pPr>
              <w:rPr>
                <w:sz w:val="22"/>
              </w:rPr>
            </w:pPr>
            <w:r>
              <w:rPr>
                <w:sz w:val="22"/>
              </w:rPr>
              <w:t>4</w:t>
            </w:r>
            <w:r>
              <w:rPr>
                <w:rFonts w:hint="eastAsia"/>
                <w:sz w:val="22"/>
              </w:rPr>
              <w:t>.</w:t>
            </w:r>
            <w:r>
              <w:rPr>
                <w:sz w:val="22"/>
              </w:rPr>
              <w:t>超过截止时间送达的；</w:t>
            </w:r>
          </w:p>
          <w:p>
            <w:pPr>
              <w:rPr>
                <w:sz w:val="22"/>
              </w:rPr>
            </w:pPr>
            <w:r>
              <w:rPr>
                <w:sz w:val="22"/>
              </w:rPr>
              <w:t>仅提供备份投标文件的，投标无效。</w:t>
            </w:r>
          </w:p>
          <w:p>
            <w:pPr>
              <w:rPr>
                <w:rFonts w:ascii="宋体" w:hAnsi="宋体" w:cs="宋体"/>
                <w:sz w:val="22"/>
              </w:rPr>
            </w:pPr>
            <w:r>
              <w:rPr>
                <w:sz w:val="22"/>
              </w:rPr>
              <w:t>仅提供其中一种形式的备份投标文件，造成项目开评标活动无法进行下去的，投标无效，相关风险由投标人自行承担。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jc w:val="center"/>
              <w:rPr>
                <w:rFonts w:ascii="宋体" w:hAnsi="宋体"/>
                <w:b/>
              </w:rPr>
            </w:pPr>
            <w:r>
              <w:rPr>
                <w:rFonts w:hint="eastAsia" w:ascii="宋体" w:hAnsi="宋体"/>
                <w:b/>
              </w:rPr>
              <w:t>15</w:t>
            </w:r>
          </w:p>
        </w:tc>
        <w:tc>
          <w:tcPr>
            <w:tcW w:w="151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jc w:val="center"/>
              <w:rPr>
                <w:rFonts w:ascii="宋体" w:hAnsi="宋体"/>
                <w:b/>
                <w:szCs w:val="21"/>
              </w:rPr>
            </w:pPr>
            <w:r>
              <w:rPr>
                <w:rFonts w:hint="eastAsia" w:ascii="宋体" w:hAnsi="宋体"/>
                <w:b/>
                <w:szCs w:val="21"/>
              </w:rPr>
              <w:t>投标人</w:t>
            </w:r>
            <w:r>
              <w:rPr>
                <w:rFonts w:ascii="宋体" w:hAnsi="宋体"/>
                <w:b/>
                <w:szCs w:val="21"/>
              </w:rPr>
              <w:t>注册</w:t>
            </w:r>
          </w:p>
        </w:tc>
        <w:tc>
          <w:tcPr>
            <w:tcW w:w="7596"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beforeLines="10"/>
              <w:jc w:val="left"/>
              <w:rPr>
                <w:bCs/>
                <w:snapToGrid w:val="0"/>
                <w:kern w:val="0"/>
              </w:rPr>
            </w:pPr>
            <w:r>
              <w:rPr>
                <w:bCs/>
                <w:snapToGrid w:val="0"/>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pPr>
              <w:spacing w:beforeLines="10"/>
              <w:jc w:val="left"/>
              <w:rPr>
                <w:rFonts w:ascii="宋体" w:hAnsi="宋体"/>
                <w:szCs w:val="21"/>
              </w:rPr>
            </w:pPr>
            <w:r>
              <w:rPr>
                <w:bCs/>
                <w:snapToGrid w:val="0"/>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16</w:t>
            </w:r>
          </w:p>
        </w:tc>
        <w:tc>
          <w:tcPr>
            <w:tcW w:w="151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jc w:val="center"/>
              <w:rPr>
                <w:rFonts w:ascii="宋体" w:hAnsi="宋体"/>
                <w:b/>
                <w:szCs w:val="21"/>
              </w:rPr>
            </w:pPr>
            <w:r>
              <w:rPr>
                <w:rFonts w:ascii="宋体" w:hAnsi="宋体"/>
                <w:b/>
                <w:szCs w:val="21"/>
              </w:rPr>
              <w:t>不良信用记录查询</w:t>
            </w:r>
          </w:p>
        </w:tc>
        <w:tc>
          <w:tcPr>
            <w:tcW w:w="7596"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rPr>
                <w:szCs w:val="21"/>
              </w:rPr>
            </w:pPr>
            <w:r>
              <w:rPr>
                <w:szCs w:val="21"/>
              </w:rPr>
              <w:t>根据财库[2016]125号文件：</w:t>
            </w:r>
          </w:p>
          <w:p>
            <w:pPr>
              <w:rPr>
                <w:szCs w:val="21"/>
              </w:rPr>
            </w:pPr>
            <w:r>
              <w:rPr>
                <w:szCs w:val="21"/>
              </w:rPr>
              <w:t>1</w:t>
            </w:r>
            <w:r>
              <w:rPr>
                <w:rFonts w:hint="eastAsia"/>
                <w:szCs w:val="21"/>
              </w:rPr>
              <w:t>.</w:t>
            </w:r>
            <w:r>
              <w:rPr>
                <w:szCs w:val="21"/>
              </w:rPr>
              <w:t>至本项目投标截止前未被列入“信用中国”网站(www.creditchina.gov.cn)“记录失信被执行人或重大税收违法案件当事人名单”记录名单。</w:t>
            </w:r>
          </w:p>
          <w:p>
            <w:pPr>
              <w:rPr>
                <w:szCs w:val="21"/>
              </w:rPr>
            </w:pPr>
            <w:r>
              <w:rPr>
                <w:szCs w:val="21"/>
              </w:rPr>
              <w:t>2</w:t>
            </w:r>
            <w:r>
              <w:rPr>
                <w:rFonts w:hint="eastAsia"/>
                <w:szCs w:val="21"/>
              </w:rPr>
              <w:t>.</w:t>
            </w:r>
            <w:r>
              <w:rPr>
                <w:szCs w:val="21"/>
              </w:rPr>
              <w:t>至本项目投标截止前不处于中国政府采购网(www.ccgp.gov.cn)“政府采购严重违法失信行为信息记录”中的禁止参加政府采购活动期间。</w:t>
            </w:r>
          </w:p>
          <w:p>
            <w:pPr>
              <w:rPr>
                <w:rFonts w:ascii="宋体" w:hAnsi="宋体"/>
              </w:rPr>
            </w:pPr>
            <w:r>
              <w:rPr>
                <w:szCs w:val="21"/>
              </w:rPr>
              <w:t>提供</w:t>
            </w:r>
            <w:r>
              <w:rPr>
                <w:b/>
              </w:rPr>
              <w:t>查询截图，（截图查询网站时间须在开标截止前二个星期内）。</w:t>
            </w:r>
            <w:r>
              <w:rPr>
                <w:szCs w:val="21"/>
              </w:rPr>
              <w:t>对列入失信被执行人、重大税收违法案件当事人名单、政府采购严重违法失信行为记录名单的供应商，</w:t>
            </w:r>
            <w:r>
              <w:rPr>
                <w:b/>
                <w:szCs w:val="21"/>
              </w:rPr>
              <w:t>其投标将作无效标处理</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napToGrid w:val="0"/>
              <w:spacing w:line="240" w:lineRule="exact"/>
              <w:jc w:val="center"/>
              <w:rPr>
                <w:rFonts w:ascii="宋体" w:hAnsi="宋体"/>
                <w:b/>
              </w:rPr>
            </w:pPr>
            <w:r>
              <w:rPr>
                <w:rFonts w:hint="eastAsia" w:ascii="宋体" w:hAnsi="宋体"/>
                <w:b/>
              </w:rPr>
              <w:t>17</w:t>
            </w:r>
          </w:p>
        </w:tc>
        <w:tc>
          <w:tcPr>
            <w:tcW w:w="151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jc w:val="center"/>
              <w:rPr>
                <w:rFonts w:ascii="宋体" w:hAnsi="宋体"/>
                <w:b/>
                <w:szCs w:val="21"/>
              </w:rPr>
            </w:pPr>
            <w:r>
              <w:rPr>
                <w:rFonts w:hint="eastAsia" w:ascii="宋体" w:hAnsi="宋体"/>
                <w:b/>
                <w:szCs w:val="21"/>
              </w:rPr>
              <w:t>中小企业有关政策</w:t>
            </w:r>
          </w:p>
        </w:tc>
        <w:tc>
          <w:tcPr>
            <w:tcW w:w="7596"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rPr>
                <w:rFonts w:ascii="宋体" w:hAnsi="宋体" w:cs="宋体"/>
                <w:szCs w:val="21"/>
              </w:rPr>
            </w:pPr>
            <w:r>
              <w:rPr>
                <w:rFonts w:hint="eastAsia" w:ascii="宋体" w:hAnsi="宋体" w:cs="宋体"/>
                <w:szCs w:val="21"/>
              </w:rPr>
              <w:t>（1）根据财政部财库〔2022〕19号《关于进一步加大政府采购支持中小企业力度的通知》、《浙江省财政厅关于进一步加大政府采购支持中小企业力度 助力扎实稳住经济的通知》（浙财采监[2022]8号）规定，对小型和微型企业的价格给予20%的扣除。对于联合协议或者分包意向协议约定小微企业的合同份额占到合同总金额30%以上的，给予6%的扣除。属于小型和微型企业的，投标文件中投标人必须提供《中小企业声明函》。本项目对应的中小企业划分标准所属行业：</w:t>
            </w:r>
            <w:r>
              <w:rPr>
                <w:rFonts w:hint="eastAsia" w:ascii="宋体" w:hAnsi="宋体" w:cs="宋体"/>
                <w:b/>
                <w:szCs w:val="21"/>
              </w:rPr>
              <w:t>其他未列明行业</w:t>
            </w:r>
            <w:r>
              <w:rPr>
                <w:rFonts w:hint="eastAsia" w:ascii="宋体" w:hAnsi="宋体" w:cs="宋体"/>
                <w:szCs w:val="21"/>
              </w:rPr>
              <w:t>。</w:t>
            </w:r>
          </w:p>
          <w:p>
            <w:pPr>
              <w:rPr>
                <w:rFonts w:ascii="宋体" w:hAnsi="宋体" w:cs="宋体"/>
                <w:szCs w:val="21"/>
              </w:rPr>
            </w:pPr>
            <w:r>
              <w:rPr>
                <w:rFonts w:hint="eastAsia" w:ascii="宋体" w:hAnsi="宋体" w:cs="宋体"/>
                <w:szCs w:val="21"/>
              </w:rPr>
              <w:t>未提供完整证明材料的，投标报价不予扣减。</w:t>
            </w:r>
          </w:p>
          <w:p>
            <w:pPr>
              <w:rPr>
                <w:rFonts w:ascii="宋体" w:hAnsi="宋体" w:cs="宋体"/>
                <w:szCs w:val="21"/>
              </w:rPr>
            </w:pPr>
            <w:r>
              <w:rPr>
                <w:rFonts w:hint="eastAsia" w:ascii="宋体" w:hAnsi="宋体" w:cs="宋体"/>
                <w:szCs w:val="21"/>
              </w:rPr>
              <w:t>（2）根据《关于政府采购支持监狱企业发展有关问题的通知》（财库[2014]68号）的规定，供应商如为监狱企业且所投产品为小型或微型企业生产的，其投标报价扣除20%后参与评审。</w:t>
            </w:r>
          </w:p>
          <w:p>
            <w:pPr>
              <w:rPr>
                <w:rFonts w:ascii="宋体" w:hAnsi="宋体" w:cs="宋体"/>
                <w:szCs w:val="21"/>
              </w:rPr>
            </w:pPr>
            <w:r>
              <w:rPr>
                <w:rFonts w:hint="eastAsia" w:ascii="宋体" w:hAnsi="宋体" w:cs="宋体"/>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pPr>
              <w:rPr>
                <w:rFonts w:ascii="宋体" w:hAnsi="宋体" w:cs="宋体"/>
                <w:szCs w:val="21"/>
              </w:rPr>
            </w:pPr>
            <w:r>
              <w:rPr>
                <w:rFonts w:hint="eastAsia" w:ascii="宋体" w:hAnsi="宋体" w:cs="宋体"/>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rPr>
                <w:rFonts w:ascii="宋体" w:hAnsi="宋体" w:cs="宋体"/>
                <w:szCs w:val="21"/>
              </w:rPr>
            </w:pPr>
            <w:r>
              <w:rPr>
                <w:rFonts w:hint="eastAsia" w:ascii="宋体" w:hAnsi="宋体" w:cs="宋体"/>
                <w:szCs w:val="21"/>
              </w:rPr>
              <w:t>投标文件中须提供：《残疾人福利性单位声明函》，未提供完整证明材料的，投标报价不予扣减。</w:t>
            </w:r>
          </w:p>
          <w:p>
            <w:pPr>
              <w:rPr>
                <w:rFonts w:ascii="宋体" w:hAnsi="宋体" w:cs="宋体"/>
                <w:szCs w:val="21"/>
              </w:rPr>
            </w:pPr>
            <w:r>
              <w:rPr>
                <w:rFonts w:hint="eastAsia" w:ascii="宋体" w:hAnsi="宋体" w:cs="宋体"/>
                <w:szCs w:val="21"/>
              </w:rPr>
              <w:t>上述1，2，3政策不重复计算。</w:t>
            </w:r>
          </w:p>
          <w:p>
            <w:pPr>
              <w:pStyle w:val="43"/>
              <w:rPr>
                <w:b/>
                <w:sz w:val="21"/>
                <w:szCs w:val="21"/>
              </w:rPr>
            </w:pPr>
            <w:r>
              <w:rPr>
                <w:rFonts w:hint="eastAsia" w:ascii="宋体" w:hAnsi="宋体" w:cs="宋体"/>
                <w:sz w:val="21"/>
                <w:szCs w:val="21"/>
              </w:rPr>
              <w:t>此项由评标委员会集体核实后统一打分。</w:t>
            </w:r>
          </w:p>
        </w:tc>
      </w:tr>
    </w:tbl>
    <w:p>
      <w:pPr>
        <w:snapToGrid w:val="0"/>
        <w:spacing w:before="120" w:line="312" w:lineRule="auto"/>
        <w:rPr>
          <w:b/>
          <w:sz w:val="28"/>
        </w:rPr>
      </w:pPr>
    </w:p>
    <w:p>
      <w:pPr>
        <w:snapToGrid w:val="0"/>
        <w:spacing w:before="120" w:line="312" w:lineRule="auto"/>
        <w:jc w:val="center"/>
        <w:rPr>
          <w:b/>
          <w:sz w:val="28"/>
        </w:rPr>
      </w:pPr>
      <w:r>
        <w:rPr>
          <w:rFonts w:hint="eastAsia"/>
          <w:b/>
          <w:sz w:val="28"/>
        </w:rPr>
        <w:t>一、总则</w:t>
      </w:r>
    </w:p>
    <w:p>
      <w:pPr>
        <w:snapToGrid w:val="0"/>
        <w:spacing w:before="120" w:line="360" w:lineRule="auto"/>
        <w:ind w:right="55" w:rightChars="26"/>
        <w:rPr>
          <w:b/>
          <w:sz w:val="28"/>
        </w:rPr>
      </w:pPr>
      <w:r>
        <w:rPr>
          <w:b/>
        </w:rPr>
        <w:t>（一）适用范围</w:t>
      </w:r>
    </w:p>
    <w:p>
      <w:pPr>
        <w:snapToGrid w:val="0"/>
        <w:spacing w:line="360" w:lineRule="auto"/>
        <w:ind w:right="55" w:rightChars="26" w:firstLine="420" w:firstLineChars="200"/>
        <w:jc w:val="left"/>
      </w:pPr>
      <w:r>
        <w:t>本招标文件适用于</w:t>
      </w:r>
      <w:r>
        <w:rPr>
          <w:rFonts w:hint="eastAsia"/>
          <w:bCs/>
        </w:rPr>
        <w:t>舟山市食品药品检验检测研究院实验室仪器设备维保综合服务项目</w:t>
      </w:r>
      <w:r>
        <w:t>的招标、投标、评标、定标、验收、合同履约、付款等行为（法律、法规另有规定的，从其规定）。</w:t>
      </w:r>
    </w:p>
    <w:p>
      <w:pPr>
        <w:snapToGrid w:val="0"/>
        <w:spacing w:line="360" w:lineRule="auto"/>
        <w:ind w:right="55" w:rightChars="26"/>
        <w:jc w:val="left"/>
        <w:outlineLvl w:val="1"/>
        <w:rPr>
          <w:b/>
          <w:sz w:val="24"/>
        </w:rPr>
      </w:pPr>
      <w:r>
        <w:rPr>
          <w:b/>
          <w:sz w:val="24"/>
        </w:rPr>
        <w:t>（二）定义</w:t>
      </w:r>
    </w:p>
    <w:p>
      <w:pPr>
        <w:snapToGrid w:val="0"/>
        <w:spacing w:line="360" w:lineRule="auto"/>
        <w:ind w:right="55" w:rightChars="26" w:firstLine="420" w:firstLineChars="200"/>
        <w:jc w:val="left"/>
      </w:pPr>
      <w:r>
        <w:t>1</w:t>
      </w:r>
      <w:r>
        <w:rPr>
          <w:rFonts w:hint="eastAsia"/>
        </w:rPr>
        <w:t>.“</w:t>
      </w:r>
      <w:r>
        <w:t>采购人</w:t>
      </w:r>
      <w:r>
        <w:rPr>
          <w:rFonts w:hint="eastAsia"/>
        </w:rPr>
        <w:t>”</w:t>
      </w:r>
      <w:r>
        <w:t>系指</w:t>
      </w:r>
      <w:r>
        <w:rPr>
          <w:rFonts w:hint="eastAsia"/>
          <w:bCs/>
        </w:rPr>
        <w:t>舟山市食品药品检验检测研究院</w:t>
      </w:r>
      <w:r>
        <w:t>。</w:t>
      </w:r>
    </w:p>
    <w:p>
      <w:pPr>
        <w:pStyle w:val="2"/>
        <w:ind w:firstLine="210"/>
      </w:pPr>
      <w:r>
        <w:rPr>
          <w:rFonts w:hint="eastAsia"/>
        </w:rPr>
        <w:t xml:space="preserve">  2. “采购代理机构”系指</w:t>
      </w:r>
      <w:r>
        <w:t>组织本次招标的深圳</w:t>
      </w:r>
      <w:r>
        <w:rPr>
          <w:rFonts w:hint="eastAsia"/>
        </w:rPr>
        <w:t>市</w:t>
      </w:r>
      <w:r>
        <w:t>国信招标有限公司</w:t>
      </w:r>
      <w:r>
        <w:rPr>
          <w:rFonts w:hint="eastAsia"/>
        </w:rPr>
        <w:t>。</w:t>
      </w:r>
    </w:p>
    <w:p>
      <w:pPr>
        <w:snapToGrid w:val="0"/>
        <w:spacing w:line="360" w:lineRule="auto"/>
        <w:ind w:right="55" w:rightChars="26" w:firstLine="420" w:firstLineChars="200"/>
        <w:jc w:val="left"/>
      </w:pPr>
      <w:r>
        <w:rPr>
          <w:rFonts w:hint="eastAsia"/>
        </w:rPr>
        <w:t>3.“</w:t>
      </w:r>
      <w:r>
        <w:t>投标人</w:t>
      </w:r>
      <w:r>
        <w:rPr>
          <w:rFonts w:hint="eastAsia"/>
        </w:rPr>
        <w:t>”</w:t>
      </w:r>
      <w:r>
        <w:t>系指向采购人提交投标文件的单位或个人。</w:t>
      </w:r>
    </w:p>
    <w:p>
      <w:pPr>
        <w:snapToGrid w:val="0"/>
        <w:spacing w:line="360" w:lineRule="auto"/>
        <w:ind w:right="-506" w:rightChars="-241" w:firstLine="420" w:firstLineChars="200"/>
        <w:jc w:val="left"/>
      </w:pPr>
      <w:r>
        <w:rPr>
          <w:rFonts w:hint="eastAsia"/>
        </w:rPr>
        <w:t>4.“</w:t>
      </w:r>
      <w:r>
        <w:t>产品</w:t>
      </w:r>
      <w:r>
        <w:rPr>
          <w:rFonts w:hint="eastAsia"/>
        </w:rPr>
        <w:t>”</w:t>
      </w:r>
      <w:r>
        <w:t>系指</w:t>
      </w:r>
      <w:r>
        <w:rPr>
          <w:rFonts w:hint="eastAsia"/>
        </w:rPr>
        <w:t>投标人</w:t>
      </w:r>
      <w:r>
        <w:t>按招标文件规定，须向采购人提供的一切设备、保险、税金、备品备件、工具、手册及其它有关技术资料和材料。</w:t>
      </w:r>
    </w:p>
    <w:p>
      <w:pPr>
        <w:snapToGrid w:val="0"/>
        <w:spacing w:line="360" w:lineRule="auto"/>
        <w:ind w:right="-506" w:rightChars="-241" w:firstLine="420" w:firstLineChars="200"/>
        <w:jc w:val="left"/>
      </w:pPr>
      <w:r>
        <w:rPr>
          <w:rFonts w:hint="eastAsia"/>
        </w:rPr>
        <w:t>5.“</w:t>
      </w:r>
      <w:r>
        <w:t>服务</w:t>
      </w:r>
      <w:r>
        <w:rPr>
          <w:rFonts w:hint="eastAsia"/>
        </w:rPr>
        <w:t>”</w:t>
      </w:r>
      <w:r>
        <w:t>系指招标文件规定投标人须承担的安装、调试、技术协助、校准、培训、技术指导以及其他类似的义务。</w:t>
      </w:r>
    </w:p>
    <w:p>
      <w:pPr>
        <w:snapToGrid w:val="0"/>
        <w:spacing w:line="360" w:lineRule="auto"/>
        <w:ind w:firstLine="420" w:firstLineChars="200"/>
        <w:jc w:val="left"/>
      </w:pPr>
      <w:r>
        <w:rPr>
          <w:rFonts w:hint="eastAsia"/>
        </w:rPr>
        <w:t>6.“</w:t>
      </w:r>
      <w:r>
        <w:t>项目</w:t>
      </w:r>
      <w:r>
        <w:rPr>
          <w:rFonts w:hint="eastAsia"/>
        </w:rPr>
        <w:t>”</w:t>
      </w:r>
      <w:r>
        <w:t>系指投标人按招标文件规定向采购人提供的产品和服务。</w:t>
      </w:r>
    </w:p>
    <w:p>
      <w:pPr>
        <w:snapToGrid w:val="0"/>
        <w:spacing w:line="360" w:lineRule="auto"/>
        <w:ind w:firstLine="420" w:firstLineChars="200"/>
        <w:jc w:val="left"/>
      </w:pPr>
      <w:r>
        <w:rPr>
          <w:rFonts w:hint="eastAsia"/>
        </w:rPr>
        <w:t>7.“</w:t>
      </w:r>
      <w:r>
        <w:t>书面形式</w:t>
      </w:r>
      <w:r>
        <w:rPr>
          <w:rFonts w:hint="eastAsia"/>
        </w:rPr>
        <w:t>”</w:t>
      </w:r>
      <w:r>
        <w:t>包括信函、传真、电报、电子文档等。</w:t>
      </w:r>
    </w:p>
    <w:p>
      <w:pPr>
        <w:snapToGrid w:val="0"/>
        <w:spacing w:line="360" w:lineRule="auto"/>
        <w:ind w:firstLine="420" w:firstLineChars="200"/>
        <w:jc w:val="left"/>
      </w:pPr>
      <w:r>
        <w:rPr>
          <w:rFonts w:hint="eastAsia"/>
        </w:rPr>
        <w:t xml:space="preserve">8. </w:t>
      </w:r>
      <w:r>
        <w:t>本招标文件要求中，凡标有</w:t>
      </w:r>
      <w:r>
        <w:rPr>
          <w:rFonts w:hint="eastAsia"/>
        </w:rPr>
        <w:t>“★”</w:t>
      </w:r>
      <w:r>
        <w:t>的地方（如有）均被视为重要的技术指标要求或性能要求。投标人要特别加以注意，必须对此回答并完全满足这些要求。否则</w:t>
      </w:r>
      <w:r>
        <w:rPr>
          <w:rFonts w:hint="eastAsia"/>
        </w:rPr>
        <w:t>如有</w:t>
      </w:r>
      <w:r>
        <w:t>一项</w:t>
      </w:r>
      <w:r>
        <w:rPr>
          <w:rFonts w:hint="eastAsia"/>
        </w:rPr>
        <w:t>“★”</w:t>
      </w:r>
      <w:r>
        <w:t>的指标未响应或不满足，将按投标无效处理。</w:t>
      </w:r>
    </w:p>
    <w:p>
      <w:pPr>
        <w:snapToGrid w:val="0"/>
        <w:spacing w:line="312" w:lineRule="auto"/>
        <w:jc w:val="left"/>
        <w:outlineLvl w:val="1"/>
        <w:rPr>
          <w:b/>
          <w:sz w:val="24"/>
        </w:rPr>
      </w:pPr>
      <w:r>
        <w:rPr>
          <w:b/>
          <w:sz w:val="24"/>
        </w:rPr>
        <w:t>（三）招标方式</w:t>
      </w:r>
    </w:p>
    <w:p>
      <w:pPr>
        <w:snapToGrid w:val="0"/>
        <w:spacing w:line="312" w:lineRule="auto"/>
        <w:ind w:firstLine="420" w:firstLineChars="200"/>
        <w:jc w:val="left"/>
      </w:pPr>
      <w:r>
        <w:t>本次招标采用公开招标方式进行。</w:t>
      </w:r>
    </w:p>
    <w:p>
      <w:pPr>
        <w:snapToGrid w:val="0"/>
        <w:spacing w:line="312" w:lineRule="auto"/>
        <w:ind w:right="55" w:rightChars="26"/>
        <w:jc w:val="left"/>
        <w:outlineLvl w:val="1"/>
        <w:rPr>
          <w:b/>
          <w:sz w:val="24"/>
        </w:rPr>
      </w:pPr>
      <w:r>
        <w:rPr>
          <w:b/>
          <w:sz w:val="24"/>
        </w:rPr>
        <w:t>（四）投标费用</w:t>
      </w:r>
    </w:p>
    <w:p>
      <w:pPr>
        <w:snapToGrid w:val="0"/>
        <w:spacing w:line="312" w:lineRule="auto"/>
        <w:ind w:right="55" w:rightChars="26" w:firstLine="420" w:firstLineChars="200"/>
        <w:jc w:val="left"/>
      </w:pPr>
      <w:r>
        <w:t>不论投标结果如何，投标人均应自行承担所有与投标有关的全部费用（招标文件另有规定除外）。</w:t>
      </w:r>
    </w:p>
    <w:p>
      <w:pPr>
        <w:snapToGrid w:val="0"/>
        <w:spacing w:line="312" w:lineRule="auto"/>
        <w:ind w:right="55" w:rightChars="26"/>
        <w:rPr>
          <w:b/>
          <w:sz w:val="24"/>
        </w:rPr>
      </w:pPr>
      <w:r>
        <w:rPr>
          <w:b/>
          <w:sz w:val="24"/>
        </w:rPr>
        <w:t>（</w:t>
      </w:r>
      <w:r>
        <w:rPr>
          <w:rFonts w:hint="eastAsia"/>
          <w:b/>
          <w:sz w:val="24"/>
        </w:rPr>
        <w:t>五</w:t>
      </w:r>
      <w:r>
        <w:rPr>
          <w:b/>
          <w:sz w:val="24"/>
        </w:rPr>
        <w:t>）转包</w:t>
      </w:r>
    </w:p>
    <w:p>
      <w:pPr>
        <w:snapToGrid w:val="0"/>
        <w:spacing w:line="312" w:lineRule="auto"/>
        <w:ind w:right="55" w:rightChars="26" w:firstLine="420" w:firstLineChars="200"/>
      </w:pPr>
      <w:r>
        <w:t>本项目不允许转包。</w:t>
      </w:r>
    </w:p>
    <w:p>
      <w:pPr>
        <w:pStyle w:val="17"/>
        <w:snapToGrid w:val="0"/>
        <w:spacing w:line="360" w:lineRule="auto"/>
        <w:ind w:right="55" w:rightChars="26" w:firstLine="0"/>
        <w:rPr>
          <w:rFonts w:ascii="Times New Roman" w:hAnsi="Times New Roman"/>
          <w:b/>
          <w:sz w:val="24"/>
          <w:szCs w:val="24"/>
        </w:rPr>
      </w:pPr>
      <w:r>
        <w:rPr>
          <w:rFonts w:ascii="Times New Roman" w:hAnsi="Times New Roman"/>
          <w:b/>
          <w:sz w:val="24"/>
          <w:szCs w:val="24"/>
        </w:rPr>
        <w:t>（</w:t>
      </w:r>
      <w:r>
        <w:rPr>
          <w:rFonts w:hint="eastAsia" w:ascii="Times New Roman" w:hAnsi="Times New Roman"/>
          <w:b/>
          <w:sz w:val="24"/>
          <w:szCs w:val="24"/>
        </w:rPr>
        <w:t>六</w:t>
      </w:r>
      <w:r>
        <w:rPr>
          <w:rFonts w:ascii="Times New Roman" w:hAnsi="Times New Roman"/>
          <w:b/>
          <w:sz w:val="24"/>
          <w:szCs w:val="24"/>
        </w:rPr>
        <w:t>）特别说明：</w:t>
      </w:r>
    </w:p>
    <w:p>
      <w:pPr>
        <w:snapToGrid w:val="0"/>
        <w:spacing w:line="360" w:lineRule="auto"/>
        <w:ind w:firstLine="420" w:firstLineChars="200"/>
        <w:jc w:val="left"/>
        <w:rPr>
          <w:bCs/>
        </w:rPr>
      </w:pPr>
      <w:r>
        <w:rPr>
          <w:bCs/>
        </w:rPr>
        <w:t>1</w:t>
      </w:r>
      <w:r>
        <w:rPr>
          <w:rFonts w:hint="eastAsia"/>
          <w:bCs/>
        </w:rPr>
        <w:t>. 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snapToGrid w:val="0"/>
        <w:spacing w:line="360" w:lineRule="auto"/>
        <w:ind w:firstLine="420" w:firstLineChars="200"/>
        <w:jc w:val="left"/>
        <w:rPr>
          <w:bCs/>
        </w:rPr>
      </w:pPr>
      <w:r>
        <w:rPr>
          <w:bCs/>
        </w:rPr>
        <w:t>2</w:t>
      </w:r>
      <w:r>
        <w:rPr>
          <w:rFonts w:hint="eastAsia"/>
          <w:bCs/>
        </w:rPr>
        <w:t xml:space="preserve">. </w:t>
      </w:r>
      <w:r>
        <w:rPr>
          <w:bCs/>
        </w:rPr>
        <w:t>投标人投标所使用的资格、信誉、荣誉、业绩与企业认证必须为本法人所拥有。投标人投标所使用的采购项目实施人员必须为本法人员工。</w:t>
      </w:r>
    </w:p>
    <w:p>
      <w:pPr>
        <w:pStyle w:val="17"/>
        <w:snapToGrid w:val="0"/>
        <w:spacing w:line="360" w:lineRule="auto"/>
        <w:ind w:right="-86" w:rightChars="-41" w:firstLine="404" w:firstLineChars="200"/>
        <w:rPr>
          <w:rFonts w:ascii="Times New Roman" w:hAnsi="Times New Roman"/>
          <w:bCs/>
          <w:sz w:val="21"/>
        </w:rPr>
      </w:pPr>
      <w:r>
        <w:rPr>
          <w:rFonts w:ascii="Times New Roman" w:hAnsi="Times New Roman"/>
          <w:bCs/>
          <w:sz w:val="21"/>
        </w:rPr>
        <w:t>3</w:t>
      </w:r>
      <w:r>
        <w:rPr>
          <w:rFonts w:hint="eastAsia" w:ascii="Times New Roman" w:hAnsi="Times New Roman"/>
          <w:bCs/>
          <w:sz w:val="21"/>
        </w:rPr>
        <w:t xml:space="preserve">. </w:t>
      </w:r>
      <w:r>
        <w:rPr>
          <w:rFonts w:ascii="Times New Roman" w:hAnsi="Times New Roman"/>
          <w:bCs/>
          <w:sz w:val="21"/>
        </w:rPr>
        <w:t>投标人应仔细阅读招标文件的所有内容，按照招标文件的要求提交投标文件，并对所提供的全部资料的真实性承担法律责任。</w:t>
      </w:r>
    </w:p>
    <w:p>
      <w:pPr>
        <w:snapToGrid w:val="0"/>
        <w:spacing w:before="120" w:line="360" w:lineRule="auto"/>
        <w:outlineLvl w:val="1"/>
        <w:rPr>
          <w:b/>
          <w:sz w:val="24"/>
          <w:szCs w:val="24"/>
        </w:rPr>
      </w:pPr>
      <w:r>
        <w:rPr>
          <w:b/>
          <w:sz w:val="24"/>
          <w:szCs w:val="24"/>
        </w:rPr>
        <w:t>（</w:t>
      </w:r>
      <w:r>
        <w:rPr>
          <w:rFonts w:hint="eastAsia"/>
          <w:b/>
          <w:sz w:val="24"/>
          <w:szCs w:val="24"/>
        </w:rPr>
        <w:t>七</w:t>
      </w:r>
      <w:r>
        <w:rPr>
          <w:b/>
          <w:sz w:val="24"/>
          <w:szCs w:val="24"/>
        </w:rPr>
        <w:t>）质疑</w:t>
      </w:r>
    </w:p>
    <w:p>
      <w:pPr>
        <w:widowControl/>
        <w:snapToGrid w:val="0"/>
        <w:spacing w:before="120" w:line="360" w:lineRule="auto"/>
        <w:ind w:firstLine="420" w:firstLineChars="200"/>
        <w:outlineLvl w:val="1"/>
        <w:rPr>
          <w:bCs/>
          <w:szCs w:val="21"/>
        </w:rPr>
      </w:pPr>
      <w:r>
        <w:rPr>
          <w:bCs/>
          <w:szCs w:val="21"/>
        </w:rPr>
        <w:t>投标人应当自知道或者应当知道其合法权益受到损害之日起七个工作日内提出质疑。</w:t>
      </w:r>
    </w:p>
    <w:p>
      <w:pPr>
        <w:widowControl/>
        <w:snapToGrid w:val="0"/>
        <w:spacing w:before="120" w:line="360" w:lineRule="auto"/>
        <w:ind w:firstLine="420" w:firstLineChars="200"/>
        <w:outlineLvl w:val="1"/>
        <w:rPr>
          <w:bCs/>
          <w:szCs w:val="21"/>
        </w:rPr>
      </w:pPr>
      <w:r>
        <w:rPr>
          <w:bCs/>
          <w:szCs w:val="21"/>
        </w:rPr>
        <w:t>1</w:t>
      </w:r>
      <w:r>
        <w:rPr>
          <w:rFonts w:hint="eastAsia"/>
          <w:bCs/>
          <w:szCs w:val="21"/>
        </w:rPr>
        <w:t xml:space="preserve">. </w:t>
      </w:r>
      <w:r>
        <w:rPr>
          <w:bCs/>
          <w:szCs w:val="21"/>
        </w:rPr>
        <w:t>对可以质疑的采购文件提出质疑的，为收到采购文件之日或者采购文件公告期限届满之日；</w:t>
      </w:r>
    </w:p>
    <w:p>
      <w:pPr>
        <w:widowControl/>
        <w:snapToGrid w:val="0"/>
        <w:spacing w:before="120" w:line="360" w:lineRule="auto"/>
        <w:ind w:firstLine="420" w:firstLineChars="200"/>
        <w:outlineLvl w:val="1"/>
        <w:rPr>
          <w:bCs/>
          <w:szCs w:val="21"/>
        </w:rPr>
      </w:pPr>
      <w:r>
        <w:rPr>
          <w:bCs/>
          <w:szCs w:val="21"/>
        </w:rPr>
        <w:t>2</w:t>
      </w:r>
      <w:r>
        <w:rPr>
          <w:rFonts w:hint="eastAsia"/>
          <w:bCs/>
          <w:szCs w:val="21"/>
        </w:rPr>
        <w:t xml:space="preserve">. </w:t>
      </w:r>
      <w:r>
        <w:rPr>
          <w:bCs/>
          <w:szCs w:val="21"/>
        </w:rPr>
        <w:t>对采购过程提出质疑的，为各采购程序环节结束之日；</w:t>
      </w:r>
    </w:p>
    <w:p>
      <w:pPr>
        <w:widowControl/>
        <w:snapToGrid w:val="0"/>
        <w:spacing w:before="120" w:line="360" w:lineRule="auto"/>
        <w:ind w:firstLine="420" w:firstLineChars="200"/>
        <w:outlineLvl w:val="1"/>
        <w:rPr>
          <w:bCs/>
          <w:szCs w:val="21"/>
        </w:rPr>
      </w:pPr>
      <w:r>
        <w:rPr>
          <w:bCs/>
          <w:szCs w:val="21"/>
        </w:rPr>
        <w:t>3</w:t>
      </w:r>
      <w:r>
        <w:rPr>
          <w:rFonts w:hint="eastAsia"/>
          <w:bCs/>
          <w:szCs w:val="21"/>
        </w:rPr>
        <w:t xml:space="preserve">. </w:t>
      </w:r>
      <w:r>
        <w:rPr>
          <w:bCs/>
          <w:szCs w:val="21"/>
        </w:rPr>
        <w:t>对中标或者成交结果提出质疑的，为中标或者成交结果公告期限届满之日。</w:t>
      </w:r>
    </w:p>
    <w:p>
      <w:pPr>
        <w:widowControl/>
        <w:snapToGrid w:val="0"/>
        <w:spacing w:before="120" w:line="360" w:lineRule="auto"/>
        <w:ind w:firstLine="420" w:firstLineChars="200"/>
        <w:outlineLvl w:val="1"/>
        <w:rPr>
          <w:bCs/>
          <w:szCs w:val="21"/>
        </w:rPr>
      </w:pPr>
      <w:r>
        <w:rPr>
          <w:bCs/>
          <w:szCs w:val="21"/>
        </w:rPr>
        <w:t>4</w:t>
      </w:r>
      <w:r>
        <w:rPr>
          <w:rFonts w:hint="eastAsia"/>
          <w:bCs/>
          <w:szCs w:val="21"/>
        </w:rPr>
        <w:t xml:space="preserve">. </w:t>
      </w:r>
      <w:r>
        <w:rPr>
          <w:bCs/>
          <w:szCs w:val="21"/>
        </w:rPr>
        <w:t>质疑书应包括下列主要内容：</w:t>
      </w:r>
    </w:p>
    <w:p>
      <w:pPr>
        <w:widowControl/>
        <w:snapToGrid w:val="0"/>
        <w:spacing w:before="120" w:line="360" w:lineRule="auto"/>
        <w:ind w:firstLine="420" w:firstLineChars="200"/>
        <w:outlineLvl w:val="1"/>
        <w:rPr>
          <w:bCs/>
          <w:szCs w:val="21"/>
        </w:rPr>
      </w:pPr>
      <w:r>
        <w:rPr>
          <w:rFonts w:hint="eastAsia" w:ascii="宋体" w:hAnsi="宋体" w:cs="宋体"/>
          <w:bCs/>
          <w:szCs w:val="21"/>
        </w:rPr>
        <w:t>①</w:t>
      </w:r>
      <w:r>
        <w:rPr>
          <w:bCs/>
          <w:szCs w:val="21"/>
        </w:rPr>
        <w:t>质疑人的名称、地址、邮政编码、联系人、联系电话，以及被质疑人名称及联系方式；</w:t>
      </w:r>
    </w:p>
    <w:p>
      <w:pPr>
        <w:widowControl/>
        <w:snapToGrid w:val="0"/>
        <w:spacing w:before="120" w:line="360" w:lineRule="auto"/>
        <w:ind w:firstLine="420" w:firstLineChars="200"/>
        <w:outlineLvl w:val="1"/>
        <w:rPr>
          <w:bCs/>
          <w:szCs w:val="21"/>
        </w:rPr>
      </w:pPr>
      <w:r>
        <w:rPr>
          <w:rFonts w:hint="eastAsia" w:ascii="宋体" w:hAnsi="宋体" w:cs="宋体"/>
          <w:bCs/>
          <w:szCs w:val="21"/>
        </w:rPr>
        <w:t>②</w:t>
      </w:r>
      <w:r>
        <w:rPr>
          <w:bCs/>
          <w:szCs w:val="21"/>
        </w:rPr>
        <w:t>被质疑采购项目名称、编号及采购内容；</w:t>
      </w:r>
    </w:p>
    <w:p>
      <w:pPr>
        <w:widowControl/>
        <w:snapToGrid w:val="0"/>
        <w:spacing w:before="120" w:line="360" w:lineRule="auto"/>
        <w:ind w:firstLine="420" w:firstLineChars="200"/>
        <w:outlineLvl w:val="1"/>
        <w:rPr>
          <w:bCs/>
          <w:szCs w:val="21"/>
        </w:rPr>
      </w:pPr>
      <w:r>
        <w:rPr>
          <w:rFonts w:hint="eastAsia" w:ascii="宋体" w:hAnsi="宋体" w:cs="宋体"/>
          <w:bCs/>
          <w:szCs w:val="21"/>
        </w:rPr>
        <w:t>③</w:t>
      </w:r>
      <w:r>
        <w:rPr>
          <w:bCs/>
          <w:szCs w:val="21"/>
        </w:rPr>
        <w:t>具体的质疑事项及事实依据；</w:t>
      </w:r>
    </w:p>
    <w:p>
      <w:pPr>
        <w:widowControl/>
        <w:snapToGrid w:val="0"/>
        <w:spacing w:before="120" w:line="360" w:lineRule="auto"/>
        <w:ind w:firstLine="420" w:firstLineChars="200"/>
        <w:outlineLvl w:val="1"/>
        <w:rPr>
          <w:bCs/>
          <w:szCs w:val="21"/>
        </w:rPr>
      </w:pPr>
      <w:r>
        <w:rPr>
          <w:rFonts w:hint="eastAsia" w:ascii="宋体" w:hAnsi="宋体" w:cs="宋体"/>
          <w:bCs/>
          <w:szCs w:val="21"/>
        </w:rPr>
        <w:t>④</w:t>
      </w:r>
      <w:r>
        <w:rPr>
          <w:bCs/>
          <w:szCs w:val="21"/>
        </w:rPr>
        <w:t>认为自己合法权益受到损害或可能受到损害的相关证据材料；</w:t>
      </w:r>
    </w:p>
    <w:p>
      <w:pPr>
        <w:widowControl/>
        <w:snapToGrid w:val="0"/>
        <w:spacing w:before="120" w:line="360" w:lineRule="auto"/>
        <w:ind w:firstLine="420" w:firstLineChars="200"/>
        <w:outlineLvl w:val="1"/>
        <w:rPr>
          <w:bCs/>
          <w:szCs w:val="21"/>
        </w:rPr>
      </w:pPr>
      <w:r>
        <w:rPr>
          <w:rFonts w:hint="eastAsia" w:ascii="宋体" w:hAnsi="宋体" w:cs="宋体"/>
          <w:bCs/>
          <w:szCs w:val="21"/>
        </w:rPr>
        <w:t>⑤</w:t>
      </w:r>
      <w:r>
        <w:rPr>
          <w:bCs/>
          <w:szCs w:val="21"/>
        </w:rPr>
        <w:t>提出质疑的日期。</w:t>
      </w:r>
    </w:p>
    <w:p>
      <w:pPr>
        <w:widowControl/>
        <w:snapToGrid w:val="0"/>
        <w:spacing w:before="120" w:line="360" w:lineRule="auto"/>
        <w:ind w:firstLine="420" w:firstLineChars="200"/>
        <w:outlineLvl w:val="1"/>
        <w:rPr>
          <w:bCs/>
          <w:szCs w:val="21"/>
        </w:rPr>
      </w:pPr>
      <w:r>
        <w:rPr>
          <w:bCs/>
          <w:szCs w:val="21"/>
        </w:rPr>
        <w:t>供应商在法定质疑期内一次性提出针对同一采购程序环节的质疑。</w:t>
      </w:r>
    </w:p>
    <w:p>
      <w:pPr>
        <w:snapToGrid w:val="0"/>
        <w:spacing w:before="120" w:line="312" w:lineRule="auto"/>
        <w:ind w:right="-506" w:rightChars="-241" w:firstLine="3795" w:firstLineChars="1350"/>
        <w:rPr>
          <w:rFonts w:hAnsi="宋体"/>
          <w:b/>
          <w:sz w:val="28"/>
        </w:rPr>
      </w:pPr>
    </w:p>
    <w:p>
      <w:pPr>
        <w:snapToGrid w:val="0"/>
        <w:spacing w:before="120" w:line="312" w:lineRule="auto"/>
        <w:ind w:right="-506" w:rightChars="-241" w:firstLine="3795" w:firstLineChars="1350"/>
        <w:rPr>
          <w:b/>
          <w:sz w:val="28"/>
        </w:rPr>
      </w:pPr>
      <w:r>
        <w:rPr>
          <w:b/>
          <w:sz w:val="28"/>
        </w:rPr>
        <w:t>二、招标文件</w:t>
      </w:r>
    </w:p>
    <w:p>
      <w:pPr>
        <w:snapToGrid w:val="0"/>
        <w:spacing w:line="360" w:lineRule="auto"/>
        <w:ind w:right="-341"/>
        <w:jc w:val="left"/>
        <w:rPr>
          <w:b/>
          <w:sz w:val="24"/>
        </w:rPr>
      </w:pPr>
      <w:r>
        <w:rPr>
          <w:b/>
          <w:sz w:val="24"/>
        </w:rPr>
        <w:t>（一）招标文件的构成。本招标文件由以下部份组成：</w:t>
      </w:r>
    </w:p>
    <w:p>
      <w:pPr>
        <w:snapToGrid w:val="0"/>
        <w:spacing w:line="360" w:lineRule="auto"/>
        <w:ind w:right="-341" w:firstLine="420" w:firstLineChars="200"/>
        <w:jc w:val="left"/>
      </w:pPr>
      <w:r>
        <w:t>1</w:t>
      </w:r>
      <w:r>
        <w:rPr>
          <w:rFonts w:hint="eastAsia"/>
        </w:rPr>
        <w:t xml:space="preserve">. </w:t>
      </w:r>
      <w:r>
        <w:t>招标公告</w:t>
      </w:r>
    </w:p>
    <w:p>
      <w:pPr>
        <w:snapToGrid w:val="0"/>
        <w:spacing w:line="360" w:lineRule="auto"/>
        <w:ind w:right="-341" w:firstLine="420" w:firstLineChars="200"/>
        <w:jc w:val="left"/>
      </w:pPr>
      <w:r>
        <w:t>2</w:t>
      </w:r>
      <w:r>
        <w:rPr>
          <w:rFonts w:hint="eastAsia"/>
        </w:rPr>
        <w:t xml:space="preserve">. </w:t>
      </w:r>
      <w:r>
        <w:t>招标需求</w:t>
      </w:r>
    </w:p>
    <w:p>
      <w:pPr>
        <w:snapToGrid w:val="0"/>
        <w:spacing w:line="360" w:lineRule="auto"/>
        <w:ind w:right="-341" w:firstLine="420" w:firstLineChars="200"/>
        <w:jc w:val="left"/>
      </w:pPr>
      <w:r>
        <w:t>3</w:t>
      </w:r>
      <w:r>
        <w:rPr>
          <w:rFonts w:hint="eastAsia"/>
        </w:rPr>
        <w:t xml:space="preserve">. </w:t>
      </w:r>
      <w:r>
        <w:t>投标人须知</w:t>
      </w:r>
    </w:p>
    <w:p>
      <w:pPr>
        <w:snapToGrid w:val="0"/>
        <w:spacing w:line="360" w:lineRule="auto"/>
        <w:ind w:right="-341" w:firstLine="420" w:firstLineChars="200"/>
        <w:jc w:val="left"/>
      </w:pPr>
      <w:r>
        <w:t>4</w:t>
      </w:r>
      <w:r>
        <w:rPr>
          <w:rFonts w:hint="eastAsia"/>
        </w:rPr>
        <w:t xml:space="preserve">. </w:t>
      </w:r>
      <w:r>
        <w:t>评标办法及标准</w:t>
      </w:r>
    </w:p>
    <w:p>
      <w:pPr>
        <w:snapToGrid w:val="0"/>
        <w:spacing w:line="360" w:lineRule="auto"/>
        <w:ind w:right="-341" w:firstLine="420" w:firstLineChars="200"/>
        <w:jc w:val="left"/>
      </w:pPr>
      <w:r>
        <w:t>5</w:t>
      </w:r>
      <w:r>
        <w:rPr>
          <w:rFonts w:hint="eastAsia"/>
        </w:rPr>
        <w:t xml:space="preserve">. </w:t>
      </w:r>
      <w:r>
        <w:t>合同主要条款</w:t>
      </w:r>
    </w:p>
    <w:p>
      <w:pPr>
        <w:snapToGrid w:val="0"/>
        <w:spacing w:line="360" w:lineRule="auto"/>
        <w:ind w:right="-341" w:firstLine="420" w:firstLineChars="200"/>
        <w:jc w:val="left"/>
      </w:pPr>
      <w:r>
        <w:t>6</w:t>
      </w:r>
      <w:r>
        <w:rPr>
          <w:rFonts w:hint="eastAsia"/>
        </w:rPr>
        <w:t xml:space="preserve">. </w:t>
      </w:r>
      <w:r>
        <w:t>投标文件格式</w:t>
      </w:r>
    </w:p>
    <w:p>
      <w:pPr>
        <w:snapToGrid w:val="0"/>
        <w:spacing w:line="360" w:lineRule="auto"/>
        <w:ind w:right="-341" w:firstLine="420" w:firstLineChars="200"/>
        <w:jc w:val="left"/>
      </w:pPr>
      <w:r>
        <w:t>7</w:t>
      </w:r>
      <w:r>
        <w:rPr>
          <w:rFonts w:hint="eastAsia"/>
        </w:rPr>
        <w:t xml:space="preserve">. </w:t>
      </w:r>
      <w:r>
        <w:t>本项目招标文件的澄清、答复、修改、补充的内容</w:t>
      </w:r>
    </w:p>
    <w:p>
      <w:pPr>
        <w:snapToGrid w:val="0"/>
        <w:spacing w:line="360" w:lineRule="auto"/>
        <w:ind w:right="-87"/>
        <w:jc w:val="left"/>
        <w:rPr>
          <w:b/>
          <w:sz w:val="24"/>
        </w:rPr>
      </w:pPr>
      <w:r>
        <w:rPr>
          <w:b/>
          <w:sz w:val="24"/>
        </w:rPr>
        <w:t>（二）投标人的风险</w:t>
      </w:r>
    </w:p>
    <w:p>
      <w:pPr>
        <w:spacing w:line="360" w:lineRule="auto"/>
        <w:ind w:right="-506" w:rightChars="-241" w:firstLine="420"/>
      </w:pPr>
      <w:r>
        <w:t>投标人没有按照招标文件要求提供全部资料，或者投标人没有对招标文件在各方面作出实质性响应是投标人的风险，并可能导致其投标被拒绝。</w:t>
      </w:r>
    </w:p>
    <w:p>
      <w:pPr>
        <w:tabs>
          <w:tab w:val="left" w:pos="454"/>
          <w:tab w:val="left" w:pos="720"/>
          <w:tab w:val="left" w:pos="900"/>
        </w:tabs>
        <w:snapToGrid w:val="0"/>
        <w:spacing w:line="360" w:lineRule="auto"/>
        <w:ind w:left="247" w:right="-87" w:hanging="247" w:hangingChars="117"/>
        <w:rPr>
          <w:b/>
        </w:rPr>
      </w:pPr>
      <w:r>
        <w:rPr>
          <w:b/>
        </w:rPr>
        <w:t>（三）招标文件的澄清与修改</w:t>
      </w:r>
    </w:p>
    <w:p>
      <w:pPr>
        <w:widowControl/>
        <w:snapToGrid w:val="0"/>
        <w:spacing w:before="120" w:line="360" w:lineRule="auto"/>
        <w:ind w:right="-87" w:firstLine="415" w:firstLineChars="198"/>
        <w:rPr>
          <w:szCs w:val="21"/>
        </w:rPr>
      </w:pPr>
      <w:r>
        <w:rPr>
          <w:szCs w:val="21"/>
        </w:rPr>
        <w:t>1</w:t>
      </w:r>
      <w:r>
        <w:rPr>
          <w:rFonts w:hint="eastAsia"/>
          <w:szCs w:val="21"/>
        </w:rPr>
        <w:t xml:space="preserve">. </w:t>
      </w:r>
      <w:r>
        <w:rPr>
          <w:szCs w:val="21"/>
        </w:rPr>
        <w:t>投标人应认真阅读本招标文件，发现其中有误或有要求不合理的，投标人必须在投标截止前15天内以书面形式要求招标采购单位澄清。招标采购单位对已发出的招标文件进行必要澄清、答复、修改或补充的，应当在招标文件要求提交投标文件截止时间15天前，在财政部门指定的政府采购信息发布媒体上发布更正公告，并通知所有已报名的潜在投标人。</w:t>
      </w:r>
    </w:p>
    <w:p>
      <w:pPr>
        <w:widowControl/>
        <w:snapToGrid w:val="0"/>
        <w:spacing w:before="120" w:line="360" w:lineRule="auto"/>
        <w:ind w:right="-87" w:firstLine="415" w:firstLineChars="198"/>
        <w:rPr>
          <w:szCs w:val="21"/>
        </w:rPr>
      </w:pPr>
      <w:r>
        <w:rPr>
          <w:szCs w:val="21"/>
        </w:rPr>
        <w:t>2</w:t>
      </w:r>
      <w:r>
        <w:rPr>
          <w:rFonts w:hint="eastAsia"/>
          <w:szCs w:val="21"/>
        </w:rPr>
        <w:t xml:space="preserve">. </w:t>
      </w:r>
      <w:r>
        <w:rPr>
          <w:szCs w:val="21"/>
        </w:rPr>
        <w:t>招标文件的答复、澄清、修改、补充通知实质上改变采购需求相关内容，且自招标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widowControl/>
        <w:snapToGrid w:val="0"/>
        <w:spacing w:before="120" w:line="360" w:lineRule="auto"/>
        <w:ind w:right="-87" w:firstLine="415" w:firstLineChars="198"/>
        <w:rPr>
          <w:szCs w:val="21"/>
        </w:rPr>
      </w:pPr>
      <w:r>
        <w:rPr>
          <w:szCs w:val="21"/>
        </w:rPr>
        <w:t>3</w:t>
      </w:r>
      <w:r>
        <w:rPr>
          <w:rFonts w:hint="eastAsia"/>
          <w:szCs w:val="21"/>
        </w:rPr>
        <w:t xml:space="preserve">. </w:t>
      </w:r>
      <w:r>
        <w:rPr>
          <w:szCs w:val="21"/>
        </w:rPr>
        <w:t>招标文件澄清、答复、修改、补充的内容为采购文件的组成部分。当招标文件与招标文件的答复、澄清、修改、补充通知就同一内容的表述不一致时，以最后发出的变更公告为准。</w:t>
      </w:r>
    </w:p>
    <w:p>
      <w:pPr>
        <w:snapToGrid w:val="0"/>
        <w:spacing w:before="120" w:line="360" w:lineRule="auto"/>
        <w:ind w:right="-506" w:rightChars="-241" w:firstLine="420" w:firstLineChars="200"/>
        <w:rPr>
          <w:szCs w:val="21"/>
        </w:rPr>
      </w:pPr>
      <w:r>
        <w:rPr>
          <w:szCs w:val="21"/>
        </w:rPr>
        <w:t>4</w:t>
      </w:r>
      <w:r>
        <w:rPr>
          <w:rFonts w:hint="eastAsia"/>
          <w:szCs w:val="21"/>
        </w:rPr>
        <w:t>.</w:t>
      </w:r>
      <w:r>
        <w:rPr>
          <w:szCs w:val="21"/>
        </w:rPr>
        <w:t>招标文件的澄清、答复、修改或补充都应该通过本代理机构以法定形式发布。</w:t>
      </w:r>
    </w:p>
    <w:p>
      <w:pPr>
        <w:snapToGrid w:val="0"/>
        <w:spacing w:before="120" w:line="360" w:lineRule="auto"/>
        <w:ind w:right="-87" w:firstLine="2923" w:firstLineChars="1040"/>
        <w:outlineLvl w:val="1"/>
        <w:rPr>
          <w:rFonts w:hAnsi="宋体"/>
          <w:b/>
          <w:sz w:val="28"/>
        </w:rPr>
      </w:pPr>
      <w:r>
        <w:rPr>
          <w:rFonts w:hint="eastAsia" w:hAnsi="宋体"/>
          <w:b/>
          <w:sz w:val="28"/>
        </w:rPr>
        <w:t>三、投标文件的编制</w:t>
      </w:r>
    </w:p>
    <w:p>
      <w:pPr>
        <w:snapToGrid w:val="0"/>
        <w:spacing w:line="360" w:lineRule="auto"/>
        <w:ind w:right="-87" w:firstLine="354" w:firstLineChars="147"/>
        <w:jc w:val="left"/>
        <w:outlineLvl w:val="0"/>
        <w:rPr>
          <w:rFonts w:ascii="宋体" w:hAnsi="宋体"/>
          <w:b/>
          <w:sz w:val="24"/>
        </w:rPr>
      </w:pPr>
    </w:p>
    <w:p>
      <w:pPr>
        <w:pStyle w:val="3"/>
        <w:spacing w:after="0" w:line="336" w:lineRule="auto"/>
        <w:ind w:firstLine="241" w:firstLineChars="100"/>
        <w:rPr>
          <w:rFonts w:ascii="宋体" w:hAnsi="宋体" w:cs="宋体"/>
          <w:b/>
          <w:sz w:val="24"/>
          <w:szCs w:val="24"/>
        </w:rPr>
      </w:pPr>
      <w:r>
        <w:rPr>
          <w:rFonts w:hint="eastAsia" w:ascii="宋体" w:hAnsi="宋体" w:cs="宋体"/>
          <w:b/>
          <w:sz w:val="24"/>
          <w:szCs w:val="24"/>
        </w:rPr>
        <w:t>（一）投标文件的签署</w:t>
      </w:r>
    </w:p>
    <w:p>
      <w:pPr>
        <w:pStyle w:val="3"/>
        <w:spacing w:after="0" w:line="336" w:lineRule="auto"/>
        <w:ind w:firstLine="420"/>
        <w:rPr>
          <w:rFonts w:ascii="宋体" w:hAnsi="宋体" w:cs="宋体"/>
          <w:b/>
          <w:bCs/>
          <w:sz w:val="24"/>
          <w:szCs w:val="24"/>
        </w:rPr>
      </w:pPr>
      <w:r>
        <w:rPr>
          <w:rFonts w:hint="eastAsia" w:ascii="宋体" w:hAnsi="宋体" w:cs="宋体"/>
          <w:b/>
          <w:bCs/>
          <w:sz w:val="24"/>
          <w:szCs w:val="24"/>
        </w:rPr>
        <w:t>1.电子投标文件部分：</w:t>
      </w:r>
    </w:p>
    <w:p>
      <w:pPr>
        <w:pStyle w:val="3"/>
        <w:spacing w:after="0" w:line="336" w:lineRule="auto"/>
        <w:ind w:firstLine="420"/>
        <w:rPr>
          <w:szCs w:val="21"/>
        </w:rPr>
      </w:pPr>
      <w:r>
        <w:rPr>
          <w:rFonts w:ascii="Times New Roman" w:hAnsi="Times New Roman"/>
          <w:kern w:val="2"/>
          <w:sz w:val="21"/>
          <w:szCs w:val="21"/>
        </w:rPr>
        <w:t>投标人应根据“政采云供应商项目采购-电子交易操作指南”及本招标文件规定的格式和顺序编制电子投标文件并进行关联定位。</w:t>
      </w:r>
    </w:p>
    <w:p>
      <w:pPr>
        <w:pStyle w:val="3"/>
        <w:spacing w:after="0" w:line="336" w:lineRule="auto"/>
        <w:ind w:firstLine="420"/>
        <w:rPr>
          <w:b/>
          <w:bCs/>
          <w:szCs w:val="21"/>
        </w:rPr>
      </w:pPr>
      <w:r>
        <w:rPr>
          <w:rFonts w:hint="eastAsia" w:ascii="宋体" w:hAnsi="宋体" w:cs="宋体"/>
          <w:b/>
          <w:bCs/>
          <w:sz w:val="24"/>
          <w:szCs w:val="24"/>
        </w:rPr>
        <w:t>2.备份投标文件部分：</w:t>
      </w:r>
    </w:p>
    <w:p>
      <w:pPr>
        <w:pStyle w:val="104"/>
        <w:snapToGrid w:val="0"/>
        <w:spacing w:before="120" w:after="120" w:line="336" w:lineRule="auto"/>
        <w:ind w:right="-506" w:rightChars="-241" w:firstLine="420" w:firstLineChars="200"/>
        <w:rPr>
          <w:rFonts w:ascii="Times New Roman" w:hAnsi="Times New Roman" w:eastAsia="宋体"/>
          <w:sz w:val="21"/>
          <w:szCs w:val="21"/>
        </w:rPr>
      </w:pPr>
      <w:r>
        <w:rPr>
          <w:rFonts w:hint="eastAsia" w:ascii="Times New Roman" w:hAnsi="Times New Roman" w:eastAsia="宋体"/>
          <w:sz w:val="21"/>
          <w:szCs w:val="21"/>
        </w:rPr>
        <w:t>2.1</w:t>
      </w:r>
      <w:r>
        <w:rPr>
          <w:rFonts w:ascii="Times New Roman" w:hAnsi="Times New Roman" w:eastAsia="宋体"/>
          <w:sz w:val="21"/>
          <w:szCs w:val="21"/>
        </w:rPr>
        <w:t>以介质存储的数据电文形式的备份投标文件，按政采云平台项目采购-电子交易操作指南中上传的电子投标文件格式，以U盘形式存储提供。数量为1份。</w:t>
      </w:r>
    </w:p>
    <w:p>
      <w:pPr>
        <w:pStyle w:val="104"/>
        <w:snapToGrid w:val="0"/>
        <w:spacing w:before="120" w:after="120" w:line="336" w:lineRule="auto"/>
        <w:ind w:right="-506" w:rightChars="-241" w:firstLine="420" w:firstLineChars="200"/>
        <w:rPr>
          <w:rFonts w:ascii="Times New Roman" w:hAnsi="Times New Roman" w:eastAsia="宋体"/>
          <w:b/>
          <w:sz w:val="28"/>
          <w:szCs w:val="28"/>
        </w:rPr>
      </w:pPr>
      <w:r>
        <w:rPr>
          <w:rFonts w:hint="eastAsia" w:ascii="Times New Roman" w:hAnsi="Times New Roman" w:eastAsia="宋体"/>
          <w:sz w:val="21"/>
          <w:szCs w:val="21"/>
        </w:rPr>
        <w:t>2.2</w:t>
      </w:r>
      <w:r>
        <w:rPr>
          <w:rFonts w:ascii="Times New Roman" w:hAnsi="Times New Roman" w:eastAsia="宋体"/>
          <w:sz w:val="21"/>
          <w:szCs w:val="21"/>
        </w:rPr>
        <w:t>纸质备份投标文件将以纸质文件的形式递交。数量为：正本、副本各1份。</w:t>
      </w:r>
    </w:p>
    <w:p>
      <w:pPr>
        <w:tabs>
          <w:tab w:val="left" w:pos="0"/>
        </w:tabs>
        <w:spacing w:line="360" w:lineRule="auto"/>
        <w:ind w:firstLine="211" w:firstLineChars="100"/>
        <w:rPr>
          <w:b/>
          <w:szCs w:val="21"/>
        </w:rPr>
      </w:pPr>
      <w:r>
        <w:rPr>
          <w:b/>
          <w:szCs w:val="21"/>
        </w:rPr>
        <w:t>（二）投标文件的组成</w:t>
      </w:r>
    </w:p>
    <w:p>
      <w:pPr>
        <w:pStyle w:val="20"/>
        <w:numPr>
          <w:ilvl w:val="255"/>
          <w:numId w:val="0"/>
        </w:numPr>
        <w:spacing w:before="120" w:line="360" w:lineRule="auto"/>
        <w:ind w:firstLine="413" w:firstLineChars="196"/>
        <w:rPr>
          <w:sz w:val="21"/>
          <w:szCs w:val="21"/>
        </w:rPr>
      </w:pPr>
      <w:r>
        <w:rPr>
          <w:b/>
          <w:bCs/>
          <w:sz w:val="21"/>
          <w:szCs w:val="21"/>
        </w:rPr>
        <w:t>投标文件由资格响应文件、商务及技术响应文件、报价文件三部份组成。</w:t>
      </w:r>
      <w:r>
        <w:rPr>
          <w:sz w:val="21"/>
          <w:szCs w:val="21"/>
        </w:rPr>
        <w:t>电子投标文件中所须加盖公章部分均采用CA签章。（以下投标文件的部分格式详见本招标文件第六章，如本招标文件没有提供相应的格式，投标人可自行制表填写）</w:t>
      </w:r>
    </w:p>
    <w:p>
      <w:pPr>
        <w:pStyle w:val="20"/>
        <w:numPr>
          <w:ilvl w:val="255"/>
          <w:numId w:val="0"/>
        </w:numPr>
        <w:spacing w:before="120" w:line="360" w:lineRule="auto"/>
        <w:ind w:left="417"/>
        <w:rPr>
          <w:rFonts w:ascii="Times New Roman" w:hAnsi="Times New Roman"/>
          <w:b/>
          <w:sz w:val="21"/>
          <w:szCs w:val="21"/>
        </w:rPr>
      </w:pPr>
      <w:r>
        <w:rPr>
          <w:rFonts w:ascii="Times New Roman" w:hAnsi="Times New Roman"/>
          <w:b/>
          <w:sz w:val="21"/>
          <w:szCs w:val="21"/>
        </w:rPr>
        <w:t>资格响应部份：</w:t>
      </w:r>
    </w:p>
    <w:p>
      <w:pPr>
        <w:spacing w:line="360" w:lineRule="auto"/>
        <w:ind w:left="417"/>
      </w:pPr>
      <w:r>
        <w:t>1</w:t>
      </w:r>
      <w:r>
        <w:rPr>
          <w:rFonts w:hint="eastAsia"/>
        </w:rPr>
        <w:t>.</w:t>
      </w:r>
      <w:r>
        <w:t>基本资格条件：符合《中华人民共和国政府采购法》第二十二条的规定；</w:t>
      </w:r>
    </w:p>
    <w:p>
      <w:pPr>
        <w:spacing w:line="360" w:lineRule="auto"/>
        <w:ind w:firstLine="420" w:firstLineChars="200"/>
      </w:pPr>
      <w:r>
        <w:t>（以下A~E项是第二十二条要求及对应证明材料的具体内容，各投标人须在投标文件中出具对应证明材料）</w:t>
      </w:r>
    </w:p>
    <w:p>
      <w:pPr>
        <w:spacing w:line="360" w:lineRule="auto"/>
        <w:ind w:firstLine="482" w:firstLineChars="200"/>
        <w:rPr>
          <w:b/>
          <w:bCs/>
        </w:rPr>
      </w:pPr>
      <w:r>
        <w:rPr>
          <w:b/>
          <w:bCs/>
          <w:sz w:val="24"/>
        </w:rPr>
        <w:t>A.</w:t>
      </w:r>
      <w:r>
        <w:rPr>
          <w:b/>
          <w:bCs/>
        </w:rPr>
        <w:t>具有独立承担民事责任的能力：</w:t>
      </w:r>
    </w:p>
    <w:p>
      <w:pPr>
        <w:spacing w:line="360" w:lineRule="auto"/>
        <w:ind w:firstLine="420" w:firstLineChars="200"/>
        <w:rPr>
          <w:b/>
          <w:bCs/>
        </w:rPr>
      </w:pPr>
      <w:r>
        <w:t>投标人须在投标文件中出具符合以下情况的证明材料复印件</w:t>
      </w:r>
      <w:r>
        <w:rPr>
          <w:b/>
          <w:bCs/>
        </w:rPr>
        <w:t>（五选一）：</w:t>
      </w:r>
    </w:p>
    <w:p>
      <w:pPr>
        <w:spacing w:line="360" w:lineRule="auto"/>
        <w:ind w:firstLine="420" w:firstLineChars="200"/>
      </w:pPr>
      <w:r>
        <w:rPr>
          <w:rFonts w:hint="eastAsia"/>
        </w:rPr>
        <w:t>①</w:t>
      </w:r>
      <w:r>
        <w:t>如投标人是企业（包括合伙企业），提供在工商部门注册的有效“企业法人营业执照”或“营业执照”；</w:t>
      </w:r>
    </w:p>
    <w:p>
      <w:pPr>
        <w:spacing w:line="360" w:lineRule="auto"/>
        <w:ind w:firstLine="420" w:firstLineChars="200"/>
      </w:pPr>
      <w:r>
        <w:rPr>
          <w:rFonts w:hint="eastAsia"/>
        </w:rPr>
        <w:t>②</w:t>
      </w:r>
      <w:r>
        <w:t>如投标人是事业单位，提供有效的“事业单位法人证书”；</w:t>
      </w:r>
    </w:p>
    <w:p>
      <w:pPr>
        <w:spacing w:line="360" w:lineRule="auto"/>
        <w:ind w:firstLine="420" w:firstLineChars="200"/>
      </w:pPr>
      <w:r>
        <w:rPr>
          <w:rFonts w:hint="eastAsia"/>
        </w:rPr>
        <w:t>③</w:t>
      </w:r>
      <w:r>
        <w:t>如投标人是非企业专业服务机构的，提供执业许可证等证明文件等证明文件；</w:t>
      </w:r>
    </w:p>
    <w:p>
      <w:pPr>
        <w:spacing w:line="360" w:lineRule="auto"/>
        <w:ind w:firstLine="420" w:firstLineChars="200"/>
      </w:pPr>
      <w:r>
        <w:rPr>
          <w:rFonts w:hint="eastAsia"/>
        </w:rPr>
        <w:t>④</w:t>
      </w:r>
      <w:r>
        <w:t>如投标人是个体工商户，提供有效的“个体工商户营业执照”；</w:t>
      </w:r>
    </w:p>
    <w:p>
      <w:pPr>
        <w:spacing w:line="360" w:lineRule="auto"/>
        <w:ind w:firstLine="420" w:firstLineChars="200"/>
      </w:pPr>
      <w:r>
        <w:rPr>
          <w:rFonts w:hint="eastAsia"/>
        </w:rPr>
        <w:t>⑤</w:t>
      </w:r>
      <w:r>
        <w:t>如投标人是自然人，提供有效的自然人身份证明（居民身份证正反面或公安机关出具的临时居民身份证正反面或港澳台胞证或证照）。</w:t>
      </w:r>
    </w:p>
    <w:p>
      <w:pPr>
        <w:spacing w:line="360" w:lineRule="auto"/>
        <w:ind w:firstLine="422" w:firstLineChars="200"/>
        <w:rPr>
          <w:b/>
          <w:bCs/>
        </w:rPr>
      </w:pPr>
      <w:r>
        <w:rPr>
          <w:b/>
          <w:bCs/>
          <w:szCs w:val="21"/>
        </w:rPr>
        <w:t>B.</w:t>
      </w:r>
      <w:r>
        <w:rPr>
          <w:b/>
          <w:bCs/>
        </w:rPr>
        <w:t>具有良好的商业信誉和健全的财务会计制度：</w:t>
      </w:r>
    </w:p>
    <w:p>
      <w:pPr>
        <w:spacing w:line="360" w:lineRule="auto"/>
        <w:ind w:firstLine="420" w:firstLineChars="200"/>
      </w:pPr>
      <w:r>
        <w:rPr>
          <w:rFonts w:hint="eastAsia"/>
        </w:rPr>
        <w:t>①</w:t>
      </w:r>
      <w:r>
        <w:t>良好的商业信誉：</w:t>
      </w:r>
    </w:p>
    <w:p>
      <w:pPr>
        <w:spacing w:line="360" w:lineRule="auto"/>
        <w:ind w:firstLine="420" w:firstLineChars="200"/>
      </w:pPr>
      <w:r>
        <w:t>至本项目投标截止时间止未被“信用中国”（www.creditchina.gov.cn）、中国政府采购网（www.ccgp.gov.cn）列入失信被执行人、重大税收违法案件当事人名单、政府采购严重违法失信行为记录名单网页查询记录截图。</w:t>
      </w:r>
    </w:p>
    <w:p>
      <w:pPr>
        <w:spacing w:line="360" w:lineRule="auto"/>
        <w:ind w:firstLine="420" w:firstLineChars="200"/>
      </w:pPr>
      <w:r>
        <w:rPr>
          <w:szCs w:val="21"/>
        </w:rPr>
        <w:t>提供</w:t>
      </w:r>
      <w:r>
        <w:t>查询截图，（截图查询网站时间须在开标截止前二个星期内）</w:t>
      </w:r>
    </w:p>
    <w:p>
      <w:pPr>
        <w:spacing w:line="360" w:lineRule="auto"/>
        <w:ind w:firstLine="420" w:firstLineChars="200"/>
      </w:pPr>
      <w:r>
        <w:rPr>
          <w:szCs w:val="21"/>
        </w:rPr>
        <w:t>对</w:t>
      </w:r>
      <w:r>
        <w:t>列入失信被执行人、重大税收违法案件当事人名单、政府采购严重违法失信行为记录名单的投标人，其投标将作无效标处理。</w:t>
      </w:r>
    </w:p>
    <w:p>
      <w:pPr>
        <w:spacing w:line="360" w:lineRule="auto"/>
        <w:ind w:firstLine="420" w:firstLineChars="200"/>
      </w:pPr>
      <w:r>
        <w:rPr>
          <w:rFonts w:hint="eastAsia" w:ascii="宋体" w:hAnsi="宋体" w:cs="宋体"/>
        </w:rPr>
        <w:t>②</w:t>
      </w:r>
      <w:r>
        <w:t>健全的财务会计制度：</w:t>
      </w:r>
    </w:p>
    <w:p>
      <w:pPr>
        <w:spacing w:line="360" w:lineRule="auto"/>
        <w:ind w:firstLine="420" w:firstLineChars="200"/>
      </w:pPr>
      <w:r>
        <w:t>投标人须在投标文件中出具符合以下情况的证明材料复印件</w:t>
      </w:r>
      <w:r>
        <w:rPr>
          <w:b/>
          <w:bCs/>
        </w:rPr>
        <w:t>（三选一）</w:t>
      </w:r>
      <w:r>
        <w:t>：</w:t>
      </w:r>
    </w:p>
    <w:p>
      <w:pPr>
        <w:numPr>
          <w:ilvl w:val="0"/>
          <w:numId w:val="6"/>
        </w:numPr>
        <w:spacing w:line="360" w:lineRule="auto"/>
        <w:ind w:left="0" w:firstLine="420" w:firstLineChars="200"/>
      </w:pPr>
      <w:r>
        <w:t>投标人是法人的，应提供最近一个年度经审计的财务报告，包括资产负债表、利润表、现金流量表（执行《小企业会计准则》的提供资产负债表和利润表两张基本报表），未经审计的，提供资产负债表、利润表或损益表。</w:t>
      </w:r>
    </w:p>
    <w:p>
      <w:pPr>
        <w:numPr>
          <w:ilvl w:val="0"/>
          <w:numId w:val="6"/>
        </w:numPr>
        <w:spacing w:line="360" w:lineRule="auto"/>
        <w:ind w:left="0" w:firstLine="420" w:firstLineChars="200"/>
      </w:pPr>
      <w:r>
        <w:t>其他组织和自然人如没有经审计的财务报告的，可以提供资产负债表、利润表、现金流量表。</w:t>
      </w:r>
    </w:p>
    <w:p>
      <w:pPr>
        <w:numPr>
          <w:ilvl w:val="0"/>
          <w:numId w:val="6"/>
        </w:numPr>
        <w:spacing w:line="360" w:lineRule="auto"/>
        <w:ind w:left="0" w:firstLine="420" w:firstLineChars="200"/>
      </w:pPr>
      <w:r>
        <w:t>新成立不足一年的公司须出具情况说明。</w:t>
      </w:r>
    </w:p>
    <w:p>
      <w:pPr>
        <w:spacing w:line="360" w:lineRule="auto"/>
        <w:ind w:firstLine="413" w:firstLineChars="196"/>
        <w:rPr>
          <w:b/>
          <w:bCs/>
          <w:szCs w:val="21"/>
        </w:rPr>
      </w:pPr>
      <w:r>
        <w:rPr>
          <w:b/>
          <w:bCs/>
          <w:szCs w:val="21"/>
        </w:rPr>
        <w:t>C.具有履行合同所必需的设备和专业技术能力：</w:t>
      </w:r>
    </w:p>
    <w:p>
      <w:pPr>
        <w:pStyle w:val="87"/>
        <w:spacing w:line="360" w:lineRule="auto"/>
        <w:ind w:left="420" w:firstLine="0" w:firstLineChars="0"/>
        <w:rPr>
          <w:rFonts w:ascii="Times New Roman" w:hAnsi="Times New Roman"/>
          <w:szCs w:val="21"/>
        </w:rPr>
      </w:pPr>
      <w:r>
        <w:rPr>
          <w:rFonts w:ascii="Times New Roman" w:hAnsi="Times New Roman"/>
          <w:szCs w:val="21"/>
        </w:rPr>
        <w:t>投标人须在投标文件中出具具有履行合同所必需的设备和专业技术能力的《投标函》。</w:t>
      </w:r>
    </w:p>
    <w:p>
      <w:pPr>
        <w:spacing w:line="360" w:lineRule="auto"/>
        <w:ind w:firstLine="413" w:firstLineChars="196"/>
        <w:rPr>
          <w:b/>
          <w:bCs/>
          <w:szCs w:val="21"/>
        </w:rPr>
      </w:pPr>
      <w:r>
        <w:rPr>
          <w:b/>
          <w:bCs/>
          <w:szCs w:val="21"/>
        </w:rPr>
        <w:t>D.有依法缴纳税收和社会保障资金的良好记录：</w:t>
      </w:r>
    </w:p>
    <w:p>
      <w:pPr>
        <w:spacing w:line="360" w:lineRule="auto"/>
        <w:ind w:firstLine="420" w:firstLineChars="200"/>
      </w:pPr>
      <w:r>
        <w:t>1</w:t>
      </w:r>
      <w:r>
        <w:rPr>
          <w:rFonts w:hint="eastAsia"/>
        </w:rPr>
        <w:t xml:space="preserve">. </w:t>
      </w:r>
      <w:r>
        <w:t>投标人须在投标文件中同时出具满足以下要求的证明材料复印件：</w:t>
      </w:r>
    </w:p>
    <w:p>
      <w:pPr>
        <w:spacing w:line="360" w:lineRule="auto"/>
        <w:ind w:firstLine="420" w:firstLineChars="200"/>
      </w:pPr>
      <w:r>
        <w:rPr>
          <w:rFonts w:hint="eastAsia"/>
        </w:rPr>
        <w:t>①</w:t>
      </w:r>
      <w:r>
        <w:t>投标人须提供由税务部门出具的最近一季度缴纳增值税和企业所得税的纳税证明。</w:t>
      </w:r>
    </w:p>
    <w:p>
      <w:pPr>
        <w:spacing w:line="360" w:lineRule="auto"/>
        <w:ind w:firstLine="420" w:firstLineChars="200"/>
      </w:pPr>
      <w:r>
        <w:rPr>
          <w:rFonts w:hint="eastAsia" w:ascii="宋体" w:hAnsi="宋体" w:cs="宋体"/>
        </w:rPr>
        <w:t>②</w:t>
      </w:r>
      <w:r>
        <w:t>投标人须提供最近三个月内缴纳社会保险的凭据（缴税付款凭证或社会保险缴纳证明）</w:t>
      </w:r>
    </w:p>
    <w:p>
      <w:pPr>
        <w:spacing w:line="360" w:lineRule="auto"/>
        <w:ind w:firstLine="420" w:firstLineChars="200"/>
      </w:pPr>
      <w:r>
        <w:t>依法免税或不需要缴纳社会保障资金的投标人，应提供相应文件证明其依法免税或不需要缴纳社会保障资金。</w:t>
      </w:r>
    </w:p>
    <w:p>
      <w:pPr>
        <w:spacing w:line="360" w:lineRule="auto"/>
        <w:ind w:firstLine="422" w:firstLineChars="200"/>
        <w:rPr>
          <w:b/>
          <w:bCs/>
        </w:rPr>
      </w:pPr>
      <w:r>
        <w:rPr>
          <w:b/>
          <w:bCs/>
        </w:rPr>
        <w:t>E.参加政府采购活动前三年内，在经营活动中没有重大违法记录：</w:t>
      </w:r>
    </w:p>
    <w:p>
      <w:pPr>
        <w:spacing w:line="360" w:lineRule="auto"/>
        <w:ind w:firstLine="420" w:firstLineChars="200"/>
      </w:pPr>
      <w:r>
        <w:t>投标人须在投标文件中出具《声明函》、廉政承诺书。（格式见附件）</w:t>
      </w:r>
    </w:p>
    <w:p>
      <w:pPr>
        <w:pStyle w:val="20"/>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注：证明材料均需加盖签章。</w:t>
      </w:r>
    </w:p>
    <w:p>
      <w:pPr>
        <w:tabs>
          <w:tab w:val="left" w:pos="3870"/>
          <w:tab w:val="left" w:pos="4085"/>
        </w:tabs>
        <w:snapToGrid w:val="0"/>
        <w:spacing w:line="336" w:lineRule="auto"/>
        <w:ind w:firstLine="420" w:firstLineChars="200"/>
        <w:jc w:val="left"/>
        <w:rPr>
          <w:szCs w:val="21"/>
        </w:rPr>
      </w:pPr>
      <w:r>
        <w:rPr>
          <w:szCs w:val="21"/>
        </w:rPr>
        <w:t>中小企业申明函（如是）；</w:t>
      </w:r>
    </w:p>
    <w:p>
      <w:pPr>
        <w:tabs>
          <w:tab w:val="left" w:pos="3870"/>
          <w:tab w:val="left" w:pos="4085"/>
        </w:tabs>
        <w:snapToGrid w:val="0"/>
        <w:spacing w:line="336" w:lineRule="auto"/>
        <w:ind w:firstLine="420" w:firstLineChars="200"/>
        <w:jc w:val="left"/>
        <w:rPr>
          <w:szCs w:val="21"/>
        </w:rPr>
      </w:pPr>
      <w:r>
        <w:rPr>
          <w:szCs w:val="21"/>
        </w:rPr>
        <w:t>监狱企业声明函（如是）；</w:t>
      </w:r>
    </w:p>
    <w:p>
      <w:pPr>
        <w:tabs>
          <w:tab w:val="left" w:pos="3870"/>
          <w:tab w:val="left" w:pos="4085"/>
        </w:tabs>
        <w:snapToGrid w:val="0"/>
        <w:spacing w:line="336" w:lineRule="auto"/>
        <w:ind w:firstLine="420" w:firstLineChars="200"/>
        <w:jc w:val="left"/>
        <w:rPr>
          <w:szCs w:val="21"/>
        </w:rPr>
      </w:pPr>
      <w:r>
        <w:rPr>
          <w:szCs w:val="21"/>
        </w:rPr>
        <w:t>残疾人福利性单位声明函（如是）；</w:t>
      </w:r>
    </w:p>
    <w:p>
      <w:pPr>
        <w:pStyle w:val="104"/>
        <w:snapToGrid w:val="0"/>
        <w:spacing w:before="120" w:after="120" w:line="336" w:lineRule="auto"/>
        <w:ind w:left="417" w:right="-506" w:rightChars="-241"/>
        <w:rPr>
          <w:rFonts w:asciiTheme="minorEastAsia" w:hAnsiTheme="minorEastAsia" w:eastAsiaTheme="minorEastAsia"/>
          <w:b/>
          <w:sz w:val="21"/>
          <w:szCs w:val="21"/>
        </w:rPr>
      </w:pPr>
      <w:r>
        <w:rPr>
          <w:rFonts w:asciiTheme="minorEastAsia" w:hAnsiTheme="minorEastAsia" w:eastAsiaTheme="minorEastAsia"/>
          <w:b/>
          <w:sz w:val="21"/>
          <w:szCs w:val="21"/>
        </w:rPr>
        <w:t>2</w:t>
      </w:r>
      <w:r>
        <w:rPr>
          <w:rFonts w:hint="eastAsia" w:asciiTheme="minorEastAsia" w:hAnsiTheme="minorEastAsia" w:eastAsiaTheme="minorEastAsia"/>
          <w:b/>
          <w:sz w:val="21"/>
          <w:szCs w:val="21"/>
        </w:rPr>
        <w:t>.</w:t>
      </w:r>
      <w:r>
        <w:rPr>
          <w:rFonts w:asciiTheme="minorEastAsia" w:hAnsiTheme="minorEastAsia" w:eastAsiaTheme="minorEastAsia"/>
          <w:b/>
          <w:sz w:val="21"/>
          <w:szCs w:val="21"/>
        </w:rPr>
        <w:t>商务及技术部分：</w:t>
      </w:r>
    </w:p>
    <w:p>
      <w:pPr>
        <w:tabs>
          <w:tab w:val="left" w:pos="2087"/>
        </w:tabs>
        <w:snapToGrid w:val="0"/>
        <w:spacing w:line="360" w:lineRule="auto"/>
        <w:ind w:firstLine="411" w:firstLineChars="196"/>
        <w:jc w:val="left"/>
        <w:rPr>
          <w:rFonts w:asciiTheme="minorEastAsia" w:hAnsiTheme="minorEastAsia" w:eastAsiaTheme="minorEastAsia"/>
          <w:szCs w:val="21"/>
        </w:rPr>
      </w:pPr>
      <w:r>
        <w:rPr>
          <w:rFonts w:hint="eastAsia" w:asciiTheme="minorEastAsia" w:hAnsiTheme="minorEastAsia" w:eastAsiaTheme="minorEastAsia"/>
          <w:szCs w:val="21"/>
        </w:rPr>
        <w:t>2.1投标人基本情况表（如有）；</w:t>
      </w:r>
    </w:p>
    <w:p>
      <w:pPr>
        <w:tabs>
          <w:tab w:val="left" w:pos="2087"/>
        </w:tabs>
        <w:snapToGrid w:val="0"/>
        <w:spacing w:line="360" w:lineRule="auto"/>
        <w:ind w:firstLine="411" w:firstLineChars="196"/>
        <w:jc w:val="left"/>
        <w:rPr>
          <w:rFonts w:asciiTheme="minorEastAsia" w:hAnsiTheme="minorEastAsia" w:eastAsiaTheme="minorEastAsia"/>
          <w:szCs w:val="21"/>
        </w:rPr>
      </w:pPr>
      <w:r>
        <w:rPr>
          <w:rFonts w:hint="eastAsia" w:asciiTheme="minorEastAsia" w:hAnsiTheme="minorEastAsia" w:eastAsiaTheme="minorEastAsia"/>
          <w:szCs w:val="21"/>
        </w:rPr>
        <w:t>2.2项目负责人简历表（须附相关证明材料）；项目实施人员一览表（须附职称证书复印件）；</w:t>
      </w:r>
    </w:p>
    <w:p>
      <w:pPr>
        <w:tabs>
          <w:tab w:val="left" w:pos="2087"/>
        </w:tabs>
        <w:snapToGrid w:val="0"/>
        <w:spacing w:line="360" w:lineRule="auto"/>
        <w:ind w:firstLine="411" w:firstLineChars="196"/>
        <w:jc w:val="left"/>
        <w:rPr>
          <w:rFonts w:asciiTheme="minorEastAsia" w:hAnsiTheme="minorEastAsia" w:eastAsiaTheme="minorEastAsia"/>
          <w:szCs w:val="21"/>
        </w:rPr>
      </w:pPr>
      <w:r>
        <w:rPr>
          <w:rFonts w:hint="eastAsia" w:asciiTheme="minorEastAsia" w:hAnsiTheme="minorEastAsia" w:eastAsiaTheme="minorEastAsia"/>
          <w:szCs w:val="21"/>
        </w:rPr>
        <w:t>2.3成功案例及业绩；</w:t>
      </w:r>
    </w:p>
    <w:p>
      <w:pPr>
        <w:tabs>
          <w:tab w:val="left" w:pos="2087"/>
        </w:tabs>
        <w:snapToGrid w:val="0"/>
        <w:spacing w:line="360" w:lineRule="auto"/>
        <w:ind w:firstLine="411" w:firstLineChars="196"/>
        <w:jc w:val="left"/>
        <w:rPr>
          <w:rFonts w:asciiTheme="minorEastAsia" w:hAnsiTheme="minorEastAsia" w:eastAsiaTheme="minorEastAsia"/>
          <w:szCs w:val="21"/>
        </w:rPr>
      </w:pPr>
      <w:r>
        <w:rPr>
          <w:rFonts w:hint="eastAsia" w:asciiTheme="minorEastAsia" w:hAnsiTheme="minorEastAsia" w:eastAsiaTheme="minorEastAsia"/>
          <w:szCs w:val="21"/>
        </w:rPr>
        <w:t>2.4商务偏离表；</w:t>
      </w:r>
    </w:p>
    <w:p>
      <w:pPr>
        <w:tabs>
          <w:tab w:val="left" w:pos="2087"/>
        </w:tabs>
        <w:snapToGrid w:val="0"/>
        <w:spacing w:line="360" w:lineRule="auto"/>
        <w:ind w:firstLine="411" w:firstLineChars="196"/>
        <w:jc w:val="left"/>
        <w:rPr>
          <w:rFonts w:asciiTheme="minorEastAsia" w:hAnsiTheme="minorEastAsia" w:eastAsiaTheme="minorEastAsia"/>
          <w:szCs w:val="21"/>
        </w:rPr>
      </w:pPr>
      <w:r>
        <w:rPr>
          <w:rFonts w:hint="eastAsia" w:asciiTheme="minorEastAsia" w:hAnsiTheme="minorEastAsia" w:eastAsiaTheme="minorEastAsia"/>
          <w:szCs w:val="21"/>
        </w:rPr>
        <w:t>2.5保修服务内容及标准及设备维修方案的具体措施；</w:t>
      </w:r>
    </w:p>
    <w:p>
      <w:pPr>
        <w:tabs>
          <w:tab w:val="left" w:pos="2087"/>
        </w:tabs>
        <w:snapToGrid w:val="0"/>
        <w:spacing w:line="360" w:lineRule="auto"/>
        <w:ind w:firstLine="411" w:firstLineChars="196"/>
        <w:jc w:val="left"/>
        <w:rPr>
          <w:rFonts w:asciiTheme="minorEastAsia" w:hAnsiTheme="minorEastAsia" w:eastAsiaTheme="minorEastAsia"/>
          <w:szCs w:val="21"/>
        </w:rPr>
      </w:pPr>
      <w:r>
        <w:rPr>
          <w:rFonts w:hint="eastAsia" w:asciiTheme="minorEastAsia" w:hAnsiTheme="minorEastAsia" w:eastAsiaTheme="minorEastAsia"/>
          <w:szCs w:val="21"/>
        </w:rPr>
        <w:t>2.6本项目的整体理解及重点、难点分析和相应解决措施；</w:t>
      </w:r>
    </w:p>
    <w:p>
      <w:pPr>
        <w:tabs>
          <w:tab w:val="left" w:pos="2087"/>
        </w:tabs>
        <w:snapToGrid w:val="0"/>
        <w:spacing w:line="360" w:lineRule="auto"/>
        <w:ind w:firstLine="411" w:firstLineChars="196"/>
        <w:jc w:val="left"/>
        <w:rPr>
          <w:rFonts w:asciiTheme="minorEastAsia" w:hAnsiTheme="minorEastAsia" w:eastAsiaTheme="minorEastAsia"/>
          <w:szCs w:val="21"/>
        </w:rPr>
      </w:pPr>
      <w:r>
        <w:rPr>
          <w:rFonts w:hint="eastAsia" w:asciiTheme="minorEastAsia" w:hAnsiTheme="minorEastAsia" w:eastAsiaTheme="minorEastAsia"/>
          <w:szCs w:val="21"/>
        </w:rPr>
        <w:t>2.7本项目的质量保证措施、内部管理措施、服务质量保障承诺；</w:t>
      </w:r>
    </w:p>
    <w:p>
      <w:pPr>
        <w:tabs>
          <w:tab w:val="left" w:pos="2087"/>
        </w:tabs>
        <w:snapToGrid w:val="0"/>
        <w:spacing w:line="360" w:lineRule="auto"/>
        <w:ind w:firstLine="411" w:firstLineChars="196"/>
        <w:jc w:val="left"/>
        <w:rPr>
          <w:rFonts w:asciiTheme="minorEastAsia" w:hAnsiTheme="minorEastAsia" w:eastAsiaTheme="minorEastAsia"/>
          <w:szCs w:val="21"/>
        </w:rPr>
      </w:pPr>
      <w:r>
        <w:rPr>
          <w:rFonts w:hint="eastAsia" w:asciiTheme="minorEastAsia" w:hAnsiTheme="minorEastAsia" w:eastAsiaTheme="minorEastAsia"/>
          <w:szCs w:val="21"/>
        </w:rPr>
        <w:t>2.8技术力量、维修人员配置；</w:t>
      </w:r>
    </w:p>
    <w:p>
      <w:pPr>
        <w:tabs>
          <w:tab w:val="left" w:pos="2087"/>
        </w:tabs>
        <w:snapToGrid w:val="0"/>
        <w:spacing w:line="360" w:lineRule="auto"/>
        <w:ind w:firstLine="411" w:firstLineChars="196"/>
        <w:jc w:val="left"/>
        <w:rPr>
          <w:rFonts w:asciiTheme="minorEastAsia" w:hAnsiTheme="minorEastAsia" w:eastAsiaTheme="minorEastAsia"/>
          <w:szCs w:val="21"/>
        </w:rPr>
      </w:pPr>
      <w:r>
        <w:rPr>
          <w:rFonts w:hint="eastAsia" w:asciiTheme="minorEastAsia" w:hAnsiTheme="minorEastAsia" w:eastAsiaTheme="minorEastAsia"/>
          <w:szCs w:val="21"/>
        </w:rPr>
        <w:t>2.9组织和实施计划、时间计划</w:t>
      </w:r>
    </w:p>
    <w:p>
      <w:pPr>
        <w:tabs>
          <w:tab w:val="left" w:pos="2087"/>
        </w:tabs>
        <w:snapToGrid w:val="0"/>
        <w:spacing w:line="360" w:lineRule="auto"/>
        <w:ind w:firstLine="411" w:firstLineChars="196"/>
        <w:jc w:val="left"/>
        <w:rPr>
          <w:rFonts w:asciiTheme="minorEastAsia" w:hAnsiTheme="minorEastAsia" w:eastAsiaTheme="minorEastAsia"/>
          <w:szCs w:val="21"/>
        </w:rPr>
      </w:pPr>
      <w:r>
        <w:rPr>
          <w:rFonts w:hint="eastAsia" w:asciiTheme="minorEastAsia" w:hAnsiTheme="minorEastAsia" w:eastAsiaTheme="minorEastAsia"/>
          <w:szCs w:val="21"/>
        </w:rPr>
        <w:t>2.10项目实施期间和实施后的服务承诺（包括服务响应时间、具体的服务承诺）；</w:t>
      </w:r>
    </w:p>
    <w:p>
      <w:pPr>
        <w:tabs>
          <w:tab w:val="left" w:pos="2087"/>
        </w:tabs>
        <w:snapToGrid w:val="0"/>
        <w:spacing w:line="360" w:lineRule="auto"/>
        <w:ind w:firstLine="411" w:firstLineChars="196"/>
        <w:jc w:val="left"/>
        <w:rPr>
          <w:rFonts w:asciiTheme="minorEastAsia" w:hAnsiTheme="minorEastAsia" w:eastAsiaTheme="minorEastAsia"/>
          <w:szCs w:val="21"/>
        </w:rPr>
      </w:pPr>
      <w:r>
        <w:rPr>
          <w:rFonts w:hint="eastAsia" w:asciiTheme="minorEastAsia" w:hAnsiTheme="minorEastAsia" w:eastAsiaTheme="minorEastAsia"/>
          <w:szCs w:val="21"/>
        </w:rPr>
        <w:t>2.11突发事件的应急措施；</w:t>
      </w:r>
    </w:p>
    <w:p>
      <w:pPr>
        <w:tabs>
          <w:tab w:val="left" w:pos="2087"/>
        </w:tabs>
        <w:snapToGrid w:val="0"/>
        <w:spacing w:line="360" w:lineRule="auto"/>
        <w:ind w:firstLine="411" w:firstLineChars="196"/>
        <w:jc w:val="left"/>
        <w:rPr>
          <w:rFonts w:asciiTheme="minorEastAsia" w:hAnsiTheme="minorEastAsia" w:eastAsiaTheme="minorEastAsia"/>
          <w:szCs w:val="21"/>
        </w:rPr>
      </w:pPr>
      <w:r>
        <w:rPr>
          <w:rFonts w:hint="eastAsia" w:asciiTheme="minorEastAsia" w:hAnsiTheme="minorEastAsia" w:eastAsiaTheme="minorEastAsia"/>
          <w:szCs w:val="21"/>
        </w:rPr>
        <w:t>2.12合理化建议和优惠承诺；</w:t>
      </w:r>
    </w:p>
    <w:p>
      <w:pPr>
        <w:tabs>
          <w:tab w:val="left" w:pos="2087"/>
        </w:tabs>
        <w:snapToGrid w:val="0"/>
        <w:spacing w:line="360" w:lineRule="auto"/>
        <w:ind w:firstLine="411" w:firstLineChars="196"/>
        <w:jc w:val="left"/>
        <w:rPr>
          <w:rFonts w:asciiTheme="minorEastAsia" w:hAnsiTheme="minorEastAsia" w:eastAsiaTheme="minorEastAsia"/>
          <w:szCs w:val="21"/>
        </w:rPr>
      </w:pPr>
      <w:r>
        <w:rPr>
          <w:rFonts w:hint="eastAsia" w:asciiTheme="minorEastAsia" w:hAnsiTheme="minorEastAsia" w:eastAsiaTheme="minorEastAsia"/>
          <w:szCs w:val="21"/>
        </w:rPr>
        <w:t>2.13投标人需要说明的其他文件和说明。</w:t>
      </w:r>
    </w:p>
    <w:p>
      <w:pPr>
        <w:tabs>
          <w:tab w:val="left" w:pos="2087"/>
        </w:tabs>
        <w:snapToGrid w:val="0"/>
        <w:spacing w:line="360" w:lineRule="auto"/>
        <w:ind w:firstLine="413" w:firstLineChars="196"/>
        <w:jc w:val="left"/>
        <w:rPr>
          <w:rFonts w:asciiTheme="minorEastAsia" w:hAnsiTheme="minorEastAsia" w:eastAsiaTheme="minorEastAsia"/>
          <w:b/>
          <w:szCs w:val="21"/>
        </w:rPr>
      </w:pPr>
      <w:r>
        <w:rPr>
          <w:rFonts w:asciiTheme="minorEastAsia" w:hAnsiTheme="minorEastAsia" w:eastAsiaTheme="minorEastAsia"/>
          <w:b/>
          <w:szCs w:val="21"/>
        </w:rPr>
        <w:t>3</w:t>
      </w:r>
      <w:r>
        <w:rPr>
          <w:rFonts w:hint="eastAsia" w:asciiTheme="minorEastAsia" w:hAnsiTheme="minorEastAsia" w:eastAsiaTheme="minorEastAsia"/>
          <w:b/>
          <w:szCs w:val="21"/>
        </w:rPr>
        <w:t>.</w:t>
      </w:r>
      <w:r>
        <w:rPr>
          <w:rFonts w:asciiTheme="minorEastAsia" w:hAnsiTheme="minorEastAsia" w:eastAsiaTheme="minorEastAsia"/>
          <w:b/>
          <w:szCs w:val="21"/>
        </w:rPr>
        <w:t>报价部分：</w:t>
      </w:r>
      <w:r>
        <w:rPr>
          <w:rFonts w:asciiTheme="minorEastAsia" w:hAnsiTheme="minorEastAsia" w:eastAsiaTheme="minorEastAsia"/>
          <w:b/>
          <w:szCs w:val="21"/>
        </w:rPr>
        <w:tab/>
      </w:r>
    </w:p>
    <w:p>
      <w:pPr>
        <w:snapToGrid w:val="0"/>
        <w:spacing w:line="336"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3.1投标报价一览表；</w:t>
      </w:r>
    </w:p>
    <w:p>
      <w:pPr>
        <w:tabs>
          <w:tab w:val="left" w:pos="3870"/>
          <w:tab w:val="left" w:pos="4085"/>
        </w:tabs>
        <w:snapToGrid w:val="0"/>
        <w:spacing w:line="336"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3.2报价明细表；</w:t>
      </w:r>
    </w:p>
    <w:p>
      <w:pPr>
        <w:snapToGrid w:val="0"/>
        <w:spacing w:line="336"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3.3投标人针对报价需要说明的其他文件和说明。</w:t>
      </w:r>
    </w:p>
    <w:p>
      <w:pPr>
        <w:snapToGrid w:val="0"/>
        <w:spacing w:line="360" w:lineRule="auto"/>
        <w:ind w:right="55"/>
        <w:jc w:val="left"/>
        <w:outlineLvl w:val="0"/>
        <w:rPr>
          <w:b/>
          <w:sz w:val="24"/>
        </w:rPr>
      </w:pPr>
      <w:r>
        <w:rPr>
          <w:b/>
          <w:szCs w:val="21"/>
        </w:rPr>
        <w:t>（二）投标文件的语言及计量</w:t>
      </w:r>
    </w:p>
    <w:p>
      <w:pPr>
        <w:snapToGrid w:val="0"/>
        <w:spacing w:line="360" w:lineRule="auto"/>
        <w:jc w:val="left"/>
        <w:rPr>
          <w:szCs w:val="21"/>
        </w:rPr>
      </w:pPr>
      <w:r>
        <w:rPr>
          <w:rFonts w:hint="eastAsia"/>
          <w:szCs w:val="21"/>
        </w:rPr>
        <w:t xml:space="preserve">    1.</w:t>
      </w:r>
      <w:r>
        <w:rPr>
          <w:szCs w:val="21"/>
        </w:rPr>
        <w:t>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szCs w:val="21"/>
        </w:rPr>
      </w:pPr>
      <w:r>
        <w:rPr>
          <w:szCs w:val="21"/>
        </w:rPr>
        <w:t>2</w:t>
      </w:r>
      <w:r>
        <w:rPr>
          <w:rFonts w:hint="eastAsia"/>
          <w:szCs w:val="21"/>
        </w:rPr>
        <w:t>.</w:t>
      </w:r>
      <w:r>
        <w:rPr>
          <w:szCs w:val="21"/>
        </w:rPr>
        <w:t>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rPr>
          <w:b/>
          <w:szCs w:val="21"/>
        </w:rPr>
      </w:pPr>
      <w:r>
        <w:rPr>
          <w:b/>
          <w:szCs w:val="21"/>
        </w:rPr>
        <w:t>（三）响应报价</w:t>
      </w:r>
    </w:p>
    <w:p>
      <w:pPr>
        <w:pStyle w:val="10"/>
        <w:tabs>
          <w:tab w:val="clear" w:pos="360"/>
        </w:tabs>
        <w:snapToGrid w:val="0"/>
        <w:spacing w:line="360" w:lineRule="auto"/>
        <w:ind w:left="0" w:firstLine="422" w:firstLineChars="200"/>
        <w:rPr>
          <w:b/>
          <w:bCs/>
          <w:szCs w:val="21"/>
        </w:rPr>
      </w:pPr>
      <w:r>
        <w:rPr>
          <w:b/>
          <w:bCs/>
          <w:szCs w:val="21"/>
        </w:rPr>
        <w:t>1</w:t>
      </w:r>
      <w:r>
        <w:rPr>
          <w:rFonts w:hint="eastAsia"/>
          <w:b/>
          <w:bCs/>
          <w:szCs w:val="21"/>
        </w:rPr>
        <w:t>.</w:t>
      </w:r>
      <w:r>
        <w:rPr>
          <w:b/>
          <w:bCs/>
          <w:szCs w:val="21"/>
        </w:rPr>
        <w:t>投标报价应以人民币报价，投标人报价应是包括为完成本项目服务、设备供应可能发生的全部费用及中标人的利润和应交纳的税金等一切费用。</w:t>
      </w:r>
    </w:p>
    <w:p>
      <w:pPr>
        <w:spacing w:line="360" w:lineRule="auto"/>
        <w:ind w:firstLine="420"/>
      </w:pPr>
      <w:r>
        <w:rPr>
          <w:b/>
          <w:bCs/>
          <w:szCs w:val="21"/>
        </w:rPr>
        <w:t>2</w:t>
      </w:r>
      <w:r>
        <w:rPr>
          <w:rFonts w:hint="eastAsia"/>
          <w:b/>
          <w:bCs/>
          <w:szCs w:val="21"/>
        </w:rPr>
        <w:t>.</w:t>
      </w:r>
      <w:r>
        <w:rPr>
          <w:b/>
          <w:bCs/>
          <w:szCs w:val="21"/>
        </w:rPr>
        <w:t>投标文件针对同一内容只允许有一个报价，有选择的或有条件的报价将不予接受。</w:t>
      </w:r>
    </w:p>
    <w:p>
      <w:pPr>
        <w:snapToGrid w:val="0"/>
        <w:spacing w:line="360" w:lineRule="auto"/>
        <w:jc w:val="left"/>
        <w:outlineLvl w:val="0"/>
        <w:rPr>
          <w:b/>
          <w:szCs w:val="21"/>
        </w:rPr>
      </w:pPr>
      <w:r>
        <w:rPr>
          <w:b/>
          <w:szCs w:val="21"/>
        </w:rPr>
        <w:t>（四）投标文件的有效期</w:t>
      </w:r>
    </w:p>
    <w:p>
      <w:pPr>
        <w:pStyle w:val="10"/>
        <w:tabs>
          <w:tab w:val="left" w:pos="454"/>
          <w:tab w:val="left" w:pos="720"/>
          <w:tab w:val="left" w:pos="900"/>
        </w:tabs>
        <w:snapToGrid w:val="0"/>
        <w:spacing w:line="360" w:lineRule="auto"/>
        <w:ind w:left="0" w:right="-506" w:rightChars="-241" w:firstLine="420" w:firstLineChars="200"/>
      </w:pPr>
      <w:r>
        <w:t>1</w:t>
      </w:r>
      <w:r>
        <w:rPr>
          <w:rFonts w:hint="eastAsia"/>
        </w:rPr>
        <w:t>.</w:t>
      </w:r>
      <w:r>
        <w:t>自投标截止日起</w:t>
      </w:r>
      <w:r>
        <w:rPr>
          <w:b/>
          <w:u w:val="single"/>
        </w:rPr>
        <w:t xml:space="preserve">90 </w:t>
      </w:r>
      <w:r>
        <w:rPr>
          <w:b/>
        </w:rPr>
        <w:t>天</w:t>
      </w:r>
      <w:r>
        <w:t>投标文件应保持有效。有效期不足的投标文件将被拒绝。</w:t>
      </w:r>
    </w:p>
    <w:p>
      <w:pPr>
        <w:snapToGrid w:val="0"/>
        <w:spacing w:line="360" w:lineRule="auto"/>
        <w:ind w:right="-86" w:rightChars="-41" w:firstLine="420" w:firstLineChars="200"/>
        <w:jc w:val="left"/>
        <w:outlineLvl w:val="0"/>
      </w:pPr>
      <w:r>
        <w:t>2</w:t>
      </w:r>
      <w:r>
        <w:rPr>
          <w:rFonts w:hint="eastAsia"/>
        </w:rPr>
        <w:t>.</w:t>
      </w:r>
      <w:r>
        <w:t>在特殊情况下，采购人可与投标人协商延长投标书的有效期，这种要求和答复均以书面形式进行。</w:t>
      </w:r>
    </w:p>
    <w:p>
      <w:pPr>
        <w:snapToGrid w:val="0"/>
        <w:spacing w:line="360" w:lineRule="auto"/>
        <w:ind w:right="55" w:firstLine="420" w:firstLineChars="200"/>
        <w:jc w:val="left"/>
        <w:outlineLvl w:val="0"/>
      </w:pPr>
      <w:r>
        <w:t>3</w:t>
      </w:r>
      <w:r>
        <w:rPr>
          <w:rFonts w:hint="eastAsia"/>
        </w:rPr>
        <w:t>.</w:t>
      </w:r>
      <w:r>
        <w:t>中标人的投标文件自开标之日起至合同履行完毕止均应保持有效。</w:t>
      </w:r>
    </w:p>
    <w:p>
      <w:pPr>
        <w:snapToGrid w:val="0"/>
        <w:spacing w:line="360" w:lineRule="auto"/>
        <w:jc w:val="left"/>
        <w:rPr>
          <w:b/>
          <w:szCs w:val="21"/>
        </w:rPr>
      </w:pPr>
      <w:r>
        <w:rPr>
          <w:b/>
          <w:szCs w:val="21"/>
        </w:rPr>
        <w:t>（五）投标文件的包装、递交、修改和撤回</w:t>
      </w:r>
    </w:p>
    <w:p>
      <w:pPr>
        <w:snapToGrid w:val="0"/>
        <w:spacing w:line="360" w:lineRule="auto"/>
        <w:ind w:right="-86" w:rightChars="-41" w:firstLine="420" w:firstLineChars="200"/>
        <w:jc w:val="left"/>
      </w:pPr>
      <w:r>
        <w:t>1</w:t>
      </w:r>
      <w:r>
        <w:rPr>
          <w:rFonts w:hint="eastAsia"/>
        </w:rPr>
        <w:t>.</w:t>
      </w:r>
      <w: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right="-86" w:rightChars="-41" w:firstLine="420" w:firstLineChars="200"/>
        <w:jc w:val="left"/>
      </w:pPr>
      <w:r>
        <w:t>2</w:t>
      </w:r>
      <w:r>
        <w:rPr>
          <w:rFonts w:hint="eastAsia"/>
        </w:rPr>
        <w:t>.</w:t>
      </w:r>
      <w:r>
        <w:t>投标人应当在投标截止时间前将以介质存储的数据电文形式的备份投标文件和纸质备份投标文件</w:t>
      </w:r>
      <w:r>
        <w:rPr>
          <w:szCs w:val="21"/>
        </w:rPr>
        <w:t>寄到或送达采购代理公司。地址：舟山市定海区昌国路232号中楼202  深圳市国信招标有限公司舟山分公司。也可现场递交。</w:t>
      </w:r>
      <w:r>
        <w:t>逾期送达或未密封将被拒收。</w:t>
      </w:r>
    </w:p>
    <w:p>
      <w:pPr>
        <w:snapToGrid w:val="0"/>
        <w:spacing w:line="360" w:lineRule="auto"/>
        <w:ind w:right="-86" w:rightChars="-41" w:firstLine="422" w:firstLineChars="200"/>
        <w:jc w:val="left"/>
      </w:pPr>
      <w:r>
        <w:rPr>
          <w:b/>
          <w:szCs w:val="21"/>
        </w:rPr>
        <w:t>投标人可以不提供备份投标文件，造成项目开评标活动无法进行下去的，投标无效，相关风险由投标人自行承担</w:t>
      </w:r>
    </w:p>
    <w:p>
      <w:pPr>
        <w:snapToGrid w:val="0"/>
        <w:spacing w:line="360" w:lineRule="auto"/>
        <w:ind w:right="-86" w:rightChars="-41" w:firstLine="420" w:firstLineChars="200"/>
        <w:jc w:val="left"/>
      </w:pPr>
      <w:r>
        <w:t>投标人递交以介质存储的数据电文形式的备份投标文件和纸质备份投标文件时，如出现下列情况之一的，将被拒收：</w:t>
      </w:r>
    </w:p>
    <w:p>
      <w:pPr>
        <w:snapToGrid w:val="0"/>
        <w:spacing w:line="360" w:lineRule="auto"/>
        <w:ind w:right="-86" w:rightChars="-41" w:firstLine="420" w:firstLineChars="200"/>
        <w:jc w:val="left"/>
      </w:pPr>
      <w:r>
        <w:t>（1）未按规定密封或标记的投标文件；</w:t>
      </w:r>
    </w:p>
    <w:p>
      <w:pPr>
        <w:snapToGrid w:val="0"/>
        <w:spacing w:line="360" w:lineRule="auto"/>
        <w:ind w:right="-86" w:rightChars="-41" w:firstLine="420" w:firstLineChars="200"/>
        <w:jc w:val="left"/>
      </w:pPr>
      <w:r>
        <w:t>（2）由于包装不妥，在送交途中严重破损或失散的；</w:t>
      </w:r>
    </w:p>
    <w:p>
      <w:pPr>
        <w:snapToGrid w:val="0"/>
        <w:spacing w:line="360" w:lineRule="auto"/>
        <w:ind w:right="-86" w:rightChars="-41" w:firstLine="420" w:firstLineChars="200"/>
        <w:jc w:val="left"/>
      </w:pPr>
      <w:r>
        <w:t>（3）未成功办理投标人报名手续的；</w:t>
      </w:r>
    </w:p>
    <w:p>
      <w:pPr>
        <w:snapToGrid w:val="0"/>
        <w:spacing w:line="360" w:lineRule="auto"/>
        <w:ind w:right="-86" w:rightChars="-41" w:firstLine="420" w:firstLineChars="200"/>
        <w:jc w:val="left"/>
      </w:pPr>
      <w:r>
        <w:t>（4）超过投标截止时间送达的；</w:t>
      </w:r>
    </w:p>
    <w:p>
      <w:pPr>
        <w:snapToGrid w:val="0"/>
        <w:spacing w:line="360" w:lineRule="auto"/>
        <w:ind w:right="-86" w:rightChars="-41" w:firstLine="420" w:firstLineChars="200"/>
        <w:jc w:val="left"/>
      </w:pPr>
      <w:r>
        <w:t>仅提供备份投标文件的，投标无效。</w:t>
      </w:r>
    </w:p>
    <w:p>
      <w:pPr>
        <w:snapToGrid w:val="0"/>
        <w:spacing w:line="360" w:lineRule="auto"/>
        <w:ind w:right="-86" w:rightChars="-41" w:firstLine="420" w:firstLineChars="200"/>
        <w:jc w:val="left"/>
      </w:pPr>
      <w:r>
        <w:t>仅提供其中一种形式的备份投标文件，造成项目开评标活动无法进行下去的，投标无效，相关风险由投标人自行承担。</w:t>
      </w:r>
    </w:p>
    <w:p>
      <w:pPr>
        <w:snapToGrid w:val="0"/>
        <w:spacing w:line="360" w:lineRule="auto"/>
        <w:ind w:right="-86" w:rightChars="-41" w:firstLine="420" w:firstLineChars="200"/>
        <w:jc w:val="left"/>
      </w:pPr>
      <w:r>
        <w:t>3</w:t>
      </w:r>
      <w:r>
        <w:rPr>
          <w:rFonts w:hint="eastAsia"/>
        </w:rPr>
        <w:t>.</w:t>
      </w:r>
      <w:r>
        <w:t>投标、响应文件未按时解密，供应商提供了备份投标、响应文件的，以备份投标、响应文件作为依据，否则视为投标、响应文件撤回。投标、响应文件已按时解密的，备份投标、响应文件自动失效。</w:t>
      </w:r>
    </w:p>
    <w:p>
      <w:pPr>
        <w:snapToGrid w:val="0"/>
        <w:spacing w:line="360" w:lineRule="auto"/>
        <w:ind w:right="-86" w:rightChars="-41" w:firstLine="420" w:firstLineChars="200"/>
        <w:jc w:val="left"/>
      </w:pPr>
      <w:r>
        <w:t>4</w:t>
      </w:r>
      <w:r>
        <w:rPr>
          <w:rFonts w:hint="eastAsia"/>
        </w:rPr>
        <w:t>.</w:t>
      </w:r>
      <w:r>
        <w:t>备份投标文件须密封封装。包装封面上应注明投标人名称，封口处加盖投标人公章。</w:t>
      </w:r>
    </w:p>
    <w:p>
      <w:pPr>
        <w:spacing w:line="360" w:lineRule="auto"/>
      </w:pPr>
      <w:r>
        <w:rPr>
          <w:b/>
          <w:szCs w:val="21"/>
        </w:rPr>
        <w:t>（六）投标无效的情形</w:t>
      </w:r>
    </w:p>
    <w:p>
      <w:pPr>
        <w:pStyle w:val="104"/>
        <w:snapToGrid w:val="0"/>
        <w:spacing w:before="120" w:after="120" w:line="360" w:lineRule="auto"/>
        <w:ind w:right="-86" w:rightChars="-41" w:firstLine="415" w:firstLineChars="198"/>
        <w:rPr>
          <w:rFonts w:ascii="Times New Roman" w:hAnsi="Times New Roman" w:eastAsia="宋体"/>
          <w:sz w:val="21"/>
          <w:szCs w:val="21"/>
        </w:rPr>
      </w:pPr>
      <w:r>
        <w:rPr>
          <w:rFonts w:ascii="Times New Roman" w:hAnsi="Times New Roman" w:eastAsia="宋体"/>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104"/>
        <w:snapToGrid w:val="0"/>
        <w:spacing w:before="120" w:after="120" w:line="360" w:lineRule="auto"/>
        <w:ind w:firstLine="417" w:firstLineChars="198"/>
        <w:rPr>
          <w:rFonts w:ascii="Times New Roman" w:hAnsi="Times New Roman" w:eastAsia="宋体"/>
          <w:sz w:val="21"/>
          <w:szCs w:val="21"/>
        </w:rPr>
      </w:pPr>
      <w:r>
        <w:rPr>
          <w:rFonts w:ascii="Times New Roman" w:hAnsi="Times New Roman" w:eastAsia="宋体"/>
          <w:b/>
          <w:bCs/>
          <w:sz w:val="21"/>
          <w:szCs w:val="21"/>
        </w:rPr>
        <w:t>1</w:t>
      </w:r>
      <w:r>
        <w:rPr>
          <w:rFonts w:hint="eastAsia" w:ascii="Times New Roman" w:hAnsi="Times New Roman" w:eastAsia="宋体"/>
          <w:b/>
          <w:bCs/>
          <w:sz w:val="21"/>
          <w:szCs w:val="21"/>
        </w:rPr>
        <w:t>.</w:t>
      </w:r>
      <w:r>
        <w:rPr>
          <w:rFonts w:ascii="Times New Roman" w:hAnsi="Times New Roman" w:eastAsia="宋体"/>
          <w:b/>
          <w:bCs/>
          <w:sz w:val="21"/>
          <w:szCs w:val="21"/>
        </w:rPr>
        <w:t>在符合性审查和商务评审时，如发现下列情形之一的，投标文件将被视为无效投标：</w:t>
      </w:r>
    </w:p>
    <w:p>
      <w:pPr>
        <w:pStyle w:val="104"/>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1.1</w:t>
      </w:r>
      <w:r>
        <w:rPr>
          <w:rFonts w:ascii="Times New Roman" w:hAnsi="Times New Roman" w:eastAsia="宋体"/>
          <w:sz w:val="21"/>
          <w:szCs w:val="21"/>
        </w:rPr>
        <w:t>资格证明文件不全的，或者不符合采购文件标明的资格要求的</w:t>
      </w:r>
      <w:r>
        <w:rPr>
          <w:rFonts w:ascii="Times New Roman" w:hAnsi="Times New Roman" w:eastAsia="宋体"/>
          <w:bCs/>
          <w:sz w:val="21"/>
          <w:szCs w:val="21"/>
        </w:rPr>
        <w:t>；</w:t>
      </w:r>
    </w:p>
    <w:p>
      <w:pPr>
        <w:pStyle w:val="20"/>
        <w:snapToGrid w:val="0"/>
        <w:spacing w:before="120" w:line="360" w:lineRule="auto"/>
        <w:ind w:firstLine="415" w:firstLineChars="198"/>
        <w:rPr>
          <w:rFonts w:ascii="Times New Roman" w:hAnsi="Times New Roman"/>
          <w:bCs/>
          <w:sz w:val="21"/>
          <w:szCs w:val="21"/>
        </w:rPr>
      </w:pPr>
      <w:r>
        <w:rPr>
          <w:rFonts w:ascii="Times New Roman" w:hAnsi="Times New Roman"/>
          <w:bCs/>
          <w:sz w:val="21"/>
          <w:szCs w:val="21"/>
        </w:rPr>
        <w:t>1.</w:t>
      </w:r>
      <w:r>
        <w:rPr>
          <w:rFonts w:ascii="Times New Roman" w:hAnsi="Times New Roman"/>
          <w:sz w:val="21"/>
          <w:szCs w:val="21"/>
        </w:rPr>
        <w:t>2投标文件组成不全的；</w:t>
      </w:r>
    </w:p>
    <w:p>
      <w:pPr>
        <w:pStyle w:val="104"/>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1.3投标文件的实质性内容未使用中文表述、意思表述不明确、前后矛盾或者使用计量单位不符合采购文件要求的；（</w:t>
      </w:r>
      <w:r>
        <w:rPr>
          <w:rFonts w:ascii="Times New Roman" w:hAnsi="Times New Roman" w:eastAsia="宋体"/>
          <w:sz w:val="21"/>
          <w:szCs w:val="21"/>
        </w:rPr>
        <w:t>经评审小组认定允许其在线更正的笔误除外</w:t>
      </w:r>
      <w:r>
        <w:rPr>
          <w:rFonts w:ascii="Times New Roman" w:hAnsi="Times New Roman" w:eastAsia="宋体"/>
          <w:bCs/>
          <w:sz w:val="21"/>
          <w:szCs w:val="21"/>
        </w:rPr>
        <w:t>）</w:t>
      </w:r>
    </w:p>
    <w:p>
      <w:pPr>
        <w:pStyle w:val="104"/>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1.4投标文件的关键内容字迹模糊、无法辨认的，或者投标文件中经修正的内容字迹模糊难以辩认或者修改处未按规定签名盖章的；</w:t>
      </w:r>
    </w:p>
    <w:p>
      <w:pPr>
        <w:pStyle w:val="104"/>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1.5投标有效期、交货时间、质保期等商务条款不能满足采购文件要求的；</w:t>
      </w:r>
    </w:p>
    <w:p>
      <w:pPr>
        <w:pStyle w:val="104"/>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1.6未响应采购文件实质性要求或者投标文件有采购人不能接受的附加条件的；</w:t>
      </w:r>
    </w:p>
    <w:p>
      <w:pPr>
        <w:pStyle w:val="104"/>
        <w:snapToGrid w:val="0"/>
        <w:spacing w:before="120" w:after="120" w:line="360" w:lineRule="auto"/>
        <w:ind w:firstLine="415" w:firstLineChars="198"/>
        <w:rPr>
          <w:rFonts w:ascii="Times New Roman" w:hAnsi="Times New Roman" w:eastAsia="宋体"/>
          <w:bCs/>
          <w:sz w:val="21"/>
          <w:szCs w:val="21"/>
        </w:rPr>
      </w:pPr>
      <w:r>
        <w:rPr>
          <w:rFonts w:ascii="Times New Roman" w:hAnsi="Times New Roman" w:eastAsia="宋体"/>
          <w:bCs/>
          <w:sz w:val="21"/>
          <w:szCs w:val="21"/>
        </w:rPr>
        <w:t>1.7投标文件没有按采购文件要求响应有标“</w:t>
      </w:r>
      <w:r>
        <w:rPr>
          <w:rFonts w:hint="eastAsia" w:ascii="Times New Roman" w:hAnsi="Times New Roman" w:eastAsia="宋体"/>
          <w:bCs/>
          <w:sz w:val="21"/>
          <w:szCs w:val="21"/>
        </w:rPr>
        <w:t>★</w:t>
      </w:r>
      <w:r>
        <w:rPr>
          <w:rFonts w:ascii="Times New Roman" w:hAnsi="Times New Roman" w:eastAsia="宋体"/>
          <w:bCs/>
          <w:sz w:val="21"/>
          <w:szCs w:val="21"/>
        </w:rPr>
        <w:t>”的条款的资料和材料的；</w:t>
      </w:r>
    </w:p>
    <w:p>
      <w:pPr>
        <w:spacing w:line="360" w:lineRule="auto"/>
        <w:ind w:firstLine="420"/>
        <w:rPr>
          <w:szCs w:val="21"/>
        </w:rPr>
      </w:pPr>
      <w:r>
        <w:rPr>
          <w:b/>
          <w:bCs/>
        </w:rPr>
        <w:t>2</w:t>
      </w:r>
      <w:r>
        <w:rPr>
          <w:rFonts w:hint="eastAsia"/>
          <w:b/>
          <w:bCs/>
        </w:rPr>
        <w:t>.</w:t>
      </w:r>
      <w:r>
        <w:rPr>
          <w:b/>
          <w:bCs/>
        </w:rPr>
        <w:t>在技术评审时，如发现下列情形之一的，投标文件将被视为无效响应：</w:t>
      </w:r>
    </w:p>
    <w:p>
      <w:pPr>
        <w:spacing w:line="360" w:lineRule="auto"/>
        <w:ind w:firstLine="420"/>
        <w:rPr>
          <w:szCs w:val="21"/>
        </w:rPr>
      </w:pPr>
      <w:r>
        <w:rPr>
          <w:szCs w:val="21"/>
        </w:rPr>
        <w:t>2.1投标文件标明的响应或偏离与事实不符或虚假投标的；</w:t>
      </w:r>
    </w:p>
    <w:p>
      <w:pPr>
        <w:spacing w:line="360" w:lineRule="auto"/>
        <w:ind w:firstLine="420" w:firstLineChars="200"/>
        <w:rPr>
          <w:szCs w:val="21"/>
        </w:rPr>
      </w:pPr>
      <w:r>
        <w:rPr>
          <w:bCs/>
          <w:szCs w:val="21"/>
        </w:rPr>
        <w:t>2.2明显不符合采购文件标明的质量标准，或者采购文件中标“</w:t>
      </w:r>
      <w:r>
        <w:rPr>
          <w:rFonts w:hint="eastAsia"/>
          <w:b/>
        </w:rPr>
        <w:t>★</w:t>
      </w:r>
      <w:r>
        <w:rPr>
          <w:bCs/>
          <w:szCs w:val="21"/>
        </w:rPr>
        <w:t>”的技术参数、条款（如有）发生实质性偏离的；</w:t>
      </w:r>
    </w:p>
    <w:p>
      <w:pPr>
        <w:spacing w:line="360" w:lineRule="auto"/>
        <w:ind w:firstLine="420"/>
      </w:pPr>
      <w:r>
        <w:rPr>
          <w:szCs w:val="21"/>
        </w:rPr>
        <w:t>2.3投标技术方案不明确，存在一个或一个以上备选（替代）投标方案的；</w:t>
      </w:r>
    </w:p>
    <w:p>
      <w:pPr>
        <w:spacing w:line="360" w:lineRule="auto"/>
        <w:ind w:firstLine="420"/>
        <w:rPr>
          <w:szCs w:val="21"/>
        </w:rPr>
      </w:pPr>
      <w:r>
        <w:rPr>
          <w:b/>
          <w:bCs/>
        </w:rPr>
        <w:t>3</w:t>
      </w:r>
      <w:r>
        <w:rPr>
          <w:rFonts w:hint="eastAsia"/>
          <w:b/>
          <w:bCs/>
        </w:rPr>
        <w:t>.</w:t>
      </w:r>
      <w:r>
        <w:rPr>
          <w:b/>
          <w:szCs w:val="21"/>
        </w:rPr>
        <w:t>在投标报价文件评审时</w:t>
      </w:r>
      <w:r>
        <w:rPr>
          <w:b/>
          <w:bCs/>
        </w:rPr>
        <w:t>，如发现下列情形之一的，投标文件将被视为无效响应：</w:t>
      </w:r>
    </w:p>
    <w:p>
      <w:pPr>
        <w:pStyle w:val="80"/>
        <w:snapToGrid w:val="0"/>
        <w:spacing w:line="360" w:lineRule="auto"/>
        <w:ind w:right="-86" w:rightChars="-41" w:firstLine="438" w:firstLineChars="209"/>
        <w:rPr>
          <w:rFonts w:ascii="Times New Roman" w:hAnsi="Times New Roman"/>
        </w:rPr>
      </w:pPr>
      <w:r>
        <w:rPr>
          <w:rFonts w:ascii="Times New Roman" w:hAnsi="Times New Roman"/>
        </w:rPr>
        <w:t>3.1未采用人民币报价或者未按照采购文件标明的币种报价的；</w:t>
      </w:r>
    </w:p>
    <w:p>
      <w:pPr>
        <w:pStyle w:val="80"/>
        <w:snapToGrid w:val="0"/>
        <w:spacing w:line="360" w:lineRule="auto"/>
        <w:ind w:right="-86" w:rightChars="-41" w:firstLine="438" w:firstLineChars="209"/>
        <w:rPr>
          <w:rFonts w:ascii="Times New Roman" w:hAnsi="Times New Roman"/>
        </w:rPr>
      </w:pPr>
      <w:r>
        <w:rPr>
          <w:rFonts w:ascii="Times New Roman" w:hAnsi="Times New Roman"/>
        </w:rPr>
        <w:t>3.2报价超出最高限价，或者超出采购预算金额，采购人不能支付的；</w:t>
      </w:r>
    </w:p>
    <w:p>
      <w:pPr>
        <w:pStyle w:val="80"/>
        <w:snapToGrid w:val="0"/>
        <w:spacing w:line="360" w:lineRule="auto"/>
        <w:ind w:right="-86" w:rightChars="-41" w:firstLine="438" w:firstLineChars="209"/>
        <w:rPr>
          <w:rFonts w:ascii="Times New Roman" w:hAnsi="Times New Roman"/>
        </w:rPr>
      </w:pPr>
      <w:r>
        <w:rPr>
          <w:rFonts w:ascii="Times New Roman" w:hAnsi="Times New Roman"/>
        </w:rPr>
        <w:t>3.3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0"/>
        <w:snapToGrid w:val="0"/>
        <w:spacing w:line="360" w:lineRule="auto"/>
        <w:ind w:right="-86" w:rightChars="-41" w:firstLine="438" w:firstLineChars="209"/>
        <w:rPr>
          <w:rFonts w:ascii="Times New Roman" w:hAnsi="Times New Roman"/>
        </w:rPr>
      </w:pPr>
      <w:r>
        <w:rPr>
          <w:rFonts w:ascii="Times New Roman" w:hAnsi="Times New Roman"/>
        </w:rPr>
        <w:t>3.4投标报价具有选择性，或者开标价格与投标文件承诺的优惠（折扣）价格不一致的；</w:t>
      </w:r>
    </w:p>
    <w:p>
      <w:pPr>
        <w:pStyle w:val="80"/>
        <w:snapToGrid w:val="0"/>
        <w:spacing w:line="360" w:lineRule="auto"/>
        <w:ind w:right="-86" w:rightChars="-41" w:firstLine="441" w:firstLineChars="209"/>
        <w:rPr>
          <w:rFonts w:ascii="Times New Roman" w:hAnsi="Times New Roman"/>
        </w:rPr>
      </w:pPr>
      <w:r>
        <w:rPr>
          <w:rFonts w:ascii="Times New Roman" w:hAnsi="Times New Roman"/>
          <w:b/>
          <w:bCs/>
        </w:rPr>
        <w:t>4.</w:t>
      </w:r>
      <w:r>
        <w:rPr>
          <w:rFonts w:ascii="Times New Roman" w:hAnsi="Times New Roman"/>
        </w:rPr>
        <w:t>法律、法规和采购文件规定的其他无效情形。</w:t>
      </w:r>
    </w:p>
    <w:p>
      <w:pPr>
        <w:pStyle w:val="80"/>
        <w:snapToGrid w:val="0"/>
        <w:spacing w:line="360" w:lineRule="auto"/>
        <w:ind w:right="-86" w:rightChars="-41" w:firstLine="0"/>
        <w:rPr>
          <w:rFonts w:ascii="Times New Roman" w:hAnsi="Times New Roman"/>
        </w:rPr>
      </w:pPr>
      <w:r>
        <w:rPr>
          <w:rFonts w:ascii="Times New Roman" w:hAnsi="Times New Roman"/>
          <w:b/>
          <w:szCs w:val="21"/>
        </w:rPr>
        <w:t>（七）</w:t>
      </w:r>
      <w:r>
        <w:rPr>
          <w:rFonts w:ascii="Times New Roman" w:hAnsi="Times New Roman"/>
          <w:b/>
        </w:rPr>
        <w:t>出现以下情形，导致电子交易平台无法正常运行，或者无法保证电子交易的公平、公正和安全时，中止电子交易活动：</w:t>
      </w:r>
    </w:p>
    <w:p>
      <w:pPr>
        <w:pStyle w:val="80"/>
        <w:snapToGrid w:val="0"/>
        <w:spacing w:line="360" w:lineRule="auto"/>
        <w:ind w:right="-86" w:rightChars="-41" w:firstLine="438" w:firstLineChars="209"/>
        <w:rPr>
          <w:rFonts w:ascii="Times New Roman" w:hAnsi="Times New Roman"/>
        </w:rPr>
      </w:pPr>
      <w:r>
        <w:rPr>
          <w:rFonts w:ascii="Times New Roman" w:hAnsi="Times New Roman"/>
        </w:rPr>
        <w:t>（一）电子交易平台发生故障而无法登录访问的；</w:t>
      </w:r>
    </w:p>
    <w:p>
      <w:pPr>
        <w:pStyle w:val="80"/>
        <w:snapToGrid w:val="0"/>
        <w:spacing w:line="360" w:lineRule="auto"/>
        <w:ind w:right="-86" w:rightChars="-41" w:firstLine="438" w:firstLineChars="209"/>
        <w:rPr>
          <w:rFonts w:ascii="Times New Roman" w:hAnsi="Times New Roman"/>
        </w:rPr>
      </w:pPr>
      <w:r>
        <w:rPr>
          <w:rFonts w:ascii="Times New Roman" w:hAnsi="Times New Roman"/>
        </w:rPr>
        <w:t>（二）电子交易平台应用或数据库出现错误，不能进行正常操作的；</w:t>
      </w:r>
    </w:p>
    <w:p>
      <w:pPr>
        <w:pStyle w:val="80"/>
        <w:snapToGrid w:val="0"/>
        <w:spacing w:line="360" w:lineRule="auto"/>
        <w:ind w:right="-86" w:rightChars="-41" w:firstLine="438" w:firstLineChars="209"/>
        <w:rPr>
          <w:rFonts w:ascii="Times New Roman" w:hAnsi="Times New Roman"/>
        </w:rPr>
      </w:pPr>
      <w:r>
        <w:rPr>
          <w:rFonts w:ascii="Times New Roman" w:hAnsi="Times New Roman"/>
        </w:rPr>
        <w:t>（三）电子交易平台发现严重安全漏洞，有潜在泄密危险的；</w:t>
      </w:r>
    </w:p>
    <w:p>
      <w:pPr>
        <w:pStyle w:val="80"/>
        <w:snapToGrid w:val="0"/>
        <w:spacing w:line="360" w:lineRule="auto"/>
        <w:ind w:right="-86" w:rightChars="-41" w:firstLine="438" w:firstLineChars="209"/>
        <w:rPr>
          <w:rFonts w:ascii="Times New Roman" w:hAnsi="Times New Roman"/>
        </w:rPr>
      </w:pPr>
      <w:r>
        <w:rPr>
          <w:rFonts w:ascii="Times New Roman" w:hAnsi="Times New Roman"/>
        </w:rPr>
        <w:t>（四）病毒发作导致不能进行正常操作的；</w:t>
      </w:r>
    </w:p>
    <w:p>
      <w:pPr>
        <w:pStyle w:val="80"/>
        <w:snapToGrid w:val="0"/>
        <w:spacing w:line="360" w:lineRule="auto"/>
        <w:ind w:right="-86" w:rightChars="-41" w:firstLine="438" w:firstLineChars="209"/>
        <w:rPr>
          <w:rFonts w:ascii="Times New Roman" w:hAnsi="Times New Roman"/>
        </w:rPr>
      </w:pPr>
      <w:r>
        <w:rPr>
          <w:rFonts w:ascii="Times New Roman" w:hAnsi="Times New Roman"/>
        </w:rPr>
        <w:t>（五）其他无法保证电子交易的公平、公正和安全的情况。</w:t>
      </w:r>
    </w:p>
    <w:p>
      <w:pPr>
        <w:pStyle w:val="80"/>
        <w:snapToGrid w:val="0"/>
        <w:spacing w:line="360" w:lineRule="auto"/>
        <w:ind w:right="-86" w:rightChars="-41" w:firstLine="438" w:firstLineChars="209"/>
        <w:rPr>
          <w:rFonts w:ascii="Times New Roman" w:hAnsi="Times New Roman"/>
        </w:rPr>
      </w:pPr>
      <w:r>
        <w:rPr>
          <w:rFonts w:ascii="Times New Roman" w:hAnsi="Times New Roman"/>
        </w:rPr>
        <w:t>出现前款规定情形，不影响采购公平、公正性的，代理机构可以待上述情形消除后继续组织电子交易活动，也可以决定某些环节以纸质形式进行；影响或可能影响采购公平、公正性的，重新采购。</w:t>
      </w:r>
    </w:p>
    <w:p>
      <w:pPr>
        <w:pStyle w:val="102"/>
        <w:snapToGrid w:val="0"/>
        <w:spacing w:line="360" w:lineRule="auto"/>
        <w:ind w:right="55" w:firstLine="0"/>
        <w:rPr>
          <w:rFonts w:ascii="Times New Roman" w:hAnsi="Times New Roman" w:cs="Times New Roman"/>
          <w:b/>
          <w:bCs/>
          <w:sz w:val="21"/>
          <w:szCs w:val="21"/>
        </w:rPr>
      </w:pPr>
      <w:r>
        <w:rPr>
          <w:rFonts w:ascii="Times New Roman" w:hAnsi="Times New Roman" w:cs="Times New Roman"/>
          <w:b/>
          <w:bCs/>
          <w:sz w:val="21"/>
          <w:szCs w:val="21"/>
        </w:rPr>
        <w:t>（八）报名不足三家的处理方式</w:t>
      </w:r>
    </w:p>
    <w:p>
      <w:pPr>
        <w:pStyle w:val="102"/>
        <w:snapToGrid w:val="0"/>
        <w:spacing w:line="360" w:lineRule="auto"/>
        <w:ind w:right="55" w:firstLine="470"/>
        <w:rPr>
          <w:rFonts w:ascii="Times New Roman" w:hAnsi="Times New Roman" w:cs="Times New Roman"/>
          <w:bCs/>
          <w:sz w:val="21"/>
          <w:szCs w:val="21"/>
        </w:rPr>
      </w:pPr>
      <w:r>
        <w:rPr>
          <w:rFonts w:ascii="Times New Roman" w:hAnsi="Times New Roman" w:cs="Times New Roman"/>
          <w:bCs/>
          <w:sz w:val="21"/>
          <w:szCs w:val="21"/>
        </w:rPr>
        <w:t>报名时间截止后，在开标时间前获取招标文件的潜在投标人不足三家的，采购代理机构可以顺延提供期限，并予公告。</w:t>
      </w:r>
    </w:p>
    <w:p>
      <w:pPr>
        <w:pStyle w:val="102"/>
        <w:snapToGrid w:val="0"/>
        <w:spacing w:line="360" w:lineRule="auto"/>
        <w:ind w:right="55" w:firstLine="0"/>
        <w:jc w:val="left"/>
        <w:rPr>
          <w:rFonts w:ascii="Times New Roman" w:hAnsi="Times New Roman" w:cs="Times New Roman"/>
          <w:b/>
          <w:sz w:val="21"/>
          <w:szCs w:val="21"/>
        </w:rPr>
      </w:pPr>
      <w:r>
        <w:rPr>
          <w:rFonts w:ascii="Times New Roman" w:hAnsi="Times New Roman" w:cs="Times New Roman"/>
          <w:b/>
          <w:sz w:val="21"/>
          <w:szCs w:val="21"/>
        </w:rPr>
        <w:t>（九）被拒绝的投标文件为无效。</w:t>
      </w:r>
    </w:p>
    <w:p>
      <w:pPr>
        <w:pStyle w:val="102"/>
        <w:snapToGrid w:val="0"/>
        <w:spacing w:line="360" w:lineRule="auto"/>
        <w:ind w:right="55" w:firstLine="470"/>
        <w:jc w:val="left"/>
        <w:rPr>
          <w:b/>
          <w:sz w:val="21"/>
          <w:szCs w:val="21"/>
        </w:rPr>
      </w:pPr>
    </w:p>
    <w:p>
      <w:pPr>
        <w:pStyle w:val="102"/>
        <w:snapToGrid w:val="0"/>
        <w:spacing w:line="360" w:lineRule="auto"/>
        <w:ind w:right="55" w:firstLine="3591" w:firstLineChars="1315"/>
        <w:rPr>
          <w:b/>
          <w:sz w:val="28"/>
          <w:szCs w:val="28"/>
        </w:rPr>
      </w:pPr>
      <w:r>
        <w:rPr>
          <w:rFonts w:hint="eastAsia"/>
          <w:b/>
          <w:sz w:val="28"/>
          <w:szCs w:val="28"/>
        </w:rPr>
        <w:t>四、开标</w:t>
      </w:r>
    </w:p>
    <w:p>
      <w:pPr>
        <w:pStyle w:val="3"/>
        <w:spacing w:line="360" w:lineRule="auto"/>
        <w:ind w:firstLine="482" w:firstLineChars="200"/>
        <w:jc w:val="left"/>
        <w:rPr>
          <w:b/>
          <w:sz w:val="24"/>
          <w:szCs w:val="24"/>
        </w:rPr>
      </w:pPr>
      <w:r>
        <w:rPr>
          <w:b/>
          <w:sz w:val="24"/>
          <w:szCs w:val="24"/>
        </w:rPr>
        <w:t>电子招投标开标及评审程序</w:t>
      </w:r>
    </w:p>
    <w:p>
      <w:pPr>
        <w:adjustRightInd w:val="0"/>
        <w:snapToGrid w:val="0"/>
        <w:spacing w:line="360" w:lineRule="auto"/>
        <w:ind w:firstLine="420" w:firstLineChars="200"/>
        <w:jc w:val="left"/>
        <w:rPr>
          <w:szCs w:val="21"/>
        </w:rPr>
      </w:pPr>
      <w:r>
        <w:rPr>
          <w:szCs w:val="21"/>
        </w:rPr>
        <w:t>1</w:t>
      </w:r>
      <w:r>
        <w:rPr>
          <w:rFonts w:hint="eastAsia"/>
          <w:szCs w:val="21"/>
        </w:rPr>
        <w:t>.</w:t>
      </w:r>
      <w:r>
        <w:rPr>
          <w:szCs w:val="21"/>
        </w:rPr>
        <w:t>采购组织机构按照规定的时间通过政采云系统组织开标、开启响应文件，所有投标人均应当准时在线参加。</w:t>
      </w:r>
    </w:p>
    <w:p>
      <w:pPr>
        <w:adjustRightInd w:val="0"/>
        <w:snapToGrid w:val="0"/>
        <w:spacing w:line="360" w:lineRule="auto"/>
        <w:ind w:firstLine="420" w:firstLineChars="200"/>
        <w:jc w:val="left"/>
        <w:rPr>
          <w:szCs w:val="21"/>
        </w:rPr>
      </w:pPr>
      <w:r>
        <w:rPr>
          <w:szCs w:val="21"/>
        </w:rPr>
        <w:t>2</w:t>
      </w:r>
      <w:r>
        <w:rPr>
          <w:rFonts w:hint="eastAsia"/>
          <w:szCs w:val="21"/>
        </w:rPr>
        <w:t>.</w:t>
      </w:r>
      <w:r>
        <w:rPr>
          <w:szCs w:val="21"/>
        </w:rPr>
        <w:t>投标截止时间后，投标人登录政采云平台，用“项目采购-开标评标”功能对电子投标文件进行</w:t>
      </w:r>
      <w:r>
        <w:rPr>
          <w:b/>
          <w:bCs/>
          <w:szCs w:val="21"/>
        </w:rPr>
        <w:t>在线解密。</w:t>
      </w:r>
      <w:r>
        <w:rPr>
          <w:szCs w:val="21"/>
        </w:rPr>
        <w:t>在线解密电子投标文件时间</w:t>
      </w:r>
      <w:r>
        <w:rPr>
          <w:b/>
          <w:bCs/>
          <w:szCs w:val="21"/>
        </w:rPr>
        <w:t>为开标时间起半个小时内；</w:t>
      </w:r>
    </w:p>
    <w:p>
      <w:pPr>
        <w:adjustRightInd w:val="0"/>
        <w:snapToGrid w:val="0"/>
        <w:spacing w:line="360" w:lineRule="auto"/>
        <w:ind w:firstLine="420" w:firstLineChars="200"/>
        <w:jc w:val="left"/>
        <w:rPr>
          <w:szCs w:val="21"/>
        </w:rPr>
      </w:pPr>
      <w:r>
        <w:rPr>
          <w:szCs w:val="21"/>
        </w:rPr>
        <w:t>3</w:t>
      </w:r>
      <w:r>
        <w:rPr>
          <w:rFonts w:hint="eastAsia"/>
          <w:szCs w:val="21"/>
        </w:rPr>
        <w:t>.</w:t>
      </w:r>
      <w:r>
        <w:rPr>
          <w:szCs w:val="21"/>
        </w:rPr>
        <w:t>采购人或代理机构对资格文件进行评审，评标委员会对商务技术响应文件进行评审。</w:t>
      </w:r>
    </w:p>
    <w:p>
      <w:pPr>
        <w:adjustRightInd w:val="0"/>
        <w:snapToGrid w:val="0"/>
        <w:spacing w:line="360" w:lineRule="auto"/>
        <w:ind w:firstLine="420" w:firstLineChars="200"/>
        <w:jc w:val="left"/>
        <w:rPr>
          <w:szCs w:val="21"/>
        </w:rPr>
      </w:pPr>
      <w:r>
        <w:rPr>
          <w:szCs w:val="21"/>
        </w:rPr>
        <w:t>4</w:t>
      </w:r>
      <w:r>
        <w:rPr>
          <w:rFonts w:hint="eastAsia"/>
          <w:szCs w:val="21"/>
        </w:rPr>
        <w:t>.</w:t>
      </w:r>
      <w:r>
        <w:rPr>
          <w:szCs w:val="21"/>
        </w:rPr>
        <w:t>在系统上公开资格和商务技术评审结果；</w:t>
      </w:r>
    </w:p>
    <w:p>
      <w:pPr>
        <w:adjustRightInd w:val="0"/>
        <w:snapToGrid w:val="0"/>
        <w:spacing w:line="360" w:lineRule="auto"/>
        <w:ind w:firstLine="420" w:firstLineChars="200"/>
        <w:jc w:val="left"/>
        <w:rPr>
          <w:szCs w:val="21"/>
        </w:rPr>
      </w:pPr>
      <w:r>
        <w:rPr>
          <w:szCs w:val="21"/>
        </w:rPr>
        <w:t>5</w:t>
      </w:r>
      <w:r>
        <w:rPr>
          <w:rFonts w:hint="eastAsia"/>
          <w:szCs w:val="21"/>
        </w:rPr>
        <w:t>.</w:t>
      </w:r>
      <w:r>
        <w:rPr>
          <w:szCs w:val="21"/>
        </w:rPr>
        <w:t>在系统上公开报价开标情况；</w:t>
      </w:r>
    </w:p>
    <w:p>
      <w:pPr>
        <w:adjustRightInd w:val="0"/>
        <w:snapToGrid w:val="0"/>
        <w:spacing w:line="360" w:lineRule="auto"/>
        <w:ind w:firstLine="420" w:firstLineChars="200"/>
        <w:jc w:val="left"/>
        <w:rPr>
          <w:szCs w:val="21"/>
        </w:rPr>
      </w:pPr>
      <w:r>
        <w:rPr>
          <w:szCs w:val="21"/>
        </w:rPr>
        <w:t>6</w:t>
      </w:r>
      <w:r>
        <w:rPr>
          <w:rFonts w:hint="eastAsia"/>
          <w:szCs w:val="21"/>
        </w:rPr>
        <w:t>.</w:t>
      </w:r>
      <w:r>
        <w:rPr>
          <w:szCs w:val="21"/>
        </w:rPr>
        <w:t>评标委员会对报价情况进行评审；</w:t>
      </w:r>
    </w:p>
    <w:p>
      <w:pPr>
        <w:adjustRightInd w:val="0"/>
        <w:snapToGrid w:val="0"/>
        <w:spacing w:line="360" w:lineRule="auto"/>
        <w:ind w:firstLine="420" w:firstLineChars="200"/>
        <w:jc w:val="left"/>
        <w:rPr>
          <w:szCs w:val="21"/>
        </w:rPr>
      </w:pPr>
      <w:r>
        <w:rPr>
          <w:szCs w:val="21"/>
        </w:rPr>
        <w:t>7</w:t>
      </w:r>
      <w:r>
        <w:rPr>
          <w:rFonts w:hint="eastAsia"/>
          <w:szCs w:val="21"/>
        </w:rPr>
        <w:t>.</w:t>
      </w:r>
      <w:r>
        <w:rPr>
          <w:szCs w:val="21"/>
        </w:rPr>
        <w:t>在系统上公布评审结果。</w:t>
      </w:r>
    </w:p>
    <w:p>
      <w:pPr>
        <w:adjustRightInd w:val="0"/>
        <w:snapToGrid w:val="0"/>
        <w:spacing w:line="360" w:lineRule="auto"/>
        <w:ind w:firstLine="420" w:firstLineChars="200"/>
        <w:jc w:val="left"/>
        <w:rPr>
          <w:szCs w:val="21"/>
        </w:rPr>
      </w:pPr>
      <w:r>
        <w:rPr>
          <w:szCs w:val="21"/>
        </w:rPr>
        <w:t>特别说明：政采云公司如对电子化开标及评审程序有调整的，按调整后的程序操作。</w:t>
      </w:r>
    </w:p>
    <w:p>
      <w:pPr>
        <w:snapToGrid w:val="0"/>
        <w:spacing w:before="120" w:line="360" w:lineRule="auto"/>
        <w:ind w:right="-87"/>
        <w:jc w:val="center"/>
        <w:outlineLvl w:val="1"/>
        <w:rPr>
          <w:b/>
          <w:sz w:val="28"/>
        </w:rPr>
      </w:pPr>
      <w:r>
        <w:rPr>
          <w:b/>
          <w:sz w:val="28"/>
        </w:rPr>
        <w:t>五、评标</w:t>
      </w:r>
    </w:p>
    <w:p>
      <w:pPr>
        <w:snapToGrid w:val="0"/>
        <w:spacing w:before="120" w:line="360" w:lineRule="auto"/>
        <w:ind w:right="-87"/>
        <w:rPr>
          <w:b/>
        </w:rPr>
      </w:pPr>
      <w:r>
        <w:rPr>
          <w:b/>
        </w:rPr>
        <w:t>（一）组建评标委员会</w:t>
      </w:r>
    </w:p>
    <w:p>
      <w:pPr>
        <w:snapToGrid w:val="0"/>
        <w:spacing w:before="120" w:line="360" w:lineRule="auto"/>
        <w:ind w:right="-87" w:firstLine="420" w:firstLineChars="200"/>
      </w:pPr>
      <w:r>
        <w:t>评标委员会由采购人代表和评审专家组成，成员人数为5人（含）以上单数，其中评审专家不得少于成员总数的三分之二。</w:t>
      </w:r>
    </w:p>
    <w:p>
      <w:pPr>
        <w:snapToGrid w:val="0"/>
        <w:spacing w:before="120" w:line="360" w:lineRule="auto"/>
        <w:ind w:right="-87"/>
        <w:rPr>
          <w:b/>
        </w:rPr>
      </w:pPr>
      <w:r>
        <w:rPr>
          <w:b/>
        </w:rPr>
        <w:t>（二）评标程序</w:t>
      </w:r>
    </w:p>
    <w:p>
      <w:pPr>
        <w:snapToGrid w:val="0"/>
        <w:spacing w:line="360" w:lineRule="auto"/>
        <w:ind w:right="-87"/>
        <w:rPr>
          <w:szCs w:val="21"/>
        </w:rPr>
      </w:pPr>
      <w:r>
        <w:rPr>
          <w:b/>
          <w:szCs w:val="21"/>
        </w:rPr>
        <w:t>1</w:t>
      </w:r>
      <w:r>
        <w:rPr>
          <w:rFonts w:hint="eastAsia"/>
          <w:b/>
          <w:szCs w:val="21"/>
        </w:rPr>
        <w:t>.</w:t>
      </w:r>
      <w:r>
        <w:rPr>
          <w:b/>
          <w:szCs w:val="21"/>
        </w:rPr>
        <w:t>投标文件初审。</w:t>
      </w:r>
    </w:p>
    <w:p>
      <w:pPr>
        <w:snapToGrid w:val="0"/>
        <w:spacing w:line="360" w:lineRule="auto"/>
        <w:ind w:right="-87" w:firstLine="420" w:firstLineChars="200"/>
        <w:rPr>
          <w:b/>
          <w:szCs w:val="21"/>
        </w:rPr>
      </w:pPr>
      <w:r>
        <w:rPr>
          <w:szCs w:val="21"/>
        </w:rPr>
        <w:t>初审分为资格性检查和符合性检查。</w:t>
      </w:r>
    </w:p>
    <w:p>
      <w:pPr>
        <w:adjustRightInd w:val="0"/>
        <w:snapToGrid w:val="0"/>
        <w:spacing w:line="360" w:lineRule="auto"/>
        <w:ind w:firstLine="420" w:firstLineChars="200"/>
        <w:jc w:val="left"/>
        <w:rPr>
          <w:szCs w:val="21"/>
        </w:rPr>
      </w:pPr>
      <w:r>
        <w:rPr>
          <w:szCs w:val="21"/>
        </w:rPr>
        <w:t>1.1资格性检查。依据法律法规和采购文件的规定，对投标文件中的资格证明等进行审查，以确定投标投标人是否具备投标资格。</w:t>
      </w:r>
    </w:p>
    <w:p>
      <w:pPr>
        <w:adjustRightInd w:val="0"/>
        <w:snapToGrid w:val="0"/>
        <w:spacing w:line="360" w:lineRule="auto"/>
        <w:ind w:firstLine="420" w:firstLineChars="200"/>
        <w:jc w:val="left"/>
        <w:rPr>
          <w:szCs w:val="21"/>
        </w:rPr>
      </w:pPr>
      <w:r>
        <w:rPr>
          <w:szCs w:val="21"/>
        </w:rPr>
        <w:t>1.2符合性检查。依据采购文件的规定，从投标文件的有效性、完整性和对采购文件的响应程度进行审查，以确定是否对采购文件的实质性要求作出响应。</w:t>
      </w:r>
    </w:p>
    <w:p>
      <w:pPr>
        <w:snapToGrid w:val="0"/>
        <w:spacing w:line="360" w:lineRule="auto"/>
        <w:ind w:right="-87"/>
        <w:rPr>
          <w:b/>
          <w:sz w:val="24"/>
        </w:rPr>
      </w:pPr>
      <w:r>
        <w:rPr>
          <w:b/>
          <w:sz w:val="24"/>
        </w:rPr>
        <w:t>2</w:t>
      </w:r>
      <w:r>
        <w:rPr>
          <w:rFonts w:hint="eastAsia"/>
          <w:b/>
          <w:sz w:val="24"/>
        </w:rPr>
        <w:t>.</w:t>
      </w:r>
      <w:r>
        <w:rPr>
          <w:b/>
          <w:szCs w:val="21"/>
        </w:rPr>
        <w:t>实质审查</w:t>
      </w:r>
    </w:p>
    <w:p>
      <w:pPr>
        <w:spacing w:line="360" w:lineRule="auto"/>
        <w:ind w:firstLine="420" w:firstLineChars="200"/>
        <w:rPr>
          <w:kern w:val="0"/>
          <w:szCs w:val="21"/>
        </w:rPr>
      </w:pPr>
      <w:r>
        <w:rPr>
          <w:kern w:val="0"/>
          <w:szCs w:val="21"/>
        </w:rPr>
        <w:t>（1）评标委员会审查投标文件的实质性内容是否符合采购文件的实质性要求。</w:t>
      </w:r>
    </w:p>
    <w:p>
      <w:pPr>
        <w:spacing w:line="360" w:lineRule="auto"/>
        <w:ind w:firstLine="420" w:firstLineChars="200"/>
        <w:rPr>
          <w:kern w:val="0"/>
          <w:szCs w:val="21"/>
        </w:rPr>
      </w:pPr>
      <w:r>
        <w:rPr>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kern w:val="0"/>
          <w:szCs w:val="21"/>
        </w:rPr>
      </w:pPr>
      <w:r>
        <w:rPr>
          <w:kern w:val="0"/>
          <w:szCs w:val="21"/>
        </w:rPr>
        <w:t>（3）评审小组商务、技术方案响应性评定；</w:t>
      </w:r>
    </w:p>
    <w:p>
      <w:pPr>
        <w:spacing w:line="360" w:lineRule="auto"/>
        <w:ind w:firstLine="420" w:firstLineChars="200"/>
        <w:rPr>
          <w:kern w:val="0"/>
          <w:szCs w:val="21"/>
        </w:rPr>
      </w:pPr>
      <w:r>
        <w:rPr>
          <w:kern w:val="0"/>
          <w:szCs w:val="21"/>
        </w:rPr>
        <w:t>（4）各投标人的技术得分为所有评委的有效评分的算术平均数，由指定专人进行计算复核。</w:t>
      </w:r>
    </w:p>
    <w:p>
      <w:pPr>
        <w:spacing w:line="360" w:lineRule="auto"/>
        <w:ind w:firstLine="420" w:firstLineChars="200"/>
        <w:rPr>
          <w:b/>
          <w:szCs w:val="21"/>
        </w:rPr>
      </w:pPr>
      <w:r>
        <w:rPr>
          <w:kern w:val="0"/>
          <w:szCs w:val="21"/>
        </w:rPr>
        <w:t>（5）评标委员会完成评标后，评委对各部分得分汇总，计算出本项目综合评估分。评标委员会按</w:t>
      </w:r>
      <w:r>
        <w:rPr>
          <w:szCs w:val="21"/>
        </w:rPr>
        <w:t>评标原则通过电子系统向采购人及采购代理机构提交评审报告。</w:t>
      </w:r>
    </w:p>
    <w:p>
      <w:pPr>
        <w:spacing w:line="360" w:lineRule="auto"/>
        <w:rPr>
          <w:b/>
          <w:szCs w:val="21"/>
        </w:rPr>
      </w:pPr>
      <w:r>
        <w:rPr>
          <w:b/>
          <w:szCs w:val="21"/>
        </w:rPr>
        <w:t>（三）澄清问题的形式</w:t>
      </w:r>
    </w:p>
    <w:p>
      <w:pPr>
        <w:snapToGrid w:val="0"/>
        <w:spacing w:line="360" w:lineRule="auto"/>
        <w:ind w:left="228" w:right="-87" w:firstLine="420" w:firstLineChars="200"/>
      </w:pPr>
      <w:r>
        <w:t>对投标文件中含义不明确、同类问题表述不一致或者有明显文字和计算错误的内容，评标委员会可要求投标人作出必要的澄清、说明或者纠正。投标人与评审小组</w:t>
      </w:r>
      <w:r>
        <w:rPr>
          <w:szCs w:val="21"/>
        </w:rPr>
        <w:t>通过电子交易平台交换数据电文的形式进行</w:t>
      </w:r>
      <w:r>
        <w:t>，给予投标人提交澄清说明或补正的时间不少于半个小时，投标人已经明确表示澄清说明或补正完毕的除外。不得超出投标文件的范围或者改变投标文件的实质性内容。</w:t>
      </w:r>
    </w:p>
    <w:p>
      <w:pPr>
        <w:pStyle w:val="20"/>
        <w:snapToGrid w:val="0"/>
        <w:spacing w:before="120" w:line="360" w:lineRule="auto"/>
        <w:ind w:firstLine="415" w:firstLineChars="198"/>
        <w:rPr>
          <w:rFonts w:hint="eastAsia" w:ascii="Times New Roman" w:hAnsi="Times New Roman" w:eastAsia="宋体"/>
          <w:b w:val="0"/>
          <w:bCs/>
          <w:sz w:val="21"/>
          <w:szCs w:val="21"/>
        </w:rPr>
      </w:pPr>
      <w:r>
        <w:rPr>
          <w:rFonts w:hint="eastAsia" w:ascii="Times New Roman" w:hAnsi="Times New Roman" w:eastAsia="宋体"/>
          <w:b w:val="0"/>
          <w:bCs/>
          <w:sz w:val="21"/>
          <w:szCs w:val="21"/>
        </w:rPr>
        <w:t>（四）错误修正</w:t>
      </w:r>
    </w:p>
    <w:p>
      <w:pPr>
        <w:pStyle w:val="20"/>
        <w:snapToGrid w:val="0"/>
        <w:spacing w:before="120" w:line="360" w:lineRule="auto"/>
        <w:ind w:firstLine="415" w:firstLineChars="198"/>
        <w:rPr>
          <w:rFonts w:hint="eastAsia" w:ascii="Times New Roman" w:hAnsi="Times New Roman" w:eastAsia="宋体"/>
          <w:b w:val="0"/>
          <w:bCs/>
          <w:sz w:val="21"/>
          <w:szCs w:val="21"/>
        </w:rPr>
      </w:pPr>
      <w:r>
        <w:rPr>
          <w:rFonts w:hint="eastAsia" w:ascii="Times New Roman" w:hAnsi="Times New Roman" w:eastAsia="宋体"/>
          <w:b w:val="0"/>
          <w:bCs/>
          <w:sz w:val="21"/>
          <w:szCs w:val="21"/>
        </w:rPr>
        <w:t>投标文件如果出现计算或表达上的错误，修正错误的原则如下：</w:t>
      </w:r>
    </w:p>
    <w:p>
      <w:pPr>
        <w:pStyle w:val="20"/>
        <w:snapToGrid w:val="0"/>
        <w:spacing w:before="120" w:line="360" w:lineRule="auto"/>
        <w:ind w:firstLine="415" w:firstLineChars="198"/>
        <w:rPr>
          <w:rFonts w:hint="eastAsia" w:ascii="Times New Roman" w:hAnsi="Times New Roman" w:eastAsia="宋体"/>
          <w:b w:val="0"/>
          <w:bCs/>
          <w:sz w:val="21"/>
          <w:szCs w:val="21"/>
        </w:rPr>
      </w:pPr>
      <w:r>
        <w:rPr>
          <w:rFonts w:hint="eastAsia" w:ascii="Times New Roman" w:hAnsi="Times New Roman" w:eastAsia="宋体"/>
          <w:b w:val="0"/>
          <w:bCs/>
          <w:sz w:val="21"/>
          <w:szCs w:val="21"/>
        </w:rPr>
        <w:t>1.投标文件中开标一览表（报价表）内容与投标文件中相应内容不一致的，以开标一览表（报价表）为准；</w:t>
      </w:r>
      <w:bookmarkStart w:id="4" w:name="_GoBack"/>
      <w:bookmarkEnd w:id="4"/>
    </w:p>
    <w:p>
      <w:pPr>
        <w:pStyle w:val="20"/>
        <w:snapToGrid w:val="0"/>
        <w:spacing w:before="120" w:line="360" w:lineRule="auto"/>
        <w:ind w:firstLine="415" w:firstLineChars="198"/>
        <w:rPr>
          <w:rFonts w:hint="eastAsia" w:ascii="Times New Roman" w:hAnsi="Times New Roman" w:eastAsia="宋体"/>
          <w:b w:val="0"/>
          <w:bCs/>
          <w:sz w:val="21"/>
          <w:szCs w:val="21"/>
        </w:rPr>
      </w:pPr>
      <w:r>
        <w:rPr>
          <w:rFonts w:hint="eastAsia" w:ascii="Times New Roman" w:hAnsi="Times New Roman" w:eastAsia="宋体"/>
          <w:b w:val="0"/>
          <w:bCs/>
          <w:sz w:val="21"/>
          <w:szCs w:val="21"/>
        </w:rPr>
        <w:t>2.大写金额和小写金额不一致的，以大写金额为准；</w:t>
      </w:r>
    </w:p>
    <w:p>
      <w:pPr>
        <w:pStyle w:val="20"/>
        <w:snapToGrid w:val="0"/>
        <w:spacing w:before="120" w:line="360" w:lineRule="auto"/>
        <w:ind w:firstLine="415" w:firstLineChars="198"/>
        <w:rPr>
          <w:rFonts w:hint="eastAsia" w:ascii="Times New Roman" w:hAnsi="Times New Roman" w:eastAsia="宋体"/>
          <w:b w:val="0"/>
          <w:bCs/>
          <w:sz w:val="21"/>
          <w:szCs w:val="21"/>
        </w:rPr>
      </w:pPr>
      <w:r>
        <w:rPr>
          <w:rFonts w:hint="eastAsia" w:ascii="Times New Roman" w:hAnsi="Times New Roman" w:eastAsia="宋体"/>
          <w:b w:val="0"/>
          <w:bCs/>
          <w:sz w:val="21"/>
          <w:szCs w:val="21"/>
        </w:rPr>
        <w:t>3.单价金额小数点或者百分比有明显错位的，以开标一览表的总价为准，并修改单价；</w:t>
      </w:r>
    </w:p>
    <w:p>
      <w:pPr>
        <w:pStyle w:val="20"/>
        <w:snapToGrid w:val="0"/>
        <w:spacing w:before="120" w:line="360" w:lineRule="auto"/>
        <w:ind w:firstLine="415" w:firstLineChars="198"/>
        <w:rPr>
          <w:rFonts w:hint="eastAsia" w:ascii="Times New Roman" w:hAnsi="Times New Roman" w:eastAsia="宋体"/>
          <w:b w:val="0"/>
          <w:bCs/>
          <w:sz w:val="21"/>
          <w:szCs w:val="21"/>
        </w:rPr>
      </w:pPr>
      <w:r>
        <w:rPr>
          <w:rFonts w:hint="eastAsia" w:ascii="Times New Roman" w:hAnsi="Times New Roman" w:eastAsia="宋体"/>
          <w:b w:val="0"/>
          <w:bCs/>
          <w:sz w:val="21"/>
          <w:szCs w:val="21"/>
        </w:rPr>
        <w:t>4.总价金额与按单价汇总金额不一致的，以单价金额计算结果为准。</w:t>
      </w:r>
    </w:p>
    <w:p>
      <w:pPr>
        <w:pStyle w:val="20"/>
        <w:snapToGrid w:val="0"/>
        <w:spacing w:before="120" w:line="360" w:lineRule="auto"/>
        <w:ind w:firstLine="415" w:firstLineChars="198"/>
        <w:rPr>
          <w:rFonts w:hint="eastAsia" w:ascii="Times New Roman" w:hAnsi="Times New Roman" w:eastAsia="宋体"/>
          <w:b w:val="0"/>
          <w:bCs/>
          <w:sz w:val="21"/>
          <w:szCs w:val="21"/>
        </w:rPr>
      </w:pPr>
      <w:r>
        <w:rPr>
          <w:rFonts w:hint="eastAsia" w:ascii="Times New Roman" w:hAnsi="Times New Roman" w:eastAsia="宋体"/>
          <w:b w:val="0"/>
          <w:bCs/>
          <w:sz w:val="21"/>
          <w:szCs w:val="21"/>
        </w:rPr>
        <w:t>同时出现两种以上不一致的，按照前款规定的顺序修正。修正后的报价按照本办法第五十一条第二款的规定经投标人确认后产生约束力，投标人不确认的，其投标无效。</w:t>
      </w:r>
    </w:p>
    <w:p>
      <w:pPr>
        <w:pStyle w:val="20"/>
        <w:snapToGrid w:val="0"/>
        <w:spacing w:before="120" w:line="360" w:lineRule="auto"/>
        <w:ind w:firstLine="417" w:firstLineChars="198"/>
        <w:rPr>
          <w:rFonts w:ascii="Times New Roman" w:hAnsi="Times New Roman"/>
          <w:sz w:val="21"/>
          <w:szCs w:val="21"/>
        </w:rPr>
      </w:pPr>
      <w:r>
        <w:rPr>
          <w:rFonts w:hint="eastAsia" w:ascii="Times New Roman" w:hAnsi="Times New Roman" w:eastAsia="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104"/>
        <w:snapToGrid w:val="0"/>
        <w:spacing w:before="120" w:after="120" w:line="360" w:lineRule="auto"/>
        <w:ind w:right="-87"/>
        <w:jc w:val="left"/>
        <w:rPr>
          <w:rFonts w:ascii="Times New Roman" w:hAnsi="Times New Roman" w:eastAsia="宋体"/>
          <w:b/>
          <w:sz w:val="21"/>
          <w:szCs w:val="21"/>
        </w:rPr>
      </w:pPr>
      <w:r>
        <w:rPr>
          <w:rFonts w:ascii="Times New Roman" w:hAnsi="Times New Roman" w:eastAsia="宋体"/>
          <w:b/>
          <w:sz w:val="21"/>
          <w:szCs w:val="21"/>
        </w:rPr>
        <w:t>（五）评标原则和评标办法</w:t>
      </w:r>
    </w:p>
    <w:p>
      <w:pPr>
        <w:pStyle w:val="20"/>
        <w:snapToGrid w:val="0"/>
        <w:spacing w:before="120" w:line="360" w:lineRule="auto"/>
        <w:ind w:firstLine="420" w:firstLineChars="20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w:t>
      </w:r>
      <w:r>
        <w:rPr>
          <w:rFonts w:ascii="Times New Roman" w:hAnsi="Times New Roman"/>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0"/>
        <w:snapToGrid w:val="0"/>
        <w:spacing w:before="120" w:line="360" w:lineRule="auto"/>
        <w:ind w:firstLine="420" w:firstLineChars="200"/>
        <w:rPr>
          <w:rFonts w:ascii="Times New Roman" w:hAnsi="Times New Roman"/>
        </w:rPr>
      </w:pPr>
      <w:r>
        <w:rPr>
          <w:rFonts w:ascii="Times New Roman" w:hAnsi="Times New Roman"/>
          <w:sz w:val="21"/>
          <w:szCs w:val="21"/>
        </w:rPr>
        <w:t>2</w:t>
      </w:r>
      <w:r>
        <w:rPr>
          <w:rFonts w:hint="eastAsia" w:ascii="Times New Roman" w:hAnsi="Times New Roman"/>
          <w:sz w:val="21"/>
          <w:szCs w:val="21"/>
        </w:rPr>
        <w:t>.</w:t>
      </w:r>
      <w:r>
        <w:rPr>
          <w:rFonts w:ascii="Times New Roman" w:hAnsi="Times New Roman"/>
          <w:sz w:val="21"/>
          <w:szCs w:val="21"/>
        </w:rPr>
        <w:t>评标办法。本项目评标办法是</w:t>
      </w:r>
      <w:r>
        <w:rPr>
          <w:rFonts w:ascii="Times New Roman" w:hAnsi="Times New Roman"/>
          <w:sz w:val="21"/>
          <w:szCs w:val="21"/>
          <w:u w:val="single"/>
        </w:rPr>
        <w:t>综合评分法</w:t>
      </w:r>
      <w:r>
        <w:rPr>
          <w:rFonts w:ascii="Times New Roman" w:hAnsi="Times New Roman"/>
          <w:sz w:val="21"/>
          <w:szCs w:val="21"/>
        </w:rPr>
        <w:t>，具体评标内容及评分标准等详见《第四章：评标办法及评分标准》。</w:t>
      </w:r>
    </w:p>
    <w:p>
      <w:pPr>
        <w:widowControl/>
        <w:snapToGrid w:val="0"/>
        <w:spacing w:line="360" w:lineRule="auto"/>
        <w:ind w:right="-87"/>
        <w:rPr>
          <w:b/>
          <w:szCs w:val="21"/>
        </w:rPr>
      </w:pPr>
      <w:r>
        <w:rPr>
          <w:b/>
          <w:szCs w:val="21"/>
        </w:rPr>
        <w:t>（六）评标过程的监控</w:t>
      </w:r>
    </w:p>
    <w:p>
      <w:pPr>
        <w:pStyle w:val="104"/>
        <w:snapToGrid w:val="0"/>
        <w:spacing w:before="120" w:after="120" w:line="360" w:lineRule="auto"/>
        <w:ind w:right="-87" w:firstLine="420" w:firstLineChars="200"/>
        <w:rPr>
          <w:rFonts w:ascii="Times New Roman" w:hAnsi="Times New Roman" w:eastAsia="宋体"/>
          <w:b/>
          <w:sz w:val="28"/>
        </w:rPr>
      </w:pPr>
      <w:r>
        <w:rPr>
          <w:rFonts w:ascii="Times New Roman" w:hAnsi="Times New Roman" w:eastAsia="宋体"/>
          <w:sz w:val="21"/>
        </w:rPr>
        <w:t>本项目评标过程实行全程录音、录像监控。</w:t>
      </w:r>
    </w:p>
    <w:p>
      <w:pPr>
        <w:snapToGrid w:val="0"/>
        <w:spacing w:before="120" w:line="360" w:lineRule="auto"/>
        <w:ind w:right="-87"/>
        <w:jc w:val="center"/>
        <w:outlineLvl w:val="1"/>
        <w:rPr>
          <w:rFonts w:hAnsi="宋体"/>
          <w:b/>
          <w:sz w:val="28"/>
        </w:rPr>
      </w:pPr>
      <w:r>
        <w:rPr>
          <w:rFonts w:hint="eastAsia" w:hAnsi="宋体"/>
          <w:b/>
          <w:sz w:val="28"/>
        </w:rPr>
        <w:t>六、定标</w:t>
      </w:r>
    </w:p>
    <w:p>
      <w:pPr>
        <w:pStyle w:val="20"/>
        <w:snapToGrid w:val="0"/>
        <w:spacing w:before="120" w:line="360" w:lineRule="auto"/>
        <w:rPr>
          <w:rFonts w:ascii="Times New Roman" w:hAnsi="Times New Roman"/>
          <w:b/>
          <w:sz w:val="21"/>
          <w:szCs w:val="21"/>
        </w:rPr>
      </w:pPr>
      <w:r>
        <w:rPr>
          <w:rFonts w:ascii="Times New Roman" w:hAnsi="Times New Roman"/>
          <w:b/>
          <w:sz w:val="21"/>
          <w:szCs w:val="21"/>
        </w:rPr>
        <w:t>（一）确定中标人。</w:t>
      </w:r>
    </w:p>
    <w:p>
      <w:pPr>
        <w:pStyle w:val="20"/>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本项目由采购人事先授权评审小组确定候选中标人1名。经采购人确认后，确定项目中标人，同时发布采购结果公告</w:t>
      </w:r>
      <w:r>
        <w:rPr>
          <w:rFonts w:hint="eastAsia" w:ascii="Times New Roman" w:hAnsi="Times New Roman"/>
          <w:sz w:val="21"/>
          <w:szCs w:val="21"/>
        </w:rPr>
        <w:t>（中标人通过政采云系统领取中标通知书）。</w:t>
      </w:r>
    </w:p>
    <w:p>
      <w:pPr>
        <w:pStyle w:val="20"/>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w:t>
      </w:r>
      <w:r>
        <w:rPr>
          <w:rFonts w:ascii="Times New Roman" w:hAnsi="Times New Roman"/>
          <w:sz w:val="21"/>
          <w:szCs w:val="21"/>
        </w:rPr>
        <w:t>采购代理机构在评标结束后在2个工作日内将评审报告交采购人确认。</w:t>
      </w:r>
    </w:p>
    <w:p>
      <w:pPr>
        <w:pStyle w:val="20"/>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w:t>
      </w:r>
      <w:r>
        <w:rPr>
          <w:rFonts w:ascii="Times New Roman" w:hAnsi="Times New Roman"/>
          <w:sz w:val="21"/>
          <w:szCs w:val="21"/>
        </w:rPr>
        <w:t>投标人对评审结果无异议的，采购人应在收到评审报告后5个工作日内对评审结果进行确认。如有投标人对评审结果提出质疑的，采购人可在质疑处理完毕后确定中标人。</w:t>
      </w:r>
    </w:p>
    <w:p>
      <w:pPr>
        <w:pStyle w:val="20"/>
        <w:snapToGrid w:val="0"/>
        <w:spacing w:before="120" w:line="360" w:lineRule="auto"/>
        <w:ind w:firstLine="415" w:firstLineChars="198"/>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w:t>
      </w:r>
      <w:r>
        <w:rPr>
          <w:rFonts w:ascii="Times New Roman" w:hAnsi="Times New Roman"/>
          <w:sz w:val="21"/>
          <w:szCs w:val="21"/>
        </w:rPr>
        <w:t>采购人依法确定中标人后2个工作日内，采购代理机构发出《中标通知书》,并同时在相关网站上发布中标公告。</w:t>
      </w:r>
    </w:p>
    <w:p>
      <w:pPr>
        <w:spacing w:line="380" w:lineRule="exact"/>
        <w:rPr>
          <w:b/>
        </w:rPr>
      </w:pPr>
      <w:r>
        <w:rPr>
          <w:szCs w:val="21"/>
        </w:rPr>
        <w:t>（二）</w:t>
      </w:r>
      <w:r>
        <w:t>根据《中华人民共和</w:t>
      </w:r>
      <w:r>
        <w:rPr>
          <w:rFonts w:hint="eastAsia"/>
        </w:rPr>
        <w:t>国</w:t>
      </w:r>
      <w:r>
        <w:t>招标投标法实施条例》（国务院第613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pPr>
        <w:pStyle w:val="20"/>
        <w:snapToGrid w:val="0"/>
        <w:spacing w:before="120" w:line="360" w:lineRule="auto"/>
        <w:ind w:firstLine="557" w:firstLineChars="198"/>
        <w:rPr>
          <w:rFonts w:hAnsi="宋体"/>
          <w:b/>
          <w:sz w:val="28"/>
        </w:rPr>
      </w:pPr>
    </w:p>
    <w:p>
      <w:pPr>
        <w:snapToGrid w:val="0"/>
        <w:spacing w:before="120" w:line="360" w:lineRule="auto"/>
        <w:ind w:right="-87" w:firstLine="3345" w:firstLineChars="1190"/>
        <w:outlineLvl w:val="1"/>
        <w:rPr>
          <w:b/>
          <w:sz w:val="28"/>
        </w:rPr>
      </w:pPr>
      <w:r>
        <w:rPr>
          <w:b/>
          <w:sz w:val="28"/>
        </w:rPr>
        <w:t>七、合同授予</w:t>
      </w:r>
    </w:p>
    <w:p>
      <w:pPr>
        <w:widowControl/>
        <w:numPr>
          <w:ilvl w:val="0"/>
          <w:numId w:val="7"/>
        </w:numPr>
        <w:tabs>
          <w:tab w:val="left" w:pos="735"/>
        </w:tabs>
        <w:overflowPunct w:val="0"/>
        <w:autoSpaceDE w:val="0"/>
        <w:autoSpaceDN w:val="0"/>
        <w:adjustRightInd w:val="0"/>
        <w:snapToGrid w:val="0"/>
        <w:spacing w:line="336" w:lineRule="auto"/>
        <w:ind w:right="-87"/>
        <w:jc w:val="left"/>
        <w:textAlignment w:val="baseline"/>
        <w:rPr>
          <w:b/>
          <w:sz w:val="24"/>
        </w:rPr>
      </w:pPr>
      <w:r>
        <w:rPr>
          <w:b/>
          <w:sz w:val="24"/>
        </w:rPr>
        <w:t>签订合同</w:t>
      </w:r>
    </w:p>
    <w:p>
      <w:pPr>
        <w:snapToGrid w:val="0"/>
        <w:spacing w:line="336" w:lineRule="auto"/>
        <w:ind w:right="-87" w:firstLine="424" w:firstLineChars="202"/>
      </w:pPr>
      <w:r>
        <w:t>1</w:t>
      </w:r>
      <w:r>
        <w:rPr>
          <w:rFonts w:hint="eastAsia"/>
        </w:rPr>
        <w:t>.</w:t>
      </w:r>
      <w:r>
        <w:t>采购人与中标人应当在《中标通知书》发出之日起30日内签订政府采购合同。同时，采购代理机构对合同内容进行审查，如发现与采购结果和投标承诺内容不一致的，应予以纠正。</w:t>
      </w:r>
    </w:p>
    <w:p>
      <w:pPr>
        <w:pStyle w:val="20"/>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w:t>
      </w:r>
      <w:r>
        <w:rPr>
          <w:rFonts w:ascii="Times New Roman" w:hAnsi="Times New Roman"/>
          <w:sz w:val="21"/>
          <w:szCs w:val="21"/>
        </w:rPr>
        <w:t>中标人拖延、拒签合同的，将上报监管部门并取消中标资格。</w:t>
      </w:r>
    </w:p>
    <w:p>
      <w:pPr>
        <w:pStyle w:val="20"/>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w:t>
      </w:r>
      <w:r>
        <w:rPr>
          <w:rFonts w:ascii="Times New Roman" w:hAnsi="Times New Roman"/>
          <w:sz w:val="21"/>
          <w:szCs w:val="21"/>
        </w:rPr>
        <w:t>中标人和采购人签订合同，按合同规定的供货时间供货并安装调试完毕。</w:t>
      </w:r>
    </w:p>
    <w:p>
      <w:pPr>
        <w:pStyle w:val="20"/>
        <w:snapToGrid w:val="0"/>
        <w:spacing w:before="120" w:line="336" w:lineRule="auto"/>
        <w:ind w:firstLine="415" w:firstLineChars="198"/>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rPr>
        <w:t>.</w:t>
      </w:r>
      <w:r>
        <w:rPr>
          <w:rFonts w:ascii="Times New Roman" w:hAnsi="Times New Roman"/>
          <w:sz w:val="21"/>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0"/>
        <w:snapToGrid w:val="0"/>
        <w:spacing w:before="120" w:line="336" w:lineRule="auto"/>
        <w:ind w:firstLine="415" w:firstLineChars="198"/>
        <w:rPr>
          <w:rFonts w:ascii="Times New Roman" w:hAnsi="Times New Roman"/>
          <w:sz w:val="21"/>
          <w:szCs w:val="21"/>
        </w:rPr>
      </w:pPr>
    </w:p>
    <w:p>
      <w:pPr>
        <w:pStyle w:val="20"/>
        <w:snapToGrid w:val="0"/>
        <w:spacing w:before="120" w:line="336" w:lineRule="auto"/>
        <w:rPr>
          <w:rFonts w:ascii="Times New Roman" w:hAnsi="Times New Roman"/>
          <w:b/>
          <w:bCs/>
          <w:szCs w:val="24"/>
        </w:rPr>
      </w:pPr>
      <w:r>
        <w:rPr>
          <w:rFonts w:ascii="Times New Roman" w:hAnsi="Times New Roman"/>
          <w:b/>
          <w:bCs/>
          <w:szCs w:val="24"/>
        </w:rPr>
        <w:t>（二）合同公告</w:t>
      </w:r>
    </w:p>
    <w:p>
      <w:pPr>
        <w:pStyle w:val="20"/>
        <w:snapToGrid w:val="0"/>
        <w:spacing w:before="120" w:line="336" w:lineRule="auto"/>
        <w:ind w:firstLine="415" w:firstLineChars="198"/>
        <w:rPr>
          <w:rFonts w:ascii="Times New Roman" w:hAnsi="Times New Roman"/>
          <w:sz w:val="21"/>
        </w:rPr>
      </w:pPr>
      <w:r>
        <w:rPr>
          <w:rFonts w:ascii="Times New Roman" w:hAnsi="Times New Roman"/>
          <w:sz w:val="21"/>
          <w:szCs w:val="21"/>
        </w:rPr>
        <w:t>采购人应当自政府采购合同签订之日起2个工作日内，将政府采购合同在省级以上人民政府财政部门指定的媒体上公告，但政府采购合同中涉及国家秘密、商业秘密的内容除外。</w:t>
      </w:r>
    </w:p>
    <w:p>
      <w:pPr>
        <w:pStyle w:val="3"/>
        <w:rPr>
          <w:rFonts w:ascii="黑体" w:hAnsi="宋体" w:eastAsia="黑体"/>
          <w:sz w:val="30"/>
        </w:rPr>
      </w:pPr>
    </w:p>
    <w:p>
      <w:pPr>
        <w:pStyle w:val="3"/>
        <w:rPr>
          <w:rFonts w:ascii="黑体" w:hAnsi="宋体" w:eastAsia="黑体"/>
          <w:sz w:val="30"/>
        </w:rPr>
      </w:pPr>
    </w:p>
    <w:p>
      <w:pPr>
        <w:pStyle w:val="3"/>
        <w:rPr>
          <w:rFonts w:ascii="黑体" w:hAnsi="宋体" w:eastAsia="黑体"/>
          <w:sz w:val="30"/>
        </w:rPr>
      </w:pPr>
    </w:p>
    <w:p>
      <w:pPr>
        <w:pStyle w:val="3"/>
        <w:rPr>
          <w:rFonts w:ascii="黑体" w:hAnsi="宋体" w:eastAsia="黑体"/>
          <w:sz w:val="30"/>
        </w:rPr>
      </w:pPr>
    </w:p>
    <w:p>
      <w:pPr>
        <w:pStyle w:val="3"/>
        <w:rPr>
          <w:rFonts w:ascii="黑体" w:hAnsi="宋体" w:eastAsia="黑体"/>
          <w:sz w:val="30"/>
        </w:rPr>
      </w:pPr>
    </w:p>
    <w:p>
      <w:pPr>
        <w:pStyle w:val="3"/>
        <w:rPr>
          <w:rFonts w:ascii="黑体" w:hAnsi="宋体" w:eastAsia="黑体"/>
          <w:sz w:val="30"/>
        </w:rPr>
      </w:pPr>
    </w:p>
    <w:p>
      <w:pPr>
        <w:pStyle w:val="3"/>
        <w:rPr>
          <w:rFonts w:ascii="黑体" w:hAnsi="宋体" w:eastAsia="黑体"/>
          <w:sz w:val="30"/>
        </w:rPr>
      </w:pPr>
    </w:p>
    <w:p>
      <w:pPr>
        <w:pStyle w:val="3"/>
        <w:rPr>
          <w:rFonts w:ascii="黑体" w:hAnsi="宋体" w:eastAsia="黑体"/>
          <w:sz w:val="30"/>
        </w:rPr>
      </w:pPr>
    </w:p>
    <w:p>
      <w:pPr>
        <w:pStyle w:val="3"/>
        <w:rPr>
          <w:rFonts w:ascii="黑体" w:hAnsi="宋体" w:eastAsia="黑体"/>
          <w:sz w:val="30"/>
        </w:rPr>
      </w:pPr>
    </w:p>
    <w:p>
      <w:pPr>
        <w:pStyle w:val="3"/>
        <w:rPr>
          <w:rFonts w:ascii="黑体" w:hAnsi="宋体" w:eastAsia="黑体"/>
          <w:sz w:val="30"/>
        </w:rPr>
      </w:pPr>
    </w:p>
    <w:p>
      <w:pPr>
        <w:pStyle w:val="3"/>
        <w:rPr>
          <w:rFonts w:ascii="黑体" w:hAnsi="宋体" w:eastAsia="黑体"/>
          <w:sz w:val="30"/>
        </w:rPr>
      </w:pPr>
    </w:p>
    <w:p>
      <w:pPr>
        <w:pStyle w:val="3"/>
        <w:rPr>
          <w:rFonts w:ascii="黑体" w:hAnsi="宋体" w:eastAsia="黑体"/>
          <w:sz w:val="30"/>
        </w:rPr>
      </w:pPr>
    </w:p>
    <w:p>
      <w:pPr>
        <w:snapToGrid w:val="0"/>
        <w:spacing w:before="120" w:line="360" w:lineRule="auto"/>
        <w:ind w:right="-87"/>
        <w:jc w:val="center"/>
        <w:rPr>
          <w:rFonts w:ascii="黑体" w:hAnsi="宋体" w:eastAsia="黑体"/>
          <w:sz w:val="30"/>
        </w:rPr>
      </w:pPr>
      <w:r>
        <w:rPr>
          <w:rFonts w:hint="eastAsia" w:ascii="黑体" w:hAnsi="宋体" w:eastAsia="黑体"/>
          <w:sz w:val="30"/>
        </w:rPr>
        <w:t>第四章  评标办法及评分标准</w:t>
      </w:r>
    </w:p>
    <w:p>
      <w:pPr>
        <w:snapToGrid w:val="0"/>
        <w:spacing w:before="120" w:line="336" w:lineRule="auto"/>
        <w:ind w:right="-87" w:firstLine="103" w:firstLineChars="49"/>
        <w:outlineLvl w:val="0"/>
        <w:rPr>
          <w:rFonts w:hAnsi="宋体"/>
        </w:rPr>
      </w:pPr>
      <w:r>
        <w:rPr>
          <w:rFonts w:hint="eastAsia" w:hAnsi="宋体"/>
          <w:b/>
        </w:rPr>
        <w:t>综合评分法</w:t>
      </w:r>
    </w:p>
    <w:p>
      <w:pPr>
        <w:snapToGrid w:val="0"/>
        <w:spacing w:line="336" w:lineRule="auto"/>
        <w:ind w:right="-87"/>
        <w:jc w:val="center"/>
        <w:rPr>
          <w:rFonts w:ascii="宋体" w:hAnsi="宋体"/>
          <w:b/>
          <w:sz w:val="24"/>
          <w:szCs w:val="24"/>
        </w:rPr>
      </w:pPr>
      <w:r>
        <w:rPr>
          <w:rFonts w:hint="eastAsia" w:ascii="宋体"/>
          <w:b/>
          <w:sz w:val="24"/>
          <w:szCs w:val="24"/>
        </w:rPr>
        <w:t>舟山市食品药品检验检测研究院实验室仪器设备维保综合服务项目</w:t>
      </w:r>
      <w:r>
        <w:rPr>
          <w:rFonts w:hint="eastAsia"/>
          <w:b/>
          <w:sz w:val="24"/>
          <w:szCs w:val="24"/>
        </w:rPr>
        <w:t>评标办法</w:t>
      </w:r>
    </w:p>
    <w:p>
      <w:pPr>
        <w:snapToGrid w:val="0"/>
        <w:spacing w:line="336" w:lineRule="auto"/>
        <w:ind w:right="-87" w:firstLine="420"/>
        <w:rPr>
          <w:rFonts w:ascii="宋体" w:hAnsi="宋体"/>
        </w:rPr>
      </w:pPr>
      <w:r>
        <w:rPr>
          <w:rFonts w:hint="eastAsia" w:ascii="宋体" w:hAnsi="宋体"/>
        </w:rPr>
        <w:t>为公正、公平、科学地选择中标人，根据《中华人民共和国政府采购法》等有关法律法规的规定，并结合本项目的实际，制定本办法。</w:t>
      </w:r>
    </w:p>
    <w:p>
      <w:pPr>
        <w:snapToGrid w:val="0"/>
        <w:spacing w:line="336" w:lineRule="auto"/>
        <w:ind w:right="-87" w:firstLine="420"/>
        <w:rPr>
          <w:rFonts w:ascii="宋体" w:hAnsi="宋体"/>
        </w:rPr>
      </w:pPr>
      <w:r>
        <w:rPr>
          <w:rFonts w:hint="eastAsia" w:ascii="宋体" w:hAnsi="宋体"/>
          <w:szCs w:val="21"/>
        </w:rPr>
        <w:t>本办法适用于</w:t>
      </w:r>
      <w:r>
        <w:rPr>
          <w:rFonts w:hint="eastAsia"/>
          <w:szCs w:val="21"/>
        </w:rPr>
        <w:t>舟山市食品药品检验检测研究院实验室仪器设备维保综合服务项目</w:t>
      </w:r>
      <w:r>
        <w:rPr>
          <w:rFonts w:hint="eastAsia" w:ascii="宋体" w:hAnsi="宋体"/>
          <w:szCs w:val="21"/>
        </w:rPr>
        <w:t>的评标。</w:t>
      </w:r>
    </w:p>
    <w:p>
      <w:pPr>
        <w:snapToGrid w:val="0"/>
        <w:spacing w:line="336" w:lineRule="auto"/>
        <w:ind w:left="756" w:leftChars="114" w:right="-87" w:hanging="517" w:hangingChars="245"/>
        <w:rPr>
          <w:rFonts w:ascii="宋体" w:hAnsi="宋体"/>
        </w:rPr>
      </w:pPr>
      <w:r>
        <w:rPr>
          <w:rFonts w:hint="eastAsia" w:ascii="宋体" w:hAnsi="宋体"/>
          <w:b/>
        </w:rPr>
        <w:t>中标依据：</w:t>
      </w:r>
      <w:r>
        <w:rPr>
          <w:rFonts w:hint="eastAsia" w:ascii="宋体" w:hAnsi="宋体"/>
        </w:rPr>
        <w:t>在不高于</w:t>
      </w:r>
      <w:r>
        <w:rPr>
          <w:rFonts w:hint="eastAsia" w:ascii="宋体" w:hAnsi="宋体"/>
          <w:u w:val="single"/>
        </w:rPr>
        <w:t>最高限价</w:t>
      </w:r>
      <w:r>
        <w:rPr>
          <w:rFonts w:hint="eastAsia" w:ascii="宋体" w:hAnsi="宋体"/>
        </w:rPr>
        <w:t>的前提下，</w:t>
      </w:r>
      <w:r>
        <w:rPr>
          <w:rFonts w:hint="eastAsia" w:ascii="宋体" w:hAnsi="宋体"/>
          <w:u w:val="single"/>
        </w:rPr>
        <w:t>综合评估分</w:t>
      </w:r>
      <w:r>
        <w:rPr>
          <w:rFonts w:hint="eastAsia" w:ascii="宋体" w:hAnsi="宋体"/>
        </w:rPr>
        <w:t xml:space="preserve">最高者为中标候选人。   </w:t>
      </w:r>
    </w:p>
    <w:p>
      <w:pPr>
        <w:snapToGrid w:val="0"/>
        <w:spacing w:line="336" w:lineRule="auto"/>
        <w:ind w:left="756" w:leftChars="114" w:right="-87" w:hanging="517" w:hangingChars="245"/>
        <w:rPr>
          <w:rFonts w:ascii="宋体" w:hAnsi="宋体"/>
          <w:b/>
          <w:u w:val="single"/>
        </w:rPr>
      </w:pPr>
      <w:r>
        <w:rPr>
          <w:rFonts w:hint="eastAsia" w:ascii="宋体" w:hAnsi="宋体"/>
          <w:b/>
          <w:u w:val="single"/>
        </w:rPr>
        <w:t xml:space="preserve">  最高限价：指预算金额。</w:t>
      </w:r>
    </w:p>
    <w:p>
      <w:pPr>
        <w:snapToGrid w:val="0"/>
        <w:spacing w:line="336" w:lineRule="auto"/>
        <w:ind w:right="-87" w:firstLine="517" w:firstLineChars="245"/>
        <w:rPr>
          <w:rFonts w:ascii="宋体" w:hAnsi="宋体"/>
          <w:b/>
        </w:rPr>
      </w:pPr>
      <w:r>
        <w:rPr>
          <w:rFonts w:hint="eastAsia" w:ascii="宋体" w:hAnsi="宋体"/>
          <w:b/>
        </w:rPr>
        <w:t>报价的计分方法：</w:t>
      </w:r>
    </w:p>
    <w:p>
      <w:pPr>
        <w:autoSpaceDE w:val="0"/>
        <w:autoSpaceDN w:val="0"/>
        <w:adjustRightInd w:val="0"/>
        <w:snapToGrid w:val="0"/>
        <w:spacing w:line="336" w:lineRule="auto"/>
        <w:ind w:right="-87" w:firstLine="411" w:firstLineChars="196"/>
        <w:rPr>
          <w:rFonts w:ascii="宋体" w:hAnsi="宋体"/>
          <w:lang w:val="zh-CN"/>
        </w:rPr>
      </w:pPr>
      <w:r>
        <w:rPr>
          <w:rFonts w:hint="eastAsia" w:ascii="宋体" w:hAnsi="宋体"/>
          <w:lang w:val="zh-CN"/>
        </w:rPr>
        <w:t>满足投标文件要求且投标价格最低的投标报价为评标基准价，其价格分为满分，其他投标人的价格分按下列公式计算：</w:t>
      </w:r>
    </w:p>
    <w:p>
      <w:pPr>
        <w:autoSpaceDE w:val="0"/>
        <w:autoSpaceDN w:val="0"/>
        <w:adjustRightInd w:val="0"/>
        <w:snapToGrid w:val="0"/>
        <w:spacing w:line="336" w:lineRule="auto"/>
        <w:ind w:right="-87" w:firstLine="550" w:firstLineChars="262"/>
        <w:rPr>
          <w:rFonts w:ascii="宋体" w:hAnsi="宋体"/>
          <w:lang w:val="zh-CN"/>
        </w:rPr>
      </w:pPr>
      <w:r>
        <w:rPr>
          <w:rFonts w:hint="eastAsia" w:ascii="宋体" w:hAnsi="宋体"/>
          <w:lang w:val="zh-CN"/>
        </w:rPr>
        <w:t>价格得分＝（评标基准价/投标报价）×价格权重×100。</w:t>
      </w:r>
    </w:p>
    <w:tbl>
      <w:tblPr>
        <w:tblStyle w:val="35"/>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宋体" w:hAnsi="宋体"/>
              </w:rPr>
            </w:pPr>
            <w:r>
              <w:rPr>
                <w:rFonts w:hint="eastAsia" w:ascii="宋体" w:hAnsi="宋体"/>
                <w:lang w:val="zh-CN"/>
              </w:rPr>
              <w:t>评价指标和各评价权重指标：</w:t>
            </w:r>
            <w:r>
              <w:rPr>
                <w:rFonts w:hint="eastAsia" w:ascii="宋体" w:hAnsi="宋体"/>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宋体" w:hAnsi="宋体"/>
              </w:rPr>
            </w:pPr>
            <w:r>
              <w:rPr>
                <w:rFonts w:hint="eastAsia" w:ascii="宋体" w:hAnsi="宋体"/>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pPr>
              <w:spacing w:line="336" w:lineRule="auto"/>
              <w:ind w:right="-341"/>
              <w:jc w:val="center"/>
              <w:rPr>
                <w:rFonts w:ascii="宋体" w:hAnsi="宋体"/>
              </w:rPr>
            </w:pPr>
            <w:r>
              <w:rPr>
                <w:rFonts w:hint="eastAsia" w:ascii="宋体" w:hAnsi="宋体"/>
              </w:rPr>
              <w:t>商务、技术部分</w:t>
            </w:r>
          </w:p>
        </w:tc>
        <w:tc>
          <w:tcPr>
            <w:tcW w:w="2700" w:type="dxa"/>
            <w:tcBorders>
              <w:top w:val="single" w:color="auto" w:sz="4" w:space="0"/>
              <w:left w:val="single" w:color="auto" w:sz="4" w:space="0"/>
              <w:right w:val="single" w:color="auto" w:sz="4" w:space="0"/>
            </w:tcBorders>
            <w:vAlign w:val="center"/>
          </w:tcPr>
          <w:p>
            <w:pPr>
              <w:spacing w:line="336" w:lineRule="auto"/>
              <w:ind w:right="-341"/>
              <w:jc w:val="center"/>
              <w:rPr>
                <w:rFonts w:ascii="宋体" w:hAnsi="宋体"/>
              </w:rPr>
            </w:pPr>
            <w:r>
              <w:rPr>
                <w:rFonts w:ascii="宋体" w:hAnsi="宋体"/>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宋体" w:hAnsi="宋体"/>
              </w:rPr>
            </w:pPr>
            <w:r>
              <w:rPr>
                <w:rFonts w:hint="eastAsia" w:ascii="宋体" w:hAnsi="宋体"/>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宋体" w:hAnsi="宋体"/>
              </w:rPr>
            </w:pPr>
            <w:r>
              <w:rPr>
                <w:rFonts w:ascii="宋体" w:hAnsi="宋体"/>
              </w:rPr>
              <w:t>1</w:t>
            </w: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宋体" w:hAnsi="宋体"/>
              </w:rPr>
            </w:pPr>
            <w:r>
              <w:rPr>
                <w:rFonts w:hint="eastAsia" w:ascii="宋体" w:hAnsi="宋体"/>
              </w:rPr>
              <w:t>合计</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36" w:lineRule="auto"/>
              <w:ind w:right="-341"/>
              <w:jc w:val="center"/>
              <w:rPr>
                <w:rFonts w:ascii="宋体" w:hAnsi="宋体"/>
              </w:rPr>
            </w:pPr>
            <w:r>
              <w:rPr>
                <w:rFonts w:hint="eastAsia" w:ascii="宋体" w:hAnsi="宋体"/>
              </w:rPr>
              <w:t>100</w:t>
            </w:r>
          </w:p>
        </w:tc>
      </w:tr>
    </w:tbl>
    <w:p>
      <w:pPr>
        <w:autoSpaceDE w:val="0"/>
        <w:autoSpaceDN w:val="0"/>
        <w:adjustRightInd w:val="0"/>
        <w:spacing w:line="336" w:lineRule="auto"/>
        <w:ind w:right="-341" w:firstLine="424" w:firstLineChars="202"/>
        <w:rPr>
          <w:rFonts w:ascii="宋体" w:hAnsi="宋体"/>
        </w:rPr>
      </w:pPr>
      <w:r>
        <w:rPr>
          <w:rFonts w:hint="eastAsia" w:ascii="宋体" w:hAnsi="宋体"/>
        </w:rPr>
        <w:t>综合评估分=商务技术得分＋价格得分(评分过程中采用四舍五入法，并保留小数2位)</w:t>
      </w:r>
    </w:p>
    <w:p>
      <w:pPr>
        <w:autoSpaceDE w:val="0"/>
        <w:autoSpaceDN w:val="0"/>
        <w:adjustRightInd w:val="0"/>
        <w:spacing w:line="336" w:lineRule="auto"/>
        <w:ind w:right="-341" w:firstLine="424" w:firstLineChars="202"/>
        <w:rPr>
          <w:rFonts w:ascii="宋体" w:hAnsi="宋体"/>
        </w:rPr>
      </w:pPr>
      <w:r>
        <w:rPr>
          <w:rFonts w:hint="eastAsia" w:ascii="宋体" w:hAnsi="宋体"/>
        </w:rPr>
        <w:t>将综合评估分从高到低排序，得出参投标人名次。得分相同时，按投标报价由低到高顺序排列，得分且投标报价相同的，按技术指标优劣顺序排列</w:t>
      </w:r>
    </w:p>
    <w:p>
      <w:pPr>
        <w:tabs>
          <w:tab w:val="left" w:pos="1620"/>
        </w:tabs>
        <w:spacing w:line="336" w:lineRule="auto"/>
        <w:ind w:left="1111" w:leftChars="228" w:right="-341" w:hanging="632" w:hangingChars="300"/>
        <w:rPr>
          <w:rFonts w:ascii="宋体" w:hAnsi="宋体"/>
          <w:b/>
        </w:rPr>
      </w:pPr>
      <w:r>
        <w:rPr>
          <w:rFonts w:hint="eastAsia" w:ascii="宋体" w:hAnsi="宋体"/>
          <w:b/>
        </w:rPr>
        <w:t xml:space="preserve"> 候选中标商的选取</w:t>
      </w:r>
    </w:p>
    <w:p>
      <w:pPr>
        <w:spacing w:line="336" w:lineRule="auto"/>
        <w:ind w:right="-341" w:firstLine="525" w:firstLineChars="250"/>
        <w:rPr>
          <w:rFonts w:ascii="宋体" w:hAnsi="宋体"/>
          <w:b/>
          <w:sz w:val="28"/>
          <w:szCs w:val="28"/>
          <w:lang w:val="zh-CN"/>
        </w:rPr>
      </w:pPr>
      <w:r>
        <w:rPr>
          <w:rFonts w:hint="eastAsia" w:ascii="宋体" w:hAnsi="宋体"/>
        </w:rPr>
        <w:t>按照综合评估分名次推荐候选中标人1名。</w:t>
      </w:r>
    </w:p>
    <w:p>
      <w:pPr>
        <w:autoSpaceDE w:val="0"/>
        <w:autoSpaceDN w:val="0"/>
        <w:adjustRightInd w:val="0"/>
        <w:ind w:right="-341"/>
        <w:rPr>
          <w:rFonts w:ascii="宋体" w:hAnsi="宋体"/>
          <w:b/>
          <w:sz w:val="28"/>
          <w:szCs w:val="28"/>
          <w:lang w:val="zh-CN"/>
        </w:rPr>
        <w:sectPr>
          <w:pgSz w:w="11906" w:h="16838"/>
          <w:pgMar w:top="1304" w:right="1106" w:bottom="1304" w:left="1531" w:header="1304" w:footer="1304" w:gutter="0"/>
          <w:cols w:space="720" w:num="1"/>
        </w:sectPr>
      </w:pPr>
    </w:p>
    <w:p>
      <w:pPr>
        <w:spacing w:line="288" w:lineRule="auto"/>
        <w:ind w:right="-341"/>
        <w:jc w:val="center"/>
        <w:rPr>
          <w:rFonts w:ascii="宋体" w:hAnsi="宋体"/>
          <w:b/>
          <w:spacing w:val="-8"/>
          <w:sz w:val="24"/>
          <w:szCs w:val="24"/>
          <w:lang w:val="zh-CN"/>
        </w:rPr>
      </w:pPr>
      <w:r>
        <w:rPr>
          <w:rFonts w:hint="eastAsia" w:ascii="宋体" w:hAnsi="宋体"/>
          <w:b/>
          <w:spacing w:val="-8"/>
          <w:sz w:val="24"/>
          <w:szCs w:val="24"/>
        </w:rPr>
        <w:t>舟山市食品药品检验检测研究院实验室仪器设备维保综合服务项目评分表</w:t>
      </w:r>
    </w:p>
    <w:p>
      <w:pPr>
        <w:spacing w:line="288" w:lineRule="auto"/>
        <w:ind w:right="-341"/>
        <w:jc w:val="left"/>
        <w:rPr>
          <w:rFonts w:ascii="宋体" w:hAnsi="宋体"/>
          <w:szCs w:val="21"/>
        </w:rPr>
      </w:pPr>
    </w:p>
    <w:p>
      <w:pPr>
        <w:spacing w:line="288" w:lineRule="auto"/>
        <w:ind w:right="-341"/>
        <w:jc w:val="left"/>
        <w:rPr>
          <w:rFonts w:asciiTheme="minorEastAsia" w:hAnsiTheme="minorEastAsia" w:eastAsiaTheme="minorEastAsia"/>
          <w:b/>
          <w:szCs w:val="21"/>
        </w:rPr>
      </w:pPr>
      <w:r>
        <w:rPr>
          <w:rFonts w:hint="eastAsia" w:ascii="宋体"/>
          <w:b/>
          <w:szCs w:val="21"/>
        </w:rPr>
        <w:t>项</w:t>
      </w:r>
      <w:r>
        <w:rPr>
          <w:rFonts w:hint="eastAsia" w:asciiTheme="minorEastAsia" w:hAnsiTheme="minorEastAsia" w:eastAsiaTheme="minorEastAsia"/>
          <w:b/>
          <w:szCs w:val="21"/>
        </w:rPr>
        <w:t>目名称：舟山市食品药品检验检测研究院实验室仪器设备维保综合服务项目</w:t>
      </w:r>
    </w:p>
    <w:p>
      <w:pPr>
        <w:spacing w:line="360" w:lineRule="auto"/>
        <w:ind w:right="-341"/>
        <w:jc w:val="left"/>
        <w:rPr>
          <w:rFonts w:ascii="宋体" w:eastAsiaTheme="minorEastAsia"/>
          <w:b/>
          <w:szCs w:val="21"/>
        </w:rPr>
      </w:pPr>
      <w:r>
        <w:rPr>
          <w:rFonts w:hint="eastAsia" w:asciiTheme="minorEastAsia" w:hAnsiTheme="minorEastAsia" w:eastAsiaTheme="minorEastAsia"/>
          <w:b/>
          <w:szCs w:val="21"/>
        </w:rPr>
        <w:t>招标编号：SZGXZS2022139</w:t>
      </w:r>
    </w:p>
    <w:tbl>
      <w:tblPr>
        <w:tblStyle w:val="35"/>
        <w:tblW w:w="9215" w:type="dxa"/>
        <w:tblInd w:w="-176" w:type="dxa"/>
        <w:tblLayout w:type="autofit"/>
        <w:tblCellMar>
          <w:top w:w="0" w:type="dxa"/>
          <w:left w:w="108" w:type="dxa"/>
          <w:bottom w:w="0" w:type="dxa"/>
          <w:right w:w="108" w:type="dxa"/>
        </w:tblCellMar>
      </w:tblPr>
      <w:tblGrid>
        <w:gridCol w:w="994"/>
        <w:gridCol w:w="1417"/>
        <w:gridCol w:w="6095"/>
        <w:gridCol w:w="709"/>
      </w:tblGrid>
      <w:tr>
        <w:tblPrEx>
          <w:tblCellMar>
            <w:top w:w="0" w:type="dxa"/>
            <w:left w:w="108" w:type="dxa"/>
            <w:bottom w:w="0" w:type="dxa"/>
            <w:right w:w="108" w:type="dxa"/>
          </w:tblCellMar>
        </w:tblPrEx>
        <w:trPr>
          <w:trHeight w:val="300" w:hRule="atLeast"/>
        </w:trPr>
        <w:tc>
          <w:tcPr>
            <w:tcW w:w="994"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类别</w:t>
            </w:r>
          </w:p>
        </w:tc>
        <w:tc>
          <w:tcPr>
            <w:tcW w:w="1417"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评审内容</w:t>
            </w:r>
          </w:p>
        </w:tc>
        <w:tc>
          <w:tcPr>
            <w:tcW w:w="6095"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评分标准</w:t>
            </w:r>
          </w:p>
        </w:tc>
        <w:tc>
          <w:tcPr>
            <w:tcW w:w="709"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得分</w:t>
            </w:r>
          </w:p>
        </w:tc>
      </w:tr>
      <w:tr>
        <w:tblPrEx>
          <w:tblCellMar>
            <w:top w:w="0" w:type="dxa"/>
            <w:left w:w="108" w:type="dxa"/>
            <w:bottom w:w="0" w:type="dxa"/>
            <w:right w:w="108" w:type="dxa"/>
          </w:tblCellMar>
        </w:tblPrEx>
        <w:trPr>
          <w:trHeight w:val="780" w:hRule="atLeast"/>
        </w:trPr>
        <w:tc>
          <w:tcPr>
            <w:tcW w:w="99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商务技术得分</w:t>
            </w:r>
          </w:p>
          <w:p>
            <w:pPr>
              <w:pStyle w:val="43"/>
              <w:jc w:val="center"/>
            </w:pPr>
            <w:r>
              <w:rPr>
                <w:rFonts w:hint="eastAsia" w:asciiTheme="minorEastAsia" w:hAnsiTheme="minorEastAsia" w:eastAsiaTheme="minorEastAsia"/>
                <w:sz w:val="21"/>
                <w:szCs w:val="21"/>
              </w:rPr>
              <w:t>（</w:t>
            </w:r>
            <w:r>
              <w:rPr>
                <w:rFonts w:asciiTheme="minorEastAsia" w:hAnsiTheme="minorEastAsia" w:eastAsiaTheme="minorEastAsia"/>
                <w:sz w:val="21"/>
                <w:szCs w:val="21"/>
              </w:rPr>
              <w:t>90</w:t>
            </w:r>
            <w:r>
              <w:rPr>
                <w:rFonts w:hint="eastAsia" w:asciiTheme="minorEastAsia" w:hAnsiTheme="minorEastAsia" w:eastAsiaTheme="minorEastAsia"/>
                <w:sz w:val="21"/>
                <w:szCs w:val="21"/>
              </w:rPr>
              <w:t>分）</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投标人业绩（1分）</w:t>
            </w:r>
          </w:p>
        </w:tc>
        <w:tc>
          <w:tcPr>
            <w:tcW w:w="6095" w:type="dxa"/>
            <w:tcBorders>
              <w:top w:val="single" w:color="auto" w:sz="8" w:space="0"/>
              <w:left w:val="nil"/>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自201</w:t>
            </w:r>
            <w:r>
              <w:rPr>
                <w:rFonts w:cs="宋体" w:asciiTheme="minorEastAsia" w:hAnsiTheme="minorEastAsia" w:eastAsiaTheme="minorEastAsia"/>
                <w:color w:val="auto"/>
                <w:kern w:val="0"/>
                <w:szCs w:val="21"/>
              </w:rPr>
              <w:t>9</w:t>
            </w:r>
            <w:r>
              <w:rPr>
                <w:rFonts w:hint="eastAsia" w:cs="宋体" w:asciiTheme="minorEastAsia" w:hAnsiTheme="minorEastAsia" w:eastAsiaTheme="minorEastAsia"/>
                <w:color w:val="auto"/>
                <w:kern w:val="0"/>
                <w:szCs w:val="21"/>
              </w:rPr>
              <w:t>年1月1日以来同类实验室设备维保项目的业绩。每提供一个同类项目业绩得</w:t>
            </w:r>
            <w:r>
              <w:rPr>
                <w:rFonts w:cs="宋体" w:asciiTheme="minorEastAsia" w:hAnsiTheme="minorEastAsia" w:eastAsiaTheme="minorEastAsia"/>
                <w:color w:val="auto"/>
                <w:kern w:val="0"/>
                <w:szCs w:val="21"/>
              </w:rPr>
              <w:t>0.5</w:t>
            </w:r>
            <w:r>
              <w:rPr>
                <w:rFonts w:hint="eastAsia" w:cs="宋体" w:asciiTheme="minorEastAsia" w:hAnsiTheme="minorEastAsia" w:eastAsiaTheme="minorEastAsia"/>
                <w:color w:val="auto"/>
                <w:kern w:val="0"/>
                <w:szCs w:val="21"/>
              </w:rPr>
              <w:t>分，最高得</w:t>
            </w: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分，不提供不得分。</w:t>
            </w:r>
          </w:p>
          <w:p>
            <w:pPr>
              <w:widowControl/>
              <w:rPr>
                <w:rFonts w:cs="宋体" w:asciiTheme="minorEastAsia" w:hAnsiTheme="minorEastAsia" w:eastAsiaTheme="minorEastAsia"/>
                <w:color w:val="auto"/>
                <w:kern w:val="0"/>
                <w:szCs w:val="21"/>
              </w:rPr>
            </w:pPr>
            <w:r>
              <w:rPr>
                <w:rFonts w:hint="eastAsia" w:cs="宋体" w:asciiTheme="minorEastAsia" w:hAnsiTheme="minorEastAsia" w:eastAsiaTheme="minorEastAsia"/>
                <w:b/>
                <w:bCs/>
                <w:color w:val="auto"/>
                <w:kern w:val="0"/>
                <w:szCs w:val="21"/>
              </w:rPr>
              <w:t>注：提供合同复印件加盖公章，合同证明应体现包括设备品牌、型号、金额、双方单位名称及盖章、签订日期、合同设备清单（清单中未含品牌、型号、金额等信息的不计算在内）；不含分包及联合投标项目。</w:t>
            </w:r>
          </w:p>
        </w:tc>
        <w:tc>
          <w:tcPr>
            <w:tcW w:w="709" w:type="dxa"/>
            <w:tcBorders>
              <w:top w:val="nil"/>
              <w:left w:val="nil"/>
              <w:bottom w:val="single" w:color="auto" w:sz="8" w:space="0"/>
              <w:right w:val="single" w:color="auto" w:sz="8" w:space="0"/>
            </w:tcBorders>
            <w:shd w:val="clear" w:color="auto" w:fill="auto"/>
            <w:noWrap/>
            <w:vAlign w:val="center"/>
          </w:tcPr>
          <w:p>
            <w:pPr>
              <w:widowControl/>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924" w:hRule="atLeast"/>
        </w:trPr>
        <w:tc>
          <w:tcPr>
            <w:tcW w:w="99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eastAsiaTheme="minorEastAsia"/>
                <w:kern w:val="0"/>
                <w:szCs w:val="21"/>
              </w:rPr>
            </w:pPr>
          </w:p>
        </w:tc>
        <w:tc>
          <w:tcPr>
            <w:tcW w:w="1417" w:type="dxa"/>
            <w:tcBorders>
              <w:top w:val="single" w:color="auto" w:sz="8" w:space="0"/>
              <w:left w:val="single" w:color="auto" w:sz="8" w:space="0"/>
              <w:right w:val="single" w:color="auto" w:sz="8" w:space="0"/>
            </w:tcBorders>
            <w:shd w:val="clear" w:color="auto" w:fill="auto"/>
            <w:vAlign w:val="center"/>
          </w:tcPr>
          <w:p>
            <w:pPr>
              <w:pStyle w:val="43"/>
              <w:jc w:val="center"/>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维保协议</w:t>
            </w:r>
          </w:p>
          <w:p>
            <w:pPr>
              <w:pStyle w:val="3"/>
              <w:jc w:val="center"/>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（6分）</w:t>
            </w:r>
          </w:p>
        </w:tc>
        <w:tc>
          <w:tcPr>
            <w:tcW w:w="6095" w:type="dxa"/>
            <w:tcBorders>
              <w:top w:val="single" w:color="auto" w:sz="8" w:space="0"/>
              <w:left w:val="nil"/>
              <w:bottom w:val="single" w:color="auto" w:sz="8" w:space="0"/>
              <w:right w:val="single" w:color="auto" w:sz="8" w:space="0"/>
            </w:tcBorders>
            <w:shd w:val="clear" w:color="auto" w:fill="auto"/>
            <w:vAlign w:val="center"/>
          </w:tcPr>
          <w:p>
            <w:pPr>
              <w:spacing w:before="100" w:beforeAutospacing="1" w:after="100" w:afterAutospacing="1" w:line="276" w:lineRule="auto"/>
              <w:contextualSpacing/>
              <w:rPr>
                <w:rFonts w:ascii="宋体" w:hAnsi="宋体" w:cs="宋体"/>
                <w:b/>
                <w:bCs/>
                <w:color w:val="auto"/>
                <w:szCs w:val="21"/>
              </w:rPr>
            </w:pPr>
            <w:r>
              <w:rPr>
                <w:rFonts w:hint="eastAsia" w:hAnsi="仿宋"/>
                <w:b/>
                <w:bCs/>
                <w:color w:val="auto"/>
                <w:szCs w:val="21"/>
              </w:rPr>
              <w:t>本项目中序号1-12号的维保仪器设备，投标人提供与原厂签订的维保协议，每台仪器得0.5分。最高6分。（6分）（提供相关协议或证明文件复印件加盖公章）</w:t>
            </w:r>
          </w:p>
        </w:tc>
        <w:tc>
          <w:tcPr>
            <w:tcW w:w="709" w:type="dxa"/>
            <w:tcBorders>
              <w:top w:val="nil"/>
              <w:left w:val="nil"/>
              <w:bottom w:val="single" w:color="auto" w:sz="8" w:space="0"/>
              <w:right w:val="single" w:color="auto" w:sz="8" w:space="0"/>
            </w:tcBorders>
            <w:shd w:val="clear" w:color="auto" w:fill="auto"/>
            <w:noWrap/>
            <w:vAlign w:val="center"/>
          </w:tcPr>
          <w:p>
            <w:pPr>
              <w:widowControl/>
              <w:jc w:val="left"/>
              <w:rPr>
                <w:rFonts w:ascii="等线" w:hAnsi="等线" w:eastAsia="等线" w:cs="宋体"/>
                <w:kern w:val="0"/>
                <w:sz w:val="22"/>
              </w:rPr>
            </w:pPr>
          </w:p>
        </w:tc>
      </w:tr>
      <w:tr>
        <w:tblPrEx>
          <w:tblCellMar>
            <w:top w:w="0" w:type="dxa"/>
            <w:left w:w="108" w:type="dxa"/>
            <w:bottom w:w="0" w:type="dxa"/>
            <w:right w:w="108" w:type="dxa"/>
          </w:tblCellMar>
        </w:tblPrEx>
        <w:trPr>
          <w:trHeight w:val="924" w:hRule="atLeast"/>
        </w:trPr>
        <w:tc>
          <w:tcPr>
            <w:tcW w:w="99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eastAsiaTheme="minorEastAsia"/>
                <w:kern w:val="0"/>
                <w:szCs w:val="21"/>
              </w:rPr>
            </w:pPr>
          </w:p>
        </w:tc>
        <w:tc>
          <w:tcPr>
            <w:tcW w:w="1417" w:type="dxa"/>
            <w:vMerge w:val="restart"/>
            <w:tcBorders>
              <w:top w:val="single" w:color="auto" w:sz="8" w:space="0"/>
              <w:left w:val="single" w:color="auto" w:sz="8" w:space="0"/>
              <w:right w:val="single" w:color="auto" w:sz="8" w:space="0"/>
            </w:tcBorders>
            <w:shd w:val="clear" w:color="auto" w:fill="auto"/>
            <w:vAlign w:val="center"/>
          </w:tcPr>
          <w:p>
            <w:pPr>
              <w:spacing w:before="100" w:beforeAutospacing="1" w:after="100" w:afterAutospacing="1"/>
              <w:ind w:right="-63" w:rightChars="-30" w:firstLine="211" w:firstLineChars="100"/>
              <w:contextualSpacing/>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服务团队</w:t>
            </w:r>
          </w:p>
          <w:p>
            <w:pPr>
              <w:pStyle w:val="43"/>
              <w:ind w:firstLine="211" w:firstLineChars="100"/>
              <w:jc w:val="center"/>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（13分）</w:t>
            </w:r>
          </w:p>
        </w:tc>
        <w:tc>
          <w:tcPr>
            <w:tcW w:w="6095" w:type="dxa"/>
            <w:tcBorders>
              <w:top w:val="single" w:color="auto" w:sz="8" w:space="0"/>
              <w:left w:val="nil"/>
              <w:bottom w:val="single" w:color="auto" w:sz="8" w:space="0"/>
              <w:right w:val="single" w:color="auto" w:sz="8" w:space="0"/>
            </w:tcBorders>
            <w:shd w:val="clear" w:color="auto" w:fill="auto"/>
            <w:vAlign w:val="center"/>
          </w:tcPr>
          <w:p>
            <w:pPr>
              <w:spacing w:before="100" w:beforeAutospacing="1" w:after="100" w:afterAutospacing="1" w:line="276" w:lineRule="auto"/>
              <w:contextualSpacing/>
              <w:rPr>
                <w:rFonts w:hAnsi="仿宋"/>
                <w:b/>
                <w:bCs/>
                <w:color w:val="auto"/>
                <w:szCs w:val="21"/>
              </w:rPr>
            </w:pPr>
            <w:r>
              <w:rPr>
                <w:rFonts w:hint="eastAsia" w:asciiTheme="minorEastAsia" w:hAnsiTheme="minorEastAsia" w:eastAsiaTheme="minorEastAsia"/>
                <w:b/>
                <w:bCs/>
                <w:color w:val="auto"/>
                <w:szCs w:val="21"/>
              </w:rPr>
              <w:t>项目团队配置组织机构健全、合理、职责明确情况，是否分配合理、明确，其配置数量、经验是否满足本项目实施要求：组织机构健全，职责分明的：3分；组织机构较建全，职责较分明的：2分；组织机构不够建全，职责不分明的：1分。</w:t>
            </w:r>
          </w:p>
        </w:tc>
        <w:tc>
          <w:tcPr>
            <w:tcW w:w="709" w:type="dxa"/>
            <w:tcBorders>
              <w:top w:val="nil"/>
              <w:left w:val="nil"/>
              <w:bottom w:val="single" w:color="auto" w:sz="8" w:space="0"/>
              <w:right w:val="single" w:color="auto" w:sz="8" w:space="0"/>
            </w:tcBorders>
            <w:shd w:val="clear" w:color="auto" w:fill="auto"/>
            <w:noWrap/>
            <w:vAlign w:val="center"/>
          </w:tcPr>
          <w:p>
            <w:pPr>
              <w:widowControl/>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1111" w:hRule="atLeast"/>
        </w:trPr>
        <w:tc>
          <w:tcPr>
            <w:tcW w:w="99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eastAsiaTheme="minorEastAsia"/>
                <w:kern w:val="0"/>
                <w:szCs w:val="21"/>
              </w:rPr>
            </w:pPr>
          </w:p>
        </w:tc>
        <w:tc>
          <w:tcPr>
            <w:tcW w:w="1417" w:type="dxa"/>
            <w:vMerge w:val="continue"/>
            <w:tcBorders>
              <w:left w:val="single" w:color="auto" w:sz="8" w:space="0"/>
              <w:right w:val="single" w:color="auto" w:sz="8" w:space="0"/>
            </w:tcBorders>
            <w:shd w:val="clear" w:color="auto" w:fill="auto"/>
            <w:vAlign w:val="center"/>
          </w:tcPr>
          <w:p>
            <w:pPr>
              <w:pStyle w:val="43"/>
              <w:ind w:firstLine="211" w:firstLineChars="100"/>
              <w:jc w:val="center"/>
              <w:rPr>
                <w:rFonts w:asciiTheme="minorEastAsia" w:hAnsiTheme="minorEastAsia" w:eastAsiaTheme="minorEastAsia"/>
                <w:b/>
                <w:bCs/>
                <w:color w:val="auto"/>
                <w:sz w:val="21"/>
                <w:szCs w:val="21"/>
              </w:rPr>
            </w:pPr>
          </w:p>
        </w:tc>
        <w:tc>
          <w:tcPr>
            <w:tcW w:w="6095" w:type="dxa"/>
            <w:tcBorders>
              <w:top w:val="single" w:color="auto" w:sz="8" w:space="0"/>
              <w:left w:val="nil"/>
              <w:bottom w:val="single" w:color="auto" w:sz="8" w:space="0"/>
              <w:right w:val="single" w:color="auto" w:sz="8" w:space="0"/>
            </w:tcBorders>
            <w:shd w:val="clear" w:color="auto" w:fill="auto"/>
            <w:vAlign w:val="center"/>
          </w:tcPr>
          <w:p>
            <w:pPr>
              <w:spacing w:line="288" w:lineRule="auto"/>
              <w:rPr>
                <w:rFonts w:asciiTheme="minorEastAsia" w:hAnsiTheme="minorEastAsia"/>
                <w:b/>
                <w:bCs/>
                <w:color w:val="auto"/>
                <w:szCs w:val="21"/>
              </w:rPr>
            </w:pPr>
            <w:r>
              <w:rPr>
                <w:rFonts w:hint="eastAsia" w:asciiTheme="minorEastAsia" w:hAnsiTheme="minorEastAsia" w:eastAsiaTheme="minorEastAsia"/>
                <w:b/>
                <w:bCs/>
                <w:color w:val="auto"/>
                <w:szCs w:val="21"/>
              </w:rPr>
              <w:t>技术负责人员具备</w:t>
            </w:r>
            <w:r>
              <w:rPr>
                <w:rFonts w:hint="eastAsia" w:ascii="宋体" w:hAnsi="宋体" w:cs="宋体"/>
                <w:b/>
                <w:bCs/>
                <w:color w:val="auto"/>
                <w:szCs w:val="21"/>
              </w:rPr>
              <w:t>色谱、质谱、光谱等相关培训证书，每份得2分，最高得6分。（需提供技术能力证明材料和最近三个月任意一个月的社保证明，复印件加盖公章，不提供不得分）</w:t>
            </w:r>
          </w:p>
        </w:tc>
        <w:tc>
          <w:tcPr>
            <w:tcW w:w="709" w:type="dxa"/>
            <w:tcBorders>
              <w:top w:val="nil"/>
              <w:left w:val="nil"/>
              <w:bottom w:val="single" w:color="auto" w:sz="8" w:space="0"/>
              <w:right w:val="single" w:color="auto" w:sz="8" w:space="0"/>
            </w:tcBorders>
            <w:shd w:val="clear" w:color="auto" w:fill="auto"/>
            <w:noWrap/>
            <w:vAlign w:val="center"/>
          </w:tcPr>
          <w:p>
            <w:pPr>
              <w:widowControl/>
              <w:jc w:val="left"/>
              <w:rPr>
                <w:rFonts w:ascii="等线" w:hAnsi="等线" w:eastAsia="等线" w:cs="宋体"/>
                <w:kern w:val="0"/>
                <w:sz w:val="22"/>
              </w:rPr>
            </w:pPr>
          </w:p>
        </w:tc>
      </w:tr>
      <w:tr>
        <w:tblPrEx>
          <w:tblCellMar>
            <w:top w:w="0" w:type="dxa"/>
            <w:left w:w="108" w:type="dxa"/>
            <w:bottom w:w="0" w:type="dxa"/>
            <w:right w:w="108" w:type="dxa"/>
          </w:tblCellMar>
        </w:tblPrEx>
        <w:trPr>
          <w:trHeight w:val="1680" w:hRule="atLeast"/>
        </w:trPr>
        <w:tc>
          <w:tcPr>
            <w:tcW w:w="99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eastAsiaTheme="minorEastAsia"/>
                <w:kern w:val="0"/>
                <w:szCs w:val="21"/>
              </w:rPr>
            </w:pPr>
          </w:p>
        </w:tc>
        <w:tc>
          <w:tcPr>
            <w:tcW w:w="1417" w:type="dxa"/>
            <w:vMerge w:val="continue"/>
            <w:tcBorders>
              <w:left w:val="single" w:color="auto" w:sz="8" w:space="0"/>
              <w:bottom w:val="single" w:color="auto" w:sz="8" w:space="0"/>
              <w:right w:val="single" w:color="auto" w:sz="8" w:space="0"/>
            </w:tcBorders>
            <w:shd w:val="clear" w:color="auto" w:fill="auto"/>
            <w:vAlign w:val="center"/>
          </w:tcPr>
          <w:p>
            <w:pPr>
              <w:pStyle w:val="43"/>
              <w:ind w:firstLine="211" w:firstLineChars="100"/>
              <w:jc w:val="center"/>
              <w:rPr>
                <w:rFonts w:asciiTheme="minorEastAsia" w:hAnsiTheme="minorEastAsia" w:eastAsiaTheme="minorEastAsia"/>
                <w:b/>
                <w:bCs/>
                <w:color w:val="auto"/>
                <w:sz w:val="21"/>
                <w:szCs w:val="21"/>
              </w:rPr>
            </w:pPr>
          </w:p>
        </w:tc>
        <w:tc>
          <w:tcPr>
            <w:tcW w:w="6095" w:type="dxa"/>
            <w:tcBorders>
              <w:top w:val="single" w:color="auto" w:sz="8" w:space="0"/>
              <w:left w:val="nil"/>
              <w:bottom w:val="single" w:color="auto" w:sz="8" w:space="0"/>
              <w:right w:val="single" w:color="auto" w:sz="8" w:space="0"/>
            </w:tcBorders>
            <w:shd w:val="clear" w:color="auto" w:fill="auto"/>
            <w:vAlign w:val="center"/>
          </w:tcPr>
          <w:p>
            <w:pPr>
              <w:spacing w:line="288" w:lineRule="auto"/>
              <w:rPr>
                <w:rFonts w:ascii="宋体" w:hAnsi="宋体" w:cs="宋体"/>
                <w:color w:val="auto"/>
                <w:szCs w:val="21"/>
              </w:rPr>
            </w:pPr>
            <w:r>
              <w:rPr>
                <w:rFonts w:hint="eastAsia" w:ascii="宋体" w:hAnsi="宋体" w:cs="宋体"/>
                <w:color w:val="auto"/>
                <w:szCs w:val="21"/>
              </w:rPr>
              <w:t>维保技术人员具有色谱、质谱、光谱等大型设备维修维护工作经验，</w:t>
            </w:r>
            <w:r>
              <w:rPr>
                <w:rFonts w:hint="eastAsia" w:ascii="宋体" w:hAnsi="宋体" w:cs="宋体"/>
                <w:b/>
                <w:bCs/>
                <w:color w:val="auto"/>
                <w:szCs w:val="21"/>
              </w:rPr>
              <w:t>完成</w:t>
            </w:r>
            <w:r>
              <w:rPr>
                <w:rFonts w:hint="eastAsia" w:cs="宋体" w:asciiTheme="minorEastAsia" w:hAnsiTheme="minorEastAsia" w:eastAsiaTheme="minorEastAsia"/>
                <w:b/>
                <w:bCs/>
                <w:color w:val="auto"/>
                <w:kern w:val="0"/>
                <w:szCs w:val="21"/>
              </w:rPr>
              <w:t>同类实验室设备维保的成功案例等</w:t>
            </w:r>
            <w:r>
              <w:rPr>
                <w:rFonts w:hint="eastAsia" w:cs="宋体" w:asciiTheme="minorEastAsia" w:hAnsiTheme="minorEastAsia" w:eastAsiaTheme="minorEastAsia"/>
                <w:color w:val="auto"/>
                <w:kern w:val="0"/>
                <w:szCs w:val="21"/>
              </w:rPr>
              <w:t>，</w:t>
            </w:r>
            <w:r>
              <w:rPr>
                <w:rFonts w:hint="eastAsia" w:ascii="宋体" w:hAnsi="宋体" w:cs="宋体"/>
                <w:color w:val="auto"/>
                <w:szCs w:val="21"/>
              </w:rPr>
              <w:t>依据提供的证明材料，经验丰富的：4分，经验较丰富的：3分，经验不足的：1-2分，没有不得分。</w:t>
            </w:r>
          </w:p>
          <w:p>
            <w:pPr>
              <w:spacing w:line="288" w:lineRule="auto"/>
              <w:rPr>
                <w:rFonts w:asciiTheme="minorEastAsia" w:hAnsiTheme="minorEastAsia" w:eastAsiaTheme="minorEastAsia"/>
                <w:color w:val="auto"/>
                <w:szCs w:val="21"/>
              </w:rPr>
            </w:pPr>
            <w:r>
              <w:rPr>
                <w:rFonts w:hint="eastAsia" w:ascii="宋体" w:hAnsi="宋体" w:cs="宋体"/>
                <w:b/>
                <w:bCs/>
                <w:color w:val="auto"/>
                <w:szCs w:val="21"/>
              </w:rPr>
              <w:t>（需提供技术能力证明材料和最近三个月任意一个月的社保证明，复印件加盖公章，不提供不得分）</w:t>
            </w:r>
          </w:p>
        </w:tc>
        <w:tc>
          <w:tcPr>
            <w:tcW w:w="709" w:type="dxa"/>
            <w:tcBorders>
              <w:top w:val="nil"/>
              <w:left w:val="nil"/>
              <w:bottom w:val="single" w:color="auto" w:sz="8" w:space="0"/>
              <w:right w:val="single" w:color="auto" w:sz="8" w:space="0"/>
            </w:tcBorders>
            <w:shd w:val="clear" w:color="auto" w:fill="auto"/>
            <w:noWrap/>
            <w:vAlign w:val="center"/>
          </w:tcPr>
          <w:p>
            <w:pPr>
              <w:widowControl/>
              <w:jc w:val="left"/>
              <w:rPr>
                <w:rFonts w:ascii="等线" w:hAnsi="等线" w:eastAsia="等线" w:cs="宋体"/>
                <w:kern w:val="0"/>
                <w:sz w:val="22"/>
              </w:rPr>
            </w:pPr>
          </w:p>
        </w:tc>
      </w:tr>
      <w:tr>
        <w:tblPrEx>
          <w:tblCellMar>
            <w:top w:w="0" w:type="dxa"/>
            <w:left w:w="108" w:type="dxa"/>
            <w:bottom w:w="0" w:type="dxa"/>
            <w:right w:w="108" w:type="dxa"/>
          </w:tblCellMar>
        </w:tblPrEx>
        <w:trPr>
          <w:trHeight w:val="1346" w:hRule="atLeast"/>
        </w:trPr>
        <w:tc>
          <w:tcPr>
            <w:tcW w:w="99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eastAsiaTheme="minorEastAsia"/>
                <w:kern w:val="0"/>
                <w:szCs w:val="21"/>
              </w:rPr>
            </w:pPr>
          </w:p>
        </w:tc>
        <w:tc>
          <w:tcPr>
            <w:tcW w:w="1417" w:type="dxa"/>
            <w:tcBorders>
              <w:top w:val="single" w:color="auto" w:sz="8" w:space="0"/>
              <w:left w:val="single" w:color="auto" w:sz="8" w:space="0"/>
              <w:bottom w:val="single" w:color="auto" w:sz="8" w:space="0"/>
              <w:right w:val="single" w:color="auto" w:sz="8" w:space="0"/>
            </w:tcBorders>
            <w:vAlign w:val="center"/>
          </w:tcPr>
          <w:p>
            <w:pPr>
              <w:pStyle w:val="43"/>
              <w:jc w:val="center"/>
              <w:rPr>
                <w:color w:val="auto"/>
                <w:sz w:val="21"/>
                <w:szCs w:val="21"/>
                <w:highlight w:val="none"/>
              </w:rPr>
            </w:pPr>
            <w:r>
              <w:rPr>
                <w:rFonts w:hint="eastAsia"/>
                <w:color w:val="auto"/>
                <w:sz w:val="21"/>
                <w:szCs w:val="21"/>
                <w:highlight w:val="none"/>
              </w:rPr>
              <w:t>软件升级</w:t>
            </w:r>
          </w:p>
          <w:p>
            <w:pPr>
              <w:pStyle w:val="43"/>
              <w:jc w:val="center"/>
              <w:rPr>
                <w:color w:val="auto"/>
                <w:sz w:val="21"/>
                <w:szCs w:val="21"/>
                <w:highlight w:val="none"/>
              </w:rPr>
            </w:pPr>
            <w:r>
              <w:rPr>
                <w:rFonts w:hint="eastAsia"/>
                <w:color w:val="auto"/>
                <w:sz w:val="21"/>
                <w:szCs w:val="21"/>
                <w:highlight w:val="none"/>
              </w:rPr>
              <w:t>（5分）</w:t>
            </w:r>
          </w:p>
        </w:tc>
        <w:tc>
          <w:tcPr>
            <w:tcW w:w="609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12"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投标人需根据国标G</w:t>
            </w:r>
            <w:r>
              <w:rPr>
                <w:rFonts w:cs="宋体" w:asciiTheme="minorEastAsia" w:hAnsiTheme="minorEastAsia" w:eastAsiaTheme="minorEastAsia"/>
                <w:color w:val="auto"/>
                <w:szCs w:val="21"/>
                <w:highlight w:val="none"/>
              </w:rPr>
              <w:t>BT22729-2008</w:t>
            </w:r>
            <w:r>
              <w:rPr>
                <w:rFonts w:hint="eastAsia" w:cs="宋体" w:asciiTheme="minorEastAsia" w:hAnsiTheme="minorEastAsia" w:eastAsiaTheme="minorEastAsia"/>
                <w:color w:val="auto"/>
                <w:szCs w:val="21"/>
                <w:highlight w:val="none"/>
              </w:rPr>
              <w:t>中附录A的要求，对现有色谱工作软件进行升级，升级为具备分子量计算功能（G</w:t>
            </w:r>
            <w:r>
              <w:rPr>
                <w:rFonts w:cs="宋体" w:asciiTheme="minorEastAsia" w:hAnsiTheme="minorEastAsia" w:eastAsiaTheme="minorEastAsia"/>
                <w:color w:val="auto"/>
                <w:szCs w:val="21"/>
                <w:highlight w:val="none"/>
              </w:rPr>
              <w:t>PC</w:t>
            </w:r>
            <w:r>
              <w:rPr>
                <w:rFonts w:hint="eastAsia" w:cs="宋体" w:asciiTheme="minorEastAsia" w:hAnsiTheme="minorEastAsia" w:eastAsiaTheme="minorEastAsia"/>
                <w:color w:val="auto"/>
                <w:szCs w:val="21"/>
                <w:highlight w:val="none"/>
              </w:rPr>
              <w:t>）的软件系统，并提供相应方法耗材包一套（包含氨基酸分析住1根，配套保护住1个，氨基酸试剂盒一套），并</w:t>
            </w:r>
            <w:r>
              <w:rPr>
                <w:rFonts w:hint="eastAsia" w:asciiTheme="minorEastAsia" w:hAnsiTheme="minorEastAsia" w:eastAsiaTheme="minorEastAsia"/>
                <w:bCs/>
                <w:color w:val="auto"/>
                <w:szCs w:val="21"/>
                <w:highlight w:val="none"/>
              </w:rPr>
              <w:t>提供相应培训。</w:t>
            </w:r>
          </w:p>
          <w:p>
            <w:pPr>
              <w:spacing w:before="100" w:beforeAutospacing="1" w:after="100" w:afterAutospacing="1"/>
              <w:contextualSpacing/>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 xml:space="preserve">提供相关处理报告，并提供相应培训：5分，没有不得分。 </w:t>
            </w:r>
          </w:p>
        </w:tc>
        <w:tc>
          <w:tcPr>
            <w:tcW w:w="709"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1264" w:hRule="atLeast"/>
        </w:trPr>
        <w:tc>
          <w:tcPr>
            <w:tcW w:w="99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Cs w:val="21"/>
              </w:rPr>
            </w:pPr>
          </w:p>
        </w:tc>
        <w:tc>
          <w:tcPr>
            <w:tcW w:w="1417" w:type="dxa"/>
            <w:tcBorders>
              <w:top w:val="single" w:color="auto" w:sz="8" w:space="0"/>
              <w:left w:val="nil"/>
              <w:bottom w:val="single" w:color="auto" w:sz="8" w:space="0"/>
              <w:right w:val="single" w:color="auto" w:sz="8" w:space="0"/>
            </w:tcBorders>
            <w:shd w:val="clear" w:color="auto" w:fill="auto"/>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备品备件</w:t>
            </w:r>
          </w:p>
          <w:p>
            <w:pPr>
              <w:spacing w:before="100" w:beforeAutospacing="1" w:after="100" w:afterAutospacing="1"/>
              <w:ind w:right="-63" w:rightChars="-30"/>
              <w:contextualSpacing/>
              <w:jc w:val="center"/>
              <w:rPr>
                <w:rFonts w:ascii="宋体" w:hAnsi="宋体" w:cs="宋体"/>
                <w:color w:val="000000"/>
                <w:kern w:val="0"/>
                <w:szCs w:val="21"/>
              </w:rPr>
            </w:pPr>
            <w:r>
              <w:rPr>
                <w:rFonts w:hint="eastAsia" w:ascii="宋体" w:hAnsi="宋体" w:cs="宋体"/>
                <w:color w:val="000000"/>
                <w:kern w:val="0"/>
                <w:szCs w:val="21"/>
              </w:rPr>
              <w:t>情况</w:t>
            </w:r>
          </w:p>
          <w:p>
            <w:pPr>
              <w:spacing w:before="100" w:beforeAutospacing="1" w:after="100" w:afterAutospacing="1"/>
              <w:ind w:right="-63" w:rightChars="-30"/>
              <w:contextualSpacing/>
              <w:jc w:val="center"/>
              <w:rPr>
                <w:rFonts w:asciiTheme="minorEastAsia" w:hAnsiTheme="minorEastAsia" w:eastAsiaTheme="minorEastAsia"/>
                <w:szCs w:val="21"/>
              </w:rPr>
            </w:pPr>
            <w:r>
              <w:rPr>
                <w:rFonts w:hint="eastAsia" w:ascii="宋体" w:hAnsi="宋体" w:cs="宋体"/>
                <w:color w:val="000000"/>
                <w:kern w:val="0"/>
                <w:szCs w:val="21"/>
              </w:rPr>
              <w:t>（5分）</w:t>
            </w:r>
          </w:p>
        </w:tc>
        <w:tc>
          <w:tcPr>
            <w:tcW w:w="6095" w:type="dxa"/>
            <w:tcBorders>
              <w:top w:val="single" w:color="auto" w:sz="8" w:space="0"/>
              <w:left w:val="nil"/>
              <w:bottom w:val="single" w:color="auto" w:sz="8" w:space="0"/>
              <w:right w:val="single" w:color="auto" w:sz="8" w:space="0"/>
            </w:tcBorders>
            <w:shd w:val="clear" w:color="auto" w:fill="auto"/>
            <w:vAlign w:val="center"/>
          </w:tcPr>
          <w:p>
            <w:pPr>
              <w:spacing w:before="100" w:beforeAutospacing="1" w:after="100" w:afterAutospacing="1"/>
              <w:contextualSpacing/>
              <w:rPr>
                <w:rFonts w:hAnsi="仿宋"/>
                <w:szCs w:val="21"/>
              </w:rPr>
            </w:pPr>
            <w:r>
              <w:rPr>
                <w:rFonts w:hint="eastAsia" w:hAnsi="仿宋"/>
                <w:szCs w:val="21"/>
              </w:rPr>
              <w:t>投标人设有长期稳定的服务机构并配有零配件周转库房，依据备品备件库建立情况，建有配件库，有详细的备品备件库建立程序：有长期稳定的服务机构及备品备件库：5分，</w:t>
            </w:r>
            <w:r>
              <w:rPr>
                <w:rFonts w:hint="eastAsia" w:ascii="宋体" w:hAnsi="宋体" w:cs="宋体"/>
                <w:kern w:val="0"/>
                <w:szCs w:val="21"/>
              </w:rPr>
              <w:t>备品备件提供较完善，备品备件管理方案较详尽</w:t>
            </w:r>
            <w:r>
              <w:rPr>
                <w:rFonts w:hint="eastAsia" w:hAnsi="仿宋"/>
                <w:szCs w:val="21"/>
              </w:rPr>
              <w:t>：3分，备品备件管理方案内容简单的：1－2分，没有不得分。</w:t>
            </w:r>
          </w:p>
        </w:tc>
        <w:tc>
          <w:tcPr>
            <w:tcW w:w="709" w:type="dxa"/>
            <w:tcBorders>
              <w:top w:val="nil"/>
              <w:left w:val="nil"/>
              <w:bottom w:val="single" w:color="auto" w:sz="8" w:space="0"/>
              <w:right w:val="single" w:color="auto" w:sz="8" w:space="0"/>
            </w:tcBorders>
            <w:shd w:val="clear" w:color="auto" w:fill="auto"/>
            <w:noWrap/>
            <w:vAlign w:val="center"/>
          </w:tcPr>
          <w:p>
            <w:pPr>
              <w:widowControl/>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854" w:hRule="atLeast"/>
        </w:trPr>
        <w:tc>
          <w:tcPr>
            <w:tcW w:w="99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eastAsiaTheme="minorEastAsia"/>
                <w:kern w:val="0"/>
                <w:szCs w:val="21"/>
              </w:rPr>
            </w:pPr>
          </w:p>
        </w:tc>
        <w:tc>
          <w:tcPr>
            <w:tcW w:w="1417" w:type="dxa"/>
            <w:tcBorders>
              <w:top w:val="single" w:color="auto" w:sz="8" w:space="0"/>
              <w:left w:val="nil"/>
              <w:bottom w:val="single" w:color="auto" w:sz="8" w:space="0"/>
              <w:right w:val="single" w:color="auto" w:sz="8" w:space="0"/>
            </w:tcBorders>
            <w:shd w:val="clear" w:color="auto" w:fill="auto"/>
            <w:vAlign w:val="center"/>
          </w:tcPr>
          <w:p>
            <w:pPr>
              <w:spacing w:before="100" w:beforeAutospacing="1" w:after="100" w:afterAutospacing="1" w:line="276" w:lineRule="auto"/>
              <w:ind w:right="-63" w:rightChars="-30"/>
              <w:contextualSpacing/>
              <w:jc w:val="center"/>
              <w:rPr>
                <w:rFonts w:asciiTheme="minorEastAsia" w:hAnsiTheme="minorEastAsia" w:eastAsiaTheme="minorEastAsia"/>
                <w:szCs w:val="21"/>
              </w:rPr>
            </w:pPr>
            <w:r>
              <w:rPr>
                <w:rFonts w:hint="eastAsia" w:asciiTheme="minorEastAsia" w:hAnsiTheme="minorEastAsia" w:eastAsiaTheme="minorEastAsia"/>
                <w:szCs w:val="21"/>
              </w:rPr>
              <w:t>招标需求参数响应情况   （10分）</w:t>
            </w:r>
          </w:p>
        </w:tc>
        <w:tc>
          <w:tcPr>
            <w:tcW w:w="6095" w:type="dxa"/>
            <w:tcBorders>
              <w:top w:val="single" w:color="auto" w:sz="8" w:space="0"/>
              <w:left w:val="nil"/>
              <w:bottom w:val="single" w:color="auto" w:sz="8" w:space="0"/>
              <w:right w:val="single" w:color="auto" w:sz="8" w:space="0"/>
            </w:tcBorders>
            <w:shd w:val="clear" w:color="auto" w:fill="auto"/>
            <w:vAlign w:val="center"/>
          </w:tcPr>
          <w:p>
            <w:pPr>
              <w:rPr>
                <w:rFonts w:ascii="宋体" w:hAnsi="宋体"/>
                <w:szCs w:val="21"/>
              </w:rPr>
            </w:pPr>
            <w:r>
              <w:rPr>
                <w:rFonts w:hint="eastAsia" w:hAnsi="仿宋" w:cs="宋体"/>
                <w:szCs w:val="21"/>
              </w:rPr>
              <w:t>满足招标文件需求技术指标、参数要求，得10分，</w:t>
            </w:r>
            <w:r>
              <w:rPr>
                <w:rFonts w:hint="eastAsia"/>
                <w:szCs w:val="21"/>
                <w:lang w:val="zh-CN"/>
              </w:rPr>
              <w:t>技术指标负偏离每一项扣减</w:t>
            </w:r>
            <w:r>
              <w:rPr>
                <w:szCs w:val="21"/>
                <w:lang w:val="zh-CN"/>
              </w:rPr>
              <w:t>1</w:t>
            </w:r>
            <w:r>
              <w:rPr>
                <w:rFonts w:hint="eastAsia"/>
                <w:szCs w:val="21"/>
                <w:lang w:val="zh-CN"/>
              </w:rPr>
              <w:t>分，扣完为止。</w:t>
            </w:r>
          </w:p>
        </w:tc>
        <w:tc>
          <w:tcPr>
            <w:tcW w:w="709" w:type="dxa"/>
            <w:tcBorders>
              <w:top w:val="nil"/>
              <w:left w:val="nil"/>
              <w:bottom w:val="single" w:color="auto" w:sz="8" w:space="0"/>
              <w:right w:val="single" w:color="auto" w:sz="8" w:space="0"/>
            </w:tcBorders>
            <w:shd w:val="clear" w:color="auto" w:fill="auto"/>
            <w:noWrap/>
            <w:vAlign w:val="center"/>
          </w:tcPr>
          <w:p>
            <w:pPr>
              <w:widowControl/>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0" w:hRule="atLeast"/>
        </w:trPr>
        <w:tc>
          <w:tcPr>
            <w:tcW w:w="99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eastAsiaTheme="minorEastAsia"/>
                <w:kern w:val="0"/>
                <w:szCs w:val="21"/>
              </w:rPr>
            </w:pPr>
          </w:p>
        </w:tc>
        <w:tc>
          <w:tcPr>
            <w:tcW w:w="1417" w:type="dxa"/>
            <w:vMerge w:val="restart"/>
            <w:tcBorders>
              <w:top w:val="single" w:color="auto" w:sz="8" w:space="0"/>
              <w:left w:val="nil"/>
              <w:bottom w:val="single" w:color="auto" w:sz="8" w:space="0"/>
              <w:right w:val="single" w:color="auto" w:sz="8" w:space="0"/>
            </w:tcBorders>
            <w:shd w:val="clear" w:color="auto" w:fill="auto"/>
            <w:vAlign w:val="center"/>
          </w:tcPr>
          <w:p>
            <w:pPr>
              <w:spacing w:before="100" w:beforeAutospacing="1" w:after="100" w:afterAutospacing="1" w:line="276" w:lineRule="auto"/>
              <w:ind w:right="-63" w:rightChars="-30"/>
              <w:contextualSpacing/>
              <w:jc w:val="center"/>
              <w:rPr>
                <w:rFonts w:asciiTheme="minorEastAsia" w:hAnsiTheme="minorEastAsia" w:eastAsiaTheme="minorEastAsia"/>
                <w:szCs w:val="21"/>
              </w:rPr>
            </w:pPr>
            <w:r>
              <w:rPr>
                <w:rFonts w:hint="eastAsia" w:asciiTheme="minorEastAsia" w:hAnsiTheme="minorEastAsia" w:eastAsiaTheme="minorEastAsia"/>
                <w:szCs w:val="21"/>
              </w:rPr>
              <w:t>技术方案</w:t>
            </w:r>
          </w:p>
          <w:p>
            <w:pPr>
              <w:spacing w:before="100" w:beforeAutospacing="1" w:after="100" w:afterAutospacing="1" w:line="276" w:lineRule="auto"/>
              <w:ind w:right="-63" w:rightChars="-30"/>
              <w:contextualSpacing/>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0分）</w:t>
            </w:r>
          </w:p>
        </w:tc>
        <w:tc>
          <w:tcPr>
            <w:tcW w:w="6095" w:type="dxa"/>
            <w:tcBorders>
              <w:top w:val="single" w:color="auto" w:sz="8" w:space="0"/>
              <w:left w:val="nil"/>
              <w:bottom w:val="single" w:color="auto" w:sz="8" w:space="0"/>
              <w:right w:val="single" w:color="auto" w:sz="8" w:space="0"/>
            </w:tcBorders>
            <w:shd w:val="clear" w:color="auto" w:fill="auto"/>
            <w:vAlign w:val="center"/>
          </w:tcPr>
          <w:p>
            <w:pPr>
              <w:spacing w:line="320" w:lineRule="exact"/>
              <w:rPr>
                <w:rFonts w:ascii="宋体" w:hAnsi="宋体" w:cs="宋体"/>
                <w:szCs w:val="21"/>
              </w:rPr>
            </w:pPr>
            <w:r>
              <w:rPr>
                <w:rFonts w:hint="eastAsia" w:ascii="宋体" w:hAnsi="宋体" w:cs="宋体"/>
                <w:szCs w:val="21"/>
              </w:rPr>
              <w:t>投标人保修服务内容、标准的合理性、完整性、可操作性及设备维修方案的具体措施：（</w:t>
            </w:r>
            <w:r>
              <w:rPr>
                <w:rFonts w:ascii="宋体" w:hAnsi="宋体" w:cs="宋体"/>
                <w:szCs w:val="21"/>
              </w:rPr>
              <w:t>10</w:t>
            </w:r>
            <w:r>
              <w:rPr>
                <w:rFonts w:hint="eastAsia" w:ascii="宋体" w:hAnsi="宋体" w:cs="宋体"/>
                <w:szCs w:val="21"/>
              </w:rPr>
              <w:t>分）</w:t>
            </w:r>
          </w:p>
          <w:p>
            <w:pPr>
              <w:spacing w:line="320" w:lineRule="exact"/>
              <w:rPr>
                <w:rFonts w:ascii="宋体" w:hAnsi="宋体" w:cs="宋体"/>
                <w:szCs w:val="21"/>
              </w:rPr>
            </w:pPr>
            <w:r>
              <w:rPr>
                <w:rFonts w:hint="eastAsia" w:ascii="宋体" w:hAnsi="宋体" w:cs="宋体"/>
                <w:szCs w:val="21"/>
              </w:rPr>
              <w:t>方案完整合理：</w:t>
            </w:r>
            <w:r>
              <w:rPr>
                <w:rFonts w:ascii="宋体" w:hAnsi="宋体" w:cs="宋体"/>
                <w:szCs w:val="21"/>
              </w:rPr>
              <w:t>9-10</w:t>
            </w:r>
            <w:r>
              <w:rPr>
                <w:rFonts w:hint="eastAsia" w:ascii="宋体" w:hAnsi="宋体" w:cs="宋体"/>
                <w:szCs w:val="21"/>
              </w:rPr>
              <w:t>分；方案较完整：</w:t>
            </w:r>
            <w:r>
              <w:rPr>
                <w:rFonts w:ascii="宋体" w:hAnsi="宋体" w:cs="宋体"/>
                <w:szCs w:val="21"/>
              </w:rPr>
              <w:t>5-6</w:t>
            </w:r>
            <w:r>
              <w:rPr>
                <w:rFonts w:hint="eastAsia" w:ascii="宋体" w:hAnsi="宋体" w:cs="宋体"/>
                <w:szCs w:val="21"/>
              </w:rPr>
              <w:t>分，方案不完整的：1－2分，没有不得分。</w:t>
            </w:r>
          </w:p>
        </w:tc>
        <w:tc>
          <w:tcPr>
            <w:tcW w:w="709" w:type="dxa"/>
            <w:tcBorders>
              <w:top w:val="nil"/>
              <w:left w:val="nil"/>
              <w:bottom w:val="single" w:color="auto" w:sz="8" w:space="0"/>
              <w:right w:val="single" w:color="auto" w:sz="8" w:space="0"/>
            </w:tcBorders>
            <w:shd w:val="clear" w:color="auto" w:fill="auto"/>
            <w:noWrap/>
            <w:vAlign w:val="center"/>
          </w:tcPr>
          <w:p>
            <w:pPr>
              <w:widowControl/>
              <w:jc w:val="left"/>
              <w:rPr>
                <w:rFonts w:ascii="等线" w:hAnsi="等线" w:eastAsia="等线" w:cs="宋体"/>
                <w:kern w:val="0"/>
                <w:sz w:val="22"/>
              </w:rPr>
            </w:pPr>
          </w:p>
        </w:tc>
      </w:tr>
      <w:tr>
        <w:tblPrEx>
          <w:tblCellMar>
            <w:top w:w="0" w:type="dxa"/>
            <w:left w:w="108" w:type="dxa"/>
            <w:bottom w:w="0" w:type="dxa"/>
            <w:right w:w="108" w:type="dxa"/>
          </w:tblCellMar>
        </w:tblPrEx>
        <w:trPr>
          <w:trHeight w:val="132" w:hRule="atLeast"/>
        </w:trPr>
        <w:tc>
          <w:tcPr>
            <w:tcW w:w="99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eastAsiaTheme="minorEastAsia"/>
                <w:kern w:val="0"/>
                <w:szCs w:val="21"/>
              </w:rPr>
            </w:pPr>
          </w:p>
        </w:tc>
        <w:tc>
          <w:tcPr>
            <w:tcW w:w="1417" w:type="dxa"/>
            <w:vMerge w:val="continue"/>
            <w:tcBorders>
              <w:top w:val="single" w:color="auto" w:sz="8" w:space="0"/>
              <w:left w:val="nil"/>
              <w:bottom w:val="single" w:color="auto" w:sz="8" w:space="0"/>
              <w:right w:val="single" w:color="auto" w:sz="8" w:space="0"/>
            </w:tcBorders>
            <w:shd w:val="clear" w:color="auto" w:fill="auto"/>
            <w:vAlign w:val="center"/>
          </w:tcPr>
          <w:p>
            <w:pPr>
              <w:spacing w:before="100" w:beforeAutospacing="1" w:after="100" w:afterAutospacing="1" w:line="276" w:lineRule="auto"/>
              <w:ind w:right="-63" w:rightChars="-30"/>
              <w:contextualSpacing/>
              <w:jc w:val="center"/>
              <w:rPr>
                <w:rFonts w:asciiTheme="minorEastAsia" w:hAnsiTheme="minorEastAsia" w:eastAsiaTheme="minorEastAsia"/>
                <w:szCs w:val="21"/>
              </w:rPr>
            </w:pPr>
          </w:p>
        </w:tc>
        <w:tc>
          <w:tcPr>
            <w:tcW w:w="6095" w:type="dxa"/>
            <w:tcBorders>
              <w:top w:val="single" w:color="auto" w:sz="8" w:space="0"/>
              <w:left w:val="nil"/>
              <w:bottom w:val="single" w:color="auto" w:sz="8" w:space="0"/>
              <w:right w:val="single" w:color="auto" w:sz="8" w:space="0"/>
            </w:tcBorders>
            <w:shd w:val="clear" w:color="auto" w:fill="auto"/>
            <w:vAlign w:val="center"/>
          </w:tcPr>
          <w:p>
            <w:pPr>
              <w:spacing w:line="320" w:lineRule="exact"/>
              <w:rPr>
                <w:rFonts w:ascii="宋体" w:hAnsi="宋体" w:cs="宋体"/>
                <w:szCs w:val="21"/>
              </w:rPr>
            </w:pPr>
            <w:r>
              <w:rPr>
                <w:rFonts w:hint="eastAsia" w:ascii="宋体" w:hAnsi="宋体" w:cs="宋体"/>
                <w:szCs w:val="21"/>
              </w:rPr>
              <w:t>对本项目的整体理解及重点、难点和解决措施：（</w:t>
            </w:r>
            <w:r>
              <w:rPr>
                <w:rFonts w:ascii="宋体" w:hAnsi="宋体" w:cs="宋体"/>
                <w:szCs w:val="21"/>
              </w:rPr>
              <w:t>1</w:t>
            </w:r>
            <w:r>
              <w:rPr>
                <w:rFonts w:hint="eastAsia" w:ascii="宋体" w:hAnsi="宋体" w:cs="宋体"/>
                <w:szCs w:val="21"/>
              </w:rPr>
              <w:t>0分）</w:t>
            </w:r>
          </w:p>
          <w:p>
            <w:pPr>
              <w:spacing w:line="320" w:lineRule="exact"/>
              <w:rPr>
                <w:rFonts w:ascii="宋体" w:hAnsi="宋体" w:cs="宋体"/>
                <w:szCs w:val="21"/>
              </w:rPr>
            </w:pPr>
            <w:r>
              <w:rPr>
                <w:rFonts w:hint="eastAsia" w:ascii="宋体" w:hAnsi="宋体" w:cs="宋体"/>
                <w:szCs w:val="21"/>
              </w:rPr>
              <w:t>内容合理全面的：9-10分；内容基本完整的：5-6分；内容有缺漏，表述不清的：1-2分，没有不得分。</w:t>
            </w:r>
          </w:p>
        </w:tc>
        <w:tc>
          <w:tcPr>
            <w:tcW w:w="709" w:type="dxa"/>
            <w:tcBorders>
              <w:top w:val="nil"/>
              <w:left w:val="nil"/>
              <w:bottom w:val="single" w:color="auto" w:sz="8" w:space="0"/>
              <w:right w:val="single" w:color="auto" w:sz="8" w:space="0"/>
            </w:tcBorders>
            <w:shd w:val="clear" w:color="auto" w:fill="auto"/>
            <w:noWrap/>
            <w:vAlign w:val="center"/>
          </w:tcPr>
          <w:p>
            <w:pPr>
              <w:widowControl/>
              <w:jc w:val="left"/>
              <w:rPr>
                <w:rFonts w:ascii="等线" w:hAnsi="等线" w:eastAsia="等线" w:cs="宋体"/>
                <w:kern w:val="0"/>
                <w:sz w:val="22"/>
              </w:rPr>
            </w:pPr>
          </w:p>
        </w:tc>
      </w:tr>
      <w:tr>
        <w:tblPrEx>
          <w:tblCellMar>
            <w:top w:w="0" w:type="dxa"/>
            <w:left w:w="108" w:type="dxa"/>
            <w:bottom w:w="0" w:type="dxa"/>
            <w:right w:w="108" w:type="dxa"/>
          </w:tblCellMar>
        </w:tblPrEx>
        <w:trPr>
          <w:trHeight w:val="854" w:hRule="atLeast"/>
        </w:trPr>
        <w:tc>
          <w:tcPr>
            <w:tcW w:w="994" w:type="dxa"/>
            <w:vMerge w:val="continue"/>
            <w:tcBorders>
              <w:top w:val="single" w:color="auto" w:sz="8" w:space="0"/>
              <w:left w:val="single" w:color="auto" w:sz="8" w:space="0"/>
              <w:right w:val="single" w:color="auto" w:sz="8" w:space="0"/>
            </w:tcBorders>
            <w:vAlign w:val="center"/>
          </w:tcPr>
          <w:p>
            <w:pPr>
              <w:widowControl/>
              <w:jc w:val="left"/>
              <w:rPr>
                <w:rFonts w:cs="宋体" w:asciiTheme="minorEastAsia" w:hAnsiTheme="minorEastAsia" w:eastAsiaTheme="minorEastAsia"/>
                <w:kern w:val="0"/>
                <w:szCs w:val="21"/>
              </w:rPr>
            </w:pPr>
          </w:p>
        </w:tc>
        <w:tc>
          <w:tcPr>
            <w:tcW w:w="1417" w:type="dxa"/>
            <w:vMerge w:val="continue"/>
            <w:tcBorders>
              <w:top w:val="single" w:color="auto" w:sz="8" w:space="0"/>
              <w:left w:val="nil"/>
              <w:right w:val="single" w:color="auto" w:sz="8" w:space="0"/>
            </w:tcBorders>
            <w:shd w:val="clear" w:color="auto" w:fill="auto"/>
            <w:vAlign w:val="center"/>
          </w:tcPr>
          <w:p>
            <w:pPr>
              <w:spacing w:before="100" w:beforeAutospacing="1" w:after="100" w:afterAutospacing="1" w:line="276" w:lineRule="auto"/>
              <w:ind w:right="-63" w:rightChars="-30"/>
              <w:contextualSpacing/>
              <w:jc w:val="center"/>
              <w:rPr>
                <w:rFonts w:asciiTheme="minorEastAsia" w:hAnsiTheme="minorEastAsia" w:eastAsiaTheme="minorEastAsia"/>
                <w:szCs w:val="21"/>
              </w:rPr>
            </w:pPr>
          </w:p>
        </w:tc>
        <w:tc>
          <w:tcPr>
            <w:tcW w:w="6095" w:type="dxa"/>
            <w:tcBorders>
              <w:top w:val="single" w:color="auto" w:sz="8" w:space="0"/>
              <w:left w:val="nil"/>
              <w:bottom w:val="single" w:color="auto" w:sz="8" w:space="0"/>
              <w:right w:val="single" w:color="auto" w:sz="8" w:space="0"/>
            </w:tcBorders>
            <w:shd w:val="clear" w:color="auto" w:fill="auto"/>
            <w:vAlign w:val="center"/>
          </w:tcPr>
          <w:p>
            <w:pPr>
              <w:spacing w:line="320" w:lineRule="exact"/>
              <w:rPr>
                <w:rFonts w:ascii="宋体" w:hAnsi="宋体" w:cs="宋体"/>
                <w:szCs w:val="21"/>
              </w:rPr>
            </w:pPr>
            <w:r>
              <w:rPr>
                <w:rFonts w:hint="eastAsia" w:ascii="宋体" w:hAnsi="宋体" w:cs="宋体"/>
                <w:szCs w:val="21"/>
              </w:rPr>
              <w:t>针对本项目的质量保证措施、</w:t>
            </w:r>
            <w:r>
              <w:rPr>
                <w:rFonts w:hint="eastAsia" w:ascii="宋体" w:hAnsi="宋体" w:cs="宋体"/>
              </w:rPr>
              <w:t>内部管理措施、服务质量保障承诺：</w:t>
            </w:r>
          </w:p>
          <w:p>
            <w:pPr>
              <w:spacing w:line="320" w:lineRule="exact"/>
              <w:rPr>
                <w:rFonts w:ascii="宋体" w:hAnsi="宋体" w:cs="宋体"/>
                <w:szCs w:val="21"/>
              </w:rPr>
            </w:pPr>
            <w:r>
              <w:rPr>
                <w:rFonts w:hint="eastAsia" w:ascii="宋体" w:hAnsi="宋体" w:cs="宋体"/>
                <w:szCs w:val="21"/>
              </w:rPr>
              <w:t>内容合理全面的，9-10分；内容基本完整的，5-6分；内容有缺漏，表述不清的：1-2分，没有不得分。</w:t>
            </w:r>
          </w:p>
        </w:tc>
        <w:tc>
          <w:tcPr>
            <w:tcW w:w="709" w:type="dxa"/>
            <w:tcBorders>
              <w:top w:val="nil"/>
              <w:left w:val="nil"/>
              <w:bottom w:val="single" w:color="auto" w:sz="8" w:space="0"/>
              <w:right w:val="single" w:color="auto" w:sz="8" w:space="0"/>
            </w:tcBorders>
            <w:shd w:val="clear" w:color="auto" w:fill="auto"/>
            <w:noWrap/>
            <w:vAlign w:val="center"/>
          </w:tcPr>
          <w:p>
            <w:pPr>
              <w:widowControl/>
              <w:jc w:val="left"/>
              <w:rPr>
                <w:rFonts w:ascii="等线" w:hAnsi="等线" w:eastAsia="等线" w:cs="宋体"/>
                <w:kern w:val="0"/>
                <w:sz w:val="22"/>
              </w:rPr>
            </w:pPr>
          </w:p>
        </w:tc>
      </w:tr>
      <w:tr>
        <w:tblPrEx>
          <w:tblCellMar>
            <w:top w:w="0" w:type="dxa"/>
            <w:left w:w="108" w:type="dxa"/>
            <w:bottom w:w="0" w:type="dxa"/>
            <w:right w:w="108" w:type="dxa"/>
          </w:tblCellMar>
        </w:tblPrEx>
        <w:trPr>
          <w:trHeight w:val="780" w:hRule="atLeast"/>
        </w:trPr>
        <w:tc>
          <w:tcPr>
            <w:tcW w:w="994" w:type="dxa"/>
            <w:vMerge w:val="continue"/>
            <w:tcBorders>
              <w:left w:val="single" w:color="auto" w:sz="8" w:space="0"/>
              <w:right w:val="single" w:color="auto" w:sz="8" w:space="0"/>
            </w:tcBorders>
            <w:vAlign w:val="center"/>
          </w:tcPr>
          <w:p>
            <w:pPr>
              <w:widowControl/>
              <w:jc w:val="left"/>
              <w:rPr>
                <w:rFonts w:cs="宋体" w:asciiTheme="minorEastAsia" w:hAnsiTheme="minorEastAsia" w:eastAsiaTheme="minorEastAsia"/>
                <w:kern w:val="0"/>
                <w:szCs w:val="21"/>
              </w:rPr>
            </w:pPr>
          </w:p>
        </w:tc>
        <w:tc>
          <w:tcPr>
            <w:tcW w:w="1417" w:type="dxa"/>
            <w:vMerge w:val="continue"/>
            <w:tcBorders>
              <w:left w:val="nil"/>
              <w:right w:val="single" w:color="auto" w:sz="8" w:space="0"/>
            </w:tcBorders>
            <w:shd w:val="clear" w:color="auto" w:fill="auto"/>
            <w:vAlign w:val="center"/>
          </w:tcPr>
          <w:p>
            <w:pPr>
              <w:spacing w:before="100" w:beforeAutospacing="1" w:after="100" w:afterAutospacing="1" w:line="360" w:lineRule="auto"/>
              <w:ind w:right="-63" w:rightChars="-30"/>
              <w:contextualSpacing/>
              <w:jc w:val="center"/>
              <w:rPr>
                <w:rFonts w:asciiTheme="minorEastAsia" w:hAnsiTheme="minorEastAsia" w:eastAsiaTheme="minorEastAsia"/>
                <w:szCs w:val="21"/>
              </w:rPr>
            </w:pPr>
          </w:p>
        </w:tc>
        <w:tc>
          <w:tcPr>
            <w:tcW w:w="6095" w:type="dxa"/>
            <w:tcBorders>
              <w:top w:val="nil"/>
              <w:left w:val="nil"/>
              <w:bottom w:val="single" w:color="auto" w:sz="8" w:space="0"/>
              <w:right w:val="single" w:color="auto" w:sz="8" w:space="0"/>
            </w:tcBorders>
            <w:shd w:val="clear" w:color="auto" w:fill="auto"/>
            <w:vAlign w:val="center"/>
          </w:tcPr>
          <w:p>
            <w:pPr>
              <w:adjustRightInd w:val="0"/>
              <w:snapToGrid w:val="0"/>
              <w:spacing w:line="320" w:lineRule="exact"/>
              <w:rPr>
                <w:rFonts w:ascii="宋体" w:hAnsi="宋体" w:cs="宋体"/>
                <w:color w:val="auto"/>
                <w:szCs w:val="21"/>
              </w:rPr>
            </w:pPr>
            <w:r>
              <w:rPr>
                <w:rFonts w:hint="eastAsia" w:ascii="宋体" w:hAnsi="宋体" w:cs="宋体"/>
                <w:color w:val="auto"/>
                <w:szCs w:val="21"/>
              </w:rPr>
              <w:t>针对本项目的组织和实施计划、时间计划安排合理性、可行性：</w:t>
            </w:r>
          </w:p>
          <w:p>
            <w:pPr>
              <w:adjustRightInd w:val="0"/>
              <w:snapToGrid w:val="0"/>
              <w:spacing w:line="320" w:lineRule="exact"/>
              <w:rPr>
                <w:rFonts w:ascii="宋体" w:hAnsi="宋体" w:cs="宋体"/>
                <w:color w:val="auto"/>
                <w:szCs w:val="21"/>
              </w:rPr>
            </w:pPr>
            <w:r>
              <w:rPr>
                <w:rFonts w:hint="eastAsia" w:ascii="宋体" w:hAnsi="宋体" w:cs="宋体"/>
                <w:color w:val="auto"/>
                <w:szCs w:val="21"/>
              </w:rPr>
              <w:t>方案合理可行：</w:t>
            </w:r>
            <w:r>
              <w:rPr>
                <w:rFonts w:ascii="宋体" w:hAnsi="宋体" w:cs="宋体"/>
                <w:color w:val="auto"/>
                <w:szCs w:val="21"/>
              </w:rPr>
              <w:t>9-10</w:t>
            </w:r>
            <w:r>
              <w:rPr>
                <w:rFonts w:hint="eastAsia" w:ascii="宋体" w:hAnsi="宋体" w:cs="宋体"/>
                <w:color w:val="auto"/>
                <w:szCs w:val="21"/>
              </w:rPr>
              <w:t>分，较合理：</w:t>
            </w:r>
            <w:r>
              <w:rPr>
                <w:rFonts w:ascii="宋体" w:hAnsi="宋体" w:cs="宋体"/>
                <w:color w:val="auto"/>
                <w:szCs w:val="21"/>
              </w:rPr>
              <w:t>5-6</w:t>
            </w:r>
            <w:r>
              <w:rPr>
                <w:rFonts w:hint="eastAsia" w:ascii="宋体" w:hAnsi="宋体" w:cs="宋体"/>
                <w:color w:val="auto"/>
                <w:szCs w:val="21"/>
              </w:rPr>
              <w:t>分，方案简单笼统的：1－2分，没有不得分。</w:t>
            </w:r>
          </w:p>
        </w:tc>
        <w:tc>
          <w:tcPr>
            <w:tcW w:w="709" w:type="dxa"/>
            <w:tcBorders>
              <w:top w:val="nil"/>
              <w:left w:val="nil"/>
              <w:bottom w:val="single" w:color="auto" w:sz="8" w:space="0"/>
              <w:right w:val="single" w:color="auto" w:sz="8" w:space="0"/>
            </w:tcBorders>
            <w:shd w:val="clear" w:color="auto" w:fill="auto"/>
            <w:noWrap/>
            <w:vAlign w:val="center"/>
          </w:tcPr>
          <w:p>
            <w:pPr>
              <w:widowControl/>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780" w:hRule="atLeast"/>
        </w:trPr>
        <w:tc>
          <w:tcPr>
            <w:tcW w:w="994" w:type="dxa"/>
            <w:vMerge w:val="continue"/>
            <w:tcBorders>
              <w:left w:val="single" w:color="auto" w:sz="8" w:space="0"/>
              <w:right w:val="single" w:color="auto" w:sz="8" w:space="0"/>
            </w:tcBorders>
            <w:vAlign w:val="center"/>
          </w:tcPr>
          <w:p>
            <w:pPr>
              <w:widowControl/>
              <w:jc w:val="left"/>
              <w:rPr>
                <w:rFonts w:cs="宋体" w:asciiTheme="minorEastAsia" w:hAnsiTheme="minorEastAsia" w:eastAsiaTheme="minorEastAsia"/>
                <w:kern w:val="0"/>
                <w:szCs w:val="21"/>
              </w:rPr>
            </w:pPr>
          </w:p>
        </w:tc>
        <w:tc>
          <w:tcPr>
            <w:tcW w:w="1417" w:type="dxa"/>
            <w:vMerge w:val="continue"/>
            <w:tcBorders>
              <w:left w:val="nil"/>
              <w:right w:val="single" w:color="auto" w:sz="8" w:space="0"/>
            </w:tcBorders>
            <w:shd w:val="clear" w:color="auto" w:fill="auto"/>
            <w:vAlign w:val="center"/>
          </w:tcPr>
          <w:p>
            <w:pPr>
              <w:spacing w:before="100" w:beforeAutospacing="1" w:after="100" w:afterAutospacing="1" w:line="360" w:lineRule="auto"/>
              <w:ind w:right="-63" w:rightChars="-30"/>
              <w:contextualSpacing/>
              <w:jc w:val="center"/>
              <w:rPr>
                <w:rFonts w:asciiTheme="minorEastAsia" w:hAnsiTheme="minorEastAsia" w:eastAsiaTheme="minorEastAsia"/>
                <w:szCs w:val="21"/>
              </w:rPr>
            </w:pPr>
          </w:p>
        </w:tc>
        <w:tc>
          <w:tcPr>
            <w:tcW w:w="6095" w:type="dxa"/>
            <w:tcBorders>
              <w:top w:val="nil"/>
              <w:left w:val="nil"/>
              <w:bottom w:val="single" w:color="auto" w:sz="8" w:space="0"/>
              <w:right w:val="single" w:color="auto" w:sz="8" w:space="0"/>
            </w:tcBorders>
            <w:shd w:val="clear" w:color="auto" w:fill="auto"/>
            <w:vAlign w:val="center"/>
          </w:tcPr>
          <w:p>
            <w:pPr>
              <w:spacing w:line="288" w:lineRule="auto"/>
              <w:rPr>
                <w:rFonts w:ascii="宋体" w:hAnsi="宋体" w:cs="宋体"/>
                <w:color w:val="auto"/>
                <w:szCs w:val="21"/>
              </w:rPr>
            </w:pPr>
            <w:r>
              <w:rPr>
                <w:rFonts w:hint="eastAsia" w:ascii="宋体" w:hAnsi="宋体" w:cs="宋体"/>
                <w:color w:val="auto"/>
                <w:szCs w:val="21"/>
              </w:rPr>
              <w:t>服务承诺（包括服务响应时间、具体的服务承诺）</w:t>
            </w:r>
          </w:p>
          <w:p>
            <w:pPr>
              <w:pStyle w:val="2"/>
              <w:ind w:firstLine="0" w:firstLineChars="0"/>
              <w:rPr>
                <w:rFonts w:ascii="宋体" w:hAnsi="宋体"/>
                <w:b/>
                <w:bCs/>
                <w:color w:val="auto"/>
                <w:szCs w:val="21"/>
              </w:rPr>
            </w:pPr>
            <w:r>
              <w:rPr>
                <w:rFonts w:hint="eastAsia" w:ascii="宋体" w:hAnsi="宋体"/>
                <w:color w:val="auto"/>
                <w:szCs w:val="21"/>
              </w:rPr>
              <w:t>1. 承诺24小时内到达现场的得1分，12小时内到达现场的得3分，最高3分；</w:t>
            </w:r>
            <w:r>
              <w:rPr>
                <w:rFonts w:hint="eastAsia" w:ascii="宋体" w:hAnsi="宋体"/>
                <w:b/>
                <w:bCs/>
                <w:color w:val="auto"/>
                <w:szCs w:val="21"/>
              </w:rPr>
              <w:t>（须承诺且提供相关证明文件，无承诺或未提供相关证明文件都不得分，若先承诺，中标后7个工作日内提供相关证明文件，无法提供作无效标处理，并承担相关责任。）</w:t>
            </w:r>
          </w:p>
          <w:p>
            <w:pPr>
              <w:adjustRightInd w:val="0"/>
              <w:snapToGrid w:val="0"/>
              <w:spacing w:line="320" w:lineRule="exact"/>
              <w:rPr>
                <w:rFonts w:ascii="宋体" w:hAnsi="宋体" w:cs="宋体"/>
                <w:color w:val="auto"/>
                <w:szCs w:val="21"/>
              </w:rPr>
            </w:pPr>
            <w:r>
              <w:rPr>
                <w:rFonts w:hint="eastAsia" w:ascii="宋体" w:hAnsi="宋体" w:cs="宋体"/>
                <w:color w:val="auto"/>
                <w:szCs w:val="21"/>
              </w:rPr>
              <w:t>2.其他服务承诺内容：内容完整全面：2分，内容较完整：1分，内容简单，表述不清不得分。</w:t>
            </w:r>
          </w:p>
        </w:tc>
        <w:tc>
          <w:tcPr>
            <w:tcW w:w="709" w:type="dxa"/>
            <w:tcBorders>
              <w:top w:val="nil"/>
              <w:left w:val="nil"/>
              <w:bottom w:val="single" w:color="auto" w:sz="8" w:space="0"/>
              <w:right w:val="single" w:color="auto" w:sz="8" w:space="0"/>
            </w:tcBorders>
            <w:shd w:val="clear" w:color="auto" w:fill="auto"/>
            <w:noWrap/>
            <w:vAlign w:val="center"/>
          </w:tcPr>
          <w:p>
            <w:pPr>
              <w:widowControl/>
              <w:jc w:val="left"/>
              <w:rPr>
                <w:rFonts w:ascii="等线" w:hAnsi="等线" w:eastAsia="等线" w:cs="宋体"/>
                <w:kern w:val="0"/>
                <w:sz w:val="22"/>
              </w:rPr>
            </w:pPr>
          </w:p>
        </w:tc>
      </w:tr>
      <w:tr>
        <w:tblPrEx>
          <w:tblCellMar>
            <w:top w:w="0" w:type="dxa"/>
            <w:left w:w="108" w:type="dxa"/>
            <w:bottom w:w="0" w:type="dxa"/>
            <w:right w:w="108" w:type="dxa"/>
          </w:tblCellMar>
        </w:tblPrEx>
        <w:trPr>
          <w:trHeight w:val="780" w:hRule="atLeast"/>
        </w:trPr>
        <w:tc>
          <w:tcPr>
            <w:tcW w:w="994" w:type="dxa"/>
            <w:vMerge w:val="continue"/>
            <w:tcBorders>
              <w:left w:val="single" w:color="auto" w:sz="8" w:space="0"/>
              <w:right w:val="single" w:color="auto" w:sz="8" w:space="0"/>
            </w:tcBorders>
            <w:vAlign w:val="center"/>
          </w:tcPr>
          <w:p>
            <w:pPr>
              <w:widowControl/>
              <w:jc w:val="left"/>
              <w:rPr>
                <w:rFonts w:cs="宋体" w:asciiTheme="minorEastAsia" w:hAnsiTheme="minorEastAsia" w:eastAsiaTheme="minorEastAsia"/>
                <w:kern w:val="0"/>
                <w:szCs w:val="21"/>
              </w:rPr>
            </w:pPr>
          </w:p>
        </w:tc>
        <w:tc>
          <w:tcPr>
            <w:tcW w:w="1417" w:type="dxa"/>
            <w:vMerge w:val="continue"/>
            <w:tcBorders>
              <w:left w:val="nil"/>
              <w:bottom w:val="single" w:color="auto" w:sz="8" w:space="0"/>
              <w:right w:val="single" w:color="auto" w:sz="8" w:space="0"/>
            </w:tcBorders>
            <w:shd w:val="clear" w:color="auto" w:fill="auto"/>
            <w:vAlign w:val="center"/>
          </w:tcPr>
          <w:p>
            <w:pPr>
              <w:spacing w:before="100" w:beforeAutospacing="1" w:after="100" w:afterAutospacing="1" w:line="360" w:lineRule="auto"/>
              <w:ind w:right="-63" w:rightChars="-30"/>
              <w:contextualSpacing/>
              <w:jc w:val="center"/>
              <w:rPr>
                <w:rFonts w:asciiTheme="minorEastAsia" w:hAnsiTheme="minorEastAsia" w:eastAsiaTheme="minorEastAsia"/>
                <w:szCs w:val="21"/>
              </w:rPr>
            </w:pPr>
          </w:p>
        </w:tc>
        <w:tc>
          <w:tcPr>
            <w:tcW w:w="6095" w:type="dxa"/>
            <w:tcBorders>
              <w:top w:val="nil"/>
              <w:left w:val="nil"/>
              <w:bottom w:val="single" w:color="auto" w:sz="8" w:space="0"/>
              <w:right w:val="single" w:color="auto" w:sz="8" w:space="0"/>
            </w:tcBorders>
            <w:shd w:val="clear" w:color="auto" w:fill="auto"/>
            <w:vAlign w:val="center"/>
          </w:tcPr>
          <w:p>
            <w:pPr>
              <w:adjustRightInd w:val="0"/>
              <w:snapToGrid w:val="0"/>
              <w:spacing w:line="320" w:lineRule="exact"/>
              <w:rPr>
                <w:rFonts w:ascii="宋体" w:hAnsi="宋体" w:cs="宋体"/>
                <w:szCs w:val="21"/>
              </w:rPr>
            </w:pPr>
            <w:r>
              <w:rPr>
                <w:rFonts w:hint="eastAsia" w:ascii="宋体" w:hAnsi="宋体"/>
                <w:szCs w:val="21"/>
              </w:rPr>
              <w:t>针对本项目服务期间突发事件的应急措施</w:t>
            </w:r>
            <w:r>
              <w:rPr>
                <w:rFonts w:hint="eastAsia" w:ascii="宋体" w:hAnsi="宋体" w:cs="宋体"/>
                <w:szCs w:val="21"/>
              </w:rPr>
              <w:t>：</w:t>
            </w:r>
          </w:p>
          <w:p>
            <w:pPr>
              <w:adjustRightInd w:val="0"/>
              <w:snapToGrid w:val="0"/>
              <w:spacing w:line="320" w:lineRule="exact"/>
              <w:rPr>
                <w:rFonts w:ascii="宋体" w:hAnsi="宋体" w:cs="宋体"/>
                <w:szCs w:val="21"/>
              </w:rPr>
            </w:pPr>
            <w:r>
              <w:rPr>
                <w:rFonts w:hint="eastAsia" w:ascii="宋体" w:hAnsi="宋体" w:cs="宋体"/>
                <w:szCs w:val="21"/>
              </w:rPr>
              <w:t>措施科学合理：5分，应急措施较合理：3分，应急措施简单，不科学、不合理的：1－2分，没有不得分。</w:t>
            </w:r>
          </w:p>
        </w:tc>
        <w:tc>
          <w:tcPr>
            <w:tcW w:w="709" w:type="dxa"/>
            <w:tcBorders>
              <w:top w:val="nil"/>
              <w:left w:val="nil"/>
              <w:bottom w:val="single" w:color="auto" w:sz="8" w:space="0"/>
              <w:right w:val="single" w:color="auto" w:sz="8" w:space="0"/>
            </w:tcBorders>
            <w:shd w:val="clear" w:color="auto" w:fill="auto"/>
            <w:noWrap/>
            <w:vAlign w:val="center"/>
          </w:tcPr>
          <w:p>
            <w:pPr>
              <w:widowControl/>
              <w:jc w:val="left"/>
              <w:rPr>
                <w:rFonts w:ascii="等线" w:hAnsi="等线" w:eastAsia="等线" w:cs="宋体"/>
                <w:kern w:val="0"/>
                <w:sz w:val="22"/>
              </w:rPr>
            </w:pPr>
          </w:p>
        </w:tc>
      </w:tr>
      <w:tr>
        <w:tblPrEx>
          <w:tblCellMar>
            <w:top w:w="0" w:type="dxa"/>
            <w:left w:w="108" w:type="dxa"/>
            <w:bottom w:w="0" w:type="dxa"/>
            <w:right w:w="108" w:type="dxa"/>
          </w:tblCellMar>
        </w:tblPrEx>
        <w:trPr>
          <w:trHeight w:val="780" w:hRule="atLeast"/>
        </w:trPr>
        <w:tc>
          <w:tcPr>
            <w:tcW w:w="994"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报价得分（</w:t>
            </w:r>
            <w:r>
              <w:rPr>
                <w:rFonts w:cs="宋体" w:asciiTheme="minorEastAsia" w:hAnsiTheme="minorEastAsia" w:eastAsiaTheme="minorEastAsia"/>
                <w:b/>
                <w:bCs/>
                <w:kern w:val="0"/>
                <w:szCs w:val="21"/>
              </w:rPr>
              <w:t>1</w:t>
            </w:r>
            <w:r>
              <w:rPr>
                <w:rFonts w:hint="eastAsia" w:cs="宋体" w:asciiTheme="minorEastAsia" w:hAnsiTheme="minorEastAsia" w:eastAsiaTheme="minorEastAsia"/>
                <w:b/>
                <w:bCs/>
                <w:kern w:val="0"/>
                <w:szCs w:val="21"/>
              </w:rPr>
              <w:t>0分）</w:t>
            </w:r>
          </w:p>
        </w:tc>
        <w:tc>
          <w:tcPr>
            <w:tcW w:w="1417"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0分</w:t>
            </w:r>
          </w:p>
        </w:tc>
        <w:tc>
          <w:tcPr>
            <w:tcW w:w="6095"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按满足采购文件要求且有效投标价格最低的投标报价作为评标基准价，其价格分为满分10分；其他投标人的价格分统一按照下列公式计算：投标报价得分=（评标基准价／投标报价）×10。</w:t>
            </w:r>
          </w:p>
        </w:tc>
        <w:tc>
          <w:tcPr>
            <w:tcW w:w="709" w:type="dxa"/>
            <w:tcBorders>
              <w:top w:val="nil"/>
              <w:left w:val="nil"/>
              <w:bottom w:val="single" w:color="auto" w:sz="8" w:space="0"/>
              <w:right w:val="single" w:color="auto" w:sz="8" w:space="0"/>
            </w:tcBorders>
            <w:shd w:val="clear" w:color="auto" w:fill="auto"/>
            <w:noWrap/>
            <w:vAlign w:val="center"/>
          </w:tcPr>
          <w:p>
            <w:pPr>
              <w:widowControl/>
              <w:jc w:val="left"/>
              <w:rPr>
                <w:rFonts w:ascii="等线" w:hAnsi="等线" w:eastAsia="等线" w:cs="宋体"/>
                <w:kern w:val="0"/>
                <w:sz w:val="22"/>
              </w:rPr>
            </w:pPr>
            <w:r>
              <w:rPr>
                <w:rFonts w:hint="eastAsia" w:ascii="等线" w:hAnsi="等线" w:eastAsia="等线" w:cs="宋体"/>
                <w:kern w:val="0"/>
                <w:sz w:val="22"/>
              </w:rPr>
              <w:t>　</w:t>
            </w:r>
          </w:p>
        </w:tc>
      </w:tr>
    </w:tbl>
    <w:p>
      <w:pPr>
        <w:spacing w:line="360" w:lineRule="auto"/>
        <w:ind w:right="-341"/>
        <w:jc w:val="left"/>
        <w:rPr>
          <w:rFonts w:asciiTheme="minorEastAsia" w:hAnsiTheme="minorEastAsia" w:eastAsiaTheme="minorEastAsia"/>
        </w:rPr>
      </w:pPr>
    </w:p>
    <w:p>
      <w:pPr>
        <w:spacing w:line="360" w:lineRule="auto"/>
        <w:ind w:right="-341"/>
        <w:jc w:val="center"/>
        <w:rPr>
          <w:rFonts w:ascii="黑体" w:hAnsi="宋体" w:eastAsia="黑体"/>
          <w:sz w:val="30"/>
        </w:rPr>
      </w:pPr>
    </w:p>
    <w:p>
      <w:pPr>
        <w:spacing w:line="360" w:lineRule="auto"/>
        <w:ind w:right="-341"/>
        <w:jc w:val="center"/>
        <w:rPr>
          <w:rFonts w:ascii="黑体" w:hAnsi="宋体" w:eastAsia="黑体"/>
          <w:sz w:val="30"/>
        </w:rPr>
      </w:pPr>
    </w:p>
    <w:p>
      <w:pPr>
        <w:pStyle w:val="43"/>
      </w:pPr>
    </w:p>
    <w:p>
      <w:pPr>
        <w:pStyle w:val="3"/>
      </w:pPr>
    </w:p>
    <w:p>
      <w:pPr>
        <w:pStyle w:val="3"/>
      </w:pPr>
    </w:p>
    <w:p>
      <w:pPr>
        <w:pStyle w:val="3"/>
      </w:pPr>
    </w:p>
    <w:p>
      <w:pPr>
        <w:pStyle w:val="3"/>
      </w:pPr>
    </w:p>
    <w:p>
      <w:pPr>
        <w:pStyle w:val="3"/>
      </w:pPr>
    </w:p>
    <w:p>
      <w:pPr>
        <w:pStyle w:val="3"/>
      </w:pPr>
    </w:p>
    <w:p>
      <w:pPr>
        <w:pStyle w:val="3"/>
      </w:pPr>
    </w:p>
    <w:p>
      <w:pPr>
        <w:pStyle w:val="3"/>
      </w:pPr>
    </w:p>
    <w:p>
      <w:pPr>
        <w:spacing w:line="360" w:lineRule="auto"/>
        <w:ind w:right="-341"/>
        <w:rPr>
          <w:rFonts w:ascii="黑体" w:hAnsi="宋体" w:eastAsia="黑体"/>
          <w:sz w:val="30"/>
        </w:rPr>
      </w:pPr>
    </w:p>
    <w:p>
      <w:pPr>
        <w:pStyle w:val="43"/>
      </w:pPr>
    </w:p>
    <w:p>
      <w:pPr>
        <w:pStyle w:val="3"/>
      </w:pPr>
    </w:p>
    <w:p>
      <w:pPr>
        <w:spacing w:line="360" w:lineRule="auto"/>
        <w:ind w:right="-341"/>
        <w:jc w:val="center"/>
        <w:rPr>
          <w:rFonts w:ascii="黑体" w:hAnsi="宋体" w:eastAsia="黑体"/>
          <w:sz w:val="30"/>
        </w:rPr>
      </w:pPr>
      <w:r>
        <w:rPr>
          <w:rFonts w:hint="eastAsia" w:ascii="黑体" w:hAnsi="宋体" w:eastAsia="黑体"/>
          <w:sz w:val="30"/>
        </w:rPr>
        <w:t>第五章  合同主要条款</w:t>
      </w:r>
      <w:bookmarkEnd w:id="0"/>
    </w:p>
    <w:p>
      <w:pPr>
        <w:jc w:val="center"/>
        <w:rPr>
          <w:b/>
          <w:sz w:val="28"/>
        </w:rPr>
      </w:pPr>
      <w:r>
        <w:rPr>
          <w:rFonts w:hint="eastAsia"/>
          <w:b/>
          <w:sz w:val="28"/>
        </w:rPr>
        <w:t>采购合同(仅供参考)</w:t>
      </w:r>
    </w:p>
    <w:p>
      <w:pPr>
        <w:pStyle w:val="20"/>
        <w:snapToGrid w:val="0"/>
        <w:spacing w:before="120"/>
        <w:ind w:firstLine="422"/>
        <w:jc w:val="center"/>
        <w:rPr>
          <w:b/>
          <w:sz w:val="21"/>
          <w:szCs w:val="21"/>
        </w:rPr>
      </w:pPr>
      <w:r>
        <w:rPr>
          <w:rFonts w:hint="eastAsia"/>
          <w:b/>
          <w:sz w:val="21"/>
          <w:szCs w:val="21"/>
        </w:rPr>
        <w:t>（本合同为合同样稿，最终稿由甲乙双方协商后确定）</w:t>
      </w:r>
    </w:p>
    <w:p>
      <w:pPr>
        <w:pStyle w:val="20"/>
        <w:snapToGrid w:val="0"/>
        <w:spacing w:before="120"/>
        <w:jc w:val="center"/>
        <w:rPr>
          <w:b/>
          <w:sz w:val="21"/>
          <w:szCs w:val="21"/>
        </w:rPr>
      </w:pPr>
      <w:r>
        <w:rPr>
          <w:rFonts w:hint="eastAsia"/>
          <w:sz w:val="21"/>
          <w:szCs w:val="21"/>
        </w:rPr>
        <w:t xml:space="preserve">                                      编号：</w:t>
      </w:r>
    </w:p>
    <w:p>
      <w:pPr>
        <w:spacing w:line="400" w:lineRule="exact"/>
        <w:rPr>
          <w:rFonts w:ascii="宋体" w:hAnsi="宋体"/>
          <w:szCs w:val="21"/>
        </w:rPr>
      </w:pPr>
      <w:r>
        <w:rPr>
          <w:rFonts w:hint="eastAsia" w:ascii="宋体" w:hAnsi="宋体"/>
          <w:szCs w:val="21"/>
        </w:rPr>
        <w:t>甲方（采购人）：</w:t>
      </w:r>
    </w:p>
    <w:p>
      <w:pPr>
        <w:spacing w:line="400" w:lineRule="exact"/>
        <w:rPr>
          <w:rFonts w:ascii="宋体" w:hAnsi="宋体"/>
          <w:szCs w:val="21"/>
        </w:rPr>
      </w:pPr>
      <w:r>
        <w:rPr>
          <w:rFonts w:hint="eastAsia" w:ascii="宋体" w:hAnsi="宋体"/>
          <w:szCs w:val="21"/>
        </w:rPr>
        <w:t>乙方（中标供应商）：</w:t>
      </w:r>
    </w:p>
    <w:p>
      <w:pPr>
        <w:spacing w:line="400" w:lineRule="exact"/>
        <w:ind w:firstLine="420" w:firstLineChars="200"/>
        <w:rPr>
          <w:rFonts w:ascii="宋体" w:hAnsi="宋体"/>
          <w:szCs w:val="21"/>
        </w:rPr>
      </w:pPr>
      <w:r>
        <w:rPr>
          <w:rFonts w:hint="eastAsia" w:ascii="宋体" w:hAnsi="宋体"/>
          <w:szCs w:val="21"/>
          <w:u w:val="single"/>
        </w:rPr>
        <w:t>（采购人）</w:t>
      </w:r>
      <w:r>
        <w:rPr>
          <w:rFonts w:hint="eastAsia" w:ascii="宋体" w:hAnsi="宋体"/>
          <w:szCs w:val="21"/>
        </w:rPr>
        <w:t>经过公开招标，确定</w:t>
      </w:r>
      <w:r>
        <w:rPr>
          <w:rFonts w:hint="eastAsia" w:ascii="宋体" w:hAnsi="宋体"/>
          <w:szCs w:val="21"/>
          <w:u w:val="single"/>
        </w:rPr>
        <w:t>（中标供应商）</w:t>
      </w:r>
      <w:r>
        <w:rPr>
          <w:rFonts w:hint="eastAsia" w:ascii="宋体" w:hAnsi="宋体"/>
          <w:szCs w:val="21"/>
        </w:rPr>
        <w:t>为供货单位，经甲乙双方协商，达成以下条款。具体如下：</w:t>
      </w:r>
    </w:p>
    <w:p>
      <w:pPr>
        <w:spacing w:line="400" w:lineRule="exact"/>
        <w:ind w:firstLine="422" w:firstLineChars="200"/>
        <w:rPr>
          <w:rFonts w:ascii="宋体" w:hAnsi="宋体"/>
          <w:b/>
          <w:szCs w:val="21"/>
        </w:rPr>
      </w:pPr>
      <w:r>
        <w:rPr>
          <w:rFonts w:hint="eastAsia" w:ascii="宋体" w:hAnsi="宋体"/>
          <w:b/>
          <w:szCs w:val="21"/>
        </w:rPr>
        <w:t>一、合同内容</w:t>
      </w:r>
    </w:p>
    <w:p>
      <w:pPr>
        <w:spacing w:line="400" w:lineRule="exact"/>
        <w:ind w:firstLine="420" w:firstLineChars="200"/>
        <w:rPr>
          <w:rFonts w:ascii="宋体" w:hAnsi="宋体"/>
          <w:szCs w:val="21"/>
        </w:rPr>
      </w:pPr>
      <w:r>
        <w:rPr>
          <w:rFonts w:hint="eastAsia" w:ascii="宋体" w:hAnsi="宋体"/>
          <w:szCs w:val="21"/>
        </w:rPr>
        <w:t>1.合同内容：</w:t>
      </w:r>
      <w:r>
        <w:rPr>
          <w:rFonts w:hint="eastAsia" w:ascii="宋体" w:hAnsi="宋体"/>
          <w:szCs w:val="21"/>
          <w:u w:val="single"/>
        </w:rPr>
        <w:t>详见招标文件，乙方必须按投标文件承诺的服务响应条款向甲方提供服务。</w:t>
      </w:r>
    </w:p>
    <w:p>
      <w:pPr>
        <w:spacing w:line="400" w:lineRule="exact"/>
        <w:ind w:firstLine="422" w:firstLineChars="200"/>
        <w:rPr>
          <w:rFonts w:ascii="宋体" w:hAnsi="宋体"/>
          <w:b/>
          <w:szCs w:val="21"/>
        </w:rPr>
      </w:pPr>
      <w:r>
        <w:rPr>
          <w:rFonts w:hint="eastAsia" w:ascii="宋体" w:hAnsi="宋体"/>
          <w:b/>
          <w:szCs w:val="21"/>
        </w:rPr>
        <w:t>二、合同金额</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15"/>
        <w:gridCol w:w="4495"/>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Align w:val="center"/>
          </w:tcPr>
          <w:p>
            <w:pPr>
              <w:snapToGrid w:val="0"/>
              <w:spacing w:line="400" w:lineRule="exact"/>
              <w:jc w:val="center"/>
              <w:rPr>
                <w:rFonts w:ascii="宋体" w:hAnsi="宋体"/>
                <w:szCs w:val="21"/>
              </w:rPr>
            </w:pPr>
            <w:r>
              <w:rPr>
                <w:rFonts w:hint="eastAsia" w:ascii="宋体" w:hAnsi="宋体"/>
                <w:szCs w:val="21"/>
              </w:rPr>
              <w:t>标项</w:t>
            </w:r>
          </w:p>
        </w:tc>
        <w:tc>
          <w:tcPr>
            <w:tcW w:w="1815" w:type="dxa"/>
            <w:vAlign w:val="center"/>
          </w:tcPr>
          <w:p>
            <w:pPr>
              <w:spacing w:line="400" w:lineRule="exact"/>
              <w:jc w:val="center"/>
              <w:rPr>
                <w:rFonts w:ascii="宋体" w:hAnsi="宋体"/>
                <w:szCs w:val="21"/>
              </w:rPr>
            </w:pPr>
            <w:r>
              <w:rPr>
                <w:rFonts w:hint="eastAsia" w:ascii="宋体" w:hAnsi="宋体"/>
                <w:szCs w:val="21"/>
              </w:rPr>
              <w:t>服务名称</w:t>
            </w:r>
          </w:p>
        </w:tc>
        <w:tc>
          <w:tcPr>
            <w:tcW w:w="4495" w:type="dxa"/>
            <w:vAlign w:val="center"/>
          </w:tcPr>
          <w:p>
            <w:pPr>
              <w:spacing w:line="400" w:lineRule="exact"/>
              <w:jc w:val="center"/>
              <w:rPr>
                <w:rFonts w:ascii="宋体" w:hAnsi="宋体"/>
                <w:szCs w:val="21"/>
              </w:rPr>
            </w:pPr>
            <w:r>
              <w:rPr>
                <w:rFonts w:hint="eastAsia" w:ascii="宋体" w:hAnsi="宋体"/>
                <w:szCs w:val="21"/>
              </w:rPr>
              <w:t>合同履行期限</w:t>
            </w:r>
          </w:p>
        </w:tc>
        <w:tc>
          <w:tcPr>
            <w:tcW w:w="1696" w:type="dxa"/>
            <w:vAlign w:val="center"/>
          </w:tcPr>
          <w:p>
            <w:pPr>
              <w:spacing w:line="400" w:lineRule="exact"/>
              <w:jc w:val="center"/>
              <w:rPr>
                <w:rFonts w:ascii="宋体" w:hAnsi="宋体"/>
                <w:szCs w:val="21"/>
              </w:rPr>
            </w:pPr>
            <w:r>
              <w:rPr>
                <w:rFonts w:hint="eastAsia" w:ascii="宋体" w:hAnsi="宋体"/>
                <w:szCs w:val="21"/>
              </w:rPr>
              <w:t>合同总价</w:t>
            </w:r>
          </w:p>
          <w:p>
            <w:pPr>
              <w:spacing w:line="400" w:lineRule="exact"/>
              <w:jc w:val="center"/>
              <w:rPr>
                <w:rFonts w:ascii="宋体" w:hAnsi="宋体"/>
                <w:szCs w:val="21"/>
              </w:rPr>
            </w:pPr>
            <w:r>
              <w:rPr>
                <w:rFonts w:hint="eastAsia" w:ascii="宋体" w:hAnsi="宋体"/>
                <w:szCs w:val="21"/>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80" w:type="dxa"/>
            <w:vAlign w:val="center"/>
          </w:tcPr>
          <w:p>
            <w:pPr>
              <w:snapToGrid w:val="0"/>
              <w:spacing w:line="400" w:lineRule="exact"/>
              <w:jc w:val="center"/>
              <w:rPr>
                <w:rFonts w:ascii="宋体" w:hAnsi="宋体"/>
                <w:szCs w:val="21"/>
              </w:rPr>
            </w:pPr>
            <w:r>
              <w:rPr>
                <w:rFonts w:hint="eastAsia" w:ascii="宋体" w:hAnsi="宋体"/>
                <w:szCs w:val="21"/>
              </w:rPr>
              <w:t>1</w:t>
            </w:r>
          </w:p>
        </w:tc>
        <w:tc>
          <w:tcPr>
            <w:tcW w:w="1815" w:type="dxa"/>
            <w:vAlign w:val="center"/>
          </w:tcPr>
          <w:p>
            <w:pPr>
              <w:spacing w:line="400" w:lineRule="exact"/>
              <w:jc w:val="center"/>
              <w:rPr>
                <w:rFonts w:ascii="宋体" w:hAnsi="宋体"/>
              </w:rPr>
            </w:pPr>
          </w:p>
        </w:tc>
        <w:tc>
          <w:tcPr>
            <w:tcW w:w="4495" w:type="dxa"/>
            <w:vAlign w:val="center"/>
          </w:tcPr>
          <w:p>
            <w:pPr>
              <w:snapToGrid w:val="0"/>
              <w:spacing w:line="400" w:lineRule="exact"/>
              <w:jc w:val="center"/>
              <w:rPr>
                <w:rFonts w:ascii="宋体" w:hAnsi="宋体"/>
                <w:szCs w:val="21"/>
              </w:rPr>
            </w:pPr>
            <w:r>
              <w:rPr>
                <w:rFonts w:hint="eastAsia"/>
                <w:szCs w:val="21"/>
              </w:rPr>
              <w:t>自年月日至年月日止</w:t>
            </w:r>
          </w:p>
        </w:tc>
        <w:tc>
          <w:tcPr>
            <w:tcW w:w="1696" w:type="dxa"/>
            <w:vAlign w:val="center"/>
          </w:tcPr>
          <w:p>
            <w:pPr>
              <w:snapToGrid w:val="0"/>
              <w:spacing w:line="400" w:lineRule="exact"/>
              <w:jc w:val="center"/>
              <w:rPr>
                <w:rFonts w:ascii="宋体" w:hAnsi="宋体"/>
                <w:szCs w:val="21"/>
              </w:rPr>
            </w:pPr>
          </w:p>
        </w:tc>
      </w:tr>
    </w:tbl>
    <w:p>
      <w:pPr>
        <w:spacing w:line="400" w:lineRule="exact"/>
        <w:ind w:firstLine="422" w:firstLineChars="200"/>
        <w:rPr>
          <w:rFonts w:ascii="宋体" w:hAnsi="宋体"/>
          <w:b/>
          <w:szCs w:val="21"/>
        </w:rPr>
      </w:pPr>
      <w:r>
        <w:rPr>
          <w:rFonts w:hint="eastAsia" w:ascii="宋体" w:hAnsi="宋体"/>
          <w:b/>
          <w:szCs w:val="21"/>
        </w:rPr>
        <w:t>三、合同不可分割的组成部分</w:t>
      </w:r>
    </w:p>
    <w:p>
      <w:pPr>
        <w:spacing w:line="400" w:lineRule="exact"/>
        <w:ind w:firstLine="420" w:firstLineChars="200"/>
        <w:rPr>
          <w:rFonts w:ascii="宋体" w:hAnsi="宋体"/>
          <w:szCs w:val="21"/>
        </w:rPr>
      </w:pPr>
      <w:r>
        <w:rPr>
          <w:rFonts w:hint="eastAsia" w:ascii="宋体" w:hAnsi="宋体"/>
          <w:szCs w:val="21"/>
        </w:rPr>
        <w:t>1.招标文件</w:t>
      </w:r>
    </w:p>
    <w:p>
      <w:pPr>
        <w:spacing w:line="400" w:lineRule="exact"/>
        <w:ind w:firstLine="420" w:firstLineChars="200"/>
        <w:rPr>
          <w:rFonts w:ascii="宋体" w:hAnsi="宋体"/>
          <w:szCs w:val="21"/>
        </w:rPr>
      </w:pPr>
      <w:r>
        <w:rPr>
          <w:rFonts w:hint="eastAsia" w:ascii="宋体" w:hAnsi="宋体"/>
          <w:szCs w:val="21"/>
        </w:rPr>
        <w:t>2.乙方的投标文件</w:t>
      </w:r>
    </w:p>
    <w:p>
      <w:pPr>
        <w:spacing w:line="400" w:lineRule="exact"/>
        <w:ind w:firstLine="420" w:firstLineChars="200"/>
        <w:rPr>
          <w:rFonts w:ascii="宋体" w:hAnsi="宋体"/>
          <w:szCs w:val="21"/>
        </w:rPr>
      </w:pPr>
      <w:r>
        <w:rPr>
          <w:rFonts w:hint="eastAsia" w:ascii="宋体" w:hAnsi="宋体"/>
          <w:szCs w:val="21"/>
        </w:rPr>
        <w:t>3.中标通知书</w:t>
      </w:r>
    </w:p>
    <w:p>
      <w:pPr>
        <w:spacing w:line="400" w:lineRule="exact"/>
        <w:ind w:firstLine="422" w:firstLineChars="200"/>
        <w:rPr>
          <w:rFonts w:ascii="宋体" w:hAnsi="宋体"/>
          <w:b/>
          <w:szCs w:val="21"/>
        </w:rPr>
      </w:pPr>
      <w:r>
        <w:rPr>
          <w:rFonts w:hint="eastAsia" w:ascii="宋体" w:hAnsi="宋体"/>
          <w:b/>
          <w:szCs w:val="21"/>
        </w:rPr>
        <w:t>四、付款方式</w:t>
      </w:r>
    </w:p>
    <w:p>
      <w:pPr>
        <w:spacing w:line="400" w:lineRule="exact"/>
        <w:rPr>
          <w:rFonts w:ascii="宋体" w:hAnsi="宋体"/>
          <w:b/>
          <w:szCs w:val="21"/>
        </w:rPr>
      </w:pPr>
    </w:p>
    <w:p>
      <w:pPr>
        <w:spacing w:line="400" w:lineRule="exact"/>
        <w:ind w:firstLine="422" w:firstLineChars="200"/>
        <w:rPr>
          <w:rFonts w:ascii="宋体" w:hAnsi="宋体"/>
          <w:b/>
          <w:szCs w:val="21"/>
        </w:rPr>
      </w:pPr>
      <w:r>
        <w:rPr>
          <w:rFonts w:hint="eastAsia" w:ascii="宋体" w:hAnsi="宋体"/>
          <w:b/>
          <w:szCs w:val="21"/>
        </w:rPr>
        <w:t>五、质量保证</w:t>
      </w:r>
    </w:p>
    <w:p>
      <w:pPr>
        <w:spacing w:line="400" w:lineRule="exact"/>
        <w:ind w:firstLine="420" w:firstLineChars="200"/>
        <w:rPr>
          <w:rFonts w:ascii="宋体" w:hAnsi="宋体"/>
          <w:szCs w:val="21"/>
        </w:rPr>
      </w:pPr>
      <w:r>
        <w:rPr>
          <w:rFonts w:hint="eastAsia" w:ascii="宋体" w:hAnsi="宋体"/>
          <w:szCs w:val="21"/>
        </w:rPr>
        <w:t>乙方保证按本合同提供</w:t>
      </w:r>
      <w:r>
        <w:rPr>
          <w:rFonts w:hint="eastAsia" w:ascii="宋体" w:hAnsi="宋体"/>
        </w:rPr>
        <w:t>维保服务</w:t>
      </w:r>
      <w:r>
        <w:rPr>
          <w:rFonts w:hint="eastAsia" w:ascii="宋体" w:hAnsi="宋体"/>
          <w:szCs w:val="21"/>
        </w:rPr>
        <w:t>，符合原厂生产工艺方面的要求和产品在生产地装运时的产品说明书或使用说明书中的质量标准，没有任何材料和使用上的缺陷。</w:t>
      </w:r>
    </w:p>
    <w:p>
      <w:pPr>
        <w:spacing w:line="400" w:lineRule="exact"/>
        <w:ind w:firstLine="420"/>
        <w:rPr>
          <w:rFonts w:ascii="宋体" w:hAnsi="宋体"/>
          <w:b/>
          <w:szCs w:val="21"/>
        </w:rPr>
      </w:pPr>
      <w:r>
        <w:rPr>
          <w:rFonts w:hint="eastAsia" w:ascii="宋体" w:hAnsi="宋体"/>
          <w:b/>
          <w:szCs w:val="21"/>
        </w:rPr>
        <w:t>六、包装、运输、保险、安装、调试</w:t>
      </w:r>
    </w:p>
    <w:p>
      <w:pPr>
        <w:spacing w:line="400" w:lineRule="exact"/>
        <w:ind w:firstLine="420" w:firstLineChars="200"/>
        <w:rPr>
          <w:rFonts w:ascii="宋体" w:hAnsi="宋体"/>
          <w:szCs w:val="21"/>
        </w:rPr>
      </w:pPr>
      <w:r>
        <w:rPr>
          <w:rFonts w:hint="eastAsia" w:ascii="宋体" w:hAnsi="宋体"/>
          <w:szCs w:val="21"/>
        </w:rPr>
        <w:t>1.乙方应采用国家或专业标准保护措施进行包装，确保产品安全无损运抵现场。由于包装不善引起的产品损坏、损失均由乙方负责。</w:t>
      </w:r>
    </w:p>
    <w:p>
      <w:pPr>
        <w:spacing w:line="400" w:lineRule="exact"/>
        <w:ind w:firstLine="420" w:firstLineChars="200"/>
        <w:rPr>
          <w:rFonts w:ascii="宋体" w:hAnsi="宋体"/>
          <w:szCs w:val="21"/>
        </w:rPr>
      </w:pPr>
      <w:r>
        <w:rPr>
          <w:rFonts w:hint="eastAsia" w:ascii="宋体" w:hAnsi="宋体"/>
          <w:szCs w:val="21"/>
        </w:rPr>
        <w:t>2.乙方负责为甲方办理运输和保险。</w:t>
      </w:r>
    </w:p>
    <w:p>
      <w:pPr>
        <w:spacing w:line="400" w:lineRule="exact"/>
        <w:ind w:firstLine="420"/>
        <w:rPr>
          <w:rFonts w:ascii="宋体" w:hAnsi="宋体"/>
          <w:szCs w:val="21"/>
        </w:rPr>
      </w:pPr>
      <w:r>
        <w:rPr>
          <w:rFonts w:hint="eastAsia" w:ascii="宋体" w:hAnsi="宋体"/>
          <w:szCs w:val="21"/>
        </w:rPr>
        <w:t>3.乙方负责为产品进行安装、调试。</w:t>
      </w:r>
    </w:p>
    <w:p>
      <w:pPr>
        <w:spacing w:line="400" w:lineRule="exact"/>
        <w:ind w:firstLine="420"/>
        <w:rPr>
          <w:rFonts w:ascii="宋体" w:hAnsi="宋体"/>
          <w:szCs w:val="21"/>
        </w:rPr>
      </w:pPr>
      <w:r>
        <w:rPr>
          <w:rFonts w:hint="eastAsia" w:ascii="宋体" w:hAnsi="宋体"/>
          <w:szCs w:val="21"/>
        </w:rPr>
        <w:t>4.以上产生的所有费用均由乙方负责。</w:t>
      </w:r>
    </w:p>
    <w:p>
      <w:pPr>
        <w:spacing w:line="400" w:lineRule="exact"/>
        <w:ind w:firstLine="422" w:firstLineChars="200"/>
        <w:rPr>
          <w:b/>
          <w:szCs w:val="21"/>
        </w:rPr>
      </w:pPr>
      <w:r>
        <w:rPr>
          <w:rFonts w:hint="eastAsia" w:ascii="宋体" w:hAnsi="宋体"/>
          <w:b/>
          <w:szCs w:val="21"/>
        </w:rPr>
        <w:t>七、</w:t>
      </w:r>
      <w:r>
        <w:rPr>
          <w:rFonts w:hint="eastAsia"/>
          <w:b/>
          <w:szCs w:val="21"/>
        </w:rPr>
        <w:t>转包</w:t>
      </w:r>
    </w:p>
    <w:p>
      <w:pPr>
        <w:spacing w:line="400" w:lineRule="exact"/>
        <w:ind w:firstLine="420" w:firstLineChars="200"/>
        <w:rPr>
          <w:szCs w:val="21"/>
        </w:rPr>
      </w:pPr>
      <w:r>
        <w:rPr>
          <w:rFonts w:hint="eastAsia"/>
          <w:szCs w:val="21"/>
        </w:rPr>
        <w:t>本项目不允许转包，否则，甲方有权解除合同，并追究乙方的违约责任。</w:t>
      </w:r>
    </w:p>
    <w:p>
      <w:pPr>
        <w:spacing w:line="400" w:lineRule="exact"/>
        <w:ind w:firstLine="422" w:firstLineChars="200"/>
        <w:rPr>
          <w:b/>
          <w:szCs w:val="21"/>
        </w:rPr>
      </w:pPr>
      <w:r>
        <w:rPr>
          <w:rFonts w:hint="eastAsia" w:ascii="宋体" w:hAnsi="宋体"/>
          <w:b/>
          <w:szCs w:val="21"/>
        </w:rPr>
        <w:t>八、</w:t>
      </w:r>
      <w:r>
        <w:rPr>
          <w:rFonts w:hint="eastAsia"/>
          <w:b/>
          <w:szCs w:val="21"/>
        </w:rPr>
        <w:t>税费</w:t>
      </w:r>
    </w:p>
    <w:p>
      <w:pPr>
        <w:spacing w:line="400" w:lineRule="exact"/>
        <w:ind w:firstLine="420" w:firstLineChars="200"/>
        <w:rPr>
          <w:rFonts w:ascii="宋体" w:hAnsi="宋体"/>
          <w:b/>
          <w:szCs w:val="21"/>
        </w:rPr>
      </w:pPr>
      <w:r>
        <w:rPr>
          <w:rFonts w:hint="eastAsia"/>
          <w:szCs w:val="21"/>
        </w:rPr>
        <w:t>本合同执行中相关的一切税费均由乙方负担。</w:t>
      </w:r>
    </w:p>
    <w:p>
      <w:pPr>
        <w:spacing w:line="400" w:lineRule="exact"/>
        <w:ind w:firstLine="422" w:firstLineChars="200"/>
        <w:rPr>
          <w:b/>
          <w:szCs w:val="21"/>
        </w:rPr>
      </w:pPr>
      <w:r>
        <w:rPr>
          <w:rFonts w:hint="eastAsia" w:ascii="宋体" w:hAnsi="宋体"/>
          <w:b/>
          <w:szCs w:val="21"/>
        </w:rPr>
        <w:t>九、</w:t>
      </w:r>
      <w:r>
        <w:rPr>
          <w:b/>
          <w:szCs w:val="21"/>
        </w:rPr>
        <w:t>违约责任</w:t>
      </w:r>
    </w:p>
    <w:p>
      <w:pPr>
        <w:spacing w:line="400" w:lineRule="exact"/>
        <w:ind w:firstLine="420" w:firstLineChars="200"/>
        <w:rPr>
          <w:rFonts w:ascii="宋体" w:hAnsi="宋体"/>
        </w:rPr>
      </w:pPr>
      <w:r>
        <w:rPr>
          <w:rFonts w:hint="eastAsia" w:ascii="宋体" w:hAnsi="宋体"/>
        </w:rPr>
        <w:t>1.乙方在合同有效期内，除不可抗力以外不得以任何理由终止合同，确有特殊情况的，须提前两个月向甲方书面申请，经甲方同意后，方可终止合同，同时酌情赔偿经济损失。</w:t>
      </w:r>
    </w:p>
    <w:p>
      <w:pPr>
        <w:spacing w:line="400" w:lineRule="exact"/>
        <w:ind w:firstLine="420" w:firstLineChars="200"/>
        <w:rPr>
          <w:rFonts w:ascii="宋体" w:hAnsi="宋体"/>
        </w:rPr>
      </w:pPr>
      <w:r>
        <w:rPr>
          <w:rFonts w:hint="eastAsia" w:ascii="宋体" w:hAnsi="宋体"/>
        </w:rPr>
        <w:t>2.乙方提供的服务不符合招标文件、投标文件或本合同规定的，乙方应自收到甲方通知后的</w:t>
      </w:r>
      <w:r>
        <w:rPr>
          <w:rFonts w:ascii="宋体" w:hAnsi="宋体"/>
        </w:rPr>
        <w:t>48</w:t>
      </w:r>
      <w:r>
        <w:rPr>
          <w:rFonts w:hint="eastAsia" w:ascii="宋体" w:hAnsi="宋体"/>
        </w:rPr>
        <w:t>小时内提供符合招标文件、投标文件和本合同规定的服务，逾期视为乙方违约，按合同总价每日千分之五向甲方支付违约金，由甲方从待付费用中扣除，逾期超过7个工作日的，甲方有权解除本合同。</w:t>
      </w:r>
    </w:p>
    <w:p>
      <w:pPr>
        <w:spacing w:line="400" w:lineRule="exact"/>
        <w:ind w:firstLine="420" w:firstLineChars="200"/>
        <w:rPr>
          <w:rFonts w:ascii="宋体" w:hAnsi="宋体"/>
        </w:rPr>
      </w:pPr>
      <w:r>
        <w:rPr>
          <w:rFonts w:hint="eastAsia" w:ascii="宋体" w:hAnsi="宋体"/>
        </w:rPr>
        <w:t>3.甲方无故逾期支付合同款的，甲方应按逾期付款总额每日万分之五向乙方支付违约金。</w:t>
      </w:r>
    </w:p>
    <w:p>
      <w:pPr>
        <w:spacing w:line="400" w:lineRule="exact"/>
        <w:ind w:firstLine="422" w:firstLineChars="200"/>
        <w:rPr>
          <w:b/>
          <w:szCs w:val="21"/>
        </w:rPr>
      </w:pPr>
      <w:r>
        <w:rPr>
          <w:rFonts w:hint="eastAsia" w:ascii="宋体" w:hAnsi="宋体"/>
          <w:b/>
          <w:szCs w:val="21"/>
        </w:rPr>
        <w:t>十、</w:t>
      </w:r>
      <w:r>
        <w:rPr>
          <w:b/>
          <w:szCs w:val="21"/>
        </w:rPr>
        <w:t>不可抗力事件处理</w:t>
      </w:r>
    </w:p>
    <w:p>
      <w:pPr>
        <w:spacing w:line="400" w:lineRule="exact"/>
        <w:ind w:firstLine="420" w:firstLineChars="200"/>
        <w:rPr>
          <w:rFonts w:ascii="宋体" w:hAnsi="宋体"/>
        </w:rPr>
      </w:pPr>
      <w:r>
        <w:rPr>
          <w:rFonts w:ascii="宋体" w:hAnsi="宋体"/>
        </w:rPr>
        <w:t>1</w:t>
      </w:r>
      <w:r>
        <w:rPr>
          <w:rFonts w:hint="eastAsia" w:ascii="宋体" w:hAnsi="宋体"/>
        </w:rPr>
        <w:t>.</w:t>
      </w:r>
      <w:r>
        <w:rPr>
          <w:rFonts w:ascii="宋体" w:hAnsi="宋体"/>
        </w:rPr>
        <w:t>在合同有效期内，任何一方因不可抗力事件导致不能履行合同，则合同履行期可延长，其延长期与不可抗力影响期相同。</w:t>
      </w:r>
    </w:p>
    <w:p>
      <w:pPr>
        <w:spacing w:line="400" w:lineRule="exact"/>
        <w:ind w:firstLine="420" w:firstLineChars="200"/>
        <w:rPr>
          <w:rFonts w:ascii="宋体" w:hAnsi="宋体"/>
        </w:rPr>
      </w:pPr>
      <w:r>
        <w:rPr>
          <w:rFonts w:ascii="宋体" w:hAnsi="宋体"/>
        </w:rPr>
        <w:t>2</w:t>
      </w:r>
      <w:r>
        <w:rPr>
          <w:rFonts w:hint="eastAsia" w:ascii="宋体" w:hAnsi="宋体"/>
        </w:rPr>
        <w:t>.</w:t>
      </w:r>
      <w:r>
        <w:rPr>
          <w:rFonts w:ascii="宋体" w:hAnsi="宋体"/>
        </w:rPr>
        <w:t>不可抗力事件发生后，应立即通知对方，并寄送有关权威机构出具的证明。</w:t>
      </w:r>
    </w:p>
    <w:p>
      <w:pPr>
        <w:spacing w:line="400" w:lineRule="exact"/>
        <w:ind w:firstLine="420" w:firstLineChars="200"/>
        <w:rPr>
          <w:rFonts w:ascii="宋体" w:hAnsi="宋体"/>
        </w:rPr>
      </w:pPr>
      <w:r>
        <w:rPr>
          <w:rFonts w:ascii="宋体" w:hAnsi="宋体"/>
        </w:rPr>
        <w:t>3</w:t>
      </w:r>
      <w:r>
        <w:rPr>
          <w:rFonts w:hint="eastAsia" w:ascii="宋体" w:hAnsi="宋体"/>
        </w:rPr>
        <w:t>.</w:t>
      </w:r>
      <w:r>
        <w:rPr>
          <w:rFonts w:ascii="宋体" w:hAnsi="宋体"/>
        </w:rPr>
        <w:t>不可抗力事件延续120天以上，双方应通过友好协商，确定是否继续履行合同。</w:t>
      </w:r>
    </w:p>
    <w:p>
      <w:pPr>
        <w:spacing w:line="400" w:lineRule="exact"/>
        <w:ind w:firstLine="422" w:firstLineChars="200"/>
        <w:rPr>
          <w:b/>
          <w:szCs w:val="21"/>
        </w:rPr>
      </w:pPr>
      <w:r>
        <w:rPr>
          <w:rFonts w:hint="eastAsia" w:ascii="宋体" w:hAnsi="宋体"/>
          <w:b/>
          <w:szCs w:val="21"/>
        </w:rPr>
        <w:t>十一、争议的解决</w:t>
      </w:r>
    </w:p>
    <w:p>
      <w:pPr>
        <w:spacing w:line="400" w:lineRule="exact"/>
        <w:ind w:firstLine="420" w:firstLineChars="200"/>
        <w:rPr>
          <w:rFonts w:ascii="宋体" w:hAnsi="宋体"/>
          <w:szCs w:val="21"/>
        </w:rPr>
      </w:pPr>
      <w:r>
        <w:rPr>
          <w:rFonts w:hint="eastAsia" w:ascii="宋体" w:hAnsi="宋体"/>
        </w:rPr>
        <w:t>本合同在履行过程中发生争议时，当事人双方应及时协调解决。协商不成时，由甲方所在地仲裁委员会仲裁或向当地法院起诉。</w:t>
      </w:r>
    </w:p>
    <w:p>
      <w:pPr>
        <w:spacing w:line="400" w:lineRule="exact"/>
        <w:ind w:firstLine="422" w:firstLineChars="200"/>
        <w:rPr>
          <w:rFonts w:ascii="宋体" w:hAnsi="宋体"/>
          <w:b/>
          <w:szCs w:val="21"/>
        </w:rPr>
      </w:pPr>
      <w:r>
        <w:rPr>
          <w:rFonts w:hint="eastAsia" w:ascii="宋体" w:hAnsi="宋体"/>
          <w:b/>
          <w:szCs w:val="21"/>
        </w:rPr>
        <w:t>十二、合同的生效</w:t>
      </w:r>
    </w:p>
    <w:p>
      <w:pPr>
        <w:spacing w:line="312" w:lineRule="auto"/>
        <w:ind w:firstLine="539" w:firstLineChars="257"/>
        <w:rPr>
          <w:rFonts w:asciiTheme="minorEastAsia" w:hAnsiTheme="minorEastAsia" w:eastAsiaTheme="minorEastAsia"/>
          <w:szCs w:val="21"/>
        </w:rPr>
      </w:pPr>
      <w:r>
        <w:rPr>
          <w:rFonts w:hint="eastAsia" w:ascii="宋体" w:hAnsi="宋体"/>
        </w:rPr>
        <w:t>1.</w:t>
      </w:r>
      <w:r>
        <w:rPr>
          <w:rFonts w:hint="eastAsia" w:asciiTheme="minorEastAsia" w:hAnsiTheme="minorEastAsia" w:eastAsiaTheme="minorEastAsia"/>
          <w:szCs w:val="21"/>
        </w:rPr>
        <w:t>本合同经甲乙双方法定代表人和经办人签字并加盖单位公章后生效。</w:t>
      </w:r>
    </w:p>
    <w:p>
      <w:pPr>
        <w:spacing w:line="312" w:lineRule="auto"/>
        <w:ind w:left="420" w:leftChars="200" w:firstLine="105" w:firstLineChars="50"/>
        <w:rPr>
          <w:rFonts w:asciiTheme="minorEastAsia" w:hAnsiTheme="minorEastAsia" w:eastAsiaTheme="minorEastAsia"/>
          <w:szCs w:val="21"/>
        </w:rPr>
      </w:pPr>
      <w:r>
        <w:rPr>
          <w:rFonts w:hint="eastAsia" w:asciiTheme="minorEastAsia" w:hAnsiTheme="minorEastAsia" w:eastAsiaTheme="minorEastAsia"/>
          <w:szCs w:val="21"/>
        </w:rPr>
        <w:t>2.本合同壹式肆份，甲、乙双方、财政部门、代理机构各执壹份，具有同等的法律效力。</w:t>
      </w:r>
    </w:p>
    <w:p>
      <w:pPr>
        <w:spacing w:line="312" w:lineRule="auto"/>
        <w:rPr>
          <w:rFonts w:asciiTheme="minorEastAsia" w:hAnsiTheme="minorEastAsia" w:eastAsiaTheme="minorEastAsia"/>
          <w:szCs w:val="21"/>
        </w:rPr>
      </w:pPr>
    </w:p>
    <w:p>
      <w:pPr>
        <w:spacing w:line="312" w:lineRule="auto"/>
        <w:rPr>
          <w:rFonts w:asciiTheme="minorEastAsia" w:hAnsiTheme="minorEastAsia" w:eastAsiaTheme="minorEastAsia"/>
          <w:szCs w:val="21"/>
        </w:rPr>
      </w:pPr>
    </w:p>
    <w:p>
      <w:pPr>
        <w:spacing w:line="312"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甲方：                     乙方： </w:t>
      </w:r>
    </w:p>
    <w:p>
      <w:pPr>
        <w:spacing w:line="312" w:lineRule="auto"/>
        <w:rPr>
          <w:rFonts w:asciiTheme="minorEastAsia" w:hAnsiTheme="minorEastAsia" w:eastAsiaTheme="minorEastAsia"/>
          <w:szCs w:val="21"/>
        </w:rPr>
      </w:pPr>
      <w:r>
        <w:rPr>
          <w:rFonts w:hint="eastAsia" w:asciiTheme="minorEastAsia" w:hAnsiTheme="minorEastAsia" w:eastAsiaTheme="minorEastAsia"/>
          <w:szCs w:val="21"/>
        </w:rPr>
        <w:t xml:space="preserve">    地址：                     地址： </w:t>
      </w:r>
    </w:p>
    <w:p>
      <w:pPr>
        <w:spacing w:line="312" w:lineRule="auto"/>
        <w:rPr>
          <w:rFonts w:asciiTheme="minorEastAsia" w:hAnsiTheme="minorEastAsia" w:eastAsiaTheme="minorEastAsia"/>
          <w:szCs w:val="21"/>
        </w:rPr>
      </w:pPr>
      <w:r>
        <w:rPr>
          <w:rFonts w:hint="eastAsia" w:asciiTheme="minorEastAsia" w:hAnsiTheme="minorEastAsia" w:eastAsiaTheme="minorEastAsia"/>
          <w:szCs w:val="21"/>
        </w:rPr>
        <w:t xml:space="preserve">    法人代表：                 法人代表：  </w:t>
      </w:r>
    </w:p>
    <w:p>
      <w:pPr>
        <w:spacing w:line="312" w:lineRule="auto"/>
        <w:rPr>
          <w:rFonts w:asciiTheme="minorEastAsia" w:hAnsiTheme="minorEastAsia" w:eastAsiaTheme="minorEastAsia"/>
          <w:szCs w:val="21"/>
        </w:rPr>
      </w:pPr>
      <w:r>
        <w:rPr>
          <w:rFonts w:hint="eastAsia" w:asciiTheme="minorEastAsia" w:hAnsiTheme="minorEastAsia" w:eastAsiaTheme="minorEastAsia"/>
          <w:szCs w:val="21"/>
        </w:rPr>
        <w:t xml:space="preserve">    电话：                     电话： </w:t>
      </w:r>
    </w:p>
    <w:p>
      <w:pPr>
        <w:spacing w:line="312" w:lineRule="auto"/>
        <w:rPr>
          <w:rFonts w:asciiTheme="minorEastAsia" w:hAnsiTheme="minorEastAsia" w:eastAsiaTheme="minorEastAsia"/>
          <w:szCs w:val="21"/>
        </w:rPr>
      </w:pPr>
      <w:r>
        <w:rPr>
          <w:rFonts w:hint="eastAsia" w:asciiTheme="minorEastAsia" w:hAnsiTheme="minorEastAsia" w:eastAsiaTheme="minorEastAsia"/>
          <w:szCs w:val="21"/>
        </w:rPr>
        <w:t xml:space="preserve">    电传：                     电传：  </w:t>
      </w:r>
    </w:p>
    <w:p>
      <w:pPr>
        <w:spacing w:line="312" w:lineRule="auto"/>
        <w:rPr>
          <w:rFonts w:asciiTheme="minorEastAsia" w:hAnsiTheme="minorEastAsia" w:eastAsiaTheme="minorEastAsia"/>
          <w:szCs w:val="21"/>
        </w:rPr>
      </w:pPr>
      <w:r>
        <w:rPr>
          <w:rFonts w:hint="eastAsia" w:asciiTheme="minorEastAsia" w:hAnsiTheme="minorEastAsia" w:eastAsiaTheme="minorEastAsia"/>
          <w:szCs w:val="21"/>
        </w:rPr>
        <w:t xml:space="preserve">    邮政编码：                 邮政编码： </w:t>
      </w:r>
    </w:p>
    <w:p>
      <w:pPr>
        <w:spacing w:line="312" w:lineRule="auto"/>
        <w:rPr>
          <w:rFonts w:asciiTheme="minorEastAsia" w:hAnsiTheme="minorEastAsia" w:eastAsiaTheme="minorEastAsia"/>
          <w:szCs w:val="21"/>
        </w:rPr>
      </w:pPr>
      <w:r>
        <w:rPr>
          <w:rFonts w:hint="eastAsia" w:asciiTheme="minorEastAsia" w:hAnsiTheme="minorEastAsia" w:eastAsiaTheme="minorEastAsia"/>
          <w:szCs w:val="21"/>
        </w:rPr>
        <w:t xml:space="preserve">    开户银行：                 开户银行： </w:t>
      </w:r>
    </w:p>
    <w:p>
      <w:pPr>
        <w:spacing w:line="312" w:lineRule="auto"/>
        <w:rPr>
          <w:rFonts w:ascii="宋体" w:hAnsi="宋体"/>
          <w:szCs w:val="21"/>
        </w:rPr>
      </w:pPr>
      <w:r>
        <w:rPr>
          <w:rFonts w:hint="eastAsia" w:asciiTheme="minorEastAsia" w:hAnsiTheme="minorEastAsia" w:eastAsiaTheme="minorEastAsia"/>
          <w:szCs w:val="21"/>
        </w:rPr>
        <w:t xml:space="preserve">    帐号：                     帐号：</w:t>
      </w:r>
    </w:p>
    <w:p>
      <w:pPr>
        <w:pStyle w:val="43"/>
        <w:rPr>
          <w:sz w:val="21"/>
          <w:szCs w:val="21"/>
        </w:rPr>
      </w:pPr>
      <w:r>
        <w:rPr>
          <w:rFonts w:hint="eastAsia"/>
          <w:sz w:val="21"/>
          <w:szCs w:val="21"/>
        </w:rPr>
        <w:t xml:space="preserve">    日期：                    日期：</w:t>
      </w:r>
    </w:p>
    <w:p>
      <w:pPr>
        <w:pStyle w:val="43"/>
        <w:rPr>
          <w:sz w:val="21"/>
          <w:szCs w:val="21"/>
        </w:rPr>
      </w:pPr>
    </w:p>
    <w:p>
      <w:pPr>
        <w:pStyle w:val="3"/>
      </w:pPr>
    </w:p>
    <w:p>
      <w:pPr>
        <w:pStyle w:val="3"/>
      </w:pPr>
    </w:p>
    <w:p>
      <w:pPr>
        <w:pStyle w:val="3"/>
      </w:pPr>
    </w:p>
    <w:p>
      <w:pPr>
        <w:pStyle w:val="3"/>
      </w:pPr>
    </w:p>
    <w:p>
      <w:pPr>
        <w:snapToGrid w:val="0"/>
        <w:spacing w:line="460" w:lineRule="atLeast"/>
        <w:rPr>
          <w:rFonts w:ascii="宋体"/>
          <w:szCs w:val="21"/>
        </w:rPr>
      </w:pPr>
      <w:r>
        <w:rPr>
          <w:rFonts w:hint="eastAsia" w:ascii="宋体" w:hAnsi="宋体"/>
          <w:szCs w:val="21"/>
        </w:rPr>
        <w:t>信贷政策</w:t>
      </w:r>
    </w:p>
    <w:p>
      <w:pPr>
        <w:ind w:firstLine="420" w:firstLineChars="200"/>
        <w:rPr>
          <w:rFonts w:ascii="宋体"/>
          <w:szCs w:val="21"/>
        </w:rPr>
      </w:pPr>
      <w:r>
        <w:rPr>
          <w:rFonts w:ascii="宋体" w:hAnsi="宋体"/>
          <w:szCs w:val="21"/>
        </w:rPr>
        <w:t>1</w:t>
      </w:r>
      <w:r>
        <w:rPr>
          <w:rFonts w:hint="eastAsia" w:ascii="宋体" w:hAnsi="宋体"/>
          <w:szCs w:val="21"/>
        </w:rPr>
        <w:t>．</w:t>
      </w:r>
      <w:r>
        <w:rPr>
          <w:rFonts w:hint="eastAsia" w:ascii="宋体" w:hAnsi="宋体" w:cs="仿宋"/>
          <w:szCs w:val="21"/>
        </w:rPr>
        <w:t>为有效破解当前中小微企业面临的“融资难、融资贵”困局，充分发挥好政府采购扶持小微企业发展的政策功能，属于舟山市内的各中小企业可凭政府采购项目中标通知书等材料</w:t>
      </w:r>
      <w:r>
        <w:rPr>
          <w:rFonts w:hint="eastAsia" w:ascii="宋体" w:hAnsi="宋体"/>
          <w:szCs w:val="21"/>
        </w:rPr>
        <w:t>向舟山市政府采购信用融资合作银行申请相关融资产品，有关的合作银行详见下表：</w:t>
      </w:r>
    </w:p>
    <w:tbl>
      <w:tblPr>
        <w:tblStyle w:val="3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tcPr>
          <w:p>
            <w:pPr>
              <w:jc w:val="center"/>
              <w:rPr>
                <w:rFonts w:ascii="宋体"/>
                <w:szCs w:val="21"/>
              </w:rPr>
            </w:pPr>
            <w:r>
              <w:rPr>
                <w:rFonts w:hint="eastAsia" w:ascii="宋体" w:hAnsi="宋体"/>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vAlign w:val="center"/>
          </w:tcPr>
          <w:p>
            <w:pPr>
              <w:pStyle w:val="137"/>
              <w:spacing w:line="36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银行名称</w:t>
            </w:r>
          </w:p>
        </w:tc>
        <w:tc>
          <w:tcPr>
            <w:tcW w:w="3547" w:type="dxa"/>
            <w:vAlign w:val="center"/>
          </w:tcPr>
          <w:p>
            <w:pPr>
              <w:pStyle w:val="137"/>
              <w:spacing w:line="36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产品特点</w:t>
            </w:r>
          </w:p>
        </w:tc>
        <w:tc>
          <w:tcPr>
            <w:tcW w:w="1559" w:type="dxa"/>
            <w:vAlign w:val="center"/>
          </w:tcPr>
          <w:p>
            <w:pPr>
              <w:pStyle w:val="137"/>
              <w:spacing w:line="36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经办人</w:t>
            </w:r>
          </w:p>
        </w:tc>
        <w:tc>
          <w:tcPr>
            <w:tcW w:w="1418" w:type="dxa"/>
            <w:vAlign w:val="center"/>
          </w:tcPr>
          <w:p>
            <w:pPr>
              <w:jc w:val="center"/>
              <w:rPr>
                <w:rFonts w:ascii="宋体"/>
                <w:szCs w:val="21"/>
              </w:rPr>
            </w:pPr>
            <w:r>
              <w:rPr>
                <w:rFonts w:hint="eastAsia" w:ascii="宋体" w:hAnsi="宋体"/>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37"/>
              <w:spacing w:line="360" w:lineRule="auto"/>
              <w:ind w:firstLine="0" w:firstLineChars="0"/>
              <w:rPr>
                <w:rFonts w:ascii="宋体" w:hAnsi="宋体" w:eastAsia="宋体" w:cs="宋体"/>
                <w:kern w:val="0"/>
                <w:sz w:val="21"/>
                <w:szCs w:val="21"/>
              </w:rPr>
            </w:pPr>
            <w:r>
              <w:rPr>
                <w:rFonts w:hint="eastAsia" w:ascii="宋体" w:hAnsi="宋体" w:eastAsia="宋体" w:cs="宋体"/>
                <w:kern w:val="0"/>
                <w:sz w:val="21"/>
                <w:szCs w:val="21"/>
              </w:rPr>
              <w:t>中国工商银行股份有限公司舟山分行</w:t>
            </w:r>
          </w:p>
        </w:tc>
        <w:tc>
          <w:tcPr>
            <w:tcW w:w="3547" w:type="dxa"/>
          </w:tcPr>
          <w:p>
            <w:pPr>
              <w:rPr>
                <w:rFonts w:ascii="宋体"/>
                <w:szCs w:val="21"/>
              </w:rPr>
            </w:pPr>
            <w:r>
              <w:rPr>
                <w:rFonts w:hint="eastAsia" w:ascii="宋体" w:hAnsi="宋体"/>
                <w:szCs w:val="21"/>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w:t>
            </w:r>
            <w:r>
              <w:rPr>
                <w:rFonts w:ascii="宋体" w:hAnsi="宋体"/>
                <w:szCs w:val="21"/>
              </w:rPr>
              <w:t>100%</w:t>
            </w:r>
            <w:r>
              <w:rPr>
                <w:rFonts w:hint="eastAsia" w:ascii="宋体" w:hAnsi="宋体"/>
                <w:szCs w:val="21"/>
              </w:rPr>
              <w:t>。</w:t>
            </w:r>
          </w:p>
        </w:tc>
        <w:tc>
          <w:tcPr>
            <w:tcW w:w="1559" w:type="dxa"/>
            <w:vAlign w:val="center"/>
          </w:tcPr>
          <w:p>
            <w:pPr>
              <w:pStyle w:val="137"/>
              <w:spacing w:line="360" w:lineRule="auto"/>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柳超颖</w:t>
            </w:r>
          </w:p>
        </w:tc>
        <w:tc>
          <w:tcPr>
            <w:tcW w:w="1418" w:type="dxa"/>
            <w:vAlign w:val="center"/>
          </w:tcPr>
          <w:p>
            <w:pPr>
              <w:jc w:val="center"/>
              <w:rPr>
                <w:rFonts w:ascii="宋体" w:hAnsi="宋体"/>
                <w:szCs w:val="21"/>
              </w:rPr>
            </w:pPr>
            <w:r>
              <w:rPr>
                <w:rFonts w:ascii="宋体" w:hAnsi="宋体"/>
                <w:szCs w:val="21"/>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tcPr>
          <w:p>
            <w:pPr>
              <w:rPr>
                <w:rFonts w:ascii="宋体"/>
                <w:szCs w:val="21"/>
              </w:rPr>
            </w:pPr>
            <w:r>
              <w:rPr>
                <w:rFonts w:hint="eastAsia" w:ascii="宋体" w:hAnsi="宋体"/>
                <w:szCs w:val="21"/>
              </w:rPr>
              <w:t>中国建设银行股份有限公司舟山分行</w:t>
            </w:r>
          </w:p>
        </w:tc>
        <w:tc>
          <w:tcPr>
            <w:tcW w:w="3547" w:type="dxa"/>
          </w:tcPr>
          <w:p>
            <w:pPr>
              <w:rPr>
                <w:rFonts w:ascii="宋体"/>
                <w:szCs w:val="21"/>
              </w:rPr>
            </w:pPr>
            <w:r>
              <w:rPr>
                <w:rFonts w:ascii="宋体" w:hAnsi="宋体"/>
                <w:szCs w:val="21"/>
              </w:rPr>
              <w:t>1.</w:t>
            </w:r>
            <w:r>
              <w:rPr>
                <w:rFonts w:hint="eastAsia" w:ascii="宋体" w:hAnsi="宋体"/>
                <w:szCs w:val="21"/>
              </w:rPr>
              <w:t>快速便捷：全流程线上操作，通过浙江省政府采购网数据审核信用额度，建行供应链平台快速放款。</w:t>
            </w:r>
            <w:r>
              <w:rPr>
                <w:rFonts w:ascii="宋体" w:hAnsi="宋体"/>
                <w:szCs w:val="21"/>
              </w:rPr>
              <w:t>2.</w:t>
            </w:r>
            <w:r>
              <w:rPr>
                <w:rFonts w:hint="eastAsia" w:ascii="宋体" w:hAnsi="宋体"/>
                <w:szCs w:val="21"/>
              </w:rPr>
              <w:t>申请额度高：单笔融资额度最高可达政府采购合同金额的</w:t>
            </w:r>
            <w:r>
              <w:rPr>
                <w:rFonts w:ascii="宋体" w:hAnsi="宋体"/>
                <w:szCs w:val="21"/>
              </w:rPr>
              <w:t>90%</w:t>
            </w:r>
            <w:r>
              <w:rPr>
                <w:rFonts w:hint="eastAsia" w:ascii="宋体" w:hAnsi="宋体"/>
                <w:szCs w:val="21"/>
              </w:rPr>
              <w:t>，单户额度最高可达</w:t>
            </w:r>
            <w:r>
              <w:rPr>
                <w:rFonts w:ascii="宋体" w:hAnsi="宋体"/>
                <w:szCs w:val="21"/>
              </w:rPr>
              <w:t>3000</w:t>
            </w:r>
            <w:r>
              <w:rPr>
                <w:rFonts w:hint="eastAsia" w:ascii="宋体" w:hAnsi="宋体"/>
                <w:szCs w:val="21"/>
              </w:rPr>
              <w:t>万。</w:t>
            </w:r>
            <w:r>
              <w:rPr>
                <w:rFonts w:ascii="宋体" w:hAnsi="宋体"/>
                <w:szCs w:val="21"/>
              </w:rPr>
              <w:t>3.</w:t>
            </w:r>
            <w:r>
              <w:rPr>
                <w:rFonts w:hint="eastAsia" w:ascii="宋体" w:hAnsi="宋体"/>
                <w:szCs w:val="21"/>
              </w:rPr>
              <w:t>无需额外抵押：以浙江省政府采购网备案公示的政府采购合同进行融资，无需额外抵押担保。</w:t>
            </w:r>
            <w:r>
              <w:rPr>
                <w:rFonts w:ascii="宋体" w:hAnsi="宋体"/>
                <w:szCs w:val="21"/>
              </w:rPr>
              <w:t>4.</w:t>
            </w:r>
            <w:r>
              <w:rPr>
                <w:rFonts w:hint="eastAsia" w:ascii="宋体" w:hAnsi="宋体"/>
                <w:szCs w:val="21"/>
              </w:rPr>
              <w:t>利率优惠：给予流动资金贷款最优惠利率。</w:t>
            </w:r>
          </w:p>
        </w:tc>
        <w:tc>
          <w:tcPr>
            <w:tcW w:w="1559" w:type="dxa"/>
            <w:vAlign w:val="center"/>
          </w:tcPr>
          <w:p>
            <w:pPr>
              <w:jc w:val="center"/>
              <w:rPr>
                <w:rFonts w:ascii="宋体"/>
                <w:szCs w:val="21"/>
              </w:rPr>
            </w:pPr>
            <w:r>
              <w:rPr>
                <w:rFonts w:hint="eastAsia" w:ascii="宋体" w:hAnsi="宋体"/>
                <w:szCs w:val="21"/>
              </w:rPr>
              <w:t>普陀片区：蔡妮妮</w:t>
            </w:r>
          </w:p>
          <w:p>
            <w:pPr>
              <w:jc w:val="center"/>
              <w:rPr>
                <w:rFonts w:ascii="宋体"/>
                <w:szCs w:val="21"/>
              </w:rPr>
            </w:pPr>
            <w:r>
              <w:rPr>
                <w:rFonts w:hint="eastAsia" w:ascii="宋体" w:hAnsi="宋体"/>
                <w:szCs w:val="21"/>
              </w:rPr>
              <w:t>定海片区：杨莹</w:t>
            </w:r>
          </w:p>
          <w:p>
            <w:pPr>
              <w:jc w:val="center"/>
              <w:rPr>
                <w:rFonts w:ascii="宋体"/>
                <w:szCs w:val="21"/>
              </w:rPr>
            </w:pPr>
            <w:r>
              <w:rPr>
                <w:rFonts w:hint="eastAsia" w:ascii="宋体" w:hAnsi="宋体"/>
                <w:szCs w:val="21"/>
              </w:rPr>
              <w:t>自贸区片区：郑佳奇</w:t>
            </w:r>
          </w:p>
        </w:tc>
        <w:tc>
          <w:tcPr>
            <w:tcW w:w="1418" w:type="dxa"/>
            <w:vAlign w:val="center"/>
          </w:tcPr>
          <w:p>
            <w:pPr>
              <w:jc w:val="center"/>
              <w:rPr>
                <w:rFonts w:ascii="宋体" w:hAnsi="宋体"/>
                <w:szCs w:val="21"/>
              </w:rPr>
            </w:pPr>
            <w:r>
              <w:rPr>
                <w:rFonts w:hint="eastAsia" w:ascii="宋体" w:hAnsi="宋体"/>
                <w:szCs w:val="21"/>
              </w:rPr>
              <w:t>普陀片区：</w:t>
            </w:r>
            <w:r>
              <w:rPr>
                <w:rFonts w:ascii="宋体" w:hAnsi="宋体"/>
                <w:szCs w:val="21"/>
              </w:rPr>
              <w:t>13957201791</w:t>
            </w:r>
          </w:p>
          <w:p>
            <w:pPr>
              <w:jc w:val="center"/>
              <w:rPr>
                <w:rFonts w:ascii="宋体" w:hAnsi="宋体"/>
                <w:szCs w:val="21"/>
              </w:rPr>
            </w:pPr>
            <w:r>
              <w:rPr>
                <w:rFonts w:hint="eastAsia" w:ascii="宋体" w:hAnsi="宋体"/>
                <w:szCs w:val="21"/>
              </w:rPr>
              <w:t>定海片区：</w:t>
            </w:r>
            <w:r>
              <w:rPr>
                <w:rFonts w:ascii="宋体" w:hAnsi="宋体"/>
                <w:szCs w:val="21"/>
              </w:rPr>
              <w:t>13655803997</w:t>
            </w:r>
          </w:p>
          <w:p>
            <w:pPr>
              <w:jc w:val="center"/>
              <w:rPr>
                <w:rFonts w:ascii="宋体" w:hAnsi="宋体"/>
                <w:szCs w:val="21"/>
              </w:rPr>
            </w:pPr>
            <w:r>
              <w:rPr>
                <w:rFonts w:hint="eastAsia" w:ascii="宋体" w:hAnsi="宋体"/>
                <w:szCs w:val="21"/>
              </w:rPr>
              <w:t>自贸区片区：</w:t>
            </w:r>
            <w:r>
              <w:rPr>
                <w:rFonts w:ascii="宋体" w:hAnsi="宋体"/>
                <w:szCs w:val="21"/>
              </w:rPr>
              <w:t>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37"/>
              <w:spacing w:line="360" w:lineRule="auto"/>
              <w:ind w:firstLine="0" w:firstLineChars="0"/>
              <w:rPr>
                <w:rFonts w:ascii="宋体" w:hAnsi="宋体" w:eastAsia="宋体" w:cs="宋体"/>
                <w:kern w:val="0"/>
                <w:sz w:val="21"/>
                <w:szCs w:val="21"/>
              </w:rPr>
            </w:pPr>
            <w:r>
              <w:rPr>
                <w:rFonts w:hint="eastAsia" w:ascii="宋体" w:hAnsi="宋体" w:eastAsia="宋体" w:cs="宋体"/>
                <w:kern w:val="0"/>
                <w:sz w:val="21"/>
                <w:szCs w:val="21"/>
              </w:rPr>
              <w:t>杭州银行股份有限公司舟山市分行</w:t>
            </w:r>
          </w:p>
        </w:tc>
        <w:tc>
          <w:tcPr>
            <w:tcW w:w="3547" w:type="dxa"/>
          </w:tcPr>
          <w:p>
            <w:pPr>
              <w:rPr>
                <w:rFonts w:ascii="宋体"/>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w:t>
            </w:r>
            <w:r>
              <w:rPr>
                <w:rFonts w:ascii="宋体" w:hAnsi="宋体"/>
                <w:szCs w:val="21"/>
              </w:rPr>
              <w:t>80%</w:t>
            </w:r>
            <w:r>
              <w:rPr>
                <w:rFonts w:hint="eastAsia" w:ascii="宋体" w:hAnsi="宋体"/>
                <w:szCs w:val="21"/>
              </w:rPr>
              <w:t>，单户、单笔最高可达</w:t>
            </w:r>
            <w:r>
              <w:rPr>
                <w:rFonts w:ascii="宋体" w:hAnsi="宋体"/>
                <w:szCs w:val="21"/>
              </w:rPr>
              <w:t>3000</w:t>
            </w:r>
            <w:r>
              <w:rPr>
                <w:rFonts w:hint="eastAsia" w:ascii="宋体" w:hAnsi="宋体"/>
                <w:szCs w:val="21"/>
              </w:rPr>
              <w:t>万，最长期限一年。</w:t>
            </w:r>
          </w:p>
        </w:tc>
        <w:tc>
          <w:tcPr>
            <w:tcW w:w="1559" w:type="dxa"/>
            <w:vAlign w:val="center"/>
          </w:tcPr>
          <w:p>
            <w:pPr>
              <w:jc w:val="center"/>
              <w:rPr>
                <w:rFonts w:ascii="宋体"/>
                <w:szCs w:val="21"/>
              </w:rPr>
            </w:pPr>
            <w:r>
              <w:rPr>
                <w:rFonts w:hint="eastAsia" w:ascii="宋体" w:hAnsi="宋体"/>
                <w:szCs w:val="21"/>
              </w:rPr>
              <w:t>方经理</w:t>
            </w:r>
          </w:p>
        </w:tc>
        <w:tc>
          <w:tcPr>
            <w:tcW w:w="1418" w:type="dxa"/>
            <w:vAlign w:val="center"/>
          </w:tcPr>
          <w:p>
            <w:pPr>
              <w:jc w:val="center"/>
              <w:rPr>
                <w:rFonts w:ascii="宋体" w:hAnsi="宋体"/>
                <w:szCs w:val="21"/>
              </w:rPr>
            </w:pPr>
            <w:r>
              <w:rPr>
                <w:rFonts w:ascii="宋体" w:hAnsi="宋体"/>
                <w:szCs w:val="21"/>
              </w:rPr>
              <w:t>0580-218520</w:t>
            </w:r>
            <w:r>
              <w:rPr>
                <w:rFonts w:hint="eastAsia" w:ascii="宋体" w:hAnsi="宋体"/>
                <w:szCs w:val="21"/>
              </w:rPr>
              <w:t>1.</w:t>
            </w:r>
            <w:r>
              <w:rPr>
                <w:rFonts w:ascii="宋体" w:hAnsi="宋体"/>
                <w:szCs w:val="21"/>
              </w:rPr>
              <w:t>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37"/>
              <w:spacing w:line="360" w:lineRule="auto"/>
              <w:ind w:firstLine="0" w:firstLineChars="0"/>
              <w:rPr>
                <w:rFonts w:ascii="宋体" w:hAnsi="宋体" w:eastAsia="宋体" w:cs="宋体"/>
                <w:kern w:val="0"/>
                <w:sz w:val="21"/>
                <w:szCs w:val="21"/>
              </w:rPr>
            </w:pPr>
            <w:r>
              <w:rPr>
                <w:rFonts w:hint="eastAsia" w:ascii="宋体" w:hAnsi="宋体" w:eastAsia="宋体" w:cs="宋体"/>
                <w:kern w:val="0"/>
                <w:sz w:val="21"/>
                <w:szCs w:val="21"/>
              </w:rPr>
              <w:t>招商银行股份有限公司浙江自贸试验区舟山分行</w:t>
            </w:r>
          </w:p>
        </w:tc>
        <w:tc>
          <w:tcPr>
            <w:tcW w:w="3547" w:type="dxa"/>
          </w:tcPr>
          <w:p>
            <w:pPr>
              <w:rPr>
                <w:rFonts w:ascii="宋体"/>
                <w:szCs w:val="21"/>
              </w:rPr>
            </w:pPr>
            <w:r>
              <w:rPr>
                <w:rFonts w:hint="eastAsia" w:ascii="宋体" w:hAnsi="宋体"/>
                <w:szCs w:val="21"/>
              </w:rPr>
              <w:t>小企业政采贷是招商银行为政府采购中标供应商提供的用于履行政府采购合同的专属融资产品。优势：一、额度高。根据企业上一年或近一年获得政府采购中标及成交通知的一定比例给予额度，最高可达</w:t>
            </w:r>
            <w:r>
              <w:rPr>
                <w:rFonts w:ascii="宋体" w:hAnsi="宋体"/>
                <w:szCs w:val="21"/>
              </w:rPr>
              <w:t>3000</w:t>
            </w:r>
            <w:r>
              <w:rPr>
                <w:rFonts w:hint="eastAsia" w:ascii="宋体" w:hAnsi="宋体"/>
                <w:szCs w:val="21"/>
              </w:rPr>
              <w:t>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pPr>
              <w:jc w:val="center"/>
              <w:rPr>
                <w:rFonts w:ascii="宋体"/>
                <w:szCs w:val="21"/>
              </w:rPr>
            </w:pPr>
            <w:r>
              <w:rPr>
                <w:rFonts w:hint="eastAsia" w:ascii="宋体" w:hAnsi="宋体"/>
                <w:szCs w:val="21"/>
              </w:rPr>
              <w:t>李玲</w:t>
            </w:r>
          </w:p>
        </w:tc>
        <w:tc>
          <w:tcPr>
            <w:tcW w:w="1418" w:type="dxa"/>
            <w:vAlign w:val="center"/>
          </w:tcPr>
          <w:p>
            <w:pPr>
              <w:jc w:val="center"/>
              <w:rPr>
                <w:rFonts w:ascii="宋体" w:hAnsi="宋体"/>
                <w:szCs w:val="21"/>
              </w:rPr>
            </w:pPr>
            <w:r>
              <w:rPr>
                <w:rFonts w:ascii="宋体" w:hAnsi="宋体"/>
                <w:szCs w:val="21"/>
              </w:rPr>
              <w:t>0580-20617</w:t>
            </w:r>
            <w:r>
              <w:rPr>
                <w:rFonts w:hint="eastAsia" w:ascii="宋体" w:hAnsi="宋体"/>
                <w:szCs w:val="21"/>
              </w:rPr>
              <w:t>10.</w:t>
            </w:r>
            <w:r>
              <w:rPr>
                <w:rFonts w:ascii="宋体" w:hAnsi="宋体"/>
                <w:szCs w:val="21"/>
              </w:rPr>
              <w:t>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tcPr>
          <w:p>
            <w:pPr>
              <w:pStyle w:val="137"/>
              <w:spacing w:line="360" w:lineRule="auto"/>
              <w:ind w:firstLine="0" w:firstLineChars="0"/>
              <w:rPr>
                <w:rFonts w:ascii="宋体" w:hAnsi="宋体" w:eastAsia="宋体" w:cs="宋体"/>
                <w:kern w:val="0"/>
                <w:sz w:val="21"/>
                <w:szCs w:val="21"/>
              </w:rPr>
            </w:pPr>
            <w:r>
              <w:rPr>
                <w:rFonts w:hint="eastAsia" w:ascii="宋体" w:hAnsi="宋体" w:eastAsia="宋体" w:cs="宋体"/>
                <w:kern w:val="0"/>
                <w:sz w:val="21"/>
                <w:szCs w:val="21"/>
              </w:rPr>
              <w:t>温州银行股份有限公司舟山市分行</w:t>
            </w:r>
          </w:p>
        </w:tc>
        <w:tc>
          <w:tcPr>
            <w:tcW w:w="3547" w:type="dxa"/>
          </w:tcPr>
          <w:p>
            <w:pPr>
              <w:rPr>
                <w:rFonts w:ascii="宋体"/>
                <w:bCs/>
                <w:szCs w:val="21"/>
              </w:rPr>
            </w:pPr>
            <w:r>
              <w:rPr>
                <w:rFonts w:hint="eastAsia" w:ascii="宋体" w:hAnsi="宋体"/>
                <w:bCs/>
                <w:szCs w:val="21"/>
              </w:rPr>
              <w:t>“政采订单贷”</w:t>
            </w:r>
            <w:r>
              <w:rPr>
                <w:rFonts w:hint="eastAsia" w:ascii="宋体" w:hAnsi="宋体"/>
                <w:szCs w:val="21"/>
              </w:rPr>
              <w:t>：</w:t>
            </w:r>
            <w:r>
              <w:rPr>
                <w:rFonts w:hint="eastAsia" w:ascii="宋体" w:hAnsi="宋体"/>
                <w:bCs/>
                <w:szCs w:val="21"/>
              </w:rPr>
              <w:t>单户授信最高为</w:t>
            </w:r>
            <w:r>
              <w:rPr>
                <w:rFonts w:ascii="宋体" w:hAnsi="宋体"/>
                <w:bCs/>
                <w:szCs w:val="21"/>
              </w:rPr>
              <w:t>500</w:t>
            </w:r>
            <w:r>
              <w:rPr>
                <w:rFonts w:hint="eastAsia" w:ascii="宋体" w:hAnsi="宋体"/>
                <w:bCs/>
                <w:szCs w:val="21"/>
              </w:rPr>
              <w:t>万，单笔申请最高可按中标金额</w:t>
            </w:r>
            <w:r>
              <w:rPr>
                <w:rFonts w:ascii="宋体" w:hAnsi="宋体"/>
                <w:bCs/>
                <w:szCs w:val="21"/>
              </w:rPr>
              <w:t>0.8</w:t>
            </w:r>
            <w:r>
              <w:rPr>
                <w:rFonts w:hint="eastAsia" w:ascii="宋体" w:hAnsi="宋体"/>
                <w:bCs/>
                <w:szCs w:val="21"/>
              </w:rPr>
              <w:t>折，贷款期限最少三个月、最长一年，可通过政采云平台向本行发起政采订单贷业务申请</w:t>
            </w:r>
          </w:p>
        </w:tc>
        <w:tc>
          <w:tcPr>
            <w:tcW w:w="1559" w:type="dxa"/>
            <w:vAlign w:val="center"/>
          </w:tcPr>
          <w:p>
            <w:pPr>
              <w:jc w:val="center"/>
              <w:rPr>
                <w:rFonts w:ascii="宋体"/>
                <w:szCs w:val="21"/>
              </w:rPr>
            </w:pPr>
            <w:r>
              <w:rPr>
                <w:rFonts w:hint="eastAsia" w:ascii="宋体" w:hAnsi="宋体"/>
                <w:szCs w:val="21"/>
              </w:rPr>
              <w:t>郑贤栋</w:t>
            </w:r>
          </w:p>
        </w:tc>
        <w:tc>
          <w:tcPr>
            <w:tcW w:w="1418" w:type="dxa"/>
            <w:vAlign w:val="center"/>
          </w:tcPr>
          <w:p>
            <w:pPr>
              <w:jc w:val="center"/>
              <w:rPr>
                <w:rFonts w:ascii="宋体" w:hAnsi="宋体"/>
                <w:szCs w:val="21"/>
              </w:rPr>
            </w:pPr>
            <w:r>
              <w:rPr>
                <w:rFonts w:ascii="宋体" w:hAnsi="宋体"/>
                <w:szCs w:val="21"/>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137"/>
              <w:spacing w:line="360" w:lineRule="auto"/>
              <w:ind w:firstLine="0" w:firstLineChars="0"/>
              <w:rPr>
                <w:rFonts w:ascii="宋体" w:hAnsi="宋体" w:eastAsia="宋体" w:cs="宋体"/>
                <w:kern w:val="0"/>
                <w:sz w:val="21"/>
                <w:szCs w:val="21"/>
              </w:rPr>
            </w:pPr>
            <w:r>
              <w:rPr>
                <w:rFonts w:hint="eastAsia" w:ascii="宋体" w:hAnsi="宋体" w:eastAsia="宋体" w:cs="宋体"/>
                <w:kern w:val="0"/>
                <w:sz w:val="21"/>
                <w:szCs w:val="21"/>
              </w:rPr>
              <w:t>交通银行股份有限公司舟山分行</w:t>
            </w:r>
          </w:p>
        </w:tc>
        <w:tc>
          <w:tcPr>
            <w:tcW w:w="3547" w:type="dxa"/>
          </w:tcPr>
          <w:p>
            <w:pPr>
              <w:autoSpaceDE w:val="0"/>
              <w:autoSpaceDN w:val="0"/>
              <w:adjustRightInd w:val="0"/>
              <w:rPr>
                <w:rFonts w:ascii="宋体"/>
                <w:szCs w:val="21"/>
              </w:rPr>
            </w:pPr>
            <w:r>
              <w:rPr>
                <w:rFonts w:hint="eastAsia" w:ascii="宋体" w:hAnsi="宋体"/>
                <w:szCs w:val="21"/>
              </w:rPr>
              <w:t>交通银行政采贷，最长期限</w:t>
            </w:r>
            <w:r>
              <w:rPr>
                <w:rFonts w:ascii="宋体" w:hAnsi="宋体"/>
                <w:szCs w:val="21"/>
              </w:rPr>
              <w:t>1</w:t>
            </w:r>
            <w:r>
              <w:rPr>
                <w:rFonts w:hint="eastAsia" w:ascii="宋体" w:hAnsi="宋体"/>
                <w:szCs w:val="21"/>
              </w:rPr>
              <w:t>年，融资金额一般不超过</w:t>
            </w:r>
            <w:r>
              <w:rPr>
                <w:rFonts w:ascii="宋体" w:hAnsi="宋体"/>
                <w:szCs w:val="21"/>
              </w:rPr>
              <w:t>1000</w:t>
            </w:r>
            <w:r>
              <w:rPr>
                <w:rFonts w:hint="eastAsia" w:ascii="宋体" w:hAnsi="宋体"/>
                <w:szCs w:val="21"/>
              </w:rPr>
              <w:t>万元，单笔提款金额最高至采购合同金额的</w:t>
            </w:r>
            <w:r>
              <w:rPr>
                <w:rFonts w:ascii="宋体" w:hAnsi="宋体"/>
                <w:szCs w:val="21"/>
              </w:rPr>
              <w:t>70%</w:t>
            </w:r>
            <w:r>
              <w:rPr>
                <w:rFonts w:hint="eastAsia" w:ascii="宋体" w:hAnsi="宋体"/>
                <w:szCs w:val="21"/>
              </w:rPr>
              <w:t>。担保方式为信用（附加该笔业务项下未来应收账款质押、实际控制人及配偶个人保证），随借随还，利率最低至当期</w:t>
            </w:r>
            <w:r>
              <w:rPr>
                <w:rFonts w:ascii="宋体" w:hAnsi="宋体"/>
                <w:szCs w:val="21"/>
              </w:rPr>
              <w:t>LPR</w:t>
            </w:r>
            <w:r>
              <w:rPr>
                <w:rFonts w:hint="eastAsia" w:ascii="宋体" w:hAnsi="宋体"/>
                <w:szCs w:val="21"/>
              </w:rPr>
              <w:t>。</w:t>
            </w:r>
          </w:p>
        </w:tc>
        <w:tc>
          <w:tcPr>
            <w:tcW w:w="1559" w:type="dxa"/>
            <w:vAlign w:val="center"/>
          </w:tcPr>
          <w:p>
            <w:pPr>
              <w:jc w:val="center"/>
              <w:rPr>
                <w:rFonts w:ascii="宋体"/>
                <w:szCs w:val="21"/>
              </w:rPr>
            </w:pPr>
            <w:r>
              <w:rPr>
                <w:rFonts w:hint="eastAsia" w:ascii="宋体" w:hAnsi="宋体"/>
                <w:szCs w:val="21"/>
              </w:rPr>
              <w:t>赵争艳</w:t>
            </w:r>
          </w:p>
        </w:tc>
        <w:tc>
          <w:tcPr>
            <w:tcW w:w="1418" w:type="dxa"/>
            <w:vAlign w:val="center"/>
          </w:tcPr>
          <w:p>
            <w:pPr>
              <w:jc w:val="center"/>
              <w:rPr>
                <w:rFonts w:ascii="宋体" w:hAnsi="宋体"/>
                <w:szCs w:val="21"/>
              </w:rPr>
            </w:pPr>
            <w:r>
              <w:rPr>
                <w:rFonts w:ascii="宋体" w:hAnsi="宋体"/>
                <w:szCs w:val="21"/>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37"/>
              <w:spacing w:line="360" w:lineRule="auto"/>
              <w:ind w:firstLine="0" w:firstLineChars="0"/>
              <w:rPr>
                <w:rFonts w:ascii="宋体" w:hAnsi="宋体" w:eastAsia="宋体" w:cs="宋体"/>
                <w:kern w:val="0"/>
                <w:sz w:val="21"/>
                <w:szCs w:val="21"/>
              </w:rPr>
            </w:pPr>
            <w:r>
              <w:rPr>
                <w:rFonts w:hint="eastAsia" w:ascii="宋体" w:hAnsi="宋体" w:eastAsia="宋体" w:cs="宋体"/>
                <w:kern w:val="0"/>
                <w:sz w:val="21"/>
                <w:szCs w:val="21"/>
              </w:rPr>
              <w:t>中信银行股份有限公司舟山分行</w:t>
            </w:r>
          </w:p>
        </w:tc>
        <w:tc>
          <w:tcPr>
            <w:tcW w:w="3547" w:type="dxa"/>
          </w:tcPr>
          <w:p>
            <w:pPr>
              <w:rPr>
                <w:rFonts w:ascii="宋体"/>
                <w:bCs/>
                <w:szCs w:val="21"/>
              </w:rPr>
            </w:pPr>
            <w:r>
              <w:rPr>
                <w:rFonts w:hint="eastAsia" w:ascii="宋体" w:hAnsi="宋体"/>
                <w:bCs/>
                <w:szCs w:val="21"/>
              </w:rPr>
              <w:t>中信银行“政采</w:t>
            </w:r>
            <w:r>
              <w:rPr>
                <w:rFonts w:ascii="宋体" w:hAnsi="宋体"/>
                <w:bCs/>
                <w:szCs w:val="21"/>
              </w:rPr>
              <w:t>e</w:t>
            </w:r>
            <w:r>
              <w:rPr>
                <w:rFonts w:hint="eastAsia" w:ascii="宋体" w:hAnsi="宋体"/>
                <w:bCs/>
                <w:szCs w:val="21"/>
              </w:rPr>
              <w:t>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w:t>
            </w:r>
            <w:r>
              <w:rPr>
                <w:rFonts w:ascii="宋体" w:hAnsi="宋体"/>
                <w:bCs/>
                <w:szCs w:val="21"/>
              </w:rPr>
              <w:t>1000</w:t>
            </w:r>
            <w:r>
              <w:rPr>
                <w:rFonts w:hint="eastAsia" w:ascii="宋体" w:hAnsi="宋体"/>
                <w:bCs/>
                <w:szCs w:val="21"/>
              </w:rPr>
              <w:t>万元，贷款期限最长</w:t>
            </w:r>
            <w:r>
              <w:rPr>
                <w:rFonts w:ascii="宋体" w:hAnsi="宋体"/>
                <w:bCs/>
                <w:szCs w:val="21"/>
              </w:rPr>
              <w:t>1</w:t>
            </w:r>
            <w:r>
              <w:rPr>
                <w:rFonts w:hint="eastAsia" w:ascii="宋体" w:hAnsi="宋体"/>
                <w:bCs/>
                <w:szCs w:val="21"/>
              </w:rPr>
              <w:t>年，利率低。</w:t>
            </w:r>
          </w:p>
        </w:tc>
        <w:tc>
          <w:tcPr>
            <w:tcW w:w="1559" w:type="dxa"/>
            <w:vAlign w:val="center"/>
          </w:tcPr>
          <w:p>
            <w:pPr>
              <w:jc w:val="center"/>
              <w:rPr>
                <w:rFonts w:ascii="宋体"/>
                <w:szCs w:val="21"/>
              </w:rPr>
            </w:pPr>
            <w:r>
              <w:rPr>
                <w:rFonts w:hint="eastAsia" w:ascii="宋体" w:hAnsi="宋体"/>
                <w:szCs w:val="21"/>
              </w:rPr>
              <w:t>杨莉丹</w:t>
            </w:r>
          </w:p>
        </w:tc>
        <w:tc>
          <w:tcPr>
            <w:tcW w:w="1418" w:type="dxa"/>
            <w:vAlign w:val="center"/>
          </w:tcPr>
          <w:p>
            <w:pPr>
              <w:jc w:val="center"/>
              <w:rPr>
                <w:rFonts w:ascii="宋体" w:hAnsi="宋体"/>
                <w:szCs w:val="21"/>
              </w:rPr>
            </w:pPr>
            <w:r>
              <w:rPr>
                <w:rFonts w:ascii="宋体" w:hAnsi="宋体"/>
                <w:szCs w:val="21"/>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37"/>
              <w:spacing w:line="360" w:lineRule="auto"/>
              <w:ind w:firstLine="0" w:firstLineChars="0"/>
              <w:rPr>
                <w:rFonts w:ascii="宋体" w:hAnsi="宋体" w:eastAsia="宋体" w:cs="宋体"/>
                <w:kern w:val="0"/>
                <w:sz w:val="21"/>
                <w:szCs w:val="21"/>
              </w:rPr>
            </w:pPr>
            <w:r>
              <w:rPr>
                <w:rFonts w:hint="eastAsia" w:ascii="宋体" w:hAnsi="宋体" w:eastAsia="宋体" w:cs="宋体"/>
                <w:kern w:val="0"/>
                <w:sz w:val="21"/>
                <w:szCs w:val="21"/>
              </w:rPr>
              <w:t>泰隆银行舟山市分行</w:t>
            </w:r>
          </w:p>
        </w:tc>
        <w:tc>
          <w:tcPr>
            <w:tcW w:w="3547" w:type="dxa"/>
          </w:tcPr>
          <w:p>
            <w:pPr>
              <w:rPr>
                <w:rFonts w:ascii="宋体"/>
                <w:bCs/>
                <w:szCs w:val="21"/>
              </w:rPr>
            </w:pPr>
            <w:r>
              <w:rPr>
                <w:rFonts w:hint="eastAsia" w:ascii="宋体" w:hAnsi="宋体"/>
                <w:bCs/>
                <w:szCs w:val="21"/>
              </w:rPr>
              <w:t>符合我行基本准入，期限对照订单最长不超过</w:t>
            </w:r>
            <w:r>
              <w:rPr>
                <w:rFonts w:ascii="宋体" w:hAnsi="宋体"/>
                <w:bCs/>
                <w:szCs w:val="21"/>
              </w:rPr>
              <w:t>1</w:t>
            </w:r>
            <w:r>
              <w:rPr>
                <w:rFonts w:hint="eastAsia" w:ascii="宋体" w:hAnsi="宋体"/>
                <w:bCs/>
                <w:szCs w:val="21"/>
              </w:rPr>
              <w:t>年，额度最高</w:t>
            </w:r>
            <w:r>
              <w:rPr>
                <w:rFonts w:ascii="宋体" w:hAnsi="宋体"/>
                <w:bCs/>
                <w:szCs w:val="21"/>
              </w:rPr>
              <w:t>1000</w:t>
            </w:r>
            <w:r>
              <w:rPr>
                <w:rFonts w:hint="eastAsia" w:ascii="宋体" w:hAnsi="宋体"/>
                <w:bCs/>
                <w:szCs w:val="21"/>
              </w:rPr>
              <w:t>万，担保方式享受信用贷款执行，可由中标企业或其实际控制人出面申请，利率最低可至当期</w:t>
            </w:r>
            <w:r>
              <w:rPr>
                <w:rFonts w:ascii="宋体" w:hAnsi="宋体"/>
                <w:bCs/>
                <w:szCs w:val="21"/>
              </w:rPr>
              <w:t xml:space="preserve">LPR </w:t>
            </w:r>
            <w:r>
              <w:rPr>
                <w:rFonts w:hint="eastAsia" w:ascii="宋体" w:hAnsi="宋体"/>
                <w:bCs/>
                <w:szCs w:val="21"/>
              </w:rPr>
              <w:t>，对于合同期限确实超过一年的，可享受无还本续</w:t>
            </w:r>
          </w:p>
          <w:p>
            <w:pPr>
              <w:rPr>
                <w:rFonts w:ascii="宋体"/>
                <w:bCs/>
                <w:szCs w:val="21"/>
              </w:rPr>
            </w:pPr>
            <w:r>
              <w:rPr>
                <w:rFonts w:hint="eastAsia" w:ascii="宋体" w:hAnsi="宋体"/>
                <w:bCs/>
                <w:szCs w:val="21"/>
              </w:rPr>
              <w:t>贷至合同付款日。</w:t>
            </w:r>
          </w:p>
        </w:tc>
        <w:tc>
          <w:tcPr>
            <w:tcW w:w="1559" w:type="dxa"/>
            <w:vAlign w:val="center"/>
          </w:tcPr>
          <w:p>
            <w:pPr>
              <w:jc w:val="center"/>
              <w:rPr>
                <w:rFonts w:ascii="宋体"/>
                <w:szCs w:val="21"/>
              </w:rPr>
            </w:pPr>
            <w:r>
              <w:rPr>
                <w:rFonts w:hint="eastAsia" w:ascii="宋体" w:hAnsi="宋体"/>
                <w:szCs w:val="21"/>
              </w:rPr>
              <w:t>胡亢宇</w:t>
            </w:r>
          </w:p>
        </w:tc>
        <w:tc>
          <w:tcPr>
            <w:tcW w:w="1418" w:type="dxa"/>
            <w:vAlign w:val="center"/>
          </w:tcPr>
          <w:p>
            <w:pPr>
              <w:jc w:val="center"/>
              <w:rPr>
                <w:rFonts w:ascii="宋体" w:hAnsi="宋体"/>
                <w:szCs w:val="21"/>
              </w:rPr>
            </w:pPr>
            <w:r>
              <w:rPr>
                <w:rFonts w:ascii="宋体" w:hAnsi="宋体"/>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37"/>
              <w:spacing w:line="360" w:lineRule="auto"/>
              <w:ind w:firstLine="0" w:firstLineChars="0"/>
              <w:rPr>
                <w:rFonts w:ascii="宋体" w:hAnsi="宋体" w:eastAsia="宋体" w:cs="宋体"/>
                <w:kern w:val="0"/>
                <w:sz w:val="21"/>
                <w:szCs w:val="21"/>
              </w:rPr>
            </w:pPr>
            <w:r>
              <w:rPr>
                <w:rFonts w:hint="eastAsia" w:ascii="宋体" w:hAnsi="宋体" w:eastAsia="宋体" w:cs="宋体"/>
                <w:kern w:val="0"/>
                <w:sz w:val="21"/>
                <w:szCs w:val="21"/>
              </w:rPr>
              <w:t>中国农业银行股份有限公司舟山分行</w:t>
            </w:r>
          </w:p>
        </w:tc>
        <w:tc>
          <w:tcPr>
            <w:tcW w:w="3547" w:type="dxa"/>
          </w:tcPr>
          <w:p>
            <w:pPr>
              <w:rPr>
                <w:rFonts w:ascii="宋体"/>
                <w:bCs/>
                <w:szCs w:val="21"/>
              </w:rPr>
            </w:pPr>
            <w:r>
              <w:rPr>
                <w:rFonts w:hint="eastAsia" w:ascii="宋体" w:hAnsi="宋体"/>
                <w:bCs/>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w:t>
            </w:r>
            <w:r>
              <w:rPr>
                <w:rFonts w:ascii="宋体" w:hAnsi="宋体"/>
                <w:bCs/>
                <w:szCs w:val="21"/>
              </w:rPr>
              <w:t>80%,</w:t>
            </w:r>
            <w:r>
              <w:rPr>
                <w:rFonts w:hint="eastAsia" w:ascii="宋体" w:hAnsi="宋体"/>
                <w:bCs/>
                <w:szCs w:val="21"/>
              </w:rPr>
              <w:t>单户借款额度不超过</w:t>
            </w:r>
            <w:r>
              <w:rPr>
                <w:rFonts w:ascii="宋体" w:hAnsi="宋体"/>
                <w:bCs/>
                <w:szCs w:val="21"/>
              </w:rPr>
              <w:t>500</w:t>
            </w:r>
            <w:r>
              <w:rPr>
                <w:rFonts w:hint="eastAsia" w:ascii="宋体" w:hAnsi="宋体"/>
                <w:bCs/>
                <w:szCs w:val="21"/>
              </w:rPr>
              <w:t>万元。</w:t>
            </w:r>
          </w:p>
        </w:tc>
        <w:tc>
          <w:tcPr>
            <w:tcW w:w="1559" w:type="dxa"/>
            <w:vAlign w:val="center"/>
          </w:tcPr>
          <w:p>
            <w:pPr>
              <w:jc w:val="center"/>
              <w:rPr>
                <w:rFonts w:ascii="宋体"/>
                <w:szCs w:val="21"/>
              </w:rPr>
            </w:pPr>
            <w:r>
              <w:rPr>
                <w:rFonts w:hint="eastAsia" w:ascii="宋体" w:hAnsi="宋体"/>
                <w:szCs w:val="21"/>
              </w:rPr>
              <w:t>邵琼</w:t>
            </w:r>
          </w:p>
        </w:tc>
        <w:tc>
          <w:tcPr>
            <w:tcW w:w="1418" w:type="dxa"/>
            <w:vAlign w:val="center"/>
          </w:tcPr>
          <w:p>
            <w:pPr>
              <w:jc w:val="center"/>
              <w:rPr>
                <w:rFonts w:ascii="宋体" w:hAnsi="宋体"/>
                <w:szCs w:val="21"/>
              </w:rPr>
            </w:pPr>
            <w:r>
              <w:rPr>
                <w:rFonts w:ascii="宋体" w:hAnsi="宋体"/>
                <w:szCs w:val="21"/>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137"/>
              <w:spacing w:line="360" w:lineRule="auto"/>
              <w:ind w:firstLine="0" w:firstLineChars="0"/>
              <w:rPr>
                <w:rFonts w:ascii="宋体" w:hAnsi="宋体" w:eastAsia="宋体" w:cs="宋体"/>
                <w:kern w:val="0"/>
                <w:sz w:val="21"/>
                <w:szCs w:val="21"/>
              </w:rPr>
            </w:pPr>
            <w:r>
              <w:rPr>
                <w:rFonts w:hint="eastAsia" w:ascii="宋体" w:hAnsi="宋体" w:eastAsia="宋体" w:cs="宋体"/>
                <w:kern w:val="0"/>
                <w:sz w:val="21"/>
                <w:szCs w:val="21"/>
              </w:rPr>
              <w:t>中国邮政储蓄银行股份有限公司舟山市分行</w:t>
            </w:r>
          </w:p>
        </w:tc>
        <w:tc>
          <w:tcPr>
            <w:tcW w:w="3547" w:type="dxa"/>
          </w:tcPr>
          <w:p>
            <w:pPr>
              <w:rPr>
                <w:rFonts w:ascii="宋体"/>
                <w:bCs/>
                <w:szCs w:val="21"/>
              </w:rPr>
            </w:pPr>
            <w:r>
              <w:rPr>
                <w:rFonts w:hint="eastAsia" w:ascii="宋体" w:hAnsi="宋体"/>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w:t>
            </w:r>
            <w:r>
              <w:rPr>
                <w:rFonts w:ascii="宋体" w:hAnsi="宋体"/>
                <w:bCs/>
                <w:szCs w:val="21"/>
              </w:rPr>
              <w:t>500</w:t>
            </w:r>
            <w:r>
              <w:rPr>
                <w:rFonts w:hint="eastAsia" w:ascii="宋体" w:hAnsi="宋体"/>
                <w:bCs/>
                <w:szCs w:val="21"/>
              </w:rPr>
              <w:t>万元，期限最长不超过</w:t>
            </w:r>
            <w:r>
              <w:rPr>
                <w:rFonts w:ascii="宋体" w:hAnsi="宋体"/>
                <w:bCs/>
                <w:szCs w:val="21"/>
              </w:rPr>
              <w:t>1</w:t>
            </w:r>
            <w:r>
              <w:rPr>
                <w:rFonts w:hint="eastAsia" w:ascii="宋体" w:hAnsi="宋体"/>
                <w:bCs/>
                <w:szCs w:val="21"/>
              </w:rPr>
              <w:t>年。</w:t>
            </w:r>
          </w:p>
        </w:tc>
        <w:tc>
          <w:tcPr>
            <w:tcW w:w="1559" w:type="dxa"/>
            <w:vAlign w:val="center"/>
          </w:tcPr>
          <w:p>
            <w:pPr>
              <w:jc w:val="center"/>
              <w:rPr>
                <w:rFonts w:ascii="宋体"/>
                <w:szCs w:val="21"/>
              </w:rPr>
            </w:pPr>
            <w:r>
              <w:rPr>
                <w:rFonts w:hint="eastAsia" w:ascii="宋体" w:hAnsi="宋体"/>
                <w:szCs w:val="21"/>
              </w:rPr>
              <w:t>曾超</w:t>
            </w:r>
          </w:p>
        </w:tc>
        <w:tc>
          <w:tcPr>
            <w:tcW w:w="1418" w:type="dxa"/>
            <w:vAlign w:val="center"/>
          </w:tcPr>
          <w:p>
            <w:pPr>
              <w:jc w:val="center"/>
              <w:rPr>
                <w:rFonts w:ascii="宋体" w:hAnsi="宋体"/>
                <w:szCs w:val="21"/>
              </w:rPr>
            </w:pPr>
            <w:r>
              <w:rPr>
                <w:rFonts w:ascii="宋体" w:hAnsi="宋体"/>
                <w:szCs w:val="21"/>
              </w:rPr>
              <w:t>15924008387</w:t>
            </w:r>
          </w:p>
        </w:tc>
      </w:tr>
    </w:tbl>
    <w:p>
      <w:pPr>
        <w:ind w:firstLine="555"/>
        <w:rPr>
          <w:szCs w:val="21"/>
        </w:rPr>
      </w:pPr>
      <w:r>
        <w:rPr>
          <w:szCs w:val="21"/>
        </w:rPr>
        <w:t>2.一般步骤</w:t>
      </w:r>
    </w:p>
    <w:p>
      <w:pPr>
        <w:ind w:firstLine="555"/>
        <w:rPr>
          <w:szCs w:val="21"/>
        </w:rPr>
      </w:pPr>
      <w:r>
        <w:rPr>
          <w:szCs w:val="21"/>
        </w:rPr>
        <w:t>（1）供应商先与银行对接，办理融资前期手续；</w:t>
      </w:r>
    </w:p>
    <w:p>
      <w:pPr>
        <w:ind w:firstLine="555"/>
        <w:rPr>
          <w:szCs w:val="21"/>
        </w:rPr>
      </w:pPr>
      <w:r>
        <w:rPr>
          <w:szCs w:val="21"/>
        </w:rPr>
        <w:t>（2）供应商中标后，凭中标通知书等材料，向相关合作银行发出融资申请；</w:t>
      </w:r>
    </w:p>
    <w:p>
      <w:pPr>
        <w:ind w:firstLine="555"/>
        <w:rPr>
          <w:szCs w:val="21"/>
        </w:rPr>
      </w:pPr>
      <w:r>
        <w:rPr>
          <w:szCs w:val="21"/>
        </w:rPr>
        <w:t>（3）银行、供应商线下办理审批、放贷事宜。</w:t>
      </w:r>
    </w:p>
    <w:p>
      <w:pPr>
        <w:ind w:firstLine="555"/>
        <w:rPr>
          <w:szCs w:val="21"/>
        </w:rPr>
      </w:pPr>
      <w:r>
        <w:rPr>
          <w:szCs w:val="21"/>
        </w:rPr>
        <w:t>3.注意事项</w:t>
      </w:r>
    </w:p>
    <w:p>
      <w:pPr>
        <w:ind w:firstLine="555"/>
        <w:rPr>
          <w:szCs w:val="21"/>
        </w:rPr>
      </w:pPr>
      <w:r>
        <w:rPr>
          <w:szCs w:val="21"/>
        </w:rPr>
        <w:t>（1）</w:t>
      </w:r>
      <w:r>
        <w:rPr>
          <w:rFonts w:hint="eastAsia"/>
          <w:szCs w:val="21"/>
        </w:rPr>
        <w:t>中标人</w:t>
      </w:r>
      <w:r>
        <w:rPr>
          <w:szCs w:val="21"/>
        </w:rPr>
        <w:t>需确保政府采购合同的收款账户与融资银行开户账户一致。</w:t>
      </w:r>
    </w:p>
    <w:p>
      <w:pPr>
        <w:ind w:firstLine="555"/>
        <w:rPr>
          <w:szCs w:val="21"/>
        </w:rPr>
      </w:pPr>
      <w:r>
        <w:rPr>
          <w:szCs w:val="21"/>
        </w:rPr>
        <w:t>（2）用于政府采购信用融资的政府采购合同，应当包含如下条款：“第条：政府采购合同贷款</w:t>
      </w:r>
    </w:p>
    <w:p>
      <w:pPr>
        <w:ind w:firstLine="555"/>
        <w:rPr>
          <w:szCs w:val="21"/>
        </w:rPr>
      </w:pPr>
      <w:r>
        <w:rPr>
          <w:szCs w:val="21"/>
        </w:rPr>
        <w:t>本合同同时用于乙方向银行（金融机构）申请政府采购信用贷款。</w:t>
      </w:r>
    </w:p>
    <w:p>
      <w:pPr>
        <w:ind w:firstLine="555"/>
        <w:rPr>
          <w:szCs w:val="21"/>
        </w:rPr>
      </w:pPr>
      <w:r>
        <w:rPr>
          <w:szCs w:val="21"/>
        </w:rPr>
        <w:t>本合同一经签订，原则上不得更改乙方收款账户信息。确须更改的，乙方应取得原合同收款账户开户银行书面同意，否则修改后的合同不予备案，采购资金不予支付。”</w:t>
      </w:r>
    </w:p>
    <w:p>
      <w:pPr>
        <w:pStyle w:val="3"/>
      </w:pPr>
    </w:p>
    <w:p>
      <w:pPr>
        <w:pStyle w:val="3"/>
      </w:pPr>
    </w:p>
    <w:p>
      <w:pPr>
        <w:tabs>
          <w:tab w:val="left" w:pos="2472"/>
        </w:tabs>
        <w:snapToGrid w:val="0"/>
        <w:spacing w:before="120" w:line="312" w:lineRule="auto"/>
        <w:ind w:right="-87"/>
        <w:jc w:val="center"/>
        <w:rPr>
          <w:rFonts w:ascii="黑体" w:hAnsi="宋体" w:eastAsia="黑体"/>
          <w:sz w:val="30"/>
        </w:rPr>
      </w:pPr>
      <w:r>
        <w:rPr>
          <w:rFonts w:hint="eastAsia" w:ascii="黑体" w:hAnsi="宋体" w:eastAsia="黑体"/>
          <w:sz w:val="30"/>
        </w:rPr>
        <w:t>第六章　投标文件格式</w:t>
      </w:r>
    </w:p>
    <w:p>
      <w:pPr>
        <w:tabs>
          <w:tab w:val="left" w:pos="2472"/>
        </w:tabs>
        <w:snapToGrid w:val="0"/>
        <w:spacing w:before="120" w:line="312" w:lineRule="auto"/>
        <w:ind w:right="-87"/>
        <w:jc w:val="center"/>
        <w:rPr>
          <w:rFonts w:ascii="黑体" w:hAnsi="宋体" w:eastAsia="黑体"/>
          <w:sz w:val="30"/>
        </w:rPr>
      </w:pPr>
    </w:p>
    <w:p>
      <w:pPr>
        <w:snapToGrid w:val="0"/>
        <w:spacing w:line="360" w:lineRule="auto"/>
        <w:ind w:right="-85"/>
        <w:rPr>
          <w:rFonts w:ascii="宋体" w:hAnsi="宋体"/>
          <w:sz w:val="24"/>
        </w:rPr>
      </w:pPr>
      <w:r>
        <w:rPr>
          <w:rFonts w:hint="eastAsia" w:ascii="宋体" w:hAnsi="宋体"/>
          <w:sz w:val="24"/>
        </w:rPr>
        <w:t>一、</w:t>
      </w:r>
      <w:r>
        <w:rPr>
          <w:rFonts w:hint="eastAsia" w:ascii="宋体" w:hAnsi="宋体"/>
          <w:b/>
          <w:sz w:val="24"/>
        </w:rPr>
        <w:t>备份文件包装封面（格式供参考）</w:t>
      </w:r>
      <w:r>
        <w:rPr>
          <w:rFonts w:hint="eastAsia" w:ascii="宋体" w:hAnsi="宋体"/>
          <w:sz w:val="24"/>
        </w:rPr>
        <w:t xml:space="preserve">： </w:t>
      </w:r>
    </w:p>
    <w:p>
      <w:pPr>
        <w:snapToGrid w:val="0"/>
        <w:spacing w:line="360" w:lineRule="auto"/>
        <w:ind w:right="-85"/>
        <w:jc w:val="center"/>
        <w:rPr>
          <w:rFonts w:ascii="宋体" w:hAnsi="宋体"/>
          <w:sz w:val="24"/>
        </w:rPr>
      </w:pPr>
    </w:p>
    <w:p>
      <w:pPr>
        <w:snapToGrid w:val="0"/>
        <w:spacing w:line="360" w:lineRule="auto"/>
        <w:ind w:right="-85"/>
        <w:jc w:val="center"/>
        <w:rPr>
          <w:rFonts w:ascii="宋体" w:hAnsi="宋体"/>
          <w:b/>
          <w:sz w:val="44"/>
        </w:rPr>
      </w:pPr>
      <w:r>
        <w:rPr>
          <w:rFonts w:hint="eastAsia" w:ascii="宋体" w:hAnsi="宋体"/>
          <w:b/>
          <w:sz w:val="44"/>
        </w:rPr>
        <w:t>投 标 文 件</w:t>
      </w:r>
    </w:p>
    <w:p>
      <w:pPr>
        <w:snapToGrid w:val="0"/>
        <w:spacing w:line="360" w:lineRule="auto"/>
        <w:ind w:right="-85"/>
        <w:rPr>
          <w:rFonts w:ascii="宋体" w:hAnsi="宋体"/>
          <w:sz w:val="24"/>
        </w:rPr>
      </w:pPr>
    </w:p>
    <w:p>
      <w:pPr>
        <w:snapToGrid w:val="0"/>
        <w:spacing w:line="360" w:lineRule="auto"/>
        <w:ind w:right="-85" w:firstLine="1124" w:firstLineChars="400"/>
        <w:rPr>
          <w:rFonts w:ascii="宋体" w:hAnsi="宋体"/>
          <w:b/>
          <w:sz w:val="28"/>
        </w:rPr>
      </w:pPr>
      <w:r>
        <w:rPr>
          <w:rFonts w:hint="eastAsia" w:ascii="宋体" w:hAnsi="宋体"/>
          <w:b/>
          <w:sz w:val="28"/>
        </w:rPr>
        <w:t xml:space="preserve">项目名称： </w:t>
      </w:r>
    </w:p>
    <w:p>
      <w:pPr>
        <w:snapToGrid w:val="0"/>
        <w:spacing w:line="360" w:lineRule="auto"/>
        <w:ind w:right="-85" w:firstLine="562" w:firstLineChars="200"/>
        <w:rPr>
          <w:rFonts w:ascii="宋体" w:hAnsi="宋体"/>
          <w:b/>
          <w:sz w:val="28"/>
          <w:u w:val="single"/>
        </w:rPr>
      </w:pPr>
      <w:r>
        <w:rPr>
          <w:rFonts w:hint="eastAsia" w:ascii="宋体" w:hAnsi="宋体"/>
          <w:b/>
          <w:sz w:val="28"/>
        </w:rPr>
        <w:t xml:space="preserve">    项目编号：</w:t>
      </w:r>
    </w:p>
    <w:p>
      <w:pPr>
        <w:pStyle w:val="26"/>
        <w:snapToGrid w:val="0"/>
        <w:spacing w:line="360" w:lineRule="auto"/>
        <w:ind w:right="-85" w:firstLine="1169" w:firstLineChars="416"/>
        <w:rPr>
          <w:rFonts w:ascii="宋体" w:hAnsi="宋体"/>
          <w:b/>
          <w:sz w:val="28"/>
        </w:rPr>
      </w:pPr>
      <w:r>
        <w:rPr>
          <w:rFonts w:hint="eastAsia" w:ascii="宋体" w:hAnsi="宋体"/>
          <w:b/>
          <w:sz w:val="28"/>
        </w:rPr>
        <w:t>投标人名称：</w:t>
      </w:r>
      <w:r>
        <w:rPr>
          <w:rFonts w:hint="eastAsia" w:ascii="宋体" w:hAnsi="宋体"/>
          <w:b/>
          <w:sz w:val="28"/>
          <w:u w:val="single"/>
        </w:rPr>
        <w:t xml:space="preserve">                            （</w:t>
      </w:r>
      <w:r>
        <w:rPr>
          <w:rFonts w:hint="eastAsia" w:ascii="宋体" w:hAnsi="宋体"/>
          <w:b/>
          <w:sz w:val="28"/>
        </w:rPr>
        <w:t>加盖公章）</w:t>
      </w:r>
    </w:p>
    <w:p>
      <w:pPr>
        <w:pStyle w:val="26"/>
        <w:snapToGrid w:val="0"/>
        <w:spacing w:line="360" w:lineRule="auto"/>
        <w:ind w:right="-85" w:firstLine="1169" w:firstLineChars="416"/>
        <w:rPr>
          <w:rFonts w:ascii="宋体" w:hAnsi="宋体"/>
          <w:b/>
          <w:sz w:val="28"/>
          <w:u w:val="single"/>
        </w:rPr>
      </w:pPr>
      <w:r>
        <w:rPr>
          <w:rFonts w:hint="eastAsia" w:ascii="宋体" w:hAnsi="宋体"/>
          <w:b/>
          <w:sz w:val="28"/>
        </w:rPr>
        <w:t>投标人地址：</w:t>
      </w:r>
    </w:p>
    <w:p>
      <w:pPr>
        <w:pStyle w:val="26"/>
        <w:snapToGrid w:val="0"/>
        <w:spacing w:line="360" w:lineRule="auto"/>
        <w:ind w:right="-85" w:firstLine="1124" w:firstLineChars="400"/>
        <w:rPr>
          <w:rFonts w:ascii="宋体" w:hAnsi="宋体"/>
          <w:b/>
          <w:sz w:val="28"/>
          <w:u w:val="single"/>
        </w:rPr>
      </w:pPr>
      <w:r>
        <w:rPr>
          <w:rFonts w:hint="eastAsia" w:ascii="宋体" w:hAnsi="宋体"/>
          <w:b/>
          <w:sz w:val="28"/>
        </w:rPr>
        <w:t>投标联系人：电话</w:t>
      </w:r>
    </w:p>
    <w:p>
      <w:pPr>
        <w:pStyle w:val="26"/>
        <w:snapToGrid w:val="0"/>
        <w:spacing w:line="360" w:lineRule="auto"/>
        <w:ind w:right="-85" w:firstLine="1124" w:firstLineChars="400"/>
        <w:rPr>
          <w:rFonts w:ascii="宋体" w:hAnsi="宋体"/>
          <w:b/>
          <w:sz w:val="28"/>
          <w:u w:val="single"/>
        </w:rPr>
      </w:pPr>
      <w:r>
        <w:rPr>
          <w:rFonts w:hint="eastAsia" w:ascii="宋体" w:hAnsi="宋体"/>
          <w:b/>
          <w:sz w:val="28"/>
        </w:rPr>
        <w:t>启封时间：</w:t>
      </w:r>
      <w:r>
        <w:rPr>
          <w:rFonts w:hint="eastAsia" w:ascii="宋体" w:hAnsi="宋体"/>
          <w:b/>
          <w:sz w:val="28"/>
          <w:u w:val="single"/>
        </w:rPr>
        <w:t>在20     年  月  日  时  分之前不得启封</w:t>
      </w:r>
    </w:p>
    <w:p>
      <w:pPr>
        <w:snapToGrid w:val="0"/>
        <w:spacing w:line="360" w:lineRule="auto"/>
        <w:ind w:right="-85" w:firstLine="4080" w:firstLineChars="1700"/>
        <w:rPr>
          <w:rFonts w:ascii="宋体" w:hAnsi="宋体"/>
          <w:sz w:val="24"/>
        </w:rPr>
      </w:pPr>
    </w:p>
    <w:p>
      <w:pPr>
        <w:snapToGrid w:val="0"/>
        <w:spacing w:line="360" w:lineRule="auto"/>
        <w:ind w:right="-85" w:firstLine="645"/>
        <w:jc w:val="center"/>
        <w:rPr>
          <w:rFonts w:ascii="宋体" w:hAnsi="宋体"/>
          <w:sz w:val="24"/>
        </w:rPr>
      </w:pPr>
      <w:r>
        <w:rPr>
          <w:rFonts w:hint="eastAsia" w:ascii="宋体" w:hAnsi="宋体"/>
          <w:sz w:val="24"/>
        </w:rPr>
        <w:t xml:space="preserve">                                 年   月   日</w:t>
      </w:r>
    </w:p>
    <w:p>
      <w:pPr>
        <w:snapToGrid w:val="0"/>
        <w:spacing w:line="360" w:lineRule="auto"/>
        <w:ind w:right="-85"/>
        <w:outlineLvl w:val="1"/>
        <w:rPr>
          <w:rFonts w:ascii="宋体" w:hAnsi="宋体"/>
          <w:sz w:val="24"/>
          <w:u w:val="single"/>
        </w:rPr>
      </w:pPr>
    </w:p>
    <w:p>
      <w:pPr>
        <w:pStyle w:val="20"/>
        <w:snapToGrid w:val="0"/>
        <w:spacing w:before="120" w:line="312" w:lineRule="auto"/>
        <w:ind w:right="-341"/>
        <w:rPr>
          <w:rFonts w:hAnsi="宋体"/>
          <w:b/>
          <w:sz w:val="32"/>
        </w:rPr>
      </w:pPr>
    </w:p>
    <w:p>
      <w:pPr>
        <w:pStyle w:val="20"/>
        <w:snapToGrid w:val="0"/>
        <w:spacing w:before="120" w:line="312" w:lineRule="auto"/>
        <w:ind w:right="-341"/>
        <w:rPr>
          <w:rFonts w:hAnsi="宋体"/>
          <w:b/>
          <w:sz w:val="32"/>
        </w:rPr>
      </w:pPr>
    </w:p>
    <w:p>
      <w:pPr>
        <w:pStyle w:val="20"/>
        <w:snapToGrid w:val="0"/>
        <w:spacing w:before="120" w:line="312" w:lineRule="auto"/>
        <w:ind w:right="-341"/>
        <w:rPr>
          <w:rFonts w:hAnsi="宋体"/>
          <w:b/>
          <w:sz w:val="32"/>
        </w:rPr>
      </w:pPr>
    </w:p>
    <w:p>
      <w:pPr>
        <w:pStyle w:val="20"/>
        <w:snapToGrid w:val="0"/>
        <w:spacing w:before="120" w:line="312" w:lineRule="auto"/>
        <w:ind w:right="-341"/>
        <w:rPr>
          <w:rFonts w:hAnsi="宋体"/>
          <w:b/>
          <w:sz w:val="32"/>
        </w:rPr>
      </w:pPr>
    </w:p>
    <w:p>
      <w:pPr>
        <w:pStyle w:val="20"/>
        <w:snapToGrid w:val="0"/>
        <w:spacing w:before="120" w:line="312" w:lineRule="auto"/>
        <w:ind w:right="-341"/>
        <w:rPr>
          <w:rFonts w:hAnsi="宋体"/>
          <w:b/>
          <w:sz w:val="32"/>
        </w:rPr>
      </w:pPr>
    </w:p>
    <w:p>
      <w:pPr>
        <w:pStyle w:val="20"/>
        <w:snapToGrid w:val="0"/>
        <w:spacing w:before="120" w:line="312" w:lineRule="auto"/>
        <w:ind w:right="-341"/>
        <w:rPr>
          <w:rFonts w:hAnsi="宋体"/>
          <w:b/>
          <w:sz w:val="32"/>
        </w:rPr>
      </w:pPr>
    </w:p>
    <w:p>
      <w:pPr>
        <w:pStyle w:val="20"/>
        <w:snapToGrid w:val="0"/>
        <w:spacing w:before="120" w:line="312" w:lineRule="auto"/>
        <w:ind w:right="-341"/>
        <w:rPr>
          <w:rFonts w:hAnsi="宋体"/>
          <w:b/>
          <w:sz w:val="32"/>
        </w:rPr>
      </w:pPr>
    </w:p>
    <w:p>
      <w:pPr>
        <w:pStyle w:val="20"/>
        <w:snapToGrid w:val="0"/>
        <w:spacing w:before="120" w:line="312" w:lineRule="auto"/>
        <w:ind w:right="-341"/>
        <w:rPr>
          <w:rFonts w:hAnsi="宋体"/>
          <w:b/>
          <w:sz w:val="28"/>
          <w:szCs w:val="28"/>
        </w:rPr>
      </w:pPr>
    </w:p>
    <w:p>
      <w:pPr>
        <w:pStyle w:val="20"/>
        <w:snapToGrid w:val="0"/>
        <w:spacing w:before="120" w:line="312" w:lineRule="auto"/>
        <w:ind w:right="-341"/>
        <w:rPr>
          <w:rFonts w:hAnsi="宋体"/>
          <w:b/>
          <w:sz w:val="28"/>
          <w:szCs w:val="28"/>
        </w:rPr>
      </w:pPr>
    </w:p>
    <w:p>
      <w:pPr>
        <w:pStyle w:val="20"/>
        <w:snapToGrid w:val="0"/>
        <w:spacing w:before="120" w:line="312" w:lineRule="auto"/>
        <w:ind w:right="-341"/>
        <w:rPr>
          <w:rFonts w:hint="eastAsia" w:hAnsi="宋体" w:eastAsia="宋体"/>
          <w:b/>
          <w:sz w:val="28"/>
          <w:szCs w:val="28"/>
          <w:lang w:eastAsia="zh-CN"/>
        </w:rPr>
      </w:pPr>
      <w:r>
        <w:rPr>
          <w:rFonts w:hint="eastAsia" w:hAnsi="宋体"/>
          <w:b/>
          <w:sz w:val="28"/>
          <w:szCs w:val="28"/>
        </w:rPr>
        <w:t>二</w:t>
      </w:r>
      <w:r>
        <w:rPr>
          <w:rFonts w:hint="eastAsia" w:hAnsi="宋体"/>
          <w:b/>
          <w:sz w:val="28"/>
          <w:szCs w:val="28"/>
          <w:lang w:eastAsia="zh-CN"/>
        </w:rPr>
        <w:t>、</w:t>
      </w:r>
    </w:p>
    <w:p>
      <w:pPr>
        <w:pStyle w:val="20"/>
        <w:snapToGrid w:val="0"/>
        <w:spacing w:before="120" w:line="312" w:lineRule="auto"/>
        <w:ind w:right="-341" w:firstLine="3678" w:firstLineChars="1145"/>
        <w:rPr>
          <w:rFonts w:hAnsi="宋体"/>
          <w:b/>
          <w:sz w:val="32"/>
        </w:rPr>
      </w:pPr>
      <w:r>
        <w:rPr>
          <w:rFonts w:hint="eastAsia" w:hAnsi="宋体"/>
          <w:b/>
          <w:sz w:val="32"/>
        </w:rPr>
        <w:t>开标一览表</w:t>
      </w:r>
    </w:p>
    <w:p>
      <w:pPr>
        <w:spacing w:line="360" w:lineRule="auto"/>
        <w:rPr>
          <w:b/>
          <w:sz w:val="24"/>
          <w:szCs w:val="24"/>
        </w:rPr>
      </w:pPr>
    </w:p>
    <w:p>
      <w:pPr>
        <w:snapToGrid w:val="0"/>
        <w:spacing w:before="50" w:after="50"/>
        <w:rPr>
          <w:rFonts w:ascii="宋体" w:hAnsi="宋体"/>
        </w:rPr>
      </w:pPr>
    </w:p>
    <w:p>
      <w:pPr>
        <w:snapToGrid w:val="0"/>
        <w:spacing w:before="50" w:after="50"/>
        <w:rPr>
          <w:rFonts w:ascii="宋体" w:hAnsi="宋体"/>
        </w:rPr>
      </w:pPr>
      <w:r>
        <w:rPr>
          <w:rFonts w:hint="eastAsia" w:ascii="宋体" w:hAnsi="宋体"/>
        </w:rPr>
        <w:t>项目名称：</w:t>
      </w:r>
    </w:p>
    <w:p>
      <w:pPr>
        <w:snapToGrid w:val="0"/>
        <w:spacing w:before="50" w:after="50"/>
        <w:rPr>
          <w:rFonts w:ascii="宋体" w:hAnsi="宋体"/>
        </w:rPr>
      </w:pPr>
      <w:r>
        <w:rPr>
          <w:rFonts w:hint="eastAsia" w:ascii="宋体" w:hAnsi="宋体"/>
        </w:rPr>
        <w:t>项目编号：</w:t>
      </w:r>
    </w:p>
    <w:p>
      <w:pPr>
        <w:pStyle w:val="20"/>
        <w:spacing w:before="120" w:line="360" w:lineRule="auto"/>
        <w:ind w:firstLine="5880" w:firstLineChars="2800"/>
        <w:rPr>
          <w:rFonts w:asciiTheme="minorEastAsia" w:hAnsiTheme="minorEastAsia" w:eastAsiaTheme="minorEastAsia"/>
          <w:sz w:val="21"/>
          <w:szCs w:val="21"/>
        </w:rPr>
      </w:pPr>
      <w:r>
        <w:rPr>
          <w:rFonts w:hint="eastAsia" w:hAnsi="宋体"/>
          <w:sz w:val="21"/>
          <w:szCs w:val="21"/>
        </w:rPr>
        <w:t>单位：元</w:t>
      </w:r>
    </w:p>
    <w:tbl>
      <w:tblPr>
        <w:tblStyle w:val="35"/>
        <w:tblW w:w="95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448"/>
        <w:gridCol w:w="4819"/>
        <w:gridCol w:w="12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2448" w:type="dxa"/>
            <w:tcBorders>
              <w:left w:val="single" w:color="auto" w:sz="4" w:space="0"/>
              <w:right w:val="single" w:color="auto" w:sz="4" w:space="0"/>
            </w:tcBorders>
            <w:vAlign w:val="center"/>
          </w:tcPr>
          <w:p>
            <w:pPr>
              <w:ind w:left="424" w:leftChars="202"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名称</w:t>
            </w:r>
          </w:p>
        </w:tc>
        <w:tc>
          <w:tcPr>
            <w:tcW w:w="4819" w:type="dxa"/>
            <w:tcBorders>
              <w:left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 xml:space="preserve"> 投标报价</w:t>
            </w:r>
          </w:p>
        </w:tc>
        <w:tc>
          <w:tcPr>
            <w:tcW w:w="1238" w:type="dxa"/>
            <w:tcBorders>
              <w:left w:val="single" w:color="auto" w:sz="4" w:space="0"/>
            </w:tcBorders>
            <w:vAlign w:val="center"/>
          </w:tcPr>
          <w:p>
            <w:pPr>
              <w:ind w:left="424" w:leftChars="202"/>
              <w:jc w:val="center"/>
              <w:rPr>
                <w:rFonts w:asciiTheme="minorEastAsia" w:hAnsiTheme="minorEastAsia" w:eastAsiaTheme="minorEastAsia"/>
                <w:b/>
                <w:szCs w:val="21"/>
              </w:rPr>
            </w:pPr>
            <w:r>
              <w:rPr>
                <w:rFonts w:hint="eastAsia" w:cs="宋体" w:asciiTheme="minorEastAsia" w:hAnsiTheme="minorEastAsia" w:eastAsia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pPr>
              <w:autoSpaceDE w:val="0"/>
              <w:autoSpaceDN w:val="0"/>
              <w:adjustRightInd w:val="0"/>
              <w:spacing w:line="400" w:lineRule="exact"/>
              <w:ind w:left="424" w:leftChars="202"/>
              <w:rPr>
                <w:rFonts w:asciiTheme="minorEastAsia" w:hAnsiTheme="minorEastAsia" w:eastAsiaTheme="minorEastAsia"/>
                <w:szCs w:val="21"/>
                <w:lang w:val="zh-CN"/>
              </w:rPr>
            </w:pPr>
          </w:p>
        </w:tc>
        <w:tc>
          <w:tcPr>
            <w:tcW w:w="2448" w:type="dxa"/>
            <w:tcBorders>
              <w:left w:val="single" w:color="auto" w:sz="4" w:space="0"/>
              <w:right w:val="single" w:color="auto" w:sz="4" w:space="0"/>
            </w:tcBorders>
            <w:vAlign w:val="center"/>
          </w:tcPr>
          <w:p>
            <w:pPr>
              <w:ind w:left="424" w:leftChars="202"/>
              <w:jc w:val="center"/>
              <w:rPr>
                <w:rFonts w:asciiTheme="minorEastAsia" w:hAnsiTheme="minorEastAsia" w:eastAsiaTheme="minorEastAsia"/>
                <w:szCs w:val="21"/>
              </w:rPr>
            </w:pPr>
          </w:p>
        </w:tc>
        <w:tc>
          <w:tcPr>
            <w:tcW w:w="4819" w:type="dxa"/>
            <w:tcBorders>
              <w:left w:val="single" w:color="auto" w:sz="4" w:space="0"/>
              <w:right w:val="single" w:color="auto" w:sz="4" w:space="0"/>
            </w:tcBorders>
            <w:vAlign w:val="center"/>
          </w:tcPr>
          <w:p>
            <w:pPr>
              <w:ind w:left="424" w:leftChars="202"/>
              <w:jc w:val="center"/>
              <w:rPr>
                <w:rFonts w:asciiTheme="minorEastAsia" w:hAnsiTheme="minorEastAsia" w:eastAsiaTheme="minorEastAsia"/>
                <w:szCs w:val="21"/>
              </w:rPr>
            </w:pPr>
          </w:p>
        </w:tc>
        <w:tc>
          <w:tcPr>
            <w:tcW w:w="1238" w:type="dxa"/>
            <w:tcBorders>
              <w:left w:val="single" w:color="auto" w:sz="4" w:space="0"/>
            </w:tcBorders>
            <w:vAlign w:val="center"/>
          </w:tcPr>
          <w:p>
            <w:pPr>
              <w:ind w:left="424" w:leftChars="202"/>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pPr>
              <w:autoSpaceDE w:val="0"/>
              <w:autoSpaceDN w:val="0"/>
              <w:adjustRightInd w:val="0"/>
              <w:spacing w:line="400" w:lineRule="exact"/>
              <w:ind w:left="424" w:leftChars="202"/>
              <w:rPr>
                <w:rFonts w:asciiTheme="minorEastAsia" w:hAnsiTheme="minorEastAsia" w:eastAsiaTheme="minorEastAsia"/>
                <w:szCs w:val="21"/>
                <w:lang w:val="zh-CN"/>
              </w:rPr>
            </w:pPr>
            <w:r>
              <w:rPr>
                <w:rFonts w:hint="eastAsia" w:asciiTheme="minorEastAsia" w:hAnsiTheme="minorEastAsia" w:eastAsiaTheme="minorEastAsia"/>
                <w:szCs w:val="21"/>
                <w:lang w:val="zh-CN"/>
              </w:rPr>
              <w:t>合计</w:t>
            </w:r>
          </w:p>
        </w:tc>
        <w:tc>
          <w:tcPr>
            <w:tcW w:w="8505" w:type="dxa"/>
            <w:gridSpan w:val="3"/>
            <w:tcBorders>
              <w:left w:val="single" w:color="auto" w:sz="4" w:space="0"/>
            </w:tcBorders>
            <w:vAlign w:val="center"/>
          </w:tcPr>
          <w:p>
            <w:pPr>
              <w:ind w:left="424" w:leftChars="202"/>
              <w:jc w:val="center"/>
              <w:rPr>
                <w:rFonts w:asciiTheme="minorEastAsia" w:hAnsiTheme="minorEastAsia" w:eastAsiaTheme="minorEastAsia"/>
                <w:szCs w:val="21"/>
              </w:rPr>
            </w:pPr>
          </w:p>
        </w:tc>
      </w:tr>
    </w:tbl>
    <w:p>
      <w:pPr>
        <w:spacing w:line="440" w:lineRule="exact"/>
        <w:ind w:firstLine="102" w:firstLineChars="49"/>
        <w:rPr>
          <w:rFonts w:asciiTheme="minorEastAsia" w:hAnsiTheme="minorEastAsia" w:eastAsiaTheme="minorEastAsia"/>
          <w:szCs w:val="21"/>
        </w:rPr>
      </w:pPr>
      <w:r>
        <w:rPr>
          <w:rFonts w:hint="eastAsia" w:asciiTheme="minorEastAsia" w:hAnsiTheme="minorEastAsia" w:eastAsiaTheme="minorEastAsia"/>
          <w:szCs w:val="21"/>
        </w:rPr>
        <w:t>说明：</w:t>
      </w:r>
    </w:p>
    <w:p>
      <w:pPr>
        <w:snapToGrid w:val="0"/>
        <w:spacing w:line="360" w:lineRule="auto"/>
        <w:ind w:right="-340" w:firstLine="420" w:firstLineChars="200"/>
        <w:rPr>
          <w:rFonts w:ascii="宋体"/>
        </w:rPr>
      </w:pPr>
      <w:r>
        <w:rPr>
          <w:rFonts w:hint="eastAsia" w:ascii="宋体" w:hAnsi="宋体"/>
        </w:rPr>
        <w:t xml:space="preserve"> 项目费用包括项目实施所需的一切费用。</w:t>
      </w:r>
    </w:p>
    <w:p>
      <w:pPr>
        <w:snapToGrid w:val="0"/>
        <w:spacing w:before="50" w:after="50"/>
        <w:rPr>
          <w:rFonts w:ascii="宋体" w:hAnsi="宋体"/>
        </w:rPr>
      </w:pPr>
    </w:p>
    <w:p>
      <w:pPr>
        <w:snapToGrid w:val="0"/>
        <w:ind w:left="2" w:right="-817" w:rightChars="-389"/>
        <w:rPr>
          <w:rFonts w:ascii="宋体" w:hAnsi="宋体"/>
        </w:rPr>
      </w:pPr>
    </w:p>
    <w:p>
      <w:pPr>
        <w:snapToGrid w:val="0"/>
        <w:ind w:left="2" w:right="-817" w:rightChars="-389"/>
        <w:rPr>
          <w:rFonts w:ascii="宋体" w:hAnsi="宋体"/>
        </w:rPr>
      </w:pPr>
    </w:p>
    <w:p>
      <w:pPr>
        <w:snapToGrid w:val="0"/>
        <w:ind w:left="2" w:right="-817" w:rightChars="-389"/>
        <w:rPr>
          <w:rFonts w:ascii="宋体" w:hAnsi="宋体"/>
        </w:rPr>
      </w:pPr>
      <w:r>
        <w:rPr>
          <w:rFonts w:hint="eastAsia" w:ascii="宋体" w:hAnsi="宋体"/>
        </w:rPr>
        <w:t>投标人名称（盖章）：                                                   日期：年月日</w:t>
      </w:r>
    </w:p>
    <w:p>
      <w:pPr>
        <w:snapToGrid w:val="0"/>
        <w:spacing w:before="50" w:after="50"/>
        <w:rPr>
          <w:rFonts w:ascii="宋体" w:hAnsi="宋体"/>
          <w:spacing w:val="20"/>
          <w:u w:val="single"/>
        </w:rPr>
      </w:pPr>
    </w:p>
    <w:p>
      <w:pPr>
        <w:pStyle w:val="20"/>
        <w:snapToGrid w:val="0"/>
        <w:spacing w:before="120" w:line="312" w:lineRule="auto"/>
        <w:ind w:right="-341"/>
        <w:rPr>
          <w:rFonts w:hAnsi="宋体"/>
          <w:b/>
          <w:sz w:val="32"/>
        </w:rPr>
      </w:pPr>
    </w:p>
    <w:p>
      <w:pPr>
        <w:snapToGrid w:val="0"/>
        <w:spacing w:before="120" w:line="312" w:lineRule="auto"/>
        <w:ind w:right="-341"/>
        <w:jc w:val="center"/>
        <w:rPr>
          <w:rFonts w:hAnsi="宋体"/>
          <w:b/>
          <w:sz w:val="32"/>
        </w:rPr>
      </w:pPr>
    </w:p>
    <w:p>
      <w:pPr>
        <w:snapToGrid w:val="0"/>
        <w:spacing w:before="120" w:line="312" w:lineRule="auto"/>
        <w:ind w:right="-341"/>
        <w:rPr>
          <w:rFonts w:hAnsi="宋体"/>
          <w:b/>
          <w:sz w:val="32"/>
        </w:rPr>
      </w:pPr>
    </w:p>
    <w:p>
      <w:pPr>
        <w:snapToGrid w:val="0"/>
        <w:spacing w:before="120" w:line="312" w:lineRule="auto"/>
        <w:ind w:right="-341"/>
        <w:rPr>
          <w:rFonts w:hAnsi="宋体"/>
          <w:b/>
          <w:sz w:val="32"/>
        </w:rPr>
      </w:pPr>
    </w:p>
    <w:p>
      <w:pPr>
        <w:snapToGrid w:val="0"/>
        <w:spacing w:before="120" w:line="312" w:lineRule="auto"/>
        <w:ind w:right="-341"/>
        <w:rPr>
          <w:rFonts w:hAnsi="宋体"/>
          <w:b/>
          <w:sz w:val="32"/>
        </w:rPr>
      </w:pPr>
    </w:p>
    <w:p>
      <w:pPr>
        <w:snapToGrid w:val="0"/>
        <w:spacing w:before="120" w:line="312" w:lineRule="auto"/>
        <w:ind w:right="-341"/>
        <w:rPr>
          <w:rFonts w:hAnsi="宋体"/>
          <w:b/>
          <w:sz w:val="32"/>
        </w:rPr>
      </w:pPr>
    </w:p>
    <w:p>
      <w:pPr>
        <w:snapToGrid w:val="0"/>
        <w:spacing w:before="120" w:line="312" w:lineRule="auto"/>
        <w:ind w:right="-341"/>
        <w:rPr>
          <w:rFonts w:hAnsi="宋体"/>
          <w:b/>
          <w:sz w:val="32"/>
        </w:rPr>
      </w:pPr>
    </w:p>
    <w:p>
      <w:pPr>
        <w:snapToGrid w:val="0"/>
        <w:spacing w:before="120" w:line="312" w:lineRule="auto"/>
        <w:ind w:right="-341"/>
        <w:rPr>
          <w:rFonts w:hAnsi="宋体"/>
          <w:b/>
          <w:sz w:val="32"/>
        </w:rPr>
      </w:pPr>
    </w:p>
    <w:p>
      <w:pPr>
        <w:pStyle w:val="43"/>
      </w:pPr>
    </w:p>
    <w:p>
      <w:pPr>
        <w:pStyle w:val="3"/>
      </w:pPr>
    </w:p>
    <w:p>
      <w:pPr>
        <w:pStyle w:val="3"/>
      </w:pPr>
    </w:p>
    <w:p>
      <w:pPr>
        <w:snapToGrid w:val="0"/>
        <w:spacing w:before="120" w:line="312" w:lineRule="auto"/>
        <w:ind w:right="-341"/>
        <w:jc w:val="center"/>
        <w:rPr>
          <w:rFonts w:hAnsi="宋体"/>
          <w:b/>
          <w:sz w:val="32"/>
        </w:rPr>
      </w:pPr>
      <w:r>
        <w:rPr>
          <w:rFonts w:hint="eastAsia" w:hAnsi="宋体"/>
          <w:b/>
          <w:sz w:val="32"/>
        </w:rPr>
        <w:t>三、投标报价明细表</w:t>
      </w:r>
    </w:p>
    <w:p>
      <w:pPr>
        <w:snapToGrid w:val="0"/>
        <w:rPr>
          <w:rFonts w:hAnsi="宋体"/>
          <w:b/>
          <w:sz w:val="28"/>
        </w:rPr>
      </w:pPr>
    </w:p>
    <w:p>
      <w:pPr>
        <w:snapToGrid w:val="0"/>
        <w:rPr>
          <w:rFonts w:hAnsi="宋体"/>
          <w:szCs w:val="21"/>
        </w:rPr>
      </w:pPr>
      <w:r>
        <w:rPr>
          <w:rFonts w:hint="eastAsia" w:hAnsi="宋体"/>
          <w:szCs w:val="21"/>
        </w:rPr>
        <w:t>招标项目：金额单位：人民币（元）</w:t>
      </w:r>
    </w:p>
    <w:p>
      <w:pPr>
        <w:pStyle w:val="20"/>
        <w:snapToGrid w:val="0"/>
        <w:spacing w:before="120" w:after="120" w:line="240" w:lineRule="auto"/>
        <w:rPr>
          <w:rFonts w:hAnsi="宋体"/>
          <w:sz w:val="21"/>
          <w:szCs w:val="21"/>
        </w:rPr>
      </w:pPr>
      <w:r>
        <w:rPr>
          <w:rFonts w:hint="eastAsia" w:hAnsi="宋体"/>
          <w:szCs w:val="21"/>
        </w:rPr>
        <w:t>招标编号：</w:t>
      </w:r>
    </w:p>
    <w:tbl>
      <w:tblPr>
        <w:tblStyle w:val="35"/>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spacing w:val="20"/>
              </w:rPr>
            </w:pPr>
            <w:r>
              <w:rPr>
                <w:rFonts w:hint="eastAsia" w:ascii="宋体" w:hAnsi="宋体"/>
              </w:rPr>
              <w:t>序号</w:t>
            </w:r>
          </w:p>
        </w:tc>
        <w:tc>
          <w:tcPr>
            <w:tcW w:w="233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spacing w:val="20"/>
              </w:rPr>
            </w:pPr>
            <w:r>
              <w:rPr>
                <w:rFonts w:hint="eastAsia" w:ascii="宋体" w:hAnsi="宋体"/>
              </w:rPr>
              <w:t>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91"/>
              <w:snapToGrid w:val="0"/>
              <w:spacing w:before="50" w:after="50" w:line="240" w:lineRule="auto"/>
              <w:rPr>
                <w:rFonts w:ascii="宋体" w:hAnsi="宋体" w:eastAsia="宋体"/>
                <w:sz w:val="21"/>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rFonts w:ascii="宋体"/>
                <w:spacing w:val="20"/>
              </w:rPr>
            </w:pPr>
            <w:r>
              <w:rPr>
                <w:rFonts w:hint="eastAsia" w:ascii="宋体" w:hAnsi="宋体"/>
              </w:rPr>
              <w:t>单价</w:t>
            </w:r>
          </w:p>
        </w:tc>
        <w:tc>
          <w:tcPr>
            <w:tcW w:w="1440" w:type="dxa"/>
            <w:tcBorders>
              <w:top w:val="single" w:color="auto" w:sz="4" w:space="0"/>
              <w:left w:val="single" w:color="auto" w:sz="4" w:space="0"/>
              <w:bottom w:val="single" w:color="auto" w:sz="4" w:space="0"/>
            </w:tcBorders>
            <w:vAlign w:val="center"/>
          </w:tcPr>
          <w:p>
            <w:pPr>
              <w:tabs>
                <w:tab w:val="left" w:pos="1418"/>
              </w:tabs>
              <w:snapToGrid w:val="0"/>
              <w:spacing w:before="50" w:after="50"/>
              <w:jc w:val="center"/>
              <w:rPr>
                <w:rFonts w:ascii="宋体"/>
                <w:spacing w:val="20"/>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r>
              <w:rPr>
                <w:rFonts w:hint="eastAsia" w:ascii="宋体"/>
                <w:spacing w:val="20"/>
              </w:rPr>
              <w:t>……</w:t>
            </w: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233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pPr>
              <w:tabs>
                <w:tab w:val="left" w:pos="1418"/>
              </w:tabs>
              <w:snapToGrid w:val="0"/>
              <w:spacing w:before="50" w:after="5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67"/>
              <w:tabs>
                <w:tab w:val="left" w:pos="1418"/>
              </w:tabs>
              <w:snapToGrid w:val="0"/>
              <w:spacing w:before="50" w:after="50"/>
              <w:rPr>
                <w:rFonts w:ascii="宋体"/>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67"/>
              <w:tabs>
                <w:tab w:val="left" w:pos="1418"/>
              </w:tabs>
              <w:snapToGrid w:val="0"/>
              <w:spacing w:before="50" w:after="50"/>
              <w:rPr>
                <w:rFonts w:ascii="宋体" w:hAnsi="宋体"/>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67"/>
              <w:tabs>
                <w:tab w:val="left" w:pos="1418"/>
              </w:tabs>
              <w:snapToGrid w:val="0"/>
              <w:spacing w:before="50" w:after="50"/>
              <w:rPr>
                <w:rFonts w:ascii="宋体"/>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4859" w:type="dxa"/>
            <w:gridSpan w:val="3"/>
            <w:tcBorders>
              <w:top w:val="single" w:color="auto" w:sz="4" w:space="0"/>
              <w:left w:val="single" w:color="auto" w:sz="4" w:space="0"/>
              <w:bottom w:val="single" w:color="auto" w:sz="4" w:space="0"/>
              <w:right w:val="single" w:color="auto" w:sz="4" w:space="0"/>
            </w:tcBorders>
          </w:tcPr>
          <w:p>
            <w:pPr>
              <w:pStyle w:val="67"/>
              <w:tabs>
                <w:tab w:val="left" w:pos="1418"/>
              </w:tabs>
              <w:snapToGrid w:val="0"/>
              <w:spacing w:before="50" w:after="50"/>
              <w:rPr>
                <w:rFonts w:ascii="宋体"/>
                <w:spacing w:val="20"/>
                <w:sz w:val="21"/>
              </w:rPr>
            </w:pPr>
          </w:p>
        </w:tc>
        <w:tc>
          <w:tcPr>
            <w:tcW w:w="1440"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26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宋体"/>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rFonts w:ascii="宋体"/>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p>
        </w:tc>
        <w:tc>
          <w:tcPr>
            <w:tcW w:w="4869" w:type="dxa"/>
            <w:gridSpan w:val="4"/>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rPr>
                <w:rFonts w:ascii="宋体"/>
                <w:spacing w:val="20"/>
              </w:rPr>
            </w:pPr>
          </w:p>
        </w:tc>
        <w:tc>
          <w:tcPr>
            <w:tcW w:w="2692" w:type="dxa"/>
            <w:gridSpan w:val="2"/>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ind w:left="8"/>
              <w:rPr>
                <w:rFonts w:ascii="宋体"/>
                <w:spacing w:val="20"/>
              </w:rPr>
            </w:pPr>
          </w:p>
        </w:tc>
        <w:tc>
          <w:tcPr>
            <w:tcW w:w="1440" w:type="dxa"/>
            <w:tcBorders>
              <w:top w:val="single" w:color="auto" w:sz="4" w:space="0"/>
              <w:left w:val="single" w:color="auto" w:sz="4" w:space="0"/>
              <w:bottom w:val="single" w:color="auto" w:sz="4" w:space="0"/>
            </w:tcBorders>
          </w:tcPr>
          <w:p>
            <w:pPr>
              <w:tabs>
                <w:tab w:val="left" w:pos="1418"/>
              </w:tabs>
              <w:snapToGrid w:val="0"/>
              <w:spacing w:before="50" w:after="50"/>
              <w:jc w:val="center"/>
              <w:rPr>
                <w:rFonts w:asci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bottom w:val="single" w:color="auto" w:sz="4" w:space="0"/>
              <w:right w:val="single" w:color="auto" w:sz="4" w:space="0"/>
            </w:tcBorders>
          </w:tcPr>
          <w:p>
            <w:pPr>
              <w:tabs>
                <w:tab w:val="left" w:pos="1418"/>
              </w:tabs>
              <w:snapToGrid w:val="0"/>
              <w:spacing w:before="50" w:after="50"/>
              <w:jc w:val="center"/>
              <w:rPr>
                <w:rFonts w:ascii="宋体"/>
                <w:spacing w:val="20"/>
              </w:rPr>
            </w:pPr>
            <w:r>
              <w:rPr>
                <w:rFonts w:hint="eastAsia" w:ascii="宋体" w:hAnsi="宋体"/>
                <w:spacing w:val="20"/>
              </w:rPr>
              <w:t>投标总价</w:t>
            </w:r>
          </w:p>
        </w:tc>
        <w:tc>
          <w:tcPr>
            <w:tcW w:w="4132" w:type="dxa"/>
            <w:gridSpan w:val="3"/>
            <w:tcBorders>
              <w:top w:val="single" w:color="auto" w:sz="4" w:space="0"/>
              <w:bottom w:val="single" w:color="auto" w:sz="4" w:space="0"/>
            </w:tcBorders>
          </w:tcPr>
          <w:p>
            <w:pPr>
              <w:tabs>
                <w:tab w:val="left" w:pos="1418"/>
              </w:tabs>
              <w:snapToGrid w:val="0"/>
              <w:spacing w:before="50" w:after="50"/>
              <w:jc w:val="center"/>
              <w:rPr>
                <w:rFonts w:ascii="宋体"/>
                <w:spacing w:val="20"/>
              </w:rPr>
            </w:pPr>
          </w:p>
        </w:tc>
      </w:tr>
    </w:tbl>
    <w:p>
      <w:pPr>
        <w:snapToGrid w:val="0"/>
        <w:rPr>
          <w:rFonts w:ascii="宋体" w:hAnsi="宋体"/>
        </w:rPr>
      </w:pPr>
    </w:p>
    <w:p>
      <w:pPr>
        <w:snapToGrid w:val="0"/>
        <w:spacing w:before="50" w:after="50"/>
        <w:rPr>
          <w:rFonts w:ascii="宋体" w:hAnsi="宋体"/>
          <w:spacing w:val="20"/>
          <w:u w:val="single"/>
        </w:rPr>
      </w:pPr>
      <w:r>
        <w:rPr>
          <w:rFonts w:hint="eastAsia" w:ascii="宋体" w:hAnsi="宋体"/>
        </w:rPr>
        <w:t xml:space="preserve">投标人名称（盖章）： </w:t>
      </w:r>
      <w:r>
        <w:rPr>
          <w:rFonts w:hint="eastAsia" w:ascii="宋体" w:hAnsi="宋体"/>
          <w:spacing w:val="20"/>
        </w:rPr>
        <w:t xml:space="preserve"> 日  期：</w:t>
      </w:r>
    </w:p>
    <w:p>
      <w:pPr>
        <w:snapToGrid w:val="0"/>
        <w:spacing w:before="50" w:after="50"/>
        <w:rPr>
          <w:rFonts w:ascii="宋体" w:hAnsi="宋体"/>
        </w:rPr>
      </w:pPr>
    </w:p>
    <w:p>
      <w:pPr>
        <w:snapToGrid w:val="0"/>
        <w:spacing w:before="120" w:line="312" w:lineRule="auto"/>
        <w:ind w:right="-341"/>
        <w:rPr>
          <w:rFonts w:hAnsi="宋体"/>
          <w:b/>
          <w:sz w:val="32"/>
        </w:rPr>
      </w:pPr>
    </w:p>
    <w:p>
      <w:pPr>
        <w:snapToGrid w:val="0"/>
        <w:spacing w:before="120" w:line="312" w:lineRule="auto"/>
        <w:ind w:right="-341"/>
        <w:rPr>
          <w:rFonts w:hAnsi="宋体"/>
          <w:b/>
          <w:sz w:val="32"/>
        </w:rPr>
      </w:pPr>
    </w:p>
    <w:p>
      <w:pPr>
        <w:pStyle w:val="43"/>
      </w:pPr>
    </w:p>
    <w:p>
      <w:pPr>
        <w:snapToGrid w:val="0"/>
        <w:spacing w:before="120" w:line="312" w:lineRule="auto"/>
        <w:ind w:right="-341"/>
        <w:rPr>
          <w:rFonts w:hAnsi="宋体"/>
          <w:b/>
          <w:sz w:val="32"/>
        </w:rPr>
      </w:pPr>
    </w:p>
    <w:p>
      <w:pPr>
        <w:snapToGrid w:val="0"/>
        <w:spacing w:before="120" w:line="312" w:lineRule="auto"/>
        <w:ind w:right="-341"/>
        <w:rPr>
          <w:rFonts w:hAnsi="宋体"/>
          <w:b/>
          <w:sz w:val="32"/>
        </w:rPr>
      </w:pPr>
    </w:p>
    <w:p>
      <w:pPr>
        <w:snapToGrid w:val="0"/>
        <w:spacing w:before="120" w:line="312" w:lineRule="auto"/>
        <w:ind w:right="-341"/>
        <w:jc w:val="center"/>
        <w:rPr>
          <w:rFonts w:hAnsi="宋体"/>
          <w:b/>
          <w:sz w:val="32"/>
        </w:rPr>
      </w:pPr>
      <w:r>
        <w:rPr>
          <w:rFonts w:hint="eastAsia" w:hAnsi="宋体"/>
          <w:b/>
          <w:sz w:val="32"/>
        </w:rPr>
        <w:t>四、投标函</w:t>
      </w:r>
    </w:p>
    <w:p>
      <w:pPr>
        <w:snapToGrid w:val="0"/>
        <w:spacing w:line="312" w:lineRule="auto"/>
        <w:ind w:right="-341"/>
        <w:rPr>
          <w:rFonts w:ascii="宋体" w:hAnsi="宋体"/>
        </w:rPr>
      </w:pPr>
    </w:p>
    <w:p>
      <w:pPr>
        <w:snapToGrid w:val="0"/>
        <w:spacing w:line="312" w:lineRule="auto"/>
        <w:ind w:right="-341"/>
        <w:rPr>
          <w:rFonts w:ascii="宋体" w:hAnsi="宋体"/>
        </w:rPr>
      </w:pPr>
      <w:r>
        <w:rPr>
          <w:rFonts w:hint="eastAsia" w:ascii="宋体" w:hAnsi="宋体"/>
        </w:rPr>
        <w:t>致：_</w:t>
      </w:r>
      <w:r>
        <w:rPr>
          <w:rFonts w:hint="eastAsia" w:ascii="宋体" w:hAnsi="宋体"/>
          <w:u w:val="single"/>
        </w:rPr>
        <w:t>深圳市国信招标有限公司</w:t>
      </w:r>
      <w:r>
        <w:rPr>
          <w:rFonts w:hint="eastAsia" w:ascii="宋体" w:hAnsi="宋体"/>
        </w:rPr>
        <w:t>_：</w:t>
      </w:r>
    </w:p>
    <w:p>
      <w:pPr>
        <w:snapToGrid w:val="0"/>
        <w:spacing w:line="312" w:lineRule="auto"/>
        <w:ind w:right="-341" w:firstLine="480"/>
        <w:rPr>
          <w:rFonts w:ascii="宋体" w:hAnsi="宋体"/>
          <w:szCs w:val="21"/>
        </w:rPr>
      </w:pPr>
      <w:r>
        <w:rPr>
          <w:rFonts w:hint="eastAsia" w:ascii="宋体" w:hAnsi="宋体"/>
        </w:rPr>
        <w:t>根据贵方为项目的招标公告（项目编号：），</w:t>
      </w:r>
      <w:r>
        <w:rPr>
          <w:rFonts w:hint="eastAsia" w:ascii="宋体" w:hAnsi="宋体"/>
          <w:szCs w:val="21"/>
        </w:rPr>
        <w:t>提交投标文件正本一份，副本一份。</w:t>
      </w:r>
    </w:p>
    <w:p>
      <w:pPr>
        <w:pStyle w:val="17"/>
        <w:widowControl/>
        <w:spacing w:line="360" w:lineRule="auto"/>
        <w:ind w:right="-341" w:firstLine="387" w:firstLineChars="192"/>
        <w:rPr>
          <w:rFonts w:hAnsi="宋体"/>
          <w:sz w:val="21"/>
          <w:szCs w:val="21"/>
        </w:rPr>
      </w:pPr>
      <w:r>
        <w:rPr>
          <w:rFonts w:hint="eastAsia" w:hAnsi="宋体"/>
          <w:sz w:val="21"/>
          <w:szCs w:val="21"/>
        </w:rPr>
        <w:t>据此函，签字代表宣布同意如下：</w:t>
      </w:r>
    </w:p>
    <w:p>
      <w:pPr>
        <w:pStyle w:val="17"/>
        <w:widowControl/>
        <w:spacing w:line="360" w:lineRule="auto"/>
        <w:ind w:right="-341" w:firstLine="387" w:firstLineChars="192"/>
        <w:rPr>
          <w:rFonts w:hAnsi="宋体" w:cs="宋体"/>
          <w:sz w:val="21"/>
          <w:szCs w:val="21"/>
        </w:rPr>
      </w:pPr>
      <w:r>
        <w:rPr>
          <w:rFonts w:hint="eastAsia" w:hAnsi="宋体" w:cs="宋体"/>
          <w:sz w:val="21"/>
          <w:szCs w:val="21"/>
        </w:rPr>
        <w:t>1.我方已详细审查了采购文件的全部内容及其相关补充文件</w:t>
      </w:r>
      <w:r>
        <w:rPr>
          <w:rFonts w:hint="eastAsia" w:hAnsi="宋体" w:cs="宋体"/>
          <w:b/>
          <w:sz w:val="21"/>
          <w:szCs w:val="21"/>
        </w:rPr>
        <w:t>（如有）</w:t>
      </w:r>
      <w:r>
        <w:rPr>
          <w:rFonts w:hint="eastAsia" w:hAnsi="宋体" w:cs="宋体"/>
          <w:sz w:val="21"/>
          <w:szCs w:val="21"/>
        </w:rPr>
        <w:t>，并完全清晰理解全部内容及相关的补充文件</w:t>
      </w:r>
      <w:r>
        <w:rPr>
          <w:rFonts w:hint="eastAsia" w:hAnsi="宋体" w:cs="宋体"/>
          <w:b/>
          <w:sz w:val="21"/>
          <w:szCs w:val="21"/>
        </w:rPr>
        <w:t>（如有）</w:t>
      </w:r>
      <w:r>
        <w:rPr>
          <w:rFonts w:hint="eastAsia" w:hAnsi="宋体" w:cs="宋体"/>
          <w:sz w:val="21"/>
          <w:szCs w:val="21"/>
        </w:rPr>
        <w:t>，不存在任何误解之处，同意放弃提出异议和质疑的权利。</w:t>
      </w:r>
    </w:p>
    <w:p>
      <w:pPr>
        <w:snapToGrid w:val="0"/>
        <w:spacing w:line="360" w:lineRule="auto"/>
        <w:ind w:right="-341" w:firstLine="404" w:firstLineChars="200"/>
        <w:rPr>
          <w:rFonts w:ascii="宋体" w:hAnsi="宋体" w:cs="宋体"/>
          <w:spacing w:val="-4"/>
          <w:szCs w:val="21"/>
        </w:rPr>
      </w:pPr>
      <w:r>
        <w:rPr>
          <w:rFonts w:hint="eastAsia" w:ascii="宋体" w:hAnsi="宋体" w:cs="宋体"/>
          <w:spacing w:val="-4"/>
          <w:szCs w:val="21"/>
        </w:rPr>
        <w:t>2.我方遵守《中华人民共和国政府采购法》及相关法律法规的规定。同意采购文件中所提到的无效标条款，并服从有关开标的会议纪律。否则，同意被废除投标资格。</w:t>
      </w:r>
    </w:p>
    <w:p>
      <w:pPr>
        <w:spacing w:line="360" w:lineRule="auto"/>
        <w:ind w:right="-341" w:firstLine="404" w:firstLineChars="200"/>
        <w:rPr>
          <w:rFonts w:ascii="宋体" w:hAnsi="宋体" w:cs="宋体"/>
          <w:spacing w:val="-4"/>
          <w:szCs w:val="21"/>
        </w:rPr>
      </w:pPr>
      <w:r>
        <w:rPr>
          <w:rFonts w:hint="eastAsia" w:ascii="宋体" w:hAnsi="宋体" w:cs="宋体"/>
          <w:spacing w:val="-4"/>
          <w:szCs w:val="21"/>
        </w:rPr>
        <w:t>3.我方所提供的一次性投标产品报价均具充分的合理性和准确性，保证不存在低于成本的恶意报价行为，同时清楚理解到报价最低并非意味着必定获得合同授予资格。</w:t>
      </w:r>
    </w:p>
    <w:p>
      <w:pPr>
        <w:spacing w:line="360" w:lineRule="auto"/>
        <w:ind w:right="-341" w:firstLine="404" w:firstLineChars="200"/>
        <w:rPr>
          <w:rFonts w:ascii="宋体" w:hAnsi="宋体" w:cs="宋体"/>
          <w:spacing w:val="-4"/>
          <w:szCs w:val="21"/>
        </w:rPr>
      </w:pPr>
      <w:r>
        <w:rPr>
          <w:rFonts w:hint="eastAsia" w:ascii="宋体" w:hAnsi="宋体" w:cs="宋体"/>
          <w:spacing w:val="-4"/>
          <w:szCs w:val="21"/>
        </w:rPr>
        <w:t>4.投标有效期为自开标之日起9</w:t>
      </w:r>
      <w:r>
        <w:rPr>
          <w:rFonts w:hint="eastAsia" w:ascii="宋体" w:hAnsi="宋体" w:cs="宋体"/>
          <w:spacing w:val="-4"/>
          <w:szCs w:val="21"/>
          <w:u w:val="single"/>
        </w:rPr>
        <w:t>0</w:t>
      </w:r>
      <w:r>
        <w:rPr>
          <w:rFonts w:hint="eastAsia" w:ascii="宋体" w:hAnsi="宋体" w:cs="宋体"/>
          <w:spacing w:val="-4"/>
          <w:szCs w:val="21"/>
        </w:rPr>
        <w:t>天内，如在投标有效期内撤回投标，我方同意被废除投标资格。</w:t>
      </w:r>
    </w:p>
    <w:p>
      <w:pPr>
        <w:spacing w:line="360" w:lineRule="auto"/>
        <w:ind w:right="-341" w:firstLine="404" w:firstLineChars="200"/>
        <w:rPr>
          <w:rFonts w:ascii="宋体" w:hAnsi="宋体" w:cs="宋体"/>
          <w:spacing w:val="-4"/>
          <w:szCs w:val="21"/>
        </w:rPr>
      </w:pPr>
      <w:r>
        <w:rPr>
          <w:rFonts w:hint="eastAsia" w:ascii="宋体" w:hAnsi="宋体" w:cs="宋体"/>
          <w:spacing w:val="-4"/>
          <w:szCs w:val="21"/>
        </w:rPr>
        <w:t>5.我方承诺</w:t>
      </w:r>
      <w:r>
        <w:rPr>
          <w:rFonts w:hint="eastAsia" w:ascii="宋体" w:hAnsi="宋体" w:cs="宋体"/>
          <w:szCs w:val="21"/>
        </w:rPr>
        <w:t>参加政府采购活动前3年内在经营活动中没有重大违法记录和依法缴纳了税收</w:t>
      </w:r>
      <w:r>
        <w:rPr>
          <w:rFonts w:hint="eastAsia" w:ascii="宋体" w:hAnsi="宋体" w:cs="宋体"/>
          <w:spacing w:val="-4"/>
          <w:szCs w:val="21"/>
        </w:rPr>
        <w:t>（投标截止时间进行计算）。</w:t>
      </w:r>
    </w:p>
    <w:p>
      <w:pPr>
        <w:spacing w:line="360" w:lineRule="auto"/>
        <w:ind w:right="-341" w:firstLine="404" w:firstLineChars="200"/>
        <w:rPr>
          <w:szCs w:val="21"/>
        </w:rPr>
      </w:pPr>
      <w:r>
        <w:rPr>
          <w:rFonts w:hint="eastAsia" w:ascii="宋体" w:hAnsi="宋体" w:cs="宋体"/>
          <w:spacing w:val="-4"/>
          <w:szCs w:val="21"/>
        </w:rPr>
        <w:t>6.我方承诺具备本项目</w:t>
      </w:r>
      <w:r>
        <w:rPr>
          <w:rFonts w:hint="eastAsia" w:cs="宋体"/>
          <w:szCs w:val="21"/>
        </w:rPr>
        <w:t>履行合同所必需的设备和专业技术能力</w:t>
      </w:r>
    </w:p>
    <w:p>
      <w:pPr>
        <w:spacing w:line="360" w:lineRule="auto"/>
        <w:ind w:right="-341" w:firstLine="404" w:firstLineChars="200"/>
        <w:rPr>
          <w:rFonts w:ascii="宋体" w:hAnsi="宋体" w:cs="宋体"/>
          <w:spacing w:val="-4"/>
          <w:szCs w:val="21"/>
        </w:rPr>
      </w:pPr>
      <w:r>
        <w:rPr>
          <w:rFonts w:hint="eastAsia" w:ascii="宋体" w:hAnsi="宋体" w:cs="宋体"/>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right="-341" w:firstLine="404" w:firstLineChars="200"/>
        <w:rPr>
          <w:rFonts w:ascii="宋体" w:hAnsi="宋体" w:cs="宋体"/>
          <w:spacing w:val="-4"/>
          <w:szCs w:val="21"/>
        </w:rPr>
      </w:pPr>
      <w:r>
        <w:rPr>
          <w:rFonts w:hint="eastAsia" w:ascii="宋体" w:hAnsi="宋体" w:cs="宋体"/>
          <w:spacing w:val="-4"/>
          <w:szCs w:val="21"/>
        </w:rPr>
        <w:t>8.我方承诺至开标之日止，未被“信用中国”（www.creditchina.gov.cn）、中国政府采购网（www.ccgp.gov.cn）列入失信被执行人、重大税收违法案件当事人名单、政府采购严重违法失信行为记录名单。</w:t>
      </w:r>
    </w:p>
    <w:p>
      <w:pPr>
        <w:snapToGrid w:val="0"/>
        <w:spacing w:line="360" w:lineRule="auto"/>
        <w:ind w:right="-341" w:firstLine="420" w:firstLineChars="200"/>
        <w:rPr>
          <w:rFonts w:ascii="宋体"/>
        </w:rPr>
      </w:pPr>
      <w:r>
        <w:rPr>
          <w:rFonts w:hint="eastAsia" w:ascii="宋体" w:hAnsi="宋体"/>
        </w:rPr>
        <w:t>9.与本投标有关的一切正式往来信函请寄：</w:t>
      </w:r>
    </w:p>
    <w:p>
      <w:pPr>
        <w:snapToGrid w:val="0"/>
        <w:spacing w:line="312" w:lineRule="auto"/>
        <w:ind w:right="-341"/>
        <w:rPr>
          <w:rFonts w:ascii="宋体" w:hAnsi="宋体"/>
        </w:rPr>
      </w:pPr>
      <w:r>
        <w:rPr>
          <w:rFonts w:hint="eastAsia" w:ascii="宋体" w:hAnsi="宋体"/>
        </w:rPr>
        <w:t>地址：__________邮编：__________   电话：______________</w:t>
      </w:r>
    </w:p>
    <w:p>
      <w:pPr>
        <w:snapToGrid w:val="0"/>
        <w:spacing w:line="312" w:lineRule="auto"/>
        <w:ind w:right="-341"/>
        <w:rPr>
          <w:rFonts w:ascii="宋体" w:hAnsi="宋体"/>
        </w:rPr>
      </w:pPr>
      <w:r>
        <w:rPr>
          <w:rFonts w:hint="eastAsia" w:ascii="宋体" w:hAnsi="宋体"/>
        </w:rPr>
        <w:t>传真：______________投标人代表姓名 ___________  职务：_____________</w:t>
      </w:r>
    </w:p>
    <w:p>
      <w:pPr>
        <w:snapToGrid w:val="0"/>
        <w:spacing w:line="312" w:lineRule="auto"/>
        <w:ind w:right="-341"/>
        <w:rPr>
          <w:rFonts w:ascii="宋体" w:hAnsi="宋体"/>
        </w:rPr>
      </w:pPr>
      <w:r>
        <w:rPr>
          <w:rFonts w:hint="eastAsia" w:ascii="宋体" w:hAnsi="宋体"/>
        </w:rPr>
        <w:t>投标人名称(公章):___________________</w:t>
      </w:r>
    </w:p>
    <w:p>
      <w:pPr>
        <w:snapToGrid w:val="0"/>
        <w:spacing w:line="312" w:lineRule="auto"/>
        <w:ind w:right="-341"/>
        <w:rPr>
          <w:rFonts w:ascii="宋体" w:hAnsi="宋体"/>
        </w:rPr>
      </w:pPr>
      <w:r>
        <w:rPr>
          <w:rFonts w:hint="eastAsia" w:ascii="宋体" w:hAnsi="宋体"/>
        </w:rPr>
        <w:t>开户银行：   银行帐号：</w:t>
      </w:r>
    </w:p>
    <w:p>
      <w:pPr>
        <w:snapToGrid w:val="0"/>
        <w:ind w:right="-341"/>
        <w:rPr>
          <w:rFonts w:ascii="宋体" w:hAnsi="宋体"/>
        </w:rPr>
      </w:pPr>
      <w:r>
        <w:rPr>
          <w:rFonts w:hint="eastAsia" w:ascii="宋体" w:hAnsi="宋体"/>
        </w:rPr>
        <w:t>法定代表人（负责人）（签字或盖章）：</w:t>
      </w:r>
    </w:p>
    <w:p>
      <w:pPr>
        <w:snapToGrid w:val="0"/>
        <w:spacing w:before="120" w:line="312" w:lineRule="auto"/>
        <w:ind w:right="-341" w:firstLine="2940" w:firstLineChars="1400"/>
        <w:rPr>
          <w:rFonts w:hAnsi="宋体"/>
        </w:rPr>
      </w:pPr>
      <w:r>
        <w:rPr>
          <w:rFonts w:hint="eastAsia" w:hAnsi="宋体"/>
        </w:rPr>
        <w:t>日期:_____年___月___日</w:t>
      </w:r>
    </w:p>
    <w:p>
      <w:pPr>
        <w:snapToGrid w:val="0"/>
        <w:spacing w:line="312" w:lineRule="auto"/>
        <w:ind w:right="-341"/>
        <w:jc w:val="left"/>
        <w:rPr>
          <w:rFonts w:ascii="宋体" w:hAnsi="宋体"/>
          <w:b/>
          <w:sz w:val="24"/>
        </w:rPr>
      </w:pPr>
      <w:r>
        <w:rPr>
          <w:rFonts w:hint="eastAsia" w:ascii="宋体" w:hAnsi="宋体"/>
        </w:rPr>
        <w:br w:type="page"/>
      </w:r>
    </w:p>
    <w:p>
      <w:pPr>
        <w:snapToGrid w:val="0"/>
        <w:spacing w:before="120" w:line="312" w:lineRule="auto"/>
        <w:ind w:right="-341"/>
        <w:jc w:val="center"/>
        <w:rPr>
          <w:rFonts w:hAnsi="宋体"/>
          <w:b/>
          <w:sz w:val="32"/>
        </w:rPr>
      </w:pPr>
    </w:p>
    <w:p>
      <w:pPr>
        <w:snapToGrid w:val="0"/>
        <w:spacing w:beforeLines="50" w:after="50"/>
        <w:jc w:val="center"/>
        <w:rPr>
          <w:rFonts w:ascii="宋体" w:hAnsi="宋体"/>
          <w:b/>
          <w:sz w:val="32"/>
          <w:szCs w:val="32"/>
        </w:rPr>
      </w:pPr>
      <w:r>
        <w:rPr>
          <w:rFonts w:hint="eastAsia" w:ascii="宋体" w:hAnsi="宋体"/>
          <w:b/>
          <w:sz w:val="32"/>
          <w:szCs w:val="32"/>
        </w:rPr>
        <w:t>五、声明函</w:t>
      </w:r>
    </w:p>
    <w:p>
      <w:pPr>
        <w:snapToGrid w:val="0"/>
        <w:spacing w:beforeLines="50" w:after="50" w:line="360" w:lineRule="auto"/>
        <w:rPr>
          <w:rFonts w:ascii="宋体" w:hAnsi="宋体"/>
          <w:szCs w:val="21"/>
        </w:rPr>
      </w:pPr>
    </w:p>
    <w:p>
      <w:pPr>
        <w:snapToGrid w:val="0"/>
        <w:spacing w:beforeLines="50" w:after="50" w:line="360" w:lineRule="auto"/>
        <w:rPr>
          <w:rFonts w:ascii="宋体"/>
          <w:szCs w:val="21"/>
        </w:rPr>
      </w:pPr>
      <w:r>
        <w:rPr>
          <w:rFonts w:hint="eastAsia" w:ascii="宋体" w:hAnsi="宋体"/>
          <w:szCs w:val="21"/>
        </w:rPr>
        <w:t>致：</w:t>
      </w:r>
      <w:r>
        <w:rPr>
          <w:rFonts w:ascii="宋体" w:hAnsi="宋体"/>
          <w:szCs w:val="21"/>
        </w:rPr>
        <w:t>_</w:t>
      </w:r>
      <w:r>
        <w:rPr>
          <w:rFonts w:hint="eastAsia" w:ascii="宋体" w:hAnsi="宋体"/>
          <w:u w:val="single"/>
        </w:rPr>
        <w:t>深圳市国信招标有限公司</w:t>
      </w:r>
      <w:r>
        <w:rPr>
          <w:rFonts w:hint="eastAsia" w:ascii="宋体" w:hAnsi="宋体"/>
        </w:rPr>
        <w:t>_</w:t>
      </w:r>
      <w:r>
        <w:rPr>
          <w:rFonts w:hint="eastAsia" w:ascii="宋体" w:hAnsi="宋体"/>
          <w:szCs w:val="21"/>
        </w:rPr>
        <w:t>：</w:t>
      </w:r>
    </w:p>
    <w:p>
      <w:pPr>
        <w:pStyle w:val="3"/>
        <w:spacing w:line="360" w:lineRule="auto"/>
        <w:ind w:firstLine="480"/>
        <w:rPr>
          <w:rFonts w:ascii="宋体"/>
          <w:sz w:val="21"/>
          <w:szCs w:val="21"/>
        </w:rPr>
      </w:pPr>
      <w:r>
        <w:rPr>
          <w:rFonts w:hint="eastAsia" w:ascii="宋体" w:hAnsi="宋体"/>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hint="eastAsia" w:ascii="宋体" w:hAnsi="宋体"/>
          <w:sz w:val="21"/>
          <w:szCs w:val="21"/>
        </w:rPr>
        <w:t>中标</w:t>
      </w:r>
      <w:r>
        <w:rPr>
          <w:rFonts w:ascii="宋体" w:hAnsi="宋体"/>
          <w:sz w:val="21"/>
          <w:szCs w:val="21"/>
        </w:rPr>
        <w:t>/</w:t>
      </w:r>
      <w:r>
        <w:rPr>
          <w:rFonts w:hint="eastAsia" w:ascii="宋体" w:hAnsi="宋体"/>
          <w:sz w:val="21"/>
          <w:szCs w:val="21"/>
        </w:rPr>
        <w:t>签订合同），我方对此无任何异议。</w:t>
      </w:r>
    </w:p>
    <w:p>
      <w:pPr>
        <w:pStyle w:val="3"/>
        <w:spacing w:line="360" w:lineRule="auto"/>
        <w:ind w:firstLine="480"/>
        <w:rPr>
          <w:rFonts w:ascii="宋体"/>
          <w:sz w:val="21"/>
          <w:szCs w:val="21"/>
        </w:rPr>
      </w:pPr>
      <w:r>
        <w:rPr>
          <w:rFonts w:hint="eastAsia" w:ascii="宋体" w:hAnsi="宋体"/>
          <w:sz w:val="21"/>
          <w:szCs w:val="21"/>
        </w:rPr>
        <w:t>特此声明！</w:t>
      </w:r>
    </w:p>
    <w:p>
      <w:pPr>
        <w:pStyle w:val="3"/>
        <w:ind w:firstLine="480"/>
        <w:rPr>
          <w:rFonts w:ascii="宋体"/>
        </w:rPr>
      </w:pPr>
    </w:p>
    <w:p>
      <w:pPr>
        <w:snapToGrid w:val="0"/>
        <w:spacing w:beforeLines="50"/>
        <w:ind w:firstLine="200"/>
        <w:rPr>
          <w:rFonts w:ascii="宋体"/>
        </w:rPr>
      </w:pPr>
    </w:p>
    <w:p>
      <w:pPr>
        <w:snapToGrid w:val="0"/>
        <w:spacing w:before="50" w:after="50"/>
        <w:rPr>
          <w:rFonts w:ascii="宋体" w:hAnsi="宋体"/>
        </w:rPr>
      </w:pPr>
      <w:r>
        <w:rPr>
          <w:rFonts w:hint="eastAsia" w:ascii="宋体" w:hAnsi="宋体"/>
        </w:rPr>
        <w:t>法定代表人（负责人）（签字或盖章）：</w:t>
      </w:r>
    </w:p>
    <w:p>
      <w:pPr>
        <w:snapToGrid w:val="0"/>
        <w:ind w:left="2" w:right="-817" w:rightChars="-389"/>
        <w:rPr>
          <w:rFonts w:ascii="宋体" w:hAnsi="宋体"/>
        </w:rPr>
      </w:pPr>
    </w:p>
    <w:p>
      <w:pPr>
        <w:snapToGrid w:val="0"/>
        <w:spacing w:before="50" w:line="312" w:lineRule="auto"/>
        <w:jc w:val="left"/>
        <w:rPr>
          <w:rFonts w:ascii="宋体" w:hAnsi="宋体"/>
          <w:b/>
          <w:spacing w:val="20"/>
          <w:sz w:val="28"/>
        </w:rPr>
      </w:pPr>
      <w:r>
        <w:rPr>
          <w:rFonts w:hint="eastAsia" w:ascii="宋体" w:hAnsi="宋体"/>
        </w:rPr>
        <w:t>投标人名称（盖章）：                      日期：</w:t>
      </w:r>
    </w:p>
    <w:p>
      <w:pPr>
        <w:pStyle w:val="67"/>
        <w:snapToGrid w:val="0"/>
        <w:spacing w:beforeLines="50"/>
        <w:ind w:firstLine="200"/>
        <w:jc w:val="right"/>
        <w:rPr>
          <w:rFonts w:ascii="宋体" w:hAnsi="宋体"/>
          <w:sz w:val="21"/>
          <w:szCs w:val="24"/>
        </w:rPr>
      </w:pPr>
    </w:p>
    <w:p>
      <w:pPr>
        <w:snapToGrid w:val="0"/>
        <w:spacing w:beforeLines="50" w:after="50"/>
        <w:ind w:firstLine="482" w:firstLineChars="200"/>
        <w:jc w:val="left"/>
        <w:rPr>
          <w:rFonts w:ascii="宋体"/>
          <w:b/>
          <w:bCs/>
          <w:sz w:val="24"/>
        </w:rPr>
      </w:pPr>
    </w:p>
    <w:p>
      <w:pPr>
        <w:pStyle w:val="67"/>
        <w:snapToGrid w:val="0"/>
        <w:spacing w:beforeLines="50"/>
        <w:ind w:left="5250" w:firstLine="200"/>
        <w:jc w:val="right"/>
        <w:rPr>
          <w:rFonts w:ascii="宋体" w:hAnsi="宋体"/>
          <w:sz w:val="21"/>
          <w:szCs w:val="24"/>
        </w:rPr>
      </w:pPr>
    </w:p>
    <w:p>
      <w:pPr>
        <w:snapToGrid w:val="0"/>
        <w:spacing w:before="120" w:line="312" w:lineRule="auto"/>
        <w:ind w:right="-341"/>
        <w:jc w:val="center"/>
        <w:rPr>
          <w:rFonts w:hAnsi="宋体"/>
          <w:b/>
          <w:sz w:val="32"/>
        </w:rPr>
      </w:pPr>
    </w:p>
    <w:p>
      <w:pPr>
        <w:snapToGrid w:val="0"/>
        <w:spacing w:before="120" w:line="312" w:lineRule="auto"/>
        <w:ind w:right="-341"/>
        <w:jc w:val="center"/>
        <w:rPr>
          <w:rFonts w:hAnsi="宋体"/>
          <w:b/>
          <w:sz w:val="32"/>
        </w:rPr>
      </w:pPr>
    </w:p>
    <w:p>
      <w:pPr>
        <w:snapToGrid w:val="0"/>
        <w:spacing w:before="120" w:line="312" w:lineRule="auto"/>
        <w:ind w:right="-341"/>
        <w:jc w:val="center"/>
        <w:rPr>
          <w:rFonts w:hAnsi="宋体"/>
          <w:b/>
          <w:sz w:val="32"/>
        </w:rPr>
      </w:pPr>
    </w:p>
    <w:p>
      <w:pPr>
        <w:snapToGrid w:val="0"/>
        <w:spacing w:before="120" w:line="312" w:lineRule="auto"/>
        <w:ind w:right="-341"/>
        <w:jc w:val="center"/>
        <w:rPr>
          <w:rFonts w:hAnsi="宋体"/>
          <w:b/>
          <w:sz w:val="32"/>
        </w:rPr>
      </w:pPr>
    </w:p>
    <w:p>
      <w:pPr>
        <w:snapToGrid w:val="0"/>
        <w:spacing w:line="312" w:lineRule="auto"/>
        <w:jc w:val="left"/>
        <w:rPr>
          <w:rFonts w:hAnsi="宋体"/>
          <w:b/>
          <w:sz w:val="32"/>
        </w:rPr>
      </w:pPr>
    </w:p>
    <w:p>
      <w:pPr>
        <w:snapToGrid w:val="0"/>
        <w:spacing w:line="312" w:lineRule="auto"/>
        <w:jc w:val="left"/>
        <w:rPr>
          <w:rFonts w:hAnsi="宋体"/>
          <w:b/>
          <w:sz w:val="32"/>
        </w:rPr>
      </w:pPr>
    </w:p>
    <w:p>
      <w:pPr>
        <w:snapToGrid w:val="0"/>
        <w:spacing w:line="312" w:lineRule="auto"/>
        <w:jc w:val="left"/>
        <w:rPr>
          <w:rFonts w:hAnsi="宋体"/>
          <w:b/>
          <w:sz w:val="32"/>
        </w:rPr>
      </w:pPr>
    </w:p>
    <w:p>
      <w:pPr>
        <w:snapToGrid w:val="0"/>
        <w:spacing w:line="312" w:lineRule="auto"/>
        <w:jc w:val="left"/>
        <w:rPr>
          <w:rFonts w:hAnsi="宋体"/>
          <w:b/>
          <w:sz w:val="32"/>
        </w:rPr>
      </w:pPr>
    </w:p>
    <w:p>
      <w:pPr>
        <w:snapToGrid w:val="0"/>
        <w:spacing w:line="312" w:lineRule="auto"/>
        <w:jc w:val="left"/>
        <w:rPr>
          <w:rFonts w:hAnsi="宋体"/>
          <w:b/>
          <w:sz w:val="32"/>
        </w:rPr>
      </w:pPr>
    </w:p>
    <w:p>
      <w:pPr>
        <w:snapToGrid w:val="0"/>
        <w:spacing w:line="312" w:lineRule="auto"/>
        <w:jc w:val="left"/>
        <w:rPr>
          <w:rFonts w:hAnsi="宋体"/>
          <w:b/>
          <w:sz w:val="32"/>
        </w:rPr>
      </w:pPr>
    </w:p>
    <w:p>
      <w:pPr>
        <w:snapToGrid w:val="0"/>
        <w:spacing w:line="312" w:lineRule="auto"/>
        <w:jc w:val="left"/>
        <w:rPr>
          <w:rFonts w:ascii="宋体" w:hAnsi="宋体"/>
          <w:b/>
          <w:sz w:val="24"/>
        </w:rPr>
      </w:pPr>
    </w:p>
    <w:p>
      <w:pPr>
        <w:jc w:val="center"/>
        <w:rPr>
          <w:rFonts w:ascii="宋体" w:hAnsi="宋体"/>
          <w:b/>
          <w:spacing w:val="20"/>
          <w:sz w:val="28"/>
        </w:rPr>
      </w:pPr>
    </w:p>
    <w:p>
      <w:pPr>
        <w:jc w:val="center"/>
        <w:rPr>
          <w:sz w:val="30"/>
          <w:szCs w:val="30"/>
        </w:rPr>
      </w:pPr>
      <w:r>
        <w:rPr>
          <w:rFonts w:hint="eastAsia" w:ascii="宋体" w:hAnsi="宋体"/>
          <w:b/>
          <w:spacing w:val="20"/>
          <w:sz w:val="28"/>
        </w:rPr>
        <w:t>六、</w:t>
      </w:r>
      <w:r>
        <w:rPr>
          <w:rFonts w:hint="eastAsia"/>
          <w:b/>
          <w:bCs/>
          <w:sz w:val="30"/>
          <w:szCs w:val="30"/>
        </w:rPr>
        <w:t>廉政承诺书</w:t>
      </w:r>
    </w:p>
    <w:p>
      <w:pPr>
        <w:rPr>
          <w:b/>
          <w:bCs/>
          <w:sz w:val="28"/>
          <w:szCs w:val="28"/>
        </w:rPr>
      </w:pPr>
    </w:p>
    <w:p>
      <w:pPr>
        <w:rPr>
          <w:b/>
          <w:bCs/>
          <w:sz w:val="24"/>
        </w:rPr>
      </w:pPr>
      <w:r>
        <w:rPr>
          <w:rFonts w:hint="eastAsia"/>
          <w:b/>
          <w:bCs/>
          <w:sz w:val="24"/>
        </w:rPr>
        <w:t>致：</w:t>
      </w:r>
      <w:r>
        <w:rPr>
          <w:rFonts w:hint="eastAsia"/>
          <w:b/>
          <w:bCs/>
          <w:sz w:val="24"/>
          <w:u w:val="single"/>
        </w:rPr>
        <w:t>（</w:t>
      </w:r>
      <w:r>
        <w:rPr>
          <w:rFonts w:hint="eastAsia"/>
          <w:b/>
          <w:bCs/>
          <w:sz w:val="24"/>
        </w:rPr>
        <w:t>招标人）：</w:t>
      </w:r>
    </w:p>
    <w:p>
      <w:pPr>
        <w:spacing w:line="360" w:lineRule="auto"/>
        <w:ind w:firstLine="420" w:firstLineChars="200"/>
        <w:rPr>
          <w:rFonts w:ascii="宋体" w:hAnsi="宋体" w:cs="仿宋"/>
          <w:szCs w:val="21"/>
        </w:rPr>
      </w:pPr>
      <w:r>
        <w:rPr>
          <w:rFonts w:hint="eastAsia" w:ascii="宋体" w:hAnsi="宋体" w:cs="仿宋"/>
          <w:szCs w:val="21"/>
        </w:rPr>
        <w:t>我单位响应你单位项目招标要求参加投标，在这次投标过程中和中标后，我们将严格遵守国家法律法规要求，并郑重承诺:</w:t>
      </w:r>
    </w:p>
    <w:p>
      <w:pPr>
        <w:spacing w:line="360" w:lineRule="auto"/>
        <w:ind w:firstLine="420" w:firstLineChars="200"/>
        <w:rPr>
          <w:rFonts w:ascii="宋体" w:hAnsi="宋体" w:cs="仿宋"/>
          <w:szCs w:val="21"/>
        </w:rPr>
      </w:pPr>
      <w:r>
        <w:rPr>
          <w:rFonts w:hint="eastAsia" w:ascii="宋体" w:hAnsi="宋体" w:cs="仿宋"/>
          <w:szCs w:val="21"/>
        </w:rPr>
        <w:t>一、不向项目有关人员及部门赠送礼金礼物、有价证券、回扣以及中介费、介绍费、咨询费等好处费。</w:t>
      </w:r>
    </w:p>
    <w:p>
      <w:pPr>
        <w:spacing w:line="360" w:lineRule="auto"/>
        <w:ind w:firstLine="420" w:firstLineChars="200"/>
        <w:rPr>
          <w:rFonts w:ascii="宋体" w:hAnsi="宋体" w:cs="仿宋"/>
          <w:szCs w:val="21"/>
        </w:rPr>
      </w:pPr>
      <w:r>
        <w:rPr>
          <w:rFonts w:hint="eastAsia" w:ascii="宋体" w:hAnsi="宋体" w:cs="仿宋"/>
          <w:szCs w:val="21"/>
        </w:rPr>
        <w:t>二、不为项目有关人员及部门报销应由你方单位或个人支付的费用;</w:t>
      </w:r>
    </w:p>
    <w:p>
      <w:pPr>
        <w:spacing w:line="360" w:lineRule="auto"/>
        <w:ind w:firstLine="420" w:firstLineChars="200"/>
        <w:rPr>
          <w:rFonts w:ascii="宋体" w:hAnsi="宋体" w:cs="仿宋"/>
          <w:szCs w:val="21"/>
        </w:rPr>
      </w:pPr>
      <w:r>
        <w:rPr>
          <w:rFonts w:hint="eastAsia" w:ascii="宋体" w:hAnsi="宋体" w:cs="仿宋"/>
          <w:szCs w:val="21"/>
        </w:rPr>
        <w:t>三、不向项目有关人员及部门提供有可能影响公正的宴请和健身娱乐等活动;</w:t>
      </w:r>
    </w:p>
    <w:p>
      <w:pPr>
        <w:spacing w:line="360" w:lineRule="auto"/>
        <w:ind w:firstLine="420" w:firstLineChars="200"/>
        <w:rPr>
          <w:rFonts w:ascii="宋体" w:hAnsi="宋体" w:cs="仿宋"/>
          <w:szCs w:val="21"/>
        </w:rPr>
      </w:pPr>
      <w:r>
        <w:rPr>
          <w:rFonts w:hint="eastAsia" w:ascii="宋体" w:hAnsi="宋体" w:cs="仿宋"/>
          <w:szCs w:val="21"/>
        </w:rPr>
        <w:t>四、不为项目有关人员及部门出国(境)、旅游等提供方便；</w:t>
      </w:r>
    </w:p>
    <w:p>
      <w:pPr>
        <w:spacing w:line="360" w:lineRule="auto"/>
        <w:ind w:firstLine="420" w:firstLineChars="200"/>
        <w:rPr>
          <w:rFonts w:ascii="宋体" w:hAnsi="宋体" w:cs="仿宋"/>
          <w:szCs w:val="21"/>
        </w:rPr>
      </w:pPr>
      <w:r>
        <w:rPr>
          <w:rFonts w:hint="eastAsia" w:ascii="宋体" w:hAnsi="宋体" w:cs="仿宋"/>
          <w:szCs w:val="21"/>
        </w:rPr>
        <w:t>五、不为项目有关人员个人装修住房、婚丧嫁娶、配偶子女工作安排等提供好处;</w:t>
      </w:r>
    </w:p>
    <w:p>
      <w:pPr>
        <w:spacing w:line="360" w:lineRule="auto"/>
        <w:ind w:firstLine="420" w:firstLineChars="200"/>
        <w:rPr>
          <w:rFonts w:ascii="宋体" w:hAnsi="宋体" w:cs="仿宋"/>
          <w:szCs w:val="21"/>
        </w:rPr>
      </w:pPr>
      <w:r>
        <w:rPr>
          <w:rFonts w:hint="eastAsia" w:ascii="宋体" w:hAnsi="宋体" w:cs="仿宋"/>
          <w:szCs w:val="21"/>
        </w:rPr>
        <w:t>六、严格遵守政府采购法、民法典等法律，诚实守信，合法经营，坚决抵制各种违法违纪行为。</w:t>
      </w:r>
    </w:p>
    <w:p>
      <w:pPr>
        <w:spacing w:line="360" w:lineRule="auto"/>
        <w:ind w:firstLine="420" w:firstLineChars="200"/>
        <w:rPr>
          <w:rFonts w:ascii="宋体" w:hAnsi="宋体" w:cs="仿宋"/>
          <w:szCs w:val="21"/>
        </w:rPr>
      </w:pPr>
      <w:r>
        <w:rPr>
          <w:rFonts w:hint="eastAsia" w:ascii="宋体" w:hAnsi="宋体" w:cs="仿宋"/>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pPr>
        <w:rPr>
          <w:rFonts w:ascii="宋体" w:hAnsi="宋体"/>
          <w:szCs w:val="21"/>
        </w:rPr>
      </w:pPr>
    </w:p>
    <w:p>
      <w:pPr>
        <w:rPr>
          <w:rFonts w:ascii="宋体" w:hAnsi="宋体" w:cs="仿宋"/>
          <w:szCs w:val="21"/>
        </w:rPr>
      </w:pPr>
    </w:p>
    <w:p>
      <w:pPr>
        <w:rPr>
          <w:rFonts w:ascii="宋体" w:hAnsi="宋体" w:cs="仿宋"/>
          <w:szCs w:val="21"/>
        </w:rPr>
      </w:pPr>
      <w:r>
        <w:rPr>
          <w:rFonts w:hint="eastAsia" w:ascii="宋体" w:hAnsi="宋体" w:cs="仿宋"/>
          <w:szCs w:val="21"/>
        </w:rPr>
        <w:t>投标人:(盖章)</w:t>
      </w:r>
    </w:p>
    <w:p>
      <w:pPr>
        <w:rPr>
          <w:rFonts w:ascii="宋体" w:hAnsi="宋体" w:cs="仿宋"/>
          <w:szCs w:val="21"/>
        </w:rPr>
      </w:pPr>
    </w:p>
    <w:p>
      <w:pPr>
        <w:rPr>
          <w:rFonts w:ascii="宋体" w:hAnsi="宋体" w:cs="仿宋"/>
          <w:szCs w:val="21"/>
        </w:rPr>
      </w:pPr>
    </w:p>
    <w:p>
      <w:pPr>
        <w:rPr>
          <w:rFonts w:ascii="宋体" w:hAnsi="宋体" w:cs="仿宋"/>
          <w:szCs w:val="21"/>
        </w:rPr>
      </w:pPr>
    </w:p>
    <w:p>
      <w:pPr>
        <w:rPr>
          <w:rFonts w:ascii="宋体" w:hAnsi="宋体" w:cs="仿宋"/>
          <w:szCs w:val="21"/>
        </w:rPr>
      </w:pPr>
    </w:p>
    <w:p>
      <w:pPr>
        <w:rPr>
          <w:rFonts w:ascii="宋体" w:hAnsi="宋体" w:cs="仿宋"/>
          <w:szCs w:val="21"/>
        </w:rPr>
      </w:pPr>
    </w:p>
    <w:p>
      <w:pPr>
        <w:rPr>
          <w:rFonts w:ascii="宋体" w:hAnsi="宋体" w:cs="仿宋"/>
          <w:szCs w:val="21"/>
        </w:rPr>
      </w:pPr>
      <w:r>
        <w:rPr>
          <w:rFonts w:hint="eastAsia" w:ascii="宋体" w:hAnsi="宋体" w:cs="仿宋"/>
          <w:szCs w:val="21"/>
        </w:rPr>
        <w:t>日期:    年   月   日</w:t>
      </w:r>
    </w:p>
    <w:p>
      <w:pPr>
        <w:snapToGrid w:val="0"/>
        <w:spacing w:before="50" w:line="312" w:lineRule="auto"/>
        <w:jc w:val="left"/>
        <w:rPr>
          <w:rFonts w:ascii="宋体" w:hAnsi="宋体"/>
          <w:b/>
          <w:spacing w:val="20"/>
          <w:sz w:val="28"/>
        </w:rPr>
      </w:pPr>
    </w:p>
    <w:p>
      <w:pPr>
        <w:snapToGrid w:val="0"/>
        <w:spacing w:before="50" w:line="312" w:lineRule="auto"/>
        <w:jc w:val="left"/>
        <w:rPr>
          <w:rFonts w:ascii="宋体" w:hAnsi="宋体"/>
          <w:b/>
          <w:spacing w:val="20"/>
          <w:sz w:val="28"/>
        </w:rPr>
      </w:pPr>
    </w:p>
    <w:p>
      <w:pPr>
        <w:snapToGrid w:val="0"/>
        <w:spacing w:before="50" w:line="312" w:lineRule="auto"/>
        <w:jc w:val="center"/>
        <w:rPr>
          <w:rFonts w:ascii="宋体" w:hAnsi="宋体"/>
          <w:b/>
          <w:sz w:val="24"/>
        </w:rPr>
      </w:pPr>
    </w:p>
    <w:p>
      <w:pPr>
        <w:snapToGrid w:val="0"/>
        <w:spacing w:before="50" w:line="312" w:lineRule="auto"/>
        <w:jc w:val="center"/>
        <w:rPr>
          <w:rFonts w:ascii="宋体" w:hAnsi="宋体"/>
          <w:b/>
          <w:sz w:val="24"/>
        </w:rPr>
      </w:pPr>
    </w:p>
    <w:p>
      <w:pPr>
        <w:snapToGrid w:val="0"/>
        <w:spacing w:before="50" w:line="312" w:lineRule="auto"/>
        <w:jc w:val="center"/>
        <w:rPr>
          <w:rFonts w:ascii="宋体" w:hAnsi="宋体"/>
          <w:b/>
          <w:sz w:val="24"/>
        </w:rPr>
      </w:pPr>
    </w:p>
    <w:p>
      <w:pPr>
        <w:snapToGrid w:val="0"/>
        <w:spacing w:before="50" w:line="312" w:lineRule="auto"/>
        <w:jc w:val="center"/>
        <w:rPr>
          <w:rFonts w:ascii="宋体" w:hAnsi="宋体"/>
          <w:b/>
          <w:sz w:val="24"/>
        </w:rPr>
      </w:pPr>
    </w:p>
    <w:p>
      <w:pPr>
        <w:snapToGrid w:val="0"/>
        <w:spacing w:before="50" w:line="312" w:lineRule="auto"/>
        <w:jc w:val="center"/>
        <w:rPr>
          <w:rFonts w:ascii="宋体" w:hAnsi="宋体"/>
          <w:b/>
          <w:sz w:val="24"/>
        </w:rPr>
      </w:pPr>
    </w:p>
    <w:p>
      <w:pPr>
        <w:snapToGrid w:val="0"/>
        <w:spacing w:before="50" w:line="312" w:lineRule="auto"/>
        <w:jc w:val="center"/>
        <w:rPr>
          <w:rFonts w:ascii="宋体" w:hAnsi="宋体"/>
          <w:b/>
          <w:sz w:val="24"/>
        </w:rPr>
      </w:pPr>
    </w:p>
    <w:p>
      <w:pPr>
        <w:snapToGrid w:val="0"/>
        <w:spacing w:before="50" w:line="312" w:lineRule="auto"/>
        <w:jc w:val="center"/>
        <w:rPr>
          <w:rFonts w:ascii="宋体" w:hAnsi="宋体"/>
          <w:b/>
          <w:sz w:val="24"/>
        </w:rPr>
      </w:pPr>
    </w:p>
    <w:p>
      <w:pPr>
        <w:snapToGrid w:val="0"/>
        <w:spacing w:before="50" w:line="312" w:lineRule="auto"/>
        <w:jc w:val="center"/>
        <w:rPr>
          <w:rFonts w:ascii="宋体" w:hAnsi="宋体"/>
          <w:b/>
          <w:sz w:val="24"/>
        </w:rPr>
      </w:pPr>
    </w:p>
    <w:p>
      <w:pPr>
        <w:snapToGrid w:val="0"/>
        <w:spacing w:before="50" w:line="312" w:lineRule="auto"/>
        <w:jc w:val="center"/>
        <w:rPr>
          <w:rFonts w:ascii="宋体" w:hAnsi="宋体"/>
          <w:b/>
          <w:sz w:val="24"/>
        </w:rPr>
      </w:pPr>
    </w:p>
    <w:p>
      <w:pPr>
        <w:snapToGrid w:val="0"/>
        <w:spacing w:before="120" w:line="312" w:lineRule="auto"/>
        <w:ind w:right="-341"/>
        <w:rPr>
          <w:rFonts w:hAnsi="宋体"/>
          <w:b/>
          <w:sz w:val="32"/>
        </w:rPr>
      </w:pPr>
      <w:r>
        <w:rPr>
          <w:rFonts w:hint="eastAsia" w:hAnsi="宋体"/>
          <w:b/>
          <w:sz w:val="32"/>
        </w:rPr>
        <w:t>七、</w:t>
      </w:r>
    </w:p>
    <w:p>
      <w:pPr>
        <w:autoSpaceDE w:val="0"/>
        <w:autoSpaceDN w:val="0"/>
        <w:adjustRightInd w:val="0"/>
        <w:ind w:right="-341"/>
        <w:jc w:val="left"/>
        <w:rPr>
          <w:rFonts w:ascii="宋体" w:cs="宋体"/>
          <w:kern w:val="0"/>
          <w:szCs w:val="21"/>
        </w:rPr>
      </w:pPr>
    </w:p>
    <w:p>
      <w:pPr>
        <w:jc w:val="center"/>
        <w:rPr>
          <w:b/>
          <w:sz w:val="28"/>
          <w:szCs w:val="28"/>
        </w:rPr>
      </w:pPr>
      <w:r>
        <w:rPr>
          <w:rFonts w:hint="eastAsia"/>
          <w:b/>
          <w:sz w:val="28"/>
          <w:szCs w:val="28"/>
        </w:rPr>
        <w:t>中小企业声明函（货物）</w:t>
      </w:r>
    </w:p>
    <w:p>
      <w:pPr>
        <w:ind w:firstLine="420" w:firstLineChars="200"/>
      </w:pPr>
    </w:p>
    <w:p>
      <w:pPr>
        <w:spacing w:line="360" w:lineRule="auto"/>
        <w:ind w:firstLine="420" w:firstLineChars="200"/>
        <w:rPr>
          <w:rFonts w:ascii="宋体"/>
          <w:szCs w:val="21"/>
        </w:rPr>
      </w:pPr>
    </w:p>
    <w:p>
      <w:pPr>
        <w:spacing w:line="360" w:lineRule="auto"/>
        <w:ind w:firstLine="420" w:firstLineChars="200"/>
        <w:rPr>
          <w:rFonts w:ascii="宋体"/>
          <w:szCs w:val="21"/>
        </w:rPr>
      </w:pPr>
      <w:r>
        <w:rPr>
          <w:rFonts w:hint="eastAsia" w:ascii="宋体" w:hAnsi="宋体"/>
          <w:szCs w:val="21"/>
        </w:rPr>
        <w:t>本公司郑重声明，根据《政府采购促进中小企业发展管理办法》（财库﹝</w:t>
      </w:r>
      <w:r>
        <w:rPr>
          <w:rFonts w:ascii="宋体" w:hAnsi="宋体"/>
          <w:szCs w:val="21"/>
        </w:rPr>
        <w:t>2020</w:t>
      </w:r>
      <w:r>
        <w:rPr>
          <w:rFonts w:hint="eastAsia" w:ascii="宋体" w:hAnsi="宋体"/>
          <w:szCs w:val="21"/>
        </w:rPr>
        <w:t>﹞</w:t>
      </w:r>
      <w:r>
        <w:rPr>
          <w:rFonts w:ascii="宋体" w:hAnsi="宋体"/>
          <w:szCs w:val="21"/>
        </w:rPr>
        <w:t xml:space="preserve">46 </w:t>
      </w:r>
      <w:r>
        <w:rPr>
          <w:rFonts w:hint="eastAsia" w:ascii="宋体" w:hAnsi="宋体"/>
          <w:szCs w:val="21"/>
        </w:rPr>
        <w:t>号）的规定，本公司参加（单位名称）的（项目名称）采购活动，提供的货物全部由符合政策要求的中小企业制造。相关企业（含联合体中的中小企业、签订分包意向协议的中小企业）的具体情况如下：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宋体"/>
          <w:szCs w:val="21"/>
        </w:rPr>
      </w:pPr>
      <w:r>
        <w:rPr>
          <w:rFonts w:ascii="宋体" w:hAnsi="宋体"/>
          <w:szCs w:val="21"/>
        </w:rPr>
        <w:t xml:space="preserve">1. </w:t>
      </w:r>
      <w:r>
        <w:rPr>
          <w:rFonts w:hint="eastAsia" w:ascii="宋体" w:hAnsi="宋体"/>
          <w:szCs w:val="21"/>
        </w:rPr>
        <w:t>（标的名称），属于（采购文件中明确的所属行业）行业；制造商为（企业名称），从业人员人，营业收入为万元，资产总额为万元属于（中型企业、小型企业、微型企业）；</w:t>
      </w:r>
    </w:p>
    <w:p>
      <w:pPr>
        <w:spacing w:line="360" w:lineRule="auto"/>
        <w:ind w:firstLine="420" w:firstLineChars="200"/>
        <w:rPr>
          <w:rFonts w:ascii="宋体"/>
          <w:szCs w:val="21"/>
        </w:rPr>
      </w:pPr>
      <w:r>
        <w:rPr>
          <w:rFonts w:ascii="宋体" w:hAnsi="宋体"/>
          <w:szCs w:val="21"/>
        </w:rPr>
        <w:t xml:space="preserve">2. </w:t>
      </w:r>
      <w:r>
        <w:rPr>
          <w:rFonts w:hint="eastAsia" w:ascii="宋体" w:hAnsi="宋体"/>
          <w:szCs w:val="21"/>
        </w:rPr>
        <w:t>（标的名称），属于（采购文件中明确的所属行业）行业；制造商为（企业名称），从业人员人，营业收入为万元，资产总额为万元，属于（中型企业、小型企业、微型企业）；</w:t>
      </w:r>
    </w:p>
    <w:p>
      <w:pPr>
        <w:spacing w:line="360" w:lineRule="auto"/>
        <w:rPr>
          <w:rFonts w:ascii="宋体"/>
          <w:szCs w:val="21"/>
        </w:rPr>
      </w:pPr>
      <w:r>
        <w:rPr>
          <w:rFonts w:hint="eastAsia" w:ascii="宋体" w:hAnsi="宋体"/>
          <w:szCs w:val="21"/>
        </w:rPr>
        <w:t>……</w:t>
      </w:r>
    </w:p>
    <w:p>
      <w:pPr>
        <w:spacing w:line="360" w:lineRule="auto"/>
        <w:ind w:firstLine="735" w:firstLineChars="350"/>
        <w:rPr>
          <w:rFonts w:ascii="宋体"/>
          <w:szCs w:val="21"/>
        </w:rPr>
      </w:pPr>
      <w:r>
        <w:rPr>
          <w:rFonts w:hint="eastAsia" w:ascii="宋体" w:hAnsi="宋体"/>
          <w:szCs w:val="21"/>
        </w:rPr>
        <w:t>以上企业，不属于大企业的分支机构，不存在控股股东为大企业的情形，也不存在与大企业的负责人为同一人的情形。</w:t>
      </w:r>
    </w:p>
    <w:p>
      <w:pPr>
        <w:spacing w:line="360" w:lineRule="auto"/>
        <w:ind w:firstLine="420" w:firstLineChars="200"/>
        <w:rPr>
          <w:rFonts w:ascii="宋体"/>
          <w:szCs w:val="21"/>
        </w:rPr>
      </w:pPr>
      <w:r>
        <w:rPr>
          <w:rFonts w:hint="eastAsia" w:ascii="宋体" w:hAnsi="宋体"/>
          <w:szCs w:val="21"/>
        </w:rPr>
        <w:t>本企业对上述声明内容的真实性负责。如有虚假，将依法承担相应责任。</w:t>
      </w:r>
    </w:p>
    <w:p>
      <w:pPr>
        <w:spacing w:line="360" w:lineRule="auto"/>
        <w:rPr>
          <w:rFonts w:ascii="宋体"/>
          <w:szCs w:val="21"/>
        </w:rPr>
      </w:pPr>
    </w:p>
    <w:p>
      <w:pPr>
        <w:spacing w:line="360" w:lineRule="auto"/>
        <w:rPr>
          <w:rFonts w:ascii="宋体"/>
          <w:szCs w:val="21"/>
        </w:rPr>
      </w:pPr>
    </w:p>
    <w:p>
      <w:pPr>
        <w:spacing w:line="360" w:lineRule="auto"/>
        <w:ind w:firstLine="630" w:firstLineChars="300"/>
        <w:rPr>
          <w:rFonts w:ascii="宋体"/>
          <w:szCs w:val="21"/>
        </w:rPr>
      </w:pPr>
      <w:r>
        <w:rPr>
          <w:rFonts w:hint="eastAsia" w:ascii="宋体" w:hAnsi="宋体"/>
          <w:szCs w:val="21"/>
        </w:rPr>
        <w:t>企业名称（盖章）：</w:t>
      </w:r>
    </w:p>
    <w:p>
      <w:pPr>
        <w:spacing w:line="360" w:lineRule="auto"/>
        <w:ind w:firstLine="630" w:firstLineChars="300"/>
        <w:rPr>
          <w:rFonts w:ascii="宋体"/>
          <w:szCs w:val="21"/>
        </w:rPr>
      </w:pPr>
      <w:r>
        <w:rPr>
          <w:rFonts w:hint="eastAsia" w:ascii="宋体" w:hAnsi="宋体"/>
          <w:szCs w:val="21"/>
        </w:rPr>
        <w:t>日期：</w:t>
      </w:r>
    </w:p>
    <w:p>
      <w:pPr>
        <w:snapToGrid w:val="0"/>
        <w:spacing w:line="360" w:lineRule="auto"/>
        <w:ind w:right="-341"/>
        <w:rPr>
          <w:rFonts w:ascii="宋体" w:hAnsi="宋体"/>
        </w:rPr>
        <w:sectPr>
          <w:pgSz w:w="11906" w:h="16838"/>
          <w:pgMar w:top="1304" w:right="1531" w:bottom="1304" w:left="1531" w:header="1304" w:footer="1304" w:gutter="0"/>
          <w:cols w:space="720" w:num="1"/>
        </w:sectPr>
      </w:pPr>
    </w:p>
    <w:p>
      <w:pPr>
        <w:snapToGrid w:val="0"/>
        <w:spacing w:line="360" w:lineRule="auto"/>
        <w:ind w:right="-341"/>
        <w:rPr>
          <w:rFonts w:ascii="宋体" w:hAnsi="宋体"/>
        </w:rPr>
      </w:pPr>
    </w:p>
    <w:p>
      <w:pPr>
        <w:pStyle w:val="3"/>
      </w:pPr>
    </w:p>
    <w:p>
      <w:pPr>
        <w:snapToGrid w:val="0"/>
        <w:spacing w:line="360" w:lineRule="auto"/>
        <w:ind w:right="-341"/>
        <w:jc w:val="center"/>
        <w:rPr>
          <w:rFonts w:ascii="宋体" w:hAnsi="宋体" w:cs="宋体"/>
          <w:b/>
          <w:kern w:val="0"/>
          <w:sz w:val="28"/>
          <w:szCs w:val="28"/>
        </w:rPr>
      </w:pPr>
      <w:r>
        <w:rPr>
          <w:rFonts w:hint="eastAsia" w:ascii="宋体" w:hAnsi="宋体" w:cs="宋体"/>
          <w:b/>
          <w:kern w:val="0"/>
          <w:sz w:val="28"/>
          <w:szCs w:val="28"/>
        </w:rPr>
        <w:t>中小企业声明函（工程、服务）</w:t>
      </w:r>
    </w:p>
    <w:p>
      <w:pPr>
        <w:snapToGrid w:val="0"/>
        <w:spacing w:line="360" w:lineRule="auto"/>
        <w:ind w:right="-341"/>
        <w:rPr>
          <w:rFonts w:ascii="宋体" w:hAnsi="宋体" w:cs="宋体"/>
          <w:kern w:val="0"/>
          <w:szCs w:val="21"/>
        </w:rPr>
      </w:pPr>
    </w:p>
    <w:p>
      <w:pPr>
        <w:snapToGrid w:val="0"/>
        <w:spacing w:line="360" w:lineRule="auto"/>
        <w:ind w:right="-341" w:firstLine="420" w:firstLineChars="200"/>
        <w:rPr>
          <w:rFonts w:ascii="宋体" w:hAnsi="宋体" w:cs="宋体"/>
          <w:kern w:val="0"/>
          <w:szCs w:val="21"/>
        </w:rPr>
      </w:pPr>
    </w:p>
    <w:p>
      <w:pPr>
        <w:snapToGrid w:val="0"/>
        <w:spacing w:line="360" w:lineRule="auto"/>
        <w:ind w:right="-341" w:firstLine="420" w:firstLineChars="200"/>
        <w:rPr>
          <w:rFonts w:ascii="宋体" w:hAnsi="宋体" w:cs="宋体"/>
          <w:kern w:val="0"/>
          <w:szCs w:val="21"/>
        </w:rPr>
      </w:pPr>
    </w:p>
    <w:p>
      <w:pPr>
        <w:snapToGrid w:val="0"/>
        <w:spacing w:line="360" w:lineRule="auto"/>
        <w:ind w:right="-341" w:firstLine="420" w:firstLineChars="200"/>
        <w:rPr>
          <w:rFonts w:ascii="宋体" w:hAnsi="宋体" w:cs="宋体"/>
          <w:kern w:val="0"/>
          <w:szCs w:val="21"/>
        </w:rPr>
      </w:pPr>
      <w:r>
        <w:rPr>
          <w:rFonts w:hint="eastAsia" w:ascii="宋体" w:hAnsi="宋体" w:cs="宋体"/>
          <w:kern w:val="0"/>
          <w:szCs w:val="21"/>
        </w:rPr>
        <w:t>本公司（联合体）郑重声明，根据《政府采购促进中小企业发展管理办法》（财库﹝2020﹞46 号）的规定，本公司（联合体）参加 （单位名称） 的 （项目名称） 采购活动，服务全部由符合政策要求的中小企业承接。相关企业（含联合体中的中小企业、签订分包意向协议的中小企业）的具体情况如下：</w:t>
      </w:r>
    </w:p>
    <w:p>
      <w:pPr>
        <w:snapToGrid w:val="0"/>
        <w:spacing w:line="360" w:lineRule="auto"/>
        <w:ind w:right="-341" w:firstLine="420" w:firstLineChars="200"/>
        <w:rPr>
          <w:rFonts w:ascii="宋体" w:hAnsi="宋体" w:cs="宋体"/>
          <w:kern w:val="0"/>
          <w:szCs w:val="21"/>
        </w:rPr>
      </w:pPr>
      <w:r>
        <w:rPr>
          <w:rFonts w:hint="eastAsia" w:ascii="宋体" w:hAnsi="宋体" w:cs="宋体"/>
          <w:kern w:val="0"/>
          <w:szCs w:val="21"/>
        </w:rPr>
        <w:t>1. （标的名称） ，属于 （采购文件中明确的所属行业） ；承建（承接）企业为 （企业名称） ，从业人员 人，营业收入为 万元，资产总额为 万元，属于 （中型企业、小型企业、微型企业） ；</w:t>
      </w:r>
    </w:p>
    <w:p>
      <w:pPr>
        <w:snapToGrid w:val="0"/>
        <w:spacing w:line="360" w:lineRule="auto"/>
        <w:ind w:right="-341" w:firstLine="420" w:firstLineChars="200"/>
        <w:rPr>
          <w:rFonts w:ascii="宋体" w:hAnsi="宋体" w:cs="宋体"/>
          <w:kern w:val="0"/>
          <w:szCs w:val="21"/>
        </w:rPr>
      </w:pPr>
      <w:r>
        <w:rPr>
          <w:rFonts w:hint="eastAsia" w:ascii="宋体" w:hAnsi="宋体" w:cs="宋体"/>
          <w:kern w:val="0"/>
          <w:szCs w:val="21"/>
        </w:rPr>
        <w:t>2. （标的名称） ，属于 （采购文件中明确的所属行业） ；承建（承接）企业为 （企业名称） ，从业人员 人，营业收入为 万元，资产总额为 万元，属于 （中型企业、小型企业、微型企业） ；</w:t>
      </w:r>
    </w:p>
    <w:p>
      <w:pPr>
        <w:snapToGrid w:val="0"/>
        <w:spacing w:line="360" w:lineRule="auto"/>
        <w:ind w:right="-341"/>
        <w:rPr>
          <w:rFonts w:ascii="宋体" w:hAnsi="宋体" w:cs="宋体"/>
          <w:kern w:val="0"/>
          <w:szCs w:val="21"/>
        </w:rPr>
      </w:pPr>
      <w:r>
        <w:rPr>
          <w:rFonts w:hint="eastAsia" w:ascii="宋体" w:hAnsi="宋体" w:cs="宋体"/>
          <w:kern w:val="0"/>
          <w:szCs w:val="21"/>
        </w:rPr>
        <w:t>……</w:t>
      </w:r>
    </w:p>
    <w:p>
      <w:pPr>
        <w:snapToGrid w:val="0"/>
        <w:spacing w:line="360" w:lineRule="auto"/>
        <w:ind w:right="-341" w:firstLine="420" w:firstLineChars="200"/>
        <w:rPr>
          <w:rFonts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pPr>
        <w:snapToGrid w:val="0"/>
        <w:spacing w:line="360" w:lineRule="auto"/>
        <w:ind w:right="-341" w:firstLine="420" w:firstLineChars="200"/>
        <w:rPr>
          <w:rFonts w:ascii="宋体" w:hAnsi="宋体" w:cs="宋体"/>
          <w:kern w:val="0"/>
          <w:szCs w:val="21"/>
        </w:rPr>
      </w:pPr>
      <w:r>
        <w:rPr>
          <w:rFonts w:hint="eastAsia" w:ascii="宋体" w:hAnsi="宋体" w:cs="宋体"/>
          <w:kern w:val="0"/>
          <w:szCs w:val="21"/>
        </w:rPr>
        <w:t>本企业对上述声明内容的真实性负责。如有虚假，将依法承担相应责任。</w:t>
      </w:r>
    </w:p>
    <w:p>
      <w:pPr>
        <w:snapToGrid w:val="0"/>
        <w:spacing w:line="360" w:lineRule="auto"/>
        <w:ind w:right="-341"/>
        <w:rPr>
          <w:rFonts w:ascii="宋体" w:hAnsi="宋体" w:cs="宋体"/>
          <w:kern w:val="0"/>
          <w:szCs w:val="21"/>
        </w:rPr>
      </w:pPr>
    </w:p>
    <w:p>
      <w:pPr>
        <w:snapToGrid w:val="0"/>
        <w:spacing w:line="360" w:lineRule="auto"/>
        <w:ind w:right="-341"/>
        <w:rPr>
          <w:rFonts w:ascii="宋体" w:hAnsi="宋体" w:cs="宋体"/>
          <w:kern w:val="0"/>
          <w:szCs w:val="21"/>
        </w:rPr>
      </w:pPr>
      <w:r>
        <w:rPr>
          <w:rFonts w:hint="eastAsia" w:ascii="宋体" w:hAnsi="宋体" w:cs="宋体"/>
          <w:kern w:val="0"/>
          <w:szCs w:val="21"/>
        </w:rPr>
        <w:t>企业名称（盖章）：</w:t>
      </w:r>
    </w:p>
    <w:p>
      <w:pPr>
        <w:snapToGrid w:val="0"/>
        <w:spacing w:line="360" w:lineRule="auto"/>
        <w:ind w:right="-341"/>
        <w:jc w:val="left"/>
      </w:pPr>
      <w:r>
        <w:rPr>
          <w:rFonts w:hint="eastAsia" w:ascii="宋体" w:hAnsi="宋体" w:cs="宋体"/>
          <w:kern w:val="0"/>
          <w:szCs w:val="21"/>
        </w:rPr>
        <w:t>日 期：</w:t>
      </w:r>
    </w:p>
    <w:p>
      <w:pPr>
        <w:snapToGrid w:val="0"/>
        <w:spacing w:line="360" w:lineRule="auto"/>
        <w:ind w:right="-341"/>
        <w:rPr>
          <w:rFonts w:ascii="宋体" w:hAnsi="宋体"/>
        </w:rPr>
      </w:pPr>
    </w:p>
    <w:p>
      <w:pPr>
        <w:snapToGrid w:val="0"/>
        <w:spacing w:line="360" w:lineRule="auto"/>
        <w:ind w:right="-341"/>
        <w:rPr>
          <w:rFonts w:ascii="宋体" w:hAnsi="宋体"/>
        </w:rPr>
      </w:pPr>
    </w:p>
    <w:p>
      <w:pPr>
        <w:snapToGrid w:val="0"/>
        <w:spacing w:line="360" w:lineRule="auto"/>
        <w:ind w:right="-341"/>
        <w:rPr>
          <w:rFonts w:ascii="宋体" w:hAnsi="宋体"/>
        </w:rPr>
      </w:pPr>
    </w:p>
    <w:p>
      <w:pPr>
        <w:snapToGrid w:val="0"/>
        <w:spacing w:line="360" w:lineRule="auto"/>
        <w:ind w:right="-341"/>
        <w:rPr>
          <w:rFonts w:ascii="宋体" w:hAnsi="宋体"/>
        </w:rPr>
      </w:pPr>
    </w:p>
    <w:p>
      <w:pPr>
        <w:pStyle w:val="43"/>
      </w:pPr>
    </w:p>
    <w:p>
      <w:pPr>
        <w:pStyle w:val="3"/>
      </w:pPr>
    </w:p>
    <w:p>
      <w:pPr>
        <w:pStyle w:val="3"/>
      </w:pPr>
    </w:p>
    <w:p>
      <w:pPr>
        <w:pStyle w:val="3"/>
      </w:pPr>
    </w:p>
    <w:p>
      <w:pPr>
        <w:pStyle w:val="3"/>
      </w:pPr>
    </w:p>
    <w:p>
      <w:pPr>
        <w:pStyle w:val="3"/>
      </w:pPr>
    </w:p>
    <w:p>
      <w:pPr>
        <w:pStyle w:val="3"/>
      </w:pPr>
    </w:p>
    <w:p>
      <w:pPr>
        <w:pStyle w:val="3"/>
      </w:pPr>
    </w:p>
    <w:p>
      <w:pPr>
        <w:pStyle w:val="3"/>
      </w:pPr>
    </w:p>
    <w:p>
      <w:pPr>
        <w:spacing w:line="360" w:lineRule="auto"/>
        <w:ind w:firstLine="3132" w:firstLineChars="1300"/>
        <w:rPr>
          <w:rFonts w:ascii="宋体" w:hAnsi="宋体"/>
          <w:b/>
          <w:sz w:val="24"/>
          <w:szCs w:val="24"/>
        </w:rPr>
      </w:pPr>
      <w:r>
        <w:rPr>
          <w:rFonts w:hint="eastAsia" w:ascii="宋体" w:hAnsi="宋体"/>
          <w:b/>
          <w:sz w:val="24"/>
          <w:szCs w:val="24"/>
        </w:rPr>
        <w:t>监狱企业声明函</w:t>
      </w:r>
    </w:p>
    <w:p>
      <w:pPr>
        <w:spacing w:line="360" w:lineRule="auto"/>
        <w:ind w:firstLine="2640" w:firstLineChars="1100"/>
        <w:rPr>
          <w:rFonts w:ascii="宋体" w:hAnsi="宋体"/>
          <w:sz w:val="24"/>
          <w:szCs w:val="24"/>
        </w:rPr>
      </w:pPr>
      <w:r>
        <w:rPr>
          <w:rFonts w:hint="eastAsia" w:ascii="宋体" w:hAnsi="宋体"/>
          <w:sz w:val="24"/>
          <w:szCs w:val="24"/>
        </w:rPr>
        <w:t>【非监狱企业不用提供】</w:t>
      </w:r>
    </w:p>
    <w:p>
      <w:pPr>
        <w:spacing w:line="360" w:lineRule="auto"/>
        <w:ind w:firstLine="480"/>
        <w:rPr>
          <w:rFonts w:ascii="宋体" w:hAnsi="宋体"/>
          <w:szCs w:val="21"/>
        </w:rPr>
      </w:pPr>
    </w:p>
    <w:p>
      <w:pPr>
        <w:spacing w:line="360" w:lineRule="auto"/>
        <w:ind w:firstLine="525" w:firstLineChars="250"/>
        <w:rPr>
          <w:rFonts w:ascii="宋体" w:hAnsi="宋体"/>
          <w:szCs w:val="21"/>
        </w:rPr>
      </w:pPr>
      <w:r>
        <w:rPr>
          <w:rFonts w:hint="eastAsia" w:ascii="宋体" w:hAnsi="宋体"/>
          <w:szCs w:val="21"/>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rFonts w:ascii="宋体" w:hAnsi="宋体"/>
          <w:szCs w:val="21"/>
        </w:rPr>
      </w:pPr>
      <w:r>
        <w:rPr>
          <w:rFonts w:hint="eastAsia" w:ascii="宋体" w:hAnsi="宋体"/>
          <w:szCs w:val="21"/>
        </w:rPr>
        <w:t>根据上述标准，我企业属于监狱企业的理由为：。</w:t>
      </w:r>
    </w:p>
    <w:p>
      <w:pPr>
        <w:spacing w:line="360" w:lineRule="auto"/>
        <w:ind w:firstLine="480"/>
        <w:rPr>
          <w:rFonts w:ascii="宋体" w:hAnsi="宋体"/>
          <w:szCs w:val="21"/>
        </w:rPr>
      </w:pPr>
      <w:r>
        <w:rPr>
          <w:rFonts w:hint="eastAsia" w:ascii="宋体" w:hAnsi="宋体"/>
          <w:szCs w:val="21"/>
        </w:rPr>
        <w:t>本企业为参加（项目名称： ）（项目编号： ）采购活动提供本企业的产品。</w:t>
      </w:r>
    </w:p>
    <w:p>
      <w:pPr>
        <w:spacing w:line="360" w:lineRule="auto"/>
        <w:ind w:firstLine="480"/>
        <w:rPr>
          <w:rFonts w:ascii="宋体" w:hAnsi="宋体"/>
          <w:szCs w:val="21"/>
        </w:rPr>
      </w:pPr>
      <w:r>
        <w:rPr>
          <w:rFonts w:hint="eastAsia" w:ascii="宋体" w:hAnsi="宋体"/>
          <w:szCs w:val="21"/>
        </w:rPr>
        <w:t>本企业对上述声明的真实性负责。如有虚假，将依法承担相应责任。</w:t>
      </w:r>
    </w:p>
    <w:p>
      <w:pPr>
        <w:spacing w:line="360" w:lineRule="auto"/>
        <w:ind w:firstLine="480"/>
        <w:rPr>
          <w:rFonts w:ascii="宋体" w:hAnsi="宋体"/>
          <w:szCs w:val="21"/>
        </w:rPr>
      </w:pPr>
    </w:p>
    <w:p>
      <w:pPr>
        <w:spacing w:line="360" w:lineRule="auto"/>
        <w:ind w:firstLine="480"/>
        <w:rPr>
          <w:rFonts w:ascii="宋体" w:hAnsi="宋体"/>
          <w:szCs w:val="21"/>
        </w:rPr>
      </w:pPr>
      <w:r>
        <w:rPr>
          <w:rFonts w:hint="eastAsia" w:ascii="宋体" w:hAnsi="宋体"/>
          <w:szCs w:val="21"/>
        </w:rPr>
        <w:t>投标人名称（盖章）：</w:t>
      </w:r>
    </w:p>
    <w:p>
      <w:pPr>
        <w:spacing w:line="360" w:lineRule="auto"/>
        <w:ind w:firstLine="480"/>
        <w:rPr>
          <w:rFonts w:ascii="宋体" w:hAnsi="宋体"/>
          <w:szCs w:val="21"/>
        </w:rPr>
      </w:pPr>
      <w:r>
        <w:rPr>
          <w:rFonts w:hint="eastAsia" w:ascii="宋体" w:hAnsi="宋体"/>
          <w:szCs w:val="21"/>
        </w:rPr>
        <w:t>日期： 年 月 日</w:t>
      </w:r>
    </w:p>
    <w:p>
      <w:pPr>
        <w:spacing w:line="360" w:lineRule="auto"/>
        <w:ind w:firstLine="480"/>
        <w:rPr>
          <w:rFonts w:ascii="宋体" w:hAnsi="宋体"/>
          <w:szCs w:val="21"/>
        </w:rPr>
      </w:pPr>
    </w:p>
    <w:p>
      <w:pPr>
        <w:spacing w:line="360" w:lineRule="auto"/>
        <w:ind w:firstLine="480"/>
        <w:rPr>
          <w:rFonts w:ascii="宋体" w:hAnsi="宋体"/>
          <w:szCs w:val="21"/>
        </w:rPr>
      </w:pPr>
    </w:p>
    <w:p>
      <w:pPr>
        <w:spacing w:line="360" w:lineRule="auto"/>
        <w:ind w:firstLine="480"/>
        <w:rPr>
          <w:rFonts w:ascii="宋体" w:hAnsi="宋体"/>
          <w:szCs w:val="21"/>
        </w:rPr>
      </w:pPr>
      <w:r>
        <w:rPr>
          <w:rFonts w:hint="eastAsia" w:ascii="宋体" w:hAnsi="宋体"/>
          <w:szCs w:val="21"/>
        </w:rPr>
        <w:t>投标人为监狱企业的提供此函。</w:t>
      </w:r>
    </w:p>
    <w:p>
      <w:pPr>
        <w:spacing w:line="360" w:lineRule="auto"/>
        <w:ind w:firstLine="480"/>
        <w:rPr>
          <w:rFonts w:ascii="宋体" w:hAnsi="宋体"/>
          <w:szCs w:val="21"/>
        </w:rPr>
      </w:pPr>
      <w:r>
        <w:rPr>
          <w:rFonts w:hint="eastAsia" w:ascii="宋体" w:hAnsi="宋体"/>
          <w:szCs w:val="21"/>
        </w:rPr>
        <w:t>局、戒毒管理局（含新疆生产建设兵团）出具的属于监狱企业的证明文件。</w:t>
      </w:r>
    </w:p>
    <w:p>
      <w:pPr>
        <w:spacing w:line="360" w:lineRule="auto"/>
        <w:ind w:firstLine="480"/>
        <w:rPr>
          <w:rFonts w:ascii="宋体" w:hAnsi="宋体"/>
          <w:szCs w:val="21"/>
        </w:rPr>
      </w:pPr>
      <w:r>
        <w:rPr>
          <w:rFonts w:hint="eastAsia" w:ascii="宋体" w:hAnsi="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宋体" w:hAnsi="宋体"/>
          <w:szCs w:val="21"/>
        </w:rPr>
      </w:pPr>
    </w:p>
    <w:p>
      <w:pPr>
        <w:spacing w:line="360" w:lineRule="auto"/>
        <w:ind w:firstLine="480"/>
        <w:rPr>
          <w:rFonts w:ascii="宋体" w:hAnsi="宋体"/>
          <w:szCs w:val="21"/>
        </w:rPr>
      </w:pPr>
    </w:p>
    <w:p>
      <w:pPr>
        <w:spacing w:line="360" w:lineRule="auto"/>
        <w:ind w:firstLine="480"/>
        <w:rPr>
          <w:rFonts w:ascii="宋体" w:hAnsi="宋体"/>
          <w:szCs w:val="21"/>
        </w:rPr>
      </w:pPr>
    </w:p>
    <w:p>
      <w:pPr>
        <w:spacing w:line="360" w:lineRule="auto"/>
        <w:ind w:firstLine="480"/>
        <w:rPr>
          <w:rFonts w:ascii="宋体" w:hAnsi="宋体"/>
          <w:szCs w:val="21"/>
        </w:rPr>
      </w:pPr>
    </w:p>
    <w:p>
      <w:pPr>
        <w:spacing w:line="360" w:lineRule="auto"/>
        <w:ind w:firstLine="480"/>
        <w:rPr>
          <w:rFonts w:ascii="宋体" w:hAnsi="宋体"/>
          <w:szCs w:val="21"/>
        </w:rPr>
      </w:pPr>
    </w:p>
    <w:p>
      <w:pPr>
        <w:spacing w:line="360" w:lineRule="auto"/>
        <w:ind w:firstLine="480"/>
        <w:rPr>
          <w:rFonts w:ascii="宋体" w:hAnsi="宋体"/>
          <w:szCs w:val="21"/>
        </w:rPr>
      </w:pPr>
    </w:p>
    <w:p>
      <w:pPr>
        <w:spacing w:line="360" w:lineRule="auto"/>
        <w:ind w:firstLine="480"/>
        <w:rPr>
          <w:rFonts w:ascii="宋体" w:hAnsi="宋体"/>
          <w:szCs w:val="21"/>
        </w:rPr>
      </w:pPr>
    </w:p>
    <w:p>
      <w:pPr>
        <w:spacing w:line="360" w:lineRule="auto"/>
        <w:ind w:firstLine="480"/>
        <w:rPr>
          <w:rFonts w:ascii="宋体" w:hAnsi="宋体"/>
          <w:szCs w:val="21"/>
        </w:rPr>
      </w:pPr>
    </w:p>
    <w:p>
      <w:pPr>
        <w:spacing w:line="360" w:lineRule="auto"/>
        <w:ind w:firstLine="480"/>
        <w:rPr>
          <w:rFonts w:ascii="宋体" w:hAnsi="宋体"/>
          <w:szCs w:val="21"/>
        </w:rPr>
      </w:pPr>
    </w:p>
    <w:p>
      <w:pPr>
        <w:spacing w:line="360" w:lineRule="auto"/>
        <w:ind w:firstLine="480"/>
        <w:rPr>
          <w:rFonts w:ascii="宋体" w:hAnsi="宋体"/>
          <w:szCs w:val="21"/>
        </w:rPr>
      </w:pPr>
    </w:p>
    <w:p>
      <w:pPr>
        <w:spacing w:line="360" w:lineRule="auto"/>
        <w:ind w:firstLine="480"/>
        <w:rPr>
          <w:rFonts w:ascii="宋体" w:hAnsi="宋体"/>
          <w:szCs w:val="21"/>
        </w:rPr>
      </w:pPr>
    </w:p>
    <w:p>
      <w:pPr>
        <w:spacing w:line="360" w:lineRule="auto"/>
        <w:ind w:firstLine="480"/>
        <w:rPr>
          <w:rFonts w:ascii="宋体" w:hAnsi="宋体"/>
          <w:szCs w:val="21"/>
        </w:rPr>
      </w:pPr>
    </w:p>
    <w:p>
      <w:pPr>
        <w:spacing w:line="360" w:lineRule="auto"/>
        <w:ind w:firstLine="480"/>
        <w:rPr>
          <w:rFonts w:ascii="宋体" w:hAnsi="宋体"/>
          <w:szCs w:val="21"/>
        </w:rPr>
      </w:pPr>
    </w:p>
    <w:p>
      <w:pPr>
        <w:pStyle w:val="23"/>
        <w:spacing w:line="360" w:lineRule="auto"/>
        <w:ind w:firstLine="105" w:firstLineChars="50"/>
        <w:rPr>
          <w:rFonts w:ascii="宋体" w:hAnsi="宋体"/>
          <w:sz w:val="21"/>
          <w:szCs w:val="21"/>
        </w:rPr>
      </w:pPr>
    </w:p>
    <w:p>
      <w:pPr>
        <w:pStyle w:val="23"/>
        <w:spacing w:line="360" w:lineRule="auto"/>
        <w:ind w:firstLine="3373" w:firstLineChars="1400"/>
        <w:rPr>
          <w:b/>
          <w:sz w:val="24"/>
          <w:szCs w:val="24"/>
        </w:rPr>
      </w:pPr>
      <w:r>
        <w:rPr>
          <w:rFonts w:hint="eastAsia"/>
          <w:b/>
          <w:sz w:val="24"/>
          <w:szCs w:val="24"/>
        </w:rPr>
        <w:t>残疾人福利性单位声明函</w:t>
      </w:r>
    </w:p>
    <w:p>
      <w:pPr>
        <w:pStyle w:val="23"/>
        <w:spacing w:line="360" w:lineRule="auto"/>
        <w:ind w:firstLine="2835" w:firstLineChars="1350"/>
        <w:rPr>
          <w:rFonts w:ascii="宋体" w:cs="宋体"/>
          <w:sz w:val="21"/>
          <w:szCs w:val="21"/>
        </w:rPr>
      </w:pPr>
      <w:r>
        <w:rPr>
          <w:rFonts w:hint="eastAsia" w:ascii="宋体" w:cs="宋体"/>
          <w:sz w:val="21"/>
          <w:szCs w:val="21"/>
        </w:rPr>
        <w:t>【非残疾人福利性单位不用提供】</w:t>
      </w:r>
    </w:p>
    <w:p>
      <w:pPr>
        <w:pStyle w:val="23"/>
        <w:spacing w:line="360" w:lineRule="auto"/>
        <w:rPr>
          <w:rFonts w:ascii="宋体" w:cs="宋体"/>
          <w:sz w:val="21"/>
          <w:szCs w:val="21"/>
        </w:rPr>
      </w:pPr>
    </w:p>
    <w:p>
      <w:pPr>
        <w:pStyle w:val="23"/>
        <w:spacing w:line="360" w:lineRule="auto"/>
        <w:ind w:firstLine="420" w:firstLineChars="200"/>
        <w:rPr>
          <w:rFonts w:ascii="宋体" w:hAnsi="Arial" w:cs="宋体"/>
          <w:sz w:val="21"/>
          <w:szCs w:val="21"/>
        </w:rPr>
      </w:pPr>
      <w:r>
        <w:rPr>
          <w:rFonts w:hint="eastAsia" w:ascii="宋体" w:cs="宋体"/>
          <w:sz w:val="21"/>
          <w:szCs w:val="21"/>
        </w:rPr>
        <w:t>本单位郑重声明，根据《财政部民政部中国残疾人联合会关于促进残疾人就业政府采购政策的通知》（财库〔</w:t>
      </w:r>
      <w:r>
        <w:rPr>
          <w:rFonts w:ascii="Arial" w:hAnsi="Arial" w:cs="Arial"/>
          <w:sz w:val="21"/>
          <w:szCs w:val="21"/>
        </w:rPr>
        <w:t>2017</w:t>
      </w:r>
      <w:r>
        <w:rPr>
          <w:rFonts w:hint="eastAsia" w:ascii="宋体" w:hAnsi="Arial" w:cs="宋体"/>
          <w:sz w:val="21"/>
          <w:szCs w:val="21"/>
        </w:rPr>
        <w:t>〕</w:t>
      </w:r>
      <w:r>
        <w:rPr>
          <w:rFonts w:ascii="Arial" w:hAnsi="Arial" w:cs="Arial"/>
          <w:sz w:val="21"/>
          <w:szCs w:val="21"/>
        </w:rPr>
        <w:t>141</w:t>
      </w:r>
      <w:r>
        <w:rPr>
          <w:rFonts w:hint="eastAsia" w:ascii="宋体" w:hAnsi="Arial" w:cs="宋体"/>
          <w:sz w:val="21"/>
          <w:szCs w:val="21"/>
        </w:rPr>
        <w:t>号）的规定，本单位为符合条件的残疾人福利性单位，且本单位参加（采购人名称）单位的（项目名称）项目采购活动提供本单位制造的货物（由本单位承担工程</w:t>
      </w:r>
      <w:r>
        <w:rPr>
          <w:rFonts w:ascii="Arial" w:hAnsi="Arial" w:cs="Arial"/>
          <w:sz w:val="21"/>
          <w:szCs w:val="21"/>
        </w:rPr>
        <w:t>/</w:t>
      </w:r>
      <w:r>
        <w:rPr>
          <w:rFonts w:hint="eastAsia" w:ascii="宋体" w:hAnsi="Arial" w:cs="宋体"/>
          <w:sz w:val="21"/>
          <w:szCs w:val="21"/>
        </w:rPr>
        <w:t>提供服务），或者提供其他残疾人福利性单位制造的货物（不包括使用非残疾人福利性单位注册商标的货物）。</w:t>
      </w:r>
    </w:p>
    <w:p>
      <w:pPr>
        <w:pStyle w:val="23"/>
        <w:spacing w:line="360" w:lineRule="auto"/>
        <w:ind w:firstLine="420" w:firstLineChars="200"/>
        <w:rPr>
          <w:rFonts w:ascii="宋体" w:hAnsi="Arial" w:cs="宋体"/>
          <w:sz w:val="21"/>
          <w:szCs w:val="21"/>
        </w:rPr>
      </w:pPr>
      <w:r>
        <w:rPr>
          <w:rFonts w:hint="eastAsia" w:ascii="宋体" w:hAnsi="Arial" w:cs="宋体"/>
          <w:sz w:val="21"/>
          <w:szCs w:val="21"/>
        </w:rPr>
        <w:t>本单位对上述声明的真实性负责。如有虚假，将依法承担相应责任。</w:t>
      </w:r>
    </w:p>
    <w:p>
      <w:pPr>
        <w:pStyle w:val="23"/>
        <w:spacing w:line="360" w:lineRule="auto"/>
        <w:rPr>
          <w:rFonts w:ascii="宋体" w:hAnsi="Arial" w:cs="宋体"/>
          <w:sz w:val="21"/>
          <w:szCs w:val="21"/>
        </w:rPr>
      </w:pPr>
    </w:p>
    <w:p>
      <w:pPr>
        <w:pStyle w:val="23"/>
        <w:spacing w:line="360" w:lineRule="auto"/>
        <w:rPr>
          <w:rFonts w:ascii="宋体" w:hAnsi="Arial" w:cs="宋体"/>
          <w:sz w:val="21"/>
          <w:szCs w:val="21"/>
        </w:rPr>
      </w:pPr>
    </w:p>
    <w:p>
      <w:pPr>
        <w:pStyle w:val="23"/>
        <w:spacing w:line="360" w:lineRule="auto"/>
        <w:rPr>
          <w:rFonts w:ascii="宋体" w:hAnsi="Arial" w:cs="宋体"/>
          <w:sz w:val="21"/>
          <w:szCs w:val="21"/>
        </w:rPr>
      </w:pPr>
      <w:r>
        <w:rPr>
          <w:rFonts w:hint="eastAsia" w:ascii="宋体" w:hAnsi="Arial" w:cs="宋体"/>
          <w:sz w:val="21"/>
          <w:szCs w:val="21"/>
        </w:rPr>
        <w:t>投标人名称（盖章）：</w:t>
      </w:r>
    </w:p>
    <w:p>
      <w:pPr>
        <w:pStyle w:val="23"/>
        <w:spacing w:line="360" w:lineRule="auto"/>
        <w:rPr>
          <w:rFonts w:ascii="宋体" w:hAnsi="Arial" w:cs="宋体"/>
          <w:sz w:val="21"/>
          <w:szCs w:val="21"/>
        </w:rPr>
      </w:pPr>
      <w:r>
        <w:rPr>
          <w:rFonts w:hint="eastAsia" w:ascii="宋体" w:hAnsi="Arial" w:cs="宋体"/>
          <w:sz w:val="21"/>
          <w:szCs w:val="21"/>
        </w:rPr>
        <w:t>日期：年月日</w:t>
      </w:r>
    </w:p>
    <w:p>
      <w:pPr>
        <w:spacing w:line="360" w:lineRule="auto"/>
        <w:ind w:firstLine="480"/>
        <w:rPr>
          <w:rFonts w:ascii="宋体" w:hAnsi="宋体"/>
          <w:szCs w:val="21"/>
        </w:rPr>
      </w:pPr>
      <w:r>
        <w:rPr>
          <w:rFonts w:hint="eastAsia" w:ascii="宋体" w:hAnsi="Arial" w:cs="宋体"/>
          <w:szCs w:val="21"/>
        </w:rPr>
        <w:t>说明：投标人为残疾人福利性单位的提供此函。</w:t>
      </w:r>
    </w:p>
    <w:p>
      <w:pPr>
        <w:snapToGrid w:val="0"/>
        <w:spacing w:line="360" w:lineRule="auto"/>
        <w:ind w:right="-341"/>
        <w:rPr>
          <w:rFonts w:ascii="宋体" w:hAnsi="宋体"/>
        </w:rPr>
      </w:pPr>
    </w:p>
    <w:p>
      <w:pPr>
        <w:snapToGrid w:val="0"/>
        <w:spacing w:line="360" w:lineRule="auto"/>
        <w:ind w:right="-341"/>
        <w:rPr>
          <w:rFonts w:ascii="宋体" w:hAnsi="宋体"/>
        </w:rPr>
      </w:pPr>
    </w:p>
    <w:p>
      <w:pPr>
        <w:snapToGrid w:val="0"/>
        <w:spacing w:line="360" w:lineRule="auto"/>
        <w:ind w:right="-341"/>
        <w:rPr>
          <w:rFonts w:ascii="宋体" w:hAnsi="宋体"/>
        </w:rPr>
      </w:pPr>
    </w:p>
    <w:p>
      <w:pPr>
        <w:snapToGrid w:val="0"/>
        <w:spacing w:line="360" w:lineRule="auto"/>
        <w:ind w:right="-341"/>
        <w:rPr>
          <w:rFonts w:ascii="宋体" w:hAnsi="宋体"/>
        </w:rPr>
      </w:pPr>
    </w:p>
    <w:p>
      <w:pPr>
        <w:snapToGrid w:val="0"/>
        <w:spacing w:line="312" w:lineRule="auto"/>
        <w:ind w:right="-341"/>
        <w:rPr>
          <w:rFonts w:ascii="宋体" w:hAnsi="宋体"/>
          <w:b/>
        </w:rPr>
      </w:pPr>
    </w:p>
    <w:p>
      <w:pPr>
        <w:snapToGrid w:val="0"/>
        <w:spacing w:line="312" w:lineRule="auto"/>
        <w:ind w:right="-341"/>
        <w:rPr>
          <w:rFonts w:ascii="宋体" w:hAnsi="宋体"/>
          <w:b/>
        </w:rPr>
      </w:pPr>
    </w:p>
    <w:p>
      <w:pPr>
        <w:snapToGrid w:val="0"/>
        <w:spacing w:line="312" w:lineRule="auto"/>
        <w:ind w:right="-341"/>
        <w:rPr>
          <w:rFonts w:ascii="宋体" w:hAnsi="宋体"/>
          <w:b/>
        </w:rPr>
      </w:pPr>
    </w:p>
    <w:p>
      <w:pPr>
        <w:snapToGrid w:val="0"/>
        <w:spacing w:line="312" w:lineRule="auto"/>
        <w:ind w:right="-341"/>
        <w:rPr>
          <w:rFonts w:ascii="宋体" w:hAnsi="宋体"/>
          <w:b/>
        </w:rPr>
      </w:pPr>
    </w:p>
    <w:p>
      <w:pPr>
        <w:snapToGrid w:val="0"/>
        <w:spacing w:line="312" w:lineRule="auto"/>
        <w:ind w:right="-341"/>
        <w:rPr>
          <w:rFonts w:ascii="宋体" w:hAnsi="宋体"/>
          <w:b/>
        </w:rPr>
      </w:pPr>
    </w:p>
    <w:p>
      <w:pPr>
        <w:snapToGrid w:val="0"/>
        <w:spacing w:line="312" w:lineRule="auto"/>
        <w:ind w:right="-341"/>
        <w:rPr>
          <w:rFonts w:ascii="宋体" w:hAnsi="宋体"/>
          <w:b/>
        </w:rPr>
      </w:pPr>
    </w:p>
    <w:p>
      <w:pPr>
        <w:snapToGrid w:val="0"/>
        <w:spacing w:line="312" w:lineRule="auto"/>
        <w:ind w:right="-341"/>
        <w:rPr>
          <w:rFonts w:ascii="宋体" w:hAnsi="宋体"/>
          <w:b/>
        </w:rPr>
      </w:pPr>
    </w:p>
    <w:p>
      <w:pPr>
        <w:snapToGrid w:val="0"/>
        <w:spacing w:line="312" w:lineRule="auto"/>
        <w:ind w:right="-341"/>
        <w:rPr>
          <w:rFonts w:ascii="宋体" w:hAnsi="宋体"/>
          <w:b/>
        </w:rPr>
      </w:pPr>
    </w:p>
    <w:p>
      <w:pPr>
        <w:snapToGrid w:val="0"/>
        <w:spacing w:line="312" w:lineRule="auto"/>
        <w:ind w:right="-341"/>
        <w:rPr>
          <w:rFonts w:ascii="宋体" w:hAnsi="宋体"/>
          <w:b/>
        </w:rPr>
      </w:pPr>
    </w:p>
    <w:p>
      <w:pPr>
        <w:snapToGrid w:val="0"/>
        <w:spacing w:line="312" w:lineRule="auto"/>
        <w:ind w:right="-341"/>
        <w:rPr>
          <w:rFonts w:ascii="宋体" w:hAnsi="宋体"/>
          <w:b/>
        </w:rPr>
      </w:pPr>
    </w:p>
    <w:p>
      <w:pPr>
        <w:snapToGrid w:val="0"/>
        <w:spacing w:line="312" w:lineRule="auto"/>
        <w:ind w:right="-341"/>
        <w:rPr>
          <w:rFonts w:ascii="宋体" w:hAnsi="宋体"/>
          <w:b/>
        </w:rPr>
      </w:pPr>
    </w:p>
    <w:p>
      <w:pPr>
        <w:snapToGrid w:val="0"/>
        <w:spacing w:line="312" w:lineRule="auto"/>
        <w:ind w:right="-341"/>
        <w:rPr>
          <w:rFonts w:ascii="宋体" w:hAnsi="宋体"/>
          <w:b/>
        </w:rPr>
      </w:pPr>
    </w:p>
    <w:p>
      <w:pPr>
        <w:snapToGrid w:val="0"/>
        <w:spacing w:line="312" w:lineRule="auto"/>
        <w:ind w:right="-341"/>
        <w:rPr>
          <w:rFonts w:ascii="宋体" w:hAnsi="宋体"/>
          <w:b/>
        </w:rPr>
      </w:pPr>
    </w:p>
    <w:p>
      <w:pPr>
        <w:snapToGrid w:val="0"/>
        <w:spacing w:line="312" w:lineRule="auto"/>
        <w:ind w:right="-341"/>
        <w:rPr>
          <w:rFonts w:ascii="宋体" w:hAnsi="宋体"/>
          <w:b/>
        </w:rPr>
      </w:pPr>
    </w:p>
    <w:p>
      <w:pPr>
        <w:snapToGrid w:val="0"/>
        <w:spacing w:line="312" w:lineRule="auto"/>
        <w:ind w:right="-341"/>
        <w:rPr>
          <w:rFonts w:ascii="宋体" w:hAnsi="宋体"/>
          <w:b/>
        </w:rPr>
      </w:pPr>
    </w:p>
    <w:p>
      <w:pPr>
        <w:snapToGrid w:val="0"/>
        <w:spacing w:line="312" w:lineRule="auto"/>
        <w:ind w:right="-341"/>
        <w:rPr>
          <w:rFonts w:ascii="宋体" w:hAnsi="宋体"/>
          <w:b/>
        </w:rPr>
      </w:pPr>
    </w:p>
    <w:p>
      <w:pPr>
        <w:snapToGrid w:val="0"/>
        <w:spacing w:line="312" w:lineRule="auto"/>
        <w:ind w:right="-341"/>
        <w:rPr>
          <w:rFonts w:ascii="宋体" w:hAnsi="宋体"/>
          <w:b/>
        </w:rPr>
      </w:pPr>
    </w:p>
    <w:p>
      <w:pPr>
        <w:snapToGrid w:val="0"/>
        <w:spacing w:line="360" w:lineRule="auto"/>
        <w:ind w:right="-341"/>
        <w:textAlignment w:val="baseline"/>
        <w:rPr>
          <w:b/>
        </w:rPr>
      </w:pPr>
    </w:p>
    <w:p>
      <w:pPr>
        <w:snapToGrid w:val="0"/>
        <w:spacing w:before="50" w:line="312" w:lineRule="auto"/>
        <w:rPr>
          <w:rFonts w:ascii="宋体" w:hAnsi="宋体"/>
          <w:b/>
          <w:sz w:val="24"/>
        </w:rPr>
      </w:pPr>
    </w:p>
    <w:p>
      <w:pPr>
        <w:snapToGrid w:val="0"/>
        <w:spacing w:before="50" w:line="312" w:lineRule="auto"/>
        <w:rPr>
          <w:rFonts w:hint="eastAsia" w:ascii="宋体" w:hAnsi="宋体" w:eastAsia="宋体"/>
          <w:b/>
          <w:sz w:val="24"/>
          <w:lang w:eastAsia="zh-CN"/>
        </w:rPr>
      </w:pPr>
      <w:r>
        <w:rPr>
          <w:rFonts w:hint="eastAsia" w:ascii="宋体" w:hAnsi="宋体"/>
          <w:b/>
          <w:sz w:val="24"/>
        </w:rPr>
        <w:t>八</w:t>
      </w:r>
      <w:r>
        <w:rPr>
          <w:rFonts w:hint="eastAsia" w:ascii="宋体" w:hAnsi="宋体"/>
          <w:b/>
          <w:sz w:val="24"/>
          <w:lang w:eastAsia="zh-CN"/>
        </w:rPr>
        <w:t>、</w:t>
      </w:r>
    </w:p>
    <w:p>
      <w:pPr>
        <w:snapToGrid w:val="0"/>
        <w:spacing w:before="50" w:line="312" w:lineRule="auto"/>
        <w:jc w:val="center"/>
        <w:rPr>
          <w:rFonts w:ascii="宋体" w:hAnsi="宋体"/>
          <w:b/>
          <w:sz w:val="24"/>
        </w:rPr>
      </w:pPr>
    </w:p>
    <w:p>
      <w:pPr>
        <w:snapToGrid w:val="0"/>
        <w:spacing w:before="50" w:line="312" w:lineRule="auto"/>
        <w:jc w:val="center"/>
        <w:rPr>
          <w:rFonts w:ascii="宋体" w:hAnsi="宋体"/>
          <w:b/>
          <w:sz w:val="24"/>
        </w:rPr>
      </w:pPr>
      <w:r>
        <w:rPr>
          <w:rFonts w:hint="eastAsia" w:ascii="宋体" w:hAnsi="宋体"/>
          <w:b/>
          <w:sz w:val="24"/>
        </w:rPr>
        <w:t>商务响应表：</w:t>
      </w:r>
    </w:p>
    <w:p>
      <w:pPr>
        <w:snapToGrid w:val="0"/>
        <w:spacing w:before="50" w:line="312" w:lineRule="auto"/>
        <w:jc w:val="center"/>
        <w:rPr>
          <w:rFonts w:ascii="宋体" w:hAnsi="宋体"/>
          <w:b/>
          <w:sz w:val="24"/>
        </w:rPr>
      </w:pPr>
    </w:p>
    <w:p>
      <w:pPr>
        <w:snapToGrid w:val="0"/>
        <w:spacing w:line="312" w:lineRule="auto"/>
        <w:rPr>
          <w:rFonts w:ascii="宋体" w:hAnsi="宋体"/>
        </w:rPr>
      </w:pPr>
      <w:r>
        <w:rPr>
          <w:rFonts w:hint="eastAsia" w:ascii="宋体" w:hAnsi="宋体"/>
        </w:rPr>
        <w:t>项目名称：</w:t>
      </w:r>
    </w:p>
    <w:p>
      <w:pPr>
        <w:snapToGrid w:val="0"/>
        <w:spacing w:line="312" w:lineRule="auto"/>
        <w:rPr>
          <w:rFonts w:ascii="宋体"/>
        </w:rPr>
      </w:pPr>
      <w:r>
        <w:rPr>
          <w:rFonts w:hint="eastAsia" w:ascii="宋体" w:hAnsi="宋体"/>
        </w:rPr>
        <w:t>项目编号：</w:t>
      </w:r>
    </w:p>
    <w:tbl>
      <w:tblPr>
        <w:tblStyle w:val="35"/>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line="312" w:lineRule="auto"/>
              <w:jc w:val="center"/>
              <w:rPr>
                <w:rFonts w:ascii="宋体" w:hAnsi="宋体"/>
                <w:b/>
              </w:rPr>
            </w:pPr>
            <w:r>
              <w:rPr>
                <w:rFonts w:hint="eastAsia" w:ascii="宋体" w:hAnsi="宋体"/>
                <w:b/>
              </w:rPr>
              <w:t>项目</w:t>
            </w:r>
          </w:p>
        </w:tc>
        <w:tc>
          <w:tcPr>
            <w:tcW w:w="324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line="312" w:lineRule="auto"/>
              <w:jc w:val="center"/>
              <w:rPr>
                <w:rFonts w:ascii="宋体" w:hAnsi="宋体"/>
                <w:b/>
              </w:rPr>
            </w:pPr>
            <w:r>
              <w:rPr>
                <w:rFonts w:hint="eastAsia" w:ascii="宋体" w:hAnsi="宋体"/>
                <w:b/>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line="312" w:lineRule="auto"/>
              <w:jc w:val="center"/>
              <w:rPr>
                <w:rFonts w:ascii="宋体" w:hAnsi="宋体"/>
                <w:b/>
              </w:rPr>
            </w:pPr>
            <w:r>
              <w:rPr>
                <w:rFonts w:hint="eastAsia" w:ascii="宋体" w:hAnsi="宋体"/>
                <w:b/>
              </w:rPr>
              <w:t>是否响应</w:t>
            </w: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line="312" w:lineRule="auto"/>
              <w:jc w:val="center"/>
              <w:rPr>
                <w:rFonts w:ascii="宋体" w:hAnsi="宋体"/>
                <w:b/>
              </w:rPr>
            </w:pPr>
            <w:r>
              <w:rPr>
                <w:rFonts w:hint="eastAsia" w:ascii="宋体" w:hAnsi="宋体"/>
                <w:b/>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c>
          <w:tcPr>
            <w:tcW w:w="324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noWrap/>
            <w:vAlign w:val="center"/>
          </w:tcPr>
          <w:p>
            <w:pPr>
              <w:pStyle w:val="91"/>
              <w:widowControl/>
              <w:tabs>
                <w:tab w:val="left" w:pos="420"/>
              </w:tabs>
              <w:overflowPunct w:val="0"/>
              <w:autoSpaceDE w:val="0"/>
              <w:autoSpaceDN w:val="0"/>
              <w:adjustRightInd w:val="0"/>
              <w:snapToGrid w:val="0"/>
              <w:spacing w:line="312" w:lineRule="auto"/>
              <w:textAlignment w:val="baseline"/>
              <w:rPr>
                <w:rFonts w:ascii="宋体" w:hAnsi="宋体" w:eastAsia="宋体"/>
                <w:spacing w:val="0"/>
              </w:rPr>
            </w:pPr>
          </w:p>
        </w:tc>
        <w:tc>
          <w:tcPr>
            <w:tcW w:w="324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jc w:val="center"/>
              <w:rPr>
                <w:rFonts w:ascii="宋体" w:hAnsi="宋体"/>
                <w:sz w:val="24"/>
              </w:rPr>
            </w:pPr>
          </w:p>
        </w:tc>
        <w:tc>
          <w:tcPr>
            <w:tcW w:w="324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jc w:val="center"/>
              <w:rPr>
                <w:rFonts w:ascii="宋体" w:hAnsi="宋体"/>
                <w:sz w:val="24"/>
              </w:rPr>
            </w:pPr>
          </w:p>
        </w:tc>
        <w:tc>
          <w:tcPr>
            <w:tcW w:w="324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c>
          <w:tcPr>
            <w:tcW w:w="324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c>
          <w:tcPr>
            <w:tcW w:w="324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noWrap/>
          </w:tcPr>
          <w:p>
            <w:pPr>
              <w:snapToGrid w:val="0"/>
              <w:spacing w:beforeLines="50" w:line="312" w:lineRule="auto"/>
              <w:rPr>
                <w:rFonts w:ascii="宋体" w:hAnsi="宋体"/>
                <w:sz w:val="24"/>
              </w:rPr>
            </w:pPr>
          </w:p>
        </w:tc>
      </w:tr>
    </w:tbl>
    <w:p>
      <w:pPr>
        <w:pStyle w:val="84"/>
        <w:snapToGrid w:val="0"/>
        <w:spacing w:line="312" w:lineRule="auto"/>
        <w:ind w:left="642" w:hanging="642"/>
        <w:rPr>
          <w:rFonts w:ascii="宋体" w:hAnsi="宋体"/>
          <w:b/>
          <w:spacing w:val="20"/>
          <w:sz w:val="28"/>
        </w:rPr>
      </w:pPr>
    </w:p>
    <w:p>
      <w:pPr>
        <w:widowControl/>
        <w:snapToGrid w:val="0"/>
        <w:spacing w:line="312" w:lineRule="auto"/>
        <w:jc w:val="left"/>
        <w:rPr>
          <w:rFonts w:ascii="宋体" w:hAnsi="宋体"/>
          <w:sz w:val="24"/>
        </w:rPr>
        <w:sectPr>
          <w:pgSz w:w="11906" w:h="16838"/>
          <w:pgMar w:top="1304" w:right="1531" w:bottom="1304" w:left="1531" w:header="1304" w:footer="1304" w:gutter="0"/>
          <w:cols w:space="720" w:num="1"/>
        </w:sectPr>
      </w:pPr>
    </w:p>
    <w:p>
      <w:pPr>
        <w:snapToGrid w:val="0"/>
        <w:spacing w:before="50" w:afterLines="50" w:line="312" w:lineRule="auto"/>
        <w:jc w:val="left"/>
        <w:rPr>
          <w:rFonts w:ascii="宋体" w:hAnsi="宋体"/>
          <w:sz w:val="24"/>
        </w:rPr>
      </w:pPr>
      <w:r>
        <w:rPr>
          <w:rFonts w:hint="eastAsia" w:ascii="宋体" w:hAnsi="宋体"/>
          <w:b/>
          <w:sz w:val="24"/>
        </w:rPr>
        <w:t>九、投标人的类似案例的业绩证明文件：</w:t>
      </w:r>
    </w:p>
    <w:p>
      <w:pPr>
        <w:pStyle w:val="27"/>
        <w:snapToGrid w:val="0"/>
        <w:spacing w:line="312" w:lineRule="auto"/>
        <w:ind w:left="420" w:hanging="420"/>
        <w:rPr>
          <w:rFonts w:ascii="宋体" w:hAnsi="宋体"/>
          <w:sz w:val="24"/>
        </w:rPr>
      </w:pPr>
      <w:r>
        <w:rPr>
          <w:rFonts w:hint="eastAsia" w:ascii="宋体" w:hAnsi="宋体"/>
          <w:sz w:val="21"/>
        </w:rPr>
        <w:t>投标人同类项目实施情况一览表格式：（投标人同类项目合同复印件、用户验收报告、用户评价意见格式自拟）</w:t>
      </w:r>
    </w:p>
    <w:tbl>
      <w:tblPr>
        <w:tblStyle w:val="35"/>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jc w:val="center"/>
              <w:rPr>
                <w:rFonts w:ascii="宋体" w:hAnsi="宋体"/>
                <w:szCs w:val="21"/>
              </w:rPr>
            </w:pPr>
            <w:r>
              <w:rPr>
                <w:rFonts w:hint="eastAsia" w:ascii="宋体" w:hAnsi="宋体"/>
                <w:szCs w:val="21"/>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jc w:val="center"/>
              <w:rPr>
                <w:rFonts w:ascii="宋体" w:hAnsi="宋体"/>
                <w:szCs w:val="21"/>
              </w:rPr>
            </w:pPr>
            <w:r>
              <w:rPr>
                <w:rFonts w:hint="eastAsia" w:ascii="宋体" w:hAnsi="宋体"/>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jc w:val="center"/>
              <w:rPr>
                <w:rFonts w:ascii="宋体" w:hAnsi="宋体"/>
                <w:szCs w:val="21"/>
              </w:rPr>
            </w:pPr>
            <w:r>
              <w:rPr>
                <w:rFonts w:hint="eastAsia" w:ascii="宋体" w:hAnsi="宋体"/>
                <w:szCs w:val="21"/>
              </w:rPr>
              <w:t>采购</w:t>
            </w:r>
          </w:p>
          <w:p>
            <w:pPr>
              <w:snapToGrid w:val="0"/>
              <w:spacing w:line="312" w:lineRule="auto"/>
              <w:jc w:val="center"/>
              <w:rPr>
                <w:rFonts w:ascii="宋体" w:hAnsi="宋体"/>
                <w:szCs w:val="21"/>
              </w:rPr>
            </w:pPr>
            <w:r>
              <w:rPr>
                <w:rFonts w:hint="eastAsia" w:ascii="宋体" w:hAnsi="宋体"/>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jc w:val="center"/>
              <w:rPr>
                <w:rFonts w:ascii="宋体" w:hAnsi="宋体"/>
                <w:szCs w:val="21"/>
              </w:rPr>
            </w:pPr>
            <w:r>
              <w:rPr>
                <w:rFonts w:hint="eastAsia" w:ascii="宋体" w:hAnsi="宋体"/>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jc w:val="center"/>
              <w:rPr>
                <w:rFonts w:ascii="宋体" w:hAnsi="宋体"/>
                <w:szCs w:val="21"/>
              </w:rPr>
            </w:pPr>
            <w:r>
              <w:rPr>
                <w:rFonts w:hint="eastAsia" w:ascii="宋体" w:hAnsi="宋体"/>
                <w:szCs w:val="21"/>
              </w:rPr>
              <w:t>合同金额</w:t>
            </w:r>
          </w:p>
          <w:p>
            <w:pPr>
              <w:snapToGrid w:val="0"/>
              <w:spacing w:line="312" w:lineRule="auto"/>
              <w:jc w:val="center"/>
              <w:rPr>
                <w:rFonts w:ascii="宋体" w:hAnsi="宋体"/>
                <w:szCs w:val="21"/>
              </w:rPr>
            </w:pPr>
            <w:r>
              <w:rPr>
                <w:rFonts w:hint="eastAsia" w:ascii="宋体" w:hAnsi="宋体"/>
                <w:szCs w:val="21"/>
              </w:rPr>
              <w:t>（万元）</w:t>
            </w:r>
          </w:p>
        </w:tc>
        <w:tc>
          <w:tcPr>
            <w:tcW w:w="2160"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jc w:val="center"/>
              <w:rPr>
                <w:rFonts w:ascii="宋体" w:hAnsi="宋体"/>
                <w:szCs w:val="21"/>
              </w:rPr>
            </w:pPr>
            <w:r>
              <w:rPr>
                <w:rFonts w:hint="eastAsia" w:ascii="宋体" w:hAnsi="宋体"/>
                <w:szCs w:val="21"/>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jc w:val="center"/>
              <w:rPr>
                <w:rFonts w:ascii="宋体" w:hAnsi="宋体"/>
                <w:szCs w:val="21"/>
              </w:rPr>
            </w:pPr>
            <w:r>
              <w:rPr>
                <w:rFonts w:hint="eastAsia" w:ascii="宋体" w:hAnsi="宋体"/>
                <w:szCs w:val="21"/>
              </w:rPr>
              <w:t>采购单位联系人及</w:t>
            </w:r>
          </w:p>
          <w:p>
            <w:pPr>
              <w:snapToGrid w:val="0"/>
              <w:spacing w:line="312" w:lineRule="auto"/>
              <w:jc w:val="center"/>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12" w:lineRule="auto"/>
              <w:jc w:val="left"/>
              <w:rPr>
                <w:rFonts w:ascii="宋体" w:hAnsi="宋体"/>
                <w:szCs w:val="21"/>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12" w:lineRule="auto"/>
              <w:jc w:val="left"/>
              <w:rPr>
                <w:rFonts w:ascii="宋体" w:hAnsi="宋体"/>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12" w:lineRule="auto"/>
              <w:jc w:val="left"/>
              <w:rPr>
                <w:rFonts w:ascii="宋体" w:hAnsi="宋体"/>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12" w:lineRule="auto"/>
              <w:jc w:val="left"/>
              <w:rPr>
                <w:rFonts w:ascii="宋体" w:hAnsi="宋体"/>
                <w:szCs w:val="21"/>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12" w:lineRule="auto"/>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jc w:val="center"/>
              <w:rPr>
                <w:rFonts w:ascii="宋体" w:hAnsi="宋体"/>
                <w:szCs w:val="21"/>
              </w:rPr>
            </w:pPr>
            <w:r>
              <w:rPr>
                <w:rFonts w:hint="eastAsia" w:ascii="宋体" w:hAnsi="宋体"/>
                <w:szCs w:val="21"/>
              </w:rPr>
              <w:t>合同</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jc w:val="center"/>
              <w:rPr>
                <w:rFonts w:ascii="宋体" w:hAnsi="宋体"/>
                <w:szCs w:val="21"/>
              </w:rPr>
            </w:pPr>
            <w:r>
              <w:rPr>
                <w:rFonts w:hint="eastAsia" w:ascii="宋体" w:hAnsi="宋体"/>
                <w:szCs w:val="21"/>
              </w:rPr>
              <w:t>验收报告</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jc w:val="center"/>
              <w:rPr>
                <w:rFonts w:ascii="宋体" w:hAnsi="宋体"/>
                <w:szCs w:val="21"/>
              </w:rPr>
            </w:pPr>
            <w:r>
              <w:rPr>
                <w:rFonts w:hint="eastAsia" w:ascii="宋体" w:hAnsi="宋体"/>
                <w:szCs w:val="21"/>
              </w:rPr>
              <w:t>用户评价</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312"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tcPr>
          <w:p>
            <w:pPr>
              <w:snapToGrid w:val="0"/>
              <w:spacing w:line="312" w:lineRule="auto"/>
              <w:jc w:val="left"/>
              <w:rPr>
                <w:rFonts w:ascii="宋体" w:hAnsi="宋体"/>
                <w:szCs w:val="21"/>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line="312" w:lineRule="auto"/>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line="312" w:lineRule="auto"/>
              <w:jc w:val="left"/>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line="312" w:lineRule="auto"/>
              <w:jc w:val="left"/>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line="312" w:lineRule="auto"/>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line="312" w:lineRule="auto"/>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line="312" w:lineRule="auto"/>
              <w:jc w:val="left"/>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line="312" w:lineRule="auto"/>
              <w:jc w:val="left"/>
              <w:rPr>
                <w:rFonts w:ascii="宋体" w:hAnsi="宋体"/>
                <w:szCs w:val="21"/>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line="312"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312" w:lineRule="auto"/>
              <w:jc w:val="left"/>
              <w:rPr>
                <w:rFonts w:ascii="宋体" w:hAnsi="宋体"/>
                <w:sz w:val="24"/>
              </w:rPr>
            </w:pPr>
          </w:p>
        </w:tc>
      </w:tr>
    </w:tbl>
    <w:p>
      <w:pPr>
        <w:pStyle w:val="12"/>
        <w:snapToGrid w:val="0"/>
        <w:spacing w:line="312" w:lineRule="auto"/>
        <w:rPr>
          <w:rFonts w:ascii="宋体" w:hAnsi="宋体" w:eastAsia="宋体" w:cs="Times New Roman"/>
          <w:kern w:val="0"/>
          <w:sz w:val="20"/>
          <w:szCs w:val="20"/>
        </w:rPr>
      </w:pPr>
    </w:p>
    <w:p>
      <w:pPr>
        <w:snapToGrid w:val="0"/>
        <w:spacing w:before="50" w:after="50"/>
        <w:rPr>
          <w:rFonts w:ascii="宋体" w:hAnsi="宋体"/>
        </w:rPr>
      </w:pPr>
    </w:p>
    <w:p>
      <w:pPr>
        <w:snapToGrid w:val="0"/>
        <w:ind w:left="2" w:right="-817" w:rightChars="-389"/>
        <w:rPr>
          <w:rFonts w:ascii="宋体" w:hAnsi="宋体"/>
        </w:rPr>
      </w:pPr>
    </w:p>
    <w:p>
      <w:pPr>
        <w:snapToGrid w:val="0"/>
        <w:spacing w:before="50" w:line="312" w:lineRule="auto"/>
        <w:jc w:val="left"/>
        <w:rPr>
          <w:rFonts w:ascii="宋体" w:hAnsi="宋体"/>
        </w:rPr>
      </w:pPr>
      <w:r>
        <w:rPr>
          <w:rFonts w:hint="eastAsia" w:ascii="宋体" w:hAnsi="宋体"/>
        </w:rPr>
        <w:t>投标人名称（盖章）：年月日</w:t>
      </w:r>
    </w:p>
    <w:p>
      <w:pPr>
        <w:snapToGrid w:val="0"/>
        <w:spacing w:before="50" w:line="312" w:lineRule="auto"/>
        <w:ind w:firstLine="480" w:firstLineChars="200"/>
        <w:jc w:val="left"/>
        <w:rPr>
          <w:rFonts w:ascii="宋体" w:hAnsi="宋体"/>
          <w:sz w:val="24"/>
        </w:rPr>
      </w:pPr>
    </w:p>
    <w:p>
      <w:pPr>
        <w:pStyle w:val="20"/>
        <w:snapToGrid w:val="0"/>
        <w:spacing w:before="120" w:line="312" w:lineRule="auto"/>
        <w:rPr>
          <w:rFonts w:hAnsi="宋体"/>
        </w:rPr>
      </w:pPr>
    </w:p>
    <w:p>
      <w:pPr>
        <w:widowControl/>
        <w:snapToGrid w:val="0"/>
        <w:spacing w:afterAutospacing="1" w:line="312" w:lineRule="auto"/>
        <w:jc w:val="left"/>
        <w:rPr>
          <w:rFonts w:ascii="宋体" w:hAnsi="宋体"/>
          <w:sz w:val="30"/>
        </w:rPr>
        <w:sectPr>
          <w:pgSz w:w="16838" w:h="11906" w:orient="landscape"/>
          <w:pgMar w:top="1418" w:right="1361" w:bottom="924" w:left="1134" w:header="851" w:footer="992" w:gutter="0"/>
          <w:cols w:space="720" w:num="1"/>
        </w:sectPr>
      </w:pPr>
    </w:p>
    <w:p>
      <w:pPr>
        <w:snapToGrid w:val="0"/>
        <w:spacing w:beforeLines="50" w:after="50" w:line="312" w:lineRule="auto"/>
        <w:rPr>
          <w:rFonts w:hint="eastAsia" w:ascii="宋体" w:hAnsi="宋体" w:eastAsia="宋体"/>
          <w:b/>
          <w:sz w:val="24"/>
          <w:lang w:eastAsia="zh-CN"/>
        </w:rPr>
      </w:pPr>
      <w:r>
        <w:rPr>
          <w:rFonts w:hint="eastAsia" w:ascii="宋体" w:hAnsi="宋体"/>
          <w:b/>
          <w:sz w:val="24"/>
        </w:rPr>
        <w:t>十</w:t>
      </w:r>
      <w:r>
        <w:rPr>
          <w:rFonts w:hint="eastAsia" w:ascii="宋体" w:hAnsi="宋体"/>
          <w:b/>
          <w:sz w:val="24"/>
          <w:lang w:eastAsia="zh-CN"/>
        </w:rPr>
        <w:t>、</w:t>
      </w:r>
    </w:p>
    <w:p>
      <w:pPr>
        <w:snapToGrid w:val="0"/>
        <w:spacing w:beforeLines="50" w:after="50" w:line="312" w:lineRule="auto"/>
        <w:jc w:val="center"/>
        <w:rPr>
          <w:rFonts w:ascii="宋体" w:hAnsi="宋体"/>
          <w:b/>
          <w:sz w:val="24"/>
        </w:rPr>
      </w:pPr>
      <w:r>
        <w:rPr>
          <w:rFonts w:hint="eastAsia" w:ascii="宋体" w:hAnsi="宋体"/>
          <w:b/>
          <w:sz w:val="24"/>
        </w:rPr>
        <w:t>项目实施人员（主要从业人员及其技术资格）一览表</w:t>
      </w:r>
    </w:p>
    <w:p>
      <w:pPr>
        <w:snapToGrid w:val="0"/>
        <w:spacing w:beforeLines="50" w:after="50" w:line="312" w:lineRule="auto"/>
        <w:rPr>
          <w:rFonts w:ascii="宋体" w:hAnsi="宋体"/>
        </w:rPr>
      </w:pPr>
    </w:p>
    <w:p>
      <w:pPr>
        <w:snapToGrid w:val="0"/>
        <w:spacing w:line="312" w:lineRule="auto"/>
        <w:rPr>
          <w:rFonts w:ascii="宋体" w:hAnsi="宋体"/>
        </w:rPr>
      </w:pPr>
      <w:r>
        <w:rPr>
          <w:rFonts w:hint="eastAsia" w:ascii="宋体" w:hAnsi="宋体"/>
        </w:rPr>
        <w:t>项目名称：</w:t>
      </w:r>
    </w:p>
    <w:p>
      <w:pPr>
        <w:snapToGrid w:val="0"/>
        <w:spacing w:line="312" w:lineRule="auto"/>
        <w:rPr>
          <w:rFonts w:ascii="宋体"/>
        </w:rPr>
      </w:pPr>
      <w:r>
        <w:rPr>
          <w:rFonts w:hint="eastAsia" w:ascii="宋体" w:hAnsi="宋体"/>
        </w:rPr>
        <w:t>项目编号：</w:t>
      </w:r>
    </w:p>
    <w:tbl>
      <w:tblPr>
        <w:tblStyle w:val="35"/>
        <w:tblW w:w="925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bottom"/>
          </w:tcPr>
          <w:p>
            <w:pPr>
              <w:snapToGrid w:val="0"/>
              <w:spacing w:beforeLines="50" w:after="50" w:line="312" w:lineRule="auto"/>
              <w:rPr>
                <w:rFonts w:ascii="宋体" w:hAnsi="宋体"/>
              </w:rPr>
            </w:pPr>
            <w:r>
              <w:rPr>
                <w:rFonts w:hint="eastAsia" w:ascii="宋体" w:hAnsi="宋体"/>
              </w:rPr>
              <w:t>姓名</w:t>
            </w:r>
          </w:p>
        </w:tc>
        <w:tc>
          <w:tcPr>
            <w:tcW w:w="1004" w:type="dxa"/>
            <w:tcBorders>
              <w:top w:val="single" w:color="auto" w:sz="4" w:space="0"/>
              <w:left w:val="single" w:color="auto" w:sz="4" w:space="0"/>
              <w:bottom w:val="single" w:color="auto" w:sz="4" w:space="0"/>
              <w:right w:val="single" w:color="auto" w:sz="4" w:space="0"/>
            </w:tcBorders>
            <w:noWrap/>
            <w:vAlign w:val="bottom"/>
          </w:tcPr>
          <w:p>
            <w:pPr>
              <w:snapToGrid w:val="0"/>
              <w:spacing w:beforeLines="50" w:after="50" w:line="312" w:lineRule="auto"/>
              <w:rPr>
                <w:rFonts w:ascii="宋体" w:hAnsi="宋体"/>
              </w:rPr>
            </w:pPr>
            <w:r>
              <w:rPr>
                <w:rFonts w:hint="eastAsia" w:ascii="宋体" w:hAnsi="宋体"/>
              </w:rPr>
              <w:t>职务</w:t>
            </w:r>
          </w:p>
        </w:tc>
        <w:tc>
          <w:tcPr>
            <w:tcW w:w="1663" w:type="dxa"/>
            <w:tcBorders>
              <w:top w:val="single" w:color="auto" w:sz="4" w:space="0"/>
              <w:left w:val="single" w:color="auto" w:sz="4" w:space="0"/>
              <w:bottom w:val="single" w:color="auto" w:sz="4" w:space="0"/>
              <w:right w:val="single" w:color="auto" w:sz="4" w:space="0"/>
            </w:tcBorders>
            <w:noWrap/>
            <w:vAlign w:val="bottom"/>
          </w:tcPr>
          <w:p>
            <w:pPr>
              <w:snapToGrid w:val="0"/>
              <w:spacing w:beforeLines="50" w:after="50" w:line="312" w:lineRule="auto"/>
              <w:jc w:val="center"/>
              <w:rPr>
                <w:rFonts w:ascii="宋体" w:hAnsi="宋体"/>
              </w:rPr>
            </w:pPr>
            <w:r>
              <w:rPr>
                <w:rFonts w:hint="eastAsia" w:ascii="宋体" w:hAnsi="宋体"/>
              </w:rPr>
              <w:t>专业技术资格</w:t>
            </w:r>
          </w:p>
        </w:tc>
        <w:tc>
          <w:tcPr>
            <w:tcW w:w="1260" w:type="dxa"/>
            <w:tcBorders>
              <w:top w:val="single" w:color="auto" w:sz="4" w:space="0"/>
              <w:left w:val="single" w:color="auto" w:sz="4" w:space="0"/>
              <w:bottom w:val="single" w:color="auto" w:sz="4" w:space="0"/>
              <w:right w:val="single" w:color="auto" w:sz="4" w:space="0"/>
            </w:tcBorders>
            <w:noWrap/>
            <w:vAlign w:val="bottom"/>
          </w:tcPr>
          <w:p>
            <w:pPr>
              <w:snapToGrid w:val="0"/>
              <w:spacing w:beforeLines="50" w:after="50" w:line="312" w:lineRule="auto"/>
              <w:rPr>
                <w:rFonts w:ascii="宋体" w:hAnsi="宋体"/>
              </w:rPr>
            </w:pPr>
            <w:r>
              <w:rPr>
                <w:rFonts w:hint="eastAsia" w:ascii="宋体" w:hAnsi="宋体"/>
              </w:rPr>
              <w:t>证书编号</w:t>
            </w:r>
          </w:p>
        </w:tc>
        <w:tc>
          <w:tcPr>
            <w:tcW w:w="1620" w:type="dxa"/>
            <w:tcBorders>
              <w:top w:val="single" w:color="auto" w:sz="4" w:space="0"/>
              <w:left w:val="single" w:color="auto" w:sz="4" w:space="0"/>
              <w:bottom w:val="single" w:color="auto" w:sz="4" w:space="0"/>
              <w:right w:val="single" w:color="auto" w:sz="4" w:space="0"/>
            </w:tcBorders>
            <w:noWrap/>
            <w:vAlign w:val="bottom"/>
          </w:tcPr>
          <w:p>
            <w:pPr>
              <w:snapToGrid w:val="0"/>
              <w:spacing w:beforeLines="50" w:after="50" w:line="312" w:lineRule="auto"/>
              <w:rPr>
                <w:rFonts w:ascii="宋体" w:hAnsi="宋体"/>
              </w:rPr>
            </w:pPr>
            <w:r>
              <w:rPr>
                <w:rFonts w:hint="eastAsia" w:ascii="宋体" w:hAnsi="宋体"/>
              </w:rPr>
              <w:t>参加本单位工作时间</w:t>
            </w:r>
          </w:p>
        </w:tc>
        <w:tc>
          <w:tcPr>
            <w:tcW w:w="2700" w:type="dxa"/>
            <w:tcBorders>
              <w:top w:val="single" w:color="auto" w:sz="4" w:space="0"/>
              <w:left w:val="single" w:color="auto" w:sz="4" w:space="0"/>
              <w:bottom w:val="single" w:color="auto" w:sz="4" w:space="0"/>
              <w:right w:val="single" w:color="auto" w:sz="4" w:space="0"/>
            </w:tcBorders>
            <w:noWrap/>
            <w:vAlign w:val="bottom"/>
          </w:tcPr>
          <w:p>
            <w:pPr>
              <w:snapToGrid w:val="0"/>
              <w:spacing w:beforeLines="50" w:after="50" w:line="312" w:lineRule="auto"/>
              <w:rPr>
                <w:rFonts w:ascii="宋体" w:hAnsi="宋体"/>
              </w:rPr>
            </w:pPr>
            <w:r>
              <w:rPr>
                <w:rFonts w:hint="eastAsia" w:ascii="宋体" w:hAnsi="宋体"/>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tcPr>
          <w:p>
            <w:pPr>
              <w:pStyle w:val="21"/>
              <w:snapToGrid w:val="0"/>
              <w:spacing w:beforeLines="50" w:after="50" w:line="312" w:lineRule="auto"/>
              <w:ind w:left="5250"/>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c>
          <w:tcPr>
            <w:tcW w:w="2700" w:type="dxa"/>
            <w:tcBorders>
              <w:top w:val="single" w:color="auto" w:sz="4" w:space="0"/>
              <w:left w:val="single" w:color="auto" w:sz="4" w:space="0"/>
              <w:bottom w:val="single" w:color="auto" w:sz="4" w:space="0"/>
              <w:right w:val="single" w:color="auto" w:sz="4" w:space="0"/>
            </w:tcBorders>
            <w:noWrap/>
          </w:tcPr>
          <w:p>
            <w:pPr>
              <w:snapToGrid w:val="0"/>
              <w:spacing w:beforeLines="50" w:after="50" w:line="312" w:lineRule="auto"/>
              <w:rPr>
                <w:rFonts w:ascii="宋体" w:hAnsi="宋体"/>
                <w:sz w:val="24"/>
              </w:rPr>
            </w:pPr>
          </w:p>
        </w:tc>
      </w:tr>
    </w:tbl>
    <w:p>
      <w:pPr>
        <w:snapToGrid w:val="0"/>
        <w:spacing w:before="50" w:afterLines="50" w:line="312" w:lineRule="auto"/>
        <w:jc w:val="left"/>
        <w:rPr>
          <w:rFonts w:ascii="宋体" w:hAnsi="宋体"/>
        </w:rPr>
      </w:pPr>
      <w:r>
        <w:rPr>
          <w:rFonts w:hint="eastAsia" w:ascii="宋体" w:hAnsi="宋体"/>
        </w:rPr>
        <w:t>注：在填写时，如本表格不适合投标单位的实际情况，可根据本表格式自行划表填写。</w:t>
      </w:r>
    </w:p>
    <w:p>
      <w:pPr>
        <w:snapToGrid w:val="0"/>
        <w:ind w:left="2" w:right="-817" w:rightChars="-389"/>
        <w:rPr>
          <w:rFonts w:ascii="宋体" w:hAnsi="宋体"/>
        </w:rPr>
      </w:pPr>
    </w:p>
    <w:p>
      <w:pPr>
        <w:snapToGrid w:val="0"/>
        <w:spacing w:before="50" w:afterLines="50" w:line="312" w:lineRule="auto"/>
        <w:jc w:val="left"/>
        <w:rPr>
          <w:rFonts w:ascii="宋体" w:hAnsi="宋体"/>
          <w:spacing w:val="20"/>
          <w:sz w:val="24"/>
          <w:u w:val="single"/>
        </w:rPr>
      </w:pPr>
      <w:r>
        <w:rPr>
          <w:rFonts w:hint="eastAsia" w:ascii="宋体" w:hAnsi="宋体"/>
        </w:rPr>
        <w:t>投标人名称（盖章）：</w:t>
      </w:r>
      <w:r>
        <w:rPr>
          <w:rFonts w:hint="eastAsia" w:ascii="宋体" w:hAnsi="宋体"/>
          <w:spacing w:val="20"/>
          <w:sz w:val="24"/>
        </w:rPr>
        <w:t>日期：</w:t>
      </w:r>
    </w:p>
    <w:p>
      <w:pPr>
        <w:snapToGrid w:val="0"/>
        <w:spacing w:before="50" w:afterLines="50" w:line="312" w:lineRule="auto"/>
        <w:jc w:val="left"/>
        <w:rPr>
          <w:rFonts w:ascii="宋体" w:hAnsi="宋体"/>
          <w:sz w:val="24"/>
        </w:rPr>
      </w:pPr>
    </w:p>
    <w:p>
      <w:pPr>
        <w:snapToGrid w:val="0"/>
        <w:spacing w:before="50" w:after="50" w:line="312" w:lineRule="auto"/>
        <w:rPr>
          <w:rFonts w:ascii="宋体" w:hAnsi="宋体"/>
          <w:spacing w:val="20"/>
          <w:sz w:val="24"/>
        </w:rPr>
      </w:pPr>
    </w:p>
    <w:p>
      <w:pPr>
        <w:snapToGrid w:val="0"/>
        <w:spacing w:before="50" w:after="50" w:line="312" w:lineRule="auto"/>
        <w:rPr>
          <w:rFonts w:ascii="宋体" w:hAnsi="宋体"/>
          <w:spacing w:val="20"/>
          <w:sz w:val="24"/>
        </w:rPr>
      </w:pPr>
    </w:p>
    <w:p>
      <w:pPr>
        <w:snapToGrid w:val="0"/>
        <w:spacing w:before="50" w:afterLines="50" w:line="312" w:lineRule="auto"/>
        <w:jc w:val="left"/>
        <w:rPr>
          <w:rFonts w:ascii="宋体" w:hAnsi="宋体"/>
          <w:sz w:val="24"/>
        </w:rPr>
      </w:pPr>
    </w:p>
    <w:p>
      <w:pPr>
        <w:snapToGrid w:val="0"/>
        <w:spacing w:before="50" w:afterLines="50" w:line="312" w:lineRule="auto"/>
        <w:jc w:val="left"/>
        <w:rPr>
          <w:rFonts w:ascii="宋体" w:hAnsi="宋体"/>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Pr>
        <w:snapToGrid w:val="0"/>
        <w:spacing w:before="50" w:afterLines="50"/>
        <w:jc w:val="left"/>
        <w:rPr>
          <w:rFonts w:ascii="宋体" w:hAnsi="宋体"/>
          <w:b/>
          <w:sz w:val="24"/>
        </w:rPr>
      </w:pPr>
      <w:r>
        <w:rPr>
          <w:rFonts w:hint="eastAsia" w:ascii="宋体" w:hAnsi="宋体"/>
          <w:b/>
          <w:sz w:val="24"/>
        </w:rPr>
        <w:t>十一、技术响应表格式：</w:t>
      </w:r>
    </w:p>
    <w:p>
      <w:pPr>
        <w:rPr>
          <w:rFonts w:ascii="宋体" w:hAnsi="宋体"/>
        </w:rPr>
      </w:pPr>
      <w:r>
        <w:rPr>
          <w:rFonts w:hint="eastAsia" w:ascii="宋体" w:hAnsi="宋体"/>
        </w:rPr>
        <w:t>项目名称：</w:t>
      </w:r>
    </w:p>
    <w:p>
      <w:pPr>
        <w:snapToGrid w:val="0"/>
        <w:spacing w:line="360" w:lineRule="auto"/>
        <w:rPr>
          <w:rFonts w:ascii="宋体"/>
        </w:rPr>
      </w:pPr>
      <w:r>
        <w:rPr>
          <w:rFonts w:hint="eastAsia" w:ascii="宋体" w:hAnsi="宋体"/>
        </w:rPr>
        <w:t>项目编号：</w:t>
      </w:r>
    </w:p>
    <w:tbl>
      <w:tblPr>
        <w:tblStyle w:val="35"/>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860"/>
        <w:gridCol w:w="2280"/>
        <w:gridCol w:w="2040"/>
        <w:gridCol w:w="1604"/>
        <w:gridCol w:w="1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3"/>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240" w:lineRule="auto"/>
              <w:jc w:val="center"/>
              <w:outlineLvl w:val="0"/>
              <w:rPr>
                <w:rFonts w:hAnsi="宋体"/>
              </w:rPr>
            </w:pPr>
            <w:r>
              <w:rPr>
                <w:rFonts w:hAnsi="宋体"/>
              </w:rPr>
              <w:t>招标文件要求</w:t>
            </w:r>
          </w:p>
        </w:tc>
        <w:tc>
          <w:tcPr>
            <w:tcW w:w="3644" w:type="dxa"/>
            <w:gridSpan w:val="2"/>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240" w:lineRule="auto"/>
              <w:jc w:val="center"/>
              <w:outlineLvl w:val="0"/>
              <w:rPr>
                <w:rFonts w:hAnsi="宋体"/>
              </w:rPr>
            </w:pPr>
            <w:r>
              <w:rPr>
                <w:rFonts w:hAnsi="宋体"/>
              </w:rPr>
              <w:t>投标文件响应</w:t>
            </w:r>
          </w:p>
        </w:tc>
        <w:tc>
          <w:tcPr>
            <w:tcW w:w="1423" w:type="dxa"/>
            <w:vMerge w:val="restart"/>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240" w:lineRule="auto"/>
              <w:jc w:val="center"/>
              <w:outlineLvl w:val="0"/>
              <w:rPr>
                <w:rFonts w:hAnsi="宋体"/>
              </w:rPr>
            </w:pPr>
            <w:r>
              <w:rPr>
                <w:rFonts w:hAnsi="宋体"/>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gridSpan w:val="2"/>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240" w:lineRule="auto"/>
              <w:jc w:val="center"/>
              <w:outlineLvl w:val="0"/>
              <w:rPr>
                <w:rFonts w:hAnsi="宋体"/>
              </w:rPr>
            </w:pPr>
            <w:r>
              <w:rPr>
                <w:rFonts w:hAnsi="宋体"/>
              </w:rPr>
              <w:t>项目</w:t>
            </w:r>
          </w:p>
        </w:tc>
        <w:tc>
          <w:tcPr>
            <w:tcW w:w="228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240" w:lineRule="auto"/>
              <w:jc w:val="center"/>
              <w:outlineLvl w:val="0"/>
              <w:rPr>
                <w:rFonts w:hAnsi="宋体"/>
              </w:rPr>
            </w:pPr>
            <w:r>
              <w:rPr>
                <w:rFonts w:hAnsi="宋体"/>
              </w:rPr>
              <w:t>要求</w:t>
            </w:r>
          </w:p>
        </w:tc>
        <w:tc>
          <w:tcPr>
            <w:tcW w:w="204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240" w:lineRule="auto"/>
              <w:jc w:val="center"/>
              <w:outlineLvl w:val="0"/>
              <w:rPr>
                <w:rFonts w:hAnsi="宋体"/>
              </w:rPr>
            </w:pPr>
            <w:r>
              <w:rPr>
                <w:rFonts w:hint="eastAsia" w:hAnsi="宋体"/>
              </w:rPr>
              <w:t xml:space="preserve"> 项目</w:t>
            </w:r>
          </w:p>
        </w:tc>
        <w:tc>
          <w:tcPr>
            <w:tcW w:w="1604"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240" w:lineRule="auto"/>
              <w:jc w:val="center"/>
              <w:outlineLvl w:val="0"/>
              <w:rPr>
                <w:rFonts w:hAnsi="宋体"/>
              </w:rPr>
            </w:pPr>
            <w:r>
              <w:rPr>
                <w:rFonts w:hint="eastAsia" w:hAnsi="宋体"/>
              </w:rPr>
              <w:t>要求</w:t>
            </w:r>
          </w:p>
        </w:tc>
        <w:tc>
          <w:tcPr>
            <w:tcW w:w="1423" w:type="dxa"/>
            <w:vMerge w:val="continue"/>
            <w:tcBorders>
              <w:top w:val="single" w:color="auto" w:sz="4" w:space="0"/>
              <w:left w:val="single" w:color="auto" w:sz="4" w:space="0"/>
              <w:bottom w:val="single" w:color="auto" w:sz="4" w:space="0"/>
              <w:right w:val="single" w:color="auto" w:sz="4" w:space="0"/>
            </w:tcBorders>
            <w:noWrap/>
            <w:vAlign w:val="center"/>
          </w:tcPr>
          <w:p>
            <w:pPr>
              <w:spacing w:line="1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808"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240" w:lineRule="auto"/>
              <w:jc w:val="center"/>
              <w:outlineLvl w:val="0"/>
              <w:rPr>
                <w:rFonts w:hAnsi="宋体"/>
              </w:rPr>
            </w:pPr>
          </w:p>
        </w:tc>
        <w:tc>
          <w:tcPr>
            <w:tcW w:w="86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240" w:lineRule="auto"/>
              <w:jc w:val="center"/>
              <w:outlineLvl w:val="0"/>
              <w:rPr>
                <w:rFonts w:hAnsi="宋体"/>
              </w:rPr>
            </w:pPr>
          </w:p>
        </w:tc>
        <w:tc>
          <w:tcPr>
            <w:tcW w:w="228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120" w:lineRule="exact"/>
              <w:jc w:val="center"/>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120" w:lineRule="exact"/>
              <w:jc w:val="center"/>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120" w:lineRule="exact"/>
              <w:jc w:val="center"/>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120" w:lineRule="exact"/>
              <w:jc w:val="center"/>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8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0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8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120" w:lineRule="exact"/>
              <w:rPr>
                <w:rFonts w:hAnsi="宋体"/>
              </w:rPr>
            </w:pPr>
          </w:p>
        </w:tc>
        <w:tc>
          <w:tcPr>
            <w:tcW w:w="2040"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rPr>
                <w:rFonts w:hAnsi="宋体"/>
              </w:rPr>
            </w:pPr>
          </w:p>
        </w:tc>
        <w:tc>
          <w:tcPr>
            <w:tcW w:w="1604"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rPr>
                <w:rFonts w:hAnsi="宋体"/>
              </w:rPr>
            </w:pPr>
          </w:p>
        </w:tc>
        <w:tc>
          <w:tcPr>
            <w:tcW w:w="1423"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0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8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0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8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0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8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0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8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0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8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0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8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0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8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0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8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p>
        </w:tc>
        <w:tc>
          <w:tcPr>
            <w:tcW w:w="2280" w:type="dxa"/>
            <w:tcBorders>
              <w:top w:val="single" w:color="auto" w:sz="4" w:space="0"/>
              <w:left w:val="single" w:color="auto" w:sz="4" w:space="0"/>
              <w:bottom w:val="single" w:color="auto" w:sz="4" w:space="0"/>
              <w:right w:val="single" w:color="auto" w:sz="4" w:space="0"/>
            </w:tcBorders>
            <w:noWrap/>
            <w:vAlign w:val="center"/>
          </w:tcPr>
          <w:p>
            <w:pPr>
              <w:pStyle w:val="20"/>
              <w:snapToGrid w:val="0"/>
              <w:spacing w:before="156" w:after="295" w:line="120" w:lineRule="exact"/>
              <w:outlineLvl w:val="0"/>
              <w:rPr>
                <w:rFonts w:hAnsi="宋体"/>
              </w:rPr>
            </w:pPr>
          </w:p>
        </w:tc>
        <w:tc>
          <w:tcPr>
            <w:tcW w:w="2040"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604"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c>
          <w:tcPr>
            <w:tcW w:w="1423" w:type="dxa"/>
            <w:tcBorders>
              <w:top w:val="single" w:color="auto" w:sz="4" w:space="0"/>
              <w:left w:val="single" w:color="auto" w:sz="4" w:space="0"/>
              <w:bottom w:val="single" w:color="auto" w:sz="4" w:space="0"/>
              <w:right w:val="single" w:color="auto" w:sz="4" w:space="0"/>
            </w:tcBorders>
            <w:noWrap/>
          </w:tcPr>
          <w:p>
            <w:pPr>
              <w:pStyle w:val="20"/>
              <w:snapToGrid w:val="0"/>
              <w:spacing w:before="156" w:after="295" w:line="120" w:lineRule="exact"/>
              <w:outlineLvl w:val="0"/>
              <w:rPr>
                <w:rFonts w:hAnsi="宋体"/>
              </w:rPr>
            </w:pPr>
          </w:p>
        </w:tc>
      </w:tr>
    </w:tbl>
    <w:p>
      <w:pPr>
        <w:pStyle w:val="16"/>
        <w:rPr>
          <w:rFonts w:ascii="宋体" w:eastAsia="宋体"/>
          <w:spacing w:val="20"/>
        </w:rPr>
      </w:pPr>
      <w:r>
        <w:rPr>
          <w:rFonts w:hint="eastAsia" w:ascii="宋体" w:eastAsia="宋体"/>
          <w:sz w:val="21"/>
        </w:rPr>
        <w:t>注：投标人应根据投标项目，对照招标文件要求在“偏离情况”栏注明“正偏离”、“负偏离”或“无偏离”。</w:t>
      </w:r>
    </w:p>
    <w:p>
      <w:pPr>
        <w:snapToGrid w:val="0"/>
        <w:spacing w:before="50" w:after="50"/>
        <w:rPr>
          <w:rFonts w:ascii="宋体" w:hAnsi="宋体"/>
        </w:rPr>
      </w:pPr>
    </w:p>
    <w:p>
      <w:pPr>
        <w:snapToGrid w:val="0"/>
        <w:ind w:left="2" w:right="-817" w:rightChars="-389"/>
        <w:rPr>
          <w:rFonts w:ascii="宋体" w:hAnsi="宋体"/>
        </w:rPr>
      </w:pPr>
    </w:p>
    <w:p>
      <w:pPr>
        <w:snapToGrid w:val="0"/>
        <w:spacing w:before="50" w:after="50"/>
        <w:rPr>
          <w:rFonts w:ascii="宋体" w:hAnsi="宋体"/>
          <w:sz w:val="24"/>
        </w:rPr>
      </w:pPr>
      <w:r>
        <w:rPr>
          <w:rFonts w:hint="eastAsia" w:ascii="宋体" w:hAnsi="宋体"/>
        </w:rPr>
        <w:t>投标人名称（盖章）：                       日期：</w:t>
      </w:r>
    </w:p>
    <w:p>
      <w:pPr>
        <w:snapToGrid w:val="0"/>
        <w:spacing w:before="50" w:afterLines="50"/>
        <w:jc w:val="left"/>
        <w:rPr>
          <w:rFonts w:ascii="宋体" w:hAnsi="宋体"/>
          <w:b/>
          <w:sz w:val="24"/>
        </w:rPr>
      </w:pPr>
    </w:p>
    <w:p>
      <w:pPr>
        <w:snapToGrid w:val="0"/>
        <w:spacing w:before="50" w:afterLines="50"/>
        <w:jc w:val="left"/>
        <w:rPr>
          <w:rFonts w:ascii="宋体" w:hAnsi="宋体"/>
          <w:b/>
          <w:sz w:val="24"/>
        </w:rPr>
      </w:pPr>
    </w:p>
    <w:p/>
    <w:p/>
    <w:sectPr>
      <w:pgSz w:w="11906" w:h="16838"/>
      <w:pgMar w:top="1304" w:right="1531" w:bottom="1304" w:left="1531" w:header="1304"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大黑简体">
    <w:altName w:val="黑体"/>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26</w:t>
    </w:r>
    <w:r>
      <w:fldChar w:fldCharType="end"/>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w:t>
    </w:r>
    <w:r>
      <w:fldChar w:fldCharType="end"/>
    </w:r>
  </w:p>
  <w:p>
    <w:pP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18"/>
      <w:lvlText w:val="%1."/>
      <w:lvlJc w:val="left"/>
      <w:pPr>
        <w:tabs>
          <w:tab w:val="left" w:pos="360"/>
        </w:tabs>
        <w:ind w:left="360" w:hanging="360"/>
      </w:pPr>
    </w:lvl>
  </w:abstractNum>
  <w:abstractNum w:abstractNumId="1">
    <w:nsid w:val="00000002"/>
    <w:multiLevelType w:val="singleLevel"/>
    <w:tmpl w:val="00000002"/>
    <w:lvl w:ilvl="0" w:tentative="0">
      <w:start w:val="1"/>
      <w:numFmt w:val="bullet"/>
      <w:pStyle w:val="75"/>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4">
    <w:nsid w:val="2811445A"/>
    <w:multiLevelType w:val="multilevel"/>
    <w:tmpl w:val="2811445A"/>
    <w:lvl w:ilvl="0" w:tentative="0">
      <w:start w:val="1"/>
      <w:numFmt w:val="decimalEnclosedCircle"/>
      <w:pStyle w:val="88"/>
      <w:lvlText w:val="%1"/>
      <w:lvlJc w:val="left"/>
      <w:pPr>
        <w:tabs>
          <w:tab w:val="left" w:pos="840"/>
        </w:tabs>
        <w:ind w:left="840" w:hanging="360"/>
      </w:pPr>
      <w:rPr>
        <w:rFonts w:hint="default" w:ascii="宋体" w:hAnsi="宋体"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4"/>
  </w:num>
  <w:num w:numId="4">
    <w:abstractNumId w:val="3"/>
    <w:lvlOverride w:ilvl="0">
      <w:startOverride w:val="1"/>
    </w:lvlOverride>
  </w:num>
  <w:num w:numId="5">
    <w:abstractNumId w:val="3"/>
  </w:num>
  <w:num w:numId="6">
    <w:abstractNumId w:val="2"/>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lZDNiNjc4N2Y5YzJiNWY0NjQxMTBmZmRlYWU5ZTMifQ=="/>
  </w:docVars>
  <w:rsids>
    <w:rsidRoot w:val="0032445D"/>
    <w:rsid w:val="0000490F"/>
    <w:rsid w:val="00027854"/>
    <w:rsid w:val="00033836"/>
    <w:rsid w:val="00092492"/>
    <w:rsid w:val="0009387A"/>
    <w:rsid w:val="000A0013"/>
    <w:rsid w:val="000A3091"/>
    <w:rsid w:val="000A4086"/>
    <w:rsid w:val="00117FB3"/>
    <w:rsid w:val="001230F2"/>
    <w:rsid w:val="001363F4"/>
    <w:rsid w:val="00147D1A"/>
    <w:rsid w:val="001646D6"/>
    <w:rsid w:val="001B5A3D"/>
    <w:rsid w:val="001C4C6E"/>
    <w:rsid w:val="001E7BB7"/>
    <w:rsid w:val="00203D64"/>
    <w:rsid w:val="002264E5"/>
    <w:rsid w:val="002A0596"/>
    <w:rsid w:val="00307ACC"/>
    <w:rsid w:val="00314934"/>
    <w:rsid w:val="00316954"/>
    <w:rsid w:val="0032445D"/>
    <w:rsid w:val="00324EB5"/>
    <w:rsid w:val="00344ED5"/>
    <w:rsid w:val="003459B4"/>
    <w:rsid w:val="0035562C"/>
    <w:rsid w:val="003756F4"/>
    <w:rsid w:val="0038414A"/>
    <w:rsid w:val="0038728C"/>
    <w:rsid w:val="003D5CDE"/>
    <w:rsid w:val="003D6192"/>
    <w:rsid w:val="003D713B"/>
    <w:rsid w:val="00423DA6"/>
    <w:rsid w:val="004464E9"/>
    <w:rsid w:val="004553CA"/>
    <w:rsid w:val="00463AFD"/>
    <w:rsid w:val="00471094"/>
    <w:rsid w:val="00491556"/>
    <w:rsid w:val="00497CB5"/>
    <w:rsid w:val="004B3942"/>
    <w:rsid w:val="004F2DF6"/>
    <w:rsid w:val="004F3FA4"/>
    <w:rsid w:val="004F641D"/>
    <w:rsid w:val="0051066F"/>
    <w:rsid w:val="00520877"/>
    <w:rsid w:val="00533BC1"/>
    <w:rsid w:val="00547C79"/>
    <w:rsid w:val="00572CE7"/>
    <w:rsid w:val="005846A1"/>
    <w:rsid w:val="0058547E"/>
    <w:rsid w:val="005B46C8"/>
    <w:rsid w:val="006543F7"/>
    <w:rsid w:val="00671CC7"/>
    <w:rsid w:val="006768C3"/>
    <w:rsid w:val="006D5797"/>
    <w:rsid w:val="00701DAE"/>
    <w:rsid w:val="00704080"/>
    <w:rsid w:val="00705324"/>
    <w:rsid w:val="007164C3"/>
    <w:rsid w:val="00723BF6"/>
    <w:rsid w:val="00733ABF"/>
    <w:rsid w:val="0077337B"/>
    <w:rsid w:val="00791AA9"/>
    <w:rsid w:val="007B499E"/>
    <w:rsid w:val="00816335"/>
    <w:rsid w:val="00826957"/>
    <w:rsid w:val="008331C5"/>
    <w:rsid w:val="00835CDC"/>
    <w:rsid w:val="008465BB"/>
    <w:rsid w:val="00847F96"/>
    <w:rsid w:val="00852C54"/>
    <w:rsid w:val="008535DD"/>
    <w:rsid w:val="0086574D"/>
    <w:rsid w:val="008845A6"/>
    <w:rsid w:val="009121F4"/>
    <w:rsid w:val="00932005"/>
    <w:rsid w:val="0093252E"/>
    <w:rsid w:val="00963889"/>
    <w:rsid w:val="00967C4A"/>
    <w:rsid w:val="0097475B"/>
    <w:rsid w:val="0098224B"/>
    <w:rsid w:val="00995B9A"/>
    <w:rsid w:val="009C7740"/>
    <w:rsid w:val="00A00683"/>
    <w:rsid w:val="00A01EFB"/>
    <w:rsid w:val="00A03609"/>
    <w:rsid w:val="00A206FD"/>
    <w:rsid w:val="00A35696"/>
    <w:rsid w:val="00A45EC3"/>
    <w:rsid w:val="00A55C3A"/>
    <w:rsid w:val="00A80AB4"/>
    <w:rsid w:val="00AB21EB"/>
    <w:rsid w:val="00AB4DF7"/>
    <w:rsid w:val="00AD2801"/>
    <w:rsid w:val="00AF3C22"/>
    <w:rsid w:val="00B113E6"/>
    <w:rsid w:val="00B169AD"/>
    <w:rsid w:val="00B240C4"/>
    <w:rsid w:val="00B5374B"/>
    <w:rsid w:val="00B62750"/>
    <w:rsid w:val="00B75BF9"/>
    <w:rsid w:val="00B778A6"/>
    <w:rsid w:val="00B82627"/>
    <w:rsid w:val="00B92402"/>
    <w:rsid w:val="00BA4512"/>
    <w:rsid w:val="00BB751B"/>
    <w:rsid w:val="00BD6D44"/>
    <w:rsid w:val="00C178D1"/>
    <w:rsid w:val="00C2508A"/>
    <w:rsid w:val="00C34C59"/>
    <w:rsid w:val="00C50729"/>
    <w:rsid w:val="00C54904"/>
    <w:rsid w:val="00C65DE4"/>
    <w:rsid w:val="00C74EE6"/>
    <w:rsid w:val="00C77D9B"/>
    <w:rsid w:val="00CC14CB"/>
    <w:rsid w:val="00CF58AD"/>
    <w:rsid w:val="00CF7DF2"/>
    <w:rsid w:val="00D41635"/>
    <w:rsid w:val="00D41EED"/>
    <w:rsid w:val="00D757A7"/>
    <w:rsid w:val="00D766DC"/>
    <w:rsid w:val="00D90EAD"/>
    <w:rsid w:val="00DD3C8F"/>
    <w:rsid w:val="00DD57C3"/>
    <w:rsid w:val="00E039E9"/>
    <w:rsid w:val="00E05811"/>
    <w:rsid w:val="00E212E2"/>
    <w:rsid w:val="00E22D8F"/>
    <w:rsid w:val="00E5336C"/>
    <w:rsid w:val="00EB5A4A"/>
    <w:rsid w:val="00ED105C"/>
    <w:rsid w:val="00F01D95"/>
    <w:rsid w:val="00F4150E"/>
    <w:rsid w:val="00F45C94"/>
    <w:rsid w:val="00F85F6B"/>
    <w:rsid w:val="00F90E4C"/>
    <w:rsid w:val="00F94708"/>
    <w:rsid w:val="00F94F50"/>
    <w:rsid w:val="00FA5E57"/>
    <w:rsid w:val="00FC53A5"/>
    <w:rsid w:val="010B7F16"/>
    <w:rsid w:val="031F4625"/>
    <w:rsid w:val="077430E4"/>
    <w:rsid w:val="07DB2C0D"/>
    <w:rsid w:val="087A28D8"/>
    <w:rsid w:val="0BC62F89"/>
    <w:rsid w:val="0F0D0734"/>
    <w:rsid w:val="0F697970"/>
    <w:rsid w:val="109A0B17"/>
    <w:rsid w:val="11553800"/>
    <w:rsid w:val="15AE7B44"/>
    <w:rsid w:val="15B47C05"/>
    <w:rsid w:val="16366BC9"/>
    <w:rsid w:val="180A4C18"/>
    <w:rsid w:val="19673D40"/>
    <w:rsid w:val="20080DBA"/>
    <w:rsid w:val="214F751D"/>
    <w:rsid w:val="21C538F8"/>
    <w:rsid w:val="23292296"/>
    <w:rsid w:val="244A7191"/>
    <w:rsid w:val="265526D5"/>
    <w:rsid w:val="26E15B99"/>
    <w:rsid w:val="28B95B99"/>
    <w:rsid w:val="28E5502E"/>
    <w:rsid w:val="2B970B80"/>
    <w:rsid w:val="2C2440A3"/>
    <w:rsid w:val="2C6776DC"/>
    <w:rsid w:val="31AD68E8"/>
    <w:rsid w:val="35870323"/>
    <w:rsid w:val="369D4743"/>
    <w:rsid w:val="38DC6208"/>
    <w:rsid w:val="3A205EEE"/>
    <w:rsid w:val="3B245E6D"/>
    <w:rsid w:val="3B3616FD"/>
    <w:rsid w:val="3FD414E4"/>
    <w:rsid w:val="41005146"/>
    <w:rsid w:val="42472893"/>
    <w:rsid w:val="42A3182D"/>
    <w:rsid w:val="43E97A67"/>
    <w:rsid w:val="44732B9A"/>
    <w:rsid w:val="46004DE1"/>
    <w:rsid w:val="4A114D32"/>
    <w:rsid w:val="4BBE2E1E"/>
    <w:rsid w:val="4C8D6112"/>
    <w:rsid w:val="4D9A0CA7"/>
    <w:rsid w:val="4F0C1043"/>
    <w:rsid w:val="4F8B735B"/>
    <w:rsid w:val="4FF62463"/>
    <w:rsid w:val="51A056CA"/>
    <w:rsid w:val="52940A58"/>
    <w:rsid w:val="53535A20"/>
    <w:rsid w:val="545D5AF4"/>
    <w:rsid w:val="55EC63FA"/>
    <w:rsid w:val="561D6728"/>
    <w:rsid w:val="574134AB"/>
    <w:rsid w:val="578D77C3"/>
    <w:rsid w:val="58D602E5"/>
    <w:rsid w:val="5A025174"/>
    <w:rsid w:val="5F8D4EC3"/>
    <w:rsid w:val="60695F4D"/>
    <w:rsid w:val="644D28C6"/>
    <w:rsid w:val="6587477F"/>
    <w:rsid w:val="66E12C51"/>
    <w:rsid w:val="6DC27953"/>
    <w:rsid w:val="6DD007B1"/>
    <w:rsid w:val="6F4D6671"/>
    <w:rsid w:val="70354B44"/>
    <w:rsid w:val="72FD54F4"/>
    <w:rsid w:val="73223D39"/>
    <w:rsid w:val="745F5087"/>
    <w:rsid w:val="76A01DB8"/>
    <w:rsid w:val="78B362BC"/>
    <w:rsid w:val="7CB4634A"/>
    <w:rsid w:val="7D6142F2"/>
    <w:rsid w:val="7D621902"/>
    <w:rsid w:val="7FF22B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qFormat="1"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next w:val="1"/>
    <w:link w:val="46"/>
    <w:qFormat/>
    <w:uiPriority w:val="9"/>
    <w:pPr>
      <w:keepNext/>
      <w:keepLines/>
      <w:tabs>
        <w:tab w:val="left" w:pos="1440"/>
      </w:tabs>
      <w:spacing w:beforeLines="250" w:afterLines="150" w:line="360" w:lineRule="auto"/>
      <w:jc w:val="center"/>
      <w:outlineLvl w:val="0"/>
    </w:pPr>
    <w:rPr>
      <w:rFonts w:ascii="Times New Roman" w:hAnsi="Times New Roman" w:eastAsia="黑体" w:cs="Times New Roman"/>
      <w:b/>
      <w:bCs/>
      <w:kern w:val="44"/>
      <w:sz w:val="52"/>
      <w:lang w:val="en-US" w:eastAsia="zh-CN" w:bidi="ar-SA"/>
    </w:rPr>
  </w:style>
  <w:style w:type="paragraph" w:styleId="5">
    <w:name w:val="heading 2"/>
    <w:basedOn w:val="1"/>
    <w:next w:val="1"/>
    <w:link w:val="47"/>
    <w:qFormat/>
    <w:uiPriority w:val="0"/>
    <w:pPr>
      <w:keepNext/>
      <w:keepLines/>
      <w:spacing w:before="260" w:after="260" w:line="408" w:lineRule="auto"/>
      <w:outlineLvl w:val="1"/>
    </w:pPr>
    <w:rPr>
      <w:rFonts w:ascii="Arial" w:hAnsi="Arial" w:eastAsia="黑体"/>
      <w:b/>
      <w:kern w:val="0"/>
      <w:sz w:val="32"/>
      <w:szCs w:val="20"/>
    </w:rPr>
  </w:style>
  <w:style w:type="paragraph" w:styleId="6">
    <w:name w:val="heading 3"/>
    <w:next w:val="1"/>
    <w:link w:val="48"/>
    <w:qFormat/>
    <w:uiPriority w:val="9"/>
    <w:pPr>
      <w:keepNext/>
      <w:keepLines/>
      <w:tabs>
        <w:tab w:val="left" w:pos="567"/>
      </w:tabs>
      <w:spacing w:beforeLines="50" w:afterLines="50" w:line="360" w:lineRule="auto"/>
      <w:outlineLvl w:val="2"/>
    </w:pPr>
    <w:rPr>
      <w:rFonts w:ascii="Times New Roman" w:hAnsi="Times New Roman" w:eastAsia="黑体" w:cs="Times New Roman"/>
      <w:b/>
      <w:bCs/>
      <w:kern w:val="2"/>
      <w:sz w:val="36"/>
      <w:szCs w:val="36"/>
      <w:lang w:val="en-US" w:eastAsia="zh-CN" w:bidi="ar-SA"/>
    </w:rPr>
  </w:style>
  <w:style w:type="paragraph" w:styleId="7">
    <w:name w:val="heading 4"/>
    <w:next w:val="1"/>
    <w:link w:val="49"/>
    <w:qFormat/>
    <w:uiPriority w:val="0"/>
    <w:pPr>
      <w:keepNext/>
      <w:keepLines/>
      <w:tabs>
        <w:tab w:val="left" w:pos="-420"/>
      </w:tabs>
      <w:spacing w:beforeLines="50" w:afterLines="50" w:line="360" w:lineRule="auto"/>
      <w:outlineLvl w:val="3"/>
    </w:pPr>
    <w:rPr>
      <w:rFonts w:ascii="Arial" w:hAnsi="Arial" w:eastAsia="黑体" w:cs="Times New Roman"/>
      <w:b/>
      <w:bCs/>
      <w:kern w:val="2"/>
      <w:sz w:val="30"/>
      <w:szCs w:val="28"/>
      <w:lang w:val="en-US" w:eastAsia="zh-CN" w:bidi="ar-SA"/>
    </w:rPr>
  </w:style>
  <w:style w:type="paragraph" w:styleId="8">
    <w:name w:val="heading 5"/>
    <w:next w:val="1"/>
    <w:link w:val="50"/>
    <w:qFormat/>
    <w:uiPriority w:val="9"/>
    <w:pPr>
      <w:keepNext/>
      <w:keepLines/>
      <w:tabs>
        <w:tab w:val="left" w:pos="-420"/>
      </w:tabs>
      <w:spacing w:beforeLines="50" w:afterLines="50" w:line="377" w:lineRule="auto"/>
      <w:outlineLvl w:val="4"/>
    </w:pPr>
    <w:rPr>
      <w:rFonts w:ascii="Times New Roman" w:hAnsi="Times New Roman" w:eastAsia="宋体" w:cs="Times New Roman"/>
      <w:b/>
      <w:bCs/>
      <w:kern w:val="2"/>
      <w:sz w:val="28"/>
      <w:szCs w:val="28"/>
      <w:lang w:val="en-US" w:eastAsia="zh-CN"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4"/>
    <w:unhideWhenUsed/>
    <w:qFormat/>
    <w:uiPriority w:val="99"/>
    <w:pPr>
      <w:ind w:firstLine="420" w:firstLineChars="100"/>
    </w:pPr>
    <w:rPr>
      <w:rFonts w:ascii="Times New Roman"/>
      <w:sz w:val="21"/>
    </w:rPr>
  </w:style>
  <w:style w:type="paragraph" w:styleId="3">
    <w:name w:val="Body Text"/>
    <w:basedOn w:val="1"/>
    <w:link w:val="51"/>
    <w:qFormat/>
    <w:uiPriority w:val="99"/>
    <w:pPr>
      <w:spacing w:after="120"/>
    </w:pPr>
    <w:rPr>
      <w:rFonts w:ascii="Calibri" w:hAnsi="Calibri"/>
      <w:kern w:val="0"/>
      <w:sz w:val="28"/>
    </w:rPr>
  </w:style>
  <w:style w:type="paragraph" w:styleId="9">
    <w:name w:val="toc 7"/>
    <w:basedOn w:val="1"/>
    <w:next w:val="1"/>
    <w:semiHidden/>
    <w:unhideWhenUsed/>
    <w:qFormat/>
    <w:uiPriority w:val="39"/>
    <w:pPr>
      <w:ind w:left="2520" w:leftChars="1200"/>
    </w:pPr>
  </w:style>
  <w:style w:type="paragraph" w:styleId="10">
    <w:name w:val="List Number"/>
    <w:basedOn w:val="1"/>
    <w:qFormat/>
    <w:uiPriority w:val="0"/>
    <w:pPr>
      <w:tabs>
        <w:tab w:val="left" w:pos="360"/>
      </w:tabs>
      <w:ind w:left="360" w:hanging="360"/>
    </w:pPr>
  </w:style>
  <w:style w:type="paragraph" w:styleId="11">
    <w:name w:val="Normal Indent"/>
    <w:basedOn w:val="1"/>
    <w:qFormat/>
    <w:uiPriority w:val="0"/>
    <w:pPr>
      <w:ind w:firstLine="420"/>
    </w:pPr>
  </w:style>
  <w:style w:type="paragraph" w:styleId="12">
    <w:name w:val="caption"/>
    <w:basedOn w:val="1"/>
    <w:next w:val="1"/>
    <w:link w:val="120"/>
    <w:qFormat/>
    <w:uiPriority w:val="99"/>
    <w:pPr>
      <w:spacing w:before="152" w:after="160"/>
    </w:pPr>
    <w:rPr>
      <w:rFonts w:ascii="Arial" w:hAnsi="Arial" w:eastAsia="黑体" w:cs="Arial"/>
    </w:rPr>
  </w:style>
  <w:style w:type="paragraph" w:styleId="13">
    <w:name w:val="List Bullet"/>
    <w:basedOn w:val="1"/>
    <w:qFormat/>
    <w:uiPriority w:val="0"/>
    <w:pPr>
      <w:tabs>
        <w:tab w:val="left" w:pos="360"/>
      </w:tabs>
      <w:ind w:left="360" w:hanging="360"/>
    </w:pPr>
  </w:style>
  <w:style w:type="paragraph" w:styleId="14">
    <w:name w:val="Document Map"/>
    <w:basedOn w:val="1"/>
    <w:link w:val="52"/>
    <w:qFormat/>
    <w:uiPriority w:val="0"/>
    <w:pPr>
      <w:shd w:val="clear" w:color="auto" w:fill="000080"/>
    </w:pPr>
    <w:rPr>
      <w:rFonts w:cs="宋体"/>
      <w:shd w:val="clear" w:color="auto" w:fill="000080"/>
    </w:rPr>
  </w:style>
  <w:style w:type="paragraph" w:styleId="15">
    <w:name w:val="annotation text"/>
    <w:basedOn w:val="1"/>
    <w:link w:val="53"/>
    <w:unhideWhenUsed/>
    <w:qFormat/>
    <w:uiPriority w:val="0"/>
    <w:pPr>
      <w:jc w:val="left"/>
    </w:pPr>
  </w:style>
  <w:style w:type="paragraph" w:styleId="16">
    <w:name w:val="Body Text 3"/>
    <w:basedOn w:val="1"/>
    <w:link w:val="54"/>
    <w:qFormat/>
    <w:uiPriority w:val="0"/>
    <w:pPr>
      <w:snapToGrid w:val="0"/>
      <w:spacing w:before="50" w:after="50"/>
    </w:pPr>
    <w:rPr>
      <w:rFonts w:hAnsi="宋体" w:eastAsia="仿宋_GB2312"/>
      <w:b/>
      <w:sz w:val="24"/>
    </w:rPr>
  </w:style>
  <w:style w:type="paragraph" w:styleId="17">
    <w:name w:val="Body Text Indent"/>
    <w:basedOn w:val="1"/>
    <w:link w:val="55"/>
    <w:qFormat/>
    <w:uiPriority w:val="99"/>
    <w:pPr>
      <w:spacing w:line="200" w:lineRule="exact"/>
      <w:ind w:firstLine="301"/>
    </w:pPr>
    <w:rPr>
      <w:rFonts w:ascii="宋体" w:hAnsi="Courier New"/>
      <w:spacing w:val="-4"/>
      <w:kern w:val="0"/>
      <w:sz w:val="18"/>
    </w:rPr>
  </w:style>
  <w:style w:type="paragraph" w:styleId="18">
    <w:name w:val="List Number 3"/>
    <w:basedOn w:val="1"/>
    <w:qFormat/>
    <w:uiPriority w:val="0"/>
    <w:pPr>
      <w:numPr>
        <w:ilvl w:val="0"/>
        <w:numId w:val="1"/>
      </w:numPr>
      <w:tabs>
        <w:tab w:val="clear" w:pos="360"/>
      </w:tabs>
    </w:pPr>
    <w:rPr>
      <w:szCs w:val="24"/>
    </w:rPr>
  </w:style>
  <w:style w:type="paragraph" w:styleId="19">
    <w:name w:val="List 2"/>
    <w:basedOn w:val="1"/>
    <w:qFormat/>
    <w:uiPriority w:val="0"/>
    <w:pPr>
      <w:ind w:left="100" w:leftChars="200" w:hanging="200" w:hangingChars="200"/>
    </w:pPr>
    <w:rPr>
      <w:sz w:val="28"/>
      <w:szCs w:val="24"/>
    </w:rPr>
  </w:style>
  <w:style w:type="paragraph" w:styleId="20">
    <w:name w:val="Plain Text"/>
    <w:basedOn w:val="1"/>
    <w:link w:val="56"/>
    <w:qFormat/>
    <w:uiPriority w:val="0"/>
    <w:pPr>
      <w:spacing w:beforeLines="50" w:line="400" w:lineRule="exact"/>
    </w:pPr>
    <w:rPr>
      <w:rFonts w:ascii="宋体" w:hAnsi="Courier New"/>
      <w:sz w:val="24"/>
    </w:rPr>
  </w:style>
  <w:style w:type="paragraph" w:styleId="21">
    <w:name w:val="Date"/>
    <w:basedOn w:val="1"/>
    <w:next w:val="1"/>
    <w:link w:val="57"/>
    <w:qFormat/>
    <w:uiPriority w:val="0"/>
    <w:pPr>
      <w:ind w:left="2500" w:leftChars="2500"/>
    </w:pPr>
    <w:rPr>
      <w:rFonts w:ascii="Calibri" w:hAnsi="Calibri" w:eastAsia="楷体_GB2312"/>
      <w:kern w:val="0"/>
      <w:sz w:val="32"/>
    </w:rPr>
  </w:style>
  <w:style w:type="paragraph" w:styleId="22">
    <w:name w:val="Body Text Indent 2"/>
    <w:basedOn w:val="1"/>
    <w:link w:val="58"/>
    <w:qFormat/>
    <w:uiPriority w:val="0"/>
    <w:pPr>
      <w:snapToGrid w:val="0"/>
      <w:ind w:firstLine="542" w:firstLineChars="225"/>
    </w:pPr>
    <w:rPr>
      <w:rFonts w:ascii="仿宋_GB2312" w:hAnsi="宋体"/>
      <w:b/>
      <w:color w:val="000000"/>
      <w:kern w:val="0"/>
      <w:sz w:val="24"/>
    </w:rPr>
  </w:style>
  <w:style w:type="paragraph" w:styleId="23">
    <w:name w:val="Balloon Text"/>
    <w:basedOn w:val="1"/>
    <w:link w:val="59"/>
    <w:qFormat/>
    <w:uiPriority w:val="0"/>
    <w:rPr>
      <w:rFonts w:ascii="Calibri" w:hAnsi="Calibri"/>
      <w:sz w:val="18"/>
      <w:szCs w:val="18"/>
    </w:rPr>
  </w:style>
  <w:style w:type="paragraph" w:styleId="24">
    <w:name w:val="footer"/>
    <w:basedOn w:val="1"/>
    <w:link w:val="45"/>
    <w:unhideWhenUsed/>
    <w:qFormat/>
    <w:uiPriority w:val="0"/>
    <w:pPr>
      <w:tabs>
        <w:tab w:val="center" w:pos="4153"/>
        <w:tab w:val="right" w:pos="8306"/>
      </w:tabs>
      <w:snapToGrid w:val="0"/>
      <w:jc w:val="left"/>
    </w:pPr>
    <w:rPr>
      <w:sz w:val="18"/>
      <w:szCs w:val="18"/>
    </w:rPr>
  </w:style>
  <w:style w:type="paragraph" w:styleId="25">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List"/>
    <w:basedOn w:val="1"/>
    <w:qFormat/>
    <w:uiPriority w:val="99"/>
    <w:pPr>
      <w:ind w:left="200" w:hanging="200" w:hangingChars="200"/>
    </w:pPr>
    <w:rPr>
      <w:sz w:val="28"/>
    </w:rPr>
  </w:style>
  <w:style w:type="paragraph" w:styleId="28">
    <w:name w:val="Body Text Indent 3"/>
    <w:basedOn w:val="1"/>
    <w:link w:val="60"/>
    <w:qFormat/>
    <w:uiPriority w:val="99"/>
    <w:pPr>
      <w:snapToGrid w:val="0"/>
      <w:ind w:firstLine="480" w:firstLineChars="200"/>
      <w:jc w:val="left"/>
    </w:pPr>
    <w:rPr>
      <w:rFonts w:ascii="仿宋_GB2312" w:hAnsi="宋体" w:eastAsia="仿宋_GB2312"/>
      <w:color w:val="000000"/>
      <w:kern w:val="0"/>
      <w:sz w:val="24"/>
    </w:rPr>
  </w:style>
  <w:style w:type="paragraph" w:styleId="29">
    <w:name w:val="Body Text 2"/>
    <w:basedOn w:val="1"/>
    <w:link w:val="61"/>
    <w:qFormat/>
    <w:uiPriority w:val="0"/>
    <w:pPr>
      <w:widowControl/>
      <w:overflowPunct w:val="0"/>
      <w:autoSpaceDE w:val="0"/>
      <w:autoSpaceDN w:val="0"/>
      <w:adjustRightInd w:val="0"/>
      <w:spacing w:line="280" w:lineRule="exact"/>
      <w:jc w:val="center"/>
      <w:textAlignment w:val="baseline"/>
    </w:pPr>
    <w:rPr>
      <w:rFonts w:ascii="宋体" w:hAnsi="宋体" w:cs="宋体"/>
      <w:bCs/>
    </w:rPr>
  </w:style>
  <w:style w:type="paragraph" w:styleId="30">
    <w:name w:val="HTML Preformatted"/>
    <w:basedOn w:val="1"/>
    <w:link w:val="6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1">
    <w:name w:val="Normal (Web)"/>
    <w:basedOn w:val="1"/>
    <w:qFormat/>
    <w:uiPriority w:val="0"/>
    <w:pPr>
      <w:widowControl/>
      <w:spacing w:before="100" w:beforeAutospacing="1" w:after="100" w:afterAutospacing="1"/>
      <w:jc w:val="left"/>
    </w:pPr>
    <w:rPr>
      <w:rFonts w:ascii="(使用中文字体)" w:hAnsi="(使用中文字体)" w:cs="(使用中文字体)"/>
      <w:kern w:val="0"/>
      <w:sz w:val="24"/>
      <w:szCs w:val="24"/>
    </w:rPr>
  </w:style>
  <w:style w:type="paragraph" w:styleId="32">
    <w:name w:val="index 1"/>
    <w:basedOn w:val="1"/>
    <w:next w:val="1"/>
    <w:qFormat/>
    <w:uiPriority w:val="0"/>
    <w:pPr>
      <w:tabs>
        <w:tab w:val="left" w:pos="900"/>
      </w:tabs>
      <w:adjustRightInd w:val="0"/>
      <w:ind w:firstLine="420" w:firstLineChars="200"/>
    </w:pPr>
    <w:rPr>
      <w:rFonts w:ascii="宋体" w:hAnsi="宋体"/>
    </w:rPr>
  </w:style>
  <w:style w:type="paragraph" w:styleId="33">
    <w:name w:val="annotation subject"/>
    <w:basedOn w:val="15"/>
    <w:next w:val="15"/>
    <w:link w:val="63"/>
    <w:qFormat/>
    <w:uiPriority w:val="0"/>
    <w:rPr>
      <w:rFonts w:cs="宋体"/>
      <w:b/>
      <w:bCs/>
    </w:rPr>
  </w:style>
  <w:style w:type="paragraph" w:styleId="34">
    <w:name w:val="Body Text First Indent 2"/>
    <w:basedOn w:val="17"/>
    <w:link w:val="65"/>
    <w:qFormat/>
    <w:uiPriority w:val="0"/>
    <w:pPr>
      <w:spacing w:after="120" w:line="240" w:lineRule="auto"/>
      <w:ind w:left="420" w:leftChars="200" w:firstLine="420" w:firstLineChars="200"/>
    </w:pPr>
    <w:rPr>
      <w:rFonts w:ascii="Calibri" w:hAnsi="Calibri"/>
      <w:spacing w:val="0"/>
      <w:kern w:val="2"/>
      <w:sz w:val="21"/>
      <w:szCs w:val="24"/>
    </w:rPr>
  </w:style>
  <w:style w:type="table" w:styleId="36">
    <w:name w:val="Table Grid"/>
    <w:basedOn w:val="35"/>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basedOn w:val="37"/>
    <w:qFormat/>
    <w:uiPriority w:val="0"/>
    <w:rPr>
      <w:rFonts w:hint="default" w:ascii="Times New Roman" w:hAnsi="Times New Roman" w:cs="Times New Roman"/>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Hyperlink"/>
    <w:qFormat/>
    <w:uiPriority w:val="0"/>
    <w:rPr>
      <w:color w:val="0000FF"/>
      <w:u w:val="single"/>
    </w:rPr>
  </w:style>
  <w:style w:type="character" w:styleId="42">
    <w:name w:val="annotation reference"/>
    <w:qFormat/>
    <w:uiPriority w:val="99"/>
    <w:rPr>
      <w:sz w:val="21"/>
      <w:szCs w:val="21"/>
    </w:rPr>
  </w:style>
  <w:style w:type="paragraph" w:customStyle="1" w:styleId="43">
    <w:name w:val="表格文字"/>
    <w:basedOn w:val="1"/>
    <w:next w:val="3"/>
    <w:qFormat/>
    <w:uiPriority w:val="0"/>
    <w:rPr>
      <w:sz w:val="18"/>
      <w:szCs w:val="24"/>
    </w:rPr>
  </w:style>
  <w:style w:type="character" w:customStyle="1" w:styleId="44">
    <w:name w:val="页眉 Char"/>
    <w:basedOn w:val="37"/>
    <w:link w:val="25"/>
    <w:qFormat/>
    <w:uiPriority w:val="0"/>
    <w:rPr>
      <w:sz w:val="18"/>
      <w:szCs w:val="18"/>
    </w:rPr>
  </w:style>
  <w:style w:type="character" w:customStyle="1" w:styleId="45">
    <w:name w:val="页脚 Char"/>
    <w:basedOn w:val="37"/>
    <w:link w:val="24"/>
    <w:qFormat/>
    <w:uiPriority w:val="0"/>
    <w:rPr>
      <w:sz w:val="18"/>
      <w:szCs w:val="18"/>
    </w:rPr>
  </w:style>
  <w:style w:type="character" w:customStyle="1" w:styleId="46">
    <w:name w:val="标题 1 Char"/>
    <w:basedOn w:val="37"/>
    <w:link w:val="4"/>
    <w:qFormat/>
    <w:uiPriority w:val="9"/>
    <w:rPr>
      <w:rFonts w:ascii="Times New Roman" w:hAnsi="Times New Roman" w:eastAsia="黑体" w:cs="Times New Roman"/>
      <w:b/>
      <w:bCs/>
      <w:kern w:val="44"/>
      <w:sz w:val="52"/>
      <w:szCs w:val="20"/>
    </w:rPr>
  </w:style>
  <w:style w:type="character" w:customStyle="1" w:styleId="47">
    <w:name w:val="标题 2 Char"/>
    <w:basedOn w:val="37"/>
    <w:link w:val="5"/>
    <w:qFormat/>
    <w:uiPriority w:val="9"/>
    <w:rPr>
      <w:rFonts w:ascii="Arial" w:hAnsi="Arial" w:eastAsia="黑体" w:cs="Times New Roman"/>
      <w:b/>
      <w:kern w:val="0"/>
      <w:sz w:val="32"/>
      <w:szCs w:val="20"/>
    </w:rPr>
  </w:style>
  <w:style w:type="character" w:customStyle="1" w:styleId="48">
    <w:name w:val="标题 3 Char"/>
    <w:basedOn w:val="37"/>
    <w:link w:val="6"/>
    <w:qFormat/>
    <w:uiPriority w:val="9"/>
    <w:rPr>
      <w:rFonts w:ascii="Times New Roman" w:hAnsi="Times New Roman" w:eastAsia="黑体" w:cs="Times New Roman"/>
      <w:b/>
      <w:bCs/>
      <w:sz w:val="36"/>
      <w:szCs w:val="36"/>
    </w:rPr>
  </w:style>
  <w:style w:type="character" w:customStyle="1" w:styleId="49">
    <w:name w:val="标题 4 Char"/>
    <w:basedOn w:val="37"/>
    <w:link w:val="7"/>
    <w:qFormat/>
    <w:uiPriority w:val="0"/>
    <w:rPr>
      <w:rFonts w:ascii="Arial" w:hAnsi="Arial" w:eastAsia="黑体" w:cs="Times New Roman"/>
      <w:b/>
      <w:bCs/>
      <w:sz w:val="30"/>
      <w:szCs w:val="28"/>
    </w:rPr>
  </w:style>
  <w:style w:type="character" w:customStyle="1" w:styleId="50">
    <w:name w:val="标题 5 Char"/>
    <w:basedOn w:val="37"/>
    <w:link w:val="8"/>
    <w:qFormat/>
    <w:uiPriority w:val="9"/>
    <w:rPr>
      <w:rFonts w:ascii="Times New Roman" w:hAnsi="Times New Roman" w:eastAsia="宋体" w:cs="Times New Roman"/>
      <w:b/>
      <w:bCs/>
      <w:sz w:val="28"/>
      <w:szCs w:val="28"/>
    </w:rPr>
  </w:style>
  <w:style w:type="character" w:customStyle="1" w:styleId="51">
    <w:name w:val="正文文本 Char"/>
    <w:basedOn w:val="37"/>
    <w:link w:val="3"/>
    <w:qFormat/>
    <w:uiPriority w:val="99"/>
    <w:rPr>
      <w:rFonts w:ascii="Calibri" w:hAnsi="Calibri" w:eastAsia="宋体" w:cs="Times New Roman"/>
      <w:kern w:val="0"/>
      <w:sz w:val="28"/>
    </w:rPr>
  </w:style>
  <w:style w:type="character" w:customStyle="1" w:styleId="52">
    <w:name w:val="文档结构图 Char"/>
    <w:basedOn w:val="37"/>
    <w:link w:val="14"/>
    <w:qFormat/>
    <w:uiPriority w:val="0"/>
    <w:rPr>
      <w:rFonts w:ascii="Times New Roman" w:hAnsi="Times New Roman" w:eastAsia="宋体" w:cs="宋体"/>
      <w:shd w:val="clear" w:color="auto" w:fill="000080"/>
    </w:rPr>
  </w:style>
  <w:style w:type="character" w:customStyle="1" w:styleId="53">
    <w:name w:val="批注文字 Char"/>
    <w:basedOn w:val="37"/>
    <w:link w:val="15"/>
    <w:qFormat/>
    <w:uiPriority w:val="0"/>
    <w:rPr>
      <w:rFonts w:ascii="Times New Roman" w:hAnsi="Times New Roman" w:eastAsia="宋体" w:cs="Times New Roman"/>
    </w:rPr>
  </w:style>
  <w:style w:type="character" w:customStyle="1" w:styleId="54">
    <w:name w:val="正文文本 3 Char"/>
    <w:basedOn w:val="37"/>
    <w:link w:val="16"/>
    <w:qFormat/>
    <w:uiPriority w:val="0"/>
    <w:rPr>
      <w:rFonts w:ascii="Times New Roman" w:hAnsi="宋体" w:eastAsia="仿宋_GB2312" w:cs="Times New Roman"/>
      <w:b/>
      <w:sz w:val="24"/>
    </w:rPr>
  </w:style>
  <w:style w:type="character" w:customStyle="1" w:styleId="55">
    <w:name w:val="正文文本缩进 Char"/>
    <w:basedOn w:val="37"/>
    <w:link w:val="17"/>
    <w:qFormat/>
    <w:uiPriority w:val="99"/>
    <w:rPr>
      <w:rFonts w:ascii="宋体" w:hAnsi="Courier New" w:eastAsia="宋体" w:cs="Times New Roman"/>
      <w:spacing w:val="-4"/>
      <w:kern w:val="0"/>
      <w:sz w:val="18"/>
    </w:rPr>
  </w:style>
  <w:style w:type="character" w:customStyle="1" w:styleId="56">
    <w:name w:val="纯文本 Char"/>
    <w:basedOn w:val="37"/>
    <w:link w:val="20"/>
    <w:qFormat/>
    <w:uiPriority w:val="0"/>
    <w:rPr>
      <w:rFonts w:ascii="宋体" w:hAnsi="Courier New" w:eastAsia="宋体" w:cs="Times New Roman"/>
      <w:sz w:val="24"/>
    </w:rPr>
  </w:style>
  <w:style w:type="character" w:customStyle="1" w:styleId="57">
    <w:name w:val="日期 Char"/>
    <w:basedOn w:val="37"/>
    <w:link w:val="21"/>
    <w:qFormat/>
    <w:uiPriority w:val="0"/>
    <w:rPr>
      <w:rFonts w:ascii="Calibri" w:hAnsi="Calibri" w:eastAsia="楷体_GB2312" w:cs="Times New Roman"/>
      <w:kern w:val="0"/>
      <w:sz w:val="32"/>
    </w:rPr>
  </w:style>
  <w:style w:type="character" w:customStyle="1" w:styleId="58">
    <w:name w:val="正文文本缩进 2 Char"/>
    <w:basedOn w:val="37"/>
    <w:link w:val="22"/>
    <w:qFormat/>
    <w:uiPriority w:val="0"/>
    <w:rPr>
      <w:rFonts w:ascii="仿宋_GB2312" w:hAnsi="宋体" w:eastAsia="宋体" w:cs="Times New Roman"/>
      <w:b/>
      <w:color w:val="000000"/>
      <w:kern w:val="0"/>
      <w:sz w:val="24"/>
    </w:rPr>
  </w:style>
  <w:style w:type="character" w:customStyle="1" w:styleId="59">
    <w:name w:val="批注框文本 Char"/>
    <w:basedOn w:val="37"/>
    <w:link w:val="23"/>
    <w:qFormat/>
    <w:uiPriority w:val="0"/>
    <w:rPr>
      <w:rFonts w:ascii="Calibri" w:hAnsi="Calibri" w:eastAsia="宋体" w:cs="Times New Roman"/>
      <w:sz w:val="18"/>
      <w:szCs w:val="18"/>
    </w:rPr>
  </w:style>
  <w:style w:type="character" w:customStyle="1" w:styleId="60">
    <w:name w:val="正文文本缩进 3 Char"/>
    <w:basedOn w:val="37"/>
    <w:link w:val="28"/>
    <w:qFormat/>
    <w:uiPriority w:val="99"/>
    <w:rPr>
      <w:rFonts w:ascii="仿宋_GB2312" w:hAnsi="宋体" w:eastAsia="仿宋_GB2312" w:cs="Times New Roman"/>
      <w:color w:val="000000"/>
      <w:kern w:val="0"/>
      <w:sz w:val="24"/>
    </w:rPr>
  </w:style>
  <w:style w:type="character" w:customStyle="1" w:styleId="61">
    <w:name w:val="正文文本 2 Char"/>
    <w:basedOn w:val="37"/>
    <w:link w:val="29"/>
    <w:qFormat/>
    <w:uiPriority w:val="0"/>
    <w:rPr>
      <w:rFonts w:ascii="宋体" w:hAnsi="宋体" w:eastAsia="宋体" w:cs="宋体"/>
      <w:bCs/>
    </w:rPr>
  </w:style>
  <w:style w:type="character" w:customStyle="1" w:styleId="62">
    <w:name w:val="HTML 预设格式 Char"/>
    <w:basedOn w:val="37"/>
    <w:link w:val="30"/>
    <w:qFormat/>
    <w:uiPriority w:val="99"/>
    <w:rPr>
      <w:rFonts w:ascii="Courier New" w:hAnsi="Courier New" w:eastAsia="宋体" w:cs="Times New Roman"/>
      <w:kern w:val="0"/>
      <w:sz w:val="20"/>
      <w:szCs w:val="20"/>
    </w:rPr>
  </w:style>
  <w:style w:type="character" w:customStyle="1" w:styleId="63">
    <w:name w:val="批注主题 Char"/>
    <w:basedOn w:val="53"/>
    <w:link w:val="33"/>
    <w:qFormat/>
    <w:uiPriority w:val="0"/>
    <w:rPr>
      <w:rFonts w:ascii="Times New Roman" w:hAnsi="Times New Roman" w:eastAsia="宋体" w:cs="宋体"/>
      <w:b/>
      <w:bCs/>
    </w:rPr>
  </w:style>
  <w:style w:type="character" w:customStyle="1" w:styleId="64">
    <w:name w:val="正文首行缩进 Char"/>
    <w:basedOn w:val="51"/>
    <w:link w:val="2"/>
    <w:qFormat/>
    <w:uiPriority w:val="99"/>
    <w:rPr>
      <w:rFonts w:ascii="Times New Roman" w:hAnsi="Calibri" w:eastAsia="宋体" w:cs="Times New Roman"/>
      <w:kern w:val="0"/>
      <w:sz w:val="28"/>
    </w:rPr>
  </w:style>
  <w:style w:type="character" w:customStyle="1" w:styleId="65">
    <w:name w:val="正文首行缩进 2 Char"/>
    <w:basedOn w:val="55"/>
    <w:link w:val="34"/>
    <w:qFormat/>
    <w:uiPriority w:val="0"/>
    <w:rPr>
      <w:rFonts w:ascii="Calibri" w:hAnsi="Calibri" w:eastAsia="宋体" w:cs="Times New Roman"/>
      <w:spacing w:val="-4"/>
      <w:kern w:val="0"/>
      <w:sz w:val="18"/>
      <w:szCs w:val="24"/>
    </w:rPr>
  </w:style>
  <w:style w:type="paragraph" w:customStyle="1" w:styleId="66">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默认段落字体 Para Char Char Char Char Char Char Char Char Char1 Char Char Char Char"/>
    <w:basedOn w:val="1"/>
    <w:qFormat/>
    <w:uiPriority w:val="99"/>
    <w:rPr>
      <w:rFonts w:ascii="Tahoma" w:hAnsi="Tahoma"/>
      <w:sz w:val="24"/>
    </w:rPr>
  </w:style>
  <w:style w:type="paragraph" w:customStyle="1" w:styleId="68">
    <w:name w:va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章正文"/>
    <w:qFormat/>
    <w:uiPriority w:val="0"/>
    <w:pPr>
      <w:widowControl w:val="0"/>
      <w:spacing w:beforeLines="50" w:after="120" w:line="300" w:lineRule="auto"/>
      <w:ind w:firstLine="480"/>
      <w:jc w:val="both"/>
    </w:pPr>
    <w:rPr>
      <w:rFonts w:ascii="Helvetica" w:hAnsi="Helvetica" w:eastAsia="宋体" w:cs="宋体"/>
      <w:sz w:val="24"/>
      <w:szCs w:val="24"/>
      <w:lang w:val="en-US" w:eastAsia="zh-CN" w:bidi="ar-SA"/>
    </w:rPr>
  </w:style>
  <w:style w:type="paragraph" w:customStyle="1" w:styleId="70">
    <w:name w:val="列出段落5"/>
    <w:basedOn w:val="1"/>
    <w:qFormat/>
    <w:uiPriority w:val="99"/>
    <w:pPr>
      <w:ind w:firstLine="420" w:firstLineChars="200"/>
    </w:pPr>
    <w:rPr>
      <w:rFonts w:ascii="Calibri" w:hAnsi="Calibri" w:eastAsia="等线"/>
      <w:sz w:val="24"/>
      <w:szCs w:val="24"/>
    </w:rPr>
  </w:style>
  <w:style w:type="paragraph" w:customStyle="1" w:styleId="71">
    <w:name w:val="Char Char Char Char Char Char"/>
    <w:basedOn w:val="1"/>
    <w:qFormat/>
    <w:uiPriority w:val="0"/>
    <w:pPr>
      <w:widowControl/>
      <w:spacing w:after="160" w:line="240" w:lineRule="exact"/>
      <w:jc w:val="left"/>
    </w:pPr>
    <w:rPr>
      <w:rFonts w:ascii="(使用中文字体)" w:hAnsi="(使用中文字体)"/>
      <w:kern w:val="0"/>
      <w:sz w:val="20"/>
      <w:szCs w:val="20"/>
      <w:lang w:eastAsia="en-US"/>
    </w:rPr>
  </w:style>
  <w:style w:type="paragraph" w:customStyle="1" w:styleId="72">
    <w:name w:val="普通(网站)11"/>
    <w:basedOn w:val="1"/>
    <w:qFormat/>
    <w:uiPriority w:val="0"/>
    <w:pPr>
      <w:widowControl/>
      <w:spacing w:beforeAutospacing="1" w:afterAutospacing="1"/>
      <w:jc w:val="left"/>
    </w:pPr>
    <w:rPr>
      <w:rFonts w:ascii="宋体" w:hAnsi="宋体"/>
      <w:kern w:val="0"/>
      <w:sz w:val="24"/>
      <w:szCs w:val="24"/>
    </w:rPr>
  </w:style>
  <w:style w:type="paragraph" w:customStyle="1" w:styleId="73">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7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75">
    <w:name w:val="标准有序列表（L1）"/>
    <w:basedOn w:val="11"/>
    <w:qFormat/>
    <w:uiPriority w:val="0"/>
    <w:pPr>
      <w:numPr>
        <w:ilvl w:val="0"/>
        <w:numId w:val="2"/>
      </w:numPr>
      <w:tabs>
        <w:tab w:val="left" w:pos="0"/>
        <w:tab w:val="left" w:pos="2280"/>
      </w:tabs>
      <w:spacing w:line="360" w:lineRule="auto"/>
      <w:ind w:left="0" w:firstLine="0"/>
    </w:pPr>
    <w:rPr>
      <w:rFonts w:ascii="黑体" w:eastAsia="黑体"/>
      <w:color w:val="000000"/>
      <w:sz w:val="24"/>
      <w:szCs w:val="20"/>
    </w:rPr>
  </w:style>
  <w:style w:type="paragraph" w:customStyle="1" w:styleId="7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7">
    <w:name w:val="表格"/>
    <w:basedOn w:val="1"/>
    <w:qFormat/>
    <w:uiPriority w:val="0"/>
    <w:pPr>
      <w:snapToGrid w:val="0"/>
      <w:spacing w:after="120"/>
    </w:pPr>
    <w:rPr>
      <w:rFonts w:ascii="仿宋_GB2312" w:hAnsi="Tahoma" w:eastAsia="仿宋_GB2312" w:cs="Tahoma"/>
      <w:color w:val="000000"/>
      <w:kern w:val="0"/>
      <w:sz w:val="24"/>
      <w:szCs w:val="24"/>
    </w:rPr>
  </w:style>
  <w:style w:type="paragraph" w:customStyle="1" w:styleId="78">
    <w:name w:val="GW-正文"/>
    <w:basedOn w:val="1"/>
    <w:link w:val="106"/>
    <w:qFormat/>
    <w:uiPriority w:val="99"/>
    <w:pPr>
      <w:spacing w:line="360" w:lineRule="auto"/>
      <w:ind w:firstLine="200" w:firstLineChars="200"/>
      <w:contextualSpacing/>
    </w:pPr>
    <w:rPr>
      <w:rFonts w:ascii="Arial Narrow" w:hAnsi="Arial Narrow"/>
      <w:kern w:val="0"/>
      <w:sz w:val="24"/>
      <w:szCs w:val="24"/>
    </w:rPr>
  </w:style>
  <w:style w:type="paragraph" w:customStyle="1" w:styleId="79">
    <w:name w:val="Char Char10"/>
    <w:basedOn w:val="1"/>
    <w:qFormat/>
    <w:uiPriority w:val="0"/>
    <w:pPr>
      <w:widowControl/>
      <w:spacing w:after="160" w:line="240" w:lineRule="exact"/>
      <w:jc w:val="left"/>
    </w:pPr>
    <w:rPr>
      <w:kern w:val="0"/>
      <w:sz w:val="20"/>
      <w:szCs w:val="24"/>
    </w:rPr>
  </w:style>
  <w:style w:type="paragraph" w:customStyle="1" w:styleId="80">
    <w:name w:val="正文文本缩进11"/>
    <w:basedOn w:val="1"/>
    <w:qFormat/>
    <w:uiPriority w:val="0"/>
    <w:pPr>
      <w:spacing w:line="200" w:lineRule="exact"/>
      <w:ind w:firstLine="301"/>
    </w:pPr>
    <w:rPr>
      <w:rFonts w:ascii="Calibri" w:hAnsi="Calibri"/>
      <w:szCs w:val="20"/>
    </w:rPr>
  </w:style>
  <w:style w:type="paragraph" w:customStyle="1" w:styleId="8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
    <w:name w:val="首行缩进2字符"/>
    <w:basedOn w:val="1"/>
    <w:qFormat/>
    <w:uiPriority w:val="0"/>
    <w:pPr>
      <w:spacing w:line="360" w:lineRule="auto"/>
      <w:ind w:firstLine="200" w:firstLineChars="200"/>
    </w:pPr>
    <w:rPr>
      <w:rFonts w:ascii="Calibri" w:hAnsi="Calibri"/>
      <w:sz w:val="24"/>
      <w:szCs w:val="21"/>
    </w:rPr>
  </w:style>
  <w:style w:type="paragraph" w:customStyle="1" w:styleId="83">
    <w:name w:val="默认段落字体 Para Char"/>
    <w:basedOn w:val="1"/>
    <w:qFormat/>
    <w:uiPriority w:val="0"/>
    <w:rPr>
      <w:szCs w:val="20"/>
    </w:rPr>
  </w:style>
  <w:style w:type="paragraph" w:customStyle="1" w:styleId="84">
    <w:name w:val="Char"/>
    <w:basedOn w:val="1"/>
    <w:link w:val="119"/>
    <w:qFormat/>
    <w:uiPriority w:val="99"/>
    <w:rPr>
      <w:rFonts w:ascii="Calibri" w:hAnsi="Calibri" w:cs="宋体"/>
      <w:szCs w:val="24"/>
    </w:rPr>
  </w:style>
  <w:style w:type="paragraph" w:customStyle="1" w:styleId="85">
    <w:name w:val="正文段"/>
    <w:basedOn w:val="1"/>
    <w:qFormat/>
    <w:uiPriority w:val="0"/>
    <w:pPr>
      <w:widowControl/>
      <w:snapToGrid w:val="0"/>
      <w:spacing w:afterLines="50"/>
      <w:ind w:firstLine="200" w:firstLineChars="200"/>
    </w:pPr>
    <w:rPr>
      <w:kern w:val="0"/>
      <w:sz w:val="24"/>
      <w:szCs w:val="20"/>
    </w:rPr>
  </w:style>
  <w:style w:type="paragraph" w:customStyle="1" w:styleId="86">
    <w:name w:val="自动更正"/>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列出段落1"/>
    <w:basedOn w:val="1"/>
    <w:link w:val="129"/>
    <w:qFormat/>
    <w:uiPriority w:val="99"/>
    <w:pPr>
      <w:ind w:firstLine="420" w:firstLineChars="200"/>
    </w:pPr>
    <w:rPr>
      <w:rFonts w:ascii="Calibri" w:hAnsi="Calibri"/>
      <w:szCs w:val="24"/>
    </w:rPr>
  </w:style>
  <w:style w:type="paragraph" w:customStyle="1" w:styleId="88">
    <w:name w:val="书籍标题1"/>
    <w:basedOn w:val="1"/>
    <w:next w:val="1"/>
    <w:qFormat/>
    <w:uiPriority w:val="0"/>
    <w:pPr>
      <w:pageBreakBefore/>
      <w:widowControl/>
      <w:numPr>
        <w:ilvl w:val="0"/>
        <w:numId w:val="3"/>
      </w:numPr>
      <w:spacing w:beforeLines="200"/>
      <w:ind w:left="2520"/>
      <w:jc w:val="center"/>
      <w:outlineLvl w:val="0"/>
    </w:pPr>
    <w:rPr>
      <w:rFonts w:eastAsia="黑体"/>
      <w:b/>
      <w:spacing w:val="20"/>
      <w:kern w:val="44"/>
      <w:sz w:val="44"/>
    </w:rPr>
  </w:style>
  <w:style w:type="paragraph" w:customStyle="1" w:styleId="89">
    <w:name w:val="正文_20"/>
    <w:qFormat/>
    <w:uiPriority w:val="0"/>
    <w:pPr>
      <w:widowControl w:val="0"/>
      <w:jc w:val="both"/>
    </w:pPr>
    <w:rPr>
      <w:rFonts w:ascii="Times New Roman" w:hAnsi="Times New Roman" w:eastAsia="等线" w:cs="Times New Roman"/>
      <w:kern w:val="2"/>
      <w:sz w:val="21"/>
      <w:szCs w:val="24"/>
      <w:lang w:val="en-US" w:eastAsia="zh-CN" w:bidi="ar-SA"/>
    </w:rPr>
  </w:style>
  <w:style w:type="paragraph" w:customStyle="1" w:styleId="90">
    <w:name w:val="Table Paragraph"/>
    <w:basedOn w:val="1"/>
    <w:qFormat/>
    <w:uiPriority w:val="0"/>
    <w:pPr>
      <w:spacing w:before="119"/>
    </w:pPr>
    <w:rPr>
      <w:rFonts w:ascii="宋体" w:hAnsi="宋体" w:cs="宋体"/>
      <w:szCs w:val="24"/>
      <w:lang w:val="zh-CN" w:bidi="zh-CN"/>
    </w:rPr>
  </w:style>
  <w:style w:type="paragraph" w:customStyle="1" w:styleId="9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2">
    <w:name w:val="样式2"/>
    <w:basedOn w:val="84"/>
    <w:qFormat/>
    <w:uiPriority w:val="0"/>
    <w:pPr>
      <w:tabs>
        <w:tab w:val="left" w:pos="432"/>
      </w:tabs>
      <w:spacing w:beforeLines="50" w:afterLines="50"/>
      <w:ind w:left="432" w:hanging="432"/>
    </w:pPr>
    <w:rPr>
      <w:b/>
      <w:szCs w:val="21"/>
      <w:u w:val="thick"/>
    </w:rPr>
  </w:style>
  <w:style w:type="paragraph" w:customStyle="1" w:styleId="93">
    <w:name w:val="样式1"/>
    <w:basedOn w:val="84"/>
    <w:qFormat/>
    <w:uiPriority w:val="0"/>
    <w:pPr>
      <w:tabs>
        <w:tab w:val="left" w:pos="432"/>
      </w:tabs>
      <w:spacing w:beforeLines="50" w:afterLines="50"/>
      <w:ind w:left="642" w:leftChars="100" w:right="100" w:rightChars="100" w:hanging="432"/>
      <w:jc w:val="right"/>
    </w:pPr>
    <w:rPr>
      <w:b/>
      <w:i/>
      <w:szCs w:val="21"/>
      <w:u w:val="thick"/>
    </w:rPr>
  </w:style>
  <w:style w:type="paragraph" w:customStyle="1" w:styleId="9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首行缩进2字符"/>
    <w:basedOn w:val="1"/>
    <w:link w:val="123"/>
    <w:qFormat/>
    <w:uiPriority w:val="0"/>
    <w:pPr>
      <w:spacing w:line="360" w:lineRule="auto"/>
      <w:ind w:firstLine="200" w:firstLineChars="200"/>
    </w:pPr>
    <w:rPr>
      <w:rFonts w:cs="宋体"/>
      <w:sz w:val="24"/>
    </w:rPr>
  </w:style>
  <w:style w:type="paragraph" w:customStyle="1" w:styleId="9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
    <w:name w:val="表格内容"/>
    <w:next w:val="95"/>
    <w:link w:val="124"/>
    <w:qFormat/>
    <w:uiPriority w:val="0"/>
    <w:pPr>
      <w:jc w:val="center"/>
    </w:pPr>
    <w:rPr>
      <w:rFonts w:ascii="仿宋" w:hAnsi="仿宋" w:eastAsia="仿宋" w:cs="宋体"/>
      <w:kern w:val="2"/>
      <w:sz w:val="24"/>
      <w:szCs w:val="22"/>
      <w:lang w:val="en-US" w:eastAsia="zh-CN" w:bidi="ar-SA"/>
    </w:rPr>
  </w:style>
  <w:style w:type="paragraph" w:customStyle="1" w:styleId="98">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99">
    <w:name w:val="列项中圆1"/>
    <w:basedOn w:val="1"/>
    <w:next w:val="1"/>
    <w:qFormat/>
    <w:uiPriority w:val="0"/>
    <w:pPr>
      <w:tabs>
        <w:tab w:val="left" w:pos="839"/>
      </w:tabs>
      <w:spacing w:line="300" w:lineRule="auto"/>
      <w:ind w:left="839" w:hanging="419"/>
    </w:pPr>
    <w:rPr>
      <w:kern w:val="21"/>
      <w:szCs w:val="20"/>
    </w:rPr>
  </w:style>
  <w:style w:type="paragraph" w:customStyle="1" w:styleId="100">
    <w:name w:val="xl30"/>
    <w:basedOn w:val="1"/>
    <w:qFormat/>
    <w:uiPriority w:val="0"/>
    <w:pPr>
      <w:widowControl/>
      <w:spacing w:before="100" w:beforeAutospacing="1" w:after="100" w:afterAutospacing="1"/>
      <w:jc w:val="center"/>
    </w:pPr>
    <w:rPr>
      <w:rFonts w:ascii="楷体_GB2312" w:hAnsi="宋体" w:eastAsia="楷体_GB2312"/>
      <w:b/>
      <w:kern w:val="0"/>
      <w:sz w:val="32"/>
    </w:rPr>
  </w:style>
  <w:style w:type="paragraph" w:customStyle="1" w:styleId="101">
    <w:name w:val="文档正文"/>
    <w:basedOn w:val="1"/>
    <w:qFormat/>
    <w:uiPriority w:val="0"/>
    <w:rPr>
      <w:rFonts w:ascii="宋体" w:hAnsi="宋体" w:cs="Arial"/>
      <w:bCs/>
      <w:szCs w:val="21"/>
    </w:rPr>
  </w:style>
  <w:style w:type="paragraph" w:customStyle="1" w:styleId="102">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103">
    <w:name w:val="无间隔1"/>
    <w:link w:val="114"/>
    <w:qFormat/>
    <w:uiPriority w:val="1"/>
    <w:rPr>
      <w:rFonts w:ascii="Calibri" w:hAnsi="Calibri" w:eastAsia="宋体" w:cs="宋体"/>
      <w:kern w:val="2"/>
      <w:sz w:val="22"/>
      <w:szCs w:val="22"/>
      <w:lang w:val="en-US" w:eastAsia="zh-CN" w:bidi="ar-SA"/>
    </w:rPr>
  </w:style>
  <w:style w:type="paragraph" w:customStyle="1" w:styleId="104">
    <w:name w:val="纯文本1"/>
    <w:basedOn w:val="1"/>
    <w:qFormat/>
    <w:uiPriority w:val="0"/>
    <w:pPr>
      <w:spacing w:beforeLines="50" w:afterLines="50" w:line="400" w:lineRule="exact"/>
    </w:pPr>
    <w:rPr>
      <w:rFonts w:ascii="宋体" w:hAnsi="Courier New" w:eastAsia="仿宋_GB2312"/>
      <w:sz w:val="30"/>
      <w:szCs w:val="24"/>
    </w:rPr>
  </w:style>
  <w:style w:type="character" w:customStyle="1" w:styleId="105">
    <w:name w:val="font21"/>
    <w:basedOn w:val="37"/>
    <w:qFormat/>
    <w:uiPriority w:val="0"/>
    <w:rPr>
      <w:rFonts w:hint="eastAsia" w:ascii="等线" w:hAnsi="等线" w:eastAsia="等线" w:cs="等线"/>
      <w:color w:val="000000"/>
      <w:sz w:val="22"/>
      <w:szCs w:val="22"/>
      <w:u w:val="none"/>
    </w:rPr>
  </w:style>
  <w:style w:type="character" w:customStyle="1" w:styleId="106">
    <w:name w:val="GW-正文 Char"/>
    <w:link w:val="78"/>
    <w:qFormat/>
    <w:uiPriority w:val="99"/>
    <w:rPr>
      <w:rFonts w:ascii="Arial Narrow" w:hAnsi="Arial Narrow" w:eastAsia="宋体" w:cs="Times New Roman"/>
      <w:kern w:val="0"/>
      <w:sz w:val="24"/>
      <w:szCs w:val="24"/>
    </w:rPr>
  </w:style>
  <w:style w:type="character" w:customStyle="1" w:styleId="107">
    <w:name w:val="apple-converted-space"/>
    <w:qFormat/>
    <w:uiPriority w:val="0"/>
    <w:rPr>
      <w:rFonts w:hint="default" w:ascii="Times New Roman" w:hAnsi="Times New Roman" w:cs="Times New Roman"/>
    </w:rPr>
  </w:style>
  <w:style w:type="character" w:customStyle="1" w:styleId="108">
    <w:name w:val="正文文本缩进 3 Char1"/>
    <w:basedOn w:val="37"/>
    <w:qFormat/>
    <w:uiPriority w:val="99"/>
    <w:rPr>
      <w:rFonts w:ascii="Times New Roman" w:hAnsi="Times New Roman" w:eastAsia="宋体" w:cs="Times New Roman"/>
      <w:sz w:val="16"/>
      <w:szCs w:val="16"/>
    </w:rPr>
  </w:style>
  <w:style w:type="character" w:customStyle="1" w:styleId="109">
    <w:name w:val="批注主题 Char1"/>
    <w:basedOn w:val="110"/>
    <w:qFormat/>
    <w:uiPriority w:val="99"/>
    <w:rPr>
      <w:rFonts w:ascii="Times New Roman" w:hAnsi="Times New Roman" w:eastAsia="宋体" w:cs="Times New Roman"/>
      <w:b/>
      <w:bCs/>
    </w:rPr>
  </w:style>
  <w:style w:type="character" w:customStyle="1" w:styleId="110">
    <w:name w:val="批注文字 Char1"/>
    <w:basedOn w:val="37"/>
    <w:qFormat/>
    <w:uiPriority w:val="99"/>
    <w:rPr>
      <w:rFonts w:ascii="Times New Roman" w:hAnsi="Times New Roman" w:eastAsia="宋体" w:cs="Times New Roman"/>
    </w:rPr>
  </w:style>
  <w:style w:type="character" w:customStyle="1" w:styleId="111">
    <w:name w:val="apple-tab-span"/>
    <w:qFormat/>
    <w:uiPriority w:val="0"/>
    <w:rPr>
      <w:rFonts w:hint="default" w:ascii="Times New Roman" w:hAnsi="Times New Roman" w:cs="Times New Roman"/>
    </w:rPr>
  </w:style>
  <w:style w:type="character" w:customStyle="1" w:styleId="112">
    <w:name w:val="font11"/>
    <w:basedOn w:val="37"/>
    <w:qFormat/>
    <w:uiPriority w:val="0"/>
    <w:rPr>
      <w:rFonts w:hint="default" w:ascii="Times New Roman" w:hAnsi="Times New Roman" w:cs="Times New Roman"/>
      <w:color w:val="000000"/>
      <w:sz w:val="20"/>
      <w:szCs w:val="20"/>
      <w:u w:val="none"/>
    </w:rPr>
  </w:style>
  <w:style w:type="character" w:customStyle="1" w:styleId="113">
    <w:name w:val="font31"/>
    <w:basedOn w:val="37"/>
    <w:qFormat/>
    <w:uiPriority w:val="0"/>
    <w:rPr>
      <w:rFonts w:hint="eastAsia" w:ascii="等线" w:hAnsi="等线" w:eastAsia="等线" w:cs="等线"/>
      <w:color w:val="000000"/>
      <w:sz w:val="22"/>
      <w:szCs w:val="22"/>
      <w:u w:val="none"/>
    </w:rPr>
  </w:style>
  <w:style w:type="character" w:customStyle="1" w:styleId="114">
    <w:name w:val="无间隔 Char"/>
    <w:link w:val="103"/>
    <w:qFormat/>
    <w:uiPriority w:val="1"/>
    <w:rPr>
      <w:rFonts w:ascii="Calibri" w:hAnsi="Calibri" w:eastAsia="宋体" w:cs="宋体"/>
      <w:sz w:val="22"/>
    </w:rPr>
  </w:style>
  <w:style w:type="character" w:customStyle="1" w:styleId="115">
    <w:name w:val="正文文本缩进 Char1"/>
    <w:basedOn w:val="37"/>
    <w:qFormat/>
    <w:uiPriority w:val="99"/>
    <w:rPr>
      <w:rFonts w:ascii="Times New Roman" w:hAnsi="Times New Roman" w:eastAsia="宋体" w:cs="Times New Roman"/>
    </w:rPr>
  </w:style>
  <w:style w:type="character" w:customStyle="1" w:styleId="116">
    <w:name w:val="正文文本 3 Char1"/>
    <w:basedOn w:val="37"/>
    <w:qFormat/>
    <w:uiPriority w:val="99"/>
    <w:rPr>
      <w:rFonts w:ascii="Times New Roman" w:hAnsi="Times New Roman" w:eastAsia="宋体" w:cs="Times New Roman"/>
      <w:sz w:val="16"/>
      <w:szCs w:val="16"/>
    </w:rPr>
  </w:style>
  <w:style w:type="character" w:customStyle="1" w:styleId="117">
    <w:name w:val="正文文本 Char1"/>
    <w:basedOn w:val="37"/>
    <w:qFormat/>
    <w:uiPriority w:val="99"/>
    <w:rPr>
      <w:rFonts w:ascii="Times New Roman" w:hAnsi="Times New Roman" w:eastAsia="宋体" w:cs="Times New Roman"/>
    </w:rPr>
  </w:style>
  <w:style w:type="character" w:customStyle="1" w:styleId="118">
    <w:name w:val="font01"/>
    <w:basedOn w:val="37"/>
    <w:qFormat/>
    <w:uiPriority w:val="0"/>
    <w:rPr>
      <w:rFonts w:hint="eastAsia" w:ascii="宋体" w:hAnsi="宋体" w:eastAsia="宋体" w:cs="宋体"/>
      <w:color w:val="000000"/>
      <w:sz w:val="20"/>
      <w:szCs w:val="20"/>
      <w:u w:val="none"/>
    </w:rPr>
  </w:style>
  <w:style w:type="character" w:customStyle="1" w:styleId="119">
    <w:name w:val="Char Char3"/>
    <w:link w:val="84"/>
    <w:qFormat/>
    <w:uiPriority w:val="99"/>
    <w:rPr>
      <w:rFonts w:ascii="Calibri" w:hAnsi="Calibri" w:eastAsia="宋体" w:cs="宋体"/>
      <w:szCs w:val="24"/>
    </w:rPr>
  </w:style>
  <w:style w:type="character" w:customStyle="1" w:styleId="120">
    <w:name w:val="题注 Char"/>
    <w:link w:val="12"/>
    <w:qFormat/>
    <w:uiPriority w:val="99"/>
    <w:rPr>
      <w:rFonts w:ascii="Arial" w:hAnsi="Arial" w:eastAsia="黑体" w:cs="Arial"/>
    </w:rPr>
  </w:style>
  <w:style w:type="character" w:customStyle="1" w:styleId="121">
    <w:name w:val="纯文本 Char2"/>
    <w:basedOn w:val="37"/>
    <w:qFormat/>
    <w:uiPriority w:val="99"/>
    <w:rPr>
      <w:rFonts w:ascii="宋体" w:hAnsi="Courier New" w:eastAsia="宋体" w:cs="Courier New"/>
      <w:szCs w:val="21"/>
    </w:rPr>
  </w:style>
  <w:style w:type="character" w:customStyle="1" w:styleId="122">
    <w:name w:val="文档结构图 Char1"/>
    <w:basedOn w:val="37"/>
    <w:qFormat/>
    <w:uiPriority w:val="99"/>
    <w:rPr>
      <w:rFonts w:ascii="宋体" w:hAnsi="Times New Roman" w:eastAsia="宋体" w:cs="Times New Roman"/>
      <w:sz w:val="18"/>
      <w:szCs w:val="18"/>
    </w:rPr>
  </w:style>
  <w:style w:type="character" w:customStyle="1" w:styleId="123">
    <w:name w:val="正文首行缩进2字符 Char Char"/>
    <w:link w:val="95"/>
    <w:qFormat/>
    <w:uiPriority w:val="0"/>
    <w:rPr>
      <w:rFonts w:ascii="Times New Roman" w:hAnsi="Times New Roman" w:eastAsia="宋体" w:cs="宋体"/>
      <w:sz w:val="24"/>
    </w:rPr>
  </w:style>
  <w:style w:type="character" w:customStyle="1" w:styleId="124">
    <w:name w:val="表格内容 字符"/>
    <w:link w:val="97"/>
    <w:qFormat/>
    <w:uiPriority w:val="0"/>
    <w:rPr>
      <w:rFonts w:ascii="仿宋" w:hAnsi="仿宋" w:eastAsia="仿宋" w:cs="宋体"/>
      <w:sz w:val="24"/>
    </w:rPr>
  </w:style>
  <w:style w:type="character" w:customStyle="1" w:styleId="125">
    <w:name w:val="纯文本 Char1"/>
    <w:qFormat/>
    <w:uiPriority w:val="0"/>
    <w:rPr>
      <w:rFonts w:ascii="宋体" w:hAnsi="Courier New" w:eastAsia="宋体" w:cs="Courier New"/>
      <w:szCs w:val="21"/>
    </w:rPr>
  </w:style>
  <w:style w:type="character" w:customStyle="1" w:styleId="126">
    <w:name w:val="日期 Char1"/>
    <w:basedOn w:val="37"/>
    <w:qFormat/>
    <w:uiPriority w:val="99"/>
    <w:rPr>
      <w:rFonts w:ascii="Times New Roman" w:hAnsi="Times New Roman" w:eastAsia="宋体" w:cs="Times New Roman"/>
    </w:rPr>
  </w:style>
  <w:style w:type="character" w:customStyle="1" w:styleId="127">
    <w:name w:val="正文文本缩进 2 Char1"/>
    <w:basedOn w:val="37"/>
    <w:qFormat/>
    <w:uiPriority w:val="99"/>
    <w:rPr>
      <w:rFonts w:ascii="Times New Roman" w:hAnsi="Times New Roman" w:eastAsia="宋体" w:cs="Times New Roman"/>
    </w:rPr>
  </w:style>
  <w:style w:type="character" w:customStyle="1" w:styleId="128">
    <w:name w:val="批注框文本 Char1"/>
    <w:basedOn w:val="37"/>
    <w:qFormat/>
    <w:uiPriority w:val="99"/>
    <w:rPr>
      <w:rFonts w:ascii="Times New Roman" w:hAnsi="Times New Roman" w:eastAsia="宋体" w:cs="Times New Roman"/>
      <w:sz w:val="18"/>
      <w:szCs w:val="18"/>
    </w:rPr>
  </w:style>
  <w:style w:type="character" w:customStyle="1" w:styleId="129">
    <w:name w:val="列出段落 Char"/>
    <w:link w:val="87"/>
    <w:qFormat/>
    <w:uiPriority w:val="99"/>
    <w:rPr>
      <w:rFonts w:ascii="Calibri" w:hAnsi="Calibri" w:eastAsia="宋体" w:cs="Times New Roman"/>
      <w:szCs w:val="24"/>
    </w:rPr>
  </w:style>
  <w:style w:type="character" w:customStyle="1" w:styleId="130">
    <w:name w:val="正文文本 2 Char1"/>
    <w:basedOn w:val="37"/>
    <w:qFormat/>
    <w:uiPriority w:val="99"/>
    <w:rPr>
      <w:rFonts w:ascii="Times New Roman" w:hAnsi="Times New Roman" w:eastAsia="宋体" w:cs="Times New Roman"/>
    </w:rPr>
  </w:style>
  <w:style w:type="character" w:customStyle="1" w:styleId="131">
    <w:name w:val="大黑10.5px"/>
    <w:qFormat/>
    <w:uiPriority w:val="99"/>
    <w:rPr>
      <w:rFonts w:ascii="方正大黑简体" w:eastAsia="方正大黑简体" w:cs="方正大黑简体"/>
      <w:sz w:val="21"/>
      <w:szCs w:val="21"/>
    </w:rPr>
  </w:style>
  <w:style w:type="character" w:customStyle="1" w:styleId="132">
    <w:name w:val="黑简10.5px"/>
    <w:qFormat/>
    <w:uiPriority w:val="99"/>
    <w:rPr>
      <w:rFonts w:ascii="方正黑体简体" w:eastAsia="方正黑体简体" w:cs="方正黑体简体"/>
      <w:sz w:val="21"/>
      <w:szCs w:val="21"/>
    </w:rPr>
  </w:style>
  <w:style w:type="paragraph" w:customStyle="1" w:styleId="133">
    <w:name w:val="缩进4"/>
    <w:basedOn w:val="1"/>
    <w:qFormat/>
    <w:uiPriority w:val="99"/>
    <w:pPr>
      <w:autoSpaceDE w:val="0"/>
      <w:autoSpaceDN w:val="0"/>
      <w:adjustRightInd w:val="0"/>
      <w:spacing w:line="288" w:lineRule="auto"/>
      <w:ind w:left="227"/>
      <w:textAlignment w:val="center"/>
    </w:pPr>
    <w:rPr>
      <w:rFonts w:ascii="方正黑体简体" w:hAnsi="Calibri" w:eastAsia="方正黑体简体" w:cs="方正黑体简体"/>
      <w:color w:val="000000"/>
      <w:kern w:val="0"/>
      <w:sz w:val="18"/>
      <w:szCs w:val="18"/>
      <w:lang w:val="zh-CN"/>
    </w:rPr>
  </w:style>
  <w:style w:type="paragraph" w:customStyle="1" w:styleId="134">
    <w:name w:val="_Style 130"/>
    <w:basedOn w:val="1"/>
    <w:next w:val="87"/>
    <w:qFormat/>
    <w:uiPriority w:val="34"/>
    <w:pPr>
      <w:ind w:firstLine="420" w:firstLineChars="200"/>
    </w:pPr>
    <w:rPr>
      <w:szCs w:val="20"/>
    </w:rPr>
  </w:style>
  <w:style w:type="paragraph" w:customStyle="1" w:styleId="135">
    <w:name w:val="0正文"/>
    <w:basedOn w:val="1"/>
    <w:qFormat/>
    <w:uiPriority w:val="0"/>
    <w:pPr>
      <w:spacing w:line="560" w:lineRule="exact"/>
      <w:ind w:firstLine="200" w:firstLineChars="200"/>
    </w:pPr>
    <w:rPr>
      <w:rFonts w:ascii="Tahoma" w:hAnsi="Tahoma"/>
    </w:rPr>
  </w:style>
  <w:style w:type="paragraph" w:customStyle="1" w:styleId="136">
    <w:name w:val="正文（本文）"/>
    <w:basedOn w:val="1"/>
    <w:qFormat/>
    <w:uiPriority w:val="0"/>
    <w:pPr>
      <w:snapToGrid w:val="0"/>
      <w:spacing w:line="360" w:lineRule="auto"/>
      <w:ind w:firstLine="480" w:firstLineChars="200"/>
    </w:pPr>
    <w:rPr>
      <w:sz w:val="24"/>
      <w:szCs w:val="24"/>
    </w:rPr>
  </w:style>
  <w:style w:type="paragraph" w:customStyle="1" w:styleId="137">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38">
    <w:name w:val="_Style 4"/>
    <w:basedOn w:val="1"/>
    <w:qFormat/>
    <w:uiPriority w:val="34"/>
    <w:pPr>
      <w:ind w:firstLine="420" w:firstLineChars="200"/>
      <w:jc w:val="left"/>
    </w:pPr>
    <w:rPr>
      <w:rFonts w:ascii="Calibri" w:hAnsi="Calibri"/>
      <w:kern w:val="0"/>
      <w:sz w:val="18"/>
      <w:szCs w:val="24"/>
      <w:lang w:eastAsia="zh-TW"/>
    </w:rPr>
  </w:style>
  <w:style w:type="paragraph" w:styleId="139">
    <w:name w:val="List Paragraph"/>
    <w:basedOn w:val="1"/>
    <w:qFormat/>
    <w:uiPriority w:val="34"/>
    <w:pPr>
      <w:ind w:firstLine="420" w:firstLineChars="200"/>
    </w:pPr>
    <w:rPr>
      <w:rFonts w:ascii="Calibri" w:hAnsi="Calibri"/>
      <w:szCs w:val="24"/>
    </w:rPr>
  </w:style>
  <w:style w:type="paragraph" w:customStyle="1" w:styleId="140">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141">
    <w:name w:val="WPSOffice手动目录 1"/>
    <w:qFormat/>
    <w:uiPriority w:val="0"/>
    <w:rPr>
      <w:rFonts w:ascii="Times New Roman" w:hAnsi="Times New Roman" w:eastAsia="宋体" w:cs="Times New Roman"/>
      <w:lang w:val="en-US" w:eastAsia="zh-CN" w:bidi="ar-SA"/>
    </w:rPr>
  </w:style>
  <w:style w:type="paragraph" w:customStyle="1" w:styleId="142">
    <w:name w:val="正文2"/>
    <w:basedOn w:val="1"/>
    <w:qFormat/>
    <w:uiPriority w:val="0"/>
    <w:pPr>
      <w:spacing w:before="156" w:line="360" w:lineRule="auto"/>
      <w:ind w:firstLine="510" w:firstLineChars="200"/>
    </w:pPr>
    <w:rPr>
      <w:sz w:val="24"/>
      <w:szCs w:val="20"/>
    </w:rPr>
  </w:style>
  <w:style w:type="character" w:customStyle="1" w:styleId="143">
    <w:name w:val="正文 首行缩进:  2 字符 Char Char Char"/>
    <w:link w:val="144"/>
    <w:qFormat/>
    <w:uiPriority w:val="0"/>
    <w:rPr>
      <w:sz w:val="24"/>
    </w:rPr>
  </w:style>
  <w:style w:type="paragraph" w:customStyle="1" w:styleId="144">
    <w:name w:val="正文 首行缩进:  2 字符 Char"/>
    <w:basedOn w:val="1"/>
    <w:link w:val="143"/>
    <w:qFormat/>
    <w:uiPriority w:val="0"/>
    <w:pPr>
      <w:spacing w:line="360" w:lineRule="auto"/>
      <w:ind w:firstLine="480"/>
    </w:pPr>
    <w:rPr>
      <w:rFonts w:asciiTheme="minorHAnsi" w:hAnsiTheme="minorHAnsi" w:eastAsiaTheme="minorEastAsia" w:cstheme="minorBidi"/>
      <w:sz w:val="24"/>
    </w:rPr>
  </w:style>
  <w:style w:type="table" w:customStyle="1" w:styleId="145">
    <w:name w:val="网格型5"/>
    <w:basedOn w:val="3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6">
    <w:name w:val="纯文本 字符1"/>
    <w:qFormat/>
    <w:uiPriority w:val="0"/>
    <w:rPr>
      <w:rFonts w:ascii="宋体" w:hAnsi="宋体" w:eastAsia="宋体" w:cs="宋体"/>
      <w:color w:val="000000"/>
      <w:sz w:val="24"/>
      <w:szCs w:val="24"/>
      <w:lang w:val="en-US" w:eastAsia="zh-CN" w:bidi="ar-SA"/>
    </w:rPr>
  </w:style>
  <w:style w:type="character" w:customStyle="1" w:styleId="147">
    <w:name w:val="标题 2 字符"/>
    <w:qFormat/>
    <w:uiPriority w:val="0"/>
    <w:rPr>
      <w:rFonts w:ascii="Arial" w:hAnsi="Arial" w:eastAsia="黑体"/>
      <w:b/>
      <w:kern w:val="0"/>
      <w:sz w:val="32"/>
    </w:rPr>
  </w:style>
  <w:style w:type="paragraph" w:customStyle="1" w:styleId="148">
    <w:name w:val="_Style 147"/>
    <w:basedOn w:val="1"/>
    <w:next w:val="139"/>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8BDC1-F864-4F31-9A4F-A897034591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24171</Words>
  <Characters>26076</Characters>
  <Lines>203</Lines>
  <Paragraphs>57</Paragraphs>
  <TotalTime>0</TotalTime>
  <ScaleCrop>false</ScaleCrop>
  <LinksUpToDate>false</LinksUpToDate>
  <CharactersWithSpaces>26714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2021-07-14T02:50:00Z</dcterms:created>
  <dc:creator>ape</dc:creator>
  <cp:lastModifiedBy>hp</cp:lastModifiedBy>
  <cp:lastPrinted>2022-08-08T02:13:00Z</cp:lastPrinted>
  <dcterms:modified xsi:type="dcterms:W3CDTF">2022-08-10T03:10:56Z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63928CCBB4FA411BB7F2B48BD981C615</vt:lpwstr>
  </property>
</Properties>
</file>