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ascii="华文新魏" w:hAnsi="宋体" w:eastAsia="华文新魏"/>
          <w:b/>
          <w:sz w:val="52"/>
          <w:szCs w:val="52"/>
        </w:rPr>
      </w:pPr>
    </w:p>
    <w:p>
      <w:pPr>
        <w:snapToGrid w:val="0"/>
        <w:jc w:val="center"/>
        <w:textAlignment w:val="baseline"/>
        <w:rPr>
          <w:rFonts w:ascii="华文新魏" w:hAnsi="宋体" w:eastAsia="华文新魏"/>
          <w:b/>
          <w:spacing w:val="-8"/>
          <w:sz w:val="48"/>
          <w:szCs w:val="48"/>
        </w:rPr>
      </w:pPr>
    </w:p>
    <w:p>
      <w:pPr>
        <w:snapToGrid w:val="0"/>
        <w:spacing w:line="360" w:lineRule="auto"/>
        <w:jc w:val="center"/>
        <w:textAlignment w:val="baseline"/>
        <w:rPr>
          <w:rFonts w:ascii="华文新魏" w:hAnsi="宋体" w:eastAsia="华文新魏"/>
          <w:b/>
          <w:spacing w:val="-8"/>
          <w:sz w:val="48"/>
          <w:szCs w:val="48"/>
        </w:rPr>
      </w:pPr>
      <w:r>
        <w:rPr>
          <w:rFonts w:hint="eastAsia" w:ascii="华文新魏" w:hAnsi="宋体" w:eastAsia="华文新魏"/>
          <w:b/>
          <w:spacing w:val="-8"/>
          <w:sz w:val="48"/>
          <w:szCs w:val="48"/>
        </w:rPr>
        <w:t>舟山市省域空间治理数字化平台舟山节点建设采购项目</w:t>
      </w:r>
    </w:p>
    <w:p>
      <w:pPr>
        <w:snapToGrid w:val="0"/>
        <w:jc w:val="center"/>
        <w:textAlignment w:val="baseline"/>
        <w:rPr>
          <w:rFonts w:ascii="华文新魏" w:hAnsi="宋体" w:eastAsia="华文新魏"/>
          <w:b/>
          <w:sz w:val="52"/>
          <w:szCs w:val="52"/>
        </w:rPr>
      </w:pPr>
    </w:p>
    <w:p>
      <w:pPr>
        <w:snapToGrid w:val="0"/>
        <w:spacing w:line="312" w:lineRule="auto"/>
        <w:textAlignment w:val="baseline"/>
        <w:rPr>
          <w:rFonts w:ascii="华文新魏" w:hAnsi="华文新魏" w:eastAsia="华文新魏"/>
          <w:b/>
          <w:sz w:val="52"/>
        </w:rPr>
      </w:pPr>
    </w:p>
    <w:p>
      <w:pPr>
        <w:snapToGrid w:val="0"/>
        <w:spacing w:line="312" w:lineRule="auto"/>
        <w:jc w:val="center"/>
        <w:textAlignment w:val="baseline"/>
        <w:rPr>
          <w:rFonts w:ascii="华文新魏" w:hAnsi="华文新魏" w:eastAsia="华文新魏"/>
          <w:b/>
          <w:sz w:val="52"/>
        </w:rPr>
      </w:pPr>
      <w:r>
        <w:rPr>
          <w:rFonts w:hint="eastAsia" w:ascii="华文新魏" w:hAnsi="华文新魏" w:eastAsia="华文新魏"/>
          <w:b/>
          <w:sz w:val="52"/>
        </w:rPr>
        <w:t>招标文件</w:t>
      </w:r>
    </w:p>
    <w:p>
      <w:pPr>
        <w:snapToGrid w:val="0"/>
        <w:spacing w:before="120" w:line="312" w:lineRule="auto"/>
        <w:textAlignment w:val="baseline"/>
        <w:rPr>
          <w:rFonts w:ascii="华文新魏" w:hAnsi="华文新魏" w:eastAsia="华文新魏"/>
          <w:b/>
          <w:sz w:val="32"/>
        </w:rPr>
      </w:pPr>
    </w:p>
    <w:p>
      <w:pPr>
        <w:snapToGrid w:val="0"/>
        <w:spacing w:before="120" w:line="312" w:lineRule="auto"/>
        <w:textAlignment w:val="baseline"/>
        <w:rPr>
          <w:rFonts w:ascii="华文新魏" w:hAnsi="宋体" w:eastAsia="华文新魏"/>
          <w:b/>
          <w:sz w:val="32"/>
        </w:rPr>
      </w:pPr>
      <w:r>
        <w:rPr>
          <w:rFonts w:hint="eastAsia" w:ascii="华文新魏" w:hAnsi="华文新魏" w:eastAsia="华文新魏"/>
          <w:b/>
          <w:sz w:val="32"/>
        </w:rPr>
        <w:t>项目编号：</w:t>
      </w:r>
      <w:r>
        <w:rPr>
          <w:rFonts w:hint="eastAsia" w:ascii="华文新魏" w:hAnsi="宋体" w:eastAsia="华文新魏"/>
          <w:b/>
          <w:sz w:val="32"/>
        </w:rPr>
        <w:t>SZGXZS2021185</w:t>
      </w:r>
    </w:p>
    <w:p>
      <w:pPr>
        <w:snapToGrid w:val="0"/>
        <w:spacing w:before="120" w:line="312" w:lineRule="auto"/>
        <w:ind w:left="1602" w:hanging="1602" w:hangingChars="500"/>
        <w:textAlignment w:val="baseline"/>
        <w:rPr>
          <w:rFonts w:ascii="华文新魏" w:hAnsi="华文新魏" w:eastAsia="华文新魏"/>
          <w:b/>
          <w:sz w:val="32"/>
        </w:rPr>
      </w:pPr>
    </w:p>
    <w:p>
      <w:pPr>
        <w:snapToGrid w:val="0"/>
        <w:spacing w:before="120" w:line="312" w:lineRule="auto"/>
        <w:ind w:left="1602" w:hanging="1602" w:hangingChars="500"/>
        <w:textAlignment w:val="baseline"/>
        <w:rPr>
          <w:rFonts w:ascii="华文新魏" w:hAnsi="华文新魏" w:eastAsia="华文新魏"/>
          <w:sz w:val="32"/>
        </w:rPr>
      </w:pPr>
      <w:r>
        <w:rPr>
          <w:rFonts w:hint="eastAsia" w:ascii="华文新魏" w:hAnsi="华文新魏" w:eastAsia="华文新魏"/>
          <w:b/>
          <w:sz w:val="32"/>
        </w:rPr>
        <w:t>项目名称</w:t>
      </w:r>
      <w:r>
        <w:rPr>
          <w:rFonts w:hint="eastAsia" w:ascii="华文新魏" w:hAnsi="华文新魏" w:eastAsia="华文新魏"/>
          <w:sz w:val="32"/>
        </w:rPr>
        <w:t>：</w:t>
      </w:r>
      <w:r>
        <w:rPr>
          <w:rFonts w:hint="eastAsia" w:ascii="华文新魏" w:hAnsi="华文新魏" w:eastAsia="华文新魏"/>
          <w:b/>
          <w:sz w:val="32"/>
        </w:rPr>
        <w:t>舟山市省域空间治理数字化平台舟山节点建设采购项目</w:t>
      </w:r>
    </w:p>
    <w:p>
      <w:pPr>
        <w:snapToGrid w:val="0"/>
        <w:spacing w:before="120" w:line="312" w:lineRule="auto"/>
        <w:textAlignment w:val="baseline"/>
        <w:rPr>
          <w:rFonts w:ascii="华文新魏" w:hAnsi="华文新魏" w:eastAsia="华文新魏"/>
          <w:b/>
          <w:w w:val="95"/>
          <w:sz w:val="32"/>
        </w:rPr>
      </w:pPr>
    </w:p>
    <w:p>
      <w:pPr>
        <w:snapToGrid w:val="0"/>
        <w:spacing w:before="120" w:line="312" w:lineRule="auto"/>
        <w:ind w:left="1523" w:hanging="1522" w:hangingChars="500"/>
        <w:textAlignment w:val="baseline"/>
        <w:rPr>
          <w:rFonts w:ascii="华文新魏" w:hAnsi="华文新魏" w:eastAsia="华文新魏"/>
          <w:b/>
          <w:sz w:val="32"/>
        </w:rPr>
      </w:pPr>
      <w:r>
        <w:rPr>
          <w:rFonts w:hint="eastAsia" w:ascii="华文新魏" w:hAnsi="华文新魏" w:eastAsia="华文新魏"/>
          <w:b/>
          <w:w w:val="95"/>
          <w:sz w:val="32"/>
        </w:rPr>
        <w:t>采购单位：</w:t>
      </w:r>
      <w:r>
        <w:rPr>
          <w:rFonts w:hint="eastAsia" w:ascii="华文新魏" w:hAnsi="华文新魏" w:eastAsia="华文新魏"/>
          <w:b/>
          <w:sz w:val="32"/>
        </w:rPr>
        <w:t>舟山市自然资源与规划局</w:t>
      </w:r>
    </w:p>
    <w:p>
      <w:pPr>
        <w:snapToGrid w:val="0"/>
        <w:spacing w:before="120" w:line="312" w:lineRule="auto"/>
        <w:textAlignment w:val="baseline"/>
        <w:rPr>
          <w:rFonts w:ascii="华文新魏" w:hAnsi="华文新魏" w:eastAsia="华文新魏"/>
          <w:b/>
          <w:w w:val="95"/>
          <w:sz w:val="32"/>
        </w:rPr>
      </w:pPr>
    </w:p>
    <w:p>
      <w:pPr>
        <w:snapToGrid w:val="0"/>
        <w:spacing w:before="120" w:line="312" w:lineRule="auto"/>
        <w:textAlignment w:val="baseline"/>
        <w:rPr>
          <w:rFonts w:ascii="华文新魏" w:hAnsi="华文新魏" w:eastAsia="华文新魏"/>
          <w:b/>
          <w:w w:val="95"/>
          <w:sz w:val="32"/>
        </w:rPr>
      </w:pPr>
      <w:r>
        <w:rPr>
          <w:rFonts w:hint="eastAsia" w:ascii="华文新魏" w:hAnsi="华文新魏" w:eastAsia="华文新魏"/>
          <w:b/>
          <w:w w:val="95"/>
          <w:sz w:val="32"/>
        </w:rPr>
        <w:t>代理机构： 深圳市国信招标有限公司</w:t>
      </w:r>
    </w:p>
    <w:p>
      <w:pPr>
        <w:snapToGrid w:val="0"/>
        <w:spacing w:before="120" w:line="312" w:lineRule="auto"/>
        <w:ind w:left="5974" w:hanging="5968" w:hangingChars="1961"/>
        <w:textAlignment w:val="baseline"/>
        <w:rPr>
          <w:rFonts w:ascii="华文新魏" w:hAnsi="华文新魏" w:eastAsia="华文新魏"/>
          <w:b/>
          <w:w w:val="95"/>
          <w:sz w:val="32"/>
        </w:rPr>
      </w:pPr>
    </w:p>
    <w:p>
      <w:pPr>
        <w:snapToGrid w:val="0"/>
        <w:spacing w:before="120" w:line="312" w:lineRule="auto"/>
        <w:textAlignment w:val="baseline"/>
        <w:rPr>
          <w:rFonts w:ascii="华文新魏" w:hAnsi="华文新魏" w:eastAsia="华文新魏"/>
          <w:b/>
          <w:w w:val="95"/>
          <w:sz w:val="32"/>
        </w:rPr>
      </w:pPr>
    </w:p>
    <w:p>
      <w:pPr>
        <w:snapToGrid w:val="0"/>
        <w:spacing w:before="120" w:line="312" w:lineRule="auto"/>
        <w:ind w:left="6046" w:leftChars="2625" w:hanging="533" w:hangingChars="175"/>
        <w:textAlignment w:val="baseline"/>
        <w:rPr>
          <w:rFonts w:ascii="华文新魏" w:hAnsi="华文新魏" w:eastAsia="华文新魏"/>
          <w:b/>
          <w:w w:val="95"/>
          <w:sz w:val="32"/>
        </w:rPr>
      </w:pPr>
      <w:r>
        <w:rPr>
          <w:rFonts w:hint="eastAsia" w:ascii="华文新魏" w:hAnsi="华文新魏" w:eastAsia="华文新魏"/>
          <w:b/>
          <w:w w:val="95"/>
          <w:sz w:val="32"/>
        </w:rPr>
        <w:t>2021年1</w:t>
      </w:r>
      <w:r>
        <w:rPr>
          <w:rFonts w:ascii="华文新魏" w:hAnsi="华文新魏" w:eastAsia="华文新魏"/>
          <w:b/>
          <w:w w:val="95"/>
          <w:sz w:val="32"/>
        </w:rPr>
        <w:t>1</w:t>
      </w:r>
      <w:r>
        <w:rPr>
          <w:rFonts w:hint="eastAsia" w:ascii="华文新魏" w:hAnsi="华文新魏" w:eastAsia="华文新魏"/>
          <w:b/>
          <w:w w:val="95"/>
          <w:sz w:val="32"/>
        </w:rPr>
        <w:t>月19日</w:t>
      </w:r>
    </w:p>
    <w:p>
      <w:pPr>
        <w:snapToGrid w:val="0"/>
        <w:spacing w:before="120" w:line="312" w:lineRule="auto"/>
        <w:ind w:left="6057" w:leftChars="2409" w:hanging="998" w:hangingChars="328"/>
        <w:textAlignment w:val="baseline"/>
        <w:rPr>
          <w:rFonts w:ascii="华文新魏" w:hAnsi="华文新魏" w:eastAsia="华文新魏"/>
          <w:b/>
          <w:w w:val="95"/>
          <w:sz w:val="32"/>
        </w:rPr>
      </w:pPr>
    </w:p>
    <w:p>
      <w:pPr>
        <w:snapToGrid w:val="0"/>
        <w:spacing w:before="120" w:line="312" w:lineRule="auto"/>
        <w:textAlignment w:val="baseline"/>
        <w:rPr>
          <w:rFonts w:ascii="创艺简标宋" w:hAnsi="宋体"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textAlignment w:val="baseline"/>
        <w:rPr>
          <w:rFonts w:ascii="创艺简标宋" w:hAnsi="宋体" w:eastAsia="创艺简标宋"/>
          <w:sz w:val="44"/>
        </w:rPr>
      </w:pPr>
    </w:p>
    <w:p>
      <w:pPr>
        <w:snapToGrid w:val="0"/>
        <w:spacing w:before="120" w:line="312" w:lineRule="auto"/>
        <w:jc w:val="center"/>
        <w:textAlignment w:val="baseline"/>
        <w:rPr>
          <w:rFonts w:asciiTheme="minorEastAsia" w:hAnsiTheme="minorEastAsia" w:eastAsiaTheme="minorEastAsia"/>
          <w:b/>
          <w:sz w:val="44"/>
        </w:rPr>
      </w:pPr>
      <w:r>
        <w:rPr>
          <w:rFonts w:hint="eastAsia" w:asciiTheme="minorEastAsia" w:hAnsiTheme="minorEastAsia" w:eastAsiaTheme="minorEastAsia"/>
          <w:b/>
          <w:sz w:val="44"/>
        </w:rPr>
        <w:t>目    录</w:t>
      </w:r>
    </w:p>
    <w:p>
      <w:pPr>
        <w:snapToGrid w:val="0"/>
        <w:spacing w:before="120" w:line="312" w:lineRule="auto"/>
        <w:jc w:val="center"/>
        <w:textAlignment w:val="baseline"/>
        <w:rPr>
          <w:rFonts w:asciiTheme="minorEastAsia" w:hAnsiTheme="minorEastAsia" w:eastAsiaTheme="minorEastAsia"/>
          <w:b/>
          <w:sz w:val="44"/>
        </w:rPr>
      </w:pPr>
    </w:p>
    <w:p>
      <w:pPr>
        <w:widowControl/>
        <w:numPr>
          <w:ilvl w:val="0"/>
          <w:numId w:val="5"/>
        </w:numPr>
        <w:snapToGrid w:val="0"/>
        <w:spacing w:line="360" w:lineRule="auto"/>
        <w:textAlignment w:val="baseline"/>
        <w:rPr>
          <w:rFonts w:ascii="宋体" w:hAnsi="宋体"/>
          <w:sz w:val="24"/>
        </w:rPr>
      </w:pPr>
      <w:r>
        <w:rPr>
          <w:rFonts w:hint="eastAsia" w:ascii="宋体" w:hAnsi="宋体"/>
          <w:sz w:val="24"/>
        </w:rPr>
        <w:t>采购公告</w:t>
      </w:r>
    </w:p>
    <w:p>
      <w:pPr>
        <w:widowControl/>
        <w:numPr>
          <w:ilvl w:val="0"/>
          <w:numId w:val="5"/>
        </w:numPr>
        <w:snapToGrid w:val="0"/>
        <w:spacing w:line="360" w:lineRule="auto"/>
        <w:textAlignment w:val="baseline"/>
        <w:rPr>
          <w:rFonts w:ascii="宋体" w:hAnsi="宋体"/>
          <w:sz w:val="24"/>
        </w:rPr>
      </w:pPr>
      <w:r>
        <w:rPr>
          <w:rFonts w:hint="eastAsia" w:ascii="宋体" w:hAnsi="宋体"/>
          <w:sz w:val="24"/>
        </w:rPr>
        <w:t>招标需求</w:t>
      </w:r>
    </w:p>
    <w:p>
      <w:pPr>
        <w:widowControl/>
        <w:numPr>
          <w:ilvl w:val="0"/>
          <w:numId w:val="5"/>
        </w:numPr>
        <w:snapToGrid w:val="0"/>
        <w:spacing w:line="360" w:lineRule="auto"/>
        <w:textAlignment w:val="baseline"/>
        <w:rPr>
          <w:rFonts w:ascii="宋体" w:hAnsi="宋体"/>
          <w:sz w:val="24"/>
        </w:rPr>
      </w:pPr>
      <w:r>
        <w:rPr>
          <w:rFonts w:hint="eastAsia" w:ascii="宋体" w:hAnsi="宋体"/>
          <w:sz w:val="24"/>
        </w:rPr>
        <w:t>投标人须知</w:t>
      </w:r>
    </w:p>
    <w:p>
      <w:pPr>
        <w:snapToGrid w:val="0"/>
        <w:spacing w:line="360" w:lineRule="auto"/>
        <w:ind w:left="1440"/>
        <w:textAlignment w:val="baseline"/>
        <w:rPr>
          <w:rFonts w:ascii="宋体" w:hAnsi="宋体"/>
          <w:sz w:val="24"/>
        </w:rPr>
      </w:pPr>
      <w:r>
        <w:rPr>
          <w:rFonts w:hint="eastAsia" w:ascii="宋体" w:hAnsi="宋体"/>
          <w:sz w:val="24"/>
        </w:rPr>
        <w:t>前附表</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总则</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招标文件</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投标文件编制</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开标</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评标</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定标</w:t>
      </w:r>
    </w:p>
    <w:p>
      <w:pPr>
        <w:widowControl/>
        <w:numPr>
          <w:ilvl w:val="1"/>
          <w:numId w:val="5"/>
        </w:numPr>
        <w:snapToGrid w:val="0"/>
        <w:spacing w:line="360" w:lineRule="auto"/>
        <w:textAlignment w:val="baseline"/>
        <w:rPr>
          <w:rFonts w:ascii="宋体" w:hAnsi="宋体"/>
          <w:sz w:val="24"/>
        </w:rPr>
      </w:pPr>
      <w:r>
        <w:rPr>
          <w:rFonts w:hint="eastAsia" w:ascii="宋体" w:hAnsi="宋体"/>
          <w:sz w:val="24"/>
        </w:rPr>
        <w:t>合同授予</w:t>
      </w:r>
    </w:p>
    <w:p>
      <w:pPr>
        <w:widowControl/>
        <w:snapToGrid w:val="0"/>
        <w:spacing w:line="360" w:lineRule="auto"/>
        <w:ind w:left="165"/>
        <w:textAlignment w:val="baseline"/>
        <w:rPr>
          <w:rFonts w:ascii="宋体" w:hAnsi="宋体"/>
          <w:sz w:val="24"/>
        </w:rPr>
      </w:pPr>
      <w:r>
        <w:rPr>
          <w:rFonts w:hint="eastAsia" w:ascii="宋体" w:hAnsi="宋体"/>
          <w:sz w:val="24"/>
        </w:rPr>
        <w:t>第四章     评标办法及评分标准</w:t>
      </w:r>
    </w:p>
    <w:p>
      <w:pPr>
        <w:widowControl/>
        <w:snapToGrid w:val="0"/>
        <w:spacing w:line="360" w:lineRule="auto"/>
        <w:ind w:left="165"/>
        <w:textAlignment w:val="baseline"/>
        <w:rPr>
          <w:rFonts w:ascii="宋体" w:hAnsi="宋体"/>
          <w:sz w:val="24"/>
        </w:rPr>
      </w:pPr>
      <w:r>
        <w:rPr>
          <w:rFonts w:hint="eastAsia" w:ascii="宋体" w:hAnsi="宋体"/>
          <w:sz w:val="24"/>
        </w:rPr>
        <w:t>第五章     政府采购合同主要条款</w:t>
      </w:r>
    </w:p>
    <w:p>
      <w:pPr>
        <w:widowControl/>
        <w:snapToGrid w:val="0"/>
        <w:spacing w:line="360" w:lineRule="auto"/>
        <w:ind w:left="165"/>
        <w:textAlignment w:val="baseline"/>
        <w:rPr>
          <w:rFonts w:ascii="宋体" w:hAnsi="宋体"/>
          <w:sz w:val="24"/>
        </w:rPr>
      </w:pPr>
      <w:r>
        <w:rPr>
          <w:rFonts w:hint="eastAsia" w:ascii="宋体" w:hAnsi="宋体"/>
          <w:sz w:val="24"/>
        </w:rPr>
        <w:t>第六章     投标文件相关格式</w:t>
      </w: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pPr>
    </w:p>
    <w:p>
      <w:pPr>
        <w:snapToGrid w:val="0"/>
        <w:spacing w:before="120" w:line="312" w:lineRule="auto"/>
        <w:textAlignment w:val="baseline"/>
        <w:rPr>
          <w:rFonts w:hAnsi="宋体"/>
          <w:sz w:val="20"/>
        </w:rPr>
        <w:sectPr>
          <w:pgSz w:w="11906" w:h="16838"/>
          <w:pgMar w:top="1304" w:right="1106" w:bottom="1304" w:left="1531" w:header="1304" w:footer="1304" w:gutter="0"/>
          <w:cols w:space="720" w:num="1"/>
        </w:sectPr>
      </w:pPr>
    </w:p>
    <w:p>
      <w:pPr>
        <w:snapToGrid w:val="0"/>
        <w:spacing w:before="120" w:line="312" w:lineRule="auto"/>
        <w:jc w:val="center"/>
        <w:textAlignment w:val="baseline"/>
        <w:rPr>
          <w:rFonts w:ascii="黑体" w:hAnsi="宋体" w:eastAsia="黑体"/>
          <w:sz w:val="30"/>
        </w:rPr>
      </w:pPr>
      <w:r>
        <w:rPr>
          <w:rFonts w:hint="eastAsia" w:ascii="黑体" w:hAnsi="宋体" w:eastAsia="黑体"/>
          <w:sz w:val="30"/>
        </w:rPr>
        <w:t>第一章  公开招标采购公告</w:t>
      </w:r>
    </w:p>
    <w:p>
      <w:pPr>
        <w:snapToGrid w:val="0"/>
        <w:spacing w:line="312" w:lineRule="auto"/>
        <w:textAlignment w:val="baseline"/>
        <w:rPr>
          <w:rFonts w:hAnsi="宋体"/>
          <w:sz w:val="20"/>
        </w:rPr>
      </w:pPr>
    </w:p>
    <w:p>
      <w:pPr>
        <w:snapToGrid w:val="0"/>
        <w:spacing w:line="360" w:lineRule="auto"/>
        <w:ind w:firstLine="420" w:firstLineChars="200"/>
        <w:textAlignment w:val="baseline"/>
        <w:rPr>
          <w:sz w:val="20"/>
          <w:szCs w:val="21"/>
        </w:rPr>
      </w:pPr>
      <w:r>
        <w:rPr>
          <w:rFonts w:hint="eastAsia"/>
        </w:rPr>
        <w:t>根据《中华人民共和国政府采购法》等规定，受舟山市自然资源与规划局委托，现就舟山市省域空间治理数字化平台舟山节点建设采购项目</w:t>
      </w:r>
      <w:r>
        <w:rPr>
          <w:rFonts w:hint="eastAsia"/>
          <w:szCs w:val="21"/>
        </w:rPr>
        <w:t>进行公开招标，欢迎符合资质要求并能提供相关服务的供应商参加投标。</w:t>
      </w:r>
    </w:p>
    <w:p>
      <w:pPr>
        <w:widowControl/>
        <w:snapToGrid w:val="0"/>
        <w:spacing w:line="360" w:lineRule="auto"/>
        <w:jc w:val="left"/>
        <w:textAlignment w:val="baseline"/>
        <w:rPr>
          <w:rStyle w:val="39"/>
          <w:rFonts w:hAnsi="宋体"/>
          <w:sz w:val="20"/>
          <w:szCs w:val="21"/>
        </w:rPr>
      </w:pPr>
      <w:r>
        <w:rPr>
          <w:rStyle w:val="39"/>
          <w:rFonts w:hint="eastAsia" w:hAnsi="宋体"/>
          <w:szCs w:val="21"/>
        </w:rPr>
        <w:t>一、项目名称：</w:t>
      </w:r>
      <w:r>
        <w:rPr>
          <w:rFonts w:hint="eastAsia"/>
        </w:rPr>
        <w:t>舟山市省域空间治理数字化平台舟山节点建设采购项目</w:t>
      </w:r>
    </w:p>
    <w:p>
      <w:pPr>
        <w:widowControl/>
        <w:snapToGrid w:val="0"/>
        <w:spacing w:line="360" w:lineRule="auto"/>
        <w:jc w:val="left"/>
        <w:textAlignment w:val="baseline"/>
        <w:rPr>
          <w:rFonts w:ascii="宋体" w:hAnsi="宋体"/>
          <w:b/>
          <w:bCs/>
          <w:sz w:val="28"/>
          <w:szCs w:val="28"/>
        </w:rPr>
      </w:pPr>
      <w:r>
        <w:rPr>
          <w:rStyle w:val="39"/>
          <w:rFonts w:hint="eastAsia" w:hAnsi="宋体"/>
          <w:szCs w:val="21"/>
        </w:rPr>
        <w:t>二、</w:t>
      </w:r>
      <w:r>
        <w:rPr>
          <w:rStyle w:val="39"/>
          <w:rFonts w:hAnsi="宋体"/>
          <w:szCs w:val="21"/>
        </w:rPr>
        <w:t>招标项目编号：</w:t>
      </w:r>
      <w:r>
        <w:rPr>
          <w:rFonts w:hint="eastAsia" w:ascii="宋体" w:hAnsi="宋体"/>
          <w:kern w:val="0"/>
          <w:szCs w:val="21"/>
          <w:shd w:val="clear" w:color="auto" w:fill="FFFFFF"/>
        </w:rPr>
        <w:t>SZGXZS2021185</w:t>
      </w:r>
    </w:p>
    <w:p>
      <w:pPr>
        <w:pStyle w:val="73"/>
        <w:snapToGrid w:val="0"/>
        <w:spacing w:beforeAutospacing="0" w:afterAutospacing="0" w:line="360" w:lineRule="auto"/>
        <w:jc w:val="both"/>
        <w:textAlignment w:val="baseline"/>
        <w:rPr>
          <w:sz w:val="21"/>
          <w:szCs w:val="21"/>
          <w:shd w:val="clear" w:color="auto" w:fill="FFFFFF"/>
        </w:rPr>
      </w:pPr>
      <w:r>
        <w:rPr>
          <w:rStyle w:val="39"/>
          <w:rFonts w:hint="eastAsia"/>
          <w:sz w:val="21"/>
          <w:szCs w:val="21"/>
        </w:rPr>
        <w:t>三、</w:t>
      </w:r>
      <w:r>
        <w:rPr>
          <w:rStyle w:val="39"/>
          <w:sz w:val="21"/>
          <w:szCs w:val="21"/>
        </w:rPr>
        <w:t>采购组织类型：</w:t>
      </w:r>
      <w:r>
        <w:rPr>
          <w:sz w:val="21"/>
          <w:szCs w:val="21"/>
          <w:shd w:val="clear" w:color="auto" w:fill="FFFFFF"/>
        </w:rPr>
        <w:t>分散采购委托代理</w:t>
      </w:r>
    </w:p>
    <w:p>
      <w:pPr>
        <w:pStyle w:val="73"/>
        <w:snapToGrid w:val="0"/>
        <w:spacing w:beforeAutospacing="0" w:afterAutospacing="0" w:line="336" w:lineRule="auto"/>
        <w:jc w:val="both"/>
        <w:textAlignment w:val="baseline"/>
        <w:rPr>
          <w:rStyle w:val="39"/>
          <w:sz w:val="21"/>
          <w:szCs w:val="21"/>
        </w:rPr>
      </w:pPr>
      <w:r>
        <w:rPr>
          <w:rStyle w:val="39"/>
          <w:rFonts w:hint="eastAsia"/>
          <w:sz w:val="21"/>
          <w:szCs w:val="21"/>
        </w:rPr>
        <w:t>四、</w:t>
      </w:r>
      <w:r>
        <w:rPr>
          <w:rStyle w:val="39"/>
          <w:sz w:val="21"/>
          <w:szCs w:val="21"/>
        </w:rPr>
        <w:t>招标项目概况（内容、用途、数量、简要技术要求等）:</w:t>
      </w:r>
    </w:p>
    <w:p>
      <w:pPr>
        <w:pStyle w:val="73"/>
        <w:snapToGrid w:val="0"/>
        <w:spacing w:beforeAutospacing="0" w:afterAutospacing="0" w:line="336" w:lineRule="auto"/>
        <w:ind w:firstLine="420" w:firstLineChars="200"/>
        <w:jc w:val="both"/>
        <w:textAlignment w:val="baseline"/>
        <w:rPr>
          <w:sz w:val="21"/>
          <w:szCs w:val="21"/>
          <w:shd w:val="clear" w:color="auto" w:fill="FFFFFF"/>
        </w:rPr>
      </w:pPr>
      <w:r>
        <w:rPr>
          <w:rFonts w:hint="eastAsia"/>
          <w:sz w:val="21"/>
          <w:szCs w:val="21"/>
          <w:shd w:val="clear" w:color="auto" w:fill="FFFFFF"/>
        </w:rPr>
        <w:t>舟山市省域空间治理数字化平台舟山节点建设采购项目     (预算金额：</w:t>
      </w:r>
      <w:r>
        <w:rPr>
          <w:sz w:val="21"/>
          <w:szCs w:val="21"/>
          <w:shd w:val="clear" w:color="auto" w:fill="FFFFFF"/>
        </w:rPr>
        <w:t>500</w:t>
      </w:r>
      <w:r>
        <w:rPr>
          <w:rFonts w:hint="eastAsia"/>
          <w:sz w:val="21"/>
          <w:szCs w:val="21"/>
          <w:shd w:val="clear" w:color="auto" w:fill="FFFFFF"/>
        </w:rPr>
        <w:t>万元)</w:t>
      </w:r>
    </w:p>
    <w:p>
      <w:pPr>
        <w:pStyle w:val="73"/>
        <w:snapToGrid w:val="0"/>
        <w:spacing w:beforeAutospacing="0" w:afterAutospacing="0" w:line="336" w:lineRule="auto"/>
        <w:jc w:val="both"/>
        <w:textAlignment w:val="baseline"/>
        <w:rPr>
          <w:rStyle w:val="39"/>
          <w:b w:val="0"/>
          <w:bCs w:val="0"/>
          <w:sz w:val="21"/>
          <w:szCs w:val="21"/>
        </w:rPr>
      </w:pPr>
      <w:r>
        <w:rPr>
          <w:rStyle w:val="39"/>
          <w:rFonts w:hint="eastAsia"/>
          <w:sz w:val="21"/>
          <w:szCs w:val="21"/>
        </w:rPr>
        <w:t>五、</w:t>
      </w:r>
      <w:r>
        <w:rPr>
          <w:rStyle w:val="39"/>
          <w:sz w:val="21"/>
          <w:szCs w:val="21"/>
        </w:rPr>
        <w:t>投标供应商资格要求:</w:t>
      </w:r>
    </w:p>
    <w:p>
      <w:pPr>
        <w:pStyle w:val="73"/>
        <w:shd w:val="clear" w:color="auto" w:fill="FFFFFF"/>
        <w:snapToGrid w:val="0"/>
        <w:spacing w:beforeAutospacing="0" w:afterAutospacing="0" w:line="360" w:lineRule="auto"/>
        <w:ind w:firstLine="420" w:firstLineChars="200"/>
        <w:textAlignment w:val="baseline"/>
        <w:rPr>
          <w:sz w:val="21"/>
          <w:szCs w:val="21"/>
        </w:rPr>
      </w:pPr>
      <w:r>
        <w:rPr>
          <w:rFonts w:hint="eastAsia"/>
          <w:sz w:val="21"/>
          <w:szCs w:val="21"/>
        </w:rPr>
        <w:t>1、①具有独立承担民事责任的能力；②具有良好的商业信誉和健全的财务会计制度；③具有履行合同所必需的设备和专业技术能力；④参加政府采购活动前三年内，无依法缴纳税收和社会保障资金的不良记录；⑤参加政府采购活动前三年内，在经营活动中没有重大违法记录；⑥法律、行政法规规定的其他条件。</w:t>
      </w:r>
    </w:p>
    <w:p>
      <w:pPr>
        <w:pStyle w:val="73"/>
        <w:shd w:val="clear" w:color="auto" w:fill="FFFFFF"/>
        <w:snapToGrid w:val="0"/>
        <w:spacing w:beforeAutospacing="0" w:afterAutospacing="0" w:line="360" w:lineRule="auto"/>
        <w:ind w:firstLine="420" w:firstLineChars="200"/>
        <w:textAlignment w:val="baseline"/>
        <w:rPr>
          <w:sz w:val="21"/>
          <w:szCs w:val="21"/>
        </w:rPr>
      </w:pPr>
      <w:r>
        <w:rPr>
          <w:rFonts w:hint="eastAsia"/>
          <w:sz w:val="21"/>
          <w:szCs w:val="21"/>
        </w:rPr>
        <w:t>2、未被“信用中国”（www.creditchina.gov.cn）、中国政府采购网（www.ccgp.gov.cn）列入失信被执行人、重大税收违法案件当事人名单、政府采购严重违法失信行为记录名单。</w:t>
      </w:r>
    </w:p>
    <w:p>
      <w:pPr>
        <w:pStyle w:val="73"/>
        <w:shd w:val="clear" w:color="auto" w:fill="FFFFFF"/>
        <w:snapToGrid w:val="0"/>
        <w:spacing w:beforeAutospacing="0" w:afterAutospacing="0" w:line="360" w:lineRule="auto"/>
        <w:ind w:firstLine="420" w:firstLineChars="200"/>
        <w:textAlignment w:val="baseline"/>
        <w:rPr>
          <w:sz w:val="21"/>
          <w:szCs w:val="21"/>
        </w:rPr>
      </w:pPr>
      <w:r>
        <w:rPr>
          <w:rFonts w:hint="eastAsia"/>
          <w:sz w:val="21"/>
          <w:szCs w:val="21"/>
        </w:rPr>
        <w:t>3、本项目接受联合体投标。</w:t>
      </w:r>
    </w:p>
    <w:p>
      <w:pPr>
        <w:pStyle w:val="73"/>
        <w:shd w:val="clear" w:color="auto" w:fill="FFFFFF"/>
        <w:snapToGrid w:val="0"/>
        <w:spacing w:beforeAutospacing="0" w:afterAutospacing="0" w:line="360" w:lineRule="auto"/>
        <w:textAlignment w:val="baseline"/>
        <w:rPr>
          <w:rFonts w:ascii="Times New Roman" w:hAnsi="Times New Roman"/>
          <w:sz w:val="21"/>
          <w:szCs w:val="21"/>
        </w:rPr>
      </w:pPr>
      <w:r>
        <w:rPr>
          <w:rStyle w:val="39"/>
          <w:rFonts w:hint="eastAsia"/>
          <w:sz w:val="21"/>
          <w:szCs w:val="21"/>
        </w:rPr>
        <w:t>六、</w:t>
      </w:r>
      <w:r>
        <w:rPr>
          <w:rFonts w:hint="eastAsia" w:cs="宋体"/>
          <w:b/>
          <w:sz w:val="21"/>
          <w:szCs w:val="21"/>
        </w:rPr>
        <w:t>公告期限：</w:t>
      </w:r>
      <w:r>
        <w:rPr>
          <w:rFonts w:hint="eastAsia" w:cs="宋体"/>
          <w:b/>
          <w:sz w:val="21"/>
          <w:szCs w:val="21"/>
          <w:u w:val="single" w:color="000000"/>
        </w:rPr>
        <w:t xml:space="preserve"> 自公告发布之日起5个工作日 </w:t>
      </w:r>
    </w:p>
    <w:p>
      <w:pPr>
        <w:snapToGrid w:val="0"/>
        <w:spacing w:line="360" w:lineRule="auto"/>
        <w:textAlignment w:val="baseline"/>
        <w:rPr>
          <w:rFonts w:ascii="宋体" w:hAnsi="宋体" w:cs="宋体"/>
          <w:sz w:val="20"/>
          <w:szCs w:val="21"/>
        </w:rPr>
      </w:pPr>
      <w:r>
        <w:rPr>
          <w:rFonts w:hint="eastAsia" w:ascii="宋体" w:hAnsi="宋体" w:cs="宋体"/>
          <w:b/>
          <w:bCs/>
          <w:szCs w:val="21"/>
        </w:rPr>
        <w:t>七.注册及采购文件的获取</w:t>
      </w:r>
      <w:r>
        <w:rPr>
          <w:rFonts w:hint="eastAsia" w:ascii="宋体" w:hAnsi="宋体" w:cs="宋体"/>
          <w:szCs w:val="21"/>
        </w:rPr>
        <w:t>：</w:t>
      </w:r>
    </w:p>
    <w:p>
      <w:pPr>
        <w:pStyle w:val="73"/>
        <w:shd w:val="clear" w:color="auto" w:fill="FFFFFF"/>
        <w:snapToGrid w:val="0"/>
        <w:spacing w:beforeAutospacing="0" w:afterAutospacing="0" w:line="360" w:lineRule="auto"/>
        <w:ind w:firstLine="417" w:firstLineChars="198"/>
        <w:textAlignment w:val="baseline"/>
        <w:rPr>
          <w:rFonts w:cs="宋体"/>
          <w:b/>
          <w:bCs/>
          <w:sz w:val="21"/>
          <w:szCs w:val="21"/>
          <w:shd w:val="clear" w:color="auto" w:fill="FFFFFF"/>
        </w:rPr>
      </w:pPr>
      <w:r>
        <w:rPr>
          <w:rFonts w:hint="eastAsia" w:cs="宋体"/>
          <w:b/>
          <w:bCs/>
          <w:sz w:val="21"/>
          <w:szCs w:val="21"/>
          <w:shd w:val="clear" w:color="auto" w:fill="FFFFFF"/>
        </w:rPr>
        <w:t>1、本项目只实行网上获取采购文件。</w:t>
      </w:r>
    </w:p>
    <w:p>
      <w:pPr>
        <w:pStyle w:val="73"/>
        <w:shd w:val="clear" w:color="auto" w:fill="FFFFFF"/>
        <w:snapToGrid w:val="0"/>
        <w:spacing w:beforeAutospacing="0" w:afterAutospacing="0" w:line="360" w:lineRule="auto"/>
        <w:ind w:firstLine="417" w:firstLineChars="198"/>
        <w:textAlignment w:val="baseline"/>
        <w:rPr>
          <w:rFonts w:cs="宋体"/>
          <w:b/>
          <w:bCs/>
          <w:sz w:val="21"/>
          <w:szCs w:val="21"/>
          <w:shd w:val="clear" w:color="auto" w:fill="FFFFFF"/>
        </w:rPr>
      </w:pPr>
      <w:r>
        <w:rPr>
          <w:rFonts w:hint="eastAsia" w:cs="宋体"/>
          <w:b/>
          <w:bCs/>
          <w:sz w:val="21"/>
          <w:szCs w:val="21"/>
          <w:shd w:val="clear" w:color="auto" w:fill="FFFFFF"/>
        </w:rPr>
        <w:t>2、获取采购文件网址</w:t>
      </w:r>
      <w:r>
        <w:rPr>
          <w:rFonts w:hint="eastAsia" w:cs="宋体"/>
          <w:sz w:val="21"/>
          <w:szCs w:val="21"/>
          <w:shd w:val="clear" w:color="auto" w:fill="FFFFFF"/>
        </w:rPr>
        <w:t>：浙江省政府采购网</w:t>
      </w:r>
      <w:r>
        <w:fldChar w:fldCharType="begin"/>
      </w:r>
      <w:r>
        <w:instrText xml:space="preserve"> HYPERLINK "http://www.zjzfcg.gov.cn" </w:instrText>
      </w:r>
      <w:r>
        <w:fldChar w:fldCharType="separate"/>
      </w:r>
      <w:r>
        <w:rPr>
          <w:rFonts w:hint="eastAsia" w:cs="宋体"/>
          <w:sz w:val="21"/>
          <w:szCs w:val="21"/>
          <w:u w:val="single" w:color="000000"/>
          <w:shd w:val="clear" w:color="auto" w:fill="FFFFFF"/>
        </w:rPr>
        <w:t>www.zjzfcg.gov.cn</w:t>
      </w:r>
      <w:r>
        <w:rPr>
          <w:rFonts w:hint="eastAsia" w:cs="宋体"/>
          <w:sz w:val="21"/>
          <w:szCs w:val="21"/>
          <w:u w:val="single" w:color="000000"/>
          <w:shd w:val="clear" w:color="auto" w:fill="FFFFFF"/>
        </w:rPr>
        <w:fldChar w:fldCharType="end"/>
      </w:r>
      <w:r>
        <w:rPr>
          <w:rFonts w:hint="eastAsia" w:cs="宋体"/>
          <w:sz w:val="21"/>
          <w:szCs w:val="21"/>
          <w:shd w:val="clear" w:color="auto" w:fill="FFFFFF"/>
        </w:rPr>
        <w:t>（用“政采云”注册账号、密码登录系统后获取采购文件）</w:t>
      </w:r>
    </w:p>
    <w:p>
      <w:pPr>
        <w:pStyle w:val="73"/>
        <w:shd w:val="clear" w:color="auto" w:fill="FFFFFF"/>
        <w:snapToGrid w:val="0"/>
        <w:spacing w:beforeAutospacing="0" w:afterAutospacing="0" w:line="360" w:lineRule="auto"/>
        <w:ind w:left="416" w:leftChars="198"/>
        <w:textAlignment w:val="baseline"/>
        <w:rPr>
          <w:rFonts w:cs="宋体"/>
          <w:sz w:val="21"/>
          <w:szCs w:val="21"/>
          <w:shd w:val="clear" w:color="auto" w:fill="FFFFFF"/>
        </w:rPr>
      </w:pPr>
      <w:r>
        <w:rPr>
          <w:rFonts w:hint="eastAsia" w:cs="宋体"/>
          <w:b/>
          <w:bCs/>
          <w:sz w:val="21"/>
          <w:szCs w:val="21"/>
          <w:shd w:val="clear" w:color="auto" w:fill="FFFFFF"/>
        </w:rPr>
        <w:t>3、免费注册网址：浙江政府采购网（供应商注册页面）：</w:t>
      </w:r>
      <w:r>
        <w:rPr>
          <w:rFonts w:hint="eastAsia" w:cs="宋体"/>
          <w:sz w:val="21"/>
          <w:szCs w:val="21"/>
          <w:u w:val="single" w:color="000000"/>
          <w:shd w:val="clear" w:color="auto" w:fill="FFFFFF"/>
        </w:rPr>
        <w:t>https://middle.zcygov.cn/settle-front/#/registry</w:t>
      </w:r>
      <w:r>
        <w:rPr>
          <w:rFonts w:hint="eastAsia" w:cs="宋体"/>
          <w:sz w:val="21"/>
          <w:szCs w:val="21"/>
          <w:shd w:val="clear" w:color="auto" w:fill="FFFFFF"/>
        </w:rPr>
        <w:t>“政采云”，咨询电话：400-881-7190。</w:t>
      </w:r>
    </w:p>
    <w:p>
      <w:pPr>
        <w:pStyle w:val="73"/>
        <w:shd w:val="clear" w:color="auto" w:fill="FFFFFF"/>
        <w:snapToGrid w:val="0"/>
        <w:spacing w:beforeAutospacing="0" w:afterAutospacing="0" w:line="360" w:lineRule="auto"/>
        <w:textAlignment w:val="baseline"/>
        <w:rPr>
          <w:rFonts w:cs="宋体"/>
          <w:sz w:val="21"/>
          <w:szCs w:val="21"/>
          <w:shd w:val="clear" w:color="auto" w:fill="FFFFFF"/>
        </w:rPr>
      </w:pPr>
      <w:r>
        <w:rPr>
          <w:rFonts w:hint="eastAsia" w:cs="宋体"/>
          <w:sz w:val="21"/>
          <w:szCs w:val="21"/>
          <w:shd w:val="clear" w:color="auto" w:fill="FFFFFF"/>
        </w:rPr>
        <w:t>已经注册成功的供应商无需重复注册。</w:t>
      </w:r>
    </w:p>
    <w:p>
      <w:pPr>
        <w:pStyle w:val="73"/>
        <w:shd w:val="clear" w:color="auto" w:fill="FFFFFF"/>
        <w:snapToGrid w:val="0"/>
        <w:spacing w:beforeAutospacing="0" w:afterAutospacing="0" w:line="360" w:lineRule="auto"/>
        <w:ind w:firstLine="417" w:firstLineChars="198"/>
        <w:textAlignment w:val="baseline"/>
        <w:rPr>
          <w:rFonts w:cs="宋体"/>
          <w:sz w:val="21"/>
          <w:szCs w:val="21"/>
          <w:shd w:val="clear" w:color="auto" w:fill="FFFFFF"/>
        </w:rPr>
      </w:pPr>
      <w:r>
        <w:rPr>
          <w:rFonts w:hint="eastAsia" w:cs="宋体"/>
          <w:b/>
          <w:bCs/>
          <w:sz w:val="21"/>
          <w:szCs w:val="21"/>
          <w:shd w:val="clear" w:color="auto" w:fill="FFFFFF"/>
        </w:rPr>
        <w:t>4、获取采购文件时间：</w:t>
      </w:r>
      <w:r>
        <w:rPr>
          <w:rFonts w:hint="eastAsia" w:cs="宋体"/>
          <w:sz w:val="21"/>
          <w:szCs w:val="21"/>
          <w:shd w:val="clear" w:color="auto" w:fill="FFFFFF"/>
        </w:rPr>
        <w:t>公告发布之日至投标截止时间。</w:t>
      </w:r>
    </w:p>
    <w:p>
      <w:pPr>
        <w:pStyle w:val="73"/>
        <w:shd w:val="clear" w:color="auto" w:fill="FFFFFF"/>
        <w:snapToGrid w:val="0"/>
        <w:spacing w:beforeAutospacing="0" w:afterAutospacing="0" w:line="360" w:lineRule="auto"/>
        <w:textAlignment w:val="baseline"/>
        <w:rPr>
          <w:rFonts w:cs="宋体"/>
          <w:b/>
          <w:bCs/>
          <w:kern w:val="2"/>
          <w:sz w:val="21"/>
          <w:szCs w:val="21"/>
        </w:rPr>
      </w:pPr>
      <w:r>
        <w:rPr>
          <w:rFonts w:hint="eastAsia" w:cs="宋体"/>
          <w:b/>
          <w:bCs/>
          <w:kern w:val="2"/>
          <w:sz w:val="21"/>
          <w:szCs w:val="21"/>
        </w:rPr>
        <w:t>八、投标文件的制作及递交</w:t>
      </w:r>
    </w:p>
    <w:p>
      <w:pPr>
        <w:pStyle w:val="73"/>
        <w:shd w:val="clear" w:color="auto" w:fill="FFFFFF"/>
        <w:snapToGrid w:val="0"/>
        <w:spacing w:beforeAutospacing="0" w:afterAutospacing="0" w:line="360" w:lineRule="auto"/>
        <w:ind w:firstLine="420" w:firstLineChars="200"/>
        <w:textAlignment w:val="baseline"/>
        <w:rPr>
          <w:rFonts w:cs="宋体"/>
          <w:sz w:val="21"/>
          <w:szCs w:val="21"/>
          <w:shd w:val="clear" w:color="auto" w:fill="FFFFFF"/>
        </w:rPr>
      </w:pPr>
      <w:r>
        <w:rPr>
          <w:rFonts w:hint="eastAsia" w:cs="宋体"/>
          <w:sz w:val="21"/>
          <w:szCs w:val="21"/>
          <w:shd w:val="clear" w:color="auto" w:fill="FFFFFF"/>
        </w:rPr>
        <w:t>1、供应商须</w:t>
      </w:r>
      <w:r>
        <w:rPr>
          <w:rFonts w:hint="eastAsia" w:cs="宋体"/>
          <w:b/>
          <w:bCs/>
          <w:sz w:val="21"/>
          <w:szCs w:val="21"/>
          <w:shd w:val="clear" w:color="auto" w:fill="FFFFFF"/>
        </w:rPr>
        <w:t>在线获取CA数字证书</w:t>
      </w:r>
      <w:r>
        <w:rPr>
          <w:rFonts w:hint="eastAsia" w:cs="宋体"/>
          <w:sz w:val="21"/>
          <w:szCs w:val="21"/>
          <w:shd w:val="clear" w:color="auto" w:fill="FFFFFF"/>
        </w:rPr>
        <w:t>（完成CA数字证书办理预计一周左右，建议各投标人自行把握时间）</w:t>
      </w:r>
      <w:r>
        <w:rPr>
          <w:rFonts w:hint="eastAsia" w:cs="宋体"/>
          <w:b/>
          <w:bCs/>
          <w:sz w:val="21"/>
          <w:szCs w:val="21"/>
          <w:shd w:val="clear" w:color="auto" w:fill="FFFFFF"/>
        </w:rPr>
        <w:t>，</w:t>
      </w:r>
      <w:r>
        <w:rPr>
          <w:rFonts w:hint="eastAsia" w:cs="宋体"/>
          <w:sz w:val="21"/>
          <w:szCs w:val="21"/>
          <w:shd w:val="clear" w:color="auto" w:fill="FFFFFF"/>
        </w:rPr>
        <w:t>并登陆“浙江省政府采购网”（</w:t>
      </w:r>
      <w:r>
        <w:fldChar w:fldCharType="begin"/>
      </w:r>
      <w:r>
        <w:instrText xml:space="preserve"> HYPERLINK "http://www.zjzfcg.gov.cn" </w:instrText>
      </w:r>
      <w:r>
        <w:fldChar w:fldCharType="separate"/>
      </w:r>
      <w:r>
        <w:rPr>
          <w:rFonts w:hint="eastAsia" w:cs="宋体"/>
          <w:sz w:val="21"/>
          <w:szCs w:val="21"/>
          <w:shd w:val="clear" w:color="auto" w:fill="FFFFFF"/>
        </w:rPr>
        <w:t>www.zjzfcg.gov.cn</w:t>
      </w:r>
      <w:r>
        <w:rPr>
          <w:rFonts w:hint="eastAsia" w:cs="宋体"/>
          <w:sz w:val="21"/>
          <w:szCs w:val="21"/>
          <w:shd w:val="clear" w:color="auto" w:fill="FFFFFF"/>
        </w:rPr>
        <w:fldChar w:fldCharType="end"/>
      </w:r>
      <w:r>
        <w:rPr>
          <w:rFonts w:hint="eastAsia" w:cs="宋体"/>
          <w:sz w:val="21"/>
          <w:szCs w:val="21"/>
          <w:shd w:val="clear" w:color="auto" w:fill="FFFFFF"/>
        </w:rPr>
        <w:t xml:space="preserve"> ），进入“下载专区”下载“电子交易客户端”，制作投标文件。</w:t>
      </w:r>
    </w:p>
    <w:p>
      <w:pPr>
        <w:pStyle w:val="73"/>
        <w:snapToGrid w:val="0"/>
        <w:spacing w:beforeAutospacing="0" w:afterAutospacing="0" w:line="360" w:lineRule="auto"/>
        <w:ind w:firstLine="420" w:firstLineChars="200"/>
        <w:jc w:val="both"/>
        <w:textAlignment w:val="baseline"/>
        <w:rPr>
          <w:rFonts w:cs="宋体"/>
          <w:sz w:val="21"/>
          <w:szCs w:val="21"/>
          <w:shd w:val="clear" w:color="auto" w:fill="FFFFFF"/>
        </w:rPr>
      </w:pPr>
      <w:r>
        <w:rPr>
          <w:rFonts w:hint="eastAsia" w:cs="宋体"/>
          <w:sz w:val="21"/>
          <w:szCs w:val="21"/>
          <w:shd w:val="clear" w:color="auto" w:fill="FFFFFF"/>
        </w:rPr>
        <w:t>2、投标人将加密的电子版投标文件于投标截止时间前上传到政采云系统中。</w:t>
      </w:r>
    </w:p>
    <w:p>
      <w:pPr>
        <w:pStyle w:val="73"/>
        <w:shd w:val="clear" w:color="auto" w:fill="FFFFFF"/>
        <w:snapToGrid w:val="0"/>
        <w:spacing w:beforeAutospacing="0" w:afterAutospacing="0" w:line="360" w:lineRule="auto"/>
        <w:ind w:left="420" w:leftChars="200"/>
        <w:textAlignment w:val="baseline"/>
        <w:rPr>
          <w:rFonts w:cs="宋体"/>
          <w:sz w:val="21"/>
          <w:szCs w:val="21"/>
          <w:u w:val="single"/>
          <w:shd w:val="clear" w:color="auto" w:fill="FFFFFF"/>
        </w:rPr>
      </w:pPr>
      <w:r>
        <w:rPr>
          <w:rFonts w:hint="eastAsia" w:cs="宋体"/>
          <w:sz w:val="21"/>
          <w:szCs w:val="21"/>
          <w:shd w:val="clear" w:color="auto" w:fill="FFFFFF"/>
        </w:rPr>
        <w:t>3、具体的投标文件加密上传等操作详见政采云平台操作指南。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hint="eastAsia" w:cs="宋体"/>
          <w:sz w:val="21"/>
          <w:szCs w:val="21"/>
          <w:u w:val="single" w:color="000000"/>
          <w:shd w:val="clear" w:color="auto" w:fill="FFFFFF"/>
        </w:rPr>
        <w:t>https://edu.zcygov.cn/luban/e-biding?utm=a0004.2ef5001f.0001.0109.da8b35e0da8611e98d8937b7ef8a3544</w:t>
      </w:r>
      <w:r>
        <w:rPr>
          <w:rFonts w:hint="eastAsia" w:cs="宋体"/>
          <w:sz w:val="21"/>
          <w:szCs w:val="21"/>
          <w:u w:val="single" w:color="000000"/>
          <w:shd w:val="clear" w:color="auto" w:fill="FFFFFF"/>
        </w:rPr>
        <w:fldChar w:fldCharType="end"/>
      </w:r>
    </w:p>
    <w:p>
      <w:pPr>
        <w:pStyle w:val="73"/>
        <w:snapToGrid w:val="0"/>
        <w:spacing w:beforeAutospacing="0" w:afterAutospacing="0" w:line="360" w:lineRule="auto"/>
        <w:jc w:val="both"/>
        <w:textAlignment w:val="baseline"/>
        <w:rPr>
          <w:rStyle w:val="39"/>
          <w:b w:val="0"/>
          <w:bCs w:val="0"/>
          <w:sz w:val="21"/>
          <w:szCs w:val="21"/>
        </w:rPr>
      </w:pPr>
      <w:r>
        <w:rPr>
          <w:rStyle w:val="39"/>
          <w:rFonts w:hint="eastAsia"/>
          <w:sz w:val="21"/>
          <w:szCs w:val="21"/>
        </w:rPr>
        <w:t>九、投标保证金：无。</w:t>
      </w:r>
    </w:p>
    <w:p>
      <w:pPr>
        <w:pStyle w:val="73"/>
        <w:snapToGrid w:val="0"/>
        <w:spacing w:beforeAutospacing="0" w:afterAutospacing="0" w:line="360" w:lineRule="auto"/>
        <w:jc w:val="both"/>
        <w:textAlignment w:val="baseline"/>
        <w:rPr>
          <w:rStyle w:val="39"/>
          <w:sz w:val="21"/>
          <w:szCs w:val="21"/>
        </w:rPr>
      </w:pPr>
      <w:r>
        <w:rPr>
          <w:rStyle w:val="39"/>
          <w:rFonts w:hint="eastAsia"/>
          <w:sz w:val="21"/>
          <w:szCs w:val="21"/>
        </w:rPr>
        <w:t>十、</w:t>
      </w:r>
      <w:r>
        <w:rPr>
          <w:rStyle w:val="39"/>
          <w:sz w:val="21"/>
          <w:szCs w:val="21"/>
        </w:rPr>
        <w:t>投标截止时间</w:t>
      </w:r>
      <w:r>
        <w:rPr>
          <w:rStyle w:val="39"/>
          <w:rFonts w:hint="eastAsia"/>
          <w:sz w:val="21"/>
          <w:szCs w:val="21"/>
        </w:rPr>
        <w:t>和地址</w:t>
      </w:r>
      <w:r>
        <w:rPr>
          <w:rStyle w:val="39"/>
          <w:sz w:val="21"/>
          <w:szCs w:val="21"/>
        </w:rPr>
        <w:t>：</w:t>
      </w:r>
    </w:p>
    <w:p>
      <w:pPr>
        <w:snapToGrid w:val="0"/>
        <w:spacing w:line="360" w:lineRule="auto"/>
        <w:textAlignment w:val="baseline"/>
        <w:rPr>
          <w:rFonts w:ascii="宋体" w:hAnsi="宋体"/>
          <w:sz w:val="20"/>
          <w:szCs w:val="21"/>
        </w:rPr>
      </w:pPr>
      <w:r>
        <w:rPr>
          <w:rFonts w:hint="eastAsia" w:ascii="宋体" w:hAnsi="宋体"/>
          <w:szCs w:val="21"/>
        </w:rPr>
        <w:t xml:space="preserve">     1、本项目实行电子投标。</w:t>
      </w:r>
    </w:p>
    <w:p>
      <w:pPr>
        <w:snapToGrid w:val="0"/>
        <w:spacing w:line="360" w:lineRule="auto"/>
        <w:textAlignment w:val="baseline"/>
        <w:rPr>
          <w:rFonts w:ascii="宋体" w:hAnsi="宋体"/>
          <w:sz w:val="20"/>
          <w:szCs w:val="21"/>
        </w:rPr>
      </w:pPr>
      <w:r>
        <w:rPr>
          <w:rFonts w:hint="eastAsia" w:ascii="宋体" w:hAnsi="宋体"/>
          <w:szCs w:val="21"/>
        </w:rPr>
        <w:t xml:space="preserve">     投标人应准备电子投标文件、以介质存储的数据电文形式的备份投标文件、纸质备份投标文件三类：</w:t>
      </w:r>
    </w:p>
    <w:p>
      <w:pPr>
        <w:snapToGrid w:val="0"/>
        <w:spacing w:line="360" w:lineRule="auto"/>
        <w:textAlignment w:val="baseline"/>
        <w:rPr>
          <w:rFonts w:ascii="宋体" w:hAnsi="宋体"/>
          <w:sz w:val="20"/>
          <w:szCs w:val="21"/>
        </w:rPr>
      </w:pPr>
      <w:r>
        <w:rPr>
          <w:rFonts w:hint="eastAsia" w:ascii="宋体" w:hAnsi="宋体"/>
          <w:szCs w:val="21"/>
        </w:rPr>
        <w:t xml:space="preserve">    （1）电子投标文件，按政采云平台项目采购-电子交易操作指南及本招标文件要求递交。</w:t>
      </w:r>
      <w:r>
        <w:rPr>
          <w:rFonts w:hint="eastAsia" w:ascii="宋体" w:hAnsi="宋体" w:cs="宋体"/>
          <w:szCs w:val="21"/>
          <w:shd w:val="clear" w:color="auto" w:fill="FFFFFF"/>
        </w:rPr>
        <w:t>投标人应于2021年</w:t>
      </w:r>
      <w:r>
        <w:rPr>
          <w:rFonts w:hint="eastAsia" w:ascii="宋体" w:hAnsi="宋体" w:cs="宋体"/>
          <w:szCs w:val="21"/>
          <w:shd w:val="clear" w:color="auto" w:fill="FFFFFF"/>
          <w:lang w:val="en-US" w:eastAsia="zh-CN"/>
        </w:rPr>
        <w:t>12</w:t>
      </w:r>
      <w:r>
        <w:rPr>
          <w:rFonts w:hint="eastAsia" w:cs="宋体"/>
          <w:szCs w:val="21"/>
          <w:shd w:val="clear" w:color="auto" w:fill="FFFFFF"/>
        </w:rPr>
        <w:t>月</w:t>
      </w:r>
      <w:r>
        <w:rPr>
          <w:rFonts w:hint="eastAsia" w:cs="宋体"/>
          <w:szCs w:val="21"/>
          <w:shd w:val="clear" w:color="auto" w:fill="FFFFFF"/>
          <w:lang w:val="en-US" w:eastAsia="zh-CN"/>
        </w:rPr>
        <w:t>13</w:t>
      </w:r>
      <w:r>
        <w:rPr>
          <w:rFonts w:hint="eastAsia" w:cs="宋体"/>
          <w:szCs w:val="21"/>
          <w:shd w:val="clear" w:color="auto" w:fill="FFFFFF"/>
        </w:rPr>
        <w:t>日</w:t>
      </w:r>
      <w:r>
        <w:rPr>
          <w:rFonts w:hint="eastAsia" w:ascii="宋体" w:hAnsi="宋体" w:cs="宋体"/>
          <w:szCs w:val="21"/>
          <w:shd w:val="clear" w:color="auto" w:fill="FFFFFF"/>
        </w:rPr>
        <w:t>14：15（北京时间）前将加密的电子版投标文件上传到政采云系统中（不准时上传视为无效标）。</w:t>
      </w:r>
      <w:r>
        <w:rPr>
          <w:rFonts w:hint="eastAsia" w:ascii="宋体" w:hAnsi="宋体" w:cs="宋体"/>
          <w:b/>
          <w:szCs w:val="21"/>
          <w:shd w:val="clear" w:color="auto" w:fill="FFFFFF"/>
        </w:rPr>
        <w:t>CA数字证书随身携带或准时解码。</w:t>
      </w:r>
    </w:p>
    <w:p>
      <w:pPr>
        <w:snapToGrid w:val="0"/>
        <w:spacing w:line="360" w:lineRule="auto"/>
        <w:textAlignment w:val="baseline"/>
        <w:rPr>
          <w:rFonts w:ascii="宋体" w:hAnsi="宋体"/>
          <w:sz w:val="20"/>
          <w:szCs w:val="21"/>
        </w:rPr>
      </w:pPr>
      <w:r>
        <w:rPr>
          <w:rFonts w:hint="eastAsia" w:ascii="宋体" w:hAnsi="宋体"/>
          <w:szCs w:val="21"/>
        </w:rPr>
        <w:t xml:space="preserve">    （2）以介质存储的数据电文形式的备份投标文件，按政采云平台项目采购-电子交易操作指南中上传的电子投标文件格式，以U盘形式存储提供。数量为1份。</w:t>
      </w:r>
    </w:p>
    <w:p>
      <w:pPr>
        <w:snapToGrid w:val="0"/>
        <w:spacing w:line="360" w:lineRule="auto"/>
        <w:ind w:firstLine="420"/>
        <w:textAlignment w:val="baseline"/>
        <w:rPr>
          <w:rFonts w:ascii="宋体" w:hAnsi="宋体"/>
          <w:sz w:val="20"/>
          <w:szCs w:val="21"/>
        </w:rPr>
      </w:pPr>
      <w:r>
        <w:rPr>
          <w:rFonts w:hint="eastAsia" w:ascii="宋体" w:hAnsi="宋体"/>
          <w:szCs w:val="21"/>
        </w:rPr>
        <w:t>（3）纸质备份投标文件将以纸质文件的形式递交。数量为：正本、副本各1份。</w:t>
      </w:r>
    </w:p>
    <w:p>
      <w:pPr>
        <w:pStyle w:val="32"/>
        <w:snapToGrid w:val="0"/>
        <w:spacing w:before="0" w:beforeAutospacing="0" w:after="0" w:afterAutospacing="0" w:line="336" w:lineRule="auto"/>
        <w:ind w:firstLine="420"/>
        <w:jc w:val="both"/>
        <w:textAlignment w:val="baseline"/>
        <w:rPr>
          <w:sz w:val="21"/>
          <w:szCs w:val="21"/>
        </w:rPr>
      </w:pPr>
      <w:r>
        <w:rPr>
          <w:rFonts w:hint="eastAsia"/>
          <w:sz w:val="21"/>
          <w:szCs w:val="21"/>
        </w:rPr>
        <w:t>备份文件投标人应于</w:t>
      </w:r>
      <w:r>
        <w:rPr>
          <w:rFonts w:hint="eastAsia" w:ascii="宋体" w:hAnsi="宋体" w:cs="宋体"/>
          <w:sz w:val="21"/>
          <w:szCs w:val="21"/>
          <w:shd w:val="clear" w:color="auto" w:fill="FFFFFF"/>
        </w:rPr>
        <w:t>2021年</w:t>
      </w:r>
      <w:r>
        <w:rPr>
          <w:rFonts w:hint="eastAsia" w:ascii="宋体" w:hAnsi="宋体" w:cs="宋体"/>
          <w:sz w:val="21"/>
          <w:szCs w:val="21"/>
          <w:shd w:val="clear" w:color="auto" w:fill="FFFFFF"/>
          <w:lang w:val="en-US" w:eastAsia="zh-CN"/>
        </w:rPr>
        <w:t>12</w:t>
      </w:r>
      <w:r>
        <w:rPr>
          <w:rFonts w:hint="eastAsia" w:cs="宋体"/>
          <w:sz w:val="21"/>
          <w:szCs w:val="21"/>
          <w:shd w:val="clear" w:color="auto" w:fill="FFFFFF"/>
        </w:rPr>
        <w:t>月</w:t>
      </w:r>
      <w:r>
        <w:rPr>
          <w:rFonts w:hint="eastAsia" w:cs="宋体"/>
          <w:sz w:val="21"/>
          <w:szCs w:val="21"/>
          <w:shd w:val="clear" w:color="auto" w:fill="FFFFFF"/>
          <w:lang w:val="en-US" w:eastAsia="zh-CN"/>
        </w:rPr>
        <w:t>12</w:t>
      </w:r>
      <w:r>
        <w:rPr>
          <w:rFonts w:hint="eastAsia" w:cs="宋体"/>
          <w:sz w:val="21"/>
          <w:szCs w:val="21"/>
          <w:shd w:val="clear" w:color="auto" w:fill="FFFFFF"/>
        </w:rPr>
        <w:t>日</w:t>
      </w:r>
      <w:r>
        <w:rPr>
          <w:rFonts w:hint="eastAsia"/>
          <w:sz w:val="21"/>
          <w:szCs w:val="21"/>
        </w:rPr>
        <w:t>11：30（北京时间）前将备份的投标文件寄于采购代理公司，地址：舟山市定海区昌国路232号中楼202  深圳市国信招标有限公司舟山分公司，未按时寄到的自行承担风险。也可以开标会现场递交。</w:t>
      </w:r>
    </w:p>
    <w:p>
      <w:pPr>
        <w:pStyle w:val="73"/>
        <w:shd w:val="clear" w:color="auto" w:fill="FFFFFF"/>
        <w:snapToGrid w:val="0"/>
        <w:spacing w:beforeAutospacing="0" w:afterAutospacing="0" w:line="360" w:lineRule="auto"/>
        <w:ind w:firstLine="519" w:firstLineChars="246"/>
        <w:textAlignment w:val="baseline"/>
        <w:rPr>
          <w:rFonts w:cs="(使用中文字体)"/>
          <w:b/>
          <w:sz w:val="21"/>
          <w:szCs w:val="21"/>
        </w:rPr>
      </w:pPr>
      <w:r>
        <w:rPr>
          <w:rFonts w:hint="eastAsia" w:cs="(使用中文字体)"/>
          <w:b/>
          <w:sz w:val="21"/>
          <w:szCs w:val="21"/>
        </w:rPr>
        <w:t>投标人可以不提供备份投标文件，造成项目开评标活动无法进行下去的，投标无效，相关风险由投标人自行承担。</w:t>
      </w:r>
    </w:p>
    <w:p>
      <w:pPr>
        <w:pStyle w:val="73"/>
        <w:shd w:val="clear" w:color="auto" w:fill="FFFFFF"/>
        <w:snapToGrid w:val="0"/>
        <w:spacing w:beforeAutospacing="0" w:afterAutospacing="0" w:line="360" w:lineRule="auto"/>
        <w:ind w:firstLine="413" w:firstLineChars="196"/>
        <w:textAlignment w:val="baseline"/>
        <w:rPr>
          <w:rFonts w:cs="宋体"/>
          <w:bCs/>
          <w:kern w:val="2"/>
          <w:sz w:val="21"/>
          <w:szCs w:val="21"/>
        </w:rPr>
      </w:pPr>
      <w:r>
        <w:rPr>
          <w:rFonts w:hint="eastAsia" w:cs="宋体"/>
          <w:b/>
          <w:bCs/>
          <w:kern w:val="2"/>
          <w:sz w:val="21"/>
          <w:szCs w:val="21"/>
        </w:rPr>
        <w:t>2、开标时间：</w:t>
      </w:r>
      <w:r>
        <w:rPr>
          <w:rFonts w:hint="eastAsia" w:cs="宋体"/>
          <w:sz w:val="21"/>
          <w:szCs w:val="21"/>
          <w:shd w:val="clear" w:color="auto" w:fill="FFFFFF"/>
        </w:rPr>
        <w:t>2021年</w:t>
      </w:r>
      <w:r>
        <w:rPr>
          <w:rFonts w:hint="eastAsia" w:cs="宋体"/>
          <w:sz w:val="21"/>
          <w:szCs w:val="21"/>
          <w:shd w:val="clear" w:color="auto" w:fill="FFFFFF"/>
          <w:lang w:val="en-US" w:eastAsia="zh-CN"/>
        </w:rPr>
        <w:t>12</w:t>
      </w:r>
      <w:r>
        <w:rPr>
          <w:rFonts w:hint="eastAsia" w:cs="宋体"/>
          <w:sz w:val="21"/>
          <w:szCs w:val="21"/>
          <w:shd w:val="clear" w:color="auto" w:fill="FFFFFF"/>
        </w:rPr>
        <w:t>月</w:t>
      </w:r>
      <w:r>
        <w:rPr>
          <w:rFonts w:hint="eastAsia" w:cs="宋体"/>
          <w:sz w:val="21"/>
          <w:szCs w:val="21"/>
          <w:shd w:val="clear" w:color="auto" w:fill="FFFFFF"/>
          <w:lang w:val="en-US" w:eastAsia="zh-CN"/>
        </w:rPr>
        <w:t>13</w:t>
      </w:r>
      <w:r>
        <w:rPr>
          <w:rFonts w:hint="eastAsia" w:cs="宋体"/>
          <w:sz w:val="21"/>
          <w:szCs w:val="21"/>
          <w:shd w:val="clear" w:color="auto" w:fill="FFFFFF"/>
        </w:rPr>
        <w:t>日</w:t>
      </w:r>
      <w:r>
        <w:rPr>
          <w:rFonts w:hint="eastAsia" w:cs="宋体"/>
          <w:bCs/>
          <w:kern w:val="2"/>
          <w:sz w:val="21"/>
          <w:szCs w:val="21"/>
        </w:rPr>
        <w:t>下午14:15（北京时间）</w:t>
      </w:r>
    </w:p>
    <w:p>
      <w:pPr>
        <w:pStyle w:val="73"/>
        <w:shd w:val="clear" w:color="auto" w:fill="FFFFFF"/>
        <w:snapToGrid w:val="0"/>
        <w:spacing w:beforeAutospacing="0" w:afterAutospacing="0" w:line="360" w:lineRule="auto"/>
        <w:ind w:firstLine="430"/>
        <w:textAlignment w:val="baseline"/>
        <w:rPr>
          <w:rFonts w:cs="宋体"/>
          <w:bCs/>
          <w:kern w:val="2"/>
          <w:sz w:val="21"/>
          <w:szCs w:val="21"/>
        </w:rPr>
      </w:pPr>
      <w:r>
        <w:rPr>
          <w:rFonts w:hint="eastAsia" w:cs="宋体"/>
          <w:b/>
          <w:bCs/>
          <w:kern w:val="2"/>
          <w:sz w:val="21"/>
          <w:szCs w:val="21"/>
        </w:rPr>
        <w:t>3、开标地点：</w:t>
      </w:r>
      <w:r>
        <w:rPr>
          <w:rFonts w:hint="eastAsia" w:cs="宋体"/>
          <w:bCs/>
          <w:kern w:val="2"/>
          <w:sz w:val="21"/>
          <w:szCs w:val="21"/>
        </w:rPr>
        <w:t>舟山市公共资源交易中心（舟山市新城翁山路555号四楼（大宗商品交易中心同幢西边））开标室</w:t>
      </w:r>
    </w:p>
    <w:p>
      <w:pPr>
        <w:pStyle w:val="73"/>
        <w:shd w:val="clear" w:color="auto" w:fill="FFFFFF"/>
        <w:snapToGrid w:val="0"/>
        <w:spacing w:beforeAutospacing="0" w:afterAutospacing="0" w:line="360" w:lineRule="auto"/>
        <w:textAlignment w:val="baseline"/>
        <w:rPr>
          <w:rStyle w:val="39"/>
          <w:b w:val="0"/>
          <w:bCs w:val="0"/>
          <w:sz w:val="21"/>
          <w:szCs w:val="21"/>
        </w:rPr>
      </w:pPr>
      <w:r>
        <w:rPr>
          <w:rStyle w:val="39"/>
          <w:rFonts w:hint="eastAsia"/>
          <w:sz w:val="21"/>
          <w:szCs w:val="21"/>
        </w:rPr>
        <w:t>十一</w:t>
      </w:r>
      <w:r>
        <w:rPr>
          <w:rStyle w:val="39"/>
          <w:sz w:val="21"/>
          <w:szCs w:val="21"/>
        </w:rPr>
        <w:t>．其他事项：</w:t>
      </w:r>
    </w:p>
    <w:p>
      <w:pPr>
        <w:snapToGrid w:val="0"/>
        <w:spacing w:line="360" w:lineRule="auto"/>
        <w:ind w:firstLine="420" w:firstLineChars="200"/>
        <w:textAlignment w:val="baseline"/>
        <w:rPr>
          <w:sz w:val="20"/>
        </w:rPr>
      </w:pPr>
      <w:r>
        <w:rPr>
          <w:rFonts w:ascii="宋体" w:hAnsi="宋体" w:cs="宋体"/>
          <w:szCs w:val="21"/>
        </w:rPr>
        <w:t>1</w:t>
      </w:r>
      <w:r>
        <w:rPr>
          <w:rFonts w:hint="eastAsia" w:ascii="宋体" w:hAnsi="宋体" w:cs="宋体"/>
          <w:szCs w:val="21"/>
        </w:rPr>
        <w:t>、</w:t>
      </w:r>
      <w:r>
        <w:t>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w:t>
      </w:r>
      <w:r>
        <w:rPr>
          <w:rFonts w:hint="eastAsia"/>
        </w:rPr>
        <w:t>单位</w:t>
      </w:r>
      <w:r>
        <w:t>和采购代理机构提出质疑。质疑供应商对采购</w:t>
      </w:r>
      <w:r>
        <w:rPr>
          <w:rFonts w:hint="eastAsia"/>
        </w:rPr>
        <w:t>单位</w:t>
      </w:r>
      <w:r>
        <w:t>、采购代理机构的答复不满意或者采购单位、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textAlignment w:val="baseline"/>
        <w:rPr>
          <w:rFonts w:ascii="宋体" w:hAnsi="宋体" w:cs="宋体"/>
          <w:sz w:val="20"/>
          <w:szCs w:val="21"/>
        </w:rPr>
      </w:pPr>
      <w:r>
        <w:rPr>
          <w:rFonts w:hint="eastAsia" w:ascii="宋体" w:hAnsi="宋体" w:cs="宋体"/>
          <w:szCs w:val="21"/>
        </w:rPr>
        <w:t>2、投标人应在合同签订前成为浙江政府采购网正式注册供应商。</w:t>
      </w:r>
    </w:p>
    <w:p>
      <w:pPr>
        <w:pStyle w:val="73"/>
        <w:snapToGrid w:val="0"/>
        <w:spacing w:beforeAutospacing="0" w:afterAutospacing="0" w:line="360" w:lineRule="auto"/>
        <w:jc w:val="both"/>
        <w:textAlignment w:val="baseline"/>
        <w:rPr>
          <w:rStyle w:val="39"/>
          <w:b w:val="0"/>
          <w:bCs w:val="0"/>
          <w:sz w:val="21"/>
          <w:szCs w:val="21"/>
        </w:rPr>
      </w:pPr>
      <w:r>
        <w:rPr>
          <w:rStyle w:val="39"/>
          <w:sz w:val="21"/>
          <w:szCs w:val="21"/>
        </w:rPr>
        <w:t>十</w:t>
      </w:r>
      <w:r>
        <w:rPr>
          <w:rStyle w:val="39"/>
          <w:rFonts w:hint="eastAsia"/>
          <w:sz w:val="21"/>
          <w:szCs w:val="21"/>
        </w:rPr>
        <w:t>二</w:t>
      </w:r>
      <w:r>
        <w:rPr>
          <w:rStyle w:val="39"/>
          <w:sz w:val="21"/>
          <w:szCs w:val="21"/>
        </w:rPr>
        <w:t>．联系方式：</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ascii="宋体" w:hAnsi="宋体"/>
          <w:sz w:val="21"/>
          <w:szCs w:val="21"/>
          <w:shd w:val="clear" w:color="auto" w:fill="FFFFFF"/>
        </w:rPr>
        <w:t>1、采购代理机构名称：</w:t>
      </w:r>
      <w:r>
        <w:rPr>
          <w:rFonts w:hint="eastAsia" w:ascii="宋体" w:hAnsi="宋体"/>
          <w:sz w:val="21"/>
          <w:szCs w:val="21"/>
          <w:shd w:val="clear" w:color="auto" w:fill="FFFFFF"/>
        </w:rPr>
        <w:t>深圳市国信招标有限公司舟山分公司</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ascii="宋体" w:hAnsi="宋体"/>
          <w:sz w:val="21"/>
          <w:szCs w:val="21"/>
          <w:shd w:val="clear" w:color="auto" w:fill="FFFFFF"/>
        </w:rPr>
        <w:t>联系人：</w:t>
      </w:r>
      <w:r>
        <w:rPr>
          <w:rFonts w:hint="eastAsia" w:ascii="宋体" w:hAnsi="宋体"/>
          <w:sz w:val="21"/>
          <w:szCs w:val="21"/>
          <w:shd w:val="clear" w:color="auto" w:fill="FFFFFF"/>
        </w:rPr>
        <w:t>朱女士、任女士</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ascii="宋体" w:hAnsi="宋体"/>
          <w:sz w:val="21"/>
          <w:szCs w:val="21"/>
          <w:shd w:val="clear" w:color="auto" w:fill="FFFFFF"/>
        </w:rPr>
        <w:t>联系电话</w:t>
      </w:r>
      <w:r>
        <w:rPr>
          <w:rFonts w:hint="eastAsia" w:ascii="宋体" w:hAnsi="宋体"/>
          <w:sz w:val="21"/>
          <w:szCs w:val="21"/>
          <w:shd w:val="clear" w:color="auto" w:fill="FFFFFF"/>
        </w:rPr>
        <w:t>：0580-2054476，13857236444，13567673203</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hint="eastAsia" w:ascii="宋体" w:hAnsi="宋体"/>
          <w:sz w:val="21"/>
          <w:szCs w:val="21"/>
          <w:shd w:val="clear" w:color="auto" w:fill="FFFFFF"/>
        </w:rPr>
        <w:t>质疑答复联系人：王女士</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hint="eastAsia" w:ascii="宋体" w:hAnsi="宋体"/>
          <w:sz w:val="21"/>
          <w:szCs w:val="21"/>
          <w:shd w:val="clear" w:color="auto" w:fill="FFFFFF"/>
        </w:rPr>
        <w:t>联系电话：0580-2054476，13587045176</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hint="eastAsia" w:ascii="宋体" w:hAnsi="宋体"/>
          <w:sz w:val="21"/>
          <w:szCs w:val="21"/>
          <w:shd w:val="clear" w:color="auto" w:fill="FFFFFF"/>
        </w:rPr>
        <w:t>传真</w:t>
      </w:r>
      <w:r>
        <w:rPr>
          <w:rFonts w:ascii="宋体" w:hAnsi="宋体"/>
          <w:sz w:val="21"/>
          <w:szCs w:val="21"/>
          <w:shd w:val="clear" w:color="auto" w:fill="FFFFFF"/>
        </w:rPr>
        <w:t>：</w:t>
      </w:r>
      <w:r>
        <w:rPr>
          <w:rFonts w:hint="eastAsia" w:ascii="宋体" w:hAnsi="宋体"/>
          <w:sz w:val="21"/>
          <w:szCs w:val="21"/>
          <w:shd w:val="clear" w:color="auto" w:fill="FFFFFF"/>
        </w:rPr>
        <w:t xml:space="preserve"> 0580-2054476</w:t>
      </w:r>
    </w:p>
    <w:p>
      <w:pPr>
        <w:pStyle w:val="32"/>
        <w:snapToGrid w:val="0"/>
        <w:spacing w:before="0" w:beforeAutospacing="0" w:after="0" w:afterAutospacing="0" w:line="360" w:lineRule="auto"/>
        <w:ind w:firstLine="420"/>
        <w:jc w:val="both"/>
        <w:textAlignment w:val="baseline"/>
        <w:rPr>
          <w:rFonts w:ascii="宋体" w:hAnsi="宋体"/>
          <w:sz w:val="21"/>
          <w:szCs w:val="21"/>
          <w:shd w:val="clear" w:color="auto" w:fill="FFFFFF"/>
        </w:rPr>
      </w:pPr>
      <w:r>
        <w:rPr>
          <w:rFonts w:ascii="宋体" w:hAnsi="宋体"/>
          <w:sz w:val="21"/>
          <w:szCs w:val="21"/>
          <w:shd w:val="clear" w:color="auto" w:fill="FFFFFF"/>
        </w:rPr>
        <w:t>地点：舟山市定海区</w:t>
      </w:r>
      <w:r>
        <w:rPr>
          <w:rFonts w:hint="eastAsia" w:ascii="宋体" w:hAnsi="宋体"/>
          <w:sz w:val="21"/>
          <w:szCs w:val="21"/>
          <w:shd w:val="clear" w:color="auto" w:fill="FFFFFF"/>
        </w:rPr>
        <w:t>昌国路232号中楼202</w:t>
      </w:r>
    </w:p>
    <w:p>
      <w:pPr>
        <w:snapToGrid w:val="0"/>
        <w:spacing w:line="360" w:lineRule="auto"/>
        <w:ind w:firstLine="472" w:firstLineChars="225"/>
        <w:textAlignment w:val="baseline"/>
        <w:rPr>
          <w:rFonts w:ascii="宋体" w:hAnsi="宋体"/>
          <w:sz w:val="20"/>
          <w:szCs w:val="21"/>
        </w:rPr>
      </w:pPr>
      <w:r>
        <w:rPr>
          <w:rFonts w:ascii="宋体" w:hAnsi="宋体"/>
          <w:szCs w:val="21"/>
          <w:shd w:val="clear" w:color="auto" w:fill="FFFFFF"/>
        </w:rPr>
        <w:t>2、</w:t>
      </w:r>
      <w:r>
        <w:rPr>
          <w:rFonts w:hint="eastAsia"/>
          <w:szCs w:val="21"/>
          <w:shd w:val="clear" w:color="auto" w:fill="FFFFFF"/>
        </w:rPr>
        <w:t>采购单位：</w:t>
      </w:r>
      <w:r>
        <w:rPr>
          <w:rFonts w:hint="eastAsia" w:ascii="宋体" w:hAnsi="宋体"/>
          <w:szCs w:val="21"/>
        </w:rPr>
        <w:t>舟山市自然资源与规划局</w:t>
      </w:r>
    </w:p>
    <w:p>
      <w:pPr>
        <w:snapToGrid w:val="0"/>
        <w:spacing w:line="360" w:lineRule="auto"/>
        <w:ind w:firstLine="472" w:firstLineChars="225"/>
        <w:textAlignment w:val="baseline"/>
        <w:rPr>
          <w:rFonts w:ascii="宋体" w:hAnsi="宋体"/>
          <w:sz w:val="20"/>
          <w:szCs w:val="21"/>
        </w:rPr>
      </w:pPr>
      <w:r>
        <w:rPr>
          <w:rFonts w:hint="eastAsia" w:ascii="宋体" w:hAnsi="宋体"/>
          <w:szCs w:val="21"/>
        </w:rPr>
        <w:t>联系人：</w:t>
      </w:r>
      <w:r>
        <w:rPr>
          <w:rFonts w:hint="eastAsia" w:ascii="宋体" w:hAnsi="宋体"/>
          <w:szCs w:val="21"/>
          <w:lang w:val="en-US" w:eastAsia="zh-CN"/>
        </w:rPr>
        <w:t>倪女士</w:t>
      </w:r>
      <w:r>
        <w:rPr>
          <w:rFonts w:hint="eastAsia" w:ascii="宋体" w:hAnsi="宋体"/>
          <w:szCs w:val="21"/>
        </w:rPr>
        <w:t xml:space="preserve"> </w:t>
      </w:r>
    </w:p>
    <w:p>
      <w:pPr>
        <w:snapToGrid w:val="0"/>
        <w:spacing w:line="360" w:lineRule="auto"/>
        <w:ind w:firstLine="472" w:firstLineChars="225"/>
        <w:textAlignment w:val="baseline"/>
        <w:rPr>
          <w:rFonts w:ascii="宋体" w:hAnsi="宋体"/>
          <w:sz w:val="20"/>
          <w:szCs w:val="21"/>
        </w:rPr>
      </w:pPr>
      <w:r>
        <w:rPr>
          <w:rFonts w:hint="eastAsia" w:ascii="宋体" w:hAnsi="宋体"/>
          <w:szCs w:val="21"/>
        </w:rPr>
        <w:t>联系电话：0580-2290291</w:t>
      </w:r>
    </w:p>
    <w:p>
      <w:pPr>
        <w:snapToGrid w:val="0"/>
        <w:spacing w:line="360" w:lineRule="auto"/>
        <w:ind w:firstLine="472" w:firstLineChars="225"/>
        <w:textAlignment w:val="baseline"/>
        <w:rPr>
          <w:rFonts w:hint="eastAsia" w:ascii="宋体" w:hAnsi="宋体" w:eastAsia="宋体"/>
          <w:sz w:val="20"/>
          <w:szCs w:val="21"/>
          <w:lang w:val="en-US" w:eastAsia="zh-CN"/>
        </w:rPr>
      </w:pPr>
      <w:r>
        <w:rPr>
          <w:rFonts w:hint="eastAsia" w:ascii="宋体" w:hAnsi="宋体"/>
          <w:szCs w:val="21"/>
        </w:rPr>
        <w:t>质疑答复联系人：</w:t>
      </w:r>
      <w:r>
        <w:rPr>
          <w:rFonts w:hint="eastAsia" w:ascii="宋体" w:hAnsi="宋体"/>
          <w:szCs w:val="21"/>
          <w:lang w:val="en-US" w:eastAsia="zh-CN"/>
        </w:rPr>
        <w:t>王先生</w:t>
      </w:r>
    </w:p>
    <w:p>
      <w:pPr>
        <w:snapToGrid w:val="0"/>
        <w:spacing w:line="360" w:lineRule="auto"/>
        <w:ind w:firstLine="472" w:firstLineChars="225"/>
        <w:textAlignment w:val="baseline"/>
        <w:rPr>
          <w:rFonts w:ascii="宋体" w:hAnsi="宋体"/>
          <w:sz w:val="20"/>
          <w:szCs w:val="21"/>
        </w:rPr>
      </w:pPr>
      <w:r>
        <w:rPr>
          <w:rFonts w:hint="eastAsia" w:ascii="宋体" w:hAnsi="宋体"/>
          <w:szCs w:val="21"/>
        </w:rPr>
        <w:t>联系电话：13705808059</w:t>
      </w:r>
    </w:p>
    <w:p>
      <w:pPr>
        <w:snapToGrid w:val="0"/>
        <w:spacing w:line="360" w:lineRule="auto"/>
        <w:ind w:firstLine="472" w:firstLineChars="225"/>
        <w:textAlignment w:val="baseline"/>
        <w:rPr>
          <w:rFonts w:ascii="宋体" w:hAnsi="宋体"/>
          <w:sz w:val="20"/>
          <w:szCs w:val="21"/>
        </w:rPr>
      </w:pPr>
      <w:r>
        <w:rPr>
          <w:rFonts w:hint="eastAsia" w:ascii="宋体" w:hAnsi="宋体"/>
          <w:szCs w:val="21"/>
        </w:rPr>
        <w:t>地点：舟山市定海区临城街道千岛路159号</w:t>
      </w:r>
    </w:p>
    <w:p>
      <w:pPr>
        <w:spacing w:line="360" w:lineRule="auto"/>
        <w:ind w:firstLine="472" w:firstLineChars="225"/>
        <w:rPr>
          <w:rFonts w:ascii="宋体" w:hAnsi="宋体"/>
          <w:szCs w:val="21"/>
        </w:rPr>
      </w:pPr>
      <w:r>
        <w:rPr>
          <w:rFonts w:hint="eastAsia" w:ascii="宋体" w:hAnsi="宋体"/>
          <w:szCs w:val="21"/>
        </w:rPr>
        <w:t>3、</w:t>
      </w:r>
      <w:r>
        <w:rPr>
          <w:rFonts w:hint="eastAsia" w:ascii="宋体" w:hAnsi="宋体" w:cs="宋体"/>
          <w:szCs w:val="21"/>
          <w:shd w:val="clear" w:color="auto" w:fill="FFFFFF"/>
        </w:rPr>
        <w:t>同级政府采购监督管理部门名称</w:t>
      </w:r>
      <w:r>
        <w:rPr>
          <w:rFonts w:hint="eastAsia" w:ascii="宋体" w:hAnsi="宋体"/>
          <w:szCs w:val="21"/>
        </w:rPr>
        <w:t>：</w:t>
      </w:r>
      <w:r>
        <w:rPr>
          <w:rFonts w:hint="eastAsia" w:ascii="宋体" w:hAnsi="宋体" w:cs="宋体"/>
          <w:szCs w:val="21"/>
        </w:rPr>
        <w:t>舟山市财政局（政府采购监管处）</w:t>
      </w:r>
    </w:p>
    <w:p>
      <w:pPr>
        <w:spacing w:line="360" w:lineRule="auto"/>
        <w:ind w:firstLine="472" w:firstLineChars="225"/>
        <w:rPr>
          <w:b/>
          <w:sz w:val="30"/>
        </w:rPr>
      </w:pPr>
      <w:r>
        <w:rPr>
          <w:rFonts w:hint="eastAsia" w:ascii="宋体" w:hAnsi="宋体"/>
          <w:szCs w:val="21"/>
        </w:rPr>
        <w:t>监督投诉电话：</w:t>
      </w:r>
      <w:r>
        <w:rPr>
          <w:rFonts w:hint="eastAsia" w:ascii="宋体" w:hAnsi="宋体" w:cs="宋体"/>
          <w:kern w:val="0"/>
          <w:szCs w:val="21"/>
        </w:rPr>
        <w:t>0580-2282519</w:t>
      </w:r>
    </w:p>
    <w:p>
      <w:pPr>
        <w:snapToGrid w:val="0"/>
        <w:spacing w:line="360" w:lineRule="auto"/>
        <w:ind w:firstLine="678" w:firstLineChars="225"/>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jc w:val="center"/>
        <w:textAlignment w:val="baseline"/>
        <w:rPr>
          <w:b/>
          <w:sz w:val="30"/>
        </w:rPr>
      </w:pPr>
    </w:p>
    <w:p>
      <w:pPr>
        <w:snapToGrid w:val="0"/>
        <w:spacing w:line="312" w:lineRule="auto"/>
        <w:textAlignment w:val="baseline"/>
        <w:rPr>
          <w:b/>
          <w:sz w:val="30"/>
        </w:rPr>
      </w:pPr>
    </w:p>
    <w:p>
      <w:pPr>
        <w:snapToGrid w:val="0"/>
        <w:spacing w:line="312" w:lineRule="auto"/>
        <w:textAlignment w:val="baseline"/>
        <w:rPr>
          <w:b/>
          <w:sz w:val="30"/>
        </w:rPr>
      </w:pPr>
    </w:p>
    <w:p>
      <w:pPr>
        <w:snapToGrid w:val="0"/>
        <w:spacing w:line="312" w:lineRule="auto"/>
        <w:jc w:val="center"/>
        <w:textAlignment w:val="baseline"/>
        <w:rPr>
          <w:rFonts w:ascii="黑体" w:hAnsi="宋体" w:eastAsia="黑体"/>
          <w:sz w:val="30"/>
        </w:rPr>
      </w:pPr>
      <w:r>
        <w:rPr>
          <w:rFonts w:hint="eastAsia"/>
          <w:b/>
          <w:sz w:val="30"/>
        </w:rPr>
        <w:t>第二章  招标需求</w:t>
      </w:r>
    </w:p>
    <w:p>
      <w:pPr>
        <w:spacing w:line="360" w:lineRule="auto"/>
        <w:rPr>
          <w:rFonts w:asciiTheme="minorEastAsia" w:hAnsiTheme="minorEastAsia" w:eastAsiaTheme="minorEastAsia"/>
          <w:b/>
          <w:sz w:val="24"/>
          <w:szCs w:val="24"/>
        </w:rPr>
      </w:pPr>
    </w:p>
    <w:p>
      <w:pPr>
        <w:spacing w:beforeLines="50" w:line="312" w:lineRule="auto"/>
        <w:rPr>
          <w:b/>
          <w:sz w:val="24"/>
          <w:szCs w:val="24"/>
        </w:rPr>
      </w:pPr>
      <w:r>
        <w:rPr>
          <w:rFonts w:hint="eastAsia"/>
          <w:b/>
          <w:sz w:val="24"/>
          <w:szCs w:val="24"/>
        </w:rPr>
        <w:t>一、项目建设背景及目标</w:t>
      </w:r>
    </w:p>
    <w:p>
      <w:pPr>
        <w:spacing w:line="360" w:lineRule="auto"/>
        <w:ind w:firstLine="630" w:firstLineChars="300"/>
      </w:pPr>
      <w:r>
        <w:rPr>
          <w:rFonts w:hint="eastAsia"/>
        </w:rPr>
        <w:t>党的十八届三中全会提出，全面深化改革的总目标是完善和发展中国特色社会主义制度，推进国家治理体系和治理能力现代化。国家的治理体系不仅应该包括自上而下的纵向治理，比如财政、金融、投资、工业、交通、环境、自然资源等按行业、按领域的上级部门对下级部门的管理，也应该而且必须包括在一定空间单元统筹上一级政府各部门、各方面目标要求的空间治理。</w:t>
      </w:r>
    </w:p>
    <w:p>
      <w:pPr>
        <w:spacing w:line="360" w:lineRule="auto"/>
        <w:ind w:firstLine="420" w:firstLineChars="200"/>
      </w:pPr>
      <w:r>
        <w:rPr>
          <w:rFonts w:hint="eastAsia"/>
        </w:rPr>
        <w:t>2020年3月，浙江省启动省域空间治理数字化平台建设工作。浙江省发展改革委和自然资源厅联合印发了《关于印发省域空间治理数字化平台建设工作方案的通知》（浙发改规划〔2020〕131号），这是进一步深化“多规合一”改革的重大举措，有利于统筹重大生产力布局、优化空间资源要素配置、提升项目审批落地效能、加强国土空间用途管制。经过近一年的建设，省级平台已经上线试运行，典型区域、典型领域空间治理建设取得了一定突破，未来将按照一体化设计、统分结合的方式建成“1+11+X”全省一体化的空间治理格局。</w:t>
      </w:r>
    </w:p>
    <w:p>
      <w:pPr>
        <w:spacing w:line="360" w:lineRule="auto"/>
        <w:ind w:firstLine="420" w:firstLineChars="200"/>
      </w:pPr>
      <w:r>
        <w:rPr>
          <w:rFonts w:hint="eastAsia"/>
        </w:rPr>
        <w:t>基于舟山市2035年远景目标，要在综合实力、科技创新、改革开放、生活品质、生态环境、治理效能等方面取得新突破，“四个舟山”和“重要窗口”海岛风景线建设取得重要标志性成果，争创社会主义现代化海上花园城市。在此背景下，空间治理数字化平台的建设应致力于协调解决各类规划矛盾，提高空间资源适配性，更好发挥发展规划的战略导向作用和国土空间规划的基础作用，把“管”空间和“用”空间有机统一起来，助力舟山特色产业的落地建设，赋能海洋经济等产业链建设，实现更加精细化管理和利用空间资源，更好适应增量削减、存量挖潜的国土空间开发利用新趋势。</w:t>
      </w:r>
    </w:p>
    <w:p>
      <w:pPr>
        <w:spacing w:line="312" w:lineRule="auto"/>
        <w:ind w:firstLine="424" w:firstLineChars="202"/>
      </w:pPr>
      <w:r>
        <w:rPr>
          <w:rFonts w:hint="eastAsia"/>
        </w:rPr>
        <w:t>到2022年3月底,初步建成覆盖全域、共享共用的市域空间治理数字化平台，同时通过集成市域空间数据、提供空间治理工具箱、典型应用场景，平台赋能实际业务取得实质性突破，市域空间治理能力大幅提高。</w:t>
      </w:r>
    </w:p>
    <w:p>
      <w:pPr>
        <w:spacing w:line="312" w:lineRule="auto"/>
        <w:ind w:firstLine="424" w:firstLineChars="202"/>
      </w:pPr>
      <w:r>
        <w:rPr>
          <w:rFonts w:hint="eastAsia"/>
        </w:rPr>
        <w:t>到2022年底,全面建成“精准分析、整体优化、高效利用、依法保护、科学治理”的市城空间治理数字化平台,通过迭代升级节点功能，深化应用推广，进一步巩固建设成果，拓宽平台赋能实际业务范围面，进一步提升空间治理的科学性、精细化和智能化水平。</w:t>
      </w:r>
    </w:p>
    <w:p>
      <w:pPr>
        <w:spacing w:line="312" w:lineRule="auto"/>
        <w:rPr>
          <w:rFonts w:ascii="宋体" w:hAnsi="宋体"/>
          <w:b/>
          <w:bCs/>
          <w:sz w:val="24"/>
          <w:szCs w:val="24"/>
        </w:rPr>
      </w:pPr>
    </w:p>
    <w:p>
      <w:pPr>
        <w:spacing w:line="312" w:lineRule="auto"/>
        <w:rPr>
          <w:rFonts w:ascii="宋体" w:hAnsi="宋体"/>
          <w:b/>
          <w:bCs/>
          <w:sz w:val="24"/>
          <w:szCs w:val="24"/>
        </w:rPr>
      </w:pPr>
      <w:r>
        <w:rPr>
          <w:rFonts w:hint="eastAsia" w:ascii="宋体" w:hAnsi="宋体"/>
          <w:b/>
          <w:bCs/>
          <w:sz w:val="24"/>
          <w:szCs w:val="24"/>
        </w:rPr>
        <w:t>二、项目建设内容及清单</w:t>
      </w:r>
    </w:p>
    <w:p>
      <w:pPr>
        <w:spacing w:line="312" w:lineRule="auto"/>
      </w:pPr>
      <w:r>
        <w:rPr>
          <w:rFonts w:hint="eastAsia"/>
        </w:rPr>
        <w:t>（一）项目建设内容</w:t>
      </w:r>
    </w:p>
    <w:p>
      <w:pPr>
        <w:spacing w:line="312" w:lineRule="auto"/>
        <w:ind w:firstLine="420"/>
      </w:pPr>
      <w:r>
        <w:rPr>
          <w:rFonts w:hint="eastAsia"/>
        </w:rPr>
        <w:t>依据《省域空间治理数字化平台建设和应用推广工作方案》和《浙江省域空间治理数字化平台建设指南》要求，按照全省“1+11+X”部署架构和“3+X”功能架构建设安排，省域空间治理数字化平台舟山节点建设主要聚焦门户系统、一库、一图、一箱和X场景建设。</w:t>
      </w:r>
    </w:p>
    <w:p>
      <w:pPr>
        <w:spacing w:line="360" w:lineRule="auto"/>
        <w:ind w:firstLine="420" w:firstLineChars="200"/>
      </w:pPr>
      <w:bookmarkStart w:id="0" w:name="OLE_LINK2"/>
      <w:r>
        <w:rPr>
          <w:rFonts w:hint="eastAsia"/>
        </w:rPr>
        <w:t>1、门户：在省级平台提供统一的平台入口和政务工作人员门户、开发者门户的基础上，舟山结合本地特色扩展开发领导者门户和社会公众门户，以及数字国土空间门户。</w:t>
      </w:r>
    </w:p>
    <w:p>
      <w:pPr>
        <w:spacing w:line="360" w:lineRule="auto"/>
        <w:ind w:firstLine="420" w:firstLineChars="200"/>
      </w:pPr>
      <w:r>
        <w:rPr>
          <w:rFonts w:hint="eastAsia"/>
        </w:rPr>
        <w:t>2、一库：依托政务“一朵云”，按照平台数据规范和目录体系，结合舟山市个性化需求，建立市级空间治理大数据库，包括空间地理子库和经济社会子库，以及数字国土空间平台升级。</w:t>
      </w:r>
    </w:p>
    <w:p>
      <w:pPr>
        <w:spacing w:line="360" w:lineRule="auto"/>
        <w:ind w:firstLine="420" w:firstLineChars="200"/>
      </w:pPr>
      <w:r>
        <w:rPr>
          <w:rFonts w:hint="eastAsia"/>
        </w:rPr>
        <w:t>3、一图：基于“一库”数据，根据《图层开发与服务规范》要求，并接入已有国土空间基础平台、地理信息公共服务平台、统计年鉴等多源异构数据，推进各类自然、经济、社会数据统一落图。</w:t>
      </w:r>
    </w:p>
    <w:p>
      <w:pPr>
        <w:spacing w:line="360" w:lineRule="auto"/>
        <w:ind w:firstLine="420" w:firstLineChars="200"/>
      </w:pPr>
      <w:r>
        <w:rPr>
          <w:rFonts w:hint="eastAsia"/>
        </w:rPr>
        <w:t>4、一箱：围绕空间现状分析、经济社会综合评价分析、空间利用决策等方面建设一批技术可行、模型可靠、功能可用，具有特色的空间治理工具，主要包括卫星遥感影像综合服务工具和数字国土空间工具。</w:t>
      </w:r>
    </w:p>
    <w:p>
      <w:pPr>
        <w:spacing w:line="312" w:lineRule="auto"/>
        <w:ind w:firstLine="424" w:firstLineChars="202"/>
      </w:pPr>
      <w:r>
        <w:rPr>
          <w:rFonts w:hint="eastAsia"/>
        </w:rPr>
        <w:t>5、X场景：依托平台“一库、一图、一箱”基础能力，结合舟山市各部门以及区县特色和业务需要，建设业务协同应用场景。包括2个建设场景（低效企业整治提升全流程监管场景、自然资源多维度感知监管场景）。</w:t>
      </w:r>
    </w:p>
    <w:p>
      <w:pPr>
        <w:spacing w:line="312" w:lineRule="auto"/>
        <w:rPr>
          <w:rFonts w:asciiTheme="minorEastAsia" w:hAnsiTheme="minorEastAsia" w:eastAsiaTheme="minorEastAsia"/>
          <w:szCs w:val="21"/>
        </w:rPr>
      </w:pPr>
      <w:r>
        <w:rPr>
          <w:rFonts w:hint="eastAsia"/>
        </w:rPr>
        <w:t>（二）</w:t>
      </w:r>
      <w:r>
        <w:rPr>
          <w:rFonts w:hint="eastAsia" w:asciiTheme="minorEastAsia" w:hAnsiTheme="minorEastAsia" w:eastAsiaTheme="minorEastAsia"/>
          <w:szCs w:val="21"/>
        </w:rPr>
        <w:t>具体建设内容总清单</w:t>
      </w:r>
    </w:p>
    <w:tbl>
      <w:tblPr>
        <w:tblStyle w:val="36"/>
        <w:tblW w:w="8567" w:type="dxa"/>
        <w:jc w:val="center"/>
        <w:tblLayout w:type="fixed"/>
        <w:tblCellMar>
          <w:top w:w="0" w:type="dxa"/>
          <w:left w:w="108" w:type="dxa"/>
          <w:bottom w:w="0" w:type="dxa"/>
          <w:right w:w="108" w:type="dxa"/>
        </w:tblCellMar>
      </w:tblPr>
      <w:tblGrid>
        <w:gridCol w:w="1308"/>
        <w:gridCol w:w="5042"/>
        <w:gridCol w:w="2217"/>
      </w:tblGrid>
      <w:tr>
        <w:tblPrEx>
          <w:tblCellMar>
            <w:top w:w="0" w:type="dxa"/>
            <w:left w:w="108" w:type="dxa"/>
            <w:bottom w:w="0" w:type="dxa"/>
            <w:right w:w="108" w:type="dxa"/>
          </w:tblCellMar>
        </w:tblPrEx>
        <w:trPr>
          <w:trHeight w:val="67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序号</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分项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分项预算上限（万元）</w:t>
            </w: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省域空间治理数字化平台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125</w:t>
            </w: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省域空间治理门户建设</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数据仓建设</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一图建设</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26"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1.4</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影像感知工具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数字国土空间建设</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95</w:t>
            </w:r>
          </w:p>
        </w:tc>
      </w:tr>
      <w:tr>
        <w:tblPrEx>
          <w:tblCellMar>
            <w:top w:w="0" w:type="dxa"/>
            <w:left w:w="108" w:type="dxa"/>
            <w:bottom w:w="0" w:type="dxa"/>
            <w:right w:w="108" w:type="dxa"/>
          </w:tblCellMar>
        </w:tblPrEx>
        <w:trPr>
          <w:trHeight w:val="424"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数字国土空间门户建设</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数字国土空间平台升级</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3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数字国土空间工具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91"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3</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应用场景</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491"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3.1</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低效企业整治提升全流程监管场景</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60</w:t>
            </w:r>
          </w:p>
        </w:tc>
      </w:tr>
      <w:tr>
        <w:tblPrEx>
          <w:tblCellMar>
            <w:top w:w="0" w:type="dxa"/>
            <w:left w:w="108" w:type="dxa"/>
            <w:bottom w:w="0" w:type="dxa"/>
            <w:right w:w="108" w:type="dxa"/>
          </w:tblCellMar>
        </w:tblPrEx>
        <w:trPr>
          <w:trHeight w:val="461"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3.2</w:t>
            </w:r>
          </w:p>
        </w:tc>
        <w:tc>
          <w:tcPr>
            <w:tcW w:w="5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before="120" w:after="120"/>
              <w:jc w:val="center"/>
              <w:rPr>
                <w:rFonts w:cs="宋体" w:asciiTheme="minorEastAsia" w:hAnsiTheme="minorEastAsia" w:eastAsiaTheme="minorEastAsia"/>
                <w:b w:val="0"/>
                <w:bCs w:val="0"/>
                <w:sz w:val="21"/>
                <w:szCs w:val="21"/>
              </w:rPr>
            </w:pPr>
            <w:r>
              <w:rPr>
                <w:rFonts w:hint="eastAsia" w:cs="宋体" w:asciiTheme="minorEastAsia" w:hAnsiTheme="minorEastAsia" w:eastAsiaTheme="minorEastAsia"/>
                <w:b w:val="0"/>
                <w:bCs w:val="0"/>
                <w:kern w:val="0"/>
                <w:sz w:val="21"/>
                <w:szCs w:val="21"/>
              </w:rPr>
              <w:t>云账簿二期-自然资源多维度感知监管</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220</w:t>
            </w:r>
          </w:p>
        </w:tc>
      </w:tr>
    </w:tbl>
    <w:p>
      <w:pPr>
        <w:spacing w:line="312" w:lineRule="auto"/>
        <w:rPr>
          <w:rFonts w:asciiTheme="minorEastAsia" w:hAnsiTheme="minorEastAsia" w:eastAsiaTheme="minorEastAsia"/>
          <w:b/>
          <w:bCs/>
          <w:szCs w:val="21"/>
        </w:rPr>
      </w:pPr>
    </w:p>
    <w:p>
      <w:pPr>
        <w:spacing w:line="312" w:lineRule="auto"/>
        <w:rPr>
          <w:rFonts w:asciiTheme="minorEastAsia" w:hAnsiTheme="minorEastAsia" w:eastAsiaTheme="minorEastAsia"/>
          <w:b/>
          <w:bCs/>
          <w:szCs w:val="21"/>
        </w:rPr>
      </w:pPr>
      <w:r>
        <w:rPr>
          <w:rFonts w:hint="eastAsia" w:cs="宋体" w:asciiTheme="minorEastAsia" w:hAnsiTheme="minorEastAsia" w:eastAsiaTheme="minorEastAsia"/>
          <w:b/>
          <w:bCs/>
          <w:kern w:val="0"/>
          <w:szCs w:val="21"/>
        </w:rPr>
        <w:t>1、省域空间治理数字化平台</w:t>
      </w:r>
      <w:r>
        <w:rPr>
          <w:rFonts w:hint="eastAsia" w:cs="宋体" w:asciiTheme="minorEastAsia" w:hAnsiTheme="minorEastAsia" w:eastAsiaTheme="minorEastAsia"/>
          <w:b/>
          <w:bCs/>
          <w:szCs w:val="21"/>
        </w:rPr>
        <w:t>建设内容清单</w:t>
      </w:r>
    </w:p>
    <w:tbl>
      <w:tblPr>
        <w:tblStyle w:val="36"/>
        <w:tblW w:w="9318" w:type="dxa"/>
        <w:tblInd w:w="93" w:type="dxa"/>
        <w:tblLayout w:type="fixed"/>
        <w:tblCellMar>
          <w:top w:w="0" w:type="dxa"/>
          <w:left w:w="108" w:type="dxa"/>
          <w:bottom w:w="0" w:type="dxa"/>
          <w:right w:w="108" w:type="dxa"/>
        </w:tblCellMar>
      </w:tblPr>
      <w:tblGrid>
        <w:gridCol w:w="840"/>
        <w:gridCol w:w="823"/>
        <w:gridCol w:w="990"/>
        <w:gridCol w:w="981"/>
        <w:gridCol w:w="1557"/>
        <w:gridCol w:w="4127"/>
      </w:tblGrid>
      <w:tr>
        <w:trPr>
          <w:trHeight w:val="6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系统 分项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一级模块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二级模块</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子模块 </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主要功能要求</w:t>
            </w:r>
          </w:p>
        </w:tc>
      </w:tr>
      <w:tr>
        <w:tblPrEx>
          <w:tblCellMar>
            <w:top w:w="0" w:type="dxa"/>
            <w:left w:w="108" w:type="dxa"/>
            <w:bottom w:w="0" w:type="dxa"/>
            <w:right w:w="108" w:type="dxa"/>
          </w:tblCellMar>
        </w:tblPrEx>
        <w:trPr>
          <w:trHeight w:val="985" w:hRule="atLeast"/>
        </w:trPr>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82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平台门户</w:t>
            </w:r>
          </w:p>
        </w:tc>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省域空间治理门户建设</w:t>
            </w:r>
          </w:p>
        </w:tc>
        <w:tc>
          <w:tcPr>
            <w:tcW w:w="981" w:type="dxa"/>
            <w:vMerge w:val="restart"/>
            <w:tcBorders>
              <w:top w:val="nil"/>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个性化门户建设</w:t>
            </w:r>
          </w:p>
        </w:tc>
        <w:tc>
          <w:tcPr>
            <w:tcW w:w="1557" w:type="dxa"/>
            <w:tcBorders>
              <w:top w:val="nil"/>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整体设计布局</w:t>
            </w:r>
          </w:p>
        </w:tc>
        <w:tc>
          <w:tcPr>
            <w:tcW w:w="4127" w:type="dxa"/>
            <w:tcBorders>
              <w:top w:val="nil"/>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系统将依据用户分级分类，展现相应的内容，并提供几种界面风格选择。同时，门户展现可依据用户的自行配置选择进行调整，并依据用户的搜索习惯进行推荐。</w:t>
            </w:r>
          </w:p>
        </w:tc>
      </w:tr>
      <w:tr>
        <w:tblPrEx>
          <w:tblCellMar>
            <w:top w:w="0" w:type="dxa"/>
            <w:left w:w="108" w:type="dxa"/>
            <w:bottom w:w="0" w:type="dxa"/>
            <w:right w:w="108" w:type="dxa"/>
          </w:tblCellMar>
        </w:tblPrEx>
        <w:trPr>
          <w:trHeight w:val="1829"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nil"/>
              <w:left w:val="single" w:color="757171" w:sz="4" w:space="0"/>
              <w:bottom w:val="single" w:color="757171" w:sz="4" w:space="0"/>
              <w:right w:val="single" w:color="757171"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不同用户界面设计</w:t>
            </w:r>
          </w:p>
        </w:tc>
        <w:tc>
          <w:tcPr>
            <w:tcW w:w="412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按照领导诉求进行设计并按照不同部门和层级领导配置内容；按照对外服务进行设计并按照不同类型企业和公众配置内容；对接全省空间治理政务人员门户，对接一库、一图、一箱和场景的收藏功能，实现在政务人员门户上直观看到我收藏的各项内容，并能实现跳转到对应详细内容。 </w:t>
            </w:r>
          </w:p>
        </w:tc>
      </w:tr>
      <w:tr>
        <w:tblPrEx>
          <w:tblCellMar>
            <w:top w:w="0" w:type="dxa"/>
            <w:left w:w="108" w:type="dxa"/>
            <w:bottom w:w="0" w:type="dxa"/>
            <w:right w:w="108" w:type="dxa"/>
          </w:tblCellMar>
        </w:tblPrEx>
        <w:trPr>
          <w:trHeight w:val="2182"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nil"/>
              <w:left w:val="single" w:color="757171" w:sz="4" w:space="0"/>
              <w:bottom w:val="single" w:color="757171" w:sz="4" w:space="0"/>
              <w:right w:val="single" w:color="757171"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用户体系与角色分配</w:t>
            </w:r>
          </w:p>
        </w:tc>
        <w:tc>
          <w:tcPr>
            <w:tcW w:w="412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开发系统登录模块，用户体系实现与省域平台的打通、实现各内容的单点登录；提供用户的创建、编辑、删除等功能，实现用户与角色、用户与组织机构的关联配置；提供对系统组织机构的配置、编辑、删除等功能，提供组织机构与用户的关联配置；提供用户角色的创建、编辑与删除等功能，实现角色与用户的关联配置。</w:t>
            </w:r>
          </w:p>
        </w:tc>
      </w:tr>
      <w:tr>
        <w:tblPrEx>
          <w:tblCellMar>
            <w:top w:w="0" w:type="dxa"/>
            <w:left w:w="108" w:type="dxa"/>
            <w:bottom w:w="0" w:type="dxa"/>
            <w:right w:w="108" w:type="dxa"/>
          </w:tblCellMar>
        </w:tblPrEx>
        <w:trPr>
          <w:trHeight w:val="1248"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nil"/>
              <w:left w:val="single" w:color="757171" w:sz="4" w:space="0"/>
              <w:bottom w:val="single" w:color="757171" w:sz="4" w:space="0"/>
              <w:right w:val="single" w:color="757171"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平台功能权限管理</w:t>
            </w:r>
          </w:p>
        </w:tc>
        <w:tc>
          <w:tcPr>
            <w:tcW w:w="412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对接空间数据资产管理平台的权限体系，搭建平台前端用户的功能权限，能进行前端的各大功能应用模块的权限管理，包括一图、一库、一箱的大模块功能权限管理</w:t>
            </w:r>
          </w:p>
        </w:tc>
      </w:tr>
      <w:tr>
        <w:tblPrEx>
          <w:tblCellMar>
            <w:top w:w="0" w:type="dxa"/>
            <w:left w:w="108" w:type="dxa"/>
            <w:bottom w:w="0" w:type="dxa"/>
            <w:right w:w="108" w:type="dxa"/>
          </w:tblCellMar>
        </w:tblPrEx>
        <w:trPr>
          <w:trHeight w:val="1565"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nil"/>
              <w:left w:val="single" w:color="757171" w:sz="4" w:space="0"/>
              <w:bottom w:val="single" w:color="757171" w:sz="4" w:space="0"/>
              <w:right w:val="single" w:color="757171"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应用场景功能权限管理</w:t>
            </w:r>
          </w:p>
        </w:tc>
        <w:tc>
          <w:tcPr>
            <w:tcW w:w="412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对应用场景的功能的权限管理，应用场景的用户更加复杂，同时伴随着业务，需要有单独的权限控制管理，包括场景业务的功能点的管理、业务表单的管理等，同时应用场景的权限管理与整个平台的权限管理能对接匹配。 </w:t>
            </w:r>
          </w:p>
        </w:tc>
      </w:tr>
      <w:tr>
        <w:tblPrEx>
          <w:tblCellMar>
            <w:top w:w="0" w:type="dxa"/>
            <w:left w:w="108" w:type="dxa"/>
            <w:bottom w:w="0" w:type="dxa"/>
            <w:right w:w="108" w:type="dxa"/>
          </w:tblCellMar>
        </w:tblPrEx>
        <w:trPr>
          <w:trHeight w:val="1617"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nil"/>
              <w:left w:val="single" w:color="757171" w:sz="4" w:space="0"/>
              <w:bottom w:val="single" w:color="757171" w:sz="4" w:space="0"/>
              <w:right w:val="single" w:color="757171"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多浏览器适配</w:t>
            </w:r>
          </w:p>
        </w:tc>
        <w:tc>
          <w:tcPr>
            <w:tcW w:w="4127"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本系统考虑兼容以下常见浏览器内核：Trident、Gecko、Blink、Webkit，即包括平台满足chrome、360极速、360安全（极速模式）、safari、firefox、sogou、IE edge、猎豹、UC、opera等10余种主流浏览器上运行。</w:t>
            </w:r>
          </w:p>
        </w:tc>
      </w:tr>
      <w:tr>
        <w:tblPrEx>
          <w:tblCellMar>
            <w:top w:w="0" w:type="dxa"/>
            <w:left w:w="108" w:type="dxa"/>
            <w:bottom w:w="0" w:type="dxa"/>
            <w:right w:w="108" w:type="dxa"/>
          </w:tblCellMar>
        </w:tblPrEx>
        <w:trPr>
          <w:trHeight w:val="1682"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82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一库建设</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数据归集</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数据归集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空间类数据归集（根据场景补充数据归集）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依照数据归集规范和场景建设需要（建设用地农转用数据、建设用地盘活数据、低效用地数据、经营性用地数据、供地计划数据、基准地价数据、标定地价数据、矿山基本情况数据、矿山储量数据等）等，归集舟山特色空间类数据。 </w:t>
            </w:r>
          </w:p>
        </w:tc>
      </w:tr>
      <w:tr>
        <w:tblPrEx>
          <w:tblCellMar>
            <w:top w:w="0" w:type="dxa"/>
            <w:left w:w="108" w:type="dxa"/>
            <w:bottom w:w="0" w:type="dxa"/>
            <w:right w:w="108" w:type="dxa"/>
          </w:tblCellMar>
        </w:tblPrEx>
        <w:trPr>
          <w:trHeight w:val="66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社会经济类数据归集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依照数据归集规范，归集舟山特色社会经济类数据。</w:t>
            </w:r>
          </w:p>
        </w:tc>
      </w:tr>
      <w:tr>
        <w:tblPrEx>
          <w:tblCellMar>
            <w:top w:w="0" w:type="dxa"/>
            <w:left w:w="108" w:type="dxa"/>
            <w:bottom w:w="0" w:type="dxa"/>
            <w:right w:w="108" w:type="dxa"/>
          </w:tblCellMar>
        </w:tblPrEx>
        <w:trPr>
          <w:trHeight w:val="93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数据治理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数据预处理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数据预处理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对地理空间数据、社会经济数据进行数据格式转换、数据坐标转换、数据标准化处理、数据属性规范化处理</w:t>
            </w:r>
          </w:p>
        </w:tc>
      </w:tr>
      <w:tr>
        <w:tblPrEx>
          <w:tblCellMar>
            <w:top w:w="0" w:type="dxa"/>
            <w:left w:w="108" w:type="dxa"/>
            <w:bottom w:w="0" w:type="dxa"/>
            <w:right w:w="108" w:type="dxa"/>
          </w:tblCellMar>
        </w:tblPrEx>
        <w:trPr>
          <w:trHeight w:val="93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数据质检</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质检规则配置及质量检测</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根据数据治理规范，配置质检规则，完成数据的完整性检测、一致性检测、准确性检测、及时性检测</w:t>
            </w:r>
          </w:p>
        </w:tc>
      </w:tr>
      <w:tr>
        <w:tblPrEx>
          <w:tblCellMar>
            <w:top w:w="0" w:type="dxa"/>
            <w:left w:w="108" w:type="dxa"/>
            <w:bottom w:w="0" w:type="dxa"/>
            <w:right w:w="108" w:type="dxa"/>
          </w:tblCellMar>
        </w:tblPrEx>
        <w:trPr>
          <w:trHeight w:val="83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数据建库</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数据明细层建库</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地理信息子库</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指标内容制定、指标统计分析、数据库版本管理、数据库备份</w:t>
            </w:r>
          </w:p>
        </w:tc>
      </w:tr>
      <w:tr>
        <w:tblPrEx>
          <w:tblCellMar>
            <w:top w:w="0" w:type="dxa"/>
            <w:left w:w="108" w:type="dxa"/>
            <w:bottom w:w="0" w:type="dxa"/>
            <w:right w:w="108" w:type="dxa"/>
          </w:tblCellMar>
        </w:tblPrEx>
        <w:trPr>
          <w:trHeight w:val="11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社会经济子库</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非结构化数据处理建库、结构化数据处理建库、政务系统数据处理建库、指标内容制定、指标统计分析、数据库版本管理、数据库备份 </w:t>
            </w:r>
          </w:p>
        </w:tc>
      </w:tr>
      <w:tr>
        <w:tblPrEx>
          <w:tblCellMar>
            <w:top w:w="0" w:type="dxa"/>
            <w:left w:w="108" w:type="dxa"/>
            <w:bottom w:w="0" w:type="dxa"/>
            <w:right w:w="108" w:type="dxa"/>
          </w:tblCellMar>
        </w:tblPrEx>
        <w:trPr>
          <w:trHeight w:val="113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数据融合层建库</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数据融合层建库</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数据融合层重在实现社会经济数据上图，构建以不同粒度的“空间单元”为核心的数据组织形式。包括标准地址上图、标准网格索引、空间单元组织等内容</w:t>
            </w:r>
          </w:p>
        </w:tc>
      </w:tr>
      <w:tr>
        <w:tblPrEx>
          <w:tblCellMar>
            <w:top w:w="0" w:type="dxa"/>
            <w:left w:w="108" w:type="dxa"/>
            <w:bottom w:w="0" w:type="dxa"/>
            <w:right w:w="108" w:type="dxa"/>
          </w:tblCellMar>
        </w:tblPrEx>
        <w:trPr>
          <w:trHeight w:val="19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数据主题层建库</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数据主题层建库</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主题层数据在融合层聚合的基础上，按业务需求进行空间函数和基本指标计算形成支撑上层应用的数据基础。结合上层工具和场景等应用的不断拓展逐步形成，平台上的工具和场景在部署过程中需要将自身出参和入参的数据需求和指标产出提供给平台统一管理。</w:t>
            </w:r>
          </w:p>
        </w:tc>
      </w:tr>
      <w:tr>
        <w:tblPrEx>
          <w:tblCellMar>
            <w:top w:w="0" w:type="dxa"/>
            <w:left w:w="108" w:type="dxa"/>
            <w:bottom w:w="0" w:type="dxa"/>
            <w:right w:w="108" w:type="dxa"/>
          </w:tblCellMar>
        </w:tblPrEx>
        <w:trPr>
          <w:trHeight w:val="55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数据脱敏</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数据脱敏</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根据相关保密要求，对成果进行脱敏处理</w:t>
            </w:r>
          </w:p>
        </w:tc>
      </w:tr>
      <w:tr>
        <w:tblPrEx>
          <w:tblCellMar>
            <w:top w:w="0" w:type="dxa"/>
            <w:left w:w="108" w:type="dxa"/>
            <w:bottom w:w="0" w:type="dxa"/>
            <w:right w:w="108" w:type="dxa"/>
          </w:tblCellMar>
        </w:tblPrEx>
        <w:trPr>
          <w:trHeight w:val="70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数据管理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数据归集管理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数据归集管理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建立完善的数据归集接口管理、任务管理、质量管理服务等</w:t>
            </w:r>
          </w:p>
        </w:tc>
      </w:tr>
      <w:tr>
        <w:tblPrEx>
          <w:tblCellMar>
            <w:top w:w="0" w:type="dxa"/>
            <w:left w:w="108" w:type="dxa"/>
            <w:bottom w:w="0" w:type="dxa"/>
            <w:right w:w="108" w:type="dxa"/>
          </w:tblCellMar>
        </w:tblPrEx>
        <w:trPr>
          <w:trHeight w:val="139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数据质量管理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数据质量管理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包括识别数据质量的异常和问题、明确各类业务对于数据质量的要求、对数据质量进行校验分析和监督监控，以及对已定义的数据质量规则进行合规性检查、跟踪和更新维护等环节</w:t>
            </w:r>
          </w:p>
        </w:tc>
      </w:tr>
      <w:tr>
        <w:tblPrEx>
          <w:tblCellMar>
            <w:top w:w="0" w:type="dxa"/>
            <w:left w:w="108" w:type="dxa"/>
            <w:bottom w:w="0" w:type="dxa"/>
            <w:right w:w="108" w:type="dxa"/>
          </w:tblCellMar>
        </w:tblPrEx>
        <w:trPr>
          <w:trHeight w:val="566"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数据资源管理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数据资源管理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提供数据标准采集、数据字典采集、元数据模板管理、数据资产分析 </w:t>
            </w:r>
          </w:p>
        </w:tc>
      </w:tr>
      <w:tr>
        <w:tblPrEx>
          <w:tblCellMar>
            <w:top w:w="0" w:type="dxa"/>
            <w:left w:w="108" w:type="dxa"/>
            <w:bottom w:w="0" w:type="dxa"/>
            <w:right w:w="108"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数据治理链路管理</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数据治理链路管理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提供数据治理过程的DAG文件生成、修改、查询和删除 </w:t>
            </w:r>
          </w:p>
        </w:tc>
      </w:tr>
      <w:tr>
        <w:tblPrEx>
          <w:tblCellMar>
            <w:top w:w="0" w:type="dxa"/>
            <w:left w:w="108" w:type="dxa"/>
            <w:bottom w:w="0" w:type="dxa"/>
            <w:right w:w="108" w:type="dxa"/>
          </w:tblCellMar>
        </w:tblPrEx>
        <w:trPr>
          <w:trHeight w:val="93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数据展示</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数据归集成果展示</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综合查询  </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按部门综合查询数据；按数据类综合查询数据；按数据项综合查询数据；查询数据详细字段</w:t>
            </w:r>
          </w:p>
        </w:tc>
      </w:tr>
      <w:tr>
        <w:tblPrEx>
          <w:tblCellMar>
            <w:top w:w="0" w:type="dxa"/>
            <w:left w:w="108" w:type="dxa"/>
            <w:bottom w:w="0" w:type="dxa"/>
            <w:right w:w="108" w:type="dxa"/>
          </w:tblCellMar>
        </w:tblPrEx>
        <w:trPr>
          <w:trHeight w:val="34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数据共享发布</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数据共享发布</w:t>
            </w:r>
          </w:p>
        </w:tc>
      </w:tr>
      <w:tr>
        <w:tblPrEx>
          <w:tblCellMar>
            <w:top w:w="0" w:type="dxa"/>
            <w:left w:w="108" w:type="dxa"/>
            <w:bottom w:w="0" w:type="dxa"/>
            <w:right w:w="108" w:type="dxa"/>
          </w:tblCellMar>
        </w:tblPrEx>
        <w:trPr>
          <w:trHeight w:val="1116"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归集情况展示</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展示总体一库数据归集情况，包括数据类，数据项，数据条数；按部门分别展示数据归集情况，包括数据类，数据项，数据条数，数据表</w:t>
            </w:r>
          </w:p>
        </w:tc>
      </w:tr>
      <w:tr>
        <w:tblPrEx>
          <w:tblCellMar>
            <w:top w:w="0" w:type="dxa"/>
            <w:left w:w="108" w:type="dxa"/>
            <w:bottom w:w="0" w:type="dxa"/>
            <w:right w:w="108" w:type="dxa"/>
          </w:tblCellMar>
        </w:tblPrEx>
        <w:trPr>
          <w:trHeight w:val="113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数据信息展示</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展示数据表情况，包括数据表空间大小，数据条数，数据项，数据表所属资源；展示数据详细字段内容，支持数据分页、排序、筛选 </w:t>
            </w:r>
          </w:p>
        </w:tc>
      </w:tr>
      <w:tr>
        <w:tblPrEx>
          <w:tblCellMar>
            <w:top w:w="0" w:type="dxa"/>
            <w:left w:w="108" w:type="dxa"/>
            <w:bottom w:w="0" w:type="dxa"/>
            <w:right w:w="108" w:type="dxa"/>
          </w:tblCellMar>
        </w:tblPrEx>
        <w:trPr>
          <w:trHeight w:val="70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空间类数据落图展示</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支持查看空间类数据的数据图层</w:t>
            </w:r>
          </w:p>
        </w:tc>
      </w:tr>
      <w:tr>
        <w:tblPrEx>
          <w:tblCellMar>
            <w:top w:w="0" w:type="dxa"/>
            <w:left w:w="108" w:type="dxa"/>
            <w:bottom w:w="0" w:type="dxa"/>
            <w:right w:w="108" w:type="dxa"/>
          </w:tblCellMar>
        </w:tblPrEx>
        <w:trPr>
          <w:trHeight w:val="548"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p>
        </w:tc>
        <w:tc>
          <w:tcPr>
            <w:tcW w:w="82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一图建设</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常用基本工具</w:t>
            </w:r>
          </w:p>
        </w:tc>
        <w:tc>
          <w:tcPr>
            <w:tcW w:w="98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常用基本工具</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基本地图框架搭建，地图放缩、移动等常用功能开发</w:t>
            </w:r>
          </w:p>
        </w:tc>
      </w:tr>
      <w:tr>
        <w:tblPrEx>
          <w:tblCellMar>
            <w:top w:w="0" w:type="dxa"/>
            <w:left w:w="108" w:type="dxa"/>
            <w:bottom w:w="0" w:type="dxa"/>
            <w:right w:w="108" w:type="dxa"/>
          </w:tblCellMar>
        </w:tblPrEx>
        <w:trPr>
          <w:trHeight w:val="2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数据制图</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数据制图</w:t>
            </w: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地图制图</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提供在线地图制图模块，包含图层命名、图层标注、图层显隐设置、地图符号样式设置等功能 </w:t>
            </w:r>
          </w:p>
        </w:tc>
      </w:tr>
      <w:tr>
        <w:tblPrEx>
          <w:tblCellMar>
            <w:top w:w="0" w:type="dxa"/>
            <w:left w:w="108" w:type="dxa"/>
            <w:bottom w:w="0" w:type="dxa"/>
            <w:right w:w="108" w:type="dxa"/>
          </w:tblCellMar>
        </w:tblPrEx>
        <w:trPr>
          <w:trHeight w:val="80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分析渲染</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提供热力图分析、聚类图分析、统计图分析、网格分析等多种地图分析工具</w:t>
            </w:r>
          </w:p>
        </w:tc>
      </w:tr>
      <w:tr>
        <w:tblPrEx>
          <w:tblCellMar>
            <w:top w:w="0" w:type="dxa"/>
            <w:left w:w="108" w:type="dxa"/>
            <w:bottom w:w="0" w:type="dxa"/>
            <w:right w:w="108" w:type="dxa"/>
          </w:tblCellMar>
        </w:tblPrEx>
        <w:trPr>
          <w:trHeight w:val="62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资源目录</w:t>
            </w:r>
          </w:p>
        </w:tc>
        <w:tc>
          <w:tcPr>
            <w:tcW w:w="98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资源目录</w:t>
            </w: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数据资源整理与融合</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深化空间、部门、主题图层数据目录，数据融合</w:t>
            </w:r>
          </w:p>
        </w:tc>
      </w:tr>
      <w:tr>
        <w:tblPrEx>
          <w:tblCellMar>
            <w:top w:w="0" w:type="dxa"/>
            <w:left w:w="108" w:type="dxa"/>
            <w:bottom w:w="0" w:type="dxa"/>
            <w:right w:w="108" w:type="dxa"/>
          </w:tblCellMar>
        </w:tblPrEx>
        <w:trPr>
          <w:trHeight w:val="946"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资源目录展示</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按空间分类数据展示；图层显隐性、透明度、显示顺序等控制；图层数据加载、数据查询检索、时序及动态数据浏览</w:t>
            </w:r>
          </w:p>
        </w:tc>
      </w:tr>
      <w:tr>
        <w:tblPrEx>
          <w:tblCellMar>
            <w:top w:w="0" w:type="dxa"/>
            <w:left w:w="108" w:type="dxa"/>
            <w:bottom w:w="0" w:type="dxa"/>
            <w:right w:w="108" w:type="dxa"/>
          </w:tblCellMar>
        </w:tblPrEx>
        <w:trPr>
          <w:trHeight w:val="70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专题图展示</w:t>
            </w:r>
          </w:p>
        </w:tc>
        <w:tc>
          <w:tcPr>
            <w:tcW w:w="981" w:type="dxa"/>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专题图展示</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数据指标统计分析；专题图分类；挂接文本、图集等多样化专题图展示</w:t>
            </w:r>
          </w:p>
        </w:tc>
      </w:tr>
      <w:tr>
        <w:tblPrEx>
          <w:tblCellMar>
            <w:top w:w="0" w:type="dxa"/>
            <w:left w:w="108" w:type="dxa"/>
            <w:bottom w:w="0" w:type="dxa"/>
            <w:right w:w="108" w:type="dxa"/>
          </w:tblCellMar>
        </w:tblPrEx>
        <w:trPr>
          <w:trHeight w:val="72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故事图集</w:t>
            </w:r>
          </w:p>
        </w:tc>
        <w:tc>
          <w:tcPr>
            <w:tcW w:w="981" w:type="dxa"/>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故事图集</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专题图搜集，整理、发布及服务管理；统计地图发布及服务管理</w:t>
            </w:r>
          </w:p>
        </w:tc>
      </w:tr>
      <w:tr>
        <w:tblPrEx>
          <w:tblCellMar>
            <w:top w:w="0" w:type="dxa"/>
            <w:left w:w="108" w:type="dxa"/>
            <w:bottom w:w="0" w:type="dxa"/>
            <w:right w:w="108" w:type="dxa"/>
          </w:tblCellMar>
        </w:tblPrEx>
        <w:trPr>
          <w:trHeight w:val="66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分类数据统计大屏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空间维度统计大屏</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空间维度统计数据；部门维度统计数据；主题展示数据分类分层统计情况</w:t>
            </w:r>
          </w:p>
        </w:tc>
      </w:tr>
      <w:tr>
        <w:tblPrEx>
          <w:tblCellMar>
            <w:top w:w="0" w:type="dxa"/>
            <w:left w:w="108" w:type="dxa"/>
            <w:bottom w:w="0" w:type="dxa"/>
            <w:right w:w="108" w:type="dxa"/>
          </w:tblCellMar>
        </w:tblPrEx>
        <w:trPr>
          <w:trHeight w:val="978" w:hRule="atLeast"/>
        </w:trPr>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w:t>
            </w:r>
          </w:p>
        </w:tc>
        <w:tc>
          <w:tcPr>
            <w:tcW w:w="823" w:type="dxa"/>
            <w:vMerge w:val="restart"/>
            <w:tcBorders>
              <w:top w:val="nil"/>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一箱建设</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影像感知工具</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遥感影像变化感知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优于1米分辨率影像产品（2期）</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提供全市陆域优于1米分辨率卫星影像产品（经正射纠正、拼接镶嵌、裁剪、脱密变形等） </w:t>
            </w:r>
          </w:p>
        </w:tc>
      </w:tr>
      <w:tr>
        <w:tblPrEx>
          <w:tblCellMar>
            <w:top w:w="0" w:type="dxa"/>
            <w:left w:w="108" w:type="dxa"/>
            <w:bottom w:w="0" w:type="dxa"/>
            <w:right w:w="108" w:type="dxa"/>
          </w:tblCellMar>
        </w:tblPrEx>
        <w:trPr>
          <w:trHeight w:val="725"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23" w:type="dxa"/>
            <w:vMerge w:val="continue"/>
            <w:tcBorders>
              <w:top w:val="nil"/>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变化图斑产品（2期）</w:t>
            </w:r>
          </w:p>
        </w:tc>
        <w:tc>
          <w:tcPr>
            <w:tcW w:w="4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提供全市陆域遥感影像变化图斑产品（每个变化图斑含前后期类型信息，如耕地、林地、水面、建筑物/构筑物、推填土等）</w:t>
            </w:r>
          </w:p>
        </w:tc>
      </w:tr>
    </w:tbl>
    <w:p>
      <w:pPr>
        <w:spacing w:line="312" w:lineRule="auto"/>
        <w:rPr>
          <w:rFonts w:asciiTheme="minorEastAsia" w:hAnsiTheme="minorEastAsia" w:eastAsiaTheme="minorEastAsia"/>
          <w:b/>
          <w:bCs/>
          <w:szCs w:val="21"/>
        </w:rPr>
      </w:pPr>
    </w:p>
    <w:p>
      <w:pPr>
        <w:spacing w:line="312" w:lineRule="auto"/>
        <w:rPr>
          <w:rFonts w:asciiTheme="minorEastAsia" w:hAnsiTheme="minorEastAsia" w:eastAsiaTheme="minorEastAsia"/>
          <w:b/>
          <w:bCs/>
          <w:szCs w:val="21"/>
        </w:rPr>
      </w:pPr>
      <w:r>
        <w:rPr>
          <w:rFonts w:hint="eastAsia" w:cs="宋体" w:asciiTheme="minorEastAsia" w:hAnsiTheme="minorEastAsia" w:eastAsiaTheme="minorEastAsia"/>
          <w:b/>
          <w:bCs/>
          <w:kern w:val="0"/>
          <w:szCs w:val="21"/>
        </w:rPr>
        <w:t>2、数字国土空间建设内容清单</w:t>
      </w:r>
    </w:p>
    <w:tbl>
      <w:tblPr>
        <w:tblStyle w:val="36"/>
        <w:tblW w:w="9458" w:type="dxa"/>
        <w:tblInd w:w="93" w:type="dxa"/>
        <w:tblLayout w:type="fixed"/>
        <w:tblCellMar>
          <w:top w:w="0" w:type="dxa"/>
          <w:left w:w="108" w:type="dxa"/>
          <w:bottom w:w="0" w:type="dxa"/>
          <w:right w:w="108" w:type="dxa"/>
        </w:tblCellMar>
      </w:tblPr>
      <w:tblGrid>
        <w:gridCol w:w="521"/>
        <w:gridCol w:w="767"/>
        <w:gridCol w:w="841"/>
        <w:gridCol w:w="2724"/>
        <w:gridCol w:w="4605"/>
      </w:tblGrid>
      <w:tr>
        <w:tblPrEx>
          <w:tblCellMar>
            <w:top w:w="0" w:type="dxa"/>
            <w:left w:w="108" w:type="dxa"/>
            <w:bottom w:w="0" w:type="dxa"/>
            <w:right w:w="108" w:type="dxa"/>
          </w:tblCellMar>
        </w:tblPrEx>
        <w:trPr>
          <w:trHeight w:val="71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序号</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一级模块</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二级模块</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子模块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主要功能要求</w:t>
            </w:r>
          </w:p>
        </w:tc>
      </w:tr>
      <w:tr>
        <w:tblPrEx>
          <w:tblCellMar>
            <w:top w:w="0" w:type="dxa"/>
            <w:left w:w="108" w:type="dxa"/>
            <w:bottom w:w="0" w:type="dxa"/>
            <w:right w:w="108" w:type="dxa"/>
          </w:tblCellMar>
        </w:tblPrEx>
        <w:trPr>
          <w:trHeight w:val="685" w:hRule="atLeast"/>
        </w:trPr>
        <w:tc>
          <w:tcPr>
            <w:tcW w:w="5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7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数字国土空间门户建设</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个性化门户建设</w:t>
            </w:r>
          </w:p>
        </w:tc>
        <w:tc>
          <w:tcPr>
            <w:tcW w:w="2724"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数字国土空间门户服务端建设</w:t>
            </w:r>
          </w:p>
        </w:tc>
        <w:tc>
          <w:tcPr>
            <w:tcW w:w="4605"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行业信息、服务推荐、场景推荐、门户对接等功能 </w:t>
            </w:r>
          </w:p>
        </w:tc>
      </w:tr>
      <w:tr>
        <w:tblPrEx>
          <w:tblCellMar>
            <w:top w:w="0" w:type="dxa"/>
            <w:left w:w="108" w:type="dxa"/>
            <w:bottom w:w="0" w:type="dxa"/>
            <w:right w:w="108" w:type="dxa"/>
          </w:tblCellMar>
        </w:tblPrEx>
        <w:trPr>
          <w:trHeight w:val="42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vMerge w:val="restart"/>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数字国土空间门户治理端门户建设</w:t>
            </w:r>
          </w:p>
        </w:tc>
        <w:tc>
          <w:tcPr>
            <w:tcW w:w="4605"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重大任务指标梳理、展示、应用场景接入</w:t>
            </w:r>
          </w:p>
        </w:tc>
      </w:tr>
      <w:tr>
        <w:tblPrEx>
          <w:tblCellMar>
            <w:top w:w="0" w:type="dxa"/>
            <w:left w:w="108" w:type="dxa"/>
            <w:bottom w:w="0" w:type="dxa"/>
            <w:right w:w="108" w:type="dxa"/>
          </w:tblCellMar>
        </w:tblPrEx>
        <w:trPr>
          <w:trHeight w:val="41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vMerge w:val="continue"/>
            <w:tcBorders>
              <w:top w:val="single" w:color="757171" w:sz="4" w:space="0"/>
              <w:left w:val="single" w:color="757171" w:sz="4" w:space="0"/>
              <w:bottom w:val="single" w:color="757171" w:sz="4" w:space="0"/>
              <w:right w:val="single" w:color="757171" w:sz="4" w:space="0"/>
            </w:tcBorders>
            <w:shd w:val="clear" w:color="auto" w:fill="auto"/>
            <w:vAlign w:val="center"/>
          </w:tcPr>
          <w:p>
            <w:pPr>
              <w:jc w:val="center"/>
              <w:rPr>
                <w:rFonts w:cs="宋体" w:asciiTheme="minorEastAsia" w:hAnsiTheme="minorEastAsia" w:eastAsiaTheme="minorEastAsia"/>
                <w:szCs w:val="21"/>
              </w:rPr>
            </w:pPr>
          </w:p>
        </w:tc>
        <w:tc>
          <w:tcPr>
            <w:tcW w:w="4605" w:type="dxa"/>
            <w:tcBorders>
              <w:top w:val="single" w:color="757171" w:sz="4" w:space="0"/>
              <w:left w:val="single" w:color="757171" w:sz="4" w:space="0"/>
              <w:bottom w:val="single" w:color="757171" w:sz="4" w:space="0"/>
              <w:right w:val="single" w:color="757171"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我的任务、我的办公、一键达等功能</w:t>
            </w:r>
          </w:p>
        </w:tc>
      </w:tr>
      <w:tr>
        <w:tblPrEx>
          <w:tblCellMar>
            <w:top w:w="0" w:type="dxa"/>
            <w:left w:w="108" w:type="dxa"/>
            <w:bottom w:w="0" w:type="dxa"/>
            <w:right w:w="108" w:type="dxa"/>
          </w:tblCellMar>
        </w:tblPrEx>
        <w:trPr>
          <w:trHeight w:val="692" w:hRule="atLeast"/>
        </w:trPr>
        <w:tc>
          <w:tcPr>
            <w:tcW w:w="5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76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数字国土空间平台升级</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国土空间数据归集管理系统建设</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在线归集管理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在线归集数据接口、数据清洗、质量管理、数据监控、情况查询、数据统计等功能</w:t>
            </w:r>
          </w:p>
        </w:tc>
      </w:tr>
      <w:tr>
        <w:tblPrEx>
          <w:tblCellMar>
            <w:top w:w="0" w:type="dxa"/>
            <w:left w:w="108" w:type="dxa"/>
            <w:bottom w:w="0" w:type="dxa"/>
            <w:right w:w="108" w:type="dxa"/>
          </w:tblCellMar>
        </w:tblPrEx>
        <w:trPr>
          <w:trHeight w:val="561"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离线汇交管理</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离线数据归集登记、归集上传、归集审核、归集查询、归集统计、文件管理等功能 </w:t>
            </w:r>
          </w:p>
        </w:tc>
      </w:tr>
      <w:tr>
        <w:tblPrEx>
          <w:tblCellMar>
            <w:top w:w="0" w:type="dxa"/>
            <w:left w:w="108" w:type="dxa"/>
            <w:bottom w:w="0" w:type="dxa"/>
            <w:right w:w="108" w:type="dxa"/>
          </w:tblCellMar>
        </w:tblPrEx>
        <w:trPr>
          <w:trHeight w:val="55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服务接入管理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服务注册归集、 统计服务接入的总量、接入部门的总量 </w:t>
            </w:r>
          </w:p>
        </w:tc>
      </w:tr>
      <w:tr>
        <w:tblPrEx>
          <w:tblCellMar>
            <w:top w:w="0" w:type="dxa"/>
            <w:left w:w="108" w:type="dxa"/>
            <w:bottom w:w="0" w:type="dxa"/>
            <w:right w:w="108" w:type="dxa"/>
          </w:tblCellMar>
        </w:tblPrEx>
        <w:trPr>
          <w:trHeight w:val="279"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归集情况统计</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统计数据记录总量、数据容量等数据资源</w:t>
            </w:r>
          </w:p>
        </w:tc>
      </w:tr>
      <w:tr>
        <w:tblPrEx>
          <w:tblCellMar>
            <w:top w:w="0" w:type="dxa"/>
            <w:left w:w="108" w:type="dxa"/>
            <w:bottom w:w="0" w:type="dxa"/>
            <w:right w:w="108" w:type="dxa"/>
          </w:tblCellMar>
        </w:tblPrEx>
        <w:trPr>
          <w:trHeight w:val="411"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接口运行监测</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数据资产接口运行情况监控和展示</w:t>
            </w:r>
          </w:p>
        </w:tc>
      </w:tr>
      <w:tr>
        <w:tblPrEx>
          <w:tblCellMar>
            <w:top w:w="0" w:type="dxa"/>
            <w:left w:w="108" w:type="dxa"/>
            <w:bottom w:w="0" w:type="dxa"/>
            <w:right w:w="108" w:type="dxa"/>
          </w:tblCellMar>
        </w:tblPrEx>
        <w:trPr>
          <w:trHeight w:val="559"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数据共享系统迭代</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平台搜索功能升级</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自定义资源名称、资源类型、发布单位、发布时间、所属行政区划等功能</w:t>
            </w:r>
          </w:p>
        </w:tc>
      </w:tr>
      <w:tr>
        <w:tblPrEx>
          <w:tblCellMar>
            <w:top w:w="0" w:type="dxa"/>
            <w:left w:w="108" w:type="dxa"/>
            <w:bottom w:w="0" w:type="dxa"/>
            <w:right w:w="108" w:type="dxa"/>
          </w:tblCellMar>
        </w:tblPrEx>
        <w:trPr>
          <w:trHeight w:val="6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自动巡检功能建设</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数据服务自动巡检、功能服务自动巡检、监控服务调用情况、记录服务调用日志、可视化展示</w:t>
            </w:r>
          </w:p>
        </w:tc>
      </w:tr>
      <w:tr>
        <w:tblPrEx>
          <w:tblCellMar>
            <w:top w:w="0" w:type="dxa"/>
            <w:left w:w="108" w:type="dxa"/>
            <w:bottom w:w="0" w:type="dxa"/>
            <w:right w:w="108" w:type="dxa"/>
          </w:tblCellMar>
        </w:tblPrEx>
        <w:trPr>
          <w:trHeight w:val="412"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服务授权</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服务访问权限、服务管理权限、模块操作权限</w:t>
            </w:r>
          </w:p>
        </w:tc>
      </w:tr>
      <w:tr>
        <w:tblPrEx>
          <w:tblCellMar>
            <w:top w:w="0" w:type="dxa"/>
            <w:left w:w="108" w:type="dxa"/>
            <w:bottom w:w="0" w:type="dxa"/>
            <w:right w:w="108" w:type="dxa"/>
          </w:tblCellMar>
        </w:tblPrEx>
        <w:trPr>
          <w:trHeight w:val="560"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服务监控</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服务状态监控、当前请求列表、黑名单、异常报警 </w:t>
            </w:r>
          </w:p>
        </w:tc>
      </w:tr>
      <w:tr>
        <w:tblPrEx>
          <w:tblCellMar>
            <w:top w:w="0" w:type="dxa"/>
            <w:left w:w="108" w:type="dxa"/>
            <w:bottom w:w="0" w:type="dxa"/>
            <w:right w:w="108" w:type="dxa"/>
          </w:tblCellMar>
        </w:tblPrEx>
        <w:trPr>
          <w:trHeight w:val="758"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云资源监控</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资源监控管理、云GIS服务监控管理、云GIS基础资源服务统计</w:t>
            </w:r>
          </w:p>
        </w:tc>
      </w:tr>
      <w:tr>
        <w:tblPrEx>
          <w:tblCellMar>
            <w:top w:w="0" w:type="dxa"/>
            <w:left w:w="108" w:type="dxa"/>
            <w:bottom w:w="0" w:type="dxa"/>
            <w:right w:w="108" w:type="dxa"/>
          </w:tblCellMar>
        </w:tblPrEx>
        <w:trPr>
          <w:trHeight w:val="66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“掌上查”迭代</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掌上一张图点击查询功能</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实现地图上任意位置土地利用规划地类信息查询</w:t>
            </w:r>
          </w:p>
        </w:tc>
      </w:tr>
      <w:tr>
        <w:tblPrEx>
          <w:tblCellMar>
            <w:top w:w="0" w:type="dxa"/>
            <w:left w:w="108" w:type="dxa"/>
            <w:bottom w:w="0" w:type="dxa"/>
            <w:right w:w="108" w:type="dxa"/>
          </w:tblCellMar>
        </w:tblPrEx>
        <w:trPr>
          <w:trHeight w:val="814"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掌上一张图地块叠加分析功能</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实现选中地块范围内的土地利用规划、农转用、土地供应、生态保护红线、永久基本农田等数据叠加分析查询</w:t>
            </w:r>
          </w:p>
        </w:tc>
      </w:tr>
      <w:tr>
        <w:tblPrEx>
          <w:tblCellMar>
            <w:top w:w="0" w:type="dxa"/>
            <w:left w:w="108" w:type="dxa"/>
            <w:bottom w:w="0" w:type="dxa"/>
            <w:right w:w="108" w:type="dxa"/>
          </w:tblCellMar>
        </w:tblPrEx>
        <w:trPr>
          <w:trHeight w:val="557"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掌上一张图历史分析记录查询</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提升用户查询体验，查询过程改为异步处理</w:t>
            </w:r>
          </w:p>
        </w:tc>
      </w:tr>
      <w:tr>
        <w:tblPrEx>
          <w:tblCellMar>
            <w:top w:w="0" w:type="dxa"/>
            <w:left w:w="108" w:type="dxa"/>
            <w:bottom w:w="0" w:type="dxa"/>
            <w:right w:w="108" w:type="dxa"/>
          </w:tblCellMar>
        </w:tblPrEx>
        <w:trPr>
          <w:trHeight w:val="551"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掌上一张图全文检索功能</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增加地名地址搜索功能，完善业务数据搜索自动更新机制。 </w:t>
            </w:r>
          </w:p>
        </w:tc>
      </w:tr>
      <w:tr>
        <w:tblPrEx>
          <w:tblCellMar>
            <w:top w:w="0" w:type="dxa"/>
            <w:left w:w="108" w:type="dxa"/>
            <w:bottom w:w="0" w:type="dxa"/>
            <w:right w:w="108" w:type="dxa"/>
          </w:tblCellMar>
        </w:tblPrEx>
        <w:trPr>
          <w:trHeight w:val="559"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年度公报指标更新</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根据业务更新频率，实现对年度公报指标数据的更新</w:t>
            </w:r>
          </w:p>
        </w:tc>
      </w:tr>
      <w:tr>
        <w:tblPrEx>
          <w:tblCellMar>
            <w:top w:w="0" w:type="dxa"/>
            <w:left w:w="108" w:type="dxa"/>
            <w:bottom w:w="0" w:type="dxa"/>
            <w:right w:w="108" w:type="dxa"/>
          </w:tblCellMar>
        </w:tblPrEx>
        <w:trPr>
          <w:trHeight w:val="55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移动审批功能开发</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增加服务申请和数据下载申请的移动审批功能和消息提醒功能。</w:t>
            </w:r>
          </w:p>
        </w:tc>
      </w:tr>
      <w:tr>
        <w:tblPrEx>
          <w:tblCellMar>
            <w:top w:w="0" w:type="dxa"/>
            <w:left w:w="108" w:type="dxa"/>
            <w:bottom w:w="0" w:type="dxa"/>
            <w:right w:w="108" w:type="dxa"/>
          </w:tblCellMar>
        </w:tblPrEx>
        <w:trPr>
          <w:trHeight w:val="702"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现场踏勘举证开发任务接收</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接收下发的任务，移动端提供任务同步功能，及时更新任务清单，通过列表进行展示</w:t>
            </w:r>
          </w:p>
        </w:tc>
      </w:tr>
      <w:tr>
        <w:tblPrEx>
          <w:tblCellMar>
            <w:top w:w="0" w:type="dxa"/>
            <w:left w:w="108" w:type="dxa"/>
            <w:bottom w:w="0" w:type="dxa"/>
            <w:right w:w="108" w:type="dxa"/>
          </w:tblCellMar>
        </w:tblPrEx>
        <w:trPr>
          <w:trHeight w:val="55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现场踏勘举证开发任务信息表填写</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针对单个调查任务，用户可以填报调查举证信息</w:t>
            </w:r>
          </w:p>
        </w:tc>
      </w:tr>
      <w:tr>
        <w:tblPrEx>
          <w:tblCellMar>
            <w:top w:w="0" w:type="dxa"/>
            <w:left w:w="108" w:type="dxa"/>
            <w:bottom w:w="0" w:type="dxa"/>
            <w:right w:w="108" w:type="dxa"/>
          </w:tblCellMar>
        </w:tblPrEx>
        <w:trPr>
          <w:trHeight w:val="564"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现场踏勘举证开发空间范围采集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用户在进行踏勘举证时，可以通过掌上查应用的地图绘图功能绘制图斑空间范围 </w:t>
            </w:r>
          </w:p>
        </w:tc>
      </w:tr>
      <w:tr>
        <w:tblPrEx>
          <w:tblCellMar>
            <w:top w:w="0" w:type="dxa"/>
            <w:left w:w="108" w:type="dxa"/>
            <w:bottom w:w="0" w:type="dxa"/>
            <w:right w:w="108" w:type="dxa"/>
          </w:tblCellMar>
        </w:tblPrEx>
        <w:trPr>
          <w:trHeight w:val="68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现场踏勘举证开发多媒体举证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用户对于需要进行数据采集的图斑应利用掌上查应用进行文字、照片和视频的采集。 </w:t>
            </w:r>
          </w:p>
        </w:tc>
      </w:tr>
      <w:tr>
        <w:tblPrEx>
          <w:tblCellMar>
            <w:top w:w="0" w:type="dxa"/>
            <w:left w:w="108" w:type="dxa"/>
            <w:bottom w:w="0" w:type="dxa"/>
            <w:right w:w="108" w:type="dxa"/>
          </w:tblCellMar>
        </w:tblPrEx>
        <w:trPr>
          <w:trHeight w:val="568"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现场踏勘举证开发任务提交</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掌上查应用支持对调查的照片和信息打包提交，以便于后续同步到服务端</w:t>
            </w:r>
          </w:p>
        </w:tc>
      </w:tr>
      <w:tr>
        <w:tblPrEx>
          <w:tblCellMar>
            <w:top w:w="0" w:type="dxa"/>
            <w:left w:w="108" w:type="dxa"/>
            <w:bottom w:w="0" w:type="dxa"/>
            <w:right w:w="108" w:type="dxa"/>
          </w:tblCellMar>
        </w:tblPrEx>
        <w:trPr>
          <w:trHeight w:val="548"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国土空间数据仓（政务外网完善）</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自然资源数据补充归集——接口实时归集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提供数据归集接口、中间库留痕、抽取模板、核心数据实时归集</w:t>
            </w:r>
          </w:p>
        </w:tc>
      </w:tr>
      <w:tr>
        <w:tblPrEx>
          <w:tblCellMar>
            <w:top w:w="0" w:type="dxa"/>
            <w:left w:w="108" w:type="dxa"/>
            <w:bottom w:w="0" w:type="dxa"/>
            <w:right w:w="108" w:type="dxa"/>
          </w:tblCellMar>
        </w:tblPrEx>
        <w:trPr>
          <w:trHeight w:val="102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自然资源数据补充归集——中间库归集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基于触发器的增量数据抽取、基于日志文件的增量数据抽取、基于时间戳的增量数据抽取、基于全文比对的增量数据抽取</w:t>
            </w:r>
          </w:p>
        </w:tc>
      </w:tr>
      <w:tr>
        <w:tblPrEx>
          <w:tblCellMar>
            <w:top w:w="0" w:type="dxa"/>
            <w:left w:w="108" w:type="dxa"/>
            <w:bottom w:w="0" w:type="dxa"/>
            <w:right w:w="108" w:type="dxa"/>
          </w:tblCellMar>
        </w:tblPrEx>
        <w:trPr>
          <w:trHeight w:val="529"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自然资源数据补充归集——离线归集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数据的直接转换、处理转换、入库、数据检查、数据并库 </w:t>
            </w:r>
          </w:p>
        </w:tc>
      </w:tr>
      <w:tr>
        <w:tblPrEx>
          <w:tblCellMar>
            <w:top w:w="0" w:type="dxa"/>
            <w:left w:w="108" w:type="dxa"/>
            <w:bottom w:w="0" w:type="dxa"/>
            <w:right w:w="108" w:type="dxa"/>
          </w:tblCellMar>
        </w:tblPrEx>
        <w:trPr>
          <w:trHeight w:val="3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自然资源地图服务设计生产</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地图服务的组织、地图符号化</w:t>
            </w:r>
          </w:p>
        </w:tc>
      </w:tr>
      <w:tr>
        <w:tblPrEx>
          <w:tblCellMar>
            <w:top w:w="0" w:type="dxa"/>
            <w:left w:w="108" w:type="dxa"/>
            <w:bottom w:w="0" w:type="dxa"/>
            <w:right w:w="108" w:type="dxa"/>
          </w:tblCellMar>
        </w:tblPrEx>
        <w:trPr>
          <w:trHeight w:val="828"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实时数据查询与分发服务</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开发建设用地报批、土地交易、矿业权交易、土地供应、矿业权登记等查询接口，支持数据在线查询。</w:t>
            </w:r>
          </w:p>
        </w:tc>
      </w:tr>
      <w:tr>
        <w:tblPrEx>
          <w:tblCellMar>
            <w:top w:w="0" w:type="dxa"/>
            <w:left w:w="108" w:type="dxa"/>
            <w:bottom w:w="0" w:type="dxa"/>
            <w:right w:w="108" w:type="dxa"/>
          </w:tblCellMar>
        </w:tblPrEx>
        <w:trPr>
          <w:trHeight w:val="699"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自然资源数据产品共享发布</w:t>
            </w:r>
          </w:p>
        </w:tc>
        <w:tc>
          <w:tcPr>
            <w:tcW w:w="460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对服务和接口注册，包括规范化后的地图服务进行注册、已有的功能接口进行注册与共享发布</w:t>
            </w:r>
          </w:p>
        </w:tc>
      </w:tr>
      <w:tr>
        <w:tblPrEx>
          <w:tblCellMar>
            <w:top w:w="0" w:type="dxa"/>
            <w:left w:w="108" w:type="dxa"/>
            <w:bottom w:w="0" w:type="dxa"/>
            <w:right w:w="108" w:type="dxa"/>
          </w:tblCellMar>
        </w:tblPrEx>
        <w:trPr>
          <w:trHeight w:val="55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更新机制完善</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制定自然资源数据的更新机制及各类数据更新的管理办法对数据更新机制进行完善。</w:t>
            </w:r>
          </w:p>
        </w:tc>
      </w:tr>
      <w:tr>
        <w:tblPrEx>
          <w:tblCellMar>
            <w:top w:w="0" w:type="dxa"/>
            <w:left w:w="108" w:type="dxa"/>
            <w:bottom w:w="0" w:type="dxa"/>
            <w:right w:w="108" w:type="dxa"/>
          </w:tblCellMar>
        </w:tblPrEx>
        <w:trPr>
          <w:trHeight w:val="695" w:hRule="atLeast"/>
        </w:trPr>
        <w:tc>
          <w:tcPr>
            <w:tcW w:w="5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3</w:t>
            </w:r>
          </w:p>
        </w:tc>
        <w:tc>
          <w:tcPr>
            <w:tcW w:w="7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数字国土空间工具</w:t>
            </w:r>
          </w:p>
        </w:tc>
        <w:tc>
          <w:tcPr>
            <w:tcW w:w="841" w:type="dxa"/>
            <w:vMerge w:val="restart"/>
            <w:tcBorders>
              <w:top w:val="single" w:color="000000" w:sz="4" w:space="0"/>
              <w:left w:val="nil"/>
              <w:bottom w:val="nil"/>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空间码赋码引擎建设</w:t>
            </w: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详细规划赋码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开展控制性详细规划编制工作，为每个控规单元提供赋码服务。</w:t>
            </w:r>
          </w:p>
        </w:tc>
      </w:tr>
      <w:tr>
        <w:tblPrEx>
          <w:tblCellMar>
            <w:top w:w="0" w:type="dxa"/>
            <w:left w:w="108" w:type="dxa"/>
            <w:bottom w:w="0" w:type="dxa"/>
            <w:right w:w="108" w:type="dxa"/>
          </w:tblCellMar>
        </w:tblPrEx>
        <w:trPr>
          <w:trHeight w:val="984"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谋划选址赋码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初步确定项目选址范围，核发预审与选址意见书，办理农转用报批手续，为项目地块、农转用地块，分别提供赋码服务</w:t>
            </w:r>
          </w:p>
        </w:tc>
      </w:tr>
      <w:tr>
        <w:tblPrEx>
          <w:tblCellMar>
            <w:top w:w="0" w:type="dxa"/>
            <w:left w:w="108" w:type="dxa"/>
            <w:bottom w:w="0" w:type="dxa"/>
            <w:right w:w="108" w:type="dxa"/>
          </w:tblCellMar>
        </w:tblPrEx>
        <w:trPr>
          <w:trHeight w:val="846"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土地供应赋码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开展土地供应程序，为各环节提供赋码服务、通过省市两级空间平台交互，实现以“码”共享信息材料。 </w:t>
            </w:r>
          </w:p>
        </w:tc>
      </w:tr>
      <w:tr>
        <w:tblPrEx>
          <w:tblCellMar>
            <w:top w:w="0" w:type="dxa"/>
            <w:left w:w="108" w:type="dxa"/>
            <w:bottom w:w="0" w:type="dxa"/>
            <w:right w:w="108" w:type="dxa"/>
          </w:tblCellMar>
        </w:tblPrEx>
        <w:trPr>
          <w:trHeight w:val="6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土地登记赋码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以“码”获取前序环节信息材料，办理土地首次不动产登记。</w:t>
            </w:r>
          </w:p>
        </w:tc>
      </w:tr>
      <w:tr>
        <w:tblPrEx>
          <w:tblCellMar>
            <w:top w:w="0" w:type="dxa"/>
            <w:left w:w="108" w:type="dxa"/>
            <w:bottom w:w="0" w:type="dxa"/>
            <w:right w:w="108" w:type="dxa"/>
          </w:tblCellMar>
        </w:tblPrEx>
        <w:trPr>
          <w:trHeight w:val="6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建设许可赋码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沿用空间码，办理建设工程设计方案审查和建设工程规划许可证核发事项。</w:t>
            </w:r>
          </w:p>
        </w:tc>
      </w:tr>
      <w:tr>
        <w:tblPrEx>
          <w:tblCellMar>
            <w:top w:w="0" w:type="dxa"/>
            <w:left w:w="108" w:type="dxa"/>
            <w:bottom w:w="0" w:type="dxa"/>
            <w:right w:w="108" w:type="dxa"/>
          </w:tblCellMar>
        </w:tblPrEx>
        <w:trPr>
          <w:trHeight w:val="6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竣工验收赋码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沿用空间码，开展综合测绘，办理用地复核验收与竣工规划核实联办事项。</w:t>
            </w:r>
          </w:p>
        </w:tc>
      </w:tr>
      <w:tr>
        <w:tblPrEx>
          <w:tblCellMar>
            <w:top w:w="0" w:type="dxa"/>
            <w:left w:w="108" w:type="dxa"/>
            <w:bottom w:w="0" w:type="dxa"/>
            <w:right w:w="108" w:type="dxa"/>
          </w:tblCellMar>
        </w:tblPrEx>
        <w:trPr>
          <w:trHeight w:val="6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房地登记赋码</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以“码”获取前序环节、外部部门信息材料，办理房地一体不动产登记。</w:t>
            </w:r>
          </w:p>
        </w:tc>
      </w:tr>
      <w:tr>
        <w:tblPrEx>
          <w:tblCellMar>
            <w:top w:w="0" w:type="dxa"/>
            <w:left w:w="108" w:type="dxa"/>
            <w:bottom w:w="0" w:type="dxa"/>
            <w:right w:w="108" w:type="dxa"/>
          </w:tblCellMar>
        </w:tblPrEx>
        <w:trPr>
          <w:trHeight w:val="1140"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空间成果提取</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工程建设项目用地预审和选址、农转征收审查、土地供应、用地规划许可、工程规划许可、建设用地复核验收与竣工规划核实等空间成果的提取</w:t>
            </w:r>
          </w:p>
        </w:tc>
      </w:tr>
      <w:tr>
        <w:tblPrEx>
          <w:tblCellMar>
            <w:top w:w="0" w:type="dxa"/>
            <w:left w:w="108" w:type="dxa"/>
            <w:bottom w:w="0" w:type="dxa"/>
            <w:right w:w="108" w:type="dxa"/>
          </w:tblCellMar>
        </w:tblPrEx>
        <w:trPr>
          <w:trHeight w:val="69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空间成果管理</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地块往前、往后的业务环节的追溯，可以查看地块当前的审批状态 </w:t>
            </w:r>
          </w:p>
        </w:tc>
      </w:tr>
      <w:tr>
        <w:tblPrEx>
          <w:tblCellMar>
            <w:top w:w="0" w:type="dxa"/>
            <w:left w:w="108" w:type="dxa"/>
            <w:bottom w:w="0" w:type="dxa"/>
            <w:right w:w="108" w:type="dxa"/>
          </w:tblCellMar>
        </w:tblPrEx>
        <w:trPr>
          <w:trHeight w:val="41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nil"/>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空间融合计算</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建立数据融合计算模型，并进行空间计算分析</w:t>
            </w:r>
          </w:p>
        </w:tc>
      </w:tr>
      <w:tr>
        <w:tblPrEx>
          <w:tblCellMar>
            <w:top w:w="0" w:type="dxa"/>
            <w:left w:w="108" w:type="dxa"/>
            <w:bottom w:w="0" w:type="dxa"/>
            <w:right w:w="108" w:type="dxa"/>
          </w:tblCellMar>
        </w:tblPrEx>
        <w:trPr>
          <w:trHeight w:val="549"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投资项目“用图查验”</w:t>
            </w:r>
          </w:p>
        </w:tc>
        <w:tc>
          <w:tcPr>
            <w:tcW w:w="2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Web端功能</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获取的投资项目的审批事项类型、自动匹配对应的叠加分析功能</w:t>
            </w:r>
          </w:p>
        </w:tc>
      </w:tr>
      <w:tr>
        <w:tblPrEx>
          <w:tblCellMar>
            <w:top w:w="0" w:type="dxa"/>
            <w:left w:w="108" w:type="dxa"/>
            <w:bottom w:w="0" w:type="dxa"/>
            <w:right w:w="108" w:type="dxa"/>
          </w:tblCellMar>
        </w:tblPrEx>
        <w:trPr>
          <w:trHeight w:val="571"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Cs w:val="21"/>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支持规划事项绘制红线、非规划事项上传项目测绘成果、合规性分析</w:t>
            </w:r>
          </w:p>
        </w:tc>
      </w:tr>
      <w:tr>
        <w:tblPrEx>
          <w:tblCellMar>
            <w:top w:w="0" w:type="dxa"/>
            <w:left w:w="108" w:type="dxa"/>
            <w:bottom w:w="0" w:type="dxa"/>
            <w:right w:w="108" w:type="dxa"/>
          </w:tblCellMar>
        </w:tblPrEx>
        <w:trPr>
          <w:trHeight w:val="267"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桌面端功能</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项目调用、加载与定位、红线绘制、红线标注</w:t>
            </w:r>
          </w:p>
        </w:tc>
      </w:tr>
      <w:tr>
        <w:tblPrEx>
          <w:tblCellMar>
            <w:top w:w="0" w:type="dxa"/>
            <w:left w:w="108" w:type="dxa"/>
            <w:bottom w:w="0" w:type="dxa"/>
            <w:right w:w="108" w:type="dxa"/>
          </w:tblCellMar>
        </w:tblPrEx>
        <w:trPr>
          <w:trHeight w:val="413"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Cs w:val="21"/>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指标统计分析、红线质检、红线审核、红线保存</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7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2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Cs w:val="21"/>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出图打印、附图上传</w:t>
            </w:r>
          </w:p>
        </w:tc>
      </w:tr>
    </w:tbl>
    <w:p>
      <w:pPr>
        <w:spacing w:line="312" w:lineRule="auto"/>
        <w:rPr>
          <w:rFonts w:asciiTheme="minorEastAsia" w:hAnsiTheme="minorEastAsia" w:eastAsiaTheme="minorEastAsia"/>
          <w:b/>
          <w:bCs/>
          <w:szCs w:val="21"/>
        </w:rPr>
      </w:pPr>
    </w:p>
    <w:p>
      <w:pPr>
        <w:spacing w:line="312" w:lineRule="auto"/>
        <w:rPr>
          <w:rFonts w:asciiTheme="minorEastAsia" w:hAnsiTheme="minorEastAsia" w:eastAsiaTheme="minorEastAsia"/>
          <w:b/>
          <w:bCs/>
          <w:szCs w:val="21"/>
        </w:rPr>
      </w:pPr>
      <w:r>
        <w:rPr>
          <w:rFonts w:hint="eastAsia" w:cs="宋体" w:asciiTheme="minorEastAsia" w:hAnsiTheme="minorEastAsia" w:eastAsiaTheme="minorEastAsia"/>
          <w:b/>
          <w:bCs/>
          <w:kern w:val="0"/>
          <w:szCs w:val="21"/>
        </w:rPr>
        <w:t>3、应用场景建设清单</w:t>
      </w:r>
    </w:p>
    <w:tbl>
      <w:tblPr>
        <w:tblStyle w:val="36"/>
        <w:tblW w:w="9497" w:type="dxa"/>
        <w:tblInd w:w="93" w:type="dxa"/>
        <w:tblLayout w:type="fixed"/>
        <w:tblCellMar>
          <w:top w:w="0" w:type="dxa"/>
          <w:left w:w="108" w:type="dxa"/>
          <w:bottom w:w="0" w:type="dxa"/>
          <w:right w:w="108" w:type="dxa"/>
        </w:tblCellMar>
      </w:tblPr>
      <w:tblGrid>
        <w:gridCol w:w="556"/>
        <w:gridCol w:w="1173"/>
        <w:gridCol w:w="1043"/>
        <w:gridCol w:w="1824"/>
        <w:gridCol w:w="4901"/>
      </w:tblGrid>
      <w:tr>
        <w:tblPrEx>
          <w:tblCellMar>
            <w:top w:w="0" w:type="dxa"/>
            <w:left w:w="108" w:type="dxa"/>
            <w:bottom w:w="0" w:type="dxa"/>
            <w:right w:w="108" w:type="dxa"/>
          </w:tblCellMar>
        </w:tblPrEx>
        <w:trPr>
          <w:trHeight w:val="563"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一级模块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二级模块</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子模块</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主要功能要求</w:t>
            </w:r>
          </w:p>
        </w:tc>
      </w:tr>
      <w:tr>
        <w:tblPrEx>
          <w:tblCellMar>
            <w:top w:w="0" w:type="dxa"/>
            <w:left w:w="108" w:type="dxa"/>
            <w:bottom w:w="0" w:type="dxa"/>
            <w:right w:w="108" w:type="dxa"/>
          </w:tblCellMar>
        </w:tblPrEx>
        <w:trPr>
          <w:trHeight w:val="1246"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低效企业整治提升全流程监管</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低效企业整治提升全流程监管场景</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检测分析</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根据用户输入的企业用地面积、企业类型、企业税收等相关要素，结合治理低效企业的相关规定，智能分析出低效企业、低效区块、低效用地，筛选出需要提升整治的目标对象</w:t>
            </w:r>
          </w:p>
        </w:tc>
      </w:tr>
      <w:tr>
        <w:tblPrEx>
          <w:tblCellMar>
            <w:top w:w="0" w:type="dxa"/>
            <w:left w:w="108" w:type="dxa"/>
            <w:bottom w:w="0" w:type="dxa"/>
            <w:right w:w="108" w:type="dxa"/>
          </w:tblCellMar>
        </w:tblPrEx>
        <w:trPr>
          <w:trHeight w:val="1141"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整治跟踪</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检测低效企业的规模，对列为整治对象的各项信息进行实时的数据监测，分析整治对象前后信息变化情况，结合用户输入整治目标开始整治时间、整治期限等要求，实时监测整治目标每阶段提升达标情况</w:t>
            </w:r>
          </w:p>
        </w:tc>
      </w:tr>
      <w:tr>
        <w:tblPrEx>
          <w:tblCellMar>
            <w:top w:w="0" w:type="dxa"/>
            <w:left w:w="108" w:type="dxa"/>
            <w:bottom w:w="0" w:type="dxa"/>
            <w:right w:w="108" w:type="dxa"/>
          </w:tblCellMar>
        </w:tblPrEx>
        <w:trPr>
          <w:trHeight w:val="83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亩均税收分析</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依托企业归集的税收数据，分析企业历年亩均税收变化情况，发现亩均税收演变趋势，为有关部门有针对性进行预防预治提供支撑 </w:t>
            </w:r>
          </w:p>
        </w:tc>
      </w:tr>
      <w:tr>
        <w:tblPrEx>
          <w:tblCellMar>
            <w:top w:w="0" w:type="dxa"/>
            <w:left w:w="108" w:type="dxa"/>
            <w:bottom w:w="0" w:type="dxa"/>
            <w:right w:w="108" w:type="dxa"/>
          </w:tblCellMar>
        </w:tblPrEx>
        <w:trPr>
          <w:trHeight w:val="122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产业地图</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依托空间治理平台，将企业库关联到地图上，从地理空间上对企业位置分布、经济分布和产业分布情况进行可视化展示，通过地图的方式，可以清楚直观对指标数据进行分析。</w:t>
            </w:r>
          </w:p>
        </w:tc>
      </w:tr>
      <w:tr>
        <w:tblPrEx>
          <w:tblCellMar>
            <w:top w:w="0" w:type="dxa"/>
            <w:left w:w="108" w:type="dxa"/>
            <w:bottom w:w="0" w:type="dxa"/>
            <w:right w:w="108" w:type="dxa"/>
          </w:tblCellMar>
        </w:tblPrEx>
        <w:trPr>
          <w:trHeight w:val="144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全流程整治监管</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利用检测分析工具对全市的低效企业、低效区块、低效用地进行摸排，检测全市低效企业的数量，摸底重点整治区块和闲置低效用地情况，确定整改目标；根据相应的整治计划，利用整治跟踪工具对整改情况进行监测，把握整治进度。</w:t>
            </w:r>
          </w:p>
        </w:tc>
      </w:tr>
      <w:tr>
        <w:tblPrEx>
          <w:tblCellMar>
            <w:top w:w="0" w:type="dxa"/>
            <w:left w:w="108" w:type="dxa"/>
            <w:bottom w:w="0" w:type="dxa"/>
            <w:right w:w="108" w:type="dxa"/>
          </w:tblCellMar>
        </w:tblPrEx>
        <w:trPr>
          <w:trHeight w:val="146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统计分析</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通过报表分析，从多角度多维度对企业信息进行柱状图、饼状图、折线图等统计图表分析，使用户能够全面了解企业情况，结合报表统计分析功能定量对企业数据进行研究分析，有助于用户科学分析企业运营状态，支撑有关部门进行决策分析</w:t>
            </w:r>
          </w:p>
        </w:tc>
      </w:tr>
      <w:tr>
        <w:tblPrEx>
          <w:tblCellMar>
            <w:top w:w="0" w:type="dxa"/>
            <w:left w:w="108" w:type="dxa"/>
            <w:bottom w:w="0" w:type="dxa"/>
            <w:right w:w="108" w:type="dxa"/>
          </w:tblCellMar>
        </w:tblPrEx>
        <w:trPr>
          <w:trHeight w:val="511"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信息推送</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支持消息的推送，将平台的整治进度、告警通知等信息，实时发送给用户 </w:t>
            </w:r>
          </w:p>
        </w:tc>
      </w:tr>
      <w:tr>
        <w:tblPrEx>
          <w:tblCellMar>
            <w:top w:w="0" w:type="dxa"/>
            <w:left w:w="108" w:type="dxa"/>
            <w:bottom w:w="0" w:type="dxa"/>
            <w:right w:w="108" w:type="dxa"/>
          </w:tblCellMar>
        </w:tblPrEx>
        <w:trPr>
          <w:trHeight w:val="1087"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w:t>
            </w:r>
          </w:p>
        </w:tc>
        <w:tc>
          <w:tcPr>
            <w:tcW w:w="117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云账簿二期—自然资源多维度感知监管（提供政务外网和内网部署）</w:t>
            </w:r>
          </w:p>
        </w:tc>
        <w:tc>
          <w:tcPr>
            <w:tcW w:w="104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前端感知与信息采集</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视频资源定位配置</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原林业、海洋及各区县已建成的约200多个摄像头监控网络实现监控范围拓展，摄像头信息维护、摄像头定位、空间查询、要素地块（项目）关联查询控制等。</w:t>
            </w:r>
          </w:p>
        </w:tc>
      </w:tr>
      <w:tr>
        <w:tblPrEx>
          <w:tblCellMar>
            <w:top w:w="0" w:type="dxa"/>
            <w:left w:w="108" w:type="dxa"/>
            <w:bottom w:w="0" w:type="dxa"/>
            <w:right w:w="108" w:type="dxa"/>
          </w:tblCellMar>
        </w:tblPrEx>
        <w:trPr>
          <w:trHeight w:val="106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批后监管视频点位建设</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0"/>
                <w:szCs w:val="21"/>
              </w:rPr>
              <w:t>针对已供土地的批后视频监管， 包含高清智能摄像头、施工配套、立杆、网络服务及平台对接。暂定10个摄像头点位（项目），具体产品清单及技术要求参见分项4。</w:t>
            </w:r>
            <w:r>
              <w:rPr>
                <w:rFonts w:hint="eastAsia" w:cs="宋体" w:asciiTheme="minorEastAsia" w:hAnsiTheme="minorEastAsia" w:eastAsiaTheme="minorEastAsia"/>
                <w:color w:val="0000FF"/>
                <w:kern w:val="0"/>
                <w:szCs w:val="21"/>
                <w:lang w:eastAsia="zh-CN"/>
              </w:rPr>
              <w:t>安装点位位置及取电由采购负责协调。</w:t>
            </w:r>
          </w:p>
        </w:tc>
      </w:tr>
      <w:tr>
        <w:tblPrEx>
          <w:tblCellMar>
            <w:top w:w="0" w:type="dxa"/>
            <w:left w:w="108" w:type="dxa"/>
            <w:bottom w:w="0" w:type="dxa"/>
            <w:right w:w="108" w:type="dxa"/>
          </w:tblCellMar>
        </w:tblPrEx>
        <w:trPr>
          <w:trHeight w:val="593"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遥感影像数据</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遥感影像数据：对接空间数据资源省厅定期下发遥感影像数据，不作另外购买 </w:t>
            </w:r>
          </w:p>
        </w:tc>
      </w:tr>
      <w:tr>
        <w:tblPrEx>
          <w:tblCellMar>
            <w:top w:w="0" w:type="dxa"/>
            <w:left w:w="108" w:type="dxa"/>
            <w:bottom w:w="0" w:type="dxa"/>
            <w:right w:w="108" w:type="dxa"/>
          </w:tblCellMar>
        </w:tblPrEx>
        <w:trPr>
          <w:trHeight w:val="146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无人机巡查购买服务</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用于测绘部门对于突发应急突发事件无人机巡查的费用，主要用于违法用地核实监管、永久基本农田保护监管、补充耕地监管、建设用地批后监管、矿山监测、森林监测、海域使用监测。（频次，根据实际情况飞）</w:t>
            </w:r>
          </w:p>
        </w:tc>
      </w:tr>
      <w:tr>
        <w:tblPrEx>
          <w:tblCellMar>
            <w:top w:w="0" w:type="dxa"/>
            <w:left w:w="108" w:type="dxa"/>
            <w:bottom w:w="0" w:type="dxa"/>
            <w:right w:w="108" w:type="dxa"/>
          </w:tblCellMar>
        </w:tblPrEx>
        <w:trPr>
          <w:trHeight w:val="1876"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数据采集与电子表单</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基于可定制电子表单填写的方式，提供人工录入和修改帐簿中所有科目信息的功能；提供人工录入和修改本项目所涉及土地、海洋、林业、矿管方面各类项目信息的功能，具体包括：城市分批次建设用地农转用项目、单独选址项目、临时用地项目、垦造耕地项目、土地复垦项目、耕地质量提升项目、旱改水项目、土地供应项目、用海项目、矿山项目、占用林地项目、造林项目等。</w:t>
            </w:r>
          </w:p>
        </w:tc>
      </w:tr>
      <w:tr>
        <w:tblPrEx>
          <w:tblCellMar>
            <w:top w:w="0" w:type="dxa"/>
            <w:left w:w="108" w:type="dxa"/>
            <w:bottom w:w="0" w:type="dxa"/>
            <w:right w:w="108" w:type="dxa"/>
          </w:tblCellMar>
        </w:tblPrEx>
        <w:trPr>
          <w:trHeight w:val="83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云账簿资产要素数据服务升级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自然资源要素账目数据新增覆盖（海洋、林业）</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 新增要素类型：海洋管理相关要素（包含海洋功能区、海岛、岸线、海域、海洋生态红线等），林业管理相关要素。2.垂直细分账目的扩展：对自然资源要素的二级、三级账目的支持</w:t>
            </w:r>
          </w:p>
        </w:tc>
      </w:tr>
      <w:tr>
        <w:tblPrEx>
          <w:tblCellMar>
            <w:top w:w="0" w:type="dxa"/>
            <w:left w:w="108" w:type="dxa"/>
            <w:bottom w:w="0" w:type="dxa"/>
            <w:right w:w="108" w:type="dxa"/>
          </w:tblCellMar>
        </w:tblPrEx>
        <w:trPr>
          <w:trHeight w:val="102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账目体系升级</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土地要素方面，将目前基于第二次土地利用分类体系的帐簿体系，升级为基于第三次国土调查的技术规程及分类体系的帐簿体系； </w:t>
            </w:r>
          </w:p>
        </w:tc>
      </w:tr>
      <w:tr>
        <w:tblPrEx>
          <w:tblCellMar>
            <w:top w:w="0" w:type="dxa"/>
            <w:left w:w="108" w:type="dxa"/>
            <w:bottom w:w="0" w:type="dxa"/>
            <w:right w:w="108" w:type="dxa"/>
          </w:tblCellMar>
        </w:tblPrEx>
        <w:trPr>
          <w:trHeight w:val="1929"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自然资源资产清查成果管理</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1.包含对以下类型数据库的入库、查询、管理等功能：土地资源资产数据库、矿产资源资产数据库、森林资源资产数据库、水资源资产数据库、湿地资源资产数据库、海洋资源资产数据库。                                                  2.包含对以下资产的基础统计和汇总统计：土地资源资产、矿产资源资产、森林资源资产、水资源资产、湿地资源资产、海洋资源资产</w:t>
            </w:r>
          </w:p>
        </w:tc>
      </w:tr>
      <w:tr>
        <w:tblPrEx>
          <w:tblCellMar>
            <w:top w:w="0" w:type="dxa"/>
            <w:left w:w="108" w:type="dxa"/>
            <w:bottom w:w="0" w:type="dxa"/>
            <w:right w:w="108" w:type="dxa"/>
          </w:tblCellMar>
        </w:tblPrEx>
        <w:trPr>
          <w:trHeight w:val="1704"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自然资源资产负债表</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包含对以下类型自然资源资产负债表的生成、修改、管理和输出等功能：土地资源存量及变动表、耕地质量等别及变动表、草地质量等级及变动表、林木资源存量及变动表、森林资源质量及变动、水资源存量及变动、水环境质量及变动表、固体矿产资源存量及变动表。</w:t>
            </w:r>
          </w:p>
        </w:tc>
      </w:tr>
      <w:tr>
        <w:tblPrEx>
          <w:tblCellMar>
            <w:top w:w="0" w:type="dxa"/>
            <w:left w:w="108" w:type="dxa"/>
            <w:bottom w:w="0" w:type="dxa"/>
            <w:right w:w="108" w:type="dxa"/>
          </w:tblCellMar>
        </w:tblPrEx>
        <w:trPr>
          <w:trHeight w:val="69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数据来源及接口形式拓展</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701"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账簿数据共享服务</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自然资源系统内部平台及公共数据平台2.0等外部平台提供统一、准确、完备的账簿数据共享服务</w:t>
            </w:r>
          </w:p>
        </w:tc>
      </w:tr>
      <w:tr>
        <w:tblPrEx>
          <w:tblCellMar>
            <w:top w:w="0" w:type="dxa"/>
            <w:left w:w="108" w:type="dxa"/>
            <w:bottom w:w="0" w:type="dxa"/>
            <w:right w:w="108" w:type="dxa"/>
          </w:tblCellMar>
        </w:tblPrEx>
        <w:trPr>
          <w:trHeight w:val="1033"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云账簿平台功能升级</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土地资源综合监测</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包含土地资源监测（建设用地审批监测、土地整治项目监测、耕地占补平衡监测、土地供应监测、遥感监测）、土地资源分析（土地利用状况、耕地保有量、耕地质量、土地利用计划、建设用地审批、土地供应、耕地占补情况、土地执法）、土地批后追踪（总量和单项目的批后追踪、批供跟踪、供用跟踪、批而未供监控、供而未用监控）、土地对比核查（批供用土属性对比、批地空间布局、供地空间布局、用地空间布局、空间对比核查）</w:t>
            </w:r>
          </w:p>
        </w:tc>
      </w:tr>
      <w:tr>
        <w:tblPrEx>
          <w:tblCellMar>
            <w:top w:w="0" w:type="dxa"/>
            <w:left w:w="108" w:type="dxa"/>
            <w:bottom w:w="0" w:type="dxa"/>
            <w:right w:w="108" w:type="dxa"/>
          </w:tblCellMar>
        </w:tblPrEx>
        <w:trPr>
          <w:trHeight w:val="504"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矿产资源综合监测</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对实现矿业权设置情况分析、矿产资源开发利用（储量）情况分析功能模块。 </w:t>
            </w:r>
          </w:p>
        </w:tc>
      </w:tr>
      <w:tr>
        <w:tblPrEx>
          <w:tblCellMar>
            <w:top w:w="0" w:type="dxa"/>
            <w:left w:w="108" w:type="dxa"/>
            <w:bottom w:w="0" w:type="dxa"/>
            <w:right w:w="108" w:type="dxa"/>
          </w:tblCellMar>
        </w:tblPrEx>
        <w:trPr>
          <w:trHeight w:val="1079"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林业资源综合监测</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对森林资源、造林项目、林地占用项目等要素和项目的监测；实现对森林面积和蓄积量、造林项目数量和面积、林地占用数量和面积的现状和变化情况的统计分析；</w:t>
            </w:r>
          </w:p>
        </w:tc>
      </w:tr>
      <w:tr>
        <w:tblPrEx>
          <w:tblCellMar>
            <w:top w:w="0" w:type="dxa"/>
            <w:left w:w="108" w:type="dxa"/>
            <w:bottom w:w="0" w:type="dxa"/>
            <w:right w:w="108" w:type="dxa"/>
          </w:tblCellMar>
        </w:tblPrEx>
        <w:trPr>
          <w:trHeight w:val="684"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海洋资源管控系统对接展示</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与市自规局的海洋资源管控系统专项对接，实现相应呈现</w:t>
            </w:r>
          </w:p>
        </w:tc>
      </w:tr>
      <w:tr>
        <w:tblPrEx>
          <w:tblCellMar>
            <w:top w:w="0" w:type="dxa"/>
            <w:left w:w="108" w:type="dxa"/>
            <w:bottom w:w="0" w:type="dxa"/>
            <w:right w:w="108" w:type="dxa"/>
          </w:tblCellMar>
        </w:tblPrEx>
        <w:trPr>
          <w:trHeight w:val="688"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tcBorders>
              <w:top w:val="nil"/>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违法违规场景智能识别</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含硬件服务器及基础软件功能，</w:t>
            </w:r>
            <w:r>
              <w:rPr>
                <w:rFonts w:hint="eastAsia" w:cs="宋体" w:asciiTheme="minorEastAsia" w:hAnsiTheme="minorEastAsia" w:eastAsiaTheme="minorEastAsia"/>
                <w:b/>
                <w:bCs/>
                <w:kern w:val="0"/>
                <w:szCs w:val="21"/>
              </w:rPr>
              <w:t>相关技术要求参见4</w:t>
            </w:r>
          </w:p>
        </w:tc>
      </w:tr>
      <w:tr>
        <w:tblPrEx>
          <w:tblCellMar>
            <w:top w:w="0" w:type="dxa"/>
            <w:left w:w="108" w:type="dxa"/>
            <w:bottom w:w="0" w:type="dxa"/>
            <w:right w:w="108" w:type="dxa"/>
          </w:tblCellMar>
        </w:tblPrEx>
        <w:trPr>
          <w:trHeight w:val="632"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天巡地查监察应用场景</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卫片核查管理</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对上级管理部门（自然资源部、省自然资源厅）的卫片执法核查成果管理</w:t>
            </w:r>
          </w:p>
        </w:tc>
      </w:tr>
      <w:tr>
        <w:tblPrEx>
          <w:tblCellMar>
            <w:top w:w="0" w:type="dxa"/>
            <w:left w:w="108" w:type="dxa"/>
            <w:bottom w:w="0" w:type="dxa"/>
            <w:right w:w="108" w:type="dxa"/>
          </w:tblCellMar>
        </w:tblPrEx>
        <w:trPr>
          <w:trHeight w:val="748"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批后监管</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通过查看项目开工和竣工情况，实现对已批的一般建设用地批后监管功能</w:t>
            </w:r>
          </w:p>
        </w:tc>
      </w:tr>
      <w:tr>
        <w:tblPrEx>
          <w:tblCellMar>
            <w:top w:w="0" w:type="dxa"/>
            <w:left w:w="108" w:type="dxa"/>
            <w:bottom w:w="0" w:type="dxa"/>
            <w:right w:w="108" w:type="dxa"/>
          </w:tblCellMar>
        </w:tblPrEx>
        <w:trPr>
          <w:trHeight w:val="708"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highlight w:val="yellow"/>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highlight w:val="yellow"/>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highlight w:val="yellow"/>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耕地非农化监管</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实现对疑似发生的各类“非农化”情形进行监管处置。</w:t>
            </w:r>
          </w:p>
        </w:tc>
      </w:tr>
      <w:tr>
        <w:tblPrEx>
          <w:tblCellMar>
            <w:top w:w="0" w:type="dxa"/>
            <w:left w:w="108" w:type="dxa"/>
            <w:bottom w:w="0" w:type="dxa"/>
            <w:right w:w="108" w:type="dxa"/>
          </w:tblCellMar>
        </w:tblPrEx>
        <w:trPr>
          <w:trHeight w:val="83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矿产/林业资源执法监察</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新增对矿产资源、林业资源上级部门（自然资源部、省自然资源厅）下发的违法案件的管理，涉及矿产、林业案件总量、变化趋势、性质结构分析。 </w:t>
            </w:r>
          </w:p>
        </w:tc>
      </w:tr>
      <w:tr>
        <w:tblPrEx>
          <w:tblCellMar>
            <w:top w:w="0" w:type="dxa"/>
            <w:left w:w="108" w:type="dxa"/>
            <w:bottom w:w="0" w:type="dxa"/>
            <w:right w:w="108" w:type="dxa"/>
          </w:tblCellMar>
        </w:tblPrEx>
        <w:trPr>
          <w:trHeight w:val="1884"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人工日常巡查管理</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新建包含移动端和网页端的人工日常巡查管理子系统，包含巡查任务分配、巡查任务跟踪、在线和离线地图浏览、巡查目标指示、巡查轨迹跟踪上报、现场记录（拍照、录像、文字）、巡查成果管理和查询、巡查人员定位、巡查人员考核、巡查统计分析、巡查成果对接等功能模块</w:t>
            </w:r>
          </w:p>
        </w:tc>
      </w:tr>
      <w:tr>
        <w:tblPrEx>
          <w:tblCellMar>
            <w:top w:w="0" w:type="dxa"/>
            <w:left w:w="108" w:type="dxa"/>
            <w:bottom w:w="0" w:type="dxa"/>
            <w:right w:w="108" w:type="dxa"/>
          </w:tblCellMar>
        </w:tblPrEx>
        <w:trPr>
          <w:trHeight w:val="1273"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cs="宋体" w:asciiTheme="minorEastAsia" w:hAnsiTheme="minorEastAsia" w:eastAsiaTheme="minorEastAsia"/>
                <w:szCs w:val="21"/>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应用功能拓展</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手机端监管应用</w:t>
            </w:r>
          </w:p>
        </w:tc>
        <w:tc>
          <w:tcPr>
            <w:tcW w:w="4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新建嵌入到浙证钉形式中的手机APP，提供以下功能：（1）对土地分类中三大类、一级类账目及历年变化的可视化展示及地图联动；（2）对采矿权、探矿权、矿山储量账目数据的可视化展示；（3）对地质灾害易发区、地质灾害点账目信息的可视化展示；（4）对森林覆盖率、蓄积量、林地面积、公益林面积以及分林种账目信息的可视化展示；（5)监管地图：提供在移动端展示地图，其中包含农转用项目、土地供应项目、经营性用地、垦造耕地、建设用地复垦、永久基本农田、森林小班等数据的地图展示。（6）视频监控：在地图上展示摄像头分布，并可点击摄像头查看实时监控视频。（7）疑似违法图斑的可视化展示。</w:t>
            </w:r>
          </w:p>
        </w:tc>
      </w:tr>
    </w:tbl>
    <w:p>
      <w:pPr>
        <w:spacing w:line="312" w:lineRule="auto"/>
        <w:rPr>
          <w:rFonts w:asciiTheme="minorEastAsia" w:hAnsiTheme="minorEastAsia" w:eastAsiaTheme="minorEastAsia"/>
          <w:b/>
          <w:bCs/>
          <w:szCs w:val="21"/>
        </w:rPr>
      </w:pPr>
    </w:p>
    <w:p>
      <w:pPr>
        <w:spacing w:line="312" w:lineRule="auto"/>
        <w:rPr>
          <w:rFonts w:asciiTheme="minorEastAsia" w:hAnsiTheme="minorEastAsia" w:eastAsiaTheme="minorEastAsia"/>
          <w:b/>
          <w:bCs/>
          <w:szCs w:val="21"/>
        </w:rPr>
      </w:pPr>
      <w:r>
        <w:rPr>
          <w:rFonts w:hint="eastAsia" w:cs="宋体" w:asciiTheme="minorEastAsia" w:hAnsiTheme="minorEastAsia" w:eastAsiaTheme="minorEastAsia"/>
          <w:b/>
          <w:bCs/>
          <w:kern w:val="0"/>
          <w:szCs w:val="21"/>
        </w:rPr>
        <w:t>4、硬件配置清单</w:t>
      </w:r>
    </w:p>
    <w:tbl>
      <w:tblPr>
        <w:tblStyle w:val="36"/>
        <w:tblpPr w:leftFromText="180" w:rightFromText="180" w:vertAnchor="text" w:horzAnchor="page" w:tblpX="1779" w:tblpY="646"/>
        <w:tblOverlap w:val="never"/>
        <w:tblW w:w="8734" w:type="dxa"/>
        <w:tblInd w:w="0" w:type="dxa"/>
        <w:tblLayout w:type="fixed"/>
        <w:tblCellMar>
          <w:top w:w="0" w:type="dxa"/>
          <w:left w:w="108" w:type="dxa"/>
          <w:bottom w:w="0" w:type="dxa"/>
          <w:right w:w="108" w:type="dxa"/>
        </w:tblCellMar>
      </w:tblPr>
      <w:tblGrid>
        <w:gridCol w:w="1223"/>
        <w:gridCol w:w="2019"/>
        <w:gridCol w:w="2599"/>
        <w:gridCol w:w="1255"/>
        <w:gridCol w:w="1638"/>
      </w:tblGrid>
      <w:tr>
        <w:tblPrEx>
          <w:tblCellMar>
            <w:top w:w="0" w:type="dxa"/>
            <w:left w:w="108" w:type="dxa"/>
            <w:bottom w:w="0" w:type="dxa"/>
            <w:right w:w="108" w:type="dxa"/>
          </w:tblCellMar>
        </w:tblPrEx>
        <w:trPr>
          <w:trHeight w:val="411"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序号</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设备名称</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设备性能及参数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数量</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备注</w:t>
            </w:r>
          </w:p>
        </w:tc>
      </w:tr>
      <w:tr>
        <w:tblPrEx>
          <w:tblCellMar>
            <w:top w:w="0" w:type="dxa"/>
            <w:left w:w="108" w:type="dxa"/>
            <w:bottom w:w="0" w:type="dxa"/>
            <w:right w:w="108" w:type="dxa"/>
          </w:tblCellMar>
        </w:tblPrEx>
        <w:trPr>
          <w:trHeight w:val="67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球机</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200万球机</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性能及参数参见技术要求</w:t>
            </w:r>
          </w:p>
        </w:tc>
      </w:tr>
      <w:tr>
        <w:tblPrEx>
          <w:tblCellMar>
            <w:top w:w="0" w:type="dxa"/>
            <w:left w:w="108" w:type="dxa"/>
            <w:bottom w:w="0" w:type="dxa"/>
            <w:right w:w="108" w:type="dxa"/>
          </w:tblCellMar>
        </w:tblPrEx>
        <w:trPr>
          <w:trHeight w:val="304"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球机电源</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24V 3A</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7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4G硬盘录像机</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 视频存储</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性能及参数参见技术要求</w:t>
            </w:r>
          </w:p>
        </w:tc>
      </w:tr>
      <w:tr>
        <w:tblPrEx>
          <w:tblCellMar>
            <w:top w:w="0" w:type="dxa"/>
            <w:left w:w="108" w:type="dxa"/>
            <w:bottom w:w="0" w:type="dxa"/>
            <w:right w:w="108" w:type="dxa"/>
          </w:tblCellMar>
        </w:tblPrEx>
        <w:trPr>
          <w:trHeight w:val="431"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硬盘 </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2T监控硬盘</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2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配套支架</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定制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7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6</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设备箱</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定制 </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性能及参数参见技术要求</w:t>
            </w:r>
          </w:p>
        </w:tc>
      </w:tr>
      <w:tr>
        <w:tblPrEx>
          <w:tblCellMar>
            <w:top w:w="0" w:type="dxa"/>
            <w:left w:w="108" w:type="dxa"/>
            <w:bottom w:w="0" w:type="dxa"/>
            <w:right w:w="108" w:type="dxa"/>
          </w:tblCellMar>
        </w:tblPrEx>
        <w:trPr>
          <w:trHeight w:val="67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7</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线材、辅材</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配套所需电源线、网线、辅材等</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77"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8</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安装调试</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设备安装调试，接入平台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1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9</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物联网卡</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100GB/月/卡，3年</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10</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立杆</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4米/6米立杆，含基础</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85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等线" w:asciiTheme="minorEastAsia" w:hAnsiTheme="minorEastAsia" w:eastAsiaTheme="minorEastAsia"/>
                <w:szCs w:val="21"/>
              </w:rPr>
            </w:pPr>
            <w:r>
              <w:rPr>
                <w:rFonts w:cs="等线" w:asciiTheme="minorEastAsia" w:hAnsiTheme="minorEastAsia" w:eastAsiaTheme="minorEastAsia"/>
                <w:kern w:val="0"/>
                <w:szCs w:val="21"/>
              </w:rPr>
              <w:t>11</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智能分析服务器及基础应用软件</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对违法占用国家土地资源的行为进行智能检测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性能及参数参见技术要求</w:t>
            </w:r>
          </w:p>
        </w:tc>
      </w:tr>
    </w:tbl>
    <w:p>
      <w:pPr>
        <w:spacing w:line="312" w:lineRule="auto"/>
        <w:rPr>
          <w:rFonts w:asciiTheme="minorEastAsia" w:hAnsiTheme="minorEastAsia" w:eastAsiaTheme="minorEastAsia"/>
          <w:b/>
          <w:bCs/>
          <w:szCs w:val="21"/>
        </w:rPr>
      </w:pPr>
    </w:p>
    <w:p>
      <w:pPr>
        <w:spacing w:line="312" w:lineRule="auto"/>
        <w:ind w:firstLine="420"/>
        <w:rPr>
          <w:rFonts w:asciiTheme="minorEastAsia" w:hAnsiTheme="minorEastAsia" w:eastAsiaTheme="minorEastAsia"/>
          <w:b/>
          <w:bCs/>
          <w:szCs w:val="21"/>
        </w:rPr>
      </w:pPr>
      <w:r>
        <w:rPr>
          <w:rFonts w:asciiTheme="minorEastAsia" w:hAnsiTheme="minorEastAsia" w:eastAsiaTheme="minorEastAsia"/>
          <w:szCs w:val="21"/>
        </w:rPr>
        <w:t>1</w:t>
      </w:r>
      <w:r>
        <w:rPr>
          <w:rFonts w:hint="eastAsia" w:asciiTheme="minorEastAsia" w:hAnsiTheme="minorEastAsia" w:eastAsiaTheme="minorEastAsia"/>
          <w:szCs w:val="21"/>
        </w:rPr>
        <w:t>）监控主要设备技术要求：</w:t>
      </w:r>
    </w:p>
    <w:tbl>
      <w:tblPr>
        <w:tblStyle w:val="36"/>
        <w:tblW w:w="9218" w:type="dxa"/>
        <w:tblInd w:w="-38" w:type="dxa"/>
        <w:tblLayout w:type="fixed"/>
        <w:tblCellMar>
          <w:top w:w="0" w:type="dxa"/>
          <w:left w:w="108" w:type="dxa"/>
          <w:bottom w:w="0" w:type="dxa"/>
          <w:right w:w="108" w:type="dxa"/>
        </w:tblCellMar>
      </w:tblPr>
      <w:tblGrid>
        <w:gridCol w:w="905"/>
        <w:gridCol w:w="1045"/>
        <w:gridCol w:w="7268"/>
      </w:tblGrid>
      <w:tr>
        <w:tblPrEx>
          <w:tblCellMar>
            <w:top w:w="0" w:type="dxa"/>
            <w:left w:w="108" w:type="dxa"/>
            <w:bottom w:w="0" w:type="dxa"/>
            <w:right w:w="108" w:type="dxa"/>
          </w:tblCellMar>
        </w:tblPrEx>
        <w:trPr>
          <w:trHeight w:val="68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设备名称</w:t>
            </w:r>
          </w:p>
        </w:tc>
        <w:tc>
          <w:tcPr>
            <w:tcW w:w="7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rPr>
              <w:t>设备性能及参数</w:t>
            </w:r>
          </w:p>
        </w:tc>
      </w:tr>
      <w:tr>
        <w:tblPrEx>
          <w:tblCellMar>
            <w:top w:w="0" w:type="dxa"/>
            <w:left w:w="108" w:type="dxa"/>
            <w:bottom w:w="0" w:type="dxa"/>
            <w:right w:w="108" w:type="dxa"/>
          </w:tblCellMar>
        </w:tblPrEx>
        <w:trPr>
          <w:trHeight w:val="5252"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球机</w:t>
            </w:r>
          </w:p>
        </w:tc>
        <w:tc>
          <w:tcPr>
            <w:tcW w:w="7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1、视频输出支持1920×1080@25fps，分辨力不小于1100TVL，红外距离可达300米</w:t>
            </w:r>
            <w:r>
              <w:rPr>
                <w:rFonts w:hint="eastAsia" w:cs="宋体" w:asciiTheme="minorEastAsia" w:hAnsiTheme="minorEastAsia" w:eastAsiaTheme="minorEastAsia"/>
                <w:b/>
                <w:bCs/>
                <w:kern w:val="0"/>
                <w:szCs w:val="21"/>
              </w:rPr>
              <w:br w:type="textWrapping"/>
            </w:r>
            <w:r>
              <w:rPr>
                <w:rFonts w:hint="eastAsia" w:cs="宋体" w:asciiTheme="minorEastAsia" w:hAnsiTheme="minorEastAsia" w:eastAsiaTheme="minorEastAsia"/>
                <w:kern w:val="0"/>
                <w:szCs w:val="21"/>
              </w:rPr>
              <w:t xml:space="preserve">2、支持最低照度可达彩色0.0005Lux，黑白0.0001Lux </w:t>
            </w:r>
          </w:p>
          <w:p>
            <w:pPr>
              <w:widowControl/>
              <w:jc w:val="left"/>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3、支持不少于300个预置位，可按照所设置的预置位完成不小于8条巡航路径，支持不小于4条模式路径设置，支持预置位视频冻结功能；可实现RS485接口优先或RJ45网络接口优先控制功能</w:t>
            </w:r>
          </w:p>
          <w:p>
            <w:pPr>
              <w:widowControl/>
              <w:jc w:val="left"/>
              <w:textAlignment w:val="center"/>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rPr>
              <w:t>4、球机应具备本机存储功能，支持SD卡热插拔，最大支持256GB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支持30倍光学变焦，水平旋转范围为360°连续旋转，垂直旋转范围为-20°~90°</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5、支持智能红外、透雾、强光抑制、电子防抖、数字降噪、防红外过曝功能</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6、支持区域遮盖功能，支持设置不少于24个不规则四边形区域，可设置不同颜色；支持3D定位、断电记忆功能；支持IP地址访问控制功能，支持定时抓拍或报警联动抓图上传ftp功能</w:t>
            </w:r>
          </w:p>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7、支持采用H.265、H.264视频编码标准，H.264编码支持Baseline/Main/HighProfile，音频编码支持G.711ulaw/G.711alaw/G.726/G.722.1</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8、支持GB28181协议，支持标准Onvif协议</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9、支持区域入侵、越界入侵、徘徊、物品移除、物品遗留、人员聚集、停车，并联动报警</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10具备较好的防护性能环境适应性，支持IP67，8kV防浪涌，工作温度范围可达-45℃-70℃</w:t>
            </w:r>
          </w:p>
        </w:tc>
      </w:tr>
      <w:tr>
        <w:tblPrEx>
          <w:tblCellMar>
            <w:top w:w="0" w:type="dxa"/>
            <w:left w:w="108" w:type="dxa"/>
            <w:bottom w:w="0" w:type="dxa"/>
            <w:right w:w="108" w:type="dxa"/>
          </w:tblCellMar>
        </w:tblPrEx>
        <w:trPr>
          <w:trHeight w:val="261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4G硬盘录像机</w:t>
            </w:r>
          </w:p>
        </w:tc>
        <w:tc>
          <w:tcPr>
            <w:tcW w:w="7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1、1U 315系列机箱/默认3米天线 </w:t>
            </w:r>
          </w:p>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2、1个HDMI，1个VGA，HDMI+VGA组内同源</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3、1盘位，可满配6T硬盘</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4、1个千兆网口+4个100M网口，2个USB2.0接口</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5、报警IO：4进1出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6、带宽：40M接入/80M转发</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7、4路H.265、H.264混合接入解码，最大支持4×1080P解码</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8、Smart 2.0/整机热备/ANR/智能检索/智能回放/车牌检索/人脸检索/热度图/客流量统计/分时段回放/超高倍速回放/双系统备份 </w:t>
            </w:r>
          </w:p>
        </w:tc>
      </w:tr>
      <w:tr>
        <w:tblPrEx>
          <w:tblCellMar>
            <w:top w:w="0" w:type="dxa"/>
            <w:left w:w="108" w:type="dxa"/>
            <w:bottom w:w="0" w:type="dxa"/>
            <w:right w:w="108" w:type="dxa"/>
          </w:tblCellMar>
        </w:tblPrEx>
        <w:trPr>
          <w:trHeight w:val="55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设备箱</w:t>
            </w:r>
          </w:p>
        </w:tc>
        <w:tc>
          <w:tcPr>
            <w:tcW w:w="7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1、</w:t>
            </w:r>
            <w:r>
              <w:rPr>
                <w:rFonts w:hint="eastAsia" w:cs="宋体" w:asciiTheme="minorEastAsia" w:hAnsiTheme="minorEastAsia" w:eastAsiaTheme="minorEastAsia"/>
                <w:szCs w:val="21"/>
              </w:rPr>
              <w:t>不锈钢材质</w:t>
            </w:r>
          </w:p>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2、尺寸要求：500*400*300MM</w:t>
            </w:r>
          </w:p>
          <w:p>
            <w:pPr>
              <w:widowControl/>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3、壁厚1.2mm,防锈、防尘、防潮、防高温，防盗，室外机，大小符合设备正常运行要求。</w:t>
            </w:r>
          </w:p>
        </w:tc>
      </w:tr>
    </w:tbl>
    <w:p>
      <w:pPr>
        <w:spacing w:line="312" w:lineRule="auto"/>
        <w:rPr>
          <w:rFonts w:asciiTheme="minorEastAsia" w:hAnsiTheme="minorEastAsia" w:eastAsiaTheme="minorEastAsia"/>
          <w:b/>
          <w:bCs/>
          <w:szCs w:val="21"/>
        </w:rPr>
      </w:pPr>
    </w:p>
    <w:p>
      <w:pPr>
        <w:spacing w:line="312" w:lineRule="auto"/>
        <w:rPr>
          <w:rFonts w:asciiTheme="minorEastAsia" w:hAnsiTheme="minorEastAsia" w:eastAsiaTheme="minorEastAsia"/>
          <w:b/>
          <w:bCs/>
          <w:szCs w:val="21"/>
        </w:rPr>
      </w:pPr>
    </w:p>
    <w:p>
      <w:pPr>
        <w:pStyle w:val="2"/>
        <w:rPr>
          <w:rFonts w:asciiTheme="minorEastAsia" w:hAnsiTheme="minorEastAsia" w:eastAsiaTheme="minorEastAsia"/>
          <w:b/>
          <w:bCs/>
          <w:szCs w:val="21"/>
        </w:rPr>
      </w:pPr>
    </w:p>
    <w:p/>
    <w:p>
      <w:pPr>
        <w:spacing w:line="312" w:lineRule="auto"/>
        <w:ind w:firstLine="420"/>
        <w:rPr>
          <w:rFonts w:asciiTheme="minorEastAsia" w:hAnsiTheme="minorEastAsia" w:eastAsiaTheme="minorEastAsia"/>
          <w:b/>
          <w:bCs/>
          <w:szCs w:val="21"/>
        </w:rPr>
      </w:pPr>
      <w:r>
        <w:rPr>
          <w:rFonts w:hint="eastAsia" w:asciiTheme="minorEastAsia" w:hAnsiTheme="minorEastAsia" w:eastAsiaTheme="minorEastAsia"/>
          <w:szCs w:val="21"/>
        </w:rPr>
        <w:t>2）智能服务器及基础软件技术要求</w:t>
      </w:r>
    </w:p>
    <w:tbl>
      <w:tblPr>
        <w:tblStyle w:val="37"/>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2183"/>
        <w:gridCol w:w="5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975" w:type="dxa"/>
            <w:vAlign w:val="center"/>
          </w:tcPr>
          <w:p>
            <w:pPr>
              <w:widowControl/>
              <w:textAlignment w:val="center"/>
              <w:rPr>
                <w:rFonts w:cs="宋体" w:asciiTheme="minorEastAsia" w:hAnsiTheme="minorEastAsia" w:eastAsiaTheme="minorEastAsia"/>
                <w:b/>
                <w:bCs/>
                <w:kern w:val="0"/>
                <w:sz w:val="20"/>
                <w:szCs w:val="21"/>
              </w:rPr>
            </w:pPr>
            <w:r>
              <w:rPr>
                <w:rFonts w:hint="eastAsia" w:cs="宋体" w:asciiTheme="minorEastAsia" w:hAnsiTheme="minorEastAsia" w:eastAsiaTheme="minorEastAsia"/>
                <w:b/>
                <w:bCs/>
                <w:kern w:val="0"/>
                <w:sz w:val="20"/>
                <w:szCs w:val="21"/>
              </w:rPr>
              <w:t>序号</w:t>
            </w:r>
          </w:p>
        </w:tc>
        <w:tc>
          <w:tcPr>
            <w:tcW w:w="2183" w:type="dxa"/>
            <w:vAlign w:val="center"/>
          </w:tcPr>
          <w:p>
            <w:pPr>
              <w:widowControl/>
              <w:ind w:firstLine="422"/>
              <w:jc w:val="center"/>
              <w:textAlignment w:val="center"/>
              <w:rPr>
                <w:rFonts w:cs="宋体" w:asciiTheme="minorEastAsia" w:hAnsiTheme="minorEastAsia" w:eastAsiaTheme="minorEastAsia"/>
                <w:b/>
                <w:bCs/>
                <w:kern w:val="0"/>
                <w:sz w:val="20"/>
                <w:szCs w:val="21"/>
              </w:rPr>
            </w:pPr>
            <w:r>
              <w:rPr>
                <w:rFonts w:hint="eastAsia" w:cs="宋体" w:asciiTheme="minorEastAsia" w:hAnsiTheme="minorEastAsia" w:eastAsiaTheme="minorEastAsia"/>
                <w:b/>
                <w:bCs/>
                <w:kern w:val="0"/>
                <w:sz w:val="20"/>
                <w:szCs w:val="21"/>
              </w:rPr>
              <w:t>设备名称</w:t>
            </w:r>
          </w:p>
        </w:tc>
        <w:tc>
          <w:tcPr>
            <w:tcW w:w="5842" w:type="dxa"/>
            <w:vAlign w:val="center"/>
          </w:tcPr>
          <w:p>
            <w:pPr>
              <w:widowControl/>
              <w:ind w:firstLine="422"/>
              <w:jc w:val="center"/>
              <w:textAlignment w:val="center"/>
              <w:rPr>
                <w:rFonts w:cs="宋体" w:asciiTheme="minorEastAsia" w:hAnsiTheme="minorEastAsia" w:eastAsiaTheme="minorEastAsia"/>
                <w:b/>
                <w:bCs/>
                <w:kern w:val="0"/>
                <w:sz w:val="20"/>
                <w:szCs w:val="21"/>
              </w:rPr>
            </w:pPr>
            <w:r>
              <w:rPr>
                <w:rFonts w:hint="eastAsia" w:cs="宋体" w:asciiTheme="minorEastAsia" w:hAnsiTheme="minorEastAsia" w:eastAsiaTheme="minorEastAsia"/>
                <w:b/>
                <w:bCs/>
                <w:kern w:val="0"/>
                <w:sz w:val="20"/>
                <w:szCs w:val="21"/>
              </w:rPr>
              <w:t>设备性能及参数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7" w:hRule="atLeast"/>
        </w:trPr>
        <w:tc>
          <w:tcPr>
            <w:tcW w:w="975"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1</w:t>
            </w:r>
          </w:p>
        </w:tc>
        <w:tc>
          <w:tcPr>
            <w:tcW w:w="2183" w:type="dxa"/>
            <w:vAlign w:val="center"/>
          </w:tcPr>
          <w:p>
            <w:pPr>
              <w:jc w:val="center"/>
              <w:rPr>
                <w:rFonts w:asciiTheme="minorEastAsia" w:hAnsiTheme="minorEastAsia" w:eastAsiaTheme="minorEastAsia"/>
                <w:kern w:val="0"/>
                <w:sz w:val="20"/>
                <w:szCs w:val="21"/>
                <w:shd w:val="clear" w:color="auto" w:fill="FFFFFF"/>
              </w:rPr>
            </w:pPr>
            <w:r>
              <w:rPr>
                <w:rFonts w:hint="eastAsia" w:cs="宋体" w:asciiTheme="minorEastAsia" w:hAnsiTheme="minorEastAsia" w:eastAsiaTheme="minorEastAsia"/>
                <w:kern w:val="0"/>
                <w:sz w:val="20"/>
                <w:szCs w:val="21"/>
                <w:shd w:val="clear" w:color="auto" w:fill="FFFFFF"/>
              </w:rPr>
              <w:t>智能分析服务器</w:t>
            </w:r>
          </w:p>
        </w:tc>
        <w:tc>
          <w:tcPr>
            <w:tcW w:w="5842" w:type="dxa"/>
          </w:tcPr>
          <w:p>
            <w:pP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1、服务器硬件要求：≥</w:t>
            </w:r>
            <w:r>
              <w:rPr>
                <w:rFonts w:asciiTheme="minorEastAsia" w:hAnsiTheme="minorEastAsia" w:eastAsiaTheme="minorEastAsia"/>
                <w:kern w:val="0"/>
                <w:sz w:val="20"/>
                <w:szCs w:val="21"/>
              </w:rPr>
              <w:t>E5-2600 CPU</w:t>
            </w:r>
            <w:r>
              <w:rPr>
                <w:rFonts w:hint="eastAsia" w:asciiTheme="minorEastAsia" w:hAnsiTheme="minorEastAsia" w:eastAsiaTheme="minorEastAsia"/>
                <w:kern w:val="0"/>
                <w:sz w:val="20"/>
                <w:szCs w:val="21"/>
              </w:rPr>
              <w:t>，≥</w:t>
            </w:r>
            <w:r>
              <w:rPr>
                <w:rFonts w:asciiTheme="minorEastAsia" w:hAnsiTheme="minorEastAsia" w:eastAsiaTheme="minorEastAsia"/>
                <w:kern w:val="0"/>
                <w:sz w:val="20"/>
                <w:szCs w:val="21"/>
              </w:rPr>
              <w:t>64GB</w:t>
            </w:r>
            <w:r>
              <w:rPr>
                <w:rFonts w:hint="eastAsia" w:asciiTheme="minorEastAsia" w:hAnsiTheme="minorEastAsia" w:eastAsiaTheme="minorEastAsia"/>
                <w:kern w:val="0"/>
                <w:sz w:val="20"/>
                <w:szCs w:val="21"/>
              </w:rPr>
              <w:t>内存，内置≥</w:t>
            </w:r>
            <w:r>
              <w:rPr>
                <w:rFonts w:asciiTheme="minorEastAsia" w:hAnsiTheme="minorEastAsia" w:eastAsiaTheme="minorEastAsia"/>
                <w:kern w:val="0"/>
                <w:sz w:val="20"/>
                <w:szCs w:val="21"/>
              </w:rPr>
              <w:t>480GB SSD</w:t>
            </w:r>
            <w:r>
              <w:rPr>
                <w:rFonts w:hint="eastAsia" w:asciiTheme="minorEastAsia" w:hAnsiTheme="minorEastAsia" w:eastAsiaTheme="minorEastAsia"/>
                <w:kern w:val="0"/>
                <w:sz w:val="20"/>
                <w:szCs w:val="21"/>
              </w:rPr>
              <w:t>硬盘，≥</w:t>
            </w:r>
            <w:r>
              <w:rPr>
                <w:rFonts w:asciiTheme="minorEastAsia" w:hAnsiTheme="minorEastAsia" w:eastAsiaTheme="minorEastAsia"/>
                <w:kern w:val="0"/>
                <w:sz w:val="20"/>
                <w:szCs w:val="21"/>
              </w:rPr>
              <w:t>2</w:t>
            </w:r>
            <w:r>
              <w:rPr>
                <w:rFonts w:hint="eastAsia" w:asciiTheme="minorEastAsia" w:hAnsiTheme="minorEastAsia" w:eastAsiaTheme="minorEastAsia"/>
                <w:kern w:val="0"/>
                <w:sz w:val="20"/>
                <w:szCs w:val="21"/>
              </w:rPr>
              <w:t>个千兆网口</w:t>
            </w:r>
          </w:p>
          <w:p>
            <w:pPr>
              <w:widowControl/>
              <w:jc w:val="left"/>
              <w:textAlignment w:val="center"/>
              <w:rPr>
                <w:rFonts w:cs="宋体" w:asciiTheme="minorEastAsia" w:hAnsiTheme="minorEastAsia" w:eastAsiaTheme="minorEastAsia"/>
                <w:b/>
                <w:bCs/>
                <w:kern w:val="0"/>
                <w:sz w:val="20"/>
                <w:szCs w:val="21"/>
              </w:rPr>
            </w:pPr>
            <w:r>
              <w:rPr>
                <w:rFonts w:hint="eastAsia" w:asciiTheme="minorEastAsia" w:hAnsiTheme="minorEastAsia" w:eastAsiaTheme="minorEastAsia"/>
                <w:kern w:val="0"/>
                <w:sz w:val="20"/>
                <w:szCs w:val="21"/>
              </w:rPr>
              <w:t>2、支持对视频中的违规建筑进行智能分析和识别</w:t>
            </w:r>
          </w:p>
          <w:p>
            <w:pPr>
              <w:widowControl/>
              <w:jc w:val="left"/>
              <w:textAlignment w:val="center"/>
              <w:rPr>
                <w:rFonts w:cs="宋体" w:asciiTheme="minorEastAsia" w:hAnsiTheme="minorEastAsia" w:eastAsiaTheme="minorEastAsia"/>
                <w:b/>
                <w:bCs/>
                <w:kern w:val="0"/>
                <w:sz w:val="20"/>
                <w:szCs w:val="21"/>
              </w:rPr>
            </w:pPr>
            <w:r>
              <w:rPr>
                <w:rFonts w:hint="eastAsia" w:asciiTheme="minorEastAsia" w:hAnsiTheme="minorEastAsia" w:eastAsiaTheme="minorEastAsia"/>
                <w:kern w:val="0"/>
                <w:sz w:val="20"/>
                <w:szCs w:val="21"/>
              </w:rPr>
              <w:t>3、支持查看违规的记录的当前处理数及待处理数记录条数、查看违规告警抓拍图片的去重展示功能、对违规记录详情进行查看和对违规结果进行审核</w:t>
            </w:r>
          </w:p>
          <w:p>
            <w:pPr>
              <w:widowControl/>
              <w:jc w:val="left"/>
              <w:textAlignment w:val="center"/>
              <w:rPr>
                <w:rFonts w:asciiTheme="minorEastAsia" w:hAnsiTheme="minorEastAsia" w:eastAsiaTheme="minorEastAsia"/>
                <w:b/>
                <w:bCs/>
                <w:kern w:val="0"/>
                <w:sz w:val="20"/>
                <w:szCs w:val="21"/>
              </w:rPr>
            </w:pPr>
            <w:r>
              <w:rPr>
                <w:rFonts w:hint="eastAsia" w:asciiTheme="minorEastAsia" w:hAnsiTheme="minorEastAsia" w:eastAsiaTheme="minorEastAsia"/>
                <w:kern w:val="0"/>
                <w:sz w:val="20"/>
                <w:szCs w:val="21"/>
              </w:rPr>
              <w:t>4、支持在实时预览中对违规场景进行手动抓拍，上报一张全景图和和一张近景图；</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5、支持按照关键字（监控点、审核状态、违规类型、告警时间等）对违规记录进行检索；支持检索结果以缩略图展示，并支持分页展示；</w:t>
            </w:r>
          </w:p>
          <w:p>
            <w:pPr>
              <w:rPr>
                <w:rFonts w:asciiTheme="minorEastAsia" w:hAnsiTheme="minorEastAsia" w:eastAsiaTheme="minorEastAsia"/>
                <w:kern w:val="0"/>
                <w:sz w:val="20"/>
                <w:szCs w:val="21"/>
              </w:rPr>
            </w:pPr>
            <w:r>
              <w:rPr>
                <w:rFonts w:asciiTheme="minorEastAsia" w:hAnsiTheme="minorEastAsia" w:eastAsiaTheme="minorEastAsia"/>
                <w:kern w:val="0"/>
                <w:sz w:val="20"/>
                <w:szCs w:val="21"/>
              </w:rPr>
              <w:t>6</w:t>
            </w:r>
            <w:r>
              <w:rPr>
                <w:rFonts w:hint="eastAsia" w:asciiTheme="minorEastAsia" w:hAnsiTheme="minorEastAsia" w:eastAsiaTheme="minorEastAsia"/>
                <w:kern w:val="0"/>
                <w:sz w:val="20"/>
                <w:szCs w:val="21"/>
              </w:rPr>
              <w:t>、支持告警数据实时展示，支持展示告警详细信息、地图热点分布、点位在线率、违规总数等数据</w:t>
            </w:r>
          </w:p>
          <w:p>
            <w:pPr>
              <w:rPr>
                <w:rFonts w:asciiTheme="minorEastAsia" w:hAnsiTheme="minorEastAsia" w:eastAsiaTheme="minorEastAsia"/>
                <w:kern w:val="0"/>
                <w:sz w:val="20"/>
                <w:szCs w:val="21"/>
              </w:rPr>
            </w:pPr>
            <w:r>
              <w:rPr>
                <w:rFonts w:asciiTheme="minorEastAsia" w:hAnsiTheme="minorEastAsia" w:eastAsiaTheme="minorEastAsia"/>
                <w:kern w:val="0"/>
                <w:sz w:val="20"/>
                <w:szCs w:val="21"/>
              </w:rPr>
              <w:t>7</w:t>
            </w:r>
            <w:r>
              <w:rPr>
                <w:rFonts w:hint="eastAsia" w:asciiTheme="minorEastAsia" w:hAnsiTheme="minorEastAsia" w:eastAsiaTheme="minorEastAsia"/>
                <w:kern w:val="0"/>
                <w:sz w:val="20"/>
                <w:szCs w:val="21"/>
              </w:rPr>
              <w:t>、支持对监控点信息、违规类型、区域违规总数、告警数据、违规处理数据等进行统计和展示</w:t>
            </w:r>
          </w:p>
          <w:p>
            <w:pPr>
              <w:widowControl/>
              <w:jc w:val="left"/>
              <w:textAlignment w:val="center"/>
              <w:rPr>
                <w:rFonts w:cs="宋体" w:asciiTheme="minorEastAsia" w:hAnsiTheme="minorEastAsia" w:eastAsiaTheme="minorEastAsia"/>
                <w:kern w:val="0"/>
                <w:sz w:val="20"/>
                <w:szCs w:val="21"/>
              </w:rPr>
            </w:pPr>
            <w:r>
              <w:rPr>
                <w:rFonts w:asciiTheme="minorEastAsia" w:hAnsiTheme="minorEastAsia" w:eastAsiaTheme="minorEastAsia"/>
                <w:kern w:val="0"/>
                <w:sz w:val="20"/>
                <w:szCs w:val="21"/>
              </w:rPr>
              <w:t>8</w:t>
            </w:r>
            <w:r>
              <w:rPr>
                <w:rFonts w:hint="eastAsia" w:asciiTheme="minorEastAsia" w:hAnsiTheme="minorEastAsia" w:eastAsiaTheme="minorEastAsia"/>
                <w:kern w:val="0"/>
                <w:sz w:val="20"/>
                <w:szCs w:val="21"/>
              </w:rPr>
              <w:t>、单台支持</w:t>
            </w:r>
            <w:r>
              <w:rPr>
                <w:rFonts w:asciiTheme="minorEastAsia" w:hAnsiTheme="minorEastAsia" w:eastAsiaTheme="minorEastAsia"/>
                <w:kern w:val="0"/>
                <w:sz w:val="20"/>
                <w:szCs w:val="21"/>
              </w:rPr>
              <w:t>400路视频接入分析，支持每10分钟分析一次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4" w:hRule="atLeast"/>
        </w:trPr>
        <w:tc>
          <w:tcPr>
            <w:tcW w:w="975"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2</w:t>
            </w:r>
          </w:p>
        </w:tc>
        <w:tc>
          <w:tcPr>
            <w:tcW w:w="2183" w:type="dxa"/>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基础应用软件</w:t>
            </w:r>
          </w:p>
        </w:tc>
        <w:tc>
          <w:tcPr>
            <w:tcW w:w="5842" w:type="dxa"/>
          </w:tcPr>
          <w:p>
            <w:pPr>
              <w:pStyle w:val="143"/>
              <w:numPr>
                <w:ilvl w:val="0"/>
                <w:numId w:val="6"/>
              </w:numPr>
              <w:ind w:firstLineChars="0"/>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巡查总览</w:t>
            </w:r>
          </w:p>
          <w:p>
            <w:pPr>
              <w:pStyle w:val="143"/>
              <w:numPr>
                <w:ilvl w:val="0"/>
                <w:numId w:val="7"/>
              </w:numPr>
              <w:ind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支持子地图上滚动展示最新上报的智能报警数据并定位到报警所发地在对应地图上所在位置</w:t>
            </w:r>
          </w:p>
          <w:p>
            <w:pPr>
              <w:pStyle w:val="143"/>
              <w:numPr>
                <w:ilvl w:val="0"/>
                <w:numId w:val="7"/>
              </w:numPr>
              <w:ind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支持以图表的形式将报警的数据进行多维度统计展示</w:t>
            </w:r>
          </w:p>
          <w:p>
            <w:pPr>
              <w:pStyle w:val="143"/>
              <w:numPr>
                <w:ilvl w:val="0"/>
                <w:numId w:val="7"/>
              </w:numPr>
              <w:ind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支持以图表的形式将违规图斑的数据进行统计展示</w:t>
            </w:r>
          </w:p>
          <w:p>
            <w:pPr>
              <w:pStyle w:val="143"/>
              <w:numPr>
                <w:ilvl w:val="0"/>
                <w:numId w:val="6"/>
              </w:numPr>
              <w:ind w:firstLineChars="0"/>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预警研判</w:t>
            </w:r>
          </w:p>
          <w:p>
            <w:pPr>
              <w:pStyle w:val="143"/>
              <w:numPr>
                <w:ilvl w:val="0"/>
                <w:numId w:val="8"/>
              </w:numPr>
              <w:ind w:firstLineChars="0"/>
              <w:rPr>
                <w:rFonts w:asciiTheme="minorEastAsia" w:hAnsiTheme="minorEastAsia" w:eastAsiaTheme="minorEastAsia"/>
                <w:kern w:val="0"/>
                <w:sz w:val="21"/>
                <w:szCs w:val="21"/>
              </w:rPr>
            </w:pPr>
            <w:r>
              <w:rPr>
                <w:rFonts w:asciiTheme="minorEastAsia" w:hAnsiTheme="minorEastAsia" w:eastAsiaTheme="minorEastAsia"/>
                <w:kern w:val="0"/>
                <w:sz w:val="21"/>
                <w:szCs w:val="21"/>
              </w:rPr>
              <w:t>支持对挖掘机、推土机等工程车辆；堆砖、堆沙等施工材料；人员施工场景；施工活动板房进行智能分析和识别。</w:t>
            </w:r>
          </w:p>
          <w:p>
            <w:pPr>
              <w:pStyle w:val="143"/>
              <w:numPr>
                <w:ilvl w:val="0"/>
                <w:numId w:val="8"/>
              </w:numPr>
              <w:ind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支持违建报警监控点的实时预览、录像回放</w:t>
            </w:r>
          </w:p>
          <w:p>
            <w:pPr>
              <w:pStyle w:val="143"/>
              <w:numPr>
                <w:ilvl w:val="0"/>
                <w:numId w:val="8"/>
              </w:numPr>
              <w:ind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支持结合卫片图斑、地块图层信息、告警位置、监控视频等对疑似违规图斑进行研判，当判定为违规行为时，支持直接给巡查人员派发任务。</w:t>
            </w:r>
          </w:p>
          <w:p>
            <w:pPr>
              <w:pStyle w:val="143"/>
              <w:numPr>
                <w:ilvl w:val="0"/>
                <w:numId w:val="6"/>
              </w:numPr>
              <w:ind w:firstLineChars="0"/>
              <w:rPr>
                <w:rFonts w:asciiTheme="minorEastAsia" w:hAnsiTheme="minorEastAsia" w:eastAsiaTheme="minorEastAsia"/>
                <w:b/>
                <w:bCs/>
                <w:kern w:val="0"/>
                <w:sz w:val="21"/>
                <w:szCs w:val="21"/>
              </w:rPr>
            </w:pPr>
            <w:r>
              <w:rPr>
                <w:rFonts w:hint="eastAsia" w:asciiTheme="minorEastAsia" w:hAnsiTheme="minorEastAsia" w:eastAsiaTheme="minorEastAsia"/>
                <w:b/>
                <w:bCs/>
                <w:kern w:val="0"/>
                <w:sz w:val="21"/>
                <w:szCs w:val="21"/>
              </w:rPr>
              <w:t>巡查任务</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1、</w:t>
            </w:r>
            <w:r>
              <w:rPr>
                <w:rFonts w:asciiTheme="minorEastAsia" w:hAnsiTheme="minorEastAsia" w:eastAsiaTheme="minorEastAsia"/>
                <w:kern w:val="0"/>
                <w:sz w:val="20"/>
                <w:szCs w:val="21"/>
              </w:rPr>
              <w:t>巡查记录按照任务派发、核查上报、督导检查、任务结束、全部进行分类展示</w:t>
            </w:r>
          </w:p>
          <w:p>
            <w:pPr>
              <w:rPr>
                <w:rFonts w:asciiTheme="minorEastAsia" w:hAnsiTheme="minorEastAsia" w:eastAsiaTheme="minorEastAsia"/>
                <w:kern w:val="0"/>
                <w:sz w:val="20"/>
                <w:szCs w:val="21"/>
              </w:rPr>
            </w:pPr>
            <w:r>
              <w:rPr>
                <w:rFonts w:asciiTheme="minorEastAsia" w:hAnsiTheme="minorEastAsia" w:eastAsiaTheme="minorEastAsia"/>
                <w:kern w:val="0"/>
                <w:sz w:val="20"/>
                <w:szCs w:val="21"/>
              </w:rPr>
              <w:t>2</w:t>
            </w:r>
            <w:r>
              <w:rPr>
                <w:rFonts w:hint="eastAsia" w:asciiTheme="minorEastAsia" w:hAnsiTheme="minorEastAsia" w:eastAsiaTheme="minorEastAsia"/>
                <w:kern w:val="0"/>
                <w:sz w:val="20"/>
                <w:szCs w:val="21"/>
              </w:rPr>
              <w:t>、</w:t>
            </w:r>
            <w:r>
              <w:rPr>
                <w:rFonts w:asciiTheme="minorEastAsia" w:hAnsiTheme="minorEastAsia" w:eastAsiaTheme="minorEastAsia"/>
                <w:kern w:val="0"/>
                <w:sz w:val="20"/>
                <w:szCs w:val="21"/>
              </w:rPr>
              <w:t>支持可以根据区域、时间、任务状态、任务来源、任务名称等筛选条件查询巡查记录</w:t>
            </w:r>
          </w:p>
          <w:p>
            <w:pPr>
              <w:ind w:firstLine="422"/>
              <w:rPr>
                <w:rFonts w:asciiTheme="minorEastAsia" w:hAnsiTheme="minorEastAsia" w:eastAsiaTheme="minorEastAsia"/>
                <w:b/>
                <w:bCs/>
                <w:kern w:val="0"/>
                <w:sz w:val="20"/>
                <w:szCs w:val="21"/>
              </w:rPr>
            </w:pPr>
            <w:r>
              <w:rPr>
                <w:rFonts w:hint="eastAsia" w:asciiTheme="minorEastAsia" w:hAnsiTheme="minorEastAsia" w:eastAsiaTheme="minorEastAsia"/>
                <w:b/>
                <w:bCs/>
                <w:kern w:val="0"/>
                <w:sz w:val="20"/>
                <w:szCs w:val="21"/>
              </w:rPr>
              <w:t>4）全景巡查</w:t>
            </w:r>
          </w:p>
          <w:p>
            <w:pPr>
              <w:widowControl/>
              <w:jc w:val="left"/>
              <w:textAlignment w:val="center"/>
              <w:rPr>
                <w:rFonts w:cs="宋体" w:asciiTheme="minorEastAsia" w:hAnsiTheme="minorEastAsia" w:eastAsiaTheme="minorEastAsia"/>
                <w:b/>
                <w:bCs/>
                <w:kern w:val="0"/>
                <w:sz w:val="20"/>
                <w:szCs w:val="21"/>
              </w:rPr>
            </w:pPr>
            <w:r>
              <w:rPr>
                <w:rFonts w:hint="eastAsia" w:asciiTheme="minorEastAsia" w:hAnsiTheme="minorEastAsia" w:eastAsiaTheme="minorEastAsia"/>
                <w:kern w:val="0"/>
                <w:sz w:val="20"/>
                <w:szCs w:val="21"/>
              </w:rPr>
              <w:t>1、</w:t>
            </w:r>
            <w:r>
              <w:rPr>
                <w:rFonts w:asciiTheme="minorEastAsia" w:hAnsiTheme="minorEastAsia" w:eastAsiaTheme="minorEastAsia"/>
                <w:kern w:val="0"/>
                <w:sz w:val="20"/>
                <w:szCs w:val="21"/>
              </w:rPr>
              <w:t>支持将监控点设置为全景监控点</w:t>
            </w:r>
          </w:p>
          <w:p>
            <w:pPr>
              <w:widowControl/>
              <w:jc w:val="left"/>
              <w:textAlignment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2、</w:t>
            </w:r>
            <w:r>
              <w:rPr>
                <w:rFonts w:asciiTheme="minorEastAsia" w:hAnsiTheme="minorEastAsia" w:eastAsiaTheme="minorEastAsia"/>
                <w:kern w:val="0"/>
                <w:sz w:val="20"/>
                <w:szCs w:val="21"/>
              </w:rPr>
              <w:t>支持按照监控点\审核状态(全部、已审核、未审核)进行检索</w:t>
            </w:r>
          </w:p>
          <w:p>
            <w:pP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3、</w:t>
            </w:r>
            <w:r>
              <w:rPr>
                <w:rFonts w:asciiTheme="minorEastAsia" w:hAnsiTheme="minorEastAsia" w:eastAsiaTheme="minorEastAsia"/>
                <w:kern w:val="0"/>
                <w:sz w:val="20"/>
                <w:szCs w:val="21"/>
              </w:rPr>
              <w:t>全景图可显示点位名称和全景图合成时间</w:t>
            </w:r>
          </w:p>
          <w:p>
            <w:pPr>
              <w:ind w:firstLine="422"/>
              <w:rPr>
                <w:rFonts w:asciiTheme="minorEastAsia" w:hAnsiTheme="minorEastAsia" w:eastAsiaTheme="minorEastAsia"/>
                <w:b/>
                <w:bCs/>
                <w:kern w:val="0"/>
                <w:sz w:val="20"/>
                <w:szCs w:val="21"/>
              </w:rPr>
            </w:pPr>
            <w:r>
              <w:rPr>
                <w:rFonts w:hint="eastAsia" w:asciiTheme="minorEastAsia" w:hAnsiTheme="minorEastAsia" w:eastAsiaTheme="minorEastAsia"/>
                <w:b/>
                <w:bCs/>
                <w:kern w:val="0"/>
                <w:sz w:val="20"/>
                <w:szCs w:val="21"/>
              </w:rPr>
              <w:t>5）持续监控</w:t>
            </w:r>
          </w:p>
          <w:p>
            <w:pPr>
              <w:rPr>
                <w:rFonts w:asciiTheme="minorEastAsia" w:hAnsiTheme="minorEastAsia" w:eastAsiaTheme="minorEastAsia"/>
                <w:b/>
                <w:bCs/>
                <w:kern w:val="0"/>
                <w:sz w:val="20"/>
                <w:szCs w:val="21"/>
              </w:rPr>
            </w:pPr>
            <w:r>
              <w:rPr>
                <w:rFonts w:hint="eastAsia" w:asciiTheme="minorEastAsia" w:hAnsiTheme="minorEastAsia" w:eastAsiaTheme="minorEastAsia"/>
                <w:kern w:val="0"/>
                <w:sz w:val="20"/>
                <w:szCs w:val="21"/>
              </w:rPr>
              <w:t>1、</w:t>
            </w:r>
            <w:r>
              <w:rPr>
                <w:rFonts w:asciiTheme="minorEastAsia" w:hAnsiTheme="minorEastAsia" w:eastAsiaTheme="minorEastAsia"/>
                <w:kern w:val="0"/>
                <w:sz w:val="20"/>
                <w:szCs w:val="21"/>
              </w:rPr>
              <w:t>支持配置地块周边监控点的抓拍计划，将图片存入图像档案</w:t>
            </w:r>
          </w:p>
          <w:p>
            <w:pPr>
              <w:rPr>
                <w:rFonts w:cs="宋体" w:asciiTheme="minorEastAsia" w:hAnsiTheme="minorEastAsia" w:eastAsiaTheme="minorEastAsia"/>
                <w:b/>
                <w:bCs/>
                <w:kern w:val="0"/>
                <w:sz w:val="20"/>
                <w:szCs w:val="21"/>
              </w:rPr>
            </w:pPr>
            <w:r>
              <w:rPr>
                <w:rFonts w:hint="eastAsia" w:asciiTheme="minorEastAsia" w:hAnsiTheme="minorEastAsia" w:eastAsiaTheme="minorEastAsia"/>
                <w:kern w:val="0"/>
                <w:sz w:val="20"/>
                <w:szCs w:val="21"/>
              </w:rPr>
              <w:t>2、</w:t>
            </w:r>
            <w:r>
              <w:rPr>
                <w:rFonts w:asciiTheme="minorEastAsia" w:hAnsiTheme="minorEastAsia" w:eastAsiaTheme="minorEastAsia"/>
                <w:kern w:val="0"/>
                <w:sz w:val="20"/>
                <w:szCs w:val="21"/>
              </w:rPr>
              <w:t>支持按照地块名称排序，展示所有图片档案</w:t>
            </w:r>
          </w:p>
          <w:p>
            <w:pPr>
              <w:rPr>
                <w:rFonts w:asciiTheme="minorEastAsia" w:hAnsiTheme="minorEastAsia" w:eastAsiaTheme="minorEastAsia"/>
                <w:kern w:val="0"/>
                <w:sz w:val="20"/>
                <w:szCs w:val="21"/>
              </w:rPr>
            </w:pPr>
            <w:r>
              <w:rPr>
                <w:rFonts w:asciiTheme="minorEastAsia" w:hAnsiTheme="minorEastAsia" w:eastAsiaTheme="minorEastAsia"/>
                <w:kern w:val="0"/>
                <w:sz w:val="20"/>
                <w:szCs w:val="21"/>
              </w:rPr>
              <w:t>3</w:t>
            </w:r>
            <w:r>
              <w:rPr>
                <w:rFonts w:hint="eastAsia" w:asciiTheme="minorEastAsia" w:hAnsiTheme="minorEastAsia" w:eastAsiaTheme="minorEastAsia"/>
                <w:kern w:val="0"/>
                <w:sz w:val="20"/>
                <w:szCs w:val="21"/>
              </w:rPr>
              <w:t>、</w:t>
            </w:r>
            <w:r>
              <w:rPr>
                <w:rFonts w:asciiTheme="minorEastAsia" w:hAnsiTheme="minorEastAsia" w:eastAsiaTheme="minorEastAsia"/>
                <w:kern w:val="0"/>
                <w:sz w:val="20"/>
                <w:szCs w:val="21"/>
              </w:rPr>
              <w:t>支持查看图片数据的详细信息，信息包括抓拍时间，图片名称等，并支持按抓拍时间顺序依次点击查看图片</w:t>
            </w:r>
          </w:p>
        </w:tc>
      </w:tr>
    </w:tbl>
    <w:p>
      <w:pPr>
        <w:spacing w:line="312" w:lineRule="auto"/>
        <w:rPr>
          <w:rFonts w:ascii="宋体" w:hAnsi="宋体"/>
          <w:b/>
          <w:bCs/>
          <w:color w:val="auto"/>
          <w:sz w:val="24"/>
          <w:szCs w:val="24"/>
        </w:rPr>
      </w:pPr>
      <w:r>
        <w:rPr>
          <w:rFonts w:hint="eastAsia" w:ascii="宋体" w:hAnsi="宋体" w:cs="宋体"/>
          <w:b/>
          <w:bCs/>
          <w:color w:val="auto"/>
          <w:kern w:val="0"/>
          <w:szCs w:val="21"/>
        </w:rPr>
        <w:t>要求提供演示和讲解（需提供现场演示、录屏视频演示或其他在线方式演示，用PPT、WORD文档方案演示的不得分。）时间为15分钟。</w:t>
      </w:r>
    </w:p>
    <w:p>
      <w:pPr>
        <w:spacing w:line="312" w:lineRule="auto"/>
        <w:rPr>
          <w:rFonts w:ascii="宋体" w:hAnsi="宋体"/>
          <w:b/>
          <w:bCs/>
          <w:sz w:val="24"/>
          <w:szCs w:val="24"/>
        </w:rPr>
      </w:pPr>
    </w:p>
    <w:p>
      <w:pPr>
        <w:rPr>
          <w:rFonts w:ascii="宋体" w:hAnsi="宋体"/>
          <w:b/>
          <w:bCs/>
          <w:sz w:val="24"/>
          <w:szCs w:val="24"/>
        </w:rPr>
      </w:pPr>
    </w:p>
    <w:p>
      <w:pPr>
        <w:pStyle w:val="2"/>
      </w:pPr>
    </w:p>
    <w:p>
      <w:pPr>
        <w:spacing w:line="312" w:lineRule="auto"/>
        <w:rPr>
          <w:rFonts w:ascii="宋体" w:hAnsi="宋体"/>
          <w:b/>
          <w:bCs/>
          <w:sz w:val="24"/>
          <w:szCs w:val="24"/>
        </w:rPr>
      </w:pPr>
      <w:r>
        <w:rPr>
          <w:rFonts w:hint="eastAsia" w:ascii="宋体" w:hAnsi="宋体"/>
          <w:b/>
          <w:bCs/>
          <w:sz w:val="24"/>
          <w:szCs w:val="24"/>
        </w:rPr>
        <w:t>三、项目要求</w:t>
      </w:r>
    </w:p>
    <w:p>
      <w:pPr>
        <w:spacing w:line="312" w:lineRule="auto"/>
        <w:rPr>
          <w:b/>
          <w:bCs/>
        </w:rPr>
      </w:pPr>
      <w:r>
        <w:rPr>
          <w:rFonts w:hint="eastAsia"/>
          <w:b/>
          <w:bCs/>
        </w:rPr>
        <w:t>1、项目建设周期</w:t>
      </w:r>
    </w:p>
    <w:p>
      <w:pPr>
        <w:spacing w:line="312" w:lineRule="auto"/>
        <w:ind w:firstLine="420"/>
        <w:rPr>
          <w:rFonts w:ascii="宋体" w:hAnsi="宋体"/>
          <w:b/>
          <w:bCs/>
          <w:szCs w:val="21"/>
        </w:rPr>
      </w:pPr>
      <w:r>
        <w:rPr>
          <w:rFonts w:hint="eastAsia" w:ascii="宋体" w:hAnsi="宋体"/>
          <w:szCs w:val="21"/>
        </w:rPr>
        <w:t>本项目招标结束以后，要求于202</w:t>
      </w:r>
      <w:r>
        <w:rPr>
          <w:rFonts w:ascii="宋体" w:hAnsi="宋体"/>
          <w:szCs w:val="21"/>
        </w:rPr>
        <w:t>2</w:t>
      </w:r>
      <w:r>
        <w:rPr>
          <w:rFonts w:hint="eastAsia" w:ascii="宋体" w:hAnsi="宋体"/>
          <w:szCs w:val="21"/>
        </w:rPr>
        <w:t>年9月实现系统上线，上线后先进行初验，初验完成后进入试运行和系统完善，</w:t>
      </w:r>
      <w:r>
        <w:rPr>
          <w:rFonts w:ascii="宋体" w:hAnsi="宋体"/>
          <w:szCs w:val="21"/>
        </w:rPr>
        <w:t>2022</w:t>
      </w:r>
      <w:r>
        <w:rPr>
          <w:rFonts w:hint="eastAsia" w:ascii="宋体" w:hAnsi="宋体"/>
          <w:szCs w:val="21"/>
        </w:rPr>
        <w:t>年12月前举行项目终验。</w:t>
      </w:r>
    </w:p>
    <w:p>
      <w:pPr>
        <w:spacing w:line="312" w:lineRule="auto"/>
        <w:rPr>
          <w:rFonts w:ascii="宋体" w:hAnsi="宋体"/>
          <w:b/>
          <w:bCs/>
          <w:szCs w:val="21"/>
        </w:rPr>
      </w:pPr>
      <w:r>
        <w:rPr>
          <w:rFonts w:hint="eastAsia" w:ascii="宋体" w:hAnsi="宋体"/>
          <w:b/>
          <w:bCs/>
          <w:szCs w:val="21"/>
        </w:rPr>
        <w:t>2、付款方式</w:t>
      </w:r>
    </w:p>
    <w:p>
      <w:pPr>
        <w:spacing w:line="360" w:lineRule="auto"/>
        <w:ind w:firstLine="420" w:firstLineChars="200"/>
        <w:rPr>
          <w:rFonts w:ascii="宋体" w:hAnsi="宋体"/>
          <w:b/>
          <w:szCs w:val="21"/>
        </w:rPr>
      </w:pPr>
      <w:r>
        <w:rPr>
          <w:rFonts w:hint="eastAsia" w:ascii="宋体" w:hAnsi="宋体" w:cs="宋体"/>
          <w:bCs/>
        </w:rPr>
        <w:t>合同签订后7个工作日内采购人支付合同总金额的30%，同时中标方支付5%的履约保证金（可以通过担保机构出具的保函等法律法规允许的方式缴纳），项目初验通过以后10个工作日内支付合同金额的30%；项目终验通过以后10个工作日内支付合同金额的40%，系统经试运行并完善后，系统满免费维护期后10个工作日内退回履约保证金。</w:t>
      </w:r>
    </w:p>
    <w:p>
      <w:pPr>
        <w:spacing w:line="312" w:lineRule="auto"/>
        <w:ind w:firstLine="420"/>
        <w:rPr>
          <w:rFonts w:ascii="宋体" w:hAnsi="宋体"/>
          <w:b/>
          <w:bCs/>
          <w:szCs w:val="21"/>
        </w:rPr>
      </w:pPr>
    </w:p>
    <w:p>
      <w:pPr>
        <w:spacing w:line="312" w:lineRule="auto"/>
        <w:rPr>
          <w:rFonts w:ascii="宋体" w:hAnsi="宋体"/>
          <w:b/>
          <w:bCs/>
          <w:szCs w:val="21"/>
        </w:rPr>
      </w:pPr>
    </w:p>
    <w:bookmarkEnd w:id="0"/>
    <w:p>
      <w:pPr>
        <w:spacing w:line="312" w:lineRule="auto"/>
        <w:rPr>
          <w:szCs w:val="21"/>
        </w:rPr>
      </w:pPr>
      <w:r>
        <w:rPr>
          <w:rFonts w:hint="eastAsia"/>
          <w:b/>
          <w:sz w:val="24"/>
          <w:szCs w:val="24"/>
        </w:rPr>
        <w:t>四、开发、调试、验收要求</w:t>
      </w:r>
    </w:p>
    <w:p>
      <w:pPr>
        <w:spacing w:line="312" w:lineRule="auto"/>
        <w:ind w:firstLine="420" w:firstLineChars="200"/>
        <w:rPr>
          <w:rFonts w:ascii="宋体" w:hAnsi="宋体"/>
          <w:b/>
          <w:bCs/>
          <w:szCs w:val="21"/>
        </w:rPr>
      </w:pPr>
      <w:r>
        <w:rPr>
          <w:rFonts w:hint="eastAsia" w:ascii="宋体" w:hAnsi="宋体"/>
          <w:szCs w:val="21"/>
        </w:rPr>
        <w:t>1）实施要求：中标人应负责按合同中规定的建设项目内容完成软硬件系统设计部署，并保证按合同相关要求按时完成软件的设计、部署、调试、运行等工作。</w:t>
      </w:r>
      <w:r>
        <w:rPr>
          <w:rFonts w:hint="eastAsia" w:ascii="宋体" w:hAnsi="宋体"/>
          <w:b/>
          <w:bCs/>
          <w:szCs w:val="21"/>
        </w:rPr>
        <w:t>注：招标需求中所列的软件系统除需在市政务云上部署运行外，其中自然资源多维度感知监管另需在采购人指定的内网系统中同步部署，方便采购人内部业务使用。</w:t>
      </w:r>
    </w:p>
    <w:p>
      <w:pPr>
        <w:spacing w:line="312" w:lineRule="auto"/>
        <w:ind w:firstLine="455" w:firstLineChars="217"/>
        <w:rPr>
          <w:rFonts w:ascii="宋体" w:hAnsi="宋体"/>
          <w:szCs w:val="21"/>
        </w:rPr>
      </w:pPr>
      <w:r>
        <w:rPr>
          <w:rFonts w:hint="eastAsia" w:ascii="宋体" w:hAnsi="宋体"/>
          <w:szCs w:val="21"/>
        </w:rPr>
        <w:t>2）测试要求：中标人应按照合同要求测试所有软件功能模块，保证满足功能规范中所述运行要求，负责合同中所有软件的现场部署、现场验收测试。</w:t>
      </w:r>
    </w:p>
    <w:p>
      <w:pPr>
        <w:spacing w:line="312" w:lineRule="auto"/>
        <w:ind w:firstLine="420" w:firstLineChars="200"/>
        <w:rPr>
          <w:rFonts w:ascii="宋体" w:hAnsi="宋体"/>
          <w:szCs w:val="21"/>
        </w:rPr>
      </w:pPr>
      <w:r>
        <w:rPr>
          <w:rFonts w:hint="eastAsia" w:ascii="宋体" w:hAnsi="宋体"/>
          <w:szCs w:val="21"/>
        </w:rPr>
        <w:t>3）项目实施要求：</w:t>
      </w:r>
    </w:p>
    <w:p>
      <w:pPr>
        <w:spacing w:line="312" w:lineRule="auto"/>
        <w:ind w:firstLine="420" w:firstLineChars="200"/>
        <w:rPr>
          <w:rFonts w:ascii="宋体" w:hAnsi="宋体"/>
          <w:szCs w:val="21"/>
        </w:rPr>
      </w:pPr>
      <w:r>
        <w:rPr>
          <w:rFonts w:hint="eastAsia" w:ascii="宋体" w:hAnsi="宋体"/>
          <w:szCs w:val="21"/>
        </w:rPr>
        <w:t>中标人应在合同签订之日起5日内，需至少指派1名项目经理（需具备2年及以上相应项目管理经验）对项目的总体实施进行项目管控，</w:t>
      </w:r>
      <w:r>
        <w:rPr>
          <w:rFonts w:hint="eastAsia" w:ascii="宋体" w:hAnsi="宋体"/>
          <w:b/>
          <w:bCs/>
          <w:szCs w:val="21"/>
        </w:rPr>
        <w:t>现场驻场人员数量不少于3人</w:t>
      </w:r>
      <w:r>
        <w:rPr>
          <w:rFonts w:hint="eastAsia" w:ascii="宋体" w:hAnsi="宋体"/>
          <w:szCs w:val="21"/>
        </w:rPr>
        <w:t>。软件系统开发根据实际需求，现场负责系统开发实施工作，确保项目正常运行，直至项目实施完成。期间应服从招标方管理人员管理，并遵守现场的各项规章制度。投标人在投标时需在拟派人员表中注明驻场人员，如需变更，需经招标人认可。</w:t>
      </w:r>
    </w:p>
    <w:p>
      <w:pPr>
        <w:spacing w:line="312" w:lineRule="auto"/>
        <w:ind w:firstLine="455" w:firstLineChars="217"/>
        <w:rPr>
          <w:rFonts w:ascii="宋体" w:hAnsi="宋体"/>
          <w:szCs w:val="21"/>
        </w:rPr>
      </w:pPr>
      <w:r>
        <w:rPr>
          <w:rFonts w:hint="eastAsia" w:ascii="宋体" w:hAnsi="宋体"/>
          <w:szCs w:val="21"/>
        </w:rPr>
        <w:t xml:space="preserve">4）验收要求： </w:t>
      </w:r>
    </w:p>
    <w:p>
      <w:pPr>
        <w:spacing w:line="312" w:lineRule="auto"/>
        <w:ind w:firstLine="420"/>
        <w:rPr>
          <w:rFonts w:ascii="宋体" w:hAnsi="宋体"/>
          <w:szCs w:val="21"/>
        </w:rPr>
      </w:pPr>
      <w:r>
        <w:rPr>
          <w:rFonts w:hint="eastAsia" w:ascii="宋体" w:hAnsi="宋体"/>
          <w:szCs w:val="21"/>
        </w:rPr>
        <w:t>（1）</w:t>
      </w:r>
      <w:r>
        <w:rPr>
          <w:rFonts w:hint="eastAsia" w:ascii="宋体" w:hAnsi="宋体" w:cs="宋体"/>
          <w:szCs w:val="21"/>
        </w:rPr>
        <w:t>在合同签订后，中标人应开展相应的项目实施调研工作，根据项目实际需求逐步完善软件需求确认表（按阶段分初稿、中间稿及最终稿）和详细设计方案（需包含但不限于系统结构图、数据流向图、数据库设计、主要业务流程图等），需求确认表和详细设计方案以本次采购文件为基础。其中初稿需在项目调研以后三方确认，中间稿在初验之前三方确认，最终稿在终验之前三方确认，最终稿是采购文件的有效补充材料。</w:t>
      </w:r>
    </w:p>
    <w:p>
      <w:pPr>
        <w:spacing w:line="312" w:lineRule="auto"/>
        <w:ind w:firstLine="420"/>
        <w:rPr>
          <w:rFonts w:ascii="宋体" w:hAnsi="宋体"/>
          <w:szCs w:val="21"/>
        </w:rPr>
      </w:pPr>
      <w:r>
        <w:rPr>
          <w:rFonts w:hint="eastAsia" w:ascii="宋体" w:hAnsi="宋体"/>
          <w:szCs w:val="21"/>
        </w:rPr>
        <w:t>（2）本项目设计、开发、部署、调试完成后，要求于202</w:t>
      </w:r>
      <w:r>
        <w:rPr>
          <w:rFonts w:ascii="宋体" w:hAnsi="宋体"/>
          <w:szCs w:val="21"/>
        </w:rPr>
        <w:t>2</w:t>
      </w:r>
      <w:r>
        <w:rPr>
          <w:rFonts w:hint="eastAsia" w:ascii="宋体" w:hAnsi="宋体"/>
          <w:szCs w:val="21"/>
        </w:rPr>
        <w:t>年9月实现系统上线，上线后先进行初验，初验完成后进入试运行和系统完善，</w:t>
      </w:r>
      <w:r>
        <w:rPr>
          <w:rFonts w:ascii="宋体" w:hAnsi="宋体"/>
          <w:szCs w:val="21"/>
        </w:rPr>
        <w:t>2022</w:t>
      </w:r>
      <w:r>
        <w:rPr>
          <w:rFonts w:hint="eastAsia" w:ascii="宋体" w:hAnsi="宋体"/>
          <w:szCs w:val="21"/>
        </w:rPr>
        <w:t>年12月前举行项目终验。（同上完工时间和验收时间）</w:t>
      </w:r>
    </w:p>
    <w:p>
      <w:pPr>
        <w:spacing w:line="312" w:lineRule="auto"/>
        <w:ind w:firstLine="420"/>
        <w:rPr>
          <w:rFonts w:ascii="宋体" w:hAnsi="宋体"/>
          <w:szCs w:val="21"/>
        </w:rPr>
      </w:pPr>
      <w:r>
        <w:rPr>
          <w:rFonts w:hint="eastAsia" w:ascii="宋体" w:hAnsi="宋体"/>
          <w:szCs w:val="21"/>
        </w:rPr>
        <w:t>（3）通过验收测试判断系统质量是否符合产品需求、功能实现是否正确，性能方面是否符合运行要求，并且产品可以最终上线。</w:t>
      </w:r>
    </w:p>
    <w:p>
      <w:pPr>
        <w:spacing w:line="312" w:lineRule="auto"/>
        <w:ind w:firstLine="420"/>
        <w:rPr>
          <w:rFonts w:ascii="宋体" w:hAnsi="宋体"/>
          <w:szCs w:val="21"/>
        </w:rPr>
      </w:pPr>
      <w:r>
        <w:rPr>
          <w:rFonts w:hint="eastAsia" w:ascii="宋体" w:hAnsi="宋体"/>
          <w:szCs w:val="21"/>
        </w:rPr>
        <w:t>（4）采购人负责组织验收小组及第三方监理单位共同参与项目验收。</w:t>
      </w:r>
    </w:p>
    <w:p>
      <w:pPr>
        <w:spacing w:line="312" w:lineRule="auto"/>
        <w:ind w:firstLine="420"/>
        <w:rPr>
          <w:rFonts w:ascii="宋体" w:hAnsi="宋体"/>
          <w:szCs w:val="21"/>
        </w:rPr>
      </w:pPr>
      <w:r>
        <w:rPr>
          <w:rFonts w:ascii="宋体" w:hAnsi="宋体"/>
          <w:szCs w:val="21"/>
        </w:rPr>
        <w:t>（5）</w:t>
      </w:r>
      <w:r>
        <w:rPr>
          <w:rFonts w:hint="eastAsia" w:ascii="宋体" w:hAnsi="宋体"/>
          <w:szCs w:val="21"/>
        </w:rPr>
        <w:t>根据国家</w:t>
      </w:r>
      <w:r>
        <w:rPr>
          <w:rFonts w:ascii="宋体" w:hAnsi="宋体"/>
          <w:szCs w:val="21"/>
        </w:rPr>
        <w:t>、</w:t>
      </w:r>
      <w:r>
        <w:rPr>
          <w:rFonts w:hint="eastAsia" w:ascii="宋体" w:hAnsi="宋体"/>
          <w:szCs w:val="21"/>
        </w:rPr>
        <w:t>省</w:t>
      </w:r>
      <w:r>
        <w:rPr>
          <w:rFonts w:ascii="宋体" w:hAnsi="宋体"/>
          <w:szCs w:val="21"/>
        </w:rPr>
        <w:t>、</w:t>
      </w:r>
      <w:r>
        <w:rPr>
          <w:rFonts w:hint="eastAsia" w:ascii="宋体" w:hAnsi="宋体"/>
          <w:szCs w:val="21"/>
        </w:rPr>
        <w:t>市要求</w:t>
      </w:r>
      <w:r>
        <w:rPr>
          <w:rFonts w:ascii="宋体" w:hAnsi="宋体"/>
          <w:szCs w:val="21"/>
        </w:rPr>
        <w:t>，</w:t>
      </w:r>
      <w:r>
        <w:rPr>
          <w:rFonts w:hint="eastAsia" w:ascii="宋体" w:hAnsi="宋体"/>
          <w:szCs w:val="21"/>
        </w:rPr>
        <w:t>如果服务期内</w:t>
      </w:r>
      <w:r>
        <w:rPr>
          <w:rFonts w:ascii="宋体" w:hAnsi="宋体"/>
          <w:szCs w:val="21"/>
        </w:rPr>
        <w:t>，</w:t>
      </w:r>
      <w:r>
        <w:rPr>
          <w:rFonts w:hint="eastAsia" w:ascii="宋体" w:hAnsi="宋体"/>
          <w:szCs w:val="21"/>
        </w:rPr>
        <w:t>软硬件需要满足国产化政策及指令性要求的</w:t>
      </w:r>
      <w:r>
        <w:rPr>
          <w:rFonts w:ascii="宋体" w:hAnsi="宋体"/>
          <w:szCs w:val="21"/>
        </w:rPr>
        <w:t>，</w:t>
      </w:r>
      <w:r>
        <w:rPr>
          <w:rFonts w:hint="eastAsia" w:ascii="宋体" w:hAnsi="宋体"/>
          <w:szCs w:val="21"/>
        </w:rPr>
        <w:t>中标单位需配合执行</w:t>
      </w:r>
      <w:r>
        <w:rPr>
          <w:rFonts w:ascii="宋体" w:hAnsi="宋体"/>
          <w:szCs w:val="21"/>
        </w:rPr>
        <w:t>。</w:t>
      </w:r>
    </w:p>
    <w:p>
      <w:pPr>
        <w:spacing w:line="312" w:lineRule="auto"/>
        <w:ind w:firstLine="420"/>
        <w:rPr>
          <w:szCs w:val="21"/>
        </w:rPr>
      </w:pPr>
      <w:r>
        <w:rPr>
          <w:rFonts w:hint="eastAsia" w:ascii="新宋体" w:hAnsi="新宋体" w:eastAsia="新宋体" w:cs="新宋体"/>
          <w:b/>
          <w:bCs/>
        </w:rPr>
        <w:t>验收时需提供的文档包括但不仅限于：项目投标文件电子稿、项目实施方案、材料（软件）的到货验收清单、系统（软件）安装实施报告、测试方案、测试记录及报告、配置和维护手册、系统试运行报告、项目总结报告、项目用户报告等相关材料。</w:t>
      </w:r>
    </w:p>
    <w:p>
      <w:pPr>
        <w:spacing w:line="312" w:lineRule="auto"/>
        <w:rPr>
          <w:szCs w:val="21"/>
        </w:rPr>
      </w:pPr>
    </w:p>
    <w:p>
      <w:pPr>
        <w:spacing w:line="312" w:lineRule="auto"/>
        <w:rPr>
          <w:b/>
          <w:sz w:val="24"/>
          <w:szCs w:val="24"/>
        </w:rPr>
      </w:pPr>
      <w:r>
        <w:rPr>
          <w:rFonts w:hint="eastAsia"/>
          <w:b/>
          <w:sz w:val="24"/>
          <w:szCs w:val="24"/>
        </w:rPr>
        <w:t>五、售后服务</w:t>
      </w:r>
    </w:p>
    <w:p>
      <w:pPr>
        <w:spacing w:line="312" w:lineRule="auto"/>
        <w:ind w:firstLine="318"/>
        <w:rPr>
          <w:rFonts w:ascii="新宋体" w:hAnsi="新宋体" w:eastAsia="新宋体" w:cs="新宋体"/>
        </w:rPr>
      </w:pPr>
      <w:r>
        <w:rPr>
          <w:rFonts w:hint="eastAsia" w:ascii="新宋体" w:hAnsi="新宋体" w:eastAsia="新宋体" w:cs="新宋体"/>
        </w:rPr>
        <w:t>1）提供7*24小时技术支持、紧急情况现场响应服务，即当系统出现运行故障时，保证工程技术人员在招标人报修之后4小时内到达现场。</w:t>
      </w:r>
    </w:p>
    <w:p>
      <w:pPr>
        <w:spacing w:line="312" w:lineRule="auto"/>
        <w:ind w:firstLine="318"/>
        <w:rPr>
          <w:rFonts w:ascii="新宋体" w:hAnsi="新宋体" w:eastAsia="新宋体" w:cs="新宋体"/>
        </w:rPr>
      </w:pPr>
      <w:r>
        <w:rPr>
          <w:rFonts w:hint="eastAsia" w:ascii="新宋体" w:hAnsi="新宋体" w:eastAsia="新宋体" w:cs="新宋体"/>
        </w:rPr>
        <w:t>2）维修工程师赴现场后应及时对故障进行检修，对于一般故障应在接到报修之后</w:t>
      </w:r>
      <w:r>
        <w:rPr>
          <w:rFonts w:ascii="新宋体" w:hAnsi="新宋体" w:eastAsia="新宋体" w:cs="新宋体"/>
        </w:rPr>
        <w:t>8</w:t>
      </w:r>
      <w:r>
        <w:rPr>
          <w:rFonts w:hint="eastAsia" w:ascii="新宋体" w:hAnsi="新宋体" w:eastAsia="新宋体" w:cs="新宋体"/>
        </w:rPr>
        <w:t>小时内修复；对于重大故障应在接到报修之后</w:t>
      </w:r>
      <w:r>
        <w:rPr>
          <w:rFonts w:ascii="新宋体" w:hAnsi="新宋体" w:eastAsia="新宋体" w:cs="新宋体"/>
        </w:rPr>
        <w:t>24</w:t>
      </w:r>
      <w:r>
        <w:rPr>
          <w:rFonts w:hint="eastAsia" w:ascii="新宋体" w:hAnsi="新宋体" w:eastAsia="新宋体" w:cs="新宋体"/>
        </w:rPr>
        <w:t>小时内修复。</w:t>
      </w:r>
    </w:p>
    <w:p>
      <w:pPr>
        <w:spacing w:line="312" w:lineRule="auto"/>
        <w:ind w:firstLine="318"/>
        <w:rPr>
          <w:rFonts w:ascii="新宋体" w:hAnsi="新宋体" w:eastAsia="新宋体" w:cs="新宋体"/>
        </w:rPr>
      </w:pPr>
      <w:r>
        <w:rPr>
          <w:rFonts w:hint="eastAsia" w:ascii="新宋体" w:hAnsi="新宋体" w:eastAsia="新宋体" w:cs="新宋体"/>
        </w:rPr>
        <w:t>3）投标方需承诺协助用户方对</w:t>
      </w:r>
      <w:r>
        <w:rPr>
          <w:rFonts w:hint="eastAsia" w:ascii="宋体" w:hAnsi="宋体"/>
          <w:szCs w:val="21"/>
        </w:rPr>
        <w:t>本项目相关系统软件及硬件售后服务（包括但不限于软件升级维护、数据更新等内容），</w:t>
      </w:r>
      <w:r>
        <w:rPr>
          <w:rFonts w:hint="eastAsia" w:ascii="新宋体" w:hAnsi="新宋体" w:eastAsia="新宋体" w:cs="新宋体"/>
        </w:rPr>
        <w:t>做好产品的运行和维护保养。</w:t>
      </w:r>
    </w:p>
    <w:p>
      <w:pPr>
        <w:spacing w:line="312" w:lineRule="auto"/>
        <w:ind w:firstLine="318"/>
        <w:rPr>
          <w:rFonts w:ascii="宋体" w:hAnsi="宋体"/>
          <w:szCs w:val="21"/>
        </w:rPr>
      </w:pPr>
      <w:r>
        <w:rPr>
          <w:rFonts w:ascii="新宋体" w:hAnsi="新宋体" w:eastAsia="新宋体" w:cs="新宋体"/>
        </w:rPr>
        <w:t>4</w:t>
      </w:r>
      <w:r>
        <w:rPr>
          <w:rFonts w:hint="eastAsia" w:ascii="新宋体" w:hAnsi="新宋体" w:eastAsia="新宋体" w:cs="新宋体"/>
        </w:rPr>
        <w:t>）提供系统优化服务，主要包括系统的操作、界面等方面，提高系统的操作性和灵活性。</w:t>
      </w:r>
    </w:p>
    <w:p>
      <w:pPr>
        <w:spacing w:line="312" w:lineRule="auto"/>
        <w:ind w:firstLine="318"/>
        <w:rPr>
          <w:rFonts w:ascii="宋体" w:hAnsi="宋体"/>
          <w:szCs w:val="21"/>
        </w:rPr>
      </w:pPr>
      <w:r>
        <w:rPr>
          <w:rFonts w:ascii="宋体" w:hAnsi="宋体"/>
          <w:szCs w:val="21"/>
        </w:rPr>
        <w:t>5</w:t>
      </w:r>
      <w:r>
        <w:rPr>
          <w:rFonts w:hint="eastAsia" w:ascii="宋体" w:hAnsi="宋体"/>
          <w:szCs w:val="21"/>
        </w:rPr>
        <w:t>）如遇重大活动，接到采购人通知后，必须无条件指派一定数量的系统工程师（具体数量根据实际情况协商确定）实行现场技术保障，确保系统在活动期间正常运行。</w:t>
      </w:r>
    </w:p>
    <w:p>
      <w:pPr>
        <w:spacing w:line="312" w:lineRule="auto"/>
        <w:ind w:firstLine="318"/>
        <w:rPr>
          <w:rFonts w:ascii="宋体" w:hAnsi="宋体"/>
          <w:szCs w:val="21"/>
        </w:rPr>
      </w:pPr>
      <w:r>
        <w:rPr>
          <w:rFonts w:ascii="宋体" w:hAnsi="宋体"/>
          <w:szCs w:val="21"/>
        </w:rPr>
        <w:t>6</w:t>
      </w:r>
      <w:r>
        <w:rPr>
          <w:rFonts w:hint="eastAsia" w:ascii="宋体" w:hAnsi="宋体"/>
          <w:szCs w:val="21"/>
        </w:rPr>
        <w:t>）投标人应保证所提供的产品或其任何一部分均不会侵犯任何第三方的知识产权；中标人如因项目需要使用第三方授权的相关软件产品，需在中标以后提供相应的软件授权证明，报采购人备案备查。</w:t>
      </w:r>
    </w:p>
    <w:p>
      <w:pPr>
        <w:spacing w:line="312" w:lineRule="auto"/>
        <w:ind w:firstLine="318"/>
        <w:rPr>
          <w:rFonts w:ascii="宋体" w:hAnsi="宋体"/>
          <w:szCs w:val="21"/>
        </w:rPr>
      </w:pPr>
      <w:r>
        <w:rPr>
          <w:rFonts w:hint="eastAsia" w:ascii="宋体" w:hAnsi="宋体"/>
          <w:szCs w:val="21"/>
        </w:rPr>
        <w:t>4）项目终验后，本项目所涉及的相关数据资源属招标人所有（第三方数据除外），软件系统的最终所有权和知识产权归采购人所有，并需以相应存储媒介提供给招标人。</w:t>
      </w:r>
    </w:p>
    <w:p>
      <w:pPr>
        <w:spacing w:line="312" w:lineRule="auto"/>
        <w:ind w:firstLine="318"/>
      </w:pPr>
      <w:r>
        <w:rPr>
          <w:rFonts w:hint="eastAsia" w:ascii="宋体" w:hAnsi="宋体"/>
          <w:szCs w:val="21"/>
        </w:rPr>
        <w:t>5）若招标人在本项目招标、实施、运行、维护等过程中需用到相关数据或接口，中标人应无条件开放数据接口并配合实施。</w:t>
      </w:r>
    </w:p>
    <w:p>
      <w:pPr>
        <w:spacing w:line="312" w:lineRule="auto"/>
        <w:ind w:firstLine="318"/>
        <w:rPr>
          <w:rFonts w:ascii="宋体" w:hAnsi="宋体"/>
          <w:szCs w:val="21"/>
        </w:rPr>
      </w:pPr>
      <w:r>
        <w:rPr>
          <w:rFonts w:hint="eastAsia" w:ascii="宋体" w:hAnsi="宋体"/>
          <w:szCs w:val="21"/>
        </w:rPr>
        <w:t>6）同时中标人应提供以下服务项目（不限于此）：</w:t>
      </w:r>
    </w:p>
    <w:p>
      <w:pPr>
        <w:tabs>
          <w:tab w:val="left" w:pos="4755"/>
        </w:tabs>
        <w:adjustRightInd w:val="0"/>
        <w:snapToGrid w:val="0"/>
        <w:spacing w:line="312" w:lineRule="auto"/>
        <w:ind w:firstLine="318"/>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）提供应用系统的详细操作手册和管理员手册；</w:t>
      </w:r>
    </w:p>
    <w:p>
      <w:pPr>
        <w:tabs>
          <w:tab w:val="left" w:pos="4860"/>
        </w:tabs>
        <w:adjustRightInd w:val="0"/>
        <w:snapToGrid w:val="0"/>
        <w:spacing w:line="312" w:lineRule="auto"/>
        <w:ind w:firstLine="318"/>
        <w:rPr>
          <w:rFonts w:ascii="宋体" w:hAnsi="宋体"/>
          <w:szCs w:val="21"/>
        </w:rPr>
      </w:pPr>
      <w:r>
        <w:rPr>
          <w:rFonts w:hint="eastAsia" w:ascii="宋体" w:hAnsi="宋体"/>
          <w:szCs w:val="21"/>
        </w:rPr>
        <w:t>（2）对采购人的验收工作，中标人须按采购人要求进行配合工作；</w:t>
      </w:r>
    </w:p>
    <w:p>
      <w:pPr>
        <w:spacing w:line="312" w:lineRule="auto"/>
        <w:ind w:firstLine="318"/>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本项目免费运维期2年</w:t>
      </w:r>
      <w:r>
        <w:rPr>
          <w:rFonts w:hint="eastAsia" w:ascii="新宋体" w:hAnsi="新宋体" w:eastAsia="新宋体" w:cs="新宋体"/>
        </w:rPr>
        <w:t>，从项目终验合格之日起算</w:t>
      </w:r>
      <w:r>
        <w:rPr>
          <w:rFonts w:hint="eastAsia" w:ascii="宋体" w:hAnsi="宋体"/>
          <w:szCs w:val="21"/>
        </w:rPr>
        <w:t>。</w:t>
      </w:r>
    </w:p>
    <w:p>
      <w:pPr>
        <w:spacing w:line="312" w:lineRule="auto"/>
        <w:ind w:firstLine="420"/>
        <w:rPr>
          <w:b/>
          <w:bCs/>
          <w:szCs w:val="21"/>
        </w:rPr>
      </w:pPr>
    </w:p>
    <w:p>
      <w:pPr>
        <w:spacing w:line="360" w:lineRule="auto"/>
        <w:rPr>
          <w:szCs w:val="21"/>
        </w:rPr>
      </w:pPr>
    </w:p>
    <w:p>
      <w:pPr>
        <w:spacing w:line="312" w:lineRule="auto"/>
        <w:rPr>
          <w:b/>
          <w:szCs w:val="21"/>
        </w:rPr>
      </w:pPr>
      <w:r>
        <w:rPr>
          <w:rFonts w:hint="eastAsia"/>
          <w:b/>
          <w:sz w:val="24"/>
          <w:szCs w:val="24"/>
        </w:rPr>
        <w:t>六、培训</w:t>
      </w:r>
    </w:p>
    <w:p>
      <w:pPr>
        <w:pStyle w:val="145"/>
        <w:spacing w:line="312" w:lineRule="auto"/>
        <w:ind w:left="0" w:firstLine="420"/>
        <w:rPr>
          <w:rFonts w:ascii="宋体" w:hAnsi="宋体" w:cs="宋体"/>
          <w:szCs w:val="21"/>
        </w:rPr>
      </w:pPr>
      <w:r>
        <w:rPr>
          <w:rFonts w:hint="eastAsia" w:ascii="宋体" w:hAnsi="宋体" w:cs="宋体"/>
          <w:szCs w:val="21"/>
        </w:rPr>
        <w:t>1）现场培训：在所有产品部署现场，投标人负责用户的现场技术培训，包括产品的功能、部署条件、部署步骤和注意事项、产品升级、日常维护事项等方面。</w:t>
      </w:r>
    </w:p>
    <w:p>
      <w:pPr>
        <w:pStyle w:val="145"/>
        <w:spacing w:line="312" w:lineRule="auto"/>
        <w:ind w:left="0" w:firstLine="420"/>
        <w:rPr>
          <w:rFonts w:ascii="宋体" w:hAnsi="宋体" w:cs="宋体"/>
          <w:szCs w:val="21"/>
        </w:rPr>
      </w:pPr>
      <w:r>
        <w:rPr>
          <w:rFonts w:hint="eastAsia" w:ascii="宋体" w:hAnsi="宋体" w:cs="宋体"/>
          <w:szCs w:val="21"/>
        </w:rPr>
        <w:t>2）课程培训：投标人应提供专门的课程培训，包括理论教授，问题讨论和上机操作，以便采购人能够迅速掌握相应的培训内容。应提供详细的培训计划，包括课程的内容、资料讲义、授课方式、课程目标。</w:t>
      </w:r>
    </w:p>
    <w:p>
      <w:pPr>
        <w:spacing w:line="312" w:lineRule="auto"/>
        <w:ind w:firstLine="420" w:firstLineChars="200"/>
        <w:rPr>
          <w:b/>
          <w:szCs w:val="21"/>
        </w:rPr>
      </w:pPr>
      <w:r>
        <w:rPr>
          <w:rFonts w:hint="eastAsia" w:ascii="宋体" w:hAnsi="宋体" w:cs="宋体"/>
          <w:szCs w:val="21"/>
        </w:rPr>
        <w:t>3）培训费用：所有培训所涉及的所有费用应由投标人承担，不得另行向采购人收取。</w:t>
      </w:r>
    </w:p>
    <w:p>
      <w:pPr>
        <w:spacing w:line="360" w:lineRule="auto"/>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七、报价要求</w:t>
      </w:r>
    </w:p>
    <w:p>
      <w:pPr>
        <w:spacing w:line="360" w:lineRule="auto"/>
        <w:ind w:firstLine="420" w:firstLineChars="200"/>
        <w:rPr>
          <w:szCs w:val="21"/>
        </w:rPr>
      </w:pPr>
      <w:r>
        <w:rPr>
          <w:rFonts w:hint="eastAsia"/>
          <w:szCs w:val="21"/>
        </w:rPr>
        <w:t>1、投标人应根据招标文件报出合同总价。合同总价一旦核实确认，不得再做更改。对投标人漏报设备致使系统未能达到需求的功能和效果，其费用和后果由投标人自行负责。</w:t>
      </w:r>
    </w:p>
    <w:p>
      <w:pPr>
        <w:spacing w:line="360" w:lineRule="auto"/>
        <w:ind w:firstLine="420" w:firstLineChars="200"/>
        <w:rPr>
          <w:szCs w:val="21"/>
        </w:rPr>
      </w:pPr>
      <w:r>
        <w:rPr>
          <w:rFonts w:hint="eastAsia"/>
          <w:szCs w:val="21"/>
        </w:rPr>
        <w:t>2、所有报价均应已包含国家规定的所有税费。</w:t>
      </w:r>
    </w:p>
    <w:p>
      <w:pPr>
        <w:spacing w:line="312" w:lineRule="auto"/>
        <w:ind w:firstLine="420" w:firstLineChars="200"/>
        <w:rPr>
          <w:szCs w:val="21"/>
        </w:rPr>
      </w:pPr>
      <w:r>
        <w:rPr>
          <w:rFonts w:hint="eastAsia"/>
          <w:szCs w:val="21"/>
        </w:rPr>
        <w:t>3、</w:t>
      </w:r>
      <w:r>
        <w:rPr>
          <w:szCs w:val="21"/>
        </w:rPr>
        <w:t>投标总报价应等于</w:t>
      </w:r>
      <w:r>
        <w:rPr>
          <w:rFonts w:hint="eastAsia"/>
          <w:szCs w:val="21"/>
        </w:rPr>
        <w:t>所有</w:t>
      </w:r>
      <w:r>
        <w:rPr>
          <w:szCs w:val="21"/>
        </w:rPr>
        <w:t>费用之和。</w:t>
      </w:r>
      <w:r>
        <w:rPr>
          <w:rFonts w:hint="eastAsia"/>
          <w:szCs w:val="21"/>
        </w:rPr>
        <w:t>不能在投标报价之外还有其他费用出现。</w:t>
      </w:r>
    </w:p>
    <w:p>
      <w:pPr>
        <w:spacing w:line="360" w:lineRule="auto"/>
        <w:ind w:firstLine="420" w:firstLineChars="200"/>
        <w:rPr>
          <w:szCs w:val="21"/>
        </w:rPr>
      </w:pPr>
      <w:r>
        <w:rPr>
          <w:rFonts w:hint="eastAsia"/>
          <w:szCs w:val="21"/>
        </w:rPr>
        <w:t>4、扶持政策说明：</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（1）根据财政部发布的关于印发《政府采购促进中小企业发展管理办法》的通知（财库﹝2020﹞46 号）规定，本项目对小型和微型企业的价格给予6%的扣除。属于小型和微型企业的，投标文件中投标人必须提供《中小企业声明函》。</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未提供完整证明材料的，投标报价不予扣减。</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（2）根据《关于政府采购支持监狱企业发展有关问题的通知》（财库[2014]68号）的规定，供应商如为监狱企业且所投产品为小型或微型企业生产的，其投标报价扣除6%后参与评审。</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投标文件中须提供：《残疾人福利性单位声明函》，未提供完整证明材料的，投标报价不予扣减。</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上述（1），（2），（3）政策不重复计算。</w:t>
      </w:r>
    </w:p>
    <w:p>
      <w:pPr>
        <w:spacing w:line="360" w:lineRule="auto"/>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w:t>此项由评标委员会集体核实后统一打分。</w:t>
      </w:r>
    </w:p>
    <w:p>
      <w:pPr>
        <w:spacing w:line="360" w:lineRule="auto"/>
        <w:ind w:firstLine="420" w:firstLineChars="200"/>
        <w:rPr>
          <w:b/>
          <w:szCs w:val="21"/>
        </w:rPr>
      </w:pPr>
      <w:r>
        <w:rPr>
          <w:rFonts w:hint="eastAsia"/>
          <w:szCs w:val="21"/>
        </w:rPr>
        <w:t>5、</w:t>
      </w:r>
      <w:r>
        <w:rPr>
          <w:rFonts w:hint="eastAsia"/>
          <w:b/>
          <w:szCs w:val="21"/>
        </w:rPr>
        <w:t>本次项目的预算金额为：人民币伍佰万元整（</w:t>
      </w:r>
      <w:r>
        <w:rPr>
          <w:b/>
          <w:szCs w:val="21"/>
        </w:rPr>
        <w:t>5</w:t>
      </w:r>
      <w:r>
        <w:rPr>
          <w:rFonts w:hint="eastAsia"/>
          <w:b/>
          <w:szCs w:val="21"/>
        </w:rPr>
        <w:t>，</w:t>
      </w:r>
      <w:r>
        <w:rPr>
          <w:b/>
          <w:szCs w:val="21"/>
        </w:rPr>
        <w:t>0</w:t>
      </w:r>
      <w:r>
        <w:rPr>
          <w:rFonts w:hint="eastAsia"/>
          <w:b/>
          <w:szCs w:val="21"/>
        </w:rPr>
        <w:t>00，000.00元）。</w:t>
      </w:r>
    </w:p>
    <w:p>
      <w:pPr>
        <w:spacing w:line="360" w:lineRule="auto"/>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八、其他</w:t>
      </w:r>
    </w:p>
    <w:p>
      <w:pPr>
        <w:spacing w:line="360" w:lineRule="auto"/>
        <w:ind w:firstLine="420" w:firstLineChars="200"/>
        <w:rPr>
          <w:szCs w:val="21"/>
        </w:rPr>
      </w:pPr>
      <w:r>
        <w:rPr>
          <w:rFonts w:hint="eastAsia"/>
          <w:szCs w:val="21"/>
        </w:rPr>
        <w:t>1、投标人或中标人应对招标、实施、运行、维护等过程中数据和信息安全负保密责任，并在信息系统中采取保密措施，因此造成的不良影响和损失，应承担相应责任。</w:t>
      </w:r>
    </w:p>
    <w:p>
      <w:pPr>
        <w:pageBreakBefore/>
        <w:snapToGrid w:val="0"/>
        <w:jc w:val="center"/>
        <w:textAlignment w:val="baseline"/>
        <w:rPr>
          <w:sz w:val="28"/>
        </w:rPr>
      </w:pPr>
      <w:r>
        <w:rPr>
          <w:rFonts w:hint="eastAsia" w:ascii="宋体"/>
          <w:b/>
          <w:sz w:val="32"/>
        </w:rPr>
        <w:t xml:space="preserve">第三章   </w:t>
      </w:r>
      <w:r>
        <w:rPr>
          <w:rFonts w:hint="eastAsia"/>
          <w:b/>
          <w:sz w:val="32"/>
        </w:rPr>
        <w:t>投标人须知</w:t>
      </w:r>
    </w:p>
    <w:p>
      <w:pPr>
        <w:snapToGrid w:val="0"/>
        <w:ind w:firstLine="4340" w:firstLineChars="1550"/>
        <w:textAlignment w:val="baseline"/>
        <w:rPr>
          <w:sz w:val="28"/>
        </w:rPr>
      </w:pPr>
      <w:r>
        <w:rPr>
          <w:rFonts w:hint="eastAsia"/>
          <w:sz w:val="28"/>
        </w:rPr>
        <w:t>前附表</w:t>
      </w:r>
    </w:p>
    <w:tbl>
      <w:tblPr>
        <w:tblStyle w:val="36"/>
        <w:tblW w:w="990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95"/>
        <w:gridCol w:w="4887"/>
        <w:gridCol w:w="1098"/>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序号</w:t>
            </w:r>
          </w:p>
        </w:tc>
        <w:tc>
          <w:tcPr>
            <w:tcW w:w="937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项目名称</w:t>
            </w:r>
          </w:p>
        </w:tc>
        <w:tc>
          <w:tcPr>
            <w:tcW w:w="48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bCs/>
                <w:sz w:val="20"/>
                <w:lang w:val="zh-CN"/>
              </w:rPr>
            </w:pPr>
            <w:r>
              <w:rPr>
                <w:rFonts w:hint="eastAsia"/>
              </w:rPr>
              <w:t>舟山市省域空间治理数字化平台舟山节点建设采购项目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Cs/>
                <w:sz w:val="20"/>
              </w:rPr>
            </w:pPr>
            <w:r>
              <w:rPr>
                <w:rFonts w:hint="eastAsia" w:ascii="宋体" w:hAnsi="宋体"/>
                <w:b/>
              </w:rPr>
              <w:t>招标编号</w:t>
            </w:r>
          </w:p>
        </w:tc>
        <w:tc>
          <w:tcPr>
            <w:tcW w:w="189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bCs/>
                <w:sz w:val="20"/>
              </w:rPr>
            </w:pPr>
            <w:r>
              <w:rPr>
                <w:rFonts w:hint="eastAsia" w:ascii="宋体" w:hAnsi="宋体"/>
              </w:rPr>
              <w:t>SZGXZS2021185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2</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采购单位名称</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bCs/>
                <w:sz w:val="20"/>
              </w:rPr>
            </w:pPr>
            <w:r>
              <w:rPr>
                <w:rFonts w:hint="eastAsia"/>
              </w:rPr>
              <w:t>舟山市自然资源与规划局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3</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采购内容</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cs="宋体"/>
                <w:kern w:val="0"/>
                <w:sz w:val="20"/>
                <w:szCs w:val="21"/>
              </w:rPr>
            </w:pPr>
            <w:r>
              <w:rPr>
                <w:rFonts w:hint="eastAsia"/>
                <w:szCs w:val="21"/>
                <w:shd w:val="clear" w:color="auto" w:fill="FFFFFF"/>
              </w:rPr>
              <w:t>舟山市省域空间治理数字化平台舟山节点建设采购项目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4</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本项目预算</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left"/>
              <w:textAlignment w:val="baseline"/>
              <w:rPr>
                <w:rFonts w:ascii="宋体"/>
                <w:sz w:val="20"/>
                <w:szCs w:val="21"/>
              </w:rPr>
            </w:pPr>
            <w:r>
              <w:rPr>
                <w:rFonts w:hint="eastAsia"/>
              </w:rPr>
              <w:t>人民币</w:t>
            </w:r>
            <w:r>
              <w:rPr>
                <w:rFonts w:hint="eastAsia"/>
                <w:b/>
                <w:szCs w:val="21"/>
              </w:rPr>
              <w:t>伍佰万元整（</w:t>
            </w:r>
            <w:r>
              <w:rPr>
                <w:b/>
                <w:szCs w:val="21"/>
              </w:rPr>
              <w:t>5</w:t>
            </w:r>
            <w:r>
              <w:rPr>
                <w:rFonts w:hint="eastAsia"/>
                <w:b/>
                <w:szCs w:val="21"/>
              </w:rPr>
              <w:t>，</w:t>
            </w:r>
            <w:r>
              <w:rPr>
                <w:b/>
                <w:szCs w:val="21"/>
              </w:rPr>
              <w:t>0</w:t>
            </w:r>
            <w:r>
              <w:rPr>
                <w:rFonts w:hint="eastAsia"/>
                <w:b/>
                <w:szCs w:val="21"/>
              </w:rPr>
              <w:t>00，000.00元）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5</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szCs w:val="21"/>
              </w:rPr>
            </w:pPr>
            <w:r>
              <w:rPr>
                <w:rFonts w:hint="eastAsia" w:ascii="宋体" w:hAnsi="宋体"/>
                <w:b/>
                <w:szCs w:val="21"/>
              </w:rPr>
              <w:t>进度要求</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heme="minorEastAsia" w:hAnsiTheme="minorEastAsia" w:eastAsiaTheme="minorEastAsia"/>
                <w:szCs w:val="21"/>
              </w:rPr>
            </w:pPr>
            <w:r>
              <w:rPr>
                <w:rFonts w:hint="eastAsia" w:ascii="宋体" w:hAnsi="宋体"/>
                <w:szCs w:val="21"/>
              </w:rPr>
              <w:t>本项目招标结束以后，要求于2022年9月实现系统上线，上线后先进行初验，初验完成后进入试运行和系统完善，2022年12月前举行项目终验。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6</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投标有效期</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sz w:val="20"/>
                <w:szCs w:val="21"/>
              </w:rPr>
            </w:pPr>
            <w:r>
              <w:rPr>
                <w:rFonts w:hint="eastAsia" w:ascii="宋体" w:hAnsi="宋体"/>
                <w:u w:val="single" w:color="000000"/>
              </w:rPr>
              <w:t xml:space="preserve"> 90 日</w:t>
            </w:r>
            <w:r>
              <w:rPr>
                <w:rFonts w:hint="eastAsia" w:ascii="宋体" w:hAnsi="宋体"/>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7</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评标办法</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ind w:firstLine="105" w:firstLineChars="50"/>
              <w:textAlignment w:val="baseline"/>
              <w:rPr>
                <w:rFonts w:ascii="宋体" w:hAnsi="宋体"/>
                <w:sz w:val="20"/>
                <w:szCs w:val="21"/>
              </w:rPr>
            </w:pPr>
            <w:r>
              <w:rPr>
                <w:rFonts w:hint="eastAsia" w:ascii="宋体" w:hAnsi="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8</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签订合同</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sz w:val="20"/>
                <w:szCs w:val="21"/>
              </w:rPr>
            </w:pPr>
            <w:r>
              <w:rPr>
                <w:rFonts w:hint="eastAsia" w:ascii="宋体" w:hAnsi="宋体"/>
              </w:rPr>
              <w:t>中标通知书发出后</w:t>
            </w:r>
            <w:r>
              <w:rPr>
                <w:rFonts w:hint="eastAsia" w:ascii="宋体" w:hAnsi="宋体"/>
                <w:u w:val="single" w:color="000000"/>
              </w:rPr>
              <w:t xml:space="preserve">30 </w:t>
            </w:r>
            <w:r>
              <w:rPr>
                <w:rFonts w:hint="eastAsia" w:ascii="宋体" w:hAnsi="宋体"/>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9</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资金结算</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rFonts w:ascii="宋体" w:hAnsi="宋体" w:cs="宋体"/>
                <w:bCs/>
              </w:rPr>
            </w:pPr>
            <w:r>
              <w:rPr>
                <w:rFonts w:hint="eastAsia" w:ascii="宋体" w:hAnsi="宋体" w:cs="宋体"/>
                <w:bCs/>
              </w:rPr>
              <w:t>合同签订后7个工作日内采购人支付合同总金额的30%，同时中标方支付5%的履约保证金（可以通过担保机构出具的保函等法律法规允许的方式缴纳），项目初验通过以后10个工作日内支付合同金额的30%；项目终验通过以后10个工作日内支付合同金额的40%，系统经试运行并完善后，系统满免费维护期后10个工作日内退回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10</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投标报价</w:t>
            </w:r>
          </w:p>
          <w:p>
            <w:pPr>
              <w:snapToGrid w:val="0"/>
              <w:spacing w:line="240" w:lineRule="exact"/>
              <w:jc w:val="center"/>
              <w:textAlignment w:val="baseline"/>
              <w:rPr>
                <w:rFonts w:ascii="宋体" w:hAnsi="宋体"/>
                <w:b/>
                <w:sz w:val="20"/>
              </w:rPr>
            </w:pPr>
            <w:r>
              <w:rPr>
                <w:rFonts w:hint="eastAsia" w:ascii="宋体" w:hAnsi="宋体"/>
                <w:b/>
              </w:rPr>
              <w:t>与费用</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sz w:val="20"/>
              </w:rPr>
            </w:pPr>
            <w:r>
              <w:rPr>
                <w:rFonts w:hint="eastAsia" w:ascii="宋体" w:hAnsi="宋体"/>
              </w:rPr>
              <w:t>1、本项目的投标应以人民币报价，投标报价应包括所有费用。</w:t>
            </w:r>
          </w:p>
          <w:p>
            <w:pPr>
              <w:snapToGrid w:val="0"/>
              <w:spacing w:line="240" w:lineRule="exact"/>
              <w:textAlignment w:val="baseline"/>
              <w:rPr>
                <w:rFonts w:ascii="宋体" w:hAnsi="宋体"/>
                <w:sz w:val="20"/>
              </w:rPr>
            </w:pPr>
            <w:r>
              <w:rPr>
                <w:rFonts w:hint="eastAsia" w:ascii="宋体" w:hAnsi="宋体"/>
              </w:rPr>
              <w:t>2、投标人应承担其参加本招标活动自身所发生的费用。</w:t>
            </w:r>
          </w:p>
          <w:p>
            <w:pPr>
              <w:snapToGrid w:val="0"/>
              <w:spacing w:line="240" w:lineRule="exact"/>
              <w:textAlignment w:val="baseline"/>
              <w:rPr>
                <w:rFonts w:ascii="宋体" w:hAnsi="宋体"/>
                <w:sz w:val="20"/>
              </w:rPr>
            </w:pPr>
            <w:r>
              <w:rPr>
                <w:rFonts w:hint="eastAsia" w:ascii="宋体" w:hAnsi="宋体"/>
              </w:rPr>
              <w:t>3、中标供应商须缴纳招标代理费，收费为：人民币叁万元整（30，000.00元）；</w:t>
            </w:r>
          </w:p>
          <w:p>
            <w:pPr>
              <w:snapToGrid w:val="0"/>
              <w:spacing w:line="240" w:lineRule="exact"/>
              <w:textAlignment w:val="baseline"/>
              <w:rPr>
                <w:rFonts w:ascii="宋体" w:hAnsi="宋体"/>
                <w:sz w:val="20"/>
                <w:szCs w:val="21"/>
              </w:rPr>
            </w:pPr>
            <w:r>
              <w:rPr>
                <w:rFonts w:hint="eastAsia" w:ascii="宋体" w:hAnsi="宋体"/>
              </w:rPr>
              <w:t>4、中标通知书发出的同时，中标供应商应及时支付招标代理费，收到服务费后提供全额发票。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11</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银行账号</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sz w:val="20"/>
              </w:rPr>
            </w:pPr>
            <w:r>
              <w:rPr>
                <w:rFonts w:hint="eastAsia" w:ascii="宋体" w:hAnsi="宋体"/>
              </w:rPr>
              <w:t>收款单位：深圳市国信招标有限公司舟山分公司</w:t>
            </w:r>
          </w:p>
          <w:p>
            <w:pPr>
              <w:snapToGrid w:val="0"/>
              <w:spacing w:line="240" w:lineRule="exact"/>
              <w:textAlignment w:val="baseline"/>
              <w:rPr>
                <w:rFonts w:ascii="宋体" w:hAnsi="宋体"/>
                <w:sz w:val="20"/>
              </w:rPr>
            </w:pPr>
            <w:r>
              <w:rPr>
                <w:rFonts w:hint="eastAsia" w:ascii="宋体" w:hAnsi="宋体"/>
              </w:rPr>
              <w:t>开户银行：中国工商银行舟山市定海区支行，</w:t>
            </w:r>
          </w:p>
          <w:p>
            <w:pPr>
              <w:snapToGrid w:val="0"/>
              <w:spacing w:line="240" w:lineRule="exact"/>
              <w:textAlignment w:val="baseline"/>
              <w:rPr>
                <w:rFonts w:ascii="宋体" w:hAnsi="宋体"/>
                <w:sz w:val="20"/>
              </w:rPr>
            </w:pPr>
            <w:r>
              <w:rPr>
                <w:rFonts w:hint="eastAsia" w:ascii="宋体" w:hAnsi="宋体"/>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12</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质量标准</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sz w:val="20"/>
                <w:szCs w:val="21"/>
              </w:rPr>
            </w:pPr>
            <w:r>
              <w:rPr>
                <w:rFonts w:hint="eastAsia" w:ascii="宋体" w:hAnsi="宋体"/>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13</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 xml:space="preserve"> 投标文件的</w:t>
            </w:r>
          </w:p>
          <w:p>
            <w:pPr>
              <w:snapToGrid w:val="0"/>
              <w:spacing w:line="240" w:lineRule="exact"/>
              <w:jc w:val="center"/>
              <w:textAlignment w:val="baseline"/>
              <w:rPr>
                <w:rFonts w:ascii="宋体" w:hAnsi="宋体"/>
                <w:b/>
                <w:sz w:val="20"/>
              </w:rPr>
            </w:pPr>
            <w:r>
              <w:rPr>
                <w:rFonts w:hint="eastAsia" w:ascii="宋体" w:hAnsi="宋体"/>
                <w:b/>
              </w:rPr>
              <w:t>组成</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textAlignment w:val="baseline"/>
              <w:rPr>
                <w:rFonts w:ascii="宋体" w:hAnsi="宋体"/>
                <w:sz w:val="20"/>
                <w:szCs w:val="21"/>
              </w:rPr>
            </w:pPr>
            <w:r>
              <w:rPr>
                <w:rFonts w:hint="eastAsia" w:ascii="宋体" w:hAnsi="宋体"/>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sz w:val="20"/>
              </w:rPr>
              <w:t>14</w:t>
            </w:r>
          </w:p>
        </w:tc>
        <w:tc>
          <w:tcPr>
            <w:tcW w:w="1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sz w:val="20"/>
              </w:rPr>
              <w:t>投标文件的</w:t>
            </w:r>
          </w:p>
          <w:p>
            <w:pPr>
              <w:snapToGrid w:val="0"/>
              <w:spacing w:line="240" w:lineRule="exact"/>
              <w:jc w:val="center"/>
              <w:textAlignment w:val="baseline"/>
              <w:rPr>
                <w:rFonts w:ascii="宋体" w:hAnsi="宋体"/>
                <w:b/>
                <w:sz w:val="20"/>
              </w:rPr>
            </w:pPr>
            <w:r>
              <w:rPr>
                <w:rFonts w:hint="eastAsia" w:ascii="宋体" w:hAnsi="宋体"/>
                <w:b/>
                <w:sz w:val="20"/>
              </w:rPr>
              <w:t>制作</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sz w:val="20"/>
                <w:szCs w:val="21"/>
              </w:rPr>
            </w:pPr>
            <w:r>
              <w:rPr>
                <w:rFonts w:hint="eastAsia"/>
                <w:szCs w:val="21"/>
              </w:rPr>
              <w:t>本项目实行电子投标。</w:t>
            </w:r>
          </w:p>
          <w:p>
            <w:pPr>
              <w:snapToGrid w:val="0"/>
              <w:textAlignment w:val="baseline"/>
              <w:rPr>
                <w:sz w:val="20"/>
                <w:szCs w:val="21"/>
              </w:rPr>
            </w:pPr>
            <w:r>
              <w:rPr>
                <w:rFonts w:hint="eastAsia"/>
                <w:szCs w:val="21"/>
              </w:rPr>
              <w:t>投标人应准备电子投标文件、以介质存储的数据电文形式的备份投标文件、纸质备份投标文件三类：</w:t>
            </w:r>
          </w:p>
          <w:p>
            <w:pPr>
              <w:snapToGrid w:val="0"/>
              <w:textAlignment w:val="baseline"/>
              <w:rPr>
                <w:sz w:val="20"/>
                <w:szCs w:val="21"/>
              </w:rPr>
            </w:pPr>
            <w:r>
              <w:rPr>
                <w:rFonts w:hint="eastAsia"/>
                <w:szCs w:val="21"/>
              </w:rPr>
              <w:t>（1）电子投标文件，按政采云平台项目采购-电子交易操作指南及本招标文件要求递交。</w:t>
            </w:r>
          </w:p>
          <w:p>
            <w:pPr>
              <w:snapToGrid w:val="0"/>
              <w:textAlignment w:val="baseline"/>
              <w:rPr>
                <w:sz w:val="20"/>
                <w:szCs w:val="21"/>
              </w:rPr>
            </w:pPr>
            <w:r>
              <w:rPr>
                <w:rFonts w:hint="eastAsia"/>
                <w:szCs w:val="21"/>
              </w:rPr>
              <w:t>（2）以介质存储的数据电文形式的备份投标文件，按政采云平台项目采购-电子交易操作指南中上传的电子投标文件格式，以U盘形式存储提供。数量为1份。</w:t>
            </w:r>
          </w:p>
          <w:p>
            <w:pPr>
              <w:snapToGrid w:val="0"/>
              <w:textAlignment w:val="baseline"/>
              <w:rPr>
                <w:sz w:val="20"/>
                <w:szCs w:val="21"/>
              </w:rPr>
            </w:pPr>
            <w:r>
              <w:rPr>
                <w:rFonts w:hint="eastAsia"/>
                <w:szCs w:val="21"/>
              </w:rPr>
              <w:t>（3）纸质备份投标文件将以纸质文件的形式递交。数量为：正本、副本各1份。（报价文件正本一份，副本一份，单独密封）</w:t>
            </w:r>
          </w:p>
          <w:p>
            <w:pPr>
              <w:snapToGrid w:val="0"/>
              <w:textAlignment w:val="baseline"/>
              <w:rPr>
                <w:rFonts w:ascii="宋体" w:hAnsi="宋体"/>
                <w:sz w:val="20"/>
                <w:szCs w:val="21"/>
              </w:rPr>
            </w:pPr>
            <w:r>
              <w:rPr>
                <w:rFonts w:hint="eastAsia"/>
                <w:szCs w:val="21"/>
              </w:rPr>
              <w:t>投标文件均由</w:t>
            </w:r>
            <w:r>
              <w:rPr>
                <w:rFonts w:hint="eastAsia" w:ascii="宋体" w:hAnsi="宋体"/>
                <w:szCs w:val="21"/>
              </w:rPr>
              <w:t>资格响应文件、商务及技术响应文件、报价文件组成。</w:t>
            </w:r>
          </w:p>
          <w:p>
            <w:pPr>
              <w:snapToGrid w:val="0"/>
              <w:textAlignment w:val="baseline"/>
              <w:rPr>
                <w:rFonts w:ascii="宋体" w:hAnsi="宋体" w:cs="宋体"/>
                <w:sz w:val="22"/>
              </w:rPr>
            </w:pPr>
            <w:r>
              <w:rPr>
                <w:rFonts w:hint="eastAsia" w:cs="(使用中文字体)"/>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15</w:t>
            </w:r>
          </w:p>
        </w:tc>
        <w:tc>
          <w:tcPr>
            <w:tcW w:w="14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投标文件的</w:t>
            </w:r>
          </w:p>
          <w:p>
            <w:pPr>
              <w:snapToGrid w:val="0"/>
              <w:spacing w:line="300" w:lineRule="auto"/>
              <w:jc w:val="center"/>
              <w:textAlignment w:val="baseline"/>
              <w:rPr>
                <w:rFonts w:ascii="宋体" w:hAnsi="宋体" w:cs="宋体"/>
                <w:b/>
                <w:sz w:val="22"/>
                <w:shd w:val="pct10" w:color="auto" w:fill="FFFFFF"/>
              </w:rPr>
            </w:pPr>
            <w:r>
              <w:rPr>
                <w:rFonts w:hint="eastAsia" w:ascii="宋体" w:hAnsi="宋体"/>
                <w:b/>
              </w:rPr>
              <w:t>组成</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rFonts w:ascii="宋体" w:hAnsi="宋体" w:cs="宋体"/>
                <w:sz w:val="22"/>
              </w:rPr>
            </w:pPr>
            <w:r>
              <w:rPr>
                <w:rFonts w:hint="eastAsia" w:ascii="宋体" w:hAnsi="宋体" w:cs="宋体"/>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textAlignment w:val="baseline"/>
              <w:rPr>
                <w:rFonts w:ascii="宋体" w:hAnsi="宋体" w:cs="宋体"/>
                <w:sz w:val="22"/>
              </w:rPr>
            </w:pPr>
            <w:r>
              <w:rPr>
                <w:rFonts w:hint="eastAsia" w:ascii="宋体" w:hAnsi="宋体" w:cs="宋体"/>
                <w:sz w:val="22"/>
              </w:rPr>
              <w:t>投标人应当在规定时间前将以介质存储的数据电文形式的备份投标文件和纸质备份投标文件寄到或送达采购代理公司：舟山市定海区昌国路232号中楼202。逾期送达或未密封将被拒收。也可现场递交。</w:t>
            </w:r>
          </w:p>
          <w:p>
            <w:pPr>
              <w:snapToGrid w:val="0"/>
              <w:textAlignment w:val="baseline"/>
              <w:rPr>
                <w:rFonts w:ascii="宋体" w:hAnsi="宋体" w:cs="宋体"/>
                <w:sz w:val="22"/>
              </w:rPr>
            </w:pPr>
            <w:r>
              <w:rPr>
                <w:rFonts w:hint="eastAsia" w:ascii="宋体" w:hAnsi="宋体" w:cs="宋体"/>
                <w:sz w:val="22"/>
              </w:rPr>
              <w:t>投标人递交以介质存储的数据电文形式的备份投标文件和纸质备份投标文件时，如出现下列情况之一的，将被拒收：</w:t>
            </w:r>
          </w:p>
          <w:p>
            <w:pPr>
              <w:snapToGrid w:val="0"/>
              <w:textAlignment w:val="baseline"/>
              <w:rPr>
                <w:rFonts w:ascii="宋体" w:hAnsi="宋体" w:cs="宋体"/>
                <w:sz w:val="22"/>
              </w:rPr>
            </w:pPr>
            <w:r>
              <w:rPr>
                <w:rFonts w:hint="eastAsia" w:ascii="宋体" w:hAnsi="宋体" w:cs="宋体"/>
                <w:sz w:val="22"/>
              </w:rPr>
              <w:t>1、未按规定密封或标记的投标文件；</w:t>
            </w:r>
          </w:p>
          <w:p>
            <w:pPr>
              <w:snapToGrid w:val="0"/>
              <w:textAlignment w:val="baseline"/>
              <w:rPr>
                <w:rFonts w:ascii="宋体" w:hAnsi="宋体" w:cs="宋体"/>
                <w:sz w:val="22"/>
              </w:rPr>
            </w:pPr>
            <w:r>
              <w:rPr>
                <w:rFonts w:hint="eastAsia" w:ascii="宋体" w:hAnsi="宋体" w:cs="宋体"/>
                <w:sz w:val="22"/>
              </w:rPr>
              <w:t>2、由于包装不妥，在送交途中严重破损或失散的；</w:t>
            </w:r>
          </w:p>
          <w:p>
            <w:pPr>
              <w:snapToGrid w:val="0"/>
              <w:textAlignment w:val="baseline"/>
              <w:rPr>
                <w:rFonts w:ascii="宋体" w:hAnsi="宋体" w:cs="宋体"/>
                <w:sz w:val="22"/>
              </w:rPr>
            </w:pPr>
            <w:r>
              <w:rPr>
                <w:rFonts w:hint="eastAsia" w:ascii="宋体" w:hAnsi="宋体" w:cs="宋体"/>
                <w:sz w:val="22"/>
              </w:rPr>
              <w:t>3、未成功办理投标人报名手续的；</w:t>
            </w:r>
          </w:p>
          <w:p>
            <w:pPr>
              <w:snapToGrid w:val="0"/>
              <w:textAlignment w:val="baseline"/>
              <w:rPr>
                <w:rFonts w:ascii="宋体" w:hAnsi="宋体" w:cs="宋体"/>
                <w:sz w:val="22"/>
              </w:rPr>
            </w:pPr>
            <w:r>
              <w:rPr>
                <w:rFonts w:hint="eastAsia" w:ascii="宋体" w:hAnsi="宋体" w:cs="宋体"/>
                <w:sz w:val="22"/>
              </w:rPr>
              <w:t>4、超过截止时间送达的；</w:t>
            </w:r>
          </w:p>
          <w:p>
            <w:pPr>
              <w:snapToGrid w:val="0"/>
              <w:textAlignment w:val="baseline"/>
              <w:rPr>
                <w:rFonts w:ascii="宋体" w:hAnsi="宋体" w:cs="宋体"/>
                <w:sz w:val="22"/>
              </w:rPr>
            </w:pPr>
            <w:r>
              <w:rPr>
                <w:rFonts w:hint="eastAsia" w:ascii="宋体" w:hAnsi="宋体" w:cs="宋体"/>
                <w:sz w:val="22"/>
              </w:rPr>
              <w:t>仅提供备份投标文件的，投标无效。</w:t>
            </w:r>
          </w:p>
          <w:p>
            <w:pPr>
              <w:snapToGrid w:val="0"/>
              <w:textAlignment w:val="baseline"/>
              <w:rPr>
                <w:rFonts w:ascii="宋体" w:hAnsi="宋体" w:cs="宋体"/>
                <w:sz w:val="22"/>
              </w:rPr>
            </w:pPr>
            <w:r>
              <w:rPr>
                <w:rFonts w:hint="eastAsia" w:ascii="宋体" w:hAnsi="宋体" w:cs="宋体"/>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textAlignment w:val="baseline"/>
              <w:rPr>
                <w:rFonts w:ascii="宋体" w:hAnsi="宋体"/>
                <w:b/>
                <w:sz w:val="20"/>
              </w:rPr>
            </w:pPr>
            <w:r>
              <w:rPr>
                <w:rFonts w:hint="eastAsia" w:ascii="宋体" w:hAnsi="宋体"/>
                <w:b/>
              </w:rPr>
              <w:t>16</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textAlignment w:val="baseline"/>
              <w:rPr>
                <w:rFonts w:ascii="宋体" w:hAnsi="宋体"/>
                <w:b/>
                <w:sz w:val="20"/>
                <w:szCs w:val="21"/>
              </w:rPr>
            </w:pPr>
            <w:r>
              <w:rPr>
                <w:rFonts w:hint="eastAsia" w:ascii="宋体" w:hAnsi="宋体"/>
                <w:b/>
                <w:szCs w:val="21"/>
              </w:rPr>
              <w:t>投标人</w:t>
            </w:r>
            <w:r>
              <w:rPr>
                <w:rFonts w:ascii="宋体" w:hAnsi="宋体"/>
                <w:b/>
                <w:szCs w:val="21"/>
              </w:rPr>
              <w:t>注册</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before="31"/>
              <w:jc w:val="left"/>
              <w:textAlignment w:val="baseline"/>
              <w:rPr>
                <w:rFonts w:ascii="宋体" w:hAnsi="宋体"/>
                <w:bCs/>
                <w:kern w:val="0"/>
                <w:sz w:val="20"/>
              </w:rPr>
            </w:pPr>
            <w:r>
              <w:rPr>
                <w:rFonts w:ascii="宋体" w:hAnsi="宋体"/>
                <w:bCs/>
                <w:kern w:val="0"/>
              </w:rPr>
              <w:t>各</w:t>
            </w:r>
            <w:r>
              <w:rPr>
                <w:rFonts w:hint="eastAsia" w:ascii="宋体" w:hAnsi="宋体"/>
                <w:bCs/>
                <w:kern w:val="0"/>
              </w:rPr>
              <w:t>投标人</w:t>
            </w:r>
            <w:r>
              <w:rPr>
                <w:rFonts w:ascii="宋体" w:hAnsi="宋体"/>
                <w:bCs/>
                <w:kern w:val="0"/>
              </w:rPr>
              <w:t>须在投标截止时间前根据浙江省财政厅《关于开展政府采购</w:t>
            </w:r>
            <w:r>
              <w:rPr>
                <w:rFonts w:hint="eastAsia" w:ascii="宋体" w:hAnsi="宋体"/>
                <w:bCs/>
                <w:kern w:val="0"/>
              </w:rPr>
              <w:t>投标人</w:t>
            </w:r>
            <w:r>
              <w:rPr>
                <w:rFonts w:ascii="宋体" w:hAnsi="宋体"/>
                <w:bCs/>
                <w:kern w:val="0"/>
              </w:rPr>
              <w:t>网上注册登记和诚信管理工作的通知》（浙财采监【2010】8号文）的要求，通过浙江政府采购网申请注册加入政府采购</w:t>
            </w:r>
            <w:r>
              <w:rPr>
                <w:rFonts w:hint="eastAsia" w:ascii="宋体" w:hAnsi="宋体"/>
                <w:bCs/>
                <w:kern w:val="0"/>
              </w:rPr>
              <w:t>投标人</w:t>
            </w:r>
            <w:r>
              <w:rPr>
                <w:rFonts w:ascii="宋体" w:hAnsi="宋体"/>
                <w:bCs/>
                <w:kern w:val="0"/>
              </w:rPr>
              <w:t>库。以免影响享受相关政策优惠及成交后的款项支付。</w:t>
            </w:r>
          </w:p>
          <w:p>
            <w:pPr>
              <w:snapToGrid w:val="0"/>
              <w:spacing w:before="31"/>
              <w:jc w:val="left"/>
              <w:textAlignment w:val="baseline"/>
              <w:rPr>
                <w:rFonts w:ascii="宋体" w:hAnsi="宋体"/>
                <w:sz w:val="20"/>
                <w:szCs w:val="21"/>
              </w:rPr>
            </w:pPr>
            <w:r>
              <w:rPr>
                <w:rFonts w:hint="eastAsia" w:ascii="宋体" w:hAnsi="宋体"/>
                <w:bCs/>
                <w:kern w:val="0"/>
              </w:rPr>
              <w:t>投标人</w:t>
            </w:r>
            <w:r>
              <w:rPr>
                <w:rFonts w:ascii="宋体" w:hAnsi="宋体"/>
                <w:bCs/>
                <w:kern w:val="0"/>
              </w:rPr>
              <w:t>在申请注册前，请认真阅读，学习《中华人民共和国政府采购法》和《浙江省政府采购</w:t>
            </w:r>
            <w:r>
              <w:rPr>
                <w:rFonts w:hint="eastAsia" w:ascii="宋体" w:hAnsi="宋体"/>
                <w:bCs/>
                <w:kern w:val="0"/>
              </w:rPr>
              <w:t>投标人</w:t>
            </w:r>
            <w:r>
              <w:rPr>
                <w:rFonts w:ascii="宋体" w:hAnsi="宋体"/>
                <w:bCs/>
                <w:kern w:val="0"/>
              </w:rPr>
              <w:t>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17</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textAlignment w:val="baseline"/>
              <w:rPr>
                <w:rFonts w:ascii="宋体" w:hAnsi="宋体"/>
                <w:b/>
                <w:sz w:val="20"/>
                <w:szCs w:val="21"/>
              </w:rPr>
            </w:pPr>
            <w:r>
              <w:rPr>
                <w:rFonts w:ascii="宋体" w:hAnsi="宋体"/>
                <w:b/>
                <w:szCs w:val="21"/>
              </w:rPr>
              <w:t>不良信用记录查询</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rFonts w:ascii="宋体" w:hAnsi="宋体" w:cs="宋体"/>
                <w:sz w:val="20"/>
                <w:szCs w:val="21"/>
              </w:rPr>
            </w:pPr>
            <w:r>
              <w:rPr>
                <w:rFonts w:hint="eastAsia" w:ascii="宋体" w:hAnsi="宋体" w:cs="宋体"/>
                <w:szCs w:val="21"/>
              </w:rPr>
              <w:t>根据财库[2016]125号文件：</w:t>
            </w:r>
          </w:p>
          <w:p>
            <w:pPr>
              <w:snapToGrid w:val="0"/>
              <w:textAlignment w:val="baseline"/>
              <w:rPr>
                <w:rFonts w:ascii="宋体" w:hAnsi="宋体" w:cs="宋体"/>
                <w:sz w:val="20"/>
                <w:szCs w:val="21"/>
              </w:rPr>
            </w:pPr>
            <w:r>
              <w:rPr>
                <w:rFonts w:hint="eastAsia" w:ascii="宋体" w:hAnsi="宋体" w:cs="宋体"/>
                <w:szCs w:val="21"/>
              </w:rPr>
              <w:t>1、至本项目投标截止前未被列入“信用中国”网站(www.creditchina.gov.cn)“记录失信被执行人或重大税收违法案件当事人名单”记录名单。</w:t>
            </w:r>
          </w:p>
          <w:p>
            <w:pPr>
              <w:snapToGrid w:val="0"/>
              <w:textAlignment w:val="baseline"/>
              <w:rPr>
                <w:rFonts w:ascii="宋体" w:hAnsi="宋体" w:cs="宋体"/>
                <w:sz w:val="20"/>
                <w:szCs w:val="21"/>
              </w:rPr>
            </w:pPr>
            <w:r>
              <w:rPr>
                <w:rFonts w:hint="eastAsia" w:ascii="宋体" w:hAnsi="宋体" w:cs="宋体"/>
                <w:szCs w:val="21"/>
              </w:rPr>
              <w:t>2、至本项目投标截止前不处于中国政府采购网(www.ccgp.gov.cn)“政府采购严重违法失信行为信息记录”中的禁止参加政府采购活动期间。</w:t>
            </w:r>
          </w:p>
          <w:p>
            <w:pPr>
              <w:snapToGrid w:val="0"/>
              <w:textAlignment w:val="baseline"/>
              <w:rPr>
                <w:rFonts w:ascii="宋体" w:hAnsi="宋体"/>
                <w:sz w:val="20"/>
              </w:rPr>
            </w:pPr>
            <w:r>
              <w:rPr>
                <w:rFonts w:hint="eastAsia" w:ascii="宋体" w:hAnsi="宋体" w:cs="宋体"/>
                <w:szCs w:val="21"/>
              </w:rPr>
              <w:t>提供</w:t>
            </w:r>
            <w:r>
              <w:rPr>
                <w:b/>
              </w:rPr>
              <w:t>查询</w:t>
            </w:r>
            <w:r>
              <w:rPr>
                <w:rFonts w:hint="eastAsia"/>
                <w:b/>
              </w:rPr>
              <w:t>截图</w:t>
            </w:r>
            <w:r>
              <w:rPr>
                <w:b/>
              </w:rPr>
              <w:t>，</w:t>
            </w:r>
            <w:r>
              <w:rPr>
                <w:rFonts w:hint="eastAsia"/>
                <w:b/>
              </w:rPr>
              <w:t>（截图查询网站时间须在开标截止前二个星期内）。</w:t>
            </w:r>
            <w:r>
              <w:rPr>
                <w:rFonts w:hint="eastAsia" w:ascii="宋体" w:hAnsi="宋体" w:cs="宋体"/>
                <w:szCs w:val="21"/>
              </w:rPr>
              <w:t>对列入失信被执行人、重大税收违法案件当事人名单、政府采购严重违法失信行为记录名单的供应商，</w:t>
            </w:r>
            <w:r>
              <w:rPr>
                <w:rFonts w:hint="eastAsia" w:ascii="宋体" w:hAnsi="宋体" w:cs="宋体"/>
                <w:b/>
                <w:szCs w:val="21"/>
              </w:rPr>
              <w:t>其投标将作无效标处理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textAlignment w:val="baseline"/>
              <w:rPr>
                <w:rFonts w:ascii="宋体" w:hAnsi="宋体"/>
                <w:b/>
                <w:sz w:val="20"/>
              </w:rPr>
            </w:pPr>
            <w:r>
              <w:rPr>
                <w:rFonts w:hint="eastAsia" w:ascii="宋体" w:hAnsi="宋体"/>
                <w:b/>
              </w:rPr>
              <w:t>18</w:t>
            </w:r>
          </w:p>
        </w:tc>
        <w:tc>
          <w:tcPr>
            <w:tcW w:w="148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textAlignment w:val="baseline"/>
              <w:rPr>
                <w:rFonts w:ascii="宋体" w:hAnsi="宋体"/>
                <w:b/>
                <w:sz w:val="20"/>
                <w:szCs w:val="21"/>
              </w:rPr>
            </w:pPr>
            <w:r>
              <w:rPr>
                <w:rFonts w:hint="eastAsia" w:ascii="宋体" w:hAnsi="宋体"/>
                <w:b/>
                <w:szCs w:val="21"/>
              </w:rPr>
              <w:t>扶持政策</w:t>
            </w:r>
          </w:p>
        </w:tc>
        <w:tc>
          <w:tcPr>
            <w:tcW w:w="7879"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rFonts w:ascii="宋体" w:hAnsi="宋体"/>
                <w:szCs w:val="21"/>
              </w:rPr>
            </w:pPr>
            <w:r>
              <w:rPr>
                <w:rFonts w:ascii="宋体" w:hAnsi="宋体"/>
                <w:szCs w:val="21"/>
              </w:rPr>
              <w:t>（1）根据财政部发布的关于印发《政府采购促进中小企业发展管理办法》的通知（财库﹝2020﹞46 号）规定，本项目对小型和微型企业的价格给予6%的扣除。属于小型和微型企业的，投标文件中投标人必须提供《中小企业声明函》。</w:t>
            </w:r>
          </w:p>
          <w:p>
            <w:pPr>
              <w:snapToGrid w:val="0"/>
              <w:textAlignment w:val="baseline"/>
              <w:rPr>
                <w:rFonts w:ascii="宋体" w:hAnsi="宋体"/>
                <w:szCs w:val="21"/>
              </w:rPr>
            </w:pPr>
            <w:r>
              <w:rPr>
                <w:rFonts w:ascii="宋体" w:hAnsi="宋体"/>
                <w:szCs w:val="21"/>
              </w:rPr>
              <w:t>未提供完整证明材料的，投标报价不予扣减。</w:t>
            </w:r>
          </w:p>
          <w:p>
            <w:pPr>
              <w:snapToGrid w:val="0"/>
              <w:textAlignment w:val="baseline"/>
              <w:rPr>
                <w:rFonts w:ascii="宋体" w:hAnsi="宋体"/>
                <w:szCs w:val="21"/>
              </w:rPr>
            </w:pPr>
            <w:r>
              <w:rPr>
                <w:rFonts w:ascii="宋体" w:hAnsi="宋体"/>
                <w:szCs w:val="21"/>
              </w:rPr>
              <w:t>（2）根据《关于政府采购支持监狱企业发展有关问题的通知》（财库[2014]68号）的规定，供应商如为监狱企业且所投产品为小型或微型企业生产的，其投标报价扣除6%后参与评审。</w:t>
            </w:r>
          </w:p>
          <w:p>
            <w:pPr>
              <w:snapToGrid w:val="0"/>
              <w:textAlignment w:val="baseline"/>
              <w:rPr>
                <w:rFonts w:ascii="宋体" w:hAnsi="宋体"/>
                <w:szCs w:val="21"/>
              </w:rPr>
            </w:pPr>
            <w:r>
              <w:rPr>
                <w:rFonts w:ascii="宋体" w:hAnsi="宋体"/>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textAlignment w:val="baseline"/>
              <w:rPr>
                <w:rFonts w:ascii="宋体" w:hAnsi="宋体"/>
                <w:szCs w:val="21"/>
              </w:rPr>
            </w:pPr>
            <w:r>
              <w:rPr>
                <w:rFonts w:ascii="宋体" w:hAnsi="宋体"/>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textAlignment w:val="baseline"/>
              <w:rPr>
                <w:rFonts w:ascii="宋体" w:hAnsi="宋体"/>
                <w:szCs w:val="21"/>
              </w:rPr>
            </w:pPr>
            <w:r>
              <w:rPr>
                <w:rFonts w:ascii="宋体" w:hAnsi="宋体"/>
                <w:szCs w:val="21"/>
              </w:rPr>
              <w:t>投标文件中须提供：《残疾人福利性单位声明函》，未提供完整证明材料的，投标报价不予扣减。</w:t>
            </w:r>
          </w:p>
          <w:p>
            <w:pPr>
              <w:snapToGrid w:val="0"/>
              <w:textAlignment w:val="baseline"/>
              <w:rPr>
                <w:rFonts w:ascii="宋体" w:hAnsi="宋体"/>
                <w:szCs w:val="21"/>
              </w:rPr>
            </w:pPr>
            <w:r>
              <w:rPr>
                <w:rFonts w:ascii="宋体" w:hAnsi="宋体"/>
                <w:szCs w:val="21"/>
              </w:rPr>
              <w:t>上述（1），（2），（3）政策不重复计算。</w:t>
            </w:r>
          </w:p>
          <w:p>
            <w:pPr>
              <w:snapToGrid w:val="0"/>
              <w:textAlignment w:val="baseline"/>
              <w:rPr>
                <w:rFonts w:ascii="宋体" w:hAnsi="宋体"/>
                <w:szCs w:val="21"/>
              </w:rPr>
            </w:pPr>
            <w:r>
              <w:rPr>
                <w:rFonts w:ascii="宋体" w:hAnsi="宋体"/>
                <w:szCs w:val="21"/>
              </w:rPr>
              <w:t>此项由评标委员会集体核实后统一打分。</w:t>
            </w:r>
          </w:p>
        </w:tc>
      </w:tr>
    </w:tbl>
    <w:p>
      <w:pPr>
        <w:snapToGrid w:val="0"/>
        <w:spacing w:before="120" w:line="312" w:lineRule="auto"/>
        <w:jc w:val="center"/>
        <w:textAlignment w:val="baseline"/>
        <w:rPr>
          <w:b/>
          <w:sz w:val="28"/>
        </w:rPr>
      </w:pPr>
    </w:p>
    <w:p>
      <w:pPr>
        <w:snapToGrid w:val="0"/>
        <w:spacing w:before="120" w:line="312" w:lineRule="auto"/>
        <w:jc w:val="center"/>
        <w:textAlignment w:val="baseline"/>
        <w:rPr>
          <w:b/>
          <w:sz w:val="28"/>
        </w:rPr>
      </w:pPr>
    </w:p>
    <w:p>
      <w:pPr>
        <w:snapToGrid w:val="0"/>
        <w:spacing w:before="120" w:line="312" w:lineRule="auto"/>
        <w:jc w:val="center"/>
        <w:textAlignment w:val="baseline"/>
        <w:rPr>
          <w:b/>
          <w:sz w:val="28"/>
        </w:rPr>
      </w:pPr>
    </w:p>
    <w:p>
      <w:pPr>
        <w:snapToGrid w:val="0"/>
        <w:spacing w:before="120" w:line="312" w:lineRule="auto"/>
        <w:jc w:val="center"/>
        <w:textAlignment w:val="baseline"/>
        <w:rPr>
          <w:b/>
          <w:sz w:val="28"/>
        </w:rPr>
      </w:pPr>
    </w:p>
    <w:p>
      <w:pPr>
        <w:snapToGrid w:val="0"/>
        <w:spacing w:before="120" w:line="312" w:lineRule="auto"/>
        <w:textAlignment w:val="baseline"/>
        <w:rPr>
          <w:b/>
          <w:sz w:val="28"/>
        </w:rPr>
      </w:pPr>
    </w:p>
    <w:p>
      <w:pPr>
        <w:snapToGrid w:val="0"/>
        <w:spacing w:before="120" w:line="312" w:lineRule="auto"/>
        <w:jc w:val="center"/>
        <w:textAlignment w:val="baseline"/>
        <w:rPr>
          <w:b/>
          <w:sz w:val="28"/>
        </w:rPr>
      </w:pPr>
      <w:r>
        <w:rPr>
          <w:rFonts w:hint="eastAsia"/>
          <w:b/>
          <w:sz w:val="28"/>
        </w:rPr>
        <w:t>一  总  则</w:t>
      </w:r>
    </w:p>
    <w:p>
      <w:pPr>
        <w:snapToGrid w:val="0"/>
        <w:spacing w:before="120" w:line="360" w:lineRule="auto"/>
        <w:ind w:right="54"/>
        <w:textAlignment w:val="baseline"/>
        <w:rPr>
          <w:rFonts w:hAnsi="宋体"/>
          <w:b/>
          <w:sz w:val="28"/>
        </w:rPr>
      </w:pPr>
      <w:r>
        <w:rPr>
          <w:rFonts w:hint="eastAsia"/>
          <w:b/>
        </w:rPr>
        <w:t>（一）适用范围</w:t>
      </w:r>
    </w:p>
    <w:p>
      <w:pPr>
        <w:snapToGrid w:val="0"/>
        <w:spacing w:line="360" w:lineRule="auto"/>
        <w:ind w:right="54" w:firstLine="420" w:firstLineChars="200"/>
        <w:jc w:val="left"/>
        <w:textAlignment w:val="baseline"/>
        <w:rPr>
          <w:rFonts w:ascii="宋体" w:hAnsi="宋体"/>
          <w:sz w:val="20"/>
        </w:rPr>
      </w:pPr>
      <w:r>
        <w:rPr>
          <w:rFonts w:hint="eastAsia" w:ascii="宋体" w:hAnsi="宋体"/>
        </w:rPr>
        <w:t>本招标文件适用于</w:t>
      </w:r>
      <w:r>
        <w:rPr>
          <w:rFonts w:hint="eastAsia"/>
        </w:rPr>
        <w:t>舟山市省域空间治理数字化平台舟山节点建设采购项目</w:t>
      </w:r>
      <w:r>
        <w:rPr>
          <w:rFonts w:hint="eastAsia" w:ascii="宋体" w:hAnsi="宋体"/>
        </w:rPr>
        <w:t>的招标、投标、评标、定标、验收、合同履约、付款等行为（法律、法规另有规定的，从其规定）。</w:t>
      </w:r>
    </w:p>
    <w:p>
      <w:pPr>
        <w:snapToGrid w:val="0"/>
        <w:spacing w:line="360" w:lineRule="auto"/>
        <w:ind w:right="54"/>
        <w:jc w:val="left"/>
        <w:textAlignment w:val="baseline"/>
        <w:rPr>
          <w:rFonts w:ascii="宋体" w:hAnsi="宋体"/>
          <w:b/>
          <w:sz w:val="24"/>
        </w:rPr>
      </w:pPr>
      <w:r>
        <w:rPr>
          <w:rFonts w:hint="eastAsia" w:ascii="宋体" w:hAnsi="宋体"/>
          <w:b/>
          <w:sz w:val="24"/>
        </w:rPr>
        <w:t>（二）定义</w:t>
      </w:r>
    </w:p>
    <w:p>
      <w:pPr>
        <w:snapToGrid w:val="0"/>
        <w:spacing w:line="360" w:lineRule="auto"/>
        <w:ind w:right="-506" w:rightChars="-241" w:firstLine="420" w:firstLineChars="200"/>
        <w:jc w:val="left"/>
        <w:rPr>
          <w:rFonts w:ascii="宋体"/>
        </w:rPr>
      </w:pPr>
      <w:r>
        <w:rPr>
          <w:rFonts w:ascii="宋体" w:hAnsi="宋体"/>
        </w:rPr>
        <w:t>1</w:t>
      </w:r>
      <w:r>
        <w:rPr>
          <w:rFonts w:hint="eastAsia" w:ascii="宋体" w:hAnsi="宋体"/>
        </w:rPr>
        <w:t>、招标采购单位系指组织本次招标的深圳国信招标有限公司和</w:t>
      </w:r>
      <w:r>
        <w:rPr>
          <w:rFonts w:hint="eastAsia"/>
          <w:bCs/>
        </w:rPr>
        <w:t>舟山市自然资源与规划局</w:t>
      </w:r>
      <w:r>
        <w:rPr>
          <w:rFonts w:hint="eastAsia" w:ascii="宋体" w:hAnsi="宋体"/>
        </w:rPr>
        <w:t>。</w:t>
      </w:r>
    </w:p>
    <w:p>
      <w:pPr>
        <w:snapToGrid w:val="0"/>
        <w:spacing w:line="312" w:lineRule="auto"/>
        <w:ind w:firstLine="420" w:firstLineChars="200"/>
        <w:jc w:val="left"/>
        <w:outlineLvl w:val="1"/>
        <w:rPr>
          <w:rFonts w:ascii="宋体" w:hAnsi="宋体"/>
        </w:rPr>
      </w:pPr>
      <w:r>
        <w:rPr>
          <w:rFonts w:hint="eastAsia" w:ascii="宋体" w:hAnsi="宋体"/>
        </w:rPr>
        <w:t>2、“投标人”系指向招标方提交投标文件的单位或个人。</w:t>
      </w:r>
    </w:p>
    <w:p>
      <w:pPr>
        <w:snapToGrid w:val="0"/>
        <w:spacing w:line="312" w:lineRule="auto"/>
        <w:ind w:firstLine="420" w:firstLineChars="200"/>
        <w:jc w:val="left"/>
        <w:outlineLvl w:val="1"/>
        <w:rPr>
          <w:rFonts w:ascii="宋体" w:hAnsi="宋体"/>
        </w:rPr>
      </w:pPr>
      <w:r>
        <w:rPr>
          <w:rFonts w:hint="eastAsia" w:ascii="宋体" w:hAnsi="宋体"/>
        </w:rPr>
        <w:t>3、“产品”系指供方按招标文件规定，须向采购人提供的一切设备、保险、税金、备品备件、工具、手册及其它有关技术资料和材料。</w:t>
      </w:r>
    </w:p>
    <w:p>
      <w:pPr>
        <w:snapToGrid w:val="0"/>
        <w:spacing w:line="312" w:lineRule="auto"/>
        <w:ind w:firstLine="420" w:firstLineChars="200"/>
        <w:jc w:val="left"/>
        <w:outlineLvl w:val="1"/>
        <w:rPr>
          <w:rFonts w:ascii="宋体" w:hAnsi="宋体"/>
        </w:rPr>
      </w:pPr>
      <w:r>
        <w:rPr>
          <w:rFonts w:hint="eastAsia" w:ascii="宋体" w:hAnsi="宋体"/>
        </w:rPr>
        <w:t>4、“服务”系指招标文件规定投标人须承担的安装、调试、技术协助、校准、培训、技术指导以及其他类似的义务。</w:t>
      </w:r>
    </w:p>
    <w:p>
      <w:pPr>
        <w:snapToGrid w:val="0"/>
        <w:spacing w:line="312" w:lineRule="auto"/>
        <w:ind w:firstLine="420" w:firstLineChars="200"/>
        <w:jc w:val="left"/>
        <w:outlineLvl w:val="1"/>
        <w:rPr>
          <w:rFonts w:ascii="宋体" w:hAnsi="宋体"/>
        </w:rPr>
      </w:pPr>
      <w:r>
        <w:rPr>
          <w:rFonts w:hint="eastAsia" w:ascii="宋体" w:hAnsi="宋体"/>
        </w:rPr>
        <w:t>5、“项目”系指投标人按招标文件规定向采购人提供的产品和服务。</w:t>
      </w:r>
    </w:p>
    <w:p>
      <w:pPr>
        <w:snapToGrid w:val="0"/>
        <w:spacing w:line="312" w:lineRule="auto"/>
        <w:ind w:firstLine="420" w:firstLineChars="200"/>
        <w:jc w:val="left"/>
        <w:outlineLvl w:val="1"/>
        <w:rPr>
          <w:rFonts w:ascii="宋体" w:hAnsi="宋体"/>
        </w:rPr>
      </w:pPr>
      <w:r>
        <w:rPr>
          <w:rFonts w:hint="eastAsia" w:ascii="宋体" w:hAnsi="宋体"/>
        </w:rPr>
        <w:t>6、“书面形式”包括信函、传真、电报、电子文档等。</w:t>
      </w:r>
    </w:p>
    <w:p>
      <w:pPr>
        <w:snapToGrid w:val="0"/>
        <w:spacing w:line="312" w:lineRule="auto"/>
        <w:jc w:val="left"/>
        <w:textAlignment w:val="baseline"/>
        <w:rPr>
          <w:rFonts w:ascii="宋体" w:hAnsi="宋体"/>
          <w:b/>
          <w:sz w:val="24"/>
        </w:rPr>
      </w:pPr>
      <w:r>
        <w:rPr>
          <w:rFonts w:hint="eastAsia" w:ascii="宋体" w:hAnsi="宋体"/>
          <w:b/>
          <w:sz w:val="24"/>
        </w:rPr>
        <w:t>（三）招标方式</w:t>
      </w:r>
    </w:p>
    <w:p>
      <w:pPr>
        <w:snapToGrid w:val="0"/>
        <w:spacing w:line="312" w:lineRule="auto"/>
        <w:ind w:firstLine="420" w:firstLineChars="200"/>
        <w:jc w:val="left"/>
        <w:textAlignment w:val="baseline"/>
        <w:rPr>
          <w:rFonts w:ascii="宋体" w:hAnsi="宋体"/>
          <w:sz w:val="20"/>
        </w:rPr>
      </w:pPr>
      <w:r>
        <w:t>1</w:t>
      </w:r>
      <w:r>
        <w:rPr>
          <w:rFonts w:hint="eastAsia"/>
        </w:rPr>
        <w:t>、本次招标采用公开招标方式进行。</w:t>
      </w:r>
    </w:p>
    <w:p>
      <w:pPr>
        <w:snapToGrid w:val="0"/>
        <w:spacing w:line="312" w:lineRule="auto"/>
        <w:ind w:right="54"/>
        <w:jc w:val="left"/>
        <w:textAlignment w:val="baseline"/>
        <w:rPr>
          <w:rFonts w:ascii="宋体" w:hAnsi="宋体"/>
          <w:b/>
          <w:sz w:val="24"/>
        </w:rPr>
      </w:pPr>
      <w:r>
        <w:rPr>
          <w:rFonts w:hint="eastAsia" w:ascii="宋体" w:hAnsi="宋体"/>
          <w:b/>
          <w:sz w:val="24"/>
        </w:rPr>
        <w:t>（四）投标费用</w:t>
      </w:r>
    </w:p>
    <w:p>
      <w:pPr>
        <w:snapToGrid w:val="0"/>
        <w:spacing w:line="312" w:lineRule="auto"/>
        <w:ind w:right="54" w:firstLine="630" w:firstLineChars="300"/>
        <w:jc w:val="left"/>
        <w:textAlignment w:val="baseline"/>
        <w:rPr>
          <w:rFonts w:ascii="宋体" w:hAnsi="宋体"/>
          <w:sz w:val="20"/>
        </w:rPr>
      </w:pPr>
      <w:r>
        <w:rPr>
          <w:rFonts w:hint="eastAsia" w:ascii="宋体" w:hAnsi="宋体"/>
        </w:rPr>
        <w:t>不论投标结果如何，投标人均应自行承担所有与投标有关的全部费用（招标文件另有规定除外）。</w:t>
      </w:r>
    </w:p>
    <w:p>
      <w:pPr>
        <w:snapToGrid w:val="0"/>
        <w:spacing w:line="312" w:lineRule="auto"/>
        <w:ind w:right="54"/>
        <w:jc w:val="left"/>
        <w:textAlignment w:val="baseline"/>
        <w:rPr>
          <w:rFonts w:ascii="宋体" w:hAnsi="宋体"/>
          <w:b/>
          <w:sz w:val="24"/>
        </w:rPr>
      </w:pPr>
      <w:r>
        <w:rPr>
          <w:rFonts w:hint="eastAsia" w:ascii="宋体" w:hAnsi="宋体"/>
          <w:b/>
          <w:sz w:val="24"/>
        </w:rPr>
        <w:t>（五）联合体投标</w:t>
      </w:r>
    </w:p>
    <w:p>
      <w:pPr>
        <w:pStyle w:val="85"/>
        <w:snapToGrid w:val="0"/>
        <w:spacing w:line="312" w:lineRule="auto"/>
        <w:ind w:firstLine="420"/>
        <w:textAlignment w:val="baseline"/>
        <w:rPr>
          <w:rFonts w:ascii="宋体" w:hAnsi="宋体"/>
          <w:szCs w:val="21"/>
        </w:rPr>
      </w:pPr>
      <w:r>
        <w:rPr>
          <w:rFonts w:hint="eastAsia" w:ascii="宋体" w:hAnsi="宋体"/>
          <w:szCs w:val="21"/>
        </w:rPr>
        <w:t>1、本项目接受联合体投标，</w:t>
      </w:r>
      <w:r>
        <w:rPr>
          <w:rFonts w:hint="eastAsia"/>
          <w:szCs w:val="21"/>
          <w:shd w:val="clear" w:color="auto" w:fill="FFFFFF"/>
        </w:rPr>
        <w:t>联合体单位不超过2家</w:t>
      </w:r>
      <w:r>
        <w:rPr>
          <w:rFonts w:hint="eastAsia" w:ascii="宋体" w:hAnsi="宋体"/>
          <w:szCs w:val="21"/>
        </w:rPr>
        <w:t>。</w:t>
      </w:r>
    </w:p>
    <w:p>
      <w:pPr>
        <w:pStyle w:val="85"/>
        <w:snapToGrid w:val="0"/>
        <w:spacing w:line="312" w:lineRule="auto"/>
        <w:ind w:firstLine="511" w:firstLineChars="252"/>
        <w:textAlignment w:val="baseline"/>
        <w:rPr>
          <w:rFonts w:asciiTheme="minorEastAsia" w:hAnsiTheme="minorEastAsia" w:eastAsiaTheme="minorEastAsia"/>
          <w:w w:val="99"/>
          <w:szCs w:val="21"/>
        </w:rPr>
      </w:pPr>
      <w:r>
        <w:rPr>
          <w:rFonts w:asciiTheme="minorEastAsia" w:hAnsiTheme="minorEastAsia" w:eastAsiaTheme="minorEastAsia"/>
          <w:spacing w:val="-2"/>
          <w:w w:val="99"/>
          <w:szCs w:val="21"/>
        </w:rPr>
        <w:t>两</w:t>
      </w:r>
      <w:r>
        <w:rPr>
          <w:rFonts w:asciiTheme="minorEastAsia" w:hAnsiTheme="minorEastAsia" w:eastAsiaTheme="minorEastAsia"/>
          <w:spacing w:val="2"/>
          <w:w w:val="99"/>
          <w:szCs w:val="21"/>
        </w:rPr>
        <w:t>个</w:t>
      </w:r>
      <w:r>
        <w:rPr>
          <w:rFonts w:asciiTheme="minorEastAsia" w:hAnsiTheme="minorEastAsia" w:eastAsiaTheme="minorEastAsia"/>
          <w:w w:val="99"/>
          <w:szCs w:val="21"/>
        </w:rPr>
        <w:t>自</w:t>
      </w:r>
      <w:r>
        <w:rPr>
          <w:rFonts w:asciiTheme="minorEastAsia" w:hAnsiTheme="minorEastAsia" w:eastAsiaTheme="minorEastAsia"/>
          <w:spacing w:val="-2"/>
          <w:w w:val="99"/>
          <w:szCs w:val="21"/>
        </w:rPr>
        <w:t>然</w:t>
      </w:r>
      <w:r>
        <w:rPr>
          <w:rFonts w:asciiTheme="minorEastAsia" w:hAnsiTheme="minorEastAsia" w:eastAsiaTheme="minorEastAsia"/>
          <w:w w:val="99"/>
          <w:szCs w:val="21"/>
        </w:rPr>
        <w:t>人</w:t>
      </w:r>
      <w:r>
        <w:rPr>
          <w:rFonts w:asciiTheme="minorEastAsia" w:hAnsiTheme="minorEastAsia" w:eastAsiaTheme="minorEastAsia"/>
          <w:spacing w:val="-2"/>
          <w:w w:val="99"/>
          <w:szCs w:val="21"/>
        </w:rPr>
        <w:t>、法</w:t>
      </w:r>
      <w:r>
        <w:rPr>
          <w:rFonts w:asciiTheme="minorEastAsia" w:hAnsiTheme="minorEastAsia" w:eastAsiaTheme="minorEastAsia"/>
          <w:spacing w:val="2"/>
          <w:w w:val="99"/>
          <w:szCs w:val="21"/>
        </w:rPr>
        <w:t>人</w:t>
      </w:r>
      <w:r>
        <w:rPr>
          <w:rFonts w:asciiTheme="minorEastAsia" w:hAnsiTheme="minorEastAsia" w:eastAsiaTheme="minorEastAsia"/>
          <w:spacing w:val="-2"/>
          <w:w w:val="99"/>
          <w:szCs w:val="21"/>
        </w:rPr>
        <w:t>或者</w:t>
      </w:r>
      <w:r>
        <w:rPr>
          <w:rFonts w:asciiTheme="minorEastAsia" w:hAnsiTheme="minorEastAsia" w:eastAsiaTheme="minorEastAsia"/>
          <w:spacing w:val="2"/>
          <w:w w:val="99"/>
          <w:szCs w:val="21"/>
        </w:rPr>
        <w:t>其</w:t>
      </w:r>
      <w:r>
        <w:rPr>
          <w:rFonts w:asciiTheme="minorEastAsia" w:hAnsiTheme="minorEastAsia" w:eastAsiaTheme="minorEastAsia"/>
          <w:spacing w:val="-2"/>
          <w:w w:val="99"/>
          <w:szCs w:val="21"/>
        </w:rPr>
        <w:t>他组</w:t>
      </w:r>
      <w:r>
        <w:rPr>
          <w:rFonts w:asciiTheme="minorEastAsia" w:hAnsiTheme="minorEastAsia" w:eastAsiaTheme="minorEastAsia"/>
          <w:w w:val="99"/>
          <w:szCs w:val="21"/>
        </w:rPr>
        <w:t>织可</w:t>
      </w:r>
      <w:r>
        <w:rPr>
          <w:rFonts w:asciiTheme="minorEastAsia" w:hAnsiTheme="minorEastAsia" w:eastAsiaTheme="minorEastAsia"/>
          <w:spacing w:val="-2"/>
          <w:w w:val="99"/>
          <w:szCs w:val="21"/>
        </w:rPr>
        <w:t>以组</w:t>
      </w:r>
      <w:r>
        <w:rPr>
          <w:rFonts w:asciiTheme="minorEastAsia" w:hAnsiTheme="minorEastAsia" w:eastAsiaTheme="minorEastAsia"/>
          <w:w w:val="99"/>
          <w:szCs w:val="21"/>
        </w:rPr>
        <w:t>成一个</w:t>
      </w:r>
      <w:r>
        <w:rPr>
          <w:rFonts w:asciiTheme="minorEastAsia" w:hAnsiTheme="minorEastAsia" w:eastAsiaTheme="minorEastAsia"/>
          <w:spacing w:val="-4"/>
          <w:w w:val="99"/>
          <w:szCs w:val="21"/>
        </w:rPr>
        <w:t>联</w:t>
      </w:r>
      <w:r>
        <w:rPr>
          <w:rFonts w:asciiTheme="minorEastAsia" w:hAnsiTheme="minorEastAsia" w:eastAsiaTheme="minorEastAsia"/>
          <w:spacing w:val="2"/>
          <w:w w:val="99"/>
          <w:szCs w:val="21"/>
        </w:rPr>
        <w:t>合</w:t>
      </w:r>
      <w:r>
        <w:rPr>
          <w:rFonts w:asciiTheme="minorEastAsia" w:hAnsiTheme="minorEastAsia" w:eastAsiaTheme="minorEastAsia"/>
          <w:spacing w:val="-2"/>
          <w:w w:val="99"/>
          <w:szCs w:val="21"/>
        </w:rPr>
        <w:t>体</w:t>
      </w:r>
      <w:r>
        <w:rPr>
          <w:rFonts w:asciiTheme="minorEastAsia" w:hAnsiTheme="minorEastAsia" w:eastAsiaTheme="minorEastAsia"/>
          <w:spacing w:val="2"/>
          <w:w w:val="99"/>
          <w:szCs w:val="21"/>
        </w:rPr>
        <w:t>，</w:t>
      </w:r>
      <w:r>
        <w:rPr>
          <w:rFonts w:asciiTheme="minorEastAsia" w:hAnsiTheme="minorEastAsia" w:eastAsiaTheme="minorEastAsia"/>
          <w:spacing w:val="-4"/>
          <w:w w:val="99"/>
          <w:szCs w:val="21"/>
        </w:rPr>
        <w:t>以</w:t>
      </w:r>
      <w:r>
        <w:rPr>
          <w:rFonts w:asciiTheme="minorEastAsia" w:hAnsiTheme="minorEastAsia" w:eastAsiaTheme="minorEastAsia"/>
          <w:w w:val="99"/>
          <w:szCs w:val="21"/>
        </w:rPr>
        <w:t>一个投</w:t>
      </w:r>
      <w:r>
        <w:rPr>
          <w:rFonts w:asciiTheme="minorEastAsia" w:hAnsiTheme="minorEastAsia" w:eastAsiaTheme="minorEastAsia"/>
          <w:spacing w:val="-4"/>
          <w:w w:val="99"/>
          <w:szCs w:val="21"/>
        </w:rPr>
        <w:t>标</w:t>
      </w:r>
      <w:r>
        <w:rPr>
          <w:rFonts w:asciiTheme="minorEastAsia" w:hAnsiTheme="minorEastAsia" w:eastAsiaTheme="minorEastAsia"/>
          <w:w w:val="99"/>
          <w:szCs w:val="21"/>
        </w:rPr>
        <w:t>人</w:t>
      </w:r>
      <w:r>
        <w:rPr>
          <w:rFonts w:asciiTheme="minorEastAsia" w:hAnsiTheme="minorEastAsia" w:eastAsiaTheme="minorEastAsia"/>
          <w:spacing w:val="2"/>
          <w:w w:val="99"/>
          <w:szCs w:val="21"/>
        </w:rPr>
        <w:t>的</w:t>
      </w:r>
      <w:r>
        <w:rPr>
          <w:rFonts w:asciiTheme="minorEastAsia" w:hAnsiTheme="minorEastAsia" w:eastAsiaTheme="minorEastAsia"/>
          <w:spacing w:val="-2"/>
          <w:w w:val="99"/>
          <w:szCs w:val="21"/>
        </w:rPr>
        <w:t>身份</w:t>
      </w:r>
      <w:r>
        <w:rPr>
          <w:rFonts w:asciiTheme="minorEastAsia" w:hAnsiTheme="minorEastAsia" w:eastAsiaTheme="minorEastAsia"/>
          <w:w w:val="99"/>
          <w:szCs w:val="21"/>
        </w:rPr>
        <w:t>共同</w:t>
      </w:r>
      <w:r>
        <w:rPr>
          <w:rFonts w:asciiTheme="minorEastAsia" w:hAnsiTheme="minorEastAsia" w:eastAsiaTheme="minorEastAsia"/>
          <w:spacing w:val="-2"/>
          <w:w w:val="99"/>
          <w:szCs w:val="21"/>
        </w:rPr>
        <w:t>参</w:t>
      </w:r>
      <w:r>
        <w:rPr>
          <w:rFonts w:asciiTheme="minorEastAsia" w:hAnsiTheme="minorEastAsia" w:eastAsiaTheme="minorEastAsia"/>
          <w:w w:val="99"/>
          <w:szCs w:val="21"/>
        </w:rPr>
        <w:t>加</w:t>
      </w:r>
      <w:r>
        <w:rPr>
          <w:rFonts w:asciiTheme="minorEastAsia" w:hAnsiTheme="minorEastAsia" w:eastAsiaTheme="minorEastAsia"/>
          <w:spacing w:val="2"/>
          <w:w w:val="99"/>
          <w:szCs w:val="21"/>
        </w:rPr>
        <w:t>本</w:t>
      </w:r>
      <w:r>
        <w:rPr>
          <w:rFonts w:asciiTheme="minorEastAsia" w:hAnsiTheme="minorEastAsia" w:eastAsiaTheme="minorEastAsia"/>
          <w:w w:val="99"/>
          <w:szCs w:val="21"/>
        </w:rPr>
        <w:t>项</w:t>
      </w:r>
      <w:r>
        <w:rPr>
          <w:rFonts w:asciiTheme="minorEastAsia" w:hAnsiTheme="minorEastAsia" w:eastAsiaTheme="minorEastAsia"/>
          <w:spacing w:val="-4"/>
          <w:w w:val="99"/>
          <w:szCs w:val="21"/>
        </w:rPr>
        <w:t>目</w:t>
      </w:r>
      <w:r>
        <w:rPr>
          <w:rFonts w:asciiTheme="minorEastAsia" w:hAnsiTheme="minorEastAsia" w:eastAsiaTheme="minorEastAsia"/>
          <w:spacing w:val="2"/>
          <w:w w:val="99"/>
          <w:szCs w:val="21"/>
        </w:rPr>
        <w:t>政</w:t>
      </w:r>
      <w:r>
        <w:rPr>
          <w:rFonts w:asciiTheme="minorEastAsia" w:hAnsiTheme="minorEastAsia" w:eastAsiaTheme="minorEastAsia"/>
          <w:spacing w:val="-2"/>
          <w:w w:val="99"/>
          <w:szCs w:val="21"/>
        </w:rPr>
        <w:t>府</w:t>
      </w:r>
      <w:r>
        <w:rPr>
          <w:rFonts w:asciiTheme="minorEastAsia" w:hAnsiTheme="minorEastAsia" w:eastAsiaTheme="minorEastAsia"/>
          <w:w w:val="99"/>
          <w:szCs w:val="21"/>
        </w:rPr>
        <w:t>采</w:t>
      </w:r>
      <w:r>
        <w:rPr>
          <w:rFonts w:asciiTheme="minorEastAsia" w:hAnsiTheme="minorEastAsia" w:eastAsiaTheme="minorEastAsia"/>
          <w:spacing w:val="-4"/>
          <w:w w:val="99"/>
          <w:szCs w:val="21"/>
        </w:rPr>
        <w:t>购</w:t>
      </w:r>
      <w:r>
        <w:rPr>
          <w:rFonts w:asciiTheme="minorEastAsia" w:hAnsiTheme="minorEastAsia" w:eastAsiaTheme="minorEastAsia"/>
          <w:spacing w:val="2"/>
          <w:w w:val="99"/>
          <w:szCs w:val="21"/>
        </w:rPr>
        <w:t>活</w:t>
      </w:r>
      <w:r>
        <w:rPr>
          <w:rFonts w:asciiTheme="minorEastAsia" w:hAnsiTheme="minorEastAsia" w:eastAsiaTheme="minorEastAsia"/>
          <w:spacing w:val="-2"/>
          <w:w w:val="99"/>
          <w:szCs w:val="21"/>
        </w:rPr>
        <w:t>动</w:t>
      </w:r>
      <w:r>
        <w:rPr>
          <w:rFonts w:asciiTheme="minorEastAsia" w:hAnsiTheme="minorEastAsia" w:eastAsiaTheme="minorEastAsia"/>
          <w:spacing w:val="2"/>
          <w:w w:val="99"/>
          <w:szCs w:val="21"/>
        </w:rPr>
        <w:t>，</w:t>
      </w:r>
      <w:r>
        <w:rPr>
          <w:rFonts w:asciiTheme="minorEastAsia" w:hAnsiTheme="minorEastAsia" w:eastAsiaTheme="minorEastAsia"/>
          <w:spacing w:val="-4"/>
          <w:w w:val="99"/>
          <w:szCs w:val="21"/>
        </w:rPr>
        <w:t>联</w:t>
      </w:r>
      <w:r>
        <w:rPr>
          <w:rFonts w:asciiTheme="minorEastAsia" w:hAnsiTheme="minorEastAsia" w:eastAsiaTheme="minorEastAsia"/>
          <w:w w:val="99"/>
          <w:szCs w:val="21"/>
        </w:rPr>
        <w:t>合</w:t>
      </w:r>
      <w:r>
        <w:rPr>
          <w:rFonts w:asciiTheme="minorEastAsia" w:hAnsiTheme="minorEastAsia" w:eastAsiaTheme="minorEastAsia"/>
          <w:spacing w:val="2"/>
          <w:w w:val="99"/>
          <w:szCs w:val="21"/>
        </w:rPr>
        <w:t>体</w:t>
      </w:r>
      <w:r>
        <w:rPr>
          <w:rFonts w:asciiTheme="minorEastAsia" w:hAnsiTheme="minorEastAsia" w:eastAsiaTheme="minorEastAsia"/>
          <w:spacing w:val="-2"/>
          <w:w w:val="99"/>
          <w:szCs w:val="21"/>
        </w:rPr>
        <w:t>在投</w:t>
      </w:r>
      <w:r>
        <w:rPr>
          <w:rFonts w:asciiTheme="minorEastAsia" w:hAnsiTheme="minorEastAsia" w:eastAsiaTheme="minorEastAsia"/>
          <w:w w:val="99"/>
          <w:szCs w:val="21"/>
        </w:rPr>
        <w:t>标文</w:t>
      </w:r>
      <w:r>
        <w:rPr>
          <w:rFonts w:asciiTheme="minorEastAsia" w:hAnsiTheme="minorEastAsia" w:eastAsiaTheme="minorEastAsia"/>
          <w:spacing w:val="-2"/>
          <w:w w:val="99"/>
          <w:szCs w:val="21"/>
        </w:rPr>
        <w:t>件中</w:t>
      </w:r>
      <w:r>
        <w:rPr>
          <w:rFonts w:asciiTheme="minorEastAsia" w:hAnsiTheme="minorEastAsia" w:eastAsiaTheme="minorEastAsia"/>
          <w:w w:val="99"/>
          <w:szCs w:val="21"/>
        </w:rPr>
        <w:t>提供</w:t>
      </w:r>
      <w:r>
        <w:rPr>
          <w:rFonts w:asciiTheme="minorEastAsia" w:hAnsiTheme="minorEastAsia" w:eastAsiaTheme="minorEastAsia"/>
          <w:spacing w:val="-2"/>
          <w:w w:val="99"/>
          <w:szCs w:val="21"/>
        </w:rPr>
        <w:t>联合</w:t>
      </w:r>
      <w:r>
        <w:rPr>
          <w:rFonts w:asciiTheme="minorEastAsia" w:hAnsiTheme="minorEastAsia" w:eastAsiaTheme="minorEastAsia"/>
          <w:spacing w:val="2"/>
          <w:w w:val="99"/>
          <w:szCs w:val="21"/>
        </w:rPr>
        <w:t>体</w:t>
      </w:r>
      <w:r>
        <w:rPr>
          <w:rFonts w:asciiTheme="minorEastAsia" w:hAnsiTheme="minorEastAsia" w:eastAsiaTheme="minorEastAsia"/>
          <w:spacing w:val="-2"/>
          <w:w w:val="99"/>
          <w:szCs w:val="21"/>
        </w:rPr>
        <w:t>协</w:t>
      </w:r>
      <w:r>
        <w:rPr>
          <w:rFonts w:asciiTheme="minorEastAsia" w:hAnsiTheme="minorEastAsia" w:eastAsiaTheme="minorEastAsia"/>
          <w:spacing w:val="2"/>
          <w:w w:val="99"/>
          <w:szCs w:val="21"/>
        </w:rPr>
        <w:t>议</w:t>
      </w:r>
      <w:r>
        <w:rPr>
          <w:rFonts w:asciiTheme="minorEastAsia" w:hAnsiTheme="minorEastAsia" w:eastAsiaTheme="minorEastAsia"/>
          <w:spacing w:val="-4"/>
          <w:w w:val="99"/>
          <w:szCs w:val="21"/>
        </w:rPr>
        <w:t>并</w:t>
      </w:r>
      <w:r>
        <w:rPr>
          <w:rFonts w:asciiTheme="minorEastAsia" w:hAnsiTheme="minorEastAsia" w:eastAsiaTheme="minorEastAsia"/>
          <w:w w:val="99"/>
          <w:szCs w:val="21"/>
        </w:rPr>
        <w:t>明确分</w:t>
      </w:r>
      <w:r>
        <w:rPr>
          <w:rFonts w:asciiTheme="minorEastAsia" w:hAnsiTheme="minorEastAsia" w:eastAsiaTheme="minorEastAsia"/>
          <w:spacing w:val="-4"/>
          <w:w w:val="99"/>
          <w:szCs w:val="21"/>
        </w:rPr>
        <w:t>工</w:t>
      </w:r>
      <w:r>
        <w:rPr>
          <w:rFonts w:hint="eastAsia" w:asciiTheme="minorEastAsia" w:hAnsiTheme="minorEastAsia" w:eastAsiaTheme="minorEastAsia"/>
          <w:w w:val="99"/>
          <w:szCs w:val="21"/>
        </w:rPr>
        <w:t>；</w:t>
      </w:r>
    </w:p>
    <w:p>
      <w:pPr>
        <w:pStyle w:val="85"/>
        <w:snapToGrid w:val="0"/>
        <w:spacing w:line="312" w:lineRule="auto"/>
        <w:ind w:firstLine="501" w:firstLineChars="252"/>
        <w:textAlignment w:val="baseline"/>
        <w:rPr>
          <w:rFonts w:asciiTheme="minorEastAsia" w:hAnsiTheme="minorEastAsia" w:eastAsiaTheme="minorEastAsia"/>
          <w:w w:val="95"/>
          <w:szCs w:val="21"/>
        </w:rPr>
      </w:pPr>
      <w:r>
        <w:rPr>
          <w:rFonts w:asciiTheme="minorEastAsia" w:hAnsiTheme="minorEastAsia" w:eastAsiaTheme="minorEastAsia"/>
          <w:w w:val="95"/>
          <w:szCs w:val="21"/>
        </w:rPr>
        <w:t>联合体主办单位和成员单位均应具备</w:t>
      </w:r>
      <w:r>
        <w:rPr>
          <w:rFonts w:hint="eastAsia" w:asciiTheme="minorEastAsia" w:hAnsiTheme="minorEastAsia" w:eastAsiaTheme="minorEastAsia"/>
          <w:w w:val="95"/>
          <w:szCs w:val="21"/>
        </w:rPr>
        <w:t>本招标文件的</w:t>
      </w:r>
      <w:r>
        <w:rPr>
          <w:rFonts w:asciiTheme="minorEastAsia" w:hAnsiTheme="minorEastAsia" w:eastAsiaTheme="minorEastAsia"/>
          <w:w w:val="95"/>
          <w:szCs w:val="21"/>
        </w:rPr>
        <w:t>资格要求</w:t>
      </w:r>
      <w:r>
        <w:rPr>
          <w:rFonts w:hint="eastAsia" w:asciiTheme="minorEastAsia" w:hAnsiTheme="minorEastAsia" w:eastAsiaTheme="minorEastAsia"/>
          <w:w w:val="95"/>
          <w:szCs w:val="21"/>
        </w:rPr>
        <w:t>；</w:t>
      </w:r>
    </w:p>
    <w:p>
      <w:pPr>
        <w:pStyle w:val="85"/>
        <w:snapToGrid w:val="0"/>
        <w:spacing w:line="312" w:lineRule="auto"/>
        <w:ind w:firstLine="511" w:firstLineChars="252"/>
        <w:textAlignment w:val="baseline"/>
        <w:rPr>
          <w:rFonts w:asciiTheme="minorEastAsia" w:hAnsiTheme="minorEastAsia" w:eastAsiaTheme="minorEastAsia"/>
          <w:w w:val="99"/>
          <w:szCs w:val="21"/>
        </w:rPr>
      </w:pPr>
      <w:r>
        <w:rPr>
          <w:rFonts w:asciiTheme="minorEastAsia" w:hAnsiTheme="minorEastAsia" w:eastAsiaTheme="minorEastAsia"/>
          <w:spacing w:val="-2"/>
          <w:w w:val="99"/>
          <w:szCs w:val="21"/>
        </w:rPr>
        <w:t>联</w:t>
      </w:r>
      <w:r>
        <w:rPr>
          <w:rFonts w:asciiTheme="minorEastAsia" w:hAnsiTheme="minorEastAsia" w:eastAsiaTheme="minorEastAsia"/>
          <w:spacing w:val="2"/>
          <w:w w:val="99"/>
          <w:szCs w:val="21"/>
        </w:rPr>
        <w:t>合</w:t>
      </w:r>
      <w:r>
        <w:rPr>
          <w:rFonts w:asciiTheme="minorEastAsia" w:hAnsiTheme="minorEastAsia" w:eastAsiaTheme="minorEastAsia"/>
          <w:spacing w:val="-2"/>
          <w:w w:val="99"/>
          <w:szCs w:val="21"/>
        </w:rPr>
        <w:t>体中</w:t>
      </w:r>
      <w:r>
        <w:rPr>
          <w:rFonts w:asciiTheme="minorEastAsia" w:hAnsiTheme="minorEastAsia" w:eastAsiaTheme="minorEastAsia"/>
          <w:w w:val="99"/>
          <w:szCs w:val="21"/>
        </w:rPr>
        <w:t>有同</w:t>
      </w:r>
      <w:r>
        <w:rPr>
          <w:rFonts w:asciiTheme="minorEastAsia" w:hAnsiTheme="minorEastAsia" w:eastAsiaTheme="minorEastAsia"/>
          <w:spacing w:val="-2"/>
          <w:w w:val="99"/>
          <w:szCs w:val="21"/>
        </w:rPr>
        <w:t>类</w:t>
      </w:r>
      <w:r>
        <w:rPr>
          <w:rFonts w:asciiTheme="minorEastAsia" w:hAnsiTheme="minorEastAsia" w:eastAsiaTheme="minorEastAsia"/>
          <w:w w:val="99"/>
          <w:szCs w:val="21"/>
        </w:rPr>
        <w:t>资</w:t>
      </w:r>
      <w:r>
        <w:rPr>
          <w:rFonts w:asciiTheme="minorEastAsia" w:hAnsiTheme="minorEastAsia" w:eastAsiaTheme="minorEastAsia"/>
          <w:spacing w:val="-2"/>
          <w:w w:val="99"/>
          <w:szCs w:val="21"/>
        </w:rPr>
        <w:t>质的</w:t>
      </w:r>
      <w:r>
        <w:rPr>
          <w:rFonts w:asciiTheme="minorEastAsia" w:hAnsiTheme="minorEastAsia" w:eastAsiaTheme="minorEastAsia"/>
          <w:spacing w:val="2"/>
          <w:w w:val="99"/>
          <w:szCs w:val="21"/>
        </w:rPr>
        <w:t>供</w:t>
      </w:r>
      <w:r>
        <w:rPr>
          <w:rFonts w:asciiTheme="minorEastAsia" w:hAnsiTheme="minorEastAsia" w:eastAsiaTheme="minorEastAsia"/>
          <w:spacing w:val="-2"/>
          <w:w w:val="99"/>
          <w:szCs w:val="21"/>
        </w:rPr>
        <w:t>应商</w:t>
      </w:r>
      <w:r>
        <w:rPr>
          <w:rFonts w:asciiTheme="minorEastAsia" w:hAnsiTheme="minorEastAsia" w:eastAsiaTheme="minorEastAsia"/>
          <w:spacing w:val="2"/>
          <w:w w:val="99"/>
          <w:szCs w:val="21"/>
        </w:rPr>
        <w:t>按</w:t>
      </w:r>
      <w:r>
        <w:rPr>
          <w:rFonts w:asciiTheme="minorEastAsia" w:hAnsiTheme="minorEastAsia" w:eastAsiaTheme="minorEastAsia"/>
          <w:spacing w:val="-2"/>
          <w:w w:val="99"/>
          <w:szCs w:val="21"/>
        </w:rPr>
        <w:t>照联</w:t>
      </w:r>
      <w:r>
        <w:rPr>
          <w:rFonts w:asciiTheme="minorEastAsia" w:hAnsiTheme="minorEastAsia" w:eastAsiaTheme="minorEastAsia"/>
          <w:w w:val="99"/>
          <w:szCs w:val="21"/>
        </w:rPr>
        <w:t>合体</w:t>
      </w:r>
      <w:r>
        <w:rPr>
          <w:rFonts w:asciiTheme="minorEastAsia" w:hAnsiTheme="minorEastAsia" w:eastAsiaTheme="minorEastAsia"/>
          <w:spacing w:val="-2"/>
          <w:w w:val="99"/>
          <w:szCs w:val="21"/>
        </w:rPr>
        <w:t>分工</w:t>
      </w:r>
      <w:r>
        <w:rPr>
          <w:rFonts w:asciiTheme="minorEastAsia" w:hAnsiTheme="minorEastAsia" w:eastAsiaTheme="minorEastAsia"/>
          <w:w w:val="99"/>
          <w:szCs w:val="21"/>
        </w:rPr>
        <w:t>承担</w:t>
      </w:r>
      <w:r>
        <w:rPr>
          <w:rFonts w:asciiTheme="minorEastAsia" w:hAnsiTheme="minorEastAsia" w:eastAsiaTheme="minorEastAsia"/>
          <w:spacing w:val="-2"/>
          <w:w w:val="99"/>
          <w:szCs w:val="21"/>
        </w:rPr>
        <w:t>相</w:t>
      </w:r>
      <w:r>
        <w:rPr>
          <w:rFonts w:asciiTheme="minorEastAsia" w:hAnsiTheme="minorEastAsia" w:eastAsiaTheme="minorEastAsia"/>
          <w:w w:val="99"/>
          <w:szCs w:val="21"/>
        </w:rPr>
        <w:t>同工</w:t>
      </w:r>
      <w:r>
        <w:rPr>
          <w:rFonts w:asciiTheme="minorEastAsia" w:hAnsiTheme="minorEastAsia" w:eastAsiaTheme="minorEastAsia"/>
          <w:spacing w:val="-2"/>
          <w:w w:val="99"/>
          <w:szCs w:val="21"/>
        </w:rPr>
        <w:t>作，</w:t>
      </w:r>
      <w:r>
        <w:rPr>
          <w:rFonts w:asciiTheme="minorEastAsia" w:hAnsiTheme="minorEastAsia" w:eastAsiaTheme="minorEastAsia"/>
          <w:w w:val="99"/>
          <w:szCs w:val="21"/>
        </w:rPr>
        <w:t>按资</w:t>
      </w:r>
      <w:r>
        <w:rPr>
          <w:rFonts w:asciiTheme="minorEastAsia" w:hAnsiTheme="minorEastAsia" w:eastAsiaTheme="minorEastAsia"/>
          <w:spacing w:val="-2"/>
          <w:w w:val="99"/>
          <w:szCs w:val="21"/>
        </w:rPr>
        <w:t>质等</w:t>
      </w:r>
      <w:r>
        <w:rPr>
          <w:rFonts w:asciiTheme="minorEastAsia" w:hAnsiTheme="minorEastAsia" w:eastAsiaTheme="minorEastAsia"/>
          <w:w w:val="99"/>
          <w:szCs w:val="21"/>
        </w:rPr>
        <w:t>级较低</w:t>
      </w:r>
      <w:r>
        <w:rPr>
          <w:rFonts w:asciiTheme="minorEastAsia" w:hAnsiTheme="minorEastAsia" w:eastAsiaTheme="minorEastAsia"/>
          <w:spacing w:val="-4"/>
          <w:w w:val="99"/>
          <w:szCs w:val="21"/>
        </w:rPr>
        <w:t>的</w:t>
      </w:r>
      <w:r>
        <w:rPr>
          <w:rFonts w:asciiTheme="minorEastAsia" w:hAnsiTheme="minorEastAsia" w:eastAsiaTheme="minorEastAsia"/>
          <w:spacing w:val="2"/>
          <w:w w:val="99"/>
          <w:szCs w:val="21"/>
        </w:rPr>
        <w:t>供</w:t>
      </w:r>
      <w:r>
        <w:rPr>
          <w:rFonts w:asciiTheme="minorEastAsia" w:hAnsiTheme="minorEastAsia" w:eastAsiaTheme="minorEastAsia"/>
          <w:spacing w:val="-2"/>
          <w:w w:val="99"/>
          <w:szCs w:val="21"/>
        </w:rPr>
        <w:t>应</w:t>
      </w:r>
      <w:r>
        <w:rPr>
          <w:rFonts w:asciiTheme="minorEastAsia" w:hAnsiTheme="minorEastAsia" w:eastAsiaTheme="minorEastAsia"/>
          <w:spacing w:val="2"/>
          <w:w w:val="99"/>
          <w:szCs w:val="21"/>
        </w:rPr>
        <w:t>商</w:t>
      </w:r>
      <w:r>
        <w:rPr>
          <w:rFonts w:asciiTheme="minorEastAsia" w:hAnsiTheme="minorEastAsia" w:eastAsiaTheme="minorEastAsia"/>
          <w:spacing w:val="-4"/>
          <w:w w:val="99"/>
          <w:szCs w:val="21"/>
        </w:rPr>
        <w:t>确</w:t>
      </w:r>
      <w:r>
        <w:rPr>
          <w:rFonts w:asciiTheme="minorEastAsia" w:hAnsiTheme="minorEastAsia" w:eastAsiaTheme="minorEastAsia"/>
          <w:w w:val="99"/>
          <w:szCs w:val="21"/>
        </w:rPr>
        <w:t>定</w:t>
      </w:r>
      <w:r>
        <w:rPr>
          <w:rFonts w:asciiTheme="minorEastAsia" w:hAnsiTheme="minorEastAsia" w:eastAsiaTheme="minorEastAsia"/>
          <w:spacing w:val="2"/>
          <w:w w:val="99"/>
          <w:szCs w:val="21"/>
        </w:rPr>
        <w:t>资</w:t>
      </w:r>
      <w:r>
        <w:rPr>
          <w:rFonts w:asciiTheme="minorEastAsia" w:hAnsiTheme="minorEastAsia" w:eastAsiaTheme="minorEastAsia"/>
          <w:w w:val="99"/>
          <w:szCs w:val="21"/>
        </w:rPr>
        <w:t>质</w:t>
      </w:r>
      <w:r>
        <w:rPr>
          <w:rFonts w:asciiTheme="minorEastAsia" w:hAnsiTheme="minorEastAsia" w:eastAsiaTheme="minorEastAsia"/>
          <w:spacing w:val="-4"/>
          <w:w w:val="99"/>
          <w:szCs w:val="21"/>
        </w:rPr>
        <w:t>等</w:t>
      </w:r>
      <w:r>
        <w:rPr>
          <w:rFonts w:asciiTheme="minorEastAsia" w:hAnsiTheme="minorEastAsia" w:eastAsiaTheme="minorEastAsia"/>
          <w:spacing w:val="2"/>
          <w:w w:val="99"/>
          <w:szCs w:val="21"/>
        </w:rPr>
        <w:t>级</w:t>
      </w:r>
      <w:r>
        <w:rPr>
          <w:rFonts w:asciiTheme="minorEastAsia" w:hAnsiTheme="minorEastAsia" w:eastAsiaTheme="minorEastAsia"/>
          <w:w w:val="99"/>
          <w:szCs w:val="21"/>
        </w:rPr>
        <w:t>；</w:t>
      </w:r>
    </w:p>
    <w:p>
      <w:pPr>
        <w:pStyle w:val="85"/>
        <w:snapToGrid w:val="0"/>
        <w:spacing w:line="312" w:lineRule="auto"/>
        <w:ind w:firstLine="511" w:firstLineChars="252"/>
        <w:textAlignment w:val="baseline"/>
        <w:rPr>
          <w:rFonts w:ascii="宋体" w:hAnsi="宋体"/>
          <w:szCs w:val="21"/>
        </w:rPr>
      </w:pPr>
      <w:r>
        <w:rPr>
          <w:rFonts w:asciiTheme="minorEastAsia" w:hAnsiTheme="minorEastAsia" w:eastAsiaTheme="minorEastAsia"/>
          <w:spacing w:val="-2"/>
          <w:w w:val="99"/>
          <w:szCs w:val="21"/>
        </w:rPr>
        <w:t>联</w:t>
      </w:r>
      <w:r>
        <w:rPr>
          <w:rFonts w:asciiTheme="minorEastAsia" w:hAnsiTheme="minorEastAsia" w:eastAsiaTheme="minorEastAsia"/>
          <w:spacing w:val="2"/>
          <w:w w:val="99"/>
          <w:szCs w:val="21"/>
        </w:rPr>
        <w:t>合</w:t>
      </w:r>
      <w:r>
        <w:rPr>
          <w:rFonts w:asciiTheme="minorEastAsia" w:hAnsiTheme="minorEastAsia" w:eastAsiaTheme="minorEastAsia"/>
          <w:spacing w:val="-2"/>
          <w:w w:val="99"/>
          <w:szCs w:val="21"/>
        </w:rPr>
        <w:t>体各</w:t>
      </w:r>
      <w:r>
        <w:rPr>
          <w:rFonts w:asciiTheme="minorEastAsia" w:hAnsiTheme="minorEastAsia" w:eastAsiaTheme="minorEastAsia"/>
          <w:w w:val="99"/>
          <w:szCs w:val="21"/>
        </w:rPr>
        <w:t>方不</w:t>
      </w:r>
      <w:r>
        <w:rPr>
          <w:rFonts w:asciiTheme="minorEastAsia" w:hAnsiTheme="minorEastAsia" w:eastAsiaTheme="minorEastAsia"/>
          <w:spacing w:val="-2"/>
          <w:w w:val="99"/>
          <w:szCs w:val="21"/>
        </w:rPr>
        <w:t>得</w:t>
      </w:r>
      <w:r>
        <w:rPr>
          <w:rFonts w:asciiTheme="minorEastAsia" w:hAnsiTheme="minorEastAsia" w:eastAsiaTheme="minorEastAsia"/>
          <w:w w:val="99"/>
          <w:szCs w:val="21"/>
        </w:rPr>
        <w:t>再</w:t>
      </w:r>
      <w:r>
        <w:rPr>
          <w:rFonts w:asciiTheme="minorEastAsia" w:hAnsiTheme="minorEastAsia" w:eastAsiaTheme="minorEastAsia"/>
          <w:spacing w:val="-2"/>
          <w:w w:val="99"/>
          <w:szCs w:val="21"/>
        </w:rPr>
        <w:t>单独</w:t>
      </w:r>
      <w:r>
        <w:rPr>
          <w:rFonts w:asciiTheme="minorEastAsia" w:hAnsiTheme="minorEastAsia" w:eastAsiaTheme="minorEastAsia"/>
          <w:spacing w:val="2"/>
          <w:w w:val="99"/>
          <w:szCs w:val="21"/>
        </w:rPr>
        <w:t>参</w:t>
      </w:r>
      <w:r>
        <w:rPr>
          <w:rFonts w:asciiTheme="minorEastAsia" w:hAnsiTheme="minorEastAsia" w:eastAsiaTheme="minorEastAsia"/>
          <w:spacing w:val="-2"/>
          <w:w w:val="99"/>
          <w:szCs w:val="21"/>
        </w:rPr>
        <w:t>加或</w:t>
      </w:r>
      <w:r>
        <w:rPr>
          <w:rFonts w:asciiTheme="minorEastAsia" w:hAnsiTheme="minorEastAsia" w:eastAsiaTheme="minorEastAsia"/>
          <w:spacing w:val="2"/>
          <w:w w:val="99"/>
          <w:szCs w:val="21"/>
        </w:rPr>
        <w:t>与</w:t>
      </w:r>
      <w:r>
        <w:rPr>
          <w:rFonts w:asciiTheme="minorEastAsia" w:hAnsiTheme="minorEastAsia" w:eastAsiaTheme="minorEastAsia"/>
          <w:spacing w:val="-2"/>
          <w:w w:val="99"/>
          <w:szCs w:val="21"/>
        </w:rPr>
        <w:t>其他</w:t>
      </w:r>
      <w:r>
        <w:rPr>
          <w:rFonts w:asciiTheme="minorEastAsia" w:hAnsiTheme="minorEastAsia" w:eastAsiaTheme="minorEastAsia"/>
          <w:w w:val="99"/>
          <w:szCs w:val="21"/>
        </w:rPr>
        <w:t>供应</w:t>
      </w:r>
      <w:r>
        <w:rPr>
          <w:rFonts w:asciiTheme="minorEastAsia" w:hAnsiTheme="minorEastAsia" w:eastAsiaTheme="minorEastAsia"/>
          <w:spacing w:val="-2"/>
          <w:w w:val="99"/>
          <w:szCs w:val="21"/>
        </w:rPr>
        <w:t>商另</w:t>
      </w:r>
      <w:r>
        <w:rPr>
          <w:rFonts w:asciiTheme="minorEastAsia" w:hAnsiTheme="minorEastAsia" w:eastAsiaTheme="minorEastAsia"/>
          <w:w w:val="99"/>
          <w:szCs w:val="21"/>
        </w:rPr>
        <w:t>外组成</w:t>
      </w:r>
      <w:r>
        <w:rPr>
          <w:rFonts w:asciiTheme="minorEastAsia" w:hAnsiTheme="minorEastAsia" w:eastAsiaTheme="minorEastAsia"/>
          <w:spacing w:val="-4"/>
          <w:w w:val="99"/>
          <w:szCs w:val="21"/>
        </w:rPr>
        <w:t>联</w:t>
      </w:r>
      <w:r>
        <w:rPr>
          <w:rFonts w:asciiTheme="minorEastAsia" w:hAnsiTheme="minorEastAsia" w:eastAsiaTheme="minorEastAsia"/>
          <w:spacing w:val="2"/>
          <w:w w:val="99"/>
          <w:szCs w:val="21"/>
        </w:rPr>
        <w:t>合</w:t>
      </w:r>
      <w:r>
        <w:rPr>
          <w:rFonts w:asciiTheme="minorEastAsia" w:hAnsiTheme="minorEastAsia" w:eastAsiaTheme="minorEastAsia"/>
          <w:spacing w:val="-2"/>
          <w:w w:val="99"/>
          <w:szCs w:val="21"/>
        </w:rPr>
        <w:t>体</w:t>
      </w:r>
      <w:r>
        <w:rPr>
          <w:rFonts w:asciiTheme="minorEastAsia" w:hAnsiTheme="minorEastAsia" w:eastAsiaTheme="minorEastAsia"/>
          <w:spacing w:val="2"/>
          <w:w w:val="99"/>
          <w:szCs w:val="21"/>
        </w:rPr>
        <w:t>参</w:t>
      </w:r>
      <w:r>
        <w:rPr>
          <w:rFonts w:asciiTheme="minorEastAsia" w:hAnsiTheme="minorEastAsia" w:eastAsiaTheme="minorEastAsia"/>
          <w:spacing w:val="-4"/>
          <w:w w:val="99"/>
          <w:szCs w:val="21"/>
        </w:rPr>
        <w:t>加</w:t>
      </w:r>
      <w:r>
        <w:rPr>
          <w:rFonts w:asciiTheme="minorEastAsia" w:hAnsiTheme="minorEastAsia" w:eastAsiaTheme="minorEastAsia"/>
          <w:w w:val="99"/>
          <w:szCs w:val="21"/>
        </w:rPr>
        <w:t>本项目</w:t>
      </w:r>
      <w:r>
        <w:rPr>
          <w:rFonts w:asciiTheme="minorEastAsia" w:hAnsiTheme="minorEastAsia" w:eastAsiaTheme="minorEastAsia"/>
          <w:spacing w:val="-4"/>
          <w:w w:val="99"/>
          <w:szCs w:val="21"/>
        </w:rPr>
        <w:t>政</w:t>
      </w:r>
      <w:r>
        <w:rPr>
          <w:rFonts w:asciiTheme="minorEastAsia" w:hAnsiTheme="minorEastAsia" w:eastAsiaTheme="minorEastAsia"/>
          <w:w w:val="99"/>
          <w:szCs w:val="21"/>
        </w:rPr>
        <w:t>府</w:t>
      </w:r>
      <w:r>
        <w:rPr>
          <w:rFonts w:asciiTheme="minorEastAsia" w:hAnsiTheme="minorEastAsia" w:eastAsiaTheme="minorEastAsia"/>
          <w:spacing w:val="2"/>
          <w:w w:val="99"/>
          <w:szCs w:val="21"/>
        </w:rPr>
        <w:t>采</w:t>
      </w:r>
      <w:r>
        <w:rPr>
          <w:rFonts w:asciiTheme="minorEastAsia" w:hAnsiTheme="minorEastAsia" w:eastAsiaTheme="minorEastAsia"/>
          <w:spacing w:val="-2"/>
          <w:w w:val="99"/>
          <w:szCs w:val="21"/>
        </w:rPr>
        <w:t>购活</w:t>
      </w:r>
      <w:r>
        <w:rPr>
          <w:rFonts w:asciiTheme="minorEastAsia" w:hAnsiTheme="minorEastAsia" w:eastAsiaTheme="minorEastAsia"/>
          <w:w w:val="99"/>
          <w:szCs w:val="21"/>
        </w:rPr>
        <w:t>动。</w:t>
      </w:r>
    </w:p>
    <w:p>
      <w:pPr>
        <w:snapToGrid w:val="0"/>
        <w:spacing w:line="312" w:lineRule="auto"/>
        <w:ind w:right="54"/>
        <w:jc w:val="left"/>
        <w:textAlignment w:val="baseline"/>
        <w:rPr>
          <w:rFonts w:ascii="宋体" w:hAnsi="宋体"/>
          <w:b/>
          <w:sz w:val="24"/>
        </w:rPr>
      </w:pPr>
      <w:r>
        <w:rPr>
          <w:rFonts w:hint="eastAsia" w:ascii="宋体" w:hAnsi="宋体"/>
          <w:b/>
          <w:sz w:val="24"/>
        </w:rPr>
        <w:t>（六）转包与分包</w:t>
      </w:r>
    </w:p>
    <w:p>
      <w:pPr>
        <w:snapToGrid w:val="0"/>
        <w:spacing w:line="312" w:lineRule="auto"/>
        <w:ind w:right="54" w:firstLine="525" w:firstLineChars="250"/>
        <w:textAlignment w:val="baseline"/>
        <w:rPr>
          <w:bCs/>
          <w:sz w:val="20"/>
          <w:szCs w:val="21"/>
        </w:rPr>
      </w:pPr>
      <w:r>
        <w:rPr>
          <w:rFonts w:hint="eastAsia"/>
          <w:bCs/>
          <w:szCs w:val="21"/>
        </w:rPr>
        <w:t>1、本项目未经采购单位同意不得转包。</w:t>
      </w:r>
    </w:p>
    <w:p>
      <w:pPr>
        <w:snapToGrid w:val="0"/>
        <w:spacing w:line="312" w:lineRule="auto"/>
        <w:ind w:right="54" w:firstLine="525" w:firstLineChars="250"/>
        <w:textAlignment w:val="baseline"/>
        <w:rPr>
          <w:bCs/>
          <w:sz w:val="20"/>
          <w:szCs w:val="21"/>
        </w:rPr>
      </w:pPr>
      <w:r>
        <w:rPr>
          <w:rFonts w:hint="eastAsia"/>
          <w:bCs/>
          <w:szCs w:val="21"/>
        </w:rPr>
        <w:t>2、本项目未经采购单位同意不得分包。</w:t>
      </w:r>
    </w:p>
    <w:p>
      <w:pPr>
        <w:pStyle w:val="17"/>
        <w:snapToGrid w:val="0"/>
        <w:spacing w:line="360" w:lineRule="auto"/>
        <w:ind w:right="54" w:firstLine="0"/>
        <w:textAlignment w:val="baseline"/>
        <w:rPr>
          <w:rFonts w:hAnsi="宋体"/>
          <w:b/>
          <w:sz w:val="24"/>
          <w:szCs w:val="24"/>
        </w:rPr>
      </w:pPr>
      <w:r>
        <w:rPr>
          <w:rFonts w:hint="eastAsia" w:hAnsi="宋体"/>
          <w:b/>
          <w:sz w:val="24"/>
          <w:szCs w:val="24"/>
        </w:rPr>
        <w:t>（七）特别说明：</w:t>
      </w:r>
    </w:p>
    <w:p>
      <w:pPr>
        <w:pStyle w:val="17"/>
        <w:snapToGrid w:val="0"/>
        <w:spacing w:line="360" w:lineRule="auto"/>
        <w:ind w:right="-86" w:firstLine="502" w:firstLineChars="249"/>
        <w:textAlignment w:val="baseline"/>
        <w:rPr>
          <w:rFonts w:hAnsi="宋体"/>
          <w:bCs/>
          <w:sz w:val="21"/>
        </w:rPr>
      </w:pPr>
      <w:r>
        <w:rPr>
          <w:rFonts w:hint="eastAsia" w:hAnsi="宋体"/>
          <w:bCs/>
          <w:sz w:val="21"/>
        </w:rPr>
        <w:t>1、单位负责人为同一人或存在直接控股、管理关系的不同投标供应商，只能一家参加投标采购活动。</w:t>
      </w:r>
    </w:p>
    <w:p>
      <w:pPr>
        <w:pStyle w:val="17"/>
        <w:snapToGrid w:val="0"/>
        <w:spacing w:line="360" w:lineRule="auto"/>
        <w:ind w:right="-86" w:firstLine="502" w:firstLineChars="249"/>
        <w:textAlignment w:val="baseline"/>
        <w:rPr>
          <w:rFonts w:hAnsi="宋体"/>
          <w:bCs/>
          <w:sz w:val="21"/>
        </w:rPr>
      </w:pPr>
      <w:r>
        <w:rPr>
          <w:rFonts w:hint="eastAsia" w:hAnsi="宋体"/>
          <w:bCs/>
          <w:sz w:val="21"/>
        </w:rPr>
        <w:t>2、投标人投标所使用的资格、信誉、荣誉、业绩与企业认证必须为本法人所拥有。投标人投标所使用的采购项目实施人员必须为本法人员工。</w:t>
      </w:r>
    </w:p>
    <w:p>
      <w:pPr>
        <w:pStyle w:val="17"/>
        <w:snapToGrid w:val="0"/>
        <w:spacing w:line="360" w:lineRule="auto"/>
        <w:ind w:right="-86"/>
        <w:textAlignment w:val="baseline"/>
        <w:rPr>
          <w:rFonts w:hint="eastAsia" w:hAnsi="宋体"/>
          <w:bCs/>
          <w:sz w:val="21"/>
        </w:rPr>
      </w:pPr>
      <w:r>
        <w:rPr>
          <w:rFonts w:hint="eastAsia" w:hAnsi="宋体"/>
          <w:bCs/>
          <w:sz w:val="21"/>
        </w:rPr>
        <w:t xml:space="preserve">  3、投标人应仔细阅读招标文件的所有内容，按照招标文件的要求提交投标文件，并对所提供的全部资料的真实性承担法律责任。</w:t>
      </w:r>
    </w:p>
    <w:p>
      <w:pPr>
        <w:pStyle w:val="17"/>
        <w:snapToGrid w:val="0"/>
        <w:spacing w:line="360" w:lineRule="auto"/>
        <w:ind w:right="-86"/>
        <w:textAlignment w:val="baseline"/>
        <w:rPr>
          <w:rFonts w:hint="eastAsia" w:hAnsi="宋体"/>
          <w:bCs/>
          <w:sz w:val="21"/>
        </w:rPr>
      </w:pPr>
    </w:p>
    <w:p>
      <w:pPr>
        <w:snapToGrid w:val="0"/>
        <w:spacing w:before="120" w:line="360" w:lineRule="auto"/>
        <w:textAlignment w:val="baseline"/>
        <w:rPr>
          <w:rFonts w:hAnsi="宋体"/>
          <w:b/>
          <w:sz w:val="24"/>
          <w:szCs w:val="24"/>
        </w:rPr>
      </w:pPr>
      <w:r>
        <w:rPr>
          <w:rFonts w:hint="eastAsia" w:hAnsi="宋体"/>
          <w:b/>
          <w:sz w:val="24"/>
          <w:szCs w:val="24"/>
        </w:rPr>
        <w:t>（八）</w:t>
      </w:r>
      <w:r>
        <w:rPr>
          <w:rFonts w:hAnsi="宋体"/>
          <w:b/>
          <w:sz w:val="24"/>
          <w:szCs w:val="24"/>
        </w:rPr>
        <w:t>质疑</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投标人应当自知道或者应当知道其合法权益受到损害之日起七个工作日内提出质疑。</w:t>
      </w:r>
    </w:p>
    <w:p>
      <w:pPr>
        <w:widowControl/>
        <w:snapToGrid w:val="0"/>
        <w:spacing w:before="120" w:line="360" w:lineRule="auto"/>
        <w:ind w:firstLine="420" w:firstLineChars="200"/>
        <w:textAlignment w:val="baseline"/>
        <w:rPr>
          <w:rFonts w:cs="宋体"/>
          <w:bCs/>
          <w:sz w:val="20"/>
          <w:szCs w:val="21"/>
        </w:rPr>
      </w:pPr>
      <w:r>
        <w:rPr>
          <w:rFonts w:hint="eastAsia" w:cs="宋体"/>
          <w:bCs/>
          <w:szCs w:val="21"/>
        </w:rPr>
        <w:t>1、对可以质疑的采购文件提出质疑的，为收到采购文件之日或者采购文件公告期限届满之日；</w:t>
      </w:r>
    </w:p>
    <w:p>
      <w:pPr>
        <w:widowControl/>
        <w:snapToGrid w:val="0"/>
        <w:spacing w:before="120" w:line="360" w:lineRule="auto"/>
        <w:ind w:firstLine="420" w:firstLineChars="200"/>
        <w:textAlignment w:val="baseline"/>
        <w:rPr>
          <w:rFonts w:cs="宋体"/>
          <w:bCs/>
          <w:sz w:val="20"/>
          <w:szCs w:val="21"/>
        </w:rPr>
      </w:pPr>
      <w:r>
        <w:rPr>
          <w:rFonts w:hint="eastAsia" w:cs="宋体"/>
          <w:bCs/>
          <w:szCs w:val="21"/>
        </w:rPr>
        <w:t>2、对采购过程提出质疑的，为各采购程序环节结束之日；</w:t>
      </w:r>
    </w:p>
    <w:p>
      <w:pPr>
        <w:widowControl/>
        <w:snapToGrid w:val="0"/>
        <w:spacing w:before="120" w:line="360" w:lineRule="auto"/>
        <w:ind w:firstLine="420" w:firstLineChars="200"/>
        <w:textAlignment w:val="baseline"/>
        <w:rPr>
          <w:rFonts w:cs="宋体"/>
          <w:bCs/>
          <w:sz w:val="20"/>
          <w:szCs w:val="21"/>
        </w:rPr>
      </w:pPr>
      <w:r>
        <w:rPr>
          <w:rFonts w:hint="eastAsia" w:cs="宋体"/>
          <w:bCs/>
          <w:szCs w:val="21"/>
        </w:rPr>
        <w:t>3、对中标或者成交结果提出质疑的，为中标或者成交结果公告期限届满之日。</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4、质疑书应包括下列主要内容：</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①质疑人的名称、地址、邮政编码、联系人、联系电话，以及被质疑人名称及联系方式；</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②被质疑采购项目名称、编号及采购内容；</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③具体的质疑事项及事实依据；</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④认为自己合法权益受到损害或可能受到损害的相关证据材料；</w:t>
      </w:r>
    </w:p>
    <w:p>
      <w:pPr>
        <w:widowControl/>
        <w:snapToGrid w:val="0"/>
        <w:spacing w:before="120" w:line="360" w:lineRule="auto"/>
        <w:ind w:firstLine="420" w:firstLineChars="200"/>
        <w:textAlignment w:val="baseline"/>
        <w:rPr>
          <w:rFonts w:hAnsi="宋体" w:cs="宋体"/>
          <w:bCs/>
          <w:sz w:val="20"/>
          <w:szCs w:val="21"/>
        </w:rPr>
      </w:pPr>
      <w:r>
        <w:rPr>
          <w:rFonts w:hAnsi="宋体" w:cs="宋体"/>
          <w:bCs/>
          <w:szCs w:val="21"/>
        </w:rPr>
        <w:t>⑤提出质疑的日期。</w:t>
      </w:r>
    </w:p>
    <w:p>
      <w:pPr>
        <w:widowControl/>
        <w:snapToGrid w:val="0"/>
        <w:spacing w:before="120" w:line="360" w:lineRule="auto"/>
        <w:ind w:firstLine="420" w:firstLineChars="200"/>
        <w:textAlignment w:val="baseline"/>
        <w:rPr>
          <w:rFonts w:hAnsi="宋体" w:cs="宋体"/>
          <w:bCs/>
          <w:sz w:val="20"/>
          <w:szCs w:val="21"/>
        </w:rPr>
      </w:pPr>
      <w:r>
        <w:rPr>
          <w:rFonts w:hint="eastAsia" w:hAnsi="宋体" w:cs="宋体"/>
          <w:bCs/>
          <w:szCs w:val="21"/>
        </w:rPr>
        <w:t>供应商在法定质疑期内一次性提出针对同一采购程序环节的质疑。</w:t>
      </w:r>
    </w:p>
    <w:p>
      <w:pPr>
        <w:snapToGrid w:val="0"/>
        <w:spacing w:before="120" w:line="312" w:lineRule="auto"/>
        <w:ind w:right="-506" w:firstLine="3795" w:firstLineChars="1350"/>
        <w:textAlignment w:val="baseline"/>
        <w:rPr>
          <w:rFonts w:hAnsi="宋体"/>
          <w:b/>
          <w:sz w:val="28"/>
        </w:rPr>
      </w:pPr>
      <w:r>
        <w:rPr>
          <w:rFonts w:hint="eastAsia" w:hAnsi="宋体"/>
          <w:b/>
          <w:sz w:val="28"/>
        </w:rPr>
        <w:t>二招标文件</w:t>
      </w:r>
    </w:p>
    <w:p>
      <w:pPr>
        <w:snapToGrid w:val="0"/>
        <w:spacing w:line="360" w:lineRule="auto"/>
        <w:ind w:right="-341"/>
        <w:jc w:val="left"/>
        <w:textAlignment w:val="baseline"/>
        <w:rPr>
          <w:rFonts w:ascii="宋体" w:hAnsi="宋体"/>
          <w:b/>
          <w:sz w:val="24"/>
        </w:rPr>
      </w:pPr>
      <w:r>
        <w:rPr>
          <w:rFonts w:hint="eastAsia" w:ascii="宋体" w:hAnsi="宋体"/>
          <w:b/>
          <w:sz w:val="24"/>
        </w:rPr>
        <w:t>（一）招标文件的构成。本招标文件由以下部份组成：</w:t>
      </w:r>
    </w:p>
    <w:p>
      <w:pPr>
        <w:snapToGrid w:val="0"/>
        <w:spacing w:line="360" w:lineRule="auto"/>
        <w:ind w:right="-341" w:firstLine="420" w:firstLineChars="200"/>
        <w:jc w:val="left"/>
        <w:textAlignment w:val="baseline"/>
        <w:rPr>
          <w:rFonts w:ascii="宋体" w:hAnsi="宋体"/>
          <w:sz w:val="20"/>
        </w:rPr>
      </w:pPr>
      <w:r>
        <w:rPr>
          <w:rFonts w:hint="eastAsia" w:ascii="宋体" w:hAnsi="宋体"/>
        </w:rPr>
        <w:t>1、招标公告</w:t>
      </w:r>
    </w:p>
    <w:p>
      <w:pPr>
        <w:snapToGrid w:val="0"/>
        <w:spacing w:line="360" w:lineRule="auto"/>
        <w:ind w:right="-341" w:firstLine="420" w:firstLineChars="200"/>
        <w:jc w:val="left"/>
        <w:textAlignment w:val="baseline"/>
        <w:rPr>
          <w:rFonts w:ascii="宋体" w:hAnsi="宋体"/>
          <w:sz w:val="20"/>
        </w:rPr>
      </w:pPr>
      <w:r>
        <w:rPr>
          <w:rFonts w:hint="eastAsia" w:ascii="宋体" w:hAnsi="宋体"/>
        </w:rPr>
        <w:t>2、招标需求</w:t>
      </w:r>
    </w:p>
    <w:p>
      <w:pPr>
        <w:snapToGrid w:val="0"/>
        <w:spacing w:line="360" w:lineRule="auto"/>
        <w:ind w:right="-341" w:firstLine="420" w:firstLineChars="200"/>
        <w:jc w:val="left"/>
        <w:textAlignment w:val="baseline"/>
        <w:rPr>
          <w:rFonts w:ascii="宋体" w:hAnsi="宋体"/>
          <w:sz w:val="20"/>
        </w:rPr>
      </w:pPr>
      <w:r>
        <w:rPr>
          <w:rFonts w:hint="eastAsia" w:ascii="宋体" w:hAnsi="宋体"/>
        </w:rPr>
        <w:t>3、投标人须知</w:t>
      </w:r>
    </w:p>
    <w:p>
      <w:pPr>
        <w:snapToGrid w:val="0"/>
        <w:spacing w:line="360" w:lineRule="auto"/>
        <w:ind w:right="-341" w:firstLine="420" w:firstLineChars="200"/>
        <w:jc w:val="left"/>
        <w:textAlignment w:val="baseline"/>
        <w:rPr>
          <w:rFonts w:ascii="宋体" w:hAnsi="宋体"/>
          <w:sz w:val="20"/>
        </w:rPr>
      </w:pPr>
      <w:r>
        <w:rPr>
          <w:rFonts w:hint="eastAsia" w:ascii="宋体" w:hAnsi="宋体"/>
        </w:rPr>
        <w:t>4、评标办法及标准</w:t>
      </w:r>
    </w:p>
    <w:p>
      <w:pPr>
        <w:snapToGrid w:val="0"/>
        <w:spacing w:line="360" w:lineRule="auto"/>
        <w:ind w:right="-341" w:firstLine="420" w:firstLineChars="200"/>
        <w:jc w:val="left"/>
        <w:textAlignment w:val="baseline"/>
        <w:rPr>
          <w:rFonts w:ascii="宋体" w:hAnsi="宋体"/>
          <w:sz w:val="20"/>
        </w:rPr>
      </w:pPr>
      <w:r>
        <w:rPr>
          <w:rFonts w:hint="eastAsia" w:ascii="宋体" w:hAnsi="宋体"/>
        </w:rPr>
        <w:t>5、合同主要条款</w:t>
      </w:r>
    </w:p>
    <w:p>
      <w:pPr>
        <w:snapToGrid w:val="0"/>
        <w:spacing w:line="360" w:lineRule="auto"/>
        <w:ind w:right="-341" w:firstLine="420" w:firstLineChars="200"/>
        <w:jc w:val="left"/>
        <w:textAlignment w:val="baseline"/>
        <w:rPr>
          <w:rFonts w:ascii="宋体" w:hAnsi="宋体"/>
          <w:sz w:val="20"/>
        </w:rPr>
      </w:pPr>
      <w:r>
        <w:rPr>
          <w:rFonts w:hint="eastAsia" w:ascii="宋体" w:hAnsi="宋体"/>
        </w:rPr>
        <w:t>6、投标文件格式</w:t>
      </w:r>
    </w:p>
    <w:p>
      <w:pPr>
        <w:snapToGrid w:val="0"/>
        <w:spacing w:line="360" w:lineRule="auto"/>
        <w:ind w:right="-341" w:firstLine="420" w:firstLineChars="200"/>
        <w:jc w:val="left"/>
        <w:textAlignment w:val="baseline"/>
        <w:rPr>
          <w:rFonts w:ascii="宋体" w:hAnsi="宋体"/>
          <w:sz w:val="20"/>
        </w:rPr>
      </w:pPr>
      <w:r>
        <w:rPr>
          <w:rFonts w:hint="eastAsia" w:ascii="宋体" w:hAnsi="宋体"/>
        </w:rPr>
        <w:t>7、本项目招标文件的澄清、答复、修改、补充的内容</w:t>
      </w:r>
    </w:p>
    <w:p>
      <w:pPr>
        <w:snapToGrid w:val="0"/>
        <w:spacing w:line="360" w:lineRule="auto"/>
        <w:ind w:right="-87"/>
        <w:jc w:val="left"/>
        <w:textAlignment w:val="baseline"/>
        <w:rPr>
          <w:rFonts w:ascii="宋体" w:hAnsi="宋体"/>
          <w:b/>
          <w:sz w:val="24"/>
        </w:rPr>
      </w:pPr>
      <w:r>
        <w:rPr>
          <w:rFonts w:hint="eastAsia" w:ascii="宋体" w:hAnsi="宋体"/>
          <w:b/>
          <w:sz w:val="24"/>
        </w:rPr>
        <w:t>（二）投标人的风险</w:t>
      </w:r>
    </w:p>
    <w:p>
      <w:pPr>
        <w:snapToGrid w:val="0"/>
        <w:spacing w:line="360" w:lineRule="auto"/>
        <w:ind w:right="-506" w:firstLine="420"/>
        <w:textAlignment w:val="baseline"/>
        <w:rPr>
          <w:rFonts w:ascii="宋体"/>
          <w:sz w:val="20"/>
        </w:rPr>
      </w:pPr>
      <w:r>
        <w:rPr>
          <w:rFonts w:hint="eastAsia" w:ascii="宋体"/>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5" w:right="-87" w:hanging="245" w:hangingChars="116"/>
        <w:textAlignment w:val="baseline"/>
        <w:rPr>
          <w:rFonts w:ascii="宋体" w:hAnsi="宋体"/>
          <w:b/>
          <w:sz w:val="20"/>
        </w:rPr>
      </w:pPr>
      <w:r>
        <w:rPr>
          <w:rFonts w:hint="eastAsia" w:ascii="宋体" w:hAnsi="宋体"/>
          <w:b/>
        </w:rPr>
        <w:t xml:space="preserve">（三）招标文件的澄清与修改 </w:t>
      </w:r>
    </w:p>
    <w:p>
      <w:pPr>
        <w:widowControl/>
        <w:snapToGrid w:val="0"/>
        <w:spacing w:before="120" w:line="360" w:lineRule="auto"/>
        <w:ind w:right="-87" w:firstLine="415" w:firstLineChars="198"/>
        <w:textAlignment w:val="baseline"/>
        <w:rPr>
          <w:rFonts w:hAnsi="宋体"/>
          <w:sz w:val="20"/>
          <w:szCs w:val="21"/>
        </w:rPr>
      </w:pPr>
      <w:r>
        <w:rPr>
          <w:rFonts w:hAnsi="宋体"/>
          <w:szCs w:val="21"/>
        </w:rPr>
        <w:t>1、投标人应认真阅读本</w:t>
      </w:r>
      <w:r>
        <w:rPr>
          <w:rFonts w:hint="eastAsia" w:hAnsi="宋体"/>
          <w:szCs w:val="21"/>
        </w:rPr>
        <w:t>招标</w:t>
      </w:r>
      <w:r>
        <w:rPr>
          <w:rFonts w:hAnsi="宋体"/>
          <w:szCs w:val="21"/>
        </w:rPr>
        <w:t>文件，发现其中有误或有要求不合理的，投标人必须在投标截止前15天内以书面形式要求招标采购单位澄清。招标采购单位对已发出的</w:t>
      </w:r>
      <w:r>
        <w:rPr>
          <w:rFonts w:hint="eastAsia" w:hAnsi="宋体"/>
          <w:szCs w:val="21"/>
        </w:rPr>
        <w:t>招标</w:t>
      </w:r>
      <w:r>
        <w:rPr>
          <w:rFonts w:hAnsi="宋体"/>
          <w:szCs w:val="21"/>
        </w:rPr>
        <w:t>文件进行必要澄清、答复、修改或补充的，应当在</w:t>
      </w:r>
      <w:r>
        <w:rPr>
          <w:rFonts w:hint="eastAsia" w:hAnsi="宋体"/>
          <w:szCs w:val="21"/>
        </w:rPr>
        <w:t>招标</w:t>
      </w:r>
      <w:r>
        <w:rPr>
          <w:rFonts w:hAnsi="宋体"/>
          <w:szCs w:val="21"/>
        </w:rPr>
        <w:t>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textAlignment w:val="baseline"/>
        <w:rPr>
          <w:rFonts w:hAnsi="宋体"/>
          <w:sz w:val="20"/>
          <w:szCs w:val="21"/>
        </w:rPr>
      </w:pPr>
      <w:r>
        <w:rPr>
          <w:rFonts w:hAnsi="宋体"/>
          <w:szCs w:val="21"/>
        </w:rPr>
        <w:t>2、</w:t>
      </w:r>
      <w:r>
        <w:rPr>
          <w:rFonts w:hint="eastAsia" w:hAnsi="宋体"/>
          <w:szCs w:val="21"/>
        </w:rPr>
        <w:t>招标</w:t>
      </w:r>
      <w:r>
        <w:rPr>
          <w:rFonts w:hAnsi="宋体"/>
          <w:szCs w:val="21"/>
        </w:rPr>
        <w:t>文件的答复、澄清、修改、补充通知实质上改变采购需求相关内容，且自</w:t>
      </w:r>
      <w:r>
        <w:rPr>
          <w:rFonts w:hint="eastAsia" w:hAnsi="宋体"/>
          <w:szCs w:val="21"/>
        </w:rPr>
        <w:t>招标</w:t>
      </w:r>
      <w:r>
        <w:rPr>
          <w:rFonts w:hAnsi="宋体"/>
          <w:szCs w:val="21"/>
        </w:rPr>
        <w:t>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textAlignment w:val="baseline"/>
        <w:rPr>
          <w:rFonts w:hAnsi="宋体"/>
          <w:sz w:val="20"/>
          <w:szCs w:val="21"/>
        </w:rPr>
      </w:pPr>
      <w:r>
        <w:rPr>
          <w:rFonts w:hAnsi="宋体"/>
          <w:szCs w:val="21"/>
        </w:rPr>
        <w:t>3、</w:t>
      </w:r>
      <w:r>
        <w:rPr>
          <w:rFonts w:hint="eastAsia" w:hAnsi="宋体"/>
          <w:szCs w:val="21"/>
        </w:rPr>
        <w:t>招标</w:t>
      </w:r>
      <w:r>
        <w:rPr>
          <w:rFonts w:hAnsi="宋体"/>
          <w:szCs w:val="21"/>
        </w:rPr>
        <w:t>文件澄清、答复、修改、补充的内容为采购文件的组成部分。当</w:t>
      </w:r>
      <w:r>
        <w:rPr>
          <w:rFonts w:hint="eastAsia" w:hAnsi="宋体"/>
          <w:szCs w:val="21"/>
        </w:rPr>
        <w:t>招标</w:t>
      </w:r>
      <w:r>
        <w:rPr>
          <w:rFonts w:hAnsi="宋体"/>
          <w:szCs w:val="21"/>
        </w:rPr>
        <w:t>文件与</w:t>
      </w:r>
      <w:r>
        <w:rPr>
          <w:rFonts w:hint="eastAsia" w:hAnsi="宋体"/>
          <w:szCs w:val="21"/>
        </w:rPr>
        <w:t>招标</w:t>
      </w:r>
      <w:r>
        <w:rPr>
          <w:rFonts w:hAnsi="宋体"/>
          <w:szCs w:val="21"/>
        </w:rPr>
        <w:t>文件的答复、澄清、修改、补充通知就同一内容的表述不一致时，以最后发出的变更公告为准。</w:t>
      </w:r>
    </w:p>
    <w:p>
      <w:pPr>
        <w:snapToGrid w:val="0"/>
        <w:spacing w:before="120" w:line="360" w:lineRule="auto"/>
        <w:ind w:right="-506" w:firstLine="420" w:firstLineChars="200"/>
        <w:textAlignment w:val="baseline"/>
        <w:rPr>
          <w:rFonts w:hAnsi="宋体"/>
          <w:sz w:val="20"/>
          <w:szCs w:val="21"/>
        </w:rPr>
      </w:pPr>
      <w:r>
        <w:rPr>
          <w:rFonts w:hint="eastAsia" w:hAnsi="宋体"/>
          <w:szCs w:val="21"/>
        </w:rPr>
        <w:t>4、招标文件的澄清、答复、修改或补充都应该通过本代理机构以法定形式发布。</w:t>
      </w:r>
    </w:p>
    <w:p>
      <w:pPr>
        <w:snapToGrid w:val="0"/>
        <w:spacing w:before="120" w:line="360" w:lineRule="auto"/>
        <w:ind w:right="-87" w:firstLine="2923" w:firstLineChars="1040"/>
        <w:textAlignment w:val="baseline"/>
        <w:rPr>
          <w:rFonts w:hAnsi="宋体"/>
          <w:b/>
          <w:sz w:val="28"/>
        </w:rPr>
      </w:pPr>
      <w:r>
        <w:rPr>
          <w:rFonts w:hint="eastAsia" w:hAnsi="宋体"/>
          <w:b/>
          <w:sz w:val="28"/>
        </w:rPr>
        <w:t>三、投标文件的编制</w:t>
      </w:r>
    </w:p>
    <w:p>
      <w:pPr>
        <w:pStyle w:val="15"/>
        <w:snapToGrid w:val="0"/>
        <w:spacing w:after="0" w:line="336" w:lineRule="auto"/>
        <w:ind w:firstLine="211" w:firstLineChars="100"/>
        <w:textAlignment w:val="baseline"/>
        <w:rPr>
          <w:rFonts w:ascii="宋体" w:hAnsi="宋体"/>
          <w:b/>
          <w:sz w:val="21"/>
          <w:szCs w:val="21"/>
        </w:rPr>
      </w:pPr>
      <w:r>
        <w:rPr>
          <w:rFonts w:hint="eastAsia" w:ascii="宋体" w:hAnsi="宋体"/>
          <w:b/>
          <w:kern w:val="2"/>
          <w:sz w:val="21"/>
          <w:szCs w:val="21"/>
        </w:rPr>
        <w:t>（一）投标文件的签署</w:t>
      </w:r>
    </w:p>
    <w:p>
      <w:pPr>
        <w:pStyle w:val="15"/>
        <w:snapToGrid w:val="0"/>
        <w:spacing w:after="0" w:line="336" w:lineRule="auto"/>
        <w:ind w:firstLine="420"/>
        <w:textAlignment w:val="baseline"/>
        <w:rPr>
          <w:rFonts w:ascii="Times New Roman" w:hAnsi="Times New Roman"/>
          <w:b/>
          <w:bCs/>
          <w:sz w:val="21"/>
          <w:szCs w:val="21"/>
        </w:rPr>
      </w:pPr>
      <w:r>
        <w:rPr>
          <w:rFonts w:hint="eastAsia" w:ascii="Times New Roman" w:hAnsi="Times New Roman"/>
          <w:b/>
          <w:bCs/>
          <w:kern w:val="2"/>
          <w:sz w:val="21"/>
          <w:szCs w:val="21"/>
        </w:rPr>
        <w:t>1.1电子投标文件部分：</w:t>
      </w:r>
    </w:p>
    <w:p>
      <w:pPr>
        <w:pStyle w:val="15"/>
        <w:snapToGrid w:val="0"/>
        <w:spacing w:after="0" w:line="336" w:lineRule="auto"/>
        <w:ind w:firstLine="420"/>
        <w:textAlignment w:val="baseline"/>
        <w:rPr>
          <w:rFonts w:ascii="Times New Roman" w:hAnsi="Times New Roman"/>
          <w:sz w:val="21"/>
          <w:szCs w:val="21"/>
        </w:rPr>
      </w:pPr>
      <w:r>
        <w:rPr>
          <w:rFonts w:hint="eastAsia" w:ascii="Times New Roman" w:hAnsi="Times New Roman"/>
          <w:kern w:val="2"/>
          <w:sz w:val="21"/>
          <w:szCs w:val="21"/>
        </w:rPr>
        <w:t>投标人应根据“政采云供应商项目采购-电子交易操作指南”及本招标文件规定的格式和顺序编制电子投标文件并进行关联定位。</w:t>
      </w:r>
    </w:p>
    <w:p>
      <w:pPr>
        <w:pStyle w:val="15"/>
        <w:snapToGrid w:val="0"/>
        <w:spacing w:after="0" w:line="336" w:lineRule="auto"/>
        <w:ind w:firstLine="420"/>
        <w:textAlignment w:val="baseline"/>
        <w:rPr>
          <w:rFonts w:ascii="Times New Roman" w:hAnsi="Times New Roman"/>
          <w:b/>
          <w:bCs/>
          <w:sz w:val="21"/>
          <w:szCs w:val="21"/>
        </w:rPr>
      </w:pPr>
      <w:r>
        <w:rPr>
          <w:rFonts w:hint="eastAsia" w:ascii="Times New Roman" w:hAnsi="Times New Roman"/>
          <w:b/>
          <w:bCs/>
          <w:kern w:val="2"/>
          <w:sz w:val="21"/>
          <w:szCs w:val="21"/>
        </w:rPr>
        <w:t>1.2备份投标文件部分：</w:t>
      </w:r>
    </w:p>
    <w:p>
      <w:pPr>
        <w:pStyle w:val="106"/>
        <w:snapToGrid w:val="0"/>
        <w:spacing w:before="120" w:after="120" w:line="336" w:lineRule="auto"/>
        <w:ind w:right="-506" w:firstLine="420" w:firstLineChars="200"/>
        <w:textAlignment w:val="baseline"/>
        <w:rPr>
          <w:rFonts w:ascii="Times New Roman" w:hAnsi="Times New Roman" w:eastAsia="宋体"/>
          <w:sz w:val="21"/>
          <w:szCs w:val="21"/>
        </w:rPr>
      </w:pPr>
      <w:r>
        <w:rPr>
          <w:rFonts w:hint="eastAsia" w:ascii="Times New Roman" w:hAnsi="Times New Roman" w:eastAsia="宋体"/>
          <w:sz w:val="21"/>
          <w:szCs w:val="21"/>
        </w:rPr>
        <w:t>（1）以介质存储的数据电文形式的备份投标文件，按政采云平台项目采购-电子交易操作指南中上传的电子投标文件格式，以U盘形式存储提供。数量为1份。</w:t>
      </w:r>
    </w:p>
    <w:p>
      <w:pPr>
        <w:pStyle w:val="106"/>
        <w:snapToGrid w:val="0"/>
        <w:spacing w:before="120" w:after="120" w:line="336" w:lineRule="auto"/>
        <w:ind w:right="-506" w:firstLine="420" w:firstLineChars="200"/>
        <w:textAlignment w:val="baseline"/>
        <w:rPr>
          <w:rFonts w:hAnsi="宋体" w:eastAsia="宋体"/>
          <w:b/>
          <w:sz w:val="28"/>
          <w:szCs w:val="28"/>
        </w:rPr>
      </w:pPr>
      <w:r>
        <w:rPr>
          <w:rFonts w:hint="eastAsia" w:ascii="Times New Roman" w:hAnsi="Times New Roman" w:eastAsia="宋体"/>
          <w:sz w:val="21"/>
          <w:szCs w:val="21"/>
        </w:rPr>
        <w:t>（2）纸质备份投标文件将以纸质文件的形式递交。数量为：正本、副本各1份。</w:t>
      </w:r>
    </w:p>
    <w:p>
      <w:pPr>
        <w:tabs>
          <w:tab w:val="left" w:pos="0"/>
        </w:tabs>
        <w:snapToGrid w:val="0"/>
        <w:spacing w:line="360" w:lineRule="auto"/>
        <w:ind w:firstLine="211" w:firstLineChars="100"/>
        <w:textAlignment w:val="baseline"/>
        <w:rPr>
          <w:rFonts w:ascii="宋体" w:hAnsi="宋体"/>
          <w:b/>
          <w:sz w:val="20"/>
          <w:szCs w:val="21"/>
        </w:rPr>
      </w:pPr>
      <w:r>
        <w:rPr>
          <w:rFonts w:hint="eastAsia" w:ascii="宋体" w:hAnsi="宋体"/>
          <w:b/>
          <w:szCs w:val="21"/>
        </w:rPr>
        <w:t>（二）投标文件</w:t>
      </w:r>
      <w:r>
        <w:rPr>
          <w:rFonts w:ascii="宋体" w:hAnsi="宋体"/>
          <w:b/>
          <w:szCs w:val="21"/>
        </w:rPr>
        <w:t>的组成</w:t>
      </w:r>
    </w:p>
    <w:p>
      <w:pPr>
        <w:tabs>
          <w:tab w:val="left" w:pos="0"/>
        </w:tabs>
        <w:snapToGrid w:val="0"/>
        <w:spacing w:line="360" w:lineRule="auto"/>
        <w:ind w:firstLine="422" w:firstLineChars="200"/>
        <w:textAlignment w:val="baseline"/>
        <w:rPr>
          <w:rFonts w:ascii="宋体" w:hAnsi="宋体"/>
          <w:b/>
          <w:bCs/>
          <w:sz w:val="20"/>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szCs w:val="21"/>
        </w:rPr>
        <w:t>电子投标文件中所须加盖公章部分均采用CA签章。（以下投标文件的部分格式详见本招标文件第六章，如本招标文件没有提供相应的格式，投标人可自行制表填写）</w:t>
      </w:r>
    </w:p>
    <w:p>
      <w:pPr>
        <w:pStyle w:val="21"/>
        <w:numPr>
          <w:ilvl w:val="0"/>
          <w:numId w:val="9"/>
        </w:numPr>
        <w:snapToGrid w:val="0"/>
        <w:spacing w:before="120" w:line="360" w:lineRule="auto"/>
        <w:textAlignment w:val="baseline"/>
        <w:rPr>
          <w:rFonts w:hAnsi="宋体"/>
          <w:b/>
          <w:sz w:val="21"/>
          <w:szCs w:val="21"/>
        </w:rPr>
      </w:pPr>
      <w:r>
        <w:rPr>
          <w:rFonts w:hAnsi="宋体"/>
          <w:b/>
          <w:sz w:val="21"/>
          <w:szCs w:val="21"/>
        </w:rPr>
        <w:t>资格</w:t>
      </w:r>
      <w:r>
        <w:rPr>
          <w:rFonts w:hint="eastAsia" w:hAnsi="宋体"/>
          <w:b/>
          <w:sz w:val="21"/>
          <w:szCs w:val="21"/>
        </w:rPr>
        <w:t>响应部份</w:t>
      </w:r>
      <w:r>
        <w:rPr>
          <w:rFonts w:hAnsi="宋体"/>
          <w:b/>
          <w:sz w:val="21"/>
          <w:szCs w:val="21"/>
        </w:rPr>
        <w:t>：</w:t>
      </w:r>
    </w:p>
    <w:p>
      <w:pPr>
        <w:snapToGrid w:val="0"/>
        <w:spacing w:line="360" w:lineRule="auto"/>
        <w:ind w:left="417"/>
        <w:textAlignment w:val="baseline"/>
        <w:rPr>
          <w:rFonts w:ascii="宋体"/>
          <w:sz w:val="20"/>
        </w:rPr>
      </w:pPr>
      <w:r>
        <w:rPr>
          <w:rFonts w:ascii="宋体" w:hAnsi="宋体"/>
        </w:rPr>
        <w:t>1.1</w:t>
      </w:r>
      <w:r>
        <w:rPr>
          <w:rFonts w:hint="eastAsia" w:ascii="宋体" w:hAnsi="宋体"/>
        </w:rPr>
        <w:t>基本资格条件：符合《中华人民共和国政府采购法》第二十二条的规定；</w:t>
      </w:r>
    </w:p>
    <w:p>
      <w:pPr>
        <w:snapToGrid w:val="0"/>
        <w:spacing w:line="360" w:lineRule="auto"/>
        <w:ind w:firstLine="420" w:firstLineChars="200"/>
        <w:textAlignment w:val="baseline"/>
        <w:rPr>
          <w:rFonts w:ascii="宋体" w:hAnsi="宋体"/>
          <w:sz w:val="20"/>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napToGrid w:val="0"/>
        <w:spacing w:line="360" w:lineRule="auto"/>
        <w:ind w:firstLine="482" w:firstLineChars="200"/>
        <w:textAlignment w:val="baseline"/>
        <w:rPr>
          <w:rFonts w:ascii="宋体"/>
          <w:b/>
          <w:bCs/>
          <w:sz w:val="20"/>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pPr>
        <w:snapToGrid w:val="0"/>
        <w:spacing w:line="360" w:lineRule="auto"/>
        <w:ind w:firstLine="420" w:firstLineChars="200"/>
        <w:textAlignment w:val="baseline"/>
        <w:rPr>
          <w:rFonts w:ascii="宋体"/>
          <w:b/>
          <w:bCs/>
          <w:sz w:val="20"/>
        </w:rPr>
      </w:pPr>
      <w:r>
        <w:rPr>
          <w:rFonts w:hint="eastAsia" w:ascii="宋体" w:hAnsi="宋体"/>
        </w:rPr>
        <w:t>投标人须在投标文件中出具符合以下情况的证明材料复印件</w:t>
      </w:r>
      <w:r>
        <w:rPr>
          <w:rFonts w:hint="eastAsia" w:ascii="宋体" w:hAnsi="宋体"/>
          <w:b/>
          <w:bCs/>
        </w:rPr>
        <w:t>（五选一）：</w:t>
      </w:r>
    </w:p>
    <w:p>
      <w:pPr>
        <w:snapToGrid w:val="0"/>
        <w:spacing w:line="360" w:lineRule="auto"/>
        <w:ind w:firstLine="400" w:firstLineChars="200"/>
        <w:textAlignment w:val="baseline"/>
        <w:rPr>
          <w:rFonts w:ascii="宋体"/>
          <w:sz w:val="20"/>
        </w:rPr>
      </w:pPr>
      <w:r>
        <w:rPr>
          <w:rFonts w:ascii="宋体" w:hAnsi="宋体" w:cs="Calibri"/>
          <w:sz w:val="20"/>
        </w:rPr>
        <w:fldChar w:fldCharType="begin"/>
      </w:r>
      <w:r>
        <w:rPr>
          <w:rFonts w:ascii="宋体" w:hAnsi="宋体" w:cs="Calibri"/>
          <w:sz w:val="20"/>
        </w:rPr>
        <w:instrText xml:space="preserve"> EQ \o\ac(</w:instrText>
      </w:r>
      <w:r>
        <w:rPr>
          <w:rFonts w:hint="eastAsia" w:ascii="宋体" w:hAnsi="宋体" w:cs="Calibri"/>
          <w:sz w:val="20"/>
        </w:rPr>
        <w:instrText xml:space="preserve">○</w:instrText>
      </w:r>
      <w:r>
        <w:rPr>
          <w:rFonts w:ascii="宋体" w:hAnsi="宋体" w:cs="Calibri"/>
          <w:sz w:val="20"/>
        </w:rPr>
        <w:instrText xml:space="preserve">,1)</w:instrText>
      </w:r>
      <w:r>
        <w:rPr>
          <w:rFonts w:ascii="宋体" w:hAnsi="宋体" w:cs="Calibri"/>
          <w:sz w:val="20"/>
        </w:rPr>
        <w:fldChar w:fldCharType="end"/>
      </w:r>
      <w:r>
        <w:rPr>
          <w:rFonts w:hint="eastAsia" w:ascii="宋体" w:hAnsi="宋体"/>
        </w:rPr>
        <w:t>如投标人是企业（包括合伙企业），提供在工商部门注册的有效“企业法人营业执照”或“营业执照”；</w:t>
      </w:r>
    </w:p>
    <w:p>
      <w:pPr>
        <w:snapToGrid w:val="0"/>
        <w:spacing w:line="360" w:lineRule="auto"/>
        <w:ind w:firstLine="400" w:firstLineChars="200"/>
        <w:textAlignment w:val="baseline"/>
        <w:rPr>
          <w:rFonts w:ascii="宋体"/>
          <w:sz w:val="20"/>
        </w:rPr>
      </w:pPr>
      <w:r>
        <w:rPr>
          <w:rFonts w:ascii="宋体" w:hAnsi="宋体"/>
          <w:sz w:val="20"/>
        </w:rPr>
        <w:fldChar w:fldCharType="begin"/>
      </w:r>
      <w:r>
        <w:rPr>
          <w:rFonts w:ascii="宋体" w:hAnsi="宋体"/>
          <w:sz w:val="20"/>
        </w:rPr>
        <w:instrText xml:space="preserve"> EQ \o\ac(</w:instrText>
      </w:r>
      <w:r>
        <w:rPr>
          <w:rFonts w:hint="eastAsia" w:ascii="宋体" w:hAnsi="宋体"/>
          <w:sz w:val="20"/>
        </w:rPr>
        <w:instrText xml:space="preserve">○</w:instrText>
      </w:r>
      <w:r>
        <w:rPr>
          <w:rFonts w:ascii="宋体"/>
          <w:sz w:val="20"/>
        </w:rPr>
        <w:instrText xml:space="preserve">,</w:instrText>
      </w:r>
      <w:r>
        <w:rPr>
          <w:rFonts w:ascii="宋体" w:hAnsi="宋体"/>
          <w:position w:val="2"/>
          <w:sz w:val="14"/>
        </w:rPr>
        <w:instrText xml:space="preserve">2</w:instrText>
      </w:r>
      <w:r>
        <w:rPr>
          <w:rFonts w:ascii="宋体" w:hAnsi="宋体"/>
          <w:sz w:val="20"/>
        </w:rPr>
        <w:instrText xml:space="preserve">)</w:instrText>
      </w:r>
      <w:r>
        <w:rPr>
          <w:rFonts w:ascii="宋体" w:hAnsi="宋体"/>
          <w:sz w:val="20"/>
        </w:rPr>
        <w:fldChar w:fldCharType="end"/>
      </w:r>
      <w:r>
        <w:rPr>
          <w:rFonts w:hint="eastAsia" w:ascii="宋体" w:hAnsi="宋体"/>
        </w:rPr>
        <w:t>如投标人是事业单位，提供有效的“事业单位法人证书”；</w:t>
      </w:r>
    </w:p>
    <w:p>
      <w:pPr>
        <w:snapToGrid w:val="0"/>
        <w:spacing w:line="360" w:lineRule="auto"/>
        <w:ind w:firstLine="400" w:firstLineChars="200"/>
        <w:textAlignment w:val="baseline"/>
        <w:rPr>
          <w:rFonts w:ascii="宋体"/>
          <w:sz w:val="20"/>
        </w:rPr>
      </w:pPr>
      <w:r>
        <w:rPr>
          <w:rFonts w:ascii="宋体" w:hAnsi="宋体"/>
          <w:sz w:val="20"/>
        </w:rPr>
        <w:fldChar w:fldCharType="begin"/>
      </w:r>
      <w:r>
        <w:rPr>
          <w:rFonts w:ascii="宋体" w:hAnsi="宋体"/>
          <w:sz w:val="20"/>
        </w:rPr>
        <w:instrText xml:space="preserve"> EQ \o\ac(</w:instrText>
      </w:r>
      <w:r>
        <w:rPr>
          <w:rFonts w:hint="eastAsia" w:ascii="宋体" w:hAnsi="宋体"/>
          <w:sz w:val="20"/>
        </w:rPr>
        <w:instrText xml:space="preserve">○</w:instrText>
      </w:r>
      <w:r>
        <w:rPr>
          <w:rFonts w:ascii="宋体"/>
          <w:sz w:val="20"/>
        </w:rPr>
        <w:instrText xml:space="preserve">,</w:instrText>
      </w:r>
      <w:r>
        <w:rPr>
          <w:rFonts w:ascii="宋体" w:hAnsi="宋体"/>
          <w:position w:val="2"/>
          <w:sz w:val="14"/>
        </w:rPr>
        <w:instrText xml:space="preserve">3</w:instrText>
      </w:r>
      <w:r>
        <w:rPr>
          <w:rFonts w:ascii="宋体" w:hAnsi="宋体"/>
          <w:sz w:val="20"/>
        </w:rPr>
        <w:instrText xml:space="preserve">)</w:instrText>
      </w:r>
      <w:r>
        <w:rPr>
          <w:rFonts w:ascii="宋体" w:hAnsi="宋体"/>
          <w:sz w:val="20"/>
        </w:rPr>
        <w:fldChar w:fldCharType="end"/>
      </w:r>
      <w:r>
        <w:rPr>
          <w:rFonts w:hint="eastAsia" w:ascii="宋体" w:hAnsi="宋体"/>
        </w:rPr>
        <w:t>如投标人是非企业专业服务机构的，提供执业许可证等证明文件等证明文件；</w:t>
      </w:r>
    </w:p>
    <w:p>
      <w:pPr>
        <w:snapToGrid w:val="0"/>
        <w:spacing w:line="360" w:lineRule="auto"/>
        <w:ind w:firstLine="400" w:firstLineChars="200"/>
        <w:textAlignment w:val="baseline"/>
        <w:rPr>
          <w:rFonts w:ascii="宋体" w:cs="宋体"/>
          <w:sz w:val="20"/>
        </w:rPr>
      </w:pPr>
      <w:r>
        <w:rPr>
          <w:rFonts w:ascii="宋体" w:hAnsi="宋体" w:cs="宋体"/>
          <w:sz w:val="20"/>
        </w:rPr>
        <w:fldChar w:fldCharType="begin"/>
      </w:r>
      <w:r>
        <w:rPr>
          <w:rFonts w:ascii="宋体" w:hAnsi="宋体" w:cs="宋体"/>
          <w:sz w:val="20"/>
        </w:rPr>
        <w:instrText xml:space="preserve"> EQ \o\ac(</w:instrText>
      </w:r>
      <w:r>
        <w:rPr>
          <w:rFonts w:hint="eastAsia" w:ascii="宋体" w:hAnsi="宋体" w:cs="宋体"/>
          <w:sz w:val="20"/>
        </w:rPr>
        <w:instrText xml:space="preserve">○</w:instrText>
      </w:r>
      <w:r>
        <w:rPr>
          <w:rFonts w:ascii="宋体" w:hAnsi="宋体" w:cs="宋体"/>
          <w:sz w:val="20"/>
        </w:rPr>
        <w:instrText xml:space="preserve">,4)</w:instrText>
      </w:r>
      <w:r>
        <w:rPr>
          <w:rFonts w:ascii="宋体" w:hAnsi="宋体" w:cs="宋体"/>
          <w:sz w:val="20"/>
        </w:rPr>
        <w:fldChar w:fldCharType="end"/>
      </w:r>
      <w:r>
        <w:rPr>
          <w:rFonts w:hint="eastAsia" w:ascii="宋体" w:hAnsi="宋体" w:cs="宋体"/>
        </w:rPr>
        <w:t>如投标人是个体工商户，提供有效的“个体工商户营业执照”；</w:t>
      </w:r>
    </w:p>
    <w:p>
      <w:pPr>
        <w:snapToGrid w:val="0"/>
        <w:spacing w:line="360" w:lineRule="auto"/>
        <w:ind w:firstLine="400" w:firstLineChars="200"/>
        <w:textAlignment w:val="baseline"/>
        <w:rPr>
          <w:rFonts w:ascii="宋体" w:cs="宋体"/>
          <w:sz w:val="20"/>
        </w:rPr>
      </w:pPr>
      <w:r>
        <w:rPr>
          <w:rFonts w:ascii="宋体" w:hAnsi="宋体" w:cs="宋体"/>
          <w:sz w:val="20"/>
        </w:rPr>
        <w:fldChar w:fldCharType="begin"/>
      </w:r>
      <w:r>
        <w:rPr>
          <w:rFonts w:ascii="宋体" w:hAnsi="宋体" w:cs="宋体"/>
          <w:sz w:val="20"/>
        </w:rPr>
        <w:instrText xml:space="preserve"> EQ \o\ac(</w:instrText>
      </w:r>
      <w:r>
        <w:rPr>
          <w:rFonts w:hint="eastAsia" w:ascii="宋体" w:hAnsi="宋体" w:cs="宋体"/>
          <w:sz w:val="20"/>
        </w:rPr>
        <w:instrText xml:space="preserve">○</w:instrText>
      </w:r>
      <w:r>
        <w:rPr>
          <w:rFonts w:ascii="宋体" w:hAnsi="宋体" w:cs="宋体"/>
          <w:sz w:val="20"/>
        </w:rPr>
        <w:instrText xml:space="preserve">,5)</w:instrText>
      </w:r>
      <w:r>
        <w:rPr>
          <w:rFonts w:ascii="宋体" w:hAnsi="宋体" w:cs="宋体"/>
          <w:sz w:val="20"/>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napToGrid w:val="0"/>
        <w:spacing w:line="360" w:lineRule="auto"/>
        <w:ind w:firstLine="422" w:firstLineChars="200"/>
        <w:textAlignment w:val="baseline"/>
        <w:rPr>
          <w:rFonts w:ascii="宋体" w:hAnsi="宋体" w:cs="宋体"/>
          <w:b/>
          <w:bCs/>
          <w:sz w:val="20"/>
        </w:rPr>
      </w:pPr>
      <w:r>
        <w:rPr>
          <w:rFonts w:ascii="宋体" w:hAnsi="宋体" w:cs="宋体"/>
          <w:b/>
          <w:bCs/>
          <w:szCs w:val="21"/>
        </w:rPr>
        <w:t>B.</w:t>
      </w:r>
      <w:r>
        <w:rPr>
          <w:rFonts w:hint="eastAsia" w:ascii="宋体" w:hAnsi="宋体" w:cs="宋体"/>
          <w:b/>
          <w:bCs/>
        </w:rPr>
        <w:t>具有良好的商业信誉和健全的财务会计制度：</w:t>
      </w:r>
    </w:p>
    <w:p>
      <w:pPr>
        <w:snapToGrid w:val="0"/>
        <w:spacing w:line="360" w:lineRule="auto"/>
        <w:ind w:firstLine="400" w:firstLineChars="200"/>
        <w:textAlignment w:val="baseline"/>
        <w:rPr>
          <w:rFonts w:ascii="宋体"/>
          <w:sz w:val="20"/>
        </w:rPr>
      </w:pPr>
      <w:r>
        <w:rPr>
          <w:rFonts w:ascii="宋体" w:hAnsi="宋体" w:cs="宋体"/>
          <w:sz w:val="20"/>
        </w:rPr>
        <w:fldChar w:fldCharType="begin"/>
      </w:r>
      <w:r>
        <w:rPr>
          <w:rFonts w:ascii="宋体" w:hAnsi="宋体" w:cs="宋体"/>
          <w:sz w:val="20"/>
        </w:rPr>
        <w:instrText xml:space="preserve"> EQ \o\ac(</w:instrText>
      </w:r>
      <w:r>
        <w:rPr>
          <w:rFonts w:hint="eastAsia" w:ascii="宋体" w:hAnsi="宋体" w:cs="宋体"/>
          <w:sz w:val="20"/>
        </w:rPr>
        <w:instrText xml:space="preserve">○</w:instrText>
      </w:r>
      <w:r>
        <w:rPr>
          <w:rFonts w:ascii="宋体" w:hAnsi="宋体" w:cs="宋体"/>
          <w:sz w:val="20"/>
        </w:rPr>
        <w:instrText xml:space="preserve">,1)</w:instrText>
      </w:r>
      <w:r>
        <w:rPr>
          <w:rFonts w:ascii="宋体" w:hAnsi="宋体" w:cs="宋体"/>
          <w:sz w:val="20"/>
        </w:rPr>
        <w:fldChar w:fldCharType="end"/>
      </w:r>
      <w:r>
        <w:rPr>
          <w:rFonts w:hint="eastAsia" w:ascii="宋体" w:hAnsi="宋体"/>
        </w:rPr>
        <w:t>良好的商业信誉：</w:t>
      </w:r>
    </w:p>
    <w:p>
      <w:pPr>
        <w:snapToGrid w:val="0"/>
        <w:spacing w:line="360" w:lineRule="auto"/>
        <w:ind w:firstLine="420" w:firstLineChars="200"/>
        <w:textAlignment w:val="baseline"/>
        <w:rPr>
          <w:rFonts w:ascii="宋体" w:hAnsi="宋体" w:cs="宋体"/>
          <w:sz w:val="20"/>
        </w:rPr>
      </w:pPr>
      <w:r>
        <w:rPr>
          <w:rFonts w:hint="eastAsia" w:ascii="宋体" w:hAnsi="宋体" w:cs="宋体"/>
        </w:rPr>
        <w:t>至本项目投标截止时间止未被“信用中国”（www.creditchina.gov.cn）、中国政府采购网（www.ccgp.gov.cn）列入失信被执行人、重大税收违法案件当事人名单、政府采购严重违法失信行为记录名单网页查询记录截图。</w:t>
      </w:r>
    </w:p>
    <w:p>
      <w:pPr>
        <w:snapToGrid w:val="0"/>
        <w:spacing w:line="360" w:lineRule="auto"/>
        <w:ind w:firstLine="420" w:firstLineChars="200"/>
        <w:textAlignment w:val="baseline"/>
        <w:rPr>
          <w:rFonts w:ascii="宋体" w:hAnsi="宋体" w:cs="宋体"/>
          <w:sz w:val="20"/>
        </w:rPr>
      </w:pPr>
      <w:r>
        <w:rPr>
          <w:rFonts w:hint="eastAsia" w:ascii="宋体" w:hAnsi="宋体" w:cs="宋体"/>
          <w:szCs w:val="21"/>
        </w:rPr>
        <w:t>提供</w:t>
      </w:r>
      <w:r>
        <w:rPr>
          <w:rFonts w:ascii="宋体" w:hAnsi="宋体" w:cs="宋体"/>
        </w:rPr>
        <w:t>查询</w:t>
      </w:r>
      <w:r>
        <w:rPr>
          <w:rFonts w:hint="eastAsia" w:ascii="宋体" w:hAnsi="宋体" w:cs="宋体"/>
        </w:rPr>
        <w:t>截图</w:t>
      </w:r>
      <w:r>
        <w:rPr>
          <w:rFonts w:ascii="宋体" w:hAnsi="宋体" w:cs="宋体"/>
        </w:rPr>
        <w:t>，</w:t>
      </w:r>
      <w:r>
        <w:rPr>
          <w:rFonts w:hint="eastAsia" w:ascii="宋体" w:hAnsi="宋体" w:cs="宋体"/>
        </w:rPr>
        <w:t>（截图查询网站时间须在开标截止前二个星期内）</w:t>
      </w:r>
    </w:p>
    <w:p>
      <w:pPr>
        <w:snapToGrid w:val="0"/>
        <w:spacing w:line="360" w:lineRule="auto"/>
        <w:ind w:firstLine="420" w:firstLineChars="200"/>
        <w:textAlignment w:val="baseline"/>
        <w:rPr>
          <w:rFonts w:ascii="宋体" w:cs="宋体"/>
          <w:sz w:val="20"/>
        </w:rPr>
      </w:pPr>
      <w:r>
        <w:rPr>
          <w:rFonts w:hint="eastAsia" w:ascii="宋体" w:hAnsi="宋体" w:cs="宋体"/>
          <w:szCs w:val="21"/>
        </w:rPr>
        <w:t>对</w:t>
      </w:r>
      <w:r>
        <w:rPr>
          <w:rFonts w:hint="eastAsia" w:ascii="宋体" w:hAnsi="宋体" w:cs="宋体"/>
        </w:rPr>
        <w:t>列入失信被执行人、重大税收违法案件当事人名单、政府采购严重违法失信行为记录名单的投标人，其投标将作无效标处理。</w:t>
      </w:r>
    </w:p>
    <w:p>
      <w:pPr>
        <w:snapToGrid w:val="0"/>
        <w:spacing w:line="360" w:lineRule="auto"/>
        <w:ind w:firstLine="420" w:firstLineChars="200"/>
        <w:textAlignment w:val="baseline"/>
        <w:rPr>
          <w:rFonts w:ascii="宋体" w:cs="宋体"/>
          <w:sz w:val="20"/>
        </w:rPr>
      </w:pPr>
      <w:r>
        <w:rPr>
          <w:rFonts w:hint="eastAsia" w:ascii="宋体" w:cs="宋体"/>
        </w:rPr>
        <w:t>②</w:t>
      </w:r>
      <w:r>
        <w:rPr>
          <w:rFonts w:hint="eastAsia" w:ascii="宋体" w:hAnsi="宋体" w:cs="宋体"/>
        </w:rPr>
        <w:t>健全的财务会计制度：</w:t>
      </w:r>
    </w:p>
    <w:p>
      <w:pPr>
        <w:snapToGrid w:val="0"/>
        <w:spacing w:line="360" w:lineRule="auto"/>
        <w:ind w:firstLine="420" w:firstLineChars="200"/>
        <w:textAlignment w:val="baseline"/>
        <w:rPr>
          <w:rFonts w:ascii="宋体" w:cs="宋体"/>
          <w:sz w:val="20"/>
        </w:rPr>
      </w:pPr>
      <w:r>
        <w:rPr>
          <w:rFonts w:hint="eastAsia" w:ascii="宋体" w:hAnsi="宋体" w:cs="宋体"/>
        </w:rPr>
        <w:t>投标人须在投标文件中出具符合以下情况的证明材料复印件</w:t>
      </w:r>
      <w:r>
        <w:rPr>
          <w:rFonts w:hint="eastAsia" w:ascii="宋体" w:hAnsi="宋体" w:cs="宋体"/>
          <w:b/>
          <w:bCs/>
        </w:rPr>
        <w:t>（三选一）</w:t>
      </w:r>
      <w:r>
        <w:rPr>
          <w:rFonts w:hint="eastAsia" w:ascii="宋体" w:hAnsi="宋体" w:cs="宋体"/>
        </w:rPr>
        <w:t>：</w:t>
      </w:r>
    </w:p>
    <w:p>
      <w:pPr>
        <w:numPr>
          <w:ilvl w:val="0"/>
          <w:numId w:val="10"/>
        </w:numPr>
        <w:snapToGrid w:val="0"/>
        <w:spacing w:line="360" w:lineRule="auto"/>
        <w:ind w:left="0" w:firstLine="420" w:firstLineChars="200"/>
        <w:textAlignment w:val="baseline"/>
        <w:rPr>
          <w:rFonts w:ascii="宋体" w:cs="宋体"/>
          <w:sz w:val="20"/>
        </w:rPr>
      </w:pPr>
      <w:r>
        <w:rPr>
          <w:rFonts w:hint="eastAsia" w:ascii="宋体" w:hAnsi="宋体" w:cs="宋体"/>
        </w:rP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10"/>
        </w:numPr>
        <w:snapToGrid w:val="0"/>
        <w:spacing w:line="360" w:lineRule="auto"/>
        <w:ind w:left="0" w:firstLine="420" w:firstLineChars="200"/>
        <w:textAlignment w:val="baseline"/>
        <w:rPr>
          <w:rFonts w:ascii="宋体"/>
          <w:sz w:val="20"/>
        </w:rPr>
      </w:pPr>
      <w:r>
        <w:rPr>
          <w:rFonts w:hint="eastAsia" w:ascii="宋体" w:hAnsi="宋体"/>
        </w:rPr>
        <w:t>其他组织和自然人如没有经审计的财务报告的，可以提供资产负债表、利润表、现金流量表。</w:t>
      </w:r>
    </w:p>
    <w:p>
      <w:pPr>
        <w:numPr>
          <w:ilvl w:val="0"/>
          <w:numId w:val="10"/>
        </w:numPr>
        <w:snapToGrid w:val="0"/>
        <w:spacing w:line="360" w:lineRule="auto"/>
        <w:ind w:left="0" w:firstLine="420" w:firstLineChars="200"/>
        <w:textAlignment w:val="baseline"/>
        <w:rPr>
          <w:rFonts w:ascii="宋体"/>
          <w:sz w:val="20"/>
        </w:rPr>
      </w:pPr>
      <w:r>
        <w:rPr>
          <w:rFonts w:hint="eastAsia" w:ascii="宋体" w:hAnsi="宋体"/>
        </w:rPr>
        <w:t>新成立不足一年的公司须出具情况说明。</w:t>
      </w:r>
    </w:p>
    <w:p>
      <w:pPr>
        <w:pStyle w:val="88"/>
        <w:snapToGrid w:val="0"/>
        <w:spacing w:line="360" w:lineRule="auto"/>
        <w:ind w:left="420" w:firstLine="0" w:firstLineChars="0"/>
        <w:textAlignment w:val="baseline"/>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pPr>
        <w:pStyle w:val="88"/>
        <w:snapToGrid w:val="0"/>
        <w:spacing w:line="360" w:lineRule="auto"/>
        <w:ind w:left="420" w:firstLine="0" w:firstLineChars="0"/>
        <w:textAlignment w:val="baseline"/>
        <w:rPr>
          <w:rFonts w:ascii="宋体" w:cs="宋体"/>
          <w:szCs w:val="21"/>
        </w:rPr>
      </w:pPr>
      <w:r>
        <w:rPr>
          <w:rFonts w:hint="eastAsia" w:ascii="宋体" w:hAnsi="宋体" w:cs="宋体"/>
          <w:szCs w:val="21"/>
        </w:rPr>
        <w:t>投标人须在投标文件中出具具有履行合同所必需的设备和专业技术能力的《投标函》。</w:t>
      </w:r>
    </w:p>
    <w:p>
      <w:pPr>
        <w:pStyle w:val="88"/>
        <w:snapToGrid w:val="0"/>
        <w:spacing w:line="360" w:lineRule="auto"/>
        <w:ind w:left="420" w:firstLine="0" w:firstLineChars="0"/>
        <w:textAlignment w:val="baseline"/>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pPr>
        <w:snapToGrid w:val="0"/>
        <w:spacing w:line="360" w:lineRule="auto"/>
        <w:ind w:firstLine="420" w:firstLineChars="200"/>
        <w:textAlignment w:val="baseline"/>
        <w:rPr>
          <w:rFonts w:ascii="宋体"/>
          <w:sz w:val="20"/>
        </w:rPr>
      </w:pPr>
      <w:r>
        <w:rPr>
          <w:rFonts w:hint="eastAsia" w:ascii="宋体" w:hAnsi="宋体"/>
        </w:rPr>
        <w:t>1投标人须在投标文件中同时出具满足以下要求的证明材料复印件：</w:t>
      </w:r>
    </w:p>
    <w:p>
      <w:pPr>
        <w:snapToGrid w:val="0"/>
        <w:spacing w:line="360" w:lineRule="auto"/>
        <w:ind w:firstLine="400" w:firstLineChars="200"/>
        <w:textAlignment w:val="baseline"/>
        <w:rPr>
          <w:rFonts w:ascii="宋体" w:hAnsi="宋体"/>
          <w:sz w:val="20"/>
        </w:rPr>
      </w:pPr>
      <w:r>
        <w:rPr>
          <w:rFonts w:ascii="宋体" w:hAnsi="宋体" w:cs="宋体"/>
          <w:sz w:val="20"/>
        </w:rPr>
        <w:fldChar w:fldCharType="begin"/>
      </w:r>
      <w:r>
        <w:rPr>
          <w:rFonts w:ascii="宋体" w:hAnsi="宋体" w:cs="宋体"/>
          <w:sz w:val="20"/>
        </w:rPr>
        <w:instrText xml:space="preserve"> EQ \o\ac(</w:instrText>
      </w:r>
      <w:r>
        <w:rPr>
          <w:rFonts w:hint="eastAsia" w:ascii="宋体" w:hAnsi="宋体" w:cs="宋体"/>
          <w:sz w:val="20"/>
        </w:rPr>
        <w:instrText xml:space="preserve">○</w:instrText>
      </w:r>
      <w:r>
        <w:rPr>
          <w:rFonts w:ascii="宋体" w:hAnsi="宋体" w:cs="宋体"/>
          <w:sz w:val="20"/>
        </w:rPr>
        <w:instrText xml:space="preserve">,1)</w:instrText>
      </w:r>
      <w:r>
        <w:rPr>
          <w:rFonts w:ascii="宋体" w:hAnsi="宋体" w:cs="宋体"/>
          <w:sz w:val="20"/>
        </w:rPr>
        <w:fldChar w:fldCharType="end"/>
      </w:r>
      <w:r>
        <w:rPr>
          <w:rFonts w:hint="eastAsia" w:ascii="宋体" w:hAnsi="宋体"/>
        </w:rPr>
        <w:t>投标人须提供由税务部门出具的最近一个季度缴纳增值税和企业所得税的纳税证明。</w:t>
      </w:r>
    </w:p>
    <w:p>
      <w:pPr>
        <w:snapToGrid w:val="0"/>
        <w:spacing w:line="312" w:lineRule="auto"/>
        <w:ind w:firstLine="420" w:firstLineChars="200"/>
        <w:jc w:val="left"/>
        <w:textAlignment w:val="baseline"/>
        <w:rPr>
          <w:sz w:val="20"/>
        </w:rPr>
      </w:pPr>
      <w:r>
        <w:rPr>
          <w:rFonts w:hint="eastAsia" w:ascii="宋体" w:hAnsi="宋体" w:cs="宋体"/>
        </w:rPr>
        <w:t>②</w:t>
      </w:r>
      <w:r>
        <w:t>投标人须提供最近三个月内缴纳社会保险的凭据（缴税付款凭证或社会保险缴纳证明）</w:t>
      </w:r>
      <w:r>
        <w:rPr>
          <w:rFonts w:hint="eastAsia"/>
        </w:rPr>
        <w:t>或人身意外伤害保险的凭据</w:t>
      </w:r>
    </w:p>
    <w:p>
      <w:pPr>
        <w:snapToGrid w:val="0"/>
        <w:spacing w:line="360" w:lineRule="auto"/>
        <w:ind w:firstLine="420" w:firstLineChars="200"/>
        <w:textAlignment w:val="baseline"/>
        <w:rPr>
          <w:rFonts w:ascii="宋体" w:hAnsi="宋体"/>
          <w:sz w:val="20"/>
        </w:rPr>
      </w:pPr>
      <w:r>
        <w:rPr>
          <w:rFonts w:hint="eastAsia" w:ascii="宋体" w:hAnsi="宋体"/>
        </w:rPr>
        <w:t>依法免税或不需要缴纳社会保障资金的投标人，应提供相应文件证明其依法免税或不需要缴纳社会保障资金。</w:t>
      </w:r>
    </w:p>
    <w:p>
      <w:pPr>
        <w:snapToGrid w:val="0"/>
        <w:spacing w:line="360" w:lineRule="auto"/>
        <w:ind w:firstLine="422" w:firstLineChars="200"/>
        <w:textAlignment w:val="baseline"/>
        <w:rPr>
          <w:rFonts w:ascii="宋体"/>
          <w:b/>
          <w:bCs/>
          <w:sz w:val="20"/>
        </w:rPr>
      </w:pPr>
      <w:r>
        <w:rPr>
          <w:rFonts w:ascii="宋体" w:hAnsi="宋体"/>
          <w:b/>
          <w:bCs/>
        </w:rPr>
        <w:t>E.</w:t>
      </w:r>
      <w:r>
        <w:rPr>
          <w:rFonts w:hint="eastAsia" w:ascii="宋体" w:hAnsi="宋体"/>
          <w:b/>
          <w:bCs/>
        </w:rPr>
        <w:t>参加政府采购活动前三年内，在经营活动中没有重大违法记录：</w:t>
      </w:r>
    </w:p>
    <w:p>
      <w:pPr>
        <w:snapToGrid w:val="0"/>
        <w:spacing w:line="360" w:lineRule="auto"/>
        <w:ind w:firstLine="420" w:firstLineChars="200"/>
        <w:textAlignment w:val="baseline"/>
        <w:rPr>
          <w:rFonts w:ascii="宋体" w:hAnsi="宋体"/>
          <w:sz w:val="20"/>
        </w:rPr>
      </w:pPr>
      <w:r>
        <w:rPr>
          <w:rFonts w:hint="eastAsia" w:ascii="宋体" w:hAnsi="宋体"/>
        </w:rPr>
        <w:t>投标人须在投标文件中出具《声明函》、《廉政承诺书》。（格式见附件）</w:t>
      </w:r>
    </w:p>
    <w:p>
      <w:pPr>
        <w:pStyle w:val="21"/>
        <w:snapToGrid w:val="0"/>
        <w:spacing w:before="120" w:line="336" w:lineRule="auto"/>
        <w:ind w:firstLine="415" w:firstLineChars="198"/>
        <w:textAlignment w:val="baseline"/>
        <w:rPr>
          <w:rFonts w:hAnsi="宋体" w:cs="宋体"/>
          <w:sz w:val="21"/>
          <w:szCs w:val="21"/>
        </w:rPr>
      </w:pPr>
      <w:r>
        <w:rPr>
          <w:rFonts w:hint="eastAsia" w:hAnsi="宋体" w:cs="宋体"/>
          <w:sz w:val="21"/>
          <w:szCs w:val="21"/>
        </w:rPr>
        <w:t>注：证明材料均需加盖签章。</w:t>
      </w:r>
    </w:p>
    <w:p>
      <w:pPr>
        <w:tabs>
          <w:tab w:val="left" w:pos="3870"/>
          <w:tab w:val="left" w:pos="4085"/>
        </w:tabs>
        <w:snapToGrid w:val="0"/>
        <w:spacing w:line="336" w:lineRule="auto"/>
        <w:ind w:firstLine="420" w:firstLineChars="200"/>
        <w:jc w:val="left"/>
        <w:textAlignment w:val="baseline"/>
        <w:rPr>
          <w:rFonts w:ascii="宋体" w:hAnsi="宋体" w:cs="宋体"/>
          <w:sz w:val="20"/>
          <w:szCs w:val="21"/>
        </w:rPr>
      </w:pPr>
      <w:r>
        <w:rPr>
          <w:rFonts w:hint="eastAsia" w:ascii="宋体" w:hAnsi="宋体" w:cs="宋体"/>
          <w:szCs w:val="21"/>
        </w:rPr>
        <w:t>中小企业申明函（如是）；</w:t>
      </w:r>
    </w:p>
    <w:p>
      <w:pPr>
        <w:tabs>
          <w:tab w:val="left" w:pos="3870"/>
          <w:tab w:val="left" w:pos="4085"/>
        </w:tabs>
        <w:snapToGrid w:val="0"/>
        <w:spacing w:line="336" w:lineRule="auto"/>
        <w:ind w:firstLine="420" w:firstLineChars="200"/>
        <w:jc w:val="left"/>
        <w:textAlignment w:val="baseline"/>
        <w:rPr>
          <w:rFonts w:ascii="宋体" w:hAnsi="宋体" w:cs="宋体"/>
          <w:sz w:val="20"/>
          <w:szCs w:val="21"/>
        </w:rPr>
      </w:pPr>
      <w:r>
        <w:rPr>
          <w:rFonts w:hint="eastAsia" w:ascii="宋体" w:hAnsi="宋体" w:cs="宋体"/>
          <w:szCs w:val="21"/>
        </w:rPr>
        <w:t>监狱企业声明函（如是）；</w:t>
      </w:r>
    </w:p>
    <w:p>
      <w:pPr>
        <w:tabs>
          <w:tab w:val="left" w:pos="3870"/>
          <w:tab w:val="left" w:pos="4085"/>
        </w:tabs>
        <w:snapToGrid w:val="0"/>
        <w:spacing w:line="336" w:lineRule="auto"/>
        <w:ind w:firstLine="420" w:firstLineChars="200"/>
        <w:jc w:val="left"/>
        <w:textAlignment w:val="baseline"/>
        <w:rPr>
          <w:rFonts w:ascii="宋体" w:hAnsi="宋体" w:cs="宋体"/>
          <w:sz w:val="20"/>
          <w:szCs w:val="21"/>
        </w:rPr>
      </w:pPr>
      <w:r>
        <w:rPr>
          <w:rFonts w:hint="eastAsia" w:ascii="宋体" w:hAnsi="宋体" w:cs="宋体"/>
          <w:szCs w:val="21"/>
        </w:rPr>
        <w:t>残疾人福利性单位声明函（如是）；</w:t>
      </w:r>
    </w:p>
    <w:p>
      <w:pPr>
        <w:pStyle w:val="106"/>
        <w:snapToGrid w:val="0"/>
        <w:spacing w:before="120" w:after="120" w:line="336" w:lineRule="auto"/>
        <w:ind w:left="417" w:right="-506"/>
        <w:textAlignment w:val="baseline"/>
        <w:rPr>
          <w:rFonts w:hAnsi="宋体" w:eastAsia="宋体"/>
          <w:b/>
          <w:sz w:val="21"/>
          <w:szCs w:val="21"/>
        </w:rPr>
      </w:pPr>
      <w:r>
        <w:rPr>
          <w:rFonts w:hint="eastAsia" w:hAnsi="宋体" w:eastAsia="宋体"/>
          <w:b/>
          <w:sz w:val="21"/>
          <w:szCs w:val="21"/>
        </w:rPr>
        <w:t>2、</w:t>
      </w:r>
      <w:r>
        <w:rPr>
          <w:rFonts w:hAnsi="宋体" w:eastAsia="宋体"/>
          <w:b/>
          <w:sz w:val="21"/>
          <w:szCs w:val="21"/>
        </w:rPr>
        <w:t>商务</w:t>
      </w:r>
      <w:r>
        <w:rPr>
          <w:rFonts w:hint="eastAsia" w:hAnsi="宋体" w:eastAsia="宋体"/>
          <w:b/>
          <w:sz w:val="21"/>
          <w:szCs w:val="21"/>
        </w:rPr>
        <w:t>及技术部分</w:t>
      </w:r>
      <w:r>
        <w:rPr>
          <w:rFonts w:hAnsi="宋体" w:eastAsia="宋体"/>
          <w:b/>
          <w:sz w:val="21"/>
          <w:szCs w:val="21"/>
        </w:rPr>
        <w:t>：</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bCs/>
          <w:szCs w:val="21"/>
        </w:rPr>
        <w:t>投标人</w:t>
      </w:r>
      <w:r>
        <w:rPr>
          <w:rFonts w:ascii="宋体" w:hAnsi="宋体"/>
          <w:bCs/>
          <w:szCs w:val="21"/>
        </w:rPr>
        <w:t>基本情况表；</w:t>
      </w:r>
    </w:p>
    <w:p>
      <w:pPr>
        <w:spacing w:line="360" w:lineRule="auto"/>
        <w:ind w:firstLine="420"/>
        <w:rPr>
          <w:rFonts w:ascii="宋体" w:hAnsi="宋体"/>
        </w:rPr>
      </w:pPr>
      <w:r>
        <w:rPr>
          <w:rFonts w:hint="eastAsia" w:ascii="宋体" w:hAnsi="宋体"/>
        </w:rPr>
        <w:t>（2）</w:t>
      </w:r>
      <w:r>
        <w:rPr>
          <w:rFonts w:ascii="宋体" w:hAnsi="宋体"/>
        </w:rPr>
        <w:t>成功案例及业绩；</w:t>
      </w:r>
    </w:p>
    <w:p>
      <w:pPr>
        <w:spacing w:line="360" w:lineRule="auto"/>
        <w:ind w:firstLine="420"/>
        <w:rPr>
          <w:rFonts w:ascii="宋体" w:hAnsi="宋体"/>
        </w:rPr>
      </w:pPr>
      <w:r>
        <w:rPr>
          <w:rFonts w:hint="eastAsia" w:ascii="宋体" w:hAnsi="宋体"/>
        </w:rPr>
        <w:t>（3）商务响应表；</w:t>
      </w:r>
    </w:p>
    <w:p>
      <w:pPr>
        <w:snapToGrid w:val="0"/>
        <w:spacing w:line="360" w:lineRule="auto"/>
        <w:ind w:right="-87" w:firstLine="411" w:firstLineChars="196"/>
        <w:jc w:val="left"/>
        <w:rPr>
          <w:szCs w:val="21"/>
        </w:rPr>
      </w:pPr>
      <w:r>
        <w:rPr>
          <w:rFonts w:hint="eastAsia"/>
          <w:szCs w:val="21"/>
        </w:rPr>
        <w:t>（4）对本项目系统总体要求的理解；（包括技术线路、需求分析、技术规范及标准、质量检查制度、所需的基础软硬件支撑等，格式自拟）；</w:t>
      </w:r>
    </w:p>
    <w:p>
      <w:pPr>
        <w:snapToGrid w:val="0"/>
        <w:spacing w:line="360" w:lineRule="auto"/>
        <w:ind w:right="-87" w:firstLine="411" w:firstLineChars="196"/>
        <w:jc w:val="left"/>
        <w:rPr>
          <w:szCs w:val="21"/>
        </w:rPr>
      </w:pPr>
      <w:r>
        <w:rPr>
          <w:rFonts w:hint="eastAsia"/>
          <w:szCs w:val="21"/>
        </w:rPr>
        <w:t>（5）项目总体架构及技术解决方案</w:t>
      </w:r>
    </w:p>
    <w:p>
      <w:pPr>
        <w:snapToGrid w:val="0"/>
        <w:spacing w:line="360" w:lineRule="auto"/>
        <w:ind w:right="-87" w:firstLine="411" w:firstLineChars="196"/>
        <w:jc w:val="left"/>
        <w:rPr>
          <w:szCs w:val="21"/>
        </w:rPr>
      </w:pPr>
      <w:r>
        <w:rPr>
          <w:rFonts w:hint="eastAsia"/>
          <w:szCs w:val="21"/>
        </w:rPr>
        <w:t>（6）保证项目质量的技术力量及技术措施；</w:t>
      </w:r>
    </w:p>
    <w:p>
      <w:pPr>
        <w:snapToGrid w:val="0"/>
        <w:spacing w:line="360" w:lineRule="auto"/>
        <w:ind w:right="-87" w:firstLine="411" w:firstLineChars="196"/>
        <w:jc w:val="left"/>
        <w:rPr>
          <w:szCs w:val="21"/>
        </w:rPr>
      </w:pPr>
      <w:r>
        <w:rPr>
          <w:rFonts w:hint="eastAsia"/>
          <w:szCs w:val="21"/>
        </w:rPr>
        <w:t>（7）保证项目的组织方案及人力资源安排；</w:t>
      </w:r>
    </w:p>
    <w:p>
      <w:pPr>
        <w:snapToGrid w:val="0"/>
        <w:spacing w:line="360" w:lineRule="auto"/>
        <w:ind w:right="-87" w:firstLine="411" w:firstLineChars="196"/>
        <w:jc w:val="left"/>
        <w:rPr>
          <w:szCs w:val="21"/>
        </w:rPr>
      </w:pPr>
      <w:r>
        <w:rPr>
          <w:rFonts w:hint="eastAsia"/>
          <w:szCs w:val="21"/>
        </w:rPr>
        <w:t>（8）工作计划表和进度表, 拟投入的主要软硬件设备表</w:t>
      </w:r>
    </w:p>
    <w:p>
      <w:pPr>
        <w:snapToGrid w:val="0"/>
        <w:spacing w:line="360" w:lineRule="auto"/>
        <w:ind w:right="-87" w:firstLine="411" w:firstLineChars="196"/>
        <w:jc w:val="left"/>
        <w:rPr>
          <w:szCs w:val="21"/>
        </w:rPr>
      </w:pPr>
      <w:r>
        <w:rPr>
          <w:rFonts w:hint="eastAsia"/>
          <w:szCs w:val="21"/>
        </w:rPr>
        <w:t>（9）投标人建议的验收方法或方案；</w:t>
      </w:r>
    </w:p>
    <w:p>
      <w:pPr>
        <w:snapToGrid w:val="0"/>
        <w:spacing w:line="360" w:lineRule="auto"/>
        <w:ind w:right="-87" w:firstLine="411" w:firstLineChars="196"/>
        <w:jc w:val="left"/>
        <w:rPr>
          <w:szCs w:val="21"/>
        </w:rPr>
      </w:pPr>
      <w:r>
        <w:rPr>
          <w:rFonts w:hint="eastAsia"/>
          <w:szCs w:val="21"/>
        </w:rPr>
        <w:t>（10）技术服务、技术培训、服务点的情况介绍以及服务承诺和保障措施；</w:t>
      </w:r>
    </w:p>
    <w:p>
      <w:pPr>
        <w:snapToGrid w:val="0"/>
        <w:spacing w:line="360" w:lineRule="auto"/>
        <w:ind w:right="-87" w:firstLine="411" w:firstLineChars="196"/>
        <w:jc w:val="left"/>
        <w:rPr>
          <w:szCs w:val="21"/>
        </w:rPr>
      </w:pPr>
      <w:r>
        <w:rPr>
          <w:rFonts w:hint="eastAsia"/>
          <w:szCs w:val="21"/>
        </w:rPr>
        <w:t>（11）技术响应表</w:t>
      </w:r>
    </w:p>
    <w:p>
      <w:pPr>
        <w:snapToGrid w:val="0"/>
        <w:spacing w:line="360" w:lineRule="auto"/>
        <w:ind w:right="-87" w:firstLine="411" w:firstLineChars="196"/>
        <w:jc w:val="left"/>
        <w:rPr>
          <w:szCs w:val="21"/>
        </w:rPr>
      </w:pPr>
      <w:r>
        <w:rPr>
          <w:rFonts w:hint="eastAsia"/>
          <w:szCs w:val="21"/>
        </w:rPr>
        <w:t>（12）投标人对本项目的合理化建议和改进措施；</w:t>
      </w:r>
    </w:p>
    <w:p>
      <w:pPr>
        <w:snapToGrid w:val="0"/>
        <w:spacing w:line="360" w:lineRule="auto"/>
        <w:ind w:right="-87" w:firstLine="411" w:firstLineChars="196"/>
        <w:jc w:val="left"/>
        <w:rPr>
          <w:szCs w:val="21"/>
        </w:rPr>
      </w:pPr>
      <w:r>
        <w:rPr>
          <w:rFonts w:hint="eastAsia"/>
          <w:szCs w:val="21"/>
        </w:rPr>
        <w:t>（13）投标人需要说明的其他文件和说明。</w:t>
      </w:r>
    </w:p>
    <w:p>
      <w:pPr>
        <w:snapToGrid w:val="0"/>
        <w:spacing w:line="360" w:lineRule="auto"/>
        <w:ind w:firstLine="413" w:firstLineChars="196"/>
        <w:jc w:val="left"/>
        <w:textAlignment w:val="baseline"/>
        <w:rPr>
          <w:rFonts w:hAnsi="宋体"/>
          <w:b/>
          <w:sz w:val="20"/>
          <w:szCs w:val="21"/>
        </w:rPr>
      </w:pPr>
      <w:r>
        <w:rPr>
          <w:rFonts w:hint="eastAsia" w:hAnsi="宋体"/>
          <w:b/>
          <w:szCs w:val="21"/>
        </w:rPr>
        <w:t>3、</w:t>
      </w:r>
      <w:r>
        <w:rPr>
          <w:rFonts w:hAnsi="宋体"/>
          <w:b/>
          <w:szCs w:val="21"/>
        </w:rPr>
        <w:t>报价</w:t>
      </w:r>
      <w:r>
        <w:rPr>
          <w:rFonts w:hint="eastAsia" w:hAnsi="宋体"/>
          <w:b/>
          <w:szCs w:val="21"/>
        </w:rPr>
        <w:t>部分</w:t>
      </w:r>
      <w:r>
        <w:rPr>
          <w:rFonts w:hAnsi="宋体"/>
          <w:b/>
          <w:szCs w:val="21"/>
        </w:rPr>
        <w:t>：</w:t>
      </w:r>
    </w:p>
    <w:p>
      <w:pPr>
        <w:snapToGrid w:val="0"/>
        <w:spacing w:line="336" w:lineRule="auto"/>
        <w:ind w:firstLine="420" w:firstLineChars="200"/>
        <w:jc w:val="left"/>
        <w:textAlignment w:val="baseline"/>
        <w:rPr>
          <w:rFonts w:ascii="宋体" w:hAnsi="宋体" w:cs="宋体"/>
          <w:sz w:val="20"/>
          <w:szCs w:val="21"/>
        </w:rPr>
      </w:pPr>
      <w:r>
        <w:rPr>
          <w:rFonts w:hint="eastAsia" w:ascii="宋体" w:hAnsi="宋体" w:cs="宋体"/>
          <w:szCs w:val="21"/>
        </w:rPr>
        <w:t>3.1投标报价一览表；</w:t>
      </w:r>
    </w:p>
    <w:p>
      <w:pPr>
        <w:tabs>
          <w:tab w:val="left" w:pos="3870"/>
          <w:tab w:val="left" w:pos="4085"/>
        </w:tabs>
        <w:snapToGrid w:val="0"/>
        <w:spacing w:line="336" w:lineRule="auto"/>
        <w:ind w:firstLine="420" w:firstLineChars="200"/>
        <w:jc w:val="left"/>
        <w:textAlignment w:val="baseline"/>
        <w:rPr>
          <w:rFonts w:ascii="宋体" w:hAnsi="宋体" w:cs="宋体"/>
          <w:sz w:val="20"/>
          <w:szCs w:val="21"/>
        </w:rPr>
      </w:pPr>
      <w:r>
        <w:rPr>
          <w:rFonts w:hint="eastAsia" w:ascii="宋体" w:hAnsi="宋体" w:cs="宋体"/>
          <w:szCs w:val="21"/>
        </w:rPr>
        <w:t>3.2报价明细表；</w:t>
      </w:r>
    </w:p>
    <w:p>
      <w:pPr>
        <w:snapToGrid w:val="0"/>
        <w:spacing w:line="336" w:lineRule="auto"/>
        <w:ind w:firstLine="420" w:firstLineChars="200"/>
        <w:jc w:val="left"/>
        <w:textAlignment w:val="baseline"/>
        <w:rPr>
          <w:rFonts w:ascii="宋体" w:hAnsi="宋体" w:cs="宋体"/>
          <w:sz w:val="20"/>
          <w:szCs w:val="21"/>
        </w:rPr>
      </w:pPr>
      <w:r>
        <w:rPr>
          <w:rFonts w:hint="eastAsia" w:ascii="宋体" w:hAnsi="宋体" w:cs="宋体"/>
          <w:szCs w:val="21"/>
        </w:rPr>
        <w:t>3.3投标人针对报价需要说明的其他文件和说明。</w:t>
      </w:r>
    </w:p>
    <w:p>
      <w:pPr>
        <w:snapToGrid w:val="0"/>
        <w:spacing w:line="360" w:lineRule="auto"/>
        <w:ind w:right="55" w:firstLine="413" w:firstLineChars="196"/>
        <w:jc w:val="left"/>
        <w:textAlignment w:val="baseline"/>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textAlignment w:val="baseline"/>
        <w:rPr>
          <w:rFonts w:ascii="宋体" w:hAnsi="宋体" w:cs="宋体"/>
          <w:sz w:val="20"/>
          <w:szCs w:val="21"/>
        </w:rPr>
      </w:pPr>
      <w:r>
        <w:rPr>
          <w:rFonts w:hint="eastAsia" w:ascii="宋体" w:hAnsi="宋体" w:cs="宋体"/>
          <w:szCs w:val="21"/>
        </w:rPr>
        <w:t>1、投标文件以及投标人与采购单位就有关投标事宜的所有来往函电，均应以中文汉语书写。除签名、盖章、专用名称等特殊情形外，以中文汉语以外的文字表述的投标文件视同未提供。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textAlignment w:val="baseline"/>
        <w:rPr>
          <w:rFonts w:ascii="宋体" w:hAnsi="宋体" w:cs="宋体"/>
          <w:sz w:val="20"/>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napToGrid w:val="0"/>
        <w:spacing w:line="360" w:lineRule="auto"/>
        <w:ind w:firstLine="422" w:firstLineChars="200"/>
        <w:textAlignment w:val="baseline"/>
        <w:rPr>
          <w:rFonts w:ascii="宋体" w:hAnsi="宋体"/>
          <w:b/>
          <w:sz w:val="20"/>
          <w:szCs w:val="21"/>
        </w:rPr>
      </w:pPr>
      <w:r>
        <w:rPr>
          <w:rFonts w:ascii="宋体" w:hAnsi="宋体"/>
          <w:b/>
          <w:szCs w:val="21"/>
        </w:rPr>
        <w:t>（三）响应报价</w:t>
      </w:r>
    </w:p>
    <w:p>
      <w:pPr>
        <w:pStyle w:val="8"/>
        <w:snapToGrid w:val="0"/>
        <w:spacing w:line="360" w:lineRule="auto"/>
        <w:ind w:left="178" w:leftChars="85" w:firstLine="413" w:firstLineChars="196"/>
        <w:textAlignment w:val="baseline"/>
        <w:rPr>
          <w:rFonts w:ascii="宋体" w:hAnsi="宋体" w:cs="宋体"/>
          <w:b/>
          <w:bCs/>
          <w:szCs w:val="21"/>
        </w:rPr>
      </w:pPr>
      <w:r>
        <w:rPr>
          <w:rFonts w:ascii="宋体" w:hAnsi="宋体" w:cs="宋体"/>
          <w:b/>
          <w:bCs/>
          <w:szCs w:val="21"/>
        </w:rPr>
        <w:t>1</w:t>
      </w:r>
      <w:r>
        <w:rPr>
          <w:rFonts w:hint="eastAsia" w:ascii="宋体" w:hAnsi="宋体" w:cs="宋体"/>
          <w:b/>
          <w:bCs/>
          <w:szCs w:val="21"/>
        </w:rPr>
        <w:t>、投标报价应以人民币报价，投标人报价应是包括为完成本项目服务可能发生的全部费用及中标人的利润和应交纳的税金等一切费用。</w:t>
      </w:r>
    </w:p>
    <w:p>
      <w:pPr>
        <w:snapToGrid w:val="0"/>
        <w:spacing w:line="360" w:lineRule="auto"/>
        <w:ind w:firstLine="413" w:firstLineChars="196"/>
        <w:textAlignment w:val="baseline"/>
        <w:rPr>
          <w:rFonts w:ascii="宋体" w:hAnsi="宋体"/>
          <w:sz w:val="20"/>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pPr>
        <w:snapToGrid w:val="0"/>
        <w:spacing w:line="360" w:lineRule="auto"/>
        <w:ind w:firstLine="413" w:firstLineChars="196"/>
        <w:jc w:val="left"/>
        <w:textAlignment w:val="baseline"/>
        <w:rPr>
          <w:rFonts w:ascii="宋体" w:hAnsi="宋体"/>
          <w:b/>
          <w:sz w:val="20"/>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pPr>
        <w:pStyle w:val="8"/>
        <w:tabs>
          <w:tab w:val="left" w:pos="454"/>
          <w:tab w:val="left" w:pos="720"/>
          <w:tab w:val="left" w:pos="900"/>
        </w:tabs>
        <w:snapToGrid w:val="0"/>
        <w:spacing w:line="360" w:lineRule="auto"/>
        <w:ind w:left="357" w:leftChars="170" w:right="-506" w:firstLine="105" w:firstLineChars="50"/>
        <w:textAlignment w:val="baseline"/>
        <w:rPr>
          <w:rFonts w:ascii="宋体" w:hAnsi="宋体"/>
        </w:rPr>
      </w:pPr>
      <w:r>
        <w:rPr>
          <w:rFonts w:hint="eastAsia" w:ascii="宋体" w:hAnsi="宋体"/>
        </w:rPr>
        <w:t>1、自投标截止日起</w:t>
      </w:r>
      <w:r>
        <w:rPr>
          <w:rFonts w:hint="eastAsia" w:ascii="宋体" w:hAnsi="宋体"/>
          <w:b/>
          <w:u w:val="single" w:color="000000"/>
        </w:rPr>
        <w:t xml:space="preserve">90 </w:t>
      </w:r>
      <w:r>
        <w:rPr>
          <w:rFonts w:hint="eastAsia" w:ascii="宋体" w:hAnsi="宋体"/>
          <w:b/>
        </w:rPr>
        <w:t>天</w:t>
      </w:r>
      <w:r>
        <w:rPr>
          <w:rFonts w:hint="eastAsia" w:ascii="宋体" w:hAnsi="宋体"/>
        </w:rPr>
        <w:t>投标文件应保持有效。有效期不足的投标文件将被拒绝。</w:t>
      </w:r>
    </w:p>
    <w:p>
      <w:pPr>
        <w:snapToGrid w:val="0"/>
        <w:spacing w:line="360" w:lineRule="auto"/>
        <w:ind w:right="-86" w:firstLine="420" w:firstLineChars="200"/>
        <w:jc w:val="left"/>
        <w:textAlignment w:val="baseline"/>
        <w:rPr>
          <w:rFonts w:ascii="宋体" w:hAnsi="宋体"/>
          <w:sz w:val="20"/>
        </w:rPr>
      </w:pPr>
      <w:r>
        <w:rPr>
          <w:rFonts w:hint="eastAsia" w:ascii="宋体" w:hAnsi="宋体"/>
        </w:rPr>
        <w:t>2、在特殊情况下，采购单位可与投标人协商延长投标书的有效期，这种要求和答复均以书面形式进行。</w:t>
      </w:r>
    </w:p>
    <w:p>
      <w:pPr>
        <w:snapToGrid w:val="0"/>
        <w:spacing w:line="360" w:lineRule="auto"/>
        <w:ind w:right="55" w:firstLine="420" w:firstLineChars="200"/>
        <w:jc w:val="left"/>
        <w:textAlignment w:val="baseline"/>
        <w:rPr>
          <w:rFonts w:ascii="宋体" w:hAnsi="宋体"/>
          <w:sz w:val="20"/>
        </w:rPr>
      </w:pPr>
      <w:r>
        <w:rPr>
          <w:rFonts w:hint="eastAsia" w:ascii="宋体" w:hAnsi="宋体"/>
        </w:rPr>
        <w:t>3、中标人的投标文件自开标之日起至合同履行完毕止均应保持有效。</w:t>
      </w:r>
    </w:p>
    <w:p>
      <w:pPr>
        <w:snapToGrid w:val="0"/>
        <w:spacing w:line="360" w:lineRule="auto"/>
        <w:ind w:firstLine="413" w:firstLineChars="196"/>
        <w:jc w:val="left"/>
        <w:textAlignment w:val="baseline"/>
        <w:rPr>
          <w:rFonts w:ascii="宋体" w:hAnsi="宋体"/>
          <w:b/>
          <w:sz w:val="20"/>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firstLine="420" w:firstLineChars="200"/>
        <w:jc w:val="left"/>
        <w:textAlignment w:val="baseline"/>
        <w:rPr>
          <w:rFonts w:ascii="宋体" w:hAnsi="宋体"/>
          <w:sz w:val="20"/>
        </w:rPr>
      </w:pPr>
      <w:r>
        <w:rPr>
          <w:rFonts w:hint="eastAsia" w:ascii="宋体" w:hAnsi="宋体"/>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firstLine="420" w:firstLineChars="200"/>
        <w:jc w:val="left"/>
        <w:textAlignment w:val="baseline"/>
        <w:rPr>
          <w:rFonts w:ascii="宋体" w:hAnsi="宋体"/>
          <w:sz w:val="20"/>
        </w:rPr>
      </w:pPr>
      <w:r>
        <w:rPr>
          <w:rFonts w:hint="eastAsia" w:ascii="宋体" w:hAnsi="宋体"/>
        </w:rPr>
        <w:t>2、投标人应当在投标截止时间前将以介质存储的数据电文形式的备份投标文件和纸质备份投标文件</w:t>
      </w:r>
      <w:r>
        <w:rPr>
          <w:rFonts w:hint="eastAsia" w:ascii="宋体" w:hAnsi="宋体" w:cs="宋体"/>
          <w:szCs w:val="21"/>
        </w:rPr>
        <w:t>寄到或送达采购代理公司。地址：舟山市定海区昌国路232号中楼202  深圳市国信招标有限公司舟山分公司。也可现场递交。</w:t>
      </w:r>
      <w:r>
        <w:rPr>
          <w:rFonts w:hint="eastAsia" w:ascii="宋体" w:hAnsi="宋体"/>
        </w:rPr>
        <w:t>逾期送达或未密封将被拒收。</w:t>
      </w:r>
    </w:p>
    <w:p>
      <w:pPr>
        <w:snapToGrid w:val="0"/>
        <w:spacing w:line="360" w:lineRule="auto"/>
        <w:ind w:right="-86" w:firstLine="422" w:firstLineChars="200"/>
        <w:jc w:val="left"/>
        <w:textAlignment w:val="baseline"/>
        <w:rPr>
          <w:rFonts w:ascii="宋体" w:hAnsi="宋体"/>
          <w:sz w:val="20"/>
        </w:rPr>
      </w:pPr>
      <w:r>
        <w:rPr>
          <w:rFonts w:hint="eastAsia" w:cs="(使用中文字体)"/>
          <w:b/>
          <w:szCs w:val="21"/>
        </w:rPr>
        <w:t>投标人可以不提供备份投标文件，造成项目开评标活动无法进行下去的，投标无效，相关风险由投标人自行承担</w:t>
      </w:r>
    </w:p>
    <w:p>
      <w:pPr>
        <w:snapToGrid w:val="0"/>
        <w:spacing w:line="360" w:lineRule="auto"/>
        <w:ind w:right="-86" w:firstLine="420" w:firstLineChars="200"/>
        <w:jc w:val="left"/>
        <w:textAlignment w:val="baseline"/>
        <w:rPr>
          <w:rFonts w:ascii="宋体" w:hAnsi="宋体"/>
          <w:sz w:val="20"/>
        </w:rPr>
      </w:pPr>
      <w:r>
        <w:rPr>
          <w:rFonts w:hint="eastAsia" w:ascii="宋体" w:hAnsi="宋体"/>
        </w:rPr>
        <w:t>投标人递交以介质存储的数据电文形式的备份投标文件和纸质备份投标文件时，如出现下列情况之一的，将被拒收：</w:t>
      </w:r>
    </w:p>
    <w:p>
      <w:pPr>
        <w:snapToGrid w:val="0"/>
        <w:spacing w:line="360" w:lineRule="auto"/>
        <w:ind w:right="-86" w:firstLine="420" w:firstLineChars="200"/>
        <w:jc w:val="left"/>
        <w:textAlignment w:val="baseline"/>
        <w:rPr>
          <w:rFonts w:ascii="宋体" w:hAnsi="宋体"/>
          <w:sz w:val="20"/>
        </w:rPr>
      </w:pPr>
      <w:r>
        <w:rPr>
          <w:rFonts w:hint="eastAsia" w:ascii="宋体" w:hAnsi="宋体"/>
        </w:rPr>
        <w:t>（1）未按规定密封或标记的投标文件；</w:t>
      </w:r>
    </w:p>
    <w:p>
      <w:pPr>
        <w:snapToGrid w:val="0"/>
        <w:spacing w:line="360" w:lineRule="auto"/>
        <w:ind w:right="-86" w:firstLine="420" w:firstLineChars="200"/>
        <w:jc w:val="left"/>
        <w:textAlignment w:val="baseline"/>
        <w:rPr>
          <w:rFonts w:ascii="宋体" w:hAnsi="宋体"/>
          <w:sz w:val="20"/>
        </w:rPr>
      </w:pPr>
      <w:r>
        <w:rPr>
          <w:rFonts w:hint="eastAsia" w:ascii="宋体" w:hAnsi="宋体"/>
        </w:rPr>
        <w:t>（2）由于包装不妥，在送交途中严重破损或失散的；</w:t>
      </w:r>
    </w:p>
    <w:p>
      <w:pPr>
        <w:snapToGrid w:val="0"/>
        <w:spacing w:line="360" w:lineRule="auto"/>
        <w:ind w:right="-86" w:firstLine="420" w:firstLineChars="200"/>
        <w:jc w:val="left"/>
        <w:textAlignment w:val="baseline"/>
        <w:rPr>
          <w:rFonts w:ascii="宋体" w:hAnsi="宋体"/>
          <w:sz w:val="20"/>
        </w:rPr>
      </w:pPr>
      <w:r>
        <w:rPr>
          <w:rFonts w:hint="eastAsia" w:ascii="宋体" w:hAnsi="宋体"/>
        </w:rPr>
        <w:t>（3）未成功办理投标人报名手续的；</w:t>
      </w:r>
    </w:p>
    <w:p>
      <w:pPr>
        <w:snapToGrid w:val="0"/>
        <w:spacing w:line="360" w:lineRule="auto"/>
        <w:ind w:right="-86" w:firstLine="420" w:firstLineChars="200"/>
        <w:jc w:val="left"/>
        <w:textAlignment w:val="baseline"/>
        <w:rPr>
          <w:rFonts w:ascii="宋体" w:hAnsi="宋体"/>
          <w:sz w:val="20"/>
        </w:rPr>
      </w:pPr>
      <w:r>
        <w:rPr>
          <w:rFonts w:hint="eastAsia" w:ascii="宋体" w:hAnsi="宋体"/>
        </w:rPr>
        <w:t>（4）超过投标截止时间送达的；</w:t>
      </w:r>
    </w:p>
    <w:p>
      <w:pPr>
        <w:snapToGrid w:val="0"/>
        <w:spacing w:line="360" w:lineRule="auto"/>
        <w:ind w:right="-86" w:firstLine="420" w:firstLineChars="200"/>
        <w:jc w:val="left"/>
        <w:textAlignment w:val="baseline"/>
        <w:rPr>
          <w:rFonts w:ascii="宋体" w:hAnsi="宋体"/>
          <w:sz w:val="20"/>
        </w:rPr>
      </w:pPr>
      <w:r>
        <w:rPr>
          <w:rFonts w:hint="eastAsia" w:ascii="宋体" w:hAnsi="宋体"/>
        </w:rPr>
        <w:t>仅提供备份投标文件的，投标无效。</w:t>
      </w:r>
    </w:p>
    <w:p>
      <w:pPr>
        <w:snapToGrid w:val="0"/>
        <w:spacing w:line="360" w:lineRule="auto"/>
        <w:ind w:right="-86" w:firstLine="420" w:firstLineChars="200"/>
        <w:jc w:val="left"/>
        <w:textAlignment w:val="baseline"/>
        <w:rPr>
          <w:rFonts w:ascii="宋体" w:hAnsi="宋体"/>
          <w:sz w:val="20"/>
        </w:rPr>
      </w:pPr>
      <w:r>
        <w:rPr>
          <w:rFonts w:hint="eastAsia" w:ascii="宋体" w:hAnsi="宋体"/>
        </w:rPr>
        <w:t>仅提供其中一种形式的备份投标文件，造成项目开评标活动无法进行下去的，投标无效，相关风险由投标人自行承担。</w:t>
      </w:r>
    </w:p>
    <w:p>
      <w:pPr>
        <w:snapToGrid w:val="0"/>
        <w:spacing w:line="360" w:lineRule="auto"/>
        <w:ind w:right="-86" w:firstLine="420" w:firstLineChars="200"/>
        <w:jc w:val="left"/>
        <w:textAlignment w:val="baseline"/>
        <w:rPr>
          <w:rFonts w:ascii="宋体" w:hAnsi="宋体"/>
          <w:sz w:val="20"/>
        </w:rPr>
      </w:pPr>
      <w:r>
        <w:rPr>
          <w:rFonts w:hint="eastAsia" w:ascii="宋体" w:hAnsi="宋体"/>
        </w:rPr>
        <w:t>3、投标、响应文件未按时解密，供应商提供了备份投标、响应文件的，以备份投标、响应文件作为依据，否则视为投标、响应文件撤回。投标、响应文件已按时解密的，备份投标、响应文件自动失效。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firstLine="420" w:firstLineChars="200"/>
        <w:jc w:val="left"/>
        <w:textAlignment w:val="baseline"/>
        <w:rPr>
          <w:rFonts w:ascii="宋体" w:hAnsi="宋体"/>
          <w:sz w:val="20"/>
        </w:rPr>
      </w:pPr>
      <w:r>
        <w:rPr>
          <w:rFonts w:hint="eastAsia" w:ascii="宋体" w:hAnsi="宋体"/>
        </w:rPr>
        <w:t>4、备份投标文件须密封封装。包装封面上应注明投标人名称，封口处加盖投标人公章。</w:t>
      </w:r>
    </w:p>
    <w:p>
      <w:pPr>
        <w:snapToGrid w:val="0"/>
        <w:spacing w:line="360" w:lineRule="auto"/>
        <w:ind w:firstLine="316" w:firstLineChars="150"/>
        <w:textAlignment w:val="baseline"/>
        <w:rPr>
          <w:rFonts w:ascii="宋体" w:hAnsi="宋体"/>
          <w:sz w:val="20"/>
        </w:rPr>
      </w:pPr>
      <w:r>
        <w:rPr>
          <w:rFonts w:ascii="宋体" w:hAnsi="宋体"/>
          <w:b/>
          <w:szCs w:val="21"/>
        </w:rPr>
        <w:t>（</w:t>
      </w:r>
      <w:r>
        <w:rPr>
          <w:rFonts w:hint="eastAsia" w:ascii="宋体" w:hAnsi="宋体"/>
          <w:b/>
          <w:szCs w:val="21"/>
        </w:rPr>
        <w:t>六</w:t>
      </w:r>
      <w:r>
        <w:rPr>
          <w:rFonts w:ascii="宋体" w:hAnsi="宋体"/>
          <w:b/>
          <w:szCs w:val="21"/>
        </w:rPr>
        <w:t>）投标无效的情形</w:t>
      </w:r>
    </w:p>
    <w:p>
      <w:pPr>
        <w:pStyle w:val="106"/>
        <w:snapToGrid w:val="0"/>
        <w:spacing w:before="120" w:after="120" w:line="360" w:lineRule="auto"/>
        <w:ind w:right="-86" w:firstLine="415" w:firstLineChars="198"/>
        <w:textAlignment w:val="baseline"/>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06"/>
        <w:snapToGrid w:val="0"/>
        <w:spacing w:before="120" w:after="120" w:line="360" w:lineRule="auto"/>
        <w:ind w:firstLine="417" w:firstLineChars="198"/>
        <w:textAlignment w:val="baseline"/>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pPr>
        <w:pStyle w:val="106"/>
        <w:snapToGrid w:val="0"/>
        <w:spacing w:before="120" w:after="120" w:line="360" w:lineRule="auto"/>
        <w:ind w:firstLine="415" w:firstLineChars="198"/>
        <w:textAlignment w:val="baseline"/>
        <w:rPr>
          <w:rFonts w:hAnsi="宋体" w:eastAsia="宋体"/>
          <w:bCs/>
          <w:sz w:val="21"/>
          <w:szCs w:val="21"/>
        </w:rPr>
      </w:pPr>
      <w:r>
        <w:rPr>
          <w:rFonts w:hAnsi="宋体" w:eastAsia="宋体"/>
          <w:bCs/>
          <w:sz w:val="21"/>
          <w:szCs w:val="21"/>
        </w:rPr>
        <w:t>1.</w:t>
      </w:r>
      <w:r>
        <w:rPr>
          <w:rFonts w:hint="eastAsia" w:hAnsi="宋体" w:eastAsia="宋体"/>
          <w:bCs/>
          <w:sz w:val="21"/>
          <w:szCs w:val="21"/>
        </w:rPr>
        <w:t>1</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pPr>
        <w:pStyle w:val="21"/>
        <w:snapToGrid w:val="0"/>
        <w:spacing w:before="120" w:line="360" w:lineRule="auto"/>
        <w:ind w:firstLine="415" w:firstLineChars="198"/>
        <w:textAlignment w:val="baseline"/>
        <w:rPr>
          <w:rFonts w:hAnsi="宋体"/>
          <w:bCs/>
          <w:sz w:val="21"/>
          <w:szCs w:val="21"/>
        </w:rPr>
      </w:pPr>
      <w:r>
        <w:rPr>
          <w:rFonts w:hAnsi="宋体"/>
          <w:bCs/>
          <w:sz w:val="21"/>
          <w:szCs w:val="21"/>
        </w:rPr>
        <w:t>1.</w:t>
      </w:r>
      <w:r>
        <w:rPr>
          <w:rFonts w:hint="eastAsia" w:hAnsi="宋体" w:cs="宋体"/>
          <w:sz w:val="21"/>
          <w:szCs w:val="21"/>
        </w:rPr>
        <w:t>2投标文件组成不全的；</w:t>
      </w:r>
    </w:p>
    <w:p>
      <w:pPr>
        <w:pStyle w:val="106"/>
        <w:snapToGrid w:val="0"/>
        <w:spacing w:before="120" w:after="120" w:line="360" w:lineRule="auto"/>
        <w:ind w:firstLine="415" w:firstLineChars="198"/>
        <w:textAlignment w:val="baseline"/>
        <w:rPr>
          <w:rFonts w:hAnsi="宋体" w:eastAsia="宋体"/>
          <w:bCs/>
          <w:sz w:val="21"/>
          <w:szCs w:val="21"/>
        </w:rPr>
      </w:pPr>
      <w:r>
        <w:rPr>
          <w:rFonts w:hAnsi="宋体" w:eastAsia="宋体"/>
          <w:bCs/>
          <w:sz w:val="21"/>
          <w:szCs w:val="21"/>
        </w:rPr>
        <w:t>1.</w:t>
      </w:r>
      <w:r>
        <w:rPr>
          <w:rFonts w:hint="eastAsia" w:hAnsi="宋体" w:eastAsia="宋体"/>
          <w:bCs/>
          <w:sz w:val="21"/>
          <w:szCs w:val="21"/>
        </w:rPr>
        <w:t>3投标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pPr>
        <w:pStyle w:val="106"/>
        <w:snapToGrid w:val="0"/>
        <w:spacing w:before="120" w:after="120" w:line="360" w:lineRule="auto"/>
        <w:ind w:firstLine="415" w:firstLineChars="198"/>
        <w:textAlignment w:val="baseline"/>
        <w:rPr>
          <w:rFonts w:hAnsi="宋体" w:eastAsia="宋体"/>
          <w:bCs/>
          <w:sz w:val="21"/>
          <w:szCs w:val="21"/>
        </w:rPr>
      </w:pPr>
      <w:r>
        <w:rPr>
          <w:rFonts w:hAnsi="宋体" w:eastAsia="宋体"/>
          <w:bCs/>
          <w:sz w:val="21"/>
          <w:szCs w:val="21"/>
        </w:rPr>
        <w:t>1.</w:t>
      </w:r>
      <w:r>
        <w:rPr>
          <w:rFonts w:hint="eastAsia" w:hAnsi="宋体" w:eastAsia="宋体"/>
          <w:bCs/>
          <w:sz w:val="21"/>
          <w:szCs w:val="21"/>
        </w:rPr>
        <w:t>4投标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文件中经修正的内容字迹模糊难以辩认或者修改处未按规定签名盖章的；</w:t>
      </w:r>
    </w:p>
    <w:p>
      <w:pPr>
        <w:pStyle w:val="106"/>
        <w:snapToGrid w:val="0"/>
        <w:spacing w:before="120" w:after="120" w:line="360" w:lineRule="auto"/>
        <w:ind w:firstLine="415" w:firstLineChars="198"/>
        <w:textAlignment w:val="baseline"/>
        <w:rPr>
          <w:rFonts w:hAnsi="宋体" w:eastAsia="宋体"/>
          <w:bCs/>
          <w:sz w:val="21"/>
          <w:szCs w:val="21"/>
        </w:rPr>
      </w:pPr>
      <w:r>
        <w:rPr>
          <w:rFonts w:hAnsi="宋体" w:eastAsia="宋体"/>
          <w:bCs/>
          <w:sz w:val="21"/>
          <w:szCs w:val="21"/>
        </w:rPr>
        <w:t>1.</w:t>
      </w:r>
      <w:r>
        <w:rPr>
          <w:rFonts w:hint="eastAsia" w:hAnsi="宋体" w:eastAsia="宋体"/>
          <w:bCs/>
          <w:sz w:val="21"/>
          <w:szCs w:val="21"/>
        </w:rPr>
        <w:t>5投标有效期、交货时间、质保期等</w:t>
      </w:r>
      <w:r>
        <w:rPr>
          <w:rFonts w:hAnsi="宋体" w:eastAsia="宋体"/>
          <w:bCs/>
          <w:sz w:val="21"/>
          <w:szCs w:val="21"/>
        </w:rPr>
        <w:t>商务条款不能满足</w:t>
      </w:r>
      <w:r>
        <w:rPr>
          <w:rFonts w:hint="eastAsia" w:hAnsi="宋体" w:eastAsia="宋体"/>
          <w:bCs/>
          <w:sz w:val="21"/>
          <w:szCs w:val="21"/>
        </w:rPr>
        <w:t>采购文件</w:t>
      </w:r>
      <w:r>
        <w:rPr>
          <w:rFonts w:hAnsi="宋体" w:eastAsia="宋体"/>
          <w:bCs/>
          <w:sz w:val="21"/>
          <w:szCs w:val="21"/>
        </w:rPr>
        <w:t>要求的；</w:t>
      </w:r>
    </w:p>
    <w:p>
      <w:pPr>
        <w:pStyle w:val="106"/>
        <w:snapToGrid w:val="0"/>
        <w:spacing w:before="120" w:after="120" w:line="360" w:lineRule="auto"/>
        <w:ind w:firstLine="415" w:firstLineChars="198"/>
        <w:textAlignment w:val="baseline"/>
        <w:rPr>
          <w:rFonts w:hAnsi="宋体" w:eastAsia="宋体"/>
          <w:bCs/>
          <w:sz w:val="21"/>
          <w:szCs w:val="21"/>
        </w:rPr>
      </w:pPr>
      <w:r>
        <w:rPr>
          <w:rFonts w:hAnsi="宋体" w:eastAsia="宋体"/>
          <w:bCs/>
          <w:sz w:val="21"/>
          <w:szCs w:val="21"/>
        </w:rPr>
        <w:t>1.</w:t>
      </w:r>
      <w:r>
        <w:rPr>
          <w:rFonts w:hint="eastAsia" w:hAnsi="宋体" w:eastAsia="宋体"/>
          <w:bCs/>
          <w:sz w:val="21"/>
          <w:szCs w:val="21"/>
        </w:rPr>
        <w:t>6未</w:t>
      </w:r>
      <w:r>
        <w:rPr>
          <w:rFonts w:hAnsi="宋体" w:eastAsia="宋体"/>
          <w:bCs/>
          <w:sz w:val="21"/>
          <w:szCs w:val="21"/>
        </w:rPr>
        <w:t>响应</w:t>
      </w:r>
      <w:r>
        <w:rPr>
          <w:rFonts w:hint="eastAsia" w:hAnsi="宋体" w:eastAsia="宋体"/>
          <w:bCs/>
          <w:sz w:val="21"/>
          <w:szCs w:val="21"/>
        </w:rPr>
        <w:t>采购文件</w:t>
      </w:r>
      <w:r>
        <w:rPr>
          <w:rFonts w:hAnsi="宋体" w:eastAsia="宋体"/>
          <w:bCs/>
          <w:sz w:val="21"/>
          <w:szCs w:val="21"/>
        </w:rPr>
        <w:t>实质性要求或者</w:t>
      </w:r>
      <w:r>
        <w:rPr>
          <w:rFonts w:hint="eastAsia" w:hAnsi="宋体" w:eastAsia="宋体"/>
          <w:bCs/>
          <w:sz w:val="21"/>
          <w:szCs w:val="21"/>
        </w:rPr>
        <w:t>投标文件</w:t>
      </w:r>
      <w:r>
        <w:rPr>
          <w:rFonts w:hAnsi="宋体" w:eastAsia="宋体"/>
          <w:bCs/>
          <w:sz w:val="21"/>
          <w:szCs w:val="21"/>
        </w:rPr>
        <w:t>有</w:t>
      </w:r>
      <w:r>
        <w:rPr>
          <w:rFonts w:hint="eastAsia" w:hAnsi="宋体" w:eastAsia="宋体"/>
          <w:bCs/>
          <w:sz w:val="21"/>
          <w:szCs w:val="21"/>
        </w:rPr>
        <w:t>采购单位</w:t>
      </w:r>
      <w:r>
        <w:rPr>
          <w:rFonts w:hAnsi="宋体" w:eastAsia="宋体"/>
          <w:bCs/>
          <w:sz w:val="21"/>
          <w:szCs w:val="21"/>
        </w:rPr>
        <w:t>不能接受的附加条件的；</w:t>
      </w:r>
    </w:p>
    <w:p>
      <w:pPr>
        <w:pStyle w:val="106"/>
        <w:snapToGrid w:val="0"/>
        <w:spacing w:before="120" w:after="120" w:line="360" w:lineRule="auto"/>
        <w:ind w:firstLine="415" w:firstLineChars="198"/>
        <w:textAlignment w:val="baseline"/>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文件没有按</w:t>
      </w:r>
      <w:r>
        <w:rPr>
          <w:rFonts w:hint="eastAsia" w:hAnsi="宋体" w:eastAsia="宋体"/>
          <w:bCs/>
          <w:sz w:val="21"/>
          <w:szCs w:val="21"/>
        </w:rPr>
        <w:t>采购文件</w:t>
      </w:r>
      <w:r>
        <w:rPr>
          <w:rFonts w:hAnsi="宋体" w:eastAsia="宋体"/>
          <w:bCs/>
          <w:sz w:val="21"/>
          <w:szCs w:val="21"/>
        </w:rPr>
        <w:t>要求</w:t>
      </w:r>
      <w:r>
        <w:rPr>
          <w:rFonts w:hint="eastAsia" w:hAnsi="宋体" w:eastAsia="宋体"/>
          <w:bCs/>
          <w:sz w:val="21"/>
          <w:szCs w:val="21"/>
        </w:rPr>
        <w:t>响应</w:t>
      </w:r>
      <w:r>
        <w:rPr>
          <w:rFonts w:hAnsi="宋体" w:eastAsia="宋体"/>
          <w:bCs/>
          <w:sz w:val="21"/>
          <w:szCs w:val="21"/>
        </w:rPr>
        <w:t>有标“</w:t>
      </w:r>
      <w:r>
        <w:rPr>
          <w:rFonts w:hint="eastAsia" w:hAnsi="宋体" w:eastAsia="宋体"/>
          <w:bCs/>
          <w:sz w:val="21"/>
          <w:szCs w:val="21"/>
        </w:rPr>
        <w:t>★</w:t>
      </w:r>
      <w:r>
        <w:rPr>
          <w:rFonts w:hAnsi="宋体" w:eastAsia="宋体"/>
          <w:bCs/>
          <w:sz w:val="21"/>
          <w:szCs w:val="21"/>
        </w:rPr>
        <w:t>”的条款的资料和材料的；</w:t>
      </w:r>
    </w:p>
    <w:p>
      <w:pPr>
        <w:snapToGrid w:val="0"/>
        <w:spacing w:line="360" w:lineRule="auto"/>
        <w:ind w:firstLine="420"/>
        <w:textAlignment w:val="baseline"/>
        <w:rPr>
          <w:rFonts w:ascii="宋体" w:hAnsi="宋体"/>
          <w:sz w:val="20"/>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pPr>
        <w:snapToGrid w:val="0"/>
        <w:spacing w:line="360" w:lineRule="auto"/>
        <w:ind w:firstLine="420"/>
        <w:textAlignment w:val="baseline"/>
        <w:rPr>
          <w:rFonts w:ascii="宋体" w:hAnsi="宋体"/>
          <w:sz w:val="20"/>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pPr>
        <w:snapToGrid w:val="0"/>
        <w:spacing w:line="360" w:lineRule="auto"/>
        <w:ind w:firstLine="420" w:firstLineChars="200"/>
        <w:textAlignment w:val="baseline"/>
        <w:rPr>
          <w:rFonts w:ascii="宋体" w:hAnsi="宋体"/>
          <w:sz w:val="20"/>
          <w:szCs w:val="21"/>
        </w:rPr>
      </w:pPr>
      <w:r>
        <w:rPr>
          <w:rFonts w:ascii="宋体" w:hAnsi="宋体"/>
          <w:bCs/>
          <w:szCs w:val="21"/>
        </w:rPr>
        <w:t>2.2明显不符合采购文件标明的质量标准，</w:t>
      </w:r>
      <w:r>
        <w:rPr>
          <w:rFonts w:hint="eastAsia" w:ascii="宋体" w:hAnsi="宋体"/>
          <w:bCs/>
          <w:szCs w:val="21"/>
        </w:rPr>
        <w:t>或者采购文件中标“</w:t>
      </w:r>
      <w:r>
        <w:rPr>
          <w:rFonts w:hint="eastAsia" w:ascii="宋体" w:hAnsi="宋体"/>
          <w:b/>
        </w:rPr>
        <w:t>★</w:t>
      </w:r>
      <w:r>
        <w:rPr>
          <w:rFonts w:hint="eastAsia" w:ascii="宋体" w:hAnsi="宋体"/>
          <w:bCs/>
          <w:szCs w:val="21"/>
        </w:rPr>
        <w:t>”的技术参数、条款（如有）发生实质性偏离的；</w:t>
      </w:r>
    </w:p>
    <w:p>
      <w:pPr>
        <w:snapToGrid w:val="0"/>
        <w:spacing w:line="360" w:lineRule="auto"/>
        <w:ind w:firstLine="420"/>
        <w:textAlignment w:val="baseline"/>
        <w:rPr>
          <w:rFonts w:ascii="宋体" w:hAnsi="宋体"/>
          <w:sz w:val="20"/>
        </w:rPr>
      </w:pPr>
      <w:r>
        <w:rPr>
          <w:rFonts w:hint="eastAsia" w:ascii="宋体" w:hAnsi="宋体"/>
          <w:szCs w:val="21"/>
        </w:rPr>
        <w:t>2.3投标技术方案不明确，存在一个或一个以上备选（替代）投标方案的；</w:t>
      </w:r>
    </w:p>
    <w:p>
      <w:pPr>
        <w:snapToGrid w:val="0"/>
        <w:spacing w:line="360" w:lineRule="auto"/>
        <w:ind w:firstLine="420"/>
        <w:textAlignment w:val="baseline"/>
        <w:rPr>
          <w:rFonts w:ascii="宋体" w:hAnsi="宋体"/>
          <w:sz w:val="20"/>
          <w:szCs w:val="21"/>
        </w:rPr>
      </w:pPr>
      <w:r>
        <w:rPr>
          <w:rFonts w:ascii="宋体" w:hAnsi="宋体"/>
          <w:b/>
          <w:bCs/>
        </w:rPr>
        <w:t>3、</w:t>
      </w:r>
      <w:r>
        <w:rPr>
          <w:rFonts w:hint="eastAsia" w:ascii="宋体"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pPr>
        <w:pStyle w:val="81"/>
        <w:snapToGrid w:val="0"/>
        <w:spacing w:line="360" w:lineRule="auto"/>
        <w:ind w:right="-86" w:firstLine="436" w:firstLineChars="208"/>
        <w:textAlignment w:val="baseline"/>
        <w:rPr>
          <w:rFonts w:ascii="宋体" w:hAnsi="宋体"/>
        </w:rPr>
      </w:pPr>
      <w:r>
        <w:rPr>
          <w:rFonts w:hint="eastAsia" w:ascii="宋体" w:hAnsi="宋体"/>
        </w:rPr>
        <w:t>3.1未采用人民币报价或者未按照采购文件标明的币种报价的；</w:t>
      </w:r>
    </w:p>
    <w:p>
      <w:pPr>
        <w:pStyle w:val="81"/>
        <w:snapToGrid w:val="0"/>
        <w:spacing w:line="360" w:lineRule="auto"/>
        <w:ind w:right="-86" w:firstLine="436" w:firstLineChars="208"/>
        <w:textAlignment w:val="baseline"/>
        <w:rPr>
          <w:rFonts w:ascii="宋体" w:hAnsi="宋体"/>
        </w:rPr>
      </w:pPr>
      <w:r>
        <w:rPr>
          <w:rFonts w:hint="eastAsia" w:ascii="宋体" w:hAnsi="宋体"/>
        </w:rPr>
        <w:t xml:space="preserve">3.2报价超出最高限价，或者超出采购预算金额，采购单位不能支付的； </w:t>
      </w:r>
    </w:p>
    <w:p>
      <w:pPr>
        <w:pStyle w:val="81"/>
        <w:snapToGrid w:val="0"/>
        <w:spacing w:line="360" w:lineRule="auto"/>
        <w:ind w:right="-86" w:firstLine="436" w:firstLineChars="208"/>
        <w:textAlignment w:val="baseline"/>
        <w:rPr>
          <w:rFonts w:ascii="宋体" w:hAnsi="宋体"/>
        </w:rPr>
      </w:pPr>
      <w:r>
        <w:rPr>
          <w:rFonts w:hint="eastAsia" w:ascii="宋体" w:hAnsi="宋体"/>
        </w:rPr>
        <w:t>3.3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1"/>
        <w:snapToGrid w:val="0"/>
        <w:spacing w:line="360" w:lineRule="auto"/>
        <w:ind w:right="-86" w:firstLine="436" w:firstLineChars="208"/>
        <w:textAlignment w:val="baseline"/>
        <w:rPr>
          <w:rFonts w:ascii="宋体" w:hAnsi="宋体"/>
        </w:rPr>
      </w:pPr>
      <w:r>
        <w:rPr>
          <w:rFonts w:hint="eastAsia" w:ascii="宋体" w:hAnsi="宋体"/>
        </w:rPr>
        <w:t xml:space="preserve">3.4投标报价具有选择性，或者开标价格与投标文件承诺的优惠（折扣）价格不一致的； </w:t>
      </w:r>
    </w:p>
    <w:p>
      <w:pPr>
        <w:pStyle w:val="81"/>
        <w:snapToGrid w:val="0"/>
        <w:spacing w:line="360" w:lineRule="auto"/>
        <w:ind w:right="-86" w:firstLine="439" w:firstLineChars="208"/>
        <w:textAlignment w:val="baseline"/>
        <w:rPr>
          <w:rFonts w:ascii="宋体" w:hAnsi="宋体"/>
        </w:rPr>
      </w:pPr>
      <w:r>
        <w:rPr>
          <w:rFonts w:hint="eastAsia" w:ascii="宋体" w:hAnsi="宋体"/>
          <w:b/>
          <w:bCs/>
        </w:rPr>
        <w:t>4.</w:t>
      </w:r>
      <w:r>
        <w:rPr>
          <w:rFonts w:hint="eastAsia" w:ascii="宋体" w:hAnsi="宋体"/>
        </w:rPr>
        <w:t>法律、法规和采购文件规定的其他无效情形。</w:t>
      </w:r>
    </w:p>
    <w:p>
      <w:pPr>
        <w:pStyle w:val="81"/>
        <w:snapToGrid w:val="0"/>
        <w:spacing w:line="360" w:lineRule="auto"/>
        <w:ind w:right="-86" w:firstLine="439" w:firstLineChars="208"/>
        <w:textAlignment w:val="baseline"/>
        <w:rPr>
          <w:rFonts w:hAnsi="宋体"/>
        </w:rPr>
      </w:pPr>
      <w:r>
        <w:rPr>
          <w:rFonts w:hint="eastAsia" w:ascii="宋体" w:hAnsi="宋体"/>
          <w:b/>
          <w:szCs w:val="21"/>
        </w:rPr>
        <w:t>（七）</w:t>
      </w:r>
      <w:r>
        <w:rPr>
          <w:rFonts w:hint="eastAsia" w:ascii="宋体" w:hAnsi="宋体"/>
          <w:b/>
        </w:rPr>
        <w:t>出现以下情形，导致电子交易平台无法正常运行，</w:t>
      </w:r>
      <w:r>
        <w:rPr>
          <w:rFonts w:hint="eastAsia" w:hAnsi="宋体"/>
          <w:b/>
        </w:rPr>
        <w:t>或者无法保证电子交易的公平、公正和安全时，中止电子交易活动：</w:t>
      </w:r>
    </w:p>
    <w:p>
      <w:pPr>
        <w:pStyle w:val="81"/>
        <w:snapToGrid w:val="0"/>
        <w:spacing w:line="360" w:lineRule="auto"/>
        <w:ind w:right="-86" w:firstLine="436" w:firstLineChars="208"/>
        <w:textAlignment w:val="baseline"/>
        <w:rPr>
          <w:rFonts w:hAnsi="宋体"/>
        </w:rPr>
      </w:pPr>
      <w:r>
        <w:rPr>
          <w:rFonts w:hint="eastAsia" w:hAnsi="宋体"/>
        </w:rPr>
        <w:t>（一）电子交易平台发生故障而无法登录访问的；</w:t>
      </w:r>
    </w:p>
    <w:p>
      <w:pPr>
        <w:pStyle w:val="81"/>
        <w:snapToGrid w:val="0"/>
        <w:spacing w:line="360" w:lineRule="auto"/>
        <w:ind w:right="-86" w:firstLine="436" w:firstLineChars="208"/>
        <w:textAlignment w:val="baseline"/>
        <w:rPr>
          <w:rFonts w:hAnsi="宋体"/>
        </w:rPr>
      </w:pPr>
      <w:r>
        <w:rPr>
          <w:rFonts w:hint="eastAsia" w:hAnsi="宋体"/>
        </w:rPr>
        <w:t>（二）电子交易平台应用或数据库出现错误，不能进行正常操作的；</w:t>
      </w:r>
    </w:p>
    <w:p>
      <w:pPr>
        <w:pStyle w:val="81"/>
        <w:snapToGrid w:val="0"/>
        <w:spacing w:line="360" w:lineRule="auto"/>
        <w:ind w:right="-86" w:firstLine="436" w:firstLineChars="208"/>
        <w:textAlignment w:val="baseline"/>
        <w:rPr>
          <w:rFonts w:hAnsi="宋体"/>
        </w:rPr>
      </w:pPr>
      <w:r>
        <w:rPr>
          <w:rFonts w:hint="eastAsia" w:hAnsi="宋体"/>
        </w:rPr>
        <w:t>（三）电子交易平台发现严重安全漏洞，有潜在泄密危险的；</w:t>
      </w:r>
    </w:p>
    <w:p>
      <w:pPr>
        <w:pStyle w:val="81"/>
        <w:snapToGrid w:val="0"/>
        <w:spacing w:line="360" w:lineRule="auto"/>
        <w:ind w:right="-86" w:firstLine="436" w:firstLineChars="208"/>
        <w:textAlignment w:val="baseline"/>
        <w:rPr>
          <w:rFonts w:hAnsi="宋体"/>
        </w:rPr>
      </w:pPr>
      <w:r>
        <w:rPr>
          <w:rFonts w:hint="eastAsia" w:hAnsi="宋体"/>
        </w:rPr>
        <w:t>（四）病毒发作导致不能进行正常操作的；</w:t>
      </w:r>
    </w:p>
    <w:p>
      <w:pPr>
        <w:pStyle w:val="81"/>
        <w:snapToGrid w:val="0"/>
        <w:spacing w:line="360" w:lineRule="auto"/>
        <w:ind w:right="-86" w:firstLine="436" w:firstLineChars="208"/>
        <w:textAlignment w:val="baseline"/>
        <w:rPr>
          <w:rFonts w:hAnsi="宋体"/>
        </w:rPr>
      </w:pPr>
      <w:r>
        <w:rPr>
          <w:rFonts w:hint="eastAsia" w:hAnsi="宋体"/>
        </w:rPr>
        <w:t>（五）其他无法保证电子交易的公平、公正和安全的情况。</w:t>
      </w:r>
    </w:p>
    <w:p>
      <w:pPr>
        <w:pStyle w:val="81"/>
        <w:snapToGrid w:val="0"/>
        <w:spacing w:line="360" w:lineRule="auto"/>
        <w:ind w:right="-86" w:firstLine="436" w:firstLineChars="208"/>
        <w:textAlignment w:val="baseline"/>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104"/>
        <w:snapToGrid w:val="0"/>
        <w:spacing w:line="360" w:lineRule="auto"/>
        <w:ind w:right="55" w:firstLine="470"/>
        <w:textAlignment w:val="baseline"/>
        <w:rPr>
          <w:b/>
          <w:bCs/>
          <w:sz w:val="21"/>
          <w:szCs w:val="21"/>
        </w:rPr>
      </w:pPr>
      <w:r>
        <w:rPr>
          <w:rFonts w:hint="eastAsia"/>
          <w:b/>
          <w:bCs/>
          <w:sz w:val="21"/>
          <w:szCs w:val="21"/>
        </w:rPr>
        <w:t>（八）报名不足三家的处理方式</w:t>
      </w:r>
    </w:p>
    <w:p>
      <w:pPr>
        <w:pStyle w:val="104"/>
        <w:snapToGrid w:val="0"/>
        <w:spacing w:line="360" w:lineRule="auto"/>
        <w:ind w:right="55" w:firstLine="470"/>
        <w:textAlignment w:val="baseline"/>
        <w:rPr>
          <w:bCs/>
          <w:sz w:val="21"/>
          <w:szCs w:val="21"/>
        </w:rPr>
      </w:pPr>
      <w:r>
        <w:rPr>
          <w:rFonts w:hint="eastAsia"/>
          <w:bCs/>
          <w:sz w:val="21"/>
          <w:szCs w:val="21"/>
        </w:rPr>
        <w:t xml:space="preserve">报名时间截止后，在开标时间前获取招标文件的潜在投标人不足三家的，采购代理机构可以顺延提供期限，并予公告。 </w:t>
      </w:r>
    </w:p>
    <w:p>
      <w:pPr>
        <w:pStyle w:val="104"/>
        <w:snapToGrid w:val="0"/>
        <w:spacing w:line="360" w:lineRule="auto"/>
        <w:ind w:right="55" w:firstLine="470"/>
        <w:jc w:val="left"/>
        <w:textAlignment w:val="baseline"/>
        <w:rPr>
          <w:b/>
          <w:sz w:val="21"/>
          <w:szCs w:val="21"/>
        </w:rPr>
      </w:pPr>
      <w:r>
        <w:rPr>
          <w:rFonts w:hint="eastAsia"/>
          <w:b/>
          <w:sz w:val="21"/>
          <w:szCs w:val="21"/>
        </w:rPr>
        <w:t>（九）被拒绝的投标文件为无效。</w:t>
      </w:r>
    </w:p>
    <w:p>
      <w:pPr>
        <w:pStyle w:val="104"/>
        <w:snapToGrid w:val="0"/>
        <w:spacing w:line="360" w:lineRule="auto"/>
        <w:ind w:right="55" w:firstLine="3591" w:firstLineChars="1315"/>
        <w:textAlignment w:val="baseline"/>
        <w:rPr>
          <w:b/>
          <w:sz w:val="28"/>
          <w:szCs w:val="28"/>
        </w:rPr>
      </w:pPr>
      <w:r>
        <w:rPr>
          <w:rFonts w:hint="eastAsia"/>
          <w:b/>
          <w:sz w:val="28"/>
          <w:szCs w:val="28"/>
        </w:rPr>
        <w:t>四、开标</w:t>
      </w:r>
    </w:p>
    <w:p>
      <w:pPr>
        <w:pStyle w:val="15"/>
        <w:snapToGrid w:val="0"/>
        <w:spacing w:line="360" w:lineRule="auto"/>
        <w:ind w:firstLine="422" w:firstLineChars="200"/>
        <w:jc w:val="left"/>
        <w:textAlignment w:val="baseline"/>
        <w:rPr>
          <w:rFonts w:ascii="宋体" w:hAnsi="宋体"/>
          <w:b/>
          <w:sz w:val="21"/>
          <w:szCs w:val="21"/>
        </w:rPr>
      </w:pPr>
      <w:r>
        <w:rPr>
          <w:rFonts w:hint="eastAsia" w:ascii="宋体" w:hAnsi="宋体"/>
          <w:b/>
          <w:kern w:val="2"/>
          <w:sz w:val="21"/>
          <w:szCs w:val="21"/>
        </w:rPr>
        <w:t>电子招投标开标及评审程序</w:t>
      </w:r>
    </w:p>
    <w:p>
      <w:pPr>
        <w:snapToGrid w:val="0"/>
        <w:spacing w:line="360" w:lineRule="auto"/>
        <w:ind w:firstLine="420" w:firstLineChars="200"/>
        <w:jc w:val="left"/>
        <w:textAlignment w:val="baseline"/>
        <w:rPr>
          <w:sz w:val="20"/>
          <w:szCs w:val="21"/>
        </w:rPr>
      </w:pPr>
      <w:r>
        <w:rPr>
          <w:rFonts w:hint="eastAsia"/>
          <w:szCs w:val="21"/>
        </w:rPr>
        <w:t>1、采购组织机构按照规定的时间通过政采云系统组织开标、开启响应文件，所有投标人均应当准时在线参加。</w:t>
      </w:r>
    </w:p>
    <w:p>
      <w:pPr>
        <w:snapToGrid w:val="0"/>
        <w:spacing w:line="360" w:lineRule="auto"/>
        <w:ind w:firstLine="420" w:firstLineChars="200"/>
        <w:jc w:val="left"/>
        <w:textAlignment w:val="baseline"/>
        <w:rPr>
          <w:sz w:val="20"/>
          <w:szCs w:val="21"/>
        </w:rPr>
      </w:pPr>
      <w:r>
        <w:rPr>
          <w:rFonts w:hint="eastAsia"/>
          <w:szCs w:val="21"/>
        </w:rPr>
        <w:t>2、投标截止时间后，投标人登录政采云平台，用“项目采购-开标评标”功能对电子投标文件进行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pPr>
        <w:snapToGrid w:val="0"/>
        <w:spacing w:line="360" w:lineRule="auto"/>
        <w:ind w:firstLine="420" w:firstLineChars="200"/>
        <w:jc w:val="left"/>
        <w:textAlignment w:val="baseline"/>
        <w:rPr>
          <w:sz w:val="20"/>
          <w:szCs w:val="21"/>
        </w:rPr>
      </w:pPr>
      <w:r>
        <w:rPr>
          <w:rFonts w:hint="eastAsia"/>
          <w:szCs w:val="21"/>
        </w:rPr>
        <w:t>3、评标委员会对商务技术响应文件进行评审；</w:t>
      </w:r>
    </w:p>
    <w:p>
      <w:pPr>
        <w:snapToGrid w:val="0"/>
        <w:spacing w:line="360" w:lineRule="auto"/>
        <w:ind w:firstLine="420" w:firstLineChars="200"/>
        <w:jc w:val="left"/>
        <w:textAlignment w:val="baseline"/>
        <w:rPr>
          <w:sz w:val="20"/>
          <w:szCs w:val="21"/>
        </w:rPr>
      </w:pPr>
      <w:r>
        <w:rPr>
          <w:rFonts w:hint="eastAsia"/>
          <w:szCs w:val="21"/>
        </w:rPr>
        <w:t>4、在系统上公开资格和商务技术评审结果；</w:t>
      </w:r>
    </w:p>
    <w:p>
      <w:pPr>
        <w:snapToGrid w:val="0"/>
        <w:spacing w:line="360" w:lineRule="auto"/>
        <w:ind w:firstLine="420" w:firstLineChars="200"/>
        <w:jc w:val="left"/>
        <w:textAlignment w:val="baseline"/>
        <w:rPr>
          <w:sz w:val="20"/>
          <w:szCs w:val="21"/>
        </w:rPr>
      </w:pPr>
      <w:r>
        <w:rPr>
          <w:rFonts w:hint="eastAsia"/>
          <w:szCs w:val="21"/>
        </w:rPr>
        <w:t>5、在系统上公开报价开标情况；</w:t>
      </w:r>
    </w:p>
    <w:p>
      <w:pPr>
        <w:snapToGrid w:val="0"/>
        <w:spacing w:line="360" w:lineRule="auto"/>
        <w:ind w:firstLine="420" w:firstLineChars="200"/>
        <w:jc w:val="left"/>
        <w:textAlignment w:val="baseline"/>
        <w:rPr>
          <w:sz w:val="20"/>
          <w:szCs w:val="21"/>
        </w:rPr>
      </w:pPr>
      <w:r>
        <w:rPr>
          <w:rFonts w:hint="eastAsia"/>
          <w:szCs w:val="21"/>
        </w:rPr>
        <w:t>6、评标委员会对报价情况进行评审；</w:t>
      </w:r>
    </w:p>
    <w:p>
      <w:pPr>
        <w:snapToGrid w:val="0"/>
        <w:spacing w:line="360" w:lineRule="auto"/>
        <w:ind w:firstLine="420" w:firstLineChars="200"/>
        <w:jc w:val="left"/>
        <w:textAlignment w:val="baseline"/>
        <w:rPr>
          <w:sz w:val="20"/>
          <w:szCs w:val="21"/>
        </w:rPr>
      </w:pPr>
      <w:r>
        <w:rPr>
          <w:rFonts w:hint="eastAsia"/>
          <w:szCs w:val="21"/>
        </w:rPr>
        <w:t>7、在系统上公布评审结果。</w:t>
      </w:r>
    </w:p>
    <w:p>
      <w:pPr>
        <w:snapToGrid w:val="0"/>
        <w:spacing w:line="360" w:lineRule="auto"/>
        <w:ind w:firstLine="420" w:firstLineChars="200"/>
        <w:jc w:val="left"/>
        <w:textAlignment w:val="baseline"/>
        <w:rPr>
          <w:sz w:val="20"/>
          <w:szCs w:val="21"/>
        </w:rPr>
      </w:pPr>
      <w:r>
        <w:rPr>
          <w:rFonts w:hint="eastAsia"/>
          <w:szCs w:val="21"/>
        </w:rPr>
        <w:t>特别说明：政采云公司如对电子化开标及评审程序有调整的，按调整后的程序操作。</w:t>
      </w:r>
    </w:p>
    <w:p>
      <w:pPr>
        <w:snapToGrid w:val="0"/>
        <w:spacing w:before="120" w:line="360" w:lineRule="auto"/>
        <w:ind w:right="-87"/>
        <w:jc w:val="center"/>
        <w:textAlignment w:val="baseline"/>
        <w:rPr>
          <w:rFonts w:hAnsi="宋体"/>
          <w:b/>
          <w:sz w:val="28"/>
        </w:rPr>
      </w:pPr>
      <w:r>
        <w:rPr>
          <w:rFonts w:hint="eastAsia" w:hAnsi="宋体"/>
          <w:b/>
          <w:sz w:val="28"/>
        </w:rPr>
        <w:t>五、评标</w:t>
      </w:r>
    </w:p>
    <w:p>
      <w:pPr>
        <w:snapToGrid w:val="0"/>
        <w:spacing w:before="120" w:line="360" w:lineRule="auto"/>
        <w:ind w:right="-87"/>
        <w:textAlignment w:val="baseline"/>
        <w:rPr>
          <w:rFonts w:hAnsi="宋体"/>
          <w:b/>
          <w:sz w:val="20"/>
        </w:rPr>
      </w:pPr>
      <w:r>
        <w:rPr>
          <w:rFonts w:hint="eastAsia" w:hAnsi="宋体"/>
          <w:b/>
        </w:rPr>
        <w:t>（一）组建评标委员会</w:t>
      </w:r>
    </w:p>
    <w:p>
      <w:pPr>
        <w:snapToGrid w:val="0"/>
        <w:spacing w:before="120" w:line="360" w:lineRule="auto"/>
        <w:ind w:right="-87" w:firstLine="420" w:firstLineChars="200"/>
        <w:textAlignment w:val="baseline"/>
        <w:rPr>
          <w:rFonts w:hAnsi="宋体"/>
          <w:sz w:val="20"/>
        </w:rPr>
      </w:pPr>
      <w:r>
        <w:rPr>
          <w:rFonts w:hint="eastAsia" w:hAnsi="宋体"/>
        </w:rPr>
        <w:t>评标委员会由采购单位代表和评审专家组成，成员人数为5人（含）以上单数，其中评审专家不得少于成员总数的三分之二。</w:t>
      </w:r>
    </w:p>
    <w:p>
      <w:pPr>
        <w:snapToGrid w:val="0"/>
        <w:spacing w:before="120" w:line="360" w:lineRule="auto"/>
        <w:ind w:right="-87"/>
        <w:textAlignment w:val="baseline"/>
        <w:rPr>
          <w:rFonts w:hAnsi="宋体"/>
          <w:b/>
          <w:sz w:val="20"/>
        </w:rPr>
      </w:pPr>
      <w:r>
        <w:rPr>
          <w:rFonts w:hint="eastAsia" w:hAnsi="宋体"/>
          <w:b/>
        </w:rPr>
        <w:t>（二）评标程序</w:t>
      </w:r>
    </w:p>
    <w:p>
      <w:pPr>
        <w:snapToGrid w:val="0"/>
        <w:spacing w:line="360" w:lineRule="auto"/>
        <w:ind w:right="-87"/>
        <w:textAlignment w:val="baseline"/>
        <w:rPr>
          <w:sz w:val="20"/>
          <w:szCs w:val="21"/>
        </w:rPr>
      </w:pPr>
      <w:r>
        <w:rPr>
          <w:rFonts w:hint="eastAsia" w:ascii="宋体" w:hAnsi="宋体"/>
          <w:b/>
          <w:szCs w:val="21"/>
        </w:rPr>
        <w:t>1.</w:t>
      </w:r>
      <w:r>
        <w:rPr>
          <w:b/>
          <w:szCs w:val="21"/>
        </w:rPr>
        <w:t>投标文件初审。</w:t>
      </w:r>
    </w:p>
    <w:p>
      <w:pPr>
        <w:snapToGrid w:val="0"/>
        <w:spacing w:line="360" w:lineRule="auto"/>
        <w:ind w:right="-87" w:firstLine="420" w:firstLineChars="200"/>
        <w:textAlignment w:val="baseline"/>
        <w:rPr>
          <w:rFonts w:ascii="宋体" w:hAnsi="宋体"/>
          <w:b/>
          <w:sz w:val="20"/>
          <w:szCs w:val="21"/>
        </w:rPr>
      </w:pPr>
      <w:r>
        <w:rPr>
          <w:szCs w:val="21"/>
        </w:rPr>
        <w:t>初审分为资格性检查和符合性检查。</w:t>
      </w:r>
    </w:p>
    <w:p>
      <w:pPr>
        <w:snapToGrid w:val="0"/>
        <w:spacing w:line="360" w:lineRule="auto"/>
        <w:ind w:firstLine="420" w:firstLineChars="200"/>
        <w:jc w:val="left"/>
        <w:textAlignment w:val="baseline"/>
        <w:rPr>
          <w:sz w:val="20"/>
          <w:szCs w:val="21"/>
        </w:rPr>
      </w:pPr>
      <w:r>
        <w:rPr>
          <w:rFonts w:hint="eastAsia"/>
          <w:szCs w:val="21"/>
        </w:rPr>
        <w:t>1.1</w:t>
      </w:r>
      <w:r>
        <w:rPr>
          <w:szCs w:val="21"/>
        </w:rPr>
        <w:t>资格性检查。依据法律法规和</w:t>
      </w:r>
      <w:r>
        <w:rPr>
          <w:rFonts w:hint="eastAsia"/>
          <w:szCs w:val="21"/>
        </w:rPr>
        <w:t>采购文件</w:t>
      </w:r>
      <w:r>
        <w:rPr>
          <w:szCs w:val="21"/>
        </w:rPr>
        <w:t>的规定，对投标文件中的资格证明等进行审查，以确定投标投标人是否具备投标资格。</w:t>
      </w:r>
    </w:p>
    <w:p>
      <w:pPr>
        <w:snapToGrid w:val="0"/>
        <w:spacing w:line="360" w:lineRule="auto"/>
        <w:ind w:firstLine="420" w:firstLineChars="200"/>
        <w:jc w:val="left"/>
        <w:textAlignment w:val="baseline"/>
        <w:rPr>
          <w:sz w:val="20"/>
          <w:szCs w:val="21"/>
        </w:rPr>
      </w:pPr>
      <w:r>
        <w:rPr>
          <w:rFonts w:hint="eastAsia"/>
          <w:szCs w:val="21"/>
        </w:rPr>
        <w:t>1.2</w:t>
      </w:r>
      <w:r>
        <w:rPr>
          <w:szCs w:val="21"/>
        </w:rPr>
        <w:t>符合性检查。依据</w:t>
      </w:r>
      <w:r>
        <w:rPr>
          <w:rFonts w:hint="eastAsia"/>
          <w:szCs w:val="21"/>
        </w:rPr>
        <w:t>采购文件</w:t>
      </w:r>
      <w:r>
        <w:rPr>
          <w:szCs w:val="21"/>
        </w:rPr>
        <w:t>的规定，从投标文件的有效性、完整性和对</w:t>
      </w:r>
      <w:r>
        <w:rPr>
          <w:rFonts w:hint="eastAsia"/>
          <w:szCs w:val="21"/>
        </w:rPr>
        <w:t>采购文件</w:t>
      </w:r>
      <w:r>
        <w:rPr>
          <w:szCs w:val="21"/>
        </w:rPr>
        <w:t>的响应程度进行审查，以确定是否对</w:t>
      </w:r>
      <w:r>
        <w:rPr>
          <w:rFonts w:hint="eastAsia"/>
          <w:szCs w:val="21"/>
        </w:rPr>
        <w:t>采购文件</w:t>
      </w:r>
      <w:r>
        <w:rPr>
          <w:szCs w:val="21"/>
        </w:rPr>
        <w:t>的实质性要求作出响应。</w:t>
      </w:r>
    </w:p>
    <w:p>
      <w:pPr>
        <w:snapToGrid w:val="0"/>
        <w:spacing w:line="360" w:lineRule="auto"/>
        <w:ind w:right="-87"/>
        <w:textAlignment w:val="baseline"/>
        <w:rPr>
          <w:rFonts w:ascii="宋体" w:hAnsi="宋体"/>
          <w:b/>
          <w:sz w:val="24"/>
        </w:rPr>
      </w:pPr>
      <w:r>
        <w:rPr>
          <w:rFonts w:hint="eastAsia" w:ascii="宋体" w:hAnsi="宋体"/>
          <w:b/>
          <w:sz w:val="24"/>
        </w:rPr>
        <w:t>2</w:t>
      </w:r>
      <w:r>
        <w:rPr>
          <w:rFonts w:hint="eastAsia" w:ascii="宋体" w:hAnsi="宋体"/>
          <w:b/>
          <w:szCs w:val="21"/>
        </w:rPr>
        <w:t>.实质审查</w:t>
      </w:r>
    </w:p>
    <w:p>
      <w:pPr>
        <w:snapToGrid w:val="0"/>
        <w:spacing w:line="360" w:lineRule="auto"/>
        <w:ind w:firstLine="420" w:firstLineChars="200"/>
        <w:textAlignment w:val="baseline"/>
        <w:rPr>
          <w:rFonts w:ascii="宋体" w:hAnsi="宋体"/>
          <w:kern w:val="0"/>
          <w:sz w:val="20"/>
          <w:szCs w:val="21"/>
        </w:rPr>
      </w:pPr>
      <w:r>
        <w:rPr>
          <w:rFonts w:hint="eastAsia" w:ascii="宋体" w:hAnsi="宋体"/>
          <w:kern w:val="0"/>
          <w:szCs w:val="21"/>
        </w:rPr>
        <w:t>（1）评标委员会审查投标文件的实质性内容是否符合采购文件的实质性要求。</w:t>
      </w:r>
    </w:p>
    <w:p>
      <w:pPr>
        <w:snapToGrid w:val="0"/>
        <w:spacing w:line="360" w:lineRule="auto"/>
        <w:ind w:firstLine="420" w:firstLineChars="200"/>
        <w:textAlignment w:val="baseline"/>
        <w:rPr>
          <w:rFonts w:ascii="宋体" w:hAnsi="宋体"/>
          <w:kern w:val="0"/>
          <w:sz w:val="2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napToGrid w:val="0"/>
        <w:spacing w:line="360" w:lineRule="auto"/>
        <w:ind w:firstLine="420" w:firstLineChars="200"/>
        <w:textAlignment w:val="baseline"/>
        <w:rPr>
          <w:rFonts w:ascii="宋体" w:hAnsi="宋体"/>
          <w:kern w:val="0"/>
          <w:sz w:val="20"/>
          <w:szCs w:val="21"/>
        </w:rPr>
      </w:pPr>
      <w:r>
        <w:rPr>
          <w:rFonts w:hint="eastAsia" w:ascii="宋体" w:hAnsi="宋体"/>
          <w:kern w:val="0"/>
          <w:szCs w:val="21"/>
        </w:rPr>
        <w:t>（3）评审小组商务、技术方案响应性评定；</w:t>
      </w:r>
    </w:p>
    <w:p>
      <w:pPr>
        <w:snapToGrid w:val="0"/>
        <w:spacing w:line="360" w:lineRule="auto"/>
        <w:ind w:firstLine="420" w:firstLineChars="200"/>
        <w:textAlignment w:val="baseline"/>
        <w:rPr>
          <w:rFonts w:ascii="宋体" w:hAnsi="宋体"/>
          <w:kern w:val="0"/>
          <w:sz w:val="20"/>
          <w:szCs w:val="21"/>
        </w:rPr>
      </w:pPr>
      <w:r>
        <w:rPr>
          <w:rFonts w:hint="eastAsia" w:ascii="宋体" w:hAnsi="宋体"/>
          <w:kern w:val="0"/>
          <w:szCs w:val="21"/>
        </w:rPr>
        <w:t>（4）各投标人的技术得分为所有评委的有效评分的算术平均数，由指定专人进行计算复核。</w:t>
      </w:r>
    </w:p>
    <w:p>
      <w:pPr>
        <w:snapToGrid w:val="0"/>
        <w:spacing w:line="360" w:lineRule="auto"/>
        <w:ind w:firstLine="420" w:firstLineChars="200"/>
        <w:textAlignment w:val="baseline"/>
        <w:rPr>
          <w:rFonts w:ascii="宋体" w:hAnsi="宋体"/>
          <w:b/>
          <w:sz w:val="20"/>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评标原则通过电子系统向采购单位及采购代理机构提交评审报告。</w:t>
      </w:r>
    </w:p>
    <w:p>
      <w:pPr>
        <w:snapToGrid w:val="0"/>
        <w:spacing w:line="360" w:lineRule="auto"/>
        <w:ind w:firstLine="422" w:firstLineChars="200"/>
        <w:textAlignment w:val="baseline"/>
        <w:rPr>
          <w:rFonts w:ascii="宋体" w:hAnsi="宋体"/>
          <w:b/>
          <w:sz w:val="20"/>
          <w:szCs w:val="21"/>
        </w:rPr>
      </w:pPr>
      <w:r>
        <w:rPr>
          <w:rFonts w:hint="eastAsia" w:ascii="宋体" w:hAnsi="宋体"/>
          <w:b/>
          <w:szCs w:val="21"/>
        </w:rPr>
        <w:t>（三）澄清问题的形式</w:t>
      </w:r>
    </w:p>
    <w:p>
      <w:pPr>
        <w:snapToGrid w:val="0"/>
        <w:spacing w:line="360" w:lineRule="auto"/>
        <w:ind w:left="228" w:right="-87" w:firstLine="420" w:firstLineChars="200"/>
        <w:textAlignment w:val="baseline"/>
        <w:rPr>
          <w:rFonts w:ascii="宋体" w:hAnsi="宋体"/>
          <w:sz w:val="20"/>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pStyle w:val="106"/>
        <w:snapToGrid w:val="0"/>
        <w:spacing w:before="120" w:after="120" w:line="360" w:lineRule="auto"/>
        <w:ind w:right="-87" w:firstLine="422" w:firstLineChars="200"/>
        <w:textAlignment w:val="baseline"/>
        <w:rPr>
          <w:rFonts w:hAnsi="宋体" w:eastAsia="宋体"/>
          <w:b/>
          <w:sz w:val="21"/>
          <w:szCs w:val="21"/>
        </w:rPr>
      </w:pPr>
      <w:r>
        <w:rPr>
          <w:rFonts w:hint="eastAsia" w:hAnsi="宋体" w:eastAsia="宋体"/>
          <w:b/>
          <w:sz w:val="21"/>
          <w:szCs w:val="21"/>
        </w:rPr>
        <w:t>（四）错误修正</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投标文件如果出现计算或表达上的错误，修正错误的原则如下：</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1、如果用数字表示的数额与文字表示的数额不一致的，以文字数额为准；</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2、当单价和数量的乘积与合价不一致时，通常以标出的单价为准。除非评审小组认为单价属明显的小数点错误，此时应以标出的合价为准，并修改单价。</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3、按上述修改错误的方法，调整投标文件中的投标报价文件，经投标人确认后，调整后的投标报价对投标人起约束作用。</w:t>
      </w:r>
    </w:p>
    <w:p>
      <w:pPr>
        <w:pStyle w:val="21"/>
        <w:snapToGrid w:val="0"/>
        <w:spacing w:before="120" w:line="360" w:lineRule="auto"/>
        <w:ind w:firstLine="417" w:firstLineChars="198"/>
        <w:textAlignment w:val="baseline"/>
        <w:rPr>
          <w:rFonts w:hAnsi="宋体" w:cs="宋体"/>
          <w:sz w:val="21"/>
          <w:szCs w:val="21"/>
        </w:rPr>
      </w:pPr>
      <w:r>
        <w:rPr>
          <w:rFonts w:hint="eastAsia" w:hAnsi="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06"/>
        <w:snapToGrid w:val="0"/>
        <w:spacing w:before="120" w:after="120" w:line="360" w:lineRule="auto"/>
        <w:ind w:right="-87" w:firstLine="422" w:firstLineChars="200"/>
        <w:jc w:val="left"/>
        <w:textAlignment w:val="baseline"/>
        <w:rPr>
          <w:rFonts w:hAnsi="宋体" w:eastAsia="宋体"/>
          <w:b/>
          <w:sz w:val="21"/>
          <w:szCs w:val="21"/>
        </w:rPr>
      </w:pPr>
      <w:r>
        <w:rPr>
          <w:rFonts w:hint="eastAsia" w:hAnsi="宋体" w:eastAsia="宋体"/>
          <w:b/>
          <w:sz w:val="21"/>
          <w:szCs w:val="21"/>
        </w:rPr>
        <w:t>（五）评标原则和评标办法</w:t>
      </w:r>
    </w:p>
    <w:p>
      <w:pPr>
        <w:pStyle w:val="21"/>
        <w:snapToGrid w:val="0"/>
        <w:spacing w:before="120" w:line="360" w:lineRule="auto"/>
        <w:ind w:firstLine="420" w:firstLineChars="200"/>
        <w:textAlignment w:val="baseline"/>
        <w:rPr>
          <w:rFonts w:hAnsi="宋体" w:cs="宋体"/>
          <w:sz w:val="21"/>
          <w:szCs w:val="21"/>
        </w:rPr>
      </w:pPr>
      <w:r>
        <w:rPr>
          <w:rFonts w:hint="eastAsia" w:hAnsi="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before="120" w:line="360" w:lineRule="auto"/>
        <w:ind w:firstLine="520" w:firstLineChars="248"/>
        <w:textAlignment w:val="baseline"/>
        <w:rPr>
          <w:rFonts w:hAnsi="宋体" w:cs="宋体"/>
        </w:rPr>
      </w:pPr>
      <w:r>
        <w:rPr>
          <w:rFonts w:hint="eastAsia" w:hAnsi="宋体" w:cs="宋体"/>
          <w:sz w:val="21"/>
          <w:szCs w:val="21"/>
        </w:rPr>
        <w:t>2、评标办法。本项目评标办法是</w:t>
      </w:r>
      <w:r>
        <w:rPr>
          <w:rFonts w:hint="eastAsia" w:hAnsi="宋体" w:cs="宋体"/>
          <w:sz w:val="21"/>
          <w:szCs w:val="21"/>
          <w:u w:val="single" w:color="000000"/>
        </w:rPr>
        <w:t>综合评分法</w:t>
      </w:r>
      <w:r>
        <w:rPr>
          <w:rFonts w:hint="eastAsia" w:hAnsi="宋体" w:cs="宋体"/>
          <w:sz w:val="21"/>
          <w:szCs w:val="21"/>
        </w:rPr>
        <w:t>，具体评标内容及评分标准等详见《第四章：评标办法及评分标准》。</w:t>
      </w:r>
    </w:p>
    <w:p>
      <w:pPr>
        <w:widowControl/>
        <w:snapToGrid w:val="0"/>
        <w:spacing w:line="360" w:lineRule="auto"/>
        <w:ind w:right="-87" w:firstLine="422" w:firstLineChars="200"/>
        <w:textAlignment w:val="baseline"/>
        <w:rPr>
          <w:rFonts w:ascii="宋体" w:hAnsi="宋体"/>
          <w:b/>
          <w:sz w:val="20"/>
          <w:szCs w:val="21"/>
        </w:rPr>
      </w:pPr>
      <w:r>
        <w:rPr>
          <w:rFonts w:hint="eastAsia" w:ascii="宋体" w:hAnsi="宋体"/>
          <w:b/>
          <w:szCs w:val="21"/>
        </w:rPr>
        <w:t>（六）评标过程的监控</w:t>
      </w:r>
    </w:p>
    <w:p>
      <w:pPr>
        <w:pStyle w:val="106"/>
        <w:snapToGrid w:val="0"/>
        <w:spacing w:before="120" w:after="120" w:line="360" w:lineRule="auto"/>
        <w:ind w:right="-87" w:firstLine="420" w:firstLineChars="200"/>
        <w:textAlignment w:val="baseline"/>
        <w:rPr>
          <w:rFonts w:hAnsi="宋体" w:eastAsia="宋体"/>
          <w:b/>
          <w:sz w:val="28"/>
        </w:rPr>
      </w:pPr>
      <w:r>
        <w:rPr>
          <w:rFonts w:hint="eastAsia" w:hAnsi="宋体" w:eastAsia="宋体" w:cs="宋体"/>
          <w:sz w:val="21"/>
        </w:rPr>
        <w:t>本项目评标过程实行全程录音、录像监控。</w:t>
      </w:r>
    </w:p>
    <w:p>
      <w:pPr>
        <w:snapToGrid w:val="0"/>
        <w:spacing w:before="120" w:line="360" w:lineRule="auto"/>
        <w:ind w:right="-87" w:firstLine="3345" w:firstLineChars="1190"/>
        <w:textAlignment w:val="baseline"/>
        <w:rPr>
          <w:rFonts w:hAnsi="宋体"/>
          <w:b/>
          <w:sz w:val="28"/>
        </w:rPr>
      </w:pPr>
      <w:r>
        <w:rPr>
          <w:rFonts w:hint="eastAsia" w:hAnsi="宋体"/>
          <w:b/>
          <w:sz w:val="28"/>
        </w:rPr>
        <w:t>六、定标</w:t>
      </w:r>
    </w:p>
    <w:p>
      <w:pPr>
        <w:pStyle w:val="21"/>
        <w:snapToGrid w:val="0"/>
        <w:spacing w:before="120" w:line="360" w:lineRule="auto"/>
        <w:ind w:firstLine="417" w:firstLineChars="198"/>
        <w:textAlignment w:val="baseline"/>
        <w:rPr>
          <w:rFonts w:hAnsi="宋体" w:cs="宋体"/>
          <w:b/>
          <w:sz w:val="21"/>
          <w:szCs w:val="21"/>
        </w:rPr>
      </w:pPr>
      <w:r>
        <w:rPr>
          <w:rFonts w:hint="eastAsia" w:hAnsi="宋体" w:cs="宋体"/>
          <w:b/>
          <w:sz w:val="21"/>
          <w:szCs w:val="21"/>
        </w:rPr>
        <w:t>（一）确定中标人。</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本项目由采购单位事先授权评审小组确定候选中标人1名。经采购单位确认后，确定项目中标人，同时发布采购结果公告，发出中标通知书。</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1.采购代理机构在评标结束后在2个工作日内将评审报告交采购单位确认。</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2.投标人对评审结果无异议的，采购单位应在收到评审报告后5个工作日内对评审结果进行确认。如有投标人对评审结果提出质疑的，采购单位可在质疑处理完毕后确定中标人。</w:t>
      </w:r>
    </w:p>
    <w:p>
      <w:pPr>
        <w:pStyle w:val="21"/>
        <w:snapToGrid w:val="0"/>
        <w:spacing w:before="120" w:line="360" w:lineRule="auto"/>
        <w:ind w:firstLine="415" w:firstLineChars="198"/>
        <w:textAlignment w:val="baseline"/>
        <w:rPr>
          <w:rFonts w:hAnsi="宋体" w:cs="宋体"/>
          <w:sz w:val="21"/>
          <w:szCs w:val="21"/>
        </w:rPr>
      </w:pPr>
      <w:r>
        <w:rPr>
          <w:rFonts w:hint="eastAsia" w:hAnsi="宋体" w:cs="宋体"/>
          <w:sz w:val="21"/>
          <w:szCs w:val="21"/>
        </w:rPr>
        <w:t>3.采购单位依法确定中标人后2个工作日内，采购代理机构以书面形式发出《中标通知书》,并同时在相关网站上发布中标公告。</w:t>
      </w:r>
    </w:p>
    <w:p>
      <w:pPr>
        <w:snapToGrid w:val="0"/>
        <w:spacing w:line="380" w:lineRule="exact"/>
        <w:ind w:firstLine="525" w:firstLineChars="250"/>
        <w:textAlignment w:val="baseline"/>
        <w:rPr>
          <w:rFonts w:ascii="宋体" w:hAnsi="宋体"/>
          <w:b/>
          <w:sz w:val="20"/>
        </w:rPr>
      </w:pPr>
      <w:r>
        <w:rPr>
          <w:rFonts w:hint="eastAsia" w:hAnsi="宋体" w:cs="宋体"/>
          <w:szCs w:val="21"/>
        </w:rPr>
        <w:t>（二）</w:t>
      </w:r>
      <w:r>
        <w:t>根据《中华人民共和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招标人书面确认，或者经专家论证，按照评标委员会提出的中标候选人名单排序依次确定其他中标候选人为中标人，也可以重新招标。</w:t>
      </w:r>
    </w:p>
    <w:p>
      <w:pPr>
        <w:snapToGrid w:val="0"/>
        <w:spacing w:before="120" w:line="360" w:lineRule="auto"/>
        <w:ind w:right="-87" w:firstLine="3345" w:firstLineChars="1190"/>
        <w:textAlignment w:val="baseline"/>
        <w:rPr>
          <w:rFonts w:hAnsi="宋体"/>
          <w:b/>
          <w:sz w:val="28"/>
        </w:rPr>
      </w:pPr>
      <w:r>
        <w:rPr>
          <w:rFonts w:hint="eastAsia" w:hAnsi="宋体"/>
          <w:b/>
          <w:sz w:val="28"/>
        </w:rPr>
        <w:t>七、合同授予</w:t>
      </w:r>
    </w:p>
    <w:p>
      <w:pPr>
        <w:widowControl/>
        <w:numPr>
          <w:ilvl w:val="0"/>
          <w:numId w:val="11"/>
        </w:numPr>
        <w:tabs>
          <w:tab w:val="left" w:pos="735"/>
        </w:tabs>
        <w:snapToGrid w:val="0"/>
        <w:spacing w:line="336" w:lineRule="auto"/>
        <w:ind w:right="-87"/>
        <w:jc w:val="left"/>
        <w:textAlignment w:val="baseline"/>
        <w:rPr>
          <w:rFonts w:ascii="宋体" w:hAnsi="宋体"/>
          <w:b/>
          <w:sz w:val="24"/>
        </w:rPr>
      </w:pPr>
      <w:r>
        <w:rPr>
          <w:rFonts w:hint="eastAsia" w:ascii="宋体" w:hAnsi="宋体"/>
          <w:b/>
          <w:sz w:val="24"/>
        </w:rPr>
        <w:t>签订合同</w:t>
      </w:r>
    </w:p>
    <w:p>
      <w:pPr>
        <w:snapToGrid w:val="0"/>
        <w:spacing w:line="336" w:lineRule="auto"/>
        <w:ind w:right="-87" w:firstLine="424" w:firstLineChars="202"/>
        <w:textAlignment w:val="baseline"/>
        <w:rPr>
          <w:rFonts w:ascii="宋体" w:hAnsi="宋体"/>
          <w:sz w:val="20"/>
        </w:rPr>
      </w:pPr>
      <w:r>
        <w:rPr>
          <w:rFonts w:hint="eastAsia" w:ascii="宋体" w:hAnsi="宋体"/>
        </w:rPr>
        <w:t>1.采购单位与中标人应当在《中标通知书》发出之日起30日内签订政府采购合同。同时，采购代理机构对合同内容进行审查，如发现与采购结果和投标承诺内容不一致的，应予以纠正。</w:t>
      </w:r>
    </w:p>
    <w:p>
      <w:pPr>
        <w:pStyle w:val="21"/>
        <w:snapToGrid w:val="0"/>
        <w:spacing w:before="120" w:line="336" w:lineRule="auto"/>
        <w:ind w:firstLine="415" w:firstLineChars="198"/>
        <w:textAlignment w:val="baseline"/>
        <w:rPr>
          <w:rFonts w:hAnsi="宋体" w:cs="宋体"/>
          <w:sz w:val="21"/>
          <w:szCs w:val="21"/>
        </w:rPr>
      </w:pPr>
      <w:r>
        <w:rPr>
          <w:rFonts w:hint="eastAsia" w:hAnsi="宋体" w:cs="宋体"/>
          <w:sz w:val="21"/>
          <w:szCs w:val="21"/>
        </w:rPr>
        <w:t>2、中标人拖延、拒签合同的，将上报监管部门并取消中标资格。</w:t>
      </w:r>
    </w:p>
    <w:p>
      <w:pPr>
        <w:pStyle w:val="21"/>
        <w:snapToGrid w:val="0"/>
        <w:spacing w:before="120" w:line="336" w:lineRule="auto"/>
        <w:ind w:firstLine="415" w:firstLineChars="198"/>
        <w:textAlignment w:val="baseline"/>
        <w:rPr>
          <w:rFonts w:hAnsi="宋体" w:cs="宋体"/>
          <w:sz w:val="21"/>
          <w:szCs w:val="21"/>
        </w:rPr>
      </w:pPr>
      <w:r>
        <w:rPr>
          <w:rFonts w:hint="eastAsia" w:hAnsi="宋体" w:cs="宋体"/>
          <w:sz w:val="21"/>
          <w:szCs w:val="21"/>
        </w:rPr>
        <w:t>3、中标人和采购单位签订合同，按合同规定的供货时间供货并安装调试完毕。</w:t>
      </w:r>
    </w:p>
    <w:p>
      <w:pPr>
        <w:pStyle w:val="21"/>
        <w:snapToGrid w:val="0"/>
        <w:spacing w:before="120" w:line="336" w:lineRule="auto"/>
        <w:ind w:firstLine="415" w:firstLineChars="198"/>
        <w:textAlignment w:val="baseline"/>
        <w:rPr>
          <w:rFonts w:hAnsi="宋体" w:cs="宋体"/>
          <w:sz w:val="21"/>
          <w:szCs w:val="21"/>
        </w:rPr>
      </w:pPr>
      <w:r>
        <w:rPr>
          <w:rFonts w:hint="eastAsia" w:hAnsi="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单位依法另行确定中标、成交供应商；否则责令重新开展采购活动。</w:t>
      </w:r>
    </w:p>
    <w:p>
      <w:pPr>
        <w:pStyle w:val="21"/>
        <w:snapToGrid w:val="0"/>
        <w:spacing w:before="120" w:line="336" w:lineRule="auto"/>
        <w:ind w:firstLine="415" w:firstLineChars="198"/>
        <w:textAlignment w:val="baseline"/>
        <w:rPr>
          <w:rFonts w:hAnsi="宋体" w:cs="宋体"/>
          <w:sz w:val="21"/>
          <w:szCs w:val="21"/>
        </w:rPr>
      </w:pPr>
      <w:r>
        <w:rPr>
          <w:rFonts w:hint="eastAsia" w:hAnsi="宋体" w:cs="宋体"/>
          <w:sz w:val="21"/>
          <w:szCs w:val="21"/>
        </w:rPr>
        <w:t>（二）合同公告</w:t>
      </w:r>
    </w:p>
    <w:p>
      <w:pPr>
        <w:pStyle w:val="21"/>
        <w:snapToGrid w:val="0"/>
        <w:spacing w:before="120" w:line="336" w:lineRule="auto"/>
        <w:ind w:firstLine="415" w:firstLineChars="198"/>
        <w:textAlignment w:val="baseline"/>
        <w:rPr>
          <w:rFonts w:hAnsi="宋体" w:cs="宋体"/>
          <w:sz w:val="21"/>
          <w:szCs w:val="21"/>
        </w:rPr>
      </w:pPr>
      <w:r>
        <w:rPr>
          <w:rFonts w:hint="eastAsia" w:hAnsi="宋体" w:cs="宋体"/>
          <w:sz w:val="21"/>
          <w:szCs w:val="21"/>
        </w:rPr>
        <w:t>采购单位应当自政府采购合同签订之日起2个工作日内，将政府采购合同在省级以上人民政府财政部门指定的媒体上公告，但政府采购合同中涉及国家秘密、商业秘密的内容除外。</w:t>
      </w:r>
    </w:p>
    <w:p>
      <w:pPr>
        <w:snapToGrid w:val="0"/>
        <w:spacing w:before="120" w:line="360" w:lineRule="auto"/>
        <w:ind w:right="-87"/>
        <w:jc w:val="center"/>
        <w:textAlignment w:val="baseline"/>
        <w:rPr>
          <w:rFonts w:ascii="黑体" w:hAnsi="宋体" w:eastAsia="黑体"/>
          <w:sz w:val="30"/>
        </w:rPr>
      </w:pPr>
      <w:r>
        <w:rPr>
          <w:rFonts w:hint="eastAsia" w:ascii="黑体" w:hAnsi="宋体" w:eastAsia="黑体"/>
          <w:sz w:val="30"/>
        </w:rPr>
        <w:t>第四章  评标办法及评分标准</w:t>
      </w:r>
    </w:p>
    <w:p>
      <w:pPr>
        <w:snapToGrid w:val="0"/>
        <w:spacing w:before="120" w:line="336" w:lineRule="auto"/>
        <w:ind w:right="-87" w:firstLine="103" w:firstLineChars="49"/>
        <w:textAlignment w:val="baseline"/>
        <w:rPr>
          <w:rFonts w:hAnsi="宋体"/>
          <w:sz w:val="20"/>
        </w:rPr>
      </w:pPr>
      <w:r>
        <w:rPr>
          <w:rFonts w:hint="eastAsia" w:hAnsi="宋体"/>
          <w:b/>
        </w:rPr>
        <w:t>综合评分法</w:t>
      </w:r>
    </w:p>
    <w:p>
      <w:pPr>
        <w:snapToGrid w:val="0"/>
        <w:spacing w:line="336" w:lineRule="auto"/>
        <w:ind w:right="-87" w:firstLine="1181" w:firstLineChars="490"/>
        <w:textAlignment w:val="baseline"/>
        <w:rPr>
          <w:rFonts w:ascii="宋体" w:hAnsi="宋体"/>
          <w:b/>
          <w:sz w:val="24"/>
          <w:szCs w:val="24"/>
        </w:rPr>
      </w:pPr>
      <w:r>
        <w:rPr>
          <w:rFonts w:hint="eastAsia"/>
          <w:b/>
          <w:sz w:val="24"/>
          <w:szCs w:val="24"/>
        </w:rPr>
        <w:t>舟山市省域空间治理数字化平台舟山节点建设采购项目</w:t>
      </w:r>
    </w:p>
    <w:p>
      <w:pPr>
        <w:snapToGrid w:val="0"/>
        <w:spacing w:line="336" w:lineRule="auto"/>
        <w:ind w:right="-87" w:firstLine="420"/>
        <w:textAlignment w:val="baseline"/>
        <w:rPr>
          <w:rFonts w:ascii="宋体" w:hAnsi="宋体"/>
          <w:sz w:val="20"/>
        </w:rPr>
      </w:pPr>
      <w:r>
        <w:rPr>
          <w:rFonts w:hint="eastAsia" w:ascii="宋体" w:hAnsi="宋体"/>
        </w:rPr>
        <w:t>为公正、公平、科学地选择中标人，根据《中华人民共和国政府采购法》等有关法律法规的规定，并结合本项目的实际，制定本办法。</w:t>
      </w:r>
    </w:p>
    <w:p>
      <w:pPr>
        <w:snapToGrid w:val="0"/>
        <w:spacing w:line="336" w:lineRule="auto"/>
        <w:ind w:right="-87" w:firstLine="945" w:firstLineChars="450"/>
        <w:textAlignment w:val="baseline"/>
        <w:rPr>
          <w:rFonts w:ascii="宋体" w:hAnsi="宋体"/>
          <w:sz w:val="20"/>
        </w:rPr>
      </w:pPr>
      <w:r>
        <w:rPr>
          <w:rFonts w:hint="eastAsia" w:ascii="宋体" w:hAnsi="宋体"/>
          <w:szCs w:val="21"/>
        </w:rPr>
        <w:t>本办法适用于</w:t>
      </w:r>
      <w:r>
        <w:rPr>
          <w:rFonts w:hint="eastAsia"/>
        </w:rPr>
        <w:t>舟山市省域空间治理数字化平台舟山节点建设采购项目</w:t>
      </w:r>
      <w:r>
        <w:rPr>
          <w:rFonts w:hint="eastAsia" w:ascii="宋体" w:hAnsi="宋体"/>
          <w:szCs w:val="21"/>
        </w:rPr>
        <w:t>的评标。</w:t>
      </w:r>
    </w:p>
    <w:p>
      <w:pPr>
        <w:snapToGrid w:val="0"/>
        <w:spacing w:line="336" w:lineRule="auto"/>
        <w:ind w:left="756" w:leftChars="114" w:right="-87" w:hanging="517" w:hangingChars="245"/>
        <w:textAlignment w:val="baseline"/>
        <w:rPr>
          <w:rFonts w:ascii="宋体" w:hAnsi="宋体"/>
          <w:sz w:val="20"/>
        </w:rPr>
      </w:pPr>
      <w:r>
        <w:rPr>
          <w:rFonts w:hint="eastAsia" w:ascii="宋体" w:hAnsi="宋体"/>
          <w:b/>
        </w:rPr>
        <w:t>中标依据：</w:t>
      </w:r>
      <w:r>
        <w:rPr>
          <w:rFonts w:hint="eastAsia" w:ascii="宋体" w:hAnsi="宋体"/>
        </w:rPr>
        <w:t>在不高于</w:t>
      </w:r>
      <w:r>
        <w:rPr>
          <w:rFonts w:hint="eastAsia" w:ascii="宋体" w:hAnsi="宋体"/>
          <w:u w:val="single" w:color="000000"/>
        </w:rPr>
        <w:t>最高限价</w:t>
      </w:r>
      <w:r>
        <w:rPr>
          <w:rFonts w:hint="eastAsia" w:ascii="宋体" w:hAnsi="宋体"/>
        </w:rPr>
        <w:t>的前提下，</w:t>
      </w:r>
      <w:r>
        <w:rPr>
          <w:rFonts w:hint="eastAsia" w:ascii="宋体" w:hAnsi="宋体"/>
          <w:u w:val="single" w:color="000000"/>
        </w:rPr>
        <w:t>综合评估分</w:t>
      </w:r>
      <w:r>
        <w:rPr>
          <w:rFonts w:hint="eastAsia" w:ascii="宋体" w:hAnsi="宋体"/>
        </w:rPr>
        <w:t xml:space="preserve">最高者为中标候选人。   </w:t>
      </w:r>
    </w:p>
    <w:p>
      <w:pPr>
        <w:snapToGrid w:val="0"/>
        <w:spacing w:line="336" w:lineRule="auto"/>
        <w:ind w:left="756" w:leftChars="114" w:right="-87" w:hanging="517" w:hangingChars="245"/>
        <w:textAlignment w:val="baseline"/>
        <w:rPr>
          <w:rFonts w:ascii="宋体" w:hAnsi="宋体"/>
          <w:b/>
          <w:sz w:val="20"/>
          <w:u w:val="single"/>
        </w:rPr>
      </w:pPr>
      <w:r>
        <w:rPr>
          <w:rFonts w:hint="eastAsia" w:ascii="宋体" w:hAnsi="宋体"/>
          <w:b/>
          <w:u w:val="single" w:color="000000"/>
        </w:rPr>
        <w:t xml:space="preserve">  最高限价：指预算金额。</w:t>
      </w:r>
    </w:p>
    <w:p>
      <w:pPr>
        <w:snapToGrid w:val="0"/>
        <w:spacing w:line="336" w:lineRule="auto"/>
        <w:ind w:right="-87" w:firstLine="517" w:firstLineChars="245"/>
        <w:textAlignment w:val="baseline"/>
        <w:rPr>
          <w:rFonts w:ascii="宋体" w:hAnsi="宋体"/>
          <w:b/>
          <w:sz w:val="20"/>
        </w:rPr>
      </w:pPr>
      <w:r>
        <w:rPr>
          <w:rFonts w:hint="eastAsia" w:ascii="宋体" w:hAnsi="宋体"/>
          <w:b/>
        </w:rPr>
        <w:t xml:space="preserve">报价的计分方法： </w:t>
      </w:r>
    </w:p>
    <w:p>
      <w:pPr>
        <w:snapToGrid w:val="0"/>
        <w:spacing w:line="336" w:lineRule="auto"/>
        <w:ind w:right="-87" w:firstLine="411" w:firstLineChars="196"/>
        <w:textAlignment w:val="baseline"/>
        <w:rPr>
          <w:rFonts w:ascii="宋体" w:hAnsi="宋体"/>
          <w:sz w:val="20"/>
          <w:lang w:val="zh-CN"/>
        </w:rPr>
      </w:pPr>
      <w:r>
        <w:rPr>
          <w:rFonts w:hint="eastAsia" w:ascii="宋体" w:hAnsi="宋体"/>
          <w:lang w:val="zh-CN"/>
        </w:rPr>
        <w:t>满足投标文件要求且投标价格最低的投标报价为评标基准价，其价格分为满分，其他投标人的价格分按下列公式计算：</w:t>
      </w:r>
    </w:p>
    <w:p>
      <w:pPr>
        <w:snapToGrid w:val="0"/>
        <w:spacing w:line="336" w:lineRule="auto"/>
        <w:ind w:right="-87" w:firstLine="550" w:firstLineChars="262"/>
        <w:textAlignment w:val="baseline"/>
        <w:rPr>
          <w:rFonts w:ascii="宋体" w:hAnsi="宋体"/>
          <w:sz w:val="20"/>
          <w:lang w:val="zh-CN"/>
        </w:rPr>
      </w:pPr>
      <w:r>
        <w:rPr>
          <w:rFonts w:hint="eastAsia" w:ascii="宋体" w:hAnsi="宋体"/>
          <w:lang w:val="zh-CN"/>
        </w:rPr>
        <w:t xml:space="preserve">价格得分＝（评标基准价/投标报价）×价格权重×100, </w:t>
      </w:r>
    </w:p>
    <w:tbl>
      <w:tblPr>
        <w:tblStyle w:val="36"/>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hint="eastAsia" w:ascii="宋体" w:hAnsi="宋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ascii="宋体" w:hAnsi="宋体"/>
              </w:rPr>
              <w:t>9</w:t>
            </w: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ascii="宋体" w:hAnsi="宋体"/>
              </w:rPr>
              <w:t>1</w:t>
            </w: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line="336" w:lineRule="auto"/>
              <w:ind w:right="-341"/>
              <w:jc w:val="center"/>
              <w:textAlignment w:val="baseline"/>
              <w:rPr>
                <w:rFonts w:ascii="宋体" w:hAnsi="宋体"/>
                <w:sz w:val="20"/>
              </w:rPr>
            </w:pPr>
            <w:r>
              <w:rPr>
                <w:rFonts w:hint="eastAsia" w:ascii="宋体" w:hAnsi="宋体"/>
              </w:rPr>
              <w:t>100</w:t>
            </w:r>
          </w:p>
        </w:tc>
      </w:tr>
    </w:tbl>
    <w:p>
      <w:pPr>
        <w:snapToGrid w:val="0"/>
        <w:spacing w:line="336" w:lineRule="auto"/>
        <w:ind w:right="-341" w:firstLine="424" w:firstLineChars="202"/>
        <w:textAlignment w:val="baseline"/>
        <w:rPr>
          <w:rFonts w:ascii="宋体" w:hAnsi="宋体"/>
          <w:sz w:val="20"/>
        </w:rPr>
      </w:pPr>
      <w:r>
        <w:rPr>
          <w:rFonts w:hint="eastAsia" w:ascii="宋体" w:hAnsi="宋体"/>
        </w:rPr>
        <w:t>综合评估分=商务技术得分＋价格得分(评分过程中采用四舍五入法，并保留小数2位)</w:t>
      </w:r>
    </w:p>
    <w:p>
      <w:pPr>
        <w:snapToGrid w:val="0"/>
        <w:spacing w:line="336" w:lineRule="auto"/>
        <w:ind w:right="-341" w:firstLine="424" w:firstLineChars="202"/>
        <w:textAlignment w:val="baseline"/>
        <w:rPr>
          <w:rFonts w:ascii="宋体" w:hAnsi="宋体"/>
          <w:sz w:val="20"/>
        </w:rPr>
      </w:pPr>
      <w:r>
        <w:rPr>
          <w:rFonts w:hint="eastAsia" w:ascii="宋体" w:hAnsi="宋体"/>
        </w:rPr>
        <w:t>将综合评估分从高到低排序，得出参投标人名次。得分相同时，按投标报价由低到高顺序排列，得分且投标报价相同的，按技术指标优劣顺序排列</w:t>
      </w:r>
    </w:p>
    <w:p>
      <w:pPr>
        <w:tabs>
          <w:tab w:val="left" w:pos="1620"/>
        </w:tabs>
        <w:snapToGrid w:val="0"/>
        <w:spacing w:line="336" w:lineRule="auto"/>
        <w:ind w:left="1111" w:leftChars="228" w:right="-341" w:hanging="632" w:hangingChars="300"/>
        <w:textAlignment w:val="baseline"/>
        <w:rPr>
          <w:rFonts w:ascii="宋体" w:hAnsi="宋体"/>
          <w:b/>
          <w:sz w:val="20"/>
        </w:rPr>
      </w:pPr>
      <w:r>
        <w:rPr>
          <w:rFonts w:hint="eastAsia" w:ascii="宋体" w:hAnsi="宋体"/>
          <w:b/>
        </w:rPr>
        <w:t xml:space="preserve"> 候选中标商的选取</w:t>
      </w:r>
    </w:p>
    <w:p>
      <w:pPr>
        <w:snapToGrid w:val="0"/>
        <w:spacing w:line="336" w:lineRule="auto"/>
        <w:ind w:right="-341" w:firstLine="525" w:firstLineChars="250"/>
        <w:textAlignment w:val="baseline"/>
        <w:rPr>
          <w:rFonts w:ascii="宋体" w:hAnsi="宋体"/>
        </w:rPr>
      </w:pPr>
      <w:r>
        <w:rPr>
          <w:rFonts w:hint="eastAsia" w:ascii="宋体" w:hAnsi="宋体"/>
        </w:rPr>
        <w:t>按照综合评估分名次推荐候选中标人1名。</w:t>
      </w:r>
    </w:p>
    <w:p>
      <w:pPr>
        <w:snapToGrid w:val="0"/>
        <w:ind w:right="-341"/>
        <w:textAlignment w:val="baseline"/>
        <w:rPr>
          <w:rFonts w:ascii="宋体"/>
          <w:b/>
          <w:sz w:val="24"/>
          <w:szCs w:val="24"/>
        </w:rPr>
      </w:pPr>
    </w:p>
    <w:p>
      <w:pPr>
        <w:snapToGrid w:val="0"/>
        <w:ind w:right="-341"/>
        <w:textAlignment w:val="baseline"/>
        <w:rPr>
          <w:rFonts w:ascii="宋体"/>
          <w:b/>
          <w:sz w:val="24"/>
          <w:szCs w:val="24"/>
        </w:rPr>
      </w:pPr>
    </w:p>
    <w:p>
      <w:pPr>
        <w:snapToGrid w:val="0"/>
        <w:ind w:right="-341"/>
        <w:jc w:val="center"/>
        <w:textAlignment w:val="baseline"/>
        <w:rPr>
          <w:rFonts w:ascii="宋体" w:hAnsi="宋体"/>
          <w:b/>
          <w:sz w:val="24"/>
          <w:szCs w:val="24"/>
          <w:lang w:val="zh-CN"/>
        </w:rPr>
      </w:pPr>
      <w:r>
        <w:rPr>
          <w:rFonts w:hint="eastAsia" w:ascii="宋体"/>
          <w:b/>
          <w:sz w:val="24"/>
          <w:szCs w:val="24"/>
        </w:rPr>
        <w:t>舟山市省域空间治理数字化平台舟山节点建设采购项目</w:t>
      </w:r>
      <w:r>
        <w:rPr>
          <w:rFonts w:hint="eastAsia" w:ascii="宋体" w:hAnsi="宋体"/>
          <w:b/>
          <w:sz w:val="24"/>
          <w:szCs w:val="24"/>
        </w:rPr>
        <w:t>评分表</w:t>
      </w:r>
    </w:p>
    <w:p>
      <w:pPr>
        <w:snapToGrid w:val="0"/>
        <w:ind w:right="-341"/>
        <w:jc w:val="left"/>
        <w:textAlignment w:val="baseline"/>
        <w:rPr>
          <w:rFonts w:ascii="宋体"/>
          <w:b/>
          <w:szCs w:val="21"/>
        </w:rPr>
      </w:pPr>
    </w:p>
    <w:p>
      <w:pPr>
        <w:snapToGrid w:val="0"/>
        <w:ind w:right="-341"/>
        <w:jc w:val="left"/>
        <w:textAlignment w:val="baseline"/>
        <w:rPr>
          <w:rFonts w:ascii="宋体"/>
          <w:b/>
          <w:sz w:val="20"/>
          <w:szCs w:val="21"/>
        </w:rPr>
      </w:pPr>
      <w:r>
        <w:rPr>
          <w:rFonts w:hint="eastAsia" w:ascii="宋体"/>
          <w:b/>
          <w:szCs w:val="21"/>
        </w:rPr>
        <w:t>项目名称：舟山市省域空间治理数字化平台舟山节点建设采购项目</w:t>
      </w:r>
    </w:p>
    <w:p>
      <w:pPr>
        <w:spacing w:line="360" w:lineRule="auto"/>
        <w:ind w:right="-341"/>
        <w:jc w:val="left"/>
        <w:rPr>
          <w:rFonts w:ascii="宋体"/>
          <w:b/>
          <w:szCs w:val="21"/>
        </w:rPr>
      </w:pPr>
      <w:r>
        <w:rPr>
          <w:rFonts w:hint="eastAsia" w:ascii="宋体"/>
          <w:b/>
          <w:szCs w:val="21"/>
        </w:rPr>
        <w:t>招标编号：SZGXZS2021185</w:t>
      </w:r>
    </w:p>
    <w:tbl>
      <w:tblPr>
        <w:tblStyle w:val="36"/>
        <w:tblW w:w="9346" w:type="dxa"/>
        <w:tblInd w:w="118" w:type="dxa"/>
        <w:tblLayout w:type="fixed"/>
        <w:tblCellMar>
          <w:top w:w="0" w:type="dxa"/>
          <w:left w:w="108" w:type="dxa"/>
          <w:bottom w:w="0" w:type="dxa"/>
          <w:right w:w="108" w:type="dxa"/>
        </w:tblCellMar>
      </w:tblPr>
      <w:tblGrid>
        <w:gridCol w:w="846"/>
        <w:gridCol w:w="993"/>
        <w:gridCol w:w="845"/>
        <w:gridCol w:w="5953"/>
        <w:gridCol w:w="709"/>
      </w:tblGrid>
      <w:tr>
        <w:tblPrEx>
          <w:tblCellMar>
            <w:top w:w="0" w:type="dxa"/>
            <w:left w:w="108" w:type="dxa"/>
            <w:bottom w:w="0" w:type="dxa"/>
            <w:right w:w="108" w:type="dxa"/>
          </w:tblCellMar>
        </w:tblPrEx>
        <w:trPr>
          <w:trHeight w:val="300" w:hRule="atLeast"/>
        </w:trPr>
        <w:tc>
          <w:tcPr>
            <w:tcW w:w="84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类别</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84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59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得分</w:t>
            </w:r>
          </w:p>
        </w:tc>
      </w:tr>
      <w:tr>
        <w:tblPrEx>
          <w:tblCellMar>
            <w:top w:w="0" w:type="dxa"/>
            <w:left w:w="108" w:type="dxa"/>
            <w:bottom w:w="0" w:type="dxa"/>
            <w:right w:w="108" w:type="dxa"/>
          </w:tblCellMar>
        </w:tblPrEx>
        <w:trPr>
          <w:trHeight w:val="780" w:hRule="atLeast"/>
        </w:trPr>
        <w:tc>
          <w:tcPr>
            <w:tcW w:w="84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商务部分（20分）</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投标人项目业绩</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投标人提供自2018年1月1日以来（合同签订时间为准）承接过同类管理软件开发相关项目，每提供一个项目案例得2分，最高得10分；</w:t>
            </w:r>
            <w:r>
              <w:rPr>
                <w:rFonts w:hint="eastAsia" w:ascii="宋体" w:hAnsi="宋体" w:cs="宋体"/>
                <w:b/>
                <w:bCs/>
                <w:kern w:val="0"/>
                <w:szCs w:val="21"/>
              </w:rPr>
              <w:t>（提供合同复印件加盖公章）</w:t>
            </w:r>
          </w:p>
        </w:tc>
        <w:tc>
          <w:tcPr>
            <w:tcW w:w="70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80" w:hRule="atLeast"/>
        </w:trPr>
        <w:tc>
          <w:tcPr>
            <w:tcW w:w="84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证书</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投标人具有有效的信息技术服务管理体系认证证书、信息安全管理体系认证证书，每个得1分，最多得2分。</w:t>
            </w:r>
          </w:p>
          <w:p>
            <w:pPr>
              <w:widowControl/>
              <w:rPr>
                <w:rFonts w:ascii="宋体" w:hAnsi="宋体" w:cs="宋体"/>
                <w:kern w:val="0"/>
                <w:szCs w:val="21"/>
              </w:rPr>
            </w:pPr>
            <w:r>
              <w:rPr>
                <w:rFonts w:hint="eastAsia" w:ascii="宋体" w:hAnsi="宋体" w:cs="宋体"/>
                <w:b/>
                <w:bCs/>
                <w:kern w:val="0"/>
                <w:szCs w:val="21"/>
              </w:rPr>
              <w:t>（提供证书复印件加盖公章）</w:t>
            </w:r>
          </w:p>
        </w:tc>
        <w:tc>
          <w:tcPr>
            <w:tcW w:w="70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65" w:hRule="atLeast"/>
        </w:trPr>
        <w:tc>
          <w:tcPr>
            <w:tcW w:w="84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99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项目管理团队及实施人员</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2分</w:t>
            </w:r>
          </w:p>
        </w:tc>
        <w:tc>
          <w:tcPr>
            <w:tcW w:w="5953" w:type="dxa"/>
            <w:tcBorders>
              <w:top w:val="nil"/>
              <w:left w:val="nil"/>
              <w:bottom w:val="single" w:color="auto" w:sz="8" w:space="0"/>
              <w:right w:val="single" w:color="auto" w:sz="8" w:space="0"/>
            </w:tcBorders>
            <w:shd w:val="clear" w:color="auto" w:fill="auto"/>
            <w:vAlign w:val="center"/>
          </w:tcPr>
          <w:p>
            <w:pPr>
              <w:spacing w:beforeLines="20" w:afterLines="20"/>
              <w:rPr>
                <w:bCs/>
                <w:spacing w:val="10"/>
                <w:kern w:val="0"/>
                <w:szCs w:val="20"/>
              </w:rPr>
            </w:pPr>
            <w:r>
              <w:rPr>
                <w:bCs/>
                <w:spacing w:val="10"/>
                <w:kern w:val="0"/>
                <w:szCs w:val="20"/>
              </w:rPr>
              <w:t>项目负责人具有测绘或计算机领域正高职称的</w:t>
            </w:r>
            <w:r>
              <w:rPr>
                <w:rFonts w:hint="eastAsia"/>
                <w:bCs/>
                <w:spacing w:val="10"/>
                <w:kern w:val="0"/>
                <w:szCs w:val="20"/>
              </w:rPr>
              <w:t>，</w:t>
            </w:r>
            <w:r>
              <w:rPr>
                <w:bCs/>
                <w:spacing w:val="10"/>
                <w:kern w:val="0"/>
                <w:szCs w:val="20"/>
              </w:rPr>
              <w:t>得2分</w:t>
            </w:r>
            <w:r>
              <w:rPr>
                <w:rFonts w:hint="eastAsia"/>
                <w:bCs/>
                <w:spacing w:val="10"/>
                <w:kern w:val="0"/>
                <w:szCs w:val="20"/>
              </w:rPr>
              <w:t>；</w:t>
            </w:r>
            <w:r>
              <w:rPr>
                <w:bCs/>
                <w:spacing w:val="10"/>
                <w:kern w:val="0"/>
                <w:szCs w:val="20"/>
              </w:rPr>
              <w:t>具有测绘或计算机领域副高职称的，得1分</w:t>
            </w:r>
            <w:r>
              <w:rPr>
                <w:rFonts w:hint="eastAsia"/>
                <w:bCs/>
                <w:spacing w:val="10"/>
                <w:kern w:val="0"/>
                <w:szCs w:val="20"/>
              </w:rPr>
              <w:t>。</w:t>
            </w:r>
          </w:p>
          <w:p>
            <w:pPr>
              <w:widowControl/>
              <w:rPr>
                <w:rFonts w:ascii="宋体" w:hAnsi="宋体" w:cs="宋体"/>
                <w:kern w:val="0"/>
                <w:szCs w:val="21"/>
              </w:rPr>
            </w:pPr>
            <w:r>
              <w:rPr>
                <w:rFonts w:hint="eastAsia" w:ascii="宋体" w:hAnsi="宋体" w:cs="宋体"/>
                <w:b/>
                <w:bCs/>
                <w:kern w:val="0"/>
                <w:szCs w:val="21"/>
              </w:rPr>
              <w:t>（提供相关证书、证明文件和社保证明，复印件加盖公章）</w:t>
            </w:r>
          </w:p>
        </w:tc>
        <w:tc>
          <w:tcPr>
            <w:tcW w:w="70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993"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组成员具有信息系统项目管理师、信息系统集成项目工程师认证、网络工程师认证、注册信息安全认证、云计算认证、系统分析师认证、数据库认证，高级程序员、软件工程师、PMP、强弱电工程师等相关领域认证证书，每个得1分，同一人不累积计分，最多得6分；没有职称的不得分；</w:t>
            </w:r>
            <w:r>
              <w:rPr>
                <w:rFonts w:hint="eastAsia" w:ascii="宋体" w:hAnsi="宋体" w:cs="宋体"/>
                <w:b/>
                <w:bCs/>
                <w:kern w:val="0"/>
                <w:szCs w:val="21"/>
              </w:rPr>
              <w:t>（提供相关证书、证明文件和社保证明，复印件加盖公章）</w:t>
            </w:r>
          </w:p>
        </w:tc>
        <w:tc>
          <w:tcPr>
            <w:tcW w:w="70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545" w:hRule="atLeast"/>
        </w:trPr>
        <w:tc>
          <w:tcPr>
            <w:tcW w:w="8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技术部分（70）</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需求分析</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投标人对项目需求分析是否明确、合理，全面了解本项目具体情况、熟悉本项目的业务情况，对建设思路、原则、特点、技术要求等有充分的认识：</w:t>
            </w:r>
          </w:p>
          <w:p>
            <w:pPr>
              <w:widowControl/>
              <w:rPr>
                <w:rFonts w:ascii="宋体" w:hAnsi="宋体" w:cs="宋体"/>
                <w:kern w:val="0"/>
                <w:szCs w:val="21"/>
              </w:rPr>
            </w:pPr>
            <w:r>
              <w:rPr>
                <w:rFonts w:hint="eastAsia" w:ascii="宋体" w:hAnsi="宋体" w:cs="宋体"/>
                <w:kern w:val="0"/>
                <w:szCs w:val="21"/>
              </w:rPr>
              <w:t>项目需求清晰、业务熟悉、描述详细、贴合实际得6-8分；需求较清晰、业务较熟悉的3-5分；需求了解一般、业务熟悉度一般的1-2分；未描述的不得分。</w:t>
            </w:r>
          </w:p>
        </w:tc>
        <w:tc>
          <w:tcPr>
            <w:tcW w:w="70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800"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总体设计</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投标人系统设计思路，总体架构能体现出本项目的整体把控，针对应用构成、数据关系、技术策略、采用的关键技术描述，满足本项目当前和未来发展要求：</w:t>
            </w:r>
          </w:p>
          <w:p>
            <w:pPr>
              <w:widowControl/>
              <w:rPr>
                <w:rFonts w:ascii="宋体" w:hAnsi="宋体" w:cs="宋体"/>
                <w:kern w:val="0"/>
                <w:szCs w:val="21"/>
              </w:rPr>
            </w:pPr>
            <w:r>
              <w:rPr>
                <w:rFonts w:hint="eastAsia" w:ascii="宋体" w:hAnsi="宋体" w:cs="宋体"/>
                <w:kern w:val="0"/>
                <w:szCs w:val="21"/>
              </w:rPr>
              <w:t>项目总体规划设计思路清晰、架构整体把控到位的8-10分；项目总体规划设计思路较完整、架构整体把控较得当、方案基本满足使用需求、内容基本详实的4-7分；内容一般、操作性不强的得1-3分；其他情况或没有内容不得分。</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硬件技术指标</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根据投标人对监控主要设备和智能服务器进行打分：技术所投产品完全符合招标文件技术规范要求且完全满足（或优于）产品技术性能要求的得8分，一项不满足扣1分，扣完为止。</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功能模块</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投标人对各功能模块方案的全面性、针对性、可行性进行描述：功能模块没有缺失、方案全面、针对性和可行性强的得5-6分；功能模块较全面针对性较强的3-4分；一般的1-2分；没有描述的不得分。</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585"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系统讲解及演示</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投标人提供本项目业务相关的功能演示，展示功能要求：</w:t>
            </w:r>
            <w:r>
              <w:rPr>
                <w:rFonts w:hint="eastAsia" w:ascii="宋体" w:hAnsi="宋体" w:cs="宋体"/>
                <w:kern w:val="0"/>
                <w:szCs w:val="21"/>
              </w:rPr>
              <w:br w:type="textWrapping"/>
            </w:r>
            <w:r>
              <w:rPr>
                <w:rFonts w:hint="eastAsia" w:ascii="宋体" w:hAnsi="宋体" w:cs="宋体"/>
                <w:kern w:val="0"/>
                <w:szCs w:val="21"/>
              </w:rPr>
              <w:t>（一）“一库”模块：1、演示数据归集成果，包括已归集数据类和数据项得0</w:t>
            </w:r>
            <w:r>
              <w:rPr>
                <w:rFonts w:ascii="宋体" w:hAnsi="宋体" w:cs="宋体"/>
                <w:kern w:val="0"/>
                <w:szCs w:val="21"/>
              </w:rPr>
              <w:t>.5</w:t>
            </w:r>
            <w:r>
              <w:rPr>
                <w:rFonts w:hint="eastAsia" w:ascii="宋体" w:hAnsi="宋体" w:cs="宋体"/>
                <w:kern w:val="0"/>
                <w:szCs w:val="21"/>
              </w:rPr>
              <w:t>分；2、演示数据归集成果，按主题分类指标数量得0</w:t>
            </w:r>
            <w:r>
              <w:rPr>
                <w:rFonts w:ascii="宋体" w:hAnsi="宋体" w:cs="宋体"/>
                <w:kern w:val="0"/>
                <w:szCs w:val="21"/>
              </w:rPr>
              <w:t>.5</w:t>
            </w:r>
            <w:r>
              <w:rPr>
                <w:rFonts w:hint="eastAsia" w:ascii="宋体" w:hAnsi="宋体" w:cs="宋体"/>
                <w:kern w:val="0"/>
                <w:szCs w:val="21"/>
              </w:rPr>
              <w:t>分；</w:t>
            </w:r>
            <w:r>
              <w:rPr>
                <w:rFonts w:ascii="宋体" w:hAnsi="宋体" w:cs="宋体"/>
                <w:kern w:val="0"/>
                <w:szCs w:val="21"/>
              </w:rPr>
              <w:t>3.</w:t>
            </w:r>
            <w:r>
              <w:rPr>
                <w:rFonts w:hint="eastAsia" w:ascii="宋体" w:hAnsi="宋体" w:cs="宋体"/>
                <w:kern w:val="0"/>
                <w:szCs w:val="21"/>
              </w:rPr>
              <w:t>演示数据指标收藏、取消收藏功能得0</w:t>
            </w:r>
            <w:r>
              <w:rPr>
                <w:rFonts w:ascii="宋体" w:hAnsi="宋体" w:cs="宋体"/>
                <w:kern w:val="0"/>
                <w:szCs w:val="21"/>
              </w:rPr>
              <w:t>.5</w:t>
            </w:r>
            <w:r>
              <w:rPr>
                <w:rFonts w:hint="eastAsia" w:ascii="宋体" w:hAnsi="宋体" w:cs="宋体"/>
                <w:kern w:val="0"/>
                <w:szCs w:val="21"/>
              </w:rPr>
              <w:t>分；4</w:t>
            </w:r>
            <w:r>
              <w:rPr>
                <w:rFonts w:ascii="宋体" w:hAnsi="宋体" w:cs="宋体"/>
                <w:kern w:val="0"/>
                <w:szCs w:val="21"/>
              </w:rPr>
              <w:t>.</w:t>
            </w:r>
            <w:r>
              <w:rPr>
                <w:rFonts w:hint="eastAsia" w:ascii="宋体" w:hAnsi="宋体" w:cs="宋体"/>
                <w:kern w:val="0"/>
                <w:szCs w:val="21"/>
              </w:rPr>
              <w:t>演示管理后台部门维护得0</w:t>
            </w:r>
            <w:r>
              <w:rPr>
                <w:rFonts w:ascii="宋体" w:hAnsi="宋体" w:cs="宋体"/>
                <w:kern w:val="0"/>
                <w:szCs w:val="21"/>
              </w:rPr>
              <w:t>.5</w:t>
            </w:r>
            <w:r>
              <w:rPr>
                <w:rFonts w:hint="eastAsia" w:ascii="宋体" w:hAnsi="宋体" w:cs="宋体"/>
                <w:kern w:val="0"/>
                <w:szCs w:val="21"/>
              </w:rPr>
              <w:t>分。</w:t>
            </w:r>
            <w:r>
              <w:rPr>
                <w:rFonts w:hint="eastAsia" w:ascii="宋体" w:hAnsi="宋体" w:cs="宋体"/>
                <w:kern w:val="0"/>
                <w:szCs w:val="21"/>
              </w:rPr>
              <w:br w:type="textWrapping"/>
            </w:r>
            <w:r>
              <w:rPr>
                <w:rFonts w:hint="eastAsia" w:ascii="宋体" w:hAnsi="宋体" w:cs="宋体"/>
                <w:kern w:val="0"/>
                <w:szCs w:val="21"/>
              </w:rPr>
              <w:t>（二）“一图”模块：</w:t>
            </w:r>
            <w:r>
              <w:rPr>
                <w:rFonts w:ascii="宋体" w:hAnsi="宋体" w:cs="宋体"/>
                <w:kern w:val="0"/>
                <w:szCs w:val="21"/>
              </w:rPr>
              <w:t>5</w:t>
            </w:r>
            <w:r>
              <w:rPr>
                <w:rFonts w:hint="eastAsia" w:ascii="宋体" w:hAnsi="宋体" w:cs="宋体"/>
                <w:kern w:val="0"/>
                <w:szCs w:val="21"/>
              </w:rPr>
              <w:t>、演示按空间、按部门、按主题分类展示图层目录得</w:t>
            </w:r>
            <w:r>
              <w:rPr>
                <w:rFonts w:ascii="宋体" w:hAnsi="宋体" w:cs="宋体"/>
                <w:kern w:val="0"/>
                <w:szCs w:val="21"/>
              </w:rPr>
              <w:t>2</w:t>
            </w:r>
            <w:r>
              <w:rPr>
                <w:rFonts w:hint="eastAsia" w:ascii="宋体" w:hAnsi="宋体" w:cs="宋体"/>
                <w:kern w:val="0"/>
                <w:szCs w:val="21"/>
              </w:rPr>
              <w:t>分；6、演示POI兴趣点搜索功能得</w:t>
            </w:r>
            <w:r>
              <w:rPr>
                <w:rFonts w:ascii="宋体" w:hAnsi="宋体" w:cs="宋体"/>
                <w:kern w:val="0"/>
                <w:szCs w:val="21"/>
              </w:rPr>
              <w:t>1</w:t>
            </w:r>
            <w:r>
              <w:rPr>
                <w:rFonts w:hint="eastAsia" w:ascii="宋体" w:hAnsi="宋体" w:cs="宋体"/>
                <w:kern w:val="0"/>
                <w:szCs w:val="21"/>
              </w:rPr>
              <w:t>分；7</w:t>
            </w:r>
            <w:r>
              <w:rPr>
                <w:rFonts w:ascii="宋体" w:hAnsi="宋体" w:cs="宋体"/>
                <w:kern w:val="0"/>
                <w:szCs w:val="21"/>
              </w:rPr>
              <w:t>.</w:t>
            </w:r>
            <w:r>
              <w:rPr>
                <w:rFonts w:hint="eastAsia" w:ascii="宋体" w:hAnsi="宋体" w:cs="宋体"/>
                <w:kern w:val="0"/>
                <w:szCs w:val="21"/>
              </w:rPr>
              <w:t>演示测量、缩放、移动、分屏等底图基础工具得1分。</w:t>
            </w:r>
            <w:r>
              <w:rPr>
                <w:rFonts w:hint="eastAsia" w:ascii="宋体" w:hAnsi="宋体" w:cs="宋体"/>
                <w:kern w:val="0"/>
                <w:szCs w:val="21"/>
              </w:rPr>
              <w:br w:type="textWrapping"/>
            </w:r>
            <w:r>
              <w:rPr>
                <w:rFonts w:hint="eastAsia" w:ascii="宋体" w:hAnsi="宋体" w:cs="宋体"/>
                <w:kern w:val="0"/>
                <w:szCs w:val="21"/>
              </w:rPr>
              <w:t>（三）场景模块：</w:t>
            </w:r>
            <w:r>
              <w:rPr>
                <w:rFonts w:hint="eastAsia" w:ascii="宋体" w:hAnsi="宋体" w:cs="宋体"/>
                <w:kern w:val="0"/>
                <w:szCs w:val="21"/>
                <w:lang w:val="en-US" w:eastAsia="zh-CN"/>
              </w:rPr>
              <w:t>8</w:t>
            </w:r>
            <w:r>
              <w:rPr>
                <w:rFonts w:hint="eastAsia" w:ascii="宋体" w:hAnsi="宋体" w:cs="宋体"/>
                <w:kern w:val="0"/>
                <w:szCs w:val="21"/>
              </w:rPr>
              <w:t>、演示自然资源资产负债表的生成、修改、管理和输出等功能：可以通过系统界面录入、修改和查询各年度土地资源、耕地、森林、水资源的资产负债表的3分；</w:t>
            </w:r>
            <w:r>
              <w:rPr>
                <w:rFonts w:hint="eastAsia" w:ascii="宋体" w:hAnsi="宋体" w:cs="宋体"/>
                <w:kern w:val="0"/>
                <w:szCs w:val="21"/>
                <w:lang w:val="en-US" w:eastAsia="zh-CN"/>
              </w:rPr>
              <w:t>9</w:t>
            </w:r>
            <w:r>
              <w:rPr>
                <w:rFonts w:hint="eastAsia" w:ascii="宋体" w:hAnsi="宋体" w:cs="宋体"/>
                <w:kern w:val="0"/>
                <w:szCs w:val="21"/>
              </w:rPr>
              <w:t>、演示手机端监管应用：对土地、矿管、森林、海洋账目数据的可视化展示，对农转用、土地供应、土地整治、林班等数据的移动端地图展示，在地图上展示摄像头分布，并可点击摄像头查看实时监控视频的3分；</w:t>
            </w:r>
            <w:r>
              <w:rPr>
                <w:rFonts w:hint="eastAsia" w:ascii="宋体" w:hAnsi="宋体" w:cs="宋体"/>
                <w:kern w:val="0"/>
                <w:szCs w:val="21"/>
                <w:lang w:val="en-US" w:eastAsia="zh-CN"/>
              </w:rPr>
              <w:t>10</w:t>
            </w:r>
            <w:r>
              <w:rPr>
                <w:rFonts w:hint="eastAsia" w:ascii="宋体" w:hAnsi="宋体" w:cs="宋体"/>
                <w:kern w:val="0"/>
                <w:szCs w:val="21"/>
              </w:rPr>
              <w:t>、演示自然资源要素账目数据新增覆盖：新增海洋管理相关要素（1、海洋管理相关要素（包含海域使用权、海岛、岸线、海域等）账目信息的管理，2、林业管理相关要素（包含公益林、森林覆盖率、林地面积、乔木林地等）账目信息的管理。），对自然资源要素的二级、三级账目的支持（</w:t>
            </w:r>
            <w:r>
              <w:rPr>
                <w:rFonts w:hint="eastAsia"/>
              </w:rPr>
              <w:t>包含对土地利用二级分类，土地整治项目中垦造耕地、建设用地复垦、旱改水项目，土地征收，土地储备等账目信息的管理）</w:t>
            </w:r>
            <w:r>
              <w:rPr>
                <w:rFonts w:hint="eastAsia" w:ascii="宋体" w:hAnsi="宋体" w:cs="宋体"/>
                <w:kern w:val="0"/>
                <w:szCs w:val="21"/>
              </w:rPr>
              <w:t>，得3分。</w:t>
            </w:r>
          </w:p>
          <w:p>
            <w:pPr>
              <w:widowControl/>
              <w:rPr>
                <w:rFonts w:ascii="宋体" w:hAnsi="宋体" w:cs="宋体"/>
                <w:b/>
                <w:bCs/>
                <w:kern w:val="0"/>
                <w:szCs w:val="21"/>
              </w:rPr>
            </w:pPr>
            <w:r>
              <w:rPr>
                <w:rFonts w:hint="eastAsia" w:ascii="宋体" w:hAnsi="宋体" w:cs="宋体"/>
                <w:b/>
                <w:bCs/>
                <w:kern w:val="0"/>
                <w:szCs w:val="21"/>
              </w:rPr>
              <w:t>对上述功能演示完全具备的得15分，每一项不满足或未演示的不得分。</w:t>
            </w:r>
          </w:p>
          <w:p>
            <w:pPr>
              <w:widowControl/>
              <w:rPr>
                <w:rFonts w:ascii="宋体" w:hAnsi="宋体" w:cs="宋体"/>
                <w:kern w:val="0"/>
                <w:szCs w:val="21"/>
              </w:rPr>
            </w:pPr>
            <w:r>
              <w:rPr>
                <w:rFonts w:hint="eastAsia" w:ascii="宋体" w:hAnsi="宋体" w:cs="宋体"/>
                <w:b/>
                <w:bCs/>
                <w:kern w:val="0"/>
                <w:szCs w:val="21"/>
              </w:rPr>
              <w:t>要求提供演示和讲解（需提供现场演示、录屏视频演示或其他在线方式演示，用PPT、WORD文档方案演示的不得分。）时间为15分钟。</w:t>
            </w:r>
          </w:p>
        </w:tc>
        <w:tc>
          <w:tcPr>
            <w:tcW w:w="70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545"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项目实施管理</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项目组织实施方案的合理性、规范性、可操作性等，有详尽合理的实施计划安排、测试与验收计划、质量保证计划和标准，实施方案考虑周全、重点突出得5-6分；</w:t>
            </w:r>
            <w:r>
              <w:rPr>
                <w:rFonts w:hint="eastAsia" w:ascii="宋体" w:hAnsi="宋体" w:cs="宋体"/>
                <w:kern w:val="0"/>
                <w:szCs w:val="21"/>
              </w:rPr>
              <w:br w:type="textWrapping"/>
            </w:r>
            <w:r>
              <w:rPr>
                <w:rFonts w:hint="eastAsia" w:ascii="宋体" w:hAnsi="宋体" w:cs="宋体"/>
                <w:kern w:val="0"/>
                <w:szCs w:val="21"/>
              </w:rPr>
              <w:t>有较合理的实施计划安排、测试与验收计划、质量保证计划和标准，实施方案考虑较周全、重点较突出得3-4分；</w:t>
            </w:r>
            <w:r>
              <w:rPr>
                <w:rFonts w:hint="eastAsia" w:ascii="宋体" w:hAnsi="宋体" w:cs="宋体"/>
                <w:kern w:val="0"/>
                <w:szCs w:val="21"/>
              </w:rPr>
              <w:br w:type="textWrapping"/>
            </w:r>
            <w:r>
              <w:rPr>
                <w:rFonts w:hint="eastAsia" w:ascii="宋体" w:hAnsi="宋体" w:cs="宋体"/>
                <w:kern w:val="0"/>
                <w:szCs w:val="21"/>
              </w:rPr>
              <w:t>实施方案考虑一般、重点体现一般得1-2分，无则不得分。</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80"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质保及售后服务响应</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质保期满足招标文件不得分：在招标文件基础上每增加</w:t>
            </w:r>
            <w:r>
              <w:rPr>
                <w:rFonts w:ascii="宋体" w:hAnsi="宋体" w:cs="宋体"/>
                <w:kern w:val="0"/>
                <w:szCs w:val="21"/>
              </w:rPr>
              <w:t>1</w:t>
            </w:r>
            <w:r>
              <w:rPr>
                <w:rFonts w:hint="eastAsia" w:ascii="宋体" w:hAnsi="宋体" w:cs="宋体"/>
                <w:kern w:val="0"/>
                <w:szCs w:val="21"/>
              </w:rPr>
              <w:t>年得2分，最高4分</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rPr>
          <w:trHeight w:val="1290"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根据投标人售后服务保障体系（包括免费服务范围、主要服务内容、解决问题、排除问题的速度）；建设质量目标及质量保证措施的明确性及可行性：</w:t>
            </w:r>
          </w:p>
          <w:p>
            <w:pPr>
              <w:widowControl/>
              <w:rPr>
                <w:rFonts w:ascii="宋体" w:hAnsi="宋体" w:cs="宋体"/>
                <w:kern w:val="0"/>
                <w:szCs w:val="21"/>
              </w:rPr>
            </w:pPr>
            <w:r>
              <w:rPr>
                <w:rFonts w:hint="eastAsia" w:ascii="宋体" w:hAnsi="宋体" w:cs="宋体"/>
                <w:kern w:val="0"/>
                <w:szCs w:val="21"/>
              </w:rPr>
              <w:t>方案全面完整：5分，方案较完整3－4分，一般1－2分，没有不得分。</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培训</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培训：培训方案内容合理、详细，培训时长，具有项目针对性等：</w:t>
            </w:r>
          </w:p>
          <w:p>
            <w:pPr>
              <w:widowControl/>
              <w:rPr>
                <w:rFonts w:ascii="宋体" w:hAnsi="宋体" w:cs="宋体"/>
                <w:kern w:val="0"/>
                <w:szCs w:val="21"/>
              </w:rPr>
            </w:pPr>
            <w:r>
              <w:rPr>
                <w:rFonts w:hint="eastAsia" w:ascii="宋体" w:hAnsi="宋体" w:cs="宋体"/>
                <w:kern w:val="0"/>
                <w:szCs w:val="21"/>
              </w:rPr>
              <w:t>方案合理详细：3分，较合理：2分，一般1分，没有不得分。</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Cs w:val="21"/>
              </w:rPr>
            </w:pP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合理化建议</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5分</w:t>
            </w:r>
          </w:p>
        </w:tc>
        <w:tc>
          <w:tcPr>
            <w:tcW w:w="5953"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Cs w:val="21"/>
              </w:rPr>
            </w:pPr>
            <w:bookmarkStart w:id="1" w:name="_GoBack"/>
            <w:r>
              <w:rPr>
                <w:rFonts w:hint="eastAsia" w:ascii="宋体" w:hAnsi="宋体" w:cs="宋体"/>
                <w:kern w:val="0"/>
                <w:szCs w:val="21"/>
              </w:rPr>
              <w:t>结合自身技术优势，充分考虑用户的需求发展，提出创新、创优等合理化建议：</w:t>
            </w:r>
          </w:p>
          <w:p>
            <w:pPr>
              <w:widowControl/>
              <w:rPr>
                <w:rFonts w:ascii="宋体" w:hAnsi="宋体" w:cs="宋体"/>
                <w:kern w:val="0"/>
                <w:szCs w:val="21"/>
              </w:rPr>
            </w:pPr>
            <w:r>
              <w:rPr>
                <w:rFonts w:hint="eastAsia" w:ascii="宋体" w:hAnsi="宋体" w:cs="宋体"/>
                <w:kern w:val="0"/>
                <w:szCs w:val="21"/>
              </w:rPr>
              <w:t>合理化建议有前瞻性，符合创新要求的5分；合理化建议较好，也能为后期运营提供建议的3分；一般的1分，未提供不得分</w:t>
            </w:r>
            <w:bookmarkEnd w:id="1"/>
            <w:r>
              <w:rPr>
                <w:rFonts w:hint="eastAsia" w:ascii="宋体" w:hAnsi="宋体" w:cs="宋体"/>
                <w:kern w:val="0"/>
                <w:szCs w:val="21"/>
              </w:rPr>
              <w:t>。</w:t>
            </w: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35" w:hRule="atLeast"/>
        </w:trPr>
        <w:tc>
          <w:tcPr>
            <w:tcW w:w="183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投标报价（10分）</w:t>
            </w:r>
          </w:p>
        </w:tc>
        <w:tc>
          <w:tcPr>
            <w:tcW w:w="84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10分</w:t>
            </w:r>
          </w:p>
        </w:tc>
        <w:tc>
          <w:tcPr>
            <w:tcW w:w="59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满足投标文件要求且投标价格最低的投标报价为评标基准价，其价格分为满分，其他投标人的价格分按下列公式计算：</w:t>
            </w:r>
            <w:r>
              <w:rPr>
                <w:rFonts w:hint="eastAsia" w:ascii="宋体" w:hAnsi="宋体" w:cs="宋体"/>
                <w:kern w:val="0"/>
                <w:szCs w:val="21"/>
              </w:rPr>
              <w:br w:type="textWrapping"/>
            </w:r>
            <w:r>
              <w:rPr>
                <w:rFonts w:hint="eastAsia" w:ascii="宋体" w:hAnsi="宋体" w:cs="宋体"/>
                <w:kern w:val="0"/>
                <w:szCs w:val="21"/>
              </w:rPr>
              <w:t>价格得分＝（评标基准价/投标报价）×价格权重×100。</w:t>
            </w:r>
          </w:p>
        </w:tc>
        <w:tc>
          <w:tcPr>
            <w:tcW w:w="70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bl>
    <w:p>
      <w:pPr>
        <w:snapToGrid w:val="0"/>
        <w:spacing w:line="440" w:lineRule="exact"/>
        <w:textAlignment w:val="baseline"/>
        <w:rPr>
          <w:rFonts w:ascii="黑体" w:hAnsi="宋体" w:eastAsia="黑体"/>
          <w:sz w:val="30"/>
        </w:rPr>
      </w:pPr>
    </w:p>
    <w:p>
      <w:pPr>
        <w:jc w:val="left"/>
        <w:rPr>
          <w:rFonts w:ascii="黑体" w:hAnsi="宋体" w:eastAsia="黑体"/>
          <w:sz w:val="30"/>
        </w:rPr>
      </w:pPr>
      <w:r>
        <w:rPr>
          <w:rFonts w:ascii="黑体" w:hAnsi="宋体" w:eastAsia="黑体"/>
          <w:sz w:val="30"/>
        </w:rPr>
        <w:br w:type="page"/>
      </w:r>
    </w:p>
    <w:p>
      <w:pPr>
        <w:snapToGrid w:val="0"/>
        <w:spacing w:line="312" w:lineRule="auto"/>
        <w:jc w:val="center"/>
        <w:textAlignment w:val="baseline"/>
        <w:rPr>
          <w:rFonts w:ascii="黑体" w:hAnsi="宋体" w:eastAsia="黑体"/>
          <w:sz w:val="30"/>
        </w:rPr>
      </w:pPr>
      <w:r>
        <w:rPr>
          <w:rFonts w:hint="eastAsia" w:ascii="黑体" w:hAnsi="宋体" w:eastAsia="黑体"/>
          <w:sz w:val="30"/>
        </w:rPr>
        <w:t>第五章  合同主要条款</w:t>
      </w:r>
    </w:p>
    <w:p>
      <w:pPr>
        <w:jc w:val="center"/>
        <w:rPr>
          <w:rFonts w:ascii="宋体"/>
          <w:szCs w:val="21"/>
        </w:rPr>
      </w:pPr>
      <w:r>
        <w:rPr>
          <w:rFonts w:hint="eastAsia" w:ascii="宋体" w:hAnsi="宋体" w:cs="Arial"/>
          <w:b/>
          <w:sz w:val="28"/>
          <w:szCs w:val="28"/>
        </w:rPr>
        <w:t>联合体协议书</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(甲</w:t>
      </w:r>
      <w:r>
        <w:rPr>
          <w:rFonts w:hint="eastAsia" w:ascii="宋体" w:hAnsi="宋体" w:cs="Arial"/>
          <w:sz w:val="21"/>
          <w:szCs w:val="21"/>
        </w:rPr>
        <w:t>公司</w:t>
      </w:r>
      <w:r>
        <w:rPr>
          <w:rFonts w:ascii="宋体" w:hAnsi="宋体" w:cs="Arial"/>
          <w:sz w:val="21"/>
          <w:szCs w:val="21"/>
        </w:rPr>
        <w:t>名称)</w:t>
      </w:r>
      <w:r>
        <w:rPr>
          <w:rFonts w:hint="eastAsia" w:ascii="宋体" w:hAnsi="宋体" w:cs="Arial"/>
          <w:sz w:val="21"/>
          <w:szCs w:val="21"/>
        </w:rPr>
        <w:t>：</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(乙</w:t>
      </w:r>
      <w:r>
        <w:rPr>
          <w:rFonts w:hint="eastAsia" w:ascii="宋体" w:hAnsi="宋体" w:cs="Arial"/>
          <w:sz w:val="21"/>
          <w:szCs w:val="21"/>
        </w:rPr>
        <w:t>公司</w:t>
      </w:r>
      <w:r>
        <w:rPr>
          <w:rFonts w:ascii="宋体" w:hAnsi="宋体" w:cs="Arial"/>
          <w:sz w:val="21"/>
          <w:szCs w:val="21"/>
        </w:rPr>
        <w:t>名称)</w:t>
      </w:r>
      <w:r>
        <w:rPr>
          <w:rFonts w:hint="eastAsia" w:ascii="宋体" w:hAnsi="宋体" w:cs="Arial"/>
          <w:sz w:val="21"/>
          <w:szCs w:val="21"/>
        </w:rPr>
        <w:t>：</w:t>
      </w:r>
    </w:p>
    <w:p>
      <w:pPr>
        <w:pStyle w:val="32"/>
        <w:shd w:val="clear" w:color="auto" w:fill="FFFFFF"/>
        <w:spacing w:before="299" w:beforeAutospacing="0" w:after="0" w:afterAutospacing="0" w:line="332" w:lineRule="atLeast"/>
        <w:ind w:firstLine="525" w:firstLineChars="250"/>
        <w:rPr>
          <w:rFonts w:ascii="宋体" w:hAnsi="宋体" w:cs="Arial"/>
          <w:sz w:val="21"/>
          <w:szCs w:val="21"/>
        </w:rPr>
      </w:pPr>
      <w:r>
        <w:rPr>
          <w:rFonts w:hint="eastAsia" w:ascii="宋体" w:hAnsi="宋体" w:cs="Arial"/>
          <w:sz w:val="21"/>
          <w:szCs w:val="21"/>
        </w:rPr>
        <w:t>甲乙双方自愿组成</w:t>
      </w:r>
      <w:r>
        <w:rPr>
          <w:rFonts w:ascii="宋体" w:hAnsi="宋体" w:cs="Arial"/>
          <w:sz w:val="21"/>
          <w:szCs w:val="21"/>
        </w:rPr>
        <w:t>联合体，参加</w:t>
      </w:r>
      <w:r>
        <w:rPr>
          <w:rFonts w:hint="eastAsia" w:ascii="宋体" w:hAnsi="宋体" w:cs="Arial"/>
          <w:sz w:val="21"/>
          <w:szCs w:val="21"/>
        </w:rPr>
        <w:t xml:space="preserve">       项目</w:t>
      </w:r>
      <w:r>
        <w:rPr>
          <w:rFonts w:ascii="宋体" w:hAnsi="宋体" w:cs="Arial"/>
          <w:sz w:val="21"/>
          <w:szCs w:val="21"/>
        </w:rPr>
        <w:t>投标。现就有关事宜订立协议如下：</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1.为联合体主办人，</w:t>
      </w:r>
    </w:p>
    <w:p>
      <w:pPr>
        <w:pStyle w:val="32"/>
        <w:shd w:val="clear" w:color="auto" w:fill="FFFFFF"/>
        <w:spacing w:before="299" w:beforeAutospacing="0" w:after="0" w:afterAutospacing="0" w:line="332" w:lineRule="atLeast"/>
        <w:ind w:firstLine="315" w:firstLineChars="150"/>
        <w:rPr>
          <w:rFonts w:ascii="宋体" w:hAnsi="宋体" w:cs="Arial"/>
          <w:sz w:val="21"/>
          <w:szCs w:val="21"/>
        </w:rPr>
      </w:pPr>
      <w:r>
        <w:rPr>
          <w:rFonts w:ascii="宋体" w:hAnsi="宋体" w:cs="Arial"/>
          <w:sz w:val="21"/>
          <w:szCs w:val="21"/>
        </w:rPr>
        <w:t>联合体成员;</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2.联合体内部有关事项规定如下：</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(1)联合体由主办人负责与业主联系;</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(2)投标工作由联合体主办人负责，由双方组成的投标小组具体实施;</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(3)联合体将严格按照招标文件的各项要求，递交投标文件，切实执行一切合同文件，共同承担合同规定的一切义务和责任，同时按照内部职责的划分，承担自身所负的责任和风险;</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(4)如中标，联合体将</w:t>
      </w:r>
      <w:r>
        <w:rPr>
          <w:rFonts w:hint="eastAsia" w:ascii="宋体" w:hAnsi="宋体" w:cs="Arial"/>
          <w:sz w:val="21"/>
          <w:szCs w:val="21"/>
        </w:rPr>
        <w:t>按</w:t>
      </w:r>
      <w:r>
        <w:rPr>
          <w:rFonts w:ascii="宋体" w:hAnsi="宋体" w:cs="Arial"/>
          <w:sz w:val="21"/>
          <w:szCs w:val="21"/>
        </w:rPr>
        <w:t>协议规定负责</w:t>
      </w:r>
      <w:r>
        <w:rPr>
          <w:rFonts w:hint="eastAsia" w:ascii="宋体" w:hAnsi="宋体" w:cs="Arial"/>
          <w:sz w:val="21"/>
          <w:szCs w:val="21"/>
        </w:rPr>
        <w:t>项目实施</w:t>
      </w:r>
      <w:r>
        <w:rPr>
          <w:rFonts w:ascii="宋体" w:hAnsi="宋体" w:cs="Arial"/>
          <w:sz w:val="21"/>
          <w:szCs w:val="21"/>
        </w:rPr>
        <w:t>;</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主办人(甲公司名称)承担</w:t>
      </w:r>
      <w:r>
        <w:rPr>
          <w:rFonts w:hint="eastAsia" w:ascii="宋体" w:hAnsi="宋体" w:cs="Arial"/>
          <w:sz w:val="21"/>
          <w:szCs w:val="21"/>
        </w:rPr>
        <w:t>的项目内容：</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联合体成员(乙公司名称)承担</w:t>
      </w:r>
      <w:r>
        <w:rPr>
          <w:rFonts w:hint="eastAsia" w:ascii="宋体" w:hAnsi="宋体" w:cs="Arial"/>
          <w:sz w:val="21"/>
          <w:szCs w:val="21"/>
        </w:rPr>
        <w:t>的项目内容</w:t>
      </w:r>
      <w:r>
        <w:rPr>
          <w:rFonts w:ascii="宋体" w:hAnsi="宋体" w:cs="Arial"/>
          <w:sz w:val="21"/>
          <w:szCs w:val="21"/>
        </w:rPr>
        <w:t>;</w:t>
      </w:r>
    </w:p>
    <w:p>
      <w:pPr>
        <w:pStyle w:val="32"/>
        <w:shd w:val="clear" w:color="auto" w:fill="FFFFFF"/>
        <w:spacing w:before="299" w:beforeAutospacing="0" w:after="0" w:afterAutospacing="0" w:line="332" w:lineRule="atLeast"/>
        <w:rPr>
          <w:rFonts w:ascii="宋体" w:hAnsi="宋体" w:cs="Arial"/>
          <w:sz w:val="21"/>
          <w:szCs w:val="21"/>
        </w:rPr>
      </w:pPr>
      <w:r>
        <w:rPr>
          <w:rFonts w:ascii="宋体" w:hAnsi="宋体" w:cs="Arial"/>
          <w:sz w:val="21"/>
          <w:szCs w:val="21"/>
        </w:rPr>
        <w:t>(5)投标工作和联合体在中标后工程实施过程中的有关费用</w:t>
      </w:r>
      <w:r>
        <w:rPr>
          <w:rFonts w:hint="eastAsia" w:ascii="宋体" w:hAnsi="宋体" w:cs="Arial"/>
          <w:sz w:val="21"/>
          <w:szCs w:val="21"/>
        </w:rPr>
        <w:t>：</w:t>
      </w:r>
    </w:p>
    <w:p>
      <w:pPr>
        <w:pStyle w:val="32"/>
        <w:shd w:val="clear" w:color="auto" w:fill="FFFFFF"/>
        <w:spacing w:before="299" w:beforeAutospacing="0" w:after="0" w:afterAutospacing="0" w:line="332" w:lineRule="atLeast"/>
        <w:rPr>
          <w:rFonts w:ascii="宋体" w:hAnsi="宋体" w:cs="Arial"/>
          <w:sz w:val="21"/>
          <w:szCs w:val="21"/>
        </w:rPr>
      </w:pPr>
    </w:p>
    <w:p>
      <w:pPr>
        <w:pStyle w:val="32"/>
        <w:shd w:val="clear" w:color="auto" w:fill="FFFFFF"/>
        <w:spacing w:before="299" w:beforeAutospacing="0" w:after="0" w:afterAutospacing="0" w:line="332" w:lineRule="atLeast"/>
        <w:rPr>
          <w:rFonts w:ascii="宋体" w:hAnsi="宋体" w:cs="Arial"/>
          <w:sz w:val="21"/>
          <w:szCs w:val="21"/>
        </w:rPr>
      </w:pPr>
      <w:r>
        <w:rPr>
          <w:rFonts w:hint="eastAsia" w:ascii="宋体" w:hAnsi="宋体" w:cs="Arial"/>
          <w:sz w:val="21"/>
          <w:szCs w:val="21"/>
        </w:rPr>
        <w:t>3</w:t>
      </w:r>
      <w:r>
        <w:rPr>
          <w:rFonts w:ascii="宋体" w:hAnsi="宋体" w:cs="Arial"/>
          <w:sz w:val="21"/>
          <w:szCs w:val="21"/>
        </w:rPr>
        <w:t>.本协议书一式三份，送交业主一份，联合体成员各一份;</w:t>
      </w:r>
    </w:p>
    <w:p>
      <w:pPr>
        <w:pStyle w:val="32"/>
        <w:shd w:val="clear" w:color="auto" w:fill="FFFFFF"/>
        <w:spacing w:before="299" w:beforeAutospacing="0" w:after="0" w:afterAutospacing="0"/>
        <w:rPr>
          <w:rFonts w:ascii="宋体" w:hAnsi="宋体" w:cs="Arial"/>
          <w:sz w:val="21"/>
          <w:szCs w:val="21"/>
        </w:rPr>
      </w:pPr>
      <w:r>
        <w:rPr>
          <w:rFonts w:ascii="宋体" w:hAnsi="宋体" w:cs="Arial"/>
          <w:sz w:val="21"/>
          <w:szCs w:val="21"/>
        </w:rPr>
        <w:t>甲公司名称：(全称)(盖章)乙公司名称：(全称)(盖章)</w:t>
      </w:r>
    </w:p>
    <w:p>
      <w:pPr>
        <w:pStyle w:val="32"/>
        <w:shd w:val="clear" w:color="auto" w:fill="FFFFFF"/>
        <w:spacing w:before="299" w:beforeAutospacing="0" w:after="0" w:afterAutospacing="0"/>
        <w:rPr>
          <w:rFonts w:ascii="宋体" w:hAnsi="宋体" w:cs="Arial"/>
          <w:sz w:val="21"/>
          <w:szCs w:val="21"/>
        </w:rPr>
      </w:pPr>
      <w:r>
        <w:rPr>
          <w:rFonts w:ascii="宋体" w:hAnsi="宋体" w:cs="Arial"/>
          <w:sz w:val="21"/>
          <w:szCs w:val="21"/>
        </w:rPr>
        <w:t>法定代表人：(职务)法定代表人：(职务)</w:t>
      </w:r>
    </w:p>
    <w:p>
      <w:pPr>
        <w:pStyle w:val="32"/>
        <w:shd w:val="clear" w:color="auto" w:fill="FFFFFF"/>
        <w:spacing w:before="299" w:beforeAutospacing="0" w:after="0" w:afterAutospacing="0"/>
        <w:rPr>
          <w:rFonts w:ascii="宋体" w:hAnsi="宋体" w:cs="Arial"/>
          <w:sz w:val="21"/>
          <w:szCs w:val="21"/>
        </w:rPr>
      </w:pPr>
      <w:r>
        <w:rPr>
          <w:rFonts w:ascii="宋体" w:hAnsi="宋体" w:cs="Arial"/>
          <w:sz w:val="21"/>
          <w:szCs w:val="21"/>
        </w:rPr>
        <w:t>(姓名)(姓名)</w:t>
      </w:r>
    </w:p>
    <w:p>
      <w:pPr>
        <w:pStyle w:val="32"/>
        <w:shd w:val="clear" w:color="auto" w:fill="FFFFFF"/>
        <w:spacing w:before="299" w:beforeAutospacing="0" w:after="0" w:afterAutospacing="0"/>
        <w:rPr>
          <w:rFonts w:ascii="宋体" w:hAnsi="宋体" w:cs="Arial"/>
          <w:sz w:val="21"/>
          <w:szCs w:val="21"/>
        </w:rPr>
      </w:pPr>
      <w:r>
        <w:rPr>
          <w:rFonts w:ascii="宋体" w:hAnsi="宋体" w:cs="Arial"/>
          <w:sz w:val="21"/>
          <w:szCs w:val="21"/>
        </w:rPr>
        <w:t>(签名)(签名)</w:t>
      </w:r>
    </w:p>
    <w:p>
      <w:pPr>
        <w:pStyle w:val="32"/>
        <w:shd w:val="clear" w:color="auto" w:fill="FFFFFF"/>
        <w:spacing w:before="299" w:beforeAutospacing="0" w:after="0" w:afterAutospacing="0"/>
        <w:ind w:firstLine="945" w:firstLineChars="450"/>
        <w:rPr>
          <w:rFonts w:ascii="宋体" w:hAnsi="宋体" w:cs="Arial"/>
          <w:sz w:val="21"/>
          <w:szCs w:val="21"/>
        </w:rPr>
      </w:pPr>
      <w:r>
        <w:rPr>
          <w:rFonts w:ascii="宋体" w:hAnsi="宋体" w:cs="Arial"/>
          <w:sz w:val="21"/>
          <w:szCs w:val="21"/>
        </w:rPr>
        <w:t>年月日年月日</w:t>
      </w:r>
    </w:p>
    <w:p>
      <w:pPr>
        <w:pStyle w:val="23"/>
        <w:spacing w:line="360" w:lineRule="auto"/>
        <w:ind w:firstLine="0" w:firstLineChars="0"/>
        <w:jc w:val="center"/>
        <w:rPr>
          <w:color w:val="auto"/>
          <w:szCs w:val="24"/>
        </w:rPr>
      </w:pPr>
    </w:p>
    <w:p>
      <w:pPr>
        <w:jc w:val="center"/>
        <w:rPr>
          <w:rFonts w:cs="宋体"/>
          <w:b/>
          <w:bCs/>
          <w:sz w:val="24"/>
          <w:szCs w:val="24"/>
        </w:rPr>
      </w:pPr>
      <w:r>
        <w:rPr>
          <w:rFonts w:hint="eastAsia" w:cs="宋体"/>
          <w:b/>
          <w:bCs/>
          <w:sz w:val="24"/>
          <w:szCs w:val="24"/>
        </w:rPr>
        <w:t>采购合同的一般和特殊条款</w:t>
      </w:r>
    </w:p>
    <w:p>
      <w:pPr>
        <w:pStyle w:val="23"/>
        <w:spacing w:line="360" w:lineRule="auto"/>
        <w:ind w:firstLine="0" w:firstLineChars="0"/>
        <w:jc w:val="center"/>
        <w:rPr>
          <w:color w:val="auto"/>
          <w:szCs w:val="24"/>
        </w:rPr>
      </w:pPr>
      <w:r>
        <w:rPr>
          <w:rFonts w:hint="eastAsia"/>
          <w:color w:val="auto"/>
          <w:szCs w:val="24"/>
        </w:rPr>
        <w:t>(本合同仅供参考）</w:t>
      </w:r>
    </w:p>
    <w:p>
      <w:pPr>
        <w:rPr>
          <w:rFonts w:ascii="黑体" w:hAnsi="宋体" w:eastAsia="黑体"/>
          <w:b/>
          <w:bCs/>
          <w:sz w:val="24"/>
          <w:szCs w:val="24"/>
        </w:rPr>
      </w:pPr>
    </w:p>
    <w:p>
      <w:pPr>
        <w:pStyle w:val="23"/>
        <w:spacing w:line="360" w:lineRule="auto"/>
        <w:ind w:firstLine="474"/>
        <w:rPr>
          <w:rFonts w:ascii="宋体"/>
          <w:color w:val="auto"/>
          <w:sz w:val="21"/>
        </w:rPr>
      </w:pPr>
      <w:r>
        <w:rPr>
          <w:rFonts w:hint="eastAsia" w:ascii="宋体"/>
          <w:color w:val="auto"/>
          <w:sz w:val="21"/>
        </w:rPr>
        <w:t>中标方按招标人指定的时间、地点与招标人签订合同。招标文件、中标方的投标文件及其澄清文件等，均为签订合同的依据。</w:t>
      </w:r>
    </w:p>
    <w:p>
      <w:pPr>
        <w:spacing w:line="360" w:lineRule="auto"/>
        <w:rPr>
          <w:rFonts w:ascii="宋体" w:hAnsi="宋体"/>
        </w:rPr>
      </w:pPr>
      <w:r>
        <w:rPr>
          <w:rFonts w:hint="eastAsia" w:ascii="宋体" w:hAnsi="宋体"/>
        </w:rPr>
        <w:t>此合同由</w:t>
      </w:r>
      <w:r>
        <w:rPr>
          <w:rFonts w:hint="eastAsia" w:ascii="宋体" w:hAnsi="宋体"/>
          <w:b/>
        </w:rPr>
        <w:t>舟山市自然资源与规划局（</w:t>
      </w:r>
      <w:r>
        <w:rPr>
          <w:rFonts w:hint="eastAsia" w:ascii="宋体" w:hAnsi="宋体"/>
        </w:rPr>
        <w:t>甲方）和中标方（乙方）签订。</w:t>
      </w:r>
    </w:p>
    <w:p>
      <w:pPr>
        <w:spacing w:line="360" w:lineRule="auto"/>
        <w:ind w:firstLine="420"/>
        <w:rPr>
          <w:rFonts w:ascii="宋体" w:hAnsi="宋体"/>
          <w:b/>
        </w:rPr>
      </w:pPr>
      <w:r>
        <w:rPr>
          <w:rFonts w:hint="eastAsia" w:ascii="宋体" w:hAnsi="宋体"/>
          <w:b/>
        </w:rPr>
        <w:t>舟山市省域空间治理数字化平台舟山节点建设采购项目合同（范本）</w:t>
      </w:r>
    </w:p>
    <w:p>
      <w:pPr>
        <w:spacing w:line="360" w:lineRule="auto"/>
        <w:ind w:firstLine="472" w:firstLineChars="225"/>
        <w:rPr>
          <w:u w:val="single"/>
        </w:rPr>
      </w:pPr>
      <w:r>
        <w:rPr>
          <w:rFonts w:hint="eastAsia"/>
        </w:rPr>
        <w:t>甲方：（全称）</w:t>
      </w:r>
    </w:p>
    <w:p>
      <w:pPr>
        <w:spacing w:line="360" w:lineRule="auto"/>
        <w:ind w:firstLine="472" w:firstLineChars="225"/>
        <w:rPr>
          <w:u w:val="single"/>
        </w:rPr>
      </w:pPr>
      <w:r>
        <w:rPr>
          <w:rFonts w:hint="eastAsia"/>
        </w:rPr>
        <w:t>乙方：（全称）</w:t>
      </w:r>
    </w:p>
    <w:p>
      <w:pPr>
        <w:spacing w:line="360" w:lineRule="auto"/>
        <w:ind w:firstLine="472" w:firstLineChars="225"/>
      </w:pPr>
      <w:r>
        <w:rPr>
          <w:rFonts w:hint="eastAsia"/>
        </w:rPr>
        <w:t>依照《中华人民共和国民法典》及其他有关法律、行政法规，遵循平等、自愿、公平和诚实信用的原则，双方就本项目事项协商一致，订立本合同。</w:t>
      </w:r>
    </w:p>
    <w:p>
      <w:pPr>
        <w:spacing w:line="360" w:lineRule="auto"/>
        <w:ind w:firstLine="474" w:firstLineChars="225"/>
        <w:rPr>
          <w:b/>
          <w:bCs/>
        </w:rPr>
      </w:pPr>
      <w:r>
        <w:rPr>
          <w:rFonts w:hint="eastAsia"/>
          <w:b/>
          <w:bCs/>
        </w:rPr>
        <w:t>1、项目概况</w:t>
      </w:r>
    </w:p>
    <w:p>
      <w:pPr>
        <w:spacing w:line="360" w:lineRule="auto"/>
        <w:ind w:firstLine="472" w:firstLineChars="225"/>
      </w:pPr>
      <w:r>
        <w:rPr>
          <w:rFonts w:hint="eastAsia"/>
        </w:rPr>
        <w:t>项目名称：</w:t>
      </w:r>
    </w:p>
    <w:p>
      <w:pPr>
        <w:spacing w:line="360" w:lineRule="auto"/>
        <w:ind w:firstLine="472" w:firstLineChars="225"/>
        <w:rPr>
          <w:u w:val="single"/>
        </w:rPr>
      </w:pPr>
      <w:r>
        <w:rPr>
          <w:rFonts w:hint="eastAsia"/>
        </w:rPr>
        <w:t>项目地点：</w:t>
      </w:r>
    </w:p>
    <w:p>
      <w:pPr>
        <w:spacing w:line="360" w:lineRule="auto"/>
        <w:ind w:firstLine="472" w:firstLineChars="225"/>
      </w:pPr>
      <w:r>
        <w:rPr>
          <w:rFonts w:hint="eastAsia"/>
        </w:rPr>
        <w:t>项目内容：</w:t>
      </w:r>
    </w:p>
    <w:p>
      <w:pPr>
        <w:spacing w:line="360" w:lineRule="auto"/>
        <w:ind w:firstLine="517" w:firstLineChars="245"/>
        <w:rPr>
          <w:b/>
          <w:bCs/>
        </w:rPr>
      </w:pPr>
      <w:r>
        <w:rPr>
          <w:rFonts w:hint="eastAsia"/>
          <w:b/>
          <w:bCs/>
        </w:rPr>
        <w:t>2、具体项目内容</w:t>
      </w:r>
    </w:p>
    <w:p>
      <w:pPr>
        <w:spacing w:line="360" w:lineRule="auto"/>
        <w:ind w:firstLine="472" w:firstLineChars="225"/>
        <w:rPr>
          <w:u w:val="single"/>
        </w:rPr>
      </w:pPr>
      <w:r>
        <w:rPr>
          <w:rFonts w:hint="eastAsia"/>
        </w:rPr>
        <w:t>主要内容：</w:t>
      </w:r>
    </w:p>
    <w:p>
      <w:pPr>
        <w:spacing w:line="360" w:lineRule="auto"/>
        <w:ind w:firstLine="480"/>
        <w:rPr>
          <w:rFonts w:ascii="宋体" w:hAnsi="宋体"/>
          <w:b/>
          <w:lang w:val="zh-TW"/>
        </w:rPr>
      </w:pPr>
      <w:r>
        <w:rPr>
          <w:rFonts w:hint="eastAsia"/>
          <w:b/>
          <w:bCs/>
        </w:rPr>
        <w:t>3、</w:t>
      </w:r>
      <w:r>
        <w:rPr>
          <w:rFonts w:hint="eastAsia" w:ascii="宋体" w:hAnsi="宋体"/>
          <w:b/>
          <w:lang w:val="zh-TW" w:eastAsia="zh-TW"/>
        </w:rPr>
        <w:t>费用及支付方式</w:t>
      </w:r>
    </w:p>
    <w:p>
      <w:pPr>
        <w:spacing w:line="360" w:lineRule="auto"/>
        <w:ind w:firstLine="480"/>
        <w:rPr>
          <w:rFonts w:ascii="宋体" w:hAnsi="宋体"/>
          <w:sz w:val="24"/>
          <w:lang w:val="zh-TW" w:eastAsia="zh-TW"/>
        </w:rPr>
      </w:pPr>
    </w:p>
    <w:p>
      <w:pPr>
        <w:spacing w:line="360" w:lineRule="auto"/>
        <w:ind w:firstLine="525" w:firstLineChars="249"/>
        <w:rPr>
          <w:rFonts w:ascii="宋体" w:hAnsi="宋体" w:cs="Songti SC Regular"/>
          <w:b/>
          <w:lang w:val="zh-TW" w:eastAsia="zh-TW"/>
        </w:rPr>
      </w:pPr>
      <w:r>
        <w:rPr>
          <w:rFonts w:hint="eastAsia" w:ascii="宋体" w:hAnsi="宋体"/>
          <w:b/>
          <w:lang w:val="zh-TW"/>
        </w:rPr>
        <w:t>4</w:t>
      </w:r>
      <w:r>
        <w:rPr>
          <w:rFonts w:hint="eastAsia" w:ascii="宋体" w:hAnsi="宋体"/>
          <w:b/>
          <w:lang w:val="zh-TW" w:eastAsia="zh-TW"/>
        </w:rPr>
        <w:t>、乙方项目组成员与合约履行期限：</w:t>
      </w:r>
    </w:p>
    <w:p>
      <w:pPr>
        <w:spacing w:before="120" w:after="120" w:line="360" w:lineRule="auto"/>
        <w:ind w:firstLine="525" w:firstLineChars="250"/>
        <w:rPr>
          <w:rFonts w:ascii="宋体" w:hAnsi="宋体"/>
          <w:lang w:val="zh-TW"/>
        </w:rPr>
      </w:pPr>
      <w:r>
        <w:rPr>
          <w:rFonts w:ascii="宋体" w:hAnsi="宋体"/>
        </w:rPr>
        <w:t>1</w:t>
      </w:r>
      <w:r>
        <w:rPr>
          <w:rFonts w:hint="eastAsia" w:ascii="宋体" w:hAnsi="宋体"/>
        </w:rPr>
        <w:t>）</w:t>
      </w:r>
      <w:r>
        <w:rPr>
          <w:rFonts w:hint="eastAsia" w:ascii="宋体" w:hAnsi="宋体"/>
          <w:lang w:val="zh-TW" w:eastAsia="zh-TW"/>
        </w:rPr>
        <w:t>乙方项目组成员构成</w:t>
      </w:r>
    </w:p>
    <w:p>
      <w:pPr>
        <w:spacing w:line="360" w:lineRule="auto"/>
        <w:ind w:firstLine="405" w:firstLineChars="225"/>
        <w:rPr>
          <w:sz w:val="18"/>
          <w:u w:val="single"/>
        </w:rPr>
      </w:pPr>
    </w:p>
    <w:p>
      <w:pPr>
        <w:spacing w:line="360" w:lineRule="auto"/>
        <w:ind w:firstLine="480"/>
        <w:rPr>
          <w:rFonts w:ascii="宋体" w:hAnsi="宋体" w:cs="Songti SC Regular"/>
        </w:rPr>
      </w:pPr>
      <w:r>
        <w:rPr>
          <w:rFonts w:hint="eastAsia" w:ascii="宋体" w:hAnsi="宋体"/>
          <w:lang w:val="zh-TW"/>
        </w:rPr>
        <w:t xml:space="preserve">2） </w:t>
      </w:r>
      <w:r>
        <w:rPr>
          <w:rFonts w:hint="eastAsia" w:ascii="宋体" w:hAnsi="宋体"/>
          <w:lang w:val="zh-TW" w:eastAsia="zh-TW"/>
        </w:rPr>
        <w:t>乙方本次项目服务周期为，不包括法定节假日。</w:t>
      </w:r>
    </w:p>
    <w:p>
      <w:pPr>
        <w:spacing w:line="360" w:lineRule="auto"/>
        <w:ind w:firstLine="480"/>
        <w:rPr>
          <w:rFonts w:ascii="宋体" w:hAnsi="宋体"/>
          <w:b/>
          <w:lang w:val="zh-TW"/>
        </w:rPr>
      </w:pPr>
      <w:r>
        <w:rPr>
          <w:rFonts w:hint="eastAsia" w:ascii="宋体" w:hAnsi="宋体"/>
          <w:b/>
          <w:lang w:val="zh-TW"/>
        </w:rPr>
        <w:t>5</w:t>
      </w:r>
      <w:r>
        <w:rPr>
          <w:rFonts w:hint="eastAsia" w:ascii="宋体" w:hAnsi="宋体"/>
          <w:b/>
          <w:lang w:val="zh-TW" w:eastAsia="zh-TW"/>
        </w:rPr>
        <w:t>、项目工作要求</w:t>
      </w:r>
    </w:p>
    <w:p>
      <w:pPr>
        <w:pStyle w:val="141"/>
        <w:spacing w:line="360" w:lineRule="auto"/>
        <w:rPr>
          <w:lang w:val="zh-TW"/>
        </w:rPr>
      </w:pPr>
    </w:p>
    <w:p>
      <w:pPr>
        <w:spacing w:line="360" w:lineRule="auto"/>
        <w:ind w:firstLine="480"/>
        <w:rPr>
          <w:rFonts w:ascii="宋体" w:hAnsi="宋体" w:cs="Songti SC Bold"/>
          <w:b/>
          <w:lang w:val="zh-TW" w:eastAsia="zh-TW"/>
        </w:rPr>
      </w:pPr>
      <w:r>
        <w:rPr>
          <w:rFonts w:hint="eastAsia" w:ascii="宋体" w:hAnsi="宋体"/>
          <w:b/>
          <w:lang w:val="zh-TW"/>
        </w:rPr>
        <w:t>6</w:t>
      </w:r>
      <w:r>
        <w:rPr>
          <w:rFonts w:hint="eastAsia" w:ascii="宋体" w:hAnsi="宋体"/>
          <w:b/>
          <w:lang w:val="zh-TW" w:eastAsia="zh-TW"/>
        </w:rPr>
        <w:t>、权利与义务</w:t>
      </w:r>
    </w:p>
    <w:p>
      <w:pPr>
        <w:spacing w:line="360" w:lineRule="auto"/>
        <w:ind w:firstLine="480"/>
        <w:rPr>
          <w:rFonts w:ascii="宋体" w:hAnsi="宋体"/>
          <w:b/>
          <w:lang w:val="zh-TW"/>
        </w:rPr>
      </w:pPr>
    </w:p>
    <w:p>
      <w:pPr>
        <w:spacing w:line="360" w:lineRule="auto"/>
        <w:ind w:firstLine="480"/>
        <w:rPr>
          <w:rFonts w:ascii="宋体" w:hAnsi="宋体" w:cs="Songti SC Bold"/>
          <w:b/>
          <w:lang w:val="zh-TW" w:eastAsia="zh-TW"/>
        </w:rPr>
      </w:pPr>
      <w:r>
        <w:rPr>
          <w:rFonts w:hint="eastAsia" w:ascii="宋体" w:hAnsi="宋体"/>
          <w:b/>
          <w:lang w:val="zh-TW"/>
        </w:rPr>
        <w:t>7</w:t>
      </w:r>
      <w:r>
        <w:rPr>
          <w:rFonts w:hint="eastAsia" w:ascii="宋体" w:hAnsi="宋体"/>
          <w:b/>
          <w:lang w:val="zh-TW" w:eastAsia="zh-TW"/>
        </w:rPr>
        <w:t>、违约责任</w:t>
      </w:r>
    </w:p>
    <w:p>
      <w:pPr>
        <w:spacing w:line="360" w:lineRule="auto"/>
        <w:ind w:firstLine="480"/>
        <w:rPr>
          <w:rFonts w:ascii="宋体" w:hAnsi="宋体" w:cs="Songti SC Regular"/>
        </w:rPr>
      </w:pPr>
      <w:r>
        <w:rPr>
          <w:rFonts w:ascii="宋体" w:hAnsi="宋体"/>
        </w:rPr>
        <w:t>1</w:t>
      </w:r>
      <w:r>
        <w:rPr>
          <w:rFonts w:hint="eastAsia" w:ascii="宋体" w:hAnsi="宋体"/>
          <w:lang w:val="zh-TW" w:eastAsia="zh-TW"/>
        </w:rPr>
        <w:t>、甲方无正当理由逾期付款</w:t>
      </w:r>
      <w:r>
        <w:rPr>
          <w:rFonts w:ascii="宋体" w:hAnsi="宋体"/>
        </w:rPr>
        <w:t>1</w:t>
      </w:r>
      <w:r>
        <w:rPr>
          <w:rFonts w:hint="eastAsia" w:ascii="宋体" w:hAnsi="宋体"/>
          <w:lang w:val="zh-TW" w:eastAsia="zh-TW"/>
        </w:rPr>
        <w:t>个月，乙方可终止合同。解除合同后咨询费用的核算，以乙方完成且甲方确认的工作成果为准，多退少补。因地震、水灾、战争等不可抗力的因素或因政策、法律原因造成合同无法履行除外。</w:t>
      </w:r>
    </w:p>
    <w:p>
      <w:pPr>
        <w:spacing w:line="360" w:lineRule="auto"/>
        <w:ind w:firstLine="480"/>
        <w:rPr>
          <w:rFonts w:ascii="宋体" w:hAnsi="宋体" w:cs="Songti SC Regular"/>
        </w:rPr>
      </w:pPr>
      <w:r>
        <w:rPr>
          <w:rFonts w:ascii="宋体" w:hAnsi="宋体"/>
        </w:rPr>
        <w:t>2</w:t>
      </w:r>
      <w:r>
        <w:rPr>
          <w:rFonts w:hint="eastAsia" w:ascii="宋体" w:hAnsi="宋体"/>
          <w:lang w:val="zh-TW" w:eastAsia="zh-TW"/>
        </w:rPr>
        <w:t>、乙方无正当理由未按时提交成果超过</w:t>
      </w:r>
      <w:r>
        <w:rPr>
          <w:rFonts w:ascii="宋体" w:hAnsi="宋体"/>
        </w:rPr>
        <w:t>1</w:t>
      </w:r>
      <w:r>
        <w:rPr>
          <w:rFonts w:hint="eastAsia" w:ascii="宋体" w:hAnsi="宋体"/>
          <w:lang w:val="zh-TW" w:eastAsia="zh-TW"/>
        </w:rPr>
        <w:t>个月，甲方可终止合同。解除合同后咨询费用的核算，以乙方完成且甲方确认的工作成果为准，多退少补。因地震、水灾、战争等不可抗力的因素或因政策、法律原因造成合同无法履行除外。</w:t>
      </w:r>
    </w:p>
    <w:p>
      <w:pPr>
        <w:spacing w:line="360" w:lineRule="auto"/>
        <w:ind w:firstLine="480"/>
        <w:rPr>
          <w:rFonts w:ascii="宋体" w:hAnsi="宋体" w:cs="Songti SC Bold"/>
          <w:b/>
          <w:lang w:val="zh-TW" w:eastAsia="zh-TW"/>
        </w:rPr>
      </w:pPr>
      <w:r>
        <w:rPr>
          <w:rFonts w:hint="eastAsia" w:ascii="宋体" w:hAnsi="宋体"/>
          <w:b/>
          <w:lang w:val="zh-TW"/>
        </w:rPr>
        <w:t>8</w:t>
      </w:r>
      <w:r>
        <w:rPr>
          <w:rFonts w:hint="eastAsia" w:ascii="宋体" w:hAnsi="宋体"/>
          <w:b/>
          <w:lang w:val="zh-TW" w:eastAsia="zh-TW"/>
        </w:rPr>
        <w:t>、争议的解决</w:t>
      </w:r>
    </w:p>
    <w:p>
      <w:pPr>
        <w:spacing w:line="360" w:lineRule="auto"/>
        <w:ind w:firstLine="480"/>
        <w:rPr>
          <w:rFonts w:ascii="宋体" w:hAnsi="宋体" w:cs="Songti SC Regular"/>
          <w:lang w:val="zh-TW" w:eastAsia="zh-TW"/>
        </w:rPr>
      </w:pPr>
      <w:r>
        <w:rPr>
          <w:rFonts w:hint="eastAsia" w:ascii="宋体" w:hAnsi="宋体"/>
          <w:lang w:val="zh-TW" w:eastAsia="zh-TW"/>
        </w:rPr>
        <w:t>因本合同的解释或履行本合同如发生争议，甲乙双方应友好协商解决，协商不成，可以提交甲方所在地人民法院通过诉讼方式解决。</w:t>
      </w:r>
    </w:p>
    <w:p>
      <w:pPr>
        <w:spacing w:line="360" w:lineRule="auto"/>
        <w:ind w:firstLine="480"/>
        <w:rPr>
          <w:rFonts w:ascii="宋体" w:hAnsi="宋体" w:cs="Songti SC Regular"/>
          <w:lang w:val="zh-TW" w:eastAsia="zh-TW"/>
        </w:rPr>
      </w:pPr>
      <w:r>
        <w:rPr>
          <w:rFonts w:hint="eastAsia" w:ascii="宋体" w:hAnsi="宋体"/>
          <w:lang w:val="zh-TW"/>
        </w:rPr>
        <w:t>9</w:t>
      </w:r>
      <w:r>
        <w:rPr>
          <w:rFonts w:hint="eastAsia" w:ascii="宋体" w:hAnsi="宋体"/>
          <w:lang w:val="zh-TW" w:eastAsia="zh-TW"/>
        </w:rPr>
        <w:t>、合同未尽事宜，双方可另行协商，并达成书面补充协议。补充协议与合同具有同样法律效力。</w:t>
      </w:r>
    </w:p>
    <w:p>
      <w:pPr>
        <w:spacing w:line="360" w:lineRule="auto"/>
        <w:ind w:firstLine="480"/>
        <w:rPr>
          <w:rFonts w:ascii="宋体" w:hAnsi="宋体"/>
          <w:lang w:val="zh-TW"/>
        </w:rPr>
      </w:pPr>
      <w:r>
        <w:rPr>
          <w:rFonts w:hint="eastAsia" w:ascii="宋体" w:hAnsi="宋体"/>
          <w:lang w:val="zh-TW"/>
        </w:rPr>
        <w:t>10</w:t>
      </w:r>
      <w:r>
        <w:rPr>
          <w:rFonts w:hint="eastAsia" w:ascii="宋体" w:hAnsi="宋体"/>
          <w:lang w:val="zh-TW" w:eastAsia="zh-TW"/>
        </w:rPr>
        <w:t>、本合同壹式</w:t>
      </w:r>
      <w:r>
        <w:rPr>
          <w:rFonts w:hint="eastAsia" w:ascii="宋体" w:hAnsi="宋体"/>
          <w:lang w:val="zh-TW"/>
        </w:rPr>
        <w:t>叁</w:t>
      </w:r>
      <w:r>
        <w:rPr>
          <w:rFonts w:hint="eastAsia" w:ascii="宋体" w:hAnsi="宋体"/>
          <w:lang w:val="zh-TW" w:eastAsia="zh-TW"/>
        </w:rPr>
        <w:t>份，甲</w:t>
      </w:r>
      <w:r>
        <w:rPr>
          <w:rFonts w:hint="eastAsia" w:ascii="宋体" w:hAnsi="宋体"/>
          <w:lang w:val="zh-TW"/>
        </w:rPr>
        <w:t>、</w:t>
      </w:r>
      <w:r>
        <w:rPr>
          <w:rFonts w:hint="eastAsia" w:ascii="宋体" w:hAnsi="宋体"/>
          <w:lang w:val="zh-TW" w:eastAsia="zh-TW"/>
        </w:rPr>
        <w:t>乙双方</w:t>
      </w:r>
      <w:r>
        <w:rPr>
          <w:rFonts w:hint="eastAsia" w:ascii="宋体" w:hAnsi="宋体"/>
          <w:lang w:val="zh-TW"/>
        </w:rPr>
        <w:t>和代理机构</w:t>
      </w:r>
      <w:r>
        <w:rPr>
          <w:rFonts w:hint="eastAsia" w:ascii="宋体" w:hAnsi="宋体"/>
          <w:lang w:val="zh-TW" w:eastAsia="zh-TW"/>
        </w:rPr>
        <w:t>各执</w:t>
      </w:r>
      <w:r>
        <w:rPr>
          <w:rFonts w:hint="eastAsia" w:ascii="宋体" w:hAnsi="宋体"/>
          <w:lang w:val="zh-TW"/>
        </w:rPr>
        <w:t>壹</w:t>
      </w:r>
      <w:r>
        <w:rPr>
          <w:rFonts w:hint="eastAsia" w:ascii="宋体" w:hAnsi="宋体"/>
          <w:lang w:val="zh-TW" w:eastAsia="zh-TW"/>
        </w:rPr>
        <w:t>份。自签订盖章之日起生效。</w:t>
      </w:r>
    </w:p>
    <w:p>
      <w:pPr>
        <w:spacing w:line="360" w:lineRule="auto"/>
        <w:ind w:firstLine="480"/>
        <w:rPr>
          <w:rFonts w:ascii="宋体" w:hAnsi="宋体" w:cs="Songti SC Regular"/>
          <w:lang w:val="zh-TW"/>
        </w:rPr>
      </w:pPr>
    </w:p>
    <w:p>
      <w:pPr>
        <w:spacing w:line="360" w:lineRule="auto"/>
        <w:rPr>
          <w:rFonts w:ascii="宋体" w:hAnsi="宋体"/>
          <w:lang w:eastAsia="zh-TW"/>
        </w:rPr>
      </w:pPr>
      <w:r>
        <w:rPr>
          <w:rFonts w:hint="eastAsia" w:ascii="宋体" w:hAnsi="宋体"/>
          <w:lang w:eastAsia="zh-TW"/>
        </w:rPr>
        <w:t>甲方：                           乙方：</w:t>
      </w:r>
    </w:p>
    <w:p>
      <w:pPr>
        <w:spacing w:line="360" w:lineRule="auto"/>
        <w:rPr>
          <w:rFonts w:ascii="宋体" w:hAnsi="宋体"/>
          <w:lang w:eastAsia="zh-TW"/>
        </w:rPr>
      </w:pPr>
      <w:r>
        <w:rPr>
          <w:rFonts w:hint="eastAsia" w:ascii="宋体" w:hAnsi="宋体"/>
          <w:lang w:eastAsia="zh-TW"/>
        </w:rPr>
        <w:t>地址：                           地址：</w:t>
      </w:r>
    </w:p>
    <w:p>
      <w:pPr>
        <w:spacing w:line="360" w:lineRule="auto"/>
        <w:rPr>
          <w:rFonts w:ascii="宋体" w:hAnsi="宋体"/>
        </w:rPr>
      </w:pPr>
      <w:r>
        <w:rPr>
          <w:rFonts w:hint="eastAsia" w:ascii="宋体" w:hAnsi="宋体"/>
        </w:rPr>
        <w:t>法人代表：                       法人代表：</w:t>
      </w:r>
    </w:p>
    <w:p>
      <w:pPr>
        <w:spacing w:line="360" w:lineRule="auto"/>
        <w:rPr>
          <w:rFonts w:ascii="宋体" w:hAnsi="宋体"/>
        </w:rPr>
      </w:pPr>
      <w:r>
        <w:rPr>
          <w:rFonts w:hint="eastAsia" w:ascii="宋体" w:hAnsi="宋体"/>
        </w:rPr>
        <w:t>电话：                           电话：</w:t>
      </w:r>
    </w:p>
    <w:p>
      <w:pPr>
        <w:spacing w:line="360" w:lineRule="auto"/>
        <w:rPr>
          <w:rFonts w:ascii="宋体" w:hAnsi="宋体"/>
        </w:rPr>
      </w:pPr>
      <w:r>
        <w:rPr>
          <w:rFonts w:hint="eastAsia" w:ascii="宋体" w:hAnsi="宋体"/>
        </w:rPr>
        <w:t>电传：                           电传：</w:t>
      </w:r>
    </w:p>
    <w:p>
      <w:pPr>
        <w:spacing w:line="360" w:lineRule="auto"/>
        <w:rPr>
          <w:rFonts w:ascii="宋体" w:hAnsi="宋体"/>
        </w:rPr>
      </w:pPr>
      <w:r>
        <w:rPr>
          <w:rFonts w:hint="eastAsia" w:ascii="宋体" w:hAnsi="宋体"/>
        </w:rPr>
        <w:t>邮政编码：                       邮政编码：</w:t>
      </w:r>
    </w:p>
    <w:p>
      <w:pPr>
        <w:spacing w:line="360" w:lineRule="auto"/>
        <w:rPr>
          <w:rFonts w:ascii="宋体" w:hAnsi="宋体"/>
        </w:rPr>
      </w:pPr>
      <w:r>
        <w:rPr>
          <w:rFonts w:hint="eastAsia" w:ascii="宋体" w:hAnsi="宋体"/>
        </w:rPr>
        <w:t>开户银行：                       开户银行：</w:t>
      </w:r>
    </w:p>
    <w:p>
      <w:pPr>
        <w:spacing w:line="360" w:lineRule="auto"/>
        <w:rPr>
          <w:rFonts w:ascii="宋体" w:hAnsi="宋体"/>
        </w:rPr>
      </w:pPr>
      <w:r>
        <w:rPr>
          <w:rFonts w:hint="eastAsia"/>
        </w:rPr>
        <w:t>帐号：                           帐号：</w:t>
      </w:r>
    </w:p>
    <w:p>
      <w:pPr>
        <w:pStyle w:val="21"/>
        <w:tabs>
          <w:tab w:val="left" w:pos="2472"/>
        </w:tabs>
        <w:snapToGrid w:val="0"/>
        <w:spacing w:before="120" w:line="312" w:lineRule="auto"/>
        <w:ind w:right="-87"/>
        <w:rPr>
          <w:rFonts w:ascii="黑体" w:hAnsi="宋体" w:eastAsia="黑体"/>
          <w:sz w:val="21"/>
          <w:szCs w:val="21"/>
        </w:rPr>
      </w:pPr>
      <w:r>
        <w:rPr>
          <w:rFonts w:hAnsi="宋体"/>
          <w:sz w:val="21"/>
          <w:szCs w:val="21"/>
        </w:rPr>
        <w:t>日期：</w:t>
      </w:r>
      <w:r>
        <w:rPr>
          <w:rFonts w:hint="eastAsia" w:hAnsi="宋体"/>
          <w:sz w:val="21"/>
          <w:szCs w:val="21"/>
        </w:rPr>
        <w:t xml:space="preserve">                           日期：</w:t>
      </w:r>
    </w:p>
    <w:p>
      <w:pPr>
        <w:snapToGrid w:val="0"/>
        <w:spacing w:line="312" w:lineRule="auto"/>
        <w:textAlignment w:val="baseline"/>
        <w:rPr>
          <w:rFonts w:ascii="宋体" w:hAnsi="宋体"/>
          <w:sz w:val="20"/>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Cs w:val="21"/>
        </w:rPr>
      </w:pPr>
    </w:p>
    <w:p>
      <w:pPr>
        <w:snapToGrid w:val="0"/>
        <w:spacing w:line="460" w:lineRule="atLeast"/>
        <w:textAlignment w:val="baseline"/>
        <w:rPr>
          <w:sz w:val="20"/>
          <w:szCs w:val="21"/>
        </w:rPr>
      </w:pPr>
      <w:r>
        <w:rPr>
          <w:rFonts w:hint="eastAsia"/>
          <w:szCs w:val="21"/>
        </w:rPr>
        <w:t>信贷政策</w:t>
      </w:r>
    </w:p>
    <w:p>
      <w:pPr>
        <w:snapToGrid w:val="0"/>
        <w:ind w:firstLine="420" w:firstLineChars="200"/>
        <w:textAlignment w:val="baseline"/>
        <w:rPr>
          <w:rFonts w:asciiTheme="minorEastAsia" w:hAnsiTheme="minorEastAsia" w:eastAsiaTheme="minorEastAsia"/>
          <w:sz w:val="20"/>
          <w:szCs w:val="21"/>
        </w:rPr>
      </w:pPr>
      <w:r>
        <w:rPr>
          <w:rFonts w:hint="eastAsia"/>
          <w:szCs w:val="21"/>
        </w:rPr>
        <w:t>1．</w:t>
      </w:r>
      <w:r>
        <w:rPr>
          <w:rFonts w:hint="eastAsia" w:cs="仿宋"/>
          <w:szCs w:val="21"/>
        </w:rPr>
        <w:t>为有效破解当前中小微企业面临的“融资难、融资贵”困局，充分发挥好政府采购扶持小微企业发展的政策功能，属于舟山市内的各中小企业可凭政府采购项目中标通知书等材料</w:t>
      </w:r>
      <w:r>
        <w:rPr>
          <w:rFonts w:hint="eastAsia"/>
          <w:szCs w:val="21"/>
        </w:rPr>
        <w:t>向舟山市</w:t>
      </w:r>
      <w:r>
        <w:rPr>
          <w:rFonts w:hint="eastAsia" w:asciiTheme="minorEastAsia" w:hAnsiTheme="minorEastAsia" w:eastAsiaTheme="minorEastAsia"/>
          <w:szCs w:val="21"/>
        </w:rPr>
        <w:t>政府采购信用融资合作银行申请相关融资产品，有关的合作银行详见下表：</w:t>
      </w:r>
    </w:p>
    <w:tbl>
      <w:tblPr>
        <w:tblStyle w:val="3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pPr>
              <w:pStyle w:val="142"/>
              <w:snapToGrid w:val="0"/>
              <w:spacing w:line="360" w:lineRule="auto"/>
              <w:ind w:firstLine="0" w:firstLineChars="0"/>
              <w:jc w:val="center"/>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银行名称</w:t>
            </w:r>
          </w:p>
        </w:tc>
        <w:tc>
          <w:tcPr>
            <w:tcW w:w="3547" w:type="dxa"/>
            <w:shd w:val="clear" w:color="auto" w:fill="auto"/>
            <w:vAlign w:val="center"/>
          </w:tcPr>
          <w:p>
            <w:pPr>
              <w:pStyle w:val="142"/>
              <w:snapToGrid w:val="0"/>
              <w:spacing w:line="360" w:lineRule="auto"/>
              <w:ind w:firstLine="0" w:firstLineChars="0"/>
              <w:jc w:val="center"/>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产品特点</w:t>
            </w:r>
          </w:p>
        </w:tc>
        <w:tc>
          <w:tcPr>
            <w:tcW w:w="1559" w:type="dxa"/>
            <w:shd w:val="clear" w:color="auto" w:fill="auto"/>
            <w:vAlign w:val="center"/>
          </w:tcPr>
          <w:p>
            <w:pPr>
              <w:pStyle w:val="142"/>
              <w:snapToGrid w:val="0"/>
              <w:spacing w:line="360" w:lineRule="auto"/>
              <w:ind w:firstLine="0" w:firstLineChars="0"/>
              <w:jc w:val="center"/>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经办人</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中国工商银行股份有限公司舟山分行</w:t>
            </w:r>
          </w:p>
        </w:tc>
        <w:tc>
          <w:tcPr>
            <w:tcW w:w="3547" w:type="dxa"/>
            <w:shd w:val="clear" w:color="auto" w:fill="auto"/>
          </w:tcPr>
          <w:p>
            <w:pPr>
              <w:snapToGrid w:val="0"/>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shd w:val="clear" w:color="auto" w:fill="auto"/>
            <w:vAlign w:val="center"/>
          </w:tcPr>
          <w:p>
            <w:pPr>
              <w:pStyle w:val="142"/>
              <w:snapToGrid w:val="0"/>
              <w:spacing w:line="360" w:lineRule="auto"/>
              <w:ind w:firstLine="0" w:firstLineChars="0"/>
              <w:jc w:val="center"/>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柳超颖</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tcPr>
          <w:p>
            <w:pPr>
              <w:snapToGrid w:val="0"/>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中国建设银行股份有限公司舟山分行</w:t>
            </w:r>
          </w:p>
        </w:tc>
        <w:tc>
          <w:tcPr>
            <w:tcW w:w="3547" w:type="dxa"/>
            <w:shd w:val="clear" w:color="auto" w:fill="auto"/>
          </w:tcPr>
          <w:p>
            <w:pPr>
              <w:snapToGrid w:val="0"/>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普陀片区：蔡妮妮</w:t>
            </w:r>
          </w:p>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定海片区：杨莹</w:t>
            </w:r>
          </w:p>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自贸区片区：郑佳奇</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普陀片区：13957201791</w:t>
            </w:r>
          </w:p>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定海片区：13655803997</w:t>
            </w:r>
          </w:p>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杭州银行股份有限公司舟山市分行</w:t>
            </w:r>
          </w:p>
        </w:tc>
        <w:tc>
          <w:tcPr>
            <w:tcW w:w="3547" w:type="dxa"/>
            <w:shd w:val="clear" w:color="auto" w:fill="auto"/>
          </w:tcPr>
          <w:p>
            <w:pPr>
              <w:snapToGrid w:val="0"/>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方经理</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招商银行股份有限公司浙江自贸试验区舟山分行</w:t>
            </w:r>
          </w:p>
        </w:tc>
        <w:tc>
          <w:tcPr>
            <w:tcW w:w="3547" w:type="dxa"/>
            <w:shd w:val="clear" w:color="auto" w:fill="auto"/>
          </w:tcPr>
          <w:p>
            <w:pPr>
              <w:snapToGrid w:val="0"/>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李玲</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温州银行股份有限公司舟山市分行</w:t>
            </w:r>
          </w:p>
        </w:tc>
        <w:tc>
          <w:tcPr>
            <w:tcW w:w="3547" w:type="dxa"/>
            <w:shd w:val="clear" w:color="auto" w:fill="auto"/>
          </w:tcPr>
          <w:p>
            <w:pPr>
              <w:snapToGrid w:val="0"/>
              <w:textAlignment w:val="baseline"/>
              <w:rPr>
                <w:rFonts w:asciiTheme="minorEastAsia" w:hAnsiTheme="minorEastAsia" w:eastAsiaTheme="minorEastAsia"/>
                <w:bCs/>
                <w:sz w:val="20"/>
                <w:szCs w:val="21"/>
              </w:rPr>
            </w:pPr>
            <w:r>
              <w:rPr>
                <w:rFonts w:hint="eastAsia" w:asciiTheme="minorEastAsia" w:hAnsiTheme="minorEastAsia" w:eastAsiaTheme="minorEastAsia"/>
                <w:bCs/>
                <w:szCs w:val="21"/>
              </w:rPr>
              <w:t>“政采订单贷”</w:t>
            </w:r>
            <w:r>
              <w:rPr>
                <w:rFonts w:hint="eastAsia" w:asciiTheme="minorEastAsia" w:hAnsiTheme="minorEastAsia" w:eastAsiaTheme="minorEastAsia"/>
                <w:szCs w:val="21"/>
              </w:rPr>
              <w:t xml:space="preserve"> ：</w:t>
            </w:r>
            <w:r>
              <w:rPr>
                <w:rFonts w:hint="eastAsia" w:asciiTheme="minorEastAsia" w:hAnsiTheme="minorEastAsia" w:eastAsiaTheme="minorEastAsia"/>
                <w:bCs/>
                <w:szCs w:val="21"/>
              </w:rPr>
              <w:t>单户授信最高为500万，单笔申请最高可按中标金额0.8折，贷款期限最少三个月、最长一年，可通过政采云平台向本行发起政采订单贷业务申请</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郑贤栋</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asciiTheme="minorEastAsia" w:hAnsiTheme="minorEastAsia" w:eastAsiaTheme="minorEastAsia"/>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交通银行股份有限公司舟山分行</w:t>
            </w:r>
          </w:p>
        </w:tc>
        <w:tc>
          <w:tcPr>
            <w:tcW w:w="3547" w:type="dxa"/>
            <w:shd w:val="clear" w:color="auto" w:fill="auto"/>
          </w:tcPr>
          <w:p>
            <w:pPr>
              <w:snapToGrid w:val="0"/>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赵争艳</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中信银行股份有限公司舟山分行</w:t>
            </w:r>
          </w:p>
        </w:tc>
        <w:tc>
          <w:tcPr>
            <w:tcW w:w="3547" w:type="dxa"/>
            <w:shd w:val="clear" w:color="auto" w:fill="auto"/>
          </w:tcPr>
          <w:p>
            <w:pPr>
              <w:snapToGrid w:val="0"/>
              <w:textAlignment w:val="baseline"/>
              <w:rPr>
                <w:rFonts w:asciiTheme="minorEastAsia" w:hAnsiTheme="minorEastAsia" w:eastAsiaTheme="minorEastAsia"/>
                <w:bCs/>
                <w:sz w:val="20"/>
                <w:szCs w:val="21"/>
              </w:rPr>
            </w:pPr>
            <w:r>
              <w:rPr>
                <w:rFonts w:hint="eastAsia" w:asciiTheme="minorEastAsia" w:hAnsiTheme="minorEastAsia" w:eastAsiaTheme="minorEastAsia"/>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杨莉丹</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asciiTheme="minorEastAsia" w:hAnsiTheme="minorEastAsia" w:eastAsiaTheme="minorEastAsia"/>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泰隆银行舟山市分行</w:t>
            </w:r>
          </w:p>
        </w:tc>
        <w:tc>
          <w:tcPr>
            <w:tcW w:w="3547" w:type="dxa"/>
            <w:shd w:val="clear" w:color="auto" w:fill="auto"/>
          </w:tcPr>
          <w:p>
            <w:pPr>
              <w:snapToGrid w:val="0"/>
              <w:textAlignment w:val="baseline"/>
              <w:rPr>
                <w:rFonts w:asciiTheme="minorEastAsia" w:hAnsiTheme="minorEastAsia" w:eastAsiaTheme="minorEastAsia"/>
                <w:bCs/>
                <w:sz w:val="20"/>
                <w:szCs w:val="21"/>
              </w:rPr>
            </w:pPr>
            <w:r>
              <w:rPr>
                <w:rFonts w:hint="eastAsia" w:asciiTheme="minorEastAsia" w:hAnsiTheme="minorEastAsia" w:eastAsiaTheme="minorEastAsia"/>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napToGrid w:val="0"/>
              <w:textAlignment w:val="baseline"/>
              <w:rPr>
                <w:rFonts w:asciiTheme="minorEastAsia" w:hAnsiTheme="minorEastAsia" w:eastAsiaTheme="minorEastAsia"/>
                <w:bCs/>
                <w:sz w:val="20"/>
                <w:szCs w:val="21"/>
              </w:rPr>
            </w:pPr>
            <w:r>
              <w:rPr>
                <w:rFonts w:hint="eastAsia" w:asciiTheme="minorEastAsia" w:hAnsiTheme="minorEastAsia" w:eastAsiaTheme="minorEastAsia"/>
                <w:bCs/>
                <w:szCs w:val="21"/>
              </w:rPr>
              <w:t>贷至合同付款日。</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胡亢宇</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asciiTheme="minorEastAsia" w:hAnsiTheme="minorEastAsia" w:eastAsiaTheme="minorEastAsia"/>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中国农业银行股份有限公司舟山分行</w:t>
            </w:r>
          </w:p>
        </w:tc>
        <w:tc>
          <w:tcPr>
            <w:tcW w:w="3547" w:type="dxa"/>
            <w:shd w:val="clear" w:color="auto" w:fill="auto"/>
          </w:tcPr>
          <w:p>
            <w:pPr>
              <w:snapToGrid w:val="0"/>
              <w:textAlignment w:val="baseline"/>
              <w:rPr>
                <w:rFonts w:asciiTheme="minorEastAsia" w:hAnsiTheme="minorEastAsia" w:eastAsiaTheme="minorEastAsia"/>
                <w:bCs/>
                <w:sz w:val="20"/>
                <w:szCs w:val="21"/>
              </w:rPr>
            </w:pPr>
            <w:r>
              <w:rPr>
                <w:rFonts w:hint="eastAsia" w:asciiTheme="minorEastAsia" w:hAnsiTheme="minorEastAsia" w:eastAsiaTheme="minorEastAsia"/>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邵琼</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142"/>
              <w:snapToGrid w:val="0"/>
              <w:spacing w:line="360" w:lineRule="auto"/>
              <w:ind w:firstLine="0" w:firstLineChars="0"/>
              <w:textAlignment w:val="baseline"/>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中国邮政储蓄银行股份有限公司舟山市分行</w:t>
            </w:r>
          </w:p>
        </w:tc>
        <w:tc>
          <w:tcPr>
            <w:tcW w:w="3547" w:type="dxa"/>
            <w:shd w:val="clear" w:color="auto" w:fill="auto"/>
          </w:tcPr>
          <w:p>
            <w:pPr>
              <w:snapToGrid w:val="0"/>
              <w:textAlignment w:val="baseline"/>
              <w:rPr>
                <w:rFonts w:asciiTheme="minorEastAsia" w:hAnsiTheme="minorEastAsia" w:eastAsiaTheme="minorEastAsia"/>
                <w:bCs/>
                <w:sz w:val="20"/>
                <w:szCs w:val="21"/>
              </w:rPr>
            </w:pPr>
            <w:r>
              <w:rPr>
                <w:rFonts w:hint="eastAsia" w:asciiTheme="minorEastAsia" w:hAnsiTheme="minorEastAsia" w:eastAsiaTheme="minorEastAsia"/>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曾超</w:t>
            </w:r>
          </w:p>
        </w:tc>
        <w:tc>
          <w:tcPr>
            <w:tcW w:w="1418" w:type="dxa"/>
            <w:shd w:val="clear" w:color="auto" w:fill="auto"/>
            <w:vAlign w:val="center"/>
          </w:tcPr>
          <w:p>
            <w:pPr>
              <w:snapToGrid w:val="0"/>
              <w:jc w:val="center"/>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15924008387</w:t>
            </w:r>
          </w:p>
        </w:tc>
      </w:tr>
    </w:tbl>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2.一般步骤</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（1）供应商先与银行对接，办理融资前期手续；</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（2）供应商中标后，凭中标通知书等材料，向相关合作银行发出融资申请；</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（3）银行、供应商线下办理审批、放贷事宜。</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3.注意事项</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（1）中标供应商需确保政府采购合同的收款账户与融资银行开户账户一致。</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（2）用于政府采购信用融资的政府采购合同，应当包含如下条款：“第   条：政府采购合同贷款</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本合同同时用于乙方向      银行（金融机构）申请政府采购信用贷款。</w:t>
      </w:r>
    </w:p>
    <w:p>
      <w:pPr>
        <w:snapToGrid w:val="0"/>
        <w:ind w:firstLine="555"/>
        <w:textAlignment w:val="baseline"/>
        <w:rPr>
          <w:rFonts w:asciiTheme="minorEastAsia" w:hAnsiTheme="minorEastAsia" w:eastAsiaTheme="minorEastAsia"/>
          <w:sz w:val="20"/>
          <w:szCs w:val="21"/>
        </w:rPr>
      </w:pPr>
      <w:r>
        <w:rPr>
          <w:rFonts w:hint="eastAsia" w:asciiTheme="minorEastAsia" w:hAnsiTheme="minorEastAsia" w:eastAsiaTheme="minorEastAsia"/>
          <w:szCs w:val="21"/>
        </w:rPr>
        <w:t>本</w:t>
      </w:r>
      <w:r>
        <w:rPr>
          <w:rFonts w:asciiTheme="minorEastAsia" w:hAnsiTheme="minorEastAsia" w:eastAsiaTheme="minorEastAsia"/>
          <w:szCs w:val="21"/>
        </w:rPr>
        <w:t>合同一经签订，原则上不得更改</w:t>
      </w:r>
      <w:r>
        <w:rPr>
          <w:rFonts w:hint="eastAsia" w:asciiTheme="minorEastAsia" w:hAnsiTheme="minorEastAsia" w:eastAsiaTheme="minorEastAsia"/>
          <w:szCs w:val="21"/>
        </w:rPr>
        <w:t>乙方收</w:t>
      </w:r>
      <w:r>
        <w:rPr>
          <w:rFonts w:asciiTheme="minorEastAsia" w:hAnsiTheme="minorEastAsia" w:eastAsiaTheme="minorEastAsia"/>
          <w:szCs w:val="21"/>
        </w:rPr>
        <w:t>款</w:t>
      </w:r>
      <w:r>
        <w:rPr>
          <w:rFonts w:hint="eastAsia" w:asciiTheme="minorEastAsia" w:hAnsiTheme="minorEastAsia" w:eastAsiaTheme="minorEastAsia"/>
          <w:szCs w:val="21"/>
        </w:rPr>
        <w:t>账户</w:t>
      </w:r>
      <w:r>
        <w:rPr>
          <w:rFonts w:asciiTheme="minorEastAsia" w:hAnsiTheme="minorEastAsia" w:eastAsiaTheme="minorEastAsia"/>
          <w:szCs w:val="21"/>
        </w:rPr>
        <w:t>信息</w:t>
      </w:r>
      <w:r>
        <w:rPr>
          <w:rFonts w:hint="eastAsia" w:asciiTheme="minorEastAsia" w:hAnsiTheme="minorEastAsia" w:eastAsiaTheme="minorEastAsia"/>
          <w:szCs w:val="21"/>
        </w:rPr>
        <w:t>。确</w:t>
      </w:r>
      <w:r>
        <w:rPr>
          <w:rFonts w:asciiTheme="minorEastAsia" w:hAnsiTheme="minorEastAsia" w:eastAsiaTheme="minorEastAsia"/>
          <w:szCs w:val="21"/>
        </w:rPr>
        <w:t>须更改的，</w:t>
      </w:r>
      <w:r>
        <w:rPr>
          <w:rFonts w:hint="eastAsia" w:asciiTheme="minorEastAsia" w:hAnsiTheme="minorEastAsia" w:eastAsiaTheme="minorEastAsia"/>
          <w:szCs w:val="21"/>
        </w:rPr>
        <w:t>乙方应</w:t>
      </w:r>
      <w:r>
        <w:rPr>
          <w:rFonts w:asciiTheme="minorEastAsia" w:hAnsiTheme="minorEastAsia" w:eastAsiaTheme="minorEastAsia"/>
          <w:szCs w:val="21"/>
        </w:rPr>
        <w:t>取得</w:t>
      </w:r>
      <w:r>
        <w:rPr>
          <w:rFonts w:hint="eastAsia" w:asciiTheme="minorEastAsia" w:hAnsiTheme="minorEastAsia" w:eastAsiaTheme="minorEastAsia"/>
          <w:szCs w:val="21"/>
        </w:rPr>
        <w:t>原</w:t>
      </w:r>
      <w:r>
        <w:rPr>
          <w:rFonts w:asciiTheme="minorEastAsia" w:hAnsiTheme="minorEastAsia" w:eastAsiaTheme="minorEastAsia"/>
          <w:szCs w:val="21"/>
        </w:rPr>
        <w:t>合同收款账户开户银行书面同意，</w:t>
      </w:r>
      <w:r>
        <w:rPr>
          <w:rFonts w:hint="eastAsia" w:asciiTheme="minorEastAsia" w:hAnsiTheme="minorEastAsia" w:eastAsiaTheme="minorEastAsia"/>
          <w:szCs w:val="21"/>
        </w:rPr>
        <w:t>否则修改后</w:t>
      </w:r>
      <w:r>
        <w:rPr>
          <w:rFonts w:asciiTheme="minorEastAsia" w:hAnsiTheme="minorEastAsia" w:eastAsiaTheme="minorEastAsia"/>
          <w:szCs w:val="21"/>
        </w:rPr>
        <w:t>的合同不予</w:t>
      </w:r>
      <w:r>
        <w:rPr>
          <w:rFonts w:hint="eastAsia" w:asciiTheme="minorEastAsia" w:hAnsiTheme="minorEastAsia" w:eastAsiaTheme="minorEastAsia"/>
          <w:szCs w:val="21"/>
        </w:rPr>
        <w:t>备案</w:t>
      </w:r>
      <w:r>
        <w:rPr>
          <w:rFonts w:asciiTheme="minorEastAsia" w:hAnsiTheme="minorEastAsia" w:eastAsiaTheme="minorEastAsia"/>
          <w:szCs w:val="21"/>
        </w:rPr>
        <w:t>，采购资金不予</w:t>
      </w:r>
      <w:r>
        <w:rPr>
          <w:rFonts w:hint="eastAsia" w:asciiTheme="minorEastAsia" w:hAnsiTheme="minorEastAsia" w:eastAsiaTheme="minorEastAsia"/>
          <w:szCs w:val="21"/>
        </w:rPr>
        <w:t>支付。”</w:t>
      </w:r>
    </w:p>
    <w:p>
      <w:pPr>
        <w:snapToGrid w:val="0"/>
        <w:ind w:firstLine="555"/>
        <w:textAlignment w:val="baseline"/>
        <w:rPr>
          <w:rFonts w:asciiTheme="minorEastAsia" w:hAnsiTheme="minorEastAsia" w:eastAsiaTheme="minorEastAsia"/>
          <w:sz w:val="20"/>
          <w:szCs w:val="21"/>
        </w:rPr>
      </w:pPr>
    </w:p>
    <w:p>
      <w:pPr>
        <w:snapToGrid w:val="0"/>
        <w:ind w:firstLine="555"/>
        <w:textAlignment w:val="baseline"/>
        <w:rPr>
          <w:rFonts w:asciiTheme="minorEastAsia" w:hAnsiTheme="minorEastAsia" w:eastAsiaTheme="minorEastAsia"/>
          <w:sz w:val="20"/>
          <w:szCs w:val="21"/>
        </w:rPr>
      </w:pPr>
    </w:p>
    <w:p>
      <w:pPr>
        <w:tabs>
          <w:tab w:val="left" w:pos="2472"/>
        </w:tabs>
        <w:snapToGrid w:val="0"/>
        <w:spacing w:before="120" w:line="312" w:lineRule="auto"/>
        <w:ind w:right="-87"/>
        <w:jc w:val="center"/>
        <w:textAlignment w:val="baseline"/>
        <w:rPr>
          <w:rFonts w:ascii="黑体" w:hAnsi="宋体" w:eastAsia="黑体"/>
          <w:sz w:val="30"/>
        </w:rPr>
      </w:pPr>
    </w:p>
    <w:p>
      <w:pPr>
        <w:tabs>
          <w:tab w:val="left" w:pos="2472"/>
        </w:tabs>
        <w:snapToGrid w:val="0"/>
        <w:spacing w:before="120" w:line="312" w:lineRule="auto"/>
        <w:ind w:right="-87"/>
        <w:jc w:val="center"/>
        <w:rPr>
          <w:rFonts w:ascii="黑体" w:hAnsi="宋体" w:eastAsia="黑体"/>
          <w:sz w:val="30"/>
        </w:rPr>
      </w:pPr>
      <w:r>
        <w:rPr>
          <w:rFonts w:hint="eastAsia" w:ascii="黑体" w:hAnsi="宋体" w:eastAsia="黑体"/>
          <w:sz w:val="30"/>
        </w:rPr>
        <w:t>第六章　投标文件格式</w:t>
      </w:r>
    </w:p>
    <w:p>
      <w:pPr>
        <w:tabs>
          <w:tab w:val="left" w:pos="2472"/>
        </w:tabs>
        <w:snapToGrid w:val="0"/>
        <w:spacing w:before="120" w:line="312" w:lineRule="auto"/>
        <w:ind w:right="-87"/>
        <w:jc w:val="center"/>
        <w:rPr>
          <w:rFonts w:ascii="黑体" w:hAnsi="宋体" w:eastAsia="黑体"/>
          <w:sz w:val="30"/>
        </w:rPr>
      </w:pPr>
    </w:p>
    <w:p>
      <w:pPr>
        <w:snapToGrid w:val="0"/>
        <w:spacing w:line="360" w:lineRule="auto"/>
        <w:ind w:right="-85"/>
        <w:rPr>
          <w:rFonts w:ascii="宋体" w:hAnsi="宋体"/>
          <w:sz w:val="24"/>
        </w:rPr>
      </w:pPr>
      <w:r>
        <w:rPr>
          <w:rFonts w:hint="eastAsia" w:ascii="宋体" w:hAnsi="宋体"/>
          <w:sz w:val="24"/>
        </w:rPr>
        <w:t>一、</w:t>
      </w:r>
      <w:r>
        <w:rPr>
          <w:rFonts w:hint="eastAsia" w:ascii="宋体" w:hAnsi="宋体"/>
          <w:b/>
          <w:sz w:val="24"/>
        </w:rPr>
        <w:t>备份文件包装封面（格式供参考）</w:t>
      </w:r>
      <w:r>
        <w:rPr>
          <w:rFonts w:hint="eastAsia" w:ascii="宋体" w:hAnsi="宋体"/>
          <w:sz w:val="24"/>
        </w:rPr>
        <w:t xml:space="preserve">： </w:t>
      </w:r>
    </w:p>
    <w:p>
      <w:pPr>
        <w:snapToGrid w:val="0"/>
        <w:spacing w:line="360" w:lineRule="auto"/>
        <w:ind w:right="-85"/>
        <w:jc w:val="center"/>
        <w:rPr>
          <w:rFonts w:ascii="宋体" w:hAnsi="宋体"/>
          <w:sz w:val="24"/>
        </w:rPr>
      </w:pPr>
    </w:p>
    <w:p>
      <w:pPr>
        <w:snapToGrid w:val="0"/>
        <w:spacing w:line="360" w:lineRule="auto"/>
        <w:ind w:right="-85"/>
        <w:jc w:val="center"/>
        <w:rPr>
          <w:rFonts w:ascii="宋体" w:hAnsi="宋体"/>
          <w:b/>
          <w:sz w:val="44"/>
        </w:rPr>
      </w:pPr>
      <w:r>
        <w:rPr>
          <w:rFonts w:hint="eastAsia" w:ascii="宋体" w:hAnsi="宋体"/>
          <w:b/>
          <w:sz w:val="44"/>
        </w:rPr>
        <w:t>投 标 文 件</w:t>
      </w:r>
    </w:p>
    <w:p>
      <w:pPr>
        <w:snapToGrid w:val="0"/>
        <w:spacing w:line="360" w:lineRule="auto"/>
        <w:ind w:right="-85"/>
        <w:rPr>
          <w:rFonts w:ascii="宋体" w:hAnsi="宋体"/>
          <w:sz w:val="24"/>
        </w:rPr>
      </w:pPr>
    </w:p>
    <w:p>
      <w:pPr>
        <w:snapToGrid w:val="0"/>
        <w:spacing w:line="360" w:lineRule="auto"/>
        <w:ind w:right="-85" w:firstLine="1124" w:firstLineChars="400"/>
        <w:rPr>
          <w:rFonts w:ascii="宋体" w:hAnsi="宋体"/>
          <w:b/>
          <w:sz w:val="28"/>
        </w:rPr>
      </w:pPr>
      <w:r>
        <w:rPr>
          <w:rFonts w:hint="eastAsia" w:ascii="宋体" w:hAnsi="宋体"/>
          <w:b/>
          <w:sz w:val="28"/>
        </w:rPr>
        <w:t xml:space="preserve">项目名称： </w:t>
      </w:r>
    </w:p>
    <w:p>
      <w:pPr>
        <w:snapToGrid w:val="0"/>
        <w:spacing w:line="360" w:lineRule="auto"/>
        <w:ind w:right="-85" w:firstLine="562" w:firstLineChars="200"/>
        <w:rPr>
          <w:rFonts w:ascii="宋体" w:hAnsi="宋体"/>
          <w:b/>
          <w:sz w:val="28"/>
        </w:rPr>
      </w:pPr>
      <w:r>
        <w:rPr>
          <w:rFonts w:hint="eastAsia" w:ascii="宋体" w:hAnsi="宋体"/>
          <w:b/>
          <w:sz w:val="28"/>
        </w:rPr>
        <w:t xml:space="preserve">    项目编号：</w:t>
      </w:r>
    </w:p>
    <w:p>
      <w:pPr>
        <w:pStyle w:val="27"/>
        <w:snapToGrid w:val="0"/>
        <w:spacing w:line="360" w:lineRule="auto"/>
        <w:ind w:right="-85" w:firstLine="1169" w:firstLineChars="416"/>
        <w:rPr>
          <w:rFonts w:ascii="宋体" w:hAnsi="宋体"/>
          <w:b/>
          <w:sz w:val="28"/>
        </w:rPr>
      </w:pPr>
      <w:r>
        <w:rPr>
          <w:rFonts w:hint="eastAsia" w:ascii="宋体" w:hAnsi="宋体"/>
          <w:b/>
          <w:sz w:val="28"/>
        </w:rPr>
        <w:t>投标人名称：</w:t>
      </w:r>
      <w:r>
        <w:rPr>
          <w:rFonts w:hint="eastAsia" w:ascii="宋体" w:hAnsi="宋体"/>
          <w:b/>
          <w:sz w:val="28"/>
          <w:u w:val="single"/>
        </w:rPr>
        <w:t xml:space="preserve">                            （</w:t>
      </w:r>
      <w:r>
        <w:rPr>
          <w:rFonts w:hint="eastAsia" w:ascii="宋体" w:hAnsi="宋体"/>
          <w:b/>
          <w:sz w:val="28"/>
        </w:rPr>
        <w:t>加盖公章）</w:t>
      </w:r>
    </w:p>
    <w:p>
      <w:pPr>
        <w:pStyle w:val="27"/>
        <w:snapToGrid w:val="0"/>
        <w:spacing w:line="360" w:lineRule="auto"/>
        <w:ind w:right="-85" w:firstLine="1169" w:firstLineChars="416"/>
        <w:rPr>
          <w:rFonts w:ascii="宋体" w:hAnsi="宋体"/>
          <w:b/>
          <w:sz w:val="28"/>
          <w:u w:val="single"/>
        </w:rPr>
      </w:pPr>
      <w:r>
        <w:rPr>
          <w:rFonts w:hint="eastAsia" w:ascii="宋体" w:hAnsi="宋体"/>
          <w:b/>
          <w:sz w:val="28"/>
        </w:rPr>
        <w:t>投标人地址：</w:t>
      </w:r>
    </w:p>
    <w:p>
      <w:pPr>
        <w:pStyle w:val="27"/>
        <w:snapToGrid w:val="0"/>
        <w:spacing w:line="360" w:lineRule="auto"/>
        <w:ind w:right="-85" w:firstLine="1124" w:firstLineChars="400"/>
        <w:rPr>
          <w:rFonts w:ascii="宋体" w:hAnsi="宋体"/>
          <w:b/>
          <w:sz w:val="28"/>
          <w:u w:val="single"/>
        </w:rPr>
      </w:pPr>
      <w:r>
        <w:rPr>
          <w:rFonts w:hint="eastAsia" w:ascii="宋体" w:hAnsi="宋体"/>
          <w:b/>
          <w:sz w:val="28"/>
        </w:rPr>
        <w:t>投标联系人：电话</w:t>
      </w:r>
    </w:p>
    <w:p>
      <w:pPr>
        <w:pStyle w:val="27"/>
        <w:snapToGrid w:val="0"/>
        <w:spacing w:line="360" w:lineRule="auto"/>
        <w:ind w:right="-85" w:firstLine="1124" w:firstLineChars="400"/>
        <w:rPr>
          <w:rFonts w:ascii="宋体" w:hAnsi="宋体"/>
          <w:b/>
          <w:sz w:val="28"/>
          <w:u w:val="single"/>
        </w:rPr>
      </w:pPr>
      <w:r>
        <w:rPr>
          <w:rFonts w:hint="eastAsia" w:ascii="宋体" w:hAnsi="宋体"/>
          <w:b/>
          <w:sz w:val="28"/>
        </w:rPr>
        <w:t>启封时间：</w:t>
      </w:r>
      <w:r>
        <w:rPr>
          <w:rFonts w:hint="eastAsia" w:ascii="宋体" w:hAnsi="宋体"/>
          <w:b/>
          <w:sz w:val="28"/>
          <w:u w:val="single"/>
        </w:rPr>
        <w:t>在20     年  月  日  时  分之前不得启封</w:t>
      </w:r>
    </w:p>
    <w:p>
      <w:pPr>
        <w:snapToGrid w:val="0"/>
        <w:spacing w:line="360" w:lineRule="auto"/>
        <w:ind w:right="-85" w:firstLine="4080" w:firstLineChars="1700"/>
        <w:rPr>
          <w:rFonts w:ascii="宋体" w:hAnsi="宋体"/>
          <w:sz w:val="24"/>
        </w:rPr>
      </w:pPr>
    </w:p>
    <w:p>
      <w:pPr>
        <w:snapToGrid w:val="0"/>
        <w:spacing w:line="360" w:lineRule="auto"/>
        <w:ind w:right="-85" w:firstLine="645"/>
        <w:jc w:val="center"/>
        <w:rPr>
          <w:rFonts w:ascii="宋体" w:hAnsi="宋体"/>
          <w:sz w:val="24"/>
        </w:rPr>
      </w:pPr>
      <w:r>
        <w:rPr>
          <w:rFonts w:hint="eastAsia" w:ascii="宋体" w:hAnsi="宋体"/>
          <w:sz w:val="24"/>
        </w:rPr>
        <w:t xml:space="preserve">                                 年   月   日</w:t>
      </w:r>
    </w:p>
    <w:p>
      <w:pPr>
        <w:snapToGrid w:val="0"/>
        <w:spacing w:line="360" w:lineRule="auto"/>
        <w:ind w:right="-85"/>
        <w:outlineLvl w:val="1"/>
        <w:rPr>
          <w:rFonts w:ascii="宋体" w:hAnsi="宋体"/>
          <w:sz w:val="24"/>
          <w:u w:val="single"/>
        </w:rPr>
      </w:pPr>
    </w:p>
    <w:p>
      <w:pPr>
        <w:snapToGrid w:val="0"/>
        <w:spacing w:line="312" w:lineRule="auto"/>
        <w:ind w:right="-87"/>
        <w:rPr>
          <w:rFonts w:ascii="宋体" w:hAnsi="宋体"/>
          <w:sz w:val="24"/>
        </w:rPr>
        <w:sectPr>
          <w:pgSz w:w="11906" w:h="16838"/>
          <w:pgMar w:top="1304" w:right="1106" w:bottom="1304" w:left="1531" w:header="1304" w:footer="1304" w:gutter="0"/>
          <w:cols w:space="720" w:num="1"/>
        </w:sectPr>
      </w:pPr>
    </w:p>
    <w:p>
      <w:pPr>
        <w:snapToGrid w:val="0"/>
        <w:spacing w:line="312" w:lineRule="auto"/>
        <w:ind w:right="-87"/>
        <w:rPr>
          <w:rFonts w:ascii="宋体" w:hAnsi="宋体"/>
          <w:sz w:val="24"/>
        </w:rPr>
      </w:pPr>
    </w:p>
    <w:p>
      <w:pPr>
        <w:snapToGrid w:val="0"/>
        <w:spacing w:before="120" w:line="312" w:lineRule="auto"/>
        <w:ind w:right="-341"/>
        <w:jc w:val="center"/>
        <w:rPr>
          <w:rFonts w:hAnsi="宋体"/>
          <w:b/>
          <w:sz w:val="32"/>
        </w:rPr>
      </w:pPr>
      <w:r>
        <w:rPr>
          <w:rFonts w:hint="eastAsia" w:hAnsi="宋体"/>
          <w:b/>
          <w:sz w:val="32"/>
        </w:rPr>
        <w:t>二、开标一览表</w:t>
      </w:r>
    </w:p>
    <w:p>
      <w:pPr>
        <w:snapToGrid w:val="0"/>
        <w:spacing w:before="50" w:after="50"/>
        <w:rPr>
          <w:rFonts w:ascii="宋体" w:hAnsi="宋体"/>
        </w:rPr>
      </w:pPr>
      <w:r>
        <w:rPr>
          <w:rFonts w:hint="eastAsia" w:ascii="宋体" w:hAnsi="宋体"/>
        </w:rPr>
        <w:t xml:space="preserve">项目名称：  </w:t>
      </w:r>
    </w:p>
    <w:p>
      <w:pPr>
        <w:snapToGrid w:val="0"/>
        <w:spacing w:before="50" w:after="50"/>
        <w:rPr>
          <w:rFonts w:ascii="宋体" w:hAnsi="宋体"/>
        </w:rPr>
      </w:pPr>
      <w:r>
        <w:rPr>
          <w:rFonts w:hint="eastAsia" w:ascii="宋体" w:hAnsi="宋体"/>
        </w:rPr>
        <w:t>项目编号：</w:t>
      </w:r>
    </w:p>
    <w:p>
      <w:pPr>
        <w:snapToGrid w:val="0"/>
        <w:spacing w:before="50" w:after="50"/>
        <w:ind w:firstLine="12495" w:firstLineChars="5950"/>
        <w:rPr>
          <w:rFonts w:ascii="宋体" w:hAnsi="宋体"/>
        </w:rPr>
      </w:pPr>
      <w:r>
        <w:rPr>
          <w:rFonts w:hint="eastAsia" w:ascii="宋体" w:hAnsi="宋体"/>
        </w:rPr>
        <w:t>单位：元</w:t>
      </w:r>
    </w:p>
    <w:tbl>
      <w:tblPr>
        <w:tblStyle w:val="36"/>
        <w:tblW w:w="141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3402"/>
        <w:gridCol w:w="7087"/>
        <w:gridCol w:w="26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jc w:val="center"/>
              <w:rPr>
                <w:rFonts w:ascii="宋体" w:hAnsi="宋体"/>
                <w:b/>
              </w:rPr>
            </w:pPr>
            <w:r>
              <w:rPr>
                <w:rFonts w:hint="eastAsia" w:ascii="宋体" w:hAnsi="宋体"/>
                <w:b/>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jc w:val="center"/>
              <w:rPr>
                <w:rFonts w:ascii="宋体" w:hAnsi="宋体"/>
                <w:b/>
              </w:rPr>
            </w:pPr>
            <w:r>
              <w:rPr>
                <w:rFonts w:hint="eastAsia" w:ascii="宋体" w:hAnsi="宋体"/>
                <w:b/>
              </w:rPr>
              <w:t>名称</w:t>
            </w:r>
          </w:p>
        </w:tc>
        <w:tc>
          <w:tcPr>
            <w:tcW w:w="7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jc w:val="center"/>
              <w:rPr>
                <w:rFonts w:ascii="宋体" w:hAnsi="宋体"/>
                <w:b/>
              </w:rPr>
            </w:pPr>
            <w:r>
              <w:rPr>
                <w:rFonts w:hint="eastAsia" w:ascii="宋体" w:hAnsi="宋体"/>
                <w:b/>
              </w:rPr>
              <w:t xml:space="preserve">  投标报价</w:t>
            </w:r>
          </w:p>
        </w:tc>
        <w:tc>
          <w:tcPr>
            <w:tcW w:w="2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70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rPr>
                <w:rFonts w:ascii="宋体" w:hAnsi="宋体"/>
              </w:rPr>
            </w:pPr>
          </w:p>
        </w:tc>
        <w:tc>
          <w:tcPr>
            <w:tcW w:w="26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rPr>
                <w:rFonts w:ascii="宋体" w:hAnsi="宋体"/>
                <w:u w:val="single"/>
              </w:rPr>
            </w:pPr>
            <w:r>
              <w:rPr>
                <w:rFonts w:hint="eastAsia" w:ascii="宋体" w:hAnsi="宋体"/>
              </w:rPr>
              <w:t xml:space="preserve">合计 </w:t>
            </w:r>
          </w:p>
        </w:tc>
        <w:tc>
          <w:tcPr>
            <w:tcW w:w="1318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line="240" w:lineRule="atLeast"/>
              <w:rPr>
                <w:rFonts w:ascii="宋体" w:hAnsi="宋体"/>
              </w:rPr>
            </w:pPr>
            <w:r>
              <w:rPr>
                <w:rFonts w:hint="eastAsia" w:ascii="宋体" w:hAnsi="宋体"/>
              </w:rPr>
              <w:t>人民币:</w:t>
            </w:r>
          </w:p>
        </w:tc>
      </w:tr>
    </w:tbl>
    <w:p>
      <w:pPr>
        <w:snapToGrid w:val="0"/>
        <w:spacing w:before="50" w:after="50"/>
        <w:rPr>
          <w:rFonts w:ascii="宋体"/>
          <w:szCs w:val="21"/>
        </w:rPr>
      </w:pPr>
      <w:r>
        <w:rPr>
          <w:rFonts w:hint="eastAsia" w:ascii="宋体" w:hAnsi="宋体"/>
          <w:szCs w:val="21"/>
        </w:rPr>
        <w:t>注</w:t>
      </w:r>
      <w:r>
        <w:rPr>
          <w:rFonts w:ascii="宋体" w:hAnsi="宋体"/>
          <w:szCs w:val="21"/>
        </w:rPr>
        <w:t xml:space="preserve">: </w:t>
      </w:r>
    </w:p>
    <w:p>
      <w:pPr>
        <w:snapToGrid w:val="0"/>
        <w:spacing w:before="50" w:after="50"/>
        <w:ind w:firstLine="420" w:firstLineChars="200"/>
        <w:jc w:val="left"/>
        <w:rPr>
          <w:rFonts w:ascii="宋体"/>
          <w:szCs w:val="21"/>
        </w:rPr>
      </w:pPr>
      <w:r>
        <w:rPr>
          <w:rFonts w:hint="eastAsia" w:ascii="宋体" w:hAnsi="宋体"/>
          <w:szCs w:val="21"/>
        </w:rPr>
        <w:t>1、以上报价应与“投标费用明细表”中的“合计”数相一致。</w:t>
      </w:r>
    </w:p>
    <w:p>
      <w:pPr>
        <w:snapToGrid w:val="0"/>
        <w:spacing w:before="50" w:after="50"/>
        <w:ind w:firstLine="420" w:firstLineChars="200"/>
        <w:jc w:val="left"/>
        <w:rPr>
          <w:rFonts w:ascii="宋体"/>
          <w:szCs w:val="21"/>
        </w:rPr>
      </w:pPr>
      <w:r>
        <w:rPr>
          <w:rFonts w:hint="eastAsia" w:ascii="宋体" w:hAnsi="宋体"/>
          <w:szCs w:val="21"/>
        </w:rPr>
        <w:t>2、项目费用包括项目实施所需的工程费、工时费、服务费、、购买及制作标书费、税费及其他一切费用。</w:t>
      </w:r>
    </w:p>
    <w:p>
      <w:pPr>
        <w:snapToGrid w:val="0"/>
        <w:spacing w:before="50" w:after="50"/>
        <w:ind w:firstLine="11445" w:firstLineChars="5450"/>
        <w:rPr>
          <w:rFonts w:ascii="宋体" w:hAnsi="宋体"/>
        </w:rPr>
      </w:pPr>
    </w:p>
    <w:p>
      <w:pPr>
        <w:snapToGrid w:val="0"/>
        <w:ind w:left="2" w:right="-817" w:rightChars="-389"/>
        <w:rPr>
          <w:rFonts w:ascii="宋体" w:hAnsi="宋体"/>
        </w:rPr>
      </w:pPr>
    </w:p>
    <w:p>
      <w:pPr>
        <w:snapToGrid w:val="0"/>
        <w:ind w:left="2" w:right="-817" w:rightChars="-389"/>
        <w:rPr>
          <w:rFonts w:ascii="宋体" w:hAnsi="宋体"/>
        </w:rPr>
      </w:pPr>
      <w:r>
        <w:rPr>
          <w:rFonts w:hint="eastAsia" w:ascii="宋体" w:hAnsi="宋体"/>
        </w:rPr>
        <w:t>投标人名称（盖章）：                                                   日期：年月日</w:t>
      </w:r>
    </w:p>
    <w:p>
      <w:pPr>
        <w:snapToGrid w:val="0"/>
        <w:ind w:right="-341"/>
        <w:rPr>
          <w:rFonts w:ascii="宋体" w:hAnsi="宋体"/>
        </w:rPr>
      </w:pPr>
    </w:p>
    <w:p>
      <w:pPr>
        <w:pStyle w:val="86"/>
        <w:overflowPunct w:val="0"/>
        <w:autoSpaceDE w:val="0"/>
        <w:autoSpaceDN w:val="0"/>
        <w:adjustRightInd w:val="0"/>
        <w:spacing w:after="120"/>
        <w:ind w:right="-341" w:firstLine="480"/>
        <w:textAlignment w:val="baseline"/>
        <w:rPr>
          <w:rFonts w:ascii="宋体" w:hAnsi="宋体"/>
        </w:rPr>
        <w:sectPr>
          <w:pgSz w:w="16838" w:h="11906" w:orient="landscape"/>
          <w:pgMar w:top="1418" w:right="1361" w:bottom="924" w:left="1134" w:header="851" w:footer="851" w:gutter="0"/>
          <w:cols w:space="720" w:num="1"/>
          <w:docGrid w:linePitch="312" w:charSpace="0"/>
        </w:sectPr>
      </w:pPr>
    </w:p>
    <w:p>
      <w:pPr>
        <w:snapToGrid w:val="0"/>
        <w:spacing w:before="120" w:line="312" w:lineRule="auto"/>
        <w:ind w:right="-341"/>
        <w:rPr>
          <w:rFonts w:hAnsi="宋体"/>
          <w:b/>
          <w:sz w:val="32"/>
        </w:rPr>
      </w:pPr>
    </w:p>
    <w:p>
      <w:pPr>
        <w:snapToGrid w:val="0"/>
        <w:spacing w:before="120" w:line="312" w:lineRule="auto"/>
        <w:ind w:right="-341"/>
        <w:jc w:val="center"/>
        <w:rPr>
          <w:rFonts w:hAnsi="宋体"/>
          <w:b/>
          <w:sz w:val="32"/>
        </w:rPr>
      </w:pPr>
      <w:r>
        <w:rPr>
          <w:rFonts w:hint="eastAsia" w:hAnsi="宋体"/>
          <w:b/>
          <w:sz w:val="32"/>
        </w:rPr>
        <w:t>三、投标报价明细表</w:t>
      </w:r>
    </w:p>
    <w:p>
      <w:pPr>
        <w:snapToGrid w:val="0"/>
        <w:rPr>
          <w:rFonts w:hAnsi="宋体"/>
          <w:b/>
          <w:sz w:val="28"/>
        </w:rPr>
      </w:pPr>
    </w:p>
    <w:p>
      <w:pPr>
        <w:snapToGrid w:val="0"/>
        <w:rPr>
          <w:rFonts w:hAnsi="宋体"/>
          <w:szCs w:val="21"/>
        </w:rPr>
      </w:pPr>
    </w:p>
    <w:p>
      <w:pPr>
        <w:snapToGrid w:val="0"/>
        <w:rPr>
          <w:rFonts w:hAnsi="宋体"/>
          <w:szCs w:val="21"/>
        </w:rPr>
      </w:pPr>
      <w:r>
        <w:rPr>
          <w:rFonts w:hint="eastAsia" w:hAnsi="宋体"/>
          <w:szCs w:val="21"/>
        </w:rPr>
        <w:t>招标项目：</w:t>
      </w:r>
    </w:p>
    <w:p>
      <w:pPr>
        <w:snapToGrid w:val="0"/>
        <w:ind w:firstLine="6090" w:firstLineChars="2900"/>
        <w:rPr>
          <w:rFonts w:hAnsi="宋体"/>
          <w:szCs w:val="21"/>
        </w:rPr>
      </w:pPr>
      <w:r>
        <w:rPr>
          <w:rFonts w:hint="eastAsia" w:hAnsi="宋体"/>
          <w:szCs w:val="21"/>
        </w:rPr>
        <w:t>金额单位：人民币（元）</w:t>
      </w:r>
    </w:p>
    <w:p>
      <w:pPr>
        <w:snapToGrid w:val="0"/>
        <w:ind w:firstLine="6090" w:firstLineChars="2900"/>
        <w:rPr>
          <w:rFonts w:hAnsi="宋体"/>
          <w:szCs w:val="21"/>
        </w:rPr>
      </w:pPr>
    </w:p>
    <w:tbl>
      <w:tblPr>
        <w:tblStyle w:val="36"/>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5"/>
        <w:gridCol w:w="1731"/>
        <w:gridCol w:w="1090"/>
        <w:gridCol w:w="660"/>
        <w:gridCol w:w="1141"/>
        <w:gridCol w:w="32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ind w:firstLine="105" w:firstLineChars="50"/>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73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0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6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114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2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r>
    </w:tbl>
    <w:p>
      <w:pPr>
        <w:tabs>
          <w:tab w:val="left" w:pos="360"/>
        </w:tabs>
        <w:spacing w:line="324" w:lineRule="auto"/>
        <w:rPr>
          <w:szCs w:val="21"/>
        </w:rPr>
      </w:pPr>
    </w:p>
    <w:p>
      <w:pPr>
        <w:snapToGrid w:val="0"/>
        <w:spacing w:before="50" w:after="50"/>
        <w:rPr>
          <w:rFonts w:ascii="宋体" w:hAnsi="宋体"/>
        </w:rPr>
      </w:pPr>
    </w:p>
    <w:p>
      <w:pPr>
        <w:snapToGrid w:val="0"/>
        <w:spacing w:before="50" w:after="50"/>
        <w:rPr>
          <w:rFonts w:ascii="宋体" w:hAnsi="宋体"/>
        </w:rPr>
      </w:pPr>
    </w:p>
    <w:p>
      <w:pPr>
        <w:snapToGrid w:val="0"/>
        <w:spacing w:before="50" w:after="50"/>
        <w:rPr>
          <w:rFonts w:ascii="宋体" w:hAnsi="宋体"/>
        </w:rPr>
      </w:pPr>
    </w:p>
    <w:p>
      <w:pPr>
        <w:snapToGrid w:val="0"/>
        <w:spacing w:before="50" w:after="50"/>
        <w:rPr>
          <w:rFonts w:ascii="宋体" w:hAnsi="宋体"/>
          <w:spacing w:val="20"/>
          <w:u w:val="single"/>
        </w:rPr>
      </w:pPr>
      <w:r>
        <w:rPr>
          <w:rFonts w:hint="eastAsia" w:ascii="宋体" w:hAnsi="宋体"/>
        </w:rPr>
        <w:t xml:space="preserve">投标人名称（盖章）： </w:t>
      </w:r>
      <w:r>
        <w:rPr>
          <w:rFonts w:hint="eastAsia" w:ascii="宋体" w:hAnsi="宋体"/>
          <w:spacing w:val="20"/>
        </w:rPr>
        <w:t xml:space="preserve">          日  期：</w:t>
      </w:r>
    </w:p>
    <w:p>
      <w:pPr>
        <w:snapToGrid w:val="0"/>
        <w:spacing w:before="50" w:after="50"/>
        <w:rPr>
          <w:rFonts w:ascii="宋体" w:hAnsi="宋体"/>
        </w:rPr>
      </w:pPr>
    </w:p>
    <w:p>
      <w:pPr>
        <w:snapToGrid w:val="0"/>
        <w:spacing w:line="312" w:lineRule="auto"/>
        <w:ind w:right="-341"/>
        <w:rPr>
          <w:rFonts w:ascii="宋体" w:hAnsi="宋体"/>
        </w:rPr>
      </w:pPr>
    </w:p>
    <w:p>
      <w:pPr>
        <w:snapToGrid w:val="0"/>
        <w:spacing w:before="120" w:line="312" w:lineRule="auto"/>
        <w:ind w:right="-341"/>
        <w:rPr>
          <w:rFonts w:hAnsi="宋体"/>
          <w:b/>
          <w:sz w:val="32"/>
        </w:rPr>
      </w:pPr>
    </w:p>
    <w:p>
      <w:pPr>
        <w:snapToGrid w:val="0"/>
        <w:spacing w:before="120" w:line="312" w:lineRule="auto"/>
        <w:ind w:right="-341"/>
        <w:textAlignment w:val="baseline"/>
        <w:rPr>
          <w:rFonts w:hAnsi="宋体"/>
          <w:b/>
          <w:sz w:val="32"/>
        </w:rPr>
      </w:pPr>
    </w:p>
    <w:p>
      <w:pPr>
        <w:snapToGrid w:val="0"/>
        <w:spacing w:before="120" w:line="312" w:lineRule="auto"/>
        <w:ind w:right="-341"/>
        <w:textAlignment w:val="baseline"/>
        <w:rPr>
          <w:rFonts w:hAnsi="宋体"/>
          <w:b/>
          <w:sz w:val="32"/>
        </w:rPr>
      </w:pPr>
    </w:p>
    <w:p>
      <w:pPr>
        <w:snapToGrid w:val="0"/>
        <w:spacing w:before="120" w:line="312" w:lineRule="auto"/>
        <w:ind w:right="-341"/>
        <w:textAlignment w:val="baseline"/>
        <w:rPr>
          <w:rFonts w:hAnsi="宋体"/>
          <w:b/>
          <w:sz w:val="32"/>
        </w:rPr>
      </w:pPr>
    </w:p>
    <w:p>
      <w:pPr>
        <w:snapToGrid w:val="0"/>
        <w:spacing w:before="120" w:line="312" w:lineRule="auto"/>
        <w:ind w:right="-341"/>
        <w:textAlignment w:val="baseline"/>
        <w:rPr>
          <w:rFonts w:hAnsi="宋体"/>
          <w:b/>
          <w:sz w:val="32"/>
        </w:rPr>
      </w:pPr>
    </w:p>
    <w:p>
      <w:pPr>
        <w:snapToGrid w:val="0"/>
        <w:spacing w:before="120" w:line="312" w:lineRule="auto"/>
        <w:ind w:right="-341"/>
        <w:jc w:val="center"/>
        <w:textAlignment w:val="baseline"/>
        <w:rPr>
          <w:rFonts w:hAnsi="宋体"/>
          <w:b/>
          <w:sz w:val="28"/>
          <w:szCs w:val="28"/>
        </w:rPr>
      </w:pPr>
    </w:p>
    <w:p>
      <w:pPr>
        <w:snapToGrid w:val="0"/>
        <w:spacing w:before="120" w:line="312" w:lineRule="auto"/>
        <w:ind w:right="-341"/>
        <w:jc w:val="center"/>
        <w:textAlignment w:val="baseline"/>
        <w:rPr>
          <w:rFonts w:hAnsi="宋体"/>
          <w:b/>
          <w:sz w:val="28"/>
          <w:szCs w:val="28"/>
        </w:rPr>
      </w:pPr>
    </w:p>
    <w:p>
      <w:pPr>
        <w:snapToGrid w:val="0"/>
        <w:spacing w:before="120" w:line="312" w:lineRule="auto"/>
        <w:ind w:right="-341"/>
        <w:jc w:val="center"/>
        <w:textAlignment w:val="baseline"/>
        <w:rPr>
          <w:rFonts w:hAnsi="宋体"/>
          <w:b/>
          <w:sz w:val="28"/>
          <w:szCs w:val="28"/>
        </w:rPr>
      </w:pPr>
    </w:p>
    <w:p>
      <w:pPr>
        <w:snapToGrid w:val="0"/>
        <w:spacing w:before="120" w:line="312" w:lineRule="auto"/>
        <w:ind w:right="-341"/>
        <w:jc w:val="center"/>
        <w:textAlignment w:val="baseline"/>
        <w:rPr>
          <w:rFonts w:hAnsi="宋体"/>
          <w:b/>
          <w:sz w:val="28"/>
          <w:szCs w:val="28"/>
        </w:rPr>
      </w:pPr>
    </w:p>
    <w:p>
      <w:pPr>
        <w:snapToGrid w:val="0"/>
        <w:spacing w:before="120" w:line="312" w:lineRule="auto"/>
        <w:ind w:right="-341"/>
        <w:jc w:val="center"/>
        <w:textAlignment w:val="baseline"/>
        <w:rPr>
          <w:rFonts w:hAnsi="宋体"/>
          <w:b/>
          <w:sz w:val="28"/>
          <w:szCs w:val="28"/>
        </w:rPr>
      </w:pPr>
    </w:p>
    <w:p>
      <w:pPr>
        <w:snapToGrid w:val="0"/>
        <w:spacing w:before="120" w:line="312" w:lineRule="auto"/>
        <w:ind w:right="-341"/>
        <w:jc w:val="center"/>
        <w:textAlignment w:val="baseline"/>
        <w:rPr>
          <w:rFonts w:hAnsi="宋体"/>
          <w:b/>
          <w:sz w:val="28"/>
          <w:szCs w:val="28"/>
        </w:rPr>
      </w:pPr>
      <w:r>
        <w:rPr>
          <w:rFonts w:hint="eastAsia" w:hAnsi="宋体"/>
          <w:b/>
          <w:sz w:val="28"/>
          <w:szCs w:val="28"/>
        </w:rPr>
        <w:t>四、投标函</w:t>
      </w:r>
    </w:p>
    <w:p>
      <w:pPr>
        <w:snapToGrid w:val="0"/>
        <w:spacing w:line="312" w:lineRule="auto"/>
        <w:ind w:right="-341"/>
        <w:textAlignment w:val="baseline"/>
        <w:rPr>
          <w:rFonts w:ascii="宋体" w:hAnsi="宋体"/>
          <w:sz w:val="20"/>
        </w:rPr>
      </w:pPr>
    </w:p>
    <w:p>
      <w:pPr>
        <w:snapToGrid w:val="0"/>
        <w:spacing w:line="312" w:lineRule="auto"/>
        <w:ind w:right="-341"/>
        <w:textAlignment w:val="baseline"/>
        <w:rPr>
          <w:rFonts w:ascii="宋体" w:hAnsi="宋体"/>
          <w:sz w:val="20"/>
        </w:rPr>
      </w:pPr>
      <w:r>
        <w:rPr>
          <w:rFonts w:hint="eastAsia" w:ascii="宋体" w:hAnsi="宋体"/>
        </w:rPr>
        <w:t>致：_</w:t>
      </w:r>
      <w:r>
        <w:rPr>
          <w:rFonts w:hint="eastAsia" w:ascii="宋体" w:hAnsi="宋体"/>
          <w:u w:val="single" w:color="000000"/>
        </w:rPr>
        <w:t>深圳市国信招标有限公司</w:t>
      </w:r>
      <w:r>
        <w:rPr>
          <w:rFonts w:hint="eastAsia" w:ascii="宋体" w:hAnsi="宋体"/>
        </w:rPr>
        <w:t>_：</w:t>
      </w:r>
    </w:p>
    <w:p>
      <w:pPr>
        <w:snapToGrid w:val="0"/>
        <w:spacing w:line="312" w:lineRule="auto"/>
        <w:ind w:right="-341" w:firstLine="480"/>
        <w:textAlignment w:val="baseline"/>
        <w:rPr>
          <w:rFonts w:ascii="宋体" w:hAnsi="宋体"/>
          <w:sz w:val="20"/>
          <w:szCs w:val="21"/>
        </w:rPr>
      </w:pPr>
      <w:r>
        <w:rPr>
          <w:rFonts w:hint="eastAsia" w:ascii="宋体" w:hAnsi="宋体"/>
        </w:rPr>
        <w:t>根据贵方为项目的招标公告（项目编号：____</w:t>
      </w:r>
      <w:r>
        <w:rPr>
          <w:rFonts w:hint="eastAsia" w:ascii="宋体" w:hAnsi="宋体"/>
          <w:u w:val="single" w:color="000000"/>
        </w:rPr>
        <w:t>_     _</w:t>
      </w:r>
      <w:r>
        <w:rPr>
          <w:rFonts w:hint="eastAsia" w:ascii="宋体" w:hAnsi="宋体"/>
        </w:rPr>
        <w:t>_），</w:t>
      </w:r>
      <w:r>
        <w:rPr>
          <w:rFonts w:hint="eastAsia" w:ascii="宋体" w:hAnsi="宋体"/>
          <w:szCs w:val="21"/>
        </w:rPr>
        <w:t>提交投标文件正本一份，副本一份。</w:t>
      </w:r>
    </w:p>
    <w:p>
      <w:pPr>
        <w:pStyle w:val="17"/>
        <w:widowControl/>
        <w:snapToGrid w:val="0"/>
        <w:spacing w:line="360" w:lineRule="auto"/>
        <w:ind w:right="-341" w:firstLine="387" w:firstLineChars="192"/>
        <w:textAlignment w:val="baseline"/>
        <w:rPr>
          <w:rFonts w:hAnsi="宋体"/>
          <w:sz w:val="21"/>
          <w:szCs w:val="21"/>
        </w:rPr>
      </w:pPr>
      <w:r>
        <w:rPr>
          <w:rFonts w:hint="eastAsia" w:hAnsi="宋体"/>
          <w:sz w:val="21"/>
          <w:szCs w:val="21"/>
        </w:rPr>
        <w:t>据此函，签字代表宣布同意如下：</w:t>
      </w:r>
    </w:p>
    <w:p>
      <w:pPr>
        <w:pStyle w:val="17"/>
        <w:widowControl/>
        <w:snapToGrid w:val="0"/>
        <w:spacing w:line="360" w:lineRule="auto"/>
        <w:ind w:right="-341" w:firstLine="387" w:firstLineChars="192"/>
        <w:textAlignment w:val="baseline"/>
        <w:rPr>
          <w:rFonts w:hAnsi="宋体" w:cs="宋体"/>
          <w:sz w:val="21"/>
          <w:szCs w:val="21"/>
        </w:rPr>
      </w:pPr>
      <w:r>
        <w:rPr>
          <w:rFonts w:hint="eastAsia" w:hAnsi="宋体" w:cs="宋体"/>
          <w:sz w:val="21"/>
          <w:szCs w:val="21"/>
        </w:rPr>
        <w:t>1、我方已详细审查了采购文件的全部内容及其相关补充文件</w:t>
      </w:r>
      <w:r>
        <w:rPr>
          <w:rFonts w:hint="eastAsia" w:hAnsi="宋体" w:cs="宋体"/>
          <w:b/>
          <w:sz w:val="21"/>
          <w:szCs w:val="21"/>
        </w:rPr>
        <w:t>（若有）</w:t>
      </w:r>
      <w:r>
        <w:rPr>
          <w:rFonts w:hint="eastAsia" w:hAnsi="宋体" w:cs="宋体"/>
          <w:sz w:val="21"/>
          <w:szCs w:val="21"/>
        </w:rPr>
        <w:t>，并完全清晰理解全部内容及相关的补充文件</w:t>
      </w:r>
      <w:r>
        <w:rPr>
          <w:rFonts w:hint="eastAsia" w:hAnsi="宋体" w:cs="宋体"/>
          <w:b/>
          <w:sz w:val="21"/>
          <w:szCs w:val="21"/>
        </w:rPr>
        <w:t>（若有）</w:t>
      </w:r>
      <w:r>
        <w:rPr>
          <w:rFonts w:hint="eastAsia" w:hAnsi="宋体" w:cs="宋体"/>
          <w:sz w:val="21"/>
          <w:szCs w:val="21"/>
        </w:rPr>
        <w:t>，不存在任何误解之处，同意放弃提出异议和质疑的权利。</w:t>
      </w:r>
    </w:p>
    <w:p>
      <w:pPr>
        <w:snapToGrid w:val="0"/>
        <w:spacing w:line="360" w:lineRule="auto"/>
        <w:ind w:right="-341" w:firstLine="404" w:firstLineChars="200"/>
        <w:textAlignment w:val="baseline"/>
        <w:rPr>
          <w:rFonts w:ascii="宋体" w:hAnsi="宋体" w:cs="宋体"/>
          <w:spacing w:val="-4"/>
          <w:sz w:val="20"/>
          <w:szCs w:val="21"/>
        </w:rPr>
      </w:pPr>
      <w:r>
        <w:rPr>
          <w:rFonts w:hint="eastAsia" w:ascii="宋体" w:hAnsi="宋体" w:cs="宋体"/>
          <w:spacing w:val="-4"/>
          <w:szCs w:val="21"/>
        </w:rPr>
        <w:t>2、我方遵守《中华人民共和国政府采购法》及相关法律法规的规定。同意采购文件中所提到的无效标条款，并服从有关开标现场的会议纪律。否则，同意被废除投标资格。</w:t>
      </w:r>
    </w:p>
    <w:p>
      <w:pPr>
        <w:snapToGrid w:val="0"/>
        <w:spacing w:line="360" w:lineRule="auto"/>
        <w:ind w:right="-341" w:firstLine="404" w:firstLineChars="200"/>
        <w:textAlignment w:val="baseline"/>
        <w:rPr>
          <w:rFonts w:ascii="宋体" w:hAnsi="宋体" w:cs="宋体"/>
          <w:spacing w:val="-4"/>
          <w:sz w:val="20"/>
          <w:szCs w:val="21"/>
        </w:rPr>
      </w:pPr>
      <w:r>
        <w:rPr>
          <w:rFonts w:hint="eastAsia" w:ascii="宋体" w:hAnsi="宋体" w:cs="宋体"/>
          <w:spacing w:val="-4"/>
          <w:szCs w:val="21"/>
        </w:rPr>
        <w:t>3、我方所提供的一次性投标产品报价均具充分的合理性和准确性，保证不存在低于成本的恶意报价行为，同时清楚理解到报价最低并非意味着必定获得合同授予资格。</w:t>
      </w:r>
    </w:p>
    <w:p>
      <w:pPr>
        <w:snapToGrid w:val="0"/>
        <w:spacing w:line="360" w:lineRule="auto"/>
        <w:ind w:right="-341" w:firstLine="404" w:firstLineChars="200"/>
        <w:textAlignment w:val="baseline"/>
        <w:rPr>
          <w:rFonts w:ascii="宋体" w:hAnsi="宋体" w:cs="宋体"/>
          <w:spacing w:val="-4"/>
          <w:sz w:val="20"/>
          <w:szCs w:val="21"/>
        </w:rPr>
      </w:pPr>
      <w:r>
        <w:rPr>
          <w:rFonts w:hint="eastAsia" w:ascii="宋体" w:hAnsi="宋体" w:cs="宋体"/>
          <w:spacing w:val="-4"/>
          <w:szCs w:val="21"/>
        </w:rPr>
        <w:t>4、投标有效期为自开标之日起9</w:t>
      </w:r>
      <w:r>
        <w:rPr>
          <w:rFonts w:hint="eastAsia" w:ascii="宋体" w:hAnsi="宋体" w:cs="宋体"/>
          <w:spacing w:val="-4"/>
          <w:szCs w:val="21"/>
          <w:u w:val="single" w:color="000000"/>
        </w:rPr>
        <w:t>0</w:t>
      </w:r>
      <w:r>
        <w:rPr>
          <w:rFonts w:hint="eastAsia" w:ascii="宋体" w:hAnsi="宋体" w:cs="宋体"/>
          <w:spacing w:val="-4"/>
          <w:szCs w:val="21"/>
        </w:rPr>
        <w:t>天内，如在投标有效期内撤回投标，我方同意被废除投标资格。</w:t>
      </w:r>
    </w:p>
    <w:p>
      <w:pPr>
        <w:snapToGrid w:val="0"/>
        <w:spacing w:line="360" w:lineRule="auto"/>
        <w:ind w:right="-341" w:firstLine="404" w:firstLineChars="200"/>
        <w:textAlignment w:val="baseline"/>
        <w:rPr>
          <w:rFonts w:ascii="宋体" w:hAnsi="宋体" w:cs="宋体"/>
          <w:spacing w:val="-4"/>
          <w:sz w:val="20"/>
          <w:szCs w:val="21"/>
        </w:rPr>
      </w:pPr>
      <w:r>
        <w:rPr>
          <w:rFonts w:hint="eastAsia" w:ascii="宋体" w:hAnsi="宋体" w:cs="宋体"/>
          <w:spacing w:val="-4"/>
          <w:szCs w:val="21"/>
        </w:rPr>
        <w:t>5、我方承诺</w:t>
      </w:r>
      <w:r>
        <w:rPr>
          <w:rFonts w:hint="eastAsia" w:ascii="宋体" w:hAnsi="宋体" w:cs="宋体"/>
          <w:szCs w:val="21"/>
        </w:rPr>
        <w:t>参加政府采购活动前3年内在经营活动中没有重大违法记录和依法缴纳了税收</w:t>
      </w:r>
      <w:r>
        <w:rPr>
          <w:rFonts w:hint="eastAsia" w:ascii="宋体" w:hAnsi="宋体" w:cs="宋体"/>
          <w:spacing w:val="-4"/>
          <w:szCs w:val="21"/>
        </w:rPr>
        <w:t>（投标截止时间进行计算）。</w:t>
      </w:r>
    </w:p>
    <w:p>
      <w:pPr>
        <w:snapToGrid w:val="0"/>
        <w:spacing w:line="360" w:lineRule="auto"/>
        <w:ind w:right="-341" w:firstLine="404" w:firstLineChars="200"/>
        <w:textAlignment w:val="baseline"/>
        <w:rPr>
          <w:sz w:val="20"/>
          <w:szCs w:val="21"/>
        </w:rPr>
      </w:pPr>
      <w:r>
        <w:rPr>
          <w:rFonts w:hint="eastAsia" w:ascii="宋体" w:hAnsi="宋体" w:cs="宋体"/>
          <w:spacing w:val="-4"/>
          <w:szCs w:val="21"/>
        </w:rPr>
        <w:t>6、我方承诺具备本项目</w:t>
      </w:r>
      <w:r>
        <w:rPr>
          <w:rFonts w:hint="eastAsia" w:cs="宋体"/>
          <w:szCs w:val="21"/>
        </w:rPr>
        <w:t>履行合同所必需的设备和专业技术能力</w:t>
      </w:r>
    </w:p>
    <w:p>
      <w:pPr>
        <w:snapToGrid w:val="0"/>
        <w:spacing w:line="360" w:lineRule="auto"/>
        <w:ind w:right="-341" w:firstLine="404" w:firstLineChars="200"/>
        <w:textAlignment w:val="baseline"/>
        <w:rPr>
          <w:rFonts w:ascii="宋体" w:hAnsi="宋体" w:cs="宋体"/>
          <w:spacing w:val="-4"/>
          <w:sz w:val="20"/>
          <w:szCs w:val="21"/>
        </w:rPr>
      </w:pPr>
      <w:r>
        <w:rPr>
          <w:rFonts w:hint="eastAsia" w:ascii="宋体" w:hAnsi="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napToGrid w:val="0"/>
        <w:spacing w:line="360" w:lineRule="auto"/>
        <w:ind w:right="-341" w:firstLine="404" w:firstLineChars="200"/>
        <w:textAlignment w:val="baseline"/>
        <w:rPr>
          <w:rFonts w:ascii="宋体" w:hAnsi="宋体" w:cs="宋体"/>
          <w:spacing w:val="-4"/>
          <w:sz w:val="20"/>
          <w:szCs w:val="21"/>
        </w:rPr>
      </w:pPr>
      <w:r>
        <w:rPr>
          <w:rFonts w:hint="eastAsia" w:ascii="宋体" w:hAnsi="宋体" w:cs="宋体"/>
          <w:spacing w:val="-4"/>
          <w:szCs w:val="21"/>
        </w:rPr>
        <w:t>8、我方承诺至开标之日止，未被“信用中国”（www.creditchina.gov.cn）、中国政府采购网（www.ccgp.gov.cn）列入失信被执行人、重大税收违法案件当事人名单、政府采购严重违法失信行为记录名单。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textAlignment w:val="baseline"/>
        <w:rPr>
          <w:rFonts w:ascii="宋体"/>
          <w:sz w:val="20"/>
        </w:rPr>
      </w:pPr>
      <w:r>
        <w:rPr>
          <w:rFonts w:hint="eastAsia" w:ascii="宋体" w:hAnsi="宋体"/>
        </w:rPr>
        <w:t>9、与本投标有关的一切正式往来信函请寄：</w:t>
      </w:r>
    </w:p>
    <w:p>
      <w:pPr>
        <w:snapToGrid w:val="0"/>
        <w:spacing w:line="312" w:lineRule="auto"/>
        <w:ind w:right="-341"/>
        <w:textAlignment w:val="baseline"/>
        <w:rPr>
          <w:rFonts w:ascii="宋体" w:hAnsi="宋体"/>
          <w:sz w:val="20"/>
        </w:rPr>
      </w:pPr>
      <w:r>
        <w:rPr>
          <w:rFonts w:hint="eastAsia" w:ascii="宋体" w:hAnsi="宋体"/>
        </w:rPr>
        <w:t>地址：__________</w:t>
      </w:r>
      <w:r>
        <w:rPr>
          <w:rFonts w:hint="eastAsia" w:ascii="宋体" w:hAnsi="宋体"/>
          <w:u w:val="single" w:color="000000"/>
        </w:rPr>
        <w:t xml:space="preserve">        _</w:t>
      </w:r>
      <w:r>
        <w:rPr>
          <w:rFonts w:hint="eastAsia" w:ascii="宋体" w:hAnsi="宋体"/>
        </w:rPr>
        <w:t>____邮编：__________   电话：______________</w:t>
      </w:r>
    </w:p>
    <w:p>
      <w:pPr>
        <w:snapToGrid w:val="0"/>
        <w:spacing w:line="312" w:lineRule="auto"/>
        <w:ind w:right="-341"/>
        <w:textAlignment w:val="baseline"/>
        <w:rPr>
          <w:rFonts w:ascii="宋体" w:hAnsi="宋体"/>
          <w:sz w:val="20"/>
        </w:rPr>
      </w:pPr>
      <w:r>
        <w:rPr>
          <w:rFonts w:hint="eastAsia" w:ascii="宋体" w:hAnsi="宋体"/>
        </w:rPr>
        <w:t xml:space="preserve">传真：______________ </w:t>
      </w:r>
    </w:p>
    <w:p>
      <w:pPr>
        <w:snapToGrid w:val="0"/>
        <w:spacing w:line="312" w:lineRule="auto"/>
        <w:ind w:right="-341"/>
        <w:textAlignment w:val="baseline"/>
        <w:rPr>
          <w:rFonts w:ascii="宋体" w:hAnsi="宋体"/>
          <w:sz w:val="20"/>
        </w:rPr>
      </w:pPr>
      <w:r>
        <w:rPr>
          <w:rFonts w:hint="eastAsia" w:ascii="宋体" w:hAnsi="宋体"/>
        </w:rPr>
        <w:t>投标人名称(公章):___________________</w:t>
      </w:r>
    </w:p>
    <w:p>
      <w:pPr>
        <w:snapToGrid w:val="0"/>
        <w:spacing w:line="312" w:lineRule="auto"/>
        <w:ind w:right="-341"/>
        <w:textAlignment w:val="baseline"/>
        <w:rPr>
          <w:rFonts w:ascii="宋体" w:hAnsi="宋体"/>
          <w:sz w:val="20"/>
        </w:rPr>
      </w:pPr>
      <w:r>
        <w:rPr>
          <w:rFonts w:hint="eastAsia" w:ascii="宋体" w:hAnsi="宋体"/>
        </w:rPr>
        <w:t>开户银行：   银行帐号：</w:t>
      </w:r>
    </w:p>
    <w:p>
      <w:pPr>
        <w:snapToGrid w:val="0"/>
        <w:ind w:right="-341"/>
        <w:textAlignment w:val="baseline"/>
        <w:rPr>
          <w:rFonts w:ascii="宋体" w:hAnsi="宋体"/>
          <w:sz w:val="20"/>
        </w:rPr>
      </w:pPr>
    </w:p>
    <w:p>
      <w:pPr>
        <w:snapToGrid w:val="0"/>
        <w:spacing w:before="120" w:line="312" w:lineRule="auto"/>
        <w:ind w:right="-341" w:firstLine="4515" w:firstLineChars="2150"/>
        <w:textAlignment w:val="baseline"/>
        <w:rPr>
          <w:rFonts w:hAnsi="宋体"/>
          <w:sz w:val="20"/>
        </w:rPr>
      </w:pPr>
      <w:r>
        <w:rPr>
          <w:rFonts w:hint="eastAsia" w:hAnsi="宋体"/>
        </w:rPr>
        <w:t>日期:_____年___月___日</w:t>
      </w:r>
    </w:p>
    <w:p>
      <w:pPr>
        <w:snapToGrid w:val="0"/>
        <w:spacing w:line="312" w:lineRule="auto"/>
        <w:ind w:right="-341"/>
        <w:jc w:val="left"/>
        <w:textAlignment w:val="baseline"/>
        <w:rPr>
          <w:rFonts w:ascii="宋体" w:hAnsi="宋体"/>
          <w:b/>
          <w:sz w:val="24"/>
        </w:rPr>
      </w:pPr>
      <w:r>
        <w:rPr>
          <w:rFonts w:hint="eastAsia" w:ascii="宋体" w:hAnsi="宋体"/>
        </w:rPr>
        <w:br w:type="page"/>
      </w:r>
    </w:p>
    <w:p>
      <w:pPr>
        <w:snapToGrid w:val="0"/>
        <w:spacing w:before="120" w:line="312" w:lineRule="auto"/>
        <w:ind w:right="-341"/>
        <w:jc w:val="center"/>
        <w:textAlignment w:val="baseline"/>
        <w:rPr>
          <w:rFonts w:hAnsi="宋体"/>
          <w:b/>
          <w:sz w:val="32"/>
        </w:rPr>
      </w:pPr>
    </w:p>
    <w:p>
      <w:pPr>
        <w:snapToGrid w:val="0"/>
        <w:spacing w:before="156" w:after="50"/>
        <w:jc w:val="center"/>
        <w:textAlignment w:val="baseline"/>
        <w:rPr>
          <w:rFonts w:ascii="宋体" w:hAnsi="宋体"/>
          <w:b/>
          <w:sz w:val="28"/>
          <w:szCs w:val="28"/>
        </w:rPr>
      </w:pPr>
      <w:r>
        <w:rPr>
          <w:rFonts w:hint="eastAsia" w:ascii="宋体" w:hAnsi="宋体"/>
          <w:b/>
          <w:sz w:val="28"/>
          <w:szCs w:val="28"/>
        </w:rPr>
        <w:t>五、声明函</w:t>
      </w:r>
    </w:p>
    <w:p>
      <w:pPr>
        <w:snapToGrid w:val="0"/>
        <w:spacing w:before="156" w:after="50" w:line="360" w:lineRule="auto"/>
        <w:textAlignment w:val="baseline"/>
        <w:rPr>
          <w:rFonts w:ascii="宋体" w:hAnsi="宋体"/>
          <w:sz w:val="20"/>
          <w:szCs w:val="21"/>
        </w:rPr>
      </w:pPr>
    </w:p>
    <w:p>
      <w:pPr>
        <w:snapToGrid w:val="0"/>
        <w:spacing w:before="156" w:after="50" w:line="360" w:lineRule="auto"/>
        <w:textAlignment w:val="baseline"/>
        <w:rPr>
          <w:rFonts w:ascii="宋体"/>
          <w:sz w:val="20"/>
          <w:szCs w:val="21"/>
        </w:rPr>
      </w:pPr>
      <w:r>
        <w:rPr>
          <w:rFonts w:hint="eastAsia" w:ascii="宋体" w:hAnsi="宋体"/>
          <w:szCs w:val="21"/>
        </w:rPr>
        <w:t>致：</w:t>
      </w:r>
      <w:r>
        <w:rPr>
          <w:rFonts w:ascii="宋体" w:hAnsi="宋体"/>
          <w:szCs w:val="21"/>
        </w:rPr>
        <w:t>_</w:t>
      </w:r>
      <w:r>
        <w:rPr>
          <w:rFonts w:hint="eastAsia" w:ascii="宋体" w:hAnsi="宋体"/>
          <w:u w:val="single" w:color="000000"/>
        </w:rPr>
        <w:t>深圳市国信招标有限公司</w:t>
      </w:r>
      <w:r>
        <w:rPr>
          <w:rFonts w:hint="eastAsia" w:ascii="宋体" w:hAnsi="宋体"/>
        </w:rPr>
        <w:t>_</w:t>
      </w:r>
      <w:r>
        <w:rPr>
          <w:rFonts w:hint="eastAsia" w:ascii="宋体" w:hAnsi="宋体"/>
          <w:szCs w:val="21"/>
        </w:rPr>
        <w:t>：</w:t>
      </w:r>
    </w:p>
    <w:p>
      <w:pPr>
        <w:pStyle w:val="15"/>
        <w:snapToGrid w:val="0"/>
        <w:spacing w:line="360" w:lineRule="auto"/>
        <w:ind w:firstLine="480"/>
        <w:textAlignment w:val="baseline"/>
        <w:rPr>
          <w:rFonts w:ascii="宋体"/>
          <w:sz w:val="21"/>
          <w:szCs w:val="21"/>
        </w:rPr>
      </w:pPr>
      <w:r>
        <w:rPr>
          <w:rFonts w:hint="eastAsia" w:ascii="宋体" w:hAnsi="宋体"/>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15"/>
        <w:snapToGrid w:val="0"/>
        <w:spacing w:line="360" w:lineRule="auto"/>
        <w:ind w:firstLine="480"/>
        <w:textAlignment w:val="baseline"/>
        <w:rPr>
          <w:rFonts w:ascii="宋体"/>
          <w:sz w:val="21"/>
          <w:szCs w:val="21"/>
        </w:rPr>
      </w:pPr>
      <w:r>
        <w:rPr>
          <w:rFonts w:hint="eastAsia" w:ascii="宋体" w:hAnsi="宋体"/>
          <w:sz w:val="21"/>
          <w:szCs w:val="21"/>
        </w:rPr>
        <w:t>特此声明！</w:t>
      </w:r>
    </w:p>
    <w:p>
      <w:pPr>
        <w:pStyle w:val="15"/>
        <w:snapToGrid w:val="0"/>
        <w:ind w:firstLine="480"/>
        <w:textAlignment w:val="baseline"/>
        <w:rPr>
          <w:rFonts w:ascii="宋体"/>
        </w:rPr>
      </w:pPr>
    </w:p>
    <w:p>
      <w:pPr>
        <w:snapToGrid w:val="0"/>
        <w:spacing w:before="156"/>
        <w:ind w:firstLine="200"/>
        <w:textAlignment w:val="baseline"/>
        <w:rPr>
          <w:rFonts w:ascii="宋体"/>
          <w:sz w:val="20"/>
        </w:rPr>
      </w:pPr>
    </w:p>
    <w:p>
      <w:pPr>
        <w:snapToGrid w:val="0"/>
        <w:spacing w:before="50" w:after="50"/>
        <w:textAlignment w:val="baseline"/>
        <w:rPr>
          <w:rFonts w:ascii="宋体" w:hAnsi="宋体"/>
          <w:sz w:val="20"/>
        </w:rPr>
      </w:pPr>
    </w:p>
    <w:p>
      <w:pPr>
        <w:snapToGrid w:val="0"/>
        <w:ind w:left="2" w:right="-816"/>
        <w:textAlignment w:val="baseline"/>
        <w:rPr>
          <w:rFonts w:ascii="宋体" w:hAnsi="宋体"/>
          <w:sz w:val="20"/>
        </w:rPr>
      </w:pPr>
    </w:p>
    <w:p>
      <w:pPr>
        <w:snapToGrid w:val="0"/>
        <w:spacing w:before="50" w:line="312" w:lineRule="auto"/>
        <w:jc w:val="left"/>
        <w:textAlignment w:val="baseline"/>
        <w:rPr>
          <w:rFonts w:ascii="宋体" w:hAnsi="宋体"/>
          <w:b/>
          <w:spacing w:val="20"/>
          <w:sz w:val="28"/>
        </w:rPr>
      </w:pPr>
      <w:r>
        <w:rPr>
          <w:rFonts w:hint="eastAsia" w:ascii="宋体" w:hAnsi="宋体"/>
        </w:rPr>
        <w:t>投标人名称（盖章）：                      日期：</w:t>
      </w:r>
    </w:p>
    <w:p>
      <w:pPr>
        <w:pStyle w:val="68"/>
        <w:snapToGrid w:val="0"/>
        <w:spacing w:before="156"/>
        <w:ind w:firstLine="200"/>
        <w:jc w:val="right"/>
        <w:textAlignment w:val="baseline"/>
        <w:rPr>
          <w:rFonts w:ascii="宋体" w:hAnsi="宋体"/>
          <w:sz w:val="21"/>
          <w:szCs w:val="24"/>
        </w:rPr>
      </w:pPr>
    </w:p>
    <w:p>
      <w:pPr>
        <w:snapToGrid w:val="0"/>
        <w:spacing w:before="156" w:after="50"/>
        <w:ind w:firstLine="482" w:firstLineChars="200"/>
        <w:jc w:val="left"/>
        <w:textAlignment w:val="baseline"/>
        <w:rPr>
          <w:rFonts w:ascii="宋体"/>
          <w:b/>
          <w:bCs/>
          <w:sz w:val="24"/>
        </w:rPr>
      </w:pPr>
    </w:p>
    <w:p>
      <w:pPr>
        <w:pStyle w:val="68"/>
        <w:snapToGrid w:val="0"/>
        <w:spacing w:before="156"/>
        <w:ind w:left="5250" w:firstLine="200"/>
        <w:jc w:val="right"/>
        <w:textAlignment w:val="baseline"/>
        <w:rPr>
          <w:rFonts w:ascii="宋体" w:hAnsi="宋体"/>
          <w:sz w:val="21"/>
          <w:szCs w:val="24"/>
        </w:rPr>
      </w:pPr>
    </w:p>
    <w:p>
      <w:pPr>
        <w:snapToGrid w:val="0"/>
        <w:spacing w:before="120" w:line="312" w:lineRule="auto"/>
        <w:ind w:right="-341"/>
        <w:jc w:val="center"/>
        <w:textAlignment w:val="baseline"/>
        <w:rPr>
          <w:rFonts w:hAnsi="宋体"/>
          <w:b/>
          <w:sz w:val="32"/>
        </w:rPr>
      </w:pPr>
    </w:p>
    <w:p>
      <w:pPr>
        <w:snapToGrid w:val="0"/>
        <w:spacing w:before="120" w:line="312" w:lineRule="auto"/>
        <w:ind w:right="-341"/>
        <w:jc w:val="center"/>
        <w:textAlignment w:val="baseline"/>
        <w:rPr>
          <w:rFonts w:hAnsi="宋体"/>
          <w:b/>
          <w:sz w:val="32"/>
        </w:rPr>
      </w:pPr>
    </w:p>
    <w:p>
      <w:pPr>
        <w:snapToGrid w:val="0"/>
        <w:spacing w:before="120" w:line="312" w:lineRule="auto"/>
        <w:ind w:right="-341"/>
        <w:jc w:val="center"/>
        <w:textAlignment w:val="baseline"/>
        <w:rPr>
          <w:rFonts w:hAnsi="宋体"/>
          <w:b/>
          <w:sz w:val="32"/>
        </w:rPr>
      </w:pPr>
    </w:p>
    <w:p>
      <w:pPr>
        <w:snapToGrid w:val="0"/>
        <w:spacing w:before="120" w:line="312" w:lineRule="auto"/>
        <w:ind w:right="-341"/>
        <w:jc w:val="center"/>
        <w:textAlignment w:val="baseline"/>
        <w:rPr>
          <w:rFonts w:hAnsi="宋体"/>
          <w:b/>
          <w:sz w:val="32"/>
        </w:rPr>
      </w:pPr>
    </w:p>
    <w:p>
      <w:pPr>
        <w:snapToGrid w:val="0"/>
        <w:spacing w:line="312" w:lineRule="auto"/>
        <w:jc w:val="left"/>
        <w:textAlignment w:val="baseline"/>
        <w:rPr>
          <w:rFonts w:hAnsi="宋体"/>
          <w:b/>
          <w:sz w:val="32"/>
        </w:rPr>
      </w:pPr>
    </w:p>
    <w:p>
      <w:pPr>
        <w:snapToGrid w:val="0"/>
        <w:spacing w:line="312" w:lineRule="auto"/>
        <w:jc w:val="left"/>
        <w:textAlignment w:val="baseline"/>
        <w:rPr>
          <w:rFonts w:hAnsi="宋体"/>
          <w:b/>
          <w:sz w:val="32"/>
        </w:rPr>
      </w:pPr>
    </w:p>
    <w:p>
      <w:pPr>
        <w:snapToGrid w:val="0"/>
        <w:spacing w:line="312" w:lineRule="auto"/>
        <w:jc w:val="left"/>
        <w:textAlignment w:val="baseline"/>
        <w:rPr>
          <w:rFonts w:hAnsi="宋体"/>
          <w:b/>
          <w:sz w:val="32"/>
        </w:rPr>
      </w:pPr>
    </w:p>
    <w:p>
      <w:pPr>
        <w:snapToGrid w:val="0"/>
        <w:spacing w:line="312" w:lineRule="auto"/>
        <w:jc w:val="left"/>
        <w:textAlignment w:val="baseline"/>
        <w:rPr>
          <w:rFonts w:hAnsi="宋体"/>
          <w:b/>
          <w:sz w:val="32"/>
        </w:rPr>
      </w:pPr>
    </w:p>
    <w:p>
      <w:pPr>
        <w:snapToGrid w:val="0"/>
        <w:spacing w:line="312" w:lineRule="auto"/>
        <w:jc w:val="left"/>
        <w:textAlignment w:val="baseline"/>
        <w:rPr>
          <w:rFonts w:hAnsi="宋体"/>
          <w:b/>
          <w:sz w:val="32"/>
        </w:rPr>
      </w:pPr>
    </w:p>
    <w:p>
      <w:pPr>
        <w:snapToGrid w:val="0"/>
        <w:spacing w:line="312" w:lineRule="auto"/>
        <w:jc w:val="left"/>
        <w:textAlignment w:val="baseline"/>
        <w:rPr>
          <w:rFonts w:hAnsi="宋体"/>
          <w:b/>
          <w:sz w:val="32"/>
        </w:rPr>
      </w:pPr>
    </w:p>
    <w:p>
      <w:pPr>
        <w:snapToGrid w:val="0"/>
        <w:spacing w:line="360" w:lineRule="auto"/>
        <w:textAlignment w:val="baseline"/>
        <w:rPr>
          <w:rFonts w:ascii="宋体" w:hAnsi="宋体"/>
          <w:sz w:val="24"/>
          <w:szCs w:val="28"/>
        </w:rPr>
      </w:pPr>
    </w:p>
    <w:p>
      <w:pPr>
        <w:snapToGrid w:val="0"/>
        <w:spacing w:line="360" w:lineRule="auto"/>
        <w:textAlignment w:val="baseline"/>
        <w:rPr>
          <w:rFonts w:ascii="宋体" w:hAnsi="宋体"/>
          <w:sz w:val="24"/>
          <w:szCs w:val="28"/>
        </w:rPr>
      </w:pPr>
    </w:p>
    <w:p>
      <w:pPr>
        <w:snapToGrid w:val="0"/>
        <w:textAlignment w:val="baseline"/>
        <w:rPr>
          <w:rFonts w:ascii="宋体" w:hAnsi="宋体"/>
          <w:b/>
          <w:spacing w:val="20"/>
          <w:sz w:val="24"/>
          <w:szCs w:val="24"/>
        </w:rPr>
      </w:pPr>
      <w:r>
        <w:rPr>
          <w:rFonts w:hint="eastAsia" w:ascii="宋体" w:hAnsi="宋体"/>
          <w:b/>
          <w:spacing w:val="20"/>
          <w:sz w:val="24"/>
          <w:szCs w:val="24"/>
        </w:rPr>
        <w:t>六、</w:t>
      </w:r>
    </w:p>
    <w:p>
      <w:pPr>
        <w:snapToGrid w:val="0"/>
        <w:jc w:val="center"/>
        <w:textAlignment w:val="baseline"/>
        <w:rPr>
          <w:sz w:val="28"/>
          <w:szCs w:val="28"/>
        </w:rPr>
      </w:pPr>
      <w:r>
        <w:rPr>
          <w:rFonts w:hint="eastAsia"/>
          <w:b/>
          <w:bCs/>
          <w:sz w:val="28"/>
          <w:szCs w:val="28"/>
        </w:rPr>
        <w:t>廉政承诺书</w:t>
      </w:r>
    </w:p>
    <w:p>
      <w:pPr>
        <w:snapToGrid w:val="0"/>
        <w:textAlignment w:val="baseline"/>
        <w:rPr>
          <w:b/>
          <w:bCs/>
          <w:sz w:val="28"/>
          <w:szCs w:val="28"/>
        </w:rPr>
      </w:pPr>
    </w:p>
    <w:p>
      <w:pPr>
        <w:snapToGrid w:val="0"/>
        <w:textAlignment w:val="baseline"/>
        <w:rPr>
          <w:b/>
          <w:bCs/>
          <w:sz w:val="24"/>
        </w:rPr>
      </w:pPr>
      <w:r>
        <w:rPr>
          <w:rFonts w:hint="eastAsia"/>
          <w:b/>
          <w:bCs/>
          <w:sz w:val="24"/>
        </w:rPr>
        <w:t>致：</w:t>
      </w:r>
      <w:r>
        <w:rPr>
          <w:rFonts w:hint="eastAsia"/>
          <w:b/>
          <w:bCs/>
          <w:sz w:val="24"/>
          <w:u w:val="single" w:color="000000"/>
        </w:rPr>
        <w:t>（</w:t>
      </w:r>
      <w:r>
        <w:rPr>
          <w:rFonts w:hint="eastAsia"/>
          <w:b/>
          <w:bCs/>
          <w:sz w:val="24"/>
        </w:rPr>
        <w:t>招标人）：</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我单位响应你单位项目招标要求参加投标，在这次投标过程中和中标后，我们将严格遵守国家法律法规要求，并郑重承诺:</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一、不向项目有关人员及部门赠送礼金礼物、有价证券、回扣以及中介费、介绍费、咨询费等好处费。</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二、不为项目有关人员及部门报销应由你方单位或个人支付的费用;</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三、不向项目有关人员及部门提供有可能影响公正的宴请和健身娱乐等活动;</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四、不为项目有关人员及部门出国(境)、旅游等提供方便；</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五、不为项目有关人员个人装修住房、婚丧嫁娶、配偶子女工作安排等提供好处;</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六、严格遵守政府采购法、民法典等法律，诚实守信，合法经营，坚决抵制各种违法违纪行为。</w:t>
      </w:r>
    </w:p>
    <w:p>
      <w:pPr>
        <w:snapToGrid w:val="0"/>
        <w:spacing w:line="360" w:lineRule="auto"/>
        <w:ind w:firstLine="420" w:firstLineChars="200"/>
        <w:textAlignment w:val="baseline"/>
        <w:rPr>
          <w:rFonts w:ascii="宋体" w:hAnsi="宋体" w:cs="仿宋"/>
          <w:sz w:val="20"/>
          <w:szCs w:val="21"/>
        </w:rPr>
      </w:pPr>
      <w:r>
        <w:rPr>
          <w:rFonts w:hint="eastAsia" w:ascii="宋体" w:hAnsi="宋体" w:cs="仿宋"/>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snapToGrid w:val="0"/>
        <w:textAlignment w:val="baseline"/>
        <w:rPr>
          <w:rFonts w:ascii="宋体" w:hAnsi="宋体"/>
          <w:sz w:val="20"/>
          <w:szCs w:val="21"/>
        </w:rPr>
      </w:pP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r>
        <w:rPr>
          <w:rFonts w:hint="eastAsia" w:ascii="宋体" w:hAnsi="宋体" w:cs="仿宋"/>
          <w:szCs w:val="21"/>
        </w:rPr>
        <w:t>投标人:(盖章)</w:t>
      </w: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p>
    <w:p>
      <w:pPr>
        <w:snapToGrid w:val="0"/>
        <w:textAlignment w:val="baseline"/>
        <w:rPr>
          <w:rFonts w:ascii="宋体" w:hAnsi="宋体" w:cs="仿宋"/>
          <w:sz w:val="20"/>
          <w:szCs w:val="21"/>
        </w:rPr>
      </w:pPr>
      <w:r>
        <w:rPr>
          <w:rFonts w:hint="eastAsia" w:ascii="宋体" w:hAnsi="宋体" w:cs="仿宋"/>
          <w:szCs w:val="21"/>
        </w:rPr>
        <w:t>日期:    年   月   日</w:t>
      </w:r>
    </w:p>
    <w:p>
      <w:pPr>
        <w:snapToGrid w:val="0"/>
        <w:spacing w:before="50" w:line="312" w:lineRule="auto"/>
        <w:jc w:val="left"/>
        <w:textAlignment w:val="baseline"/>
        <w:rPr>
          <w:rFonts w:ascii="宋体" w:hAnsi="宋体"/>
          <w:b/>
          <w:spacing w:val="20"/>
          <w:sz w:val="24"/>
          <w:szCs w:val="24"/>
        </w:rPr>
      </w:pPr>
    </w:p>
    <w:p>
      <w:pPr>
        <w:snapToGrid w:val="0"/>
        <w:spacing w:before="50" w:line="312" w:lineRule="auto"/>
        <w:jc w:val="left"/>
        <w:textAlignment w:val="baseline"/>
        <w:rPr>
          <w:rFonts w:ascii="宋体" w:hAnsi="宋体"/>
          <w:b/>
          <w:spacing w:val="20"/>
          <w:sz w:val="28"/>
        </w:rPr>
      </w:pPr>
    </w:p>
    <w:p>
      <w:pPr>
        <w:snapToGrid w:val="0"/>
        <w:spacing w:before="50" w:line="312" w:lineRule="auto"/>
        <w:jc w:val="center"/>
        <w:textAlignment w:val="baseline"/>
        <w:rPr>
          <w:rFonts w:ascii="宋体" w:hAnsi="宋体"/>
          <w:b/>
          <w:sz w:val="24"/>
        </w:rPr>
      </w:pPr>
    </w:p>
    <w:p>
      <w:pPr>
        <w:snapToGrid w:val="0"/>
        <w:spacing w:before="50" w:line="312" w:lineRule="auto"/>
        <w:jc w:val="center"/>
        <w:textAlignment w:val="baseline"/>
        <w:rPr>
          <w:rFonts w:ascii="宋体" w:hAnsi="宋体"/>
          <w:b/>
          <w:sz w:val="24"/>
        </w:rPr>
      </w:pPr>
    </w:p>
    <w:p>
      <w:pPr>
        <w:snapToGrid w:val="0"/>
        <w:spacing w:before="50" w:line="312" w:lineRule="auto"/>
        <w:jc w:val="center"/>
        <w:textAlignment w:val="baseline"/>
        <w:rPr>
          <w:rFonts w:ascii="宋体" w:hAnsi="宋体"/>
          <w:b/>
          <w:sz w:val="24"/>
        </w:rPr>
      </w:pPr>
    </w:p>
    <w:p>
      <w:pPr>
        <w:snapToGrid w:val="0"/>
        <w:spacing w:before="50" w:line="312" w:lineRule="auto"/>
        <w:jc w:val="center"/>
        <w:textAlignment w:val="baseline"/>
        <w:rPr>
          <w:rFonts w:ascii="宋体" w:hAnsi="宋体"/>
          <w:b/>
          <w:sz w:val="24"/>
        </w:rPr>
      </w:pPr>
    </w:p>
    <w:p>
      <w:pPr>
        <w:snapToGrid w:val="0"/>
        <w:spacing w:before="50" w:line="312" w:lineRule="auto"/>
        <w:jc w:val="center"/>
        <w:textAlignment w:val="baseline"/>
        <w:rPr>
          <w:rFonts w:ascii="宋体" w:hAnsi="宋体"/>
          <w:b/>
          <w:sz w:val="24"/>
        </w:rPr>
      </w:pPr>
    </w:p>
    <w:p>
      <w:pPr>
        <w:snapToGrid w:val="0"/>
        <w:spacing w:before="50" w:line="312" w:lineRule="auto"/>
        <w:jc w:val="center"/>
        <w:textAlignment w:val="baseline"/>
        <w:rPr>
          <w:rFonts w:ascii="宋体" w:hAnsi="宋体"/>
          <w:b/>
          <w:sz w:val="24"/>
        </w:rPr>
      </w:pPr>
    </w:p>
    <w:p>
      <w:pPr>
        <w:snapToGrid w:val="0"/>
        <w:spacing w:before="120" w:line="312" w:lineRule="auto"/>
        <w:ind w:right="-341"/>
        <w:textAlignment w:val="baseline"/>
        <w:rPr>
          <w:rFonts w:hAnsi="宋体"/>
          <w:b/>
          <w:sz w:val="32"/>
        </w:rPr>
      </w:pPr>
    </w:p>
    <w:p>
      <w:pPr>
        <w:snapToGrid w:val="0"/>
        <w:spacing w:before="120" w:line="312" w:lineRule="auto"/>
        <w:ind w:right="-341"/>
        <w:textAlignment w:val="baseline"/>
        <w:rPr>
          <w:rFonts w:ascii="宋体"/>
          <w:sz w:val="20"/>
          <w:szCs w:val="21"/>
        </w:rPr>
      </w:pPr>
      <w:r>
        <w:rPr>
          <w:rFonts w:hint="eastAsia" w:hAnsi="宋体"/>
          <w:b/>
          <w:sz w:val="24"/>
          <w:szCs w:val="24"/>
        </w:rPr>
        <w:t>七、</w:t>
      </w:r>
    </w:p>
    <w:p>
      <w:pPr>
        <w:snapToGrid w:val="0"/>
        <w:spacing w:line="360" w:lineRule="auto"/>
        <w:ind w:right="-341"/>
        <w:textAlignment w:val="baseline"/>
        <w:rPr>
          <w:rFonts w:ascii="宋体" w:hAnsi="宋体"/>
          <w:sz w:val="20"/>
        </w:rPr>
      </w:pPr>
    </w:p>
    <w:p>
      <w:pPr>
        <w:snapToGrid w:val="0"/>
        <w:spacing w:line="360" w:lineRule="auto"/>
        <w:ind w:right="-341"/>
        <w:jc w:val="center"/>
        <w:textAlignment w:val="baseline"/>
        <w:rPr>
          <w:rFonts w:ascii="宋体" w:hAnsi="宋体" w:cs="宋体"/>
          <w:b/>
          <w:kern w:val="0"/>
          <w:sz w:val="28"/>
          <w:szCs w:val="28"/>
        </w:rPr>
      </w:pPr>
      <w:r>
        <w:rPr>
          <w:rFonts w:hint="eastAsia" w:ascii="宋体" w:hAnsi="宋体" w:cs="宋体"/>
          <w:b/>
          <w:kern w:val="0"/>
          <w:sz w:val="28"/>
          <w:szCs w:val="28"/>
        </w:rPr>
        <w:t>中小企业声明函（工程、服务）</w:t>
      </w:r>
    </w:p>
    <w:p>
      <w:pPr>
        <w:snapToGrid w:val="0"/>
        <w:spacing w:line="360" w:lineRule="auto"/>
        <w:ind w:right="-341"/>
        <w:textAlignment w:val="baseline"/>
        <w:rPr>
          <w:rFonts w:ascii="宋体" w:hAnsi="宋体" w:cs="宋体"/>
          <w:kern w:val="0"/>
          <w:sz w:val="20"/>
          <w:szCs w:val="21"/>
        </w:rPr>
      </w:pPr>
    </w:p>
    <w:p>
      <w:pPr>
        <w:snapToGrid w:val="0"/>
        <w:spacing w:line="360" w:lineRule="auto"/>
        <w:ind w:right="-341" w:firstLine="400" w:firstLineChars="200"/>
        <w:textAlignment w:val="baseline"/>
        <w:rPr>
          <w:rFonts w:ascii="宋体" w:hAnsi="宋体" w:cs="宋体"/>
          <w:kern w:val="0"/>
          <w:sz w:val="20"/>
          <w:szCs w:val="21"/>
        </w:rPr>
      </w:pPr>
    </w:p>
    <w:p>
      <w:pPr>
        <w:snapToGrid w:val="0"/>
        <w:spacing w:line="360" w:lineRule="auto"/>
        <w:ind w:right="-341" w:firstLine="400" w:firstLineChars="200"/>
        <w:textAlignment w:val="baseline"/>
        <w:rPr>
          <w:rFonts w:ascii="宋体" w:hAnsi="宋体" w:cs="宋体"/>
          <w:kern w:val="0"/>
          <w:sz w:val="20"/>
          <w:szCs w:val="21"/>
        </w:rPr>
      </w:pPr>
    </w:p>
    <w:p>
      <w:pPr>
        <w:snapToGrid w:val="0"/>
        <w:spacing w:line="360" w:lineRule="auto"/>
        <w:ind w:right="-341" w:firstLine="420" w:firstLineChars="200"/>
        <w:textAlignment w:val="baseline"/>
        <w:rPr>
          <w:rFonts w:ascii="宋体" w:hAnsi="宋体" w:cs="宋体"/>
          <w:kern w:val="0"/>
          <w:sz w:val="20"/>
          <w:szCs w:val="21"/>
        </w:rPr>
      </w:pPr>
      <w:r>
        <w:rPr>
          <w:rFonts w:hint="eastAsia" w:ascii="宋体" w:hAnsi="宋体" w:cs="宋体"/>
          <w:kern w:val="0"/>
          <w:szCs w:val="21"/>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textAlignment w:val="baseline"/>
        <w:rPr>
          <w:rFonts w:ascii="宋体" w:hAnsi="宋体" w:cs="宋体"/>
          <w:kern w:val="0"/>
          <w:sz w:val="20"/>
          <w:szCs w:val="21"/>
        </w:rPr>
      </w:pPr>
      <w:r>
        <w:rPr>
          <w:rFonts w:hint="eastAsia" w:ascii="宋体" w:hAnsi="宋体" w:cs="宋体"/>
          <w:kern w:val="0"/>
          <w:szCs w:val="21"/>
        </w:rPr>
        <w:t>1.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420" w:firstLineChars="200"/>
        <w:textAlignment w:val="baseline"/>
        <w:rPr>
          <w:rFonts w:ascii="宋体" w:hAnsi="宋体" w:cs="宋体"/>
          <w:kern w:val="0"/>
          <w:sz w:val="20"/>
          <w:szCs w:val="21"/>
        </w:rPr>
      </w:pPr>
      <w:r>
        <w:rPr>
          <w:rFonts w:hint="eastAsia" w:ascii="宋体" w:hAnsi="宋体" w:cs="宋体"/>
          <w:kern w:val="0"/>
          <w:szCs w:val="21"/>
        </w:rPr>
        <w:t>2.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textAlignment w:val="baseline"/>
        <w:rPr>
          <w:rFonts w:ascii="宋体" w:hAnsi="宋体" w:cs="宋体"/>
          <w:kern w:val="0"/>
          <w:sz w:val="20"/>
          <w:szCs w:val="21"/>
        </w:rPr>
      </w:pPr>
      <w:r>
        <w:rPr>
          <w:rFonts w:hint="eastAsia" w:ascii="宋体" w:hAnsi="宋体" w:cs="宋体"/>
          <w:kern w:val="0"/>
          <w:szCs w:val="21"/>
        </w:rPr>
        <w:t>……</w:t>
      </w:r>
    </w:p>
    <w:p>
      <w:pPr>
        <w:snapToGrid w:val="0"/>
        <w:spacing w:line="360" w:lineRule="auto"/>
        <w:ind w:right="-341" w:firstLine="420" w:firstLineChars="200"/>
        <w:textAlignment w:val="baseline"/>
        <w:rPr>
          <w:rFonts w:ascii="宋体" w:hAnsi="宋体" w:cs="宋体"/>
          <w:kern w:val="0"/>
          <w:sz w:val="2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firstLineChars="200"/>
        <w:textAlignment w:val="baseline"/>
        <w:rPr>
          <w:rFonts w:ascii="宋体" w:hAnsi="宋体" w:cs="宋体"/>
          <w:kern w:val="0"/>
          <w:sz w:val="20"/>
          <w:szCs w:val="21"/>
        </w:rPr>
      </w:pPr>
      <w:r>
        <w:rPr>
          <w:rFonts w:hint="eastAsia" w:ascii="宋体" w:hAnsi="宋体" w:cs="宋体"/>
          <w:kern w:val="0"/>
          <w:szCs w:val="21"/>
        </w:rPr>
        <w:t>本企业对上述声明内容的真实性负责。如有虚假，将依法承担相应责任。</w:t>
      </w:r>
    </w:p>
    <w:p>
      <w:pPr>
        <w:snapToGrid w:val="0"/>
        <w:spacing w:line="360" w:lineRule="auto"/>
        <w:ind w:right="-341"/>
        <w:textAlignment w:val="baseline"/>
        <w:rPr>
          <w:rFonts w:ascii="宋体" w:hAnsi="宋体" w:cs="宋体"/>
          <w:kern w:val="0"/>
          <w:sz w:val="20"/>
          <w:szCs w:val="21"/>
        </w:rPr>
      </w:pPr>
    </w:p>
    <w:p>
      <w:pPr>
        <w:snapToGrid w:val="0"/>
        <w:spacing w:line="360" w:lineRule="auto"/>
        <w:ind w:right="-341"/>
        <w:textAlignment w:val="baseline"/>
        <w:rPr>
          <w:rFonts w:ascii="宋体" w:hAnsi="宋体" w:cs="宋体"/>
          <w:kern w:val="0"/>
          <w:sz w:val="20"/>
          <w:szCs w:val="21"/>
        </w:rPr>
      </w:pPr>
      <w:r>
        <w:rPr>
          <w:rFonts w:hint="eastAsia" w:ascii="宋体" w:hAnsi="宋体" w:cs="宋体"/>
          <w:kern w:val="0"/>
          <w:szCs w:val="21"/>
        </w:rPr>
        <w:t>企业名称（盖章）：</w:t>
      </w:r>
    </w:p>
    <w:p>
      <w:pPr>
        <w:snapToGrid w:val="0"/>
        <w:spacing w:line="360" w:lineRule="auto"/>
        <w:ind w:right="-341"/>
        <w:jc w:val="left"/>
        <w:textAlignment w:val="baseline"/>
        <w:rPr>
          <w:sz w:val="20"/>
        </w:rPr>
      </w:pPr>
      <w:r>
        <w:rPr>
          <w:rFonts w:hint="eastAsia" w:ascii="宋体" w:hAnsi="宋体" w:cs="宋体"/>
          <w:kern w:val="0"/>
          <w:szCs w:val="21"/>
        </w:rPr>
        <w:t>日 期：</w:t>
      </w: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jc w:val="center"/>
        <w:textAlignment w:val="baseline"/>
        <w:rPr>
          <w:rFonts w:ascii="宋体" w:hAnsi="宋体"/>
          <w:b/>
          <w:sz w:val="28"/>
          <w:szCs w:val="28"/>
        </w:rPr>
      </w:pPr>
      <w:r>
        <w:rPr>
          <w:rFonts w:hint="eastAsia" w:ascii="宋体" w:hAnsi="宋体"/>
          <w:b/>
          <w:sz w:val="28"/>
          <w:szCs w:val="28"/>
        </w:rPr>
        <w:t>监狱企业声明函</w:t>
      </w:r>
    </w:p>
    <w:p>
      <w:pPr>
        <w:snapToGrid w:val="0"/>
        <w:spacing w:line="360" w:lineRule="auto"/>
        <w:ind w:firstLine="3120" w:firstLineChars="1300"/>
        <w:textAlignment w:val="baseline"/>
        <w:rPr>
          <w:rFonts w:ascii="宋体" w:hAnsi="宋体"/>
          <w:sz w:val="24"/>
          <w:szCs w:val="24"/>
        </w:rPr>
      </w:pPr>
      <w:r>
        <w:rPr>
          <w:rFonts w:hint="eastAsia" w:ascii="宋体" w:hAnsi="宋体"/>
          <w:sz w:val="24"/>
          <w:szCs w:val="24"/>
        </w:rPr>
        <w:t>【非监狱企业不用提供】</w:t>
      </w:r>
    </w:p>
    <w:p>
      <w:pPr>
        <w:snapToGrid w:val="0"/>
        <w:spacing w:line="360" w:lineRule="auto"/>
        <w:ind w:firstLine="480"/>
        <w:textAlignment w:val="baseline"/>
        <w:rPr>
          <w:rFonts w:ascii="宋体" w:hAnsi="宋体"/>
          <w:sz w:val="20"/>
          <w:szCs w:val="21"/>
        </w:rPr>
      </w:pPr>
    </w:p>
    <w:p>
      <w:pPr>
        <w:snapToGrid w:val="0"/>
        <w:spacing w:line="360" w:lineRule="auto"/>
        <w:ind w:firstLine="525" w:firstLineChars="250"/>
        <w:textAlignment w:val="baseline"/>
        <w:rPr>
          <w:rFonts w:ascii="宋体" w:hAnsi="宋体"/>
          <w:sz w:val="20"/>
          <w:szCs w:val="21"/>
        </w:rPr>
      </w:pPr>
      <w:r>
        <w:rPr>
          <w:rFonts w:hint="eastAsia" w:ascii="宋体" w:hAnsi="宋体"/>
          <w:szCs w:val="21"/>
        </w:rPr>
        <w:t>监狱企业参加政府采购活动时，应当提供由省级以上监狱管理本企业郑重声明，根据《关于政府采购支持监狱企业发展有关问题的通知》（财库[2014]68号）的规定，本企业为监狱企业。</w:t>
      </w:r>
    </w:p>
    <w:p>
      <w:pPr>
        <w:snapToGrid w:val="0"/>
        <w:spacing w:line="360" w:lineRule="auto"/>
        <w:ind w:firstLine="480"/>
        <w:textAlignment w:val="baseline"/>
        <w:rPr>
          <w:rFonts w:ascii="宋体" w:hAnsi="宋体"/>
          <w:sz w:val="20"/>
          <w:szCs w:val="21"/>
        </w:rPr>
      </w:pPr>
      <w:r>
        <w:rPr>
          <w:rFonts w:hint="eastAsia" w:ascii="宋体" w:hAnsi="宋体"/>
          <w:szCs w:val="21"/>
        </w:rPr>
        <w:t>根据上述标准，我企业属于监狱企业的理由为：。</w:t>
      </w:r>
    </w:p>
    <w:p>
      <w:pPr>
        <w:snapToGrid w:val="0"/>
        <w:spacing w:line="360" w:lineRule="auto"/>
        <w:ind w:firstLine="480"/>
        <w:textAlignment w:val="baseline"/>
        <w:rPr>
          <w:rFonts w:ascii="宋体" w:hAnsi="宋体"/>
          <w:sz w:val="20"/>
          <w:szCs w:val="21"/>
        </w:rPr>
      </w:pPr>
      <w:r>
        <w:rPr>
          <w:rFonts w:hint="eastAsia" w:ascii="宋体" w:hAnsi="宋体"/>
          <w:szCs w:val="21"/>
        </w:rPr>
        <w:t>本企业为参加（项目名称： ）（项目编号： ）采购活动提供本企业的产品。</w:t>
      </w:r>
    </w:p>
    <w:p>
      <w:pPr>
        <w:snapToGrid w:val="0"/>
        <w:spacing w:line="360" w:lineRule="auto"/>
        <w:ind w:firstLine="480"/>
        <w:textAlignment w:val="baseline"/>
        <w:rPr>
          <w:rFonts w:ascii="宋体" w:hAnsi="宋体"/>
          <w:sz w:val="20"/>
          <w:szCs w:val="21"/>
        </w:rPr>
      </w:pPr>
      <w:r>
        <w:rPr>
          <w:rFonts w:hint="eastAsia" w:ascii="宋体" w:hAnsi="宋体"/>
          <w:szCs w:val="21"/>
        </w:rPr>
        <w:t>本企业对上述声明的真实性负责。如有虚假，将依法承担相应责任。</w:t>
      </w: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r>
        <w:rPr>
          <w:rFonts w:hint="eastAsia" w:ascii="宋体" w:hAnsi="宋体"/>
          <w:szCs w:val="21"/>
        </w:rPr>
        <w:t>投标人名称（盖章）：</w:t>
      </w:r>
    </w:p>
    <w:p>
      <w:pPr>
        <w:snapToGrid w:val="0"/>
        <w:spacing w:line="360" w:lineRule="auto"/>
        <w:ind w:firstLine="480"/>
        <w:textAlignment w:val="baseline"/>
        <w:rPr>
          <w:rFonts w:ascii="宋体" w:hAnsi="宋体"/>
          <w:sz w:val="20"/>
          <w:szCs w:val="21"/>
        </w:rPr>
      </w:pPr>
      <w:r>
        <w:rPr>
          <w:rFonts w:hint="eastAsia" w:ascii="宋体" w:hAnsi="宋体"/>
          <w:szCs w:val="21"/>
        </w:rPr>
        <w:t>日期： 年 月 日</w:t>
      </w: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r>
        <w:rPr>
          <w:rFonts w:hint="eastAsia" w:ascii="宋体" w:hAnsi="宋体"/>
          <w:szCs w:val="21"/>
        </w:rPr>
        <w:t>投标人为监狱企业的提供此函。</w:t>
      </w:r>
    </w:p>
    <w:p>
      <w:pPr>
        <w:snapToGrid w:val="0"/>
        <w:spacing w:line="360" w:lineRule="auto"/>
        <w:ind w:firstLine="480"/>
        <w:textAlignment w:val="baseline"/>
        <w:rPr>
          <w:rFonts w:ascii="宋体" w:hAnsi="宋体"/>
          <w:sz w:val="20"/>
          <w:szCs w:val="21"/>
        </w:rPr>
      </w:pPr>
      <w:r>
        <w:rPr>
          <w:rFonts w:hint="eastAsia" w:ascii="宋体" w:hAnsi="宋体"/>
          <w:szCs w:val="21"/>
        </w:rPr>
        <w:t>局、戒毒管理局（含新疆生产建设兵团）出具的属于监狱企业的证明文件。</w:t>
      </w:r>
    </w:p>
    <w:p>
      <w:pPr>
        <w:snapToGrid w:val="0"/>
        <w:spacing w:line="360" w:lineRule="auto"/>
        <w:ind w:firstLine="480"/>
        <w:textAlignment w:val="baseline"/>
        <w:rPr>
          <w:rFonts w:ascii="宋体" w:hAnsi="宋体"/>
          <w:sz w:val="20"/>
          <w:szCs w:val="21"/>
        </w:rPr>
      </w:pPr>
      <w:r>
        <w:rPr>
          <w:rFonts w:hint="eastAsia"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snapToGrid w:val="0"/>
        <w:spacing w:line="360" w:lineRule="auto"/>
        <w:ind w:firstLine="480"/>
        <w:textAlignment w:val="baseline"/>
        <w:rPr>
          <w:rFonts w:ascii="宋体" w:hAnsi="宋体"/>
          <w:sz w:val="20"/>
          <w:szCs w:val="21"/>
        </w:rPr>
      </w:pPr>
    </w:p>
    <w:p>
      <w:pPr>
        <w:pStyle w:val="24"/>
        <w:snapToGrid w:val="0"/>
        <w:spacing w:line="360" w:lineRule="auto"/>
        <w:ind w:firstLine="105" w:firstLineChars="50"/>
        <w:textAlignment w:val="baseline"/>
        <w:rPr>
          <w:rFonts w:ascii="宋体" w:hAnsi="宋体"/>
          <w:sz w:val="21"/>
          <w:szCs w:val="21"/>
        </w:rPr>
      </w:pPr>
    </w:p>
    <w:p>
      <w:pPr>
        <w:pStyle w:val="24"/>
        <w:snapToGrid w:val="0"/>
        <w:spacing w:line="360" w:lineRule="auto"/>
        <w:jc w:val="center"/>
        <w:textAlignment w:val="baseline"/>
        <w:rPr>
          <w:b/>
          <w:sz w:val="28"/>
          <w:szCs w:val="28"/>
        </w:rPr>
      </w:pPr>
      <w:r>
        <w:rPr>
          <w:rFonts w:hint="eastAsia"/>
          <w:b/>
          <w:sz w:val="28"/>
          <w:szCs w:val="28"/>
        </w:rPr>
        <w:t>残疾人福利性单位声明函</w:t>
      </w:r>
    </w:p>
    <w:p>
      <w:pPr>
        <w:pStyle w:val="24"/>
        <w:snapToGrid w:val="0"/>
        <w:spacing w:line="360" w:lineRule="auto"/>
        <w:ind w:firstLine="2835" w:firstLineChars="1350"/>
        <w:textAlignment w:val="baseline"/>
        <w:rPr>
          <w:rFonts w:ascii="宋体" w:cs="宋体"/>
          <w:sz w:val="21"/>
          <w:szCs w:val="21"/>
        </w:rPr>
      </w:pPr>
      <w:r>
        <w:rPr>
          <w:rFonts w:hint="eastAsia" w:ascii="宋体" w:cs="宋体"/>
          <w:sz w:val="21"/>
          <w:szCs w:val="21"/>
        </w:rPr>
        <w:t>【非残疾人福利性单位不用提供】</w:t>
      </w:r>
    </w:p>
    <w:p>
      <w:pPr>
        <w:pStyle w:val="24"/>
        <w:snapToGrid w:val="0"/>
        <w:spacing w:line="360" w:lineRule="auto"/>
        <w:textAlignment w:val="baseline"/>
        <w:rPr>
          <w:rFonts w:ascii="宋体" w:cs="宋体"/>
          <w:sz w:val="21"/>
          <w:szCs w:val="21"/>
        </w:rPr>
      </w:pPr>
    </w:p>
    <w:p>
      <w:pPr>
        <w:pStyle w:val="24"/>
        <w:snapToGrid w:val="0"/>
        <w:spacing w:line="360" w:lineRule="auto"/>
        <w:ind w:firstLine="420" w:firstLineChars="200"/>
        <w:textAlignment w:val="baseline"/>
        <w:rPr>
          <w:rFonts w:ascii="宋体" w:hAnsi="Arial" w:cs="宋体"/>
          <w:sz w:val="21"/>
          <w:szCs w:val="21"/>
        </w:rPr>
      </w:pPr>
      <w:r>
        <w:rPr>
          <w:rFonts w:hint="eastAsia" w:ascii="宋体" w:cs="宋体"/>
          <w:sz w:val="21"/>
          <w:szCs w:val="21"/>
        </w:rPr>
        <w:t>本单位郑重声明，根据《财政部民政部中国残疾人联合会关于促进残疾人就业政府采购政策的通知》（财库〔</w:t>
      </w:r>
      <w:r>
        <w:rPr>
          <w:rFonts w:ascii="Arial" w:hAnsi="Arial" w:cs="Arial"/>
          <w:sz w:val="21"/>
          <w:szCs w:val="21"/>
        </w:rPr>
        <w:t>2017</w:t>
      </w:r>
      <w:r>
        <w:rPr>
          <w:rFonts w:hint="eastAsia" w:ascii="宋体" w:hAnsi="Arial" w:cs="宋体"/>
          <w:sz w:val="21"/>
          <w:szCs w:val="21"/>
        </w:rPr>
        <w:t>〕</w:t>
      </w:r>
      <w:r>
        <w:rPr>
          <w:rFonts w:ascii="Arial" w:hAnsi="Arial" w:cs="Arial"/>
          <w:sz w:val="21"/>
          <w:szCs w:val="21"/>
        </w:rPr>
        <w:t>141</w:t>
      </w:r>
      <w:r>
        <w:rPr>
          <w:rFonts w:hint="eastAsia" w:ascii="宋体" w:hAnsi="Arial" w:cs="宋体"/>
          <w:sz w:val="21"/>
          <w:szCs w:val="21"/>
        </w:rPr>
        <w:t>号）的规定，本单位为符合条件的残疾人福利性单位，且本单位参加（采购单位名称）单位的（项目名称）项目采购活动提供本单位制造的货物（由本单位承担工程</w:t>
      </w:r>
      <w:r>
        <w:rPr>
          <w:rFonts w:ascii="Arial" w:hAnsi="Arial" w:cs="Arial"/>
          <w:sz w:val="21"/>
          <w:szCs w:val="21"/>
        </w:rPr>
        <w:t>/</w:t>
      </w:r>
      <w:r>
        <w:rPr>
          <w:rFonts w:hint="eastAsia" w:ascii="宋体" w:hAnsi="Arial" w:cs="宋体"/>
          <w:sz w:val="21"/>
          <w:szCs w:val="21"/>
        </w:rPr>
        <w:t>提供服务），或者提供其他残疾人福利性单位制造的货物（不包括使用非残疾人福利性单位注册商标的货物）。</w:t>
      </w:r>
    </w:p>
    <w:p>
      <w:pPr>
        <w:pStyle w:val="24"/>
        <w:snapToGrid w:val="0"/>
        <w:spacing w:line="360" w:lineRule="auto"/>
        <w:ind w:firstLine="420" w:firstLineChars="200"/>
        <w:textAlignment w:val="baseline"/>
        <w:rPr>
          <w:rFonts w:ascii="宋体" w:hAnsi="Arial" w:cs="宋体"/>
          <w:sz w:val="21"/>
          <w:szCs w:val="21"/>
        </w:rPr>
      </w:pPr>
      <w:r>
        <w:rPr>
          <w:rFonts w:hint="eastAsia" w:ascii="宋体" w:hAnsi="Arial" w:cs="宋体"/>
          <w:sz w:val="21"/>
          <w:szCs w:val="21"/>
        </w:rPr>
        <w:t>本单位对上述声明的真实性负责。如有虚假，将依法承担相应责任。</w:t>
      </w:r>
    </w:p>
    <w:p>
      <w:pPr>
        <w:pStyle w:val="24"/>
        <w:snapToGrid w:val="0"/>
        <w:spacing w:line="360" w:lineRule="auto"/>
        <w:textAlignment w:val="baseline"/>
        <w:rPr>
          <w:rFonts w:ascii="宋体" w:hAnsi="Arial" w:cs="宋体"/>
          <w:sz w:val="21"/>
          <w:szCs w:val="21"/>
        </w:rPr>
      </w:pPr>
    </w:p>
    <w:p>
      <w:pPr>
        <w:pStyle w:val="24"/>
        <w:snapToGrid w:val="0"/>
        <w:spacing w:line="360" w:lineRule="auto"/>
        <w:textAlignment w:val="baseline"/>
        <w:rPr>
          <w:rFonts w:ascii="宋体" w:hAnsi="Arial" w:cs="宋体"/>
          <w:sz w:val="21"/>
          <w:szCs w:val="21"/>
        </w:rPr>
      </w:pPr>
    </w:p>
    <w:p>
      <w:pPr>
        <w:pStyle w:val="24"/>
        <w:snapToGrid w:val="0"/>
        <w:spacing w:line="360" w:lineRule="auto"/>
        <w:textAlignment w:val="baseline"/>
        <w:rPr>
          <w:rFonts w:ascii="宋体" w:hAnsi="Arial" w:cs="宋体"/>
          <w:sz w:val="21"/>
          <w:szCs w:val="21"/>
        </w:rPr>
      </w:pPr>
      <w:r>
        <w:rPr>
          <w:rFonts w:hint="eastAsia" w:ascii="宋体" w:hAnsi="Arial" w:cs="宋体"/>
          <w:sz w:val="21"/>
          <w:szCs w:val="21"/>
        </w:rPr>
        <w:t>投标人名称（盖章）：</w:t>
      </w:r>
    </w:p>
    <w:p>
      <w:pPr>
        <w:pStyle w:val="24"/>
        <w:snapToGrid w:val="0"/>
        <w:spacing w:line="360" w:lineRule="auto"/>
        <w:textAlignment w:val="baseline"/>
        <w:rPr>
          <w:rFonts w:ascii="宋体" w:hAnsi="Arial" w:cs="宋体"/>
          <w:sz w:val="21"/>
          <w:szCs w:val="21"/>
        </w:rPr>
      </w:pPr>
      <w:r>
        <w:rPr>
          <w:rFonts w:hint="eastAsia" w:ascii="宋体" w:hAnsi="Arial" w:cs="宋体"/>
          <w:sz w:val="21"/>
          <w:szCs w:val="21"/>
        </w:rPr>
        <w:t>日期：年月日</w:t>
      </w:r>
    </w:p>
    <w:p>
      <w:pPr>
        <w:snapToGrid w:val="0"/>
        <w:spacing w:line="360" w:lineRule="auto"/>
        <w:ind w:firstLine="480"/>
        <w:textAlignment w:val="baseline"/>
        <w:rPr>
          <w:rFonts w:ascii="宋体" w:hAnsi="宋体"/>
          <w:sz w:val="20"/>
          <w:szCs w:val="21"/>
        </w:rPr>
      </w:pPr>
      <w:r>
        <w:rPr>
          <w:rFonts w:hint="eastAsia" w:ascii="宋体" w:hAnsi="Arial" w:cs="宋体"/>
          <w:szCs w:val="21"/>
        </w:rPr>
        <w:t>说明：投标人为残疾人福利性单位的提供此函。</w:t>
      </w: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60" w:lineRule="auto"/>
        <w:ind w:right="-341"/>
        <w:textAlignment w:val="baseline"/>
        <w:rPr>
          <w:rFonts w:ascii="宋体" w:hAnsi="宋体"/>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12" w:lineRule="auto"/>
        <w:ind w:right="-341"/>
        <w:textAlignment w:val="baseline"/>
        <w:rPr>
          <w:rFonts w:ascii="宋体" w:hAnsi="宋体"/>
          <w:b/>
          <w:sz w:val="20"/>
        </w:rPr>
      </w:pPr>
    </w:p>
    <w:p>
      <w:pPr>
        <w:snapToGrid w:val="0"/>
        <w:spacing w:line="360" w:lineRule="auto"/>
        <w:ind w:right="-341"/>
        <w:textAlignment w:val="baseline"/>
        <w:rPr>
          <w:b/>
          <w:sz w:val="20"/>
        </w:rPr>
      </w:pPr>
    </w:p>
    <w:p>
      <w:pPr>
        <w:snapToGrid w:val="0"/>
        <w:spacing w:before="50" w:line="312" w:lineRule="auto"/>
        <w:textAlignment w:val="baseline"/>
        <w:rPr>
          <w:rFonts w:ascii="宋体" w:hAnsi="宋体"/>
          <w:b/>
          <w:sz w:val="24"/>
        </w:rPr>
      </w:pPr>
      <w:r>
        <w:rPr>
          <w:rFonts w:hint="eastAsia" w:ascii="宋体" w:hAnsi="宋体"/>
          <w:b/>
          <w:sz w:val="24"/>
        </w:rPr>
        <w:t>八</w:t>
      </w:r>
    </w:p>
    <w:p>
      <w:pPr>
        <w:snapToGrid w:val="0"/>
        <w:spacing w:before="50" w:line="312" w:lineRule="auto"/>
        <w:jc w:val="center"/>
        <w:textAlignment w:val="baseline"/>
        <w:rPr>
          <w:rFonts w:ascii="宋体" w:hAnsi="宋体"/>
          <w:b/>
          <w:sz w:val="28"/>
          <w:szCs w:val="28"/>
        </w:rPr>
      </w:pPr>
      <w:r>
        <w:rPr>
          <w:rFonts w:hint="eastAsia" w:ascii="宋体" w:hAnsi="宋体"/>
          <w:b/>
          <w:sz w:val="28"/>
          <w:szCs w:val="28"/>
        </w:rPr>
        <w:t>商务响应表</w:t>
      </w:r>
    </w:p>
    <w:p>
      <w:pPr>
        <w:snapToGrid w:val="0"/>
        <w:spacing w:before="50" w:line="312" w:lineRule="auto"/>
        <w:jc w:val="center"/>
        <w:textAlignment w:val="baseline"/>
        <w:rPr>
          <w:rFonts w:ascii="宋体" w:hAnsi="宋体"/>
          <w:b/>
          <w:sz w:val="24"/>
        </w:rPr>
      </w:pPr>
    </w:p>
    <w:p>
      <w:pPr>
        <w:snapToGrid w:val="0"/>
        <w:spacing w:line="312" w:lineRule="auto"/>
        <w:textAlignment w:val="baseline"/>
        <w:rPr>
          <w:rFonts w:ascii="宋体" w:hAnsi="宋体"/>
          <w:sz w:val="20"/>
        </w:rPr>
      </w:pPr>
      <w:r>
        <w:rPr>
          <w:rFonts w:hint="eastAsia" w:ascii="宋体" w:hAnsi="宋体"/>
        </w:rPr>
        <w:t>项目名称：</w:t>
      </w:r>
    </w:p>
    <w:p>
      <w:pPr>
        <w:snapToGrid w:val="0"/>
        <w:spacing w:line="312" w:lineRule="auto"/>
        <w:textAlignment w:val="baseline"/>
        <w:rPr>
          <w:rFonts w:ascii="宋体"/>
          <w:sz w:val="20"/>
        </w:rPr>
      </w:pPr>
      <w:r>
        <w:rPr>
          <w:rFonts w:hint="eastAsia" w:ascii="宋体" w:hAnsi="宋体"/>
        </w:rPr>
        <w:t>项目编号：</w:t>
      </w:r>
    </w:p>
    <w:tbl>
      <w:tblPr>
        <w:tblStyle w:val="36"/>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line="312" w:lineRule="auto"/>
              <w:jc w:val="center"/>
              <w:textAlignment w:val="baseline"/>
              <w:rPr>
                <w:rFonts w:ascii="宋体" w:hAnsi="宋体"/>
                <w:b/>
                <w:sz w:val="20"/>
              </w:rPr>
            </w:pPr>
            <w:r>
              <w:rPr>
                <w:rFonts w:hint="eastAsia" w:ascii="宋体" w:hAnsi="宋体"/>
                <w:b/>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line="312" w:lineRule="auto"/>
              <w:jc w:val="center"/>
              <w:textAlignment w:val="baseline"/>
              <w:rPr>
                <w:rFonts w:ascii="宋体" w:hAnsi="宋体"/>
                <w:b/>
                <w:sz w:val="20"/>
              </w:rPr>
            </w:pPr>
            <w:r>
              <w:rPr>
                <w:rFonts w:hint="eastAsia" w:ascii="宋体" w:hAnsi="宋体"/>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line="312" w:lineRule="auto"/>
              <w:jc w:val="center"/>
              <w:textAlignment w:val="baseline"/>
              <w:rPr>
                <w:rFonts w:ascii="宋体" w:hAnsi="宋体"/>
                <w:b/>
                <w:sz w:val="20"/>
              </w:rPr>
            </w:pPr>
            <w:r>
              <w:rPr>
                <w:rFonts w:hint="eastAsia" w:ascii="宋体" w:hAnsi="宋体"/>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line="312" w:lineRule="auto"/>
              <w:jc w:val="center"/>
              <w:textAlignment w:val="baseline"/>
              <w:rPr>
                <w:rFonts w:ascii="宋体" w:hAnsi="宋体"/>
                <w:b/>
                <w:sz w:val="20"/>
              </w:rPr>
            </w:pPr>
            <w:r>
              <w:rPr>
                <w:rFonts w:hint="eastAsia" w:ascii="宋体" w:hAnsi="宋体"/>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93"/>
              <w:widowControl/>
              <w:tabs>
                <w:tab w:val="left" w:pos="420"/>
              </w:tabs>
              <w:snapToGrid w:val="0"/>
              <w:spacing w:line="312" w:lineRule="auto"/>
              <w:textAlignment w:val="baseline"/>
              <w:rPr>
                <w:rFonts w:ascii="宋体" w:hAnsi="宋体" w:eastAsia="宋体"/>
                <w:spacing w:val="0"/>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line="312" w:lineRule="auto"/>
              <w:ind w:left="43"/>
              <w:textAlignment w:val="baseline"/>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line="312" w:lineRule="auto"/>
              <w:ind w:left="43"/>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line="312" w:lineRule="auto"/>
              <w:textAlignment w:val="baseline"/>
              <w:rPr>
                <w:rFonts w:ascii="宋体" w:hAnsi="宋体"/>
                <w:sz w:val="24"/>
              </w:rPr>
            </w:pPr>
          </w:p>
        </w:tc>
      </w:tr>
    </w:tbl>
    <w:p>
      <w:pPr>
        <w:pStyle w:val="85"/>
        <w:snapToGrid w:val="0"/>
        <w:spacing w:line="312" w:lineRule="auto"/>
        <w:ind w:left="642" w:hanging="642"/>
        <w:textAlignment w:val="baseline"/>
        <w:rPr>
          <w:rFonts w:ascii="宋体" w:hAnsi="宋体"/>
          <w:b/>
          <w:spacing w:val="20"/>
          <w:sz w:val="28"/>
        </w:rPr>
      </w:pPr>
    </w:p>
    <w:p>
      <w:pPr>
        <w:widowControl/>
        <w:snapToGrid w:val="0"/>
        <w:spacing w:line="312" w:lineRule="auto"/>
        <w:jc w:val="left"/>
        <w:textAlignment w:val="baseline"/>
        <w:rPr>
          <w:rFonts w:ascii="宋体" w:hAnsi="宋体"/>
          <w:sz w:val="24"/>
        </w:rPr>
        <w:sectPr>
          <w:pgSz w:w="11906" w:h="16838"/>
          <w:pgMar w:top="1304" w:right="1531" w:bottom="1304" w:left="1531" w:header="1304" w:footer="1304" w:gutter="0"/>
          <w:cols w:space="720" w:num="1"/>
        </w:sectPr>
      </w:pPr>
    </w:p>
    <w:p>
      <w:pPr>
        <w:snapToGrid w:val="0"/>
        <w:spacing w:before="50" w:after="156" w:line="312" w:lineRule="auto"/>
        <w:jc w:val="left"/>
        <w:textAlignment w:val="baseline"/>
        <w:rPr>
          <w:rFonts w:ascii="宋体" w:hAnsi="宋体"/>
          <w:sz w:val="24"/>
        </w:rPr>
      </w:pPr>
      <w:r>
        <w:rPr>
          <w:rFonts w:hint="eastAsia" w:ascii="宋体" w:hAnsi="宋体"/>
          <w:b/>
          <w:sz w:val="24"/>
        </w:rPr>
        <w:t>九、投标人的类似案例的业绩证明文件：</w:t>
      </w:r>
    </w:p>
    <w:p>
      <w:pPr>
        <w:pStyle w:val="28"/>
        <w:snapToGrid w:val="0"/>
        <w:spacing w:line="312" w:lineRule="auto"/>
        <w:ind w:left="420" w:hanging="420"/>
        <w:textAlignment w:val="baseline"/>
        <w:rPr>
          <w:rFonts w:ascii="宋体" w:hAnsi="宋体"/>
          <w:sz w:val="24"/>
        </w:rPr>
      </w:pPr>
      <w:r>
        <w:rPr>
          <w:rFonts w:hint="eastAsia" w:ascii="宋体" w:hAnsi="宋体"/>
          <w:sz w:val="21"/>
        </w:rPr>
        <w:t>投标人同类项目实施情况一览表格式：（投标人同类项目合同复印件、用户验收报告、用户评价意见格式自拟）</w:t>
      </w:r>
    </w:p>
    <w:tbl>
      <w:tblPr>
        <w:tblStyle w:val="36"/>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采购</w:t>
            </w:r>
          </w:p>
          <w:p>
            <w:pPr>
              <w:snapToGrid w:val="0"/>
              <w:spacing w:line="312" w:lineRule="auto"/>
              <w:jc w:val="center"/>
              <w:textAlignment w:val="baseline"/>
              <w:rPr>
                <w:rFonts w:ascii="宋体" w:hAnsi="宋体"/>
                <w:sz w:val="20"/>
                <w:szCs w:val="21"/>
              </w:rPr>
            </w:pPr>
            <w:r>
              <w:rPr>
                <w:rFonts w:hint="eastAsia" w:ascii="宋体" w:hAnsi="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合同金额</w:t>
            </w:r>
          </w:p>
          <w:p>
            <w:pPr>
              <w:snapToGrid w:val="0"/>
              <w:spacing w:line="312" w:lineRule="auto"/>
              <w:jc w:val="center"/>
              <w:textAlignment w:val="baseline"/>
              <w:rPr>
                <w:rFonts w:ascii="宋体" w:hAnsi="宋体"/>
                <w:sz w:val="20"/>
                <w:szCs w:val="21"/>
              </w:rPr>
            </w:pPr>
            <w:r>
              <w:rPr>
                <w:rFonts w:hint="eastAsia" w:ascii="宋体" w:hAnsi="宋体"/>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采购单位联系人及</w:t>
            </w:r>
          </w:p>
          <w:p>
            <w:pPr>
              <w:snapToGrid w:val="0"/>
              <w:spacing w:line="312" w:lineRule="auto"/>
              <w:jc w:val="center"/>
              <w:textAlignment w:val="baseline"/>
              <w:rPr>
                <w:rFonts w:ascii="宋体" w:hAnsi="宋体"/>
                <w:sz w:val="20"/>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textAlignment w:val="baseline"/>
              <w:rPr>
                <w:rFonts w:ascii="宋体" w:hAnsi="宋体"/>
                <w:sz w:val="20"/>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textAlignment w:val="baseline"/>
              <w:rPr>
                <w:rFonts w:ascii="宋体" w:hAnsi="宋体"/>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textAlignment w:val="baseline"/>
              <w:rPr>
                <w:rFonts w:ascii="宋体" w:hAnsi="宋体"/>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textAlignment w:val="baseline"/>
              <w:rPr>
                <w:rFonts w:ascii="宋体" w:hAnsi="宋体"/>
                <w:sz w:val="20"/>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textAlignment w:val="baseline"/>
              <w:rPr>
                <w:rFonts w:ascii="宋体" w:hAnsi="宋体"/>
                <w:sz w:val="2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textAlignment w:val="baseline"/>
              <w:rPr>
                <w:rFonts w:ascii="宋体" w:hAnsi="宋体"/>
                <w:sz w:val="20"/>
                <w:szCs w:val="21"/>
              </w:rPr>
            </w:pPr>
            <w:r>
              <w:rPr>
                <w:rFonts w:hint="eastAsia" w:ascii="宋体" w:hAnsi="宋体"/>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12" w:lineRule="auto"/>
              <w:jc w:val="left"/>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12" w:lineRule="auto"/>
              <w:jc w:val="left"/>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56" w:line="312" w:lineRule="auto"/>
              <w:jc w:val="left"/>
              <w:textAlignment w:val="baseline"/>
              <w:rPr>
                <w:rFonts w:ascii="宋体" w:hAnsi="宋体"/>
                <w:sz w:val="24"/>
              </w:rPr>
            </w:pPr>
          </w:p>
        </w:tc>
      </w:tr>
    </w:tbl>
    <w:p>
      <w:pPr>
        <w:pStyle w:val="10"/>
        <w:snapToGrid w:val="0"/>
        <w:spacing w:line="312" w:lineRule="auto"/>
        <w:textAlignment w:val="baseline"/>
        <w:rPr>
          <w:rFonts w:ascii="宋体" w:hAnsi="宋体" w:eastAsia="宋体" w:cs="Times New Roman"/>
          <w:kern w:val="0"/>
          <w:sz w:val="20"/>
          <w:szCs w:val="20"/>
        </w:rPr>
      </w:pPr>
    </w:p>
    <w:p>
      <w:pPr>
        <w:snapToGrid w:val="0"/>
        <w:spacing w:before="50" w:after="50"/>
        <w:textAlignment w:val="baseline"/>
        <w:rPr>
          <w:rFonts w:ascii="宋体" w:hAnsi="宋体"/>
          <w:sz w:val="20"/>
        </w:rPr>
      </w:pPr>
    </w:p>
    <w:p>
      <w:pPr>
        <w:snapToGrid w:val="0"/>
        <w:ind w:left="2" w:right="-816"/>
        <w:textAlignment w:val="baseline"/>
        <w:rPr>
          <w:rFonts w:ascii="宋体" w:hAnsi="宋体"/>
          <w:sz w:val="20"/>
        </w:rPr>
      </w:pPr>
    </w:p>
    <w:p>
      <w:pPr>
        <w:snapToGrid w:val="0"/>
        <w:spacing w:before="50" w:line="312" w:lineRule="auto"/>
        <w:jc w:val="left"/>
        <w:textAlignment w:val="baseline"/>
        <w:rPr>
          <w:rFonts w:ascii="宋体" w:hAnsi="宋体"/>
          <w:sz w:val="20"/>
        </w:rPr>
      </w:pPr>
      <w:r>
        <w:rPr>
          <w:rFonts w:hint="eastAsia" w:ascii="宋体" w:hAnsi="宋体"/>
        </w:rPr>
        <w:t>投标人名称（盖章）：年月日</w:t>
      </w:r>
    </w:p>
    <w:p>
      <w:pPr>
        <w:snapToGrid w:val="0"/>
        <w:spacing w:before="50" w:line="312" w:lineRule="auto"/>
        <w:ind w:firstLine="480" w:firstLineChars="200"/>
        <w:jc w:val="left"/>
        <w:textAlignment w:val="baseline"/>
        <w:rPr>
          <w:rFonts w:ascii="宋体" w:hAnsi="宋体"/>
          <w:sz w:val="24"/>
        </w:rPr>
      </w:pPr>
    </w:p>
    <w:p>
      <w:pPr>
        <w:pStyle w:val="21"/>
        <w:snapToGrid w:val="0"/>
        <w:spacing w:before="120" w:line="312" w:lineRule="auto"/>
        <w:textAlignment w:val="baseline"/>
        <w:rPr>
          <w:rFonts w:hAnsi="宋体"/>
        </w:rPr>
      </w:pPr>
    </w:p>
    <w:p>
      <w:pPr>
        <w:widowControl/>
        <w:snapToGrid w:val="0"/>
        <w:spacing w:after="312" w:afterAutospacing="1" w:line="312" w:lineRule="auto"/>
        <w:jc w:val="left"/>
        <w:textAlignment w:val="baseline"/>
        <w:rPr>
          <w:rFonts w:ascii="宋体" w:hAnsi="宋体"/>
          <w:sz w:val="30"/>
        </w:rPr>
        <w:sectPr>
          <w:pgSz w:w="16838" w:h="11906" w:orient="landscape"/>
          <w:pgMar w:top="1418" w:right="1361" w:bottom="924" w:left="1134" w:header="851" w:footer="992" w:gutter="0"/>
          <w:cols w:space="720" w:num="1"/>
        </w:sectPr>
      </w:pPr>
    </w:p>
    <w:p>
      <w:pPr>
        <w:snapToGrid w:val="0"/>
        <w:spacing w:before="50" w:after="156" w:line="312" w:lineRule="auto"/>
        <w:jc w:val="left"/>
        <w:textAlignment w:val="baseline"/>
        <w:rPr>
          <w:rFonts w:ascii="宋体" w:hAnsi="宋体"/>
          <w:b/>
          <w:sz w:val="24"/>
        </w:rPr>
      </w:pPr>
      <w:r>
        <w:rPr>
          <w:rFonts w:hint="eastAsia" w:ascii="宋体" w:hAnsi="宋体"/>
          <w:b/>
          <w:sz w:val="24"/>
        </w:rPr>
        <w:t>十</w:t>
      </w:r>
    </w:p>
    <w:p>
      <w:pPr>
        <w:snapToGrid w:val="0"/>
        <w:spacing w:line="360" w:lineRule="auto"/>
        <w:ind w:firstLine="3486" w:firstLineChars="1240"/>
        <w:textAlignment w:val="baseline"/>
        <w:rPr>
          <w:rFonts w:ascii="宋体" w:hAnsi="宋体"/>
          <w:b/>
          <w:sz w:val="28"/>
          <w:szCs w:val="28"/>
        </w:rPr>
      </w:pPr>
      <w:r>
        <w:rPr>
          <w:rFonts w:hint="eastAsia" w:ascii="宋体" w:hAnsi="宋体"/>
          <w:b/>
          <w:sz w:val="28"/>
          <w:szCs w:val="28"/>
        </w:rPr>
        <w:t>项目小组人员名单</w:t>
      </w:r>
    </w:p>
    <w:p>
      <w:pPr>
        <w:snapToGrid w:val="0"/>
        <w:spacing w:before="50" w:after="156"/>
        <w:jc w:val="left"/>
        <w:textAlignment w:val="baseline"/>
        <w:rPr>
          <w:rFonts w:ascii="宋体" w:hAnsi="宋体"/>
          <w:b/>
          <w:sz w:val="20"/>
          <w:szCs w:val="21"/>
        </w:rPr>
      </w:pPr>
    </w:p>
    <w:p>
      <w:pPr>
        <w:snapToGrid w:val="0"/>
        <w:spacing w:before="50" w:after="156"/>
        <w:ind w:firstLine="413" w:firstLineChars="196"/>
        <w:jc w:val="left"/>
        <w:textAlignment w:val="baseline"/>
        <w:rPr>
          <w:rFonts w:ascii="宋体" w:hAnsi="宋体"/>
          <w:b/>
          <w:sz w:val="20"/>
          <w:szCs w:val="21"/>
        </w:rPr>
      </w:pPr>
      <w:r>
        <w:rPr>
          <w:rFonts w:hint="eastAsia" w:ascii="宋体" w:hAnsi="宋体"/>
          <w:b/>
          <w:szCs w:val="21"/>
        </w:rPr>
        <w:t>本项目的项目经理情况表</w:t>
      </w:r>
    </w:p>
    <w:tbl>
      <w:tblPr>
        <w:tblStyle w:val="36"/>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姓名</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textAlignment w:val="baseline"/>
              <w:rPr>
                <w:rFonts w:ascii="宋体" w:hAnsi="宋体"/>
                <w:sz w:val="20"/>
                <w:szCs w:val="21"/>
              </w:rPr>
            </w:pPr>
            <w:r>
              <w:rPr>
                <w:rFonts w:hint="eastAsia" w:ascii="宋体" w:hAnsi="宋体"/>
                <w:szCs w:val="21"/>
              </w:rPr>
              <w:t>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性别</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年龄</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r>
              <w:rPr>
                <w:rFonts w:hint="eastAsia" w:ascii="宋体" w:hAnsi="宋体"/>
                <w:szCs w:val="21"/>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textAlignment w:val="baseline"/>
              <w:rPr>
                <w:rFonts w:ascii="宋体" w:hAnsi="宋体"/>
                <w:sz w:val="20"/>
                <w:szCs w:val="21"/>
              </w:rPr>
            </w:pPr>
          </w:p>
        </w:tc>
        <w:tc>
          <w:tcPr>
            <w:tcW w:w="1260"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textAlignment w:val="baseline"/>
              <w:rPr>
                <w:rFonts w:ascii="宋体" w:hAnsi="宋体"/>
                <w:sz w:val="20"/>
                <w:szCs w:val="21"/>
              </w:rPr>
            </w:pPr>
          </w:p>
        </w:tc>
      </w:tr>
    </w:tbl>
    <w:p>
      <w:pPr>
        <w:snapToGrid w:val="0"/>
        <w:spacing w:before="50" w:after="50"/>
        <w:textAlignment w:val="baseline"/>
        <w:rPr>
          <w:rFonts w:ascii="宋体" w:hAnsi="宋体"/>
          <w:sz w:val="20"/>
        </w:rPr>
      </w:pPr>
    </w:p>
    <w:p>
      <w:pPr>
        <w:snapToGrid w:val="0"/>
        <w:spacing w:before="50" w:after="50"/>
        <w:textAlignment w:val="baseline"/>
        <w:rPr>
          <w:rFonts w:ascii="宋体" w:hAnsi="宋体"/>
          <w:sz w:val="20"/>
        </w:rPr>
      </w:pPr>
    </w:p>
    <w:p>
      <w:pPr>
        <w:snapToGrid w:val="0"/>
        <w:spacing w:before="50" w:after="50"/>
        <w:textAlignment w:val="baseline"/>
        <w:rPr>
          <w:rFonts w:ascii="宋体" w:hAnsi="宋体"/>
          <w:sz w:val="20"/>
        </w:rPr>
      </w:pPr>
    </w:p>
    <w:p>
      <w:pPr>
        <w:snapToGrid w:val="0"/>
        <w:ind w:left="2" w:right="-816"/>
        <w:textAlignment w:val="baseline"/>
        <w:rPr>
          <w:rFonts w:ascii="宋体" w:hAnsi="宋体"/>
          <w:sz w:val="20"/>
        </w:rPr>
      </w:pPr>
    </w:p>
    <w:p>
      <w:pPr>
        <w:pStyle w:val="15"/>
        <w:snapToGrid w:val="0"/>
        <w:spacing w:line="312" w:lineRule="auto"/>
        <w:textAlignment w:val="baseline"/>
        <w:rPr>
          <w:rFonts w:ascii="宋体" w:hAnsi="宋体"/>
          <w:sz w:val="21"/>
        </w:rPr>
      </w:pPr>
      <w:r>
        <w:rPr>
          <w:rFonts w:hint="eastAsia" w:ascii="宋体" w:hAnsi="宋体"/>
          <w:sz w:val="21"/>
          <w:szCs w:val="21"/>
        </w:rPr>
        <w:t>投标人名称（盖章）：</w:t>
      </w:r>
      <w:r>
        <w:rPr>
          <w:rFonts w:hint="eastAsia" w:ascii="宋体" w:hAnsi="宋体"/>
          <w:sz w:val="21"/>
        </w:rPr>
        <w:t>　年月　日</w:t>
      </w:r>
    </w:p>
    <w:p>
      <w:pPr>
        <w:snapToGrid w:val="0"/>
        <w:spacing w:before="50" w:after="156" w:line="312" w:lineRule="auto"/>
        <w:jc w:val="left"/>
        <w:textAlignment w:val="baseline"/>
        <w:rPr>
          <w:rFonts w:ascii="宋体" w:hAnsi="宋体"/>
          <w:sz w:val="24"/>
        </w:rPr>
      </w:pPr>
    </w:p>
    <w:p>
      <w:pPr>
        <w:snapToGrid w:val="0"/>
        <w:spacing w:before="156" w:after="50" w:line="312" w:lineRule="auto"/>
        <w:textAlignment w:val="baseline"/>
        <w:rPr>
          <w:rFonts w:ascii="宋体" w:hAnsi="宋体"/>
          <w:sz w:val="30"/>
        </w:rPr>
      </w:pPr>
      <w:r>
        <w:rPr>
          <w:rFonts w:hint="eastAsia" w:ascii="宋体" w:hAnsi="宋体"/>
          <w:sz w:val="30"/>
        </w:rPr>
        <w:br w:type="page"/>
      </w:r>
    </w:p>
    <w:p>
      <w:pPr>
        <w:snapToGrid w:val="0"/>
        <w:spacing w:before="50" w:after="156"/>
        <w:jc w:val="left"/>
        <w:textAlignment w:val="baseline"/>
        <w:rPr>
          <w:rFonts w:ascii="宋体" w:hAnsi="宋体"/>
          <w:b/>
          <w:sz w:val="24"/>
        </w:rPr>
      </w:pPr>
    </w:p>
    <w:p>
      <w:pPr>
        <w:snapToGrid w:val="0"/>
        <w:spacing w:line="400" w:lineRule="exact"/>
        <w:textAlignment w:val="baseline"/>
        <w:rPr>
          <w:rFonts w:ascii="宋体" w:hAnsi="宋体"/>
          <w:b/>
          <w:sz w:val="24"/>
          <w:szCs w:val="24"/>
        </w:rPr>
      </w:pPr>
      <w:r>
        <w:rPr>
          <w:rFonts w:hint="eastAsia" w:ascii="宋体" w:hAnsi="宋体"/>
          <w:b/>
          <w:sz w:val="24"/>
          <w:szCs w:val="24"/>
        </w:rPr>
        <w:t xml:space="preserve">十一、              </w:t>
      </w:r>
    </w:p>
    <w:p>
      <w:pPr>
        <w:snapToGrid w:val="0"/>
        <w:spacing w:line="400" w:lineRule="exact"/>
        <w:jc w:val="center"/>
        <w:textAlignment w:val="baseline"/>
        <w:rPr>
          <w:rFonts w:ascii="宋体" w:hAnsi="宋体"/>
          <w:b/>
          <w:sz w:val="28"/>
          <w:szCs w:val="28"/>
        </w:rPr>
      </w:pPr>
      <w:r>
        <w:rPr>
          <w:rFonts w:hint="eastAsia" w:ascii="宋体" w:hAnsi="宋体"/>
          <w:b/>
          <w:sz w:val="28"/>
          <w:szCs w:val="28"/>
        </w:rPr>
        <w:t>本项目的项目小组人员情况表</w:t>
      </w:r>
    </w:p>
    <w:p>
      <w:pPr>
        <w:snapToGrid w:val="0"/>
        <w:spacing w:line="400" w:lineRule="exact"/>
        <w:jc w:val="center"/>
        <w:textAlignment w:val="baseline"/>
        <w:rPr>
          <w:rFonts w:ascii="宋体" w:hAnsi="宋体"/>
          <w:b/>
          <w:sz w:val="28"/>
          <w:szCs w:val="28"/>
        </w:rPr>
      </w:pPr>
    </w:p>
    <w:tbl>
      <w:tblPr>
        <w:tblStyle w:val="3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学历</w:t>
            </w:r>
          </w:p>
          <w:p>
            <w:pPr>
              <w:snapToGrid w:val="0"/>
              <w:spacing w:line="440" w:lineRule="exact"/>
              <w:jc w:val="center"/>
              <w:textAlignment w:val="baseline"/>
              <w:rPr>
                <w:rFonts w:ascii="宋体" w:hAnsi="宋体"/>
                <w:sz w:val="20"/>
                <w:szCs w:val="21"/>
              </w:rPr>
            </w:pPr>
            <w:r>
              <w:rPr>
                <w:rFonts w:hint="eastAsia" w:ascii="宋体" w:hAnsi="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专业</w:t>
            </w:r>
          </w:p>
          <w:p>
            <w:pPr>
              <w:snapToGrid w:val="0"/>
              <w:spacing w:line="440" w:lineRule="exact"/>
              <w:jc w:val="center"/>
              <w:textAlignment w:val="baseline"/>
              <w:rPr>
                <w:rFonts w:ascii="宋体" w:hAnsi="宋体"/>
                <w:sz w:val="20"/>
                <w:szCs w:val="21"/>
              </w:rPr>
            </w:pPr>
            <w:r>
              <w:rPr>
                <w:rFonts w:hint="eastAsia" w:ascii="宋体" w:hAnsi="宋体"/>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职称</w:t>
            </w:r>
          </w:p>
          <w:p>
            <w:pPr>
              <w:snapToGrid w:val="0"/>
              <w:spacing w:line="440" w:lineRule="exact"/>
              <w:jc w:val="center"/>
              <w:textAlignment w:val="baseline"/>
              <w:rPr>
                <w:rFonts w:ascii="宋体" w:hAnsi="宋体"/>
                <w:sz w:val="20"/>
                <w:szCs w:val="21"/>
              </w:rPr>
            </w:pPr>
            <w:r>
              <w:rPr>
                <w:rFonts w:hint="eastAsia" w:ascii="宋体" w:hAnsi="宋体"/>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snapToGrid w:val="0"/>
              <w:spacing w:line="440" w:lineRule="exact"/>
              <w:jc w:val="center"/>
              <w:textAlignment w:val="baseline"/>
              <w:rPr>
                <w:rFonts w:ascii="宋体" w:hAnsi="宋体"/>
                <w:sz w:val="20"/>
                <w:szCs w:val="21"/>
              </w:rPr>
            </w:pPr>
            <w:r>
              <w:rPr>
                <w:rFonts w:hint="eastAsia" w:ascii="宋体" w:hAnsi="宋体"/>
                <w:szCs w:val="21"/>
              </w:rPr>
              <w:t>参与本项目的到位情况</w:t>
            </w:r>
          </w:p>
        </w:tc>
      </w:tr>
      <w:tr>
        <w:trPr>
          <w:trHeight w:val="607" w:hRule="atLeast"/>
        </w:trPr>
        <w:tc>
          <w:tcPr>
            <w:tcW w:w="420" w:type="dxa"/>
            <w:tcBorders>
              <w:top w:val="single" w:color="auto" w:sz="6" w:space="0"/>
              <w:left w:val="single" w:color="auto" w:sz="6" w:space="0"/>
              <w:bottom w:val="single" w:color="auto" w:sz="6" w:space="0"/>
              <w:right w:val="single" w:color="auto" w:sz="6" w:space="0"/>
            </w:tcBorders>
          </w:tcPr>
          <w:p>
            <w:pPr>
              <w:snapToGrid w:val="0"/>
              <w:spacing w:line="440" w:lineRule="exact"/>
              <w:jc w:val="center"/>
              <w:textAlignment w:val="baseline"/>
              <w:rPr>
                <w:rFonts w:ascii="宋体" w:hAnsi="宋体"/>
                <w:sz w:val="20"/>
                <w:szCs w:val="21"/>
              </w:rPr>
            </w:pPr>
          </w:p>
        </w:tc>
        <w:tc>
          <w:tcPr>
            <w:tcW w:w="787"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412"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586"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35"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26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90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47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r>
      <w:tr>
        <w:trPr>
          <w:trHeight w:val="595" w:hRule="atLeast"/>
        </w:trPr>
        <w:tc>
          <w:tcPr>
            <w:tcW w:w="420" w:type="dxa"/>
            <w:tcBorders>
              <w:top w:val="single" w:color="auto" w:sz="6" w:space="0"/>
              <w:left w:val="single" w:color="auto" w:sz="6" w:space="0"/>
              <w:bottom w:val="single" w:color="auto" w:sz="6" w:space="0"/>
              <w:right w:val="single" w:color="auto" w:sz="6" w:space="0"/>
            </w:tcBorders>
          </w:tcPr>
          <w:p>
            <w:pPr>
              <w:snapToGrid w:val="0"/>
              <w:spacing w:line="440" w:lineRule="exact"/>
              <w:jc w:val="center"/>
              <w:textAlignment w:val="baseline"/>
              <w:rPr>
                <w:rFonts w:ascii="宋体" w:hAnsi="宋体"/>
                <w:sz w:val="20"/>
                <w:szCs w:val="21"/>
              </w:rPr>
            </w:pPr>
          </w:p>
        </w:tc>
        <w:tc>
          <w:tcPr>
            <w:tcW w:w="787"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412"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586"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35"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26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90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47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r>
      <w:tr>
        <w:trPr>
          <w:trHeight w:val="595" w:hRule="atLeast"/>
        </w:trPr>
        <w:tc>
          <w:tcPr>
            <w:tcW w:w="420" w:type="dxa"/>
            <w:tcBorders>
              <w:top w:val="single" w:color="auto" w:sz="6" w:space="0"/>
              <w:left w:val="single" w:color="auto" w:sz="6" w:space="0"/>
              <w:bottom w:val="single" w:color="auto" w:sz="6" w:space="0"/>
              <w:right w:val="single" w:color="auto" w:sz="6" w:space="0"/>
            </w:tcBorders>
          </w:tcPr>
          <w:p>
            <w:pPr>
              <w:snapToGrid w:val="0"/>
              <w:spacing w:line="440" w:lineRule="exact"/>
              <w:jc w:val="center"/>
              <w:textAlignment w:val="baseline"/>
              <w:rPr>
                <w:rFonts w:ascii="宋体" w:hAnsi="宋体"/>
                <w:sz w:val="20"/>
                <w:szCs w:val="21"/>
              </w:rPr>
            </w:pPr>
          </w:p>
        </w:tc>
        <w:tc>
          <w:tcPr>
            <w:tcW w:w="787"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412"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586"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35"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26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90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47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r>
      <w:tr>
        <w:trPr>
          <w:trHeight w:val="595" w:hRule="atLeast"/>
        </w:trPr>
        <w:tc>
          <w:tcPr>
            <w:tcW w:w="420" w:type="dxa"/>
            <w:tcBorders>
              <w:top w:val="single" w:color="auto" w:sz="6" w:space="0"/>
              <w:left w:val="single" w:color="auto" w:sz="6" w:space="0"/>
              <w:bottom w:val="single" w:color="auto" w:sz="6" w:space="0"/>
              <w:right w:val="single" w:color="auto" w:sz="6" w:space="0"/>
            </w:tcBorders>
          </w:tcPr>
          <w:p>
            <w:pPr>
              <w:snapToGrid w:val="0"/>
              <w:spacing w:line="440" w:lineRule="exact"/>
              <w:jc w:val="center"/>
              <w:textAlignment w:val="baseline"/>
              <w:rPr>
                <w:rFonts w:ascii="宋体" w:hAnsi="宋体"/>
                <w:sz w:val="20"/>
                <w:szCs w:val="21"/>
              </w:rPr>
            </w:pPr>
          </w:p>
        </w:tc>
        <w:tc>
          <w:tcPr>
            <w:tcW w:w="787"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412"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586"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35"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26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90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47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r>
      <w:tr>
        <w:trPr>
          <w:trHeight w:val="595" w:hRule="atLeast"/>
        </w:trPr>
        <w:tc>
          <w:tcPr>
            <w:tcW w:w="420" w:type="dxa"/>
            <w:tcBorders>
              <w:top w:val="single" w:color="auto" w:sz="6" w:space="0"/>
              <w:left w:val="single" w:color="auto" w:sz="6" w:space="0"/>
              <w:bottom w:val="single" w:color="auto" w:sz="6" w:space="0"/>
              <w:right w:val="single" w:color="auto" w:sz="6" w:space="0"/>
            </w:tcBorders>
          </w:tcPr>
          <w:p>
            <w:pPr>
              <w:snapToGrid w:val="0"/>
              <w:spacing w:line="440" w:lineRule="exact"/>
              <w:jc w:val="center"/>
              <w:textAlignment w:val="baseline"/>
              <w:rPr>
                <w:rFonts w:ascii="宋体" w:hAnsi="宋体"/>
                <w:sz w:val="20"/>
                <w:szCs w:val="21"/>
              </w:rPr>
            </w:pPr>
          </w:p>
        </w:tc>
        <w:tc>
          <w:tcPr>
            <w:tcW w:w="787"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412"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586"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35"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08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26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90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c>
          <w:tcPr>
            <w:tcW w:w="1470" w:type="dxa"/>
            <w:tcBorders>
              <w:top w:val="single" w:color="auto" w:sz="6" w:space="0"/>
              <w:left w:val="single" w:color="auto" w:sz="6" w:space="0"/>
              <w:bottom w:val="single" w:color="auto" w:sz="6" w:space="0"/>
              <w:right w:val="single" w:color="auto" w:sz="6" w:space="0"/>
            </w:tcBorders>
          </w:tcPr>
          <w:p>
            <w:pPr>
              <w:snapToGrid w:val="0"/>
              <w:spacing w:line="440" w:lineRule="exact"/>
              <w:textAlignment w:val="baseline"/>
              <w:rPr>
                <w:rFonts w:ascii="宋体" w:hAnsi="宋体"/>
                <w:sz w:val="20"/>
                <w:szCs w:val="21"/>
              </w:rPr>
            </w:pPr>
          </w:p>
        </w:tc>
      </w:tr>
    </w:tbl>
    <w:p>
      <w:pPr>
        <w:snapToGrid w:val="0"/>
        <w:spacing w:before="50" w:after="50"/>
        <w:textAlignment w:val="baseline"/>
        <w:rPr>
          <w:rFonts w:ascii="宋体" w:hAnsi="宋体"/>
          <w:sz w:val="20"/>
        </w:rPr>
      </w:pPr>
    </w:p>
    <w:p>
      <w:pPr>
        <w:snapToGrid w:val="0"/>
        <w:spacing w:before="50" w:after="50"/>
        <w:textAlignment w:val="baseline"/>
        <w:rPr>
          <w:rFonts w:ascii="宋体" w:hAnsi="宋体"/>
          <w:sz w:val="20"/>
        </w:rPr>
      </w:pPr>
    </w:p>
    <w:p>
      <w:pPr>
        <w:snapToGrid w:val="0"/>
        <w:ind w:left="2" w:right="-816"/>
        <w:textAlignment w:val="baseline"/>
        <w:rPr>
          <w:rFonts w:ascii="宋体" w:hAnsi="宋体"/>
          <w:sz w:val="20"/>
        </w:rPr>
      </w:pPr>
    </w:p>
    <w:p>
      <w:pPr>
        <w:snapToGrid w:val="0"/>
        <w:spacing w:line="480" w:lineRule="exact"/>
        <w:textAlignment w:val="baseline"/>
        <w:rPr>
          <w:rFonts w:ascii="宋体" w:hAnsi="宋体"/>
          <w:b/>
          <w:bCs/>
          <w:sz w:val="20"/>
          <w:szCs w:val="21"/>
        </w:rPr>
      </w:pPr>
      <w:r>
        <w:rPr>
          <w:rFonts w:hint="eastAsia" w:ascii="宋体" w:hAnsi="宋体"/>
        </w:rPr>
        <w:t xml:space="preserve">投标人名称（盖章）：                          </w:t>
      </w:r>
      <w:r>
        <w:rPr>
          <w:rFonts w:hint="eastAsia" w:ascii="宋体" w:hAnsi="宋体"/>
          <w:spacing w:val="20"/>
        </w:rPr>
        <w:t>日期：</w:t>
      </w:r>
    </w:p>
    <w:p>
      <w:pPr>
        <w:snapToGrid w:val="0"/>
        <w:spacing w:before="50" w:after="156" w:line="312" w:lineRule="auto"/>
        <w:jc w:val="left"/>
        <w:textAlignment w:val="baseline"/>
        <w:rPr>
          <w:rFonts w:ascii="宋体" w:hAnsi="宋体"/>
          <w:sz w:val="24"/>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p>
    <w:p>
      <w:pPr>
        <w:snapToGrid w:val="0"/>
        <w:spacing w:before="50" w:after="156"/>
        <w:jc w:val="left"/>
        <w:textAlignment w:val="baseline"/>
        <w:rPr>
          <w:rFonts w:ascii="宋体" w:hAnsi="宋体"/>
          <w:b/>
          <w:sz w:val="28"/>
          <w:szCs w:val="28"/>
        </w:rPr>
      </w:pPr>
      <w:r>
        <w:rPr>
          <w:rFonts w:hint="eastAsia" w:ascii="宋体" w:hAnsi="宋体"/>
          <w:b/>
          <w:sz w:val="28"/>
          <w:szCs w:val="28"/>
        </w:rPr>
        <w:t>十二、                  组织实施方案</w:t>
      </w:r>
    </w:p>
    <w:p>
      <w:pPr>
        <w:snapToGrid w:val="0"/>
        <w:spacing w:before="50" w:after="156"/>
        <w:jc w:val="left"/>
        <w:textAlignment w:val="baseline"/>
        <w:rPr>
          <w:rFonts w:ascii="宋体" w:hAnsi="宋体"/>
          <w:b/>
          <w:sz w:val="24"/>
        </w:rPr>
      </w:pPr>
    </w:p>
    <w:p>
      <w:pPr>
        <w:tabs>
          <w:tab w:val="left" w:pos="2790"/>
          <w:tab w:val="left" w:pos="4230"/>
        </w:tabs>
        <w:snapToGrid w:val="0"/>
        <w:spacing w:line="440" w:lineRule="exact"/>
        <w:ind w:right="1400"/>
        <w:textAlignment w:val="baseline"/>
        <w:rPr>
          <w:rFonts w:ascii="宋体" w:hAnsi="宋体" w:cs="仿宋_GB2312"/>
          <w:b/>
          <w:bCs/>
          <w:kern w:val="0"/>
          <w:sz w:val="20"/>
          <w:szCs w:val="21"/>
          <w:lang w:val="zh-CN"/>
        </w:rPr>
      </w:pPr>
      <w:r>
        <w:rPr>
          <w:rFonts w:hint="eastAsia" w:ascii="宋体" w:hAnsi="宋体" w:cs="仿宋_GB2312"/>
          <w:b/>
          <w:bCs/>
          <w:kern w:val="0"/>
          <w:szCs w:val="21"/>
          <w:lang w:val="zh-CN"/>
        </w:rPr>
        <w:t>附表:项目实施进度计划表</w:t>
      </w:r>
      <w:r>
        <w:rPr>
          <w:rFonts w:hint="eastAsia" w:ascii="宋体" w:hAnsi="宋体"/>
          <w:b/>
          <w:szCs w:val="21"/>
        </w:rPr>
        <w:t xml:space="preserve">(以生效日算起) </w:t>
      </w:r>
    </w:p>
    <w:tbl>
      <w:tblPr>
        <w:tblStyle w:val="36"/>
        <w:tblW w:w="98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16"/>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80" w:type="dxa"/>
            <w:vAlign w:val="center"/>
          </w:tcPr>
          <w:p>
            <w:pPr>
              <w:snapToGrid w:val="0"/>
              <w:spacing w:line="360" w:lineRule="auto"/>
              <w:textAlignment w:val="baseline"/>
              <w:rPr>
                <w:rFonts w:ascii="宋体" w:hAnsi="宋体"/>
                <w:sz w:val="20"/>
                <w:szCs w:val="21"/>
              </w:rPr>
            </w:pPr>
            <w:r>
              <w:rPr>
                <w:rFonts w:ascii="宋体" w:hAnsi="宋体"/>
                <w:szCs w:val="21"/>
              </w:rPr>
              <w:pict>
                <v:group id="_x0000_s2050" o:spid="_x0000_s2050" o:spt="203" style="position:absolute;left:0pt;margin-left:-5.15pt;margin-top:0pt;height:93pt;width:58.9pt;z-index:251659264;mso-width-relative:page;mso-height-relative:page;" coordsize="0,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PXLXJ7YAAAACAEAAA8AAAAAAAAAAQAgAAAAIgAAAGRycy9k&#10;b3ducmV2LnhtbFBLAQIUABQAAAAIAIdO4kBdIhtR5gIAAM4JAAAOAAAAAAAAAAEAIAAAACcBAABk&#10;cnMvZTJvRG9jLnhtbFBLBQYAAAAABgAGAFkBAAB/BgAAAAA=&#10;">
                  <o:lock v:ext="edit"/>
                  <v:line id="__TH_L2" o:spid="_x0000_s2051" o:spt="20" style="position:absolute;left:0;top:0;height:18;width:11;"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path arrowok="t"/>
                    <v:fill focussize="0,0"/>
                    <v:stroke weight="0.5pt"/>
                    <v:imagedata o:title=""/>
                    <o:lock v:ext="edit"/>
                  </v:line>
                  <v:shape id="__TH_B113" o:spid="_x0000_s2052" o:spt="202" type="#_x0000_t202" style="position:absolute;left:4;top:1;height:2;width: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工</w:t>
                          </w:r>
                        </w:p>
                      </w:txbxContent>
                    </v:textbox>
                  </v:shape>
                  <v:shape id="__TH_B124" o:spid="_x0000_s2053" o:spt="202" type="#_x0000_t202" style="position:absolute;left:6;top:4;height:2;width: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作</w:t>
                          </w:r>
                        </w:p>
                      </w:txbxContent>
                    </v:textbox>
                  </v:shape>
                  <v:shape id="__TH_B135" o:spid="_x0000_s2054" o:spt="202" type="#_x0000_t202" style="position:absolute;left:8;top:7;height:2;width: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joinstyle="miter"/>
                    <v:imagedata o:title=""/>
                    <o:lock v:ext="edit"/>
                    <v:textbox inset="0mm,0mm,0mm,0mm">
                      <w:txbxContent>
                        <w:p>
                          <w:pPr>
                            <w:snapToGrid w:val="0"/>
                          </w:pPr>
                          <w:r>
                            <w:rPr>
                              <w:rFonts w:hint="eastAsia"/>
                            </w:rPr>
                            <w:t>日</w:t>
                          </w:r>
                        </w:p>
                      </w:txbxContent>
                    </v:textbox>
                  </v:shape>
                </v:group>
              </w:pict>
            </w:r>
          </w:p>
          <w:p>
            <w:pPr>
              <w:snapToGrid w:val="0"/>
              <w:textAlignment w:val="baseline"/>
              <w:rPr>
                <w:rFonts w:ascii="宋体" w:hAnsi="宋体"/>
                <w:sz w:val="20"/>
                <w:szCs w:val="21"/>
              </w:rPr>
            </w:pPr>
          </w:p>
          <w:p>
            <w:pPr>
              <w:snapToGrid w:val="0"/>
              <w:textAlignment w:val="baseline"/>
              <w:rPr>
                <w:rFonts w:ascii="宋体" w:hAnsi="宋体"/>
                <w:sz w:val="20"/>
                <w:szCs w:val="21"/>
              </w:rPr>
            </w:pPr>
          </w:p>
          <w:p>
            <w:pPr>
              <w:snapToGrid w:val="0"/>
              <w:textAlignment w:val="baseline"/>
              <w:rPr>
                <w:rFonts w:ascii="宋体" w:hAnsi="宋体"/>
                <w:sz w:val="20"/>
                <w:szCs w:val="21"/>
              </w:rPr>
            </w:pPr>
            <w:r>
              <w:rPr>
                <w:rFonts w:hint="eastAsia" w:ascii="宋体" w:hAnsi="宋体"/>
                <w:szCs w:val="21"/>
              </w:rPr>
              <w:t>内容</w:t>
            </w:r>
          </w:p>
        </w:tc>
        <w:tc>
          <w:tcPr>
            <w:tcW w:w="516" w:type="dxa"/>
            <w:vAlign w:val="center"/>
          </w:tcPr>
          <w:p>
            <w:pPr>
              <w:snapToGrid w:val="0"/>
              <w:spacing w:line="360" w:lineRule="auto"/>
              <w:textAlignment w:val="baseline"/>
              <w:rPr>
                <w:rFonts w:ascii="宋体" w:hAnsi="宋体"/>
                <w:sz w:val="20"/>
                <w:szCs w:val="21"/>
              </w:rPr>
            </w:pPr>
            <w:r>
              <w:rPr>
                <w:rFonts w:hint="eastAsia" w:ascii="宋体" w:hAnsi="宋体"/>
                <w:szCs w:val="21"/>
              </w:rPr>
              <w:t>1</w:t>
            </w:r>
          </w:p>
        </w:tc>
        <w:tc>
          <w:tcPr>
            <w:tcW w:w="552" w:type="dxa"/>
            <w:vAlign w:val="center"/>
          </w:tcPr>
          <w:p>
            <w:pPr>
              <w:snapToGrid w:val="0"/>
              <w:spacing w:line="360" w:lineRule="auto"/>
              <w:textAlignment w:val="baseline"/>
              <w:rPr>
                <w:rFonts w:ascii="宋体" w:hAnsi="宋体"/>
                <w:sz w:val="20"/>
                <w:szCs w:val="21"/>
              </w:rPr>
            </w:pPr>
            <w:r>
              <w:rPr>
                <w:rFonts w:hint="eastAsia" w:ascii="宋体" w:hAnsi="宋体"/>
                <w:szCs w:val="21"/>
              </w:rPr>
              <w:t>2</w:t>
            </w:r>
          </w:p>
        </w:tc>
        <w:tc>
          <w:tcPr>
            <w:tcW w:w="552" w:type="dxa"/>
            <w:vAlign w:val="center"/>
          </w:tcPr>
          <w:p>
            <w:pPr>
              <w:snapToGrid w:val="0"/>
              <w:spacing w:line="360" w:lineRule="auto"/>
              <w:textAlignment w:val="baseline"/>
              <w:rPr>
                <w:rFonts w:ascii="宋体" w:hAnsi="宋体"/>
                <w:sz w:val="20"/>
                <w:szCs w:val="21"/>
              </w:rPr>
            </w:pPr>
            <w:r>
              <w:rPr>
                <w:rFonts w:hint="eastAsia" w:ascii="宋体" w:hAnsi="宋体"/>
                <w:szCs w:val="21"/>
              </w:rPr>
              <w:t>3</w:t>
            </w:r>
          </w:p>
        </w:tc>
        <w:tc>
          <w:tcPr>
            <w:tcW w:w="552" w:type="dxa"/>
            <w:vAlign w:val="center"/>
          </w:tcPr>
          <w:p>
            <w:pPr>
              <w:snapToGrid w:val="0"/>
              <w:spacing w:line="360" w:lineRule="auto"/>
              <w:textAlignment w:val="baseline"/>
              <w:rPr>
                <w:rFonts w:ascii="宋体" w:hAnsi="宋体"/>
                <w:sz w:val="20"/>
                <w:szCs w:val="21"/>
              </w:rPr>
            </w:pPr>
            <w:r>
              <w:rPr>
                <w:rFonts w:hint="eastAsia" w:ascii="宋体" w:hAnsi="宋体"/>
                <w:szCs w:val="21"/>
              </w:rPr>
              <w:t>4</w:t>
            </w:r>
          </w:p>
        </w:tc>
        <w:tc>
          <w:tcPr>
            <w:tcW w:w="552" w:type="dxa"/>
            <w:vAlign w:val="center"/>
          </w:tcPr>
          <w:p>
            <w:pPr>
              <w:snapToGrid w:val="0"/>
              <w:spacing w:line="360" w:lineRule="auto"/>
              <w:textAlignment w:val="baseline"/>
              <w:rPr>
                <w:rFonts w:ascii="宋体" w:hAnsi="宋体"/>
                <w:sz w:val="20"/>
                <w:szCs w:val="21"/>
              </w:rPr>
            </w:pPr>
            <w:r>
              <w:rPr>
                <w:rFonts w:hint="eastAsia" w:ascii="宋体" w:hAnsi="宋体"/>
                <w:szCs w:val="21"/>
              </w:rPr>
              <w:t>5</w:t>
            </w:r>
          </w:p>
        </w:tc>
        <w:tc>
          <w:tcPr>
            <w:tcW w:w="552" w:type="dxa"/>
            <w:vAlign w:val="center"/>
          </w:tcPr>
          <w:p>
            <w:pPr>
              <w:snapToGrid w:val="0"/>
              <w:spacing w:line="360" w:lineRule="auto"/>
              <w:textAlignment w:val="baseline"/>
              <w:rPr>
                <w:rFonts w:ascii="宋体" w:hAnsi="宋体"/>
                <w:sz w:val="20"/>
                <w:szCs w:val="21"/>
              </w:rPr>
            </w:pPr>
            <w:r>
              <w:rPr>
                <w:rFonts w:hint="eastAsia" w:ascii="宋体" w:hAnsi="宋体"/>
                <w:szCs w:val="21"/>
              </w:rPr>
              <w:t>6</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7</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8</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9</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10</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11</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12</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13</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14</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15</w:t>
            </w:r>
          </w:p>
        </w:tc>
        <w:tc>
          <w:tcPr>
            <w:tcW w:w="553" w:type="dxa"/>
            <w:vAlign w:val="center"/>
          </w:tcPr>
          <w:p>
            <w:pPr>
              <w:snapToGrid w:val="0"/>
              <w:spacing w:line="360" w:lineRule="auto"/>
              <w:textAlignment w:val="baseline"/>
              <w:rPr>
                <w:rFonts w:ascii="宋体" w:hAnsi="宋体"/>
                <w:sz w:val="20"/>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napToGrid w:val="0"/>
              <w:spacing w:line="360" w:lineRule="auto"/>
              <w:textAlignment w:val="baseline"/>
              <w:rPr>
                <w:rFonts w:ascii="宋体" w:hAnsi="宋体"/>
                <w:sz w:val="20"/>
                <w:szCs w:val="21"/>
              </w:rPr>
            </w:pPr>
          </w:p>
        </w:tc>
        <w:tc>
          <w:tcPr>
            <w:tcW w:w="516"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2"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c>
          <w:tcPr>
            <w:tcW w:w="553" w:type="dxa"/>
          </w:tcPr>
          <w:p>
            <w:pPr>
              <w:snapToGrid w:val="0"/>
              <w:spacing w:line="360" w:lineRule="auto"/>
              <w:textAlignment w:val="baseline"/>
              <w:rPr>
                <w:rFonts w:ascii="宋体" w:hAnsi="宋体"/>
                <w:sz w:val="20"/>
                <w:szCs w:val="21"/>
              </w:rPr>
            </w:pPr>
          </w:p>
        </w:tc>
      </w:tr>
    </w:tbl>
    <w:p>
      <w:pPr>
        <w:snapToGrid w:val="0"/>
        <w:spacing w:line="440" w:lineRule="exact"/>
        <w:textAlignment w:val="baseline"/>
        <w:rPr>
          <w:rFonts w:ascii="宋体" w:hAnsi="宋体"/>
          <w:b/>
          <w:sz w:val="20"/>
          <w:szCs w:val="21"/>
        </w:rPr>
      </w:pPr>
      <w:r>
        <w:rPr>
          <w:rFonts w:hint="eastAsia" w:ascii="宋体" w:hAnsi="宋体"/>
          <w:b/>
          <w:szCs w:val="21"/>
        </w:rPr>
        <w:t>注：投标人可按上述时间表的格式自行编制切合实际的具体时间表。</w:t>
      </w:r>
    </w:p>
    <w:p>
      <w:pPr>
        <w:snapToGrid w:val="0"/>
        <w:spacing w:line="420" w:lineRule="exact"/>
        <w:textAlignment w:val="baseline"/>
        <w:rPr>
          <w:rFonts w:ascii="仿宋_GB2312" w:eastAsia="仿宋_GB2312"/>
          <w:kern w:val="0"/>
          <w:sz w:val="24"/>
        </w:rPr>
      </w:pPr>
    </w:p>
    <w:p>
      <w:pPr>
        <w:snapToGrid w:val="0"/>
        <w:spacing w:before="50" w:after="50"/>
        <w:textAlignment w:val="baseline"/>
        <w:rPr>
          <w:rFonts w:ascii="宋体" w:hAnsi="宋体"/>
          <w:sz w:val="20"/>
        </w:rPr>
      </w:pPr>
    </w:p>
    <w:p>
      <w:pPr>
        <w:snapToGrid w:val="0"/>
        <w:ind w:left="2" w:right="-816"/>
        <w:textAlignment w:val="baseline"/>
        <w:rPr>
          <w:rFonts w:ascii="宋体" w:hAnsi="宋体"/>
          <w:sz w:val="20"/>
        </w:rPr>
      </w:pPr>
    </w:p>
    <w:p>
      <w:pPr>
        <w:snapToGrid w:val="0"/>
        <w:spacing w:before="50" w:after="156"/>
        <w:jc w:val="left"/>
        <w:textAlignment w:val="baseline"/>
        <w:rPr>
          <w:rFonts w:ascii="宋体" w:hAnsi="宋体"/>
          <w:b/>
          <w:sz w:val="24"/>
        </w:rPr>
      </w:pPr>
      <w:r>
        <w:rPr>
          <w:rFonts w:hint="eastAsia" w:ascii="宋体" w:hAnsi="宋体"/>
        </w:rPr>
        <w:t>投标人名称（盖章）：</w:t>
      </w:r>
      <w:r>
        <w:rPr>
          <w:rFonts w:hint="eastAsia" w:ascii="宋体" w:hAnsi="宋体"/>
          <w:spacing w:val="20"/>
        </w:rPr>
        <w:t>日期：</w:t>
      </w:r>
      <w:r>
        <w:rPr>
          <w:rFonts w:ascii="宋体" w:hAnsi="宋体"/>
        </w:rPr>
        <w:br w:type="page"/>
      </w:r>
    </w:p>
    <w:p>
      <w:pPr>
        <w:snapToGrid w:val="0"/>
        <w:spacing w:before="50" w:after="156"/>
        <w:jc w:val="left"/>
        <w:textAlignment w:val="baseline"/>
        <w:rPr>
          <w:rFonts w:ascii="宋体" w:hAnsi="宋体"/>
          <w:b/>
          <w:sz w:val="24"/>
        </w:rPr>
      </w:pPr>
      <w:r>
        <w:rPr>
          <w:rFonts w:hint="eastAsia" w:ascii="宋体" w:hAnsi="宋体"/>
          <w:b/>
          <w:sz w:val="24"/>
        </w:rPr>
        <w:t>十三、技术响应表格式：</w:t>
      </w:r>
    </w:p>
    <w:p>
      <w:pPr>
        <w:snapToGrid w:val="0"/>
        <w:textAlignment w:val="baseline"/>
        <w:rPr>
          <w:rFonts w:ascii="宋体" w:hAnsi="宋体"/>
          <w:sz w:val="20"/>
        </w:rPr>
      </w:pPr>
      <w:r>
        <w:rPr>
          <w:rFonts w:hint="eastAsia" w:ascii="宋体" w:hAnsi="宋体"/>
        </w:rPr>
        <w:t>项目名称：</w:t>
      </w:r>
    </w:p>
    <w:p>
      <w:pPr>
        <w:snapToGrid w:val="0"/>
        <w:spacing w:line="360" w:lineRule="auto"/>
        <w:textAlignment w:val="baseline"/>
        <w:rPr>
          <w:rFonts w:ascii="宋体"/>
          <w:sz w:val="20"/>
        </w:rPr>
      </w:pPr>
      <w:r>
        <w:rPr>
          <w:rFonts w:hint="eastAsia" w:ascii="宋体" w:hAnsi="宋体"/>
        </w:rPr>
        <w:t>项目编号：</w:t>
      </w:r>
    </w:p>
    <w:tbl>
      <w:tblPr>
        <w:tblStyle w:val="36"/>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Ansi="宋体"/>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Ansi="宋体"/>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Ansi="宋体"/>
              </w:rPr>
              <w:t>项目</w:t>
            </w: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Ansi="宋体"/>
              </w:rPr>
              <w:t>要求</w:t>
            </w:r>
          </w:p>
        </w:tc>
        <w:tc>
          <w:tcPr>
            <w:tcW w:w="20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int="eastAsia" w:hAnsi="宋体"/>
              </w:rPr>
              <w:t>项目</w:t>
            </w:r>
          </w:p>
        </w:tc>
        <w:tc>
          <w:tcPr>
            <w:tcW w:w="160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r>
              <w:rPr>
                <w:rFonts w:hint="eastAsia" w:hAnsi="宋体"/>
              </w:rPr>
              <w:t xml:space="preserve">要求 </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120" w:lineRule="exact"/>
              <w:jc w:val="center"/>
              <w:textAlignment w:val="baseline"/>
              <w:rPr>
                <w:rFonts w:ascii="宋体" w:hAnsi="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240" w:lineRule="auto"/>
              <w:jc w:val="center"/>
              <w:textAlignment w:val="baseline"/>
              <w:rPr>
                <w:rFonts w:hAnsi="宋体"/>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jc w:val="center"/>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jc w:val="center"/>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jc w:val="center"/>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jc w:val="center"/>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textAlignment w:val="baseline"/>
              <w:rPr>
                <w:rFonts w:ascii="宋体" w:hAnsi="宋体"/>
                <w:sz w:val="20"/>
              </w:rPr>
            </w:pPr>
          </w:p>
        </w:tc>
        <w:tc>
          <w:tcPr>
            <w:tcW w:w="228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295" w:line="120" w:lineRule="exact"/>
              <w:textAlignment w:val="baseline"/>
              <w:rPr>
                <w:rFonts w:hAnsi="宋体"/>
              </w:rPr>
            </w:pPr>
          </w:p>
        </w:tc>
        <w:tc>
          <w:tcPr>
            <w:tcW w:w="2040"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604"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c>
          <w:tcPr>
            <w:tcW w:w="1423" w:type="dxa"/>
            <w:tcBorders>
              <w:top w:val="single" w:color="auto" w:sz="4" w:space="0"/>
              <w:left w:val="single" w:color="auto" w:sz="4" w:space="0"/>
              <w:bottom w:val="single" w:color="auto" w:sz="4" w:space="0"/>
              <w:right w:val="single" w:color="auto" w:sz="4" w:space="0"/>
            </w:tcBorders>
          </w:tcPr>
          <w:p>
            <w:pPr>
              <w:pStyle w:val="21"/>
              <w:snapToGrid w:val="0"/>
              <w:spacing w:before="120" w:after="295" w:line="120" w:lineRule="exact"/>
              <w:textAlignment w:val="baseline"/>
              <w:rPr>
                <w:rFonts w:hAnsi="宋体"/>
              </w:rPr>
            </w:pPr>
          </w:p>
        </w:tc>
      </w:tr>
    </w:tbl>
    <w:p>
      <w:pPr>
        <w:pStyle w:val="14"/>
        <w:textAlignment w:val="baseline"/>
        <w:rPr>
          <w:rFonts w:ascii="宋体" w:eastAsia="宋体"/>
          <w:sz w:val="21"/>
        </w:rPr>
      </w:pPr>
    </w:p>
    <w:p>
      <w:pPr>
        <w:pStyle w:val="14"/>
        <w:textAlignment w:val="baseline"/>
        <w:rPr>
          <w:rFonts w:ascii="宋体" w:eastAsia="宋体"/>
          <w:spacing w:val="20"/>
        </w:rPr>
      </w:pPr>
    </w:p>
    <w:p>
      <w:pPr>
        <w:snapToGrid w:val="0"/>
        <w:spacing w:before="50" w:after="50"/>
        <w:textAlignment w:val="baseline"/>
        <w:rPr>
          <w:rFonts w:ascii="宋体" w:hAnsi="宋体"/>
          <w:sz w:val="20"/>
        </w:rPr>
      </w:pPr>
    </w:p>
    <w:p>
      <w:pPr>
        <w:snapToGrid w:val="0"/>
        <w:ind w:left="2" w:right="-816"/>
        <w:textAlignment w:val="baseline"/>
        <w:rPr>
          <w:rFonts w:ascii="宋体" w:hAnsi="宋体"/>
          <w:sz w:val="20"/>
        </w:rPr>
      </w:pPr>
    </w:p>
    <w:p>
      <w:pPr>
        <w:snapToGrid w:val="0"/>
        <w:spacing w:before="50" w:after="50"/>
        <w:textAlignment w:val="baseline"/>
        <w:rPr>
          <w:rFonts w:ascii="宋体" w:hAnsi="宋体"/>
          <w:sz w:val="24"/>
        </w:rPr>
      </w:pPr>
      <w:r>
        <w:rPr>
          <w:rFonts w:hint="eastAsia" w:ascii="宋体" w:hAnsi="宋体"/>
        </w:rPr>
        <w:t>投标人名称（盖章）：</w:t>
      </w:r>
      <w:r>
        <w:rPr>
          <w:rFonts w:hint="eastAsia" w:ascii="宋体" w:hAnsi="宋体"/>
          <w:spacing w:val="20"/>
        </w:rPr>
        <w:t>日期：</w:t>
      </w:r>
    </w:p>
    <w:p>
      <w:pPr>
        <w:snapToGrid w:val="0"/>
        <w:spacing w:before="50" w:after="156"/>
        <w:jc w:val="left"/>
        <w:textAlignment w:val="baseline"/>
        <w:rPr>
          <w:rFonts w:ascii="宋体" w:hAnsi="宋体"/>
          <w:b/>
          <w:sz w:val="24"/>
        </w:rPr>
      </w:pPr>
    </w:p>
    <w:p>
      <w:pPr>
        <w:snapToGrid w:val="0"/>
        <w:spacing w:before="50" w:after="156"/>
        <w:jc w:val="left"/>
        <w:textAlignment w:val="baseline"/>
        <w:rPr>
          <w:rFonts w:ascii="宋体" w:hAnsi="宋体"/>
          <w:b/>
          <w:sz w:val="24"/>
        </w:rPr>
      </w:pPr>
    </w:p>
    <w:p>
      <w:pPr>
        <w:snapToGrid w:val="0"/>
        <w:spacing w:before="50" w:after="156"/>
        <w:jc w:val="left"/>
        <w:textAlignment w:val="baseline"/>
        <w:rPr>
          <w:rFonts w:ascii="宋体" w:hAnsi="宋体"/>
          <w:b/>
          <w:sz w:val="24"/>
        </w:rPr>
      </w:pPr>
    </w:p>
    <w:p>
      <w:pPr>
        <w:snapToGrid w:val="0"/>
        <w:spacing w:before="50" w:after="156"/>
        <w:jc w:val="left"/>
        <w:textAlignment w:val="baseline"/>
        <w:rPr>
          <w:rFonts w:ascii="宋体" w:hAnsi="宋体"/>
          <w:b/>
          <w:sz w:val="24"/>
        </w:rPr>
      </w:pPr>
    </w:p>
    <w:p>
      <w:pPr>
        <w:snapToGrid w:val="0"/>
        <w:spacing w:before="50" w:after="156"/>
        <w:jc w:val="left"/>
        <w:textAlignment w:val="baseline"/>
        <w:rPr>
          <w:rFonts w:ascii="宋体" w:hAnsi="宋体"/>
          <w:b/>
          <w:sz w:val="24"/>
        </w:rPr>
      </w:pPr>
    </w:p>
    <w:p/>
    <w:p/>
    <w:p/>
    <w:sectPr>
      <w:pgSz w:w="11906" w:h="16838"/>
      <w:pgMar w:top="1304" w:right="1531" w:bottom="1304" w:left="1531" w:header="1304"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标题 CS)">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Songti SC Regular">
    <w:altName w:val="Times New Roman"/>
    <w:panose1 w:val="00000000000000000000"/>
    <w:charset w:val="00"/>
    <w:family w:val="roman"/>
    <w:pitch w:val="default"/>
    <w:sig w:usb0="00000000" w:usb1="00000000" w:usb2="00000000" w:usb3="00000000" w:csb0="00040001" w:csb1="00000000"/>
  </w:font>
  <w:font w:name="Songti SC Bold">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17</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8"/>
      <w:lvlText w:val="%1."/>
      <w:lvlJc w:val="left"/>
      <w:pPr>
        <w:tabs>
          <w:tab w:val="left" w:pos="360"/>
        </w:tabs>
        <w:ind w:left="360" w:hanging="360"/>
      </w:pPr>
    </w:lvl>
  </w:abstractNum>
  <w:abstractNum w:abstractNumId="1">
    <w:nsid w:val="00000002"/>
    <w:multiLevelType w:val="singleLevel"/>
    <w:tmpl w:val="00000002"/>
    <w:lvl w:ilvl="0" w:tentative="0">
      <w:start w:val="1"/>
      <w:numFmt w:val="bullet"/>
      <w:pStyle w:val="76"/>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6"/>
    <w:multiLevelType w:val="multilevel"/>
    <w:tmpl w:val="00000006"/>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4">
    <w:nsid w:val="01123041"/>
    <w:multiLevelType w:val="multilevel"/>
    <w:tmpl w:val="01123041"/>
    <w:lvl w:ilvl="0" w:tentative="0">
      <w:start w:val="1"/>
      <w:numFmt w:val="chineseCountingThousand"/>
      <w:lvlText w:val="第%1章、"/>
      <w:lvlJc w:val="left"/>
      <w:pPr>
        <w:ind w:left="0" w:firstLine="0"/>
      </w:pPr>
      <w:rPr>
        <w:rFonts w:hint="eastAsia" w:ascii="宋体" w:hAnsi="宋体" w:eastAsia="宋体"/>
        <w:sz w:val="44"/>
      </w:rPr>
    </w:lvl>
    <w:lvl w:ilvl="1" w:tentative="0">
      <w:start w:val="1"/>
      <w:numFmt w:val="decimal"/>
      <w:lvlText w:val="%2、"/>
      <w:lvlJc w:val="left"/>
      <w:pPr>
        <w:ind w:left="0" w:firstLine="0"/>
      </w:pPr>
      <w:rPr>
        <w:rFonts w:hint="eastAsia" w:ascii="宋体" w:hAnsi="宋体" w:eastAsia="宋体"/>
        <w:sz w:val="36"/>
      </w:rPr>
    </w:lvl>
    <w:lvl w:ilvl="2" w:tentative="0">
      <w:start w:val="1"/>
      <w:numFmt w:val="decimal"/>
      <w:lvlText w:val="%2.%3、"/>
      <w:lvlJc w:val="left"/>
      <w:pPr>
        <w:ind w:left="0" w:firstLine="0"/>
      </w:pPr>
      <w:rPr>
        <w:rFonts w:hint="eastAsia" w:ascii="宋体" w:hAnsi="宋体" w:eastAsia="宋体"/>
        <w:sz w:val="32"/>
      </w:rPr>
    </w:lvl>
    <w:lvl w:ilvl="3" w:tentative="0">
      <w:start w:val="1"/>
      <w:numFmt w:val="decimal"/>
      <w:lvlText w:val="%2.%3.%4、"/>
      <w:lvlJc w:val="left"/>
      <w:pPr>
        <w:ind w:left="0" w:firstLine="0"/>
      </w:pPr>
      <w:rPr>
        <w:rFonts w:hint="eastAsia" w:ascii="宋体" w:hAnsi="宋体" w:eastAsia="宋体"/>
        <w:sz w:val="30"/>
      </w:rPr>
    </w:lvl>
    <w:lvl w:ilvl="4" w:tentative="0">
      <w:start w:val="1"/>
      <w:numFmt w:val="decimal"/>
      <w:lvlText w:val="%2.%3.%4.%5、"/>
      <w:lvlJc w:val="left"/>
      <w:pPr>
        <w:ind w:left="0" w:firstLine="0"/>
      </w:pPr>
      <w:rPr>
        <w:rFonts w:hint="eastAsia" w:ascii="宋体" w:hAnsi="宋体" w:eastAsia="宋体"/>
        <w:sz w:val="28"/>
      </w:rPr>
    </w:lvl>
    <w:lvl w:ilvl="5" w:tentative="0">
      <w:start w:val="1"/>
      <w:numFmt w:val="decimal"/>
      <w:pStyle w:val="7"/>
      <w:lvlText w:val="%2.%3.%4.%5.%6、"/>
      <w:lvlJc w:val="left"/>
      <w:pPr>
        <w:ind w:left="0" w:firstLine="0"/>
      </w:pPr>
      <w:rPr>
        <w:rFonts w:hint="eastAsia" w:ascii="宋体" w:hAnsi="宋体" w:eastAsia="宋体"/>
        <w:sz w:val="24"/>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5C738D4"/>
    <w:multiLevelType w:val="multilevel"/>
    <w:tmpl w:val="15C738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11445A"/>
    <w:multiLevelType w:val="multilevel"/>
    <w:tmpl w:val="2811445A"/>
    <w:lvl w:ilvl="0" w:tentative="0">
      <w:start w:val="1"/>
      <w:numFmt w:val="decimalEnclosedCircle"/>
      <w:pStyle w:val="89"/>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32C273F7"/>
    <w:multiLevelType w:val="multilevel"/>
    <w:tmpl w:val="32C273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432FEB"/>
    <w:multiLevelType w:val="multilevel"/>
    <w:tmpl w:val="59432F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098A6CC"/>
    <w:multiLevelType w:val="multilevel"/>
    <w:tmpl w:val="6098A6CC"/>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4"/>
  </w:num>
  <w:num w:numId="2">
    <w:abstractNumId w:val="0"/>
  </w:num>
  <w:num w:numId="3">
    <w:abstractNumId w:val="1"/>
  </w:num>
  <w:num w:numId="4">
    <w:abstractNumId w:val="6"/>
  </w:num>
  <w:num w:numId="5">
    <w:abstractNumId w:val="9"/>
    <w:lvlOverride w:ilvl="0">
      <w:startOverride w:val="1"/>
    </w:lvlOverride>
  </w:num>
  <w:num w:numId="6">
    <w:abstractNumId w:val="7"/>
  </w:num>
  <w:num w:numId="7">
    <w:abstractNumId w:val="8"/>
  </w:num>
  <w:num w:numId="8">
    <w:abstractNumId w:val="5"/>
  </w:num>
  <w:num w:numId="9">
    <w:abstractNumId w:val="3"/>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80D"/>
    <w:rsid w:val="0000361C"/>
    <w:rsid w:val="00010AB5"/>
    <w:rsid w:val="00101704"/>
    <w:rsid w:val="001C4072"/>
    <w:rsid w:val="004201A0"/>
    <w:rsid w:val="006A0AA9"/>
    <w:rsid w:val="00754BFA"/>
    <w:rsid w:val="008058C7"/>
    <w:rsid w:val="008D51B1"/>
    <w:rsid w:val="009406DB"/>
    <w:rsid w:val="00A105D9"/>
    <w:rsid w:val="00A96FE0"/>
    <w:rsid w:val="00C3180D"/>
    <w:rsid w:val="00CC7A73"/>
    <w:rsid w:val="00DA5744"/>
    <w:rsid w:val="1A3D144D"/>
    <w:rsid w:val="2D4164E5"/>
    <w:rsid w:val="4EBD0B4F"/>
    <w:rsid w:val="68651D46"/>
    <w:rsid w:val="70C22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link w:val="46"/>
    <w:qFormat/>
    <w:uiPriority w:val="0"/>
    <w:pPr>
      <w:keepNext/>
      <w:keepLines/>
      <w:tabs>
        <w:tab w:val="left" w:pos="1440"/>
      </w:tabs>
      <w:spacing w:beforeLines="250" w:afterLines="150" w:line="360" w:lineRule="auto"/>
      <w:jc w:val="center"/>
      <w:outlineLvl w:val="0"/>
    </w:pPr>
    <w:rPr>
      <w:rFonts w:ascii="Times New Roman" w:hAnsi="Times New Roman" w:eastAsia="黑体" w:cs="Times New Roman"/>
      <w:b/>
      <w:bCs/>
      <w:kern w:val="44"/>
      <w:sz w:val="52"/>
      <w:lang w:val="en-US" w:eastAsia="zh-CN" w:bidi="ar-SA"/>
    </w:rPr>
  </w:style>
  <w:style w:type="paragraph" w:styleId="2">
    <w:name w:val="heading 2"/>
    <w:basedOn w:val="1"/>
    <w:next w:val="1"/>
    <w:link w:val="47"/>
    <w:qFormat/>
    <w:uiPriority w:val="9"/>
    <w:pPr>
      <w:keepNext/>
      <w:keepLines/>
      <w:spacing w:before="260" w:after="260" w:line="408" w:lineRule="auto"/>
      <w:outlineLvl w:val="1"/>
    </w:pPr>
    <w:rPr>
      <w:rFonts w:ascii="Arial" w:hAnsi="Arial" w:eastAsia="黑体"/>
      <w:b/>
      <w:kern w:val="0"/>
      <w:sz w:val="32"/>
      <w:szCs w:val="20"/>
    </w:rPr>
  </w:style>
  <w:style w:type="paragraph" w:styleId="4">
    <w:name w:val="heading 3"/>
    <w:next w:val="1"/>
    <w:link w:val="48"/>
    <w:qFormat/>
    <w:uiPriority w:val="0"/>
    <w:pPr>
      <w:keepNext/>
      <w:keepLines/>
      <w:tabs>
        <w:tab w:val="left" w:pos="567"/>
      </w:tabs>
      <w:spacing w:beforeLines="50" w:afterLines="50" w:line="360" w:lineRule="auto"/>
      <w:outlineLvl w:val="2"/>
    </w:pPr>
    <w:rPr>
      <w:rFonts w:ascii="Times New Roman" w:hAnsi="Times New Roman" w:eastAsia="黑体" w:cs="Times New Roman"/>
      <w:b/>
      <w:bCs/>
      <w:kern w:val="2"/>
      <w:sz w:val="36"/>
      <w:szCs w:val="36"/>
      <w:lang w:val="en-US" w:eastAsia="zh-CN" w:bidi="ar-SA"/>
    </w:rPr>
  </w:style>
  <w:style w:type="paragraph" w:styleId="5">
    <w:name w:val="heading 4"/>
    <w:next w:val="1"/>
    <w:link w:val="49"/>
    <w:qFormat/>
    <w:uiPriority w:val="0"/>
    <w:pPr>
      <w:keepNext/>
      <w:keepLines/>
      <w:tabs>
        <w:tab w:val="left" w:pos="-420"/>
      </w:tabs>
      <w:spacing w:beforeLines="50" w:afterLines="50" w:line="360" w:lineRule="auto"/>
      <w:outlineLvl w:val="3"/>
    </w:pPr>
    <w:rPr>
      <w:rFonts w:ascii="Arial" w:hAnsi="Arial" w:eastAsia="黑体" w:cs="Times New Roman"/>
      <w:b/>
      <w:bCs/>
      <w:kern w:val="2"/>
      <w:sz w:val="30"/>
      <w:szCs w:val="28"/>
      <w:lang w:val="en-US" w:eastAsia="zh-CN" w:bidi="ar-SA"/>
    </w:rPr>
  </w:style>
  <w:style w:type="paragraph" w:styleId="6">
    <w:name w:val="heading 5"/>
    <w:next w:val="1"/>
    <w:link w:val="50"/>
    <w:qFormat/>
    <w:uiPriority w:val="0"/>
    <w:pPr>
      <w:keepNext/>
      <w:keepLines/>
      <w:tabs>
        <w:tab w:val="left" w:pos="-420"/>
      </w:tabs>
      <w:spacing w:beforeLines="50" w:afterLines="50" w:line="377" w:lineRule="auto"/>
      <w:outlineLvl w:val="4"/>
    </w:pPr>
    <w:rPr>
      <w:rFonts w:ascii="Times New Roman" w:hAnsi="Times New Roman" w:eastAsia="宋体" w:cs="Times New Roman"/>
      <w:b/>
      <w:bCs/>
      <w:kern w:val="2"/>
      <w:sz w:val="28"/>
      <w:szCs w:val="28"/>
      <w:lang w:val="en-US" w:eastAsia="zh-CN" w:bidi="ar-SA"/>
    </w:rPr>
  </w:style>
  <w:style w:type="paragraph" w:styleId="7">
    <w:name w:val="heading 6"/>
    <w:basedOn w:val="1"/>
    <w:next w:val="1"/>
    <w:link w:val="51"/>
    <w:unhideWhenUsed/>
    <w:qFormat/>
    <w:uiPriority w:val="9"/>
    <w:pPr>
      <w:keepNext/>
      <w:keepLines/>
      <w:numPr>
        <w:ilvl w:val="5"/>
        <w:numId w:val="1"/>
      </w:numPr>
      <w:spacing w:before="240" w:after="64" w:line="320" w:lineRule="auto"/>
      <w:ind w:firstLine="200" w:firstLineChars="200"/>
      <w:outlineLvl w:val="5"/>
    </w:pPr>
    <w:rPr>
      <w:rFonts w:cs="Times New Roman (标题 CS)"/>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tabs>
        <w:tab w:val="left" w:pos="360"/>
      </w:tabs>
      <w:ind w:left="360" w:hanging="360"/>
    </w:pPr>
  </w:style>
  <w:style w:type="paragraph" w:styleId="9">
    <w:name w:val="Normal Indent"/>
    <w:basedOn w:val="1"/>
    <w:qFormat/>
    <w:uiPriority w:val="0"/>
    <w:pPr>
      <w:ind w:firstLine="420"/>
    </w:pPr>
  </w:style>
  <w:style w:type="paragraph" w:styleId="10">
    <w:name w:val="caption"/>
    <w:basedOn w:val="1"/>
    <w:next w:val="1"/>
    <w:link w:val="122"/>
    <w:qFormat/>
    <w:uiPriority w:val="0"/>
    <w:pPr>
      <w:spacing w:before="152" w:after="160"/>
    </w:pPr>
    <w:rPr>
      <w:rFonts w:ascii="Arial" w:hAnsi="Arial" w:eastAsia="黑体" w:cs="Arial"/>
    </w:rPr>
  </w:style>
  <w:style w:type="paragraph" w:styleId="11">
    <w:name w:val="List Bullet"/>
    <w:basedOn w:val="1"/>
    <w:qFormat/>
    <w:uiPriority w:val="0"/>
    <w:pPr>
      <w:tabs>
        <w:tab w:val="left" w:pos="360"/>
      </w:tabs>
      <w:ind w:left="360" w:hanging="360"/>
    </w:pPr>
  </w:style>
  <w:style w:type="paragraph" w:styleId="12">
    <w:name w:val="Document Map"/>
    <w:basedOn w:val="1"/>
    <w:link w:val="52"/>
    <w:qFormat/>
    <w:uiPriority w:val="0"/>
    <w:pPr>
      <w:shd w:val="clear" w:color="auto" w:fill="000080"/>
    </w:pPr>
    <w:rPr>
      <w:rFonts w:cs="宋体"/>
      <w:shd w:val="clear" w:color="auto" w:fill="000080"/>
    </w:rPr>
  </w:style>
  <w:style w:type="paragraph" w:styleId="13">
    <w:name w:val="annotation text"/>
    <w:basedOn w:val="1"/>
    <w:link w:val="53"/>
    <w:qFormat/>
    <w:uiPriority w:val="0"/>
    <w:pPr>
      <w:jc w:val="left"/>
    </w:pPr>
    <w:rPr>
      <w:rFonts w:cs="宋体"/>
    </w:rPr>
  </w:style>
  <w:style w:type="paragraph" w:styleId="14">
    <w:name w:val="Body Text 3"/>
    <w:basedOn w:val="1"/>
    <w:link w:val="54"/>
    <w:qFormat/>
    <w:uiPriority w:val="0"/>
    <w:pPr>
      <w:snapToGrid w:val="0"/>
      <w:spacing w:before="50" w:after="50"/>
    </w:pPr>
    <w:rPr>
      <w:rFonts w:hAnsi="宋体" w:eastAsia="仿宋_GB2312"/>
      <w:b/>
      <w:sz w:val="24"/>
    </w:rPr>
  </w:style>
  <w:style w:type="paragraph" w:styleId="15">
    <w:name w:val="Body Text"/>
    <w:basedOn w:val="1"/>
    <w:next w:val="16"/>
    <w:link w:val="55"/>
    <w:qFormat/>
    <w:uiPriority w:val="0"/>
    <w:pPr>
      <w:spacing w:after="120"/>
    </w:pPr>
    <w:rPr>
      <w:rFonts w:ascii="Calibri" w:hAnsi="Calibri"/>
      <w:kern w:val="0"/>
      <w:sz w:val="28"/>
    </w:rPr>
  </w:style>
  <w:style w:type="paragraph" w:styleId="16">
    <w:name w:val="Body Text First Indent"/>
    <w:basedOn w:val="15"/>
    <w:next w:val="1"/>
    <w:link w:val="56"/>
    <w:qFormat/>
    <w:uiPriority w:val="0"/>
    <w:pPr>
      <w:ind w:firstLine="420" w:firstLineChars="100"/>
    </w:pPr>
    <w:rPr>
      <w:kern w:val="2"/>
      <w:sz w:val="21"/>
    </w:rPr>
  </w:style>
  <w:style w:type="paragraph" w:styleId="17">
    <w:name w:val="Body Text Indent"/>
    <w:basedOn w:val="1"/>
    <w:link w:val="57"/>
    <w:qFormat/>
    <w:uiPriority w:val="0"/>
    <w:pPr>
      <w:spacing w:line="200" w:lineRule="exact"/>
      <w:ind w:firstLine="301"/>
    </w:pPr>
    <w:rPr>
      <w:rFonts w:ascii="宋体" w:hAnsi="Courier New"/>
      <w:spacing w:val="-4"/>
      <w:kern w:val="0"/>
      <w:sz w:val="18"/>
    </w:rPr>
  </w:style>
  <w:style w:type="paragraph" w:styleId="18">
    <w:name w:val="List Number 3"/>
    <w:basedOn w:val="1"/>
    <w:qFormat/>
    <w:uiPriority w:val="0"/>
    <w:pPr>
      <w:numPr>
        <w:ilvl w:val="0"/>
        <w:numId w:val="2"/>
      </w:numPr>
    </w:pPr>
    <w:rPr>
      <w:szCs w:val="24"/>
    </w:rPr>
  </w:style>
  <w:style w:type="paragraph" w:styleId="19">
    <w:name w:val="List 2"/>
    <w:basedOn w:val="1"/>
    <w:qFormat/>
    <w:uiPriority w:val="0"/>
    <w:pPr>
      <w:ind w:left="100" w:leftChars="200" w:hanging="200" w:hangingChars="200"/>
    </w:pPr>
    <w:rPr>
      <w:sz w:val="28"/>
      <w:szCs w:val="24"/>
    </w:rPr>
  </w:style>
  <w:style w:type="paragraph" w:styleId="20">
    <w:name w:val="Block Text"/>
    <w:basedOn w:val="1"/>
    <w:qFormat/>
    <w:uiPriority w:val="0"/>
    <w:pPr>
      <w:spacing w:line="360" w:lineRule="auto"/>
      <w:ind w:left="504" w:leftChars="240" w:right="23" w:firstLine="36" w:firstLineChars="17"/>
    </w:pPr>
    <w:rPr>
      <w:rFonts w:ascii="宋体" w:hAnsi="宋体"/>
      <w:szCs w:val="20"/>
    </w:rPr>
  </w:style>
  <w:style w:type="paragraph" w:styleId="21">
    <w:name w:val="Plain Text"/>
    <w:basedOn w:val="1"/>
    <w:link w:val="58"/>
    <w:qFormat/>
    <w:uiPriority w:val="99"/>
    <w:pPr>
      <w:spacing w:beforeLines="50" w:line="400" w:lineRule="exact"/>
    </w:pPr>
    <w:rPr>
      <w:rFonts w:ascii="宋体" w:hAnsi="Courier New"/>
      <w:sz w:val="24"/>
    </w:rPr>
  </w:style>
  <w:style w:type="paragraph" w:styleId="22">
    <w:name w:val="Date"/>
    <w:basedOn w:val="1"/>
    <w:next w:val="1"/>
    <w:link w:val="59"/>
    <w:qFormat/>
    <w:uiPriority w:val="0"/>
    <w:pPr>
      <w:ind w:left="2500" w:leftChars="2500"/>
    </w:pPr>
    <w:rPr>
      <w:rFonts w:ascii="Calibri" w:hAnsi="Calibri" w:eastAsia="楷体_GB2312"/>
      <w:kern w:val="0"/>
      <w:sz w:val="32"/>
    </w:rPr>
  </w:style>
  <w:style w:type="paragraph" w:styleId="23">
    <w:name w:val="Body Text Indent 2"/>
    <w:basedOn w:val="1"/>
    <w:link w:val="60"/>
    <w:qFormat/>
    <w:uiPriority w:val="0"/>
    <w:pPr>
      <w:snapToGrid w:val="0"/>
      <w:ind w:firstLine="542" w:firstLineChars="225"/>
    </w:pPr>
    <w:rPr>
      <w:rFonts w:ascii="仿宋_GB2312" w:hAnsi="宋体"/>
      <w:b/>
      <w:color w:val="000000"/>
      <w:kern w:val="0"/>
      <w:sz w:val="24"/>
    </w:rPr>
  </w:style>
  <w:style w:type="paragraph" w:styleId="24">
    <w:name w:val="Balloon Text"/>
    <w:basedOn w:val="1"/>
    <w:link w:val="61"/>
    <w:qFormat/>
    <w:uiPriority w:val="0"/>
    <w:rPr>
      <w:rFonts w:ascii="Calibri" w:hAnsi="Calibri"/>
      <w:sz w:val="18"/>
      <w:szCs w:val="18"/>
    </w:rPr>
  </w:style>
  <w:style w:type="paragraph" w:styleId="25">
    <w:name w:val="footer"/>
    <w:basedOn w:val="1"/>
    <w:link w:val="45"/>
    <w:unhideWhenUsed/>
    <w:qFormat/>
    <w:uiPriority w:val="0"/>
    <w:pPr>
      <w:tabs>
        <w:tab w:val="center" w:pos="4153"/>
        <w:tab w:val="right" w:pos="8306"/>
      </w:tabs>
      <w:snapToGrid w:val="0"/>
      <w:jc w:val="left"/>
    </w:pPr>
    <w:rPr>
      <w:sz w:val="18"/>
      <w:szCs w:val="18"/>
    </w:rPr>
  </w:style>
  <w:style w:type="paragraph" w:styleId="26">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List"/>
    <w:basedOn w:val="1"/>
    <w:qFormat/>
    <w:uiPriority w:val="0"/>
    <w:pPr>
      <w:ind w:left="200" w:hanging="200" w:hangingChars="200"/>
    </w:pPr>
    <w:rPr>
      <w:sz w:val="28"/>
    </w:rPr>
  </w:style>
  <w:style w:type="paragraph" w:styleId="29">
    <w:name w:val="Body Text Indent 3"/>
    <w:basedOn w:val="1"/>
    <w:link w:val="62"/>
    <w:qFormat/>
    <w:uiPriority w:val="0"/>
    <w:pPr>
      <w:snapToGrid w:val="0"/>
      <w:ind w:firstLine="480" w:firstLineChars="200"/>
      <w:jc w:val="left"/>
    </w:pPr>
    <w:rPr>
      <w:rFonts w:ascii="仿宋_GB2312" w:hAnsi="宋体" w:eastAsia="仿宋_GB2312"/>
      <w:color w:val="000000"/>
      <w:kern w:val="0"/>
      <w:sz w:val="24"/>
    </w:rPr>
  </w:style>
  <w:style w:type="paragraph" w:styleId="30">
    <w:name w:val="Body Text 2"/>
    <w:basedOn w:val="1"/>
    <w:link w:val="63"/>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1">
    <w:name w:val="HTML Preformatted"/>
    <w:basedOn w:val="1"/>
    <w:link w:val="6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2">
    <w:name w:val="Normal (Web)"/>
    <w:basedOn w:val="1"/>
    <w:qFormat/>
    <w:uiPriority w:val="99"/>
    <w:pPr>
      <w:widowControl/>
      <w:spacing w:before="100" w:beforeAutospacing="1" w:after="100" w:afterAutospacing="1"/>
      <w:jc w:val="left"/>
    </w:pPr>
    <w:rPr>
      <w:rFonts w:ascii="(使用中文字体)" w:hAnsi="(使用中文字体)" w:cs="(使用中文字体)"/>
      <w:kern w:val="0"/>
      <w:sz w:val="24"/>
      <w:szCs w:val="24"/>
    </w:rPr>
  </w:style>
  <w:style w:type="paragraph" w:styleId="33">
    <w:name w:val="index 1"/>
    <w:basedOn w:val="1"/>
    <w:next w:val="1"/>
    <w:qFormat/>
    <w:uiPriority w:val="0"/>
    <w:pPr>
      <w:tabs>
        <w:tab w:val="left" w:pos="900"/>
      </w:tabs>
      <w:adjustRightInd w:val="0"/>
      <w:ind w:firstLine="420" w:firstLineChars="200"/>
    </w:pPr>
    <w:rPr>
      <w:rFonts w:ascii="宋体" w:hAnsi="宋体"/>
    </w:rPr>
  </w:style>
  <w:style w:type="paragraph" w:styleId="34">
    <w:name w:val="annotation subject"/>
    <w:basedOn w:val="13"/>
    <w:next w:val="13"/>
    <w:link w:val="65"/>
    <w:qFormat/>
    <w:uiPriority w:val="0"/>
    <w:rPr>
      <w:b/>
      <w:bCs/>
    </w:rPr>
  </w:style>
  <w:style w:type="paragraph" w:styleId="35">
    <w:name w:val="Body Text First Indent 2"/>
    <w:basedOn w:val="17"/>
    <w:link w:val="66"/>
    <w:qFormat/>
    <w:uiPriority w:val="0"/>
    <w:pPr>
      <w:spacing w:after="120" w:line="240" w:lineRule="auto"/>
      <w:ind w:left="420" w:leftChars="200" w:firstLine="420" w:firstLineChars="200"/>
    </w:pPr>
    <w:rPr>
      <w:rFonts w:ascii="Calibri" w:hAnsi="Calibri"/>
      <w:spacing w:val="0"/>
      <w:kern w:val="2"/>
      <w:sz w:val="21"/>
      <w:szCs w:val="24"/>
    </w:rPr>
  </w:style>
  <w:style w:type="table" w:styleId="37">
    <w:name w:val="Table Grid"/>
    <w:basedOn w:val="3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rFonts w:hint="default" w:ascii="Times New Roman" w:hAnsi="Times New Roman" w:cs="Times New Roman"/>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页眉 Char"/>
    <w:basedOn w:val="38"/>
    <w:link w:val="26"/>
    <w:qFormat/>
    <w:uiPriority w:val="99"/>
    <w:rPr>
      <w:sz w:val="18"/>
      <w:szCs w:val="18"/>
    </w:rPr>
  </w:style>
  <w:style w:type="character" w:customStyle="1" w:styleId="45">
    <w:name w:val="页脚 Char"/>
    <w:basedOn w:val="38"/>
    <w:link w:val="25"/>
    <w:qFormat/>
    <w:uiPriority w:val="0"/>
    <w:rPr>
      <w:sz w:val="18"/>
      <w:szCs w:val="18"/>
    </w:rPr>
  </w:style>
  <w:style w:type="character" w:customStyle="1" w:styleId="46">
    <w:name w:val="标题 1 Char"/>
    <w:basedOn w:val="38"/>
    <w:link w:val="3"/>
    <w:qFormat/>
    <w:uiPriority w:val="0"/>
    <w:rPr>
      <w:rFonts w:ascii="Times New Roman" w:hAnsi="Times New Roman" w:eastAsia="黑体" w:cs="Times New Roman"/>
      <w:b/>
      <w:bCs/>
      <w:kern w:val="44"/>
      <w:sz w:val="52"/>
      <w:szCs w:val="20"/>
    </w:rPr>
  </w:style>
  <w:style w:type="character" w:customStyle="1" w:styleId="47">
    <w:name w:val="标题 2 Char"/>
    <w:basedOn w:val="38"/>
    <w:link w:val="2"/>
    <w:qFormat/>
    <w:uiPriority w:val="9"/>
    <w:rPr>
      <w:rFonts w:ascii="Arial" w:hAnsi="Arial" w:eastAsia="黑体" w:cs="Times New Roman"/>
      <w:b/>
      <w:kern w:val="0"/>
      <w:sz w:val="32"/>
      <w:szCs w:val="20"/>
    </w:rPr>
  </w:style>
  <w:style w:type="character" w:customStyle="1" w:styleId="48">
    <w:name w:val="标题 3 Char"/>
    <w:basedOn w:val="38"/>
    <w:link w:val="4"/>
    <w:qFormat/>
    <w:uiPriority w:val="0"/>
    <w:rPr>
      <w:rFonts w:ascii="Times New Roman" w:hAnsi="Times New Roman" w:eastAsia="黑体" w:cs="Times New Roman"/>
      <w:b/>
      <w:bCs/>
      <w:sz w:val="36"/>
      <w:szCs w:val="36"/>
    </w:rPr>
  </w:style>
  <w:style w:type="character" w:customStyle="1" w:styleId="49">
    <w:name w:val="标题 4 Char"/>
    <w:basedOn w:val="38"/>
    <w:link w:val="5"/>
    <w:qFormat/>
    <w:uiPriority w:val="0"/>
    <w:rPr>
      <w:rFonts w:ascii="Arial" w:hAnsi="Arial" w:eastAsia="黑体" w:cs="Times New Roman"/>
      <w:b/>
      <w:bCs/>
      <w:sz w:val="30"/>
      <w:szCs w:val="28"/>
    </w:rPr>
  </w:style>
  <w:style w:type="character" w:customStyle="1" w:styleId="50">
    <w:name w:val="标题 5 Char"/>
    <w:basedOn w:val="38"/>
    <w:link w:val="6"/>
    <w:qFormat/>
    <w:uiPriority w:val="0"/>
    <w:rPr>
      <w:rFonts w:ascii="Times New Roman" w:hAnsi="Times New Roman" w:eastAsia="宋体" w:cs="Times New Roman"/>
      <w:b/>
      <w:bCs/>
      <w:sz w:val="28"/>
      <w:szCs w:val="28"/>
    </w:rPr>
  </w:style>
  <w:style w:type="character" w:customStyle="1" w:styleId="51">
    <w:name w:val="标题 6 Char"/>
    <w:basedOn w:val="38"/>
    <w:link w:val="7"/>
    <w:qFormat/>
    <w:uiPriority w:val="9"/>
    <w:rPr>
      <w:rFonts w:ascii="Times New Roman" w:hAnsi="Times New Roman" w:eastAsia="宋体" w:cs="Times New Roman (标题 CS)"/>
      <w:b/>
      <w:bCs/>
      <w:sz w:val="24"/>
      <w:szCs w:val="24"/>
    </w:rPr>
  </w:style>
  <w:style w:type="character" w:customStyle="1" w:styleId="52">
    <w:name w:val="文档结构图 Char"/>
    <w:basedOn w:val="38"/>
    <w:link w:val="12"/>
    <w:qFormat/>
    <w:uiPriority w:val="0"/>
    <w:rPr>
      <w:rFonts w:ascii="Times New Roman" w:hAnsi="Times New Roman" w:eastAsia="宋体" w:cs="宋体"/>
      <w:shd w:val="clear" w:color="auto" w:fill="000080"/>
    </w:rPr>
  </w:style>
  <w:style w:type="character" w:customStyle="1" w:styleId="53">
    <w:name w:val="批注文字 Char"/>
    <w:basedOn w:val="38"/>
    <w:link w:val="13"/>
    <w:qFormat/>
    <w:uiPriority w:val="0"/>
    <w:rPr>
      <w:rFonts w:ascii="Times New Roman" w:hAnsi="Times New Roman" w:eastAsia="宋体" w:cs="宋体"/>
    </w:rPr>
  </w:style>
  <w:style w:type="character" w:customStyle="1" w:styleId="54">
    <w:name w:val="正文文本 3 Char"/>
    <w:basedOn w:val="38"/>
    <w:link w:val="14"/>
    <w:qFormat/>
    <w:uiPriority w:val="0"/>
    <w:rPr>
      <w:rFonts w:ascii="Times New Roman" w:hAnsi="宋体" w:eastAsia="仿宋_GB2312" w:cs="Times New Roman"/>
      <w:b/>
      <w:sz w:val="24"/>
    </w:rPr>
  </w:style>
  <w:style w:type="character" w:customStyle="1" w:styleId="55">
    <w:name w:val="正文文本 Char"/>
    <w:basedOn w:val="38"/>
    <w:link w:val="15"/>
    <w:qFormat/>
    <w:uiPriority w:val="0"/>
    <w:rPr>
      <w:rFonts w:ascii="Calibri" w:hAnsi="Calibri" w:eastAsia="宋体" w:cs="Times New Roman"/>
      <w:kern w:val="0"/>
      <w:sz w:val="28"/>
    </w:rPr>
  </w:style>
  <w:style w:type="character" w:customStyle="1" w:styleId="56">
    <w:name w:val="正文首行缩进 Char"/>
    <w:basedOn w:val="55"/>
    <w:link w:val="16"/>
    <w:qFormat/>
    <w:uiPriority w:val="0"/>
  </w:style>
  <w:style w:type="character" w:customStyle="1" w:styleId="57">
    <w:name w:val="正文文本缩进 Char"/>
    <w:basedOn w:val="38"/>
    <w:link w:val="17"/>
    <w:qFormat/>
    <w:uiPriority w:val="0"/>
    <w:rPr>
      <w:rFonts w:ascii="宋体" w:hAnsi="Courier New" w:eastAsia="宋体" w:cs="Times New Roman"/>
      <w:spacing w:val="-4"/>
      <w:kern w:val="0"/>
      <w:sz w:val="18"/>
    </w:rPr>
  </w:style>
  <w:style w:type="character" w:customStyle="1" w:styleId="58">
    <w:name w:val="纯文本 Char"/>
    <w:basedOn w:val="38"/>
    <w:link w:val="21"/>
    <w:qFormat/>
    <w:uiPriority w:val="99"/>
    <w:rPr>
      <w:rFonts w:ascii="宋体" w:hAnsi="Courier New" w:eastAsia="宋体" w:cs="Times New Roman"/>
      <w:sz w:val="24"/>
    </w:rPr>
  </w:style>
  <w:style w:type="character" w:customStyle="1" w:styleId="59">
    <w:name w:val="日期 Char"/>
    <w:basedOn w:val="38"/>
    <w:link w:val="22"/>
    <w:qFormat/>
    <w:uiPriority w:val="0"/>
    <w:rPr>
      <w:rFonts w:ascii="Calibri" w:hAnsi="Calibri" w:eastAsia="楷体_GB2312" w:cs="Times New Roman"/>
      <w:kern w:val="0"/>
      <w:sz w:val="32"/>
    </w:rPr>
  </w:style>
  <w:style w:type="character" w:customStyle="1" w:styleId="60">
    <w:name w:val="正文文本缩进 2 Char"/>
    <w:basedOn w:val="38"/>
    <w:link w:val="23"/>
    <w:qFormat/>
    <w:uiPriority w:val="0"/>
    <w:rPr>
      <w:rFonts w:ascii="仿宋_GB2312" w:hAnsi="宋体" w:eastAsia="宋体" w:cs="Times New Roman"/>
      <w:b/>
      <w:color w:val="000000"/>
      <w:kern w:val="0"/>
      <w:sz w:val="24"/>
    </w:rPr>
  </w:style>
  <w:style w:type="character" w:customStyle="1" w:styleId="61">
    <w:name w:val="批注框文本 Char"/>
    <w:basedOn w:val="38"/>
    <w:link w:val="24"/>
    <w:qFormat/>
    <w:uiPriority w:val="0"/>
    <w:rPr>
      <w:rFonts w:ascii="Calibri" w:hAnsi="Calibri" w:eastAsia="宋体" w:cs="Times New Roman"/>
      <w:sz w:val="18"/>
      <w:szCs w:val="18"/>
    </w:rPr>
  </w:style>
  <w:style w:type="character" w:customStyle="1" w:styleId="62">
    <w:name w:val="正文文本缩进 3 Char"/>
    <w:basedOn w:val="38"/>
    <w:link w:val="29"/>
    <w:qFormat/>
    <w:uiPriority w:val="0"/>
    <w:rPr>
      <w:rFonts w:ascii="仿宋_GB2312" w:hAnsi="宋体" w:eastAsia="仿宋_GB2312" w:cs="Times New Roman"/>
      <w:color w:val="000000"/>
      <w:kern w:val="0"/>
      <w:sz w:val="24"/>
    </w:rPr>
  </w:style>
  <w:style w:type="character" w:customStyle="1" w:styleId="63">
    <w:name w:val="正文文本 2 Char"/>
    <w:basedOn w:val="38"/>
    <w:link w:val="30"/>
    <w:qFormat/>
    <w:uiPriority w:val="0"/>
    <w:rPr>
      <w:rFonts w:ascii="宋体" w:hAnsi="宋体" w:eastAsia="宋体" w:cs="宋体"/>
      <w:bCs/>
    </w:rPr>
  </w:style>
  <w:style w:type="character" w:customStyle="1" w:styleId="64">
    <w:name w:val="HTML 预设格式 Char"/>
    <w:basedOn w:val="38"/>
    <w:link w:val="31"/>
    <w:qFormat/>
    <w:uiPriority w:val="99"/>
    <w:rPr>
      <w:rFonts w:ascii="Courier New" w:hAnsi="Courier New" w:eastAsia="宋体" w:cs="Times New Roman"/>
      <w:kern w:val="0"/>
      <w:sz w:val="20"/>
      <w:szCs w:val="20"/>
    </w:rPr>
  </w:style>
  <w:style w:type="character" w:customStyle="1" w:styleId="65">
    <w:name w:val="批注主题 Char"/>
    <w:basedOn w:val="53"/>
    <w:link w:val="34"/>
    <w:qFormat/>
    <w:uiPriority w:val="0"/>
    <w:rPr>
      <w:b/>
      <w:bCs/>
    </w:rPr>
  </w:style>
  <w:style w:type="character" w:customStyle="1" w:styleId="66">
    <w:name w:val="正文首行缩进 2 Char"/>
    <w:basedOn w:val="57"/>
    <w:link w:val="35"/>
    <w:qFormat/>
    <w:uiPriority w:val="0"/>
    <w:rPr>
      <w:rFonts w:ascii="Calibri" w:hAnsi="Calibri"/>
      <w:szCs w:val="24"/>
    </w:rPr>
  </w:style>
  <w:style w:type="paragraph" w:customStyle="1" w:styleId="6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默认段落字体 Para Char Char Char Char Char Char Char Char Char1 Char Char Char Char"/>
    <w:basedOn w:val="1"/>
    <w:qFormat/>
    <w:uiPriority w:val="99"/>
    <w:rPr>
      <w:rFonts w:ascii="Tahoma" w:hAnsi="Tahoma"/>
      <w:sz w:val="24"/>
    </w:rPr>
  </w:style>
  <w:style w:type="paragraph" w:customStyle="1" w:styleId="69">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章正文"/>
    <w:qFormat/>
    <w:uiPriority w:val="0"/>
    <w:pPr>
      <w:widowControl w:val="0"/>
      <w:spacing w:beforeLines="50" w:after="120" w:line="300" w:lineRule="auto"/>
      <w:ind w:firstLine="480"/>
      <w:jc w:val="both"/>
    </w:pPr>
    <w:rPr>
      <w:rFonts w:ascii="Helvetica" w:hAnsi="Helvetica" w:eastAsia="宋体" w:cs="宋体"/>
      <w:sz w:val="24"/>
      <w:szCs w:val="24"/>
      <w:lang w:val="en-US" w:eastAsia="zh-CN" w:bidi="ar-SA"/>
    </w:rPr>
  </w:style>
  <w:style w:type="paragraph" w:customStyle="1" w:styleId="71">
    <w:name w:val="列出段落5"/>
    <w:basedOn w:val="1"/>
    <w:qFormat/>
    <w:uiPriority w:val="99"/>
    <w:pPr>
      <w:ind w:firstLine="420" w:firstLineChars="200"/>
    </w:pPr>
    <w:rPr>
      <w:rFonts w:ascii="Calibri" w:hAnsi="Calibri" w:eastAsia="等线"/>
      <w:sz w:val="24"/>
      <w:szCs w:val="24"/>
    </w:rPr>
  </w:style>
  <w:style w:type="paragraph" w:customStyle="1" w:styleId="72">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73">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74">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7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76">
    <w:name w:val="标准有序列表（L1）"/>
    <w:basedOn w:val="9"/>
    <w:qFormat/>
    <w:uiPriority w:val="0"/>
    <w:pPr>
      <w:numPr>
        <w:ilvl w:val="0"/>
        <w:numId w:val="3"/>
      </w:numPr>
      <w:tabs>
        <w:tab w:val="left" w:pos="0"/>
        <w:tab w:val="left" w:pos="2280"/>
      </w:tabs>
      <w:spacing w:line="360" w:lineRule="auto"/>
      <w:ind w:left="0" w:firstLine="0"/>
    </w:pPr>
    <w:rPr>
      <w:rFonts w:ascii="黑体" w:eastAsia="黑体"/>
      <w:color w:val="000000"/>
      <w:sz w:val="24"/>
      <w:szCs w:val="20"/>
    </w:rPr>
  </w:style>
  <w:style w:type="paragraph" w:customStyle="1" w:styleId="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8">
    <w:name w:val="表格"/>
    <w:basedOn w:val="1"/>
    <w:qFormat/>
    <w:uiPriority w:val="0"/>
    <w:pPr>
      <w:snapToGrid w:val="0"/>
      <w:spacing w:after="120"/>
    </w:pPr>
    <w:rPr>
      <w:rFonts w:ascii="仿宋_GB2312" w:hAnsi="Tahoma" w:eastAsia="仿宋_GB2312" w:cs="Tahoma"/>
      <w:color w:val="000000"/>
      <w:kern w:val="0"/>
      <w:sz w:val="24"/>
      <w:szCs w:val="24"/>
    </w:rPr>
  </w:style>
  <w:style w:type="paragraph" w:customStyle="1" w:styleId="79">
    <w:name w:val="GW-正文"/>
    <w:basedOn w:val="1"/>
    <w:link w:val="108"/>
    <w:qFormat/>
    <w:uiPriority w:val="99"/>
    <w:pPr>
      <w:spacing w:line="360" w:lineRule="auto"/>
      <w:ind w:firstLine="200" w:firstLineChars="200"/>
      <w:contextualSpacing/>
    </w:pPr>
    <w:rPr>
      <w:rFonts w:ascii="Arial Narrow" w:hAnsi="Arial Narrow"/>
      <w:kern w:val="0"/>
      <w:sz w:val="24"/>
      <w:szCs w:val="24"/>
    </w:rPr>
  </w:style>
  <w:style w:type="paragraph" w:customStyle="1" w:styleId="80">
    <w:name w:val="Char Char10"/>
    <w:basedOn w:val="1"/>
    <w:qFormat/>
    <w:uiPriority w:val="0"/>
    <w:pPr>
      <w:widowControl/>
      <w:spacing w:after="160" w:line="240" w:lineRule="exact"/>
      <w:jc w:val="left"/>
    </w:pPr>
    <w:rPr>
      <w:kern w:val="0"/>
      <w:sz w:val="20"/>
      <w:szCs w:val="24"/>
    </w:rPr>
  </w:style>
  <w:style w:type="paragraph" w:customStyle="1" w:styleId="81">
    <w:name w:val="正文文本缩进11"/>
    <w:basedOn w:val="1"/>
    <w:qFormat/>
    <w:uiPriority w:val="0"/>
    <w:pPr>
      <w:spacing w:line="200" w:lineRule="exact"/>
      <w:ind w:firstLine="301"/>
    </w:pPr>
    <w:rPr>
      <w:rFonts w:ascii="Calibri" w:hAnsi="Calibri"/>
      <w:szCs w:val="20"/>
    </w:rPr>
  </w:style>
  <w:style w:type="paragraph" w:customStyle="1" w:styleId="8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
    <w:name w:val="首行缩进2字符"/>
    <w:basedOn w:val="1"/>
    <w:qFormat/>
    <w:uiPriority w:val="0"/>
    <w:pPr>
      <w:spacing w:line="360" w:lineRule="auto"/>
      <w:ind w:firstLine="200" w:firstLineChars="200"/>
    </w:pPr>
    <w:rPr>
      <w:rFonts w:ascii="Calibri" w:hAnsi="Calibri"/>
      <w:sz w:val="24"/>
      <w:szCs w:val="21"/>
    </w:rPr>
  </w:style>
  <w:style w:type="paragraph" w:customStyle="1" w:styleId="84">
    <w:name w:val="默认段落字体 Para Char"/>
    <w:basedOn w:val="1"/>
    <w:qFormat/>
    <w:uiPriority w:val="0"/>
    <w:rPr>
      <w:szCs w:val="20"/>
    </w:rPr>
  </w:style>
  <w:style w:type="paragraph" w:customStyle="1" w:styleId="85">
    <w:name w:val="Char"/>
    <w:basedOn w:val="1"/>
    <w:link w:val="121"/>
    <w:qFormat/>
    <w:uiPriority w:val="0"/>
    <w:rPr>
      <w:rFonts w:ascii="Calibri" w:hAnsi="Calibri" w:cs="宋体"/>
      <w:szCs w:val="24"/>
    </w:rPr>
  </w:style>
  <w:style w:type="paragraph" w:customStyle="1" w:styleId="86">
    <w:name w:val="正文段"/>
    <w:basedOn w:val="1"/>
    <w:qFormat/>
    <w:uiPriority w:val="0"/>
    <w:pPr>
      <w:widowControl/>
      <w:snapToGrid w:val="0"/>
      <w:spacing w:afterLines="50"/>
      <w:ind w:firstLine="200" w:firstLineChars="200"/>
    </w:pPr>
    <w:rPr>
      <w:kern w:val="0"/>
      <w:sz w:val="24"/>
      <w:szCs w:val="20"/>
    </w:rPr>
  </w:style>
  <w:style w:type="paragraph" w:customStyle="1" w:styleId="87">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列出段落1"/>
    <w:basedOn w:val="1"/>
    <w:qFormat/>
    <w:uiPriority w:val="34"/>
    <w:pPr>
      <w:ind w:firstLine="420" w:firstLineChars="200"/>
    </w:pPr>
    <w:rPr>
      <w:rFonts w:ascii="Calibri" w:hAnsi="Calibri"/>
      <w:szCs w:val="24"/>
    </w:rPr>
  </w:style>
  <w:style w:type="paragraph" w:customStyle="1" w:styleId="89">
    <w:name w:val="书籍标题1"/>
    <w:basedOn w:val="1"/>
    <w:next w:val="1"/>
    <w:qFormat/>
    <w:uiPriority w:val="0"/>
    <w:pPr>
      <w:pageBreakBefore/>
      <w:widowControl/>
      <w:numPr>
        <w:ilvl w:val="0"/>
        <w:numId w:val="4"/>
      </w:numPr>
      <w:spacing w:beforeLines="200"/>
      <w:ind w:left="2520"/>
      <w:jc w:val="center"/>
      <w:outlineLvl w:val="0"/>
    </w:pPr>
    <w:rPr>
      <w:rFonts w:eastAsia="黑体"/>
      <w:b/>
      <w:spacing w:val="20"/>
      <w:kern w:val="44"/>
      <w:sz w:val="44"/>
    </w:rPr>
  </w:style>
  <w:style w:type="paragraph" w:customStyle="1" w:styleId="90">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1">
    <w:name w:val="列出段落11"/>
    <w:basedOn w:val="1"/>
    <w:link w:val="131"/>
    <w:qFormat/>
    <w:uiPriority w:val="99"/>
    <w:pPr>
      <w:ind w:firstLine="420" w:firstLineChars="200"/>
    </w:pPr>
    <w:rPr>
      <w:rFonts w:ascii="Calibri" w:hAnsi="Calibri"/>
    </w:rPr>
  </w:style>
  <w:style w:type="paragraph" w:customStyle="1" w:styleId="92">
    <w:name w:val="Table Paragraph"/>
    <w:basedOn w:val="1"/>
    <w:qFormat/>
    <w:uiPriority w:val="0"/>
    <w:pPr>
      <w:spacing w:before="119"/>
    </w:pPr>
    <w:rPr>
      <w:rFonts w:ascii="宋体" w:hAnsi="宋体" w:cs="宋体"/>
      <w:szCs w:val="24"/>
      <w:lang w:val="zh-CN" w:bidi="zh-CN"/>
    </w:rPr>
  </w:style>
  <w:style w:type="paragraph" w:customStyle="1" w:styleId="9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4">
    <w:name w:val="样式2"/>
    <w:basedOn w:val="85"/>
    <w:qFormat/>
    <w:uiPriority w:val="0"/>
    <w:pPr>
      <w:tabs>
        <w:tab w:val="left" w:pos="432"/>
      </w:tabs>
      <w:spacing w:beforeLines="50" w:afterLines="50"/>
      <w:ind w:left="432" w:hanging="432"/>
    </w:pPr>
    <w:rPr>
      <w:b/>
      <w:szCs w:val="21"/>
      <w:u w:val="thick"/>
    </w:rPr>
  </w:style>
  <w:style w:type="paragraph" w:customStyle="1" w:styleId="95">
    <w:name w:val="样式1"/>
    <w:basedOn w:val="85"/>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9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首行缩进2字符"/>
    <w:basedOn w:val="1"/>
    <w:link w:val="125"/>
    <w:qFormat/>
    <w:uiPriority w:val="0"/>
    <w:pPr>
      <w:spacing w:line="360" w:lineRule="auto"/>
      <w:ind w:firstLine="200" w:firstLineChars="200"/>
    </w:pPr>
    <w:rPr>
      <w:rFonts w:cs="宋体"/>
      <w:sz w:val="24"/>
    </w:rPr>
  </w:style>
  <w:style w:type="paragraph" w:customStyle="1" w:styleId="9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表格内容"/>
    <w:next w:val="97"/>
    <w:link w:val="126"/>
    <w:qFormat/>
    <w:uiPriority w:val="0"/>
    <w:pPr>
      <w:jc w:val="center"/>
    </w:pPr>
    <w:rPr>
      <w:rFonts w:ascii="仿宋" w:hAnsi="仿宋" w:eastAsia="仿宋" w:cs="宋体"/>
      <w:kern w:val="2"/>
      <w:sz w:val="24"/>
      <w:szCs w:val="22"/>
      <w:lang w:val="en-US" w:eastAsia="zh-CN" w:bidi="ar-SA"/>
    </w:rPr>
  </w:style>
  <w:style w:type="paragraph" w:customStyle="1" w:styleId="100">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01">
    <w:name w:val="列项中圆1"/>
    <w:basedOn w:val="1"/>
    <w:next w:val="1"/>
    <w:qFormat/>
    <w:uiPriority w:val="0"/>
    <w:pPr>
      <w:tabs>
        <w:tab w:val="left" w:pos="839"/>
      </w:tabs>
      <w:spacing w:line="300" w:lineRule="auto"/>
      <w:ind w:left="839" w:hanging="419"/>
    </w:pPr>
    <w:rPr>
      <w:kern w:val="21"/>
      <w:szCs w:val="20"/>
    </w:rPr>
  </w:style>
  <w:style w:type="paragraph" w:customStyle="1" w:styleId="102">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3">
    <w:name w:val="文档正文"/>
    <w:basedOn w:val="1"/>
    <w:qFormat/>
    <w:uiPriority w:val="0"/>
    <w:rPr>
      <w:rFonts w:ascii="宋体" w:hAnsi="宋体" w:cs="Arial"/>
      <w:bCs/>
      <w:szCs w:val="21"/>
    </w:rPr>
  </w:style>
  <w:style w:type="paragraph" w:customStyle="1" w:styleId="104">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05">
    <w:name w:val="无间隔1"/>
    <w:link w:val="116"/>
    <w:qFormat/>
    <w:uiPriority w:val="1"/>
    <w:rPr>
      <w:rFonts w:ascii="Calibri" w:hAnsi="Calibri" w:eastAsia="宋体" w:cs="宋体"/>
      <w:kern w:val="2"/>
      <w:sz w:val="22"/>
      <w:szCs w:val="22"/>
      <w:lang w:val="en-US" w:eastAsia="zh-CN" w:bidi="ar-SA"/>
    </w:rPr>
  </w:style>
  <w:style w:type="paragraph" w:customStyle="1" w:styleId="106">
    <w:name w:val="纯文本1"/>
    <w:basedOn w:val="1"/>
    <w:qFormat/>
    <w:uiPriority w:val="0"/>
    <w:pPr>
      <w:spacing w:beforeLines="50" w:afterLines="50" w:line="400" w:lineRule="exact"/>
    </w:pPr>
    <w:rPr>
      <w:rFonts w:ascii="宋体" w:hAnsi="Courier New" w:eastAsia="仿宋_GB2312"/>
      <w:sz w:val="30"/>
      <w:szCs w:val="24"/>
    </w:rPr>
  </w:style>
  <w:style w:type="character" w:customStyle="1" w:styleId="107">
    <w:name w:val="font21"/>
    <w:basedOn w:val="38"/>
    <w:qFormat/>
    <w:uiPriority w:val="0"/>
    <w:rPr>
      <w:rFonts w:hint="eastAsia" w:ascii="等线" w:hAnsi="等线" w:eastAsia="等线" w:cs="等线"/>
      <w:color w:val="000000"/>
      <w:sz w:val="22"/>
      <w:szCs w:val="22"/>
      <w:u w:val="none"/>
    </w:rPr>
  </w:style>
  <w:style w:type="character" w:customStyle="1" w:styleId="108">
    <w:name w:val="GW-正文 Char"/>
    <w:link w:val="79"/>
    <w:qFormat/>
    <w:uiPriority w:val="99"/>
    <w:rPr>
      <w:rFonts w:ascii="Arial Narrow" w:hAnsi="Arial Narrow" w:eastAsia="宋体" w:cs="Times New Roman"/>
      <w:kern w:val="0"/>
      <w:sz w:val="24"/>
      <w:szCs w:val="24"/>
    </w:rPr>
  </w:style>
  <w:style w:type="character" w:customStyle="1" w:styleId="109">
    <w:name w:val="apple-converted-space"/>
    <w:qFormat/>
    <w:uiPriority w:val="0"/>
    <w:rPr>
      <w:rFonts w:hint="default" w:ascii="Times New Roman" w:hAnsi="Times New Roman" w:cs="Times New Roman"/>
    </w:rPr>
  </w:style>
  <w:style w:type="character" w:customStyle="1" w:styleId="110">
    <w:name w:val="正文文本缩进 3 Char1"/>
    <w:basedOn w:val="38"/>
    <w:qFormat/>
    <w:uiPriority w:val="99"/>
    <w:rPr>
      <w:rFonts w:ascii="Times New Roman" w:hAnsi="Times New Roman" w:eastAsia="宋体" w:cs="Times New Roman"/>
      <w:sz w:val="16"/>
      <w:szCs w:val="16"/>
    </w:rPr>
  </w:style>
  <w:style w:type="character" w:customStyle="1" w:styleId="111">
    <w:name w:val="批注主题 Char1"/>
    <w:basedOn w:val="112"/>
    <w:qFormat/>
    <w:uiPriority w:val="99"/>
    <w:rPr>
      <w:b/>
      <w:bCs/>
    </w:rPr>
  </w:style>
  <w:style w:type="character" w:customStyle="1" w:styleId="112">
    <w:name w:val="批注文字 Char1"/>
    <w:basedOn w:val="38"/>
    <w:qFormat/>
    <w:uiPriority w:val="99"/>
    <w:rPr>
      <w:rFonts w:ascii="Times New Roman" w:hAnsi="Times New Roman" w:eastAsia="宋体" w:cs="Times New Roman"/>
    </w:rPr>
  </w:style>
  <w:style w:type="character" w:customStyle="1" w:styleId="113">
    <w:name w:val="apple-tab-span"/>
    <w:qFormat/>
    <w:uiPriority w:val="0"/>
    <w:rPr>
      <w:rFonts w:hint="default" w:ascii="Times New Roman" w:hAnsi="Times New Roman" w:cs="Times New Roman"/>
    </w:rPr>
  </w:style>
  <w:style w:type="character" w:customStyle="1" w:styleId="114">
    <w:name w:val="font11"/>
    <w:basedOn w:val="38"/>
    <w:qFormat/>
    <w:uiPriority w:val="0"/>
    <w:rPr>
      <w:rFonts w:hint="default" w:ascii="Times New Roman" w:hAnsi="Times New Roman" w:cs="Times New Roman"/>
      <w:color w:val="000000"/>
      <w:sz w:val="20"/>
      <w:szCs w:val="20"/>
      <w:u w:val="none"/>
    </w:rPr>
  </w:style>
  <w:style w:type="character" w:customStyle="1" w:styleId="115">
    <w:name w:val="font31"/>
    <w:basedOn w:val="38"/>
    <w:qFormat/>
    <w:uiPriority w:val="0"/>
    <w:rPr>
      <w:rFonts w:hint="eastAsia" w:ascii="等线" w:hAnsi="等线" w:eastAsia="等线" w:cs="等线"/>
      <w:color w:val="000000"/>
      <w:sz w:val="22"/>
      <w:szCs w:val="22"/>
      <w:u w:val="none"/>
    </w:rPr>
  </w:style>
  <w:style w:type="character" w:customStyle="1" w:styleId="116">
    <w:name w:val="无间隔 Char"/>
    <w:link w:val="105"/>
    <w:qFormat/>
    <w:uiPriority w:val="1"/>
    <w:rPr>
      <w:rFonts w:ascii="Calibri" w:hAnsi="Calibri" w:eastAsia="宋体" w:cs="宋体"/>
      <w:sz w:val="22"/>
    </w:rPr>
  </w:style>
  <w:style w:type="character" w:customStyle="1" w:styleId="117">
    <w:name w:val="正文文本缩进 Char1"/>
    <w:basedOn w:val="38"/>
    <w:qFormat/>
    <w:uiPriority w:val="99"/>
    <w:rPr>
      <w:rFonts w:ascii="Times New Roman" w:hAnsi="Times New Roman" w:eastAsia="宋体" w:cs="Times New Roman"/>
    </w:rPr>
  </w:style>
  <w:style w:type="character" w:customStyle="1" w:styleId="118">
    <w:name w:val="正文文本 3 Char1"/>
    <w:basedOn w:val="38"/>
    <w:qFormat/>
    <w:uiPriority w:val="99"/>
    <w:rPr>
      <w:rFonts w:ascii="Times New Roman" w:hAnsi="Times New Roman" w:eastAsia="宋体" w:cs="Times New Roman"/>
      <w:sz w:val="16"/>
      <w:szCs w:val="16"/>
    </w:rPr>
  </w:style>
  <w:style w:type="character" w:customStyle="1" w:styleId="119">
    <w:name w:val="正文文本 Char1"/>
    <w:basedOn w:val="38"/>
    <w:qFormat/>
    <w:uiPriority w:val="99"/>
    <w:rPr>
      <w:rFonts w:ascii="Times New Roman" w:hAnsi="Times New Roman" w:eastAsia="宋体" w:cs="Times New Roman"/>
    </w:rPr>
  </w:style>
  <w:style w:type="character" w:customStyle="1" w:styleId="120">
    <w:name w:val="font01"/>
    <w:basedOn w:val="38"/>
    <w:qFormat/>
    <w:uiPriority w:val="0"/>
    <w:rPr>
      <w:rFonts w:hint="eastAsia" w:ascii="宋体" w:hAnsi="宋体" w:eastAsia="宋体" w:cs="宋体"/>
      <w:color w:val="000000"/>
      <w:sz w:val="20"/>
      <w:szCs w:val="20"/>
      <w:u w:val="none"/>
    </w:rPr>
  </w:style>
  <w:style w:type="character" w:customStyle="1" w:styleId="121">
    <w:name w:val="Char Char3"/>
    <w:link w:val="85"/>
    <w:qFormat/>
    <w:uiPriority w:val="0"/>
    <w:rPr>
      <w:rFonts w:ascii="Calibri" w:hAnsi="Calibri" w:eastAsia="宋体" w:cs="宋体"/>
      <w:szCs w:val="24"/>
    </w:rPr>
  </w:style>
  <w:style w:type="character" w:customStyle="1" w:styleId="122">
    <w:name w:val="题注 Char"/>
    <w:link w:val="10"/>
    <w:qFormat/>
    <w:uiPriority w:val="0"/>
    <w:rPr>
      <w:rFonts w:ascii="Arial" w:hAnsi="Arial" w:eastAsia="黑体" w:cs="Arial"/>
    </w:rPr>
  </w:style>
  <w:style w:type="character" w:customStyle="1" w:styleId="123">
    <w:name w:val="纯文本 Char2"/>
    <w:basedOn w:val="38"/>
    <w:qFormat/>
    <w:uiPriority w:val="99"/>
    <w:rPr>
      <w:rFonts w:ascii="宋体" w:hAnsi="Courier New" w:eastAsia="宋体" w:cs="Courier New"/>
      <w:szCs w:val="21"/>
    </w:rPr>
  </w:style>
  <w:style w:type="character" w:customStyle="1" w:styleId="124">
    <w:name w:val="文档结构图 Char1"/>
    <w:basedOn w:val="38"/>
    <w:qFormat/>
    <w:uiPriority w:val="99"/>
    <w:rPr>
      <w:rFonts w:ascii="宋体" w:hAnsi="Times New Roman" w:eastAsia="宋体" w:cs="Times New Roman"/>
      <w:sz w:val="18"/>
      <w:szCs w:val="18"/>
    </w:rPr>
  </w:style>
  <w:style w:type="character" w:customStyle="1" w:styleId="125">
    <w:name w:val="正文首行缩进2字符 Char Char"/>
    <w:link w:val="97"/>
    <w:qFormat/>
    <w:uiPriority w:val="0"/>
    <w:rPr>
      <w:rFonts w:ascii="Times New Roman" w:hAnsi="Times New Roman" w:eastAsia="宋体" w:cs="宋体"/>
      <w:sz w:val="24"/>
    </w:rPr>
  </w:style>
  <w:style w:type="character" w:customStyle="1" w:styleId="126">
    <w:name w:val="表格内容 字符"/>
    <w:link w:val="99"/>
    <w:qFormat/>
    <w:uiPriority w:val="0"/>
    <w:rPr>
      <w:rFonts w:ascii="仿宋" w:hAnsi="仿宋" w:eastAsia="仿宋" w:cs="宋体"/>
      <w:sz w:val="24"/>
    </w:rPr>
  </w:style>
  <w:style w:type="character" w:customStyle="1" w:styleId="127">
    <w:name w:val="纯文本 Char1"/>
    <w:qFormat/>
    <w:uiPriority w:val="0"/>
    <w:rPr>
      <w:rFonts w:ascii="宋体" w:hAnsi="Courier New" w:eastAsia="宋体" w:cs="Courier New"/>
      <w:szCs w:val="21"/>
    </w:rPr>
  </w:style>
  <w:style w:type="character" w:customStyle="1" w:styleId="128">
    <w:name w:val="日期 Char1"/>
    <w:basedOn w:val="38"/>
    <w:qFormat/>
    <w:uiPriority w:val="99"/>
    <w:rPr>
      <w:rFonts w:ascii="Times New Roman" w:hAnsi="Times New Roman" w:eastAsia="宋体" w:cs="Times New Roman"/>
    </w:rPr>
  </w:style>
  <w:style w:type="character" w:customStyle="1" w:styleId="129">
    <w:name w:val="正文文本缩进 2 Char1"/>
    <w:basedOn w:val="38"/>
    <w:qFormat/>
    <w:uiPriority w:val="99"/>
    <w:rPr>
      <w:rFonts w:ascii="Times New Roman" w:hAnsi="Times New Roman" w:eastAsia="宋体" w:cs="Times New Roman"/>
    </w:rPr>
  </w:style>
  <w:style w:type="character" w:customStyle="1" w:styleId="130">
    <w:name w:val="批注框文本 Char1"/>
    <w:basedOn w:val="38"/>
    <w:qFormat/>
    <w:uiPriority w:val="99"/>
    <w:rPr>
      <w:rFonts w:ascii="Times New Roman" w:hAnsi="Times New Roman" w:eastAsia="宋体" w:cs="Times New Roman"/>
      <w:sz w:val="18"/>
      <w:szCs w:val="18"/>
    </w:rPr>
  </w:style>
  <w:style w:type="character" w:customStyle="1" w:styleId="131">
    <w:name w:val="列出段落 Char"/>
    <w:link w:val="91"/>
    <w:qFormat/>
    <w:uiPriority w:val="99"/>
    <w:rPr>
      <w:rFonts w:ascii="Calibri" w:hAnsi="Calibri" w:eastAsia="宋体" w:cs="Times New Roman"/>
    </w:rPr>
  </w:style>
  <w:style w:type="character" w:customStyle="1" w:styleId="132">
    <w:name w:val="正文文本 2 Char1"/>
    <w:basedOn w:val="38"/>
    <w:qFormat/>
    <w:uiPriority w:val="99"/>
    <w:rPr>
      <w:rFonts w:ascii="Times New Roman" w:hAnsi="Times New Roman" w:eastAsia="宋体" w:cs="Times New Roman"/>
    </w:rPr>
  </w:style>
  <w:style w:type="character" w:customStyle="1" w:styleId="133">
    <w:name w:val="大黑10.5px"/>
    <w:qFormat/>
    <w:uiPriority w:val="99"/>
    <w:rPr>
      <w:rFonts w:ascii="方正大黑简体" w:eastAsia="方正大黑简体" w:cs="方正大黑简体"/>
      <w:sz w:val="21"/>
      <w:szCs w:val="21"/>
    </w:rPr>
  </w:style>
  <w:style w:type="character" w:customStyle="1" w:styleId="134">
    <w:name w:val="黑简10.5px"/>
    <w:qFormat/>
    <w:uiPriority w:val="99"/>
    <w:rPr>
      <w:rFonts w:ascii="方正黑体简体" w:eastAsia="方正黑体简体" w:cs="方正黑体简体"/>
      <w:sz w:val="21"/>
      <w:szCs w:val="21"/>
    </w:rPr>
  </w:style>
  <w:style w:type="paragraph" w:customStyle="1" w:styleId="135">
    <w:name w:val="缩进4"/>
    <w:basedOn w:val="1"/>
    <w:qFormat/>
    <w:uiPriority w:val="99"/>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36">
    <w:name w:val="_Style 130"/>
    <w:basedOn w:val="1"/>
    <w:next w:val="88"/>
    <w:qFormat/>
    <w:uiPriority w:val="34"/>
    <w:pPr>
      <w:ind w:firstLine="420" w:firstLineChars="200"/>
    </w:pPr>
    <w:rPr>
      <w:szCs w:val="20"/>
    </w:rPr>
  </w:style>
  <w:style w:type="paragraph" w:customStyle="1" w:styleId="137">
    <w:name w:val="*正文"/>
    <w:basedOn w:val="1"/>
    <w:qFormat/>
    <w:uiPriority w:val="0"/>
    <w:pPr>
      <w:spacing w:line="360" w:lineRule="auto"/>
      <w:ind w:firstLine="560" w:firstLineChars="200"/>
    </w:pPr>
    <w:rPr>
      <w:rFonts w:ascii="仿宋_GB2312" w:eastAsia="仿宋_GB2312"/>
      <w:sz w:val="28"/>
      <w:szCs w:val="28"/>
    </w:rPr>
  </w:style>
  <w:style w:type="paragraph" w:customStyle="1" w:styleId="138">
    <w:name w:val="p16"/>
    <w:basedOn w:val="1"/>
    <w:qFormat/>
    <w:uiPriority w:val="0"/>
    <w:pPr>
      <w:widowControl/>
    </w:pPr>
    <w:rPr>
      <w:rFonts w:ascii="宋体" w:hAnsi="宋体" w:cs="宋体"/>
      <w:kern w:val="0"/>
      <w:sz w:val="30"/>
      <w:szCs w:val="30"/>
    </w:rPr>
  </w:style>
  <w:style w:type="character" w:customStyle="1" w:styleId="139">
    <w:name w:val="正文文本 (2)_"/>
    <w:basedOn w:val="38"/>
    <w:link w:val="140"/>
    <w:qFormat/>
    <w:locked/>
    <w:uiPriority w:val="99"/>
    <w:rPr>
      <w:rFonts w:ascii="微软雅黑" w:hAnsi="微软雅黑" w:cs="微软雅黑"/>
      <w:spacing w:val="20"/>
      <w:sz w:val="28"/>
      <w:szCs w:val="28"/>
      <w:shd w:val="clear" w:color="auto" w:fill="FFFFFF"/>
    </w:rPr>
  </w:style>
  <w:style w:type="paragraph" w:customStyle="1" w:styleId="140">
    <w:name w:val="正文文本 (2)1"/>
    <w:basedOn w:val="1"/>
    <w:link w:val="139"/>
    <w:qFormat/>
    <w:uiPriority w:val="99"/>
    <w:pPr>
      <w:shd w:val="clear" w:color="auto" w:fill="FFFFFF"/>
      <w:spacing w:before="360" w:line="552" w:lineRule="exact"/>
      <w:jc w:val="left"/>
    </w:pPr>
    <w:rPr>
      <w:rFonts w:ascii="微软雅黑" w:hAnsi="微软雅黑" w:cs="微软雅黑" w:eastAsiaTheme="minorEastAsia"/>
      <w:spacing w:val="20"/>
      <w:sz w:val="28"/>
      <w:szCs w:val="28"/>
    </w:rPr>
  </w:style>
  <w:style w:type="paragraph" w:customStyle="1" w:styleId="141">
    <w:name w:val="表格文字"/>
    <w:basedOn w:val="1"/>
    <w:next w:val="15"/>
    <w:qFormat/>
    <w:uiPriority w:val="0"/>
    <w:rPr>
      <w:sz w:val="18"/>
      <w:szCs w:val="24"/>
    </w:rPr>
  </w:style>
  <w:style w:type="paragraph" w:customStyle="1" w:styleId="14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styleId="143">
    <w:name w:val="List Paragraph"/>
    <w:basedOn w:val="1"/>
    <w:qFormat/>
    <w:uiPriority w:val="99"/>
    <w:pPr>
      <w:ind w:firstLine="420" w:firstLineChars="200"/>
    </w:pPr>
    <w:rPr>
      <w:sz w:val="20"/>
      <w:szCs w:val="20"/>
    </w:rPr>
  </w:style>
  <w:style w:type="paragraph" w:customStyle="1" w:styleId="144">
    <w:name w:val="正文（首行缩进2字符）"/>
    <w:basedOn w:val="1"/>
    <w:qFormat/>
    <w:uiPriority w:val="0"/>
    <w:pPr>
      <w:spacing w:line="360" w:lineRule="auto"/>
      <w:ind w:firstLine="420" w:firstLineChars="200"/>
    </w:pPr>
    <w:rPr>
      <w:szCs w:val="21"/>
    </w:rPr>
  </w:style>
  <w:style w:type="paragraph" w:customStyle="1" w:styleId="145">
    <w:name w:val="列表段落1"/>
    <w:basedOn w:val="1"/>
    <w:qFormat/>
    <w:uiPriority w:val="0"/>
    <w:pPr>
      <w:adjustRightInd w:val="0"/>
      <w:ind w:left="720"/>
    </w:pPr>
    <w:rPr>
      <w:szCs w:val="20"/>
    </w:rPr>
  </w:style>
  <w:style w:type="paragraph" w:customStyle="1" w:styleId="146">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2052"/>
    <customShpInfo spid="_x0000_s2053"/>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5829</Words>
  <Characters>33231</Characters>
  <Lines>276</Lines>
  <Paragraphs>77</Paragraphs>
  <TotalTime>39</TotalTime>
  <ScaleCrop>false</ScaleCrop>
  <LinksUpToDate>false</LinksUpToDate>
  <CharactersWithSpaces>38983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2021-11-19T00:54:00Z</dcterms:created>
  <dc:creator>ape</dc:creator>
  <cp:lastModifiedBy>hp</cp:lastModifiedBy>
  <dcterms:modified xsi:type="dcterms:W3CDTF">2021-11-22T01:45:00Z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714FB8D15ACD4DB78236BBE2BB3ABD3C</vt:lpwstr>
  </property>
</Properties>
</file>