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color w:val="auto"/>
          <w:highlight w:val="none"/>
        </w:rPr>
      </w:pPr>
      <w:bookmarkStart w:id="6" w:name="_GoBack"/>
      <w:bookmarkEnd w:id="6"/>
      <w:r>
        <w:rPr>
          <w:rFonts w:hint="eastAsia" w:ascii="宋体" w:hAnsi="宋体" w:eastAsia="宋体" w:cs="宋体"/>
          <w:color w:val="auto"/>
          <w:highlight w:val="none"/>
        </w:rPr>
        <w:t>采购需求</w:t>
      </w: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bookmarkStart w:id="0" w:name="_Toc31327"/>
      <w:bookmarkStart w:id="1" w:name="_Toc450840086"/>
      <w:bookmarkStart w:id="2" w:name="_Toc23621"/>
      <w:r>
        <w:rPr>
          <w:rFonts w:hint="eastAsia" w:ascii="宋体" w:hAnsi="宋体" w:eastAsia="宋体" w:cs="宋体"/>
          <w:color w:val="auto"/>
          <w:highlight w:val="none"/>
        </w:rPr>
        <w:t>一、采购</w:t>
      </w:r>
      <w:bookmarkEnd w:id="0"/>
      <w:r>
        <w:rPr>
          <w:rFonts w:hint="eastAsia" w:ascii="宋体" w:hAnsi="宋体" w:eastAsia="宋体" w:cs="宋体"/>
          <w:color w:val="auto"/>
          <w:highlight w:val="none"/>
        </w:rPr>
        <w:t>内容及要求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（一）采购内容应用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61"/>
        <w:gridCol w:w="1345"/>
        <w:gridCol w:w="137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序号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内容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数量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32"/>
                <w:highlight w:val="none"/>
              </w:rPr>
              <w:t>单位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highlight w:val="none"/>
                <w:shd w:val="clear" w:color="auto" w:fill="FFFFFF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  <w:t>纳米力学测试系统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套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  <w:t>详见技术要求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  <w:lang w:eastAsia="zh-CN"/>
              </w:rPr>
              <w:t>超薄切片机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1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套</w:t>
            </w:r>
          </w:p>
        </w:tc>
        <w:tc>
          <w:tcPr>
            <w:tcW w:w="2246" w:type="dxa"/>
            <w:vMerge w:val="continue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</w:rPr>
            </w:pP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（二）技术参数及要求</w:t>
      </w:r>
    </w:p>
    <w:p>
      <w:pPr>
        <w:pStyle w:val="6"/>
        <w:ind w:firstLine="482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1.纳米力学测试系统</w:t>
      </w:r>
    </w:p>
    <w:tbl>
      <w:tblPr>
        <w:tblStyle w:val="9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6"/>
        <w:gridCol w:w="1226"/>
        <w:gridCol w:w="6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名称</w:t>
            </w:r>
          </w:p>
        </w:tc>
        <w:tc>
          <w:tcPr>
            <w:tcW w:w="751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32"/>
                <w:highlight w:val="none"/>
              </w:rPr>
              <w:t>纳米力学测试系统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静态纳米压痕测试系统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可以获得：载荷、压痕深度、时间、硬度、弹性模量、断裂韧性、蠕变测量；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（1）压头最大移动范围≥80um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（2）纵向载荷分辨率：6nN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（3）位移数字分辨率≤0.004nm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（4）加载模式：电磁力加载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（5）最大加载载荷：1000mN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（6）位移测量:三片电容位移传感器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（7）仪器框架刚度:＞3x106 N/m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（8）热漂移＜0.05nm/s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（9）符合ISO 14577-1，2，3  国际标准/美国标准、中国标准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（10）实时温度测量、采集并显示。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先进动态测试控制系统----CSM连续刚度测量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连续刚度测量功能（可以在全载荷范围内，实现连续刚度测量）。压入过程中实时显示硬度曲线、弹性模量曲线、加载曲线、接触刚度曲线、接触面积曲线等。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★（1）能够进行恒应变速率（dP/dt/P：P是载荷，t是时间）加载过程中硬度、弹性模量和接触刚度的实时测试、实时处理和实时显示；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（2）能够通过一次压痕获得接触刚度、硬度和弹性模量随压痕深度的连续函数分布；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 xml:space="preserve">★（3）能够在10分钟内完成一个恒应变速率（例如：0.05s-1, 标准试样）控制下的纳米压痕测试，单次动态力学测试可以代替&gt;100 次静态 力学测试结果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（4）能够测量高分子材料的储存模量、损耗模量和阻尼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（5）在压入过程中通过反馈系统保持恒定的简谐位移振幅。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（6）动态激发频率:0.1Hz to 1000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光学成像系统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（1）集成视频显微镜包括800倍光学彩色显微镜和数码变焦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（2）配有高分辨率的彩色CCD和与之匹配的InView图形采集系统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（3）配有放大倍率为20X的物镜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（4）USB 2.0 CMOS摄像头(1280x1024像素)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（5）LED光源系统方便观察样品位置和工作面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（6）点击鼠标即可实时存取试样表面的光学图像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OLE精密电动定位平台X-Y-Z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 xml:space="preserve"> 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与InView软件（已预装）无缝集成，软件（已预装）操作电动控制移动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（1）样品台包括试样高度精细调节器，能够使得每个样品原位调节高度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（2）高刚度移动系统设计承受高达500N的力，提供精确纳米压痕数据；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（3）移动量程X 75 mm，Y 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InQuest数据采集系统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（1）闭环CPU控制速率：最高采集频率100kHz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（2）控制器时间常数：20us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InView数据采集和处理软件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（1）数据采集和处理软件轻松快速的实现数据的后处理，同时方便用户自我开发和定义各种特殊的测试方法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（2）要求压痕过程中点击鼠标可以实时切换显示测试参量（载荷、位移、硬度、弹性模量和接触刚度等）；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（3）可将所有测试数据输出到Excel格式；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（4）快速自动压头面积函数校对；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（5）能够计算和显示单个试样不同位置的测试参量的平均值和误差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（6）计算和显示多个试样的测试参量的平均值和误差；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（7）可以给出测量结果的X-Y曲线，或柱状图，方便用户比较多个试样的测试结果。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横向双轴力学控制系统 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★（1）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两个InForce 50载荷激发器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（2）最大加载载荷：50mN;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（3）纵向载荷分辨率：3nN;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（4）压头最大移动位移范围：50um;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（5）位移数字分辨率：＜0.002nm;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★（6）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可以实现横向力和横向位移的直接测量，在纳米尺度上精准的实现多维度的磨损测试，实现多维度的动态力学工作模式;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★（7）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可以定量测试材料的泊松比、摩擦力、摩擦系数；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（8）精确的载荷、位移、动态响应在横向和纵向的控制；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（9）多维度的硬度、磨损、黏附性的精准测量 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（10）亚纳米级移动精度的样品台，实现精确定位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（11）可实现横向的纳米和纳牛级的准静态和动态测试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划痕与磨损测试装置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1）定量测试薄膜和基底的结合强度、表面抗划擦能力、划痕深度、划痕宽度、划痕表面形态、划痕测试前，后样本表面表征、连续循环划痕摩擦、压头保护功能、划痕面积和体积、实现线性变载或恒定载荷模式下划痕测试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</w:rPr>
              <w:t>★（2）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最大划痕力：1000mN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（3）最大划擦深度：80um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（4）最大磨损面积：800mm2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（5）最大划痕速度：100um/s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（6）最大划痕距离：30mm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其他高级测试方法及配件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（1） NanoBlitz 3D 测试功能，测量材料刚度、模量和硬度的 三维图谱，材料表面拓普图，快速 压痕单点时间小于 1s，可获得高达100000个数据点；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（2） ProbeDMA™材料的粘弹性测试功能，实现高分子材料动态力学性能 DMA 测试，储存模量，损耗模量，损耗因子；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（3）AccuFilm™ 薄膜测试功能，实现薄膜材料的精准测量，特殊编写方法测量消除 基底效应，得到最真实的薄膜弹性模量、硬度 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（4）Biomaterials Method 生物样本测试功能，实现生物材料等软材料剪切模量的测试，测试方法方便快捷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（5）主动防震/隔音装置，主动隔振带宽0.5Hz-100Hz；环境隔离装置隔绝空气电流、声音、热影响；温湿度传感器；LED指示灯显示设备状态；标准被动隔振阻尼消除环境噪音。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电脑工作站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高性能CPU，通过USB干预InQuest控制，8 Gb RAM，1Tb硬盘 ，23英寸液晶彩显，正版Windows操作系统和Office软件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环境隔离罩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工程复合材料罩，用于控制电子设备和imicro纳米压痕仪系统的集成隔室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设备配套附件</w:t>
            </w:r>
          </w:p>
        </w:tc>
        <w:tc>
          <w:tcPr>
            <w:tcW w:w="629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（1）压头：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Berkovich diamond tip玻氏压头  1个；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Flat punch tip，直径50 µm  1个；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Flat punch tip，90°，100μm曲率半径  1个；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Conical diamond tip,  曲率半径5μm   1个；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Cylindrical Punch，  直径10um    1个；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Cylindrical Tip， 60°100nm曲率半径    1个；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（2）标样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熔融石英标样1个、铝标样1个、工具箱（艾伦扳手、扁平和十字螺丝刀、压头替换螺丝、压头锁定针、额外样本制备铝块）、便携式配件箱、8个额外样本安装台/盘、环氧树脂粘样胶、热熔粘样胶、制样热台、玻璃载玻片、金刚石划片器、胶涂抹工具、镊子、压头更换显微镜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（3）设备配置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纳米力学主机        1台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1000mN加载装置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静态压痕系统  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动态压痕系统         1套（包含DMA和连续刚度）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光学系统      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控制器与数据处理软件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主动隔震隔音  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三维力学成像系统  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横向双轴力学加载控制系统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聚合物测试系统     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生物软材料测试系统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划痕与磨损测试系统       1套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薄膜测试系统             1套</w:t>
            </w:r>
          </w:p>
        </w:tc>
      </w:tr>
    </w:tbl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6"/>
        <w:ind w:firstLine="482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超薄切片机</w:t>
      </w:r>
    </w:p>
    <w:tbl>
      <w:tblPr>
        <w:tblStyle w:val="9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6"/>
        <w:gridCol w:w="7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名称</w:t>
            </w:r>
          </w:p>
        </w:tc>
        <w:tc>
          <w:tcPr>
            <w:tcW w:w="751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超薄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切片机</w:t>
            </w:r>
          </w:p>
        </w:tc>
        <w:tc>
          <w:tcPr>
            <w:tcW w:w="75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（1）体视显微镜放大倍率：10x-48x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（2）控制面板：按键式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（3）照明系统：4个LED光源，可单独控制开关，顶部照光，背光，样品透射照光，点照光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（4）切片驱动力：无震动重力切片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（5）样品臂总行程：200µm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（6）预警值：20µm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（7）样品面旋转：样品可做360° 旋转，90度对齐刻度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（8）样品中心旋转 ：+/- 22°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（9）刀架:360°可旋转自锁刀架，+/-30°分隔刻度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（10）切片刀倾角调节范围:-2° - 15°，每1°刻度指示，可使用6-12mm切片刀，兼容任何品牌钻石刀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（11）前后（N-S）方向刀台移动:10mm，步进马达驱动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（12）左右（E-W）方向刀台移动:25mm，手动调节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（13）切片创面范围:0.3-14mm可调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 xml:space="preserve">（14）切片速度:0.2-90mm/s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 xml:space="preserve">（15）切片厚度:5-5000nm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（16）切片厚度/速度存储:4 组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（17）样品臂回程速度:20mm/s (自动适应)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（18）配套玻璃刀制刀机一台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（19）其他附件: 玻璃刀盒，2 个。网格盒可奘100，10 个。牙科蜡。玻璃条6.4，30 条。玻璃条8.0 毫米，24 条。水槽供6.4 玻璃刀用，500 个。水槽供8.0 毫米玻璃刀用，500 个。包埋模具，50x5.6mm 直径，包埋模具别50x8.0mm直径, 攝子, 直，铜网格100 目，100 个。铜网格200 目，100 个。铜网格300 目，100 个。铜网格400 目，100 个，45 度3 毫米超薄钻石刀、1.5 毫米钻石修块刀。</w:t>
            </w:r>
          </w:p>
        </w:tc>
      </w:tr>
    </w:tbl>
    <w:p>
      <w:pPr>
        <w:pStyle w:val="6"/>
        <w:ind w:firstLine="482"/>
        <w:rPr>
          <w:rFonts w:hint="eastAsia" w:ascii="宋体" w:hAnsi="宋体" w:eastAsia="宋体" w:cs="宋体"/>
          <w:color w:val="auto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247" w:right="1304" w:bottom="1021" w:left="1304" w:header="720" w:footer="720" w:gutter="0"/>
          <w:cols w:space="720" w:num="1"/>
          <w:docGrid w:linePitch="326" w:charSpace="0"/>
        </w:sectPr>
      </w:pP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二、商务</w:t>
      </w:r>
      <w:bookmarkEnd w:id="1"/>
      <w:r>
        <w:rPr>
          <w:rFonts w:hint="eastAsia" w:ascii="宋体" w:hAnsi="宋体" w:eastAsia="宋体" w:cs="宋体"/>
          <w:color w:val="auto"/>
          <w:highlight w:val="none"/>
        </w:rPr>
        <w:t>要求</w:t>
      </w:r>
      <w:bookmarkEnd w:id="2"/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bookmarkStart w:id="3" w:name="_Toc501022792"/>
      <w:bookmarkStart w:id="4" w:name="_Toc3405"/>
      <w:r>
        <w:rPr>
          <w:rFonts w:hint="eastAsia" w:ascii="宋体" w:hAnsi="宋体" w:eastAsia="宋体" w:cs="宋体"/>
          <w:color w:val="auto"/>
          <w:highlight w:val="none"/>
        </w:rPr>
        <w:t>（一）交货时间</w:t>
      </w:r>
    </w:p>
    <w:p>
      <w:pPr>
        <w:spacing w:line="336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合同签订后</w:t>
      </w:r>
      <w:r>
        <w:rPr>
          <w:rFonts w:hint="eastAsia" w:ascii="宋体" w:hAnsi="宋体" w:eastAsia="宋体" w:cs="宋体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32"/>
          <w:highlight w:val="none"/>
        </w:rPr>
        <w:t>个月内完成供货、安装、调试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（二）交付地点</w:t>
      </w:r>
    </w:p>
    <w:p>
      <w:pPr>
        <w:spacing w:line="336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采购人指定地点。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（三）质保期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质保期一年，自验收合格之日起计算。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（四）履约保证金</w:t>
      </w:r>
    </w:p>
    <w:p>
      <w:pPr>
        <w:ind w:firstLine="480"/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1.合同金额的5%作为履约保证金，中标人在合同签订时提交至采购人。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2.履约保证金的交付方式：转账、支票、汇票、本票或金融机构、担保机构出具的保函等非现金方式。</w:t>
      </w:r>
    </w:p>
    <w:p>
      <w:pPr>
        <w:ind w:firstLine="480"/>
        <w:rPr>
          <w:rFonts w:hint="eastAsia" w:ascii="宋体" w:hAnsi="宋体" w:eastAsia="宋体" w:cs="宋体"/>
          <w:color w:val="auto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Cs w:val="32"/>
          <w:highlight w:val="none"/>
        </w:rPr>
        <w:t>3.履约保证金在验收合格之后自动转为质量保证金，质量保证金</w:t>
      </w:r>
      <w:r>
        <w:rPr>
          <w:rFonts w:hint="eastAsia" w:ascii="宋体" w:hAnsi="宋体" w:eastAsia="宋体" w:cs="宋体"/>
          <w:color w:val="auto"/>
          <w:highlight w:val="none"/>
        </w:rPr>
        <w:t>在合同签订后无质量问题和维护问题后满1年后（12个月）内退还（不计息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32"/>
          <w:highlight w:val="none"/>
        </w:rPr>
        <w:t>遇寒暑假及国家假日延顺）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（五）项目验收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1.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中标人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中标人必须更换合同货物，并负担由此给采购人造成的损失，直到验收合格为止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2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.投标人应于投标文件中提供合同货物的验收标准和检测办法，并在验收中提供采购人认可的相应检测手段，验收标准应符合中国有关的国家、地方、行业的标准，如若中标，经采购人确认后作为验收的依据；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3.如中标人委托国内代理（或其他机构）负责安装或配合安装，应在签约时指明，但中标人仍要对合同货物及其安装质量负全部责任；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4.验收时中标人必须在现场，验收完毕后作出验收结果报告；</w:t>
      </w:r>
    </w:p>
    <w:p>
      <w:pPr>
        <w:ind w:firstLine="480"/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zh-CN"/>
        </w:rPr>
        <w:t>5.如发现有重大的质量问题，双方均同意提请国家法定检测机构鉴定，如检测结果证明产品无质量问题，由采购人承担检测费用；如检测结果证明产品有质量问题，由中标人承担检测费用，同时中标人同意采购人无条件退货并支付给采购人货款总价10％的赔偿金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（六）售后服务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1.自验收合格之日起计，质保期一年；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2.技术支持：中标人应及时免费提供合同货物软件的升级，免费提供合同货物新功能和应用的资料；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质保期内因不能排除的故障而影响工作的情况每发生一次，其质保期相应延长60天，质保期内因货物本身缺陷造成各种故障应由中标人免费予以更换，否则将扣除质量保证金作为对采购人的补偿。质保期满后，仅收取零配件成本费用，免人工费、差旅费，所涉及软件终身免费升级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4.合同货物出现故障后，中标人接到采购人通知后，必须在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</w:rPr>
        <w:t>小时内做出响应，不超过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highlight w:val="none"/>
        </w:rPr>
        <w:t>个工作日给出解决方案，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个工作日内解决故障；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（七）安装调试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1.中标人免费提供合同货物的安装服务，并在投标文件中提供安装调试计划、对安装场地和环境的要求；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2.安装地点：采购人指定地点；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3.安装标准：符合我国国家有关技术规范要求和技术标准，所有的软件和硬件必须保证同时安装到位；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仪器到货后两周</w:t>
      </w:r>
      <w:r>
        <w:rPr>
          <w:rFonts w:hint="eastAsia" w:ascii="宋体" w:hAnsi="宋体" w:eastAsia="宋体" w:cs="宋体"/>
          <w:color w:val="auto"/>
          <w:highlight w:val="none"/>
        </w:rPr>
        <w:t>内完成上门安装和调试，如在规定的时间内由于中标人的原因不能完成安装和调试，中标人应承担由此给采购人造成的损失。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（八）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培训</w:t>
      </w:r>
    </w:p>
    <w:p>
      <w:pPr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中标人应对采购人的操作人员、维修人员免费进行原厂培训。并在投标文件中提供相应的培训计划，包括对人员、场地、场次等的安排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（九）付款方式</w:t>
      </w:r>
      <w:bookmarkEnd w:id="3"/>
      <w:bookmarkEnd w:id="4"/>
    </w:p>
    <w:p>
      <w:pPr>
        <w:ind w:firstLine="480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100%不可撤销信用证，在收到中标人缴纳的履约保证金后支付。</w:t>
      </w:r>
    </w:p>
    <w:p>
      <w:pPr>
        <w:pStyle w:val="5"/>
        <w:rPr>
          <w:rFonts w:hint="eastAsia" w:ascii="宋体" w:hAnsi="宋体" w:eastAsia="宋体" w:cs="宋体"/>
          <w:color w:val="auto"/>
          <w:highlight w:val="none"/>
        </w:rPr>
      </w:pPr>
      <w:bookmarkStart w:id="5" w:name="_Toc23976"/>
      <w:r>
        <w:rPr>
          <w:rFonts w:hint="eastAsia" w:ascii="宋体" w:hAnsi="宋体" w:eastAsia="宋体" w:cs="宋体"/>
          <w:color w:val="auto"/>
          <w:highlight w:val="none"/>
        </w:rPr>
        <w:t>（十）合同履行</w:t>
      </w:r>
      <w:bookmarkEnd w:id="5"/>
    </w:p>
    <w:p>
      <w:r>
        <w:rPr>
          <w:rFonts w:hint="eastAsia" w:ascii="宋体" w:hAnsi="宋体" w:eastAsia="宋体" w:cs="宋体"/>
          <w:color w:val="auto"/>
          <w:highlight w:val="none"/>
        </w:rPr>
        <w:t>必须由投标主体履行合同。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405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 w:cs="宋体"/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outlineLvl w:val="3"/>
    </w:pPr>
    <w:rPr>
      <w:rFonts w:ascii="Cambria" w:hAnsi="Cambria"/>
      <w:b/>
      <w:bCs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2019-09-04T03:25:30Z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