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bCs/>
          <w:color w:val="auto"/>
          <w:highlight w:val="none"/>
        </w:rPr>
      </w:pPr>
      <w:r>
        <w:rPr>
          <w:rFonts w:hint="eastAsia"/>
          <w:bCs/>
          <w:color w:val="auto"/>
          <w:highlight w:val="none"/>
        </w:rPr>
        <w:t>采购需求</w:t>
      </w:r>
    </w:p>
    <w:p>
      <w:pPr>
        <w:pStyle w:val="5"/>
        <w:rPr>
          <w:rFonts w:hint="eastAsia"/>
          <w:color w:val="auto"/>
          <w:highlight w:val="none"/>
        </w:rPr>
      </w:pPr>
      <w:r>
        <w:rPr>
          <w:rFonts w:hint="eastAsia"/>
          <w:color w:val="auto"/>
          <w:highlight w:val="none"/>
        </w:rPr>
        <w:t>一、项目概况</w:t>
      </w:r>
    </w:p>
    <w:p>
      <w:pPr>
        <w:snapToGrid w:val="0"/>
        <w:spacing w:line="360" w:lineRule="auto"/>
        <w:ind w:firstLine="465" w:firstLineChars="194"/>
        <w:rPr>
          <w:rFonts w:hint="eastAsia" w:ascii="宋体" w:hAnsi="宋体"/>
          <w:color w:val="auto"/>
          <w:kern w:val="0"/>
          <w:highlight w:val="none"/>
        </w:rPr>
      </w:pPr>
      <w:r>
        <w:rPr>
          <w:rFonts w:hint="eastAsia" w:ascii="宋体" w:hAnsi="宋体"/>
          <w:color w:val="auto"/>
          <w:kern w:val="0"/>
          <w:highlight w:val="none"/>
        </w:rPr>
        <w:t>根据</w:t>
      </w:r>
      <w:r>
        <w:rPr>
          <w:rFonts w:ascii="宋体" w:hAnsi="宋体"/>
          <w:color w:val="auto"/>
          <w:kern w:val="0"/>
          <w:highlight w:val="none"/>
        </w:rPr>
        <w:t>2017</w:t>
      </w:r>
      <w:r>
        <w:rPr>
          <w:rFonts w:hint="eastAsia" w:ascii="宋体" w:hAnsi="宋体"/>
          <w:color w:val="auto"/>
          <w:kern w:val="0"/>
          <w:highlight w:val="none"/>
        </w:rPr>
        <w:t>年</w:t>
      </w:r>
      <w:r>
        <w:rPr>
          <w:rFonts w:ascii="宋体" w:hAnsi="宋体"/>
          <w:color w:val="auto"/>
          <w:kern w:val="0"/>
          <w:highlight w:val="none"/>
        </w:rPr>
        <w:t>2</w:t>
      </w:r>
      <w:r>
        <w:rPr>
          <w:rFonts w:hint="eastAsia" w:ascii="宋体" w:hAnsi="宋体"/>
          <w:color w:val="auto"/>
          <w:kern w:val="0"/>
          <w:highlight w:val="none"/>
        </w:rPr>
        <w:t>月浙江省人民政府印发的《关于加快推进“最多跑一次”改革实施方案的通知》（浙政发〔</w:t>
      </w:r>
      <w:r>
        <w:rPr>
          <w:rFonts w:ascii="宋体" w:hAnsi="宋体"/>
          <w:color w:val="auto"/>
          <w:kern w:val="0"/>
          <w:highlight w:val="none"/>
        </w:rPr>
        <w:t>2017</w:t>
      </w: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号）文件精神，以及2018年11月9号浙江省教育厅关于推进全省高等学校“最多跑一次”改革意见（浙教人〔</w:t>
      </w:r>
      <w:r>
        <w:rPr>
          <w:rFonts w:ascii="宋体" w:hAnsi="宋体"/>
          <w:color w:val="auto"/>
          <w:kern w:val="0"/>
          <w:highlight w:val="none"/>
        </w:rPr>
        <w:t>2018</w:t>
      </w:r>
      <w:r>
        <w:rPr>
          <w:rFonts w:hint="eastAsia" w:ascii="宋体" w:hAnsi="宋体"/>
          <w:color w:val="auto"/>
          <w:kern w:val="0"/>
          <w:highlight w:val="none"/>
        </w:rPr>
        <w:t>〕</w:t>
      </w:r>
      <w:r>
        <w:rPr>
          <w:rFonts w:ascii="宋体" w:hAnsi="宋体"/>
          <w:color w:val="auto"/>
          <w:kern w:val="0"/>
          <w:highlight w:val="none"/>
        </w:rPr>
        <w:t>105</w:t>
      </w:r>
      <w:r>
        <w:rPr>
          <w:rFonts w:hint="eastAsia" w:ascii="宋体" w:hAnsi="宋体"/>
          <w:color w:val="auto"/>
          <w:kern w:val="0"/>
          <w:highlight w:val="none"/>
        </w:rPr>
        <w:t>号），建立健全学校跨部门信息化服务机制，加快完善数据共享、部门协作、自助服务的运行机制，不断提升师生信息化服务满意度。</w:t>
      </w:r>
    </w:p>
    <w:p>
      <w:pPr>
        <w:snapToGrid w:val="0"/>
        <w:spacing w:line="360" w:lineRule="auto"/>
        <w:ind w:firstLine="465" w:firstLineChars="194"/>
        <w:rPr>
          <w:rFonts w:hint="eastAsia" w:ascii="宋体" w:hAnsi="宋体"/>
          <w:color w:val="auto"/>
          <w:kern w:val="0"/>
          <w:highlight w:val="none"/>
        </w:rPr>
      </w:pPr>
      <w:r>
        <w:rPr>
          <w:rFonts w:hint="eastAsia" w:ascii="宋体" w:hAnsi="宋体"/>
          <w:color w:val="auto"/>
          <w:kern w:val="0"/>
          <w:highlight w:val="none"/>
        </w:rPr>
        <w:t>浙江中医药大学拟采购基于SOA架构的服务中台，以跨平台、数据整合、流程与数据打通为核心思想，构建“互联网+管理”、“互联网+服务”的工作体系，有效解决数据“碎片化”、“条块分割”、“信息孤岛”等问题，建设内容与网上办事信息门户紧密结合，形成有机整体，以服务全体教职工及学生为目标，办事流程电子化、移动化，以及全面监测业务办理过程，让业务办理更加透明，提升业务办理效率，实现“最多跑一次”的行政改革，具体建设内容为：</w:t>
      </w:r>
    </w:p>
    <w:tbl>
      <w:tblPr>
        <w:tblStyle w:val="6"/>
        <w:tblW w:w="88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18"/>
        <w:gridCol w:w="85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noWrap w:val="0"/>
            <w:vAlign w:val="center"/>
          </w:tcPr>
          <w:p>
            <w:pPr>
              <w:spacing w:line="420" w:lineRule="exact"/>
              <w:jc w:val="center"/>
              <w:rPr>
                <w:rFonts w:ascii="宋体"/>
                <w:b/>
                <w:color w:val="auto"/>
                <w:highlight w:val="none"/>
              </w:rPr>
            </w:pPr>
            <w:r>
              <w:rPr>
                <w:rFonts w:hint="eastAsia" w:ascii="宋体" w:hAnsi="宋体"/>
                <w:b/>
                <w:color w:val="auto"/>
                <w:highlight w:val="none"/>
              </w:rPr>
              <w:t>序号</w:t>
            </w:r>
          </w:p>
        </w:tc>
        <w:tc>
          <w:tcPr>
            <w:tcW w:w="4518" w:type="dxa"/>
            <w:noWrap w:val="0"/>
            <w:vAlign w:val="center"/>
          </w:tcPr>
          <w:p>
            <w:pPr>
              <w:spacing w:line="420" w:lineRule="exact"/>
              <w:jc w:val="center"/>
              <w:rPr>
                <w:rFonts w:ascii="宋体"/>
                <w:b/>
                <w:color w:val="auto"/>
                <w:highlight w:val="none"/>
              </w:rPr>
            </w:pPr>
            <w:r>
              <w:rPr>
                <w:rFonts w:hint="eastAsia" w:ascii="宋体" w:hAnsi="宋体"/>
                <w:b/>
                <w:color w:val="auto"/>
                <w:highlight w:val="none"/>
              </w:rPr>
              <w:t>名称</w:t>
            </w:r>
          </w:p>
        </w:tc>
        <w:tc>
          <w:tcPr>
            <w:tcW w:w="850" w:type="dxa"/>
            <w:noWrap w:val="0"/>
            <w:vAlign w:val="center"/>
          </w:tcPr>
          <w:p>
            <w:pPr>
              <w:spacing w:line="420" w:lineRule="exact"/>
              <w:jc w:val="center"/>
              <w:rPr>
                <w:rFonts w:ascii="宋体"/>
                <w:b/>
                <w:color w:val="auto"/>
                <w:highlight w:val="none"/>
              </w:rPr>
            </w:pPr>
            <w:r>
              <w:rPr>
                <w:rFonts w:hint="eastAsia" w:ascii="宋体" w:hAnsi="宋体"/>
                <w:b/>
                <w:color w:val="auto"/>
                <w:highlight w:val="none"/>
              </w:rPr>
              <w:t>数量</w:t>
            </w:r>
          </w:p>
        </w:tc>
        <w:tc>
          <w:tcPr>
            <w:tcW w:w="2731" w:type="dxa"/>
            <w:noWrap w:val="0"/>
            <w:vAlign w:val="center"/>
          </w:tcPr>
          <w:p>
            <w:pPr>
              <w:spacing w:line="420" w:lineRule="exact"/>
              <w:jc w:val="center"/>
              <w:rPr>
                <w:rFonts w:ascii="宋体"/>
                <w:b/>
                <w:color w:val="auto"/>
                <w:highlight w:val="none"/>
              </w:rPr>
            </w:pPr>
            <w:r>
              <w:rPr>
                <w:rFonts w:hint="eastAsia" w:ascii="宋体" w:hAnsi="宋体"/>
                <w:b/>
                <w:color w:val="auto"/>
                <w:highlight w:val="none"/>
              </w:rPr>
              <w:t>功能及技术参数等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709"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1</w:t>
            </w:r>
          </w:p>
        </w:tc>
        <w:tc>
          <w:tcPr>
            <w:tcW w:w="4518" w:type="dxa"/>
            <w:noWrap w:val="0"/>
            <w:vAlign w:val="center"/>
          </w:tcPr>
          <w:p>
            <w:pPr>
              <w:spacing w:line="420" w:lineRule="exact"/>
              <w:rPr>
                <w:rFonts w:hint="eastAsia" w:ascii="宋体"/>
                <w:bCs/>
                <w:color w:val="auto"/>
                <w:highlight w:val="none"/>
              </w:rPr>
            </w:pPr>
            <w:r>
              <w:rPr>
                <w:rFonts w:hint="eastAsia" w:ascii="宋体"/>
                <w:bCs/>
                <w:color w:val="auto"/>
                <w:highlight w:val="none"/>
              </w:rPr>
              <w:t>服务中台</w:t>
            </w:r>
          </w:p>
        </w:tc>
        <w:tc>
          <w:tcPr>
            <w:tcW w:w="850"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1</w:t>
            </w:r>
          </w:p>
        </w:tc>
        <w:tc>
          <w:tcPr>
            <w:tcW w:w="2731" w:type="dxa"/>
            <w:vMerge w:val="restart"/>
            <w:noWrap w:val="0"/>
            <w:vAlign w:val="center"/>
          </w:tcPr>
          <w:p>
            <w:pPr>
              <w:spacing w:line="420" w:lineRule="exact"/>
              <w:rPr>
                <w:rFonts w:ascii="宋体"/>
                <w:color w:val="auto"/>
                <w:highlight w:val="none"/>
              </w:rPr>
            </w:pPr>
            <w:r>
              <w:rPr>
                <w:rFonts w:hint="eastAsia" w:ascii="宋体" w:hAnsi="宋体"/>
                <w:color w:val="auto"/>
                <w:highlight w:val="none"/>
              </w:rPr>
              <w:t>详见项目功能要求及技术参数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09" w:type="dxa"/>
            <w:noWrap w:val="0"/>
            <w:vAlign w:val="center"/>
          </w:tcPr>
          <w:p>
            <w:pPr>
              <w:spacing w:line="420" w:lineRule="exact"/>
              <w:jc w:val="center"/>
              <w:rPr>
                <w:rFonts w:ascii="宋体"/>
                <w:bCs/>
                <w:color w:val="auto"/>
                <w:highlight w:val="none"/>
              </w:rPr>
            </w:pPr>
            <w:r>
              <w:rPr>
                <w:rFonts w:ascii="宋体" w:hAnsi="宋体"/>
                <w:bCs/>
                <w:color w:val="auto"/>
                <w:highlight w:val="none"/>
              </w:rPr>
              <w:t>2</w:t>
            </w:r>
          </w:p>
        </w:tc>
        <w:tc>
          <w:tcPr>
            <w:tcW w:w="4518" w:type="dxa"/>
            <w:noWrap w:val="0"/>
            <w:vAlign w:val="center"/>
          </w:tcPr>
          <w:p>
            <w:pPr>
              <w:spacing w:line="420" w:lineRule="exact"/>
              <w:rPr>
                <w:rFonts w:ascii="宋体"/>
                <w:color w:val="auto"/>
                <w:highlight w:val="none"/>
              </w:rPr>
            </w:pPr>
            <w:r>
              <w:rPr>
                <w:rFonts w:hint="eastAsia" w:ascii="宋体" w:hAnsi="宋体"/>
                <w:color w:val="auto"/>
                <w:highlight w:val="none"/>
              </w:rPr>
              <w:t>一站式网上办事大厅</w:t>
            </w:r>
          </w:p>
        </w:tc>
        <w:tc>
          <w:tcPr>
            <w:tcW w:w="850"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1</w:t>
            </w:r>
          </w:p>
        </w:tc>
        <w:tc>
          <w:tcPr>
            <w:tcW w:w="2731" w:type="dxa"/>
            <w:vMerge w:val="continue"/>
            <w:noWrap w:val="0"/>
            <w:vAlign w:val="center"/>
          </w:tcPr>
          <w:p>
            <w:pPr>
              <w:spacing w:line="42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9"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3</w:t>
            </w:r>
          </w:p>
        </w:tc>
        <w:tc>
          <w:tcPr>
            <w:tcW w:w="4518" w:type="dxa"/>
            <w:noWrap w:val="0"/>
            <w:vAlign w:val="center"/>
          </w:tcPr>
          <w:p>
            <w:pPr>
              <w:spacing w:line="420" w:lineRule="exact"/>
              <w:rPr>
                <w:rFonts w:ascii="宋体"/>
                <w:color w:val="auto"/>
                <w:highlight w:val="none"/>
              </w:rPr>
            </w:pPr>
            <w:r>
              <w:rPr>
                <w:rFonts w:hint="eastAsia" w:ascii="宋体" w:hAnsi="宋体"/>
                <w:color w:val="auto"/>
                <w:highlight w:val="none"/>
              </w:rPr>
              <w:t>140余项服务事项梳理</w:t>
            </w:r>
          </w:p>
        </w:tc>
        <w:tc>
          <w:tcPr>
            <w:tcW w:w="850"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1</w:t>
            </w:r>
          </w:p>
        </w:tc>
        <w:tc>
          <w:tcPr>
            <w:tcW w:w="2731" w:type="dxa"/>
            <w:vMerge w:val="continue"/>
            <w:noWrap w:val="0"/>
            <w:vAlign w:val="center"/>
          </w:tcPr>
          <w:p>
            <w:pPr>
              <w:spacing w:line="42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09"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4</w:t>
            </w:r>
          </w:p>
        </w:tc>
        <w:tc>
          <w:tcPr>
            <w:tcW w:w="4518" w:type="dxa"/>
            <w:noWrap w:val="0"/>
            <w:vAlign w:val="center"/>
          </w:tcPr>
          <w:p>
            <w:pPr>
              <w:spacing w:line="420" w:lineRule="exact"/>
              <w:rPr>
                <w:rFonts w:hint="eastAsia" w:ascii="宋体"/>
                <w:color w:val="auto"/>
                <w:highlight w:val="none"/>
              </w:rPr>
            </w:pPr>
            <w:r>
              <w:rPr>
                <w:rFonts w:hint="eastAsia" w:ascii="宋体" w:hAnsi="宋体"/>
                <w:color w:val="auto"/>
                <w:highlight w:val="none"/>
              </w:rPr>
              <w:t>不少于25项校务服务流程及微应用开发</w:t>
            </w:r>
          </w:p>
        </w:tc>
        <w:tc>
          <w:tcPr>
            <w:tcW w:w="850"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1</w:t>
            </w:r>
          </w:p>
        </w:tc>
        <w:tc>
          <w:tcPr>
            <w:tcW w:w="2731" w:type="dxa"/>
            <w:vMerge w:val="continue"/>
            <w:noWrap w:val="0"/>
            <w:vAlign w:val="center"/>
          </w:tcPr>
          <w:p>
            <w:pPr>
              <w:spacing w:line="42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09" w:type="dxa"/>
            <w:noWrap w:val="0"/>
            <w:vAlign w:val="center"/>
          </w:tcPr>
          <w:p>
            <w:pPr>
              <w:spacing w:line="420" w:lineRule="exact"/>
              <w:jc w:val="center"/>
              <w:rPr>
                <w:rFonts w:hint="eastAsia" w:ascii="宋体" w:hAnsi="宋体"/>
                <w:bCs/>
                <w:color w:val="auto"/>
                <w:highlight w:val="none"/>
              </w:rPr>
            </w:pPr>
            <w:r>
              <w:rPr>
                <w:rFonts w:hint="eastAsia" w:ascii="宋体" w:hAnsi="宋体"/>
                <w:bCs/>
                <w:color w:val="auto"/>
                <w:highlight w:val="none"/>
              </w:rPr>
              <w:t>5</w:t>
            </w:r>
          </w:p>
        </w:tc>
        <w:tc>
          <w:tcPr>
            <w:tcW w:w="4518" w:type="dxa"/>
            <w:noWrap w:val="0"/>
            <w:vAlign w:val="center"/>
          </w:tcPr>
          <w:p>
            <w:pPr>
              <w:spacing w:line="420" w:lineRule="exact"/>
              <w:rPr>
                <w:rFonts w:hint="eastAsia" w:ascii="宋体" w:hAnsi="宋体"/>
                <w:color w:val="auto"/>
                <w:highlight w:val="none"/>
              </w:rPr>
            </w:pPr>
            <w:r>
              <w:rPr>
                <w:rFonts w:hint="eastAsia" w:ascii="宋体" w:hAnsi="宋体"/>
                <w:color w:val="auto"/>
                <w:highlight w:val="none"/>
              </w:rPr>
              <w:t>实验室采购立项管理系统</w:t>
            </w:r>
          </w:p>
        </w:tc>
        <w:tc>
          <w:tcPr>
            <w:tcW w:w="850" w:type="dxa"/>
            <w:noWrap w:val="0"/>
            <w:vAlign w:val="center"/>
          </w:tcPr>
          <w:p>
            <w:pPr>
              <w:spacing w:line="420" w:lineRule="exact"/>
              <w:jc w:val="center"/>
              <w:rPr>
                <w:rFonts w:hint="eastAsia" w:ascii="宋体" w:hAnsi="宋体"/>
                <w:bCs/>
                <w:color w:val="auto"/>
                <w:highlight w:val="none"/>
              </w:rPr>
            </w:pPr>
            <w:r>
              <w:rPr>
                <w:rFonts w:hint="eastAsia" w:ascii="宋体" w:hAnsi="宋体"/>
                <w:bCs/>
                <w:color w:val="auto"/>
                <w:highlight w:val="none"/>
              </w:rPr>
              <w:t>1</w:t>
            </w:r>
          </w:p>
        </w:tc>
        <w:tc>
          <w:tcPr>
            <w:tcW w:w="2731" w:type="dxa"/>
            <w:noWrap w:val="0"/>
            <w:vAlign w:val="center"/>
          </w:tcPr>
          <w:p>
            <w:pPr>
              <w:spacing w:line="420" w:lineRule="exact"/>
              <w:rPr>
                <w:rFonts w:ascii="宋体"/>
                <w:color w:val="auto"/>
                <w:highlight w:val="none"/>
              </w:rPr>
            </w:pPr>
          </w:p>
        </w:tc>
      </w:tr>
    </w:tbl>
    <w:p>
      <w:pPr>
        <w:snapToGrid w:val="0"/>
        <w:spacing w:line="360" w:lineRule="auto"/>
        <w:ind w:firstLine="465" w:firstLineChars="194"/>
        <w:rPr>
          <w:rFonts w:hint="eastAsia" w:ascii="宋体" w:hAnsi="宋体"/>
          <w:color w:val="auto"/>
          <w:kern w:val="0"/>
          <w:highlight w:val="none"/>
        </w:rPr>
      </w:pPr>
    </w:p>
    <w:p>
      <w:pPr>
        <w:spacing w:line="420" w:lineRule="exact"/>
        <w:rPr>
          <w:rFonts w:ascii="宋体"/>
          <w:color w:val="auto"/>
          <w:highlight w:val="none"/>
        </w:rPr>
      </w:pPr>
      <w:r>
        <w:rPr>
          <w:rFonts w:ascii="宋体" w:hAnsi="宋体"/>
          <w:color w:val="auto"/>
          <w:highlight w:val="none"/>
        </w:rPr>
        <w:t>1.</w:t>
      </w:r>
      <w:r>
        <w:rPr>
          <w:rFonts w:hint="eastAsia" w:ascii="宋体" w:hAnsi="宋体"/>
          <w:color w:val="auto"/>
          <w:highlight w:val="none"/>
        </w:rPr>
        <w:t>需实现的功能或者目标：详见技术参数。</w:t>
      </w:r>
    </w:p>
    <w:p>
      <w:pPr>
        <w:spacing w:line="420" w:lineRule="exact"/>
        <w:rPr>
          <w:rFonts w:ascii="宋体"/>
          <w:color w:val="auto"/>
          <w:highlight w:val="none"/>
        </w:rPr>
      </w:pPr>
      <w:r>
        <w:rPr>
          <w:rFonts w:ascii="宋体" w:hAnsi="宋体"/>
          <w:color w:val="auto"/>
          <w:highlight w:val="none"/>
        </w:rPr>
        <w:t>2.</w:t>
      </w:r>
      <w:r>
        <w:rPr>
          <w:rFonts w:hint="eastAsia" w:ascii="宋体" w:hAnsi="宋体"/>
          <w:color w:val="auto"/>
          <w:highlight w:val="none"/>
        </w:rPr>
        <w:t>需执行的国家相关标准、行业标准、地方标准或者其他标准、规范：有强制性标准的执行国家强制性标准。</w:t>
      </w:r>
    </w:p>
    <w:p>
      <w:pPr>
        <w:spacing w:line="420" w:lineRule="exact"/>
        <w:rPr>
          <w:rFonts w:ascii="宋体"/>
          <w:color w:val="auto"/>
          <w:highlight w:val="none"/>
        </w:rPr>
      </w:pPr>
      <w:r>
        <w:rPr>
          <w:rFonts w:ascii="宋体" w:hAnsi="宋体"/>
          <w:color w:val="auto"/>
          <w:highlight w:val="none"/>
        </w:rPr>
        <w:t>3.</w:t>
      </w:r>
      <w:r>
        <w:rPr>
          <w:rFonts w:hint="eastAsia" w:ascii="宋体" w:hAnsi="宋体"/>
          <w:color w:val="auto"/>
          <w:highlight w:val="none"/>
        </w:rPr>
        <w:t>需满足的质量、安全、技术规格、物理特性等要求：详见技术参数。</w:t>
      </w:r>
    </w:p>
    <w:p>
      <w:pPr>
        <w:pStyle w:val="5"/>
        <w:rPr>
          <w:rFonts w:hint="eastAsia"/>
          <w:color w:val="auto"/>
          <w:highlight w:val="none"/>
        </w:rPr>
      </w:pPr>
      <w:r>
        <w:rPr>
          <w:rFonts w:hint="eastAsia"/>
          <w:color w:val="auto"/>
          <w:highlight w:val="none"/>
        </w:rPr>
        <w:t>二、技术要求</w:t>
      </w:r>
    </w:p>
    <w:tbl>
      <w:tblPr>
        <w:tblStyle w:val="6"/>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096"/>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noWrap w:val="0"/>
            <w:vAlign w:val="center"/>
          </w:tcPr>
          <w:p>
            <w:pPr>
              <w:jc w:val="left"/>
              <w:rPr>
                <w:rFonts w:hint="eastAsia" w:ascii="宋体" w:hAnsi="宋体"/>
                <w:b/>
                <w:color w:val="auto"/>
                <w:szCs w:val="21"/>
                <w:highlight w:val="none"/>
              </w:rPr>
            </w:pPr>
            <w:r>
              <w:rPr>
                <w:rFonts w:hint="eastAsia" w:ascii="宋体" w:hAnsi="宋体"/>
                <w:b/>
                <w:color w:val="auto"/>
                <w:szCs w:val="21"/>
                <w:highlight w:val="none"/>
              </w:rPr>
              <w:t>指标项</w:t>
            </w:r>
          </w:p>
        </w:tc>
        <w:tc>
          <w:tcPr>
            <w:tcW w:w="7977" w:type="dxa"/>
            <w:noWrap w:val="0"/>
            <w:vAlign w:val="center"/>
          </w:tcPr>
          <w:p>
            <w:pPr>
              <w:rPr>
                <w:rFonts w:hint="eastAsia" w:ascii="宋体" w:hAnsi="宋体"/>
                <w:b/>
                <w:color w:val="auto"/>
                <w:szCs w:val="21"/>
                <w:highlight w:val="none"/>
              </w:rPr>
            </w:pPr>
            <w:r>
              <w:rPr>
                <w:rFonts w:hint="eastAsia" w:ascii="宋体" w:hAnsi="宋体"/>
                <w:b/>
                <w:color w:val="auto"/>
                <w:szCs w:val="21"/>
                <w:highlight w:val="none"/>
              </w:rPr>
              <w:t>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9073" w:type="dxa"/>
            <w:gridSpan w:val="2"/>
            <w:noWrap w:val="0"/>
            <w:vAlign w:val="center"/>
          </w:tcPr>
          <w:p>
            <w:pPr>
              <w:rPr>
                <w:rFonts w:hint="eastAsia" w:ascii="宋体" w:hAnsi="宋体"/>
                <w:b/>
                <w:color w:val="auto"/>
                <w:szCs w:val="21"/>
                <w:highlight w:val="none"/>
              </w:rPr>
            </w:pPr>
            <w:r>
              <w:rPr>
                <w:rFonts w:hint="eastAsia" w:ascii="宋体" w:hAnsi="宋体"/>
                <w:b/>
                <w:color w:val="auto"/>
                <w:szCs w:val="21"/>
                <w:highlight w:val="none"/>
              </w:rPr>
              <w:t>1.平台基本要求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集成、性能、安全及标准版要求</w:t>
            </w:r>
          </w:p>
        </w:tc>
        <w:tc>
          <w:tcPr>
            <w:tcW w:w="7977" w:type="dxa"/>
            <w:noWrap w:val="0"/>
            <w:vAlign w:val="center"/>
          </w:tcPr>
          <w:p>
            <w:pPr>
              <w:rPr>
                <w:rFonts w:hint="eastAsia" w:ascii="宋体" w:hAnsi="宋体"/>
                <w:b/>
                <w:color w:val="auto"/>
                <w:szCs w:val="21"/>
                <w:highlight w:val="none"/>
              </w:rPr>
            </w:pPr>
            <w:r>
              <w:rPr>
                <w:rFonts w:hint="eastAsia"/>
                <w:color w:val="auto"/>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本项目在学校现有网上办事大厅建设，与</w:t>
            </w:r>
            <w:r>
              <w:rPr>
                <w:color w:val="auto"/>
                <w:szCs w:val="21"/>
                <w:highlight w:val="none"/>
              </w:rPr>
              <w:t>统一身份认证</w:t>
            </w:r>
            <w:r>
              <w:rPr>
                <w:rFonts w:hint="eastAsia"/>
                <w:color w:val="auto"/>
                <w:szCs w:val="21"/>
                <w:highlight w:val="none"/>
              </w:rPr>
              <w:t>系统、数据中心、消息中心、任务中心实现无缝对接。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highlight w:val="none"/>
              </w:rPr>
            </w:pPr>
            <w:r>
              <w:rPr>
                <w:rFonts w:hint="eastAsia" w:ascii="宋体" w:hAnsi="宋体"/>
                <w:color w:val="auto"/>
                <w:szCs w:val="21"/>
                <w:highlight w:val="none"/>
              </w:rPr>
              <w:t>2.系统技术架构采用纯 B/S 模式，各浏览器访问前后台功能均无需安装任何插件。兼容IE9及以上、Google Chrome、FireFox、Safari、360等主流浏览器。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3．通过学校统一身份认证系统进行身份认证，实现与中医药大学独立APP、微信企业号、钉钉、易班等移动端客户端的集成。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highlight w:val="none"/>
              </w:rPr>
            </w:pPr>
            <w:r>
              <w:rPr>
                <w:rFonts w:hint="eastAsia" w:ascii="宋体" w:hAnsi="宋体"/>
                <w:color w:val="auto"/>
                <w:szCs w:val="21"/>
                <w:highlight w:val="none"/>
              </w:rPr>
              <w:t>4.实现与中医药大学信息门户系统的集成，以实现融合门户展示；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5.支持基于负载均衡技术的多活集群部署，能够通过简单增加服务器（虚拟机）方式进行业务并发能力的扩展和高可用；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color w:val="auto"/>
                <w:szCs w:val="21"/>
                <w:highlight w:val="none"/>
              </w:rPr>
            </w:pPr>
            <w:r>
              <w:rPr>
                <w:rFonts w:hint="eastAsia" w:ascii="宋体" w:hAnsi="宋体"/>
                <w:color w:val="auto"/>
                <w:szCs w:val="21"/>
                <w:highlight w:val="none"/>
              </w:rPr>
              <w:t>6.支持5000以上终端同时在线，并发数达到500人（达到500并发后，单页面响应时间不高于3秒）；支持通过增加服务器集群部署实现性能扩容。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整个系统能在长时间内正常、稳定工作，避免随数据量增长系统反应迟缓。涉及隐私信息严格按照授权权限分层管理，对日常管理操作进行日志记录。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color w:val="auto"/>
                <w:szCs w:val="21"/>
                <w:highlight w:val="none"/>
              </w:rPr>
            </w:pPr>
            <w:r>
              <w:rPr>
                <w:rFonts w:hint="eastAsia" w:ascii="宋体" w:hAnsi="宋体"/>
                <w:color w:val="auto"/>
                <w:szCs w:val="21"/>
                <w:highlight w:val="none"/>
              </w:rPr>
              <w:t>8.</w:t>
            </w:r>
            <w:r>
              <w:rPr>
                <w:rFonts w:ascii="宋体" w:hAnsi="宋体"/>
                <w:color w:val="auto"/>
                <w:szCs w:val="21"/>
                <w:highlight w:val="none"/>
              </w:rPr>
              <w:t>对于需要保密的信息，采用密码技术进行加解密处理，防止信息的非授权泄漏，确保涉密信息在产生、存储、传递和处理过程中的保密。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利用数据库的备份功能将建设的平台和系统数据备份到指定的服务器或存储系统上。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10.完成学校现有第三方业务系统和办事大厅的对接，此对接不涉及接口费。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9073" w:type="dxa"/>
            <w:gridSpan w:val="2"/>
            <w:noWrap w:val="0"/>
            <w:vAlign w:val="center"/>
          </w:tcPr>
          <w:p>
            <w:pPr>
              <w:rPr>
                <w:rFonts w:hint="eastAsia" w:ascii="宋体" w:hAnsi="宋体"/>
                <w:b/>
                <w:color w:val="auto"/>
                <w:szCs w:val="21"/>
                <w:highlight w:val="none"/>
              </w:rPr>
            </w:pPr>
            <w:r>
              <w:rPr>
                <w:rFonts w:hint="eastAsia" w:ascii="宋体" w:hAnsi="宋体"/>
                <w:b/>
                <w:color w:val="auto"/>
                <w:szCs w:val="21"/>
                <w:highlight w:val="none"/>
              </w:rPr>
              <w:t>2.服务中台：包括流程引擎组件、表单引擎组件、消息中心组件、组织架构组件、接口中心组件。整个服务中台必须</w:t>
            </w:r>
            <w:r>
              <w:rPr>
                <w:rFonts w:hint="eastAsia" w:ascii="宋体" w:hAnsi="宋体"/>
                <w:color w:val="auto"/>
                <w:szCs w:val="21"/>
                <w:highlight w:val="none"/>
              </w:rPr>
              <w:t>采用B/S模式，不接受C/S架构。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1）流程引擎、表单引擎</w:t>
            </w: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1.要求流程引擎采用BPM平台，支持BPMN2.0规范流程配置导入、导出。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2.流程引擎图形化托拽组合即可组装成完整的流程，并搭配相关的可配置化参数设定，无需编码即可实现绝大部分的流程开发，用户无需掌握编程语言，简单培训即可胜任开发工作。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3.支持条件、串行、并行、循环、聚合等流程路由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37"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4.支持部门、岗位、角色、组，并支持一人多岗，一人多编制，一人多角色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5.提供流程仿真模拟功能，直接在流程设计端测试流程全过程，无需账号切换；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6.流程发布前要有自动调试分析功能，能提示出流程设置的错误和不完整。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97"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7.流程具有图例的规则引擎模块，能够通过配置即可实现复杂的流程规则。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流程规则可配置化实现规则有效期，超过规则时间就无效。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9.流程引擎可自动生成技术规则说明书：基于</w:t>
            </w:r>
            <w:r>
              <w:rPr>
                <w:rFonts w:ascii="宋体" w:hAnsi="宋体"/>
                <w:color w:val="auto"/>
                <w:szCs w:val="21"/>
                <w:highlight w:val="none"/>
              </w:rPr>
              <w:t>Office</w:t>
            </w:r>
            <w:r>
              <w:rPr>
                <w:rFonts w:hint="eastAsia" w:ascii="宋体" w:hAnsi="宋体"/>
                <w:color w:val="auto"/>
                <w:szCs w:val="21"/>
                <w:highlight w:val="none"/>
              </w:rPr>
              <w:t>建立文档模板并自动生成技术规则说明书，生成内容应包含：流程名称、业务流程图、业务角色定义、流程设计说明、事件和业务规则、步骤描述信息、子流程描述信息、表单图片等。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10.流程追溯审计：为了追溯以及审计，要求提供流程回放功能。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支持多种流程模式，支持单一签核、多人顺序、多人并行、多人抢占、多人任意、指定执行、会签、知会等常用模式。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13.提供8种以上第三方整合接口方式（无代码整合），要求接口符合国际常用的方式。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13.外部系统可直接通过</w:t>
            </w:r>
            <w:r>
              <w:rPr>
                <w:rFonts w:ascii="宋体" w:hAnsi="宋体"/>
                <w:color w:val="auto"/>
                <w:szCs w:val="21"/>
                <w:highlight w:val="none"/>
              </w:rPr>
              <w:t>Webservice</w:t>
            </w:r>
            <w:r>
              <w:rPr>
                <w:rFonts w:hint="eastAsia" w:ascii="宋体" w:hAnsi="宋体"/>
                <w:color w:val="auto"/>
                <w:szCs w:val="21"/>
                <w:highlight w:val="none"/>
              </w:rPr>
              <w:t>调用触发流程并附带相关业务数据。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14.可以直接引入第三方系统的数据作为流程的基础数据。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15.支持邮件审批。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16.支持流程版本管理，新版本发布可选择：</w:t>
            </w:r>
          </w:p>
          <w:p>
            <w:pPr>
              <w:spacing w:line="360" w:lineRule="auto"/>
              <w:rPr>
                <w:rFonts w:hint="eastAsia" w:ascii="宋体" w:hAnsi="宋体"/>
                <w:color w:val="auto"/>
                <w:szCs w:val="21"/>
                <w:highlight w:val="none"/>
              </w:rPr>
            </w:pPr>
            <w:r>
              <w:rPr>
                <w:rFonts w:hint="eastAsia" w:ascii="宋体" w:hAnsi="宋体"/>
                <w:color w:val="auto"/>
                <w:szCs w:val="21"/>
                <w:highlight w:val="none"/>
              </w:rPr>
              <w:t>1）停止现有所有流程使用最新版本</w:t>
            </w:r>
          </w:p>
          <w:p>
            <w:pPr>
              <w:spacing w:line="360" w:lineRule="auto"/>
              <w:rPr>
                <w:rFonts w:hint="eastAsia" w:ascii="宋体" w:hAnsi="宋体"/>
                <w:color w:val="auto"/>
                <w:szCs w:val="21"/>
                <w:highlight w:val="none"/>
              </w:rPr>
            </w:pPr>
            <w:r>
              <w:rPr>
                <w:rFonts w:hint="eastAsia" w:ascii="宋体" w:hAnsi="宋体"/>
                <w:color w:val="auto"/>
                <w:szCs w:val="21"/>
                <w:highlight w:val="none"/>
              </w:rPr>
              <w:t>2）已发起的流程按照之前版本，新发起的按照最新版本。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17．提供流程分析报表：可按人、组织、流程、环节等分析等待时间、流程参与人数、流程流转时长等。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18.报表支持图形化饼图、柱状图、饼图等。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rPr>
                <w:rFonts w:hint="eastAsia" w:ascii="宋体" w:hAnsi="宋体"/>
                <w:color w:val="auto"/>
                <w:szCs w:val="21"/>
                <w:highlight w:val="none"/>
              </w:rPr>
            </w:pPr>
            <w:r>
              <w:rPr>
                <w:rFonts w:hint="eastAsia" w:ascii="宋体" w:hAnsi="宋体"/>
                <w:color w:val="auto"/>
                <w:szCs w:val="21"/>
                <w:highlight w:val="none"/>
              </w:rPr>
              <w:t>2.表单引擎组件</w:t>
            </w: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1. 支持全功能的图形化表单设计，可根据业务需求自定义任意样式的表单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2. 支持可视化建模，提供拖拽式、所见即所得的图形化表单设计能力，如可通过文件（包括excel等常见日常办公格式）导入模式导入表单格式。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PC</w:t>
            </w:r>
            <w:r>
              <w:rPr>
                <w:rFonts w:hint="eastAsia" w:ascii="宋体" w:hAnsi="宋体"/>
                <w:color w:val="auto"/>
                <w:szCs w:val="21"/>
                <w:highlight w:val="none"/>
              </w:rPr>
              <w:t>端表单开发完成，移动端表单（微信、钉钉或者</w:t>
            </w:r>
            <w:r>
              <w:rPr>
                <w:rFonts w:ascii="宋体" w:hAnsi="宋体"/>
                <w:color w:val="auto"/>
                <w:szCs w:val="21"/>
                <w:highlight w:val="none"/>
              </w:rPr>
              <w:t>APP</w:t>
            </w:r>
            <w:r>
              <w:rPr>
                <w:rFonts w:hint="eastAsia" w:ascii="宋体" w:hAnsi="宋体"/>
                <w:color w:val="auto"/>
                <w:szCs w:val="21"/>
                <w:highlight w:val="none"/>
              </w:rPr>
              <w:t>）无需做任何开发自动生成，移动端表单样式以移动端控件方式展现。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4.用户填写表单时，可自动从数据中心提取数据，避免师生的重复填报。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5.内置支持表单版本管理。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6.表单设计工具提供不同审批人员显示不同页面的设计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7.支持字段级表单权限控制：</w:t>
            </w:r>
          </w:p>
          <w:p>
            <w:pPr>
              <w:rPr>
                <w:rFonts w:ascii="宋体" w:hAnsi="宋体"/>
                <w:color w:val="auto"/>
                <w:szCs w:val="21"/>
                <w:highlight w:val="none"/>
              </w:rPr>
            </w:pPr>
            <w:r>
              <w:rPr>
                <w:rFonts w:hint="eastAsia" w:ascii="宋体" w:hAnsi="宋体"/>
                <w:color w:val="auto"/>
                <w:szCs w:val="21"/>
                <w:highlight w:val="none"/>
              </w:rPr>
              <w:t>基于用户、角色、组织结构分配用户入口访问、填报的权限；</w:t>
            </w:r>
          </w:p>
          <w:p>
            <w:pPr>
              <w:rPr>
                <w:rFonts w:hint="eastAsia" w:ascii="宋体" w:hAnsi="宋体"/>
                <w:color w:val="auto"/>
                <w:szCs w:val="21"/>
                <w:highlight w:val="none"/>
              </w:rPr>
            </w:pPr>
            <w:r>
              <w:rPr>
                <w:rFonts w:hint="eastAsia" w:ascii="宋体" w:hAnsi="宋体"/>
                <w:color w:val="auto"/>
                <w:szCs w:val="21"/>
                <w:highlight w:val="none"/>
              </w:rPr>
              <w:t>支持根据不同流程活动配置表单内部字段显示、编辑的权限（即设置各个流程节点可编辑的字段，针对不同流程节点配置每一个表单字段的读、写、查权限）；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26.支持审批流程表单数据输出</w:t>
            </w:r>
            <w:r>
              <w:rPr>
                <w:rFonts w:ascii="宋体" w:hAnsi="宋体"/>
                <w:color w:val="auto"/>
                <w:szCs w:val="21"/>
                <w:highlight w:val="none"/>
              </w:rPr>
              <w:t>word</w:t>
            </w:r>
            <w:r>
              <w:rPr>
                <w:rFonts w:hint="eastAsia" w:ascii="宋体" w:hAnsi="宋体"/>
                <w:color w:val="auto"/>
                <w:szCs w:val="21"/>
                <w:highlight w:val="none"/>
              </w:rPr>
              <w:t>及其他文件格式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3.消息中心组件</w:t>
            </w: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支持消息中心和第三方系统对接，提供多种消息渠道接口（包括微信、钉钉、邮件、短信接口），包括添加、禁用、删除消息渠道接口；消息分类接口（新增、删除消息分类；消息接口），及发送消息接口、批量发送消息接口、重发消息接口、取消发送消息接口、修改消息状态、删除消息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2.支持群发微信、钉钉图文消息，支持群发短信。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 短信具备定时发送功能，点选发送时间后，到时自动发送</w:t>
            </w:r>
          </w:p>
        </w:tc>
      </w:tr>
      <w:tr>
        <w:tblPrEx>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短信具备勾选是否需要回复功能，如勾选需要回复，自动在短信尾端，签名前端为短信添加通信平台分配的临时网页地址，接收人点击网页地址后启动浏览器出现回复内容输入页面，在输入页面内输入需要回复的内容后点击回复，即完成回复，系统收到回复内容后，将此回复内容归属给短信发起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5.消息组织管理与用户管理</w:t>
            </w:r>
          </w:p>
          <w:p>
            <w:pPr>
              <w:rPr>
                <w:rFonts w:ascii="宋体" w:hAnsi="宋体"/>
                <w:color w:val="auto"/>
                <w:szCs w:val="21"/>
                <w:highlight w:val="none"/>
              </w:rPr>
            </w:pPr>
            <w:r>
              <w:rPr>
                <w:rFonts w:hint="eastAsia" w:ascii="宋体" w:hAnsi="宋体"/>
                <w:color w:val="auto"/>
                <w:szCs w:val="21"/>
                <w:highlight w:val="none"/>
              </w:rPr>
              <w:t>1）校级管理员可新建、修改、删除学院部门组织名称；</w:t>
            </w:r>
          </w:p>
          <w:p>
            <w:pPr>
              <w:rPr>
                <w:rFonts w:ascii="宋体" w:hAnsi="宋体"/>
                <w:color w:val="auto"/>
                <w:szCs w:val="21"/>
                <w:highlight w:val="none"/>
              </w:rPr>
            </w:pPr>
            <w:r>
              <w:rPr>
                <w:rFonts w:hint="eastAsia" w:ascii="宋体" w:hAnsi="宋体"/>
                <w:color w:val="auto"/>
                <w:szCs w:val="21"/>
                <w:highlight w:val="none"/>
              </w:rPr>
              <w:t>2）校级管理员可在设定的学院部门组织下授权特定人员使用本系统权限，开放、配置、修改、删除学院部门管理员与普通用户账号、密码、短信配额（每月可发送数量、当前剩余数量）、使用人姓名等相关信息；</w:t>
            </w:r>
          </w:p>
          <w:p>
            <w:pPr>
              <w:rPr>
                <w:rFonts w:ascii="宋体" w:hAnsi="宋体"/>
                <w:color w:val="auto"/>
                <w:szCs w:val="21"/>
                <w:highlight w:val="none"/>
              </w:rPr>
            </w:pPr>
            <w:r>
              <w:rPr>
                <w:rFonts w:hint="eastAsia" w:ascii="宋体" w:hAnsi="宋体"/>
                <w:color w:val="auto"/>
                <w:szCs w:val="21"/>
                <w:highlight w:val="none"/>
              </w:rPr>
              <w:t>3）学院部门管理员可在各自的学院部门组织下授权特定人员使用本系统权限，开放、配置、修改、删除普通用户账号、密码、短信配额（每月可发送数量、当前剩余数量）、使用人姓名等相关信息；</w:t>
            </w:r>
          </w:p>
          <w:p>
            <w:pPr>
              <w:rPr>
                <w:rFonts w:hint="eastAsia" w:ascii="宋体" w:hAnsi="宋体"/>
                <w:color w:val="auto"/>
                <w:szCs w:val="21"/>
                <w:highlight w:val="none"/>
              </w:rPr>
            </w:pPr>
            <w:r>
              <w:rPr>
                <w:rFonts w:hint="eastAsia" w:ascii="宋体" w:hAnsi="宋体"/>
                <w:color w:val="auto"/>
                <w:szCs w:val="21"/>
                <w:highlight w:val="none"/>
              </w:rPr>
              <w:t>4）同学院部门的所有人员共享短信配额（每月可发送数量、当前剩余数量），同学院部门的所有人员可相互转让短信当前剩余数量；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消息统计报表：包含消息发送的总数量，各个渠道（微信、钉钉等）的发送数量、发送成功以及失败数量</w:t>
            </w:r>
          </w:p>
        </w:tc>
      </w:tr>
      <w:tr>
        <w:tblPrEx>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4.接口中心组件</w:t>
            </w: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服务中台的各个组件必须公开所有接口。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2．接口中心基于</w:t>
            </w:r>
            <w:r>
              <w:rPr>
                <w:rFonts w:ascii="宋体" w:hAnsi="宋体"/>
                <w:color w:val="auto"/>
                <w:szCs w:val="21"/>
                <w:highlight w:val="none"/>
              </w:rPr>
              <w:t>Swagger工具，</w:t>
            </w:r>
            <w:r>
              <w:rPr>
                <w:rFonts w:hint="eastAsia" w:ascii="宋体" w:hAnsi="宋体"/>
                <w:color w:val="auto"/>
                <w:szCs w:val="21"/>
                <w:highlight w:val="none"/>
              </w:rPr>
              <w:t>可以展示</w:t>
            </w:r>
            <w:r>
              <w:rPr>
                <w:rFonts w:ascii="宋体" w:hAnsi="宋体"/>
                <w:color w:val="auto"/>
                <w:szCs w:val="21"/>
                <w:highlight w:val="none"/>
              </w:rPr>
              <w:t>各种格式的接口文档，生成多种语言的客户端和服务端的代码，以及在线接口调试页面</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接口中心支持的接口格式符合开发常用的接口标准：包括但不限于Webservice、Database、Xml、Exchange等；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学校可以发布接口中心的内容。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学校根据需要自行添加或者修改接口中心的接口内容。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9073" w:type="dxa"/>
            <w:gridSpan w:val="2"/>
            <w:noWrap w:val="0"/>
            <w:vAlign w:val="center"/>
          </w:tcPr>
          <w:p>
            <w:pPr>
              <w:rPr>
                <w:rFonts w:hint="eastAsia" w:ascii="宋体" w:hAnsi="宋体"/>
                <w:b/>
                <w:color w:val="auto"/>
                <w:szCs w:val="21"/>
                <w:highlight w:val="none"/>
              </w:rPr>
            </w:pPr>
            <w:r>
              <w:rPr>
                <w:rFonts w:hint="eastAsia" w:ascii="宋体" w:hAnsi="宋体"/>
                <w:b/>
                <w:color w:val="auto"/>
                <w:szCs w:val="21"/>
                <w:highlight w:val="none"/>
              </w:rPr>
              <w:t>3.一站式网上办事大厅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p>
          <w:p>
            <w:pPr>
              <w:jc w:val="left"/>
              <w:rPr>
                <w:rFonts w:hint="eastAsia" w:ascii="宋体" w:hAnsi="宋体"/>
                <w:color w:val="auto"/>
                <w:szCs w:val="21"/>
                <w:highlight w:val="none"/>
              </w:rPr>
            </w:pPr>
            <w:r>
              <w:rPr>
                <w:rFonts w:hint="eastAsia" w:ascii="宋体" w:hAnsi="宋体"/>
                <w:color w:val="auto"/>
                <w:szCs w:val="21"/>
                <w:highlight w:val="none"/>
              </w:rPr>
              <w:t>1）服务展示</w:t>
            </w: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1.根据学校自身需求，支持定制化服务事项等展示风格与分类方式。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2.所有已发布的服务流程都可通过办事大厅面向用户进行展示。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3.服务按不同维度分类，如办事角色、服务主题、服务模式、办理类型、负责部门、受理地点等。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4.服务按不同维度进行排序，如使用次数、评价高低、收藏次数、服务名称首字母等。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5.服务以卡片的方式进行呈现，每个服务卡片显示服务名称、服务图标、服务办理次数、服务分类信息，可以直接在卡片上进行服务收藏。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6．每个服务流程独立的服务详情介绍页面，页面具备图文混编与相关文件下载功能，包含服务介绍、服务办事指南、政策文件、办事流程图、服务评分评价展示等内容，提供在线办理服务、收藏服务等功能。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highlight w:val="none"/>
              </w:rPr>
            </w:pPr>
            <w:r>
              <w:rPr>
                <w:rFonts w:hint="eastAsia" w:ascii="宋体" w:hAnsi="宋体"/>
                <w:color w:val="auto"/>
                <w:szCs w:val="21"/>
                <w:highlight w:val="none"/>
              </w:rPr>
              <w:t>7.服务单服务评价，办事师生可以基于具体服务单对受理人员与服务流程进行评价打分，可通过意见反馈方式提出服务优化建议，促进流程优化与服务质量提升。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8.以图形报表、数据清单的形式统计办事大厅的访问情况、各个应用的使用情况、微信端办事大厅用户关注情况等信息。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2）用户中心</w:t>
            </w:r>
          </w:p>
        </w:tc>
        <w:tc>
          <w:tcPr>
            <w:tcW w:w="7977" w:type="dxa"/>
            <w:noWrap w:val="0"/>
            <w:vAlign w:val="center"/>
          </w:tcPr>
          <w:p>
            <w:pPr>
              <w:rPr>
                <w:rFonts w:ascii="宋体" w:hAnsi="宋体"/>
                <w:color w:val="auto"/>
                <w:highlight w:val="none"/>
              </w:rPr>
            </w:pPr>
            <w:r>
              <w:rPr>
                <w:rFonts w:hint="eastAsia" w:ascii="宋体" w:hAnsi="宋体"/>
                <w:color w:val="auto"/>
                <w:szCs w:val="21"/>
                <w:highlight w:val="none"/>
              </w:rPr>
              <w:t>1.我的待办：根据流程的需要把当前需要用户办理／填写／审批的工作节点，以待办任务的方式列出，并用醒目标识提醒用户待办任务及数量。用户（包括员工及各种管理岗位、审批领导）不必了解当前任务来自后台哪个模块，只需要以统一的方式完成该任务展现出来的具体内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2.我的申请：流程的办理者以在这个模块中跟踪自己发起、参与的流程的进展情况。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3.我的已办：用户可以找到所有自己曾经办理过的流程（包括已撤销流程、已回退流程、已终止流程、已办流程）及其具体内容。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3）服务事项统计</w:t>
            </w: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系统能够支持服务事项的统计报表，图形化呈现方式至少包括饼状图、柱状图、条形图、曲线图。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highlight w:val="none"/>
              </w:rPr>
            </w:pPr>
            <w:r>
              <w:rPr>
                <w:rFonts w:hint="eastAsia" w:ascii="宋体" w:hAnsi="宋体"/>
                <w:color w:val="auto"/>
                <w:szCs w:val="21"/>
                <w:highlight w:val="none"/>
              </w:rPr>
              <w:t>2.校务服务统计报表功能，提供多种统计报表模版，支持定时生成日报、周报、季报、年报。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3.支持服务事项按累积收件、累积办件、预审件分类统计。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4.实现服务事项以流程节点为统计点进行实效统计，计量统计，操作分类统计等多维统计功能。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（4）后台管理</w:t>
            </w: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1.应用管理：给办事大厅注册应用，注册时可以设置应用的图标、名称、分类、是移动端应用还是</w:t>
            </w:r>
            <w:r>
              <w:rPr>
                <w:rFonts w:ascii="宋体" w:hAnsi="宋体"/>
                <w:color w:val="auto"/>
                <w:szCs w:val="21"/>
                <w:highlight w:val="none"/>
              </w:rPr>
              <w:t>pc</w:t>
            </w:r>
            <w:r>
              <w:rPr>
                <w:rFonts w:hint="eastAsia" w:ascii="宋体" w:hAnsi="宋体"/>
                <w:color w:val="auto"/>
                <w:szCs w:val="21"/>
                <w:highlight w:val="none"/>
              </w:rPr>
              <w:t>端、责任部门、服务对象、办事指南、是否默认加入收藏等信息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2.应用分类管理：应用的分类信息管理，可以设置分类的名称、展现图标、是否默认收藏扥信息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权限管理要求对办事大厅平台与流程平台中用户、角色、岗位、部门进行管理，包含对用户配置岗位、岗位管理、岗位下用户管理、查看岗位下流程等功能。系统主要针对工作流中的配置的岗位的人员进行管理。可以给某个部门某个岗位添加管理员，管理员进可以给该岗位添加相应的人员，添加后的人员方能使用办事大厅来处理自己有权限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4.支持多级权限体系，即支持分级授权管理。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5.支持用户基于角色/岗位的多维权限模型。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9073" w:type="dxa"/>
            <w:gridSpan w:val="2"/>
            <w:noWrap w:val="0"/>
            <w:vAlign w:val="center"/>
          </w:tcPr>
          <w:p>
            <w:pPr>
              <w:rPr>
                <w:rFonts w:ascii="宋体"/>
                <w:color w:val="auto"/>
                <w:highlight w:val="none"/>
              </w:rPr>
            </w:pPr>
            <w:r>
              <w:rPr>
                <w:rFonts w:hint="eastAsia" w:ascii="宋体" w:hAnsi="宋体"/>
                <w:b/>
                <w:color w:val="auto"/>
                <w:szCs w:val="21"/>
                <w:highlight w:val="none"/>
              </w:rPr>
              <w:t>4.140余项服务事项梳理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事项梳理</w:t>
            </w: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 xml:space="preserve"> 提供适合浙江中医药大学校务服务流程梳理调研过程中所涉及的所有文档模版。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在流程梳理、设计过程中完成相应文档的编写，并以电子版与文字版的形式交付与浙江中医药大学。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梳理内容包括但不限于：办事指南、办事流程图、表单、附件、规章制度等内容。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将140余项服务事项录入一站式网上办事大厅系统内，以学校的分类方式归类，方便用户搜索查询。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9073" w:type="dxa"/>
            <w:gridSpan w:val="2"/>
            <w:noWrap w:val="0"/>
            <w:vAlign w:val="center"/>
          </w:tcPr>
          <w:p>
            <w:pPr>
              <w:rPr>
                <w:rFonts w:hint="eastAsia" w:ascii="宋体"/>
                <w:color w:val="auto"/>
                <w:highlight w:val="none"/>
              </w:rPr>
            </w:pPr>
            <w:r>
              <w:rPr>
                <w:rFonts w:hint="eastAsia" w:ascii="宋体" w:hAnsi="宋体"/>
                <w:b/>
                <w:color w:val="auto"/>
                <w:szCs w:val="21"/>
                <w:highlight w:val="none"/>
              </w:rPr>
              <w:t>5.不少于25项校务服务流程及微应用开发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流程及微应用开发</w:t>
            </w:r>
          </w:p>
        </w:tc>
        <w:tc>
          <w:tcPr>
            <w:tcW w:w="7977" w:type="dxa"/>
            <w:noWrap w:val="0"/>
            <w:vAlign w:val="center"/>
          </w:tcPr>
          <w:p>
            <w:pPr>
              <w:rPr>
                <w:rFonts w:ascii="宋体" w:hAnsi="宋体"/>
                <w:color w:val="auto"/>
                <w:highlight w:val="none"/>
              </w:rPr>
            </w:pPr>
            <w:r>
              <w:rPr>
                <w:rFonts w:hint="eastAsia" w:ascii="宋体" w:hAnsi="宋体"/>
                <w:color w:val="auto"/>
                <w:szCs w:val="21"/>
                <w:highlight w:val="none"/>
              </w:rPr>
              <w:t>1.由浙江中医药大学确定不少于25项需定制化开发校务流程，中标人与对应业务部门沟通调研、确定开发需求。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流程梳理：由浙江中医药大学确定不少于25项需定制化开发校务流程，中标人对流程进行梳理规范，设计适合线上的办事流程。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3.中标人在流程梳理、设计过程中完成相应文档的编写，并以电子版与文字版的形式交付与浙江中医药大学。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4.根据前期调研与流程设计，基于服务中台为浙江中医药大学定制化开发25项线上校务服务流程，并将其集成于办事大厅门户（包括PC端与移动端）。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5.每个流程及微应用需求包括但不限于：办事流程、表单（PC端及移动端）、流程监控、业务统计报表、权限管理、业务规则配置等内容。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47" w:hRule="atLeast"/>
          <w:jc w:val="center"/>
        </w:trPr>
        <w:tc>
          <w:tcPr>
            <w:tcW w:w="9073" w:type="dxa"/>
            <w:gridSpan w:val="2"/>
            <w:noWrap w:val="0"/>
            <w:vAlign w:val="center"/>
          </w:tcPr>
          <w:p>
            <w:pPr>
              <w:rPr>
                <w:rFonts w:hint="eastAsia" w:ascii="宋体" w:hAnsi="宋体"/>
                <w:color w:val="auto"/>
                <w:szCs w:val="21"/>
                <w:highlight w:val="none"/>
              </w:rPr>
            </w:pPr>
            <w:r>
              <w:rPr>
                <w:rFonts w:hint="eastAsia" w:ascii="宋体" w:hAnsi="宋体"/>
                <w:b/>
                <w:color w:val="auto"/>
                <w:szCs w:val="21"/>
                <w:highlight w:val="none"/>
              </w:rPr>
              <w:t>6.实验室仪器设备采购立项系统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4" w:hRule="atLeast"/>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实验室仪器设备采购立项系统</w:t>
            </w:r>
          </w:p>
        </w:tc>
        <w:tc>
          <w:tcPr>
            <w:tcW w:w="7977" w:type="dxa"/>
            <w:noWrap w:val="0"/>
            <w:vAlign w:val="center"/>
          </w:tcPr>
          <w:p>
            <w:pPr>
              <w:widowControl/>
              <w:jc w:val="left"/>
              <w:rPr>
                <w:rFonts w:ascii="宋体" w:hAnsi="宋体"/>
                <w:color w:val="auto"/>
                <w:szCs w:val="21"/>
                <w:highlight w:val="none"/>
              </w:rPr>
            </w:pPr>
            <w:r>
              <w:rPr>
                <w:rFonts w:hint="eastAsia" w:ascii="宋体" w:hAnsi="宋体"/>
                <w:color w:val="auto"/>
                <w:szCs w:val="21"/>
                <w:highlight w:val="none"/>
              </w:rPr>
              <w:t>1.实验仪器设备采购立项申请:教职工填写表单信息保存设备采购申请。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3"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2.我申请的采购:教职工查看本人的提交的所有申请信息。需要同时支持移动/PC端。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3.待提交申请:教职工查看保存的申请，可以进行修改、提交或批量提交申请。需要同时支持移动/PC端。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4.初审:教科办\综合科主任初次审核本部门提交的采购申请信息并录入意见。将勾选的设备提交到分管校领导审核或退回。需要按申请年度、申请人所在部门、设备名称、单价进行过滤。需要同时支持移动/PC端。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5.组织评审:教科办\综合科主任审核需要提交需要组织教授委员会|专家评审的采购申请信息，并录入线下专家评审结果。可以按申请年度、申请人所在部门、设备名称、单价去过滤信息。需要同时支持移动/PC端。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6.汇总线上评审意见:教科办\综合科主任查看并汇总提交教授委员会|专家线上评审的采购申请信息的意见。可以按申请年度、申请人所在部门、设备名称、单价去过滤信息。需要同时支持移动/PC端。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7.汇总线下评审意见:教科办\综合科主任查看并汇总提交教授委员会|专家线下评审的采购申请信息的意见。可以按申请年度、申请人所在部门、设备名称、单价去过滤信息。需要同时支持移动/PC端。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8.录入学院最终意见:教科办\综合科主任查看并录入学院内部评审的总意见选择通过评审，提交校级评审的申请。可以按申请年度、申请人所在部门、设备名称、单价去过滤信息。需要同时支持移动/PC端。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9.设备采购立项查询:教科办\综合科主任按照申请年度查看本学院的所有设备采购申请信息。需要同时支持移动/PC端。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10.待审核的设备采购立项申请:学院主任查看本院所有待审核的采购立项申请信息。需要按申请年度、申请人所在部门、设备名称、单价进行过滤。需要同时支持移动/PC端。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11.待评审的设备采购立项:教授委员会\专家在线查看待评审采购申请信息并打分。需要按申请年度、申请人所在部门、设备名称、单价进行过滤。需要同时支持移动/PC端。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12.初审:实设处管理员初次审核各单位提交待审核的采购申请信息，能够补充已有设备信息，选择是否涉及学科并提交相关单位审核。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13.职能单位意见:实设处管理员查看提交职能单位审批的采购申请，汇总意见研究是否提交管理委员会研究。并需要同时支持移动/PC端。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14.管理委员会研究:实设处管理员查看提交管理委员会研究的待审核申请信息。需要按申请年度、申请单位、设备名称、单价进行过滤。需要同时支持移动/PC端。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15.汇总线上专家评审意见:实设处管理员查看并汇总提交专家线上评审的采购申请信息。需要按申请年度、申请单位、设备名称、单价进行过滤。需要同时支持移动/PC端。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16.汇总线下专家评审意见:实设处管理员查看并汇总提交专家线下评审的采购申请信息。需要按申请年度、申请单位、设备名称、单价进行过滤。需要同时支持移动/PC端。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17.管理委员会研究结果:实设处管理员查看并汇总提交管理委员会研究的采购申请信息结果。需要按申请年度、申请单位、设备名称、单价进行过滤。需要同时支持移动/PC端。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18.入库设备:实设处管理员研究确定能够入库的设备采购申请。需要按申请年度、申请单位、设备名称、单价进行过滤。需要同时支持移动/PC端。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19.设备采购立项查询:实设处管理员根据申请年度查看教职工提交的已通过立项审批的采购申请信息。需要同时支持移动/PC端。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20.统计报表-实验仪器设备论证专家评议表:实设处管理员查看各设备的专家评分详细信息汇总。需要按设备名称、使用方向、得分范围进行检索。需要同时支持移动/PC端。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21.统计报表-各学院（直属单位）申报实验仪器设备评审汇总:实设处管理员查看各学院设备采购立项申请的专家评分详细信息汇总。需要按学院、申报范围总值进行检索。需要同时支持移动/PC端。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22.统计报表-实验仪器设备项目库推荐入库设备清单:实设处管理员查看通过评分后推荐入库设备的信息。需要按设备名称、数量、申报年度进行检索。需要同时支持移动/PC端。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23.统计报表-申报实验仪器设备汇总表:实设处管理员查看所有设备的采购申请信息。需要按设备名称、推荐品牌、申报年度进行检索。需要同时支持移动/PC端。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24.系统管理-分组维护:实设处管理员维护初审填写的分组信息。需要同时支持移动/PC端。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25.系统管理-科室类型维护表:实设处管理员查看并维护科室类型信息。需要同时支持移动/PC端。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26.系统管理-立项申报期数管理:实设处管理员查看并维护立项申报的时间期限。需要同时支持移动/PC端。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27.专家维护-专家分组:实设处管理员查看并维护专家分组的信息。双击打开专家分组信息设置表。需要按组名进行检索。需要同时支持移动/PC端。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28.专家维护-专家信息维护:实设处管理员查看并维护专家人员的信息。需要同时支持移动/PC端。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29.待审核的设备采购立项申请:相关单位负责人查看并选择是否通过待审核的立项申请。需要按申请年度、申请单位、设备名称、单价进行过滤。需要同时支持移动/PC端。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30.实验仪器设备采购申请财务预算:财务处负责人提交年度各类经费的预算额度。需要同时支持移动/PC端。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9073" w:type="dxa"/>
            <w:gridSpan w:val="2"/>
            <w:noWrap w:val="0"/>
            <w:vAlign w:val="center"/>
          </w:tcPr>
          <w:p>
            <w:pPr>
              <w:rPr>
                <w:rFonts w:hint="eastAsia" w:ascii="宋体" w:hAnsi="宋体"/>
                <w:color w:val="auto"/>
                <w:szCs w:val="21"/>
                <w:highlight w:val="none"/>
              </w:rPr>
            </w:pPr>
            <w:r>
              <w:rPr>
                <w:rFonts w:hint="eastAsia" w:ascii="宋体" w:hAnsi="宋体"/>
                <w:color w:val="auto"/>
                <w:szCs w:val="21"/>
                <w:highlight w:val="none"/>
              </w:rPr>
              <w:t>7.其他要求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其他要求</w:t>
            </w: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本次项目涉及学校多个部门交流，要求中标人必须在中标后与校方信息化部门进行充分、细致的调研交流，提交相应的初步方案，并经过同意后方可实施；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在开发过程中，中标方须与现有系统厂商进行深入的需求交流，并由中标方提供对接方案；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.投标人须提供本项目正常运转所必须的全部系统软件、中间件</w:t>
            </w:r>
            <w:r>
              <w:rPr>
                <w:rFonts w:hint="eastAsia" w:ascii="宋体" w:hAnsi="宋体"/>
                <w:color w:val="auto"/>
                <w:szCs w:val="21"/>
                <w:highlight w:val="none"/>
              </w:rPr>
              <w:t>、</w:t>
            </w:r>
            <w:r>
              <w:rPr>
                <w:rFonts w:ascii="宋体" w:hAnsi="宋体"/>
                <w:color w:val="auto"/>
                <w:szCs w:val="21"/>
                <w:highlight w:val="none"/>
              </w:rPr>
              <w:t>插件等，</w:t>
            </w:r>
            <w:r>
              <w:rPr>
                <w:rFonts w:hint="eastAsia" w:ascii="宋体" w:hAnsi="宋体"/>
                <w:color w:val="auto"/>
                <w:szCs w:val="21"/>
                <w:highlight w:val="none"/>
              </w:rPr>
              <w:t>确保</w:t>
            </w:r>
            <w:r>
              <w:rPr>
                <w:rFonts w:ascii="宋体" w:hAnsi="宋体"/>
                <w:color w:val="auto"/>
                <w:szCs w:val="21"/>
                <w:highlight w:val="none"/>
              </w:rPr>
              <w:t>系统按时</w:t>
            </w:r>
            <w:r>
              <w:rPr>
                <w:rFonts w:hint="eastAsia" w:ascii="宋体" w:hAnsi="宋体"/>
                <w:color w:val="auto"/>
                <w:szCs w:val="21"/>
                <w:highlight w:val="none"/>
              </w:rPr>
              <w:t>、</w:t>
            </w:r>
            <w:r>
              <w:rPr>
                <w:rFonts w:ascii="宋体" w:hAnsi="宋体"/>
                <w:color w:val="auto"/>
                <w:szCs w:val="21"/>
                <w:highlight w:val="none"/>
              </w:rPr>
              <w:t>正常运行</w:t>
            </w:r>
            <w:r>
              <w:rPr>
                <w:rFonts w:hint="eastAsia" w:ascii="宋体" w:hAnsi="宋体"/>
                <w:color w:val="auto"/>
                <w:szCs w:val="21"/>
                <w:highlight w:val="none"/>
              </w:rPr>
              <w:t>；</w:t>
            </w:r>
          </w:p>
          <w:p>
            <w:pPr>
              <w:rPr>
                <w:rFonts w:hint="eastAsia" w:ascii="宋体" w:hAnsi="宋体"/>
                <w:color w:val="auto"/>
                <w:szCs w:val="21"/>
                <w:highlight w:val="none"/>
              </w:rPr>
            </w:pPr>
            <w:r>
              <w:rPr>
                <w:rFonts w:hint="eastAsia" w:ascii="宋体" w:hAnsi="宋体"/>
                <w:color w:val="auto"/>
                <w:szCs w:val="21"/>
                <w:highlight w:val="none"/>
              </w:rPr>
              <w:t>产品</w:t>
            </w:r>
            <w:r>
              <w:rPr>
                <w:rFonts w:ascii="宋体" w:hAnsi="宋体"/>
                <w:color w:val="auto"/>
                <w:szCs w:val="21"/>
                <w:highlight w:val="none"/>
              </w:rPr>
              <w:t>中采用的第三方软件由投标人自行购买安装，</w:t>
            </w:r>
            <w:r>
              <w:rPr>
                <w:rFonts w:hint="eastAsia" w:ascii="宋体" w:hAnsi="宋体"/>
                <w:color w:val="auto"/>
                <w:szCs w:val="21"/>
                <w:highlight w:val="none"/>
              </w:rPr>
              <w:t>由投标人确保不影响产品的正常使用和运营，如</w:t>
            </w:r>
            <w:r>
              <w:rPr>
                <w:rFonts w:ascii="宋体" w:hAnsi="宋体"/>
                <w:color w:val="auto"/>
                <w:szCs w:val="21"/>
                <w:highlight w:val="none"/>
              </w:rPr>
              <w:t>出现软件侵权行为，由投标人负责，与学校无关</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投标人按照要求进行现场演示。</w:t>
            </w:r>
          </w:p>
        </w:tc>
      </w:tr>
    </w:tbl>
    <w:p>
      <w:pPr>
        <w:rPr>
          <w:rFonts w:hint="eastAsia" w:ascii="宋体" w:hAnsi="宋体"/>
          <w:b/>
          <w:color w:val="auto"/>
          <w:sz w:val="30"/>
          <w:szCs w:val="30"/>
          <w:highlight w:val="none"/>
          <w:lang w:bidi="ar"/>
        </w:rPr>
      </w:pPr>
    </w:p>
    <w:p>
      <w:pPr>
        <w:rPr>
          <w:rFonts w:hint="eastAsia" w:ascii="宋体" w:hAnsi="宋体"/>
          <w:b/>
          <w:color w:val="auto"/>
          <w:sz w:val="30"/>
          <w:szCs w:val="30"/>
          <w:highlight w:val="none"/>
          <w:lang w:bidi="ar"/>
        </w:rPr>
      </w:pPr>
      <w:r>
        <w:rPr>
          <w:rFonts w:hint="eastAsia" w:ascii="宋体" w:hAnsi="宋体"/>
          <w:b/>
          <w:color w:val="auto"/>
          <w:sz w:val="30"/>
          <w:szCs w:val="30"/>
          <w:highlight w:val="none"/>
          <w:lang w:bidi="ar"/>
        </w:rPr>
        <w:t>三、 成果移交</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在本期项目的开发过程中和交付使用后，成交方应该将各个阶段产生的全面、规范的成果和文档资料交付给采购人，而且要提供明确的交付清单。交付的成果和文档资料必须符合软件工程的相关要求。交付内容主要包括以下部分：</w:t>
      </w:r>
    </w:p>
    <w:tbl>
      <w:tblPr>
        <w:tblStyle w:val="6"/>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591" w:type="dxa"/>
            <w:noWrap w:val="0"/>
            <w:vAlign w:val="center"/>
          </w:tcPr>
          <w:p>
            <w:pPr>
              <w:rPr>
                <w:rFonts w:ascii="宋体" w:hAnsi="宋体"/>
                <w:color w:val="auto"/>
                <w:szCs w:val="21"/>
                <w:highlight w:val="none"/>
              </w:rPr>
            </w:pPr>
            <w:r>
              <w:rPr>
                <w:rFonts w:ascii="宋体" w:hAnsi="宋体"/>
                <w:color w:val="auto"/>
                <w:szCs w:val="21"/>
                <w:highlight w:val="none"/>
              </w:rPr>
              <w:t>1．系统</w:t>
            </w:r>
          </w:p>
        </w:tc>
        <w:tc>
          <w:tcPr>
            <w:tcW w:w="7693" w:type="dxa"/>
            <w:noWrap w:val="0"/>
            <w:vAlign w:val="center"/>
          </w:tcPr>
          <w:p>
            <w:pPr>
              <w:rPr>
                <w:rFonts w:ascii="宋体" w:hAnsi="宋体"/>
                <w:color w:val="auto"/>
                <w:szCs w:val="21"/>
                <w:highlight w:val="none"/>
              </w:rPr>
            </w:pPr>
            <w:r>
              <w:rPr>
                <w:rFonts w:hint="eastAsia" w:ascii="宋体" w:hAnsi="宋体"/>
                <w:color w:val="auto"/>
                <w:szCs w:val="21"/>
                <w:highlight w:val="none"/>
              </w:rPr>
              <w:t>可</w:t>
            </w:r>
            <w:r>
              <w:rPr>
                <w:rFonts w:ascii="宋体" w:hAnsi="宋体"/>
                <w:color w:val="auto"/>
                <w:szCs w:val="21"/>
                <w:highlight w:val="none"/>
              </w:rPr>
              <w:t>稳定</w:t>
            </w:r>
            <w:r>
              <w:rPr>
                <w:rFonts w:hint="eastAsia" w:ascii="宋体" w:hAnsi="宋体"/>
                <w:color w:val="auto"/>
                <w:szCs w:val="21"/>
                <w:highlight w:val="none"/>
              </w:rPr>
              <w:t>运行的系统。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noWrap w:val="0"/>
            <w:vAlign w:val="center"/>
          </w:tcPr>
          <w:p>
            <w:pPr>
              <w:rPr>
                <w:rFonts w:ascii="宋体" w:hAnsi="宋体"/>
                <w:color w:val="auto"/>
                <w:szCs w:val="21"/>
                <w:highlight w:val="none"/>
              </w:rPr>
            </w:pPr>
            <w:r>
              <w:rPr>
                <w:rFonts w:ascii="宋体" w:hAnsi="宋体"/>
                <w:color w:val="auto"/>
                <w:szCs w:val="21"/>
                <w:highlight w:val="none"/>
              </w:rPr>
              <w:t>2．技术文档</w:t>
            </w:r>
          </w:p>
        </w:tc>
        <w:tc>
          <w:tcPr>
            <w:tcW w:w="7693" w:type="dxa"/>
            <w:noWrap w:val="0"/>
            <w:vAlign w:val="center"/>
          </w:tcPr>
          <w:p>
            <w:pPr>
              <w:rPr>
                <w:rFonts w:ascii="宋体" w:hAnsi="宋体"/>
                <w:color w:val="auto"/>
                <w:szCs w:val="21"/>
                <w:highlight w:val="none"/>
              </w:rPr>
            </w:pPr>
            <w:r>
              <w:rPr>
                <w:rFonts w:hint="eastAsia" w:ascii="宋体" w:hAnsi="宋体"/>
                <w:color w:val="auto"/>
                <w:szCs w:val="21"/>
                <w:highlight w:val="none"/>
              </w:rPr>
              <w:t>技术文档：包括项目开发中的各种技术文档，如开发环境配置说明、软件工具清单、需求分析说明、变更说明、系统设计说明、用户手册、部署手册、测试用例、测试结果、系统维护说明、系统培训资料以及有关系统接口的技术说明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noWrap w:val="0"/>
            <w:vAlign w:val="center"/>
          </w:tcPr>
          <w:p>
            <w:pPr>
              <w:rPr>
                <w:rFonts w:ascii="宋体" w:hAnsi="宋体"/>
                <w:color w:val="auto"/>
                <w:szCs w:val="21"/>
                <w:highlight w:val="none"/>
              </w:rPr>
            </w:pPr>
            <w:r>
              <w:rPr>
                <w:rFonts w:ascii="宋体" w:hAnsi="宋体"/>
                <w:color w:val="auto"/>
                <w:szCs w:val="21"/>
                <w:highlight w:val="none"/>
              </w:rPr>
              <w:t>3.项目文档</w:t>
            </w:r>
          </w:p>
        </w:tc>
        <w:tc>
          <w:tcPr>
            <w:tcW w:w="7693" w:type="dxa"/>
            <w:noWrap w:val="0"/>
            <w:vAlign w:val="center"/>
          </w:tcPr>
          <w:p>
            <w:pPr>
              <w:rPr>
                <w:rFonts w:ascii="宋体" w:hAnsi="宋体"/>
                <w:color w:val="auto"/>
                <w:szCs w:val="21"/>
                <w:highlight w:val="none"/>
              </w:rPr>
            </w:pPr>
            <w:r>
              <w:rPr>
                <w:rFonts w:hint="eastAsia" w:ascii="宋体" w:hAnsi="宋体"/>
                <w:color w:val="auto"/>
                <w:szCs w:val="21"/>
                <w:highlight w:val="none"/>
              </w:rPr>
              <w:t>包括项目开发中的一些工作文档，如：计划、报告、讨论纲要、会议记录等。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4.培训</w:t>
            </w:r>
          </w:p>
        </w:tc>
        <w:tc>
          <w:tcPr>
            <w:tcW w:w="769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需向学校相关技术人员提供项目培训计划，对培训内容、培训人员及课时安排进行设计。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5、各类性能测试报告</w:t>
            </w:r>
          </w:p>
        </w:tc>
        <w:tc>
          <w:tcPr>
            <w:tcW w:w="76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验收前提供各类性能测试报告。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6、功能表单合格签单</w:t>
            </w:r>
          </w:p>
        </w:tc>
        <w:tc>
          <w:tcPr>
            <w:tcW w:w="76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验收前提供功能表单合格签单。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276B7"/>
    <w:rsid w:val="0E227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5">
    <w:name w:val="heading 2"/>
    <w:basedOn w:val="1"/>
    <w:next w:val="1"/>
    <w:qFormat/>
    <w:uiPriority w:val="0"/>
    <w:pPr>
      <w:keepNext/>
      <w:keepLines/>
      <w:spacing w:line="240" w:lineRule="auto"/>
      <w:jc w:val="left"/>
      <w:outlineLvl w:val="1"/>
    </w:pPr>
    <w:rPr>
      <w:rFonts w:cs="Times New Roman"/>
      <w:b/>
      <w:bCs/>
      <w:color w:val="000000"/>
      <w:spacing w:val="-6"/>
      <w:kern w:val="0"/>
      <w:sz w:val="30"/>
      <w:szCs w:val="30"/>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2019-09-24T05:39:00Z</dcterms:created>
  <dc:creator>dell</dc:creator>
  <cp:lastModifiedBy>dell</cp:lastModifiedBy>
  <dcterms:modified xsi:type="dcterms:W3CDTF">2019-09-24T05:40:35Z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