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需求说明</w:t>
      </w:r>
    </w:p>
    <w:p>
      <w:pPr>
        <w:pStyle w:val="5"/>
        <w:rPr>
          <w:rFonts w:ascii="宋体" w:hAnsi="宋体" w:cs="宋体"/>
          <w:color w:val="auto"/>
          <w:sz w:val="24"/>
          <w:szCs w:val="40"/>
          <w:highlight w:val="none"/>
        </w:rPr>
      </w:pPr>
      <w:bookmarkStart w:id="0" w:name="_Toc18187"/>
      <w:bookmarkStart w:id="1" w:name="_Toc21112"/>
      <w:r>
        <w:rPr>
          <w:rFonts w:hint="eastAsia" w:ascii="宋体" w:hAnsi="宋体" w:cs="宋体"/>
          <w:color w:val="auto"/>
          <w:sz w:val="24"/>
          <w:szCs w:val="40"/>
          <w:highlight w:val="none"/>
        </w:rPr>
        <w:t>一、货物或产品的说明和具体技术要求</w:t>
      </w:r>
      <w:bookmarkEnd w:id="0"/>
      <w:bookmarkEnd w:id="1"/>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rFonts w:hint="eastAsia"/>
          <w:color w:val="auto"/>
          <w:szCs w:val="40"/>
          <w:highlight w:val="none"/>
        </w:rPr>
      </w:pPr>
      <w:r>
        <w:rPr>
          <w:rFonts w:hint="eastAsia"/>
          <w:color w:val="auto"/>
          <w:szCs w:val="40"/>
          <w:highlight w:val="none"/>
        </w:rPr>
        <w:t>2、具体技术要求</w:t>
      </w:r>
    </w:p>
    <w:tbl>
      <w:tblPr>
        <w:tblStyle w:val="8"/>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40"/>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8"/>
                <w:szCs w:val="36"/>
                <w:highlight w:val="none"/>
                <w:vertAlign w:val="baseline"/>
                <w:lang w:val="en-US" w:eastAsia="zh-CN"/>
              </w:rPr>
            </w:pPr>
            <w:r>
              <w:rPr>
                <w:rFonts w:hint="eastAsia"/>
                <w:b/>
                <w:bCs/>
                <w:color w:val="auto"/>
                <w:sz w:val="28"/>
                <w:szCs w:val="36"/>
                <w:highlight w:val="none"/>
                <w:vertAlign w:val="baseline"/>
                <w:lang w:val="en-US" w:eastAsia="zh-CN"/>
              </w:rPr>
              <w:t>序号</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8"/>
                <w:szCs w:val="36"/>
                <w:highlight w:val="none"/>
                <w:vertAlign w:val="baseline"/>
                <w:lang w:val="en-US" w:eastAsia="zh-CN"/>
              </w:rPr>
            </w:pPr>
            <w:r>
              <w:rPr>
                <w:rFonts w:hint="eastAsia"/>
                <w:b/>
                <w:bCs/>
                <w:color w:val="auto"/>
                <w:sz w:val="28"/>
                <w:szCs w:val="36"/>
                <w:highlight w:val="none"/>
                <w:vertAlign w:val="baseline"/>
                <w:lang w:val="en-US" w:eastAsia="zh-CN"/>
              </w:rPr>
              <w:t>名称</w:t>
            </w:r>
          </w:p>
        </w:tc>
        <w:tc>
          <w:tcPr>
            <w:tcW w:w="6729"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8"/>
                <w:szCs w:val="36"/>
                <w:highlight w:val="none"/>
                <w:vertAlign w:val="baseline"/>
                <w:lang w:val="en-US" w:eastAsia="zh-CN"/>
              </w:rPr>
            </w:pPr>
            <w:r>
              <w:rPr>
                <w:rFonts w:hint="eastAsia"/>
                <w:b/>
                <w:bCs/>
                <w:color w:val="auto"/>
                <w:sz w:val="28"/>
                <w:szCs w:val="36"/>
                <w:highlight w:val="none"/>
                <w:vertAlign w:val="baseline"/>
                <w:lang w:val="en-US" w:eastAsia="zh-CN"/>
              </w:rPr>
              <w:t>主要参数、技术规格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一</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整体硬件</w:t>
            </w:r>
          </w:p>
        </w:tc>
        <w:tc>
          <w:tcPr>
            <w:tcW w:w="6729"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整机组成</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设备主体1个（含一体机空调、通风系统、全仓紫外线消毒、监控、灯光、钢化隔音玻璃、声场折射板）</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功能主件：触摸点播系统（屏）1个；影像字幕显示屏1个；主控机1个</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设备附件：专业麦克风2个；专业监听耳机2个；空调遥控器1个；座椅2个；小吧台2个；监控摄像头1个</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主机：朗读专用主机，32寸分辨率1920x1080显示器和21寸分辨率1920x1080触控显示屏</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主控模块：工业级嵌入式录音放音评分控制器</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机械部份平均无故障次数（MCBF）：100万次以上</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视频画质：高清</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定时器：可以设置自动开关机，无需人工每天开关机</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闭门器：使门随时保持关门状态而不至于影响周边环境</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硬盘状态远端检测：可实现自动检测和直观显示硬盘状态，硬盘问题智能排查</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网络需求：支持无线/有线网络</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室内摆放，外观设计符合图书馆的实际需求</w:t>
            </w:r>
          </w:p>
          <w:p>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朗读亭外观定做学校专属logo</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规格尺寸</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color w:val="auto"/>
                <w:sz w:val="24"/>
                <w:szCs w:val="32"/>
                <w:highlight w:val="none"/>
                <w:vertAlign w:val="superscript"/>
                <w:lang w:val="en-US" w:eastAsia="zh-CN"/>
              </w:rPr>
            </w:pPr>
            <w:r>
              <w:rPr>
                <w:rFonts w:hint="eastAsia"/>
                <w:color w:val="auto"/>
                <w:sz w:val="24"/>
                <w:szCs w:val="32"/>
                <w:highlight w:val="none"/>
                <w:vertAlign w:val="baseline"/>
                <w:lang w:val="en-US" w:eastAsia="zh-CN"/>
              </w:rPr>
              <w:t>1）产品尺寸：长度1.5m、宽度1.5m、高度2.7m、占地面积2.4m</w:t>
            </w:r>
            <w:r>
              <w:rPr>
                <w:rFonts w:hint="eastAsia"/>
                <w:color w:val="auto"/>
                <w:sz w:val="24"/>
                <w:szCs w:val="32"/>
                <w:highlight w:val="none"/>
                <w:vertAlign w:val="superscript"/>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2）工作电源：AC 220V±10%，50HZ±4％</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3）工作环境：温度范围：-30℃—60℃</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4）最大功率：1200W</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主板参数</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CPU：高性能四核</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GPU：支持 OPENGL ES1.1/2.0/3.0，OPEN VG1.1，TE, ASTC, AFBC内存压缩技术，支持Directx11内嵌高性能2D/3D加速硬件</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图像处理：支持H264 MVC MPEG1 MPEG2 MPEG4 Divx AVS+ Real VC-1 VP6 VP8等多种格式的高清视频解码和高性能的H264编码</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运行内存：大于等于2G DDR3</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支持DDR3L, LPDDR2, LPDDR3</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内部存储：大于等于32G并可扩展</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网络支持：10M/100M 自适应以太网，WiFi/4G路由</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视频格式：支持H264 H256 MVC MPEG1 MPEG2 MPEG4 Divx AVS+ Real VC-1 VP6 VP8等多种格式的高清视频解码</w:t>
            </w:r>
          </w:p>
          <w:p>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音频格式：支持MP3,WAV,WMA, MIDI,OGG,APE,FLAC,</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ACC等多种高压缩级无损音频格式</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图片格式：支持JPG,PNG,GIF,TIF,BMP,SVG等主流的图片格式。</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显示：支持JPG,PNG,GIF,TIF,BMP,SVG等主流的图片格式</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12）显示性能：支持4K（3840X2160），H.265硬解码10bits色深，以及HDMI2.0输出</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13）安全：硬件安全系统, 支持 HDCP 2.X</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14）接口：支持HDMI，USB，RJ45，VGA等丰富的扩展接口</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15）系统升级：支持USB升级，OTA升级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二</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软件功能</w:t>
            </w:r>
          </w:p>
        </w:tc>
        <w:tc>
          <w:tcPr>
            <w:tcW w:w="6729"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首页界面学校logo展示、热门推荐及朗读资源分类等，提供界面实图并加盖公章</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供应商必须提供线上与线下的朗读服务能力：线下朗读亭、线上朗读小程序无缝对接，并结合朗读音频浏览分享系统、朗读大赛系统进行数据同步联动，确保朗读服务能力全平台覆盖，能让读者随时随地朗读录制或参加朗读大赛</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支持朗读亭上直接播放有声图书以供朗读学习，并提供有声图书封面、作者、内容介绍、节目列表等信息展示</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提供朗读亭上直接打开阅读电子图书、电子期刊全文，并支持文本版和原貌版切换浏览阅读，同时支持手机扫码打开带走阅读</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触控点播系统：朗读资源触控点播系统让读者选择朗读资源更便捷</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 录播系统：搜索、在线录音、录音试听、录制分享、朗读音频输入采集，音频混流合成并存储</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资源搜索：可以按资源的名称、资源作者名称搜索朗读资源，并且支持首字母搜索、热门搜索及搜索历史</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自由朗读：读者可自带书本进行朗读，提供界面截图并加盖原厂公章</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多人朗读：支持多人扫码加入朗读，录音将保存到所有参与者的作品列表中</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双音轨朗读功能：支持双音轨音视频朗读资源，在朗读过程中可自由切换原声和伴奏</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 公众号定制：支持机构公众号绑定，用户分享，朋友圈可以收听，点赞和分享</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微信端个人作品展示系统：支持朗读音频和朗读文字同时展示，并提供朗读亭设备精确经纬度信息，便于引导读者一键导航去图书馆朗读</w:t>
            </w:r>
          </w:p>
          <w:p>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朗读页面：</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支持微信端扫描进入朗读界面</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朗读时显示文章内容，并可调整字幕滚动速度及背景音乐音量</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ascii="宋体" w:hAnsi="宋体"/>
                <w:color w:val="auto"/>
                <w:kern w:val="0"/>
                <w:sz w:val="24"/>
                <w:szCs w:val="16"/>
                <w:highlight w:val="none"/>
              </w:rPr>
            </w:pPr>
            <w:r>
              <w:rPr>
                <w:rFonts w:hint="eastAsia"/>
                <w:color w:val="auto"/>
                <w:sz w:val="24"/>
                <w:szCs w:val="32"/>
                <w:highlight w:val="none"/>
                <w:vertAlign w:val="baseline"/>
                <w:lang w:val="en-US" w:eastAsia="zh-CN"/>
              </w:rPr>
              <w:t>支持背景音乐选择，支持麦克风、耳机音量、背景音乐音量调整，支持语速调节</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ascii="宋体" w:hAnsi="宋体"/>
                <w:color w:val="auto"/>
                <w:kern w:val="0"/>
                <w:sz w:val="24"/>
                <w:szCs w:val="16"/>
                <w:highlight w:val="none"/>
              </w:rPr>
            </w:pPr>
            <w:r>
              <w:rPr>
                <w:rFonts w:hint="eastAsia" w:ascii="宋体" w:hAnsi="宋体"/>
                <w:color w:val="auto"/>
                <w:kern w:val="0"/>
                <w:sz w:val="24"/>
                <w:szCs w:val="16"/>
                <w:highlight w:val="none"/>
              </w:rPr>
              <w:t>点击朗读完毕之后即可看到朗读声音与背景音乐的合成进度，合成完毕之后可以进行试听；</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ascii="宋体" w:hAnsi="宋体"/>
                <w:color w:val="auto"/>
                <w:kern w:val="0"/>
                <w:sz w:val="24"/>
                <w:szCs w:val="16"/>
                <w:highlight w:val="none"/>
              </w:rPr>
              <w:t>朗读完成后，可自动打分，作品可同步发送到扫码登录的手机微信端</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default" w:eastAsia="宋体"/>
                <w:color w:val="auto"/>
                <w:sz w:val="24"/>
                <w:szCs w:val="32"/>
                <w:highlight w:val="none"/>
                <w:vertAlign w:val="baseline"/>
                <w:lang w:val="en-US" w:eastAsia="zh-CN"/>
              </w:rPr>
            </w:pPr>
            <w:r>
              <w:rPr>
                <w:rFonts w:hint="eastAsia" w:ascii="宋体" w:hAnsi="宋体"/>
                <w:color w:val="auto"/>
                <w:kern w:val="0"/>
                <w:sz w:val="24"/>
                <w:szCs w:val="16"/>
                <w:highlight w:val="none"/>
              </w:rPr>
              <w:t>手机扫码故障申报，确保朗读亭在没有网络的时候也能通过手机扫描朗读亭屏幕上二维码的方式提交故障，能够在申报界面中快速选择故障点提交，支持拍摄上传现场图片，反馈内容自动绑定设备唯一序列号以便朗读亭厂商客服人员能快速定位并解决读者反馈的问题。（以上功能需提供截图证明并加盖公章）</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default" w:eastAsia="宋体"/>
                <w:color w:val="auto"/>
                <w:sz w:val="24"/>
                <w:szCs w:val="32"/>
                <w:highlight w:val="none"/>
                <w:vertAlign w:val="baseline"/>
                <w:lang w:val="en-US" w:eastAsia="zh-CN"/>
              </w:rPr>
            </w:pPr>
            <w:r>
              <w:rPr>
                <w:rFonts w:hint="eastAsia" w:ascii="宋体" w:hAnsi="宋体"/>
                <w:color w:val="auto"/>
                <w:kern w:val="0"/>
                <w:sz w:val="24"/>
                <w:szCs w:val="16"/>
                <w:highlight w:val="none"/>
              </w:rPr>
              <w:t>帮助：点击进入设备使用的帮助详情页</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default" w:eastAsia="宋体"/>
                <w:color w:val="auto"/>
                <w:sz w:val="24"/>
                <w:szCs w:val="32"/>
                <w:highlight w:val="none"/>
                <w:vertAlign w:val="baseline"/>
                <w:lang w:val="en-US" w:eastAsia="zh-CN"/>
              </w:rPr>
            </w:pPr>
            <w:r>
              <w:rPr>
                <w:rFonts w:hint="default" w:eastAsia="宋体"/>
                <w:color w:val="auto"/>
                <w:sz w:val="24"/>
                <w:szCs w:val="32"/>
                <w:highlight w:val="none"/>
                <w:vertAlign w:val="baseline"/>
                <w:lang w:val="en-US" w:eastAsia="zh-CN"/>
              </w:rPr>
              <w:t xml:space="preserve"> 朗读亭远程监控</w:t>
            </w:r>
            <w:r>
              <w:rPr>
                <w:rFonts w:hint="eastAsia"/>
                <w:color w:val="auto"/>
                <w:sz w:val="24"/>
                <w:szCs w:val="32"/>
                <w:highlight w:val="none"/>
                <w:vertAlign w:val="baseline"/>
                <w:lang w:val="en-US" w:eastAsia="zh-CN"/>
              </w:rPr>
              <w:t>摄像头</w:t>
            </w:r>
            <w:r>
              <w:rPr>
                <w:rFonts w:hint="default" w:eastAsia="宋体"/>
                <w:color w:val="auto"/>
                <w:sz w:val="24"/>
                <w:szCs w:val="32"/>
                <w:highlight w:val="none"/>
                <w:vertAlign w:val="baseline"/>
                <w:lang w:val="en-US" w:eastAsia="zh-CN"/>
              </w:rPr>
              <w:t>：支持监控摄像头接入，可实时监控朗读亭内状况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三</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朗读资源</w:t>
            </w:r>
          </w:p>
        </w:tc>
        <w:tc>
          <w:tcPr>
            <w:tcW w:w="6729" w:type="dxa"/>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朗读素材资源总量30000篇以上，持续更新</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精品朗读资源：提供优质期刊、图书资源可直接在朗读亭终端浏览阅读，并精选精品朗读资源引入朗读数据库。期刊、图书两种资源各提供3至5个合作协议复印件加盖公章以便备查</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有声朗读鉴赏资源分类必须包含但不限于相声曲艺、儿童文学、历史文学、红色岁月、海外名著、名人传记、励志成功、散文随笔等，该类资源可直接在朗读亭终端完整播放收听。提供3至5个有声资源合作协议复印件加盖厂商公章以便备查</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所提供电子图书和电子期刊，需要支持文本版和原貌版浏览阅读</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支持专题朗读素材建设：如红色主题、毕业季专题、母亲节专题等</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双音轨朗读：双音轨正版视频朗读资源500集以上，可以进行专家原声领读和伴奏朗读一键切换</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用户朗读资源自定义：用户不仅可以朗读曲库资源，还能自带资源，例如：纸质书、手机中的喜爱的美文，选择背景音乐进行朗读，然后录制、带走、分享</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机构自定义朗读资源：机构根据自己的需求开展朗读大赛等各种活动需求，自定义朗读分类及朗读内容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四</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后台管理</w:t>
            </w:r>
          </w:p>
        </w:tc>
        <w:tc>
          <w:tcPr>
            <w:tcW w:w="6729" w:type="dxa"/>
            <w:noWrap w:val="0"/>
            <w:vAlign w:val="top"/>
          </w:tcPr>
          <w:p>
            <w:pPr>
              <w:keepNext w:val="0"/>
              <w:keepLines w:val="0"/>
              <w:pageBreakBefore w:val="0"/>
              <w:widowControl w:val="0"/>
              <w:numPr>
                <w:ilvl w:val="0"/>
                <w:numId w:val="7"/>
              </w:numPr>
              <w:kinsoku/>
              <w:wordWrap/>
              <w:overflowPunct/>
              <w:topLinePunct w:val="0"/>
              <w:autoSpaceDE/>
              <w:autoSpaceDN/>
              <w:bidi w:val="0"/>
              <w:adjustRightInd/>
              <w:snapToGrid/>
              <w:ind w:firstLine="0" w:firstLineChars="0"/>
              <w:textAlignment w:val="auto"/>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提供机构朗读亭管理员账号密码，方便用户管理朗读亭</w:t>
            </w:r>
          </w:p>
          <w:p>
            <w:pPr>
              <w:keepNext w:val="0"/>
              <w:keepLines w:val="0"/>
              <w:pageBreakBefore w:val="0"/>
              <w:widowControl w:val="0"/>
              <w:numPr>
                <w:ilvl w:val="0"/>
                <w:numId w:val="7"/>
              </w:numPr>
              <w:kinsoku/>
              <w:wordWrap/>
              <w:overflowPunct/>
              <w:topLinePunct w:val="0"/>
              <w:autoSpaceDE/>
              <w:autoSpaceDN/>
              <w:bidi w:val="0"/>
              <w:adjustRightInd/>
              <w:snapToGrid/>
              <w:ind w:firstLine="0" w:firstLineChars="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数据统计维度</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default" w:ascii="宋体" w:hAnsi="宋体"/>
                <w:color w:val="auto"/>
                <w:kern w:val="0"/>
                <w:sz w:val="24"/>
                <w:szCs w:val="16"/>
                <w:highlight w:val="none"/>
                <w:lang w:val="en-US" w:eastAsia="zh-CN"/>
              </w:rPr>
              <w:t>综合数据统计：可统计当天，7天，30天，及自选时间段的扫码登录人数、</w:t>
            </w:r>
            <w:r>
              <w:rPr>
                <w:rFonts w:hint="eastAsia" w:ascii="宋体" w:hAnsi="宋体"/>
                <w:color w:val="auto"/>
                <w:kern w:val="0"/>
                <w:sz w:val="24"/>
                <w:szCs w:val="16"/>
                <w:highlight w:val="none"/>
                <w:lang w:val="en-US" w:eastAsia="zh-CN"/>
              </w:rPr>
              <w:t>登录</w:t>
            </w:r>
            <w:r>
              <w:rPr>
                <w:rFonts w:hint="default" w:ascii="宋体" w:hAnsi="宋体"/>
                <w:color w:val="auto"/>
                <w:kern w:val="0"/>
                <w:sz w:val="24"/>
                <w:szCs w:val="16"/>
                <w:highlight w:val="none"/>
                <w:lang w:val="en-US" w:eastAsia="zh-CN"/>
              </w:rPr>
              <w:t>人数、录音次数、文件数量</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default" w:ascii="宋体" w:hAnsi="宋体"/>
                <w:color w:val="auto"/>
                <w:kern w:val="0"/>
                <w:sz w:val="24"/>
                <w:szCs w:val="16"/>
                <w:highlight w:val="none"/>
                <w:lang w:val="en-US" w:eastAsia="zh-CN"/>
              </w:rPr>
              <w:t>用户统计：可统计总用户数量、微信名称、激活时间</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default" w:ascii="宋体" w:hAnsi="宋体"/>
                <w:color w:val="auto"/>
                <w:kern w:val="0"/>
                <w:sz w:val="24"/>
                <w:szCs w:val="16"/>
                <w:highlight w:val="none"/>
                <w:lang w:val="en-US" w:eastAsia="zh-CN"/>
              </w:rPr>
              <w:t>录音统计管理</w:t>
            </w:r>
            <w:r>
              <w:rPr>
                <w:rFonts w:hint="eastAsia" w:ascii="宋体" w:hAnsi="宋体"/>
                <w:color w:val="auto"/>
                <w:kern w:val="0"/>
                <w:sz w:val="24"/>
                <w:szCs w:val="16"/>
                <w:highlight w:val="none"/>
                <w:lang w:val="en-US" w:eastAsia="zh-CN"/>
              </w:rPr>
              <w:t>：录音文件管理：内容标题、昵称、大小、时长、点赞、播放、投诉、上传时间、操作审核、文件地址；可进行单一作品播放下载及批量播放下载；录音列表一键导出excel表格；排行榜：总排行榜、点赞排行榜、播放排行榜并提供内容标题、作者名和数量</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eastAsia" w:ascii="宋体" w:hAnsi="宋体"/>
                <w:color w:val="auto"/>
                <w:kern w:val="0"/>
                <w:sz w:val="24"/>
                <w:szCs w:val="16"/>
                <w:highlight w:val="none"/>
                <w:lang w:val="en-US" w:eastAsia="zh-CN"/>
              </w:rPr>
              <w:t>朗读资源统计管理：可统计当天，7天，30天，及自选时间段的朗读录音文件资源总量；统计朗读资源：名称、作者、选用并录音次数、选用用户数</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default" w:ascii="宋体" w:hAnsi="宋体"/>
                <w:color w:val="auto"/>
                <w:kern w:val="0"/>
                <w:sz w:val="24"/>
                <w:szCs w:val="16"/>
                <w:highlight w:val="none"/>
                <w:lang w:val="en-US" w:eastAsia="zh-CN"/>
              </w:rPr>
              <w:t>用户管理：</w:t>
            </w:r>
            <w:r>
              <w:rPr>
                <w:rFonts w:hint="eastAsia" w:ascii="宋体" w:hAnsi="宋体"/>
                <w:color w:val="auto"/>
                <w:kern w:val="0"/>
                <w:sz w:val="24"/>
                <w:szCs w:val="16"/>
                <w:highlight w:val="none"/>
              </w:rPr>
              <w:t>为了保证朗读亭的合理使用，避免被部分读者长期占用，要求后台支持最长朗读时间设置以及使用间隔设置，比如15分钟、20分钟、30分钟、60分钟等，可根据用户需求进行灵活设置；要求提供功能截图并加盖公章；</w:t>
            </w:r>
            <w:r>
              <w:rPr>
                <w:rFonts w:hint="default" w:ascii="宋体" w:hAnsi="宋体"/>
                <w:color w:val="auto"/>
                <w:kern w:val="0"/>
                <w:sz w:val="24"/>
                <w:szCs w:val="16"/>
                <w:highlight w:val="none"/>
                <w:lang w:val="en-US" w:eastAsia="zh-CN"/>
              </w:rPr>
              <w:t>管理用户的ID、手机号、用户名称等相关信息</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eastAsia" w:ascii="宋体" w:hAnsi="宋体"/>
                <w:color w:val="auto"/>
                <w:kern w:val="0"/>
                <w:sz w:val="24"/>
                <w:szCs w:val="16"/>
                <w:highlight w:val="none"/>
                <w:lang w:val="en-US" w:eastAsia="zh-CN"/>
              </w:rPr>
              <w:t>活动统计管理：朗读大赛总文件统计；朗读内容、用户名、手机号、时长、点赞、播放、投诉、报名时间、文件下载地址；参赛作品可进行单一作品播放下载及批量播放下载，录音列表一键导出excel表格；提供朗读大赛排行榜：总排行榜、点赞排行榜、播放排行榜并提供内容标题、作者名和数量</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default" w:ascii="宋体" w:hAnsi="宋体"/>
                <w:color w:val="auto"/>
                <w:kern w:val="0"/>
                <w:sz w:val="24"/>
                <w:szCs w:val="16"/>
                <w:highlight w:val="none"/>
                <w:lang w:val="en-US" w:eastAsia="zh-CN"/>
              </w:rPr>
              <w:t>机构后台为音频作品和视频作品分别提供专项前置审核功能，以便分开控制</w:t>
            </w:r>
          </w:p>
          <w:p>
            <w:pPr>
              <w:keepNext w:val="0"/>
              <w:keepLines w:val="0"/>
              <w:pageBreakBefore w:val="0"/>
              <w:widowControl w:val="0"/>
              <w:numPr>
                <w:ilvl w:val="0"/>
                <w:numId w:val="8"/>
              </w:numPr>
              <w:kinsoku/>
              <w:wordWrap/>
              <w:overflowPunct/>
              <w:topLinePunct w:val="0"/>
              <w:autoSpaceDE/>
              <w:autoSpaceDN/>
              <w:bidi w:val="0"/>
              <w:adjustRightInd/>
              <w:snapToGrid/>
              <w:ind w:firstLine="0" w:firstLineChars="0"/>
              <w:textAlignment w:val="auto"/>
              <w:rPr>
                <w:rFonts w:hint="default" w:ascii="宋体" w:hAnsi="宋体"/>
                <w:color w:val="auto"/>
                <w:kern w:val="0"/>
                <w:sz w:val="24"/>
                <w:szCs w:val="16"/>
                <w:highlight w:val="none"/>
                <w:lang w:val="en-US" w:eastAsia="zh-CN"/>
              </w:rPr>
            </w:pPr>
            <w:r>
              <w:rPr>
                <w:rFonts w:hint="eastAsia" w:ascii="宋体" w:hAnsi="宋体"/>
                <w:color w:val="auto"/>
                <w:kern w:val="0"/>
                <w:sz w:val="24"/>
                <w:szCs w:val="16"/>
                <w:highlight w:val="none"/>
              </w:rPr>
              <w:t>设备管理：包括在线状态、基本信息、屏幕截图、设备自动上报的软件故障、自动开关机信息、网络状态、授权时间范围、软件版本、备注信息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24"/>
                <w:szCs w:val="32"/>
                <w:highlight w:val="none"/>
                <w:vertAlign w:val="baseline"/>
                <w:lang w:val="en-US" w:eastAsia="zh-CN"/>
              </w:rPr>
            </w:pPr>
            <w:r>
              <w:rPr>
                <w:rFonts w:hint="eastAsia"/>
                <w:b/>
                <w:bCs/>
                <w:color w:val="auto"/>
                <w:sz w:val="24"/>
                <w:szCs w:val="32"/>
                <w:highlight w:val="none"/>
                <w:vertAlign w:val="baseline"/>
                <w:lang w:val="en-US" w:eastAsia="zh-CN"/>
              </w:rPr>
              <w:t>五</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b/>
                <w:bCs/>
                <w:color w:val="auto"/>
                <w:kern w:val="2"/>
                <w:sz w:val="24"/>
                <w:szCs w:val="32"/>
                <w:highlight w:val="none"/>
                <w:vertAlign w:val="baseline"/>
                <w:lang w:val="en-US" w:eastAsia="zh-CN" w:bidi="ar-SA"/>
              </w:rPr>
            </w:pPr>
            <w:r>
              <w:rPr>
                <w:rFonts w:hint="eastAsia"/>
                <w:b/>
                <w:bCs/>
                <w:color w:val="auto"/>
                <w:sz w:val="24"/>
                <w:szCs w:val="32"/>
                <w:highlight w:val="none"/>
                <w:vertAlign w:val="baseline"/>
                <w:lang w:val="en-US" w:eastAsia="zh-CN"/>
              </w:rPr>
              <w:t>产品兼容性及安全性</w:t>
            </w:r>
          </w:p>
        </w:tc>
        <w:tc>
          <w:tcPr>
            <w:tcW w:w="672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color w:val="auto"/>
                <w:sz w:val="24"/>
                <w:szCs w:val="32"/>
                <w:highlight w:val="none"/>
                <w:vertAlign w:val="baseline"/>
                <w:lang w:val="en-US" w:eastAsia="zh-CN"/>
              </w:rPr>
            </w:pPr>
            <w:r>
              <w:rPr>
                <w:rFonts w:hint="default"/>
                <w:color w:val="auto"/>
                <w:sz w:val="24"/>
                <w:szCs w:val="32"/>
                <w:highlight w:val="none"/>
                <w:vertAlign w:val="baseline"/>
                <w:lang w:val="en-US" w:eastAsia="zh-CN"/>
              </w:rPr>
              <w:t>为避免因不兼容或者责任不清导致的质量和售后服务问题，影响产品的正常使用和日常维护，保证系统的稳定性和售后服务的统一，软件和硬件需为同一个厂家生产</w:t>
            </w:r>
          </w:p>
        </w:tc>
      </w:tr>
    </w:tbl>
    <w:p>
      <w:pPr>
        <w:pStyle w:val="2"/>
        <w:rPr>
          <w:rFonts w:hint="eastAsia"/>
          <w:color w:val="auto"/>
          <w:highlight w:val="none"/>
          <w:lang w:val="en-US" w:eastAsia="zh-CN"/>
        </w:rPr>
      </w:pPr>
    </w:p>
    <w:p>
      <w:pPr>
        <w:pStyle w:val="3"/>
        <w:ind w:left="0" w:leftChars="0" w:firstLine="0" w:firstLineChars="0"/>
        <w:jc w:val="left"/>
        <w:rPr>
          <w:rFonts w:hint="default"/>
          <w:b/>
          <w:bCs/>
          <w:color w:val="auto"/>
          <w:sz w:val="22"/>
          <w:szCs w:val="24"/>
          <w:highlight w:val="none"/>
          <w:lang w:val="en-US" w:eastAsia="zh-CN"/>
        </w:rPr>
      </w:pPr>
      <w:r>
        <w:rPr>
          <w:rFonts w:hint="eastAsia"/>
          <w:b/>
          <w:bCs/>
          <w:color w:val="auto"/>
          <w:sz w:val="22"/>
          <w:szCs w:val="24"/>
          <w:highlight w:val="none"/>
          <w:lang w:val="en-US" w:eastAsia="zh-CN"/>
        </w:rPr>
        <w:t>参考图片：</w:t>
      </w: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fldChar w:fldCharType="begin"/>
      </w:r>
      <w:r>
        <w:rPr>
          <w:rFonts w:ascii="宋体" w:hAnsi="宋体" w:eastAsia="宋体" w:cs="宋体"/>
          <w:color w:val="auto"/>
          <w:kern w:val="0"/>
          <w:sz w:val="24"/>
          <w:szCs w:val="24"/>
          <w:highlight w:val="none"/>
          <w:lang w:val="en-US" w:eastAsia="zh-CN" w:bidi="ar"/>
        </w:rPr>
        <w:instrText xml:space="preserve">INCLUDEPICTURE \d "C:\\Users\\dell\\Documents\\Tencent Files\\474650115\\Image\\C2C\\_HBSRXSCL8G7QW1EQ`A2``L.jpg" \* MERGEFORMATINET </w:instrText>
      </w:r>
      <w:r>
        <w:rPr>
          <w:rFonts w:ascii="宋体" w:hAnsi="宋体" w:eastAsia="宋体" w:cs="宋体"/>
          <w:color w:val="auto"/>
          <w:kern w:val="0"/>
          <w:sz w:val="24"/>
          <w:szCs w:val="24"/>
          <w:highlight w:val="none"/>
          <w:lang w:val="en-US" w:eastAsia="zh-CN" w:bidi="ar"/>
        </w:rPr>
        <w:fldChar w:fldCharType="separate"/>
      </w:r>
      <w:r>
        <w:rPr>
          <w:rFonts w:ascii="宋体" w:hAnsi="宋体" w:eastAsia="宋体" w:cs="宋体"/>
          <w:color w:val="auto"/>
          <w:kern w:val="0"/>
          <w:sz w:val="24"/>
          <w:szCs w:val="24"/>
          <w:highlight w:val="none"/>
          <w:lang w:val="en-US" w:eastAsia="zh-CN" w:bidi="ar"/>
        </w:rPr>
        <w:drawing>
          <wp:inline distT="0" distB="0" distL="114300" distR="114300">
            <wp:extent cx="1924050" cy="3275330"/>
            <wp:effectExtent l="0" t="0" r="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24050" cy="3275330"/>
                    </a:xfrm>
                    <a:prstGeom prst="rect">
                      <a:avLst/>
                    </a:prstGeom>
                    <a:noFill/>
                    <a:ln>
                      <a:noFill/>
                    </a:ln>
                  </pic:spPr>
                </pic:pic>
              </a:graphicData>
            </a:graphic>
          </wp:inline>
        </w:drawing>
      </w:r>
      <w:r>
        <w:rPr>
          <w:rFonts w:ascii="宋体" w:hAnsi="宋体" w:eastAsia="宋体" w:cs="宋体"/>
          <w:color w:val="auto"/>
          <w:kern w:val="0"/>
          <w:sz w:val="24"/>
          <w:szCs w:val="24"/>
          <w:highlight w:val="none"/>
          <w:lang w:val="en-US" w:eastAsia="zh-CN" w:bidi="ar"/>
        </w:rPr>
        <w:fldChar w:fldCharType="end"/>
      </w:r>
      <w:bookmarkStart w:id="2" w:name="_GoBack"/>
      <w:bookmarkEnd w:id="2"/>
    </w:p>
    <w:p>
      <w:pPr>
        <w:pStyle w:val="3"/>
        <w:rPr>
          <w:rFonts w:hint="eastAsia"/>
          <w:color w:val="auto"/>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7A97F"/>
    <w:multiLevelType w:val="singleLevel"/>
    <w:tmpl w:val="E317A97F"/>
    <w:lvl w:ilvl="0" w:tentative="0">
      <w:start w:val="1"/>
      <w:numFmt w:val="decimal"/>
      <w:lvlText w:val="%1."/>
      <w:lvlJc w:val="left"/>
      <w:pPr>
        <w:tabs>
          <w:tab w:val="left" w:pos="312"/>
        </w:tabs>
      </w:pPr>
    </w:lvl>
  </w:abstractNum>
  <w:abstractNum w:abstractNumId="1">
    <w:nsid w:val="0D6959F8"/>
    <w:multiLevelType w:val="singleLevel"/>
    <w:tmpl w:val="0D6959F8"/>
    <w:lvl w:ilvl="0" w:tentative="0">
      <w:start w:val="1"/>
      <w:numFmt w:val="decimal"/>
      <w:lvlText w:val="%1."/>
      <w:lvlJc w:val="left"/>
      <w:pPr>
        <w:tabs>
          <w:tab w:val="left" w:pos="312"/>
        </w:tabs>
      </w:pPr>
    </w:lvl>
  </w:abstractNum>
  <w:abstractNum w:abstractNumId="2">
    <w:nsid w:val="4326D896"/>
    <w:multiLevelType w:val="singleLevel"/>
    <w:tmpl w:val="4326D896"/>
    <w:lvl w:ilvl="0" w:tentative="0">
      <w:start w:val="1"/>
      <w:numFmt w:val="decimal"/>
      <w:suff w:val="space"/>
      <w:lvlText w:val="%1）"/>
      <w:lvlJc w:val="left"/>
    </w:lvl>
  </w:abstractNum>
  <w:abstractNum w:abstractNumId="3">
    <w:nsid w:val="57A8565C"/>
    <w:multiLevelType w:val="singleLevel"/>
    <w:tmpl w:val="57A8565C"/>
    <w:lvl w:ilvl="0" w:tentative="0">
      <w:start w:val="1"/>
      <w:numFmt w:val="decimal"/>
      <w:lvlText w:val="%1."/>
      <w:lvlJc w:val="left"/>
      <w:pPr>
        <w:tabs>
          <w:tab w:val="left" w:pos="312"/>
        </w:tabs>
      </w:pPr>
    </w:lvl>
  </w:abstractNum>
  <w:abstractNum w:abstractNumId="4">
    <w:nsid w:val="68CF41D5"/>
    <w:multiLevelType w:val="singleLevel"/>
    <w:tmpl w:val="68CF41D5"/>
    <w:lvl w:ilvl="0" w:tentative="0">
      <w:start w:val="1"/>
      <w:numFmt w:val="decimal"/>
      <w:lvlText w:val="%1."/>
      <w:lvlJc w:val="left"/>
      <w:pPr>
        <w:tabs>
          <w:tab w:val="left" w:pos="312"/>
        </w:tabs>
      </w:pPr>
    </w:lvl>
  </w:abstractNum>
  <w:abstractNum w:abstractNumId="5">
    <w:nsid w:val="69A540FF"/>
    <w:multiLevelType w:val="singleLevel"/>
    <w:tmpl w:val="69A540FF"/>
    <w:lvl w:ilvl="0" w:tentative="0">
      <w:start w:val="1"/>
      <w:numFmt w:val="decimal"/>
      <w:suff w:val="nothing"/>
      <w:lvlText w:val="%1）"/>
      <w:lvlJc w:val="left"/>
    </w:lvl>
  </w:abstractNum>
  <w:abstractNum w:abstractNumId="6">
    <w:nsid w:val="6E81884D"/>
    <w:multiLevelType w:val="singleLevel"/>
    <w:tmpl w:val="6E81884D"/>
    <w:lvl w:ilvl="0" w:tentative="0">
      <w:start w:val="1"/>
      <w:numFmt w:val="decimal"/>
      <w:suff w:val="nothing"/>
      <w:lvlText w:val="%1）"/>
      <w:lvlJc w:val="left"/>
    </w:lvl>
  </w:abstractNum>
  <w:abstractNum w:abstractNumId="7">
    <w:nsid w:val="75D8BAF1"/>
    <w:multiLevelType w:val="singleLevel"/>
    <w:tmpl w:val="75D8BAF1"/>
    <w:lvl w:ilvl="0" w:tentative="0">
      <w:start w:val="1"/>
      <w:numFmt w:val="decimal"/>
      <w:suff w:val="nothing"/>
      <w:lvlText w:val="%1）"/>
      <w:lvlJc w:val="left"/>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47D56"/>
    <w:rsid w:val="2E84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character" w:default="1" w:styleId="9">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2019-09-26T07:52:00Z</dcterms:created>
  <dc:creator>dell</dc:creator>
  <cp:lastModifiedBy>dell</cp:lastModifiedBy>
  <dcterms:modified xsi:type="dcterms:W3CDTF">2019-09-26T07:53:28Z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