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5"/>
        <w:numPr>
          <w:ilvl w:val="0"/>
          <w:numId w:val="1"/>
        </w:numPr>
        <w:rPr>
          <w:rFonts w:hint="eastAsia" w:eastAsia="宋体"/>
          <w:color w:val="auto"/>
          <w:highlight w:val="none"/>
          <w:lang w:val="en-US" w:eastAsia="zh-CN"/>
        </w:rPr>
      </w:pPr>
      <w:r>
        <w:rPr>
          <w:rFonts w:hint="eastAsia" w:ascii="宋体" w:hAnsi="宋体" w:cs="宋体"/>
          <w:color w:val="auto"/>
          <w:highlight w:val="none"/>
          <w:lang w:val="en-US" w:eastAsia="zh-CN"/>
        </w:rPr>
        <w:t>维保清单</w:t>
      </w:r>
    </w:p>
    <w:tbl>
      <w:tblPr>
        <w:tblStyle w:val="7"/>
        <w:tblW w:w="96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412"/>
        <w:gridCol w:w="2231"/>
        <w:gridCol w:w="4499"/>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691"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序号</w:t>
            </w:r>
          </w:p>
        </w:tc>
        <w:tc>
          <w:tcPr>
            <w:tcW w:w="1412"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维保要求</w:t>
            </w:r>
          </w:p>
        </w:tc>
        <w:tc>
          <w:tcPr>
            <w:tcW w:w="2231"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设备名称</w:t>
            </w:r>
          </w:p>
        </w:tc>
        <w:tc>
          <w:tcPr>
            <w:tcW w:w="4499"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规格型号</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单位及数量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2" w:hRule="atLeast"/>
          <w:jc w:val="center"/>
        </w:trPr>
        <w:tc>
          <w:tcPr>
            <w:tcW w:w="691"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1</w:t>
            </w:r>
          </w:p>
        </w:tc>
        <w:tc>
          <w:tcPr>
            <w:tcW w:w="1412"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提供存储设备一年原厂维保</w:t>
            </w:r>
          </w:p>
        </w:tc>
        <w:tc>
          <w:tcPr>
            <w:tcW w:w="2231"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存储</w:t>
            </w:r>
          </w:p>
          <w:p>
            <w:pPr>
              <w:rPr>
                <w:rFonts w:ascii="宋体" w:hAnsi="宋体"/>
                <w:color w:val="auto"/>
                <w:kern w:val="0"/>
                <w:sz w:val="21"/>
                <w:szCs w:val="21"/>
                <w:highlight w:val="none"/>
              </w:rPr>
            </w:pPr>
            <w:r>
              <w:rPr>
                <w:rFonts w:hint="eastAsia" w:ascii="宋体" w:hAnsi="宋体"/>
                <w:color w:val="auto"/>
                <w:kern w:val="0"/>
                <w:sz w:val="21"/>
                <w:szCs w:val="21"/>
                <w:highlight w:val="none"/>
              </w:rPr>
              <w:t>EMC VNX5500</w:t>
            </w:r>
          </w:p>
        </w:tc>
        <w:tc>
          <w:tcPr>
            <w:tcW w:w="4499"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配置：双控制器，24G缓存，3*200G SSD硬盘，12*600G SAS硬盘，15*2T SATA硬盘，15*3T SATA硬盘，含mirrorview等软件,必须为原厂维保。</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jc w:val="center"/>
        </w:trPr>
        <w:tc>
          <w:tcPr>
            <w:tcW w:w="691"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2</w:t>
            </w:r>
          </w:p>
        </w:tc>
        <w:tc>
          <w:tcPr>
            <w:tcW w:w="1412"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提供存储设备一年原厂维保</w:t>
            </w:r>
          </w:p>
        </w:tc>
        <w:tc>
          <w:tcPr>
            <w:tcW w:w="2231"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存储</w:t>
            </w:r>
          </w:p>
          <w:p>
            <w:pPr>
              <w:rPr>
                <w:rFonts w:ascii="宋体" w:hAnsi="宋体"/>
                <w:color w:val="auto"/>
                <w:kern w:val="0"/>
                <w:sz w:val="21"/>
                <w:szCs w:val="21"/>
                <w:highlight w:val="none"/>
              </w:rPr>
            </w:pPr>
            <w:r>
              <w:rPr>
                <w:rFonts w:hint="eastAsia" w:ascii="宋体" w:hAnsi="宋体"/>
                <w:color w:val="auto"/>
                <w:kern w:val="0"/>
                <w:sz w:val="21"/>
                <w:szCs w:val="21"/>
                <w:highlight w:val="none"/>
              </w:rPr>
              <w:t>EMC</w:t>
            </w:r>
            <w:r>
              <w:rPr>
                <w:rFonts w:ascii="宋体" w:hAnsi="宋体"/>
                <w:color w:val="auto"/>
                <w:kern w:val="0"/>
                <w:sz w:val="21"/>
                <w:szCs w:val="21"/>
                <w:highlight w:val="none"/>
              </w:rPr>
              <w:t xml:space="preserve"> Unity400</w:t>
            </w:r>
          </w:p>
        </w:tc>
        <w:tc>
          <w:tcPr>
            <w:tcW w:w="4499"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配置：双控制器，</w:t>
            </w:r>
            <w:r>
              <w:rPr>
                <w:rFonts w:ascii="宋体" w:hAnsi="宋体"/>
                <w:color w:val="auto"/>
                <w:kern w:val="0"/>
                <w:sz w:val="21"/>
                <w:szCs w:val="21"/>
                <w:highlight w:val="none"/>
              </w:rPr>
              <w:t>96</w:t>
            </w:r>
            <w:r>
              <w:rPr>
                <w:rFonts w:hint="eastAsia" w:ascii="宋体" w:hAnsi="宋体"/>
                <w:color w:val="auto"/>
                <w:kern w:val="0"/>
                <w:sz w:val="21"/>
                <w:szCs w:val="21"/>
                <w:highlight w:val="none"/>
              </w:rPr>
              <w:t>G缓存，3*2</w:t>
            </w:r>
            <w:r>
              <w:rPr>
                <w:rFonts w:ascii="宋体" w:hAnsi="宋体"/>
                <w:color w:val="auto"/>
                <w:kern w:val="0"/>
                <w:sz w:val="21"/>
                <w:szCs w:val="21"/>
                <w:highlight w:val="none"/>
              </w:rPr>
              <w:t>56</w:t>
            </w:r>
            <w:r>
              <w:rPr>
                <w:rFonts w:hint="eastAsia" w:ascii="宋体" w:hAnsi="宋体"/>
                <w:color w:val="auto"/>
                <w:kern w:val="0"/>
                <w:sz w:val="21"/>
                <w:szCs w:val="21"/>
                <w:highlight w:val="none"/>
              </w:rPr>
              <w:t>G SSD硬盘，</w:t>
            </w:r>
            <w:r>
              <w:rPr>
                <w:rFonts w:ascii="宋体" w:hAnsi="宋体"/>
                <w:color w:val="auto"/>
                <w:kern w:val="0"/>
                <w:sz w:val="21"/>
                <w:szCs w:val="21"/>
                <w:highlight w:val="none"/>
              </w:rPr>
              <w:t>25</w:t>
            </w:r>
            <w:r>
              <w:rPr>
                <w:rFonts w:hint="eastAsia" w:ascii="宋体" w:hAnsi="宋体"/>
                <w:color w:val="auto"/>
                <w:kern w:val="0"/>
                <w:sz w:val="21"/>
                <w:szCs w:val="21"/>
                <w:highlight w:val="none"/>
              </w:rPr>
              <w:t>*600G SAS硬盘，必须为原厂维保。</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0" w:hRule="atLeast"/>
          <w:jc w:val="center"/>
        </w:trPr>
        <w:tc>
          <w:tcPr>
            <w:tcW w:w="691"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3</w:t>
            </w:r>
          </w:p>
        </w:tc>
        <w:tc>
          <w:tcPr>
            <w:tcW w:w="1412"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提供数据库升级迁移及维保服务</w:t>
            </w:r>
          </w:p>
        </w:tc>
        <w:tc>
          <w:tcPr>
            <w:tcW w:w="6730" w:type="dxa"/>
            <w:gridSpan w:val="2"/>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两校区（滨文、富春）</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1、 服务包括7×24电话服务和7×24×4现场技术支持保修服务。</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2、 提供四次/年的OCP工程师现场检查服务。</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3、 提供系统性检查服务。针对客户各项配置(软件配置、核心参数配置、相关的数据库系统配置)进行检查，针对不合理配置项提出调整建议，尽可能避免因配置不当造成的系统宕机及数据丢失风险。</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4、 系统日志检查;</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5、 系统软件性能检查</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6、 数据库升级服务：按照客户要求，将学校现有的数据库系统升级为稳定可靠的版本（包括补丁安装及软件版本升级），升级前需要提供完整的升级计划及方案，说明需要停机的时间等，并配合用户进行系统升级完成后的测试、提交系统升级实施报告和测试报告等。整个升级过程造成的一切损失，均由中标供应商提供。</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3" w:hRule="atLeast"/>
          <w:jc w:val="center"/>
        </w:trPr>
        <w:tc>
          <w:tcPr>
            <w:tcW w:w="691"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4</w:t>
            </w:r>
          </w:p>
        </w:tc>
        <w:tc>
          <w:tcPr>
            <w:tcW w:w="1412"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VMware维保服务</w:t>
            </w:r>
          </w:p>
        </w:tc>
        <w:tc>
          <w:tcPr>
            <w:tcW w:w="6730" w:type="dxa"/>
            <w:gridSpan w:val="2"/>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两校区（滨文、富春）</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1、 服务包括7×24电话服务和7×24×4现场技术支持保修服务。</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2、 提供四次/年的VCP工程师现场检查服务。</w:t>
            </w:r>
            <w:r>
              <w:rPr>
                <w:rFonts w:hint="eastAsia" w:ascii="宋体" w:hAnsi="宋体"/>
                <w:color w:val="auto"/>
                <w:kern w:val="0"/>
                <w:sz w:val="21"/>
                <w:szCs w:val="21"/>
                <w:highlight w:val="none"/>
              </w:rPr>
              <w:br w:type="textWrapping"/>
            </w:r>
            <w:r>
              <w:rPr>
                <w:rFonts w:hint="eastAsia" w:ascii="宋体" w:hAnsi="宋体"/>
                <w:color w:val="auto"/>
                <w:kern w:val="0"/>
                <w:sz w:val="21"/>
                <w:szCs w:val="21"/>
                <w:highlight w:val="none"/>
              </w:rPr>
              <w:t>3、 提供系统性检查服务。针对不合理配置项提出调整建议，尽可能避免因配置不当造成的系统宕机及数据丢失风险。</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691"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5</w:t>
            </w:r>
          </w:p>
        </w:tc>
        <w:tc>
          <w:tcPr>
            <w:tcW w:w="1412"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滨文校区寒暑假驻点维护服务</w:t>
            </w:r>
          </w:p>
        </w:tc>
        <w:tc>
          <w:tcPr>
            <w:tcW w:w="6730" w:type="dxa"/>
            <w:gridSpan w:val="2"/>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针对滨文校区，寒暑假</w:t>
            </w:r>
            <w:r>
              <w:rPr>
                <w:rFonts w:hint="eastAsia" w:ascii="宋体" w:hAnsi="宋体"/>
                <w:color w:val="auto"/>
                <w:kern w:val="0"/>
                <w:sz w:val="21"/>
                <w:szCs w:val="21"/>
                <w:highlight w:val="none"/>
              </w:rPr>
              <w:t>及其他</w:t>
            </w:r>
            <w:r>
              <w:rPr>
                <w:rFonts w:ascii="宋体" w:hAnsi="宋体"/>
                <w:color w:val="auto"/>
                <w:kern w:val="0"/>
                <w:sz w:val="21"/>
                <w:szCs w:val="21"/>
                <w:highlight w:val="none"/>
              </w:rPr>
              <w:t>特殊时期，指派固定工程师提供驻点运维服务</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691" w:type="dxa"/>
            <w:noWrap w:val="0"/>
            <w:vAlign w:val="center"/>
          </w:tcPr>
          <w:p>
            <w:pPr>
              <w:rPr>
                <w:rFonts w:ascii="宋体" w:hAnsi="宋体"/>
                <w:color w:val="auto"/>
                <w:kern w:val="0"/>
                <w:sz w:val="21"/>
                <w:szCs w:val="21"/>
                <w:highlight w:val="none"/>
              </w:rPr>
            </w:pPr>
            <w:r>
              <w:rPr>
                <w:rFonts w:ascii="宋体" w:hAnsi="宋体"/>
                <w:color w:val="auto"/>
                <w:kern w:val="0"/>
                <w:sz w:val="21"/>
                <w:szCs w:val="21"/>
                <w:highlight w:val="none"/>
              </w:rPr>
              <w:t>6</w:t>
            </w:r>
          </w:p>
        </w:tc>
        <w:tc>
          <w:tcPr>
            <w:tcW w:w="1412"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滨文、富春校区机房其他设备巡检</w:t>
            </w:r>
          </w:p>
        </w:tc>
        <w:tc>
          <w:tcPr>
            <w:tcW w:w="6730" w:type="dxa"/>
            <w:gridSpan w:val="2"/>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滨文、富春校区机房其他网络、服务器等设备（不含UPS、空调、强弱电）在服务期内做四次巡检（每年3月、6月、9月、12月），检查出的问题形成文档报告给用户。</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691"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7</w:t>
            </w:r>
          </w:p>
        </w:tc>
        <w:tc>
          <w:tcPr>
            <w:tcW w:w="1412"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富春校区驻场工程师运维服务</w:t>
            </w:r>
          </w:p>
        </w:tc>
        <w:tc>
          <w:tcPr>
            <w:tcW w:w="6730" w:type="dxa"/>
            <w:gridSpan w:val="2"/>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针对滨文校区，</w:t>
            </w:r>
            <w:r>
              <w:rPr>
                <w:rFonts w:ascii="宋体" w:hAnsi="宋体"/>
                <w:color w:val="auto"/>
                <w:kern w:val="0"/>
                <w:sz w:val="21"/>
                <w:szCs w:val="21"/>
                <w:highlight w:val="none"/>
              </w:rPr>
              <w:t>指派固定工程师提供驻点运维服务</w:t>
            </w:r>
          </w:p>
        </w:tc>
        <w:tc>
          <w:tcPr>
            <w:tcW w:w="795" w:type="dxa"/>
            <w:noWrap w:val="0"/>
            <w:vAlign w:val="center"/>
          </w:tcPr>
          <w:p>
            <w:pPr>
              <w:rPr>
                <w:rFonts w:ascii="宋体" w:hAnsi="宋体"/>
                <w:color w:val="auto"/>
                <w:kern w:val="0"/>
                <w:sz w:val="21"/>
                <w:szCs w:val="21"/>
                <w:highlight w:val="none"/>
              </w:rPr>
            </w:pPr>
            <w:r>
              <w:rPr>
                <w:rFonts w:hint="eastAsia" w:ascii="宋体" w:hAnsi="宋体"/>
                <w:color w:val="auto"/>
                <w:kern w:val="0"/>
                <w:sz w:val="21"/>
                <w:szCs w:val="21"/>
                <w:highlight w:val="none"/>
              </w:rPr>
              <w:t>1项</w:t>
            </w:r>
          </w:p>
        </w:tc>
      </w:tr>
    </w:tbl>
    <w:p>
      <w:pPr>
        <w:rPr>
          <w:color w:val="auto"/>
          <w:highlight w:val="none"/>
        </w:rPr>
      </w:pPr>
    </w:p>
    <w:p>
      <w:pPr>
        <w:pStyle w:val="5"/>
        <w:numPr>
          <w:ilvl w:val="0"/>
          <w:numId w:val="1"/>
        </w:numPr>
        <w:rPr>
          <w:rFonts w:hint="eastAsia" w:eastAsia="宋体"/>
          <w:color w:val="auto"/>
          <w:highlight w:val="none"/>
          <w:lang w:val="en-US" w:eastAsia="zh-CN"/>
        </w:rPr>
      </w:pPr>
      <w:r>
        <w:rPr>
          <w:rFonts w:hint="eastAsia" w:eastAsia="宋体"/>
          <w:color w:val="auto"/>
          <w:highlight w:val="none"/>
          <w:lang w:val="en-US" w:eastAsia="zh-CN"/>
        </w:rPr>
        <w:t>服务内容</w:t>
      </w:r>
    </w:p>
    <w:p>
      <w:pPr>
        <w:rPr>
          <w:color w:val="auto"/>
          <w:highlight w:val="none"/>
        </w:rPr>
      </w:pPr>
    </w:p>
    <w:p>
      <w:pPr>
        <w:tabs>
          <w:tab w:val="left" w:pos="2145"/>
        </w:tabs>
        <w:spacing w:line="360" w:lineRule="auto"/>
        <w:ind w:left="240" w:leftChars="100"/>
        <w:jc w:val="left"/>
        <w:rPr>
          <w:rFonts w:ascii="宋体" w:hAnsi="宋体"/>
          <w:color w:val="auto"/>
          <w:sz w:val="24"/>
          <w:highlight w:val="none"/>
        </w:rPr>
      </w:pPr>
      <w:r>
        <w:rPr>
          <w:rFonts w:hint="eastAsia" w:ascii="宋体" w:hAnsi="宋体"/>
          <w:color w:val="auto"/>
          <w:sz w:val="24"/>
          <w:highlight w:val="none"/>
        </w:rPr>
        <w:t>2.1要求提供每周7*24小时、全年365天的技术服务支持。</w:t>
      </w:r>
      <w:r>
        <w:rPr>
          <w:rFonts w:hint="eastAsia" w:ascii="宋体" w:hAnsi="宋体"/>
          <w:color w:val="auto"/>
          <w:sz w:val="24"/>
          <w:highlight w:val="none"/>
        </w:rPr>
        <w:br w:type="textWrapping"/>
      </w:r>
      <w:r>
        <w:rPr>
          <w:rFonts w:hint="eastAsia" w:ascii="宋体" w:hAnsi="宋体"/>
          <w:color w:val="auto"/>
          <w:sz w:val="24"/>
          <w:highlight w:val="none"/>
        </w:rPr>
        <w:t>2.2服务范围包括免费硬件更换维修、系统健康性检查、硬件微码升级、操作系统升级、系统环境变更等。</w:t>
      </w:r>
      <w:r>
        <w:rPr>
          <w:rFonts w:hint="eastAsia" w:ascii="宋体" w:hAnsi="宋体"/>
          <w:color w:val="auto"/>
          <w:sz w:val="24"/>
          <w:highlight w:val="none"/>
        </w:rPr>
        <w:br w:type="textWrapping"/>
      </w:r>
      <w:r>
        <w:rPr>
          <w:rFonts w:hint="eastAsia" w:ascii="宋体" w:hAnsi="宋体"/>
          <w:color w:val="auto"/>
          <w:sz w:val="24"/>
          <w:highlight w:val="none"/>
        </w:rPr>
        <w:t>2.3提供电话支持和现场服务支持，并在规定的时间内完成。</w:t>
      </w:r>
    </w:p>
    <w:p>
      <w:pPr>
        <w:tabs>
          <w:tab w:val="left" w:pos="2145"/>
        </w:tabs>
        <w:spacing w:line="360" w:lineRule="auto"/>
        <w:ind w:left="240" w:leftChars="1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.4</w:t>
      </w:r>
      <w:r>
        <w:rPr>
          <w:rFonts w:hint="eastAsia" w:ascii="宋体" w:hAnsi="宋体"/>
          <w:color w:val="auto"/>
          <w:sz w:val="24"/>
          <w:highlight w:val="none"/>
        </w:rPr>
        <w:t>提供一台EMC VNX5500存储（不少于30TB容量），一台</w:t>
      </w:r>
      <w:r>
        <w:rPr>
          <w:rFonts w:ascii="宋体" w:hAnsi="宋体"/>
          <w:color w:val="auto"/>
          <w:sz w:val="24"/>
          <w:highlight w:val="none"/>
        </w:rPr>
        <w:t>Unity400</w:t>
      </w:r>
      <w:r>
        <w:rPr>
          <w:rFonts w:hint="eastAsia" w:ascii="宋体" w:hAnsi="宋体"/>
          <w:color w:val="auto"/>
          <w:sz w:val="24"/>
          <w:highlight w:val="none"/>
        </w:rPr>
        <w:t>（不少于15TB容量）置于备件库，用于维保</w:t>
      </w:r>
      <w:r>
        <w:rPr>
          <w:rFonts w:ascii="宋体" w:hAnsi="宋体"/>
          <w:color w:val="auto"/>
          <w:sz w:val="24"/>
          <w:highlight w:val="none"/>
        </w:rPr>
        <w:t>清单内设备出现问题</w:t>
      </w:r>
      <w:r>
        <w:rPr>
          <w:rFonts w:hint="eastAsia" w:ascii="宋体" w:hAnsi="宋体"/>
          <w:color w:val="auto"/>
          <w:sz w:val="24"/>
          <w:highlight w:val="none"/>
        </w:rPr>
        <w:t>时</w:t>
      </w:r>
      <w:r>
        <w:rPr>
          <w:rFonts w:ascii="宋体" w:hAnsi="宋体"/>
          <w:color w:val="auto"/>
          <w:sz w:val="24"/>
          <w:highlight w:val="none"/>
        </w:rPr>
        <w:t>及时更换</w:t>
      </w:r>
      <w:r>
        <w:rPr>
          <w:rFonts w:hint="eastAsia" w:ascii="宋体" w:hAnsi="宋体"/>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2.</w:t>
      </w:r>
      <w:r>
        <w:rPr>
          <w:rFonts w:ascii="宋体" w:hAnsi="宋体"/>
          <w:color w:val="auto"/>
          <w:sz w:val="24"/>
          <w:highlight w:val="none"/>
        </w:rPr>
        <w:t>5</w:t>
      </w:r>
      <w:r>
        <w:rPr>
          <w:rFonts w:hint="eastAsia" w:ascii="宋体" w:hAnsi="宋体"/>
          <w:color w:val="auto"/>
          <w:sz w:val="24"/>
          <w:highlight w:val="none"/>
        </w:rPr>
        <w:t>在服务期内，对设备进行每季度一次例行巡检保养，并出具书面巡检报告及时发现并排除设备故障，确保设备及系统的正常运行。</w:t>
      </w:r>
      <w:r>
        <w:rPr>
          <w:rFonts w:hint="eastAsia" w:ascii="宋体" w:hAnsi="宋体"/>
          <w:color w:val="auto"/>
          <w:sz w:val="24"/>
          <w:highlight w:val="none"/>
        </w:rPr>
        <w:br w:type="textWrapping"/>
      </w: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出具故障备件更换报告，针对被服务方设备运行状况，提出相应的优化建议。</w:t>
      </w:r>
      <w:r>
        <w:rPr>
          <w:rFonts w:hint="eastAsia" w:ascii="宋体" w:hAnsi="宋体"/>
          <w:color w:val="auto"/>
          <w:sz w:val="24"/>
          <w:highlight w:val="none"/>
        </w:rPr>
        <w:br w:type="textWrapping"/>
      </w:r>
      <w:r>
        <w:rPr>
          <w:rFonts w:hint="eastAsia" w:ascii="宋体" w:hAnsi="宋体"/>
          <w:color w:val="auto"/>
          <w:sz w:val="24"/>
          <w:highlight w:val="none"/>
        </w:rPr>
        <w:t>2.</w:t>
      </w:r>
      <w:r>
        <w:rPr>
          <w:rFonts w:ascii="宋体" w:hAnsi="宋体"/>
          <w:color w:val="auto"/>
          <w:sz w:val="24"/>
          <w:highlight w:val="none"/>
        </w:rPr>
        <w:t>7</w:t>
      </w:r>
      <w:r>
        <w:rPr>
          <w:rFonts w:hint="eastAsia" w:ascii="宋体" w:hAnsi="宋体"/>
          <w:color w:val="auto"/>
          <w:sz w:val="24"/>
          <w:highlight w:val="none"/>
        </w:rPr>
        <w:t>若用户方参保设备需要更改放置地点，维护公司需派遣技术专家和工程师到指定现场，配合提供该项目维护范围内设备的搬迁技术支持服务和必要的现场配合。</w:t>
      </w:r>
      <w:r>
        <w:rPr>
          <w:rFonts w:hint="eastAsia" w:ascii="宋体" w:hAnsi="宋体"/>
          <w:color w:val="auto"/>
          <w:sz w:val="24"/>
          <w:highlight w:val="none"/>
        </w:rPr>
        <w:br w:type="textWrapping"/>
      </w:r>
      <w:r>
        <w:rPr>
          <w:rFonts w:hint="eastAsia" w:ascii="宋体" w:hAnsi="宋体"/>
          <w:color w:val="auto"/>
          <w:sz w:val="24"/>
          <w:highlight w:val="none"/>
        </w:rPr>
        <w:t>2.</w:t>
      </w:r>
      <w:r>
        <w:rPr>
          <w:rFonts w:ascii="宋体" w:hAnsi="宋体"/>
          <w:color w:val="auto"/>
          <w:sz w:val="24"/>
          <w:highlight w:val="none"/>
        </w:rPr>
        <w:t>8</w:t>
      </w:r>
      <w:r>
        <w:rPr>
          <w:rFonts w:hint="eastAsia" w:ascii="宋体" w:hAnsi="宋体"/>
          <w:color w:val="auto"/>
          <w:sz w:val="24"/>
          <w:highlight w:val="none"/>
        </w:rPr>
        <w:t>用户关键系统及设备进行维护保养时，事先安排好应急演练措施及流程，并和用户确认后方可进行，记录在《关键设备维护审批表》中。</w:t>
      </w:r>
      <w:r>
        <w:rPr>
          <w:rFonts w:hint="eastAsia" w:ascii="宋体" w:hAnsi="宋体"/>
          <w:color w:val="auto"/>
          <w:sz w:val="24"/>
          <w:highlight w:val="none"/>
        </w:rPr>
        <w:br w:type="textWrapping"/>
      </w:r>
      <w:r>
        <w:rPr>
          <w:rFonts w:hint="eastAsia" w:ascii="宋体" w:hAnsi="宋体"/>
          <w:color w:val="auto"/>
          <w:sz w:val="24"/>
          <w:highlight w:val="none"/>
        </w:rPr>
        <w:t>2.</w:t>
      </w:r>
      <w:r>
        <w:rPr>
          <w:rFonts w:ascii="宋体" w:hAnsi="宋体"/>
          <w:color w:val="auto"/>
          <w:sz w:val="24"/>
          <w:highlight w:val="none"/>
        </w:rPr>
        <w:t>9</w:t>
      </w:r>
      <w:r>
        <w:rPr>
          <w:rFonts w:hint="eastAsia" w:ascii="宋体" w:hAnsi="宋体"/>
          <w:color w:val="auto"/>
          <w:sz w:val="24"/>
          <w:highlight w:val="none"/>
        </w:rPr>
        <w:t>投标方应定期组织技术交流及工作汇报会，向校方提供技术资料共享服务。</w:t>
      </w:r>
    </w:p>
    <w:p>
      <w:pPr>
        <w:tabs>
          <w:tab w:val="left" w:pos="2145"/>
        </w:tabs>
        <w:spacing w:line="360" w:lineRule="auto"/>
        <w:ind w:left="240" w:leftChars="100"/>
        <w:jc w:val="left"/>
        <w:rPr>
          <w:rFonts w:hint="eastAsia" w:ascii="宋体" w:hAnsi="宋体"/>
          <w:color w:val="auto"/>
          <w:sz w:val="24"/>
          <w:highlight w:val="none"/>
          <w:lang w:val="en-US" w:eastAsia="zh-CN"/>
        </w:rPr>
      </w:pPr>
      <w:r>
        <w:rPr>
          <w:rFonts w:hint="eastAsia" w:ascii="宋体" w:hAnsi="宋体"/>
          <w:color w:val="auto"/>
          <w:sz w:val="24"/>
          <w:highlight w:val="none"/>
        </w:rPr>
        <w:t>2.10</w:t>
      </w:r>
      <w:r>
        <w:rPr>
          <w:rFonts w:hint="eastAsia" w:ascii="宋体" w:hAnsi="宋体"/>
          <w:color w:val="auto"/>
          <w:sz w:val="24"/>
          <w:highlight w:val="none"/>
          <w:lang w:val="en-US" w:eastAsia="zh-CN"/>
        </w:rPr>
        <w:t>专业人员要求：</w:t>
      </w:r>
    </w:p>
    <w:p>
      <w:pPr>
        <w:widowControl/>
        <w:spacing w:line="360" w:lineRule="auto"/>
        <w:ind w:firstLine="720" w:firstLineChars="300"/>
        <w:jc w:val="left"/>
        <w:rPr>
          <w:rFonts w:hint="default"/>
          <w:color w:val="auto"/>
          <w:highlight w:val="none"/>
          <w:lang w:val="en-US" w:eastAsia="zh-CN"/>
        </w:rPr>
      </w:pPr>
      <w:r>
        <w:rPr>
          <w:rFonts w:hint="eastAsia" w:ascii="宋体" w:hAnsi="宋体" w:cs="宋体"/>
          <w:color w:val="auto"/>
          <w:kern w:val="0"/>
          <w:sz w:val="24"/>
          <w:highlight w:val="none"/>
        </w:rPr>
        <w:t>提供至少三名工程师为该项目专用服务工程师，在行业工作至少5年，其中1名工程师具备CCIE工程师证书，另外两名工程师为主机类工程师，具备EMC认证工程师证书，OC</w:t>
      </w:r>
      <w:r>
        <w:rPr>
          <w:rFonts w:ascii="宋体" w:hAnsi="宋体" w:cs="宋体"/>
          <w:color w:val="auto"/>
          <w:kern w:val="0"/>
          <w:sz w:val="24"/>
          <w:highlight w:val="none"/>
        </w:rPr>
        <w:t>M</w:t>
      </w:r>
      <w:r>
        <w:rPr>
          <w:rFonts w:hint="eastAsia" w:ascii="宋体" w:hAnsi="宋体" w:cs="宋体"/>
          <w:color w:val="auto"/>
          <w:kern w:val="0"/>
          <w:sz w:val="24"/>
          <w:highlight w:val="none"/>
        </w:rPr>
        <w:t>认证工程师证书，VCP认证工程师证书，服务时间为1年。投标时认证证书复印件件及社保缴纳证明原件备查，没有用户许可，该工程师在服务期间不得随意更换。</w:t>
      </w:r>
    </w:p>
    <w:p>
      <w:pPr>
        <w:tabs>
          <w:tab w:val="left" w:pos="2145"/>
        </w:tabs>
        <w:spacing w:line="360" w:lineRule="auto"/>
        <w:ind w:left="240" w:leftChars="100"/>
        <w:jc w:val="left"/>
        <w:rPr>
          <w:rFonts w:ascii="宋体" w:hAnsi="宋体"/>
          <w:color w:val="auto"/>
          <w:sz w:val="24"/>
          <w:highlight w:val="none"/>
        </w:rPr>
      </w:pPr>
      <w:r>
        <w:rPr>
          <w:rFonts w:hint="eastAsia" w:ascii="宋体" w:hAnsi="宋体"/>
          <w:color w:val="auto"/>
          <w:sz w:val="24"/>
          <w:highlight w:val="none"/>
        </w:rPr>
        <w:t>驻点人员要求：</w:t>
      </w:r>
    </w:p>
    <w:p>
      <w:pPr>
        <w:tabs>
          <w:tab w:val="left" w:pos="2145"/>
        </w:tabs>
        <w:spacing w:line="360" w:lineRule="auto"/>
        <w:ind w:left="240" w:leftChars="100"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滨</w:t>
      </w:r>
      <w:r>
        <w:rPr>
          <w:rFonts w:hint="eastAsia" w:ascii="宋体" w:hAnsi="宋体"/>
          <w:color w:val="auto"/>
          <w:sz w:val="24"/>
          <w:highlight w:val="none"/>
        </w:rPr>
        <w:t>文校区寒暑假驻点人员：要求具备OCP证书，EMC TA证书，VCP证书；</w:t>
      </w:r>
    </w:p>
    <w:p>
      <w:pPr>
        <w:tabs>
          <w:tab w:val="left" w:pos="2145"/>
        </w:tabs>
        <w:spacing w:line="360" w:lineRule="auto"/>
        <w:ind w:left="240" w:leftChars="100" w:firstLine="480"/>
        <w:jc w:val="left"/>
        <w:rPr>
          <w:rFonts w:ascii="宋体" w:hAnsi="宋体"/>
          <w:color w:val="auto"/>
          <w:sz w:val="24"/>
          <w:highlight w:val="none"/>
        </w:rPr>
      </w:pPr>
      <w:r>
        <w:rPr>
          <w:rFonts w:hint="eastAsia" w:ascii="宋体" w:hAnsi="宋体"/>
          <w:color w:val="auto"/>
          <w:sz w:val="24"/>
          <w:highlight w:val="none"/>
        </w:rPr>
        <w:t>富春校区驻场人员：要求具备具备网络中级认证证书（CCNP、H3C</w:t>
      </w:r>
      <w:r>
        <w:rPr>
          <w:rFonts w:ascii="宋体" w:hAnsi="宋体"/>
          <w:color w:val="auto"/>
          <w:sz w:val="24"/>
          <w:highlight w:val="none"/>
        </w:rPr>
        <w:t>SE、HCNP三者有一即可</w:t>
      </w:r>
      <w:r>
        <w:rPr>
          <w:rFonts w:hint="eastAsia" w:ascii="宋体" w:hAnsi="宋体"/>
          <w:color w:val="auto"/>
          <w:sz w:val="24"/>
          <w:highlight w:val="none"/>
        </w:rPr>
        <w:t>）</w:t>
      </w:r>
    </w:p>
    <w:p>
      <w:pPr>
        <w:tabs>
          <w:tab w:val="left" w:pos="2145"/>
        </w:tabs>
        <w:spacing w:line="360" w:lineRule="auto"/>
        <w:ind w:left="240" w:leftChars="100" w:firstLine="480"/>
        <w:jc w:val="left"/>
        <w:rPr>
          <w:rFonts w:hint="eastAsia" w:ascii="宋体" w:hAnsi="宋体" w:eastAsia="宋体"/>
          <w:color w:val="auto"/>
          <w:sz w:val="24"/>
          <w:highlight w:val="none"/>
          <w:lang w:eastAsia="zh-CN"/>
        </w:rPr>
      </w:pPr>
      <w:r>
        <w:rPr>
          <w:rFonts w:ascii="宋体" w:hAnsi="宋体"/>
          <w:color w:val="auto"/>
          <w:sz w:val="24"/>
          <w:highlight w:val="none"/>
        </w:rPr>
        <w:t>驻点人员到岗前需通过学校测试，否则学校有权要求中标单位更换人员，直至满意为止。若人员更换</w:t>
      </w:r>
      <w:r>
        <w:rPr>
          <w:rFonts w:hint="eastAsia" w:ascii="宋体" w:hAnsi="宋体"/>
          <w:color w:val="auto"/>
          <w:sz w:val="24"/>
          <w:highlight w:val="none"/>
        </w:rPr>
        <w:t>3次，仍无法达到学校要求的，学校有权终止合同，一切损失由中标单位负责</w:t>
      </w:r>
      <w:r>
        <w:rPr>
          <w:rFonts w:hint="eastAsia" w:ascii="宋体" w:hAnsi="宋体"/>
          <w:color w:val="auto"/>
          <w:sz w:val="24"/>
          <w:highlight w:val="none"/>
          <w:lang w:eastAsia="zh-CN"/>
        </w:rPr>
        <w:t>。</w:t>
      </w:r>
    </w:p>
    <w:p>
      <w:pPr>
        <w:tabs>
          <w:tab w:val="left" w:pos="2145"/>
        </w:tabs>
        <w:spacing w:line="360" w:lineRule="auto"/>
        <w:ind w:left="240" w:leftChars="100" w:firstLine="480"/>
        <w:jc w:val="left"/>
        <w:rPr>
          <w:rFonts w:hint="eastAsia" w:ascii="宋体" w:hAnsi="宋体"/>
          <w:color w:val="auto"/>
          <w:sz w:val="24"/>
          <w:highlight w:val="none"/>
        </w:rPr>
      </w:pPr>
      <w:r>
        <w:rPr>
          <w:rFonts w:hint="eastAsia" w:ascii="宋体" w:hAnsi="宋体"/>
          <w:color w:val="auto"/>
          <w:sz w:val="24"/>
          <w:highlight w:val="none"/>
        </w:rPr>
        <w:t>提供运维记录和考勤记录，和定期巡检报告一起发送甲方负责人。</w:t>
      </w:r>
    </w:p>
    <w:p>
      <w:pPr>
        <w:pStyle w:val="2"/>
        <w:rPr>
          <w:color w:val="auto"/>
          <w:highlight w:val="none"/>
        </w:rPr>
      </w:pPr>
    </w:p>
    <w:p>
      <w:pPr>
        <w:pStyle w:val="5"/>
        <w:numPr>
          <w:ilvl w:val="0"/>
          <w:numId w:val="1"/>
        </w:numPr>
        <w:rPr>
          <w:rFonts w:hint="eastAsia" w:eastAsia="宋体"/>
          <w:color w:val="auto"/>
          <w:highlight w:val="none"/>
          <w:lang w:val="en-US" w:eastAsia="zh-CN"/>
        </w:rPr>
      </w:pPr>
      <w:r>
        <w:rPr>
          <w:rFonts w:hint="eastAsia" w:eastAsia="宋体"/>
          <w:color w:val="auto"/>
          <w:highlight w:val="none"/>
          <w:lang w:val="en-US" w:eastAsia="zh-CN"/>
        </w:rPr>
        <w:t>服务要求</w:t>
      </w:r>
    </w:p>
    <w:p>
      <w:pPr>
        <w:tabs>
          <w:tab w:val="left" w:pos="2145"/>
        </w:tabs>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3.1中标公司必须指派专业的技术工程师提供维保服务，若中标维护范围内的设备发生故障，中标人须</w:t>
      </w:r>
      <w:bookmarkStart w:id="0" w:name="OLE_LINK1"/>
      <w:r>
        <w:rPr>
          <w:rFonts w:hint="eastAsia" w:ascii="宋体" w:hAnsi="宋体"/>
          <w:color w:val="auto"/>
          <w:sz w:val="24"/>
          <w:highlight w:val="none"/>
        </w:rPr>
        <w:t>提供7×24，</w:t>
      </w:r>
      <w:r>
        <w:rPr>
          <w:rFonts w:ascii="宋体" w:hAnsi="宋体"/>
          <w:color w:val="auto"/>
          <w:sz w:val="24"/>
          <w:highlight w:val="none"/>
        </w:rPr>
        <w:t>10</w:t>
      </w:r>
      <w:r>
        <w:rPr>
          <w:rFonts w:hint="eastAsia" w:ascii="宋体" w:hAnsi="宋体"/>
          <w:color w:val="auto"/>
          <w:sz w:val="24"/>
          <w:highlight w:val="none"/>
        </w:rPr>
        <w:t>分钟上门现场服务（备注：一周7天，一天24小时，当天</w:t>
      </w:r>
      <w:r>
        <w:rPr>
          <w:rFonts w:ascii="宋体" w:hAnsi="宋体"/>
          <w:color w:val="auto"/>
          <w:sz w:val="24"/>
          <w:highlight w:val="none"/>
        </w:rPr>
        <w:t>10</w:t>
      </w:r>
      <w:r>
        <w:rPr>
          <w:rFonts w:hint="eastAsia" w:ascii="宋体" w:hAnsi="宋体"/>
          <w:color w:val="auto"/>
          <w:sz w:val="24"/>
          <w:highlight w:val="none"/>
        </w:rPr>
        <w:t>分钟内上门现场响应，</w:t>
      </w:r>
      <w:r>
        <w:rPr>
          <w:rFonts w:hint="eastAsia" w:ascii="宋体" w:hAnsi="宋体"/>
          <w:b/>
          <w:color w:val="auto"/>
          <w:sz w:val="24"/>
          <w:highlight w:val="none"/>
        </w:rPr>
        <w:t>若</w:t>
      </w:r>
      <w:r>
        <w:rPr>
          <w:rFonts w:ascii="宋体" w:hAnsi="宋体"/>
          <w:b/>
          <w:color w:val="auto"/>
          <w:sz w:val="24"/>
          <w:highlight w:val="none"/>
        </w:rPr>
        <w:t>供应商无法提供10</w:t>
      </w:r>
      <w:r>
        <w:rPr>
          <w:rFonts w:hint="eastAsia" w:ascii="宋体" w:hAnsi="宋体"/>
          <w:b/>
          <w:color w:val="auto"/>
          <w:sz w:val="24"/>
          <w:highlight w:val="none"/>
        </w:rPr>
        <w:t>分钟</w:t>
      </w:r>
      <w:r>
        <w:rPr>
          <w:rFonts w:ascii="宋体" w:hAnsi="宋体"/>
          <w:b/>
          <w:color w:val="auto"/>
          <w:sz w:val="24"/>
          <w:highlight w:val="none"/>
        </w:rPr>
        <w:t>到场</w:t>
      </w:r>
      <w:r>
        <w:rPr>
          <w:rFonts w:hint="eastAsia" w:ascii="宋体" w:hAnsi="宋体"/>
          <w:b/>
          <w:color w:val="auto"/>
          <w:sz w:val="24"/>
          <w:highlight w:val="none"/>
        </w:rPr>
        <w:t>，</w:t>
      </w:r>
      <w:r>
        <w:rPr>
          <w:rFonts w:ascii="宋体" w:hAnsi="宋体"/>
          <w:b/>
          <w:color w:val="auto"/>
          <w:sz w:val="24"/>
          <w:highlight w:val="none"/>
        </w:rPr>
        <w:t>也可采用驻场形式</w:t>
      </w:r>
      <w:r>
        <w:rPr>
          <w:rFonts w:hint="eastAsia" w:ascii="宋体" w:hAnsi="宋体"/>
          <w:b/>
          <w:color w:val="auto"/>
          <w:sz w:val="24"/>
          <w:highlight w:val="none"/>
        </w:rPr>
        <w:t>)</w:t>
      </w:r>
      <w:r>
        <w:rPr>
          <w:rFonts w:ascii="宋体" w:hAnsi="宋体"/>
          <w:b/>
          <w:color w:val="auto"/>
          <w:sz w:val="24"/>
          <w:highlight w:val="none"/>
        </w:rPr>
        <w:t>。</w:t>
      </w:r>
      <w:r>
        <w:rPr>
          <w:rFonts w:hint="eastAsia" w:ascii="宋体" w:hAnsi="宋体"/>
          <w:color w:val="auto"/>
          <w:sz w:val="24"/>
          <w:highlight w:val="none"/>
        </w:rPr>
        <w:t>6小时内修复；</w:t>
      </w:r>
      <w:bookmarkEnd w:id="0"/>
      <w:r>
        <w:rPr>
          <w:rFonts w:hint="eastAsia" w:ascii="宋体" w:hAnsi="宋体"/>
          <w:color w:val="auto"/>
          <w:sz w:val="24"/>
          <w:highlight w:val="none"/>
        </w:rPr>
        <w:t>特殊情况无法按时恢复的，中标人应予提供代用设备，确保甲方业务系统可正常运行。</w:t>
      </w:r>
      <w:r>
        <w:rPr>
          <w:rFonts w:hint="eastAsia" w:ascii="宋体" w:hAnsi="宋体"/>
          <w:b/>
          <w:color w:val="auto"/>
          <w:sz w:val="24"/>
          <w:highlight w:val="none"/>
        </w:rPr>
        <w:t>供应商</w:t>
      </w:r>
      <w:r>
        <w:rPr>
          <w:rFonts w:ascii="宋体" w:hAnsi="宋体"/>
          <w:b/>
          <w:color w:val="auto"/>
          <w:sz w:val="24"/>
          <w:highlight w:val="none"/>
        </w:rPr>
        <w:t>必须在投标文件中</w:t>
      </w:r>
      <w:r>
        <w:rPr>
          <w:rFonts w:hint="eastAsia" w:ascii="宋体" w:hAnsi="宋体"/>
          <w:b/>
          <w:color w:val="auto"/>
          <w:sz w:val="24"/>
          <w:highlight w:val="none"/>
        </w:rPr>
        <w:t>详细</w:t>
      </w:r>
      <w:r>
        <w:rPr>
          <w:rFonts w:ascii="宋体" w:hAnsi="宋体"/>
          <w:b/>
          <w:color w:val="auto"/>
          <w:sz w:val="24"/>
          <w:highlight w:val="none"/>
        </w:rPr>
        <w:t>说明</w:t>
      </w:r>
      <w:r>
        <w:rPr>
          <w:rFonts w:hint="eastAsia" w:ascii="宋体" w:hAnsi="宋体"/>
          <w:b/>
          <w:color w:val="auto"/>
          <w:sz w:val="24"/>
          <w:highlight w:val="none"/>
        </w:rPr>
        <w:t>如何</w:t>
      </w:r>
      <w:r>
        <w:rPr>
          <w:rFonts w:ascii="宋体" w:hAnsi="宋体"/>
          <w:b/>
          <w:color w:val="auto"/>
          <w:sz w:val="24"/>
          <w:highlight w:val="none"/>
        </w:rPr>
        <w:t>保证</w:t>
      </w:r>
      <w:r>
        <w:rPr>
          <w:rFonts w:hint="eastAsia" w:ascii="宋体" w:hAnsi="宋体"/>
          <w:b/>
          <w:color w:val="auto"/>
          <w:sz w:val="24"/>
          <w:highlight w:val="none"/>
        </w:rPr>
        <w:t>10分钟</w:t>
      </w:r>
      <w:r>
        <w:rPr>
          <w:rFonts w:ascii="宋体" w:hAnsi="宋体"/>
          <w:b/>
          <w:color w:val="auto"/>
          <w:sz w:val="24"/>
          <w:highlight w:val="none"/>
        </w:rPr>
        <w:t>到场，并承诺</w:t>
      </w:r>
      <w:r>
        <w:rPr>
          <w:rFonts w:hint="eastAsia" w:ascii="宋体" w:hAnsi="宋体"/>
          <w:b/>
          <w:color w:val="auto"/>
          <w:sz w:val="24"/>
          <w:highlight w:val="none"/>
        </w:rPr>
        <w:t>如未能在规定的时间内到场</w:t>
      </w:r>
      <w:r>
        <w:rPr>
          <w:rFonts w:ascii="宋体" w:hAnsi="宋体"/>
          <w:b/>
          <w:color w:val="auto"/>
          <w:sz w:val="24"/>
          <w:highlight w:val="none"/>
        </w:rPr>
        <w:t>或</w:t>
      </w:r>
      <w:r>
        <w:rPr>
          <w:rFonts w:hint="eastAsia" w:ascii="宋体" w:hAnsi="宋体"/>
          <w:b/>
          <w:color w:val="auto"/>
          <w:sz w:val="24"/>
          <w:highlight w:val="none"/>
        </w:rPr>
        <w:t>未能在规定的时间内完成相应服务，作为违约责任，每次扣除项目合同金额的</w:t>
      </w:r>
      <w:r>
        <w:rPr>
          <w:rFonts w:ascii="宋体" w:hAnsi="宋体"/>
          <w:b/>
          <w:color w:val="auto"/>
          <w:sz w:val="24"/>
          <w:highlight w:val="none"/>
        </w:rPr>
        <w:t>5</w:t>
      </w:r>
      <w:r>
        <w:rPr>
          <w:rFonts w:hint="eastAsia" w:ascii="宋体" w:hAnsi="宋体"/>
          <w:b/>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 xml:space="preserve">  3.2根据维保设备清单，保证所提供的备件必须是原厂备件。如所提供的备件为非原厂正规渠道产品，作为违约责任，每次扣除项目合同金额的</w:t>
      </w:r>
      <w:r>
        <w:rPr>
          <w:rFonts w:ascii="宋体" w:hAnsi="宋体"/>
          <w:color w:val="auto"/>
          <w:sz w:val="24"/>
          <w:highlight w:val="none"/>
        </w:rPr>
        <w:t>5</w:t>
      </w:r>
      <w:r>
        <w:rPr>
          <w:rFonts w:hint="eastAsia" w:ascii="宋体" w:hAnsi="宋体"/>
          <w:color w:val="auto"/>
          <w:sz w:val="24"/>
          <w:highlight w:val="none"/>
        </w:rPr>
        <w:t>%。</w:t>
      </w:r>
      <w:r>
        <w:rPr>
          <w:rFonts w:hint="eastAsia" w:ascii="宋体" w:hAnsi="宋体"/>
          <w:color w:val="auto"/>
          <w:sz w:val="24"/>
          <w:highlight w:val="none"/>
        </w:rPr>
        <w:br w:type="textWrapping"/>
      </w:r>
      <w:r>
        <w:rPr>
          <w:rFonts w:hint="eastAsia" w:ascii="宋体" w:hAnsi="宋体"/>
          <w:color w:val="auto"/>
          <w:sz w:val="24"/>
          <w:highlight w:val="none"/>
        </w:rPr>
        <w:t xml:space="preserve">  3.3</w:t>
      </w:r>
      <w:bookmarkStart w:id="1" w:name="OLE_LINK2"/>
      <w:r>
        <w:rPr>
          <w:rFonts w:hint="eastAsia" w:ascii="宋体" w:hAnsi="宋体"/>
          <w:color w:val="auto"/>
          <w:sz w:val="24"/>
          <w:highlight w:val="none"/>
        </w:rPr>
        <w:t>在维保期内，每季度一次对维保设备进行例行巡检并提供巡检报告，例行巡检内容应包括但不限于设备运行物理状态检查、电源稳定性和线路检查、系统性能检查、系统硬件诊断、系统错误报告的分析记录和整理、硬件微码升级、损坏的或有潜在故障部件的及时更换、设备清洁等。每次硬件故障处理后提供硬件处理和备件更换报告。每季度对该季度的系统运行状况做一个较全面的总结，提供一份分析报告书给用户方，该报告书要对设备起到故障预警和趋势预判的功能。一旦发现潜在风险，将向用户提供行之有效的解决方案，包括向用户提供设备系统升级、改造、更换等建议。用户可根据实际需要，要求维护公司增加或修改设备巡检的内容。</w:t>
      </w:r>
      <w:r>
        <w:rPr>
          <w:rFonts w:hint="eastAsia" w:ascii="宋体" w:hAnsi="宋体"/>
          <w:color w:val="auto"/>
          <w:sz w:val="24"/>
          <w:highlight w:val="none"/>
        </w:rPr>
        <w:br w:type="textWrapping"/>
      </w:r>
      <w:r>
        <w:rPr>
          <w:rFonts w:hint="eastAsia" w:ascii="宋体" w:hAnsi="宋体"/>
          <w:color w:val="auto"/>
          <w:sz w:val="24"/>
          <w:highlight w:val="none"/>
        </w:rPr>
        <w:t xml:space="preserve"> 3.4对校方的设备搬迁、系统变更与优化等配合提供合理的实施方案并提供工程师的现场支持，协助完成系统变更。</w:t>
      </w:r>
      <w:r>
        <w:rPr>
          <w:rFonts w:hint="eastAsia" w:ascii="宋体" w:hAnsi="宋体"/>
          <w:color w:val="auto"/>
          <w:sz w:val="24"/>
          <w:highlight w:val="none"/>
        </w:rPr>
        <w:br w:type="textWrapping"/>
      </w:r>
      <w:r>
        <w:rPr>
          <w:rFonts w:hint="eastAsia" w:ascii="宋体" w:hAnsi="宋体"/>
          <w:color w:val="auto"/>
          <w:sz w:val="24"/>
          <w:highlight w:val="none"/>
        </w:rPr>
        <w:t xml:space="preserve"> 3.5协助建立合理有效的设备运行维护管理制度、紧急情况的处理方案和恢复方案以及常见故障知识库。</w:t>
      </w:r>
      <w:r>
        <w:rPr>
          <w:rFonts w:hint="eastAsia" w:ascii="宋体" w:hAnsi="宋体"/>
          <w:color w:val="auto"/>
          <w:sz w:val="24"/>
          <w:highlight w:val="none"/>
        </w:rPr>
        <w:br w:type="textWrapping"/>
      </w:r>
      <w:r>
        <w:rPr>
          <w:rFonts w:hint="eastAsia" w:ascii="宋体" w:hAnsi="宋体"/>
          <w:color w:val="auto"/>
          <w:sz w:val="24"/>
          <w:highlight w:val="none"/>
        </w:rPr>
        <w:t xml:space="preserve"> 3.6投标方应提供参保设备的产品资料、操作手册和设备运行维护经验技术文档（资料包括纸质或电子版的文档），在线支持维护case知识库，其中包括最新的设备故障解决方案、用户常见问题及解答等。</w:t>
      </w:r>
      <w:r>
        <w:rPr>
          <w:rFonts w:hint="eastAsia" w:ascii="宋体" w:hAnsi="宋体"/>
          <w:color w:val="auto"/>
          <w:sz w:val="24"/>
          <w:highlight w:val="none"/>
        </w:rPr>
        <w:br w:type="textWrapping"/>
      </w:r>
      <w:r>
        <w:rPr>
          <w:rFonts w:hint="eastAsia" w:ascii="宋体" w:hAnsi="宋体"/>
          <w:color w:val="auto"/>
          <w:sz w:val="24"/>
          <w:highlight w:val="none"/>
        </w:rPr>
        <w:t xml:space="preserve"> 3.7投标方的维保服务期限为一年，维保期从合同签订之日起计。</w:t>
      </w:r>
      <w:r>
        <w:rPr>
          <w:rFonts w:hint="eastAsia" w:ascii="宋体" w:hAnsi="宋体"/>
          <w:color w:val="auto"/>
          <w:sz w:val="24"/>
          <w:highlight w:val="none"/>
        </w:rPr>
        <w:br w:type="textWrapping"/>
      </w:r>
      <w:r>
        <w:rPr>
          <w:rFonts w:hint="eastAsia" w:ascii="宋体" w:hAnsi="宋体"/>
          <w:color w:val="auto"/>
          <w:sz w:val="24"/>
          <w:highlight w:val="none"/>
        </w:rPr>
        <w:t xml:space="preserve"> 3.8投标方根据服务内容和要求，在维保期内提供免费的日常巡检、故障处理及备件更换服务。</w:t>
      </w:r>
    </w:p>
    <w:bookmarkEnd w:id="1"/>
    <w:p>
      <w:pPr>
        <w:tabs>
          <w:tab w:val="left" w:pos="2145"/>
        </w:tabs>
        <w:spacing w:line="360" w:lineRule="auto"/>
        <w:jc w:val="left"/>
        <w:rPr>
          <w:rFonts w:ascii="宋体" w:hAnsi="宋体"/>
          <w:color w:val="auto"/>
          <w:sz w:val="24"/>
          <w:highlight w:val="none"/>
        </w:rPr>
      </w:pPr>
      <w:r>
        <w:rPr>
          <w:rFonts w:hint="eastAsia" w:ascii="宋体" w:hAnsi="宋体"/>
          <w:color w:val="auto"/>
          <w:sz w:val="24"/>
          <w:highlight w:val="none"/>
        </w:rPr>
        <w:t>3.9提供自主研发</w:t>
      </w:r>
      <w:r>
        <w:rPr>
          <w:rFonts w:ascii="宋体" w:hAnsi="宋体"/>
          <w:color w:val="auto"/>
          <w:sz w:val="24"/>
          <w:highlight w:val="none"/>
        </w:rPr>
        <w:t>的</w:t>
      </w:r>
      <w:r>
        <w:rPr>
          <w:rFonts w:hint="eastAsia" w:ascii="宋体" w:hAnsi="宋体"/>
          <w:color w:val="auto"/>
          <w:sz w:val="24"/>
          <w:highlight w:val="none"/>
        </w:rPr>
        <w:t>IT运维服务管理系统一套</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(1)以电子化工单方式执行运维。</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(2)校方管理员可以实时了解工单进展情况和IT管理部门相关任务实现以电子工单形式下派。</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(3)运维系统需支持为维护人员配备手机端APP应用客户端用于实时受理和处理故障；</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(4)需支持高校用户使用手机微信等方式实时了解故障处理进展和参与服务评价，同时，方便故障问题跟踪追溯、统计分析。</w:t>
      </w:r>
    </w:p>
    <w:p>
      <w:pPr>
        <w:tabs>
          <w:tab w:val="left" w:pos="2145"/>
        </w:tabs>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(5)运维系统可以定期对服务进行统计分析和汇报，统计数据以系统日常维护数据为基础，按月提交分析报告，报告内容包括故障报修统计、故障分布位置统计、故障原因分类统计并分析、服务评价统计分析等。提交周期为月报、季报、年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904A1"/>
    <w:rsid w:val="3C69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2019-07-25T02:24:00Z</dcterms:created>
  <dc:creator>TZ</dc:creator>
  <cp:lastModifiedBy>TZ</cp:lastModifiedBy>
  <dcterms:modified xsi:type="dcterms:W3CDTF">2019-07-25T02:24:43Z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