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采购需求</w:t>
      </w:r>
    </w:p>
    <w:p>
      <w:pPr>
        <w:pStyle w:val="4"/>
        <w:bidi w:val="0"/>
        <w:rPr>
          <w:color w:val="auto"/>
          <w:highlight w:val="none"/>
        </w:rPr>
      </w:pPr>
      <w:bookmarkStart w:id="0" w:name="_Toc31327"/>
      <w:bookmarkStart w:id="1" w:name="_Toc450840086"/>
      <w:bookmarkStart w:id="2" w:name="_Toc23621"/>
      <w:r>
        <w:rPr>
          <w:rFonts w:hint="eastAsia"/>
          <w:color w:val="auto"/>
          <w:highlight w:val="none"/>
        </w:rPr>
        <w:t>一、采购</w:t>
      </w:r>
      <w:bookmarkEnd w:id="0"/>
      <w:r>
        <w:rPr>
          <w:rFonts w:hint="eastAsia"/>
          <w:color w:val="auto"/>
          <w:highlight w:val="none"/>
        </w:rPr>
        <w:t>内容及要求</w:t>
      </w:r>
    </w:p>
    <w:p>
      <w:pPr>
        <w:pStyle w:val="5"/>
        <w:bidi w:val="0"/>
        <w:rPr>
          <w:rFonts w:hint="eastAsia"/>
          <w:color w:val="auto"/>
          <w:highlight w:val="none"/>
        </w:rPr>
      </w:pPr>
      <w:r>
        <w:rPr>
          <w:rFonts w:hint="eastAsia"/>
          <w:color w:val="auto"/>
          <w:highlight w:val="none"/>
        </w:rPr>
        <w:t>（一）采购内容应用</w:t>
      </w:r>
    </w:p>
    <w:p>
      <w:pPr>
        <w:ind w:firstLine="480"/>
        <w:rPr>
          <w:rFonts w:hint="eastAsia"/>
          <w:color w:val="auto"/>
          <w:highlight w:val="none"/>
        </w:rPr>
      </w:pPr>
      <w:r>
        <w:rPr>
          <w:rFonts w:hint="eastAsia"/>
          <w:color w:val="auto"/>
          <w:highlight w:val="none"/>
        </w:rPr>
        <w:t>适用于湖水、海水、地表水、废水、土壤、植物、肥料、营养液中的氨氮、硝酸盐、亚硝酸盐、硫酸盐、硫化物、尿素、磷酸盐、硅酸盐、六价铬、氯化物、碱度等化学物质的全自动分析。</w:t>
      </w:r>
    </w:p>
    <w:p>
      <w:pPr>
        <w:pStyle w:val="5"/>
        <w:bidi w:val="0"/>
        <w:rPr>
          <w:rFonts w:hint="eastAsia"/>
          <w:color w:val="auto"/>
          <w:highlight w:val="none"/>
        </w:rPr>
      </w:pPr>
      <w:r>
        <w:rPr>
          <w:rFonts w:hint="eastAsia"/>
          <w:color w:val="auto"/>
          <w:highlight w:val="none"/>
        </w:rPr>
        <w:t>（二）采购内容及数量</w:t>
      </w:r>
    </w:p>
    <w:tbl>
      <w:tblPr>
        <w:tblStyle w:val="10"/>
        <w:tblW w:w="9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673"/>
        <w:gridCol w:w="1100"/>
        <w:gridCol w:w="1168"/>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48" w:type="dxa"/>
            <w:shd w:val="clear" w:color="auto" w:fill="auto"/>
            <w:vAlign w:val="center"/>
          </w:tcPr>
          <w:p>
            <w:pPr>
              <w:spacing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673" w:type="dxa"/>
            <w:shd w:val="clear" w:color="auto" w:fill="auto"/>
            <w:vAlign w:val="center"/>
          </w:tcPr>
          <w:p>
            <w:pPr>
              <w:spacing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内容</w:t>
            </w:r>
          </w:p>
        </w:tc>
        <w:tc>
          <w:tcPr>
            <w:tcW w:w="1100" w:type="dxa"/>
            <w:shd w:val="clear" w:color="auto" w:fill="auto"/>
            <w:vAlign w:val="center"/>
          </w:tcPr>
          <w:p>
            <w:pPr>
              <w:spacing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168" w:type="dxa"/>
            <w:shd w:val="clear" w:color="auto" w:fill="auto"/>
            <w:vAlign w:val="center"/>
          </w:tcPr>
          <w:p>
            <w:pPr>
              <w:spacing w:line="240" w:lineRule="auto"/>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2780" w:type="dxa"/>
            <w:shd w:val="clear" w:color="auto" w:fill="auto"/>
            <w:vAlign w:val="center"/>
          </w:tcPr>
          <w:p>
            <w:pPr>
              <w:ind w:firstLine="0" w:firstLineChars="0"/>
              <w:jc w:val="center"/>
              <w:rPr>
                <w:rFonts w:ascii="宋体" w:hAnsi="宋体" w:cs="宋体"/>
                <w:b/>
                <w:bCs/>
                <w:color w:val="auto"/>
                <w:kern w:val="0"/>
                <w:sz w:val="24"/>
                <w:szCs w:val="24"/>
                <w:highlight w:val="none"/>
                <w:shd w:val="clear" w:color="auto" w:fill="FFFFFF"/>
              </w:rPr>
            </w:pPr>
            <w:r>
              <w:rPr>
                <w:rFonts w:hint="eastAsia" w:ascii="宋体" w:hAnsi="宋体" w:cs="宋体"/>
                <w:b/>
                <w:bCs/>
                <w:color w:val="auto"/>
                <w:kern w:val="0"/>
                <w:sz w:val="24"/>
                <w:szCs w:val="24"/>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48" w:type="dxa"/>
            <w:shd w:val="clear" w:color="auto" w:fill="auto"/>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673" w:type="dxa"/>
            <w:shd w:val="clear" w:color="auto" w:fill="auto"/>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全自动间断分析仪</w:t>
            </w:r>
          </w:p>
        </w:tc>
        <w:tc>
          <w:tcPr>
            <w:tcW w:w="1100" w:type="dxa"/>
            <w:shd w:val="clear" w:color="auto" w:fill="auto"/>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2780" w:type="dxa"/>
            <w:shd w:val="clear" w:color="auto" w:fill="auto"/>
            <w:vAlign w:val="center"/>
          </w:tcPr>
          <w:p>
            <w:pPr>
              <w:pStyle w:val="2"/>
              <w:jc w:val="center"/>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详见技术要求</w:t>
            </w:r>
          </w:p>
        </w:tc>
      </w:tr>
    </w:tbl>
    <w:p>
      <w:pPr>
        <w:pStyle w:val="5"/>
        <w:bidi w:val="0"/>
        <w:rPr>
          <w:color w:val="auto"/>
          <w:highlight w:val="none"/>
        </w:rPr>
      </w:pPr>
      <w:r>
        <w:rPr>
          <w:rFonts w:hint="eastAsia"/>
          <w:color w:val="auto"/>
          <w:highlight w:val="none"/>
        </w:rPr>
        <w:t>（三）配置要求</w:t>
      </w:r>
    </w:p>
    <w:tbl>
      <w:tblPr>
        <w:tblStyle w:val="10"/>
        <w:tblW w:w="9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673"/>
        <w:gridCol w:w="1100"/>
        <w:gridCol w:w="1168"/>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673"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1100"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168"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2780" w:type="dxa"/>
            <w:shd w:val="clear" w:color="auto" w:fill="auto"/>
            <w:vAlign w:val="center"/>
          </w:tcPr>
          <w:p>
            <w:pPr>
              <w:ind w:firstLine="0" w:firstLineChars="0"/>
              <w:jc w:val="center"/>
              <w:rPr>
                <w:rFonts w:hint="eastAsia" w:ascii="宋体" w:hAnsi="宋体" w:eastAsia="宋体" w:cs="宋体"/>
                <w:b/>
                <w:bCs/>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双量程高精度微量液器</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restart"/>
            <w:shd w:val="clear" w:color="auto" w:fill="auto"/>
            <w:vAlign w:val="center"/>
          </w:tcPr>
          <w:p>
            <w:pPr>
              <w:pStyle w:val="2"/>
              <w:jc w:val="center"/>
              <w:rPr>
                <w:rFonts w:hint="eastAsia"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高精度自动稀释器</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原厂样品管</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至少3000</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样品架</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大容量比色杯自动装填系统</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原厂比色皿</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至少550</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智能移液&amp;加热&amp;探测装置</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比色管盘</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自动清洗工作站</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4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3673"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分析软件 （含电脑）</w:t>
            </w:r>
          </w:p>
        </w:tc>
        <w:tc>
          <w:tcPr>
            <w:tcW w:w="1100"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8" w:type="dxa"/>
            <w:shd w:val="clear" w:color="auto" w:fill="auto"/>
            <w:vAlign w:val="center"/>
          </w:tcPr>
          <w:p>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2780" w:type="dxa"/>
            <w:vMerge w:val="continue"/>
            <w:shd w:val="clear" w:color="auto" w:fill="auto"/>
            <w:vAlign w:val="center"/>
          </w:tcPr>
          <w:p>
            <w:pPr>
              <w:ind w:firstLine="0" w:firstLineChars="0"/>
              <w:rPr>
                <w:rFonts w:hint="eastAsia" w:ascii="宋体" w:hAnsi="宋体" w:eastAsia="宋体" w:cs="宋体"/>
                <w:bCs/>
                <w:color w:val="auto"/>
                <w:kern w:val="0"/>
                <w:sz w:val="24"/>
                <w:szCs w:val="24"/>
                <w:highlight w:val="none"/>
                <w:shd w:val="clear" w:color="auto" w:fill="FFFFFF"/>
              </w:rPr>
            </w:pPr>
          </w:p>
        </w:tc>
      </w:tr>
    </w:tbl>
    <w:p>
      <w:pPr>
        <w:pStyle w:val="5"/>
        <w:bidi w:val="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四</w:t>
      </w:r>
      <w:r>
        <w:rPr>
          <w:rFonts w:hint="eastAsia" w:ascii="宋体" w:hAnsi="宋体" w:cs="宋体"/>
          <w:color w:val="auto"/>
          <w:highlight w:val="none"/>
        </w:rPr>
        <w:t>）</w:t>
      </w:r>
      <w:r>
        <w:rPr>
          <w:color w:val="auto"/>
          <w:highlight w:val="none"/>
        </w:rPr>
        <w:t>技术参数及要求</w:t>
      </w:r>
    </w:p>
    <w:tbl>
      <w:tblPr>
        <w:tblStyle w:val="10"/>
        <w:tblW w:w="9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9"/>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16"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19"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280"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816"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19"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全自动间断分析仪</w:t>
            </w:r>
          </w:p>
        </w:tc>
        <w:tc>
          <w:tcPr>
            <w:tcW w:w="7280" w:type="dxa"/>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 xml:space="preserve"> 样品位：XYZ三维样品位，不少于5个样品架，含100个及以上的样品位，样品容量至少10ml，可以在测试过程中取出样品架并添加样品，操作过程不需暂停仪器，也不可打开取样臂防护盖。</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 xml:space="preserve"> 试剂存放：提供32个以上试剂位。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 xml:space="preserve"> 低温样品和试剂储存仓，计算机程序温度控制：8～20℃可调，有效地储存样品和试剂。</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 xml:space="preserve"> 无限载样功能;针对大批量样品测量，可以在不暂停主机且不打开取样臂防护盖的条件下，取出已测完的样品架，添加样品并再次载入。整个过程不可影响正在进行的其他样品测量。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5</w:t>
            </w:r>
            <w:r>
              <w:rPr>
                <w:rFonts w:hint="eastAsia"/>
                <w:color w:val="auto"/>
                <w:highlight w:val="none"/>
                <w:lang w:val="en-US" w:eastAsia="zh-CN"/>
              </w:rPr>
              <w:t>.</w:t>
            </w:r>
            <w:r>
              <w:rPr>
                <w:rFonts w:hint="eastAsia"/>
                <w:color w:val="auto"/>
                <w:highlight w:val="none"/>
              </w:rPr>
              <w:t xml:space="preserve"> 计算机控制高精度微量移液器：可以精密移取样品和标样，取样量：1.0～500μl或者更宽（步进量1μl）</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▲6</w:t>
            </w:r>
            <w:r>
              <w:rPr>
                <w:rFonts w:hint="eastAsia"/>
                <w:color w:val="auto"/>
                <w:highlight w:val="none"/>
                <w:lang w:val="en-US" w:eastAsia="zh-CN"/>
              </w:rPr>
              <w:t>.</w:t>
            </w:r>
            <w:r>
              <w:rPr>
                <w:rFonts w:hint="eastAsia"/>
                <w:color w:val="auto"/>
                <w:highlight w:val="none"/>
              </w:rPr>
              <w:t xml:space="preserve"> 计算机控制高精度稀释器：稀释器量程:10-5000μl，稀释倍数1-1000倍。可对超量程的样品进行前稀释和事后稀释。可自动配置工作标准系列。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 xml:space="preserve"> 移液针可程控往复运动，混匀搅拌样品,用于充分的混合反应</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▲8</w:t>
            </w:r>
            <w:r>
              <w:rPr>
                <w:rFonts w:hint="eastAsia"/>
                <w:color w:val="auto"/>
                <w:highlight w:val="none"/>
                <w:lang w:val="en-US" w:eastAsia="zh-CN"/>
              </w:rPr>
              <w:t>.</w:t>
            </w:r>
            <w:r>
              <w:rPr>
                <w:rFonts w:hint="eastAsia"/>
                <w:color w:val="auto"/>
                <w:highlight w:val="none"/>
              </w:rPr>
              <w:t xml:space="preserve"> 移液针具有电子液位探测功能，实现样品和试剂的容量的智能实时自动监测功能，软件可实时监控试剂的剩余容量，当容量不足时会提示报警及绕过当前试剂容量不足的项目，进行其它项目的分析。直至试剂添加后自动进行完成为完成项目的分析。提供软件监控试剂的剩余容量的界面截图。</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9</w:t>
            </w:r>
            <w:r>
              <w:rPr>
                <w:rFonts w:hint="eastAsia"/>
                <w:color w:val="auto"/>
                <w:highlight w:val="none"/>
                <w:lang w:val="en-US" w:eastAsia="zh-CN"/>
              </w:rPr>
              <w:t>.</w:t>
            </w:r>
            <w:r>
              <w:rPr>
                <w:rFonts w:hint="eastAsia"/>
                <w:color w:val="auto"/>
                <w:highlight w:val="none"/>
              </w:rPr>
              <w:t xml:space="preserve"> 移液针具有加热功能，可自动对样品和试剂进行预加热</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10</w:t>
            </w:r>
            <w:r>
              <w:rPr>
                <w:rFonts w:hint="eastAsia"/>
                <w:color w:val="auto"/>
                <w:highlight w:val="none"/>
                <w:lang w:val="en-US" w:eastAsia="zh-CN"/>
              </w:rPr>
              <w:t>.</w:t>
            </w:r>
            <w:r>
              <w:rPr>
                <w:rFonts w:hint="eastAsia"/>
                <w:color w:val="auto"/>
                <w:highlight w:val="none"/>
              </w:rPr>
              <w:t xml:space="preserve"> 移液针温度控制范围： 30～40℃</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▲11</w:t>
            </w:r>
            <w:r>
              <w:rPr>
                <w:rFonts w:hint="eastAsia"/>
                <w:color w:val="auto"/>
                <w:highlight w:val="none"/>
                <w:lang w:val="en-US" w:eastAsia="zh-CN"/>
              </w:rPr>
              <w:t>.</w:t>
            </w:r>
            <w:r>
              <w:rPr>
                <w:rFonts w:hint="eastAsia"/>
                <w:color w:val="auto"/>
                <w:highlight w:val="none"/>
              </w:rPr>
              <w:t xml:space="preserve"> 比色皿容量：可容纳不少于640个比色皿。比色皿光程为15mm。</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▲12</w:t>
            </w:r>
            <w:r>
              <w:rPr>
                <w:rFonts w:hint="eastAsia"/>
                <w:color w:val="auto"/>
                <w:highlight w:val="none"/>
                <w:lang w:val="en-US" w:eastAsia="zh-CN"/>
              </w:rPr>
              <w:t>.</w:t>
            </w:r>
            <w:r>
              <w:rPr>
                <w:rFonts w:hint="eastAsia"/>
                <w:color w:val="auto"/>
                <w:highlight w:val="none"/>
              </w:rPr>
              <w:t xml:space="preserve"> 比色皿自动填装系统:内置比色杯自动填装机,可一次自动填装640个比色皿,无须人工干预。仪器总共可一次性放置640个比色皿，无须人工干预可一次完成640个测试的要求。</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▲13</w:t>
            </w:r>
            <w:r>
              <w:rPr>
                <w:rFonts w:hint="eastAsia"/>
                <w:color w:val="auto"/>
                <w:highlight w:val="none"/>
                <w:lang w:val="en-US" w:eastAsia="zh-CN"/>
              </w:rPr>
              <w:t>.</w:t>
            </w:r>
            <w:r>
              <w:rPr>
                <w:rFonts w:hint="eastAsia"/>
                <w:color w:val="auto"/>
                <w:highlight w:val="none"/>
              </w:rPr>
              <w:t xml:space="preserve"> 化学废物分类处置柜:计算机控制的内置化学废物分类处置柜,可根据毒性分别处置化学废物，确保分析的安全性。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14</w:t>
            </w:r>
            <w:r>
              <w:rPr>
                <w:rFonts w:hint="eastAsia"/>
                <w:color w:val="auto"/>
                <w:highlight w:val="none"/>
                <w:lang w:val="en-US" w:eastAsia="zh-CN"/>
              </w:rPr>
              <w:t>.</w:t>
            </w:r>
            <w:r>
              <w:rPr>
                <w:rFonts w:hint="eastAsia"/>
                <w:color w:val="auto"/>
                <w:highlight w:val="none"/>
              </w:rPr>
              <w:t xml:space="preserve"> 自动清洗工作站：智能全针立体清洗技术，清洗工作站通过程控的双注射泵自动两步清洗，通过5000μl注塞泵采用激流式的单向冲洗移液针内壁和采用蠕动泵循环清洗的方式淋洗移液针外壁，保证清洗的质量和效率。所用清洗针需采用特殊合金，具有自动加热、试剂和样品量的自动探测功能，耐酸碱腐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15</w:t>
            </w:r>
            <w:r>
              <w:rPr>
                <w:rFonts w:hint="eastAsia"/>
                <w:color w:val="auto"/>
                <w:highlight w:val="none"/>
                <w:lang w:val="en-US" w:eastAsia="zh-CN"/>
              </w:rPr>
              <w:t>.</w:t>
            </w:r>
            <w:r>
              <w:rPr>
                <w:rFonts w:hint="eastAsia"/>
                <w:color w:val="auto"/>
                <w:highlight w:val="none"/>
              </w:rPr>
              <w:t xml:space="preserve"> 检测器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 xml:space="preserve">（1）双光束32位高分辨率数字检测器，波长范围340-1100nm，计算机控制滤光轮，含8滤光片。光源：卤素钨灯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16</w:t>
            </w:r>
            <w:r>
              <w:rPr>
                <w:rFonts w:hint="eastAsia"/>
                <w:color w:val="auto"/>
                <w:highlight w:val="none"/>
                <w:lang w:val="en-US" w:eastAsia="zh-CN"/>
              </w:rPr>
              <w:t>.</w:t>
            </w:r>
            <w:r>
              <w:rPr>
                <w:rFonts w:hint="eastAsia"/>
                <w:color w:val="auto"/>
                <w:highlight w:val="none"/>
              </w:rPr>
              <w:t xml:space="preserve"> 吸光度范围： 0-4.5AUFS</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17</w:t>
            </w:r>
            <w:r>
              <w:rPr>
                <w:rFonts w:hint="eastAsia"/>
                <w:color w:val="auto"/>
                <w:highlight w:val="none"/>
                <w:lang w:val="en-US" w:eastAsia="zh-CN"/>
              </w:rPr>
              <w:t>.</w:t>
            </w:r>
            <w:r>
              <w:rPr>
                <w:rFonts w:hint="eastAsia"/>
                <w:color w:val="auto"/>
                <w:highlight w:val="none"/>
              </w:rPr>
              <w:t xml:space="preserve"> 分辨率： 0.0001AUFS</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▲18</w:t>
            </w:r>
            <w:r>
              <w:rPr>
                <w:rFonts w:hint="eastAsia"/>
                <w:color w:val="auto"/>
                <w:highlight w:val="none"/>
                <w:lang w:val="en-US" w:eastAsia="zh-CN"/>
              </w:rPr>
              <w:t>.</w:t>
            </w:r>
            <w:r>
              <w:rPr>
                <w:rFonts w:hint="eastAsia"/>
                <w:color w:val="auto"/>
                <w:highlight w:val="none"/>
              </w:rPr>
              <w:t xml:space="preserve"> 分析仪内置彩色触摸屏的控制器，可查看全部信息，例如分析仪的状态、各部分温度、滤光器、实时监控试剂和剩余的测试容量等信息。常规分析操作和维护亦可通过触屏完成，如加载比色皿、试剂和样品杯，暂停/启动仪器分析、更换过滤器、清洗移液针和稀释器等一系列任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19</w:t>
            </w:r>
            <w:r>
              <w:rPr>
                <w:rFonts w:hint="eastAsia"/>
                <w:color w:val="auto"/>
                <w:highlight w:val="none"/>
                <w:lang w:val="en-US" w:eastAsia="zh-CN"/>
              </w:rPr>
              <w:t>.</w:t>
            </w:r>
            <w:r>
              <w:rPr>
                <w:rFonts w:hint="eastAsia"/>
                <w:color w:val="auto"/>
                <w:highlight w:val="none"/>
              </w:rPr>
              <w:t xml:space="preserve"> 分析软件：一键启动运行，全过程实现无人操作；方法间实现完全自动转换；自动配制标样，可选择手工配制或仪器自动配制标准曲线；超标样品自动稀释再分析；可在测量过程中继续加样，可以自动输出标准曲线及计算公式，直接调出以前的原始测试数据，可输出excel，txt等格式数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color w:val="auto"/>
                <w:highlight w:val="none"/>
              </w:rPr>
            </w:pPr>
            <w:r>
              <w:rPr>
                <w:rFonts w:hint="eastAsia"/>
                <w:color w:val="auto"/>
                <w:highlight w:val="none"/>
              </w:rPr>
              <w:t>20</w:t>
            </w:r>
            <w:r>
              <w:rPr>
                <w:rFonts w:hint="eastAsia"/>
                <w:color w:val="auto"/>
                <w:highlight w:val="none"/>
                <w:lang w:val="en-US" w:eastAsia="zh-CN"/>
              </w:rPr>
              <w:t>.</w:t>
            </w:r>
            <w:r>
              <w:rPr>
                <w:rFonts w:hint="eastAsia"/>
                <w:color w:val="auto"/>
                <w:highlight w:val="none"/>
              </w:rPr>
              <w:t xml:space="preserve"> 投标产品需为原装进口货物，必须提供制造商国际ISO认证证书，产品CE认证证书，认证证书与所投品牌必须归属于同一公司。提供证书官方查询结果及电子路径。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auto"/>
                <w:kern w:val="0"/>
                <w:szCs w:val="24"/>
                <w:highlight w:val="none"/>
              </w:rPr>
            </w:pPr>
            <w:r>
              <w:rPr>
                <w:rFonts w:hint="eastAsia"/>
                <w:color w:val="auto"/>
                <w:highlight w:val="none"/>
              </w:rPr>
              <w:t>21</w:t>
            </w:r>
            <w:r>
              <w:rPr>
                <w:rFonts w:hint="eastAsia"/>
                <w:color w:val="auto"/>
                <w:highlight w:val="none"/>
                <w:lang w:val="en-US" w:eastAsia="zh-CN"/>
              </w:rPr>
              <w:t>.</w:t>
            </w:r>
            <w:r>
              <w:rPr>
                <w:rFonts w:hint="eastAsia"/>
                <w:color w:val="auto"/>
                <w:highlight w:val="none"/>
              </w:rPr>
              <w:t xml:space="preserve"> 品牌电脑、打印机各一台</w:t>
            </w:r>
          </w:p>
        </w:tc>
      </w:tr>
    </w:tbl>
    <w:p>
      <w:pPr>
        <w:pStyle w:val="6"/>
        <w:ind w:firstLine="482"/>
        <w:rPr>
          <w:color w:val="auto"/>
          <w:highlight w:val="none"/>
        </w:rPr>
        <w:sectPr>
          <w:headerReference r:id="rId3" w:type="first"/>
          <w:footerReference r:id="rId5" w:type="first"/>
          <w:footerReference r:id="rId4" w:type="default"/>
          <w:pgSz w:w="11907" w:h="16840"/>
          <w:pgMar w:top="1247" w:right="1304" w:bottom="1021" w:left="1304" w:header="720" w:footer="720" w:gutter="0"/>
          <w:cols w:space="720" w:num="1"/>
          <w:docGrid w:linePitch="326" w:charSpace="0"/>
        </w:sectPr>
      </w:pPr>
    </w:p>
    <w:p>
      <w:pPr>
        <w:pStyle w:val="5"/>
        <w:bidi w:val="0"/>
        <w:rPr>
          <w:rFonts w:hint="eastAsia"/>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五</w:t>
      </w:r>
      <w:r>
        <w:rPr>
          <w:rFonts w:hint="eastAsia" w:ascii="宋体" w:hAnsi="宋体" w:cs="宋体"/>
          <w:color w:val="auto"/>
          <w:highlight w:val="none"/>
        </w:rPr>
        <w:t>）</w:t>
      </w:r>
      <w:r>
        <w:rPr>
          <w:color w:val="auto"/>
          <w:highlight w:val="none"/>
        </w:rPr>
        <w:t>各测量参数具体要求</w:t>
      </w:r>
    </w:p>
    <w:p>
      <w:pPr>
        <w:bidi w:val="0"/>
        <w:rPr>
          <w:color w:val="auto"/>
          <w:highlight w:val="none"/>
        </w:rPr>
      </w:pPr>
      <w:r>
        <w:rPr>
          <w:color w:val="auto"/>
          <w:highlight w:val="none"/>
        </w:rPr>
        <w:t>1</w:t>
      </w:r>
      <w:r>
        <w:rPr>
          <w:rFonts w:hint="eastAsia"/>
          <w:color w:val="auto"/>
          <w:highlight w:val="none"/>
        </w:rPr>
        <w:t>．</w:t>
      </w:r>
      <w:r>
        <w:rPr>
          <w:color w:val="auto"/>
          <w:highlight w:val="none"/>
        </w:rPr>
        <w:t>分析项目：氨氮</w:t>
      </w:r>
    </w:p>
    <w:p>
      <w:pPr>
        <w:bidi w:val="0"/>
        <w:rPr>
          <w:color w:val="auto"/>
          <w:highlight w:val="none"/>
        </w:rPr>
      </w:pPr>
      <w:r>
        <w:rPr>
          <w:rFonts w:hint="eastAsia"/>
          <w:color w:val="auto"/>
          <w:highlight w:val="none"/>
        </w:rPr>
        <w:t>（2）</w:t>
      </w:r>
      <w:r>
        <w:rPr>
          <w:color w:val="auto"/>
          <w:highlight w:val="none"/>
        </w:rPr>
        <w:t>量程范围：0-2 mg/L（以N计）</w:t>
      </w:r>
    </w:p>
    <w:p>
      <w:pPr>
        <w:bidi w:val="0"/>
        <w:rPr>
          <w:color w:val="auto"/>
          <w:highlight w:val="none"/>
        </w:rPr>
      </w:pPr>
      <w:r>
        <w:rPr>
          <w:rFonts w:hint="eastAsia"/>
          <w:color w:val="auto"/>
          <w:highlight w:val="none"/>
        </w:rPr>
        <w:t>（3）</w:t>
      </w:r>
      <w:r>
        <w:rPr>
          <w:color w:val="auto"/>
          <w:highlight w:val="none"/>
        </w:rPr>
        <w:t>方法检测限：≤0.01 mg/L（以N计）</w:t>
      </w:r>
    </w:p>
    <w:p>
      <w:pPr>
        <w:bidi w:val="0"/>
        <w:rPr>
          <w:color w:val="auto"/>
          <w:highlight w:val="none"/>
        </w:rPr>
      </w:pPr>
      <w:r>
        <w:rPr>
          <w:rFonts w:hint="eastAsia"/>
          <w:color w:val="auto"/>
          <w:highlight w:val="none"/>
        </w:rPr>
        <w:t>（4）</w:t>
      </w:r>
      <w:r>
        <w:rPr>
          <w:color w:val="auto"/>
          <w:highlight w:val="none"/>
        </w:rPr>
        <w:t>检测重复性：≤1.2%（1 mg/L标样重复10次进样）</w:t>
      </w:r>
    </w:p>
    <w:p>
      <w:pPr>
        <w:bidi w:val="0"/>
        <w:rPr>
          <w:color w:val="auto"/>
          <w:highlight w:val="none"/>
        </w:rPr>
      </w:pPr>
      <w:r>
        <w:rPr>
          <w:rFonts w:hint="eastAsia"/>
          <w:color w:val="auto"/>
          <w:highlight w:val="none"/>
        </w:rPr>
        <w:t>2.</w:t>
      </w:r>
      <w:r>
        <w:rPr>
          <w:color w:val="auto"/>
          <w:highlight w:val="none"/>
        </w:rPr>
        <w:t>分析项目：总凯氏氮</w:t>
      </w:r>
    </w:p>
    <w:p>
      <w:pPr>
        <w:bidi w:val="0"/>
        <w:rPr>
          <w:color w:val="auto"/>
          <w:highlight w:val="none"/>
        </w:rPr>
      </w:pPr>
      <w:r>
        <w:rPr>
          <w:rFonts w:hint="eastAsia"/>
          <w:color w:val="auto"/>
          <w:highlight w:val="none"/>
        </w:rPr>
        <w:t>（1）</w:t>
      </w:r>
      <w:r>
        <w:rPr>
          <w:color w:val="auto"/>
          <w:highlight w:val="none"/>
        </w:rPr>
        <w:t>量程范围：0-10 mg/L（以N计）</w:t>
      </w:r>
    </w:p>
    <w:p>
      <w:pPr>
        <w:bidi w:val="0"/>
        <w:rPr>
          <w:color w:val="auto"/>
          <w:highlight w:val="none"/>
        </w:rPr>
      </w:pPr>
      <w:r>
        <w:rPr>
          <w:rFonts w:hint="eastAsia"/>
          <w:color w:val="auto"/>
          <w:highlight w:val="none"/>
        </w:rPr>
        <w:t>（2）</w:t>
      </w:r>
      <w:r>
        <w:rPr>
          <w:color w:val="auto"/>
          <w:highlight w:val="none"/>
        </w:rPr>
        <w:t>方法检测限：≤0.1 mg/L（以N计）</w:t>
      </w:r>
    </w:p>
    <w:p>
      <w:pPr>
        <w:bidi w:val="0"/>
        <w:rPr>
          <w:color w:val="auto"/>
          <w:highlight w:val="none"/>
        </w:rPr>
      </w:pPr>
      <w:r>
        <w:rPr>
          <w:rFonts w:hint="eastAsia"/>
          <w:color w:val="auto"/>
          <w:highlight w:val="none"/>
        </w:rPr>
        <w:t>（3）</w:t>
      </w:r>
      <w:r>
        <w:rPr>
          <w:color w:val="auto"/>
          <w:highlight w:val="none"/>
        </w:rPr>
        <w:t>检测重复性：≤1.2%（5 mg/L标样重复10次进样）</w:t>
      </w:r>
    </w:p>
    <w:p>
      <w:pPr>
        <w:bidi w:val="0"/>
        <w:rPr>
          <w:color w:val="auto"/>
          <w:highlight w:val="none"/>
        </w:rPr>
      </w:pPr>
      <w:r>
        <w:rPr>
          <w:rFonts w:hint="eastAsia"/>
          <w:color w:val="auto"/>
          <w:highlight w:val="none"/>
        </w:rPr>
        <w:t>3.</w:t>
      </w:r>
      <w:r>
        <w:rPr>
          <w:color w:val="auto"/>
          <w:highlight w:val="none"/>
        </w:rPr>
        <w:t>分析项目：亚硝酸盐</w:t>
      </w:r>
    </w:p>
    <w:p>
      <w:pPr>
        <w:bidi w:val="0"/>
        <w:rPr>
          <w:color w:val="auto"/>
          <w:highlight w:val="none"/>
        </w:rPr>
      </w:pPr>
      <w:r>
        <w:rPr>
          <w:rFonts w:hint="eastAsia"/>
          <w:color w:val="auto"/>
          <w:highlight w:val="none"/>
        </w:rPr>
        <w:t>（1）</w:t>
      </w:r>
      <w:r>
        <w:rPr>
          <w:color w:val="auto"/>
          <w:highlight w:val="none"/>
        </w:rPr>
        <w:t>量程范围：0-2.0 mg/L（以NO2-N计）</w:t>
      </w:r>
    </w:p>
    <w:p>
      <w:pPr>
        <w:bidi w:val="0"/>
        <w:rPr>
          <w:color w:val="auto"/>
          <w:highlight w:val="none"/>
        </w:rPr>
      </w:pPr>
      <w:r>
        <w:rPr>
          <w:rFonts w:hint="eastAsia"/>
          <w:color w:val="auto"/>
          <w:highlight w:val="none"/>
        </w:rPr>
        <w:t>（2）</w:t>
      </w:r>
      <w:r>
        <w:rPr>
          <w:color w:val="auto"/>
          <w:highlight w:val="none"/>
        </w:rPr>
        <w:t>方法检测限：0.01 mg/L（以NO2-N计）</w:t>
      </w:r>
    </w:p>
    <w:p>
      <w:pPr>
        <w:bidi w:val="0"/>
        <w:rPr>
          <w:color w:val="auto"/>
          <w:highlight w:val="none"/>
        </w:rPr>
      </w:pPr>
      <w:r>
        <w:rPr>
          <w:rFonts w:hint="eastAsia"/>
          <w:color w:val="auto"/>
          <w:highlight w:val="none"/>
        </w:rPr>
        <w:t>（3）</w:t>
      </w:r>
      <w:r>
        <w:rPr>
          <w:color w:val="auto"/>
          <w:highlight w:val="none"/>
        </w:rPr>
        <w:t>检测重复性：≤1.2%（1.0 mg/L NO2-N标样重复10次进样）</w:t>
      </w:r>
    </w:p>
    <w:p>
      <w:pPr>
        <w:bidi w:val="0"/>
        <w:rPr>
          <w:color w:val="auto"/>
          <w:highlight w:val="none"/>
        </w:rPr>
      </w:pPr>
      <w:r>
        <w:rPr>
          <w:rFonts w:hint="eastAsia"/>
          <w:color w:val="auto"/>
          <w:highlight w:val="none"/>
        </w:rPr>
        <w:t>4.</w:t>
      </w:r>
      <w:r>
        <w:rPr>
          <w:color w:val="auto"/>
          <w:highlight w:val="none"/>
        </w:rPr>
        <w:t>分析项目： 硝酸盐</w:t>
      </w:r>
    </w:p>
    <w:p>
      <w:pPr>
        <w:bidi w:val="0"/>
        <w:rPr>
          <w:color w:val="auto"/>
          <w:highlight w:val="none"/>
        </w:rPr>
      </w:pPr>
      <w:r>
        <w:rPr>
          <w:rFonts w:hint="eastAsia"/>
          <w:color w:val="auto"/>
          <w:highlight w:val="none"/>
        </w:rPr>
        <w:t>（1）</w:t>
      </w:r>
      <w:r>
        <w:rPr>
          <w:color w:val="auto"/>
          <w:highlight w:val="none"/>
        </w:rPr>
        <w:t>量程范围：0-5 mg/L（以NO3-N计）</w:t>
      </w:r>
    </w:p>
    <w:p>
      <w:pPr>
        <w:bidi w:val="0"/>
        <w:rPr>
          <w:color w:val="auto"/>
          <w:highlight w:val="none"/>
        </w:rPr>
      </w:pPr>
      <w:r>
        <w:rPr>
          <w:rFonts w:hint="eastAsia"/>
          <w:color w:val="auto"/>
          <w:highlight w:val="none"/>
        </w:rPr>
        <w:t>（2）</w:t>
      </w:r>
      <w:r>
        <w:rPr>
          <w:color w:val="auto"/>
          <w:highlight w:val="none"/>
        </w:rPr>
        <w:t>方法检测限：0.02mg/L（以NO3-N计）</w:t>
      </w:r>
    </w:p>
    <w:p>
      <w:pPr>
        <w:bidi w:val="0"/>
        <w:rPr>
          <w:color w:val="auto"/>
          <w:highlight w:val="none"/>
        </w:rPr>
      </w:pPr>
      <w:r>
        <w:rPr>
          <w:rFonts w:hint="eastAsia"/>
          <w:color w:val="auto"/>
          <w:highlight w:val="none"/>
        </w:rPr>
        <w:t>（3）</w:t>
      </w:r>
      <w:r>
        <w:rPr>
          <w:color w:val="auto"/>
          <w:highlight w:val="none"/>
        </w:rPr>
        <w:t>检测重复性：≤1.2%（2 mg/L NO3-N标样重复10次进样）</w:t>
      </w:r>
    </w:p>
    <w:p>
      <w:pPr>
        <w:bidi w:val="0"/>
        <w:rPr>
          <w:color w:val="auto"/>
          <w:highlight w:val="none"/>
        </w:rPr>
      </w:pPr>
      <w:r>
        <w:rPr>
          <w:rFonts w:hint="eastAsia"/>
          <w:color w:val="auto"/>
          <w:highlight w:val="none"/>
        </w:rPr>
        <w:t>5.</w:t>
      </w:r>
      <w:r>
        <w:rPr>
          <w:color w:val="auto"/>
          <w:highlight w:val="none"/>
        </w:rPr>
        <w:t>分析项目： 总氮</w:t>
      </w:r>
    </w:p>
    <w:p>
      <w:pPr>
        <w:bidi w:val="0"/>
        <w:rPr>
          <w:color w:val="auto"/>
          <w:highlight w:val="none"/>
        </w:rPr>
      </w:pPr>
      <w:r>
        <w:rPr>
          <w:rFonts w:hint="eastAsia"/>
          <w:color w:val="auto"/>
          <w:highlight w:val="none"/>
        </w:rPr>
        <w:t>（1）</w:t>
      </w:r>
      <w:r>
        <w:rPr>
          <w:color w:val="auto"/>
          <w:highlight w:val="none"/>
        </w:rPr>
        <w:t>量程范围：0-10 mg/L（以NO3-N计）</w:t>
      </w:r>
    </w:p>
    <w:p>
      <w:pPr>
        <w:bidi w:val="0"/>
        <w:rPr>
          <w:color w:val="auto"/>
          <w:highlight w:val="none"/>
        </w:rPr>
      </w:pPr>
      <w:r>
        <w:rPr>
          <w:rFonts w:hint="eastAsia"/>
          <w:color w:val="auto"/>
          <w:highlight w:val="none"/>
        </w:rPr>
        <w:t>（2）</w:t>
      </w:r>
      <w:r>
        <w:rPr>
          <w:color w:val="auto"/>
          <w:highlight w:val="none"/>
        </w:rPr>
        <w:t>方法检测限：0.1 mg/L（以NO3-N计）</w:t>
      </w:r>
    </w:p>
    <w:p>
      <w:pPr>
        <w:bidi w:val="0"/>
        <w:rPr>
          <w:color w:val="auto"/>
          <w:highlight w:val="none"/>
        </w:rPr>
      </w:pPr>
      <w:r>
        <w:rPr>
          <w:rFonts w:hint="eastAsia"/>
          <w:color w:val="auto"/>
          <w:highlight w:val="none"/>
        </w:rPr>
        <w:t>（3）</w:t>
      </w:r>
      <w:r>
        <w:rPr>
          <w:color w:val="auto"/>
          <w:highlight w:val="none"/>
        </w:rPr>
        <w:t>检测重复性：≤1.2%（5 mg/L NO3-N标样重复10次进样）</w:t>
      </w:r>
    </w:p>
    <w:p>
      <w:pPr>
        <w:bidi w:val="0"/>
        <w:rPr>
          <w:color w:val="auto"/>
          <w:highlight w:val="none"/>
        </w:rPr>
      </w:pPr>
      <w:r>
        <w:rPr>
          <w:rFonts w:hint="eastAsia"/>
          <w:color w:val="auto"/>
          <w:highlight w:val="none"/>
        </w:rPr>
        <w:t>6.</w:t>
      </w:r>
      <w:r>
        <w:rPr>
          <w:color w:val="auto"/>
          <w:highlight w:val="none"/>
        </w:rPr>
        <w:t>分析项目：磷酸盐</w:t>
      </w:r>
    </w:p>
    <w:p>
      <w:pPr>
        <w:bidi w:val="0"/>
        <w:rPr>
          <w:color w:val="auto"/>
          <w:highlight w:val="none"/>
        </w:rPr>
      </w:pPr>
      <w:r>
        <w:rPr>
          <w:rFonts w:hint="eastAsia"/>
          <w:color w:val="auto"/>
          <w:highlight w:val="none"/>
        </w:rPr>
        <w:t>（1）</w:t>
      </w:r>
      <w:r>
        <w:rPr>
          <w:color w:val="auto"/>
          <w:highlight w:val="none"/>
        </w:rPr>
        <w:t>量程范围：0-1mg/L</w:t>
      </w:r>
    </w:p>
    <w:p>
      <w:pPr>
        <w:bidi w:val="0"/>
        <w:rPr>
          <w:color w:val="auto"/>
          <w:highlight w:val="none"/>
        </w:rPr>
      </w:pPr>
      <w:r>
        <w:rPr>
          <w:rFonts w:hint="eastAsia"/>
          <w:color w:val="auto"/>
          <w:highlight w:val="none"/>
        </w:rPr>
        <w:t>（2）</w:t>
      </w:r>
      <w:r>
        <w:rPr>
          <w:color w:val="auto"/>
          <w:highlight w:val="none"/>
        </w:rPr>
        <w:t>方法检测限：≤0.01mg/L（以P计）</w:t>
      </w:r>
    </w:p>
    <w:p>
      <w:pPr>
        <w:bidi w:val="0"/>
        <w:rPr>
          <w:color w:val="auto"/>
          <w:highlight w:val="none"/>
        </w:rPr>
      </w:pPr>
      <w:r>
        <w:rPr>
          <w:rFonts w:hint="eastAsia"/>
          <w:color w:val="auto"/>
          <w:highlight w:val="none"/>
        </w:rPr>
        <w:t>（3）</w:t>
      </w:r>
      <w:r>
        <w:rPr>
          <w:color w:val="auto"/>
          <w:highlight w:val="none"/>
        </w:rPr>
        <w:t>检测重复性：≤1.2%（0.5mg/l P标样重复10次进样）</w:t>
      </w:r>
    </w:p>
    <w:p>
      <w:pPr>
        <w:bidi w:val="0"/>
        <w:rPr>
          <w:color w:val="auto"/>
          <w:highlight w:val="none"/>
        </w:rPr>
      </w:pPr>
      <w:r>
        <w:rPr>
          <w:rFonts w:hint="eastAsia"/>
          <w:color w:val="auto"/>
          <w:highlight w:val="none"/>
        </w:rPr>
        <w:t>7.</w:t>
      </w:r>
      <w:r>
        <w:rPr>
          <w:color w:val="auto"/>
          <w:highlight w:val="none"/>
        </w:rPr>
        <w:t>分析项目：总磷</w:t>
      </w:r>
    </w:p>
    <w:p>
      <w:pPr>
        <w:bidi w:val="0"/>
        <w:rPr>
          <w:color w:val="auto"/>
          <w:highlight w:val="none"/>
        </w:rPr>
      </w:pPr>
      <w:r>
        <w:rPr>
          <w:rFonts w:hint="eastAsia"/>
          <w:color w:val="auto"/>
          <w:highlight w:val="none"/>
        </w:rPr>
        <w:t>（1）</w:t>
      </w:r>
      <w:r>
        <w:rPr>
          <w:color w:val="auto"/>
          <w:highlight w:val="none"/>
        </w:rPr>
        <w:t>量程范围：0-10mg/L</w:t>
      </w:r>
    </w:p>
    <w:p>
      <w:pPr>
        <w:bidi w:val="0"/>
        <w:rPr>
          <w:color w:val="auto"/>
          <w:highlight w:val="none"/>
        </w:rPr>
      </w:pPr>
      <w:r>
        <w:rPr>
          <w:rFonts w:hint="eastAsia"/>
          <w:color w:val="auto"/>
          <w:highlight w:val="none"/>
        </w:rPr>
        <w:t>（2）</w:t>
      </w:r>
      <w:r>
        <w:rPr>
          <w:color w:val="auto"/>
          <w:highlight w:val="none"/>
        </w:rPr>
        <w:t>方法检测限：≤0.1mg/L（以P计）</w:t>
      </w:r>
    </w:p>
    <w:p>
      <w:pPr>
        <w:bidi w:val="0"/>
        <w:rPr>
          <w:color w:val="auto"/>
          <w:highlight w:val="none"/>
        </w:rPr>
      </w:pPr>
      <w:r>
        <w:rPr>
          <w:rFonts w:hint="eastAsia"/>
          <w:color w:val="auto"/>
          <w:highlight w:val="none"/>
        </w:rPr>
        <w:t>（3）</w:t>
      </w:r>
      <w:r>
        <w:rPr>
          <w:color w:val="auto"/>
          <w:highlight w:val="none"/>
        </w:rPr>
        <w:t>检测重复性：≤1.2%（5mg/l P标样重复10次进样）</w:t>
      </w:r>
    </w:p>
    <w:p>
      <w:pPr>
        <w:bidi w:val="0"/>
        <w:rPr>
          <w:color w:val="auto"/>
          <w:highlight w:val="none"/>
        </w:rPr>
      </w:pPr>
      <w:r>
        <w:rPr>
          <w:rFonts w:hint="eastAsia"/>
          <w:color w:val="auto"/>
          <w:highlight w:val="none"/>
        </w:rPr>
        <w:t>8.</w:t>
      </w:r>
      <w:r>
        <w:rPr>
          <w:color w:val="auto"/>
          <w:highlight w:val="none"/>
        </w:rPr>
        <w:t>分析项目：硫酸盐</w:t>
      </w:r>
    </w:p>
    <w:p>
      <w:pPr>
        <w:bidi w:val="0"/>
        <w:rPr>
          <w:color w:val="auto"/>
          <w:highlight w:val="none"/>
        </w:rPr>
      </w:pPr>
      <w:r>
        <w:rPr>
          <w:rFonts w:hint="eastAsia"/>
          <w:color w:val="auto"/>
          <w:highlight w:val="none"/>
        </w:rPr>
        <w:t>（1）</w:t>
      </w:r>
      <w:r>
        <w:rPr>
          <w:color w:val="auto"/>
          <w:highlight w:val="none"/>
        </w:rPr>
        <w:t>量程范围：10-40 mg/L</w:t>
      </w:r>
    </w:p>
    <w:p>
      <w:pPr>
        <w:bidi w:val="0"/>
        <w:rPr>
          <w:color w:val="auto"/>
          <w:highlight w:val="none"/>
        </w:rPr>
      </w:pPr>
      <w:r>
        <w:rPr>
          <w:rFonts w:hint="eastAsia"/>
          <w:color w:val="auto"/>
          <w:highlight w:val="none"/>
        </w:rPr>
        <w:t>（2）</w:t>
      </w:r>
      <w:r>
        <w:rPr>
          <w:color w:val="auto"/>
          <w:highlight w:val="none"/>
        </w:rPr>
        <w:t>方法检测限：≤ 0.5 mg/L（以SO4计）</w:t>
      </w:r>
    </w:p>
    <w:p>
      <w:pPr>
        <w:bidi w:val="0"/>
        <w:rPr>
          <w:color w:val="auto"/>
          <w:highlight w:val="none"/>
        </w:rPr>
      </w:pPr>
      <w:r>
        <w:rPr>
          <w:rFonts w:hint="eastAsia"/>
          <w:color w:val="auto"/>
          <w:highlight w:val="none"/>
        </w:rPr>
        <w:t>（3）</w:t>
      </w:r>
      <w:r>
        <w:rPr>
          <w:color w:val="auto"/>
          <w:highlight w:val="none"/>
        </w:rPr>
        <w:t>检测重复性：≤1.2%（10mg/l SO4标样重复10次进样）</w:t>
      </w:r>
    </w:p>
    <w:p>
      <w:pPr>
        <w:bidi w:val="0"/>
        <w:rPr>
          <w:color w:val="auto"/>
          <w:highlight w:val="none"/>
        </w:rPr>
      </w:pPr>
      <w:r>
        <w:rPr>
          <w:rFonts w:hint="eastAsia"/>
          <w:color w:val="auto"/>
          <w:highlight w:val="none"/>
        </w:rPr>
        <w:t>9</w:t>
      </w:r>
      <w:r>
        <w:rPr>
          <w:color w:val="auto"/>
          <w:highlight w:val="none"/>
        </w:rPr>
        <w:t>分析项目：氯化物</w:t>
      </w:r>
    </w:p>
    <w:p>
      <w:pPr>
        <w:bidi w:val="0"/>
        <w:rPr>
          <w:color w:val="auto"/>
          <w:highlight w:val="none"/>
        </w:rPr>
      </w:pPr>
      <w:r>
        <w:rPr>
          <w:rFonts w:hint="eastAsia"/>
          <w:color w:val="auto"/>
          <w:highlight w:val="none"/>
        </w:rPr>
        <w:t>（1）</w:t>
      </w:r>
      <w:r>
        <w:rPr>
          <w:color w:val="auto"/>
          <w:highlight w:val="none"/>
        </w:rPr>
        <w:t>量程范围：0-10mg/L</w:t>
      </w:r>
    </w:p>
    <w:p>
      <w:pPr>
        <w:bidi w:val="0"/>
        <w:rPr>
          <w:color w:val="auto"/>
          <w:highlight w:val="none"/>
        </w:rPr>
      </w:pPr>
      <w:r>
        <w:rPr>
          <w:rFonts w:hint="eastAsia"/>
          <w:color w:val="auto"/>
          <w:highlight w:val="none"/>
        </w:rPr>
        <w:t>（2）</w:t>
      </w:r>
      <w:r>
        <w:rPr>
          <w:color w:val="auto"/>
          <w:highlight w:val="none"/>
        </w:rPr>
        <w:t>方法检测限：≤0.1 mg/L（以Cl计）</w:t>
      </w:r>
    </w:p>
    <w:p>
      <w:pPr>
        <w:bidi w:val="0"/>
        <w:rPr>
          <w:color w:val="auto"/>
          <w:highlight w:val="none"/>
        </w:rPr>
      </w:pPr>
      <w:r>
        <w:rPr>
          <w:rFonts w:hint="eastAsia"/>
          <w:color w:val="auto"/>
          <w:highlight w:val="none"/>
        </w:rPr>
        <w:t>（3）</w:t>
      </w:r>
      <w:r>
        <w:rPr>
          <w:color w:val="auto"/>
          <w:highlight w:val="none"/>
        </w:rPr>
        <w:t>检测重复性：≤1.2%（2mg/l  Cl 标样重复10次进样分析）</w:t>
      </w:r>
    </w:p>
    <w:p>
      <w:pPr>
        <w:bidi w:val="0"/>
        <w:rPr>
          <w:color w:val="auto"/>
          <w:highlight w:val="none"/>
        </w:rPr>
      </w:pPr>
      <w:r>
        <w:rPr>
          <w:rFonts w:hint="eastAsia"/>
          <w:color w:val="auto"/>
          <w:highlight w:val="none"/>
        </w:rPr>
        <w:t>10.</w:t>
      </w:r>
      <w:r>
        <w:rPr>
          <w:color w:val="auto"/>
          <w:highlight w:val="none"/>
        </w:rPr>
        <w:t>分析项目：硅酸盐</w:t>
      </w:r>
    </w:p>
    <w:p>
      <w:pPr>
        <w:bidi w:val="0"/>
        <w:rPr>
          <w:color w:val="auto"/>
          <w:highlight w:val="none"/>
        </w:rPr>
      </w:pPr>
      <w:r>
        <w:rPr>
          <w:rFonts w:hint="eastAsia"/>
          <w:color w:val="auto"/>
          <w:highlight w:val="none"/>
        </w:rPr>
        <w:t>（1）</w:t>
      </w:r>
      <w:r>
        <w:rPr>
          <w:color w:val="auto"/>
          <w:highlight w:val="none"/>
        </w:rPr>
        <w:t>量程范围：0-10 mg/L</w:t>
      </w:r>
    </w:p>
    <w:p>
      <w:pPr>
        <w:bidi w:val="0"/>
        <w:rPr>
          <w:color w:val="auto"/>
          <w:highlight w:val="none"/>
        </w:rPr>
      </w:pPr>
      <w:r>
        <w:rPr>
          <w:rFonts w:hint="eastAsia"/>
          <w:color w:val="auto"/>
          <w:highlight w:val="none"/>
        </w:rPr>
        <w:t>（2）</w:t>
      </w:r>
      <w:r>
        <w:rPr>
          <w:color w:val="auto"/>
          <w:highlight w:val="none"/>
        </w:rPr>
        <w:t>方法检测限：≤0.1 mg/L（以Si计）</w:t>
      </w:r>
    </w:p>
    <w:p>
      <w:pPr>
        <w:bidi w:val="0"/>
        <w:rPr>
          <w:color w:val="auto"/>
          <w:highlight w:val="none"/>
        </w:rPr>
      </w:pPr>
      <w:r>
        <w:rPr>
          <w:rFonts w:hint="eastAsia"/>
          <w:color w:val="auto"/>
          <w:highlight w:val="none"/>
        </w:rPr>
        <w:t>（3）</w:t>
      </w:r>
      <w:r>
        <w:rPr>
          <w:color w:val="auto"/>
          <w:highlight w:val="none"/>
        </w:rPr>
        <w:t>检测重复性：≤1.2%（5 mg/l  Si标样重复10次进样分析）</w:t>
      </w:r>
    </w:p>
    <w:p>
      <w:pPr>
        <w:bidi w:val="0"/>
        <w:rPr>
          <w:color w:val="auto"/>
          <w:highlight w:val="none"/>
        </w:rPr>
      </w:pPr>
      <w:r>
        <w:rPr>
          <w:rFonts w:hint="eastAsia"/>
          <w:color w:val="auto"/>
          <w:highlight w:val="none"/>
        </w:rPr>
        <w:t>11.</w:t>
      </w:r>
      <w:r>
        <w:rPr>
          <w:color w:val="auto"/>
          <w:highlight w:val="none"/>
        </w:rPr>
        <w:t>分析项目：碱度</w:t>
      </w:r>
    </w:p>
    <w:p>
      <w:pPr>
        <w:bidi w:val="0"/>
        <w:rPr>
          <w:color w:val="auto"/>
          <w:highlight w:val="none"/>
        </w:rPr>
      </w:pPr>
      <w:r>
        <w:rPr>
          <w:rFonts w:hint="eastAsia"/>
          <w:color w:val="auto"/>
          <w:highlight w:val="none"/>
        </w:rPr>
        <w:t>（1）</w:t>
      </w:r>
      <w:r>
        <w:rPr>
          <w:color w:val="auto"/>
          <w:highlight w:val="none"/>
        </w:rPr>
        <w:t>量程范围：5-200 mg/L</w:t>
      </w:r>
    </w:p>
    <w:p>
      <w:pPr>
        <w:bidi w:val="0"/>
        <w:rPr>
          <w:color w:val="auto"/>
          <w:highlight w:val="none"/>
        </w:rPr>
      </w:pPr>
      <w:r>
        <w:rPr>
          <w:rFonts w:hint="eastAsia"/>
          <w:color w:val="auto"/>
          <w:highlight w:val="none"/>
        </w:rPr>
        <w:t>（2）</w:t>
      </w:r>
      <w:r>
        <w:rPr>
          <w:color w:val="auto"/>
          <w:highlight w:val="none"/>
        </w:rPr>
        <w:t>方法检测限：≤2.00 mg/L（以CaCO3计）</w:t>
      </w:r>
    </w:p>
    <w:p>
      <w:pPr>
        <w:bidi w:val="0"/>
        <w:rPr>
          <w:color w:val="auto"/>
          <w:highlight w:val="none"/>
        </w:rPr>
      </w:pPr>
      <w:r>
        <w:rPr>
          <w:rFonts w:hint="eastAsia"/>
          <w:color w:val="auto"/>
          <w:highlight w:val="none"/>
        </w:rPr>
        <w:t>（3）</w:t>
      </w:r>
      <w:r>
        <w:rPr>
          <w:color w:val="auto"/>
          <w:highlight w:val="none"/>
        </w:rPr>
        <w:t>检测重复性：≤1.2%（100 mg/l  CaCO3标样重复10次进样分析）</w:t>
      </w:r>
    </w:p>
    <w:p>
      <w:pPr>
        <w:bidi w:val="0"/>
        <w:rPr>
          <w:color w:val="auto"/>
          <w:highlight w:val="none"/>
        </w:rPr>
      </w:pPr>
      <w:r>
        <w:rPr>
          <w:rFonts w:hint="eastAsia"/>
          <w:color w:val="auto"/>
          <w:highlight w:val="none"/>
        </w:rPr>
        <w:t>12.</w:t>
      </w:r>
      <w:r>
        <w:rPr>
          <w:color w:val="auto"/>
          <w:highlight w:val="none"/>
        </w:rPr>
        <w:t>分析项目：六价铬</w:t>
      </w:r>
    </w:p>
    <w:p>
      <w:pPr>
        <w:bidi w:val="0"/>
        <w:rPr>
          <w:color w:val="auto"/>
          <w:highlight w:val="none"/>
        </w:rPr>
      </w:pPr>
      <w:r>
        <w:rPr>
          <w:rFonts w:hint="eastAsia"/>
          <w:color w:val="auto"/>
          <w:highlight w:val="none"/>
        </w:rPr>
        <w:t>（1）</w:t>
      </w:r>
      <w:r>
        <w:rPr>
          <w:color w:val="auto"/>
          <w:highlight w:val="none"/>
        </w:rPr>
        <w:t>量程范围：0-2mg/L</w:t>
      </w:r>
    </w:p>
    <w:p>
      <w:pPr>
        <w:bidi w:val="0"/>
        <w:rPr>
          <w:color w:val="auto"/>
          <w:highlight w:val="none"/>
        </w:rPr>
      </w:pPr>
      <w:r>
        <w:rPr>
          <w:rFonts w:hint="eastAsia"/>
          <w:color w:val="auto"/>
          <w:highlight w:val="none"/>
        </w:rPr>
        <w:t>（2）</w:t>
      </w:r>
      <w:r>
        <w:rPr>
          <w:color w:val="auto"/>
          <w:highlight w:val="none"/>
        </w:rPr>
        <w:t>方法检测限：≤0.01 mg/L（以铬计）</w:t>
      </w:r>
    </w:p>
    <w:p>
      <w:pPr>
        <w:bidi w:val="0"/>
        <w:rPr>
          <w:color w:val="auto"/>
          <w:highlight w:val="none"/>
        </w:rPr>
      </w:pPr>
      <w:r>
        <w:rPr>
          <w:rFonts w:hint="eastAsia"/>
          <w:color w:val="auto"/>
          <w:highlight w:val="none"/>
        </w:rPr>
        <w:t>（3）</w:t>
      </w:r>
      <w:r>
        <w:rPr>
          <w:color w:val="auto"/>
          <w:highlight w:val="none"/>
        </w:rPr>
        <w:t>检测重复性：≤1.2%（0.5 mg/l  铬标样重复10次进样分析）</w:t>
      </w:r>
    </w:p>
    <w:p>
      <w:pPr>
        <w:bidi w:val="0"/>
        <w:rPr>
          <w:color w:val="auto"/>
          <w:highlight w:val="none"/>
        </w:rPr>
      </w:pPr>
      <w:r>
        <w:rPr>
          <w:rFonts w:hint="eastAsia"/>
          <w:color w:val="auto"/>
          <w:highlight w:val="none"/>
        </w:rPr>
        <w:t>13.</w:t>
      </w:r>
      <w:r>
        <w:rPr>
          <w:color w:val="auto"/>
          <w:highlight w:val="none"/>
        </w:rPr>
        <w:t>分析项目：硼</w:t>
      </w:r>
    </w:p>
    <w:p>
      <w:pPr>
        <w:bidi w:val="0"/>
        <w:rPr>
          <w:color w:val="auto"/>
          <w:highlight w:val="none"/>
        </w:rPr>
      </w:pPr>
      <w:r>
        <w:rPr>
          <w:rFonts w:hint="eastAsia"/>
          <w:color w:val="auto"/>
          <w:highlight w:val="none"/>
        </w:rPr>
        <w:t>（1）</w:t>
      </w:r>
      <w:r>
        <w:rPr>
          <w:color w:val="auto"/>
          <w:highlight w:val="none"/>
        </w:rPr>
        <w:t>量程范围：0-20 mg/L</w:t>
      </w:r>
    </w:p>
    <w:p>
      <w:pPr>
        <w:bidi w:val="0"/>
        <w:rPr>
          <w:color w:val="auto"/>
          <w:highlight w:val="none"/>
        </w:rPr>
      </w:pPr>
      <w:r>
        <w:rPr>
          <w:rFonts w:hint="eastAsia"/>
          <w:color w:val="auto"/>
          <w:highlight w:val="none"/>
        </w:rPr>
        <w:t>（2）</w:t>
      </w:r>
      <w:r>
        <w:rPr>
          <w:color w:val="auto"/>
          <w:highlight w:val="none"/>
        </w:rPr>
        <w:t>方法检测限：≤0.1mg/L（以硼计）</w:t>
      </w:r>
    </w:p>
    <w:p>
      <w:pPr>
        <w:bidi w:val="0"/>
        <w:rPr>
          <w:color w:val="auto"/>
          <w:highlight w:val="none"/>
        </w:rPr>
      </w:pPr>
      <w:r>
        <w:rPr>
          <w:rFonts w:hint="eastAsia"/>
          <w:color w:val="auto"/>
          <w:highlight w:val="none"/>
        </w:rPr>
        <w:t>（3）</w:t>
      </w:r>
      <w:r>
        <w:rPr>
          <w:color w:val="auto"/>
          <w:highlight w:val="none"/>
        </w:rPr>
        <w:t>检测重复性：≤1.8%（0.8mg/l  硼标样重复10次进样分析）</w:t>
      </w:r>
    </w:p>
    <w:p>
      <w:pPr>
        <w:bidi w:val="0"/>
        <w:rPr>
          <w:color w:val="auto"/>
          <w:highlight w:val="none"/>
        </w:rPr>
      </w:pPr>
      <w:r>
        <w:rPr>
          <w:rFonts w:hint="eastAsia"/>
          <w:color w:val="auto"/>
          <w:highlight w:val="none"/>
        </w:rPr>
        <w:t>15.</w:t>
      </w:r>
      <w:r>
        <w:rPr>
          <w:color w:val="auto"/>
          <w:highlight w:val="none"/>
        </w:rPr>
        <w:t>分析项目：尿素</w:t>
      </w:r>
    </w:p>
    <w:p>
      <w:pPr>
        <w:bidi w:val="0"/>
        <w:rPr>
          <w:color w:val="auto"/>
          <w:highlight w:val="none"/>
        </w:rPr>
      </w:pPr>
      <w:r>
        <w:rPr>
          <w:rFonts w:hint="eastAsia"/>
          <w:color w:val="auto"/>
          <w:highlight w:val="none"/>
        </w:rPr>
        <w:t>（1）</w:t>
      </w:r>
      <w:r>
        <w:rPr>
          <w:color w:val="auto"/>
          <w:highlight w:val="none"/>
        </w:rPr>
        <w:t>量程范围：0-250 mg/L</w:t>
      </w:r>
    </w:p>
    <w:p>
      <w:pPr>
        <w:bidi w:val="0"/>
        <w:rPr>
          <w:color w:val="auto"/>
          <w:highlight w:val="none"/>
        </w:rPr>
      </w:pPr>
      <w:r>
        <w:rPr>
          <w:rFonts w:hint="eastAsia"/>
          <w:color w:val="auto"/>
          <w:highlight w:val="none"/>
        </w:rPr>
        <w:t>（2）</w:t>
      </w:r>
      <w:r>
        <w:rPr>
          <w:color w:val="auto"/>
          <w:highlight w:val="none"/>
        </w:rPr>
        <w:t>方法检测限：≤1 mg/L（以尿素计）</w:t>
      </w:r>
    </w:p>
    <w:p>
      <w:pPr>
        <w:bidi w:val="0"/>
        <w:rPr>
          <w:color w:val="auto"/>
          <w:highlight w:val="none"/>
        </w:rPr>
      </w:pPr>
      <w:r>
        <w:rPr>
          <w:rFonts w:hint="eastAsia"/>
          <w:color w:val="auto"/>
          <w:highlight w:val="none"/>
        </w:rPr>
        <w:t>（3）</w:t>
      </w:r>
      <w:r>
        <w:rPr>
          <w:color w:val="auto"/>
          <w:highlight w:val="none"/>
        </w:rPr>
        <w:t>检测重复性：≤1.5%（100 mg/l  尿素标样重复10次进样分析）</w:t>
      </w:r>
    </w:p>
    <w:p>
      <w:pPr>
        <w:bidi w:val="0"/>
        <w:rPr>
          <w:rFonts w:hint="eastAsia"/>
          <w:color w:val="auto"/>
          <w:highlight w:val="none"/>
        </w:rPr>
      </w:pPr>
      <w:r>
        <w:rPr>
          <w:rFonts w:hint="eastAsia"/>
          <w:color w:val="auto"/>
          <w:highlight w:val="none"/>
        </w:rPr>
        <w:t>注：所有测定项目的变异系数＜</w:t>
      </w:r>
      <w:r>
        <w:rPr>
          <w:color w:val="auto"/>
          <w:highlight w:val="none"/>
        </w:rPr>
        <w:t>1.5%。化学试剂：100%以上试剂采用国产试剂</w:t>
      </w:r>
    </w:p>
    <w:p>
      <w:pPr>
        <w:bidi w:val="0"/>
        <w:rPr>
          <w:rFonts w:hint="eastAsia"/>
          <w:color w:val="auto"/>
          <w:highlight w:val="none"/>
        </w:rPr>
      </w:pPr>
    </w:p>
    <w:p>
      <w:pPr>
        <w:pStyle w:val="4"/>
        <w:rPr>
          <w:rFonts w:hint="default" w:ascii="宋体" w:hAnsi="宋体" w:eastAsia="宋体" w:cs="宋体"/>
          <w:color w:val="auto"/>
          <w:highlight w:val="none"/>
          <w:lang w:val="en-US" w:eastAsia="zh-CN"/>
        </w:rPr>
      </w:pPr>
      <w:r>
        <w:rPr>
          <w:rFonts w:hint="eastAsia" w:ascii="宋体" w:hAnsi="宋体" w:cs="宋体"/>
          <w:color w:val="auto"/>
          <w:highlight w:val="none"/>
        </w:rPr>
        <w:t>二、商务</w:t>
      </w:r>
      <w:bookmarkEnd w:id="1"/>
      <w:r>
        <w:rPr>
          <w:rFonts w:hint="eastAsia" w:ascii="宋体" w:hAnsi="宋体" w:cs="宋体"/>
          <w:color w:val="auto"/>
          <w:highlight w:val="none"/>
        </w:rPr>
        <w:t>要求</w:t>
      </w:r>
      <w:bookmarkEnd w:id="2"/>
    </w:p>
    <w:p>
      <w:pPr>
        <w:pStyle w:val="5"/>
        <w:rPr>
          <w:rFonts w:ascii="宋体" w:hAnsi="宋体" w:cs="宋体"/>
          <w:color w:val="auto"/>
          <w:highlight w:val="none"/>
        </w:rPr>
      </w:pPr>
      <w:bookmarkStart w:id="3" w:name="_Toc3405"/>
      <w:bookmarkStart w:id="4" w:name="_Toc501022792"/>
      <w:r>
        <w:rPr>
          <w:rFonts w:hint="eastAsia" w:ascii="宋体" w:hAnsi="宋体" w:cs="宋体"/>
          <w:color w:val="auto"/>
          <w:highlight w:val="none"/>
        </w:rPr>
        <w:t>（一）交货时间</w:t>
      </w:r>
    </w:p>
    <w:p>
      <w:pPr>
        <w:spacing w:line="336" w:lineRule="auto"/>
        <w:ind w:firstLine="480"/>
        <w:rPr>
          <w:rFonts w:ascii="宋体" w:hAnsi="宋体" w:cs="宋体"/>
          <w:color w:val="auto"/>
          <w:highlight w:val="none"/>
        </w:rPr>
      </w:pPr>
      <w:r>
        <w:rPr>
          <w:rFonts w:hint="eastAsia" w:ascii="宋体" w:hAnsi="宋体" w:cs="宋体"/>
          <w:color w:val="auto"/>
          <w:szCs w:val="32"/>
          <w:highlight w:val="none"/>
        </w:rPr>
        <w:t>合同签订后</w:t>
      </w:r>
      <w:r>
        <w:rPr>
          <w:rFonts w:hint="eastAsia" w:ascii="宋体" w:hAnsi="宋体" w:cs="宋体"/>
          <w:color w:val="auto"/>
          <w:szCs w:val="32"/>
          <w:highlight w:val="none"/>
          <w:lang w:val="en-US" w:eastAsia="zh-CN"/>
        </w:rPr>
        <w:t>60天</w:t>
      </w:r>
      <w:r>
        <w:rPr>
          <w:rFonts w:hint="eastAsia" w:ascii="宋体" w:hAnsi="宋体" w:cs="宋体"/>
          <w:color w:val="auto"/>
          <w:szCs w:val="32"/>
          <w:highlight w:val="none"/>
        </w:rPr>
        <w:t>内完成供货、安装、调试</w:t>
      </w:r>
      <w:r>
        <w:rPr>
          <w:rFonts w:hint="eastAsia" w:ascii="宋体" w:hAnsi="宋体" w:cs="宋体"/>
          <w:color w:val="auto"/>
          <w:highlight w:val="none"/>
        </w:rPr>
        <w:t>。</w:t>
      </w:r>
    </w:p>
    <w:p>
      <w:pPr>
        <w:pStyle w:val="5"/>
        <w:rPr>
          <w:rFonts w:ascii="宋体" w:hAnsi="宋体" w:cs="宋体"/>
          <w:color w:val="auto"/>
          <w:highlight w:val="none"/>
        </w:rPr>
      </w:pPr>
      <w:r>
        <w:rPr>
          <w:rFonts w:hint="eastAsia" w:ascii="宋体" w:hAnsi="宋体" w:cs="宋体"/>
          <w:color w:val="auto"/>
          <w:highlight w:val="none"/>
        </w:rPr>
        <w:t>（二）交付地点</w:t>
      </w:r>
    </w:p>
    <w:p>
      <w:pPr>
        <w:spacing w:line="336" w:lineRule="auto"/>
        <w:ind w:firstLine="480"/>
        <w:rPr>
          <w:rFonts w:ascii="宋体" w:hAnsi="宋体" w:cs="宋体"/>
          <w:color w:val="auto"/>
          <w:highlight w:val="none"/>
        </w:rPr>
      </w:pPr>
      <w:r>
        <w:rPr>
          <w:rFonts w:hint="eastAsia" w:ascii="宋体" w:hAnsi="宋体" w:cs="宋体"/>
          <w:color w:val="auto"/>
          <w:highlight w:val="none"/>
        </w:rPr>
        <w:t>采购人指定地点。</w:t>
      </w:r>
    </w:p>
    <w:p>
      <w:pPr>
        <w:pStyle w:val="5"/>
        <w:rPr>
          <w:rFonts w:ascii="宋体" w:hAnsi="宋体" w:cs="宋体"/>
          <w:color w:val="auto"/>
          <w:highlight w:val="none"/>
        </w:rPr>
      </w:pPr>
      <w:r>
        <w:rPr>
          <w:rFonts w:hint="eastAsia" w:ascii="宋体" w:hAnsi="宋体" w:cs="宋体"/>
          <w:color w:val="auto"/>
          <w:highlight w:val="none"/>
        </w:rPr>
        <w:t>（三）质保期</w:t>
      </w:r>
    </w:p>
    <w:p>
      <w:pPr>
        <w:ind w:firstLine="480"/>
        <w:rPr>
          <w:rFonts w:ascii="宋体" w:hAnsi="宋体" w:cs="宋体"/>
          <w:color w:val="auto"/>
          <w:highlight w:val="none"/>
        </w:rPr>
      </w:pPr>
      <w:r>
        <w:rPr>
          <w:rFonts w:hint="eastAsia" w:ascii="宋体" w:hAnsi="宋体" w:cs="宋体"/>
          <w:color w:val="auto"/>
          <w:highlight w:val="none"/>
        </w:rPr>
        <w:t>质保期一年，自验收合格之日起计算。</w:t>
      </w:r>
    </w:p>
    <w:p>
      <w:pPr>
        <w:pStyle w:val="5"/>
        <w:rPr>
          <w:rFonts w:ascii="宋体" w:hAnsi="宋体" w:cs="宋体"/>
          <w:color w:val="auto"/>
          <w:highlight w:val="none"/>
        </w:rPr>
      </w:pPr>
      <w:r>
        <w:rPr>
          <w:rFonts w:hint="eastAsia" w:ascii="宋体" w:hAnsi="宋体" w:cs="宋体"/>
          <w:color w:val="auto"/>
          <w:highlight w:val="none"/>
        </w:rPr>
        <w:t>（四）履约保证金</w:t>
      </w:r>
    </w:p>
    <w:p>
      <w:pPr>
        <w:ind w:firstLine="480"/>
        <w:rPr>
          <w:rFonts w:hint="eastAsia" w:cs="宋体"/>
          <w:snapToGrid w:val="0"/>
          <w:color w:val="auto"/>
          <w:kern w:val="0"/>
          <w:highlight w:val="none"/>
        </w:rPr>
      </w:pPr>
      <w:r>
        <w:rPr>
          <w:rFonts w:hint="eastAsia" w:cs="宋体"/>
          <w:snapToGrid w:val="0"/>
          <w:color w:val="auto"/>
          <w:kern w:val="0"/>
          <w:highlight w:val="none"/>
        </w:rPr>
        <w:t>1.合同金额的</w:t>
      </w:r>
      <w:r>
        <w:rPr>
          <w:rFonts w:hint="eastAsia" w:cs="宋体"/>
          <w:snapToGrid w:val="0"/>
          <w:color w:val="auto"/>
          <w:kern w:val="0"/>
          <w:highlight w:val="none"/>
          <w:lang w:val="en-US" w:eastAsia="zh-CN"/>
        </w:rPr>
        <w:t>5</w:t>
      </w:r>
      <w:r>
        <w:rPr>
          <w:rFonts w:hint="eastAsia" w:cs="宋体"/>
          <w:snapToGrid w:val="0"/>
          <w:color w:val="auto"/>
          <w:kern w:val="0"/>
          <w:highlight w:val="none"/>
        </w:rPr>
        <w:t>%作为履约保证金，中标人在合同签订时提交至采购人。</w:t>
      </w:r>
    </w:p>
    <w:p>
      <w:pPr>
        <w:ind w:firstLine="480"/>
        <w:rPr>
          <w:rFonts w:hint="eastAsia"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ascii="宋体" w:hAnsi="宋体" w:cs="宋体"/>
          <w:color w:val="auto"/>
          <w:szCs w:val="32"/>
          <w:highlight w:val="none"/>
        </w:rPr>
      </w:pPr>
      <w:r>
        <w:rPr>
          <w:rFonts w:hint="eastAsia" w:cs="宋体"/>
          <w:color w:val="auto"/>
          <w:szCs w:val="32"/>
          <w:highlight w:val="none"/>
        </w:rPr>
        <w:t>3.履约保证金在验收合格之后自动转为质量保证金，质量保证金在质保期结束且确认中标方无违约行为后无息退还给中标方（遇寒暑假及国家假日延顺）。</w:t>
      </w:r>
    </w:p>
    <w:p>
      <w:pPr>
        <w:pStyle w:val="5"/>
        <w:rPr>
          <w:rFonts w:ascii="宋体" w:hAnsi="宋体" w:cs="宋体"/>
          <w:color w:val="auto"/>
          <w:highlight w:val="none"/>
        </w:rPr>
      </w:pPr>
      <w:r>
        <w:rPr>
          <w:rFonts w:hint="eastAsia" w:ascii="宋体" w:hAnsi="宋体" w:cs="宋体"/>
          <w:color w:val="auto"/>
          <w:highlight w:val="none"/>
        </w:rPr>
        <w:t>（五）项目验收</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1.</w:t>
      </w:r>
      <w:r>
        <w:rPr>
          <w:rFonts w:hint="eastAsia" w:ascii="宋体" w:hAnsi="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ascii="宋体" w:hAnsi="宋体" w:cs="宋体"/>
          <w:color w:val="auto"/>
          <w:szCs w:val="22"/>
          <w:highlight w:val="none"/>
          <w:lang w:val="zh-CN"/>
        </w:rPr>
      </w:pPr>
      <w:r>
        <w:rPr>
          <w:rFonts w:hint="eastAsia" w:ascii="宋体" w:hAnsi="宋体" w:cs="宋体"/>
          <w:color w:val="auto"/>
          <w:szCs w:val="22"/>
          <w:highlight w:val="none"/>
        </w:rPr>
        <w:t>2</w:t>
      </w:r>
      <w:r>
        <w:rPr>
          <w:rFonts w:hint="eastAsia" w:ascii="宋体" w:hAnsi="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4.验收时中标人必须在现场，验收完毕后作出验收结果报告；</w:t>
      </w:r>
    </w:p>
    <w:p>
      <w:pPr>
        <w:ind w:firstLine="480"/>
        <w:rPr>
          <w:rFonts w:ascii="宋体" w:hAnsi="宋体" w:cs="宋体"/>
          <w:color w:val="auto"/>
          <w:szCs w:val="22"/>
          <w:highlight w:val="none"/>
          <w:lang w:val="zh-CN"/>
        </w:rPr>
      </w:pPr>
      <w:r>
        <w:rPr>
          <w:rFonts w:hint="eastAsia" w:ascii="宋体" w:hAnsi="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ascii="宋体" w:hAnsi="宋体" w:cs="宋体"/>
          <w:color w:val="auto"/>
          <w:highlight w:val="none"/>
        </w:rPr>
      </w:pPr>
      <w:r>
        <w:rPr>
          <w:rFonts w:hint="eastAsia" w:ascii="宋体" w:hAnsi="宋体" w:cs="宋体"/>
          <w:color w:val="auto"/>
          <w:highlight w:val="none"/>
        </w:rPr>
        <w:t>（六）售后服务</w:t>
      </w:r>
    </w:p>
    <w:p>
      <w:pPr>
        <w:ind w:firstLine="480"/>
        <w:rPr>
          <w:rFonts w:ascii="宋体" w:hAnsi="宋体" w:cs="宋体"/>
          <w:color w:val="auto"/>
          <w:highlight w:val="none"/>
        </w:rPr>
      </w:pPr>
      <w:r>
        <w:rPr>
          <w:rFonts w:hint="eastAsia" w:ascii="宋体" w:hAnsi="宋体" w:cs="宋体"/>
          <w:color w:val="auto"/>
          <w:highlight w:val="none"/>
        </w:rPr>
        <w:t>1.自验收合格之日起计，质保期一年；</w:t>
      </w:r>
    </w:p>
    <w:p>
      <w:pPr>
        <w:ind w:firstLine="480"/>
        <w:rPr>
          <w:rFonts w:ascii="宋体" w:hAnsi="宋体" w:cs="宋体"/>
          <w:color w:val="auto"/>
          <w:highlight w:val="none"/>
        </w:rPr>
      </w:pPr>
      <w:r>
        <w:rPr>
          <w:rFonts w:hint="eastAsia" w:ascii="宋体" w:hAnsi="宋体" w:cs="宋体"/>
          <w:color w:val="auto"/>
          <w:highlight w:val="none"/>
        </w:rPr>
        <w:t>2.技术支持：中标人应及时免费提供合同货物软件的升级，免费提供合同货物新功能和应用的资料；</w:t>
      </w:r>
    </w:p>
    <w:p>
      <w:pPr>
        <w:ind w:firstLine="480"/>
        <w:rPr>
          <w:rFonts w:ascii="宋体" w:hAnsi="宋体" w:cs="宋体"/>
          <w:color w:val="auto"/>
          <w:highlight w:val="none"/>
        </w:rPr>
      </w:pPr>
      <w:r>
        <w:rPr>
          <w:rFonts w:hint="eastAsia" w:ascii="宋体" w:hAnsi="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ascii="宋体" w:hAnsi="宋体" w:cs="宋体"/>
          <w:color w:val="auto"/>
          <w:highlight w:val="none"/>
        </w:rPr>
      </w:pPr>
      <w:r>
        <w:rPr>
          <w:rFonts w:hint="eastAsia" w:ascii="宋体" w:hAnsi="宋体" w:cs="宋体"/>
          <w:color w:val="auto"/>
          <w:highlight w:val="none"/>
        </w:rPr>
        <w:t>4.合同货物出现故障后，中标人接到采购人通知后，必须在4小时内做出响应，不超过3个工作日给出解决方案，7个工作日内解决故障；</w:t>
      </w:r>
    </w:p>
    <w:p>
      <w:pPr>
        <w:pStyle w:val="5"/>
        <w:rPr>
          <w:color w:val="auto"/>
          <w:highlight w:val="none"/>
        </w:rPr>
      </w:pPr>
      <w:r>
        <w:rPr>
          <w:rFonts w:hint="eastAsia"/>
          <w:color w:val="auto"/>
          <w:highlight w:val="none"/>
        </w:rPr>
        <w:t>（七）安装调试（若需要）</w:t>
      </w:r>
    </w:p>
    <w:p>
      <w:pPr>
        <w:ind w:firstLine="480"/>
        <w:rPr>
          <w:rFonts w:ascii="宋体" w:hAnsi="宋体" w:cs="宋体"/>
          <w:color w:val="auto"/>
          <w:highlight w:val="none"/>
        </w:rPr>
      </w:pPr>
      <w:r>
        <w:rPr>
          <w:rFonts w:hint="eastAsia" w:ascii="宋体" w:hAnsi="宋体" w:cs="宋体"/>
          <w:color w:val="auto"/>
          <w:highlight w:val="none"/>
        </w:rPr>
        <w:t>1.中标人免费提供合同货物的安装服务，并在投标文件中提供安装调试计划、对安装场地和环境的要求；</w:t>
      </w:r>
    </w:p>
    <w:p>
      <w:pPr>
        <w:ind w:firstLine="480"/>
        <w:rPr>
          <w:rFonts w:ascii="宋体" w:hAnsi="宋体" w:cs="宋体"/>
          <w:color w:val="auto"/>
          <w:highlight w:val="none"/>
        </w:rPr>
      </w:pPr>
      <w:r>
        <w:rPr>
          <w:rFonts w:hint="eastAsia" w:ascii="宋体" w:hAnsi="宋体" w:cs="宋体"/>
          <w:color w:val="auto"/>
          <w:highlight w:val="none"/>
        </w:rPr>
        <w:t>2.安装地点：采购人指定地点；</w:t>
      </w:r>
    </w:p>
    <w:p>
      <w:pPr>
        <w:ind w:firstLine="480"/>
        <w:rPr>
          <w:rFonts w:ascii="宋体" w:hAnsi="宋体" w:cs="宋体"/>
          <w:color w:val="auto"/>
          <w:highlight w:val="none"/>
        </w:rPr>
      </w:pPr>
      <w:r>
        <w:rPr>
          <w:rFonts w:hint="eastAsia" w:ascii="宋体" w:hAnsi="宋体" w:cs="宋体"/>
          <w:color w:val="auto"/>
          <w:highlight w:val="none"/>
        </w:rPr>
        <w:t>3.安装标准：符合我国国家有关技术规范要求和技术标准，所有的软件和硬件必须保证同时安装到位；</w:t>
      </w:r>
    </w:p>
    <w:p>
      <w:pPr>
        <w:ind w:firstLine="480"/>
        <w:rPr>
          <w:rFonts w:ascii="宋体" w:hAnsi="宋体" w:cs="宋体"/>
          <w:color w:val="auto"/>
          <w:highlight w:val="none"/>
        </w:rPr>
      </w:pPr>
      <w:r>
        <w:rPr>
          <w:rFonts w:hint="eastAsia" w:ascii="宋体" w:hAnsi="宋体" w:cs="宋体"/>
          <w:color w:val="auto"/>
          <w:highlight w:val="none"/>
        </w:rPr>
        <w:t>4.接到采购人通知后在7日内完成安装和调试，如在规定的时间内由于中标人的原因不能完成安装和调试，中标人应承担由此给采购人造成的损失。</w:t>
      </w:r>
    </w:p>
    <w:p>
      <w:pPr>
        <w:pStyle w:val="5"/>
        <w:rPr>
          <w:rFonts w:ascii="宋体" w:hAnsi="宋体" w:cs="宋体"/>
          <w:color w:val="auto"/>
          <w:highlight w:val="none"/>
          <w:lang w:val="zh-CN"/>
        </w:rPr>
      </w:pPr>
      <w:r>
        <w:rPr>
          <w:rFonts w:hint="eastAsia" w:ascii="宋体" w:hAnsi="宋体" w:cs="宋体"/>
          <w:color w:val="auto"/>
          <w:highlight w:val="none"/>
        </w:rPr>
        <w:t>（八）</w:t>
      </w:r>
      <w:r>
        <w:rPr>
          <w:rFonts w:hint="eastAsia" w:ascii="宋体" w:hAnsi="宋体" w:cs="宋体"/>
          <w:color w:val="auto"/>
          <w:highlight w:val="none"/>
          <w:lang w:val="zh-CN"/>
        </w:rPr>
        <w:t>培训</w:t>
      </w:r>
    </w:p>
    <w:p>
      <w:pPr>
        <w:ind w:firstLine="480"/>
        <w:rPr>
          <w:rFonts w:ascii="宋体" w:hAnsi="宋体" w:cs="宋体"/>
          <w:color w:val="auto"/>
          <w:highlight w:val="none"/>
        </w:rPr>
      </w:pPr>
      <w:r>
        <w:rPr>
          <w:rFonts w:hint="eastAsia" w:ascii="宋体" w:hAnsi="宋体" w:cs="宋体"/>
          <w:color w:val="auto"/>
          <w:highlight w:val="none"/>
        </w:rPr>
        <w:t>中标人应对采购人的操作人员、维修人员免费进行原厂培训。并在投标文件中提供相应的培训计划，包括对人员、场地、场次等的安排</w:t>
      </w:r>
    </w:p>
    <w:p>
      <w:pPr>
        <w:pStyle w:val="5"/>
        <w:rPr>
          <w:rFonts w:ascii="宋体" w:hAnsi="宋体" w:cs="宋体"/>
          <w:color w:val="auto"/>
          <w:highlight w:val="none"/>
        </w:rPr>
      </w:pPr>
      <w:r>
        <w:rPr>
          <w:rFonts w:hint="eastAsia" w:ascii="宋体" w:hAnsi="宋体" w:cs="宋体"/>
          <w:color w:val="auto"/>
          <w:highlight w:val="none"/>
        </w:rPr>
        <w:t>（九）付款方式</w:t>
      </w:r>
      <w:bookmarkEnd w:id="3"/>
      <w:bookmarkEnd w:id="4"/>
    </w:p>
    <w:p>
      <w:pPr>
        <w:ind w:firstLine="48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100%不可撤销信用证，在收到中标人缴纳的履约保证金后支付。</w:t>
      </w:r>
    </w:p>
    <w:p>
      <w:pPr>
        <w:pStyle w:val="5"/>
        <w:rPr>
          <w:rFonts w:ascii="宋体" w:hAnsi="宋体" w:cs="宋体"/>
          <w:color w:val="auto"/>
          <w:highlight w:val="none"/>
        </w:rPr>
      </w:pPr>
      <w:bookmarkStart w:id="5" w:name="_Toc23976"/>
      <w:r>
        <w:rPr>
          <w:rFonts w:hint="eastAsia" w:ascii="宋体" w:hAnsi="宋体" w:cs="宋体"/>
          <w:color w:val="auto"/>
          <w:highlight w:val="none"/>
        </w:rPr>
        <w:t>（十）合同履行</w:t>
      </w:r>
      <w:bookmarkEnd w:id="5"/>
    </w:p>
    <w:p>
      <w:r>
        <w:rPr>
          <w:rFonts w:hint="eastAsia" w:ascii="宋体" w:hAnsi="宋体" w:cs="宋体"/>
          <w:color w:val="auto"/>
          <w:highlight w:val="none"/>
        </w:rPr>
        <w:t>必须由投标主体履行合同。</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503315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03315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8"/>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661C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paragraph" w:styleId="6">
    <w:name w:val="heading 4"/>
    <w:basedOn w:val="1"/>
    <w:next w:val="1"/>
    <w:qFormat/>
    <w:uiPriority w:val="9"/>
    <w:pPr>
      <w:keepNext/>
      <w:keepLines/>
      <w:outlineLvl w:val="3"/>
    </w:pPr>
    <w:rPr>
      <w:rFonts w:ascii="Cambria" w:hAnsi="Cambria"/>
      <w:b/>
      <w:bCs/>
      <w:szCs w:val="28"/>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Body Text"/>
    <w:basedOn w:val="1"/>
    <w:uiPriority w:val="0"/>
    <w:pPr>
      <w:spacing w:after="120" w:afterLines="0" w:afterAutospacing="0"/>
    </w:p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2019-07-11T08:29:39Z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