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rPr>
          <w:rFonts w:hint="eastAsia" w:cs="宋体"/>
          <w:color w:val="auto"/>
          <w:szCs w:val="40"/>
          <w:highlight w:val="none"/>
        </w:rPr>
      </w:pPr>
      <w:bookmarkStart w:id="0" w:name="_GoBack"/>
      <w:bookmarkEnd w:id="0"/>
      <w:r>
        <w:rPr>
          <w:rFonts w:hint="eastAsia" w:cs="宋体"/>
          <w:color w:val="auto"/>
          <w:szCs w:val="40"/>
          <w:highlight w:val="none"/>
        </w:rPr>
        <w:t>采购清单及技术要求</w:t>
      </w:r>
    </w:p>
    <w:p>
      <w:pPr>
        <w:pStyle w:val="5"/>
        <w:bidi w:val="0"/>
        <w:rPr>
          <w:rFonts w:hint="eastAsia"/>
          <w:color w:val="auto"/>
          <w:highlight w:val="none"/>
          <w:lang w:val="en-US" w:eastAsia="zh-CN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 w:ascii="宋体" w:hAnsi="宋体" w:eastAsia="宋体" w:cs="宋体"/>
          <w:b/>
          <w:bCs w:val="0"/>
          <w:color w:val="auto"/>
          <w:highlight w:val="none"/>
          <w:lang w:val="en-US" w:eastAsia="zh-CN"/>
        </w:rPr>
        <w:t>.图书馆一层报告厅大屏</w:t>
      </w:r>
    </w:p>
    <w:tbl>
      <w:tblPr>
        <w:tblStyle w:val="6"/>
        <w:tblW w:w="10065" w:type="dxa"/>
        <w:tblInd w:w="-11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1"/>
        <w:gridCol w:w="947"/>
        <w:gridCol w:w="6231"/>
        <w:gridCol w:w="1140"/>
        <w:gridCol w:w="1276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  <w:t>序号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  <w:t>物品名称</w:t>
            </w:r>
          </w:p>
        </w:tc>
        <w:tc>
          <w:tcPr>
            <w:tcW w:w="623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  <w:t>规格参数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  <w:t>单位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  <w:t>推荐品牌　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rPr>
                <w:rFonts w:hint="eastAsia" w:ascii="宋体" w:hAnsi="宋体" w:eastAsia="宋体"/>
                <w:color w:val="auto"/>
                <w:kern w:val="0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P2.5小间距LED全彩显示屏模组</w:t>
            </w:r>
            <w:r>
              <w:rPr>
                <w:rFonts w:hint="eastAsia" w:ascii="宋体" w:hAnsi="宋体"/>
                <w:color w:val="auto"/>
                <w:kern w:val="0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color w:val="auto"/>
                <w:kern w:val="0"/>
                <w:highlight w:val="none"/>
                <w:lang w:val="en-US" w:eastAsia="zh-CN"/>
              </w:rPr>
              <w:t>核心产品</w:t>
            </w:r>
            <w:r>
              <w:rPr>
                <w:rFonts w:hint="eastAsia" w:ascii="宋体" w:hAnsi="宋体"/>
                <w:color w:val="auto"/>
                <w:kern w:val="0"/>
                <w:highlight w:val="none"/>
                <w:lang w:eastAsia="zh-CN"/>
              </w:rPr>
              <w:t>）</w:t>
            </w:r>
          </w:p>
        </w:tc>
        <w:tc>
          <w:tcPr>
            <w:tcW w:w="6231" w:type="dxa"/>
            <w:noWrap w:val="0"/>
            <w:vAlign w:val="center"/>
          </w:tcPr>
          <w:p>
            <w:pPr>
              <w:widowControl/>
              <w:rPr>
                <w:rFonts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spacing w:val="-6"/>
                <w:highlight w:val="none"/>
              </w:rPr>
              <w:t>▲</w:t>
            </w: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本次建设达成大屏主要指标：点间距≤2.5mm,</w:t>
            </w:r>
            <w:r>
              <w:rPr>
                <w:rFonts w:hint="eastAsia"/>
                <w:color w:val="auto"/>
                <w:highlight w:val="none"/>
              </w:rPr>
              <w:t xml:space="preserve"> </w:t>
            </w: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显示屏有效显示尺寸≥</w:t>
            </w:r>
            <w:r>
              <w:rPr>
                <w:rFonts w:ascii="宋体" w:hAnsi="宋体"/>
                <w:color w:val="auto"/>
                <w:kern w:val="0"/>
                <w:highlight w:val="none"/>
              </w:rPr>
              <w:t>4160*2560 mm</w:t>
            </w: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，因现场尺寸及装修效果要求，长宽误差误差≤20mm；</w:t>
            </w:r>
          </w:p>
          <w:p>
            <w:pPr>
              <w:widowControl/>
              <w:rPr>
                <w:rFonts w:ascii="宋体" w:hAnsi="宋体"/>
                <w:color w:val="auto"/>
                <w:kern w:val="0"/>
                <w:highlight w:val="none"/>
              </w:rPr>
            </w:pP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像素密度：160000点/㎡，水平和垂直视角≥170°；亮度均匀性≥98%，色度均匀性≤±0.001Cx、Cy之内；</w:t>
            </w: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亮度在100cd/㎡，灰度等级为14bit，刷新率2500Hz以上；亮度在200cd/㎡，灰度等级为≥14bit，刷新率≥2800Hz以上；亮度在500cd/㎡，灰度等级为16bit，刷新率≥3800Hz以上；</w:t>
            </w:r>
          </w:p>
          <w:p>
            <w:pPr>
              <w:widowControl/>
              <w:rPr>
                <w:rFonts w:hint="eastAsia" w:ascii="宋体" w:hAnsi="宋体" w:eastAsia="宋体"/>
                <w:b/>
                <w:bCs/>
                <w:color w:val="auto"/>
                <w:kern w:val="0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cs="宋体"/>
                <w:b/>
                <w:bCs/>
                <w:color w:val="auto"/>
                <w:kern w:val="0"/>
                <w:sz w:val="22"/>
                <w:szCs w:val="22"/>
                <w:highlight w:val="none"/>
              </w:rPr>
              <w:t>投标时提供样品</w:t>
            </w:r>
            <w:r>
              <w:rPr>
                <w:rFonts w:hint="eastAsia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。</w:t>
            </w:r>
          </w:p>
          <w:p>
            <w:pPr>
              <w:widowControl/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  <w:t>以下需要提供权威部门检测报告（不提供作为不满足项）</w:t>
            </w:r>
          </w:p>
          <w:p>
            <w:pPr>
              <w:widowControl/>
              <w:rPr>
                <w:rFonts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1）、产品平均无故障工作时间MTBF≥10万小时，故障平均修复时间MTTR不超过15分钟</w:t>
            </w:r>
          </w:p>
          <w:p>
            <w:pPr>
              <w:widowControl/>
              <w:rPr>
                <w:rFonts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2）产品经过抗振、抗冲击、抗碰撞、跌落检测，且产品外观无损坏，能正常工作。</w:t>
            </w: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3）产品像素失控率≤1/200000。</w:t>
            </w: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4）为保证屏幕亮度及色彩均匀一致，灯芯波长误差值在1nm以内，亮度误差值在10%以内。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10.7㎡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海康威视，三星，英飞拓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2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LED控制卡</w:t>
            </w:r>
          </w:p>
        </w:tc>
        <w:tc>
          <w:tcPr>
            <w:tcW w:w="6231" w:type="dxa"/>
            <w:noWrap w:val="0"/>
            <w:vAlign w:val="center"/>
          </w:tcPr>
          <w:p>
            <w:pPr>
              <w:widowControl/>
              <w:spacing w:before="156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LED全彩显示屏控制器，配合全彩LED显示屏使用，可实现任意尺寸大屏无缝拼接显示。DVI、DP、HDMI多信号输入，支持信源自动检测，无需手动切换信源；图像色温调节，标准、冷、暖三色可调；</w:t>
            </w:r>
          </w:p>
          <w:p>
            <w:pPr>
              <w:widowControl/>
              <w:spacing w:before="156"/>
              <w:rPr>
                <w:rFonts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支持1个DVI、1个HDMI、1个DP输入接口，支持4K分辨率信号接入。</w:t>
            </w:r>
          </w:p>
          <w:p>
            <w:pPr>
              <w:pStyle w:val="2"/>
              <w:rPr>
                <w:rFonts w:ascii="宋体" w:hAnsi="宋体" w:eastAsia="宋体" w:cs="宋体"/>
                <w:color w:val="auto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highlight w:val="none"/>
              </w:rPr>
              <w:t>控制软件支持定制开发，支持高清。</w:t>
            </w:r>
          </w:p>
          <w:p>
            <w:pPr>
              <w:pStyle w:val="3"/>
              <w:rPr>
                <w:rFonts w:hint="eastAsia"/>
                <w:color w:val="auto"/>
                <w:highlight w:val="none"/>
              </w:rPr>
            </w:pPr>
          </w:p>
          <w:p>
            <w:pPr>
              <w:widowControl/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  <w:t>以下需要提供权威部门检测报告（不提供作为不满足项）</w:t>
            </w:r>
          </w:p>
          <w:p>
            <w:pPr>
              <w:spacing w:before="156"/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1）产品支持640*480至3840*2160之间的多种分辨率视频信号自适应接入和视频信号输出，支持条屏模式，最大支持10000*100点。</w:t>
            </w:r>
          </w:p>
          <w:p>
            <w:pPr>
              <w:spacing w:before="156"/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2）产品支持亮度调节，可以通过客户端、遥控器、PAD及物理按键进行调节，并支持多台设备同时调节。</w:t>
            </w:r>
          </w:p>
          <w:p>
            <w:pPr>
              <w:spacing w:before="156"/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3）产品可开启LED显示屏智能除湿模式，让显示屏亮度逐渐提升。</w:t>
            </w:r>
          </w:p>
          <w:p>
            <w:pPr>
              <w:spacing w:before="156"/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产品支持倍帧功能，可以将输入为30Hz的信号转成60Hz信号输出。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1个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Cs/>
                <w:color w:val="auto"/>
                <w:kern w:val="0"/>
                <w:highlight w:val="none"/>
              </w:rPr>
              <w:t>海康威视，三星，英飞拓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3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大屏处理器</w:t>
            </w:r>
          </w:p>
        </w:tc>
        <w:tc>
          <w:tcPr>
            <w:tcW w:w="6231" w:type="dxa"/>
            <w:noWrap w:val="0"/>
            <w:vAlign w:val="center"/>
          </w:tcPr>
          <w:p>
            <w:pPr>
              <w:widowControl/>
              <w:rPr>
                <w:rFonts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设备规格应为4U机箱（含主控板和电源），9个槽位（6个输入板槽位，3个输出板槽位）</w:t>
            </w:r>
          </w:p>
          <w:p>
            <w:pPr>
              <w:pStyle w:val="2"/>
              <w:rPr>
                <w:rFonts w:hint="eastAsia"/>
                <w:color w:val="auto"/>
                <w:highlight w:val="none"/>
              </w:rPr>
            </w:pP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所含接口：支持VGA、DVI、HDMI、DP及IP源多种信号源采集；解码能力：解码板支持2路800W（2路600w或2路500W或8路1080P或16路720P或32路D1）网络信号解码上墙，且支持本地录像文件回放上墙；</w:t>
            </w:r>
          </w:p>
          <w:p>
            <w:pPr>
              <w:widowControl/>
              <w:rPr>
                <w:rFonts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投标产品支持客户端管理功能，支持用户管理、日志管理、权限管理、告警管理、远程维护等功能。</w:t>
            </w:r>
          </w:p>
          <w:p>
            <w:pPr>
              <w:pStyle w:val="2"/>
              <w:rPr>
                <w:color w:val="auto"/>
                <w:highlight w:val="none"/>
              </w:rPr>
            </w:pPr>
          </w:p>
          <w:p>
            <w:pPr>
              <w:widowControl/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  <w:t>以下需要提供权威部门检测报告（不提供作为不满足项）</w:t>
            </w: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投标产品支持大屏区域权限管理，可以使不同的用户管理不同的显示墙区域，最大支持32个用户管理各自区域。支持用户密码安全等级认证机制；且设备最大可支持同时开启1152个窗口。支持内置矩阵功能，信号源支持一拖多，一路进最多可以3840路出；</w:t>
            </w: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可通过客户端远程操作接入样机的子客户端，实现全面接管控制、划线标注、图片展示、视频播放、office文件演示功能。</w:t>
            </w:r>
          </w:p>
          <w:p>
            <w:pPr>
              <w:spacing w:before="156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投标产品支持EDID自由设置功能，支持HDTVI反向云台控制功能。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1台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海康威视，三星，英飞拓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4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LED显示屏支架</w:t>
            </w:r>
          </w:p>
        </w:tc>
        <w:tc>
          <w:tcPr>
            <w:tcW w:w="6231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落地式支架，出具现场的设计图纸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1套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海康威视，三星，英飞拓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5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配电柜</w:t>
            </w:r>
          </w:p>
        </w:tc>
        <w:tc>
          <w:tcPr>
            <w:tcW w:w="6231" w:type="dxa"/>
            <w:noWrap w:val="0"/>
            <w:vAlign w:val="top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类型：10KW配电柜</w:t>
            </w: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控制：欧姆龙PLC控制器，网络远程控制</w:t>
            </w: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元器件：德力西断路器，施耐德接触器</w:t>
            </w: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输入电压：380V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1套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海康威视，三星，英飞拓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6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电视机</w:t>
            </w:r>
          </w:p>
        </w:tc>
        <w:tc>
          <w:tcPr>
            <w:tcW w:w="6231" w:type="dxa"/>
            <w:noWrap w:val="0"/>
            <w:vAlign w:val="top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 xml:space="preserve">75英寸， 超高清4K HDR，全金属机身， MEMC运动补偿， AI人工智能液晶电视机 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2台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ind w:firstLine="240" w:firstLineChars="100"/>
              <w:rPr>
                <w:rFonts w:hint="eastAsia" w:ascii="宋体" w:hAnsi="宋体"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Cs/>
                <w:color w:val="auto"/>
                <w:kern w:val="0"/>
                <w:highlight w:val="none"/>
              </w:rPr>
              <w:t>国产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7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配套材料</w:t>
            </w:r>
          </w:p>
        </w:tc>
        <w:tc>
          <w:tcPr>
            <w:tcW w:w="6231" w:type="dxa"/>
            <w:noWrap w:val="0"/>
            <w:vAlign w:val="top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配套高清线缆，电源线，网线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1套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Cs/>
                <w:color w:val="auto"/>
                <w:kern w:val="0"/>
                <w:highlight w:val="none"/>
              </w:rPr>
              <w:t>国产</w:t>
            </w:r>
          </w:p>
        </w:tc>
      </w:tr>
    </w:tbl>
    <w:p>
      <w:pPr>
        <w:bidi w:val="0"/>
        <w:rPr>
          <w:rFonts w:hint="eastAsia"/>
          <w:color w:val="auto"/>
          <w:highlight w:val="none"/>
          <w:lang w:val="en-US" w:eastAsia="zh-CN"/>
        </w:rPr>
      </w:pPr>
    </w:p>
    <w:p>
      <w:pPr>
        <w:pStyle w:val="5"/>
        <w:bidi w:val="0"/>
        <w:rPr>
          <w:rFonts w:hint="eastAsia" w:ascii="宋体" w:hAnsi="宋体" w:eastAsia="宋体" w:cs="宋体"/>
          <w:color w:val="auto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highlight w:val="none"/>
          <w:lang w:val="en-US" w:eastAsia="zh-CN"/>
        </w:rPr>
        <w:t>2.23101会议室大屏</w:t>
      </w:r>
    </w:p>
    <w:tbl>
      <w:tblPr>
        <w:tblStyle w:val="6"/>
        <w:tblW w:w="10065" w:type="dxa"/>
        <w:tblInd w:w="-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1"/>
        <w:gridCol w:w="947"/>
        <w:gridCol w:w="6231"/>
        <w:gridCol w:w="1140"/>
        <w:gridCol w:w="1276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47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  <w:t>序号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  <w:t>物品名称</w:t>
            </w:r>
          </w:p>
        </w:tc>
        <w:tc>
          <w:tcPr>
            <w:tcW w:w="623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  <w:t>规格参数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  <w:t>单位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auto"/>
                <w:kern w:val="0"/>
                <w:highlight w:val="none"/>
              </w:rPr>
              <w:t>推荐品牌　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47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P2.5小间距LED全彩显示屏模组</w:t>
            </w:r>
            <w:r>
              <w:rPr>
                <w:rFonts w:hint="eastAsia" w:ascii="宋体" w:hAnsi="宋体"/>
                <w:color w:val="auto"/>
                <w:kern w:val="0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color w:val="auto"/>
                <w:kern w:val="0"/>
                <w:highlight w:val="none"/>
                <w:lang w:val="en-US" w:eastAsia="zh-CN"/>
              </w:rPr>
              <w:t>核心产品</w:t>
            </w:r>
            <w:r>
              <w:rPr>
                <w:rFonts w:hint="eastAsia" w:ascii="宋体" w:hAnsi="宋体"/>
                <w:color w:val="auto"/>
                <w:kern w:val="0"/>
                <w:highlight w:val="none"/>
                <w:lang w:eastAsia="zh-CN"/>
              </w:rPr>
              <w:t>）</w:t>
            </w:r>
          </w:p>
        </w:tc>
        <w:tc>
          <w:tcPr>
            <w:tcW w:w="6231" w:type="dxa"/>
            <w:noWrap w:val="0"/>
            <w:vAlign w:val="center"/>
          </w:tcPr>
          <w:p>
            <w:pPr>
              <w:widowControl/>
              <w:rPr>
                <w:rFonts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spacing w:val="-6"/>
                <w:highlight w:val="none"/>
              </w:rPr>
              <w:t>▲</w:t>
            </w: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本次建设达成大屏主要指标：点间距≤2.5mm,</w:t>
            </w:r>
            <w:r>
              <w:rPr>
                <w:rFonts w:hint="eastAsia"/>
                <w:color w:val="auto"/>
                <w:highlight w:val="none"/>
              </w:rPr>
              <w:t xml:space="preserve"> </w:t>
            </w: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显示屏有效显示尺寸≥</w:t>
            </w:r>
            <w:r>
              <w:rPr>
                <w:rFonts w:ascii="宋体" w:hAnsi="宋体"/>
                <w:color w:val="auto"/>
                <w:kern w:val="0"/>
                <w:highlight w:val="none"/>
              </w:rPr>
              <w:t>4160*1600 mm</w:t>
            </w: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，因现场尺寸及装修效果要求，长宽误差误差≤20mm；</w:t>
            </w:r>
          </w:p>
          <w:p>
            <w:pPr>
              <w:pStyle w:val="2"/>
              <w:rPr>
                <w:rFonts w:hint="eastAsia"/>
                <w:color w:val="auto"/>
                <w:highlight w:val="none"/>
              </w:rPr>
            </w:pP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像素密度：160000点/㎡，水平和垂直视角≥170°；亮度均匀性≥98%，色度均匀性≤±0.001Cx、Cy之内；</w:t>
            </w: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亮度在100cd/㎡，灰度等级为14bit，刷新率2500Hz以上；亮度在200cd/㎡，灰度等级为≥14bit，刷新率≥2800Hz以上；亮度在500cd/㎡，灰度等级为16bit，刷新率≥3800Hz以上；</w:t>
            </w:r>
          </w:p>
          <w:p>
            <w:pPr>
              <w:widowControl/>
              <w:rPr>
                <w:rFonts w:ascii="宋体" w:hAnsi="宋体"/>
                <w:color w:val="auto"/>
                <w:kern w:val="0"/>
                <w:highlight w:val="none"/>
              </w:rPr>
            </w:pPr>
          </w:p>
          <w:p>
            <w:pPr>
              <w:widowControl/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  <w:t>以下需要提供权威部门检测报告（不提供作为不满足项）</w:t>
            </w:r>
          </w:p>
          <w:p>
            <w:pPr>
              <w:widowControl/>
              <w:rPr>
                <w:rFonts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1）、产品平均无故障工作时间MTBF≥10万小时，故障平均修复时间MTTR不超过15分钟</w:t>
            </w:r>
          </w:p>
          <w:p>
            <w:pPr>
              <w:widowControl/>
              <w:rPr>
                <w:rFonts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2）产品经过抗振、抗冲击、抗碰撞、跌落检测，且产品外观无损坏，能正常工作。</w:t>
            </w: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3）产品像素失控率≤1/200000。</w:t>
            </w: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4）为保证屏幕亮度及色彩均匀一致，灯芯波长误差值在1nm以内，亮度误差值在10%以内。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6.7㎡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海康威视，三星，英飞拓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47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2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LED控制卡</w:t>
            </w:r>
          </w:p>
        </w:tc>
        <w:tc>
          <w:tcPr>
            <w:tcW w:w="6231" w:type="dxa"/>
            <w:noWrap w:val="0"/>
            <w:vAlign w:val="center"/>
          </w:tcPr>
          <w:p>
            <w:pPr>
              <w:widowControl/>
              <w:spacing w:before="156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LED全彩显示屏控制器，配合全彩LED显示屏使用，可实现任意尺寸大屏无缝拼接显示。DVI、DP、HDMI多信号输入，支持信源自动检测，无需手动切换信源；图像色温调节，标准、冷、暖三色可调；</w:t>
            </w:r>
          </w:p>
          <w:p>
            <w:pPr>
              <w:widowControl/>
              <w:spacing w:before="156"/>
              <w:rPr>
                <w:rFonts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支持1个DVI、1个HDMI、1个DP输入接口，支持4K分辨率信号接入。</w:t>
            </w:r>
          </w:p>
          <w:p>
            <w:pPr>
              <w:pStyle w:val="2"/>
              <w:rPr>
                <w:rFonts w:ascii="宋体" w:hAnsi="宋体" w:eastAsia="宋体" w:cs="宋体"/>
                <w:color w:val="auto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highlight w:val="none"/>
              </w:rPr>
              <w:t>控制软件支持定制开发，支持高清。</w:t>
            </w:r>
          </w:p>
          <w:p>
            <w:pPr>
              <w:pStyle w:val="3"/>
              <w:rPr>
                <w:rFonts w:hint="eastAsia"/>
                <w:color w:val="auto"/>
                <w:highlight w:val="none"/>
              </w:rPr>
            </w:pPr>
          </w:p>
          <w:p>
            <w:pPr>
              <w:widowControl/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  <w:t>以下需要提供权威部门检测报告（不提供作为不满足项）</w:t>
            </w:r>
          </w:p>
          <w:p>
            <w:pPr>
              <w:spacing w:before="156"/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1）产品支持640*480至3840*2160之间的多种分辨率视频信号自适应接入和视频信号输出，支持条屏模式，最大支持10000*100点。</w:t>
            </w:r>
          </w:p>
          <w:p>
            <w:pPr>
              <w:spacing w:before="156"/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2）产品支持亮度调节，可以通过客户端、遥控器、PAD及物理按键进行调节，并支持多台设备同时调节。</w:t>
            </w:r>
          </w:p>
          <w:p>
            <w:pPr>
              <w:spacing w:before="156"/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3）产品可开启LED显示屏智能除湿模式，让显示屏亮度逐渐提升。</w:t>
            </w:r>
          </w:p>
          <w:p>
            <w:pPr>
              <w:spacing w:before="156"/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产品支持倍帧功能，可以将输入为30Hz的信号转成60Hz信号输出。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1个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Cs/>
                <w:color w:val="auto"/>
                <w:kern w:val="0"/>
                <w:highlight w:val="none"/>
              </w:rPr>
              <w:t>海康威视，三星，英飞拓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47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3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大屏处理器</w:t>
            </w:r>
          </w:p>
        </w:tc>
        <w:tc>
          <w:tcPr>
            <w:tcW w:w="6231" w:type="dxa"/>
            <w:noWrap w:val="0"/>
            <w:vAlign w:val="center"/>
          </w:tcPr>
          <w:p>
            <w:pPr>
              <w:widowControl/>
              <w:rPr>
                <w:rFonts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设备规格应为4U机箱（含主控板和电源），9个槽位（6个输入板槽位，3个输出板槽位）</w:t>
            </w:r>
          </w:p>
          <w:p>
            <w:pPr>
              <w:pStyle w:val="2"/>
              <w:rPr>
                <w:rFonts w:hint="eastAsia"/>
                <w:color w:val="auto"/>
                <w:highlight w:val="none"/>
              </w:rPr>
            </w:pP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所含接口：支持VGA、DVI、HDMI、DP及IP源多种信号源采集；解码能力：解码板支持2路800W（2路600w或2路500W或8路1080P或16路720P或32路D1）网络信号解码上墙，且支持本地录像文件回放上墙；</w:t>
            </w:r>
          </w:p>
          <w:p>
            <w:pPr>
              <w:widowControl/>
              <w:rPr>
                <w:rFonts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投标产品支持客户端管理功能，支持用户管理、日志管理、权限管理、告警管理、远程维护等功能。</w:t>
            </w:r>
          </w:p>
          <w:p>
            <w:pPr>
              <w:pStyle w:val="2"/>
              <w:rPr>
                <w:color w:val="auto"/>
                <w:highlight w:val="none"/>
              </w:rPr>
            </w:pPr>
          </w:p>
          <w:p>
            <w:pPr>
              <w:widowControl/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/>
                <w:color w:val="auto"/>
                <w:kern w:val="0"/>
                <w:highlight w:val="none"/>
              </w:rPr>
              <w:t>以下需要提供权威部门检测报告（不提供作为不满足项）</w:t>
            </w: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投标产品支持大屏区域权限管理，可以使不同的用户管理不同的显示墙区域，最大支持32个用户管理各自区域。支持用户密码安全等级认证机制；且设备最大可支持同时开启1152个窗口。支持内置矩阵功能，信号源支持一拖多，一路进最多可以3840路出；</w:t>
            </w: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可通过客户端远程操作接入样机的子客户端，实现全面接管控制、划线标注、图片展示、视频播放、office文件演示功能。</w:t>
            </w:r>
          </w:p>
          <w:p>
            <w:pPr>
              <w:spacing w:before="156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投标产品支持EDID自由设置功能，支持HDTVI反向云台控制功能。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1台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海康威视，三星，英飞拓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471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4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LED显示屏支架</w:t>
            </w:r>
          </w:p>
        </w:tc>
        <w:tc>
          <w:tcPr>
            <w:tcW w:w="6231" w:type="dxa"/>
            <w:noWrap w:val="0"/>
            <w:vAlign w:val="center"/>
          </w:tcPr>
          <w:p>
            <w:pPr>
              <w:spacing w:before="156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落地式支架，出具现场的设计图纸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1套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before="156"/>
              <w:rPr>
                <w:rFonts w:hint="eastAsia" w:ascii="宋体" w:hAnsi="宋体"/>
                <w:color w:val="auto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海康威视，三星，英飞拓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47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5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配电柜</w:t>
            </w:r>
          </w:p>
        </w:tc>
        <w:tc>
          <w:tcPr>
            <w:tcW w:w="6231" w:type="dxa"/>
            <w:noWrap w:val="0"/>
            <w:vAlign w:val="top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类型：10KW配电柜</w:t>
            </w: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控制：欧姆龙PLC控制器，网络远程控制</w:t>
            </w: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元器件：德力西断路器，施耐德接触器</w:t>
            </w:r>
          </w:p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输入电压：380V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1套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海康威视，三星，英飞拓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47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6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配套材料</w:t>
            </w:r>
          </w:p>
        </w:tc>
        <w:tc>
          <w:tcPr>
            <w:tcW w:w="6231" w:type="dxa"/>
            <w:noWrap w:val="0"/>
            <w:vAlign w:val="top"/>
          </w:tcPr>
          <w:p>
            <w:pPr>
              <w:widowControl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配套高清线缆，电源线，网线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color w:val="auto"/>
                <w:kern w:val="0"/>
                <w:highlight w:val="none"/>
              </w:rPr>
              <w:t>1套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bCs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/>
                <w:bCs/>
                <w:color w:val="auto"/>
                <w:kern w:val="0"/>
                <w:highlight w:val="none"/>
              </w:rPr>
              <w:t>国产</w:t>
            </w:r>
          </w:p>
        </w:tc>
      </w:tr>
    </w:tbl>
    <w:p>
      <w:pPr>
        <w:pStyle w:val="3"/>
        <w:rPr>
          <w:rFonts w:hint="eastAsia"/>
          <w:color w:val="auto"/>
          <w:highlight w:val="none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171F29"/>
    <w:rsid w:val="54171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4"/>
      <w:szCs w:val="24"/>
      <w:lang w:val="en-US" w:eastAsia="zh-CN" w:bidi="ar-SA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120" w:after="120"/>
      <w:jc w:val="left"/>
      <w:outlineLvl w:val="2"/>
    </w:pPr>
    <w:rPr>
      <w:rFonts w:cs="Times New Roman"/>
      <w:b/>
    </w:rPr>
  </w:style>
  <w:style w:type="paragraph" w:styleId="5">
    <w:name w:val="heading 4"/>
    <w:basedOn w:val="1"/>
    <w:next w:val="1"/>
    <w:qFormat/>
    <w:uiPriority w:val="0"/>
    <w:pPr>
      <w:keepNext/>
      <w:keepLines/>
      <w:spacing w:before="280" w:after="290" w:line="240" w:lineRule="auto"/>
      <w:outlineLvl w:val="3"/>
    </w:pPr>
    <w:rPr>
      <w:rFonts w:ascii="Arial" w:hAnsi="Arial" w:eastAsia="黑体"/>
      <w:b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3"/>
    <w:qFormat/>
    <w:uiPriority w:val="0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sz w:val="24"/>
      <w:szCs w:val="24"/>
      <w:lang w:val="en-US" w:eastAsia="zh-CN" w:bidi="ar-SA"/>
    </w:rPr>
  </w:style>
  <w:style w:type="paragraph" w:customStyle="1" w:styleId="3">
    <w:name w:val="TOC 71"/>
    <w:next w:val="1"/>
    <w:qFormat/>
    <w:uiPriority w:val="0"/>
    <w:pPr>
      <w:wordWrap w:val="0"/>
      <w:ind w:left="2550"/>
      <w:jc w:val="both"/>
    </w:pPr>
    <w:rPr>
      <w:rFonts w:ascii="Calibri" w:hAnsi="Calibri" w:eastAsia="宋体" w:cs="Times New Roman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2019-07-29T09:19:00Z</dcterms:created>
  <dc:creator>TZ</dc:creator>
  <cp:lastModifiedBy>TZ</cp:lastModifiedBy>
  <dcterms:modified xsi:type="dcterms:W3CDTF">2019-07-29T09:20:45Z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