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r>
        <w:rPr>
          <w:rFonts w:hint="eastAsia"/>
          <w:color w:val="auto"/>
          <w:highlight w:val="none"/>
        </w:rPr>
        <w:t>项目需求说明</w:t>
      </w:r>
    </w:p>
    <w:p>
      <w:pPr>
        <w:pStyle w:val="4"/>
        <w:rPr>
          <w:rFonts w:ascii="宋体" w:hAnsi="宋体" w:cs="宋体"/>
          <w:color w:val="auto"/>
          <w:highlight w:val="none"/>
        </w:rPr>
      </w:pPr>
      <w:bookmarkStart w:id="0" w:name="_Toc1899"/>
      <w:bookmarkStart w:id="1" w:name="_Toc26013"/>
      <w:bookmarkStart w:id="2" w:name="_Toc31327"/>
      <w:bookmarkStart w:id="3" w:name="_Toc19804"/>
      <w:r>
        <w:rPr>
          <w:rFonts w:hint="eastAsia" w:ascii="宋体" w:hAnsi="宋体" w:cs="宋体"/>
          <w:color w:val="auto"/>
          <w:highlight w:val="none"/>
        </w:rPr>
        <w:t>一、</w:t>
      </w:r>
      <w:bookmarkEnd w:id="0"/>
      <w:bookmarkEnd w:id="1"/>
      <w:r>
        <w:rPr>
          <w:rFonts w:hint="eastAsia" w:ascii="宋体" w:hAnsi="宋体" w:cs="宋体"/>
          <w:color w:val="auto"/>
          <w:highlight w:val="none"/>
        </w:rPr>
        <w:t>采购需求</w:t>
      </w:r>
      <w:bookmarkEnd w:id="2"/>
      <w:bookmarkEnd w:id="3"/>
    </w:p>
    <w:p>
      <w:pPr>
        <w:pStyle w:val="5"/>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技术要求中未特别注明需执行的国家相关标准、行业标准、地方标准或者其他标准、规范，则统一执行最新标准、规范。</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p>
    <w:p>
      <w:pPr>
        <w:pStyle w:val="5"/>
        <w:rPr>
          <w:color w:val="auto"/>
          <w:highlight w:val="none"/>
        </w:rPr>
      </w:pPr>
      <w:bookmarkStart w:id="4" w:name="_Toc450840086"/>
      <w:bookmarkStart w:id="5" w:name="_Toc23621"/>
      <w:r>
        <w:rPr>
          <w:rFonts w:hint="eastAsia" w:cs="宋体"/>
          <w:color w:val="auto"/>
          <w:highlight w:val="none"/>
        </w:rPr>
        <w:t>（二）</w:t>
      </w:r>
      <w:r>
        <w:rPr>
          <w:rFonts w:hint="eastAsia" w:cs="宋体"/>
          <w:color w:val="auto"/>
          <w:szCs w:val="40"/>
          <w:highlight w:val="none"/>
        </w:rPr>
        <w:t>具体技术要求</w:t>
      </w:r>
    </w:p>
    <w:tbl>
      <w:tblPr>
        <w:tblStyle w:val="9"/>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074"/>
        <w:gridCol w:w="551"/>
        <w:gridCol w:w="493"/>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b/>
                <w:color w:val="auto"/>
                <w:szCs w:val="21"/>
                <w:highlight w:val="none"/>
              </w:rPr>
            </w:pPr>
            <w:r>
              <w:rPr>
                <w:rFonts w:hint="eastAsia" w:cs="宋体"/>
                <w:b/>
                <w:color w:val="auto"/>
                <w:szCs w:val="21"/>
                <w:highlight w:val="none"/>
              </w:rPr>
              <w:t>序号</w:t>
            </w:r>
          </w:p>
        </w:tc>
        <w:tc>
          <w:tcPr>
            <w:tcW w:w="1074" w:type="dxa"/>
            <w:vAlign w:val="center"/>
          </w:tcPr>
          <w:p>
            <w:pPr>
              <w:ind w:firstLine="0" w:firstLineChars="0"/>
              <w:jc w:val="center"/>
              <w:rPr>
                <w:rFonts w:cs="宋体"/>
                <w:b/>
                <w:color w:val="auto"/>
                <w:szCs w:val="21"/>
                <w:highlight w:val="none"/>
              </w:rPr>
            </w:pPr>
            <w:r>
              <w:rPr>
                <w:rFonts w:hint="eastAsia" w:cs="宋体"/>
                <w:b/>
                <w:color w:val="auto"/>
                <w:szCs w:val="21"/>
                <w:highlight w:val="none"/>
              </w:rPr>
              <w:t>名称</w:t>
            </w:r>
          </w:p>
        </w:tc>
        <w:tc>
          <w:tcPr>
            <w:tcW w:w="551" w:type="dxa"/>
            <w:vAlign w:val="center"/>
          </w:tcPr>
          <w:p>
            <w:pPr>
              <w:ind w:firstLine="0" w:firstLineChars="0"/>
              <w:jc w:val="center"/>
              <w:rPr>
                <w:rFonts w:cs="宋体"/>
                <w:b/>
                <w:color w:val="auto"/>
                <w:szCs w:val="21"/>
                <w:highlight w:val="none"/>
              </w:rPr>
            </w:pPr>
            <w:r>
              <w:rPr>
                <w:rFonts w:hint="eastAsia" w:cs="宋体"/>
                <w:b/>
                <w:color w:val="auto"/>
                <w:szCs w:val="21"/>
                <w:highlight w:val="none"/>
              </w:rPr>
              <w:t>数量</w:t>
            </w:r>
          </w:p>
        </w:tc>
        <w:tc>
          <w:tcPr>
            <w:tcW w:w="493" w:type="dxa"/>
            <w:vAlign w:val="center"/>
          </w:tcPr>
          <w:p>
            <w:pPr>
              <w:ind w:firstLine="0" w:firstLineChars="0"/>
              <w:jc w:val="center"/>
              <w:rPr>
                <w:rFonts w:cs="宋体"/>
                <w:b/>
                <w:color w:val="auto"/>
                <w:szCs w:val="21"/>
                <w:highlight w:val="none"/>
              </w:rPr>
            </w:pPr>
            <w:r>
              <w:rPr>
                <w:rFonts w:hint="eastAsia" w:cs="宋体"/>
                <w:b/>
                <w:color w:val="auto"/>
                <w:szCs w:val="21"/>
                <w:highlight w:val="none"/>
              </w:rPr>
              <w:t>单位</w:t>
            </w:r>
          </w:p>
        </w:tc>
        <w:tc>
          <w:tcPr>
            <w:tcW w:w="6848" w:type="dxa"/>
            <w:vAlign w:val="center"/>
          </w:tcPr>
          <w:p>
            <w:pPr>
              <w:ind w:firstLine="0" w:firstLineChars="0"/>
              <w:jc w:val="center"/>
              <w:rPr>
                <w:rFonts w:cs="宋体"/>
                <w:b/>
                <w:color w:val="auto"/>
                <w:szCs w:val="21"/>
                <w:highlight w:val="none"/>
              </w:rPr>
            </w:pPr>
            <w:r>
              <w:rPr>
                <w:rFonts w:hint="eastAsia" w:cs="宋体"/>
                <w:b/>
                <w:color w:val="auto"/>
                <w:szCs w:val="21"/>
                <w:highlight w:val="none"/>
              </w:rPr>
              <w:t>功能、目标、质量、安全、技术规格、物理特性等要求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cs="宋体"/>
                <w:color w:val="auto"/>
                <w:kern w:val="0"/>
                <w:szCs w:val="21"/>
                <w:highlight w:val="none"/>
                <w:lang w:bidi="ar"/>
              </w:rPr>
              <w:t>500W摄像</w:t>
            </w:r>
            <w:r>
              <w:rPr>
                <w:rFonts w:hint="eastAsia" w:cs="宋体"/>
                <w:color w:val="auto"/>
                <w:kern w:val="0"/>
                <w:szCs w:val="21"/>
                <w:highlight w:val="none"/>
                <w:lang w:bidi="ar"/>
              </w:rPr>
              <w:t>头</w:t>
            </w:r>
          </w:p>
          <w:p>
            <w:pPr>
              <w:widowControl/>
              <w:ind w:firstLine="0" w:firstLineChars="0"/>
              <w:jc w:val="center"/>
              <w:textAlignment w:val="center"/>
              <w:rPr>
                <w:rFonts w:cs="宋体"/>
                <w:color w:val="auto"/>
                <w:kern w:val="0"/>
                <w:szCs w:val="21"/>
                <w:highlight w:val="none"/>
                <w:lang w:bidi="ar"/>
              </w:rPr>
            </w:pPr>
            <w:r>
              <w:rPr>
                <w:rFonts w:hint="eastAsia" w:cs="宋体"/>
                <w:b/>
                <w:bCs/>
                <w:color w:val="auto"/>
                <w:kern w:val="0"/>
                <w:szCs w:val="21"/>
                <w:highlight w:val="none"/>
                <w:lang w:bidi="ar"/>
              </w:rPr>
              <w:t>（核心产品）</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szCs w:val="21"/>
                <w:highlight w:val="none"/>
              </w:rPr>
              <w:t>50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w:t>
            </w:r>
            <w:r>
              <w:rPr>
                <w:rFonts w:cs="宋体"/>
                <w:color w:val="auto"/>
                <w:kern w:val="0"/>
                <w:szCs w:val="21"/>
                <w:highlight w:val="none"/>
                <w:lang w:bidi="ar"/>
              </w:rPr>
              <w:t>500W摄像</w:t>
            </w:r>
            <w:r>
              <w:rPr>
                <w:rFonts w:hint="eastAsia" w:cs="宋体"/>
                <w:color w:val="auto"/>
                <w:kern w:val="0"/>
                <w:szCs w:val="21"/>
                <w:highlight w:val="none"/>
                <w:lang w:bidi="ar"/>
              </w:rPr>
              <w:t>头</w:t>
            </w:r>
            <w:r>
              <w:rPr>
                <w:rFonts w:cs="宋体"/>
                <w:color w:val="auto"/>
                <w:kern w:val="0"/>
                <w:szCs w:val="21"/>
                <w:highlight w:val="none"/>
                <w:lang w:bidi="ar"/>
              </w:rPr>
              <w:t xml:space="preserve">，最低照度：彩色：≤0.001 lx ; 黑白：≤0.0001 lx。 </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w:t>
            </w:r>
            <w:r>
              <w:rPr>
                <w:rFonts w:cs="宋体"/>
                <w:color w:val="auto"/>
                <w:kern w:val="0"/>
                <w:szCs w:val="21"/>
                <w:highlight w:val="none"/>
                <w:lang w:bidi="ar"/>
              </w:rPr>
              <w:t>★多路访问功能：在同一个IE浏览器上，可同时开启30个视频窗口进行画面浏览。（</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w:t>
            </w:r>
            <w:r>
              <w:rPr>
                <w:rFonts w:cs="宋体"/>
                <w:color w:val="auto"/>
                <w:kern w:val="0"/>
                <w:szCs w:val="21"/>
                <w:highlight w:val="none"/>
                <w:lang w:bidi="ar"/>
              </w:rPr>
              <w:t>在线用户：在同一个客户端上最多可同时支持32个用户在线</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w:t>
            </w:r>
            <w:r>
              <w:rPr>
                <w:rFonts w:cs="宋体"/>
                <w:color w:val="auto"/>
                <w:kern w:val="0"/>
                <w:szCs w:val="21"/>
                <w:highlight w:val="none"/>
                <w:lang w:bidi="ar"/>
              </w:rPr>
              <w:t>视频编码格式：具有H.265、H.26</w:t>
            </w:r>
            <w:r>
              <w:rPr>
                <w:rFonts w:hint="eastAsia" w:cs="宋体"/>
                <w:color w:val="auto"/>
                <w:kern w:val="0"/>
                <w:szCs w:val="21"/>
                <w:highlight w:val="none"/>
                <w:lang w:bidi="ar"/>
              </w:rPr>
              <w:t>4.</w:t>
            </w:r>
            <w:r>
              <w:rPr>
                <w:rFonts w:cs="宋体"/>
                <w:color w:val="auto"/>
                <w:kern w:val="0"/>
                <w:szCs w:val="21"/>
                <w:highlight w:val="none"/>
                <w:lang w:bidi="ar"/>
              </w:rPr>
              <w:t>MJPEG设置选项；可将H.265格式设置为Baseline/ Main/High Profile。</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5</w:t>
            </w:r>
            <w:r>
              <w:rPr>
                <w:rFonts w:hint="eastAsia" w:cs="宋体"/>
                <w:color w:val="auto"/>
                <w:kern w:val="0"/>
                <w:szCs w:val="21"/>
                <w:highlight w:val="none"/>
                <w:lang w:bidi="ar"/>
              </w:rPr>
              <w:t>.</w:t>
            </w:r>
            <w:r>
              <w:rPr>
                <w:rFonts w:cs="宋体"/>
                <w:color w:val="auto"/>
                <w:kern w:val="0"/>
                <w:szCs w:val="21"/>
                <w:highlight w:val="none"/>
                <w:lang w:bidi="ar"/>
              </w:rPr>
              <w:t>字符叠加（OSD）功能检验：可在视频图像叠加图片，叠加的OSD可在屏幕中滚动。</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w:t>
            </w:r>
            <w:r>
              <w:rPr>
                <w:rFonts w:cs="宋体"/>
                <w:color w:val="auto"/>
                <w:kern w:val="0"/>
                <w:szCs w:val="21"/>
                <w:highlight w:val="none"/>
                <w:lang w:bidi="ar"/>
              </w:rPr>
              <w:t>网络协议设置：在IE浏览器下，具有TCP/IP、IPv4/IPv</w:t>
            </w:r>
            <w:r>
              <w:rPr>
                <w:rFonts w:hint="eastAsia" w:cs="宋体"/>
                <w:color w:val="auto"/>
                <w:kern w:val="0"/>
                <w:szCs w:val="21"/>
                <w:highlight w:val="none"/>
                <w:lang w:bidi="ar"/>
              </w:rPr>
              <w:t>6.</w:t>
            </w:r>
            <w:r>
              <w:rPr>
                <w:rFonts w:cs="宋体"/>
                <w:color w:val="auto"/>
                <w:kern w:val="0"/>
                <w:szCs w:val="21"/>
                <w:highlight w:val="none"/>
                <w:lang w:bidi="ar"/>
              </w:rPr>
              <w:t xml:space="preserve">HTTP、HTTPS、FTP、DNS、DDNS、RTSP、PPPoE、SMTP、NTP、SNMP、802.1x等网络协议设置选项。 </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w:t>
            </w:r>
            <w:r>
              <w:rPr>
                <w:rFonts w:cs="宋体"/>
                <w:color w:val="auto"/>
                <w:kern w:val="0"/>
                <w:szCs w:val="21"/>
                <w:highlight w:val="none"/>
                <w:lang w:bidi="ar"/>
              </w:rPr>
              <w:t>网络传输能力：设备和客户机之间用300m网线连接，在客户端连续发送1000个数据包，重复测试3次，每次丢包数应小于1个。</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w:t>
            </w:r>
            <w:r>
              <w:rPr>
                <w:rFonts w:cs="宋体"/>
                <w:color w:val="auto"/>
                <w:kern w:val="0"/>
                <w:szCs w:val="21"/>
                <w:highlight w:val="none"/>
                <w:lang w:bidi="ar"/>
              </w:rPr>
              <w:t>★宽动态自动切换功能：在IE浏览器下，设备具有宽动态自动切换设置选项，在环境亮度变化时，可自动进行关闭/开启切换。（</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9</w:t>
            </w:r>
            <w:r>
              <w:rPr>
                <w:rFonts w:hint="eastAsia" w:cs="宋体"/>
                <w:color w:val="auto"/>
                <w:kern w:val="0"/>
                <w:szCs w:val="21"/>
                <w:highlight w:val="none"/>
                <w:lang w:bidi="ar"/>
              </w:rPr>
              <w:t>.</w:t>
            </w:r>
            <w:r>
              <w:rPr>
                <w:rFonts w:cs="宋体"/>
                <w:color w:val="auto"/>
                <w:kern w:val="0"/>
                <w:szCs w:val="21"/>
                <w:highlight w:val="none"/>
                <w:lang w:bidi="ar"/>
              </w:rPr>
              <w:t>网络传输距离：设备和客户端之间使用300m超5类非屏蔽网线连接PoE供电时，可正常显示监控画面。</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10</w:t>
            </w:r>
            <w:r>
              <w:rPr>
                <w:rFonts w:hint="eastAsia" w:cs="宋体"/>
                <w:color w:val="auto"/>
                <w:kern w:val="0"/>
                <w:szCs w:val="21"/>
                <w:highlight w:val="none"/>
                <w:lang w:bidi="ar"/>
              </w:rPr>
              <w:t>.</w:t>
            </w:r>
            <w:r>
              <w:rPr>
                <w:rFonts w:cs="宋体"/>
                <w:color w:val="auto"/>
                <w:kern w:val="0"/>
                <w:szCs w:val="21"/>
                <w:highlight w:val="none"/>
                <w:lang w:bidi="ar"/>
              </w:rPr>
              <w:t xml:space="preserve">智能行为分析功能：当以下的智能分析达到设定的阈值时，可通过客户端软件或IE浏览器给出报警提示。包括：区域入侵、停车、越界入侵、人员聚集、进入区域、离开区域、快速移动、物品移除、物品遗留、徘徊、场景变更。 </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1.</w:t>
            </w:r>
            <w:r>
              <w:rPr>
                <w:rFonts w:cs="宋体"/>
                <w:color w:val="auto"/>
                <w:kern w:val="0"/>
                <w:szCs w:val="21"/>
                <w:highlight w:val="none"/>
                <w:lang w:bidi="ar"/>
              </w:rPr>
              <w:t>宽动态能力检测：其具有宽动态设置选项，宽动态能力综合评价得分为</w:t>
            </w:r>
            <w:r>
              <w:rPr>
                <w:rFonts w:hint="eastAsia"/>
                <w:color w:val="auto"/>
                <w:highlight w:val="none"/>
              </w:rPr>
              <w:t>≥130</w:t>
            </w:r>
            <w:r>
              <w:rPr>
                <w:rFonts w:cs="宋体"/>
                <w:color w:val="auto"/>
                <w:kern w:val="0"/>
                <w:szCs w:val="21"/>
                <w:highlight w:val="none"/>
                <w:lang w:bidi="ar"/>
              </w:rPr>
              <w:t xml:space="preserve">分。 </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2.</w:t>
            </w:r>
            <w:r>
              <w:rPr>
                <w:rFonts w:cs="宋体"/>
                <w:color w:val="auto"/>
                <w:kern w:val="0"/>
                <w:szCs w:val="21"/>
                <w:highlight w:val="none"/>
                <w:lang w:bidi="ar"/>
              </w:rPr>
              <w:t>★智能编码功能：在同一静止场景、相同图像参数、设备开启U-Code高级模式与普通模式相比，码率节约90%。（</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3.</w:t>
            </w:r>
            <w:r>
              <w:rPr>
                <w:rFonts w:cs="宋体"/>
                <w:color w:val="auto"/>
                <w:kern w:val="0"/>
                <w:szCs w:val="21"/>
                <w:highlight w:val="none"/>
                <w:lang w:bidi="ar"/>
              </w:rPr>
              <w:t xml:space="preserve">电源电压适应性：电源电压在DC12V±35%范围内变化时，设备能正常工作。 </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4.</w:t>
            </w:r>
            <w:r>
              <w:rPr>
                <w:rFonts w:cs="宋体"/>
                <w:color w:val="auto"/>
                <w:kern w:val="0"/>
                <w:szCs w:val="21"/>
                <w:highlight w:val="none"/>
                <w:lang w:bidi="ar"/>
              </w:rPr>
              <w:t>红外灯夜视距离：可识别设备100m处的人体轮廓 。</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15</w:t>
            </w:r>
            <w:r>
              <w:rPr>
                <w:rFonts w:hint="eastAsia" w:cs="宋体"/>
                <w:color w:val="auto"/>
                <w:kern w:val="0"/>
                <w:szCs w:val="21"/>
                <w:highlight w:val="none"/>
                <w:lang w:bidi="ar"/>
              </w:rPr>
              <w:t>.</w:t>
            </w:r>
            <w:r>
              <w:rPr>
                <w:rFonts w:cs="宋体"/>
                <w:color w:val="auto"/>
                <w:kern w:val="0"/>
                <w:szCs w:val="21"/>
                <w:highlight w:val="none"/>
                <w:lang w:bidi="ar"/>
              </w:rPr>
              <w:t>★网关ARP绑定功能：设备可通过IE浏览器添加并绑定设备所在网段网关的MAC地址，当其它终端设备访问设备时，若使用正确的网关MAC地址即设备绑定的MAC地址可以正常访问设备；当使用错误的网关MAC地址即不是设备绑定的MAC地址则不能访问设备。（</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w:t>
            </w:r>
          </w:p>
          <w:p>
            <w:pPr>
              <w:widowControl/>
              <w:ind w:firstLine="0" w:firstLineChars="0"/>
              <w:jc w:val="left"/>
              <w:textAlignment w:val="center"/>
              <w:rPr>
                <w:rFonts w:cs="宋体"/>
                <w:color w:val="auto"/>
                <w:kern w:val="0"/>
                <w:szCs w:val="21"/>
                <w:highlight w:val="none"/>
                <w:lang w:bidi="ar"/>
              </w:rPr>
            </w:pPr>
            <w:r>
              <w:rPr>
                <w:rFonts w:cs="宋体"/>
                <w:color w:val="auto"/>
                <w:kern w:val="0"/>
                <w:szCs w:val="21"/>
                <w:highlight w:val="none"/>
                <w:lang w:bidi="ar"/>
              </w:rPr>
              <w:t>1</w:t>
            </w:r>
            <w:r>
              <w:rPr>
                <w:rFonts w:hint="eastAsia" w:cs="宋体"/>
                <w:color w:val="auto"/>
                <w:kern w:val="0"/>
                <w:szCs w:val="21"/>
                <w:highlight w:val="none"/>
                <w:lang w:bidi="ar"/>
              </w:rPr>
              <w:t>6.</w:t>
            </w:r>
            <w:r>
              <w:rPr>
                <w:rFonts w:cs="宋体"/>
                <w:color w:val="auto"/>
                <w:kern w:val="0"/>
                <w:szCs w:val="21"/>
                <w:highlight w:val="none"/>
                <w:lang w:bidi="ar"/>
              </w:rPr>
              <w:t>★友好密码功能：与设备处于同一网段的地址可以使用出厂密码登录和访问设备，跨网段的地址只能使用复杂度为高的密码（至少8位，由大小写字母、数字和特殊字符组成）登录和访问设备。（</w:t>
            </w:r>
            <w:r>
              <w:rPr>
                <w:rFonts w:hint="eastAsia" w:cs="宋体"/>
                <w:color w:val="auto"/>
                <w:kern w:val="0"/>
                <w:szCs w:val="21"/>
                <w:highlight w:val="none"/>
                <w:lang w:bidi="ar"/>
              </w:rPr>
              <w:t>提供检测报告复印件加盖公章，不提供视为未响应。原件备查</w:t>
            </w:r>
            <w:r>
              <w:rPr>
                <w:rFonts w:cs="宋体"/>
                <w:color w:val="auto"/>
                <w:kern w:val="0"/>
                <w:szCs w:val="21"/>
                <w:highlight w:val="non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2</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视频云终端</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3</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视频播放云终端：</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1.高性能视频播放云终端，具有1个VGA接口、1个COM接口、1个HDMI接口、1个RJ45网络接口、4个USB接口、1个Type-C接口、1个音频输入接口、1个音频输出接口和1个SSD接口；</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2.绿色节能:功耗</w:t>
            </w:r>
            <w:r>
              <w:rPr>
                <w:rFonts w:hint="eastAsia" w:cs="宋体"/>
                <w:color w:val="auto"/>
                <w:kern w:val="0"/>
                <w:szCs w:val="21"/>
                <w:highlight w:val="none"/>
                <w:lang w:eastAsia="zh-CN" w:bidi="ar"/>
              </w:rPr>
              <w:t>约</w:t>
            </w:r>
            <w:r>
              <w:rPr>
                <w:rFonts w:hint="eastAsia" w:cs="宋体"/>
                <w:color w:val="auto"/>
                <w:kern w:val="0"/>
                <w:szCs w:val="21"/>
                <w:highlight w:val="none"/>
                <w:lang w:bidi="ar"/>
              </w:rPr>
              <w:t>30W；</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val="en-US" w:eastAsia="zh-CN" w:bidi="ar"/>
              </w:rPr>
              <w:t>3</w:t>
            </w:r>
            <w:r>
              <w:rPr>
                <w:rFonts w:hint="eastAsia" w:cs="宋体"/>
                <w:color w:val="auto"/>
                <w:kern w:val="0"/>
                <w:szCs w:val="21"/>
                <w:highlight w:val="none"/>
                <w:lang w:bidi="ar"/>
              </w:rPr>
              <w:t>.★可输出2路图像分辨率为3840*2160、帧率为25fps、码率为14Mbps的视频图像，</w:t>
            </w:r>
            <w:r>
              <w:rPr>
                <w:rFonts w:hint="eastAsia" w:cs="宋体"/>
                <w:b/>
                <w:bCs/>
                <w:color w:val="auto"/>
                <w:kern w:val="0"/>
                <w:szCs w:val="21"/>
                <w:highlight w:val="none"/>
                <w:lang w:bidi="ar"/>
              </w:rPr>
              <w:t>要求提供公安部权威检测报告</w:t>
            </w:r>
            <w:r>
              <w:rPr>
                <w:rFonts w:hint="eastAsia" w:cs="宋体"/>
                <w:color w:val="auto"/>
                <w:kern w:val="0"/>
                <w:szCs w:val="21"/>
                <w:highlight w:val="none"/>
                <w:lang w:bidi="ar"/>
              </w:rPr>
              <w:t>；</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val="en-US" w:eastAsia="zh-CN" w:bidi="ar"/>
              </w:rPr>
              <w:t>4</w:t>
            </w:r>
            <w:r>
              <w:rPr>
                <w:rFonts w:hint="eastAsia" w:cs="宋体"/>
                <w:color w:val="auto"/>
                <w:kern w:val="0"/>
                <w:szCs w:val="21"/>
                <w:highlight w:val="none"/>
                <w:lang w:bidi="ar"/>
              </w:rPr>
              <w:t>.可输出12路图像分辨率为1920*1080、帧率为30fps、码率为6Mbps的视频图像，</w:t>
            </w:r>
            <w:r>
              <w:rPr>
                <w:rFonts w:hint="eastAsia" w:cs="宋体"/>
                <w:b/>
                <w:bCs/>
                <w:color w:val="auto"/>
                <w:kern w:val="0"/>
                <w:szCs w:val="21"/>
                <w:highlight w:val="none"/>
                <w:lang w:bidi="ar"/>
              </w:rPr>
              <w:t>要求提供公安部权威检测报告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3</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硬盘</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16</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块</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6T监控级硬盘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4</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szCs w:val="21"/>
                <w:highlight w:val="none"/>
              </w:rPr>
              <w:t>双网络硬盘录象机</w:t>
            </w:r>
            <w:r>
              <w:rPr>
                <w:rFonts w:hint="eastAsia" w:cs="宋体"/>
                <w:color w:val="auto"/>
                <w:kern w:val="0"/>
                <w:szCs w:val="21"/>
                <w:highlight w:val="none"/>
                <w:lang w:bidi="ar"/>
              </w:rPr>
              <w:t>（</w:t>
            </w:r>
            <w:r>
              <w:rPr>
                <w:rFonts w:hint="eastAsia" w:cs="宋体"/>
                <w:color w:val="auto"/>
                <w:szCs w:val="21"/>
                <w:highlight w:val="none"/>
              </w:rPr>
              <w:t>16盘位一体机</w:t>
            </w:r>
            <w:r>
              <w:rPr>
                <w:rFonts w:hint="eastAsia" w:cs="宋体"/>
                <w:color w:val="auto"/>
                <w:kern w:val="0"/>
                <w:szCs w:val="21"/>
                <w:highlight w:val="none"/>
                <w:lang w:bidi="ar"/>
              </w:rPr>
              <w:t>）</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1.应具备16个硬盘一对一指示灯、运行指示灯（RUN）、告警指示灯（ALM）、网络状态指示灯（NET）、两个解码卡指示灯（SLOT0、SLOT1）、扩展柜指示灯（LINK）</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2.应支持不低于4个10M/100M/1000M Base-T自适应以太网业务接口</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3.应支持不低于14个HDMI（均支持4K）接口，应支持不低于1个VGA接口</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4.单机具备不低于16个SATA3.0硬盘接口，可扩展至不低于48块硬盘；单盘最大支持10TB</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5.★应支持不低于24路报警输入接口，8路报警输出接口（提供检测报告复印件加盖公章，不提供视为未响应。原件备查）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6.支持512Mbps视音频码流接入和存储；支持384Mbps视音频码流转发；支持192Mbps视音频码流解码回放</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7.★支持112路1080p解码（提供检测报告复印件加盖公章，不提供视为未响应。原件备查）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8.★支持在通道管理界面查看网络剩余带宽，支持指定网段搜索添加IPC，支持一键添加局域网内IPC，自动修改其IPC地址，添加完成后可预览该图像（提供检测报告复印件加盖公章，不提供视为未响应。原件备查）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9.应支持标准GB/T28181协议、ONVIF协议、宇视、自定义等协议接入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10.应支持H.265、H.264等编码格式</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 xml:space="preserve">11.应至少支持RAID 0、RAID 1.RAID5、RAID 6.RAID 10、RAID 50、RAID 60功能，支持一键创建RAID5 </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12.★应支持存储数据保护功能，当前设备硬盘无法直接从第三方服务器或PC机上读取硬盘数据（提供检测报告复印件加盖公章，不提供视为未响应。原件备查）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13.支持防ARP攻击，将设备MAC地址和指定的网关绑定，只有通过绑定的网关才可以远程访问设备</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14.★支持UNP功能、可实现内外网穿越（提供检测报告复印件加盖公章，不提供视为未响应。原件备查）</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15.支持手机APP客户端控制功能，主要支持预览、回放、下载、本地录像、抓拍、PTZ等功能；兼容IOS、ANDROID两种平台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5</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55寸液晶显示器</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6</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1.液晶显示器；</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2.显示类别：TFT-LED背光；</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3.屏幕尺寸：</w:t>
            </w:r>
            <w:r>
              <w:rPr>
                <w:rFonts w:cs="宋体"/>
                <w:color w:val="auto"/>
                <w:kern w:val="0"/>
                <w:szCs w:val="21"/>
                <w:highlight w:val="none"/>
                <w:lang w:bidi="ar"/>
              </w:rPr>
              <w:t>55</w:t>
            </w:r>
            <w:r>
              <w:rPr>
                <w:rFonts w:hint="eastAsia" w:cs="宋体"/>
                <w:color w:val="auto"/>
                <w:kern w:val="0"/>
                <w:szCs w:val="21"/>
                <w:highlight w:val="none"/>
                <w:lang w:bidi="ar"/>
              </w:rPr>
              <w:t>寸；</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4.最大分辨率：1920×1080；</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5.亮度：500cd/m²；</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6.对比度：1400：1；</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7.响应时间：8ms；</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8.可视面积：930.24mm×523.26mm；</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9.可视角度：水平178°，垂直178°；</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10.功耗：≤140W；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6</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6路HDMI高清视频H.265解码卡</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1</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6路HDMI高清视频H.265解码卡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7</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12v电源</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50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摄像机专用电源 12V3A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8</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水晶头</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包</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六类水晶头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9</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1U理线架</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4</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个</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1.1U单面，19英寸水平理线器；</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2.材质为冷轧钢板安装于19"网络机柜和开放式机架，完成线缆的容纳和管理功能；</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3.带有防尘盖，防止灰尘；占1U高度，结构紧凑；盖子可拆装，方便管理跳线。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10</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24口SC光纤配线架(含面板、适配器)</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2</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个</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24口SC光纤配线架（含面板、适配器）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1</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SC - SC 单模单芯（2米）</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120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根</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SC单模跳线（2米）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2</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机柜</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1</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1.600*600*2000机柜，全部选用SPCC；</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2.优质冷轧钢板制作，静电喷塑；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3</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网线</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4500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szCs w:val="21"/>
                <w:highlight w:val="none"/>
              </w:rPr>
              <w:t>米</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1.双绞线为综合布线工程中最常用的传输介质，主要应用于水平子系统；</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2.符合YD/T 1019、GB50312.TIA/EIA 568-C.2.和ISO/IEC 11801对6类传输的要求。</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3.过CE、ROHS、TLC、SGS认证并提供相关证书复印件</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4.具有向后兼容性，可向下兼容CAT5e及更低类别的系统；</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5.传输时延低，紧凑线缆设计，减少安装中电缆出现扭曲打结现象；</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6.中心PE十字骨架，最大程度上保证安装过程中不破坏双绞线绞距，具有高抗电磁干扰性，使传输信号的误码率降至最低程度；</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7.内置撕裂绳，便于施工；</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8.绝缘单线生产过程采用在线控制偏心仪，在线火花检测仪，在线水中电容检测仪等在线设备，保证了产品的高可靠性和一致性，绝缘单线采用彩条色标符合环保要求；</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9.所有使用铜及PE、PVC材质，都经过检测分析，放射性有害重金属含量完全控制在国际严格标准内；</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10.绝缘层材料为高密度聚乙烯（HDPE）；</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11.外护套材料可选用低烟无卤、阻燃聚氯乙烯、防水聚乙烯材料；</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12.工作电容：≤5.6 nF/100米；</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13.线对对地电容不平衡：≤330 pF/100米；</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14.额定传输速率（NVP)：69%；</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15.线对时延差：≤45ns/100米；</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16.最大导体直流电阻：7.32Ω /100米 (23AWG)；</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17.线对直流不平衡电阻： ≤2%；</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18.绝缘电阻最小值(MΩ/Km)：5000；</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19.传输带宽大于250MHz；</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20.23AWG线规；</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21.整箱线长305米。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14</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szCs w:val="21"/>
                <w:highlight w:val="none"/>
              </w:rPr>
              <w:t>电缆</w:t>
            </w:r>
          </w:p>
        </w:tc>
        <w:tc>
          <w:tcPr>
            <w:tcW w:w="551" w:type="dxa"/>
            <w:vAlign w:val="center"/>
          </w:tcPr>
          <w:p>
            <w:pPr>
              <w:widowControl/>
              <w:ind w:firstLine="0" w:firstLineChars="0"/>
              <w:jc w:val="center"/>
              <w:textAlignment w:val="center"/>
              <w:rPr>
                <w:rFonts w:cs="宋体"/>
                <w:color w:val="auto"/>
                <w:szCs w:val="21"/>
                <w:highlight w:val="none"/>
              </w:rPr>
            </w:pPr>
            <w:r>
              <w:rPr>
                <w:rFonts w:cs="宋体"/>
                <w:color w:val="auto"/>
                <w:kern w:val="0"/>
                <w:szCs w:val="21"/>
                <w:highlight w:val="none"/>
                <w:lang w:bidi="ar"/>
              </w:rPr>
              <w:t>2</w:t>
            </w:r>
            <w:r>
              <w:rPr>
                <w:rFonts w:hint="eastAsia" w:cs="宋体"/>
                <w:color w:val="auto"/>
                <w:kern w:val="0"/>
                <w:szCs w:val="21"/>
                <w:highlight w:val="none"/>
                <w:lang w:bidi="ar"/>
              </w:rPr>
              <w:t>000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米</w:t>
            </w:r>
          </w:p>
        </w:tc>
        <w:tc>
          <w:tcPr>
            <w:tcW w:w="6848" w:type="dxa"/>
            <w:vAlign w:val="center"/>
          </w:tcPr>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防水、阻燃、国标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15</w:t>
            </w:r>
          </w:p>
        </w:tc>
        <w:tc>
          <w:tcPr>
            <w:tcW w:w="1074" w:type="dxa"/>
            <w:vAlign w:val="center"/>
          </w:tcPr>
          <w:p>
            <w:pPr>
              <w:widowControl/>
              <w:ind w:firstLine="0" w:firstLineChars="0"/>
              <w:jc w:val="center"/>
              <w:textAlignment w:val="center"/>
              <w:rPr>
                <w:rFonts w:cs="宋体"/>
                <w:color w:val="auto"/>
                <w:szCs w:val="21"/>
                <w:highlight w:val="none"/>
              </w:rPr>
            </w:pPr>
            <w:r>
              <w:rPr>
                <w:rFonts w:hint="eastAsia" w:cs="宋体"/>
                <w:color w:val="auto"/>
                <w:szCs w:val="21"/>
                <w:highlight w:val="none"/>
              </w:rPr>
              <w:t>光缆</w:t>
            </w:r>
          </w:p>
        </w:tc>
        <w:tc>
          <w:tcPr>
            <w:tcW w:w="551"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4000</w:t>
            </w:r>
          </w:p>
        </w:tc>
        <w:tc>
          <w:tcPr>
            <w:tcW w:w="493" w:type="dxa"/>
            <w:vAlign w:val="center"/>
          </w:tcPr>
          <w:p>
            <w:pPr>
              <w:widowControl/>
              <w:ind w:firstLine="0" w:firstLineChars="0"/>
              <w:jc w:val="center"/>
              <w:textAlignment w:val="center"/>
              <w:rPr>
                <w:rFonts w:cs="宋体"/>
                <w:color w:val="auto"/>
                <w:szCs w:val="21"/>
                <w:highlight w:val="none"/>
              </w:rPr>
            </w:pPr>
            <w:r>
              <w:rPr>
                <w:rFonts w:hint="eastAsia" w:cs="宋体"/>
                <w:color w:val="auto"/>
                <w:kern w:val="0"/>
                <w:szCs w:val="21"/>
                <w:highlight w:val="none"/>
                <w:lang w:bidi="ar"/>
              </w:rPr>
              <w:t>米</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1.芯数： 2-12芯（单模、多模）；</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2.线径： 8.0mm；</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3.用途： 架空、管道、监控、安防、网络；</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4.具有很好的机械性能和温度特性；</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5.松套管材料本身具有良好的耐水解性能和较高的强度；</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6.管内充以特种油膏，对光纤进行了关键性保护；</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7.良好的抗压性和柔软性；</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8.双面涂塑钢带（PSP）提高光缆的抗透潮能力；</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9.两根平行钢丝保证光缆的抗拉强度；</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10.直径小、重量轻、容易敷设；</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11.较长的交货长度；</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12.使用温度：-40℃~+60℃；</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13.防护等级：IP65；</w:t>
            </w:r>
          </w:p>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14.弯曲半径：静态10倍光缆外径；</w:t>
            </w:r>
          </w:p>
          <w:p>
            <w:pPr>
              <w:widowControl/>
              <w:ind w:firstLine="0" w:firstLineChars="0"/>
              <w:jc w:val="left"/>
              <w:textAlignment w:val="center"/>
              <w:rPr>
                <w:rFonts w:cs="宋体"/>
                <w:color w:val="auto"/>
                <w:szCs w:val="21"/>
                <w:highlight w:val="none"/>
              </w:rPr>
            </w:pPr>
            <w:r>
              <w:rPr>
                <w:rFonts w:hint="eastAsia" w:cs="宋体"/>
                <w:color w:val="auto"/>
                <w:kern w:val="0"/>
                <w:szCs w:val="21"/>
                <w:highlight w:val="none"/>
                <w:lang w:bidi="ar"/>
              </w:rPr>
              <w:t>15.动态20倍光缆外径。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6</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光纤收发器</w:t>
            </w:r>
          </w:p>
        </w:tc>
        <w:tc>
          <w:tcPr>
            <w:tcW w:w="551"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6</w:t>
            </w:r>
          </w:p>
        </w:tc>
        <w:tc>
          <w:tcPr>
            <w:tcW w:w="493"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对</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千兆级、20KM传输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1</w:t>
            </w:r>
            <w:r>
              <w:rPr>
                <w:rFonts w:cs="宋体"/>
                <w:color w:val="auto"/>
                <w:szCs w:val="21"/>
                <w:highlight w:val="none"/>
              </w:rPr>
              <w:t>7</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光纤终端盒</w:t>
            </w:r>
          </w:p>
        </w:tc>
        <w:tc>
          <w:tcPr>
            <w:tcW w:w="551"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20</w:t>
            </w:r>
          </w:p>
        </w:tc>
        <w:tc>
          <w:tcPr>
            <w:tcW w:w="493"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个</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SC单纤4口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18</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前端交换机</w:t>
            </w:r>
          </w:p>
        </w:tc>
        <w:tc>
          <w:tcPr>
            <w:tcW w:w="551"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10</w:t>
            </w:r>
          </w:p>
        </w:tc>
        <w:tc>
          <w:tcPr>
            <w:tcW w:w="493"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cs="宋体"/>
                <w:color w:val="auto"/>
                <w:szCs w:val="21"/>
                <w:highlight w:val="none"/>
              </w:rPr>
              <w:t>19</w:t>
            </w:r>
          </w:p>
        </w:tc>
        <w:tc>
          <w:tcPr>
            <w:tcW w:w="1074"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汇聚交换机</w:t>
            </w:r>
          </w:p>
        </w:tc>
        <w:tc>
          <w:tcPr>
            <w:tcW w:w="551"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4</w:t>
            </w:r>
          </w:p>
        </w:tc>
        <w:tc>
          <w:tcPr>
            <w:tcW w:w="493" w:type="dxa"/>
            <w:vAlign w:val="center"/>
          </w:tcPr>
          <w:p>
            <w:pPr>
              <w:widowControl/>
              <w:ind w:firstLine="0" w:firstLineChars="0"/>
              <w:jc w:val="center"/>
              <w:textAlignment w:val="center"/>
              <w:rPr>
                <w:rFonts w:cs="宋体"/>
                <w:color w:val="auto"/>
                <w:kern w:val="0"/>
                <w:szCs w:val="21"/>
                <w:highlight w:val="none"/>
                <w:lang w:bidi="ar"/>
              </w:rPr>
            </w:pPr>
            <w:r>
              <w:rPr>
                <w:rFonts w:hint="eastAsia" w:cs="宋体"/>
                <w:color w:val="auto"/>
                <w:kern w:val="0"/>
                <w:szCs w:val="21"/>
                <w:highlight w:val="none"/>
                <w:lang w:bidi="ar"/>
              </w:rPr>
              <w:t>台</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MS4016(千兆)交换容量：56G；包转发：27Mpps；16个千兆BASE-T电口,2个1000M SFP光口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9" w:type="dxa"/>
            <w:vAlign w:val="center"/>
          </w:tcPr>
          <w:p>
            <w:pPr>
              <w:ind w:firstLine="0" w:firstLineChars="0"/>
              <w:jc w:val="center"/>
              <w:rPr>
                <w:rFonts w:cs="宋体"/>
                <w:color w:val="auto"/>
                <w:szCs w:val="21"/>
                <w:highlight w:val="none"/>
              </w:rPr>
            </w:pPr>
            <w:r>
              <w:rPr>
                <w:rFonts w:hint="eastAsia" w:cs="宋体"/>
                <w:color w:val="auto"/>
                <w:szCs w:val="21"/>
                <w:highlight w:val="none"/>
              </w:rPr>
              <w:t>20</w:t>
            </w:r>
          </w:p>
        </w:tc>
        <w:tc>
          <w:tcPr>
            <w:tcW w:w="1074" w:type="dxa"/>
            <w:vAlign w:val="center"/>
          </w:tcPr>
          <w:p>
            <w:pPr>
              <w:widowControl/>
              <w:ind w:firstLine="0" w:firstLine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不锈钢监控箱</w:t>
            </w:r>
          </w:p>
        </w:tc>
        <w:tc>
          <w:tcPr>
            <w:tcW w:w="551" w:type="dxa"/>
            <w:vAlign w:val="center"/>
          </w:tcPr>
          <w:p>
            <w:pPr>
              <w:widowControl/>
              <w:ind w:firstLine="0" w:firstLine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12</w:t>
            </w:r>
          </w:p>
        </w:tc>
        <w:tc>
          <w:tcPr>
            <w:tcW w:w="493" w:type="dxa"/>
            <w:vAlign w:val="center"/>
          </w:tcPr>
          <w:p>
            <w:pPr>
              <w:widowControl/>
              <w:ind w:firstLine="0" w:firstLineChars="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只</w:t>
            </w:r>
          </w:p>
        </w:tc>
        <w:tc>
          <w:tcPr>
            <w:tcW w:w="6848" w:type="dxa"/>
            <w:vAlign w:val="center"/>
          </w:tcPr>
          <w:p>
            <w:pPr>
              <w:widowControl/>
              <w:ind w:firstLine="0" w:firstLineChars="0"/>
              <w:jc w:val="left"/>
              <w:textAlignment w:val="center"/>
              <w:rPr>
                <w:rFonts w:cs="宋体"/>
                <w:color w:val="auto"/>
                <w:kern w:val="0"/>
                <w:szCs w:val="21"/>
                <w:highlight w:val="none"/>
                <w:lang w:bidi="ar"/>
              </w:rPr>
            </w:pPr>
            <w:r>
              <w:rPr>
                <w:rFonts w:hint="eastAsia" w:cs="宋体"/>
                <w:color w:val="auto"/>
                <w:kern w:val="0"/>
                <w:szCs w:val="21"/>
                <w:highlight w:val="none"/>
                <w:lang w:bidi="ar"/>
              </w:rPr>
              <w:t>400*300*300</w:t>
            </w:r>
          </w:p>
        </w:tc>
      </w:tr>
    </w:tbl>
    <w:p>
      <w:pPr>
        <w:ind w:firstLine="482"/>
        <w:rPr>
          <w:b/>
          <w:bCs/>
          <w:color w:val="auto"/>
          <w:highlight w:val="none"/>
        </w:rPr>
      </w:pPr>
    </w:p>
    <w:p>
      <w:pPr>
        <w:pStyle w:val="4"/>
        <w:rPr>
          <w:rFonts w:ascii="宋体" w:hAnsi="宋体" w:cs="宋体"/>
          <w:color w:val="auto"/>
          <w:highlight w:val="none"/>
        </w:rPr>
      </w:pPr>
      <w:bookmarkStart w:id="6" w:name="_Toc3325"/>
      <w:r>
        <w:rPr>
          <w:rFonts w:hint="eastAsia" w:ascii="宋体" w:hAnsi="宋体" w:cs="宋体"/>
          <w:color w:val="auto"/>
          <w:highlight w:val="none"/>
        </w:rPr>
        <w:t>二、商务</w:t>
      </w:r>
      <w:bookmarkEnd w:id="4"/>
      <w:r>
        <w:rPr>
          <w:rFonts w:hint="eastAsia" w:ascii="宋体" w:hAnsi="宋体" w:cs="宋体"/>
          <w:color w:val="auto"/>
          <w:highlight w:val="none"/>
        </w:rPr>
        <w:t>要求</w:t>
      </w:r>
      <w:bookmarkEnd w:id="5"/>
      <w:bookmarkEnd w:id="6"/>
    </w:p>
    <w:p>
      <w:pPr>
        <w:pStyle w:val="5"/>
        <w:rPr>
          <w:rFonts w:cs="宋体"/>
          <w:color w:val="auto"/>
          <w:highlight w:val="none"/>
        </w:rPr>
      </w:pPr>
      <w:bookmarkStart w:id="7" w:name="_Toc501022792"/>
      <w:bookmarkStart w:id="8" w:name="_Toc3405"/>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合同签订后三个月内安装完成。</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杭州职业技术学院指定地点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质保期三年，自验收合格之日起开始计算。</w:t>
      </w:r>
    </w:p>
    <w:p>
      <w:pPr>
        <w:pStyle w:val="5"/>
        <w:rPr>
          <w:rFonts w:cs="宋体"/>
          <w:color w:val="auto"/>
          <w:highlight w:val="none"/>
        </w:rPr>
      </w:pPr>
      <w:r>
        <w:rPr>
          <w:rFonts w:hint="eastAsia" w:cs="宋体"/>
          <w:color w:val="auto"/>
          <w:highlight w:val="none"/>
        </w:rPr>
        <w:t>（四）履约保证金</w:t>
      </w:r>
    </w:p>
    <w:p>
      <w:pPr>
        <w:ind w:firstLine="480"/>
        <w:rPr>
          <w:rFonts w:hint="eastAsia" w:cs="宋体"/>
          <w:color w:val="auto"/>
          <w:szCs w:val="32"/>
          <w:highlight w:val="none"/>
        </w:rPr>
      </w:pPr>
      <w:r>
        <w:rPr>
          <w:rFonts w:hint="eastAsia" w:cs="宋体"/>
          <w:color w:val="auto"/>
          <w:szCs w:val="32"/>
          <w:highlight w:val="none"/>
        </w:rPr>
        <w:t>1.合同金额的5%（四舍五入至千元）作为履约保证金，中标人</w:t>
      </w:r>
      <w:r>
        <w:rPr>
          <w:rFonts w:hint="eastAsia" w:cs="宋体"/>
          <w:color w:val="auto"/>
          <w:szCs w:val="32"/>
          <w:highlight w:val="none"/>
          <w:lang w:eastAsia="zh-CN"/>
        </w:rPr>
        <w:t>在合同签订时提交</w:t>
      </w:r>
      <w:r>
        <w:rPr>
          <w:rFonts w:hint="eastAsia" w:cs="宋体"/>
          <w:color w:val="auto"/>
          <w:szCs w:val="32"/>
          <w:highlight w:val="none"/>
        </w:rPr>
        <w:t>至采购人。履约保证金在质保期满无违约，20个工作日内无息退还。</w:t>
      </w:r>
    </w:p>
    <w:p>
      <w:pPr>
        <w:ind w:firstLine="480"/>
        <w:rPr>
          <w:rFonts w:cs="宋体"/>
          <w:color w:val="auto"/>
          <w:szCs w:val="32"/>
          <w:highlight w:val="none"/>
        </w:rPr>
      </w:pPr>
      <w:r>
        <w:rPr>
          <w:rFonts w:hint="eastAsia" w:cs="宋体"/>
          <w:color w:val="auto"/>
          <w:szCs w:val="32"/>
          <w:highlight w:val="none"/>
        </w:rPr>
        <w:t>2.履约保证金的交付方式：</w:t>
      </w:r>
      <w:r>
        <w:rPr>
          <w:rFonts w:hint="eastAsia" w:cs="宋体"/>
          <w:color w:val="auto"/>
          <w:szCs w:val="32"/>
          <w:highlight w:val="none"/>
          <w:lang w:eastAsia="zh-CN"/>
        </w:rPr>
        <w:t>转账、支票、汇票、本票或金融机构</w:t>
      </w:r>
      <w:r>
        <w:rPr>
          <w:rFonts w:hint="eastAsia" w:cs="宋体"/>
          <w:color w:val="auto"/>
          <w:szCs w:val="32"/>
          <w:highlight w:val="none"/>
        </w:rPr>
        <w:t>、担保机构出具的保函等非现金方式。</w:t>
      </w:r>
    </w:p>
    <w:p>
      <w:pPr>
        <w:pStyle w:val="5"/>
        <w:rPr>
          <w:rFonts w:cs="宋体"/>
          <w:color w:val="auto"/>
          <w:highlight w:val="none"/>
        </w:rPr>
      </w:pPr>
      <w:r>
        <w:rPr>
          <w:rFonts w:hint="eastAsia" w:cs="宋体"/>
          <w:color w:val="auto"/>
          <w:highlight w:val="none"/>
        </w:rPr>
        <w:t>（五）项目验收</w:t>
      </w:r>
    </w:p>
    <w:p>
      <w:pPr>
        <w:ind w:firstLine="480"/>
        <w:rPr>
          <w:rFonts w:cs="宋体"/>
          <w:snapToGrid w:val="0"/>
          <w:color w:val="auto"/>
          <w:kern w:val="0"/>
          <w:highlight w:val="none"/>
        </w:rPr>
      </w:pPr>
      <w:r>
        <w:rPr>
          <w:rFonts w:hint="eastAsia" w:cs="宋体"/>
          <w:snapToGrid w:val="0"/>
          <w:color w:val="auto"/>
          <w:kern w:val="0"/>
          <w:highlight w:val="none"/>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ind w:firstLine="480"/>
        <w:rPr>
          <w:rFonts w:cs="宋体"/>
          <w:snapToGrid w:val="0"/>
          <w:color w:val="auto"/>
          <w:kern w:val="0"/>
          <w:highlight w:val="none"/>
        </w:rPr>
      </w:pPr>
      <w:r>
        <w:rPr>
          <w:rFonts w:hint="eastAsia" w:cs="宋体"/>
          <w:snapToGrid w:val="0"/>
          <w:color w:val="auto"/>
          <w:kern w:val="0"/>
          <w:highlight w:val="none"/>
        </w:rPr>
        <w:t>2.投标人应于投标文件中提供合同货物的验收标准和检测办法，并在验收中提供采购人认可的相应检测手段，验收标准应符合中国有关的国家、地方、行业的标准，如若中标，经采购人确认后作为验收的依据。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cs="宋体"/>
          <w:snapToGrid w:val="0"/>
          <w:color w:val="auto"/>
          <w:kern w:val="0"/>
          <w:highlight w:val="none"/>
        </w:rPr>
      </w:pPr>
      <w:r>
        <w:rPr>
          <w:rFonts w:hint="eastAsia" w:cs="宋体"/>
          <w:snapToGrid w:val="0"/>
          <w:color w:val="auto"/>
          <w:kern w:val="0"/>
          <w:highlight w:val="none"/>
        </w:rPr>
        <w:t>3.如中标人委托国内代理（或其他机构）负责安装或配合安装，应在签约时指明，但中标人仍要对合同货物及其安装质量负全部责任。</w:t>
      </w:r>
    </w:p>
    <w:p>
      <w:pPr>
        <w:ind w:firstLine="480"/>
        <w:rPr>
          <w:rFonts w:cs="宋体"/>
          <w:snapToGrid w:val="0"/>
          <w:color w:val="auto"/>
          <w:kern w:val="0"/>
          <w:highlight w:val="none"/>
        </w:rPr>
      </w:pPr>
      <w:r>
        <w:rPr>
          <w:rFonts w:hint="eastAsia" w:cs="宋体"/>
          <w:snapToGrid w:val="0"/>
          <w:color w:val="auto"/>
          <w:kern w:val="0"/>
          <w:highlight w:val="none"/>
        </w:rPr>
        <w:t>4.验收费用由中标人承担。</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1.合同货物出现故障后，中标人接到采购人通知后，供应商必须2小时内做出响应，24小时内到达用户现场维修。</w:t>
      </w:r>
      <w:r>
        <w:rPr>
          <w:rFonts w:hint="eastAsia" w:cs="宋体"/>
          <w:bCs/>
          <w:color w:val="auto"/>
          <w:szCs w:val="21"/>
          <w:highlight w:val="none"/>
        </w:rPr>
        <w:t>质保期外响应时间同质保期内，维修配件以出厂价更换，免收人工费</w:t>
      </w:r>
      <w:r>
        <w:rPr>
          <w:rFonts w:hint="eastAsia" w:cs="宋体"/>
          <w:color w:val="auto"/>
          <w:highlight w:val="none"/>
        </w:rPr>
        <w:t>。</w:t>
      </w:r>
    </w:p>
    <w:p>
      <w:pPr>
        <w:ind w:firstLine="480"/>
        <w:rPr>
          <w:rFonts w:cs="宋体"/>
          <w:color w:val="auto"/>
          <w:szCs w:val="22"/>
          <w:highlight w:val="none"/>
        </w:rPr>
      </w:pPr>
      <w:r>
        <w:rPr>
          <w:rFonts w:hint="eastAsia" w:cs="宋体"/>
          <w:color w:val="auto"/>
          <w:highlight w:val="none"/>
        </w:rPr>
        <w:t>2.质保期内因不能排除的故障而影响工作的情况每发生一次，其质保期相应延长60</w:t>
      </w:r>
      <w:r>
        <w:rPr>
          <w:rFonts w:hint="eastAsia" w:cs="宋体"/>
          <w:color w:val="auto"/>
          <w:szCs w:val="22"/>
          <w:highlight w:val="none"/>
        </w:rPr>
        <w:t>天，质保期内如出现非人为因素造成的质量问题应由中标人免费予以维修或更换，否则将扣除质量保证金作为对采购人的补偿。</w:t>
      </w:r>
    </w:p>
    <w:p>
      <w:pPr>
        <w:ind w:firstLine="480"/>
        <w:rPr>
          <w:rFonts w:cs="宋体"/>
          <w:color w:val="auto"/>
          <w:szCs w:val="22"/>
          <w:highlight w:val="none"/>
        </w:rPr>
      </w:pPr>
      <w:r>
        <w:rPr>
          <w:rFonts w:hint="eastAsia" w:cs="宋体"/>
          <w:color w:val="auto"/>
          <w:szCs w:val="22"/>
          <w:highlight w:val="none"/>
        </w:rPr>
        <w:t>3.技术支持：中标人应及时免费提供合同货物软件的升级，免费提供合同货物新功能和应用的资料。</w:t>
      </w:r>
    </w:p>
    <w:p>
      <w:pPr>
        <w:pStyle w:val="5"/>
        <w:rPr>
          <w:rFonts w:cs="宋体"/>
          <w:color w:val="auto"/>
          <w:highlight w:val="none"/>
        </w:rPr>
      </w:pPr>
      <w:r>
        <w:rPr>
          <w:rFonts w:hint="eastAsia" w:cs="宋体"/>
          <w:color w:val="auto"/>
          <w:highlight w:val="none"/>
        </w:rPr>
        <w:t>（七）付款方式</w:t>
      </w:r>
      <w:bookmarkEnd w:id="7"/>
      <w:bookmarkEnd w:id="8"/>
    </w:p>
    <w:p>
      <w:pPr>
        <w:ind w:firstLine="480"/>
        <w:rPr>
          <w:rFonts w:cs="宋体"/>
          <w:color w:val="auto"/>
          <w:szCs w:val="22"/>
          <w:highlight w:val="none"/>
        </w:rPr>
      </w:pPr>
      <w:r>
        <w:rPr>
          <w:rFonts w:hint="eastAsia" w:cs="宋体"/>
          <w:color w:val="auto"/>
          <w:szCs w:val="22"/>
          <w:highlight w:val="none"/>
        </w:rPr>
        <w:t>货到安装验收合格后,</w:t>
      </w:r>
      <w:r>
        <w:rPr>
          <w:rFonts w:hint="eastAsia" w:cs="宋体"/>
          <w:bCs/>
          <w:color w:val="auto"/>
          <w:szCs w:val="21"/>
          <w:highlight w:val="none"/>
        </w:rPr>
        <w:t>在收到中标供应商开具的正规发票后，</w:t>
      </w:r>
      <w:r>
        <w:rPr>
          <w:rFonts w:hint="eastAsia" w:cs="宋体"/>
          <w:color w:val="auto"/>
          <w:szCs w:val="22"/>
          <w:highlight w:val="none"/>
        </w:rPr>
        <w:t>采购人向中标人支付合同总价100%的货款。</w:t>
      </w:r>
    </w:p>
    <w:p>
      <w:pPr>
        <w:pStyle w:val="5"/>
        <w:rPr>
          <w:rFonts w:cs="宋体"/>
          <w:color w:val="auto"/>
          <w:highlight w:val="none"/>
        </w:rPr>
      </w:pPr>
      <w:r>
        <w:rPr>
          <w:rFonts w:hint="eastAsia" w:cs="宋体"/>
          <w:color w:val="auto"/>
          <w:highlight w:val="none"/>
        </w:rPr>
        <w:t>（八）安装调试</w:t>
      </w:r>
    </w:p>
    <w:p>
      <w:pPr>
        <w:ind w:firstLine="480"/>
        <w:rPr>
          <w:rFonts w:cs="宋体"/>
          <w:color w:val="auto"/>
          <w:szCs w:val="22"/>
          <w:highlight w:val="none"/>
        </w:rPr>
      </w:pPr>
      <w:r>
        <w:rPr>
          <w:rFonts w:hint="eastAsia" w:cs="宋体"/>
          <w:color w:val="auto"/>
          <w:szCs w:val="22"/>
          <w:highlight w:val="none"/>
        </w:rPr>
        <w:t>1.安装地点：采购人指定地点。</w:t>
      </w:r>
    </w:p>
    <w:p>
      <w:pPr>
        <w:ind w:firstLine="480"/>
        <w:rPr>
          <w:rFonts w:cs="宋体"/>
          <w:color w:val="auto"/>
          <w:szCs w:val="22"/>
          <w:highlight w:val="none"/>
        </w:rPr>
      </w:pPr>
      <w:r>
        <w:rPr>
          <w:rFonts w:hint="eastAsia" w:cs="宋体"/>
          <w:color w:val="auto"/>
          <w:szCs w:val="22"/>
          <w:highlight w:val="none"/>
        </w:rPr>
        <w:t>2.安装完成时间：接到用户电话通知后在规定时间内完成安装和调试，如在规定的时间内由于中标人的原因不能完成安装和调试，中标人应承担由此给采购人造成的损失。</w:t>
      </w:r>
    </w:p>
    <w:p>
      <w:pPr>
        <w:ind w:firstLine="480"/>
        <w:rPr>
          <w:rFonts w:cs="宋体"/>
          <w:color w:val="auto"/>
          <w:szCs w:val="22"/>
          <w:highlight w:val="none"/>
        </w:rPr>
      </w:pPr>
      <w:r>
        <w:rPr>
          <w:rFonts w:hint="eastAsia" w:cs="宋体"/>
          <w:color w:val="auto"/>
          <w:szCs w:val="22"/>
          <w:highlight w:val="none"/>
        </w:rPr>
        <w:t>3.安装标准：符合我国国家有关技术规范要求和技术标准，所有的软件和硬件必须保证同时安装到位。</w:t>
      </w:r>
    </w:p>
    <w:p>
      <w:pPr>
        <w:ind w:firstLine="480"/>
        <w:rPr>
          <w:rFonts w:cs="宋体"/>
          <w:color w:val="auto"/>
          <w:szCs w:val="22"/>
          <w:highlight w:val="none"/>
        </w:rPr>
      </w:pPr>
      <w:r>
        <w:rPr>
          <w:rFonts w:hint="eastAsia" w:cs="宋体"/>
          <w:color w:val="auto"/>
          <w:szCs w:val="22"/>
          <w:highlight w:val="none"/>
        </w:rPr>
        <w:t>4.中标人应免费提供合同货物的安装服务。</w:t>
      </w:r>
    </w:p>
    <w:p>
      <w:pPr>
        <w:ind w:firstLine="480"/>
        <w:rPr>
          <w:rFonts w:cs="宋体"/>
          <w:color w:val="auto"/>
          <w:szCs w:val="22"/>
          <w:highlight w:val="none"/>
        </w:rPr>
      </w:pPr>
      <w:r>
        <w:rPr>
          <w:rFonts w:hint="eastAsia" w:cs="宋体"/>
          <w:color w:val="auto"/>
          <w:szCs w:val="22"/>
          <w:highlight w:val="none"/>
        </w:rPr>
        <w:t>5.中标人在投标文件中应提供安装调试计划、对安装场地和环境的要求。</w:t>
      </w:r>
    </w:p>
    <w:p>
      <w:pPr>
        <w:pStyle w:val="5"/>
        <w:rPr>
          <w:color w:val="auto"/>
          <w:highlight w:val="none"/>
        </w:rPr>
      </w:pPr>
      <w:r>
        <w:rPr>
          <w:rFonts w:hint="eastAsia"/>
          <w:color w:val="auto"/>
          <w:highlight w:val="none"/>
        </w:rPr>
        <w:t>（九）培训（若需要）</w:t>
      </w:r>
    </w:p>
    <w:p>
      <w:pPr>
        <w:ind w:firstLine="480"/>
        <w:rPr>
          <w:color w:val="auto"/>
          <w:highlight w:val="none"/>
        </w:rPr>
      </w:pPr>
      <w:r>
        <w:rPr>
          <w:rFonts w:hint="eastAsia"/>
          <w:color w:val="auto"/>
          <w:highlight w:val="none"/>
        </w:rPr>
        <w:t>1.中标人应对采购人的操作人员、维修人员免费进行培训。</w:t>
      </w:r>
    </w:p>
    <w:p>
      <w:pPr>
        <w:ind w:firstLine="480"/>
        <w:rPr>
          <w:color w:val="auto"/>
          <w:highlight w:val="none"/>
        </w:rPr>
      </w:pPr>
      <w:r>
        <w:rPr>
          <w:rFonts w:hint="eastAsia"/>
          <w:color w:val="auto"/>
          <w:highlight w:val="none"/>
        </w:rPr>
        <w:t>2.中标人应提供相应的培训计划。</w:t>
      </w:r>
    </w:p>
    <w:p>
      <w:pPr>
        <w:ind w:firstLine="480"/>
        <w:rPr>
          <w:color w:val="auto"/>
          <w:highlight w:val="none"/>
        </w:rPr>
      </w:pPr>
      <w:r>
        <w:rPr>
          <w:rFonts w:hint="eastAsia"/>
          <w:color w:val="auto"/>
          <w:highlight w:val="none"/>
        </w:rPr>
        <w:t>3.中标人应对上述内容的实现方式、地点、人数、时间在投标文件中详细说明。</w:t>
      </w:r>
    </w:p>
    <w:p>
      <w:pPr>
        <w:pStyle w:val="5"/>
        <w:rPr>
          <w:rFonts w:cs="宋体"/>
          <w:color w:val="auto"/>
          <w:highlight w:val="none"/>
        </w:rPr>
      </w:pPr>
      <w:bookmarkStart w:id="9" w:name="_Toc23976"/>
      <w:r>
        <w:rPr>
          <w:rFonts w:hint="eastAsia" w:cs="宋体"/>
          <w:color w:val="auto"/>
          <w:highlight w:val="none"/>
        </w:rPr>
        <w:t>（十）合同履行</w:t>
      </w:r>
      <w:bookmarkEnd w:id="9"/>
    </w:p>
    <w:p>
      <w:r>
        <w:rPr>
          <w:rFonts w:hint="eastAsia" w:cs="宋体"/>
          <w:color w:val="auto"/>
          <w:highlight w:val="none"/>
        </w:rPr>
        <w:t>必须由投标主体履行合同。</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v:fill on="f" focussize="0,0"/>
              <v:stroke on="f"/>
              <v:imagedata o:title=""/>
              <o:lock v:ext="edit" aspectratio="f"/>
              <v:textbox inset="0mm,0mm,0mm,0mm" style="mso-fit-shape-to-text:t;">
                <w:txbxContent>
                  <w:p>
                    <w:pPr>
                      <w:pStyle w:val="7"/>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B40D2"/>
    <w:rsid w:val="49DF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10">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uiPriority w:val="0"/>
    <w:pPr>
      <w:spacing w:after="120" w:afterLines="0" w:afterAutospacing="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繁华终易逝</cp:lastModifiedBy>
  <dcterms:modified xsi:type="dcterms:W3CDTF">2019-07-04T09:26:57Z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