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采购需求</w:t>
      </w: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bookmarkStart w:id="0" w:name="_Toc31327"/>
      <w:bookmarkStart w:id="1" w:name="_Toc450840085"/>
      <w:r>
        <w:rPr>
          <w:rFonts w:hint="eastAsia" w:ascii="宋体" w:hAnsi="宋体" w:eastAsia="宋体" w:cs="宋体"/>
          <w:color w:val="auto"/>
          <w:highlight w:val="none"/>
        </w:rPr>
        <w:t>一、采购</w:t>
      </w:r>
      <w:bookmarkEnd w:id="0"/>
      <w:r>
        <w:rPr>
          <w:rFonts w:hint="eastAsia" w:ascii="宋体" w:hAnsi="宋体" w:eastAsia="宋体" w:cs="宋体"/>
          <w:color w:val="auto"/>
          <w:highlight w:val="none"/>
        </w:rPr>
        <w:t>内容及要求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（一）采购内容及数量</w:t>
      </w:r>
    </w:p>
    <w:tbl>
      <w:tblPr>
        <w:tblStyle w:val="9"/>
        <w:tblW w:w="9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42"/>
        <w:gridCol w:w="741"/>
        <w:gridCol w:w="759"/>
        <w:gridCol w:w="42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内容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数量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单位</w:t>
            </w:r>
          </w:p>
        </w:tc>
        <w:tc>
          <w:tcPr>
            <w:tcW w:w="4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  <w:t>概述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激光共聚焦显微镜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套</w:t>
            </w:r>
          </w:p>
        </w:tc>
        <w:tc>
          <w:tcPr>
            <w:tcW w:w="420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  <w:t>完整的共聚焦系统一套（包括激光照射系统，扫描检测系统，显微镜系统，光片成像系统，计算机系统及相关软件等）用于组织切片、活细胞的荧光标记、植物根系、叶片等组织三维图像重建分析研究；细胞生物物质、离子的定性、定量、定时和定位分布检测等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  <w:t>详见技术要求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（二）技术要求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3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名称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激光共聚焦显微镜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配置要求：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共聚焦主机系统  1套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激光器   3个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高压卤素荧光光源 1个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全自动倒置显微镜含完美聚焦系统  1套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共聚焦扫描系统  1套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荧光检测器 3个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光片系统  1套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光片物镜：照明物镜2.5x，5x；检测物镜 10x，25x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425"/>
                <w:tab w:val="left" w:pos="9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共聚焦物镜：4x，20x，63x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专用的软件和电脑工作站  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激光器：覆盖可见光及紫外光，各激光器独立AOTF调节。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405nm±2nm，功率≥50mW 、488nm±2nm, 功率≥20mW、514nm±2nm，功率≥20 mW、552nm±2nm，功率≥20 mW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桌面型快捷调节控制器，可以实现激光光强调节、Z轴调节、针孔大小调节、增益调节、焦距调节、ZOOM值调节等，6个独立自定义功能物理旋钮，6个高清LCD数显屏。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多通道检测功能：三个荧光检测通道和一个透射光DIC通道；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检测器：2个高灵敏度8.5KV高压电场轰炸式GaASP检测器，可用作单分子计数检测和120nm高分辨率成像，高信噪比；2个常规电子倍增式荧光扫描检测器、1个透射光DIC（明场/相差/微分干涉）扫描检测器；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高透过率棱镜分光式扫描检测，扫描分辨率2nm，可连续以≥1nm波长调节； 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描头扫描检测范围≥400-1300nm；扫描步进：1nm；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发射光分光系统：配置高透过率棱镜分光，线性光谱拆分，全光谱扫描可区分光谱大量重叠的染料；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扫描速度≥7幅/秒（512×512 pixels），双向扫描速度≥3600线/秒；。 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采集扫描分辨率：≥8192×8192 pixels；灰度级：≥12bit。旋转扫描：任意角度自由旋转（旋转步进：1度），旋转扫描的同时可做DIC扫描。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共聚焦视野扫描尺寸≥22mm。</w:t>
            </w:r>
          </w:p>
          <w:p>
            <w:pPr>
              <w:widowControl/>
              <w:numPr>
                <w:ilvl w:val="-1"/>
                <w:numId w:val="0"/>
              </w:numPr>
              <w:tabs>
                <w:tab w:val="left" w:pos="425"/>
                <w:tab w:val="left" w:pos="927"/>
              </w:tabs>
              <w:spacing w:line="288" w:lineRule="auto"/>
              <w:ind w:firstLine="48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扫描时间无限制，扫描时可结合ROI实现样品中多点位置的荧光强度变化的图象、曲线和数值的实时显示，扫描速度设置多，时间扫描时可单通道或多通道同时进行。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高分辨率成像模块：可实时活细胞/组织高分辨率成像，实时分辨率≤120nm，快速实时成像，无需后期软件处理。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显微镜光学成像出口直径尺寸≥19mm,保证最大程度获取光子数，提供清晰荧光图像。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显微镜聚焦稳定、精确、可靠，Z轴上下步进精度最小3.8nm，重复精度20nm。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Z轴上下调焦行程≥12nm。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配置高灵敏度电动扫描载物台扫描精度≤20nm；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物镜：所有物镜具有相差及微分干涉功能，物镜为共聚焦专用高端物镜,配置如下:</w:t>
            </w:r>
          </w:p>
          <w:tbl>
            <w:tblPr>
              <w:tblStyle w:val="10"/>
              <w:tblW w:w="711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3"/>
              <w:gridCol w:w="1424"/>
              <w:gridCol w:w="1424"/>
              <w:gridCol w:w="1424"/>
              <w:gridCol w:w="14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3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放大倍率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性能（平场/消色差等）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数值孔径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工作距离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介质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3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4×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平场复消色差FLUO物镜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≥0.13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≥17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3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20×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平场复消色差APO物镜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≥0.75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≥0.62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23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63×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平场复消色差APO物镜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≥1.20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≥0.30</w:t>
                  </w:r>
                </w:p>
              </w:tc>
              <w:tc>
                <w:tcPr>
                  <w:tcW w:w="1424" w:type="dxa"/>
                  <w:vAlign w:val="center"/>
                </w:tcPr>
                <w:p>
                  <w:pPr>
                    <w:widowControl/>
                    <w:tabs>
                      <w:tab w:val="left" w:pos="425"/>
                      <w:tab w:val="left" w:pos="927"/>
                    </w:tabs>
                    <w:spacing w:line="288" w:lineRule="auto"/>
                    <w:ind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highlight w:val="none"/>
                    </w:rPr>
                    <w:t>水</w:t>
                  </w:r>
                </w:p>
              </w:tc>
            </w:tr>
          </w:tbl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全电动DIC棱镜，4个DIC棱镜能全部自动切出/入光路，保证荧光成像时没有棱镜影响，提高Z轴分辨率。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可以同时进行多个样品光片成像，可进行活体、活细胞、厚组织等样本观察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显微镜主机配置长寿命高压卤钨灯光源，采用光纤导入光源，具有全自动光闸，可由软件自动控制荧光光路。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荧光滤色系统：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紫外激发滤块: 激发340-380nm; 阻挡400nm; 发射: 425nm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蓝色激发滤块: 激发450-490nm; 阻挡510nm; 发射: 515nm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绿色激发滤块: 激发515-560nm; 阻挡580nm; 发射: 590nm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计算机工作站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高配置的电脑，电脑芯片：GPU芯片≥3.5 GHz，内存≥128GB，显卡  带双显示功能，显存≥16G，液晶真彩曲面4K显示屏 ≥31寸，硬盘≥5x3 TByte  SATA hard，16x DVD+/- RW刻录，Windows 10  Professional (64 位)操作系统，标准配置计算机工作站桌。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具有采用激光片层扫描技术成像，激光光源只激发焦平面的荧光，产生光学切面。照明光路和成像光路相互垂直。双侧照明，样本两侧均可有激光照射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观察视野≥295-750 um*um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激光光片层照厚度≤3.6um，连续可调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光片系统通过不同滤光片以及SCMOS相机成像。可进行双通道同步荧光成像，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SCOMS相机具有水冷循环系统：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（1）像素尺寸≥6.5μm x6.5μm，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（2）最大采集分辨率 ≥2048x2048 (4.2M pixel)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（3）量子效率QE≥82%@580nm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（4）A/D 转换≥16Bit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（5）采集速度： USB3.0，≥90fps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软件系统描述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建立在Windows 10系统上，整个系统程序，包括控制，检测、分析功能设计合理，操作界面友好，操作简便。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控制硬件的软件功能：控制电动显微镜；选择激光波长，调节激光强度；拍摄2-5维图像；选择光谱拍摄范围，分辨率，实验条件实时记录、一键式恢复。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应用软件功能（图象处理、数据分析、生物学应用等）：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（1）多通道叠加，三维重建，旋转，生成AVI文件，Average拍摄模式提高信噪比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（2）荧光强度动态分析，动态显示，Ratio值测量（钙离子等）；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（3）具有专业的FRAP（荧光漂白），FRET（荧光能量共振转移），专业电生理软件包；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（4）线性光谱拆分，自定义染料光谱数据库，背景扣除；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（5）图像调节  亮度，对比度；单个通道分别调节或多个通道同时调节；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（6）图像处理：旋转，裁剪，多种滤镜，添加标尺，箭头，文字等；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（7）图像分析：直方图，距离，强度，强度断面分布；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（8）具有自动聚焦功能，具有荧光亮度校正、补偿功能（在Z轴方向上补偿荧光亮度的变化）；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（9）多种视图：1D，2D，正交视图，图片叠加，最大强度投影等；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（10）光谱分析具有多种方式选择，支持盲法拆分，方便用户使用；3D成像功能，自动生成3维视野图像，并能自由测量。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30.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耗材要求</w:t>
            </w:r>
          </w:p>
          <w:p>
            <w:pPr>
              <w:widowControl/>
              <w:tabs>
                <w:tab w:val="left" w:pos="425"/>
                <w:tab w:val="left" w:pos="927"/>
              </w:tabs>
              <w:spacing w:line="288" w:lineRule="auto"/>
              <w:ind w:firstLine="48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配有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1套与该台显微镜相匹配的耗材，包括与该仪器63X物镜配套使用的专用水6瓶。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247" w:right="1304" w:bottom="1021" w:left="1304" w:header="720" w:footer="720" w:gutter="0"/>
          <w:cols w:space="720" w:num="1"/>
          <w:docGrid w:linePitch="326" w:charSpace="0"/>
        </w:sect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bookmarkStart w:id="2" w:name="_Toc450840086"/>
      <w:bookmarkStart w:id="3" w:name="_Toc23621"/>
      <w:r>
        <w:rPr>
          <w:rFonts w:hint="eastAsia" w:ascii="宋体" w:hAnsi="宋体" w:eastAsia="宋体" w:cs="宋体"/>
          <w:color w:val="auto"/>
          <w:highlight w:val="none"/>
        </w:rPr>
        <w:t>二、商务</w:t>
      </w:r>
      <w:bookmarkEnd w:id="2"/>
      <w:r>
        <w:rPr>
          <w:rFonts w:hint="eastAsia" w:ascii="宋体" w:hAnsi="宋体" w:eastAsia="宋体" w:cs="宋体"/>
          <w:color w:val="auto"/>
          <w:highlight w:val="none"/>
        </w:rPr>
        <w:t>要求</w:t>
      </w:r>
      <w:bookmarkEnd w:id="3"/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bookmarkStart w:id="4" w:name="_Toc3405"/>
      <w:bookmarkStart w:id="5" w:name="_Toc501022792"/>
      <w:r>
        <w:rPr>
          <w:rFonts w:hint="eastAsia" w:ascii="宋体" w:hAnsi="宋体" w:eastAsia="宋体" w:cs="宋体"/>
          <w:color w:val="auto"/>
          <w:highlight w:val="none"/>
        </w:rPr>
        <w:t>（一）交货时间</w:t>
      </w:r>
    </w:p>
    <w:p>
      <w:pPr>
        <w:spacing w:line="336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合同签订后3个月内完成供货、安装、调试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（二）交付地点</w:t>
      </w:r>
    </w:p>
    <w:p>
      <w:pPr>
        <w:spacing w:line="336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采购人指定地点。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（三）质保期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质保期两年，自验收合格之日起计算。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（四）履约保证金</w:t>
      </w:r>
    </w:p>
    <w:p>
      <w:pPr>
        <w:ind w:firstLine="480"/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1.合同金额的5%作为履约保证金，中标人在合同签订时提交至采购人。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2.履约保证金的交付方式：转账、支票、汇票、本票或金融机构、担保机构出具的保函等非现金方式。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3.履约保证金在验收合格之后自动转为质量保证金，质量保证金在</w:t>
      </w:r>
      <w:r>
        <w:rPr>
          <w:rFonts w:hint="eastAsia" w:ascii="宋体" w:hAnsi="宋体" w:eastAsia="宋体" w:cs="宋体"/>
          <w:color w:val="auto"/>
          <w:szCs w:val="32"/>
          <w:highlight w:val="none"/>
          <w:lang w:eastAsia="zh-CN"/>
        </w:rPr>
        <w:t>验收合格满</w:t>
      </w:r>
      <w:r>
        <w:rPr>
          <w:rFonts w:hint="eastAsia" w:ascii="宋体" w:hAnsi="宋体" w:eastAsia="宋体" w:cs="宋体"/>
          <w:color w:val="auto"/>
          <w:szCs w:val="32"/>
          <w:highlight w:val="none"/>
        </w:rPr>
        <w:t>一年后且确认中标方无违约行为后无息退还给中标方（遇寒暑假及国家假日延顺）。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（五）项目验收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1.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中标人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中标人必须更换合同货物，并负担由此给采购人造成的损失，直到验收合格为止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2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.投标人应于投标文件中提供合同货物的验收标准和检测办法，并在验收中提供采购人认可的相应检测手段，验收标准应符合中国有关的国家、地方、行业的标准，如若中标，经采购人确认后作为验收的依据；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3.如中标人委托国内代理（或其他机构）负责安装或配合安装，应在签约时指明，但中标人仍要对合同货物及其安装质量负全部责任；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4.验收时中标人必须在现场，验收完毕后作出验收结果报告；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5.如发现有重大的质量问题，双方均同意提请国家法定检测机构鉴定，如检测结果证明产品无质量问题，由采购人承担检测费用；如检测结果证明产品有质量问题，由中标人承担检测费用，同时中标人同意采购人无条件退货并支付给采购人货款总价10％的赔偿金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（六）售后服务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1.自验收合格之日起计，质保期两年；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2.技术支持：中标人应及时免费提供合同货物软件的升级，免费提供合同货物新功能和应用的资料；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质保期内因不能排除的故障而影响工作的情况每发生一次，其质保期相应延长60天，质保期内因货物本身缺陷造成各种故障应由中标人免费予以更换，否则将扣除质量保证金作为对采购人的补偿。质保期满后，仅收取零配件成本费用，免人工费、差旅费，所涉及软件终身免费升级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4.合同货物出现故障后，中标人接到采购人通知后，必须在4小时内做出响应，不超过3个工作日给出解决方案，7个工作日内解决故障；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5.五年内，从货物交付并验收合格之日算起，中标人免费提供一次仪器搬迁、安装及调试服务。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6.仪器安装运行过程中所需要的防震台、电脑桌、防震台充气泵、不间断稳压电源等相关配套装备均由中标人免费提供。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（七）安装调试（若需要）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1.中标人免费提供合同货物的安装服务，并在投标文件中提供安装调试计划、对安装场地和环境的要求；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2.安装地点：采购人指定地点；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3.安装标准：符合我国国家有关技术规范要求和技术标准，所有的软件和硬件必须保证同时安装到位；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4.接到采购人通知后在7日内完成安装和调试，如在规定的时间内由于中标人的原因不能完成安装和调试，中标人应承担由此给采购人造成的损失。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（八）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培训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中标人应对采购人的操作人员、维修人员免费进行原厂培训。并在投标文件中提供相应的培训计划，包括对人员、场地、场次等的安排。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（九）付款方式</w:t>
      </w:r>
      <w:bookmarkEnd w:id="4"/>
      <w:bookmarkEnd w:id="5"/>
    </w:p>
    <w:p>
      <w:pPr>
        <w:ind w:firstLine="480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100%不可撤销信用证，在收到中标人缴纳的履约保证金后支付。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bookmarkStart w:id="6" w:name="_Toc23976"/>
      <w:r>
        <w:rPr>
          <w:rFonts w:hint="eastAsia" w:ascii="宋体" w:hAnsi="宋体" w:eastAsia="宋体" w:cs="宋体"/>
          <w:color w:val="auto"/>
          <w:highlight w:val="none"/>
        </w:rPr>
        <w:t>（十）合同履行</w:t>
      </w:r>
      <w:bookmarkEnd w:id="6"/>
    </w:p>
    <w:p>
      <w:pPr>
        <w:ind w:firstLine="480"/>
      </w:pPr>
      <w:r>
        <w:rPr>
          <w:rFonts w:hint="eastAsia" w:ascii="宋体" w:hAnsi="宋体" w:eastAsia="宋体" w:cs="宋体"/>
          <w:color w:val="auto"/>
          <w:highlight w:val="none"/>
        </w:rPr>
        <w:t>必须由投标主体履行合同。</w:t>
      </w:r>
      <w:bookmarkEnd w:id="1"/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F1a8a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A688C"/>
    <w:multiLevelType w:val="singleLevel"/>
    <w:tmpl w:val="A15A68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B97C33F"/>
    <w:multiLevelType w:val="singleLevel"/>
    <w:tmpl w:val="CB97C33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6A5F"/>
    <w:rsid w:val="047B40D2"/>
    <w:rsid w:val="5FA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 w:cs="宋体"/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2019-06-28T08:49:00Z</dcterms:created>
  <dc:creator>繁华终易逝</dc:creator>
  <cp:lastModifiedBy>繁华终易逝</cp:lastModifiedBy>
  <dcterms:modified xsi:type="dcterms:W3CDTF">2019-06-28T08:51:05Z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