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5"/>
        <w:numPr>
          <w:ilvl w:val="0"/>
          <w:numId w:val="1"/>
        </w:numPr>
        <w:rPr>
          <w:rFonts w:hint="eastAsia" w:ascii="宋体" w:hAnsi="宋体" w:cs="宋体"/>
          <w:color w:val="auto"/>
          <w:highlight w:val="none"/>
        </w:rPr>
      </w:pPr>
      <w:r>
        <w:rPr>
          <w:rFonts w:hint="eastAsia" w:ascii="宋体" w:hAnsi="宋体" w:cs="宋体"/>
          <w:color w:val="auto"/>
          <w:highlight w:val="none"/>
        </w:rPr>
        <w:t>采购需求</w:t>
      </w:r>
    </w:p>
    <w:p>
      <w:pPr>
        <w:ind w:firstLine="482"/>
        <w:rPr>
          <w:rFonts w:ascii="宋体" w:hAnsi="宋体"/>
          <w:b/>
          <w:color w:val="auto"/>
          <w:highlight w:val="none"/>
        </w:rPr>
      </w:pPr>
      <w:r>
        <w:rPr>
          <w:rFonts w:hint="eastAsia" w:ascii="宋体" w:hAnsi="宋体"/>
          <w:b/>
          <w:color w:val="auto"/>
          <w:highlight w:val="none"/>
        </w:rPr>
        <w:t>（一）采购标的需执行的国家相关标准、行业标准、地方标准或者其他标准规范</w:t>
      </w:r>
    </w:p>
    <w:p>
      <w:pPr>
        <w:ind w:firstLine="480"/>
        <w:rPr>
          <w:rFonts w:ascii="宋体" w:hAnsi="宋体"/>
          <w:color w:val="auto"/>
          <w:highlight w:val="none"/>
        </w:rPr>
      </w:pPr>
      <w:r>
        <w:rPr>
          <w:rFonts w:hint="eastAsia" w:ascii="宋体" w:hAnsi="宋体"/>
          <w:color w:val="auto"/>
          <w:szCs w:val="21"/>
          <w:highlight w:val="none"/>
        </w:rPr>
        <w:t xml:space="preserve"> 由投标人提供的所有产品和服务必须符合下列规范、条例及标准，并不限于下列规范、条例及标准：</w:t>
      </w:r>
    </w:p>
    <w:p>
      <w:pPr>
        <w:ind w:firstLine="480"/>
        <w:rPr>
          <w:rFonts w:ascii="宋体" w:hAnsi="宋体"/>
          <w:color w:val="auto"/>
          <w:szCs w:val="21"/>
          <w:highlight w:val="none"/>
        </w:rPr>
      </w:pPr>
      <w:r>
        <w:rPr>
          <w:rFonts w:hint="eastAsia" w:ascii="宋体" w:hAnsi="宋体"/>
          <w:color w:val="auto"/>
          <w:szCs w:val="21"/>
          <w:highlight w:val="none"/>
        </w:rPr>
        <w:t xml:space="preserve">·GB/T 10060-2011  《电梯安装验收规范》 </w:t>
      </w:r>
    </w:p>
    <w:p>
      <w:pPr>
        <w:ind w:firstLine="480"/>
        <w:rPr>
          <w:rFonts w:ascii="宋体" w:hAnsi="宋体"/>
          <w:color w:val="auto"/>
          <w:szCs w:val="21"/>
          <w:highlight w:val="none"/>
        </w:rPr>
      </w:pPr>
      <w:r>
        <w:rPr>
          <w:rFonts w:hint="eastAsia" w:ascii="宋体" w:hAnsi="宋体"/>
          <w:color w:val="auto"/>
          <w:szCs w:val="21"/>
          <w:highlight w:val="none"/>
        </w:rPr>
        <w:t xml:space="preserve">·GB 26465-2011    《消防电梯制造与安装安全规范》 </w:t>
      </w:r>
    </w:p>
    <w:p>
      <w:pPr>
        <w:ind w:firstLine="480"/>
        <w:rPr>
          <w:rFonts w:ascii="宋体" w:hAnsi="宋体"/>
          <w:color w:val="auto"/>
          <w:szCs w:val="21"/>
          <w:highlight w:val="none"/>
        </w:rPr>
      </w:pPr>
      <w:r>
        <w:rPr>
          <w:rFonts w:hint="eastAsia" w:ascii="宋体" w:hAnsi="宋体"/>
          <w:color w:val="auto"/>
          <w:szCs w:val="21"/>
          <w:highlight w:val="none"/>
        </w:rPr>
        <w:t>·GB 24803.1-2009  《电梯安全要求 第1部分：电梯基本安全要求》</w:t>
      </w:r>
    </w:p>
    <w:p>
      <w:pPr>
        <w:ind w:firstLine="480"/>
        <w:rPr>
          <w:rFonts w:ascii="宋体" w:hAnsi="宋体"/>
          <w:color w:val="auto"/>
          <w:szCs w:val="21"/>
          <w:highlight w:val="none"/>
        </w:rPr>
      </w:pPr>
      <w:r>
        <w:rPr>
          <w:rFonts w:hint="eastAsia" w:ascii="宋体" w:hAnsi="宋体"/>
          <w:color w:val="auto"/>
          <w:szCs w:val="21"/>
          <w:highlight w:val="none"/>
        </w:rPr>
        <w:t>·GB 24804-2009    《提高在用电梯安全性的规范》</w:t>
      </w:r>
    </w:p>
    <w:p>
      <w:pPr>
        <w:ind w:firstLine="480"/>
        <w:rPr>
          <w:rFonts w:ascii="宋体" w:hAnsi="宋体"/>
          <w:color w:val="auto"/>
          <w:szCs w:val="21"/>
          <w:highlight w:val="none"/>
        </w:rPr>
      </w:pPr>
      <w:r>
        <w:rPr>
          <w:rFonts w:hint="eastAsia" w:ascii="宋体" w:hAnsi="宋体"/>
          <w:color w:val="auto"/>
          <w:szCs w:val="21"/>
          <w:highlight w:val="none"/>
        </w:rPr>
        <w:t>·GB/T 10058-2009  《电梯技术条件》</w:t>
      </w:r>
    </w:p>
    <w:p>
      <w:pPr>
        <w:ind w:firstLine="480"/>
        <w:rPr>
          <w:rFonts w:ascii="宋体" w:hAnsi="宋体"/>
          <w:color w:val="auto"/>
          <w:szCs w:val="21"/>
          <w:highlight w:val="none"/>
        </w:rPr>
      </w:pPr>
      <w:r>
        <w:rPr>
          <w:rFonts w:hint="eastAsia" w:ascii="宋体" w:hAnsi="宋体"/>
          <w:color w:val="auto"/>
          <w:szCs w:val="21"/>
          <w:highlight w:val="none"/>
        </w:rPr>
        <w:t>·GB/T 10059-2009  《电梯试验方法》</w:t>
      </w:r>
    </w:p>
    <w:p>
      <w:pPr>
        <w:ind w:firstLine="480"/>
        <w:rPr>
          <w:rFonts w:ascii="宋体" w:hAnsi="宋体"/>
          <w:color w:val="auto"/>
          <w:szCs w:val="21"/>
          <w:highlight w:val="none"/>
        </w:rPr>
      </w:pPr>
      <w:r>
        <w:rPr>
          <w:rFonts w:hint="eastAsia" w:ascii="宋体" w:hAnsi="宋体"/>
          <w:color w:val="auto"/>
          <w:szCs w:val="21"/>
          <w:highlight w:val="none"/>
        </w:rPr>
        <w:t>·GB/T 18775-2009  《电梯、自动扶梯和自动人行道维修规范》</w:t>
      </w:r>
    </w:p>
    <w:p>
      <w:pPr>
        <w:ind w:firstLine="480"/>
        <w:rPr>
          <w:rFonts w:ascii="宋体" w:hAnsi="宋体"/>
          <w:color w:val="auto"/>
          <w:szCs w:val="21"/>
          <w:highlight w:val="none"/>
        </w:rPr>
      </w:pPr>
      <w:r>
        <w:rPr>
          <w:rFonts w:hint="eastAsia" w:ascii="宋体" w:hAnsi="宋体"/>
          <w:color w:val="auto"/>
          <w:szCs w:val="21"/>
          <w:highlight w:val="none"/>
        </w:rPr>
        <w:t>·GB/T 24474-2009  《电梯乘运质量测量》</w:t>
      </w:r>
    </w:p>
    <w:p>
      <w:pPr>
        <w:ind w:firstLine="480"/>
        <w:rPr>
          <w:rFonts w:ascii="宋体" w:hAnsi="宋体"/>
          <w:color w:val="auto"/>
          <w:szCs w:val="21"/>
          <w:highlight w:val="none"/>
        </w:rPr>
      </w:pPr>
      <w:r>
        <w:rPr>
          <w:rFonts w:hint="eastAsia" w:ascii="宋体" w:hAnsi="宋体"/>
          <w:color w:val="auto"/>
          <w:szCs w:val="21"/>
          <w:highlight w:val="none"/>
        </w:rPr>
        <w:t>·GB/T 24475-2009  《电梯远程报警系统》</w:t>
      </w:r>
    </w:p>
    <w:p>
      <w:pPr>
        <w:ind w:firstLine="480"/>
        <w:rPr>
          <w:rFonts w:ascii="宋体" w:hAnsi="宋体"/>
          <w:color w:val="auto"/>
          <w:szCs w:val="21"/>
          <w:highlight w:val="none"/>
        </w:rPr>
      </w:pPr>
      <w:r>
        <w:rPr>
          <w:rFonts w:hint="eastAsia" w:ascii="宋体" w:hAnsi="宋体"/>
          <w:color w:val="auto"/>
          <w:szCs w:val="21"/>
          <w:highlight w:val="none"/>
        </w:rPr>
        <w:t>·GB/T 24476-2009  《电梯、自动扶梯和自动人行道数据监视和记录规范》</w:t>
      </w:r>
    </w:p>
    <w:p>
      <w:pPr>
        <w:ind w:firstLine="480"/>
        <w:rPr>
          <w:rFonts w:ascii="宋体" w:hAnsi="宋体"/>
          <w:color w:val="auto"/>
          <w:szCs w:val="21"/>
          <w:highlight w:val="none"/>
        </w:rPr>
      </w:pPr>
      <w:r>
        <w:rPr>
          <w:rFonts w:hint="eastAsia" w:ascii="宋体" w:hAnsi="宋体"/>
          <w:color w:val="auto"/>
          <w:szCs w:val="21"/>
          <w:highlight w:val="none"/>
        </w:rPr>
        <w:t>·GB/T 24477-2009  《适用于残障人员的电梯附加要求》</w:t>
      </w:r>
    </w:p>
    <w:p>
      <w:pPr>
        <w:ind w:firstLine="480"/>
        <w:rPr>
          <w:rFonts w:ascii="宋体" w:hAnsi="宋体"/>
          <w:color w:val="auto"/>
          <w:szCs w:val="21"/>
          <w:highlight w:val="none"/>
        </w:rPr>
      </w:pPr>
      <w:r>
        <w:rPr>
          <w:rFonts w:hint="eastAsia" w:ascii="宋体" w:hAnsi="宋体"/>
          <w:color w:val="auto"/>
          <w:szCs w:val="21"/>
          <w:highlight w:val="none"/>
        </w:rPr>
        <w:t>·GB/T 24478-2009  《电梯曳引机》</w:t>
      </w:r>
    </w:p>
    <w:p>
      <w:pPr>
        <w:ind w:firstLine="480"/>
        <w:rPr>
          <w:rFonts w:ascii="宋体" w:hAnsi="宋体"/>
          <w:color w:val="auto"/>
          <w:szCs w:val="21"/>
          <w:highlight w:val="none"/>
        </w:rPr>
      </w:pPr>
      <w:r>
        <w:rPr>
          <w:rFonts w:hint="eastAsia" w:ascii="宋体" w:hAnsi="宋体"/>
          <w:color w:val="auto"/>
          <w:szCs w:val="21"/>
          <w:highlight w:val="none"/>
        </w:rPr>
        <w:t>·GB/T 24479-2009  《火灾情况下的电梯特性》</w:t>
      </w:r>
    </w:p>
    <w:p>
      <w:pPr>
        <w:ind w:firstLine="480"/>
        <w:rPr>
          <w:rFonts w:ascii="宋体" w:hAnsi="宋体"/>
          <w:color w:val="auto"/>
          <w:szCs w:val="21"/>
          <w:highlight w:val="none"/>
        </w:rPr>
      </w:pPr>
      <w:r>
        <w:rPr>
          <w:rFonts w:hint="eastAsia" w:ascii="宋体" w:hAnsi="宋体"/>
          <w:color w:val="auto"/>
          <w:szCs w:val="21"/>
          <w:highlight w:val="none"/>
        </w:rPr>
        <w:t>·GB/T 24480-2009  《电梯层门耐火试验》</w:t>
      </w:r>
    </w:p>
    <w:p>
      <w:pPr>
        <w:ind w:firstLine="480"/>
        <w:rPr>
          <w:rFonts w:ascii="宋体" w:hAnsi="宋体"/>
          <w:color w:val="auto"/>
          <w:szCs w:val="21"/>
          <w:highlight w:val="none"/>
        </w:rPr>
      </w:pPr>
      <w:r>
        <w:rPr>
          <w:rFonts w:hint="eastAsia" w:ascii="宋体" w:hAnsi="宋体"/>
          <w:color w:val="auto"/>
          <w:szCs w:val="21"/>
          <w:highlight w:val="none"/>
        </w:rPr>
        <w:t>·GB 24805-2009   《行动不便人员使用的垂直升降平台》</w:t>
      </w:r>
    </w:p>
    <w:p>
      <w:pPr>
        <w:ind w:firstLine="480"/>
        <w:rPr>
          <w:rFonts w:ascii="宋体" w:hAnsi="宋体"/>
          <w:color w:val="auto"/>
          <w:szCs w:val="21"/>
          <w:highlight w:val="none"/>
        </w:rPr>
      </w:pPr>
      <w:r>
        <w:rPr>
          <w:rFonts w:hint="eastAsia" w:ascii="宋体" w:hAnsi="宋体"/>
          <w:color w:val="auto"/>
          <w:szCs w:val="21"/>
          <w:highlight w:val="none"/>
        </w:rPr>
        <w:t xml:space="preserve">·GB/T 24807-2009  《电磁兼容电梯、自动扶梯和自动人行道的产品系列标准 发射》 </w:t>
      </w:r>
    </w:p>
    <w:p>
      <w:pPr>
        <w:ind w:firstLine="480"/>
        <w:rPr>
          <w:rFonts w:ascii="宋体" w:hAnsi="宋体"/>
          <w:color w:val="auto"/>
          <w:szCs w:val="21"/>
          <w:highlight w:val="none"/>
        </w:rPr>
      </w:pPr>
      <w:r>
        <w:rPr>
          <w:rFonts w:hint="eastAsia" w:ascii="宋体" w:hAnsi="宋体"/>
          <w:color w:val="auto"/>
          <w:szCs w:val="21"/>
          <w:highlight w:val="none"/>
        </w:rPr>
        <w:t>·GB/T 24808-2009 《电磁兼容电梯、自动扶梯和自动人行道的产品系列标准 抗扰度》</w:t>
      </w:r>
    </w:p>
    <w:p>
      <w:pPr>
        <w:ind w:firstLine="480"/>
        <w:rPr>
          <w:rFonts w:ascii="宋体" w:hAnsi="宋体"/>
          <w:color w:val="auto"/>
          <w:szCs w:val="21"/>
          <w:highlight w:val="none"/>
        </w:rPr>
      </w:pPr>
      <w:r>
        <w:rPr>
          <w:rFonts w:hint="eastAsia" w:ascii="宋体" w:hAnsi="宋体"/>
          <w:color w:val="auto"/>
          <w:szCs w:val="21"/>
          <w:highlight w:val="none"/>
        </w:rPr>
        <w:t>·GB/T 22562-2008  《电梯T型导轨》</w:t>
      </w:r>
    </w:p>
    <w:p>
      <w:pPr>
        <w:ind w:firstLine="480"/>
        <w:rPr>
          <w:rFonts w:ascii="宋体" w:hAnsi="宋体"/>
          <w:color w:val="auto"/>
          <w:szCs w:val="21"/>
          <w:highlight w:val="none"/>
        </w:rPr>
      </w:pPr>
      <w:r>
        <w:rPr>
          <w:rFonts w:hint="eastAsia" w:ascii="宋体" w:hAnsi="宋体"/>
          <w:color w:val="auto"/>
          <w:szCs w:val="21"/>
          <w:highlight w:val="none"/>
        </w:rPr>
        <w:t xml:space="preserve">·GB/T 7024-2008  《电梯、自动扶梯、自动人行道术语》 </w:t>
      </w:r>
    </w:p>
    <w:p>
      <w:pPr>
        <w:ind w:firstLine="480"/>
        <w:rPr>
          <w:rFonts w:ascii="宋体" w:hAnsi="宋体"/>
          <w:color w:val="auto"/>
          <w:szCs w:val="21"/>
          <w:highlight w:val="none"/>
        </w:rPr>
      </w:pPr>
      <w:r>
        <w:rPr>
          <w:rFonts w:hint="eastAsia" w:ascii="宋体" w:hAnsi="宋体"/>
          <w:color w:val="auto"/>
          <w:szCs w:val="21"/>
          <w:highlight w:val="none"/>
        </w:rPr>
        <w:t>·GB/T 7025.1-2008 《电梯主参数及轿厢、井道、机房的型式与尺寸 第1部分：Ⅰ、Ⅱ、Ⅲ、Ⅵ类电梯》</w:t>
      </w:r>
    </w:p>
    <w:p>
      <w:pPr>
        <w:ind w:firstLine="480"/>
        <w:rPr>
          <w:rFonts w:ascii="宋体" w:hAnsi="宋体"/>
          <w:color w:val="auto"/>
          <w:szCs w:val="21"/>
          <w:highlight w:val="none"/>
        </w:rPr>
      </w:pPr>
      <w:r>
        <w:rPr>
          <w:rFonts w:hint="eastAsia" w:ascii="宋体" w:hAnsi="宋体"/>
          <w:color w:val="auto"/>
          <w:szCs w:val="21"/>
          <w:highlight w:val="none"/>
        </w:rPr>
        <w:t>·GB/T 7025.2-2008  《电梯主参数及轿厢、井道、机房的型式与尺寸 第2部分：Ⅳ类电梯》</w:t>
      </w:r>
    </w:p>
    <w:p>
      <w:pPr>
        <w:ind w:firstLine="480"/>
        <w:rPr>
          <w:rFonts w:ascii="宋体" w:hAnsi="宋体"/>
          <w:color w:val="auto"/>
          <w:szCs w:val="21"/>
          <w:highlight w:val="none"/>
        </w:rPr>
      </w:pPr>
      <w:r>
        <w:rPr>
          <w:rFonts w:hint="eastAsia" w:ascii="宋体" w:hAnsi="宋体"/>
          <w:color w:val="auto"/>
          <w:szCs w:val="21"/>
          <w:highlight w:val="none"/>
        </w:rPr>
        <w:t>·GB/T 5013.5-2008 《额定电压450/750V及以下橡皮绝缘电缆 第5部分：电梯电缆</w:t>
      </w:r>
    </w:p>
    <w:p>
      <w:pPr>
        <w:ind w:firstLine="480"/>
        <w:rPr>
          <w:rFonts w:ascii="宋体" w:hAnsi="宋体"/>
          <w:color w:val="auto"/>
          <w:szCs w:val="21"/>
          <w:highlight w:val="none"/>
        </w:rPr>
      </w:pPr>
      <w:r>
        <w:rPr>
          <w:rFonts w:hint="eastAsia" w:ascii="宋体" w:hAnsi="宋体"/>
          <w:color w:val="auto"/>
          <w:szCs w:val="21"/>
          <w:highlight w:val="none"/>
        </w:rPr>
        <w:t>·GB/T 20900-2007  《电梯、自动扶梯和自动人行道 风险评价和降低的方法》</w:t>
      </w:r>
    </w:p>
    <w:p>
      <w:pPr>
        <w:ind w:firstLine="480"/>
        <w:rPr>
          <w:rFonts w:ascii="宋体" w:hAnsi="宋体"/>
          <w:color w:val="auto"/>
          <w:szCs w:val="21"/>
          <w:highlight w:val="none"/>
        </w:rPr>
      </w:pPr>
      <w:r>
        <w:rPr>
          <w:rFonts w:hint="eastAsia" w:ascii="宋体" w:hAnsi="宋体"/>
          <w:color w:val="auto"/>
          <w:szCs w:val="21"/>
          <w:highlight w:val="none"/>
        </w:rPr>
        <w:t>·GB/T 5023.6-2006 《额定电压450/750V及以下聚氯乙烯绝缘电缆 第6部分:电梯电缆和挠性连接用电缆》</w:t>
      </w:r>
    </w:p>
    <w:p>
      <w:pPr>
        <w:ind w:firstLine="480"/>
        <w:rPr>
          <w:rFonts w:ascii="宋体" w:hAnsi="宋体"/>
          <w:color w:val="auto"/>
          <w:szCs w:val="21"/>
          <w:highlight w:val="none"/>
        </w:rPr>
      </w:pPr>
      <w:r>
        <w:rPr>
          <w:rFonts w:hint="eastAsia" w:ascii="宋体" w:hAnsi="宋体"/>
          <w:color w:val="auto"/>
          <w:szCs w:val="21"/>
          <w:highlight w:val="none"/>
        </w:rPr>
        <w:t>·GB 8903-2005  《电梯用钢丝绳》</w:t>
      </w:r>
    </w:p>
    <w:p>
      <w:pPr>
        <w:ind w:firstLine="480"/>
        <w:rPr>
          <w:rFonts w:ascii="宋体" w:hAnsi="宋体"/>
          <w:color w:val="auto"/>
          <w:szCs w:val="21"/>
          <w:highlight w:val="none"/>
        </w:rPr>
      </w:pPr>
      <w:r>
        <w:rPr>
          <w:rFonts w:hint="eastAsia" w:ascii="宋体" w:hAnsi="宋体"/>
          <w:color w:val="auto"/>
          <w:szCs w:val="21"/>
          <w:highlight w:val="none"/>
        </w:rPr>
        <w:t>·GB 7588-2003  《电梯制造与安装安全规范》</w:t>
      </w:r>
    </w:p>
    <w:p>
      <w:pPr>
        <w:ind w:firstLine="480"/>
        <w:rPr>
          <w:rFonts w:ascii="宋体" w:hAnsi="宋体"/>
          <w:color w:val="auto"/>
          <w:szCs w:val="21"/>
          <w:highlight w:val="none"/>
        </w:rPr>
      </w:pPr>
      <w:r>
        <w:rPr>
          <w:rFonts w:hint="eastAsia" w:ascii="宋体" w:hAnsi="宋体"/>
          <w:color w:val="auto"/>
          <w:szCs w:val="21"/>
          <w:highlight w:val="none"/>
        </w:rPr>
        <w:t>·浙江省消防部门的条例及相关的中国国家防火规则</w:t>
      </w:r>
    </w:p>
    <w:p>
      <w:pPr>
        <w:ind w:firstLine="480"/>
        <w:rPr>
          <w:rFonts w:ascii="宋体" w:hAnsi="宋体"/>
          <w:color w:val="auto"/>
          <w:szCs w:val="21"/>
          <w:highlight w:val="none"/>
        </w:rPr>
      </w:pPr>
      <w:r>
        <w:rPr>
          <w:rFonts w:hint="eastAsia" w:ascii="宋体" w:hAnsi="宋体"/>
          <w:color w:val="auto"/>
          <w:szCs w:val="21"/>
          <w:highlight w:val="none"/>
        </w:rPr>
        <w:t>·电力供应部门的供电规章条例</w:t>
      </w:r>
    </w:p>
    <w:p>
      <w:pPr>
        <w:ind w:firstLine="480"/>
        <w:rPr>
          <w:rFonts w:ascii="宋体" w:hAnsi="宋体"/>
          <w:color w:val="auto"/>
          <w:szCs w:val="21"/>
          <w:highlight w:val="none"/>
        </w:rPr>
      </w:pPr>
      <w:r>
        <w:rPr>
          <w:rFonts w:hint="eastAsia" w:ascii="宋体" w:hAnsi="宋体"/>
          <w:color w:val="auto"/>
          <w:szCs w:val="21"/>
          <w:highlight w:val="none"/>
        </w:rPr>
        <w:t>·由采购人认可的其它国家的其它权威标准。</w:t>
      </w:r>
    </w:p>
    <w:p>
      <w:pPr>
        <w:ind w:firstLine="48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如上述国家标准有最新版本或替代标准颁布，则执行最新版本或替代标准。</w:t>
      </w:r>
    </w:p>
    <w:p>
      <w:pPr>
        <w:ind w:firstLine="480"/>
        <w:rPr>
          <w:rFonts w:ascii="宋体" w:hAnsi="宋体"/>
          <w:color w:val="auto"/>
          <w:highlight w:val="none"/>
        </w:rPr>
      </w:pPr>
      <w:r>
        <w:rPr>
          <w:rFonts w:hint="eastAsia" w:ascii="宋体" w:hAnsi="宋体"/>
          <w:color w:val="auto"/>
          <w:szCs w:val="21"/>
          <w:highlight w:val="none"/>
        </w:rPr>
        <w:t xml:space="preserve">    投标人遵守不仅限于此技术规格书中的标准时，应向采购人及时解释清楚。</w:t>
      </w:r>
    </w:p>
    <w:p>
      <w:pPr>
        <w:ind w:firstLine="482"/>
        <w:rPr>
          <w:rFonts w:ascii="宋体" w:hAnsi="宋体"/>
          <w:color w:val="auto"/>
          <w:highlight w:val="none"/>
        </w:rPr>
      </w:pPr>
      <w:bookmarkStart w:id="0" w:name="_Toc497898811"/>
      <w:r>
        <w:rPr>
          <w:rFonts w:hint="eastAsia" w:ascii="Arial" w:hAnsi="Arial"/>
          <w:b/>
          <w:color w:val="auto"/>
          <w:szCs w:val="28"/>
          <w:highlight w:val="none"/>
        </w:rPr>
        <w:t>（二）、采购标的需满足的质量、安全、技术规格、物理特性等要求</w:t>
      </w:r>
      <w:bookmarkEnd w:id="0"/>
    </w:p>
    <w:p>
      <w:pPr>
        <w:pStyle w:val="2"/>
        <w:rPr>
          <w:rFonts w:ascii="宋体" w:hAnsi="宋体" w:cs="宋体"/>
          <w:color w:val="auto"/>
          <w:highlight w:val="none"/>
        </w:rPr>
        <w:sectPr>
          <w:headerReference r:id="rId3" w:type="first"/>
          <w:footerReference r:id="rId5" w:type="first"/>
          <w:footerReference r:id="rId4" w:type="default"/>
          <w:pgSz w:w="11907" w:h="16840"/>
          <w:pgMar w:top="1247" w:right="1304" w:bottom="1021" w:left="1304" w:header="720" w:footer="720" w:gutter="0"/>
          <w:pgNumType w:fmt="decimal"/>
          <w:cols w:space="720" w:num="1"/>
          <w:docGrid w:linePitch="326" w:charSpace="0"/>
        </w:sectPr>
      </w:pPr>
    </w:p>
    <w:p>
      <w:pPr>
        <w:pStyle w:val="12"/>
        <w:widowControl/>
        <w:spacing w:line="360" w:lineRule="auto"/>
        <w:ind w:firstLine="420"/>
        <w:rPr>
          <w:rFonts w:ascii="Arial" w:hAnsi="Arial" w:eastAsia="宋体" w:cs="Times New Roman"/>
          <w:bCs/>
          <w:color w:val="auto"/>
          <w:szCs w:val="28"/>
          <w:highlight w:val="none"/>
        </w:rPr>
      </w:pPr>
      <w:bookmarkStart w:id="1" w:name="_Toc497898812"/>
      <w:r>
        <w:rPr>
          <w:rFonts w:hint="eastAsia" w:ascii="Arial" w:hAnsi="Arial" w:eastAsia="宋体" w:cs="Times New Roman"/>
          <w:bCs/>
          <w:color w:val="auto"/>
          <w:szCs w:val="28"/>
          <w:highlight w:val="none"/>
        </w:rPr>
        <w:t>1.采购标的清单</w:t>
      </w:r>
      <w:bookmarkEnd w:id="1"/>
      <w:r>
        <w:rPr>
          <w:rFonts w:hint="eastAsia" w:ascii="Arial" w:hAnsi="Arial" w:eastAsia="宋体" w:cs="Times New Roman"/>
          <w:bCs/>
          <w:color w:val="auto"/>
          <w:szCs w:val="28"/>
          <w:highlight w:val="none"/>
        </w:rPr>
        <w:t>及土建参数</w:t>
      </w:r>
    </w:p>
    <w:tbl>
      <w:tblPr>
        <w:tblStyle w:val="10"/>
        <w:tblW w:w="15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56"/>
        <w:gridCol w:w="1409"/>
        <w:gridCol w:w="1446"/>
        <w:gridCol w:w="748"/>
        <w:gridCol w:w="992"/>
        <w:gridCol w:w="979"/>
        <w:gridCol w:w="591"/>
        <w:gridCol w:w="938"/>
        <w:gridCol w:w="1119"/>
        <w:gridCol w:w="1371"/>
        <w:gridCol w:w="822"/>
        <w:gridCol w:w="823"/>
        <w:gridCol w:w="688"/>
        <w:gridCol w:w="960"/>
        <w:gridCol w:w="555"/>
        <w:gridCol w:w="54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atLeast"/>
          <w:tblHeader/>
          <w:jc w:val="center"/>
        </w:trPr>
        <w:tc>
          <w:tcPr>
            <w:tcW w:w="627"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楼号</w:t>
            </w:r>
          </w:p>
        </w:tc>
        <w:tc>
          <w:tcPr>
            <w:tcW w:w="456"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梯号</w:t>
            </w:r>
          </w:p>
        </w:tc>
        <w:tc>
          <w:tcPr>
            <w:tcW w:w="1409"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电梯名称</w:t>
            </w:r>
          </w:p>
        </w:tc>
        <w:tc>
          <w:tcPr>
            <w:tcW w:w="1446"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井道内净尺寸</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(宽×深)mm</w:t>
            </w:r>
          </w:p>
        </w:tc>
        <w:tc>
          <w:tcPr>
            <w:tcW w:w="748"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层站门</w:t>
            </w:r>
          </w:p>
        </w:tc>
        <w:tc>
          <w:tcPr>
            <w:tcW w:w="992"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载重（KG）</w:t>
            </w:r>
          </w:p>
        </w:tc>
        <w:tc>
          <w:tcPr>
            <w:tcW w:w="979"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速度</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（m/s）</w:t>
            </w:r>
          </w:p>
        </w:tc>
        <w:tc>
          <w:tcPr>
            <w:tcW w:w="591"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控制</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方式</w:t>
            </w:r>
          </w:p>
        </w:tc>
        <w:tc>
          <w:tcPr>
            <w:tcW w:w="938"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开门</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方式</w:t>
            </w:r>
          </w:p>
        </w:tc>
        <w:tc>
          <w:tcPr>
            <w:tcW w:w="1119"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开门尺寸</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（宽×高）(mm)</w:t>
            </w:r>
          </w:p>
        </w:tc>
        <w:tc>
          <w:tcPr>
            <w:tcW w:w="1371"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门洞尺寸</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（宽×高）</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822"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底坑</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深度</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823"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顶层</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高度</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688"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行程</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w:t>
            </w:r>
          </w:p>
        </w:tc>
        <w:tc>
          <w:tcPr>
            <w:tcW w:w="960"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轿厢净</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尺寸（宽×深×高）</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555"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基    站</w:t>
            </w:r>
          </w:p>
        </w:tc>
        <w:tc>
          <w:tcPr>
            <w:tcW w:w="541"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数量</w:t>
            </w:r>
          </w:p>
        </w:tc>
        <w:tc>
          <w:tcPr>
            <w:tcW w:w="813"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井道结构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627"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南山校区图书馆</w:t>
            </w:r>
          </w:p>
        </w:tc>
        <w:tc>
          <w:tcPr>
            <w:tcW w:w="456"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L1</w:t>
            </w:r>
          </w:p>
        </w:tc>
        <w:tc>
          <w:tcPr>
            <w:tcW w:w="140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无障碍有</w:t>
            </w:r>
            <w:r>
              <w:rPr>
                <w:rFonts w:hint="eastAsia" w:ascii="宋体" w:hAnsi="宋体"/>
                <w:color w:val="auto"/>
                <w:kern w:val="0"/>
                <w:sz w:val="18"/>
                <w:szCs w:val="18"/>
                <w:highlight w:val="none"/>
                <w:lang w:val="zh-CN"/>
              </w:rPr>
              <w:t>机房电梯</w:t>
            </w:r>
            <w:r>
              <w:rPr>
                <w:rFonts w:hint="eastAsia" w:ascii="宋体" w:hAnsi="宋体"/>
                <w:color w:val="auto"/>
                <w:kern w:val="0"/>
                <w:sz w:val="18"/>
                <w:szCs w:val="18"/>
                <w:highlight w:val="none"/>
              </w:rPr>
              <w:t>（客梯）</w:t>
            </w:r>
          </w:p>
        </w:tc>
        <w:tc>
          <w:tcPr>
            <w:tcW w:w="1446"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lang w:val="zh-CN"/>
              </w:rPr>
              <w:t>2300X 2100</w:t>
            </w:r>
          </w:p>
        </w:tc>
        <w:tc>
          <w:tcPr>
            <w:tcW w:w="748"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lang w:val="zh-CN"/>
              </w:rPr>
              <w:t>5/5/5</w:t>
            </w:r>
          </w:p>
        </w:tc>
        <w:tc>
          <w:tcPr>
            <w:tcW w:w="992"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lang w:val="zh-CN"/>
              </w:rPr>
              <w:t>1000</w:t>
            </w:r>
          </w:p>
        </w:tc>
        <w:tc>
          <w:tcPr>
            <w:tcW w:w="97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591"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单控</w:t>
            </w:r>
          </w:p>
        </w:tc>
        <w:tc>
          <w:tcPr>
            <w:tcW w:w="938"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两扇中分</w:t>
            </w:r>
            <w:r>
              <w:rPr>
                <w:rFonts w:hint="eastAsia" w:ascii="宋体" w:hAnsi="宋体"/>
                <w:color w:val="auto"/>
                <w:kern w:val="0"/>
                <w:sz w:val="18"/>
                <w:szCs w:val="18"/>
                <w:highlight w:val="none"/>
                <w:lang w:val="zh-CN"/>
              </w:rPr>
              <w:t>自动门</w:t>
            </w:r>
          </w:p>
        </w:tc>
        <w:tc>
          <w:tcPr>
            <w:tcW w:w="1119"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lang w:val="zh-CN"/>
              </w:rPr>
              <w:t>900X2100</w:t>
            </w:r>
          </w:p>
        </w:tc>
        <w:tc>
          <w:tcPr>
            <w:tcW w:w="1371"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lang w:val="zh-CN"/>
              </w:rPr>
              <w:t>1100 X 2200</w:t>
            </w:r>
          </w:p>
        </w:tc>
        <w:tc>
          <w:tcPr>
            <w:tcW w:w="822"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1400</w:t>
            </w:r>
          </w:p>
        </w:tc>
        <w:tc>
          <w:tcPr>
            <w:tcW w:w="82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4</w:t>
            </w:r>
            <w:r>
              <w:rPr>
                <w:rFonts w:hint="eastAsia" w:ascii="宋体" w:hAnsi="宋体"/>
                <w:color w:val="auto"/>
                <w:kern w:val="0"/>
                <w:sz w:val="18"/>
                <w:szCs w:val="18"/>
                <w:highlight w:val="none"/>
              </w:rPr>
              <w:t>3</w:t>
            </w:r>
            <w:r>
              <w:rPr>
                <w:rFonts w:hint="eastAsia" w:ascii="宋体" w:hAnsi="宋体"/>
                <w:color w:val="auto"/>
                <w:kern w:val="0"/>
                <w:sz w:val="18"/>
                <w:szCs w:val="18"/>
                <w:highlight w:val="none"/>
                <w:lang w:val="zh-CN"/>
              </w:rPr>
              <w:t>00</w:t>
            </w:r>
          </w:p>
        </w:tc>
        <w:tc>
          <w:tcPr>
            <w:tcW w:w="688"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15.9</w:t>
            </w:r>
          </w:p>
        </w:tc>
        <w:tc>
          <w:tcPr>
            <w:tcW w:w="960"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1600X1500X2600</w:t>
            </w:r>
          </w:p>
        </w:tc>
        <w:tc>
          <w:tcPr>
            <w:tcW w:w="555"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541"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w:t>
            </w:r>
          </w:p>
        </w:tc>
        <w:tc>
          <w:tcPr>
            <w:tcW w:w="81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砖混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627"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南山校区美术馆</w:t>
            </w:r>
          </w:p>
        </w:tc>
        <w:tc>
          <w:tcPr>
            <w:tcW w:w="456"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L2</w:t>
            </w:r>
          </w:p>
        </w:tc>
        <w:tc>
          <w:tcPr>
            <w:tcW w:w="140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无障碍</w:t>
            </w:r>
            <w:r>
              <w:rPr>
                <w:rFonts w:hint="eastAsia" w:ascii="宋体" w:hAnsi="宋体"/>
                <w:color w:val="auto"/>
                <w:kern w:val="0"/>
                <w:sz w:val="18"/>
                <w:szCs w:val="18"/>
                <w:highlight w:val="none"/>
                <w:lang w:val="zh-CN"/>
              </w:rPr>
              <w:t>无机房</w:t>
            </w:r>
            <w:r>
              <w:rPr>
                <w:rFonts w:hint="eastAsia" w:ascii="宋体" w:hAnsi="宋体"/>
                <w:color w:val="auto"/>
                <w:kern w:val="0"/>
                <w:sz w:val="18"/>
                <w:szCs w:val="18"/>
                <w:highlight w:val="none"/>
              </w:rPr>
              <w:t>电梯（</w:t>
            </w:r>
            <w:r>
              <w:rPr>
                <w:rFonts w:hint="eastAsia" w:ascii="宋体" w:hAnsi="宋体"/>
                <w:color w:val="auto"/>
                <w:kern w:val="0"/>
                <w:sz w:val="18"/>
                <w:szCs w:val="18"/>
                <w:highlight w:val="none"/>
                <w:lang w:val="zh-CN"/>
              </w:rPr>
              <w:t>客梯）</w:t>
            </w:r>
          </w:p>
        </w:tc>
        <w:tc>
          <w:tcPr>
            <w:tcW w:w="1446"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2500×2200</w:t>
            </w:r>
          </w:p>
        </w:tc>
        <w:tc>
          <w:tcPr>
            <w:tcW w:w="748"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5/5/5</w:t>
            </w:r>
          </w:p>
        </w:tc>
        <w:tc>
          <w:tcPr>
            <w:tcW w:w="992"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1350</w:t>
            </w:r>
          </w:p>
        </w:tc>
        <w:tc>
          <w:tcPr>
            <w:tcW w:w="97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591"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单控</w:t>
            </w:r>
          </w:p>
        </w:tc>
        <w:tc>
          <w:tcPr>
            <w:tcW w:w="938"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两扇中分</w:t>
            </w:r>
            <w:r>
              <w:rPr>
                <w:rFonts w:hint="eastAsia" w:ascii="宋体" w:hAnsi="宋体"/>
                <w:color w:val="auto"/>
                <w:kern w:val="0"/>
                <w:sz w:val="18"/>
                <w:szCs w:val="18"/>
                <w:highlight w:val="none"/>
                <w:lang w:val="zh-CN"/>
              </w:rPr>
              <w:t>自动门</w:t>
            </w:r>
          </w:p>
        </w:tc>
        <w:tc>
          <w:tcPr>
            <w:tcW w:w="111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1100×2100</w:t>
            </w:r>
          </w:p>
        </w:tc>
        <w:tc>
          <w:tcPr>
            <w:tcW w:w="1371"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1300×2200</w:t>
            </w:r>
          </w:p>
        </w:tc>
        <w:tc>
          <w:tcPr>
            <w:tcW w:w="822"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w:t>
            </w:r>
            <w:r>
              <w:rPr>
                <w:rFonts w:hint="eastAsia" w:ascii="宋体" w:hAnsi="宋体"/>
                <w:color w:val="auto"/>
                <w:kern w:val="0"/>
                <w:sz w:val="18"/>
                <w:szCs w:val="18"/>
                <w:highlight w:val="none"/>
              </w:rPr>
              <w:t>8</w:t>
            </w:r>
            <w:r>
              <w:rPr>
                <w:rFonts w:hint="eastAsia" w:ascii="宋体" w:hAnsi="宋体"/>
                <w:color w:val="auto"/>
                <w:kern w:val="0"/>
                <w:sz w:val="18"/>
                <w:szCs w:val="18"/>
                <w:highlight w:val="none"/>
                <w:lang w:val="zh-CN"/>
              </w:rPr>
              <w:t>00</w:t>
            </w:r>
          </w:p>
        </w:tc>
        <w:tc>
          <w:tcPr>
            <w:tcW w:w="82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4</w:t>
            </w:r>
            <w:r>
              <w:rPr>
                <w:rFonts w:hint="eastAsia" w:ascii="宋体" w:hAnsi="宋体"/>
                <w:color w:val="auto"/>
                <w:kern w:val="0"/>
                <w:sz w:val="18"/>
                <w:szCs w:val="18"/>
                <w:highlight w:val="none"/>
              </w:rPr>
              <w:t>5</w:t>
            </w:r>
            <w:r>
              <w:rPr>
                <w:rFonts w:hint="eastAsia" w:ascii="宋体" w:hAnsi="宋体"/>
                <w:color w:val="auto"/>
                <w:kern w:val="0"/>
                <w:sz w:val="18"/>
                <w:szCs w:val="18"/>
                <w:highlight w:val="none"/>
                <w:lang w:val="zh-CN"/>
              </w:rPr>
              <w:t>00</w:t>
            </w:r>
          </w:p>
        </w:tc>
        <w:tc>
          <w:tcPr>
            <w:tcW w:w="688"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lang w:val="zh-CN"/>
              </w:rPr>
              <w:t>1</w:t>
            </w:r>
            <w:r>
              <w:rPr>
                <w:rFonts w:hint="eastAsia" w:ascii="宋体" w:hAnsi="宋体"/>
                <w:color w:val="auto"/>
                <w:kern w:val="0"/>
                <w:sz w:val="18"/>
                <w:szCs w:val="18"/>
                <w:highlight w:val="none"/>
              </w:rPr>
              <w:t>4</w:t>
            </w:r>
            <w:r>
              <w:rPr>
                <w:rFonts w:hint="eastAsia" w:ascii="宋体" w:hAnsi="宋体"/>
                <w:color w:val="auto"/>
                <w:kern w:val="0"/>
                <w:sz w:val="18"/>
                <w:szCs w:val="18"/>
                <w:highlight w:val="none"/>
                <w:lang w:val="zh-CN"/>
              </w:rPr>
              <w:t>.</w:t>
            </w:r>
            <w:r>
              <w:rPr>
                <w:rFonts w:hint="eastAsia" w:ascii="宋体" w:hAnsi="宋体"/>
                <w:color w:val="auto"/>
                <w:kern w:val="0"/>
                <w:sz w:val="18"/>
                <w:szCs w:val="18"/>
                <w:highlight w:val="none"/>
              </w:rPr>
              <w:t>8</w:t>
            </w:r>
          </w:p>
        </w:tc>
        <w:tc>
          <w:tcPr>
            <w:tcW w:w="960"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1800X1700X 2600</w:t>
            </w:r>
          </w:p>
        </w:tc>
        <w:tc>
          <w:tcPr>
            <w:tcW w:w="555"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w:t>
            </w:r>
          </w:p>
        </w:tc>
        <w:tc>
          <w:tcPr>
            <w:tcW w:w="541"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81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砖混</w:t>
            </w:r>
          </w:p>
        </w:tc>
      </w:tr>
    </w:tbl>
    <w:p>
      <w:pPr>
        <w:pStyle w:val="12"/>
        <w:widowControl/>
        <w:spacing w:before="120" w:beforeLines="50" w:line="360" w:lineRule="auto"/>
        <w:rPr>
          <w:rFonts w:ascii="Arial" w:hAnsi="Arial" w:eastAsia="宋体" w:cs="宋体"/>
          <w:bCs/>
          <w:color w:val="auto"/>
          <w:highlight w:val="none"/>
          <w:lang w:eastAsia="zh-TW"/>
        </w:rPr>
      </w:pPr>
      <w:r>
        <w:rPr>
          <w:rFonts w:hint="eastAsia" w:ascii="Arial" w:hAnsi="Arial" w:eastAsia="宋体" w:cs="宋体"/>
          <w:bCs/>
          <w:color w:val="auto"/>
          <w:highlight w:val="none"/>
          <w:lang w:eastAsia="zh-TW"/>
        </w:rPr>
        <w:t>注：</w:t>
      </w:r>
      <w:r>
        <w:rPr>
          <w:rFonts w:hint="eastAsia" w:ascii="Arial" w:hAnsi="Arial" w:eastAsia="宋体" w:cs="宋体"/>
          <w:bCs/>
          <w:color w:val="auto"/>
          <w:highlight w:val="none"/>
        </w:rPr>
        <w:t>（1）</w:t>
      </w:r>
      <w:r>
        <w:rPr>
          <w:rFonts w:hint="eastAsia" w:ascii="Arial" w:hAnsi="Arial" w:eastAsia="宋体" w:cs="宋体"/>
          <w:bCs/>
          <w:color w:val="auto"/>
          <w:highlight w:val="none"/>
          <w:lang w:eastAsia="zh-TW"/>
        </w:rPr>
        <w:t>合同签订、项目主体施工开始后，电梯设备进场前，</w:t>
      </w:r>
      <w:r>
        <w:rPr>
          <w:rFonts w:ascii="Arial" w:hAnsi="Arial" w:eastAsia="宋体" w:cs="宋体"/>
          <w:bCs/>
          <w:color w:val="auto"/>
          <w:highlight w:val="none"/>
          <w:lang w:eastAsia="zh-TW"/>
        </w:rPr>
        <w:t>中标人</w:t>
      </w:r>
      <w:r>
        <w:rPr>
          <w:rFonts w:hint="eastAsia" w:ascii="Arial" w:hAnsi="Arial" w:eastAsia="宋体" w:cs="宋体"/>
          <w:bCs/>
          <w:color w:val="auto"/>
          <w:highlight w:val="none"/>
          <w:lang w:eastAsia="zh-TW"/>
        </w:rPr>
        <w:t>须每个月对井道尺寸、底坑深度、门洞尺寸等进行复核检查并向</w:t>
      </w:r>
      <w:r>
        <w:rPr>
          <w:rFonts w:hint="eastAsia" w:ascii="Arial" w:hAnsi="Arial" w:eastAsia="宋体" w:cs="宋体"/>
          <w:bCs/>
          <w:color w:val="auto"/>
          <w:highlight w:val="none"/>
        </w:rPr>
        <w:t>采购人</w:t>
      </w:r>
      <w:r>
        <w:rPr>
          <w:rFonts w:hint="eastAsia" w:ascii="Arial" w:hAnsi="Arial" w:eastAsia="宋体" w:cs="宋体"/>
          <w:bCs/>
          <w:color w:val="auto"/>
          <w:highlight w:val="none"/>
          <w:lang w:eastAsia="zh-TW"/>
        </w:rPr>
        <w:t>进行申报，并承担验收相关责任。</w:t>
      </w:r>
    </w:p>
    <w:p>
      <w:pPr>
        <w:pStyle w:val="6"/>
        <w:spacing w:line="276" w:lineRule="auto"/>
        <w:ind w:firstLine="0"/>
        <w:rPr>
          <w:rFonts w:ascii="Arial" w:hAnsi="Arial" w:cs="宋体"/>
          <w:bCs/>
          <w:color w:val="auto"/>
          <w:szCs w:val="21"/>
          <w:highlight w:val="none"/>
          <w:u w:val="none" w:color="000000"/>
          <w:lang w:eastAsia="zh-TW"/>
        </w:rPr>
      </w:pPr>
      <w:r>
        <w:rPr>
          <w:rFonts w:hint="eastAsia" w:ascii="宋体" w:hAnsi="宋体" w:cs="宋体"/>
          <w:color w:val="auto"/>
          <w:highlight w:val="none"/>
        </w:rPr>
        <w:t>▲</w:t>
      </w:r>
      <w:r>
        <w:rPr>
          <w:rFonts w:hint="eastAsia" w:ascii="Arial" w:hAnsi="Arial" w:cs="宋体"/>
          <w:bCs/>
          <w:color w:val="auto"/>
          <w:szCs w:val="21"/>
          <w:highlight w:val="none"/>
          <w:u w:val="none" w:color="000000"/>
          <w:lang w:eastAsia="zh-TW"/>
        </w:rPr>
        <w:t>（2）项目范围：</w:t>
      </w:r>
    </w:p>
    <w:p>
      <w:pPr>
        <w:pStyle w:val="12"/>
        <w:widowControl/>
        <w:spacing w:before="120" w:beforeLines="50" w:line="360" w:lineRule="auto"/>
        <w:ind w:firstLine="420"/>
        <w:rPr>
          <w:rFonts w:ascii="Arial" w:hAnsi="Arial" w:cs="宋体"/>
          <w:bCs/>
          <w:color w:val="auto"/>
          <w:highlight w:val="none"/>
          <w:lang w:eastAsia="zh-TW"/>
        </w:rPr>
      </w:pPr>
      <w:r>
        <w:rPr>
          <w:rFonts w:hint="eastAsia" w:ascii="Arial" w:hAnsi="Arial" w:cs="宋体"/>
          <w:bCs/>
          <w:color w:val="auto"/>
          <w:highlight w:val="none"/>
          <w:lang w:eastAsia="zh-TW"/>
        </w:rPr>
        <w:t>包含设备的采购、生产、随行电缆（视频监控电缆、视频播放线缆、五方通话线、电源线）、运输、装卸、现场保管、就位、临时电缆、安装调试（含井道照明材料和安装、井道脚手架搭设、预埋铁件、配底坑爬梯、必要的安全设施）、保险、产品保护、成品保管、通过</w:t>
      </w:r>
      <w:r>
        <w:rPr>
          <w:rFonts w:hint="eastAsia" w:ascii="Arial" w:hAnsi="Arial" w:cs="宋体"/>
          <w:bCs/>
          <w:color w:val="auto"/>
          <w:highlight w:val="none"/>
        </w:rPr>
        <w:t>杭州</w:t>
      </w:r>
      <w:r>
        <w:rPr>
          <w:rFonts w:hint="eastAsia" w:ascii="Arial" w:hAnsi="Arial" w:cs="宋体"/>
          <w:bCs/>
          <w:color w:val="auto"/>
          <w:highlight w:val="none"/>
          <w:lang w:eastAsia="zh-TW"/>
        </w:rPr>
        <w:t>市特检所验收、质保期内电梯年检费用（共两次年检费用）、技术培训、保修期内的售后服务。以上所有工作内容的费用均包含在总报价中。</w:t>
      </w:r>
      <w:bookmarkStart w:id="2" w:name="_Hlk1922091"/>
      <w:r>
        <w:rPr>
          <w:rFonts w:hint="eastAsia" w:ascii="Arial" w:hAnsi="Arial" w:cs="宋体"/>
          <w:bCs/>
          <w:color w:val="auto"/>
          <w:highlight w:val="none"/>
          <w:lang w:eastAsia="zh-TW"/>
        </w:rPr>
        <w:t>所投所有电梯均须为同一品牌。</w:t>
      </w:r>
      <w:bookmarkEnd w:id="2"/>
    </w:p>
    <w:p>
      <w:pPr>
        <w:pStyle w:val="2"/>
        <w:rPr>
          <w:rFonts w:ascii="宋体" w:hAnsi="宋体" w:cs="宋体"/>
          <w:color w:val="auto"/>
          <w:highlight w:val="none"/>
        </w:rPr>
        <w:sectPr>
          <w:pgSz w:w="16840" w:h="11907" w:orient="landscape"/>
          <w:pgMar w:top="1304" w:right="1247" w:bottom="1304" w:left="1021" w:header="720" w:footer="720" w:gutter="0"/>
          <w:pgNumType w:fmt="decimal"/>
          <w:cols w:space="720" w:num="1"/>
          <w:docGrid w:linePitch="326" w:charSpace="0"/>
        </w:sectPr>
      </w:pPr>
    </w:p>
    <w:p>
      <w:pPr>
        <w:pStyle w:val="12"/>
        <w:widowControl/>
        <w:spacing w:line="360" w:lineRule="auto"/>
        <w:ind w:firstLine="420"/>
        <w:rPr>
          <w:rFonts w:ascii="Arial" w:hAnsi="Arial" w:eastAsia="宋体"/>
          <w:color w:val="auto"/>
          <w:sz w:val="24"/>
          <w:highlight w:val="none"/>
        </w:rPr>
      </w:pPr>
      <w:r>
        <w:rPr>
          <w:rFonts w:hint="eastAsia" w:ascii="Arial" w:hAnsi="Arial" w:eastAsia="宋体" w:cs="Times New Roman"/>
          <w:bCs/>
          <w:color w:val="auto"/>
          <w:szCs w:val="28"/>
          <w:highlight w:val="none"/>
        </w:rPr>
        <w:t>2.电梯的技术规格和要求表</w:t>
      </w:r>
    </w:p>
    <w:tbl>
      <w:tblPr>
        <w:tblStyle w:val="10"/>
        <w:tblW w:w="8940" w:type="dxa"/>
        <w:tblInd w:w="1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673"/>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blHeader/>
        </w:trPr>
        <w:tc>
          <w:tcPr>
            <w:tcW w:w="1020" w:type="dxa"/>
            <w:noWrap w:val="0"/>
            <w:vAlign w:val="center"/>
          </w:tcPr>
          <w:p>
            <w:pPr>
              <w:pStyle w:val="12"/>
              <w:widowControl/>
              <w:spacing w:line="4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673"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r>
              <w:rPr>
                <w:rFonts w:hint="eastAsia" w:ascii="宋体" w:hAnsi="宋体" w:eastAsia="宋体" w:cs="宋体"/>
                <w:b/>
                <w:bCs/>
                <w:color w:val="auto"/>
                <w:sz w:val="24"/>
                <w:szCs w:val="24"/>
                <w:highlight w:val="none"/>
              </w:rPr>
              <w:t>采购技术规格</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93" w:type="dxa"/>
            <w:gridSpan w:val="2"/>
            <w:noWrap w:val="0"/>
            <w:vAlign w:val="center"/>
          </w:tcPr>
          <w:p>
            <w:pPr>
              <w:pStyle w:val="12"/>
              <w:widowControl/>
              <w:spacing w:line="400" w:lineRule="exact"/>
              <w:rPr>
                <w:rFonts w:ascii="宋体" w:hAnsi="宋体" w:eastAsia="宋体" w:cs="宋体"/>
                <w:color w:val="auto"/>
                <w:sz w:val="24"/>
                <w:szCs w:val="24"/>
                <w:highlight w:val="none"/>
              </w:rPr>
            </w:pPr>
            <w:r>
              <w:rPr>
                <w:rFonts w:hint="eastAsia" w:ascii="宋体" w:hAnsi="宋体" w:cs="宋体"/>
                <w:color w:val="auto"/>
                <w:highlight w:val="none"/>
              </w:rPr>
              <w:t>▲</w:t>
            </w:r>
            <w:r>
              <w:rPr>
                <w:rFonts w:hint="eastAsia" w:ascii="宋体" w:hAnsi="宋体" w:eastAsia="宋体" w:cs="宋体"/>
                <w:color w:val="auto"/>
                <w:sz w:val="24"/>
                <w:szCs w:val="24"/>
                <w:highlight w:val="none"/>
              </w:rPr>
              <w:t>投标电梯选型基本要求：投标产品的型号是制造厂商的成熟</w:t>
            </w:r>
            <w:r>
              <w:rPr>
                <w:rFonts w:hint="eastAsia" w:ascii="宋体" w:hAnsi="宋体" w:eastAsia="宋体" w:cs="宋体"/>
                <w:color w:val="auto"/>
                <w:sz w:val="24"/>
                <w:szCs w:val="24"/>
                <w:highlight w:val="none"/>
                <w:lang w:eastAsia="zh-TW"/>
              </w:rPr>
              <w:t>办公商务</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eastAsia="zh-TW"/>
              </w:rPr>
              <w:t>梯</w:t>
            </w:r>
            <w:r>
              <w:rPr>
                <w:rFonts w:hint="eastAsia" w:ascii="宋体" w:hAnsi="宋体" w:eastAsia="宋体" w:cs="宋体"/>
                <w:color w:val="auto"/>
                <w:sz w:val="24"/>
                <w:szCs w:val="24"/>
                <w:highlight w:val="none"/>
              </w:rPr>
              <w:t>产品。投标人须写明投标产品名称和型号，型号必须是唯一的，若使用某系列产品的扩展性或延伸产品必须表述清楚，同时提供该投标产品的型式试验报告和产品样本。</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693" w:type="dxa"/>
            <w:gridSpan w:val="2"/>
            <w:noWrap w:val="0"/>
            <w:vAlign w:val="center"/>
          </w:tcPr>
          <w:p>
            <w:pPr>
              <w:pStyle w:val="12"/>
              <w:widowControl/>
              <w:rPr>
                <w:rFonts w:ascii="宋体" w:hAnsi="宋体" w:eastAsia="宋体" w:cs="宋体"/>
                <w:b/>
                <w:bCs/>
                <w:color w:val="auto"/>
                <w:sz w:val="24"/>
                <w:szCs w:val="24"/>
                <w:highlight w:val="none"/>
                <w:lang w:eastAsia="zh-TW"/>
              </w:rPr>
            </w:pPr>
            <w:r>
              <w:rPr>
                <w:rFonts w:hint="eastAsia" w:ascii="宋体" w:hAnsi="宋体" w:eastAsia="宋体" w:cs="宋体"/>
                <w:bCs/>
                <w:color w:val="auto"/>
                <w:sz w:val="24"/>
                <w:szCs w:val="24"/>
                <w:highlight w:val="none"/>
                <w:lang w:eastAsia="zh-TW"/>
              </w:rPr>
              <w:t>电梯数量：</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TW"/>
              </w:rPr>
              <w:t>台</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一、土建设计要求及主要技术要求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bCs/>
                <w:color w:val="auto"/>
                <w:highlight w:val="none"/>
                <w:lang w:eastAsia="zh-TW"/>
              </w:rPr>
            </w:pPr>
            <w:r>
              <w:rPr>
                <w:rFonts w:hint="eastAsia" w:ascii="宋体" w:hAnsi="宋体"/>
                <w:color w:val="auto"/>
                <w:highlight w:val="none"/>
              </w:rPr>
              <w:t>▲</w:t>
            </w:r>
            <w:r>
              <w:rPr>
                <w:rFonts w:hint="eastAsia" w:ascii="宋体" w:hAnsi="宋体"/>
                <w:bCs/>
                <w:color w:val="auto"/>
                <w:highlight w:val="none"/>
              </w:rPr>
              <w:t>1.1</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电梯类型：客梯。</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▲1.2</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电梯速度：详见《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▲1.3</w:t>
            </w:r>
          </w:p>
        </w:tc>
        <w:tc>
          <w:tcPr>
            <w:tcW w:w="6673" w:type="dxa"/>
            <w:noWrap w:val="0"/>
            <w:vAlign w:val="center"/>
          </w:tcPr>
          <w:p>
            <w:pPr>
              <w:widowControl/>
              <w:ind w:firstLine="480"/>
              <w:rPr>
                <w:rFonts w:ascii="宋体" w:hAnsi="宋体"/>
                <w:bCs/>
                <w:color w:val="auto"/>
                <w:highlight w:val="none"/>
              </w:rPr>
            </w:pPr>
            <w:r>
              <w:rPr>
                <w:rFonts w:hint="eastAsia" w:ascii="宋体" w:hAnsi="宋体"/>
                <w:bCs/>
                <w:color w:val="auto"/>
                <w:highlight w:val="none"/>
              </w:rPr>
              <w:t>井道净尺寸：详见《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▲1.4</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载重量：详见《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1.5</w:t>
            </w:r>
          </w:p>
        </w:tc>
        <w:tc>
          <w:tcPr>
            <w:tcW w:w="6673" w:type="dxa"/>
            <w:noWrap w:val="0"/>
            <w:vAlign w:val="center"/>
          </w:tcPr>
          <w:p>
            <w:pPr>
              <w:widowControl/>
              <w:ind w:firstLine="480"/>
              <w:rPr>
                <w:rFonts w:ascii="宋体" w:hAnsi="宋体"/>
                <w:bCs/>
                <w:color w:val="auto"/>
                <w:highlight w:val="none"/>
              </w:rPr>
            </w:pPr>
            <w:r>
              <w:rPr>
                <w:rFonts w:hint="eastAsia" w:ascii="宋体" w:hAnsi="宋体"/>
                <w:bCs/>
                <w:color w:val="auto"/>
                <w:highlight w:val="none"/>
              </w:rPr>
              <w:t>层/站/门数：详见《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1.6</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底坑深度：详见《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1.7</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开门尺寸：详见《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1.8</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color w:val="auto"/>
                <w:highlight w:val="none"/>
              </w:rPr>
              <w:t>顶层净高度</w:t>
            </w:r>
            <w:r>
              <w:rPr>
                <w:rFonts w:hint="eastAsia" w:ascii="宋体" w:hAnsi="宋体"/>
                <w:bCs/>
                <w:color w:val="auto"/>
                <w:highlight w:val="none"/>
              </w:rPr>
              <w:t>：详见《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二、电梯轿厢和厅门入口装饰要求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2.1</w:t>
            </w:r>
          </w:p>
        </w:tc>
        <w:tc>
          <w:tcPr>
            <w:tcW w:w="6673" w:type="dxa"/>
            <w:noWrap w:val="0"/>
            <w:vAlign w:val="center"/>
          </w:tcPr>
          <w:p>
            <w:pPr>
              <w:widowControl/>
              <w:adjustRightInd w:val="0"/>
              <w:rPr>
                <w:rFonts w:ascii="宋体" w:hAnsi="宋体"/>
                <w:bCs/>
                <w:color w:val="auto"/>
                <w:highlight w:val="none"/>
              </w:rPr>
            </w:pPr>
            <w:r>
              <w:rPr>
                <w:rFonts w:hint="eastAsia" w:ascii="宋体" w:hAnsi="宋体"/>
                <w:color w:val="auto"/>
                <w:highlight w:val="none"/>
              </w:rPr>
              <w:t>开门方式：自动中分式，100束以上红外线光幕保护，无死角。</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2.2</w:t>
            </w:r>
          </w:p>
        </w:tc>
        <w:tc>
          <w:tcPr>
            <w:tcW w:w="6673" w:type="dxa"/>
            <w:noWrap w:val="0"/>
            <w:vAlign w:val="center"/>
          </w:tcPr>
          <w:p>
            <w:pPr>
              <w:widowControl/>
              <w:spacing w:line="300" w:lineRule="auto"/>
              <w:rPr>
                <w:rFonts w:ascii="宋体" w:hAnsi="宋体"/>
                <w:bCs/>
                <w:color w:val="auto"/>
                <w:highlight w:val="none"/>
              </w:rPr>
            </w:pPr>
            <w:r>
              <w:rPr>
                <w:rFonts w:hint="eastAsia" w:ascii="宋体" w:hAnsi="宋体"/>
                <w:bCs/>
                <w:color w:val="auto"/>
                <w:highlight w:val="none"/>
              </w:rPr>
              <w:t>轿厢内净尺寸：</w:t>
            </w:r>
          </w:p>
          <w:p>
            <w:pPr>
              <w:widowControl/>
              <w:spacing w:line="300" w:lineRule="auto"/>
              <w:rPr>
                <w:rFonts w:ascii="宋体" w:hAnsi="宋体"/>
                <w:bCs/>
                <w:color w:val="auto"/>
                <w:highlight w:val="none"/>
              </w:rPr>
            </w:pPr>
            <w:r>
              <w:rPr>
                <w:rFonts w:hint="eastAsia" w:ascii="宋体" w:hAnsi="宋体"/>
                <w:bCs/>
                <w:color w:val="auto"/>
                <w:highlight w:val="none"/>
              </w:rPr>
              <w:t>（1）装修后轿厢净高度≥2.4m（即轿底到轿厢装饰顶的净高度）；</w:t>
            </w:r>
          </w:p>
          <w:p>
            <w:pPr>
              <w:widowControl/>
              <w:spacing w:line="300" w:lineRule="auto"/>
              <w:rPr>
                <w:rFonts w:ascii="宋体" w:hAnsi="宋体"/>
                <w:bCs/>
                <w:color w:val="auto"/>
                <w:highlight w:val="none"/>
              </w:rPr>
            </w:pPr>
            <w:r>
              <w:rPr>
                <w:rFonts w:hint="eastAsia" w:ascii="宋体" w:hAnsi="宋体"/>
                <w:color w:val="auto"/>
                <w:highlight w:val="none"/>
              </w:rPr>
              <w:t>（2）开门净高度≥2.1m；</w:t>
            </w:r>
          </w:p>
          <w:p>
            <w:pPr>
              <w:widowControl/>
              <w:adjustRightInd w:val="0"/>
              <w:spacing w:line="300" w:lineRule="auto"/>
              <w:rPr>
                <w:rFonts w:ascii="宋体" w:hAnsi="宋体"/>
                <w:bCs/>
                <w:color w:val="auto"/>
                <w:highlight w:val="none"/>
              </w:rPr>
            </w:pPr>
            <w:r>
              <w:rPr>
                <w:rFonts w:hint="eastAsia" w:ascii="宋体" w:hAnsi="宋体"/>
                <w:bCs/>
                <w:color w:val="auto"/>
                <w:highlight w:val="none"/>
              </w:rPr>
              <w:t>（3）轿厢净尺寸：提供最大的尺寸；</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2.3</w:t>
            </w:r>
          </w:p>
        </w:tc>
        <w:tc>
          <w:tcPr>
            <w:tcW w:w="6673" w:type="dxa"/>
            <w:noWrap w:val="0"/>
            <w:vAlign w:val="center"/>
          </w:tcPr>
          <w:p>
            <w:pPr>
              <w:widowControl/>
              <w:adjustRightInd w:val="0"/>
              <w:spacing w:line="300" w:lineRule="auto"/>
              <w:ind w:firstLine="480"/>
              <w:rPr>
                <w:rFonts w:ascii="宋体" w:hAnsi="宋体"/>
                <w:bCs/>
                <w:color w:val="auto"/>
                <w:highlight w:val="none"/>
              </w:rPr>
            </w:pPr>
            <w:r>
              <w:rPr>
                <w:rFonts w:hint="eastAsia" w:ascii="宋体" w:hAnsi="宋体"/>
                <w:color w:val="auto"/>
                <w:highlight w:val="none"/>
              </w:rPr>
              <w:t>轿厢（左右后）三壁、</w:t>
            </w:r>
            <w:r>
              <w:rPr>
                <w:rFonts w:hint="eastAsia" w:ascii="宋体" w:hAnsi="宋体"/>
                <w:bCs/>
                <w:color w:val="auto"/>
                <w:highlight w:val="none"/>
              </w:rPr>
              <w:t>轿厢前壁、轿厢门楣、</w:t>
            </w:r>
            <w:r>
              <w:rPr>
                <w:rFonts w:hint="eastAsia" w:ascii="宋体" w:hAnsi="宋体"/>
                <w:color w:val="auto"/>
                <w:highlight w:val="none"/>
              </w:rPr>
              <w:t>轿门材质：采用发纹不锈钢(SUS304)，无障碍电梯轿厢后壁中间板面采用镜面不锈钢，不锈钢板厚度≥1.5mm。</w:t>
            </w:r>
            <w:r>
              <w:rPr>
                <w:rFonts w:hint="eastAsia" w:ascii="宋体" w:hAnsi="宋体"/>
                <w:bCs/>
                <w:color w:val="auto"/>
                <w:highlight w:val="none"/>
              </w:rPr>
              <w:t>不允许钢板外包发纹或</w:t>
            </w:r>
            <w:r>
              <w:rPr>
                <w:rFonts w:hint="eastAsia" w:ascii="宋体" w:hAnsi="宋体"/>
                <w:color w:val="auto"/>
                <w:highlight w:val="none"/>
              </w:rPr>
              <w:t>镜面不锈钢</w:t>
            </w:r>
            <w:r>
              <w:rPr>
                <w:rFonts w:hint="eastAsia" w:ascii="宋体" w:hAnsi="宋体"/>
                <w:bCs/>
                <w:color w:val="auto"/>
                <w:highlight w:val="none"/>
              </w:rPr>
              <w:t>。</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2.4</w:t>
            </w:r>
          </w:p>
        </w:tc>
        <w:tc>
          <w:tcPr>
            <w:tcW w:w="6673" w:type="dxa"/>
            <w:noWrap w:val="0"/>
            <w:vAlign w:val="center"/>
          </w:tcPr>
          <w:p>
            <w:pPr>
              <w:widowControl/>
              <w:adjustRightInd w:val="0"/>
              <w:spacing w:line="300" w:lineRule="auto"/>
              <w:ind w:firstLine="480"/>
              <w:rPr>
                <w:rFonts w:ascii="宋体" w:hAnsi="宋体"/>
                <w:bCs/>
                <w:color w:val="auto"/>
                <w:highlight w:val="none"/>
              </w:rPr>
            </w:pPr>
            <w:r>
              <w:rPr>
                <w:rFonts w:hint="eastAsia" w:ascii="宋体" w:hAnsi="宋体"/>
                <w:color w:val="auto"/>
                <w:highlight w:val="none"/>
              </w:rPr>
              <w:t>厅门、门套：标准大门套，发纹不锈钢(SUS304)厚度≥1.2mm，</w:t>
            </w:r>
            <w:r>
              <w:rPr>
                <w:rFonts w:hint="eastAsia" w:ascii="宋体" w:hAnsi="宋体"/>
                <w:bCs/>
                <w:color w:val="auto"/>
                <w:highlight w:val="none"/>
              </w:rPr>
              <w:t>不允许钢板外包</w:t>
            </w:r>
            <w:r>
              <w:rPr>
                <w:rFonts w:hint="eastAsia" w:ascii="宋体" w:hAnsi="宋体"/>
                <w:color w:val="auto"/>
                <w:highlight w:val="none"/>
              </w:rPr>
              <w:t>发纹不锈钢。</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2.5</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rPr>
              <w:t>轿厢顶：顶部豪华型吊顶天花板装饰含灯光和通风扇（隐匿形式，手动及自动控制），</w:t>
            </w:r>
            <w:r>
              <w:rPr>
                <w:rFonts w:hint="eastAsia" w:ascii="宋体" w:hAnsi="宋体"/>
                <w:color w:val="auto"/>
                <w:highlight w:val="none"/>
              </w:rPr>
              <w:t>灯具采用LED节能灯，</w:t>
            </w:r>
            <w:r>
              <w:rPr>
                <w:rFonts w:ascii="Arial" w:hAnsi="Arial" w:cs="Arial"/>
                <w:bCs/>
                <w:color w:val="auto"/>
                <w:sz w:val="21"/>
                <w:szCs w:val="22"/>
                <w:highlight w:val="none"/>
              </w:rPr>
              <w:t>空调品牌：</w:t>
            </w:r>
            <w:r>
              <w:rPr>
                <w:rFonts w:ascii="Arial" w:hAnsi="Arial" w:cs="Arial"/>
                <w:b/>
                <w:bCs/>
                <w:color w:val="auto"/>
                <w:sz w:val="21"/>
                <w:szCs w:val="22"/>
                <w:highlight w:val="none"/>
              </w:rPr>
              <w:t>业界知名品牌</w:t>
            </w:r>
            <w:r>
              <w:rPr>
                <w:rFonts w:ascii="Arial" w:hAnsi="Arial" w:cs="Arial"/>
                <w:bCs/>
                <w:color w:val="auto"/>
                <w:sz w:val="21"/>
                <w:szCs w:val="22"/>
                <w:highlight w:val="none"/>
              </w:rPr>
              <w:t>，</w:t>
            </w:r>
            <w:r>
              <w:rPr>
                <w:rFonts w:ascii="Arial" w:hAnsi="Arial" w:cs="Arial"/>
                <w:color w:val="auto"/>
                <w:sz w:val="21"/>
                <w:szCs w:val="22"/>
                <w:highlight w:val="none"/>
              </w:rPr>
              <w:t>功率：≥1.5匹；由投标人列明电梯空调的品牌、产地</w:t>
            </w:r>
            <w:r>
              <w:rPr>
                <w:rFonts w:hint="eastAsia" w:ascii="宋体" w:hAnsi="宋体"/>
                <w:color w:val="auto"/>
                <w:highlight w:val="none"/>
              </w:rPr>
              <w:t>，</w:t>
            </w:r>
            <w:r>
              <w:rPr>
                <w:rFonts w:hint="eastAsia" w:ascii="宋体" w:hAnsi="宋体"/>
                <w:bCs/>
                <w:color w:val="auto"/>
                <w:highlight w:val="none"/>
              </w:rPr>
              <w:t>轿厢顶需留有摄像机孔。</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2.6</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lang w:eastAsia="zh-TW"/>
              </w:rPr>
              <w:t>轿厢顶部须预留监控摄像头接口（配</w:t>
            </w:r>
            <w:r>
              <w:rPr>
                <w:rFonts w:hint="eastAsia" w:ascii="宋体" w:hAnsi="宋体"/>
                <w:bCs/>
                <w:color w:val="auto"/>
                <w:highlight w:val="none"/>
              </w:rPr>
              <w:t>数字信号摄像机</w:t>
            </w:r>
            <w:r>
              <w:rPr>
                <w:rFonts w:hint="eastAsia" w:ascii="宋体" w:hAnsi="宋体"/>
                <w:bCs/>
                <w:color w:val="auto"/>
                <w:highlight w:val="none"/>
                <w:lang w:eastAsia="zh-TW"/>
              </w:rPr>
              <w:t>视屏线及电源线），另须预留电话机接口。</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2.7</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lang w:eastAsia="zh-TW"/>
              </w:rPr>
              <w:t>电梯轿厢</w:t>
            </w:r>
            <w:r>
              <w:rPr>
                <w:rFonts w:hint="eastAsia" w:ascii="宋体" w:hAnsi="宋体"/>
                <w:bCs/>
                <w:color w:val="auto"/>
                <w:highlight w:val="none"/>
              </w:rPr>
              <w:t>地面铺设环保防滑塑胶地板。</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2.8</w:t>
            </w:r>
          </w:p>
        </w:tc>
        <w:tc>
          <w:tcPr>
            <w:tcW w:w="6673" w:type="dxa"/>
            <w:noWrap w:val="0"/>
            <w:vAlign w:val="center"/>
          </w:tcPr>
          <w:p>
            <w:pPr>
              <w:widowControl/>
              <w:adjustRightInd w:val="0"/>
              <w:spacing w:line="300" w:lineRule="auto"/>
              <w:ind w:firstLine="480"/>
              <w:rPr>
                <w:rFonts w:ascii="宋体" w:hAnsi="宋体"/>
                <w:bCs/>
                <w:color w:val="auto"/>
                <w:highlight w:val="none"/>
                <w:lang w:eastAsia="zh-TW"/>
              </w:rPr>
            </w:pPr>
            <w:r>
              <w:rPr>
                <w:rFonts w:hint="eastAsia" w:ascii="宋体" w:hAnsi="宋体"/>
                <w:bCs/>
                <w:color w:val="auto"/>
                <w:highlight w:val="none"/>
              </w:rPr>
              <w:t>轿厢内操纵箱：</w:t>
            </w:r>
            <w:r>
              <w:rPr>
                <w:rFonts w:hint="eastAsia" w:ascii="宋体" w:hAnsi="宋体"/>
                <w:color w:val="auto"/>
                <w:highlight w:val="none"/>
                <w:lang w:val="zh-CN"/>
              </w:rPr>
              <w:t>一体式操纵盘</w:t>
            </w:r>
            <w:r>
              <w:rPr>
                <w:rFonts w:hint="eastAsia" w:ascii="宋体" w:hAnsi="宋体"/>
                <w:color w:val="auto"/>
                <w:highlight w:val="none"/>
              </w:rPr>
              <w:t>，发纹不锈钢面板，装有微动发光二极管照明的楼层盲文按钮，操纵盘上有楼层显示、方向显示。</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rPr>
                <w:rFonts w:ascii="宋体" w:hAnsi="宋体"/>
                <w:bCs/>
                <w:color w:val="auto"/>
                <w:highlight w:val="none"/>
              </w:rPr>
            </w:pPr>
            <w:r>
              <w:rPr>
                <w:rFonts w:hint="eastAsia" w:ascii="宋体" w:hAnsi="宋体"/>
                <w:bCs/>
                <w:color w:val="auto"/>
                <w:highlight w:val="none"/>
              </w:rPr>
              <w:t>2.9</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门厅唤梯按钮及楼层显示：楼层显示器与唤梯按钮一体型，发纹不锈钢面板，微动式唤梯按钮，</w:t>
            </w:r>
            <w:r>
              <w:rPr>
                <w:rFonts w:ascii="Arial" w:hAnsi="Arial" w:cs="Arial"/>
                <w:b/>
                <w:bCs/>
                <w:color w:val="auto"/>
                <w:sz w:val="21"/>
                <w:szCs w:val="22"/>
                <w:highlight w:val="none"/>
              </w:rPr>
              <w:t>液晶显示器</w:t>
            </w:r>
            <w:r>
              <w:rPr>
                <w:rFonts w:ascii="Arial" w:hAnsi="Arial" w:cs="Arial"/>
                <w:bCs/>
                <w:color w:val="auto"/>
                <w:sz w:val="21"/>
                <w:szCs w:val="22"/>
                <w:highlight w:val="none"/>
              </w:rPr>
              <w:t>，</w:t>
            </w:r>
            <w:r>
              <w:rPr>
                <w:rFonts w:hint="eastAsia" w:ascii="宋体" w:hAnsi="宋体"/>
                <w:bCs/>
                <w:color w:val="auto"/>
                <w:highlight w:val="none"/>
              </w:rPr>
              <w:t>显示运行位置及运行方向。投标人提供数个面板样式供采购人选择，价格包含在投标总价内。</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2.10</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轿厢门坎、</w:t>
            </w:r>
            <w:r>
              <w:rPr>
                <w:rFonts w:hint="eastAsia" w:ascii="宋体" w:hAnsi="宋体"/>
                <w:color w:val="auto"/>
                <w:highlight w:val="none"/>
              </w:rPr>
              <w:t>厅门坎：</w:t>
            </w:r>
            <w:r>
              <w:rPr>
                <w:rFonts w:hint="eastAsia" w:ascii="宋体" w:hAnsi="宋体"/>
                <w:bCs/>
                <w:color w:val="auto"/>
                <w:highlight w:val="none"/>
              </w:rPr>
              <w:t>硬质铝合金。</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color w:val="auto"/>
                <w:highlight w:val="none"/>
              </w:rPr>
            </w:pPr>
            <w:r>
              <w:rPr>
                <w:rFonts w:hint="eastAsia" w:ascii="宋体" w:hAnsi="宋体"/>
                <w:color w:val="auto"/>
                <w:highlight w:val="none"/>
              </w:rPr>
              <w:t>2.11</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rPr>
              <w:t>采购人有变更</w:t>
            </w:r>
            <w:r>
              <w:rPr>
                <w:rFonts w:hint="eastAsia" w:ascii="宋体" w:hAnsi="宋体"/>
                <w:color w:val="auto"/>
                <w:highlight w:val="none"/>
              </w:rPr>
              <w:t>轿箱装饰要求的权力，</w:t>
            </w:r>
            <w:r>
              <w:rPr>
                <w:rFonts w:hint="eastAsia" w:ascii="宋体" w:hAnsi="宋体"/>
                <w:bCs/>
                <w:color w:val="auto"/>
                <w:highlight w:val="none"/>
              </w:rPr>
              <w:t>中标人须在合同签订前提供多套轿厢装饰装修实施方案供采购人选择，采购人在工厂排产前天予以确认，相关费用应包含在投标报价中，中标后不予调整。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三、系统要求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▲3.1</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lang w:eastAsia="zh-TW"/>
              </w:rPr>
              <w:t>电梯变频驱动(VVVF)</w:t>
            </w:r>
            <w:r>
              <w:rPr>
                <w:rFonts w:hint="eastAsia" w:ascii="宋体" w:hAnsi="宋体"/>
                <w:bCs/>
                <w:color w:val="auto"/>
                <w:highlight w:val="none"/>
              </w:rPr>
              <w:t>：永磁同步电机，无段速</w:t>
            </w:r>
            <w:r>
              <w:rPr>
                <w:rFonts w:hint="eastAsia" w:ascii="宋体" w:hAnsi="宋体"/>
                <w:bCs/>
                <w:color w:val="auto"/>
                <w:highlight w:val="none"/>
                <w:lang w:eastAsia="zh-TW"/>
              </w:rPr>
              <w:t>精确调整电动机转速，</w:t>
            </w:r>
            <w:r>
              <w:rPr>
                <w:rFonts w:hint="eastAsia" w:ascii="宋体" w:hAnsi="宋体"/>
                <w:bCs/>
                <w:color w:val="auto"/>
                <w:highlight w:val="none"/>
              </w:rPr>
              <w:t>交流变频变压调速</w:t>
            </w:r>
            <w:r>
              <w:rPr>
                <w:rFonts w:hint="eastAsia" w:ascii="宋体" w:hAnsi="宋体"/>
                <w:bCs/>
                <w:color w:val="auto"/>
                <w:highlight w:val="none"/>
                <w:lang w:eastAsia="zh-TW"/>
              </w:rPr>
              <w:t>令电梯启动、运行、停止时的速度曲线平稳、圆滑，获得良好的舒适感。</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color w:val="auto"/>
                <w:highlight w:val="none"/>
              </w:rPr>
              <w:t>▲3.2</w:t>
            </w:r>
          </w:p>
        </w:tc>
        <w:tc>
          <w:tcPr>
            <w:tcW w:w="6673" w:type="dxa"/>
            <w:noWrap w:val="0"/>
            <w:vAlign w:val="center"/>
          </w:tcPr>
          <w:p>
            <w:pPr>
              <w:widowControl/>
              <w:ind w:firstLine="480"/>
              <w:rPr>
                <w:rFonts w:ascii="宋体" w:hAnsi="宋体"/>
                <w:bCs/>
                <w:color w:val="auto"/>
                <w:highlight w:val="none"/>
              </w:rPr>
            </w:pPr>
            <w:r>
              <w:rPr>
                <w:rFonts w:hint="eastAsia" w:ascii="宋体" w:hAnsi="宋体"/>
                <w:color w:val="auto"/>
                <w:highlight w:val="none"/>
              </w:rPr>
              <w:t>曳引机：永磁同步无齿曳引机。</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▲3.3</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门机：</w:t>
            </w:r>
            <w:r>
              <w:rPr>
                <w:rFonts w:hint="eastAsia" w:ascii="宋体" w:hAnsi="宋体"/>
                <w:bCs/>
                <w:color w:val="auto"/>
                <w:highlight w:val="none"/>
              </w:rPr>
              <w:t>永磁同步电机，交流变频变压调速，</w:t>
            </w:r>
            <w:r>
              <w:rPr>
                <w:rFonts w:hint="eastAsia" w:ascii="宋体" w:hAnsi="宋体"/>
                <w:bCs/>
                <w:color w:val="auto"/>
                <w:highlight w:val="none"/>
                <w:lang w:eastAsia="zh-TW"/>
              </w:rPr>
              <w:t>精确调整电动机转速，使门机的开启、关闭更轻柔灵敏。</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四、基本功能及选配功能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轿厢、机房、轿顶、基坑及总控制室实现五方对讲通话</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4.2</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火灾时运转管制：每台电梯配有消防功能，消防开关启用后、所有的召唤即被取消、指定的电梯立即返回指定层站，停止运转。</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4.3</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防捣乱功能。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bCs/>
                <w:color w:val="auto"/>
                <w:highlight w:val="none"/>
              </w:rPr>
              <w:t>4.4</w:t>
            </w:r>
          </w:p>
        </w:tc>
        <w:tc>
          <w:tcPr>
            <w:tcW w:w="6673" w:type="dxa"/>
            <w:noWrap w:val="0"/>
            <w:vAlign w:val="center"/>
          </w:tcPr>
          <w:p>
            <w:pPr>
              <w:widowControl/>
              <w:rPr>
                <w:rFonts w:ascii="宋体" w:hAnsi="宋体"/>
                <w:color w:val="auto"/>
                <w:highlight w:val="none"/>
              </w:rPr>
            </w:pPr>
            <w:r>
              <w:rPr>
                <w:rFonts w:hint="eastAsia" w:ascii="宋体" w:hAnsi="宋体"/>
                <w:color w:val="auto"/>
                <w:highlight w:val="none"/>
              </w:rPr>
              <w:t>误操作修正功能：双击按钮可取消错误召唤。</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bCs/>
                <w:color w:val="auto"/>
                <w:highlight w:val="none"/>
              </w:rPr>
              <w:t>4.5</w:t>
            </w:r>
          </w:p>
        </w:tc>
        <w:tc>
          <w:tcPr>
            <w:tcW w:w="6673" w:type="dxa"/>
            <w:noWrap w:val="0"/>
            <w:vAlign w:val="center"/>
          </w:tcPr>
          <w:p>
            <w:pPr>
              <w:widowControl/>
              <w:rPr>
                <w:rFonts w:ascii="宋体" w:hAnsi="宋体"/>
                <w:color w:val="auto"/>
                <w:highlight w:val="none"/>
              </w:rPr>
            </w:pPr>
            <w:r>
              <w:rPr>
                <w:rFonts w:hint="eastAsia" w:ascii="宋体" w:hAnsi="宋体"/>
                <w:color w:val="auto"/>
                <w:highlight w:val="none"/>
              </w:rPr>
              <w:t>超重报警：轿厢超载时，蜂鸣器发出警告声，并停止于该层。</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bCs/>
                <w:color w:val="auto"/>
                <w:highlight w:val="none"/>
              </w:rPr>
              <w:t>4.6</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超速保护</w:t>
            </w:r>
            <w:r>
              <w:rPr>
                <w:rFonts w:hint="eastAsia" w:ascii="宋体" w:hAnsi="宋体"/>
                <w:bCs/>
                <w:color w:val="auto"/>
                <w:highlight w:val="none"/>
              </w:rPr>
              <w:t>：</w:t>
            </w:r>
            <w:r>
              <w:rPr>
                <w:rFonts w:hint="eastAsia" w:ascii="宋体" w:hAnsi="宋体"/>
                <w:bCs/>
                <w:color w:val="auto"/>
                <w:highlight w:val="none"/>
                <w:lang w:eastAsia="zh-TW"/>
              </w:rPr>
              <w:t>当轿厢下行速度超过规定值时，限速器带动安全钳动作，轿厢夹停在导轨上，保护乘客安全。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4.7</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门异常检查装置：如果轿厢门在预定时间内应开而未开或未能完全开启、轿厢门会自动关闭、再应答其他呼叫、如果轿厢门在预定时间内应关而未能关闭时、将会重复关闭以便清除门槛上的障碍物。</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4.8</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轿厢应急照明：停电时，充电式电池立即给应急灯供电。</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4.9</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基站返回：应答最后呼叫后，在设定的时间内，没有其他呼叫时或在并联状态基站上没有其他轿厢停靠时，轿厢会自动返回基站。</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4.10</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基站待机：返回基站后，自动开门（或关门）待机。</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4.11</w:t>
            </w:r>
          </w:p>
        </w:tc>
        <w:tc>
          <w:tcPr>
            <w:tcW w:w="6673" w:type="dxa"/>
            <w:noWrap w:val="0"/>
            <w:vAlign w:val="center"/>
          </w:tcPr>
          <w:p>
            <w:pPr>
              <w:widowControl/>
              <w:spacing w:line="400" w:lineRule="exact"/>
              <w:rPr>
                <w:rFonts w:ascii="宋体" w:hAnsi="宋体"/>
                <w:bCs/>
                <w:color w:val="auto"/>
                <w:highlight w:val="none"/>
              </w:rPr>
            </w:pPr>
            <w:r>
              <w:rPr>
                <w:rFonts w:hint="eastAsia" w:ascii="宋体" w:hAnsi="宋体"/>
                <w:color w:val="auto"/>
                <w:highlight w:val="none"/>
              </w:rPr>
              <w:t>开关门时间自动调整：按照召唤是层站召唤、轿厢召唤或安全装置动作的区别、自动调整开门保持的时间。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4.12</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轿厢照明、风扇自动关闭：在规定的时间内，没有召唤信号登记，轿厢内的照明灯、风扇会自动关停，以节约能源。</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4.13</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满载直驶。</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4.14</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安全停靠：如果电梯发生故障并停在楼层之间、或电梯到达目的楼层后，门不能完全打开，控制器将执行诊断检查，保证电梯安全系统正常后，将电梯门自行关闭、并驶往最近的楼层，将乘客放出。</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4.15</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故障自测功能。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4.16</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报警铃</w:t>
            </w:r>
            <w:r>
              <w:rPr>
                <w:rFonts w:hint="eastAsia" w:ascii="宋体" w:hAnsi="宋体"/>
                <w:bCs/>
                <w:color w:val="auto"/>
                <w:highlight w:val="none"/>
              </w:rPr>
              <w:t>：</w:t>
            </w:r>
            <w:r>
              <w:rPr>
                <w:rFonts w:hint="eastAsia" w:ascii="宋体" w:hAnsi="宋体"/>
                <w:bCs/>
                <w:color w:val="auto"/>
                <w:highlight w:val="none"/>
                <w:lang w:eastAsia="zh-TW"/>
              </w:rPr>
              <w:t>在紧急情况下乘客通过按动轿厢内报警按钮，向安全中心和机房呼叫，在轿厢顶和一楼井道的铃声响起。</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4.17</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电梯受阻失速保护</w:t>
            </w:r>
            <w:r>
              <w:rPr>
                <w:rFonts w:hint="eastAsia" w:ascii="宋体" w:hAnsi="宋体"/>
                <w:bCs/>
                <w:color w:val="auto"/>
                <w:highlight w:val="none"/>
              </w:rPr>
              <w:t>：</w:t>
            </w:r>
            <w:r>
              <w:rPr>
                <w:rFonts w:hint="eastAsia" w:ascii="宋体" w:hAnsi="宋体"/>
                <w:bCs/>
                <w:color w:val="auto"/>
                <w:highlight w:val="none"/>
                <w:lang w:eastAsia="zh-TW"/>
              </w:rPr>
              <w:t>当曳引钢丝绳或钢带打滑达到预定时间时，电梯停止运行。</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4.18</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上电再平层</w:t>
            </w:r>
            <w:r>
              <w:rPr>
                <w:rFonts w:hint="eastAsia" w:ascii="宋体" w:hAnsi="宋体"/>
                <w:bCs/>
                <w:color w:val="auto"/>
                <w:highlight w:val="none"/>
              </w:rPr>
              <w:t>：</w:t>
            </w:r>
            <w:r>
              <w:rPr>
                <w:rFonts w:hint="eastAsia" w:ascii="宋体" w:hAnsi="宋体"/>
                <w:bCs/>
                <w:color w:val="auto"/>
                <w:highlight w:val="none"/>
                <w:lang w:eastAsia="zh-TW"/>
              </w:rPr>
              <w:t>由于停电或电源故障引起轿厢停在两层之间，当电源恢复后轿厢将运行到平层位置。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4.19</w:t>
            </w:r>
          </w:p>
        </w:tc>
        <w:tc>
          <w:tcPr>
            <w:tcW w:w="6673" w:type="dxa"/>
            <w:noWrap w:val="0"/>
            <w:vAlign w:val="center"/>
          </w:tcPr>
          <w:p>
            <w:pPr>
              <w:widowControl/>
              <w:rPr>
                <w:rFonts w:ascii="宋体" w:hAnsi="宋体"/>
                <w:color w:val="auto"/>
                <w:highlight w:val="none"/>
              </w:rPr>
            </w:pPr>
            <w:r>
              <w:rPr>
                <w:rFonts w:hint="eastAsia" w:ascii="宋体" w:hAnsi="宋体"/>
                <w:bCs/>
                <w:color w:val="auto"/>
                <w:highlight w:val="none"/>
                <w:lang w:eastAsia="zh-TW"/>
              </w:rPr>
              <w:t>自动再平层</w:t>
            </w:r>
            <w:r>
              <w:rPr>
                <w:rFonts w:hint="eastAsia" w:ascii="宋体" w:hAnsi="宋体"/>
                <w:bCs/>
                <w:color w:val="auto"/>
                <w:highlight w:val="none"/>
              </w:rPr>
              <w:t>：</w:t>
            </w:r>
            <w:r>
              <w:rPr>
                <w:rFonts w:hint="eastAsia" w:ascii="宋体" w:hAnsi="宋体"/>
                <w:bCs/>
                <w:color w:val="auto"/>
                <w:highlight w:val="none"/>
                <w:lang w:eastAsia="zh-TW"/>
              </w:rPr>
              <w:t>自动调整轿厢平层准确性。</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u w:val="none" w:color="000000"/>
              </w:rPr>
            </w:pPr>
            <w:r>
              <w:rPr>
                <w:rFonts w:hint="eastAsia" w:ascii="宋体" w:hAnsi="宋体"/>
                <w:bCs/>
                <w:color w:val="auto"/>
                <w:highlight w:val="none"/>
                <w:u w:val="none" w:color="000000"/>
              </w:rPr>
              <w:t>4.21</w:t>
            </w:r>
          </w:p>
        </w:tc>
        <w:tc>
          <w:tcPr>
            <w:tcW w:w="6673" w:type="dxa"/>
            <w:noWrap w:val="0"/>
            <w:vAlign w:val="center"/>
          </w:tcPr>
          <w:p>
            <w:pPr>
              <w:widowControl/>
              <w:rPr>
                <w:rFonts w:ascii="宋体" w:hAnsi="宋体"/>
                <w:bCs/>
                <w:color w:val="auto"/>
                <w:highlight w:val="none"/>
                <w:u w:val="none" w:color="000000"/>
              </w:rPr>
            </w:pPr>
            <w:r>
              <w:rPr>
                <w:rFonts w:hint="eastAsia" w:ascii="宋体" w:hAnsi="宋体"/>
                <w:bCs/>
                <w:color w:val="auto"/>
                <w:highlight w:val="none"/>
              </w:rPr>
              <w:t>本工程所有电梯必须配置具有图像采集功能的电梯安全运行监控系统（含电梯网关、扩音器、对讲设备、GPRS传送设备等），与电梯日常维护保养单位的电梯安全运行监控中心联网，并与杭州市96333应急中心联网，需彩色可视对讲。该系统需符合《杭州市人民政府令第263号》文件的相关要求。</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20" w:type="dxa"/>
            <w:noWrap w:val="0"/>
            <w:vAlign w:val="center"/>
          </w:tcPr>
          <w:p>
            <w:pPr>
              <w:widowControl/>
              <w:spacing w:line="400" w:lineRule="exact"/>
              <w:rPr>
                <w:rFonts w:ascii="宋体" w:hAnsi="宋体"/>
                <w:bCs/>
                <w:color w:val="auto"/>
                <w:highlight w:val="none"/>
                <w:u w:val="none" w:color="000000"/>
              </w:rPr>
            </w:pPr>
            <w:r>
              <w:rPr>
                <w:rFonts w:hint="eastAsia" w:ascii="宋体" w:hAnsi="宋体"/>
                <w:bCs/>
                <w:color w:val="auto"/>
                <w:highlight w:val="none"/>
                <w:u w:val="none" w:color="000000"/>
              </w:rPr>
              <w:t>4.22</w:t>
            </w:r>
          </w:p>
        </w:tc>
        <w:tc>
          <w:tcPr>
            <w:tcW w:w="6673" w:type="dxa"/>
            <w:noWrap w:val="0"/>
            <w:vAlign w:val="center"/>
          </w:tcPr>
          <w:p>
            <w:pPr>
              <w:pStyle w:val="12"/>
              <w:widowControl/>
              <w:spacing w:line="400" w:lineRule="exact"/>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抗雷击要求：≥3KV,雷击浪涌下可正常工作，确保电梯恶劣天气可靠运行。</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020" w:type="dxa"/>
            <w:noWrap w:val="0"/>
            <w:vAlign w:val="center"/>
          </w:tcPr>
          <w:p>
            <w:pPr>
              <w:widowControl/>
              <w:spacing w:line="400" w:lineRule="exact"/>
              <w:rPr>
                <w:rFonts w:ascii="宋体" w:hAnsi="宋体"/>
                <w:bCs/>
                <w:color w:val="auto"/>
                <w:highlight w:val="none"/>
                <w:u w:val="none" w:color="000000"/>
              </w:rPr>
            </w:pPr>
            <w:r>
              <w:rPr>
                <w:rFonts w:hint="eastAsia" w:ascii="宋体" w:hAnsi="宋体"/>
                <w:bCs/>
                <w:color w:val="auto"/>
                <w:highlight w:val="none"/>
                <w:u w:val="none" w:color="000000"/>
              </w:rPr>
              <w:t>4.23</w:t>
            </w:r>
          </w:p>
        </w:tc>
        <w:tc>
          <w:tcPr>
            <w:tcW w:w="6673" w:type="dxa"/>
            <w:noWrap w:val="0"/>
            <w:vAlign w:val="center"/>
          </w:tcPr>
          <w:p>
            <w:pPr>
              <w:pStyle w:val="12"/>
              <w:widowControl/>
              <w:spacing w:line="400" w:lineRule="exact"/>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红外线光幕保护：在闭门过程中，任何一个光束被遮挡，门会立刻停止关闭，并反向开门。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u w:val="none" w:color="000000"/>
              </w:rPr>
            </w:pPr>
            <w:r>
              <w:rPr>
                <w:rFonts w:hint="eastAsia" w:ascii="宋体" w:hAnsi="宋体"/>
                <w:color w:val="auto"/>
                <w:highlight w:val="none"/>
              </w:rPr>
              <w:t>▲</w:t>
            </w:r>
            <w:r>
              <w:rPr>
                <w:rFonts w:hint="eastAsia" w:ascii="宋体" w:hAnsi="宋体"/>
                <w:bCs/>
                <w:color w:val="auto"/>
                <w:highlight w:val="none"/>
                <w:u w:val="none" w:color="000000"/>
              </w:rPr>
              <w:t>4.24</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无障碍电梯具备以下配置和功能，但不限于：</w:t>
            </w:r>
          </w:p>
          <w:p>
            <w:pPr>
              <w:widowControl/>
              <w:spacing w:line="400" w:lineRule="exact"/>
              <w:jc w:val="left"/>
              <w:rPr>
                <w:rFonts w:ascii="宋体" w:hAnsi="宋体"/>
                <w:color w:val="auto"/>
                <w:highlight w:val="none"/>
              </w:rPr>
            </w:pPr>
            <w:r>
              <w:rPr>
                <w:rFonts w:hint="eastAsia" w:ascii="宋体" w:hAnsi="宋体"/>
                <w:color w:val="auto"/>
                <w:highlight w:val="none"/>
              </w:rPr>
              <w:t>（1）配置残疾人操作盘；</w:t>
            </w:r>
          </w:p>
          <w:p>
            <w:pPr>
              <w:widowControl/>
              <w:spacing w:line="400" w:lineRule="exact"/>
              <w:jc w:val="left"/>
              <w:rPr>
                <w:rFonts w:ascii="宋体" w:hAnsi="宋体"/>
                <w:color w:val="auto"/>
                <w:highlight w:val="none"/>
              </w:rPr>
            </w:pPr>
            <w:r>
              <w:rPr>
                <w:rFonts w:hint="eastAsia" w:ascii="宋体" w:hAnsi="宋体"/>
                <w:bCs/>
                <w:color w:val="auto"/>
                <w:highlight w:val="none"/>
              </w:rPr>
              <w:t>（2）二</w:t>
            </w:r>
            <w:r>
              <w:rPr>
                <w:rFonts w:hint="eastAsia" w:ascii="宋体" w:hAnsi="宋体"/>
                <w:bCs/>
                <w:color w:val="auto"/>
                <w:highlight w:val="none"/>
                <w:lang w:eastAsia="zh-TW"/>
              </w:rPr>
              <w:t>面扶手</w:t>
            </w:r>
            <w:r>
              <w:rPr>
                <w:rFonts w:hint="eastAsia" w:ascii="宋体" w:hAnsi="宋体"/>
                <w:bCs/>
                <w:color w:val="auto"/>
                <w:highlight w:val="none"/>
              </w:rPr>
              <w:t>，</w:t>
            </w:r>
            <w:r>
              <w:rPr>
                <w:rFonts w:hint="eastAsia" w:ascii="宋体" w:hAnsi="宋体"/>
                <w:color w:val="auto"/>
                <w:highlight w:val="none"/>
              </w:rPr>
              <w:t>扁平圆弧不锈钢扶手；</w:t>
            </w:r>
          </w:p>
          <w:p>
            <w:pPr>
              <w:widowControl/>
              <w:spacing w:line="400" w:lineRule="exact"/>
              <w:jc w:val="left"/>
              <w:rPr>
                <w:rFonts w:ascii="宋体" w:hAnsi="宋体"/>
                <w:color w:val="auto"/>
                <w:highlight w:val="none"/>
              </w:rPr>
            </w:pPr>
            <w:r>
              <w:rPr>
                <w:rFonts w:hint="eastAsia" w:ascii="宋体" w:hAnsi="宋体"/>
                <w:color w:val="auto"/>
                <w:highlight w:val="none"/>
              </w:rPr>
              <w:t>（3）中文语音报站功能；</w:t>
            </w:r>
          </w:p>
          <w:p>
            <w:pPr>
              <w:widowControl/>
              <w:spacing w:line="400" w:lineRule="exact"/>
              <w:jc w:val="left"/>
              <w:rPr>
                <w:rFonts w:ascii="宋体" w:hAnsi="宋体"/>
                <w:bCs/>
                <w:color w:val="auto"/>
                <w:highlight w:val="none"/>
              </w:rPr>
            </w:pPr>
            <w:r>
              <w:rPr>
                <w:rFonts w:hint="eastAsia" w:ascii="宋体" w:hAnsi="宋体"/>
                <w:bCs/>
                <w:color w:val="auto"/>
                <w:highlight w:val="none"/>
              </w:rPr>
              <w:t>（4）后壁安全镜。</w:t>
            </w:r>
          </w:p>
          <w:p>
            <w:pPr>
              <w:pStyle w:val="12"/>
              <w:widowControl/>
              <w:spacing w:line="400" w:lineRule="exact"/>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满足《无障碍设计规范》GB 50763-2012及</w:t>
            </w:r>
            <w:r>
              <w:rPr>
                <w:rFonts w:hint="eastAsia" w:ascii="宋体" w:hAnsi="宋体" w:eastAsia="宋体" w:cs="宋体"/>
                <w:bCs/>
                <w:color w:val="auto"/>
                <w:sz w:val="24"/>
                <w:szCs w:val="24"/>
                <w:highlight w:val="none"/>
                <w:lang w:eastAsia="zh-TW"/>
              </w:rPr>
              <w:t>满足《城市道路和建筑物无障碍设计规范》JGJ50-2001第7.71,7.72,7.73条中有关规定。</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4.25</w:t>
            </w:r>
          </w:p>
        </w:tc>
        <w:tc>
          <w:tcPr>
            <w:tcW w:w="6673" w:type="dxa"/>
            <w:noWrap w:val="0"/>
            <w:vAlign w:val="center"/>
          </w:tcPr>
          <w:p>
            <w:pPr>
              <w:pStyle w:val="12"/>
              <w:widowControl/>
              <w:spacing w:line="400" w:lineRule="exact"/>
              <w:jc w:val="left"/>
              <w:rPr>
                <w:rFonts w:ascii="宋体" w:hAnsi="宋体" w:eastAsia="宋体" w:cs="宋体"/>
                <w:bCs/>
                <w:color w:val="auto"/>
                <w:sz w:val="24"/>
                <w:szCs w:val="24"/>
                <w:highlight w:val="none"/>
                <w:lang w:eastAsia="zh-TW"/>
              </w:rPr>
            </w:pPr>
            <w:r>
              <w:rPr>
                <w:rFonts w:hint="eastAsia" w:ascii="宋体" w:hAnsi="宋体" w:cs="宋体"/>
                <w:color w:val="auto"/>
                <w:highlight w:val="none"/>
              </w:rPr>
              <w:t>投标人认为有必要提供的其他功能：</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五、技术条件</w:t>
            </w:r>
            <w:r>
              <w:rPr>
                <w:rFonts w:hint="eastAsia" w:ascii="宋体" w:hAnsi="宋体" w:eastAsia="宋体" w:cs="宋体"/>
                <w:b/>
                <w:bCs/>
                <w:color w:val="auto"/>
                <w:sz w:val="24"/>
                <w:szCs w:val="24"/>
                <w:highlight w:val="none"/>
              </w:rPr>
              <w:t>（投标人必须以实际达到值应答）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5.1</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电梯在额定载荷时允许起、制动循环次数≥180次/小时。</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5.2</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平层精度（mm）：由投标人提供。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5.3</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机房内噪声（</w:t>
            </w:r>
            <w:r>
              <w:rPr>
                <w:rFonts w:hint="eastAsia" w:ascii="宋体" w:hAnsi="宋体"/>
                <w:bCs/>
                <w:color w:val="auto"/>
                <w:highlight w:val="none"/>
                <w:lang w:eastAsia="zh-TW"/>
              </w:rPr>
              <w:t>dB</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5.4</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轿厢内噪声（</w:t>
            </w:r>
            <w:r>
              <w:rPr>
                <w:rFonts w:hint="eastAsia" w:ascii="宋体" w:hAnsi="宋体"/>
                <w:bCs/>
                <w:color w:val="auto"/>
                <w:highlight w:val="none"/>
                <w:lang w:eastAsia="zh-TW"/>
              </w:rPr>
              <w:t>dB</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5.5</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开关门噪声（</w:t>
            </w:r>
            <w:r>
              <w:rPr>
                <w:rFonts w:hint="eastAsia" w:ascii="宋体" w:hAnsi="宋体"/>
                <w:bCs/>
                <w:color w:val="auto"/>
                <w:highlight w:val="none"/>
                <w:lang w:eastAsia="zh-TW"/>
              </w:rPr>
              <w:t>dB</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5.6</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lang w:eastAsia="zh-TW"/>
              </w:rPr>
              <w:t>垂直振动加速度</w:t>
            </w:r>
            <w:r>
              <w:rPr>
                <w:rFonts w:hint="eastAsia" w:ascii="宋体" w:hAnsi="宋体"/>
                <w:bCs/>
                <w:color w:val="auto"/>
                <w:highlight w:val="none"/>
              </w:rPr>
              <w:t>（mm/s</w:t>
            </w:r>
            <w:r>
              <w:rPr>
                <w:rFonts w:hint="eastAsia" w:ascii="宋体" w:hAnsi="宋体"/>
                <w:bCs/>
                <w:color w:val="auto"/>
                <w:highlight w:val="none"/>
                <w:vertAlign w:val="superscript"/>
              </w:rPr>
              <w:t>2</w:t>
            </w:r>
            <w:r>
              <w:rPr>
                <w:rFonts w:hint="eastAsia" w:ascii="宋体" w:hAnsi="宋体"/>
                <w:bCs/>
                <w:color w:val="auto"/>
                <w:highlight w:val="none"/>
              </w:rPr>
              <w:t>）</w:t>
            </w:r>
            <w:r>
              <w:rPr>
                <w:rFonts w:hint="eastAsia" w:ascii="宋体" w:hAnsi="宋体"/>
                <w:bCs/>
                <w:color w:val="auto"/>
                <w:highlight w:val="none"/>
                <w:lang w:eastAsia="zh-TW"/>
              </w:rPr>
              <w:t>：</w:t>
            </w:r>
            <w:r>
              <w:rPr>
                <w:rFonts w:hint="eastAsia" w:ascii="宋体" w:hAnsi="宋体"/>
                <w:bCs/>
                <w:color w:val="auto"/>
                <w:highlight w:val="none"/>
              </w:rPr>
              <w:t>由投标人提供；</w:t>
            </w:r>
          </w:p>
          <w:p>
            <w:pPr>
              <w:widowControl/>
              <w:spacing w:line="400" w:lineRule="exact"/>
              <w:ind w:firstLine="480"/>
              <w:rPr>
                <w:rFonts w:ascii="宋体" w:hAnsi="宋体"/>
                <w:bCs/>
                <w:color w:val="auto"/>
                <w:highlight w:val="none"/>
              </w:rPr>
            </w:pPr>
            <w:r>
              <w:rPr>
                <w:rFonts w:hint="eastAsia" w:ascii="宋体" w:hAnsi="宋体"/>
                <w:bCs/>
                <w:color w:val="auto"/>
                <w:highlight w:val="none"/>
              </w:rPr>
              <w:t>水平</w:t>
            </w:r>
            <w:r>
              <w:rPr>
                <w:rFonts w:hint="eastAsia" w:ascii="宋体" w:hAnsi="宋体"/>
                <w:bCs/>
                <w:color w:val="auto"/>
                <w:highlight w:val="none"/>
                <w:lang w:eastAsia="zh-TW"/>
              </w:rPr>
              <w:t>振动加速度</w:t>
            </w:r>
            <w:r>
              <w:rPr>
                <w:rFonts w:hint="eastAsia" w:ascii="宋体" w:hAnsi="宋体"/>
                <w:bCs/>
                <w:color w:val="auto"/>
                <w:highlight w:val="none"/>
              </w:rPr>
              <w:t>（mm/s</w:t>
            </w:r>
            <w:r>
              <w:rPr>
                <w:rFonts w:hint="eastAsia" w:ascii="宋体" w:hAnsi="宋体"/>
                <w:bCs/>
                <w:color w:val="auto"/>
                <w:highlight w:val="none"/>
                <w:vertAlign w:val="superscript"/>
              </w:rPr>
              <w:t>2</w:t>
            </w:r>
            <w:r>
              <w:rPr>
                <w:rFonts w:hint="eastAsia" w:ascii="宋体" w:hAnsi="宋体"/>
                <w:bCs/>
                <w:color w:val="auto"/>
                <w:highlight w:val="none"/>
              </w:rPr>
              <w:t>）</w:t>
            </w:r>
            <w:r>
              <w:rPr>
                <w:rFonts w:hint="eastAsia" w:ascii="宋体" w:hAnsi="宋体"/>
                <w:bCs/>
                <w:color w:val="auto"/>
                <w:highlight w:val="none"/>
                <w:lang w:eastAsia="zh-TW"/>
              </w:rPr>
              <w:t>：</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5.7</w:t>
            </w:r>
          </w:p>
        </w:tc>
        <w:tc>
          <w:tcPr>
            <w:tcW w:w="6673" w:type="dxa"/>
            <w:noWrap w:val="0"/>
            <w:vAlign w:val="center"/>
          </w:tcPr>
          <w:p>
            <w:pPr>
              <w:widowControl/>
              <w:spacing w:line="400" w:lineRule="exact"/>
              <w:ind w:firstLine="480"/>
              <w:rPr>
                <w:rFonts w:ascii="宋体" w:hAnsi="宋体"/>
                <w:color w:val="auto"/>
                <w:highlight w:val="none"/>
              </w:rPr>
            </w:pPr>
            <w:r>
              <w:rPr>
                <w:rFonts w:hint="eastAsia" w:ascii="宋体" w:hAnsi="宋体"/>
                <w:bCs/>
                <w:color w:val="auto"/>
                <w:highlight w:val="none"/>
                <w:lang w:eastAsia="zh-TW"/>
              </w:rPr>
              <w:t>起、制动加速度</w:t>
            </w:r>
            <w:r>
              <w:rPr>
                <w:rFonts w:hint="eastAsia" w:ascii="宋体" w:hAnsi="宋体"/>
                <w:bCs/>
                <w:color w:val="auto"/>
                <w:highlight w:val="none"/>
              </w:rPr>
              <w:t>（mm/s</w:t>
            </w:r>
            <w:r>
              <w:rPr>
                <w:rFonts w:hint="eastAsia" w:ascii="宋体" w:hAnsi="宋体"/>
                <w:bCs/>
                <w:color w:val="auto"/>
                <w:highlight w:val="none"/>
                <w:vertAlign w:val="superscript"/>
              </w:rPr>
              <w:t>2</w:t>
            </w:r>
            <w:r>
              <w:rPr>
                <w:rFonts w:hint="eastAsia" w:ascii="宋体" w:hAnsi="宋体"/>
                <w:bCs/>
                <w:color w:val="auto"/>
                <w:highlight w:val="none"/>
              </w:rPr>
              <w:t>）</w:t>
            </w:r>
            <w:r>
              <w:rPr>
                <w:rFonts w:hint="eastAsia" w:ascii="宋体" w:hAnsi="宋体"/>
                <w:bCs/>
                <w:color w:val="auto"/>
                <w:highlight w:val="none"/>
                <w:lang w:eastAsia="zh-TW"/>
              </w:rPr>
              <w:t>：</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5.8</w:t>
            </w:r>
          </w:p>
        </w:tc>
        <w:tc>
          <w:tcPr>
            <w:tcW w:w="6673" w:type="dxa"/>
            <w:noWrap w:val="0"/>
            <w:vAlign w:val="center"/>
          </w:tcPr>
          <w:p>
            <w:pPr>
              <w:widowControl/>
              <w:spacing w:line="400" w:lineRule="exact"/>
              <w:ind w:firstLine="480"/>
              <w:rPr>
                <w:rFonts w:ascii="宋体" w:hAnsi="宋体"/>
                <w:color w:val="auto"/>
                <w:highlight w:val="none"/>
              </w:rPr>
            </w:pPr>
            <w:r>
              <w:rPr>
                <w:rFonts w:hint="eastAsia" w:ascii="宋体" w:hAnsi="宋体"/>
                <w:bCs/>
                <w:color w:val="auto"/>
                <w:highlight w:val="none"/>
              </w:rPr>
              <w:t>称重装置误差（％）</w:t>
            </w:r>
            <w:r>
              <w:rPr>
                <w:rFonts w:hint="eastAsia" w:ascii="宋体" w:hAnsi="宋体"/>
                <w:bCs/>
                <w:color w:val="auto"/>
                <w:highlight w:val="none"/>
                <w:lang w:eastAsia="zh-TW"/>
              </w:rPr>
              <w:t>：</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5.9</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rPr>
              <w:t>平均故障次数：≤5/100000次。</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bCs/>
                <w:color w:val="auto"/>
                <w:sz w:val="24"/>
                <w:szCs w:val="24"/>
                <w:highlight w:val="none"/>
              </w:rPr>
              <w:t>六、</w:t>
            </w:r>
            <w:r>
              <w:rPr>
                <w:rFonts w:hint="eastAsia" w:ascii="宋体" w:hAnsi="宋体" w:eastAsia="宋体" w:cs="宋体"/>
                <w:b/>
                <w:color w:val="auto"/>
                <w:sz w:val="24"/>
                <w:szCs w:val="24"/>
                <w:highlight w:val="none"/>
              </w:rPr>
              <w:t>安全设备：投标人提供的电梯应包括（但不仅限于）下列设备。其应符合有关标准中的规定。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6.1</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断相和错相保护</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6.2</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上、下终点开关和上、下极限开关</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6.3</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rPr>
              <w:t>缓冲器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6.4</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限速器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6.5</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安全钳</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6.6</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紧急停止按钮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6.7</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安全窗户</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6.8</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层门安全设施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6.9</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轿门安全设施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6.10</w:t>
            </w:r>
          </w:p>
        </w:tc>
        <w:tc>
          <w:tcPr>
            <w:tcW w:w="6673" w:type="dxa"/>
            <w:noWrap w:val="0"/>
            <w:vAlign w:val="center"/>
          </w:tcPr>
          <w:p>
            <w:pPr>
              <w:widowControl/>
              <w:spacing w:line="400" w:lineRule="exact"/>
              <w:ind w:firstLine="480"/>
              <w:rPr>
                <w:rFonts w:ascii="宋体" w:hAnsi="宋体"/>
                <w:color w:val="auto"/>
                <w:highlight w:val="none"/>
              </w:rPr>
            </w:pPr>
            <w:r>
              <w:rPr>
                <w:rFonts w:hint="eastAsia" w:ascii="宋体" w:hAnsi="宋体"/>
                <w:bCs/>
                <w:color w:val="auto"/>
                <w:highlight w:val="none"/>
              </w:rPr>
              <w:t>主机防护等级</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七、主要部件要求：列明型号、产地、品牌：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7.1</w:t>
            </w:r>
          </w:p>
        </w:tc>
        <w:tc>
          <w:tcPr>
            <w:tcW w:w="6673" w:type="dxa"/>
            <w:noWrap w:val="0"/>
            <w:vAlign w:val="center"/>
          </w:tcPr>
          <w:p>
            <w:pPr>
              <w:pStyle w:val="12"/>
              <w:widowControl/>
              <w:jc w:val="left"/>
              <w:rPr>
                <w:rFonts w:ascii="宋体" w:hAnsi="宋体" w:eastAsia="宋体" w:cs="宋体"/>
                <w:bCs/>
                <w:color w:val="auto"/>
                <w:sz w:val="24"/>
                <w:szCs w:val="24"/>
                <w:highlight w:val="none"/>
                <w:lang w:eastAsia="zh-TW"/>
              </w:rPr>
            </w:pPr>
            <w:r>
              <w:rPr>
                <w:rFonts w:hint="eastAsia" w:ascii="宋体" w:hAnsi="宋体" w:eastAsia="宋体" w:cs="宋体"/>
                <w:bCs/>
                <w:color w:val="auto"/>
                <w:sz w:val="24"/>
                <w:szCs w:val="24"/>
                <w:highlight w:val="none"/>
                <w:lang w:eastAsia="zh-TW"/>
              </w:rPr>
              <w:t>电梯红外线光幕采用产地为欧美日的品牌设备，按要求提供清单和产地。</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020" w:type="dxa"/>
            <w:noWrap w:val="0"/>
            <w:vAlign w:val="center"/>
          </w:tcPr>
          <w:p>
            <w:pPr>
              <w:widowControl/>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7.2</w:t>
            </w:r>
          </w:p>
        </w:tc>
        <w:tc>
          <w:tcPr>
            <w:tcW w:w="6673" w:type="dxa"/>
            <w:noWrap w:val="0"/>
            <w:vAlign w:val="center"/>
          </w:tcPr>
          <w:p>
            <w:pPr>
              <w:pStyle w:val="12"/>
              <w:widowControl/>
              <w:jc w:val="left"/>
              <w:rPr>
                <w:rFonts w:ascii="宋体" w:hAnsi="宋体" w:eastAsia="宋体" w:cs="宋体"/>
                <w:bCs/>
                <w:color w:val="auto"/>
                <w:sz w:val="24"/>
                <w:szCs w:val="24"/>
                <w:highlight w:val="none"/>
                <w:lang w:eastAsia="zh-TW"/>
              </w:rPr>
            </w:pPr>
            <w:r>
              <w:rPr>
                <w:rFonts w:hint="eastAsia" w:ascii="宋体" w:hAnsi="宋体" w:eastAsia="宋体" w:cs="宋体"/>
                <w:bCs/>
                <w:color w:val="auto"/>
                <w:sz w:val="24"/>
                <w:szCs w:val="24"/>
                <w:highlight w:val="none"/>
                <w:lang w:eastAsia="zh-TW"/>
              </w:rPr>
              <w:t xml:space="preserve">控制箱主要部件（变频器、电脑主板原品牌与电梯同品牌且为进口件设备,按要求提供清单和产地。 </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7.3</w:t>
            </w:r>
          </w:p>
        </w:tc>
        <w:tc>
          <w:tcPr>
            <w:tcW w:w="6673" w:type="dxa"/>
            <w:noWrap w:val="0"/>
            <w:vAlign w:val="center"/>
          </w:tcPr>
          <w:p>
            <w:pPr>
              <w:pStyle w:val="12"/>
              <w:widowControl/>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TW"/>
              </w:rPr>
              <w:t>曳引机要求与电梯同品牌且为进口件设备,按要求提供清单和产地</w:t>
            </w:r>
            <w:r>
              <w:rPr>
                <w:rFonts w:hint="eastAsia" w:ascii="宋体" w:hAnsi="宋体" w:eastAsia="宋体" w:cs="宋体"/>
                <w:bCs/>
                <w:color w:val="auto"/>
                <w:sz w:val="24"/>
                <w:szCs w:val="24"/>
                <w:highlight w:val="none"/>
                <w:lang w:eastAsia="zh-CN"/>
              </w:rPr>
              <w:t>。</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7.4</w:t>
            </w:r>
          </w:p>
        </w:tc>
        <w:tc>
          <w:tcPr>
            <w:tcW w:w="6673" w:type="dxa"/>
            <w:noWrap w:val="0"/>
            <w:vAlign w:val="center"/>
          </w:tcPr>
          <w:p>
            <w:pPr>
              <w:pStyle w:val="12"/>
              <w:widowControl/>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TW"/>
              </w:rPr>
              <w:t>门机整机与电梯同品牌且为进口件设备,按要求提供清单和产地</w:t>
            </w:r>
            <w:r>
              <w:rPr>
                <w:rFonts w:hint="eastAsia" w:ascii="宋体" w:hAnsi="宋体" w:eastAsia="宋体" w:cs="宋体"/>
                <w:bCs/>
                <w:color w:val="auto"/>
                <w:sz w:val="24"/>
                <w:szCs w:val="24"/>
                <w:highlight w:val="none"/>
                <w:lang w:eastAsia="zh-CN"/>
              </w:rPr>
              <w:t>。</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7.5</w:t>
            </w:r>
          </w:p>
        </w:tc>
        <w:tc>
          <w:tcPr>
            <w:tcW w:w="6673" w:type="dxa"/>
            <w:noWrap w:val="0"/>
            <w:vAlign w:val="center"/>
          </w:tcPr>
          <w:p>
            <w:pPr>
              <w:pStyle w:val="12"/>
              <w:widowControl/>
              <w:jc w:val="left"/>
              <w:rPr>
                <w:rFonts w:ascii="宋体" w:hAnsi="宋体" w:eastAsia="宋体" w:cs="宋体"/>
                <w:bCs/>
                <w:color w:val="auto"/>
                <w:sz w:val="24"/>
                <w:szCs w:val="24"/>
                <w:highlight w:val="none"/>
                <w:lang w:eastAsia="zh-TW"/>
              </w:rPr>
            </w:pPr>
            <w:r>
              <w:rPr>
                <w:rFonts w:hint="eastAsia" w:ascii="宋体" w:hAnsi="宋体" w:eastAsia="宋体" w:cs="宋体"/>
                <w:bCs/>
                <w:color w:val="auto"/>
                <w:sz w:val="24"/>
                <w:szCs w:val="24"/>
                <w:highlight w:val="none"/>
                <w:lang w:eastAsia="zh-TW"/>
              </w:rPr>
              <w:t>安全钳、限速器及要求产地欧美日进口，按要求提供清单和产地。</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7.6</w:t>
            </w:r>
          </w:p>
        </w:tc>
        <w:tc>
          <w:tcPr>
            <w:tcW w:w="6673"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门机、主板、变频器、曳引机：</w:t>
            </w:r>
            <w:r>
              <w:rPr>
                <w:rFonts w:hint="eastAsia" w:ascii="宋体" w:hAnsi="宋体"/>
                <w:color w:val="auto"/>
                <w:highlight w:val="none"/>
              </w:rPr>
              <w:t>请</w:t>
            </w:r>
            <w:r>
              <w:rPr>
                <w:rFonts w:hint="eastAsia" w:ascii="宋体" w:hAnsi="宋体"/>
                <w:bCs/>
                <w:color w:val="auto"/>
                <w:highlight w:val="none"/>
              </w:rPr>
              <w:t>投标人针对本项目合理配置</w:t>
            </w:r>
            <w:r>
              <w:rPr>
                <w:rFonts w:hint="eastAsia" w:ascii="宋体" w:hAnsi="宋体"/>
                <w:color w:val="auto"/>
                <w:highlight w:val="none"/>
              </w:rPr>
              <w:t>并详细注明配置部件型号、原产地、性能</w:t>
            </w:r>
            <w:r>
              <w:rPr>
                <w:rFonts w:hint="eastAsia" w:ascii="宋体" w:hAnsi="宋体"/>
                <w:bCs/>
                <w:color w:val="auto"/>
                <w:highlight w:val="none"/>
              </w:rPr>
              <w:t>，评标委员会将根据投标人提供的主要</w:t>
            </w:r>
            <w:r>
              <w:rPr>
                <w:rFonts w:hint="eastAsia" w:ascii="宋体" w:hAnsi="宋体"/>
                <w:color w:val="auto"/>
                <w:highlight w:val="none"/>
              </w:rPr>
              <w:t>部件型号、</w:t>
            </w:r>
            <w:r>
              <w:rPr>
                <w:rFonts w:hint="eastAsia" w:ascii="宋体" w:hAnsi="宋体"/>
                <w:bCs/>
                <w:color w:val="auto"/>
                <w:highlight w:val="none"/>
              </w:rPr>
              <w:t>原产地、性能进行评议。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7.7</w:t>
            </w:r>
          </w:p>
        </w:tc>
        <w:tc>
          <w:tcPr>
            <w:tcW w:w="6673" w:type="dxa"/>
            <w:noWrap w:val="0"/>
            <w:vAlign w:val="center"/>
          </w:tcPr>
          <w:p>
            <w:pPr>
              <w:widowControl/>
              <w:rPr>
                <w:rFonts w:ascii="宋体" w:hAnsi="宋体"/>
                <w:color w:val="auto"/>
                <w:highlight w:val="none"/>
              </w:rPr>
            </w:pPr>
            <w:r>
              <w:rPr>
                <w:rFonts w:hint="eastAsia" w:ascii="宋体" w:hAnsi="宋体"/>
                <w:color w:val="auto"/>
                <w:highlight w:val="none"/>
              </w:rPr>
              <w:t>其它部件（由投标人响应，投标文件中提供清单、产地）</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八、服务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8.1</w:t>
            </w:r>
          </w:p>
        </w:tc>
        <w:tc>
          <w:tcPr>
            <w:tcW w:w="6673" w:type="dxa"/>
            <w:noWrap w:val="0"/>
            <w:vAlign w:val="center"/>
          </w:tcPr>
          <w:p>
            <w:pPr>
              <w:widowControl/>
              <w:spacing w:line="312" w:lineRule="auto"/>
              <w:rPr>
                <w:rFonts w:ascii="宋体" w:hAnsi="宋体"/>
                <w:color w:val="auto"/>
                <w:highlight w:val="none"/>
              </w:rPr>
            </w:pPr>
            <w:r>
              <w:rPr>
                <w:rFonts w:hint="eastAsia" w:ascii="宋体" w:hAnsi="宋体"/>
                <w:bCs/>
                <w:color w:val="auto"/>
                <w:highlight w:val="none"/>
              </w:rPr>
              <w:t>提供质保期后前5年电梯的小包（500元以下的产品配件）、全包价格（按元/台/年计算）</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8.2</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中标人应提供以下服务项目（不限于此）：</w:t>
            </w:r>
          </w:p>
          <w:p>
            <w:pPr>
              <w:widowControl/>
              <w:spacing w:line="312" w:lineRule="auto"/>
              <w:rPr>
                <w:rFonts w:ascii="宋体" w:hAnsi="宋体"/>
                <w:color w:val="auto"/>
                <w:highlight w:val="none"/>
              </w:rPr>
            </w:pPr>
            <w:r>
              <w:rPr>
                <w:rFonts w:hint="eastAsia" w:ascii="宋体" w:hAnsi="宋体"/>
                <w:color w:val="auto"/>
                <w:highlight w:val="none"/>
              </w:rPr>
              <w:t>（1）执行和监督所提供设备的现场安装和调试；</w:t>
            </w:r>
          </w:p>
          <w:p>
            <w:pPr>
              <w:widowControl/>
              <w:spacing w:line="312" w:lineRule="auto"/>
              <w:rPr>
                <w:rFonts w:ascii="宋体" w:hAnsi="宋体"/>
                <w:color w:val="auto"/>
                <w:highlight w:val="none"/>
              </w:rPr>
            </w:pPr>
            <w:r>
              <w:rPr>
                <w:rFonts w:hint="eastAsia" w:ascii="宋体" w:hAnsi="宋体"/>
                <w:color w:val="auto"/>
                <w:highlight w:val="none"/>
              </w:rPr>
              <w:t>（2）提供安装和维修工具；</w:t>
            </w:r>
          </w:p>
          <w:p>
            <w:pPr>
              <w:widowControl/>
              <w:spacing w:line="312" w:lineRule="auto"/>
              <w:rPr>
                <w:rFonts w:ascii="宋体" w:hAnsi="宋体"/>
                <w:color w:val="auto"/>
                <w:highlight w:val="none"/>
              </w:rPr>
            </w:pPr>
            <w:r>
              <w:rPr>
                <w:rFonts w:hint="eastAsia" w:ascii="宋体" w:hAnsi="宋体"/>
                <w:color w:val="auto"/>
                <w:highlight w:val="none"/>
              </w:rPr>
              <w:t>（3）提供设备主要部件的详细操作手册和维修手册；</w:t>
            </w:r>
          </w:p>
          <w:p>
            <w:pPr>
              <w:widowControl/>
              <w:spacing w:line="312" w:lineRule="auto"/>
              <w:rPr>
                <w:rFonts w:ascii="宋体" w:hAnsi="宋体"/>
                <w:color w:val="auto"/>
                <w:highlight w:val="none"/>
              </w:rPr>
            </w:pPr>
            <w:r>
              <w:rPr>
                <w:rFonts w:hint="eastAsia" w:ascii="宋体" w:hAnsi="宋体"/>
                <w:color w:val="auto"/>
                <w:highlight w:val="none"/>
              </w:rPr>
              <w:t>（4）为采购人提供设备正常运行两年的易损件和常用备件。</w:t>
            </w:r>
          </w:p>
          <w:p>
            <w:pPr>
              <w:widowControl/>
              <w:spacing w:line="312" w:lineRule="auto"/>
              <w:rPr>
                <w:rFonts w:ascii="宋体" w:hAnsi="宋体"/>
                <w:color w:val="auto"/>
                <w:highlight w:val="none"/>
              </w:rPr>
            </w:pPr>
            <w:r>
              <w:rPr>
                <w:rFonts w:hint="eastAsia" w:ascii="宋体" w:hAnsi="宋体"/>
                <w:color w:val="auto"/>
                <w:highlight w:val="none"/>
              </w:rPr>
              <w:t>（5）免费配合做好内外装修工作。</w:t>
            </w:r>
          </w:p>
          <w:p>
            <w:pPr>
              <w:widowControl/>
              <w:spacing w:line="312" w:lineRule="auto"/>
              <w:rPr>
                <w:rFonts w:ascii="宋体" w:hAnsi="宋体"/>
                <w:color w:val="auto"/>
                <w:highlight w:val="none"/>
              </w:rPr>
            </w:pPr>
            <w:r>
              <w:rPr>
                <w:rFonts w:hint="eastAsia" w:ascii="宋体" w:hAnsi="宋体"/>
                <w:color w:val="auto"/>
                <w:highlight w:val="none"/>
              </w:rPr>
              <w:t>（6）投标单位需提供电梯故障代码，以便日后维护管理。</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8.3</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采购人向中标人选购零件时，中标人不能解脱合同所规定的任何担保义务，在设备投入使用后，投标人必须保证备件的提供，期限不能少于5年。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8.4</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投标人所投产品制造商在零部件停产前，应于停产前3个月通知采购人，以便采购人有足够时间购买所需的零部件。投标人需承诺所提供的零备件价格维保期结束5年内不向上调整，供采购人有需时采购。</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8.5</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在零部件停产后，如果采购人还需要的话，投标人应无偿向采购人提供零部件的图纸和技术规范。</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8.6</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售后服务的响应速度要求：负责保修期内的免费保修和保修期外的维修工作，提供7×24小时售后服务电话，维修人员在接到维修电话后响应时间为1小时，一般故障4小时内排除，重大故障12小时内修复完毕。</w:t>
            </w:r>
            <w:r>
              <w:rPr>
                <w:rFonts w:hint="eastAsia" w:ascii="宋体" w:hAnsi="宋体"/>
                <w:color w:val="auto"/>
                <w:highlight w:val="none"/>
                <w:lang w:eastAsia="zh-TW"/>
              </w:rPr>
              <w:t>具体的操作程序和内容须在质保期及售后服务实施方案中说明</w:t>
            </w:r>
            <w:r>
              <w:rPr>
                <w:rFonts w:hint="eastAsia" w:ascii="宋体" w:hAnsi="宋体"/>
                <w:color w:val="auto"/>
                <w:highlight w:val="none"/>
              </w:rPr>
              <w:t>。</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8.7</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电梯安装（调试及验收前所有用电）临时电源线缆由投标人自理，投标人负责脚手架搭建（包括材料），空中的卸货平台的搭建（包括材料）。</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8.8</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投标人项目经理自始至终负责本项目，指派有关技术人员跟踪工程进度情况，配合土建施工时现场尺寸的审核，按电梯安装要求事先核实发现问题并及时提出，如因投标人检查复核不到位引起电梯土建误差，由投标人承担主要责任。</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940" w:type="dxa"/>
            <w:gridSpan w:val="3"/>
            <w:noWrap w:val="0"/>
            <w:vAlign w:val="center"/>
          </w:tcPr>
          <w:p>
            <w:pPr>
              <w:pStyle w:val="12"/>
              <w:widowControl/>
              <w:spacing w:line="312" w:lineRule="auto"/>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九、其他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9.1</w:t>
            </w:r>
          </w:p>
        </w:tc>
        <w:tc>
          <w:tcPr>
            <w:tcW w:w="6673"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投标人提供以下数据：</w:t>
            </w:r>
          </w:p>
          <w:p>
            <w:pPr>
              <w:widowControl/>
              <w:spacing w:line="312" w:lineRule="auto"/>
              <w:rPr>
                <w:rFonts w:ascii="宋体" w:hAnsi="宋体"/>
                <w:bCs/>
                <w:color w:val="auto"/>
                <w:highlight w:val="none"/>
              </w:rPr>
            </w:pPr>
            <w:r>
              <w:rPr>
                <w:rFonts w:hint="eastAsia" w:ascii="宋体" w:hAnsi="宋体"/>
                <w:bCs/>
                <w:color w:val="auto"/>
                <w:highlight w:val="none"/>
              </w:rPr>
              <w:t>轿厢自重</w:t>
            </w:r>
          </w:p>
          <w:p>
            <w:pPr>
              <w:widowControl/>
              <w:spacing w:line="312" w:lineRule="auto"/>
              <w:rPr>
                <w:rFonts w:ascii="宋体" w:hAnsi="宋体"/>
                <w:color w:val="auto"/>
                <w:highlight w:val="none"/>
              </w:rPr>
            </w:pPr>
            <w:r>
              <w:rPr>
                <w:rFonts w:hint="eastAsia" w:ascii="宋体" w:hAnsi="宋体"/>
                <w:bCs/>
                <w:color w:val="auto"/>
                <w:highlight w:val="none"/>
              </w:rPr>
              <w:t>主副导轨规格型号</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9.2</w:t>
            </w:r>
          </w:p>
        </w:tc>
        <w:tc>
          <w:tcPr>
            <w:tcW w:w="6673" w:type="dxa"/>
            <w:noWrap w:val="0"/>
            <w:vAlign w:val="center"/>
          </w:tcPr>
          <w:p>
            <w:pPr>
              <w:widowControl/>
              <w:spacing w:line="312" w:lineRule="auto"/>
              <w:jc w:val="left"/>
              <w:rPr>
                <w:rFonts w:ascii="宋体" w:hAnsi="宋体"/>
                <w:color w:val="auto"/>
                <w:highlight w:val="none"/>
              </w:rPr>
            </w:pPr>
            <w:r>
              <w:rPr>
                <w:rFonts w:hint="eastAsia" w:ascii="宋体" w:hAnsi="宋体"/>
                <w:color w:val="auto"/>
                <w:highlight w:val="none"/>
              </w:rPr>
              <w:t>钢丝绳(</w:t>
            </w:r>
            <w:r>
              <w:rPr>
                <w:rFonts w:hint="eastAsia" w:ascii="宋体" w:hAnsi="宋体"/>
                <w:bCs/>
                <w:color w:val="auto"/>
                <w:highlight w:val="none"/>
              </w:rPr>
              <w:t>注明产地</w:t>
            </w:r>
            <w:r>
              <w:rPr>
                <w:rFonts w:hint="eastAsia" w:ascii="宋体" w:hAnsi="宋体"/>
                <w:color w:val="auto"/>
                <w:highlight w:val="none"/>
              </w:rPr>
              <w:t>)</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9.3</w:t>
            </w:r>
          </w:p>
        </w:tc>
        <w:tc>
          <w:tcPr>
            <w:tcW w:w="6673" w:type="dxa"/>
            <w:noWrap w:val="0"/>
            <w:vAlign w:val="center"/>
          </w:tcPr>
          <w:p>
            <w:pPr>
              <w:widowControl/>
              <w:spacing w:line="312" w:lineRule="auto"/>
              <w:jc w:val="left"/>
              <w:rPr>
                <w:rFonts w:ascii="宋体" w:hAnsi="宋体"/>
                <w:color w:val="auto"/>
                <w:highlight w:val="none"/>
              </w:rPr>
            </w:pPr>
            <w:r>
              <w:rPr>
                <w:rFonts w:hint="eastAsia" w:ascii="宋体" w:hAnsi="宋体"/>
                <w:color w:val="auto"/>
                <w:highlight w:val="none"/>
              </w:rPr>
              <w:t>不锈钢板(</w:t>
            </w:r>
            <w:r>
              <w:rPr>
                <w:rFonts w:hint="eastAsia" w:ascii="宋体" w:hAnsi="宋体"/>
                <w:bCs/>
                <w:color w:val="auto"/>
                <w:highlight w:val="none"/>
              </w:rPr>
              <w:t>注明型号、产地、厚度</w:t>
            </w:r>
            <w:r>
              <w:rPr>
                <w:rFonts w:hint="eastAsia" w:ascii="宋体" w:hAnsi="宋体"/>
                <w:color w:val="auto"/>
                <w:highlight w:val="none"/>
              </w:rPr>
              <w:t>)</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9.4</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制造：投标人提供的设备各零部件应按标准制造，并有替换性和精确装配性。特别对于驱动装置（曳引元件设备）、门机等的装配，所有都应在工厂完成或预装配或其尺寸误差达到预装配水平。</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9.5</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设备性能：投标人提供的电梯设备应在噪音、振动、设备可靠性、性能等方面需符合国家标准中的优等品标准和相应的国际标准。在最终验收时，要对噪音、震动这二方面的性能数据作专门检测，其结果应达到上述提及的要求。</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9.6</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采购人在书面确认发货日期前通知投标人延期交货，投标人不得另外收取仓储等费用。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940" w:type="dxa"/>
            <w:gridSpan w:val="3"/>
            <w:noWrap w:val="0"/>
            <w:vAlign w:val="center"/>
          </w:tcPr>
          <w:p>
            <w:pPr>
              <w:pStyle w:val="12"/>
              <w:widowControl/>
              <w:spacing w:line="312" w:lineRule="auto"/>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十、其它必须承诺部分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井道内照明线路，电线管，插座，灯具及安装的所有费用应由投标人承担。</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10.2</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井道钢质牛腿、井道内部用钢材、底坑爬梯、机房内的搁机钢梁、简易铁梯及平台护栏等均由投标人自行配套并承担所有费用。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10.3</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投标人负责电源（三相五线）穿线接入到机房内电源动力箱，机房内部涉及电梯部分的电源包含在本次采购中。</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10.4</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电梯安装（调试及验收前所有用电）临时电源线缆由投标人自理，水电费按实支付。</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10.5</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在电梯设备交付采购人使用之前，电梯设备零部件及完成安装的成品均由投标人保管和保护；投标人应做好电梯设备的产品保护工作。电梯轿厢壁、顶应做硬质板保护（具体做法木档固定，外包环保免漆板，，接逢处打玻璃胶，轿厢地面铺设环保地胶板，电梯门及门套应贴保护膜，所用材料均为环保型材料）。费用由投标人承担，电梯设备交付采购人使用之前由中标投标人派人监护运行。</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10.6</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所有主机设备及配件的出厂时间与电梯设备到工地时间不大于180天，如分批交付以时间作相应调整。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10.7</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自安装、调试、验收工期（按与采购人书面约定的时间内）不得任意拖延，如因投标人原因拖延一天应支付违约金2000元/天/台（含调试、验收），超过10天，如因投标人原因拖延一天应支付违约金5000元/天/台。如因采购人原因影响交货期及安装工期，不能作金钱索赔，交货期或安装工期按实际顺延。</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10.8</w:t>
            </w:r>
          </w:p>
        </w:tc>
        <w:tc>
          <w:tcPr>
            <w:tcW w:w="6673" w:type="dxa"/>
            <w:noWrap w:val="0"/>
            <w:vAlign w:val="center"/>
          </w:tcPr>
          <w:p>
            <w:pPr>
              <w:widowControl/>
              <w:spacing w:line="288" w:lineRule="auto"/>
              <w:rPr>
                <w:rFonts w:ascii="宋体" w:hAnsi="宋体"/>
                <w:color w:val="auto"/>
                <w:highlight w:val="none"/>
              </w:rPr>
            </w:pPr>
            <w:r>
              <w:rPr>
                <w:rFonts w:hint="eastAsia" w:ascii="宋体" w:hAnsi="宋体"/>
                <w:bCs/>
                <w:color w:val="auto"/>
                <w:highlight w:val="none"/>
              </w:rPr>
              <w:t>投标报价为固定价格，如有进口部件，不受汇率变动等因素的影响。</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10.9</w:t>
            </w:r>
          </w:p>
        </w:tc>
        <w:tc>
          <w:tcPr>
            <w:tcW w:w="6673" w:type="dxa"/>
            <w:noWrap w:val="0"/>
            <w:vAlign w:val="center"/>
          </w:tcPr>
          <w:p>
            <w:pPr>
              <w:widowControl/>
              <w:spacing w:line="24" w:lineRule="atLeast"/>
              <w:rPr>
                <w:rFonts w:ascii="宋体" w:hAnsi="宋体"/>
                <w:bCs/>
                <w:color w:val="auto"/>
                <w:highlight w:val="none"/>
              </w:rPr>
            </w:pPr>
            <w:r>
              <w:rPr>
                <w:rFonts w:hint="eastAsia" w:ascii="宋体" w:hAnsi="宋体"/>
                <w:bCs/>
                <w:color w:val="auto"/>
                <w:highlight w:val="none"/>
              </w:rPr>
              <w:t>承诺在交货时能提供以下文件（如有进口部分）：</w:t>
            </w:r>
          </w:p>
          <w:p>
            <w:pPr>
              <w:widowControl/>
              <w:spacing w:line="24" w:lineRule="atLeast"/>
              <w:rPr>
                <w:rFonts w:ascii="宋体" w:hAnsi="宋体"/>
                <w:bCs/>
                <w:color w:val="auto"/>
                <w:highlight w:val="none"/>
              </w:rPr>
            </w:pPr>
            <w:r>
              <w:rPr>
                <w:rFonts w:hint="eastAsia" w:ascii="宋体" w:hAnsi="宋体"/>
                <w:bCs/>
                <w:color w:val="auto"/>
                <w:highlight w:val="none"/>
              </w:rPr>
              <w:t>（1）国外制造商出具的进口电梯部件的产品合格证书原件；</w:t>
            </w:r>
          </w:p>
          <w:p>
            <w:pPr>
              <w:widowControl/>
              <w:spacing w:line="24" w:lineRule="atLeast"/>
              <w:rPr>
                <w:rFonts w:ascii="宋体" w:hAnsi="宋体"/>
                <w:color w:val="auto"/>
                <w:highlight w:val="none"/>
              </w:rPr>
            </w:pPr>
            <w:r>
              <w:rPr>
                <w:rFonts w:hint="eastAsia" w:ascii="宋体" w:hAnsi="宋体"/>
                <w:bCs/>
                <w:color w:val="auto"/>
                <w:highlight w:val="none"/>
              </w:rPr>
              <w:t>（2） 中国海关出具的进口电梯部件进口报关单（复印件，原件备查）。</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10.10</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投标人必须提供投标电梯型号相配的各种技术数据。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10.11</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签订合同以后，投标方应提供电梯交付、安装周期表。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10.12</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投标人有义务对本项目的图纸及现场进行认真地检查确认，并主动了解所有与电梯及安装的信息或尺寸，由此造成的后果或损失，采购人不承担相关的责任。</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10.13</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在任何情况下，如遇采购人因施工或其他需要，需使用电梯时，电梯投标人或制造商应安排两名或以上有一定经验的人员到现场予以配合、操作和维护，直至工程整体验收合格并交付给物业。</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bl>
    <w:p>
      <w:pPr>
        <w:pStyle w:val="5"/>
        <w:rPr>
          <w:color w:val="auto"/>
          <w:highlight w:val="none"/>
        </w:rPr>
      </w:pPr>
      <w:bookmarkStart w:id="3" w:name="_Toc30769"/>
      <w:r>
        <w:rPr>
          <w:rFonts w:hint="eastAsia"/>
          <w:color w:val="auto"/>
          <w:highlight w:val="none"/>
        </w:rPr>
        <w:t>二、商务要求</w:t>
      </w:r>
      <w:bookmarkEnd w:id="3"/>
    </w:p>
    <w:p>
      <w:pPr>
        <w:pStyle w:val="5"/>
        <w:rPr>
          <w:rFonts w:ascii="宋体" w:hAnsi="宋体" w:cs="宋体"/>
          <w:color w:val="auto"/>
          <w:highlight w:val="none"/>
        </w:rPr>
      </w:pPr>
      <w:r>
        <w:rPr>
          <w:rFonts w:hint="eastAsia" w:ascii="宋体" w:hAnsi="宋体" w:cs="宋体"/>
          <w:color w:val="auto"/>
          <w:highlight w:val="none"/>
        </w:rPr>
        <w:t>（一）交货时间</w:t>
      </w:r>
    </w:p>
    <w:p>
      <w:pPr>
        <w:spacing w:line="336" w:lineRule="auto"/>
        <w:ind w:firstLine="480"/>
        <w:rPr>
          <w:rFonts w:ascii="宋体" w:hAnsi="宋体"/>
          <w:color w:val="auto"/>
          <w:highlight w:val="none"/>
        </w:rPr>
      </w:pPr>
      <w:r>
        <w:rPr>
          <w:rFonts w:hint="eastAsia" w:ascii="宋体" w:hAnsi="宋体"/>
          <w:color w:val="auto"/>
          <w:highlight w:val="none"/>
        </w:rPr>
        <w:t>合同签订后60个工作日内完成供货、安装、调试。</w:t>
      </w:r>
    </w:p>
    <w:p>
      <w:pPr>
        <w:pStyle w:val="5"/>
        <w:rPr>
          <w:rFonts w:ascii="宋体" w:hAnsi="宋体" w:cs="宋体"/>
          <w:color w:val="auto"/>
          <w:highlight w:val="none"/>
        </w:rPr>
      </w:pPr>
      <w:r>
        <w:rPr>
          <w:rFonts w:hint="eastAsia" w:ascii="宋体" w:hAnsi="宋体" w:cs="宋体"/>
          <w:color w:val="auto"/>
          <w:highlight w:val="none"/>
        </w:rPr>
        <w:t>（二）交付地点</w:t>
      </w:r>
    </w:p>
    <w:p>
      <w:pPr>
        <w:spacing w:line="336" w:lineRule="auto"/>
        <w:ind w:firstLine="480"/>
        <w:rPr>
          <w:rFonts w:ascii="宋体" w:hAnsi="宋体"/>
          <w:color w:val="auto"/>
          <w:highlight w:val="none"/>
        </w:rPr>
      </w:pPr>
      <w:r>
        <w:rPr>
          <w:rFonts w:hint="eastAsia" w:ascii="宋体" w:hAnsi="宋体"/>
          <w:color w:val="auto"/>
          <w:highlight w:val="none"/>
        </w:rPr>
        <w:t>中国美术学院南山校区图书馆及美术馆。</w:t>
      </w:r>
    </w:p>
    <w:p>
      <w:pPr>
        <w:pStyle w:val="5"/>
        <w:rPr>
          <w:rFonts w:ascii="宋体" w:hAnsi="宋体" w:cs="宋体"/>
          <w:color w:val="auto"/>
          <w:highlight w:val="none"/>
        </w:rPr>
      </w:pPr>
      <w:r>
        <w:rPr>
          <w:rFonts w:hint="eastAsia" w:ascii="宋体" w:hAnsi="宋体" w:cs="宋体"/>
          <w:color w:val="auto"/>
          <w:highlight w:val="none"/>
        </w:rPr>
        <w:t>（四）履约保证金</w:t>
      </w:r>
    </w:p>
    <w:p>
      <w:pPr>
        <w:ind w:firstLine="480"/>
        <w:rPr>
          <w:rFonts w:ascii="宋体" w:hAnsi="宋体"/>
          <w:color w:val="auto"/>
          <w:highlight w:val="none"/>
        </w:rPr>
      </w:pPr>
      <w:r>
        <w:rPr>
          <w:rFonts w:hint="eastAsia" w:ascii="宋体" w:hAnsi="宋体"/>
          <w:color w:val="auto"/>
          <w:highlight w:val="none"/>
        </w:rPr>
        <w:t>1.合同签订时，中标人按合同总价的5%向采购人交纳履约保证金。</w:t>
      </w:r>
    </w:p>
    <w:p>
      <w:pPr>
        <w:ind w:firstLine="480"/>
        <w:rPr>
          <w:rFonts w:ascii="宋体" w:hAnsi="宋体"/>
          <w:color w:val="auto"/>
          <w:highlight w:val="none"/>
        </w:rPr>
      </w:pPr>
      <w:r>
        <w:rPr>
          <w:rFonts w:hint="eastAsia" w:ascii="宋体" w:hAnsi="宋体"/>
          <w:color w:val="auto"/>
          <w:highlight w:val="none"/>
        </w:rPr>
        <w:t>2.履约保证金的交付方式：支票、汇票、本票或金融机构、担保机构出具的保函等非现金方式。</w:t>
      </w:r>
    </w:p>
    <w:p>
      <w:pPr>
        <w:ind w:firstLine="480"/>
        <w:rPr>
          <w:rFonts w:ascii="宋体" w:hAnsi="宋体"/>
          <w:color w:val="auto"/>
          <w:highlight w:val="none"/>
        </w:rPr>
      </w:pPr>
      <w:r>
        <w:rPr>
          <w:rFonts w:hint="eastAsia" w:ascii="宋体" w:hAnsi="宋体"/>
          <w:color w:val="auto"/>
          <w:highlight w:val="none"/>
        </w:rPr>
        <w:t>3.验收合格后履约保证金自动转为质量保证金，在设备质保期满两年，且乙方无违约行为后，20个工作日内无息退还给中标人（遇寒暑假及国定假日顺延）。</w:t>
      </w:r>
    </w:p>
    <w:p>
      <w:pPr>
        <w:pStyle w:val="5"/>
        <w:rPr>
          <w:rFonts w:ascii="宋体" w:hAnsi="宋体" w:cs="宋体"/>
          <w:color w:val="auto"/>
          <w:highlight w:val="none"/>
        </w:rPr>
      </w:pPr>
      <w:r>
        <w:rPr>
          <w:rFonts w:hint="eastAsia" w:ascii="宋体" w:hAnsi="宋体" w:cs="宋体"/>
          <w:color w:val="auto"/>
          <w:highlight w:val="none"/>
        </w:rPr>
        <w:t>（五）付款方式</w:t>
      </w:r>
      <w:bookmarkStart w:id="6" w:name="_GoBack"/>
      <w:bookmarkEnd w:id="6"/>
    </w:p>
    <w:p>
      <w:pPr>
        <w:ind w:firstLine="480"/>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合同签订后10个工作日买方支付合同总价的45%作为预付款。</w:t>
      </w:r>
    </w:p>
    <w:p>
      <w:pPr>
        <w:ind w:firstLine="480"/>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到货安装调试完毕、验收合格、取得特种设备使用证、移交全部资料、交付买方投入正常使用后，20天内卖方向买方开具符合条件的相应金额的发票后结清尾款。</w:t>
      </w:r>
    </w:p>
    <w:p>
      <w:pPr>
        <w:autoSpaceDE w:val="0"/>
        <w:autoSpaceDN w:val="0"/>
        <w:textAlignment w:val="bottom"/>
        <w:rPr>
          <w:rFonts w:ascii="宋体" w:hAnsi="宋体"/>
          <w:b/>
          <w:bCs/>
          <w:color w:val="auto"/>
          <w:szCs w:val="21"/>
          <w:highlight w:val="none"/>
        </w:rPr>
      </w:pPr>
      <w:r>
        <w:rPr>
          <w:rFonts w:hint="eastAsia" w:ascii="宋体" w:hAnsi="宋体"/>
          <w:b/>
          <w:bCs/>
          <w:color w:val="auto"/>
          <w:szCs w:val="21"/>
          <w:highlight w:val="none"/>
        </w:rPr>
        <w:t>（六）技术资料</w:t>
      </w:r>
    </w:p>
    <w:p>
      <w:pPr>
        <w:autoSpaceDE w:val="0"/>
        <w:autoSpaceDN w:val="0"/>
        <w:ind w:firstLine="480"/>
        <w:textAlignment w:val="bottom"/>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合同生效后，</w:t>
      </w:r>
      <w:r>
        <w:rPr>
          <w:rFonts w:hint="eastAsia" w:ascii="宋体" w:hAnsi="宋体"/>
          <w:color w:val="auto"/>
          <w:szCs w:val="21"/>
          <w:highlight w:val="none"/>
        </w:rPr>
        <w:t>投标人</w:t>
      </w:r>
      <w:r>
        <w:rPr>
          <w:rFonts w:ascii="宋体" w:hAnsi="宋体"/>
          <w:color w:val="auto"/>
          <w:szCs w:val="21"/>
          <w:highlight w:val="none"/>
        </w:rPr>
        <w:t>应提供产品的中文技术资料一套。</w:t>
      </w:r>
    </w:p>
    <w:p>
      <w:pPr>
        <w:autoSpaceDE w:val="0"/>
        <w:autoSpaceDN w:val="0"/>
        <w:ind w:firstLine="480"/>
        <w:textAlignment w:val="bottom"/>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货物交货时应随货提供货物清单、质量合格证、使用说明书等技术资料。</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3.本工程电梯维护管理制度资料一套。</w:t>
      </w:r>
    </w:p>
    <w:p>
      <w:pPr>
        <w:autoSpaceDE w:val="0"/>
        <w:autoSpaceDN w:val="0"/>
        <w:textAlignment w:val="bottom"/>
        <w:rPr>
          <w:rFonts w:ascii="宋体" w:hAnsi="宋体"/>
          <w:b/>
          <w:bCs/>
          <w:color w:val="auto"/>
          <w:szCs w:val="21"/>
          <w:highlight w:val="none"/>
        </w:rPr>
      </w:pPr>
      <w:r>
        <w:rPr>
          <w:rFonts w:hint="eastAsia" w:ascii="宋体" w:hAnsi="宋体"/>
          <w:b/>
          <w:bCs/>
          <w:color w:val="auto"/>
          <w:szCs w:val="21"/>
          <w:highlight w:val="none"/>
        </w:rPr>
        <w:t>（七）技术培训</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szCs w:val="21"/>
          <w:highlight w:val="none"/>
        </w:rPr>
        <w:t>1.投标人负责对买方的管理、操作人员进行有关的技术培训，使相关人员详细了解货物的性能、结构、控制原理等。使操作人员能正确使用和日常保养与维护、掌握一般故障的判断，能对一般故障作应急处理。</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szCs w:val="21"/>
          <w:highlight w:val="none"/>
        </w:rPr>
        <w:t>2.投标人必须对整个培训过程进行录影，培训结束后把培训相关视频交买方3套。</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szCs w:val="21"/>
          <w:highlight w:val="none"/>
        </w:rPr>
        <w:t>3.供应商提供的负责培训的人员应具备同类产品5年以上的维修经验。</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kern w:val="0"/>
          <w:szCs w:val="21"/>
          <w:highlight w:val="none"/>
        </w:rPr>
        <w:t>4.在培训期间，中标人须免费提供中文培训材料给采购人。</w:t>
      </w:r>
    </w:p>
    <w:p>
      <w:pPr>
        <w:autoSpaceDE w:val="0"/>
        <w:autoSpaceDN w:val="0"/>
        <w:textAlignment w:val="bottom"/>
        <w:rPr>
          <w:rFonts w:ascii="宋体" w:hAnsi="宋体"/>
          <w:b/>
          <w:bCs/>
          <w:color w:val="auto"/>
          <w:szCs w:val="21"/>
          <w:highlight w:val="none"/>
        </w:rPr>
      </w:pPr>
      <w:r>
        <w:rPr>
          <w:rFonts w:hint="eastAsia" w:ascii="宋体" w:hAnsi="宋体"/>
          <w:b/>
          <w:bCs/>
          <w:color w:val="auto"/>
          <w:szCs w:val="21"/>
          <w:highlight w:val="none"/>
        </w:rPr>
        <w:t>（八）质量保证及售后服务</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w:t>
      </w:r>
      <w:r>
        <w:rPr>
          <w:rFonts w:ascii="宋体" w:hAnsi="宋体"/>
          <w:color w:val="auto"/>
          <w:szCs w:val="21"/>
          <w:highlight w:val="none"/>
        </w:rPr>
        <w:t>保证所提供的货物是全新的、未使用过的。是采用先进的技术、优质的材料和零部件、一流的工艺、严格的质量管理为买方提供技术先进、质量上乘、外表美观并完全符合合同规定的质量、规格、性能要求的产品。</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w:t>
      </w:r>
      <w:r>
        <w:rPr>
          <w:rFonts w:ascii="宋体" w:hAnsi="宋体"/>
          <w:color w:val="auto"/>
          <w:szCs w:val="21"/>
          <w:highlight w:val="none"/>
        </w:rPr>
        <w:t>保证所提供的货物在正确安装、正常使用和维护保养的情况下，具有使买方满意的使用性能和使用寿命。</w:t>
      </w:r>
    </w:p>
    <w:p>
      <w:pPr>
        <w:autoSpaceDE w:val="0"/>
        <w:autoSpaceDN w:val="0"/>
        <w:ind w:firstLine="480"/>
        <w:textAlignment w:val="bottom"/>
        <w:rPr>
          <w:rFonts w:ascii="宋体" w:hAnsi="宋体"/>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售后服务：须在杭州地区设有</w:t>
      </w:r>
      <w:r>
        <w:rPr>
          <w:rFonts w:hint="eastAsia" w:ascii="宋体" w:hAnsi="宋体"/>
          <w:b/>
          <w:color w:val="auto"/>
          <w:szCs w:val="21"/>
          <w:highlight w:val="none"/>
        </w:rPr>
        <w:t>永久性维修点</w:t>
      </w:r>
      <w:r>
        <w:rPr>
          <w:rFonts w:hint="eastAsia" w:ascii="宋体" w:hAnsi="宋体"/>
          <w:color w:val="auto"/>
          <w:szCs w:val="21"/>
          <w:highlight w:val="none"/>
        </w:rPr>
        <w:t>，维修点需提供足够的备件以适应业主维修需求。提</w:t>
      </w:r>
      <w:r>
        <w:rPr>
          <w:rFonts w:hint="eastAsia" w:ascii="宋体" w:hAnsi="宋体"/>
          <w:color w:val="auto"/>
          <w:highlight w:val="none"/>
        </w:rPr>
        <w:t>供7×24小时售后服务电话，维修人员在接到维修电话后</w:t>
      </w:r>
      <w:r>
        <w:rPr>
          <w:rFonts w:hint="eastAsia" w:ascii="宋体" w:hAnsi="宋体"/>
          <w:color w:val="auto"/>
          <w:szCs w:val="21"/>
          <w:highlight w:val="none"/>
        </w:rPr>
        <w:t>20分钟内赶到现场进行处理</w:t>
      </w:r>
      <w:r>
        <w:rPr>
          <w:rFonts w:hint="eastAsia" w:ascii="宋体" w:hAnsi="宋体"/>
          <w:color w:val="auto"/>
          <w:highlight w:val="none"/>
        </w:rPr>
        <w:t>，一般故障4小时内排除，重大故障12小时内修复完毕。具体的操作程序和内容须在质保期及售后服务实施方案中说明。</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4.投标人须对响应货物至少提供24个月的质保期，时间从特检所验收通过、业主接受并投入运行之日算起。在质保期内，投标人须免费负责修理和替换任何由于设备自身的质量问题造成的损坏及故障。投标人在质保期内的工作还应包括对所有电梯常规检查、调整和润滑。具体的操作程序和内容须在质保期及售后服务实施方案中说明。</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5.投标人在质保期结束时，须由专业工程师对电梯进行一次测试，任何故障须由投标人自费解决并取得买方的同意。故障修复后，投标人需提供一式三份报告给买方，包括故障原因，解决措施，完成修理所费时间及恢复正常运行日期。</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6.质保期结束后，投标人应提供一份有关投标产品在质保期后5年的维修和保养合同范本，其价格单列，此合同应有如下内容：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·服务范围；</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·服务期限；</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·服务内容（备品备件单和单件报价清单、易损件清单及价格）；</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·不负责任的内容；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·双方负责的内容；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·其他；</w:t>
      </w:r>
    </w:p>
    <w:p>
      <w:pPr>
        <w:autoSpaceDE w:val="0"/>
        <w:autoSpaceDN w:val="0"/>
        <w:ind w:firstLine="480"/>
        <w:textAlignment w:val="bottom"/>
        <w:rPr>
          <w:rFonts w:hint="eastAsia" w:ascii="宋体" w:hAnsi="宋体"/>
          <w:color w:val="auto"/>
          <w:szCs w:val="21"/>
          <w:highlight w:val="none"/>
        </w:rPr>
      </w:pPr>
      <w:bookmarkStart w:id="4" w:name="_Toc12555"/>
      <w:bookmarkStart w:id="5" w:name="_Toc497898814"/>
      <w:r>
        <w:rPr>
          <w:rFonts w:hint="eastAsia" w:ascii="宋体" w:hAnsi="宋体"/>
          <w:color w:val="auto"/>
          <w:szCs w:val="21"/>
          <w:highlight w:val="none"/>
        </w:rPr>
        <w:t>采购人保留是否签此合同的权力。</w:t>
      </w:r>
      <w:bookmarkEnd w:id="4"/>
      <w:bookmarkEnd w:id="5"/>
    </w:p>
    <w:p>
      <w:pPr>
        <w:autoSpaceDE w:val="0"/>
        <w:autoSpaceDN w:val="0"/>
        <w:ind w:firstLine="482"/>
        <w:textAlignment w:val="bottom"/>
        <w:rPr>
          <w:rFonts w:ascii="宋体" w:hAnsi="宋体"/>
          <w:b/>
          <w:bCs/>
          <w:color w:val="auto"/>
          <w:szCs w:val="21"/>
          <w:highlight w:val="none"/>
        </w:rPr>
      </w:pPr>
      <w:r>
        <w:rPr>
          <w:rFonts w:hint="eastAsia" w:ascii="宋体" w:hAnsi="宋体"/>
          <w:b/>
          <w:bCs/>
          <w:color w:val="auto"/>
          <w:szCs w:val="21"/>
          <w:highlight w:val="none"/>
        </w:rPr>
        <w:t>（九）</w:t>
      </w:r>
      <w:r>
        <w:rPr>
          <w:rFonts w:ascii="宋体" w:hAnsi="宋体"/>
          <w:b/>
          <w:bCs/>
          <w:color w:val="auto"/>
          <w:szCs w:val="21"/>
          <w:highlight w:val="none"/>
        </w:rPr>
        <w:t>、检验</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.在交付前，</w:t>
      </w:r>
      <w:r>
        <w:rPr>
          <w:rFonts w:hint="eastAsia" w:ascii="宋体" w:hAnsi="宋体"/>
          <w:color w:val="auto"/>
          <w:szCs w:val="21"/>
          <w:highlight w:val="none"/>
        </w:rPr>
        <w:t>投标人</w:t>
      </w:r>
      <w:r>
        <w:rPr>
          <w:rFonts w:ascii="宋体" w:hAnsi="宋体"/>
          <w:color w:val="auto"/>
          <w:szCs w:val="21"/>
          <w:highlight w:val="none"/>
        </w:rPr>
        <w:t>应对货物的质量、规格、性能、数量、重量等进行详细而全面的检测、并出具一份证明货物符合合同规定的文件。该文件将作为付款的凭证，但有关质量、规格、性能等的检验不应视为最终检验。</w:t>
      </w:r>
      <w:r>
        <w:rPr>
          <w:rFonts w:hint="eastAsia" w:ascii="宋体" w:hAnsi="宋体"/>
          <w:color w:val="auto"/>
          <w:szCs w:val="21"/>
          <w:highlight w:val="none"/>
        </w:rPr>
        <w:t>投标人</w:t>
      </w:r>
      <w:r>
        <w:rPr>
          <w:rFonts w:ascii="宋体" w:hAnsi="宋体"/>
          <w:color w:val="auto"/>
          <w:szCs w:val="21"/>
          <w:highlight w:val="none"/>
        </w:rPr>
        <w:t>检验的结果和细节应在验收合格文件中说明。</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.货物交付和安装后，</w:t>
      </w:r>
      <w:r>
        <w:rPr>
          <w:rFonts w:hint="eastAsia" w:ascii="宋体" w:hAnsi="宋体"/>
          <w:color w:val="auto"/>
          <w:szCs w:val="21"/>
          <w:highlight w:val="none"/>
        </w:rPr>
        <w:t>采购人</w:t>
      </w:r>
      <w:r>
        <w:rPr>
          <w:rFonts w:ascii="宋体" w:hAnsi="宋体"/>
          <w:color w:val="auto"/>
          <w:szCs w:val="21"/>
          <w:highlight w:val="none"/>
        </w:rPr>
        <w:t>将组织对货物进行检验，并出具验收合格书。如发现货物与合同不符，买方有权</w:t>
      </w:r>
      <w:r>
        <w:rPr>
          <w:rFonts w:hint="eastAsia" w:ascii="宋体" w:hAnsi="宋体"/>
          <w:color w:val="auto"/>
          <w:szCs w:val="21"/>
          <w:highlight w:val="none"/>
        </w:rPr>
        <w:t>再</w:t>
      </w:r>
      <w:r>
        <w:rPr>
          <w:rFonts w:ascii="宋体" w:hAnsi="宋体"/>
          <w:color w:val="auto"/>
          <w:szCs w:val="21"/>
          <w:highlight w:val="none"/>
        </w:rPr>
        <w:t>向</w:t>
      </w:r>
      <w:r>
        <w:rPr>
          <w:rFonts w:hint="eastAsia" w:ascii="宋体" w:hAnsi="宋体"/>
          <w:color w:val="auto"/>
          <w:szCs w:val="21"/>
          <w:highlight w:val="none"/>
        </w:rPr>
        <w:t>投标人</w:t>
      </w:r>
      <w:r>
        <w:rPr>
          <w:rFonts w:ascii="宋体" w:hAnsi="宋体"/>
          <w:color w:val="auto"/>
          <w:szCs w:val="21"/>
          <w:highlight w:val="none"/>
        </w:rPr>
        <w:t>提出索赔。</w:t>
      </w:r>
    </w:p>
    <w:p>
      <w:pPr>
        <w:pStyle w:val="7"/>
        <w:spacing w:before="120" w:after="120"/>
        <w:rPr>
          <w:rFonts w:hint="eastAsia"/>
          <w:color w:val="auto"/>
          <w:highlight w:val="none"/>
        </w:rPr>
      </w:pPr>
      <w:r>
        <w:rPr>
          <w:rFonts w:hint="eastAsia"/>
          <w:color w:val="auto"/>
          <w:highlight w:val="none"/>
        </w:rPr>
        <w:t>3</w:t>
      </w:r>
      <w:r>
        <w:rPr>
          <w:color w:val="auto"/>
          <w:highlight w:val="none"/>
        </w:rPr>
        <w:t>.如果在质量保</w:t>
      </w:r>
      <w:r>
        <w:rPr>
          <w:rFonts w:hAnsi="宋体"/>
          <w:color w:val="auto"/>
          <w:szCs w:val="21"/>
          <w:highlight w:val="none"/>
        </w:rPr>
        <w:t>证期内</w:t>
      </w:r>
      <w:r>
        <w:rPr>
          <w:color w:val="auto"/>
          <w:highlight w:val="none"/>
        </w:rPr>
        <w:t>证实货物是有缺陷，包括潜在的缺陷或使用不符合要求的材料，</w:t>
      </w:r>
      <w:r>
        <w:rPr>
          <w:rFonts w:hint="eastAsia"/>
          <w:color w:val="auto"/>
          <w:highlight w:val="none"/>
        </w:rPr>
        <w:t>采购人</w:t>
      </w:r>
      <w:r>
        <w:rPr>
          <w:color w:val="auto"/>
          <w:highlight w:val="none"/>
        </w:rPr>
        <w:t>将有权向</w:t>
      </w:r>
      <w:r>
        <w:rPr>
          <w:rFonts w:hint="eastAsia"/>
          <w:color w:val="auto"/>
          <w:highlight w:val="none"/>
        </w:rPr>
        <w:t>投标人</w:t>
      </w:r>
      <w:r>
        <w:rPr>
          <w:color w:val="auto"/>
          <w:highlight w:val="none"/>
        </w:rPr>
        <w:t>提出索赔。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firstLine="36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BQerIBAABZAwAADgAAAGRycy9lMm9Eb2MueG1srVPNjtMwEL4j8Q6W&#10;7zRpD2wVNV2BVouQECAtPIDr2I0l/2nGbdIXgDfgxIU7z9XnYOw03QVuiIszf/78fTOTze3oLDsq&#10;QBN8y5eLmjPlZeiM37f886f7F2vOMAnfCRu8avlJIb/dPn+2GWKjVqEPtlPACMRjM8SW9ynFpqpQ&#10;9soJXISoPCV1ACcSubCvOhADoTtbrer6ZTUE6CIEqRApejcl+bbga61k+qA1qsRsy4lbKieUc5fP&#10;arsRzR5E7I280BD/wMIJ4+nRK9SdSIIdwPwF5YyEgEGnhQyuClobqYoGUrOs/1Dz0IuoihZqDsZr&#10;m/D/wcr3x4/ATNfyG868cDSi87ev5+8/zz++sJvcniFiQ1UPkerS+DqMNOY5jhTMqkcNLn9JD6M8&#10;Nfp0ba4aE5P50nq1XteUkpSbHcKvHq9HwPRGBcey0XKg6ZWmiuM7TFPpXJJf8+HeWFsmaP1vAcKc&#10;IqqswOV2VjIxzlYad+NF3i50J1I30Bq03NOecmbfeupy3pjZgNnYzcYhgtn3RHRZWGJ8dUhEqTDN&#10;L0ywpDA7NL+i9bJreUGe+q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qBQerIB&#10;AABZAwAADgAAAAAAAAABACAAAAAeAQAAZHJzL2Uyb0RvYy54bWxQSwUGAAAAAAYABgBZAQAAQgUA&#10;AAAA&#10;">
              <v:path/>
              <v:fill on="f" focussize="0,0"/>
              <v:stroke on="f"/>
              <v:imagedata o:title=""/>
              <o:lock v:ext="edit"/>
              <v:textbox inset="0mm,0mm,0mm,0mm" style="mso-fit-shape-to-text:t;">
                <w:txbxContent>
                  <w:p>
                    <w:pPr>
                      <w:pStyle w:val="8"/>
                      <w:ind w:firstLine="36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A478A"/>
    <w:rsid w:val="746A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eastAsia="宋体"/>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unhideWhenUsed/>
    <w:qFormat/>
    <w:uiPriority w:val="0"/>
    <w:pPr>
      <w:ind w:firstLine="420"/>
    </w:pPr>
    <w:rPr>
      <w:rFonts w:ascii="Calibri" w:hAnsi="Calibri" w:cs="Times New Roman"/>
      <w:sz w:val="21"/>
    </w:rPr>
  </w:style>
  <w:style w:type="paragraph" w:styleId="7">
    <w:name w:val="Plain Text"/>
    <w:basedOn w:val="1"/>
    <w:qFormat/>
    <w:uiPriority w:val="0"/>
    <w:pPr>
      <w:spacing w:beforeLines="50" w:afterLines="50" w:line="400" w:lineRule="atLeast"/>
    </w:pPr>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tabs>
        <w:tab w:val="center" w:pos="4153"/>
        <w:tab w:val="right" w:pos="8306"/>
      </w:tabs>
      <w:snapToGrid w:val="0"/>
      <w:jc w:val="center"/>
    </w:pPr>
    <w:rPr>
      <w:sz w:val="18"/>
      <w:szCs w:val="18"/>
    </w:rPr>
  </w:style>
  <w:style w:type="paragraph" w:customStyle="1" w:styleId="12">
    <w:name w:val="正文 A"/>
    <w:qFormat/>
    <w:uiPriority w:val="0"/>
    <w:pPr>
      <w:widowControl w:val="0"/>
      <w:jc w:val="both"/>
    </w:pPr>
    <w:rPr>
      <w:rFonts w:ascii="Calibri" w:hAnsi="Calibri"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2019-06-04T07:04:00Z</dcterms:created>
  <dc:creator>TZ</dc:creator>
  <cp:lastModifiedBy>TZ</cp:lastModifiedBy>
  <dcterms:modified xsi:type="dcterms:W3CDTF">2019-06-04T07:05:52Z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