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项目需求说明</w:t>
      </w:r>
    </w:p>
    <w:p>
      <w:pPr>
        <w:pStyle w:val="5"/>
        <w:rPr>
          <w:color w:val="auto"/>
          <w:highlight w:val="none"/>
        </w:rPr>
      </w:pPr>
      <w:bookmarkStart w:id="0" w:name="_Toc26013"/>
      <w:bookmarkStart w:id="1" w:name="_Toc31327"/>
      <w:bookmarkStart w:id="2" w:name="_Toc1899"/>
      <w:bookmarkStart w:id="3" w:name="_Toc11388"/>
      <w:r>
        <w:rPr>
          <w:rFonts w:hint="eastAsia"/>
          <w:color w:val="auto"/>
          <w:highlight w:val="none"/>
        </w:rPr>
        <w:t>一、</w:t>
      </w:r>
      <w:bookmarkEnd w:id="0"/>
      <w:bookmarkEnd w:id="1"/>
      <w:bookmarkEnd w:id="2"/>
      <w:r>
        <w:rPr>
          <w:rFonts w:hint="eastAsia"/>
          <w:color w:val="auto"/>
          <w:highlight w:val="none"/>
        </w:rPr>
        <w:t>调查目标</w:t>
      </w:r>
      <w:bookmarkEnd w:id="3"/>
    </w:p>
    <w:p>
      <w:pPr>
        <w:tabs>
          <w:tab w:val="left" w:pos="0"/>
        </w:tabs>
        <w:ind w:firstLine="480"/>
        <w:jc w:val="left"/>
        <w:rPr>
          <w:rFonts w:ascii="仿宋" w:hAnsi="仿宋" w:eastAsia="仿宋" w:cs="仿宋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为开展浙江全域旅游产业测算，全面、准确、客观地反映我省旅游业发展状况。通过调查获得相关行业产出中的旅游消费结构，为旅游产业增加值核算提供基础数据和有关资料。</w:t>
      </w:r>
    </w:p>
    <w:p>
      <w:pPr>
        <w:pStyle w:val="5"/>
        <w:rPr>
          <w:color w:val="auto"/>
          <w:highlight w:val="none"/>
        </w:rPr>
      </w:pPr>
      <w:bookmarkStart w:id="4" w:name="_Toc10362"/>
      <w:r>
        <w:rPr>
          <w:rFonts w:hint="eastAsia"/>
          <w:color w:val="auto"/>
          <w:highlight w:val="none"/>
        </w:rPr>
        <w:t>二、调查范围</w:t>
      </w:r>
      <w:bookmarkEnd w:id="4"/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对以下行业进行补充调查：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餐饮业（行业代码：62）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汽车、摩托车、燃料及零配件专门零售（行业代码：526）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公共电汽车客运（行业代码：5411）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城市轨道交通（行业代码：5412）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公共自行车服务（行业代码：5414）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其他城市公共交通（行业代码：5419）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摄影扩印服务（行业代码：8060）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理发及美容服务（行业代码：8040）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洗浴旅游服务(行业代码：8051)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保健旅游服务(行业代码：8052、8053、841)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文艺表演旅游服务（行业代码：8810）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表演场所旅游服务（行业代码：8820）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旅游室内娱乐服务（行业代码：9011、9012、9019）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体育场馆旅游服务（行业代码：892）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旅游健身服务（行业代码：8930）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其他旅游休闲娱乐服务(行业代码：9030、9090)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bookmarkStart w:id="5" w:name="_Toc20687"/>
      <w:r>
        <w:rPr>
          <w:rFonts w:hint="eastAsia" w:ascii="宋体" w:hAnsi="宋体" w:cs="宋体"/>
          <w:bCs/>
          <w:color w:val="auto"/>
          <w:kern w:val="0"/>
          <w:highlight w:val="none"/>
        </w:rPr>
        <w:t>蔬菜、食用菌及园艺作物种植(行业代码：014)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水果种植(行业代码：015)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林产品采集(行业代码：025)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牲畜饲养(行业代码：031)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家禽饲养(行业代码：032)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其他畜牧业(行业代码：039)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水产捕捞(行业代码：042)</w:t>
      </w:r>
    </w:p>
    <w:p>
      <w:pPr>
        <w:tabs>
          <w:tab w:val="left" w:pos="0"/>
        </w:tabs>
        <w:ind w:left="480" w:leftChars="200" w:firstLine="480"/>
        <w:jc w:val="left"/>
        <w:rPr>
          <w:rFonts w:hint="eastAsia"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内陆养殖(行业代码：0412)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三、调查内容</w:t>
      </w:r>
      <w:bookmarkEnd w:id="5"/>
    </w:p>
    <w:p>
      <w:pPr>
        <w:tabs>
          <w:tab w:val="left" w:pos="0"/>
        </w:tabs>
        <w:ind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针对消费者的调查，调查内容为样本单位基本属性，消费者是否为游客，消费情况等。针对经营单位的调查，调查内容为样本单位的基本情况，经营情况等。包括以下调查项目：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02 旅游餐饮游客消费调查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03 旅游出行工具及燃料零售游客消费调查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06 城市公交服务游客消费调查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08 旅游娱乐游客消费调查</w:t>
      </w:r>
    </w:p>
    <w:p>
      <w:pPr>
        <w:tabs>
          <w:tab w:val="left" w:pos="0"/>
        </w:tabs>
        <w:ind w:left="480" w:leftChars="200"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13乡村旅游消费结构调查</w:t>
      </w:r>
    </w:p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106"/>
        <w:gridCol w:w="1515"/>
        <w:gridCol w:w="277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tcBorders>
              <w:tl2br w:val="nil"/>
              <w:tr2bl w:val="nil"/>
            </w:tcBorders>
            <w:shd w:val="clear" w:color="000000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000000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调查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对象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000000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调查区域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000000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涉及行业代码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000000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调查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02旅游餐饮游客消费调查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消费者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分居民区、商业中心区和旅游景区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6210、6620、623、6291、6241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分时段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03 旅游出行工具及燃料零售游客消费调查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消费者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526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一次性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Calibri"/>
                <w:color w:val="auto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highlight w:val="none"/>
              </w:rPr>
              <w:t>06 城市公共交通服务消费调查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cs="Calibri"/>
                <w:color w:val="auto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highlight w:val="none"/>
              </w:rPr>
              <w:t>消费者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</w:tcPr>
          <w:p>
            <w:pPr>
              <w:ind w:firstLine="480"/>
              <w:jc w:val="left"/>
              <w:rPr>
                <w:rFonts w:ascii="宋体" w:hAnsi="宋体" w:cs="Calibri"/>
                <w:color w:val="auto"/>
                <w:highlight w:val="none"/>
              </w:rPr>
            </w:pPr>
          </w:p>
        </w:tc>
        <w:tc>
          <w:tcPr>
            <w:tcW w:w="2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Calibri"/>
                <w:color w:val="auto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highlight w:val="none"/>
              </w:rPr>
              <w:t>5411、5412、5414、5419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一次性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08 旅游娱乐游客消费调查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消费者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分居民区、商业中心区和旅游景区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仿宋_GB2312" w:hAnsi="仿宋" w:eastAsia="仿宋_GB2312" w:cs="Calibri"/>
                <w:color w:val="auto"/>
                <w:highlight w:val="none"/>
              </w:rPr>
              <w:t>8051、8052、8053、841、8040、8060、8810、8820、892、8930、9011、9012、9019、9030、9090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分时段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12乡村旅游消费结构调查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Calibri"/>
                <w:color w:val="auto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highlight w:val="none"/>
              </w:rPr>
              <w:t>行政村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</w:tcPr>
          <w:p>
            <w:pPr>
              <w:ind w:firstLine="480"/>
              <w:jc w:val="left"/>
              <w:rPr>
                <w:rFonts w:ascii="宋体" w:hAnsi="宋体" w:cs="Calibri"/>
                <w:color w:val="auto"/>
                <w:highlight w:val="none"/>
              </w:rPr>
            </w:pPr>
          </w:p>
        </w:tc>
        <w:tc>
          <w:tcPr>
            <w:tcW w:w="2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cs="Calibri"/>
                <w:color w:val="auto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highlight w:val="none"/>
              </w:rPr>
              <w:t>014、015、025、031、032、039、042、0412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一次性</w:t>
            </w:r>
          </w:p>
        </w:tc>
      </w:tr>
    </w:tbl>
    <w:p>
      <w:pPr>
        <w:tabs>
          <w:tab w:val="left" w:pos="0"/>
        </w:tabs>
        <w:ind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6" w:name="_Toc6417"/>
      <w:r>
        <w:rPr>
          <w:rFonts w:hint="eastAsia" w:ascii="宋体" w:hAnsi="宋体" w:cs="宋体"/>
          <w:color w:val="auto"/>
          <w:highlight w:val="none"/>
        </w:rPr>
        <w:t>四、技术要求</w:t>
      </w:r>
      <w:bookmarkEnd w:id="6"/>
    </w:p>
    <w:p>
      <w:pPr>
        <w:tabs>
          <w:tab w:val="left" w:pos="0"/>
        </w:tabs>
        <w:ind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（一）制定调查方案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本次调查全省共设3000个有效样本量，根据调查行业及项目制定《浙江旅游消费结构补充调查》方案，方案内容应包括但不限于：1.调查目的2.调查范围和对象 3.调查时间和内容，并设计相关调查表式 4.抽样方法 5.各行业样本量确定 6.测算方法 7.组织实施方式 8.质量控制。</w:t>
      </w:r>
    </w:p>
    <w:p>
      <w:pPr>
        <w:numPr>
          <w:ilvl w:val="0"/>
          <w:numId w:val="1"/>
        </w:numPr>
        <w:tabs>
          <w:tab w:val="left" w:pos="0"/>
        </w:tabs>
        <w:ind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完成调查配套宣传品设计和制作，数量不少于3000份，调查小礼品要有一定的浙江特色，且小巧方便携带，</w:t>
      </w:r>
      <w:r>
        <w:rPr>
          <w:rFonts w:hint="eastAsia" w:ascii="宋体" w:hAnsi="宋体" w:cs="宋体"/>
          <w:color w:val="auto"/>
          <w:highlight w:val="none"/>
        </w:rPr>
        <w:t>需印上“浙江旅游”LOGO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完成问卷的审核、录入工作并汇总得出调查结果。</w:t>
      </w:r>
    </w:p>
    <w:p>
      <w:pPr>
        <w:numPr>
          <w:ilvl w:val="0"/>
          <w:numId w:val="1"/>
        </w:num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完成《浙江旅游消费结构补充调查报告》。报告内容包括但不限于：1.调查背景和意义 2.调查目标和内容 3.调查结果与分析 4.政策建议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7" w:name="_Toc31224"/>
      <w:r>
        <w:rPr>
          <w:rFonts w:hint="eastAsia" w:ascii="宋体" w:hAnsi="宋体" w:cs="宋体"/>
          <w:color w:val="auto"/>
          <w:highlight w:val="none"/>
        </w:rPr>
        <w:t>五、调查工作要求</w:t>
      </w:r>
      <w:bookmarkEnd w:id="7"/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（一）由中标单位自行组织人员开展调查工作，并负责访问员的培训、陪访和沟通，保证访问人员调查应具备的水平，未经培训的人员一律不得参与本项目。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在省文化和旅游厅、省统计局指导下，中标单位按照要求，采用多阶段、分层、等距和随机抽样相结合的方法确定样本单位。通过问卷调查与访谈调查相结合的形式，按照统一设计的问卷向被调查者当面提出问题，然后再由调查者根据被调查者的口头回答来记录问卷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（三）由中标单位负责现场访问的质量控制，排除不合理问卷，以提高抽样样本的合理性。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（四）由中标单位负责问卷的回收、审核和复核，保证被调查者对前后问题回答的一致性，复核应以交叉抽查的方式进行，复核量不低于有效样本的5%。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（五）由中标单位负责设计并开发数据录入和处理程序，并对数据进行评估，提交数据库、调查结果和评估报告。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（六）调查访问期间产生的交通费、人工费、文印费、被调查者礼品等一切费用由中标单位承担。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（七）中标单位需对项目实施人员开展安全警示教育，项目实施人员在调查期间产生安全事故由中标单位负责，与项目发包单位无关。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（八）具备本地化服务能力或投标人承诺中标公示后在规定时间内（合同签订前）能设立本地服务机构，确保项目的正常开展。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8" w:name="_Toc29161"/>
      <w:r>
        <w:rPr>
          <w:rFonts w:hint="eastAsia" w:ascii="宋体" w:hAnsi="宋体" w:cs="宋体"/>
          <w:color w:val="auto"/>
          <w:highlight w:val="none"/>
        </w:rPr>
        <w:t>六、进度及时间要求</w:t>
      </w:r>
      <w:bookmarkEnd w:id="8"/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（一）2019年11月30日前，完成省级样本选取、访问员培训、现场调查、数据汇总和评估等工作，并提交调查结果：旅游消费结构系数表。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（二）2019年12月31日前提交《浙江省旅游消费结构调查报告》。</w:t>
      </w:r>
    </w:p>
    <w:p>
      <w:pPr>
        <w:pStyle w:val="5"/>
        <w:rPr>
          <w:color w:val="auto"/>
          <w:highlight w:val="none"/>
        </w:rPr>
      </w:pPr>
      <w:bookmarkStart w:id="9" w:name="_Toc8983"/>
      <w:r>
        <w:rPr>
          <w:rFonts w:hint="eastAsia"/>
          <w:color w:val="auto"/>
          <w:highlight w:val="none"/>
        </w:rPr>
        <w:t>七、付款方式</w:t>
      </w:r>
      <w:bookmarkEnd w:id="9"/>
    </w:p>
    <w:p>
      <w:pPr>
        <w:ind w:firstLine="480"/>
        <w:rPr>
          <w:rFonts w:ascii="宋体" w:hAnsi="宋体"/>
          <w:color w:val="auto"/>
          <w:highlight w:val="none"/>
          <w:lang w:val="en-GB"/>
        </w:rPr>
      </w:pPr>
      <w:bookmarkStart w:id="10" w:name="OLE_LINK2"/>
      <w:r>
        <w:rPr>
          <w:rFonts w:hint="eastAsia" w:ascii="宋体" w:hAnsi="宋体"/>
          <w:color w:val="auto"/>
          <w:highlight w:val="none"/>
          <w:lang w:val="en-GB"/>
        </w:rPr>
        <w:t>签订合同后15个工作日内，支付合同总额的80%,</w:t>
      </w:r>
      <w:r>
        <w:rPr>
          <w:rFonts w:hint="eastAsia" w:ascii="宋体" w:hAnsi="宋体" w:cs="宋体"/>
          <w:color w:val="auto"/>
          <w:highlight w:val="none"/>
        </w:rPr>
        <w:t>提交《浙江省旅游消费结构补充调查报告》并验收通过后，支付合同款总额的20%。</w:t>
      </w:r>
    </w:p>
    <w:bookmarkEnd w:id="10"/>
    <w:p>
      <w:pPr>
        <w:pStyle w:val="5"/>
        <w:rPr>
          <w:color w:val="auto"/>
          <w:highlight w:val="none"/>
        </w:rPr>
      </w:pPr>
      <w:bookmarkStart w:id="11" w:name="_Toc18877"/>
      <w:r>
        <w:rPr>
          <w:rFonts w:hint="eastAsia"/>
          <w:color w:val="auto"/>
          <w:highlight w:val="none"/>
        </w:rPr>
        <w:t>八、服务约定</w:t>
      </w:r>
      <w:bookmarkEnd w:id="11"/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1、为保证该项目的顺利实施，在项目实施期间，中标单位需安排专人负责对接、沟通及协调工作；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2、合同签订时按要求签订保密协议。并在项目实施过程中，严格遵守国家相关保密与安全法律法规，遵循采购人各项安全保密制度和规章；</w:t>
      </w:r>
    </w:p>
    <w:p>
      <w:pPr>
        <w:tabs>
          <w:tab w:val="left" w:pos="0"/>
        </w:tabs>
        <w:ind w:firstLine="48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3、要求服务工作人员对工作中涉及到的用户的数据、文件等任何资料进行保密。因工作人员的行为造成泄密等问题由中标人承担相应的责任。</w:t>
      </w:r>
    </w:p>
    <w:p>
      <w:pPr>
        <w:pStyle w:val="5"/>
        <w:rPr>
          <w:color w:val="auto"/>
          <w:highlight w:val="none"/>
        </w:rPr>
      </w:pPr>
      <w:bookmarkStart w:id="12" w:name="_Toc22441"/>
      <w:r>
        <w:rPr>
          <w:rFonts w:hint="eastAsia"/>
          <w:color w:val="auto"/>
          <w:highlight w:val="none"/>
        </w:rPr>
        <w:t>九、合同履行</w:t>
      </w:r>
      <w:bookmarkEnd w:id="12"/>
    </w:p>
    <w:p>
      <w:r>
        <w:rPr>
          <w:rFonts w:hint="eastAsia" w:ascii="宋体" w:hAnsi="宋体" w:cs="宋体"/>
          <w:color w:val="auto"/>
          <w:highlight w:val="none"/>
        </w:rPr>
        <w:t>必须由投标主体履行合同。</w:t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BBD0"/>
    <w:multiLevelType w:val="singleLevel"/>
    <w:tmpl w:val="39A8BB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6ACE"/>
    <w:rsid w:val="46E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/>
      <w:b/>
      <w:bCs/>
      <w:kern w:val="44"/>
      <w:sz w:val="32"/>
      <w:szCs w:val="52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2019-06-20T08:28:00Z</dcterms:created>
  <dc:creator>TZ</dc:creator>
  <cp:lastModifiedBy>TZ</cp:lastModifiedBy>
  <dcterms:modified xsi:type="dcterms:W3CDTF">2019-06-20T08:29:03Z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