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color w:val="auto"/>
          <w:highlight w:val="none"/>
          <w:lang w:val="en-US" w:eastAsia="zh-CN"/>
        </w:rPr>
      </w:pPr>
      <w:r>
        <w:rPr>
          <w:rFonts w:hint="eastAsia"/>
          <w:color w:val="auto"/>
          <w:highlight w:val="none"/>
          <w:lang w:val="en-US" w:eastAsia="zh-CN"/>
        </w:rPr>
        <w:t>一、项目概况</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中国计量大学西校区房产尚未进行确权登记。根据有关规定，应对具备确权条件的房产尽快进行房产的确权登记工作，以便更好的管理学校资产，依法保护相关权益。</w:t>
      </w:r>
    </w:p>
    <w:p>
      <w:pPr>
        <w:pStyle w:val="3"/>
        <w:bidi w:val="0"/>
        <w:rPr>
          <w:rFonts w:hint="eastAsia"/>
          <w:color w:val="auto"/>
          <w:highlight w:val="none"/>
          <w:lang w:val="en-US" w:eastAsia="zh-CN"/>
        </w:rPr>
      </w:pPr>
      <w:r>
        <w:rPr>
          <w:rFonts w:hint="eastAsia"/>
          <w:color w:val="auto"/>
          <w:highlight w:val="none"/>
          <w:lang w:val="en-US" w:eastAsia="zh-CN"/>
        </w:rPr>
        <w:t>二、项目内容：</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中国计量大学西校区西校区不动产登记综合服务，共17处房产，具体分布情况如下：</w:t>
      </w:r>
    </w:p>
    <w:tbl>
      <w:tblPr>
        <w:tblStyle w:val="5"/>
        <w:tblW w:w="8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3313"/>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序号</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房产名称</w:t>
            </w:r>
          </w:p>
        </w:tc>
        <w:tc>
          <w:tcPr>
            <w:tcW w:w="3866"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按建设工程规划许可证面积（m2）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明德楼</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11987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闻厅</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3</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方圆楼</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12385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4</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仰仪楼</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23023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5</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赛博楼</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6</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图书馆</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30254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7</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格致楼</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8</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求是楼+加层</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20257+846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9</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工训中心</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8097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10</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嘉量大会堂</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6992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11</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大学生活动中心</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15726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12</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体育馆</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13</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翔宇楼</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9299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14</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环宇楼</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38230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15</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体育场</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16</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大门、花房</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17</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地下车库</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11783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合计</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263600</w:t>
            </w:r>
          </w:p>
        </w:tc>
      </w:tr>
    </w:tbl>
    <w:p>
      <w:pPr>
        <w:pStyle w:val="3"/>
        <w:bidi w:val="0"/>
        <w:rPr>
          <w:rFonts w:hint="eastAsia"/>
          <w:color w:val="auto"/>
          <w:highlight w:val="none"/>
          <w:lang w:val="en-US" w:eastAsia="zh-CN"/>
        </w:rPr>
      </w:pPr>
      <w:r>
        <w:rPr>
          <w:rFonts w:hint="eastAsia"/>
          <w:color w:val="auto"/>
          <w:highlight w:val="none"/>
          <w:lang w:val="en-US" w:eastAsia="zh-CN"/>
        </w:rPr>
        <w:t>三、工作要求</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1.根据登记办证需要进行不动产宗地测绘（含土地复合验收）及房产测绘。</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2.联系房产档案馆、城建档案馆查档并补充缺失材料。</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3.联系税务部门完成未缴补缴税费核算，协助学校缴纳税款。</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4.组织协调第三方机构或部门完成登记办证工作。</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5.完成权证受理部门送审及完成核准登记，将不动产申请登记的事项记载于不动产登记簿，并取得《不动产权属证书》。</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6.若涉及无法办理不动产证的疑难房产，将办理过程及职能部门答复整理形成书面文字交由采购单位进行定性。</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7.提交的成果资料及份数：杭州市不动产权籍调查成果4份原件、房地产测绘成果报告1份原件、不动产权证书原件1本原件。</w:t>
      </w:r>
    </w:p>
    <w:p>
      <w:pPr>
        <w:pStyle w:val="3"/>
        <w:bidi w:val="0"/>
        <w:rPr>
          <w:rFonts w:hint="eastAsia"/>
          <w:color w:val="auto"/>
          <w:highlight w:val="none"/>
          <w:lang w:val="en-US" w:eastAsia="zh-CN"/>
        </w:rPr>
      </w:pPr>
      <w:r>
        <w:rPr>
          <w:rFonts w:hint="eastAsia"/>
          <w:color w:val="auto"/>
          <w:highlight w:val="none"/>
          <w:lang w:val="en-US" w:eastAsia="zh-CN"/>
        </w:rPr>
        <w:t>四、报价及付费说明</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（1）房产取得《不动产权属证书》的按证书面积，累计各分项合价按实结算；</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（2）房产不能取得《不动产权属证书》，若提供了土地测绘和房产测绘成果，根据各分项单价按实结算。办证服务费不计取。</w:t>
      </w:r>
    </w:p>
    <w:tbl>
      <w:tblPr>
        <w:tblStyle w:val="5"/>
        <w:tblpPr w:leftFromText="180" w:rightFromText="180" w:vertAnchor="text" w:horzAnchor="page" w:tblpX="1283" w:tblpY="239"/>
        <w:tblOverlap w:val="never"/>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755"/>
        <w:gridCol w:w="1554"/>
        <w:gridCol w:w="1913"/>
        <w:gridCol w:w="132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面积（m2）</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综合单价</w:t>
            </w:r>
            <w:r>
              <w:rPr>
                <w:rFonts w:hint="eastAsia" w:ascii="宋体" w:hAnsi="宋体" w:eastAsia="宋体" w:cs="宋体"/>
                <w:color w:val="auto"/>
                <w:kern w:val="0"/>
                <w:sz w:val="24"/>
                <w:szCs w:val="24"/>
                <w:highlight w:val="none"/>
              </w:rPr>
              <w:t>（元/</w:t>
            </w:r>
            <w:r>
              <w:rPr>
                <w:rFonts w:hint="eastAsia" w:ascii="宋体" w:hAnsi="宋体" w:eastAsia="宋体" w:cs="宋体"/>
                <w:color w:val="auto"/>
                <w:sz w:val="24"/>
                <w:szCs w:val="24"/>
                <w:highlight w:val="none"/>
              </w:rPr>
              <w:t>m2</w:t>
            </w:r>
            <w:r>
              <w:rPr>
                <w:rFonts w:hint="eastAsia" w:ascii="宋体" w:hAnsi="宋体" w:eastAsia="宋体" w:cs="宋体"/>
                <w:color w:val="auto"/>
                <w:kern w:val="0"/>
                <w:sz w:val="24"/>
                <w:szCs w:val="24"/>
                <w:highlight w:val="none"/>
              </w:rPr>
              <w:t>）</w:t>
            </w:r>
          </w:p>
        </w:tc>
        <w:tc>
          <w:tcPr>
            <w:tcW w:w="1320"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合价（元）</w:t>
            </w:r>
          </w:p>
        </w:tc>
        <w:tc>
          <w:tcPr>
            <w:tcW w:w="1137"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土地测绘（含土地</w:t>
            </w:r>
            <w:r>
              <w:rPr>
                <w:rFonts w:hint="eastAsia" w:ascii="宋体" w:hAnsi="宋体" w:eastAsia="宋体" w:cs="宋体"/>
                <w:b/>
                <w:bCs/>
                <w:color w:val="auto"/>
                <w:kern w:val="0"/>
                <w:sz w:val="24"/>
                <w:szCs w:val="24"/>
                <w:highlight w:val="none"/>
                <w:lang w:val="en-US" w:eastAsia="zh-CN"/>
              </w:rPr>
              <w:t>复合</w:t>
            </w:r>
            <w:r>
              <w:rPr>
                <w:rFonts w:hint="eastAsia" w:ascii="宋体" w:hAnsi="宋体" w:eastAsia="宋体" w:cs="宋体"/>
                <w:b/>
                <w:bCs/>
                <w:color w:val="auto"/>
                <w:sz w:val="24"/>
                <w:szCs w:val="24"/>
                <w:highlight w:val="none"/>
              </w:rPr>
              <w:t>验收）</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367524</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土地测绘（含土地</w:t>
            </w:r>
            <w:r>
              <w:rPr>
                <w:rFonts w:hint="eastAsia" w:ascii="宋体" w:hAnsi="宋体" w:eastAsia="宋体" w:cs="宋体"/>
                <w:color w:val="auto"/>
                <w:kern w:val="0"/>
                <w:sz w:val="24"/>
                <w:szCs w:val="24"/>
                <w:highlight w:val="none"/>
                <w:lang w:val="en-US" w:eastAsia="zh-CN"/>
              </w:rPr>
              <w:t>复合</w:t>
            </w:r>
            <w:r>
              <w:rPr>
                <w:rFonts w:hint="eastAsia" w:ascii="宋体" w:hAnsi="宋体" w:eastAsia="宋体" w:cs="宋体"/>
                <w:color w:val="auto"/>
                <w:sz w:val="24"/>
                <w:szCs w:val="24"/>
                <w:highlight w:val="none"/>
              </w:rPr>
              <w:t>验收）</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367524</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p>
        </w:tc>
        <w:tc>
          <w:tcPr>
            <w:tcW w:w="2755"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rPr>
              <w:t>房产测绘</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263600</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明德楼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11987</w:t>
            </w:r>
          </w:p>
        </w:tc>
        <w:tc>
          <w:tcPr>
            <w:tcW w:w="1913" w:type="dxa"/>
            <w:vMerge w:val="restart"/>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闻厅</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2514</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方圆楼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12385</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仰仪楼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23023</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赛博楼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22899</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图书馆</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30254</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格致楼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26000</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求是楼+加层</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20257+846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工训中心</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8097</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嘉量大会堂</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6992</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大学生活动中心</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15726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体育馆</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19666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翔宇楼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9299</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14</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环宇楼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38230</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15</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体育场</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2357</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16</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大门、花房</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1285</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17</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地下车库</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11783</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p>
        </w:tc>
        <w:tc>
          <w:tcPr>
            <w:tcW w:w="2755"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办证服务</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263600</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明德楼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11987</w:t>
            </w:r>
          </w:p>
        </w:tc>
        <w:tc>
          <w:tcPr>
            <w:tcW w:w="1913" w:type="dxa"/>
            <w:vMerge w:val="restart"/>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闻厅</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2514</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方圆楼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12385</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仰仪楼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23023</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赛博楼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22899</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图书馆</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30254</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格致楼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26000</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求是楼+加层</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20257+846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工训中心</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8097</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嘉量大会堂</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6992</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大学生活动中心</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15726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体育馆</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19666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翔宇楼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9299</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14</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环宇楼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38230</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15</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体育场</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2357</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16</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大门、花房</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1285</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17</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地下车库</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11783</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p>
        </w:tc>
        <w:tc>
          <w:tcPr>
            <w:tcW w:w="2755"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投标</w:t>
            </w:r>
            <w:r>
              <w:rPr>
                <w:rFonts w:hint="eastAsia" w:ascii="宋体" w:hAnsi="宋体" w:eastAsia="宋体" w:cs="宋体"/>
                <w:b/>
                <w:bCs/>
                <w:color w:val="auto"/>
                <w:kern w:val="0"/>
                <w:sz w:val="24"/>
                <w:szCs w:val="24"/>
                <w:highlight w:val="none"/>
                <w:lang w:val="en-US" w:eastAsia="zh-CN"/>
              </w:rPr>
              <w:t>总报价</w:t>
            </w:r>
          </w:p>
        </w:tc>
        <w:tc>
          <w:tcPr>
            <w:tcW w:w="3467"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一+二+三</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b/>
                <w:bCs/>
                <w:color w:val="auto"/>
                <w:kern w:val="0"/>
                <w:sz w:val="24"/>
                <w:szCs w:val="24"/>
                <w:highlight w:val="none"/>
                <w:lang w:val="en-US" w:eastAsia="zh-CN"/>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4"/>
                <w:szCs w:val="24"/>
                <w:highlight w:val="none"/>
              </w:rPr>
            </w:pPr>
          </w:p>
        </w:tc>
      </w:tr>
    </w:tbl>
    <w:p>
      <w:pPr>
        <w:pStyle w:val="2"/>
        <w:ind w:left="0" w:leftChars="0" w:firstLine="0" w:firstLineChars="0"/>
        <w:rPr>
          <w:rFonts w:hint="default" w:ascii="Arial" w:hAnsi="宋体" w:eastAsia="宋体" w:cs="Arial"/>
          <w:color w:val="auto"/>
          <w:kern w:val="0"/>
          <w:szCs w:val="21"/>
          <w:highlight w:val="none"/>
          <w:lang w:val="en-US" w:eastAsia="zh-CN"/>
        </w:rPr>
      </w:pPr>
      <w:r>
        <w:rPr>
          <w:rFonts w:hint="default" w:ascii="Arial" w:hAnsi="宋体" w:eastAsia="宋体" w:cs="Arial"/>
          <w:color w:val="auto"/>
          <w:kern w:val="0"/>
          <w:szCs w:val="21"/>
          <w:highlight w:val="none"/>
          <w:lang w:val="en-US" w:eastAsia="zh-CN"/>
        </w:rPr>
        <w:t>注：1、表中土地测绘面积为土地证使用权面积；房产测绘、办证服务面积为建设工程规划许可证面积；</w:t>
      </w:r>
    </w:p>
    <w:p>
      <w:pPr>
        <w:pStyle w:val="2"/>
        <w:rPr>
          <w:rFonts w:hint="default" w:ascii="Arial" w:hAnsi="宋体" w:eastAsia="宋体" w:cs="Arial"/>
          <w:color w:val="auto"/>
          <w:kern w:val="0"/>
          <w:szCs w:val="21"/>
          <w:highlight w:val="none"/>
          <w:lang w:val="en-US" w:eastAsia="zh-CN"/>
        </w:rPr>
      </w:pPr>
      <w:r>
        <w:rPr>
          <w:rFonts w:hint="eastAsia" w:ascii="Arial" w:hAnsi="宋体" w:eastAsia="宋体" w:cs="Arial"/>
          <w:color w:val="auto"/>
          <w:kern w:val="0"/>
          <w:szCs w:val="21"/>
          <w:highlight w:val="none"/>
          <w:lang w:val="en-US" w:eastAsia="zh-CN"/>
        </w:rPr>
        <w:t>2、</w:t>
      </w:r>
      <w:r>
        <w:rPr>
          <w:rFonts w:hint="default" w:ascii="Arial" w:hAnsi="宋体" w:eastAsia="宋体" w:cs="Arial"/>
          <w:color w:val="auto"/>
          <w:kern w:val="0"/>
          <w:szCs w:val="21"/>
          <w:highlight w:val="none"/>
          <w:lang w:val="en-US" w:eastAsia="zh-CN"/>
        </w:rPr>
        <w:t>所有单体的房产测绘综合单价应相同，不允许不平衡报价。</w:t>
      </w:r>
    </w:p>
    <w:p>
      <w:pPr>
        <w:pStyle w:val="2"/>
        <w:rPr>
          <w:rFonts w:hint="default" w:ascii="Arial" w:hAnsi="宋体" w:eastAsia="宋体" w:cs="Arial"/>
          <w:color w:val="auto"/>
          <w:kern w:val="0"/>
          <w:szCs w:val="21"/>
          <w:highlight w:val="none"/>
          <w:lang w:val="en-US" w:eastAsia="zh-CN"/>
        </w:rPr>
      </w:pPr>
      <w:r>
        <w:rPr>
          <w:rFonts w:hint="eastAsia" w:ascii="Arial" w:hAnsi="宋体" w:eastAsia="宋体" w:cs="Arial"/>
          <w:color w:val="auto"/>
          <w:kern w:val="0"/>
          <w:szCs w:val="21"/>
          <w:highlight w:val="none"/>
          <w:lang w:val="en-US" w:eastAsia="zh-CN"/>
        </w:rPr>
        <w:t>3、</w:t>
      </w:r>
      <w:r>
        <w:rPr>
          <w:rFonts w:hint="default" w:ascii="Arial" w:hAnsi="宋体" w:eastAsia="宋体" w:cs="Arial"/>
          <w:color w:val="auto"/>
          <w:kern w:val="0"/>
          <w:szCs w:val="21"/>
          <w:highlight w:val="none"/>
          <w:lang w:val="en-US" w:eastAsia="zh-CN"/>
        </w:rPr>
        <w:t>所有单体的办证服务综合单价应相同，不允许不平衡报价。</w:t>
      </w:r>
    </w:p>
    <w:p>
      <w:pPr>
        <w:pStyle w:val="2"/>
        <w:rPr>
          <w:rFonts w:hint="eastAsia" w:ascii="Arial" w:hAnsi="宋体" w:cs="Arial"/>
          <w:color w:val="auto"/>
          <w:kern w:val="0"/>
          <w:szCs w:val="21"/>
          <w:highlight w:val="none"/>
          <w:lang w:val="en-US" w:eastAsia="zh-CN"/>
        </w:rPr>
      </w:pPr>
      <w:r>
        <w:rPr>
          <w:rFonts w:hint="eastAsia" w:ascii="Arial" w:hAnsi="宋体" w:eastAsia="宋体" w:cs="Arial"/>
          <w:color w:val="auto"/>
          <w:kern w:val="0"/>
          <w:szCs w:val="21"/>
          <w:highlight w:val="none"/>
          <w:lang w:val="en-US" w:eastAsia="zh-CN"/>
        </w:rPr>
        <w:t>4、</w:t>
      </w:r>
      <w:r>
        <w:rPr>
          <w:rFonts w:hint="default" w:ascii="Arial" w:hAnsi="宋体" w:eastAsia="宋体" w:cs="Arial"/>
          <w:color w:val="auto"/>
          <w:kern w:val="0"/>
          <w:szCs w:val="21"/>
          <w:highlight w:val="none"/>
          <w:lang w:val="en-US" w:eastAsia="zh-CN"/>
        </w:rPr>
        <w:t>上</w:t>
      </w:r>
      <w:r>
        <w:rPr>
          <w:rFonts w:hint="eastAsia" w:ascii="Arial" w:hAnsi="宋体" w:eastAsia="宋体" w:cs="Arial"/>
          <w:color w:val="auto"/>
          <w:kern w:val="0"/>
          <w:szCs w:val="21"/>
          <w:highlight w:val="none"/>
          <w:lang w:val="en-US" w:eastAsia="zh-CN"/>
        </w:rPr>
        <w:t>表中</w:t>
      </w:r>
      <w:r>
        <w:rPr>
          <w:rFonts w:hint="default" w:ascii="Arial" w:hAnsi="宋体" w:eastAsia="宋体" w:cs="Arial"/>
          <w:color w:val="auto"/>
          <w:kern w:val="0"/>
          <w:szCs w:val="21"/>
          <w:highlight w:val="none"/>
          <w:lang w:val="en-US" w:eastAsia="zh-CN"/>
        </w:rPr>
        <w:t>面积为</w:t>
      </w:r>
      <w:r>
        <w:rPr>
          <w:rFonts w:hint="eastAsia" w:ascii="Arial" w:hAnsi="宋体" w:cs="Arial"/>
          <w:color w:val="auto"/>
          <w:kern w:val="0"/>
          <w:szCs w:val="21"/>
          <w:highlight w:val="none"/>
          <w:lang w:val="en-US" w:eastAsia="zh-CN"/>
        </w:rPr>
        <w:t>投标</w:t>
      </w:r>
      <w:r>
        <w:rPr>
          <w:rFonts w:hint="default" w:ascii="Arial" w:hAnsi="宋体" w:eastAsia="宋体" w:cs="Arial"/>
          <w:color w:val="auto"/>
          <w:kern w:val="0"/>
          <w:szCs w:val="21"/>
          <w:highlight w:val="none"/>
          <w:lang w:val="en-US" w:eastAsia="zh-CN"/>
        </w:rPr>
        <w:t>报价的依据，不得更改；最终结算以本次测绘成果资料记载的面积为准。</w:t>
      </w:r>
    </w:p>
    <w:p>
      <w:pPr>
        <w:pStyle w:val="3"/>
        <w:bidi w:val="0"/>
        <w:rPr>
          <w:rFonts w:hint="eastAsia"/>
          <w:color w:val="auto"/>
          <w:highlight w:val="none"/>
        </w:rPr>
      </w:pPr>
      <w:bookmarkStart w:id="0" w:name="_Toc29350"/>
      <w:bookmarkStart w:id="1" w:name="_Toc124_WPSOffice_Level2"/>
      <w:bookmarkStart w:id="2" w:name="_Toc12241"/>
      <w:r>
        <w:rPr>
          <w:rFonts w:hint="eastAsia"/>
          <w:color w:val="auto"/>
          <w:highlight w:val="none"/>
          <w:lang w:val="en-US" w:eastAsia="zh-CN"/>
        </w:rPr>
        <w:t>五</w:t>
      </w:r>
      <w:r>
        <w:rPr>
          <w:rFonts w:hint="eastAsia"/>
          <w:color w:val="auto"/>
          <w:highlight w:val="none"/>
        </w:rPr>
        <w:t>、履约保证金：</w:t>
      </w:r>
      <w:bookmarkEnd w:id="0"/>
      <w:bookmarkEnd w:id="1"/>
      <w:bookmarkEnd w:id="2"/>
    </w:p>
    <w:p>
      <w:pPr>
        <w:pStyle w:val="7"/>
        <w:spacing w:line="360" w:lineRule="auto"/>
        <w:ind w:firstLine="420"/>
        <w:rPr>
          <w:rFonts w:hint="eastAsia" w:cs="Arial"/>
          <w:color w:val="auto"/>
          <w:highlight w:val="none"/>
        </w:rPr>
      </w:pPr>
      <w:r>
        <w:rPr>
          <w:rFonts w:hint="eastAsia" w:cs="Arial"/>
          <w:color w:val="auto"/>
          <w:highlight w:val="none"/>
        </w:rPr>
        <w:t>1、在合同签订前，向</w:t>
      </w:r>
      <w:r>
        <w:rPr>
          <w:rFonts w:hint="eastAsia" w:cs="Arial"/>
          <w:color w:val="auto"/>
          <w:highlight w:val="none"/>
          <w:lang w:val="en-US" w:eastAsia="zh-CN"/>
        </w:rPr>
        <w:t>采购人</w:t>
      </w:r>
      <w:r>
        <w:rPr>
          <w:rFonts w:hint="eastAsia" w:cs="Arial"/>
          <w:color w:val="auto"/>
          <w:highlight w:val="none"/>
        </w:rPr>
        <w:t>缴纳合同总价的</w:t>
      </w:r>
      <w:r>
        <w:rPr>
          <w:rFonts w:hint="eastAsia" w:cs="Arial"/>
          <w:color w:val="auto"/>
          <w:highlight w:val="none"/>
          <w:lang w:val="en-US" w:eastAsia="zh-CN"/>
        </w:rPr>
        <w:t>5</w:t>
      </w:r>
      <w:r>
        <w:rPr>
          <w:rFonts w:hint="eastAsia" w:cs="Arial"/>
          <w:color w:val="auto"/>
          <w:highlight w:val="none"/>
        </w:rPr>
        <w:t>%作为履约保证金。履约保证金在服务期满（提交了成果资料且通过</w:t>
      </w:r>
      <w:r>
        <w:rPr>
          <w:rFonts w:hint="eastAsia" w:cs="Arial"/>
          <w:color w:val="auto"/>
          <w:highlight w:val="none"/>
          <w:lang w:val="en-US" w:eastAsia="zh-CN"/>
        </w:rPr>
        <w:t>不动产办证审核</w:t>
      </w:r>
      <w:r>
        <w:rPr>
          <w:rFonts w:hint="eastAsia" w:cs="Arial"/>
          <w:color w:val="auto"/>
          <w:highlight w:val="none"/>
        </w:rPr>
        <w:t>）后，一个月内返还。</w:t>
      </w:r>
    </w:p>
    <w:p>
      <w:pPr>
        <w:pStyle w:val="7"/>
        <w:spacing w:line="360" w:lineRule="auto"/>
        <w:ind w:firstLine="420"/>
        <w:rPr>
          <w:rFonts w:hint="eastAsia" w:cs="Arial"/>
          <w:color w:val="auto"/>
          <w:highlight w:val="none"/>
        </w:rPr>
      </w:pPr>
      <w:r>
        <w:rPr>
          <w:rFonts w:hint="eastAsia" w:cs="Arial"/>
          <w:color w:val="auto"/>
          <w:highlight w:val="none"/>
        </w:rPr>
        <w:t>2、履约保证金用于补偿甲方因乙方不能履行其合同义务而蒙受的损失。</w:t>
      </w:r>
    </w:p>
    <w:p>
      <w:pPr>
        <w:pStyle w:val="7"/>
        <w:spacing w:line="360" w:lineRule="auto"/>
        <w:ind w:firstLine="420"/>
        <w:rPr>
          <w:rFonts w:hint="eastAsia" w:cs="Arial"/>
          <w:color w:val="auto"/>
          <w:highlight w:val="none"/>
        </w:rPr>
      </w:pPr>
      <w:r>
        <w:rPr>
          <w:rFonts w:hint="eastAsia" w:cs="Arial"/>
          <w:color w:val="auto"/>
          <w:highlight w:val="none"/>
        </w:rPr>
        <w:t>3、如果乙方未能按合同规定履行其义务，甲方有权从履约保证金中取得补偿。</w:t>
      </w:r>
    </w:p>
    <w:p>
      <w:pPr>
        <w:pStyle w:val="3"/>
        <w:bidi w:val="0"/>
        <w:rPr>
          <w:rFonts w:hint="eastAsia"/>
          <w:color w:val="auto"/>
          <w:highlight w:val="none"/>
        </w:rPr>
      </w:pPr>
      <w:bookmarkStart w:id="3" w:name="_Toc24080"/>
      <w:bookmarkStart w:id="4" w:name="_Toc29140_WPSOffice_Level2"/>
      <w:bookmarkStart w:id="5" w:name="_Toc14152"/>
      <w:r>
        <w:rPr>
          <w:rFonts w:hint="eastAsia"/>
          <w:color w:val="auto"/>
          <w:highlight w:val="none"/>
          <w:lang w:val="en-US" w:eastAsia="zh-CN"/>
        </w:rPr>
        <w:t>六</w:t>
      </w:r>
      <w:r>
        <w:rPr>
          <w:rFonts w:hint="eastAsia"/>
          <w:color w:val="auto"/>
          <w:highlight w:val="none"/>
        </w:rPr>
        <w:t>、其他</w:t>
      </w:r>
      <w:bookmarkEnd w:id="3"/>
      <w:bookmarkEnd w:id="4"/>
      <w:bookmarkEnd w:id="5"/>
    </w:p>
    <w:p>
      <w:pPr>
        <w:pStyle w:val="7"/>
        <w:spacing w:line="360" w:lineRule="auto"/>
        <w:ind w:firstLine="420"/>
        <w:rPr>
          <w:rFonts w:hint="eastAsia" w:cs="Arial"/>
          <w:color w:val="auto"/>
          <w:highlight w:val="none"/>
        </w:rPr>
      </w:pPr>
      <w:r>
        <w:rPr>
          <w:rFonts w:hint="eastAsia" w:cs="Arial"/>
          <w:color w:val="auto"/>
          <w:highlight w:val="none"/>
        </w:rPr>
        <w:t>项目成果所有权和使用权均属于</w:t>
      </w:r>
      <w:r>
        <w:rPr>
          <w:rFonts w:hint="eastAsia" w:cs="Arial"/>
          <w:color w:val="auto"/>
          <w:highlight w:val="none"/>
          <w:lang w:val="en-US" w:eastAsia="zh-CN"/>
        </w:rPr>
        <w:t>中国计量大学</w:t>
      </w:r>
      <w:r>
        <w:rPr>
          <w:rFonts w:hint="eastAsia" w:cs="Arial"/>
          <w:color w:val="auto"/>
          <w:highlight w:val="none"/>
        </w:rPr>
        <w:t>。投标人未经同意不得外传，否则承担由此产生的一切法律和经济责任。未经允许，任何单位和个人不得转让和使用本项目的成果。</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15FBC"/>
    <w:rsid w:val="4FC15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3"/>
    <w:basedOn w:val="1"/>
    <w:next w:val="1"/>
    <w:qFormat/>
    <w:uiPriority w:val="0"/>
    <w:pPr>
      <w:keepNext/>
      <w:keepLines/>
      <w:ind w:firstLine="0" w:firstLineChars="0"/>
      <w:outlineLvl w:val="2"/>
    </w:pPr>
    <w:rPr>
      <w:b/>
      <w:bCs/>
      <w:szCs w:val="32"/>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0"/>
    <w:pPr>
      <w:spacing w:line="240" w:lineRule="auto"/>
      <w:ind w:firstLine="420" w:firstLineChars="0"/>
    </w:pPr>
    <w:rPr>
      <w:sz w:val="21"/>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样式1"/>
    <w:basedOn w:val="1"/>
    <w:qFormat/>
    <w:uiPriority w:val="0"/>
    <w:pPr>
      <w:spacing w:line="360" w:lineRule="exact"/>
    </w:pPr>
    <w:rPr>
      <w:rFonts w:ascii="Arial" w:hAnsi="Arial"/>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2019-06-12T07:23:00Z</dcterms:created>
  <dc:creator>TZ</dc:creator>
  <cp:lastModifiedBy>TZ</cp:lastModifiedBy>
  <dcterms:modified xsi:type="dcterms:W3CDTF">2019-06-12T07:24:40Z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