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color w:val="auto"/>
          <w:highlight w:val="none"/>
        </w:rPr>
      </w:pPr>
      <w:r>
        <w:rPr>
          <w:rFonts w:hint="eastAsia" w:cs="宋体"/>
          <w:color w:val="auto"/>
          <w:highlight w:val="none"/>
        </w:rPr>
        <w:t>项目需求说明</w:t>
      </w:r>
    </w:p>
    <w:p>
      <w:pPr>
        <w:pStyle w:val="5"/>
        <w:rPr>
          <w:rFonts w:ascii="宋体" w:hAnsi="宋体" w:cs="宋体"/>
          <w:color w:val="auto"/>
          <w:sz w:val="24"/>
          <w:szCs w:val="40"/>
          <w:highlight w:val="none"/>
        </w:rPr>
      </w:pPr>
      <w:bookmarkStart w:id="0" w:name="_Toc18187"/>
      <w:bookmarkStart w:id="1" w:name="_Toc21112"/>
      <w:r>
        <w:rPr>
          <w:rFonts w:hint="eastAsia" w:ascii="宋体" w:hAnsi="宋体" w:cs="宋体"/>
          <w:color w:val="auto"/>
          <w:sz w:val="24"/>
          <w:szCs w:val="40"/>
          <w:highlight w:val="none"/>
        </w:rPr>
        <w:t>一、</w:t>
      </w:r>
      <w:bookmarkEnd w:id="0"/>
      <w:bookmarkEnd w:id="1"/>
      <w:r>
        <w:rPr>
          <w:rFonts w:hint="eastAsia" w:ascii="宋体" w:hAnsi="宋体" w:cs="宋体"/>
          <w:color w:val="auto"/>
          <w:sz w:val="24"/>
          <w:szCs w:val="40"/>
          <w:highlight w:val="none"/>
        </w:rPr>
        <w:t>项目概况</w:t>
      </w:r>
    </w:p>
    <w:p>
      <w:pPr>
        <w:ind w:firstLine="480"/>
        <w:rPr>
          <w:rFonts w:cs="Arial"/>
          <w:color w:val="auto"/>
          <w:highlight w:val="none"/>
        </w:rPr>
      </w:pPr>
      <w:r>
        <w:rPr>
          <w:rFonts w:hint="eastAsia" w:cs="Arial"/>
          <w:color w:val="auto"/>
          <w:highlight w:val="none"/>
        </w:rPr>
        <w:t>标项一：景观雕塑项目的设计、制作、安装，基础部分的设计复核及调整、基础部分施工、预埋件安装等内容。</w:t>
      </w:r>
    </w:p>
    <w:p>
      <w:pPr>
        <w:ind w:firstLine="480"/>
        <w:rPr>
          <w:rFonts w:cs="Arial"/>
          <w:color w:val="auto"/>
          <w:highlight w:val="none"/>
        </w:rPr>
      </w:pPr>
      <w:r>
        <w:rPr>
          <w:rFonts w:hint="eastAsia" w:cs="Arial"/>
          <w:color w:val="auto"/>
          <w:highlight w:val="none"/>
        </w:rPr>
        <w:t>标项二：景观雕塑光环境的设计、制作、安装等内容。</w:t>
      </w:r>
    </w:p>
    <w:p>
      <w:pPr>
        <w:ind w:firstLine="480"/>
        <w:rPr>
          <w:rFonts w:cs="Arial"/>
          <w:color w:val="auto"/>
          <w:highlight w:val="none"/>
        </w:rPr>
      </w:pPr>
      <w:r>
        <w:rPr>
          <w:rFonts w:hint="eastAsia" w:cs="Arial"/>
          <w:color w:val="auto"/>
          <w:highlight w:val="none"/>
        </w:rPr>
        <w:t>设计需结合当地文化为设计理念，对文化中心环境起到“画龙点睛”的作用。</w:t>
      </w:r>
    </w:p>
    <w:p>
      <w:pPr>
        <w:ind w:firstLine="480"/>
        <w:rPr>
          <w:rFonts w:cs="Arial"/>
          <w:color w:val="auto"/>
          <w:highlight w:val="none"/>
        </w:rPr>
      </w:pPr>
      <w:r>
        <w:rPr>
          <w:rFonts w:hint="eastAsia" w:cs="Arial"/>
          <w:color w:val="auto"/>
          <w:highlight w:val="none"/>
        </w:rPr>
        <w:t>雕塑设计要求具有独特的艺术风格，强调唯一性，要求与环境作为整体进行考虑。要求项目的运营策划调性及景观设计调性。要求有一定的创新和互动成分。</w:t>
      </w:r>
    </w:p>
    <w:p>
      <w:pPr>
        <w:ind w:firstLine="480"/>
        <w:rPr>
          <w:rFonts w:cs="Arial"/>
          <w:color w:val="auto"/>
          <w:highlight w:val="none"/>
        </w:rPr>
      </w:pPr>
      <w:r>
        <w:rPr>
          <w:rFonts w:hint="eastAsia" w:cs="Arial"/>
          <w:color w:val="auto"/>
          <w:highlight w:val="none"/>
        </w:rPr>
        <w:t>本项目为交钥匙项目，投标人的投标报价包括交钥匙项目所需的全部费用，诸如完成本项目所需的雕塑方案设计、方案深化、方案调整、修改和完善、方案报批及评审、雕塑整体制作、安装、维护保修费等投标人认为完成本项目所需的一切含税费用。</w:t>
      </w:r>
    </w:p>
    <w:p>
      <w:pPr>
        <w:pStyle w:val="5"/>
        <w:rPr>
          <w:rFonts w:ascii="宋体" w:hAnsi="宋体" w:cs="宋体"/>
          <w:color w:val="auto"/>
          <w:sz w:val="24"/>
          <w:szCs w:val="40"/>
          <w:highlight w:val="none"/>
        </w:rPr>
      </w:pPr>
      <w:r>
        <w:rPr>
          <w:rFonts w:hint="eastAsia" w:ascii="宋体" w:hAnsi="宋体" w:cs="宋体"/>
          <w:color w:val="auto"/>
          <w:sz w:val="24"/>
          <w:szCs w:val="40"/>
          <w:highlight w:val="none"/>
        </w:rPr>
        <w:t>二、具体技术要求</w:t>
      </w:r>
      <w:bookmarkStart w:id="2" w:name="_GoBack"/>
      <w:bookmarkEnd w:id="2"/>
    </w:p>
    <w:p>
      <w:pPr>
        <w:pStyle w:val="6"/>
        <w:rPr>
          <w:color w:val="auto"/>
          <w:szCs w:val="40"/>
          <w:highlight w:val="none"/>
        </w:rPr>
      </w:pPr>
      <w:r>
        <w:rPr>
          <w:rFonts w:hint="eastAsia"/>
          <w:color w:val="auto"/>
          <w:szCs w:val="40"/>
          <w:highlight w:val="none"/>
        </w:rPr>
        <w:t>1.设计要求：</w:t>
      </w:r>
    </w:p>
    <w:p>
      <w:pPr>
        <w:ind w:firstLine="480"/>
        <w:rPr>
          <w:color w:val="auto"/>
          <w:highlight w:val="none"/>
        </w:rPr>
      </w:pPr>
      <w:r>
        <w:rPr>
          <w:rFonts w:hint="eastAsia"/>
          <w:color w:val="auto"/>
          <w:highlight w:val="none"/>
        </w:rPr>
        <w:t>尺寸:  暂定高度</w:t>
      </w:r>
      <w:r>
        <w:rPr>
          <w:color w:val="auto"/>
          <w:highlight w:val="none"/>
        </w:rPr>
        <w:t>6</w:t>
      </w:r>
      <w:r>
        <w:rPr>
          <w:rFonts w:hint="eastAsia"/>
          <w:color w:val="auto"/>
          <w:highlight w:val="none"/>
        </w:rPr>
        <w:t>米；材质建议：锈铁；数量：1个。</w:t>
      </w:r>
    </w:p>
    <w:p>
      <w:pPr>
        <w:pStyle w:val="6"/>
        <w:rPr>
          <w:color w:val="auto"/>
          <w:szCs w:val="40"/>
          <w:highlight w:val="none"/>
        </w:rPr>
      </w:pPr>
      <w:r>
        <w:rPr>
          <w:rFonts w:hint="eastAsia"/>
          <w:color w:val="auto"/>
          <w:szCs w:val="40"/>
          <w:highlight w:val="none"/>
        </w:rPr>
        <w:t>2、设计依据</w:t>
      </w:r>
    </w:p>
    <w:p>
      <w:pPr>
        <w:ind w:firstLine="480"/>
        <w:rPr>
          <w:color w:val="auto"/>
          <w:highlight w:val="none"/>
        </w:rPr>
      </w:pPr>
      <w:r>
        <w:rPr>
          <w:rFonts w:hint="eastAsia"/>
          <w:color w:val="auto"/>
          <w:highlight w:val="none"/>
        </w:rPr>
        <w:t>1.本设计任务书及附件</w:t>
      </w:r>
      <w:r>
        <w:rPr>
          <w:rFonts w:hint="eastAsia"/>
          <w:color w:val="auto"/>
          <w:highlight w:val="none"/>
        </w:rPr>
        <w:tab/>
      </w:r>
    </w:p>
    <w:p>
      <w:pPr>
        <w:ind w:firstLine="480"/>
        <w:rPr>
          <w:color w:val="auto"/>
          <w:highlight w:val="none"/>
        </w:rPr>
      </w:pPr>
      <w:r>
        <w:rPr>
          <w:rFonts w:hint="eastAsia"/>
          <w:color w:val="auto"/>
          <w:highlight w:val="none"/>
        </w:rPr>
        <w:t>2.上位规划、景观、建筑设计成果和对空间环境及调性的交底</w:t>
      </w:r>
    </w:p>
    <w:p>
      <w:pPr>
        <w:ind w:firstLine="480"/>
        <w:rPr>
          <w:color w:val="auto"/>
          <w:highlight w:val="none"/>
        </w:rPr>
      </w:pPr>
      <w:r>
        <w:rPr>
          <w:rFonts w:hint="eastAsia"/>
          <w:color w:val="auto"/>
          <w:highlight w:val="none"/>
        </w:rPr>
        <w:t>3.国家现行相关行业设计及施工规范</w:t>
      </w:r>
    </w:p>
    <w:p>
      <w:pPr>
        <w:pStyle w:val="6"/>
        <w:rPr>
          <w:color w:val="auto"/>
          <w:szCs w:val="40"/>
          <w:highlight w:val="none"/>
        </w:rPr>
      </w:pPr>
      <w:r>
        <w:rPr>
          <w:rFonts w:hint="eastAsia"/>
          <w:color w:val="auto"/>
          <w:szCs w:val="40"/>
          <w:highlight w:val="none"/>
        </w:rPr>
        <w:t>3、设计各阶段成果内容要求</w:t>
      </w:r>
    </w:p>
    <w:p>
      <w:pPr>
        <w:ind w:firstLine="480"/>
        <w:rPr>
          <w:color w:val="auto"/>
          <w:highlight w:val="none"/>
        </w:rPr>
      </w:pPr>
      <w:r>
        <w:rPr>
          <w:rFonts w:hint="eastAsia"/>
          <w:color w:val="auto"/>
          <w:highlight w:val="none"/>
        </w:rPr>
        <w:t xml:space="preserve">1.方案深化阶段 - 提供方案文本及电子档模型 ；  </w:t>
      </w:r>
    </w:p>
    <w:p>
      <w:pPr>
        <w:ind w:firstLine="480"/>
        <w:rPr>
          <w:color w:val="auto"/>
          <w:highlight w:val="none"/>
        </w:rPr>
      </w:pPr>
      <w:r>
        <w:rPr>
          <w:rFonts w:hint="eastAsia"/>
          <w:color w:val="auto"/>
          <w:highlight w:val="none"/>
        </w:rPr>
        <w:t>2.招标图阶段 - 提供施工图所需一切深度文件；</w:t>
      </w:r>
    </w:p>
    <w:p>
      <w:pPr>
        <w:ind w:firstLine="480"/>
        <w:rPr>
          <w:color w:val="auto"/>
          <w:highlight w:val="none"/>
        </w:rPr>
      </w:pPr>
      <w:r>
        <w:rPr>
          <w:rFonts w:hint="eastAsia"/>
          <w:color w:val="auto"/>
          <w:highlight w:val="none"/>
        </w:rPr>
        <w:t>3.附件：招标雕塑点位图.。</w:t>
      </w:r>
    </w:p>
    <w:p>
      <w:pPr>
        <w:pStyle w:val="7"/>
        <w:ind w:firstLine="0"/>
        <w:rPr>
          <w:rFonts w:ascii="Arial" w:hAnsi="宋体" w:cs="Arial"/>
          <w:color w:val="auto"/>
          <w:kern w:val="0"/>
          <w:szCs w:val="21"/>
          <w:highlight w:val="none"/>
        </w:rPr>
      </w:pPr>
      <w:r>
        <w:rPr>
          <w:rFonts w:ascii="微软雅黑" w:hAnsi="微软雅黑" w:eastAsia="微软雅黑"/>
          <w:color w:val="auto"/>
          <w:sz w:val="22"/>
          <w:highlight w:val="none"/>
        </w:rPr>
        <w:drawing>
          <wp:inline distT="0" distB="0" distL="114300" distR="114300">
            <wp:extent cx="5273675" cy="2510155"/>
            <wp:effectExtent l="0" t="0" r="3175" b="444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stretch>
                      <a:fillRect/>
                    </a:stretch>
                  </pic:blipFill>
                  <pic:spPr>
                    <a:xfrm>
                      <a:off x="0" y="0"/>
                      <a:ext cx="5273675" cy="2510155"/>
                    </a:xfrm>
                    <a:prstGeom prst="rect">
                      <a:avLst/>
                    </a:prstGeom>
                    <a:noFill/>
                    <a:ln>
                      <a:noFill/>
                    </a:ln>
                  </pic:spPr>
                </pic:pic>
              </a:graphicData>
            </a:graphic>
          </wp:inline>
        </w:drawing>
      </w:r>
    </w:p>
    <w:p>
      <w:pPr>
        <w:pStyle w:val="7"/>
        <w:ind w:firstLine="0"/>
        <w:rPr>
          <w:rFonts w:ascii="Arial" w:hAnsi="宋体" w:cs="Arial"/>
          <w:color w:val="auto"/>
          <w:kern w:val="0"/>
          <w:szCs w:val="21"/>
          <w:highlight w:val="none"/>
        </w:rPr>
      </w:pPr>
    </w:p>
    <w:p>
      <w:pPr>
        <w:pStyle w:val="7"/>
        <w:ind w:firstLine="0"/>
        <w:rPr>
          <w:rFonts w:ascii="Arial" w:hAnsi="宋体" w:cs="Arial"/>
          <w:color w:val="auto"/>
          <w:kern w:val="0"/>
          <w:szCs w:val="21"/>
          <w:highlight w:val="none"/>
        </w:rPr>
      </w:pPr>
    </w:p>
    <w:p>
      <w:pPr>
        <w:pStyle w:val="5"/>
        <w:rPr>
          <w:rFonts w:ascii="宋体" w:hAnsi="宋体" w:cs="宋体"/>
          <w:color w:val="auto"/>
          <w:sz w:val="24"/>
          <w:szCs w:val="40"/>
          <w:highlight w:val="none"/>
        </w:rPr>
      </w:pPr>
      <w:r>
        <w:rPr>
          <w:rFonts w:hint="eastAsia" w:ascii="宋体" w:hAnsi="宋体" w:cs="宋体"/>
          <w:color w:val="auto"/>
          <w:sz w:val="24"/>
          <w:szCs w:val="40"/>
          <w:highlight w:val="none"/>
        </w:rPr>
        <w:t>三、商务要求：</w:t>
      </w:r>
    </w:p>
    <w:p>
      <w:pPr>
        <w:ind w:firstLine="480"/>
        <w:rPr>
          <w:rFonts w:ascii="宋体" w:hAnsi="宋体" w:cs="宋体"/>
          <w:color w:val="auto"/>
          <w:szCs w:val="32"/>
          <w:highlight w:val="none"/>
        </w:rPr>
      </w:pPr>
      <w:r>
        <w:rPr>
          <w:rFonts w:hint="eastAsia" w:ascii="宋体" w:hAnsi="宋体" w:cs="宋体"/>
          <w:color w:val="auto"/>
          <w:szCs w:val="32"/>
          <w:highlight w:val="none"/>
        </w:rPr>
        <w:t>1、质保期限：保修期二年，时间自产品最终验收合格并交付使用之日起计算。</w:t>
      </w:r>
    </w:p>
    <w:p>
      <w:pPr>
        <w:ind w:firstLine="480"/>
        <w:rPr>
          <w:rFonts w:ascii="宋体" w:hAnsi="宋体" w:cs="宋体"/>
          <w:color w:val="auto"/>
          <w:szCs w:val="32"/>
          <w:highlight w:val="none"/>
        </w:rPr>
      </w:pPr>
      <w:r>
        <w:rPr>
          <w:rFonts w:hint="eastAsia" w:ascii="宋体" w:hAnsi="宋体" w:cs="宋体"/>
          <w:color w:val="auto"/>
          <w:szCs w:val="32"/>
          <w:highlight w:val="none"/>
        </w:rPr>
        <w:t>2、质保期内维修：非人为因素出现的质量问题，须按国家有关规定和要求（无国家规定和要求的，按投标承诺和厂方“三包”规定）立即进行免费维修、免费修补、直至重做。</w:t>
      </w:r>
    </w:p>
    <w:p>
      <w:pPr>
        <w:ind w:firstLine="480"/>
        <w:rPr>
          <w:rFonts w:ascii="宋体" w:hAnsi="宋体" w:cs="宋体"/>
          <w:color w:val="auto"/>
          <w:szCs w:val="32"/>
          <w:highlight w:val="none"/>
        </w:rPr>
      </w:pPr>
      <w:r>
        <w:rPr>
          <w:rFonts w:hint="eastAsia" w:ascii="宋体" w:hAnsi="宋体" w:cs="宋体"/>
          <w:color w:val="auto"/>
          <w:szCs w:val="32"/>
          <w:highlight w:val="none"/>
        </w:rPr>
        <w:t>3、维修响应时间：接到报修通知后，供应商电话响应时间小于1小时，48小时内到达维修现场，并在3天内解决，不能解决的应上报招标人。维修解决后应出具书面维修报告备案。</w:t>
      </w:r>
    </w:p>
    <w:p>
      <w:pPr>
        <w:ind w:firstLine="480"/>
        <w:rPr>
          <w:rFonts w:ascii="宋体" w:hAnsi="宋体" w:cs="宋体"/>
          <w:color w:val="auto"/>
          <w:szCs w:val="32"/>
          <w:highlight w:val="none"/>
        </w:rPr>
      </w:pPr>
      <w:r>
        <w:rPr>
          <w:rFonts w:hint="eastAsia" w:ascii="宋体" w:hAnsi="宋体" w:cs="宋体"/>
          <w:color w:val="auto"/>
          <w:szCs w:val="32"/>
          <w:highlight w:val="none"/>
        </w:rPr>
        <w:t>4、出现维修需求后，供应商未按上述要求进行响应和维修，招标人可以采取必要的补救措施，由此产生的风险和费用将由供应商承担。</w:t>
      </w:r>
    </w:p>
    <w:p>
      <w:pPr>
        <w:ind w:firstLine="480"/>
        <w:rPr>
          <w:rFonts w:ascii="宋体" w:hAnsi="宋体" w:cs="宋体"/>
          <w:color w:val="auto"/>
          <w:szCs w:val="32"/>
          <w:highlight w:val="none"/>
        </w:rPr>
      </w:pPr>
      <w:r>
        <w:rPr>
          <w:rFonts w:hint="eastAsia" w:ascii="宋体" w:hAnsi="宋体" w:cs="宋体"/>
          <w:color w:val="auto"/>
          <w:szCs w:val="32"/>
          <w:highlight w:val="none"/>
        </w:rPr>
        <w:t>5、质保期外维修：修理及维护只收成本费。投标人应在投标文件中明确质保期外的维修费用。</w:t>
      </w:r>
    </w:p>
    <w:p>
      <w:pPr>
        <w:ind w:firstLine="480"/>
        <w:rPr>
          <w:rFonts w:ascii="宋体" w:hAnsi="宋体" w:cs="宋体"/>
          <w:color w:val="auto"/>
          <w:szCs w:val="32"/>
          <w:highlight w:val="none"/>
        </w:rPr>
      </w:pPr>
      <w:r>
        <w:rPr>
          <w:rFonts w:hint="eastAsia" w:ascii="宋体" w:hAnsi="宋体" w:cs="宋体"/>
          <w:color w:val="auto"/>
          <w:szCs w:val="32"/>
          <w:highlight w:val="none"/>
        </w:rPr>
        <w:t>6、产品的使用要按规定进行现场免费培训。</w:t>
      </w:r>
    </w:p>
    <w:p>
      <w:pPr>
        <w:ind w:firstLine="480"/>
        <w:rPr>
          <w:rFonts w:ascii="宋体" w:hAnsi="宋体" w:cs="宋体"/>
          <w:color w:val="auto"/>
          <w:szCs w:val="32"/>
          <w:highlight w:val="none"/>
        </w:rPr>
      </w:pPr>
      <w:r>
        <w:rPr>
          <w:rFonts w:hint="eastAsia" w:ascii="宋体" w:hAnsi="宋体" w:cs="宋体"/>
          <w:color w:val="auto"/>
          <w:szCs w:val="32"/>
          <w:highlight w:val="none"/>
        </w:rPr>
        <w:t>7、中标人在中标后应在规定期限内按招标人及评标委员会意见对其方案进行相应的调整、修改和完善，提供制作实施所需的大样图及制作安装方案。设计调整、修改费用包含在方案设计费报价中，不另支付。</w:t>
      </w:r>
    </w:p>
    <w:p>
      <w:pPr>
        <w:ind w:firstLine="480"/>
        <w:rPr>
          <w:rFonts w:ascii="宋体" w:hAnsi="宋体" w:cs="宋体"/>
          <w:color w:val="auto"/>
          <w:szCs w:val="32"/>
          <w:highlight w:val="none"/>
          <w:lang w:val="zh-CN"/>
        </w:rPr>
      </w:pPr>
      <w:r>
        <w:rPr>
          <w:rFonts w:hint="eastAsia" w:ascii="宋体" w:hAnsi="宋体" w:cs="宋体"/>
          <w:color w:val="auto"/>
          <w:szCs w:val="32"/>
          <w:highlight w:val="none"/>
          <w:lang w:val="zh-CN"/>
        </w:rPr>
        <w:t>8、中标人的投标报价即为中标价。中标人应无偿承担根据评标委员会意见及项目审批部门进行适当调整的工作，因重大调整引起的合同价款调整，经双方协商后审核确定。如协商不成，招标人保留委托其他单位完成该部分制作安装工作的权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A119F4"/>
    <w:rsid w:val="2EA119F4"/>
    <w:rsid w:val="3C267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4">
    <w:name w:val="heading 1"/>
    <w:basedOn w:val="1"/>
    <w:next w:val="1"/>
    <w:qFormat/>
    <w:uiPriority w:val="0"/>
    <w:pPr>
      <w:keepNext/>
      <w:keepLines/>
      <w:ind w:firstLine="0" w:firstLineChars="0"/>
      <w:jc w:val="center"/>
      <w:outlineLvl w:val="0"/>
    </w:pPr>
    <w:rPr>
      <w:rFonts w:ascii="宋体" w:hAnsi="宋体"/>
      <w:b/>
      <w:bCs/>
      <w:kern w:val="44"/>
      <w:sz w:val="32"/>
      <w:szCs w:val="52"/>
    </w:rPr>
  </w:style>
  <w:style w:type="paragraph" w:styleId="5">
    <w:name w:val="heading 2"/>
    <w:basedOn w:val="1"/>
    <w:next w:val="1"/>
    <w:qFormat/>
    <w:uiPriority w:val="0"/>
    <w:pPr>
      <w:keepNext/>
      <w:keepLines/>
      <w:ind w:firstLine="0" w:firstLineChars="0"/>
      <w:jc w:val="left"/>
      <w:outlineLvl w:val="1"/>
    </w:pPr>
    <w:rPr>
      <w:rFonts w:ascii="Cambria" w:hAnsi="Cambria"/>
      <w:b/>
      <w:bCs/>
      <w:sz w:val="28"/>
      <w:szCs w:val="32"/>
    </w:rPr>
  </w:style>
  <w:style w:type="paragraph" w:styleId="6">
    <w:name w:val="heading 3"/>
    <w:basedOn w:val="1"/>
    <w:next w:val="1"/>
    <w:qFormat/>
    <w:uiPriority w:val="0"/>
    <w:pPr>
      <w:keepNext/>
      <w:keepLines/>
      <w:ind w:firstLine="0" w:firstLineChars="0"/>
      <w:outlineLvl w:val="2"/>
    </w:pPr>
    <w:rPr>
      <w:b/>
      <w:bCs/>
      <w:szCs w:val="32"/>
    </w:rPr>
  </w:style>
  <w:style w:type="character" w:default="1" w:styleId="9">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7">
    <w:name w:val="Normal Indent"/>
    <w:basedOn w:val="1"/>
    <w:unhideWhenUsed/>
    <w:qFormat/>
    <w:uiPriority w:val="0"/>
    <w:pPr>
      <w:spacing w:line="240" w:lineRule="auto"/>
      <w:ind w:firstLine="420" w:firstLineChars="0"/>
    </w:pPr>
    <w:rPr>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2019-06-17T11:15:00Z</dcterms:created>
  <dc:creator>TZ</dc:creator>
  <cp:lastModifiedBy>TZ</cp:lastModifiedBy>
  <dcterms:modified xsi:type="dcterms:W3CDTF">2019-06-17T11:17:50Z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