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1899"/>
      <w:bookmarkStart w:id="1" w:name="_Toc26013"/>
      <w:bookmarkStart w:id="2" w:name="_Toc31327"/>
      <w:bookmarkStart w:id="3" w:name="_Toc19804"/>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rFonts w:hint="eastAsia" w:cs="宋体"/>
          <w:color w:val="auto"/>
          <w:szCs w:val="40"/>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采购清单及技术要求</w:t>
      </w:r>
    </w:p>
    <w:tbl>
      <w:tblPr>
        <w:tblStyle w:val="9"/>
        <w:tblW w:w="9515" w:type="dxa"/>
        <w:jc w:val="center"/>
        <w:tblInd w:w="0" w:type="dxa"/>
        <w:tblLayout w:type="fixed"/>
        <w:tblCellMar>
          <w:top w:w="0" w:type="dxa"/>
          <w:left w:w="108" w:type="dxa"/>
          <w:bottom w:w="0" w:type="dxa"/>
          <w:right w:w="108" w:type="dxa"/>
        </w:tblCellMar>
      </w:tblPr>
      <w:tblGrid>
        <w:gridCol w:w="817"/>
        <w:gridCol w:w="1277"/>
        <w:gridCol w:w="5954"/>
        <w:gridCol w:w="708"/>
        <w:gridCol w:w="759"/>
      </w:tblGrid>
      <w:tr>
        <w:tblPrEx>
          <w:tblLayout w:type="fixed"/>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采购名称</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r>
      <w:tr>
        <w:tblPrEx>
          <w:tblLayout w:type="fixed"/>
          <w:tblCellMar>
            <w:top w:w="0" w:type="dxa"/>
            <w:left w:w="108" w:type="dxa"/>
            <w:bottom w:w="0" w:type="dxa"/>
            <w:right w:w="108" w:type="dxa"/>
          </w:tblCellMar>
        </w:tblPrEx>
        <w:trPr>
          <w:trHeight w:val="312"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机器视觉创新综合实验</w:t>
            </w:r>
          </w:p>
        </w:tc>
        <w:tc>
          <w:tcPr>
            <w:tcW w:w="5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图像传感器：黑白CMOS，靶面尺寸1/1.8″，灵敏度1.6v@550nm/Lux/s,帧率15帧/秒，分辨率1280*1024，USB2.0；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（2）精密机械调整部件：角度精度： 4’分辨率；0.005mm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（3）光学支架：高1000mm,400mm*650mm*1150mm，△H=800mm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（4）平移设备：行程150，L332mm，3550g；</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（5）照明光源：低角度环带照明光源；外径75，与法线成90°，功率2.5W,红光；背光照明光源：面积100*100,功率25/42W，红光；同轴照明光源；50*50，红光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（6）拍摄系统：低畸变远心成像镜头；GCO-230105 远心度&lt;0.3°畸变≤0.4% 成像面积50mm工作距150mm；定焦镜头；光圈数16，f＇16；</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（7）软件处理系统：目标图像采集模块 具备鼠标自动识别圆阵列标定相机；光学系统分辨率测量模块 截取测量区域可以进行鼠标进行任意选取被测量分辨率板</w:t>
            </w:r>
          </w:p>
          <w:p>
            <w:pPr>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局部区域；二维码生成和采集模块 可快速编码解码；工件参数测量模块 包括面积测量、测量管脚； OCR识别模块工件表面数字、字母信息识别；几何尺寸测量模块 包括圆心距测量模块、线间距测量模块、圆直径测量模块、角度测量模块等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（8）精密机械调整架：角度精度±4′，分辨率0.005mm，调节机构保证同轴等高，横向偏差1′，纵向偏差1′；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（9）光学元件: BK7 A级精密退火材料，焦距±2%，直径-0.2mm，中心偏差3′，光圈1-5；局部误差0.2-0.5，面粗糙度60/40（Scratch/Dig），MgF2单层增透膜，有效孔径90%；</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108" w:type="dxa"/>
            <w:bottom w:w="0" w:type="dxa"/>
            <w:right w:w="108" w:type="dxa"/>
          </w:tblCellMar>
        </w:tblPrEx>
        <w:trPr>
          <w:trHeight w:val="819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rPr>
            </w:pPr>
          </w:p>
        </w:tc>
        <w:tc>
          <w:tcPr>
            <w:tcW w:w="5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5007"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rPr>
            </w:pPr>
          </w:p>
        </w:tc>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rPr>
            </w:pPr>
          </w:p>
        </w:tc>
        <w:tc>
          <w:tcPr>
            <w:tcW w:w="5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left"/>
              <w:rPr>
                <w:rFonts w:hint="eastAsia" w:ascii="宋体" w:hAnsi="宋体" w:eastAsia="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31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LED参数测试综合实验</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（1）LED蓝光：中心波长：451nm；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（2）LED红光：中心波长：621nm；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（3）LED白光：红、绿、蓝三色混合；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（4）光照度探测器响应波长：280－780nm；</w:t>
            </w:r>
            <w:r>
              <w:rPr>
                <w:rFonts w:hint="eastAsia" w:ascii="宋体" w:hAnsi="宋体" w:eastAsia="宋体" w:cs="宋体"/>
                <w:color w:val="auto"/>
                <w:kern w:val="0"/>
                <w:sz w:val="24"/>
                <w:szCs w:val="24"/>
                <w:highlight w:val="none"/>
              </w:rPr>
              <w:br w:type="textWrapping"/>
            </w:r>
            <w:r>
              <w:rPr>
                <w:rFonts w:hint="eastAsia" w:cs="宋体"/>
                <w:color w:val="auto"/>
                <w:highlight w:val="none"/>
              </w:rPr>
              <w:t>▲</w:t>
            </w:r>
            <w:r>
              <w:rPr>
                <w:rFonts w:hint="eastAsia" w:ascii="宋体" w:hAnsi="宋体" w:eastAsia="宋体" w:cs="宋体"/>
                <w:color w:val="auto"/>
                <w:kern w:val="0"/>
                <w:sz w:val="24"/>
                <w:szCs w:val="24"/>
                <w:highlight w:val="none"/>
              </w:rPr>
              <w:t>（5）数字光谱仪：光谱范围350-1020nm,分辨率1.3nm，USB2.0，光纤接口SMA905，增益可调；</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（6）积分球：外形尺寸64mm（L）х64mm（W）х64mm（H），内部直径Φ50mm，采样口直径10mm，接口SMA905，8o角设计，可用于透射/反射测量；</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（7）导光光纤：芯径300um，光纤接口SMA905，长度600mm；</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（8）测试电源：五档10/30/50/200/500mA.调节精度0.1mA,电压监测；TEC温控电源，温度调节最小步长0.1℃，温控范围30—60度；</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（9）发光二</w:t>
            </w:r>
            <w:r>
              <w:rPr>
                <w:rFonts w:hint="eastAsia" w:cs="宋体"/>
                <w:color w:val="auto"/>
                <w:kern w:val="0"/>
                <w:sz w:val="24"/>
                <w:szCs w:val="24"/>
                <w:highlight w:val="none"/>
                <w:lang w:eastAsia="zh-CN"/>
              </w:rPr>
              <w:t>极</w:t>
            </w:r>
            <w:r>
              <w:rPr>
                <w:rFonts w:hint="eastAsia" w:ascii="宋体" w:hAnsi="宋体" w:eastAsia="宋体" w:cs="宋体"/>
                <w:color w:val="auto"/>
                <w:kern w:val="0"/>
                <w:sz w:val="24"/>
                <w:szCs w:val="24"/>
                <w:highlight w:val="none"/>
              </w:rPr>
              <w:t>管光谱范围：400-650nm响应时间200s；暗电流≤0.1μA；</w:t>
            </w:r>
            <w:r>
              <w:rPr>
                <w:rFonts w:hint="eastAsia" w:ascii="宋体" w:hAnsi="宋体" w:eastAsia="宋体" w:cs="宋体"/>
                <w:color w:val="auto"/>
                <w:kern w:val="0"/>
                <w:sz w:val="24"/>
                <w:szCs w:val="24"/>
                <w:highlight w:val="none"/>
              </w:rPr>
              <w:br w:type="textWrapping"/>
            </w:r>
            <w:r>
              <w:rPr>
                <w:rFonts w:hint="eastAsia" w:cs="宋体"/>
                <w:color w:val="auto"/>
                <w:highlight w:val="none"/>
              </w:rPr>
              <w:t>▲</w:t>
            </w:r>
            <w:r>
              <w:rPr>
                <w:rFonts w:hint="eastAsia" w:ascii="宋体" w:hAnsi="宋体" w:eastAsia="宋体" w:cs="宋体"/>
                <w:color w:val="auto"/>
                <w:kern w:val="0"/>
                <w:sz w:val="24"/>
                <w:szCs w:val="24"/>
                <w:highlight w:val="none"/>
              </w:rPr>
              <w:t>（10）掀盖式激光安全防护机箱：外形尺寸750*450*300mm，光、电隔离分舱设计，外表面蓝色烤漆美观处理，内表面黑色吸光漆面处理，一体式铝合金底座板牢固稳定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xml:space="preserve">（11）精密机械调整架：角度精度±4′，分辨率0.005mm，调节机构保证等双轴等高，横向偏差1′，纵向偏差1′；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（12）光学元件：BK7 A级精密退火材料、焦距±2%、直径-0.2mm、中心偏差3′、光圈1-5；局部误差0.2-0.、面粗糙度60/40（Scratch/Dig）、氟化镁增透膜镀膜、有效孔径90%；</w:t>
            </w:r>
            <w:r>
              <w:rPr>
                <w:rFonts w:hint="eastAsia" w:ascii="宋体" w:hAnsi="宋体" w:eastAsia="宋体" w:cs="宋体"/>
                <w:color w:val="auto"/>
                <w:kern w:val="0"/>
                <w:sz w:val="24"/>
                <w:szCs w:val="24"/>
                <w:highlight w:val="none"/>
              </w:rPr>
              <w:br w:type="textWrapping"/>
            </w:r>
            <w:r>
              <w:rPr>
                <w:rFonts w:hint="eastAsia" w:cs="宋体"/>
                <w:color w:val="auto"/>
                <w:highlight w:val="none"/>
              </w:rPr>
              <w:t>▲</w:t>
            </w:r>
            <w:r>
              <w:rPr>
                <w:rFonts w:hint="eastAsia" w:ascii="宋体" w:hAnsi="宋体" w:eastAsia="宋体" w:cs="宋体"/>
                <w:color w:val="auto"/>
                <w:kern w:val="0"/>
                <w:sz w:val="24"/>
                <w:szCs w:val="24"/>
                <w:highlight w:val="none"/>
              </w:rPr>
              <w:t>（13）LED测量材料：碲帝硒化钼钨面积&gt;10mm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rPr>
              <w:t>,厚度~0.1mm，纯度≥99.9%,10件；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Layout w:type="fixed"/>
          <w:tblCellMar>
            <w:top w:w="0" w:type="dxa"/>
            <w:left w:w="108" w:type="dxa"/>
            <w:bottom w:w="0" w:type="dxa"/>
            <w:right w:w="108" w:type="dxa"/>
          </w:tblCellMar>
        </w:tblPrEx>
        <w:trPr>
          <w:trHeight w:val="31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LED综合特性测试装置(色度学特性加伏安特性)</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LED电源Ⅱ（恒压源），0-10V;积分球，Φ150mm，SMA905，Φ50mmLED灯夹具固定口，Φ30mm功率计探头固定口;LED灯珠夹具及夹具支架, Φ50mm;光纤光谱仪，350nm-1050nm，分辨率~1nm;石英光纤，长1.5m, Φ600μm;钨灯光源Ⅱ，带聚焦镜输出，400nm-2000nm, 10W;LED测试灯珠样品及样品盒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bl>
    <w:p>
      <w:pPr>
        <w:ind w:firstLine="480"/>
        <w:rPr>
          <w:color w:val="auto"/>
          <w:highlight w:val="none"/>
        </w:rPr>
      </w:pPr>
    </w:p>
    <w:p>
      <w:pPr>
        <w:pStyle w:val="4"/>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5"/>
        <w:rPr>
          <w:rFonts w:cs="宋体"/>
          <w:color w:val="auto"/>
          <w:highlight w:val="none"/>
        </w:rPr>
      </w:pPr>
      <w:bookmarkStart w:id="7" w:name="_Toc501022792"/>
      <w:bookmarkStart w:id="8"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w:t>
      </w:r>
      <w:r>
        <w:rPr>
          <w:rFonts w:hint="eastAsia" w:cs="宋体"/>
          <w:color w:val="auto"/>
          <w:highlight w:val="none"/>
          <w:lang w:val="en-US" w:eastAsia="zh-CN"/>
        </w:rPr>
        <w:t>30</w:t>
      </w:r>
      <w:r>
        <w:rPr>
          <w:rFonts w:hint="eastAsia" w:cs="宋体"/>
          <w:color w:val="auto"/>
          <w:highlight w:val="none"/>
        </w:rPr>
        <w:t>天内完成供货、安装、调试。</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浙江农林大学指定地点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w:t>
      </w:r>
      <w:r>
        <w:rPr>
          <w:rFonts w:hint="eastAsia" w:cs="宋体"/>
          <w:color w:val="auto"/>
          <w:highlight w:val="none"/>
          <w:lang w:val="en-US" w:eastAsia="zh-CN"/>
        </w:rPr>
        <w:t>3</w:t>
      </w:r>
      <w:r>
        <w:rPr>
          <w:rFonts w:hint="eastAsia" w:cs="宋体"/>
          <w:color w:val="auto"/>
          <w:highlight w:val="none"/>
        </w:rPr>
        <w:t>年，自验收合格之日起计算，期间免费提供维保服务。</w:t>
      </w:r>
    </w:p>
    <w:p>
      <w:pPr>
        <w:pStyle w:val="5"/>
        <w:rPr>
          <w:rFonts w:cs="宋体"/>
          <w:color w:val="auto"/>
          <w:highlight w:val="none"/>
        </w:rPr>
      </w:pPr>
      <w:r>
        <w:rPr>
          <w:rFonts w:hint="eastAsia" w:cs="宋体"/>
          <w:color w:val="auto"/>
          <w:highlight w:val="none"/>
        </w:rPr>
        <w:t>（四）履约保证金</w:t>
      </w:r>
    </w:p>
    <w:p>
      <w:pPr>
        <w:ind w:firstLine="480"/>
        <w:rPr>
          <w:rFonts w:hint="eastAsia" w:cs="宋体"/>
          <w:snapToGrid w:val="0"/>
          <w:color w:val="auto"/>
          <w:kern w:val="0"/>
          <w:highlight w:val="none"/>
        </w:rPr>
      </w:pPr>
      <w:r>
        <w:rPr>
          <w:rFonts w:hint="eastAsia" w:cs="宋体"/>
          <w:snapToGrid w:val="0"/>
          <w:color w:val="auto"/>
          <w:kern w:val="0"/>
          <w:highlight w:val="none"/>
        </w:rPr>
        <w:t>1.合同金额的</w:t>
      </w:r>
      <w:r>
        <w:rPr>
          <w:rFonts w:hint="eastAsia" w:cs="宋体"/>
          <w:snapToGrid w:val="0"/>
          <w:color w:val="auto"/>
          <w:kern w:val="0"/>
          <w:highlight w:val="none"/>
          <w:lang w:val="en-US" w:eastAsia="zh-CN"/>
        </w:rPr>
        <w:t>5</w:t>
      </w:r>
      <w:r>
        <w:rPr>
          <w:rFonts w:hint="eastAsia" w:cs="宋体"/>
          <w:snapToGrid w:val="0"/>
          <w:color w:val="auto"/>
          <w:kern w:val="0"/>
          <w:highlight w:val="none"/>
        </w:rPr>
        <w:t>%作为履约保证金，中标人在合同签订时提交至采购人。</w:t>
      </w:r>
    </w:p>
    <w:p>
      <w:pPr>
        <w:ind w:firstLine="480"/>
        <w:rPr>
          <w:rFonts w:hint="eastAsia"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hint="eastAsia"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cs="宋体"/>
          <w:color w:val="auto"/>
          <w:highlight w:val="none"/>
        </w:rPr>
      </w:pPr>
      <w:r>
        <w:rPr>
          <w:rFonts w:hint="eastAsia" w:cs="宋体"/>
          <w:color w:val="auto"/>
          <w:highlight w:val="none"/>
        </w:rPr>
        <w:t>（五）项目验收</w:t>
      </w:r>
    </w:p>
    <w:p>
      <w:pPr>
        <w:ind w:firstLine="480"/>
        <w:rPr>
          <w:rFonts w:cs="宋体"/>
          <w:color w:val="auto"/>
          <w:highlight w:val="none"/>
        </w:rPr>
      </w:pPr>
      <w:r>
        <w:rPr>
          <w:rFonts w:hint="eastAsia" w:cs="宋体"/>
          <w:color w:val="auto"/>
          <w:highlight w:val="none"/>
        </w:rPr>
        <w:t>1.提交的货物依据招标文件上的技术规格要求和国家有关质量标准进行现场验收。项目建设完毕后，采购人在15日内组织验收。</w:t>
      </w:r>
    </w:p>
    <w:p>
      <w:pPr>
        <w:ind w:firstLine="480"/>
        <w:rPr>
          <w:rFonts w:cs="宋体"/>
          <w:color w:val="auto"/>
          <w:highlight w:val="none"/>
        </w:rPr>
      </w:pPr>
      <w:r>
        <w:rPr>
          <w:rFonts w:hint="eastAsia" w:cs="宋体"/>
          <w:color w:val="auto"/>
          <w:highlight w:val="none"/>
        </w:rPr>
        <w:t>2.中标供应商交货前应对产品作出全面检查和对验收文件进行整理，并列出清单，作为采购人收货验收和使用的技术条件依据，检验的结果应随货物交采购人。</w:t>
      </w:r>
    </w:p>
    <w:p>
      <w:pPr>
        <w:ind w:firstLine="480"/>
        <w:rPr>
          <w:rFonts w:cs="宋体"/>
          <w:color w:val="auto"/>
          <w:highlight w:val="none"/>
        </w:rPr>
      </w:pPr>
      <w:r>
        <w:rPr>
          <w:rFonts w:hint="eastAsia" w:cs="宋体"/>
          <w:color w:val="auto"/>
          <w:highlight w:val="none"/>
        </w:rPr>
        <w:t>3.采购人对中标供应商提供的货物在使用前进行调试时，中标供应商需负责安装并培训采购人的使用操作人员，并协助采购人一起调试，直到符合技术要求，采购人才做最终验收。</w:t>
      </w:r>
    </w:p>
    <w:p>
      <w:pPr>
        <w:ind w:firstLine="480"/>
        <w:rPr>
          <w:color w:val="auto"/>
          <w:highlight w:val="none"/>
        </w:rPr>
      </w:pPr>
      <w:r>
        <w:rPr>
          <w:rFonts w:hint="eastAsia" w:cs="宋体"/>
          <w:color w:val="auto"/>
          <w:highlight w:val="none"/>
        </w:rPr>
        <w:t>4.验收时中标供应商在现场，验收完毕后作出验收结果报告；验收费用由中标供应商负责。</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highlight w:val="none"/>
        </w:rPr>
      </w:pPr>
      <w:r>
        <w:rPr>
          <w:rFonts w:hint="eastAsia" w:cs="宋体"/>
          <w:color w:val="auto"/>
          <w:highlight w:val="none"/>
        </w:rPr>
        <w:t>2.质保期内因不能排除的故障而影响工作的情况每发生一次，其质保期相应延长60天，质保期内</w:t>
      </w:r>
      <w:r>
        <w:rPr>
          <w:rFonts w:hint="eastAsia" w:cs="宋体"/>
          <w:color w:val="auto"/>
          <w:szCs w:val="21"/>
          <w:highlight w:val="none"/>
        </w:rPr>
        <w:t>如出现非人为因素造成的质量问题</w:t>
      </w:r>
      <w:r>
        <w:rPr>
          <w:rFonts w:hint="eastAsia" w:cs="宋体"/>
          <w:color w:val="auto"/>
          <w:highlight w:val="none"/>
        </w:rPr>
        <w:t>应由中标人免费予以维修或更换，否则将扣除质量保证金作为对采购人的补偿。</w:t>
      </w:r>
    </w:p>
    <w:p>
      <w:pPr>
        <w:pStyle w:val="5"/>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bookmarkStart w:id="9" w:name="_Toc23976"/>
      <w:r>
        <w:rPr>
          <w:rFonts w:hint="eastAsia" w:cs="宋体"/>
          <w:color w:val="auto"/>
          <w:highlight w:val="none"/>
        </w:rPr>
        <w:t>（八）合同履行</w:t>
      </w:r>
      <w:bookmarkEnd w:id="9"/>
    </w:p>
    <w:p>
      <w:r>
        <w:rPr>
          <w:rFonts w:hint="eastAsia"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ULM60BAABR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vnnHnhaEiXr18u335cvn9mOUgSDQEbqrwPVJvGVzBS+RJHCmbmo44uf4kT&#10;ozyJfb4KrMbEZL603Wy3NaUk5RaH8KvH6yFieq3AsWy0PNIEi7Di9BbTVLqU5Nc83BlryxSt/y1A&#10;mFNElTWYb2cmU8fZSuNhnOkdoDsTu4FWoeWedpUz+8aT0nlrFiMuxmE28osYXj4kaqN0l1EnKGKV&#10;HZpb4TfvWF6MX/1S9fgn7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B1CzOtAQAAUQMA&#10;AA4AAAAAAAAAAQAgAAAAHgEAAGRycy9lMm9Eb2MueG1sUEsFBgAAAAAGAAYAWQEAAD0FAAAAAA==&#10;">
              <v:path/>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23A7"/>
    <w:rsid w:val="047B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0" w:firstLineChars="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2019-06-13T04:28:00Z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