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auto"/>
          <w:highlight w:val="none"/>
        </w:rPr>
      </w:pPr>
      <w:r>
        <w:rPr>
          <w:rFonts w:hint="eastAsia"/>
          <w:color w:val="auto"/>
          <w:highlight w:val="none"/>
        </w:rPr>
        <w:t>采购需求</w:t>
      </w:r>
    </w:p>
    <w:p>
      <w:pPr>
        <w:pStyle w:val="4"/>
        <w:rPr>
          <w:rFonts w:ascii="宋体" w:hAnsi="宋体" w:cs="宋体"/>
          <w:color w:val="auto"/>
          <w:highlight w:val="none"/>
        </w:rPr>
      </w:pPr>
      <w:bookmarkStart w:id="0" w:name="_Toc31327"/>
      <w:r>
        <w:rPr>
          <w:rFonts w:hint="eastAsia" w:ascii="宋体" w:hAnsi="宋体" w:cs="宋体"/>
          <w:color w:val="auto"/>
          <w:highlight w:val="none"/>
        </w:rPr>
        <w:t>一、采购</w:t>
      </w:r>
      <w:bookmarkEnd w:id="0"/>
      <w:r>
        <w:rPr>
          <w:rFonts w:hint="eastAsia" w:ascii="宋体" w:hAnsi="宋体" w:cs="宋体"/>
          <w:color w:val="auto"/>
          <w:highlight w:val="none"/>
        </w:rPr>
        <w:t>内容及要求</w:t>
      </w:r>
    </w:p>
    <w:p>
      <w:pPr>
        <w:pStyle w:val="5"/>
        <w:rPr>
          <w:color w:val="auto"/>
          <w:highlight w:val="none"/>
        </w:rPr>
      </w:pPr>
      <w:r>
        <w:rPr>
          <w:rFonts w:hint="eastAsia"/>
          <w:color w:val="auto"/>
          <w:highlight w:val="none"/>
        </w:rPr>
        <w:t>（一）采购内容及数量</w:t>
      </w:r>
    </w:p>
    <w:tbl>
      <w:tblPr>
        <w:tblStyle w:val="8"/>
        <w:tblW w:w="9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3541"/>
        <w:gridCol w:w="1061"/>
        <w:gridCol w:w="1126"/>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107" w:type="dxa"/>
            <w:shd w:val="clear" w:color="auto" w:fill="auto"/>
            <w:vAlign w:val="center"/>
          </w:tcPr>
          <w:p>
            <w:pPr>
              <w:spacing w:line="240" w:lineRule="auto"/>
              <w:ind w:firstLine="0" w:firstLineChars="0"/>
              <w:jc w:val="center"/>
              <w:rPr>
                <w:rFonts w:ascii="宋体" w:hAnsi="宋体" w:cs="宋体"/>
                <w:b/>
                <w:bCs/>
                <w:color w:val="auto"/>
                <w:szCs w:val="32"/>
                <w:highlight w:val="none"/>
              </w:rPr>
            </w:pPr>
            <w:r>
              <w:rPr>
                <w:rFonts w:hint="eastAsia" w:ascii="宋体" w:hAnsi="宋体" w:cs="宋体"/>
                <w:b/>
                <w:bCs/>
                <w:color w:val="auto"/>
                <w:szCs w:val="32"/>
                <w:highlight w:val="none"/>
              </w:rPr>
              <w:t>序号</w:t>
            </w:r>
          </w:p>
        </w:tc>
        <w:tc>
          <w:tcPr>
            <w:tcW w:w="3541" w:type="dxa"/>
            <w:shd w:val="clear" w:color="auto" w:fill="auto"/>
            <w:vAlign w:val="center"/>
          </w:tcPr>
          <w:p>
            <w:pPr>
              <w:spacing w:line="240" w:lineRule="auto"/>
              <w:ind w:firstLine="0" w:firstLineChars="0"/>
              <w:jc w:val="center"/>
              <w:rPr>
                <w:rFonts w:ascii="宋体" w:hAnsi="宋体" w:cs="宋体"/>
                <w:b/>
                <w:bCs/>
                <w:color w:val="auto"/>
                <w:szCs w:val="32"/>
                <w:highlight w:val="none"/>
              </w:rPr>
            </w:pPr>
            <w:r>
              <w:rPr>
                <w:rFonts w:hint="eastAsia" w:ascii="宋体" w:hAnsi="宋体" w:cs="宋体"/>
                <w:b/>
                <w:bCs/>
                <w:color w:val="auto"/>
                <w:szCs w:val="32"/>
                <w:highlight w:val="none"/>
              </w:rPr>
              <w:t>内容</w:t>
            </w:r>
          </w:p>
        </w:tc>
        <w:tc>
          <w:tcPr>
            <w:tcW w:w="1061" w:type="dxa"/>
            <w:shd w:val="clear" w:color="auto" w:fill="auto"/>
            <w:vAlign w:val="center"/>
          </w:tcPr>
          <w:p>
            <w:pPr>
              <w:spacing w:line="240" w:lineRule="auto"/>
              <w:ind w:firstLine="0" w:firstLineChars="0"/>
              <w:jc w:val="center"/>
              <w:rPr>
                <w:rFonts w:ascii="宋体" w:hAnsi="宋体" w:cs="宋体"/>
                <w:b/>
                <w:bCs/>
                <w:color w:val="auto"/>
                <w:szCs w:val="32"/>
                <w:highlight w:val="none"/>
              </w:rPr>
            </w:pPr>
            <w:r>
              <w:rPr>
                <w:rFonts w:hint="eastAsia" w:ascii="宋体" w:hAnsi="宋体" w:cs="宋体"/>
                <w:b/>
                <w:bCs/>
                <w:color w:val="auto"/>
                <w:szCs w:val="32"/>
                <w:highlight w:val="none"/>
              </w:rPr>
              <w:t>数量</w:t>
            </w:r>
          </w:p>
        </w:tc>
        <w:tc>
          <w:tcPr>
            <w:tcW w:w="1126" w:type="dxa"/>
            <w:shd w:val="clear" w:color="auto" w:fill="auto"/>
            <w:vAlign w:val="center"/>
          </w:tcPr>
          <w:p>
            <w:pPr>
              <w:spacing w:line="240" w:lineRule="auto"/>
              <w:ind w:firstLine="0" w:firstLineChars="0"/>
              <w:jc w:val="center"/>
              <w:rPr>
                <w:rFonts w:ascii="宋体" w:hAnsi="宋体" w:cs="宋体"/>
                <w:b/>
                <w:bCs/>
                <w:color w:val="auto"/>
                <w:szCs w:val="32"/>
                <w:highlight w:val="none"/>
              </w:rPr>
            </w:pPr>
            <w:r>
              <w:rPr>
                <w:rFonts w:hint="eastAsia" w:ascii="宋体" w:hAnsi="宋体" w:cs="宋体"/>
                <w:b/>
                <w:bCs/>
                <w:color w:val="auto"/>
                <w:szCs w:val="32"/>
                <w:highlight w:val="none"/>
              </w:rPr>
              <w:t>单位</w:t>
            </w:r>
          </w:p>
        </w:tc>
        <w:tc>
          <w:tcPr>
            <w:tcW w:w="2680" w:type="dxa"/>
            <w:shd w:val="clear" w:color="auto" w:fill="auto"/>
            <w:vAlign w:val="center"/>
          </w:tcPr>
          <w:p>
            <w:pPr>
              <w:ind w:firstLine="0" w:firstLineChars="0"/>
              <w:jc w:val="center"/>
              <w:rPr>
                <w:rFonts w:ascii="宋体" w:hAnsi="宋体" w:cs="宋体"/>
                <w:b/>
                <w:bCs/>
                <w:color w:val="auto"/>
                <w:kern w:val="0"/>
                <w:highlight w:val="none"/>
                <w:shd w:val="clear" w:color="auto" w:fill="FFFFFF"/>
                <w:lang w:bidi="ar"/>
              </w:rPr>
            </w:pPr>
            <w:r>
              <w:rPr>
                <w:rFonts w:hint="eastAsia" w:ascii="宋体" w:hAnsi="宋体" w:cs="宋体"/>
                <w:b/>
                <w:bCs/>
                <w:color w:val="auto"/>
                <w:kern w:val="0"/>
                <w:highlight w:val="none"/>
                <w:shd w:val="clear" w:color="auto" w:fill="FFFFFF"/>
                <w:lang w:bidi="ar"/>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107" w:type="dxa"/>
            <w:shd w:val="clear" w:color="auto" w:fill="auto"/>
            <w:vAlign w:val="center"/>
          </w:tcPr>
          <w:p>
            <w:pPr>
              <w:spacing w:line="240" w:lineRule="auto"/>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1</w:t>
            </w:r>
          </w:p>
        </w:tc>
        <w:tc>
          <w:tcPr>
            <w:tcW w:w="3541" w:type="dxa"/>
            <w:shd w:val="clear" w:color="auto" w:fill="auto"/>
            <w:vAlign w:val="center"/>
          </w:tcPr>
          <w:p>
            <w:pPr>
              <w:spacing w:line="240" w:lineRule="auto"/>
              <w:ind w:firstLine="0" w:firstLineChars="0"/>
              <w:jc w:val="center"/>
              <w:rPr>
                <w:rFonts w:hint="eastAsia" w:ascii="宋体" w:hAnsi="宋体" w:eastAsia="宋体" w:cs="宋体"/>
                <w:color w:val="auto"/>
                <w:szCs w:val="32"/>
                <w:highlight w:val="none"/>
                <w:lang w:eastAsia="zh-CN"/>
              </w:rPr>
            </w:pPr>
            <w:r>
              <w:rPr>
                <w:rFonts w:hint="eastAsia" w:ascii="宋体" w:hAnsi="宋体" w:cs="宋体"/>
                <w:color w:val="auto"/>
                <w:szCs w:val="32"/>
                <w:highlight w:val="none"/>
                <w:lang w:val="en-US" w:eastAsia="zh-CN"/>
              </w:rPr>
              <w:t>正置荧光显微镜</w:t>
            </w:r>
          </w:p>
        </w:tc>
        <w:tc>
          <w:tcPr>
            <w:tcW w:w="1061" w:type="dxa"/>
            <w:shd w:val="clear" w:color="auto" w:fill="auto"/>
            <w:vAlign w:val="center"/>
          </w:tcPr>
          <w:p>
            <w:pPr>
              <w:spacing w:line="240" w:lineRule="auto"/>
              <w:ind w:firstLine="0" w:firstLineChars="0"/>
              <w:jc w:val="center"/>
              <w:rPr>
                <w:rFonts w:hint="eastAsia" w:ascii="宋体" w:hAnsi="宋体" w:cs="宋体"/>
                <w:color w:val="auto"/>
                <w:szCs w:val="32"/>
                <w:highlight w:val="none"/>
                <w:lang w:eastAsia="zh-CN"/>
              </w:rPr>
            </w:pPr>
            <w:r>
              <w:rPr>
                <w:rFonts w:hint="eastAsia" w:ascii="宋体" w:hAnsi="宋体" w:cs="宋体"/>
                <w:color w:val="auto"/>
                <w:szCs w:val="32"/>
                <w:highlight w:val="none"/>
                <w:lang w:val="en-US" w:eastAsia="zh-CN"/>
              </w:rPr>
              <w:t>1</w:t>
            </w:r>
          </w:p>
        </w:tc>
        <w:tc>
          <w:tcPr>
            <w:tcW w:w="1126" w:type="dxa"/>
            <w:shd w:val="clear" w:color="auto" w:fill="auto"/>
            <w:vAlign w:val="center"/>
          </w:tcPr>
          <w:p>
            <w:pPr>
              <w:spacing w:line="240" w:lineRule="auto"/>
              <w:ind w:firstLine="0" w:firstLineChars="0"/>
              <w:jc w:val="center"/>
              <w:rPr>
                <w:rFonts w:hint="eastAsia" w:ascii="宋体" w:hAnsi="宋体" w:cs="宋体"/>
                <w:color w:val="auto"/>
                <w:szCs w:val="32"/>
                <w:highlight w:val="none"/>
              </w:rPr>
            </w:pPr>
            <w:r>
              <w:rPr>
                <w:rFonts w:hint="eastAsia" w:ascii="宋体" w:hAnsi="宋体" w:cs="宋体"/>
                <w:color w:val="auto"/>
                <w:szCs w:val="32"/>
                <w:highlight w:val="none"/>
              </w:rPr>
              <w:t>套</w:t>
            </w:r>
          </w:p>
        </w:tc>
        <w:tc>
          <w:tcPr>
            <w:tcW w:w="2680" w:type="dxa"/>
            <w:shd w:val="clear" w:color="auto" w:fill="auto"/>
            <w:vAlign w:val="center"/>
          </w:tcPr>
          <w:p>
            <w:pPr>
              <w:pStyle w:val="2"/>
              <w:jc w:val="center"/>
              <w:rPr>
                <w:rFonts w:ascii="宋体" w:hAnsi="宋体" w:eastAsia="宋体" w:cs="宋体"/>
                <w:bCs/>
                <w:color w:val="auto"/>
                <w:highlight w:val="none"/>
                <w:shd w:val="clear" w:color="auto" w:fill="FFFFFF"/>
                <w:lang w:bidi="ar"/>
              </w:rPr>
            </w:pPr>
            <w:r>
              <w:rPr>
                <w:rFonts w:hint="eastAsia" w:ascii="宋体" w:hAnsi="宋体" w:eastAsia="宋体" w:cs="宋体"/>
                <w:bCs/>
                <w:color w:val="auto"/>
                <w:highlight w:val="none"/>
                <w:shd w:val="clear" w:color="auto" w:fill="FFFFFF"/>
                <w:lang w:bidi="ar"/>
              </w:rPr>
              <w:t>详见技术要求</w:t>
            </w:r>
          </w:p>
        </w:tc>
      </w:tr>
    </w:tbl>
    <w:p>
      <w:pPr>
        <w:ind w:firstLine="480"/>
        <w:rPr>
          <w:rFonts w:ascii="宋体" w:hAnsi="宋体" w:cs="宋体"/>
          <w:color w:val="auto"/>
          <w:highlight w:val="none"/>
        </w:rPr>
      </w:pPr>
    </w:p>
    <w:p>
      <w:pPr>
        <w:pStyle w:val="5"/>
        <w:rPr>
          <w:rFonts w:ascii="宋体" w:hAnsi="宋体" w:cs="宋体"/>
          <w:color w:val="auto"/>
          <w:highlight w:val="none"/>
        </w:rPr>
      </w:pPr>
      <w:r>
        <w:rPr>
          <w:rFonts w:hint="eastAsia" w:ascii="宋体" w:hAnsi="宋体" w:cs="宋体"/>
          <w:color w:val="auto"/>
          <w:highlight w:val="none"/>
        </w:rPr>
        <w:t>（二）技术要求</w:t>
      </w:r>
    </w:p>
    <w:tbl>
      <w:tblPr>
        <w:tblStyle w:val="8"/>
        <w:tblW w:w="9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63"/>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817" w:type="dxa"/>
            <w:shd w:val="clear" w:color="auto" w:fill="auto"/>
            <w:vAlign w:val="center"/>
          </w:tcPr>
          <w:p>
            <w:pPr>
              <w:spacing w:line="240" w:lineRule="auto"/>
              <w:ind w:firstLine="0" w:firstLineChars="0"/>
              <w:jc w:val="center"/>
              <w:rPr>
                <w:rFonts w:ascii="宋体" w:hAnsi="宋体" w:cs="宋体"/>
                <w:b/>
                <w:bCs/>
                <w:color w:val="auto"/>
                <w:szCs w:val="32"/>
                <w:highlight w:val="none"/>
              </w:rPr>
            </w:pPr>
            <w:r>
              <w:rPr>
                <w:rFonts w:hint="eastAsia" w:ascii="宋体" w:hAnsi="宋体" w:cs="宋体"/>
                <w:b/>
                <w:bCs/>
                <w:color w:val="auto"/>
                <w:szCs w:val="32"/>
                <w:highlight w:val="none"/>
              </w:rPr>
              <w:t>序号</w:t>
            </w:r>
          </w:p>
        </w:tc>
        <w:tc>
          <w:tcPr>
            <w:tcW w:w="1363" w:type="dxa"/>
            <w:shd w:val="clear" w:color="auto" w:fill="auto"/>
            <w:vAlign w:val="center"/>
          </w:tcPr>
          <w:p>
            <w:pPr>
              <w:spacing w:line="240" w:lineRule="auto"/>
              <w:ind w:firstLine="0" w:firstLineChars="0"/>
              <w:jc w:val="center"/>
              <w:rPr>
                <w:rFonts w:ascii="宋体" w:hAnsi="宋体" w:cs="宋体"/>
                <w:b/>
                <w:bCs/>
                <w:color w:val="auto"/>
                <w:szCs w:val="32"/>
                <w:highlight w:val="none"/>
              </w:rPr>
            </w:pPr>
            <w:r>
              <w:rPr>
                <w:rFonts w:hint="eastAsia" w:ascii="宋体" w:hAnsi="宋体" w:cs="宋体"/>
                <w:b/>
                <w:bCs/>
                <w:color w:val="auto"/>
                <w:szCs w:val="32"/>
                <w:highlight w:val="none"/>
              </w:rPr>
              <w:t>名称</w:t>
            </w:r>
          </w:p>
        </w:tc>
        <w:tc>
          <w:tcPr>
            <w:tcW w:w="7335" w:type="dxa"/>
            <w:shd w:val="clear" w:color="auto" w:fill="auto"/>
            <w:vAlign w:val="center"/>
          </w:tcPr>
          <w:p>
            <w:pPr>
              <w:spacing w:line="240" w:lineRule="auto"/>
              <w:ind w:firstLine="0" w:firstLineChars="0"/>
              <w:jc w:val="center"/>
              <w:rPr>
                <w:rFonts w:ascii="宋体" w:hAnsi="宋体" w:cs="宋体"/>
                <w:b/>
                <w:bCs/>
                <w:color w:val="auto"/>
                <w:szCs w:val="32"/>
                <w:highlight w:val="none"/>
              </w:rPr>
            </w:pPr>
            <w:r>
              <w:rPr>
                <w:rFonts w:hint="eastAsia" w:ascii="宋体" w:hAnsi="宋体" w:cs="宋体"/>
                <w:b/>
                <w:bCs/>
                <w:color w:val="auto"/>
                <w:szCs w:val="32"/>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8" w:hRule="atLeast"/>
          <w:jc w:val="center"/>
        </w:trPr>
        <w:tc>
          <w:tcPr>
            <w:tcW w:w="817" w:type="dxa"/>
            <w:shd w:val="clear" w:color="auto" w:fill="auto"/>
            <w:vAlign w:val="center"/>
          </w:tcPr>
          <w:p>
            <w:pPr>
              <w:adjustRightInd w:val="0"/>
              <w:snapToGrid w:val="0"/>
              <w:ind w:firstLine="0" w:firstLineChars="0"/>
              <w:jc w:val="center"/>
              <w:rPr>
                <w:rFonts w:ascii="宋体" w:hAnsi="宋体" w:cs="宋体"/>
                <w:color w:val="auto"/>
                <w:kern w:val="0"/>
                <w:highlight w:val="none"/>
              </w:rPr>
            </w:pPr>
            <w:r>
              <w:rPr>
                <w:rFonts w:hint="eastAsia" w:ascii="宋体" w:hAnsi="宋体" w:cs="宋体"/>
                <w:color w:val="auto"/>
                <w:kern w:val="0"/>
                <w:highlight w:val="none"/>
              </w:rPr>
              <w:t>1</w:t>
            </w:r>
          </w:p>
        </w:tc>
        <w:tc>
          <w:tcPr>
            <w:tcW w:w="1363" w:type="dxa"/>
            <w:shd w:val="clear" w:color="auto" w:fill="auto"/>
            <w:vAlign w:val="center"/>
          </w:tcPr>
          <w:p>
            <w:pPr>
              <w:adjustRightInd w:val="0"/>
              <w:snapToGrid w:val="0"/>
              <w:ind w:firstLine="0" w:firstLineChars="0"/>
              <w:jc w:val="center"/>
              <w:rPr>
                <w:rFonts w:ascii="宋体" w:hAnsi="宋体" w:cs="宋体"/>
                <w:color w:val="auto"/>
                <w:kern w:val="0"/>
                <w:highlight w:val="none"/>
              </w:rPr>
            </w:pPr>
            <w:r>
              <w:rPr>
                <w:rFonts w:hint="eastAsia" w:ascii="宋体" w:hAnsi="宋体" w:cs="宋体"/>
                <w:color w:val="auto"/>
                <w:szCs w:val="32"/>
                <w:highlight w:val="none"/>
                <w:lang w:val="en-US" w:eastAsia="zh-CN"/>
              </w:rPr>
              <w:t>正置荧光显微镜</w:t>
            </w:r>
          </w:p>
        </w:tc>
        <w:tc>
          <w:tcPr>
            <w:tcW w:w="7335" w:type="dxa"/>
            <w:shd w:val="clear" w:color="auto" w:fill="auto"/>
            <w:vAlign w:val="center"/>
          </w:tcPr>
          <w:p>
            <w:pPr>
              <w:numPr>
                <w:ilvl w:val="0"/>
                <w:numId w:val="0"/>
              </w:numPr>
              <w:rPr>
                <w:rFonts w:hint="eastAsia"/>
                <w:highlight w:val="none"/>
                <w:lang w:eastAsia="zh-CN"/>
              </w:rPr>
            </w:pPr>
            <w:r>
              <w:rPr>
                <w:rFonts w:hint="eastAsia"/>
                <w:highlight w:val="none"/>
                <w:lang w:eastAsia="zh-CN"/>
              </w:rPr>
              <w:t>1</w:t>
            </w:r>
            <w:r>
              <w:rPr>
                <w:rFonts w:hint="eastAsia"/>
                <w:highlight w:val="none"/>
                <w:lang w:val="en-US" w:eastAsia="zh-CN"/>
              </w:rPr>
              <w:t xml:space="preserve">.  </w:t>
            </w:r>
            <w:r>
              <w:rPr>
                <w:rFonts w:hint="eastAsia"/>
                <w:highlight w:val="none"/>
                <w:lang w:eastAsia="zh-CN"/>
              </w:rPr>
              <w:t>具有全自动明场， 暗场，微分干涉及荧光观察功能，成像视野出口直径≥19mm，保证最佳的图像拍摄效果。</w:t>
            </w:r>
          </w:p>
          <w:p>
            <w:pPr>
              <w:numPr>
                <w:ilvl w:val="0"/>
                <w:numId w:val="0"/>
              </w:numPr>
              <w:rPr>
                <w:rFonts w:hint="eastAsia"/>
                <w:highlight w:val="none"/>
                <w:lang w:eastAsia="zh-CN"/>
              </w:rPr>
            </w:pPr>
            <w:r>
              <w:rPr>
                <w:rFonts w:hint="eastAsia"/>
                <w:highlight w:val="none"/>
                <w:lang w:eastAsia="zh-CN"/>
              </w:rPr>
              <w:t>2.</w:t>
            </w:r>
            <w:r>
              <w:rPr>
                <w:rFonts w:hint="eastAsia"/>
                <w:highlight w:val="none"/>
                <w:lang w:val="en-US" w:eastAsia="zh-CN"/>
              </w:rPr>
              <w:t xml:space="preserve">  </w:t>
            </w:r>
            <w:r>
              <w:rPr>
                <w:rFonts w:hint="eastAsia"/>
                <w:highlight w:val="none"/>
                <w:lang w:eastAsia="zh-CN"/>
              </w:rPr>
              <w:t>电动控制万能聚光镜，具有电动调节科勒照明功能。</w:t>
            </w:r>
          </w:p>
          <w:p>
            <w:pPr>
              <w:numPr>
                <w:ilvl w:val="0"/>
                <w:numId w:val="0"/>
              </w:numPr>
              <w:rPr>
                <w:rFonts w:hint="eastAsia"/>
                <w:highlight w:val="none"/>
                <w:lang w:eastAsia="zh-CN"/>
              </w:rPr>
            </w:pPr>
            <w:r>
              <w:rPr>
                <w:rFonts w:hint="eastAsia"/>
                <w:highlight w:val="none"/>
                <w:lang w:eastAsia="zh-CN"/>
              </w:rPr>
              <w:t>3.</w:t>
            </w:r>
            <w:r>
              <w:rPr>
                <w:rFonts w:hint="eastAsia"/>
                <w:highlight w:val="none"/>
                <w:lang w:val="en-US" w:eastAsia="zh-CN"/>
              </w:rPr>
              <w:t xml:space="preserve">  </w:t>
            </w:r>
            <w:r>
              <w:rPr>
                <w:rFonts w:hint="eastAsia"/>
                <w:highlight w:val="none"/>
                <w:lang w:eastAsia="zh-CN"/>
              </w:rPr>
              <w:t>采用长寿命LED明场照明系统，色温恒定校正4500K，保证最佳的视觉效果。</w:t>
            </w:r>
          </w:p>
          <w:p>
            <w:pPr>
              <w:numPr>
                <w:ilvl w:val="0"/>
                <w:numId w:val="0"/>
              </w:numPr>
              <w:rPr>
                <w:rFonts w:hint="eastAsia"/>
                <w:highlight w:val="none"/>
                <w:lang w:eastAsia="zh-CN"/>
              </w:rPr>
            </w:pPr>
            <w:r>
              <w:rPr>
                <w:rFonts w:hint="eastAsia"/>
                <w:highlight w:val="none"/>
                <w:lang w:eastAsia="zh-CN"/>
              </w:rPr>
              <w:t>4.</w:t>
            </w:r>
            <w:r>
              <w:rPr>
                <w:rFonts w:hint="eastAsia"/>
                <w:highlight w:val="none"/>
                <w:lang w:val="en-US" w:eastAsia="zh-CN"/>
              </w:rPr>
              <w:t xml:space="preserve">  </w:t>
            </w:r>
            <w:r>
              <w:rPr>
                <w:rFonts w:hint="eastAsia"/>
                <w:highlight w:val="none"/>
                <w:lang w:eastAsia="zh-CN"/>
              </w:rPr>
              <w:t>主机上带LCD 显示屏, 显示显微镜各种参数以及所以显微镜功能和状态</w:t>
            </w:r>
          </w:p>
          <w:p>
            <w:pPr>
              <w:numPr>
                <w:ilvl w:val="0"/>
                <w:numId w:val="0"/>
              </w:numPr>
              <w:rPr>
                <w:rFonts w:hint="eastAsia"/>
                <w:highlight w:val="none"/>
                <w:lang w:eastAsia="zh-CN"/>
              </w:rPr>
            </w:pPr>
            <w:r>
              <w:rPr>
                <w:rFonts w:hint="eastAsia"/>
                <w:highlight w:val="none"/>
                <w:lang w:eastAsia="zh-CN"/>
              </w:rPr>
              <w:t>5.</w:t>
            </w:r>
            <w:r>
              <w:rPr>
                <w:rFonts w:hint="eastAsia"/>
                <w:highlight w:val="none"/>
                <w:lang w:val="en-US" w:eastAsia="zh-CN"/>
              </w:rPr>
              <w:t xml:space="preserve">  采用</w:t>
            </w:r>
            <w:r>
              <w:rPr>
                <w:rFonts w:hint="eastAsia"/>
                <w:highlight w:val="none"/>
                <w:lang w:eastAsia="zh-CN"/>
              </w:rPr>
              <w:t>6位编码物镜转盘，机器和软件自动识别放大倍数，自动显示正确的标尺尺寸大小。</w:t>
            </w:r>
          </w:p>
          <w:p>
            <w:pPr>
              <w:numPr>
                <w:ilvl w:val="0"/>
                <w:numId w:val="0"/>
              </w:numPr>
              <w:rPr>
                <w:rFonts w:hint="eastAsia"/>
                <w:highlight w:val="none"/>
                <w:lang w:eastAsia="zh-CN"/>
              </w:rPr>
            </w:pPr>
            <w:r>
              <w:rPr>
                <w:rFonts w:hint="eastAsia" w:ascii="宋体" w:hAnsi="宋体" w:cs="宋体"/>
                <w:color w:val="auto"/>
                <w:sz w:val="24"/>
                <w:szCs w:val="24"/>
                <w:highlight w:val="none"/>
              </w:rPr>
              <w:t>▲</w:t>
            </w:r>
            <w:r>
              <w:rPr>
                <w:rFonts w:hint="eastAsia"/>
                <w:highlight w:val="none"/>
                <w:lang w:val="en-US" w:eastAsia="zh-CN"/>
              </w:rPr>
              <w:t xml:space="preserve">6.  </w:t>
            </w:r>
            <w:r>
              <w:rPr>
                <w:rFonts w:hint="eastAsia"/>
                <w:highlight w:val="none"/>
                <w:lang w:eastAsia="zh-CN"/>
              </w:rPr>
              <w:t>全电动DIC转盘，转换物镜时自动适配棱镜，保证极佳的DIC微分干涉效果。</w:t>
            </w:r>
          </w:p>
          <w:p>
            <w:pPr>
              <w:numPr>
                <w:ilvl w:val="0"/>
                <w:numId w:val="0"/>
              </w:numPr>
              <w:rPr>
                <w:rFonts w:hint="eastAsia"/>
                <w:highlight w:val="none"/>
                <w:lang w:eastAsia="zh-CN"/>
              </w:rPr>
            </w:pPr>
            <w:r>
              <w:rPr>
                <w:rFonts w:hint="eastAsia"/>
                <w:highlight w:val="none"/>
                <w:lang w:val="en-US" w:eastAsia="zh-CN"/>
              </w:rPr>
              <w:t xml:space="preserve">7.  </w:t>
            </w:r>
            <w:r>
              <w:rPr>
                <w:rFonts w:hint="eastAsia"/>
                <w:highlight w:val="none"/>
                <w:lang w:eastAsia="zh-CN"/>
              </w:rPr>
              <w:t>调焦：带同轴粗,精调焦, 有上限停止位置，高精度微调旋钮（最小微调刻度单位不大于1微米）。</w:t>
            </w:r>
          </w:p>
          <w:p>
            <w:pPr>
              <w:numPr>
                <w:ilvl w:val="0"/>
                <w:numId w:val="0"/>
              </w:numPr>
              <w:rPr>
                <w:rFonts w:hint="eastAsia"/>
                <w:highlight w:val="none"/>
                <w:lang w:eastAsia="zh-CN"/>
              </w:rPr>
            </w:pPr>
            <w:r>
              <w:rPr>
                <w:rFonts w:hint="eastAsia"/>
                <w:highlight w:val="none"/>
                <w:lang w:eastAsia="zh-CN"/>
              </w:rPr>
              <w:t>8.</w:t>
            </w:r>
            <w:r>
              <w:rPr>
                <w:rFonts w:hint="eastAsia"/>
                <w:highlight w:val="none"/>
                <w:lang w:val="en-US" w:eastAsia="zh-CN"/>
              </w:rPr>
              <w:t xml:space="preserve">  </w:t>
            </w:r>
            <w:r>
              <w:rPr>
                <w:rFonts w:hint="eastAsia"/>
                <w:highlight w:val="none"/>
                <w:lang w:eastAsia="zh-CN"/>
              </w:rPr>
              <w:t>观察镜筒：宽视野三目照相镜筒，具有三档分光位置</w:t>
            </w:r>
          </w:p>
          <w:p>
            <w:pPr>
              <w:numPr>
                <w:ilvl w:val="0"/>
                <w:numId w:val="0"/>
              </w:numPr>
              <w:rPr>
                <w:rFonts w:hint="eastAsia"/>
                <w:highlight w:val="none"/>
                <w:lang w:eastAsia="zh-CN"/>
              </w:rPr>
            </w:pPr>
            <w:r>
              <w:rPr>
                <w:rFonts w:hint="eastAsia"/>
                <w:highlight w:val="none"/>
                <w:lang w:eastAsia="zh-CN"/>
              </w:rPr>
              <w:t>9.</w:t>
            </w:r>
            <w:r>
              <w:rPr>
                <w:rFonts w:hint="eastAsia"/>
                <w:highlight w:val="none"/>
                <w:lang w:val="en-US" w:eastAsia="zh-CN"/>
              </w:rPr>
              <w:t xml:space="preserve">  </w:t>
            </w:r>
            <w:r>
              <w:rPr>
                <w:rFonts w:hint="eastAsia"/>
                <w:highlight w:val="none"/>
                <w:lang w:eastAsia="zh-CN"/>
              </w:rPr>
              <w:t>目镜：10X宽视野目镜，视场直径22mm</w:t>
            </w:r>
          </w:p>
          <w:p>
            <w:pPr>
              <w:numPr>
                <w:ilvl w:val="0"/>
                <w:numId w:val="0"/>
              </w:numPr>
              <w:rPr>
                <w:rFonts w:hint="eastAsia"/>
                <w:highlight w:val="none"/>
                <w:lang w:eastAsia="zh-CN"/>
              </w:rPr>
            </w:pPr>
            <w:r>
              <w:rPr>
                <w:rFonts w:hint="eastAsia" w:ascii="宋体" w:hAnsi="宋体" w:cs="宋体"/>
                <w:color w:val="auto"/>
                <w:sz w:val="24"/>
                <w:szCs w:val="24"/>
                <w:highlight w:val="none"/>
              </w:rPr>
              <w:t>▲</w:t>
            </w:r>
            <w:r>
              <w:rPr>
                <w:rFonts w:hint="eastAsia"/>
                <w:highlight w:val="none"/>
                <w:lang w:eastAsia="zh-CN"/>
              </w:rPr>
              <w:t>10</w:t>
            </w:r>
            <w:r>
              <w:rPr>
                <w:rFonts w:hint="eastAsia"/>
                <w:highlight w:val="none"/>
                <w:lang w:val="en-US" w:eastAsia="zh-CN"/>
              </w:rPr>
              <w:t xml:space="preserve">.  </w:t>
            </w:r>
            <w:r>
              <w:rPr>
                <w:rFonts w:hint="eastAsia"/>
                <w:highlight w:val="none"/>
                <w:lang w:eastAsia="zh-CN"/>
              </w:rPr>
              <w:t>5x平场消色差物镜，NA0.12</w:t>
            </w:r>
          </w:p>
          <w:p>
            <w:pPr>
              <w:numPr>
                <w:ilvl w:val="0"/>
                <w:numId w:val="0"/>
              </w:numPr>
              <w:rPr>
                <w:rFonts w:hint="eastAsia"/>
                <w:highlight w:val="none"/>
                <w:lang w:eastAsia="zh-CN"/>
              </w:rPr>
            </w:pPr>
            <w:r>
              <w:rPr>
                <w:rFonts w:hint="eastAsia"/>
                <w:highlight w:val="none"/>
                <w:lang w:eastAsia="zh-CN"/>
              </w:rPr>
              <w:t>11</w:t>
            </w:r>
            <w:r>
              <w:rPr>
                <w:rFonts w:hint="eastAsia"/>
                <w:highlight w:val="none"/>
                <w:lang w:val="en-US" w:eastAsia="zh-CN"/>
              </w:rPr>
              <w:t xml:space="preserve">.  </w:t>
            </w:r>
            <w:r>
              <w:rPr>
                <w:rFonts w:hint="eastAsia"/>
                <w:highlight w:val="none"/>
                <w:lang w:eastAsia="zh-CN"/>
              </w:rPr>
              <w:t>10x平场消色差物镜，NA0.25</w:t>
            </w:r>
          </w:p>
          <w:p>
            <w:pPr>
              <w:numPr>
                <w:ilvl w:val="0"/>
                <w:numId w:val="0"/>
              </w:numPr>
              <w:rPr>
                <w:rFonts w:hint="eastAsia"/>
                <w:highlight w:val="none"/>
                <w:lang w:eastAsia="zh-CN"/>
              </w:rPr>
            </w:pPr>
            <w:r>
              <w:rPr>
                <w:rFonts w:hint="eastAsia"/>
                <w:highlight w:val="none"/>
                <w:lang w:eastAsia="zh-CN"/>
              </w:rPr>
              <w:t>12</w:t>
            </w:r>
            <w:r>
              <w:rPr>
                <w:rFonts w:hint="eastAsia"/>
                <w:highlight w:val="none"/>
                <w:lang w:val="en-US" w:eastAsia="zh-CN"/>
              </w:rPr>
              <w:t>.</w:t>
            </w:r>
            <w:r>
              <w:rPr>
                <w:rFonts w:hint="eastAsia"/>
                <w:highlight w:val="none"/>
                <w:lang w:eastAsia="zh-CN"/>
              </w:rPr>
              <w:t xml:space="preserve">  20X平场消色差物镜，NA0.55</w:t>
            </w:r>
          </w:p>
          <w:p>
            <w:pPr>
              <w:numPr>
                <w:ilvl w:val="0"/>
                <w:numId w:val="0"/>
              </w:numPr>
              <w:rPr>
                <w:rFonts w:hint="eastAsia"/>
                <w:highlight w:val="none"/>
                <w:lang w:eastAsia="zh-CN"/>
              </w:rPr>
            </w:pPr>
            <w:r>
              <w:rPr>
                <w:rFonts w:hint="eastAsia"/>
                <w:highlight w:val="none"/>
                <w:lang w:eastAsia="zh-CN"/>
              </w:rPr>
              <w:t>13</w:t>
            </w:r>
            <w:r>
              <w:rPr>
                <w:rFonts w:hint="eastAsia"/>
                <w:highlight w:val="none"/>
                <w:lang w:val="en-US" w:eastAsia="zh-CN"/>
              </w:rPr>
              <w:t xml:space="preserve">. </w:t>
            </w:r>
            <w:r>
              <w:rPr>
                <w:rFonts w:hint="eastAsia"/>
                <w:highlight w:val="none"/>
                <w:lang w:eastAsia="zh-CN"/>
              </w:rPr>
              <w:t xml:space="preserve"> 40x平场消色差物镜，NA0.8</w:t>
            </w:r>
          </w:p>
          <w:p>
            <w:pPr>
              <w:numPr>
                <w:ilvl w:val="0"/>
                <w:numId w:val="0"/>
              </w:numPr>
              <w:rPr>
                <w:rFonts w:hint="eastAsia"/>
                <w:highlight w:val="none"/>
                <w:lang w:eastAsia="zh-CN"/>
              </w:rPr>
            </w:pPr>
            <w:r>
              <w:rPr>
                <w:rFonts w:hint="eastAsia"/>
                <w:highlight w:val="none"/>
                <w:lang w:eastAsia="zh-CN"/>
              </w:rPr>
              <w:t>14</w:t>
            </w:r>
            <w:r>
              <w:rPr>
                <w:rFonts w:hint="eastAsia"/>
                <w:highlight w:val="none"/>
                <w:lang w:val="en-US" w:eastAsia="zh-CN"/>
              </w:rPr>
              <w:t xml:space="preserve">. </w:t>
            </w:r>
            <w:r>
              <w:rPr>
                <w:rFonts w:hint="eastAsia"/>
                <w:highlight w:val="none"/>
                <w:lang w:eastAsia="zh-CN"/>
              </w:rPr>
              <w:t xml:space="preserve"> 10x平场消色差油镜，NA1.25</w:t>
            </w:r>
          </w:p>
          <w:p>
            <w:pPr>
              <w:numPr>
                <w:ilvl w:val="0"/>
                <w:numId w:val="0"/>
              </w:numPr>
              <w:rPr>
                <w:rFonts w:hint="eastAsia"/>
                <w:highlight w:val="none"/>
                <w:lang w:eastAsia="zh-CN"/>
              </w:rPr>
            </w:pPr>
            <w:r>
              <w:rPr>
                <w:rFonts w:hint="eastAsia"/>
                <w:highlight w:val="none"/>
                <w:lang w:eastAsia="zh-CN"/>
              </w:rPr>
              <w:t>16</w:t>
            </w:r>
            <w:r>
              <w:rPr>
                <w:rFonts w:hint="eastAsia"/>
                <w:highlight w:val="none"/>
                <w:lang w:val="en-US" w:eastAsia="zh-CN"/>
              </w:rPr>
              <w:t xml:space="preserve">. </w:t>
            </w:r>
            <w:r>
              <w:rPr>
                <w:rFonts w:hint="eastAsia"/>
                <w:highlight w:val="none"/>
                <w:lang w:eastAsia="zh-CN"/>
              </w:rPr>
              <w:t xml:space="preserve"> 配置全电动拼图载物台，行程75*50mm；控制精度0.02um；</w:t>
            </w:r>
          </w:p>
          <w:p>
            <w:pPr>
              <w:numPr>
                <w:ilvl w:val="0"/>
                <w:numId w:val="0"/>
              </w:numPr>
              <w:rPr>
                <w:rFonts w:hint="eastAsia"/>
                <w:highlight w:val="none"/>
                <w:lang w:eastAsia="zh-CN"/>
              </w:rPr>
            </w:pPr>
            <w:r>
              <w:rPr>
                <w:rFonts w:hint="eastAsia"/>
                <w:highlight w:val="none"/>
                <w:lang w:eastAsia="zh-CN"/>
              </w:rPr>
              <w:t>17</w:t>
            </w:r>
            <w:r>
              <w:rPr>
                <w:rFonts w:hint="eastAsia"/>
                <w:highlight w:val="none"/>
                <w:lang w:val="en-US" w:eastAsia="zh-CN"/>
              </w:rPr>
              <w:t xml:space="preserve">.  </w:t>
            </w:r>
            <w:r>
              <w:rPr>
                <w:rFonts w:hint="eastAsia"/>
                <w:highlight w:val="none"/>
                <w:lang w:eastAsia="zh-CN"/>
              </w:rPr>
              <w:t>高灵敏度CCD：彩色/黑白双模式，满足多种荧光拍摄需求；</w:t>
            </w:r>
          </w:p>
          <w:p>
            <w:pPr>
              <w:numPr>
                <w:ilvl w:val="0"/>
                <w:numId w:val="0"/>
              </w:numPr>
              <w:rPr>
                <w:rFonts w:hint="eastAsia"/>
                <w:highlight w:val="none"/>
                <w:lang w:eastAsia="zh-CN"/>
              </w:rPr>
            </w:pPr>
            <w:r>
              <w:rPr>
                <w:rFonts w:hint="eastAsia"/>
                <w:highlight w:val="none"/>
                <w:lang w:eastAsia="zh-CN"/>
              </w:rPr>
              <w:t>18</w:t>
            </w:r>
            <w:r>
              <w:rPr>
                <w:rFonts w:hint="eastAsia"/>
                <w:highlight w:val="none"/>
                <w:lang w:val="en-US" w:eastAsia="zh-CN"/>
              </w:rPr>
              <w:t xml:space="preserve">.  </w:t>
            </w:r>
            <w:r>
              <w:rPr>
                <w:rFonts w:hint="eastAsia"/>
                <w:highlight w:val="none"/>
                <w:lang w:eastAsia="zh-CN"/>
              </w:rPr>
              <w:t>芯片规格： 2/3” CCD；</w:t>
            </w:r>
          </w:p>
          <w:p>
            <w:pPr>
              <w:numPr>
                <w:ilvl w:val="0"/>
                <w:numId w:val="0"/>
              </w:numPr>
              <w:rPr>
                <w:rFonts w:hint="eastAsia"/>
                <w:highlight w:val="none"/>
                <w:lang w:eastAsia="zh-CN"/>
              </w:rPr>
            </w:pPr>
            <w:r>
              <w:rPr>
                <w:rFonts w:hint="eastAsia"/>
                <w:highlight w:val="none"/>
                <w:lang w:eastAsia="zh-CN"/>
              </w:rPr>
              <w:t>19</w:t>
            </w:r>
            <w:r>
              <w:rPr>
                <w:rFonts w:hint="eastAsia"/>
                <w:highlight w:val="none"/>
                <w:lang w:val="en-US" w:eastAsia="zh-CN"/>
              </w:rPr>
              <w:t xml:space="preserve">.  </w:t>
            </w:r>
            <w:r>
              <w:rPr>
                <w:rFonts w:hint="eastAsia"/>
                <w:highlight w:val="none"/>
                <w:lang w:eastAsia="zh-CN"/>
              </w:rPr>
              <w:t>像素面积： ≥4.54u x 4.54 u；</w:t>
            </w:r>
          </w:p>
          <w:p>
            <w:pPr>
              <w:numPr>
                <w:ilvl w:val="0"/>
                <w:numId w:val="0"/>
              </w:numPr>
              <w:rPr>
                <w:rFonts w:hint="eastAsia"/>
                <w:highlight w:val="none"/>
                <w:lang w:eastAsia="zh-CN"/>
              </w:rPr>
            </w:pPr>
            <w:r>
              <w:rPr>
                <w:rFonts w:hint="eastAsia" w:ascii="宋体" w:hAnsi="宋体" w:cs="宋体"/>
                <w:color w:val="auto"/>
                <w:sz w:val="24"/>
                <w:szCs w:val="24"/>
                <w:highlight w:val="none"/>
              </w:rPr>
              <w:t>▲</w:t>
            </w:r>
            <w:r>
              <w:rPr>
                <w:rFonts w:hint="eastAsia"/>
                <w:highlight w:val="none"/>
                <w:lang w:eastAsia="zh-CN"/>
              </w:rPr>
              <w:t>20</w:t>
            </w:r>
            <w:r>
              <w:rPr>
                <w:rFonts w:hint="eastAsia"/>
                <w:highlight w:val="none"/>
                <w:lang w:val="en-US" w:eastAsia="zh-CN"/>
              </w:rPr>
              <w:t xml:space="preserve">.  </w:t>
            </w:r>
            <w:r>
              <w:rPr>
                <w:rFonts w:hint="eastAsia"/>
                <w:highlight w:val="none"/>
                <w:lang w:eastAsia="zh-CN"/>
              </w:rPr>
              <w:t>制冷系统：≤-30℃制冷；</w:t>
            </w:r>
          </w:p>
          <w:p>
            <w:pPr>
              <w:numPr>
                <w:ilvl w:val="0"/>
                <w:numId w:val="0"/>
              </w:numPr>
              <w:rPr>
                <w:rFonts w:hint="eastAsia"/>
                <w:highlight w:val="none"/>
                <w:lang w:eastAsia="zh-CN"/>
              </w:rPr>
            </w:pPr>
            <w:r>
              <w:rPr>
                <w:rFonts w:hint="eastAsia"/>
                <w:highlight w:val="none"/>
                <w:lang w:eastAsia="zh-CN"/>
              </w:rPr>
              <w:t>21</w:t>
            </w:r>
            <w:r>
              <w:rPr>
                <w:rFonts w:hint="eastAsia"/>
                <w:highlight w:val="none"/>
                <w:lang w:val="en-US" w:eastAsia="zh-CN"/>
              </w:rPr>
              <w:t xml:space="preserve">. </w:t>
            </w:r>
            <w:r>
              <w:rPr>
                <w:rFonts w:hint="eastAsia"/>
                <w:highlight w:val="none"/>
                <w:lang w:eastAsia="zh-CN"/>
              </w:rPr>
              <w:t xml:space="preserve"> QE&gt;75%、读出噪声&lt;4.5e-；</w:t>
            </w:r>
          </w:p>
          <w:p>
            <w:pPr>
              <w:numPr>
                <w:ilvl w:val="0"/>
                <w:numId w:val="0"/>
              </w:numPr>
              <w:rPr>
                <w:rFonts w:hint="eastAsia"/>
                <w:highlight w:val="none"/>
                <w:lang w:eastAsia="zh-CN"/>
              </w:rPr>
            </w:pPr>
            <w:r>
              <w:rPr>
                <w:rFonts w:hint="eastAsia" w:ascii="宋体" w:hAnsi="宋体" w:cs="宋体"/>
                <w:color w:val="auto"/>
                <w:sz w:val="24"/>
                <w:szCs w:val="24"/>
                <w:highlight w:val="none"/>
              </w:rPr>
              <w:t>▲</w:t>
            </w:r>
            <w:r>
              <w:rPr>
                <w:rFonts w:hint="eastAsia"/>
                <w:highlight w:val="none"/>
                <w:lang w:eastAsia="zh-CN"/>
              </w:rPr>
              <w:t>22</w:t>
            </w:r>
            <w:r>
              <w:rPr>
                <w:rFonts w:hint="eastAsia"/>
                <w:highlight w:val="none"/>
                <w:lang w:val="en-US" w:eastAsia="zh-CN"/>
              </w:rPr>
              <w:t xml:space="preserve">.  </w:t>
            </w:r>
            <w:r>
              <w:rPr>
                <w:rFonts w:hint="eastAsia"/>
                <w:highlight w:val="none"/>
                <w:lang w:eastAsia="zh-CN"/>
              </w:rPr>
              <w:t>最快拍摄速度≥90FPS@3×3bing；</w:t>
            </w:r>
          </w:p>
          <w:p>
            <w:pPr>
              <w:numPr>
                <w:ilvl w:val="0"/>
                <w:numId w:val="0"/>
              </w:numPr>
              <w:rPr>
                <w:rFonts w:hint="eastAsia"/>
                <w:highlight w:val="none"/>
                <w:lang w:eastAsia="zh-CN"/>
              </w:rPr>
            </w:pPr>
            <w:r>
              <w:rPr>
                <w:rFonts w:hint="eastAsia"/>
                <w:highlight w:val="none"/>
                <w:lang w:eastAsia="zh-CN"/>
              </w:rPr>
              <w:t>23</w:t>
            </w:r>
            <w:r>
              <w:rPr>
                <w:rFonts w:hint="eastAsia"/>
                <w:highlight w:val="none"/>
                <w:lang w:val="en-US" w:eastAsia="zh-CN"/>
              </w:rPr>
              <w:t xml:space="preserve">. </w:t>
            </w:r>
            <w:r>
              <w:rPr>
                <w:rFonts w:hint="eastAsia"/>
                <w:highlight w:val="none"/>
                <w:lang w:eastAsia="zh-CN"/>
              </w:rPr>
              <w:t xml:space="preserve"> 荧光系统自动光强度调节，6种圆型荧光视场光栏, 防止荧光淬灭, 6种矩型视场光栏, 提高CCD图像信嘈比</w:t>
            </w:r>
          </w:p>
          <w:p>
            <w:pPr>
              <w:numPr>
                <w:ilvl w:val="0"/>
                <w:numId w:val="0"/>
              </w:numPr>
              <w:rPr>
                <w:rFonts w:hint="eastAsia"/>
                <w:highlight w:val="none"/>
                <w:lang w:eastAsia="zh-CN"/>
              </w:rPr>
            </w:pPr>
            <w:r>
              <w:rPr>
                <w:rFonts w:hint="eastAsia"/>
                <w:highlight w:val="none"/>
                <w:lang w:eastAsia="zh-CN"/>
              </w:rPr>
              <w:t>24</w:t>
            </w:r>
            <w:r>
              <w:rPr>
                <w:rFonts w:hint="eastAsia"/>
                <w:highlight w:val="none"/>
                <w:lang w:val="en-US" w:eastAsia="zh-CN"/>
              </w:rPr>
              <w:t xml:space="preserve">. </w:t>
            </w:r>
            <w:r>
              <w:rPr>
                <w:rFonts w:hint="eastAsia"/>
                <w:highlight w:val="none"/>
                <w:lang w:eastAsia="zh-CN"/>
              </w:rPr>
              <w:t xml:space="preserve"> 7位荧光滤块转盘；三色带通荧光滤块，满足DAPI、GFP、RFP使用。</w:t>
            </w:r>
          </w:p>
          <w:p>
            <w:pPr>
              <w:numPr>
                <w:ilvl w:val="0"/>
                <w:numId w:val="0"/>
              </w:numPr>
              <w:rPr>
                <w:rFonts w:hint="eastAsia"/>
                <w:highlight w:val="none"/>
                <w:lang w:eastAsia="zh-CN"/>
              </w:rPr>
            </w:pPr>
            <w:r>
              <w:rPr>
                <w:rFonts w:hint="eastAsia"/>
                <w:highlight w:val="none"/>
                <w:lang w:eastAsia="zh-CN"/>
              </w:rPr>
              <w:t>25</w:t>
            </w:r>
            <w:r>
              <w:rPr>
                <w:rFonts w:hint="eastAsia"/>
                <w:highlight w:val="none"/>
                <w:lang w:val="en-US" w:eastAsia="zh-CN"/>
              </w:rPr>
              <w:t>.</w:t>
            </w:r>
            <w:r>
              <w:rPr>
                <w:rFonts w:hint="eastAsia"/>
                <w:highlight w:val="none"/>
                <w:lang w:eastAsia="zh-CN"/>
              </w:rPr>
              <w:t xml:space="preserve">  荧光光源采用长寿命高压卤素灯，使用寿命≥2000小时，</w:t>
            </w:r>
          </w:p>
          <w:p>
            <w:pPr>
              <w:numPr>
                <w:ilvl w:val="0"/>
                <w:numId w:val="0"/>
              </w:numPr>
              <w:rPr>
                <w:rFonts w:hint="eastAsia"/>
                <w:highlight w:val="none"/>
                <w:lang w:eastAsia="zh-CN"/>
              </w:rPr>
            </w:pPr>
            <w:r>
              <w:rPr>
                <w:rFonts w:hint="eastAsia"/>
                <w:highlight w:val="none"/>
                <w:lang w:eastAsia="zh-CN"/>
              </w:rPr>
              <w:t>26</w:t>
            </w:r>
            <w:r>
              <w:rPr>
                <w:rFonts w:hint="eastAsia"/>
                <w:highlight w:val="none"/>
                <w:lang w:val="en-US" w:eastAsia="zh-CN"/>
              </w:rPr>
              <w:t xml:space="preserve">.  </w:t>
            </w:r>
            <w:r>
              <w:rPr>
                <w:rFonts w:hint="eastAsia"/>
                <w:highlight w:val="none"/>
                <w:lang w:eastAsia="zh-CN"/>
              </w:rPr>
              <w:t>荧光光源采用液态光纤传导，保护样本受伤害。</w:t>
            </w:r>
          </w:p>
          <w:p>
            <w:pPr>
              <w:numPr>
                <w:ilvl w:val="0"/>
                <w:numId w:val="0"/>
              </w:numPr>
              <w:rPr>
                <w:rFonts w:hint="eastAsia"/>
                <w:highlight w:val="none"/>
                <w:lang w:eastAsia="zh-CN"/>
              </w:rPr>
            </w:pPr>
            <w:r>
              <w:rPr>
                <w:rFonts w:hint="eastAsia" w:ascii="宋体" w:hAnsi="宋体" w:cs="宋体"/>
                <w:color w:val="auto"/>
                <w:sz w:val="24"/>
                <w:szCs w:val="24"/>
                <w:highlight w:val="none"/>
              </w:rPr>
              <w:t>▲</w:t>
            </w:r>
            <w:r>
              <w:rPr>
                <w:rFonts w:hint="eastAsia"/>
                <w:highlight w:val="none"/>
                <w:lang w:eastAsia="zh-CN"/>
              </w:rPr>
              <w:t>27</w:t>
            </w:r>
            <w:r>
              <w:rPr>
                <w:rFonts w:hint="eastAsia"/>
                <w:highlight w:val="none"/>
                <w:lang w:val="en-US" w:eastAsia="zh-CN"/>
              </w:rPr>
              <w:t xml:space="preserve">. </w:t>
            </w:r>
            <w:r>
              <w:rPr>
                <w:rFonts w:hint="eastAsia"/>
                <w:highlight w:val="none"/>
                <w:lang w:eastAsia="zh-CN"/>
              </w:rPr>
              <w:t xml:space="preserve"> </w:t>
            </w:r>
            <w:r>
              <w:rPr>
                <w:rFonts w:hint="eastAsia"/>
                <w:highlight w:val="none"/>
                <w:lang w:val="en-US" w:eastAsia="zh-CN"/>
              </w:rPr>
              <w:t>配套</w:t>
            </w:r>
            <w:r>
              <w:rPr>
                <w:rFonts w:hint="eastAsia"/>
                <w:highlight w:val="none"/>
                <w:lang w:eastAsia="zh-CN"/>
              </w:rPr>
              <w:t>软件功能：多色无限制自动叠加，自动大图缝合拼接，周长测量、面积测量、荧光强度定量。</w:t>
            </w:r>
          </w:p>
        </w:tc>
      </w:tr>
    </w:tbl>
    <w:p>
      <w:pPr>
        <w:ind w:firstLine="480"/>
        <w:rPr>
          <w:color w:val="auto"/>
          <w:highlight w:val="none"/>
        </w:rPr>
        <w:sectPr>
          <w:headerReference r:id="rId3" w:type="first"/>
          <w:footerReference r:id="rId5" w:type="first"/>
          <w:footerReference r:id="rId4" w:type="default"/>
          <w:pgSz w:w="11907" w:h="16840"/>
          <w:pgMar w:top="1247" w:right="1304" w:bottom="1021" w:left="1304" w:header="720" w:footer="720" w:gutter="0"/>
          <w:cols w:space="720" w:num="1"/>
          <w:docGrid w:linePitch="326" w:charSpace="0"/>
        </w:sectPr>
      </w:pPr>
    </w:p>
    <w:p>
      <w:pPr>
        <w:pStyle w:val="4"/>
        <w:rPr>
          <w:rFonts w:hint="default" w:ascii="宋体" w:hAnsi="宋体" w:eastAsia="宋体" w:cs="宋体"/>
          <w:color w:val="auto"/>
          <w:highlight w:val="none"/>
          <w:lang w:val="en-US" w:eastAsia="zh-CN"/>
        </w:rPr>
      </w:pPr>
      <w:bookmarkStart w:id="1" w:name="_Toc450840086"/>
      <w:bookmarkStart w:id="2" w:name="_Toc23621"/>
      <w:r>
        <w:rPr>
          <w:rFonts w:hint="eastAsia" w:ascii="宋体" w:hAnsi="宋体" w:cs="宋体"/>
          <w:color w:val="auto"/>
          <w:highlight w:val="none"/>
        </w:rPr>
        <w:t>二、商务</w:t>
      </w:r>
      <w:bookmarkEnd w:id="1"/>
      <w:r>
        <w:rPr>
          <w:rFonts w:hint="eastAsia" w:ascii="宋体" w:hAnsi="宋体" w:cs="宋体"/>
          <w:color w:val="auto"/>
          <w:highlight w:val="none"/>
        </w:rPr>
        <w:t>要求</w:t>
      </w:r>
      <w:bookmarkEnd w:id="2"/>
      <w:r>
        <w:rPr>
          <w:rFonts w:hint="eastAsia" w:ascii="宋体" w:hAnsi="宋体" w:cs="宋体"/>
          <w:color w:val="auto"/>
          <w:highlight w:val="none"/>
          <w:lang w:eastAsia="zh-CN"/>
        </w:rPr>
        <w:t>（</w:t>
      </w:r>
      <w:r>
        <w:rPr>
          <w:rFonts w:hint="eastAsia" w:ascii="宋体" w:hAnsi="宋体" w:cs="宋体"/>
          <w:color w:val="auto"/>
          <w:highlight w:val="none"/>
          <w:lang w:val="en-US" w:eastAsia="zh-CN"/>
        </w:rPr>
        <w:t>与合同对比）</w:t>
      </w:r>
    </w:p>
    <w:p>
      <w:pPr>
        <w:pStyle w:val="5"/>
        <w:rPr>
          <w:rFonts w:ascii="宋体" w:hAnsi="宋体" w:cs="宋体"/>
          <w:color w:val="auto"/>
          <w:highlight w:val="none"/>
        </w:rPr>
      </w:pPr>
      <w:bookmarkStart w:id="3" w:name="_Toc3405"/>
      <w:bookmarkStart w:id="4" w:name="_Toc501022792"/>
      <w:r>
        <w:rPr>
          <w:rFonts w:hint="eastAsia" w:ascii="宋体" w:hAnsi="宋体" w:cs="宋体"/>
          <w:color w:val="auto"/>
          <w:highlight w:val="none"/>
        </w:rPr>
        <w:t>（一）交货时间</w:t>
      </w:r>
    </w:p>
    <w:p>
      <w:pPr>
        <w:spacing w:line="336" w:lineRule="auto"/>
        <w:ind w:firstLine="480"/>
        <w:rPr>
          <w:rFonts w:ascii="宋体" w:hAnsi="宋体" w:cs="宋体"/>
          <w:color w:val="auto"/>
          <w:highlight w:val="none"/>
        </w:rPr>
      </w:pPr>
      <w:r>
        <w:rPr>
          <w:rFonts w:hint="eastAsia" w:ascii="宋体" w:hAnsi="宋体" w:cs="宋体"/>
          <w:color w:val="auto"/>
          <w:szCs w:val="32"/>
          <w:highlight w:val="none"/>
        </w:rPr>
        <w:t>合同签订后</w:t>
      </w:r>
      <w:r>
        <w:rPr>
          <w:rFonts w:hint="eastAsia" w:ascii="宋体" w:hAnsi="宋体" w:cs="宋体"/>
          <w:color w:val="auto"/>
          <w:szCs w:val="32"/>
          <w:highlight w:val="none"/>
        </w:rPr>
        <w:t>3个月</w:t>
      </w:r>
      <w:r>
        <w:rPr>
          <w:rFonts w:hint="eastAsia" w:ascii="宋体" w:hAnsi="宋体" w:cs="宋体"/>
          <w:color w:val="auto"/>
          <w:szCs w:val="32"/>
          <w:highlight w:val="none"/>
        </w:rPr>
        <w:t>内完成供货、安装、调试</w:t>
      </w:r>
      <w:r>
        <w:rPr>
          <w:rFonts w:hint="eastAsia" w:ascii="宋体" w:hAnsi="宋体" w:cs="宋体"/>
          <w:color w:val="auto"/>
          <w:highlight w:val="none"/>
        </w:rPr>
        <w:t>。</w:t>
      </w:r>
    </w:p>
    <w:p>
      <w:pPr>
        <w:pStyle w:val="5"/>
        <w:rPr>
          <w:rFonts w:ascii="宋体" w:hAnsi="宋体" w:cs="宋体"/>
          <w:color w:val="auto"/>
          <w:highlight w:val="none"/>
        </w:rPr>
      </w:pPr>
      <w:r>
        <w:rPr>
          <w:rFonts w:hint="eastAsia" w:ascii="宋体" w:hAnsi="宋体" w:cs="宋体"/>
          <w:color w:val="auto"/>
          <w:highlight w:val="none"/>
        </w:rPr>
        <w:t>（二）交付地点</w:t>
      </w:r>
    </w:p>
    <w:p>
      <w:pPr>
        <w:spacing w:line="336" w:lineRule="auto"/>
        <w:ind w:firstLine="480"/>
        <w:rPr>
          <w:rFonts w:ascii="宋体" w:hAnsi="宋体" w:cs="宋体"/>
          <w:color w:val="auto"/>
          <w:highlight w:val="none"/>
        </w:rPr>
      </w:pPr>
      <w:r>
        <w:rPr>
          <w:rFonts w:hint="eastAsia" w:ascii="宋体" w:hAnsi="宋体" w:cs="宋体"/>
          <w:color w:val="auto"/>
          <w:highlight w:val="none"/>
        </w:rPr>
        <w:t>采购人指定地点。</w:t>
      </w:r>
    </w:p>
    <w:p>
      <w:pPr>
        <w:pStyle w:val="5"/>
        <w:rPr>
          <w:rFonts w:ascii="宋体" w:hAnsi="宋体" w:cs="宋体"/>
          <w:color w:val="auto"/>
          <w:highlight w:val="none"/>
        </w:rPr>
      </w:pPr>
      <w:r>
        <w:rPr>
          <w:rFonts w:hint="eastAsia" w:ascii="宋体" w:hAnsi="宋体" w:cs="宋体"/>
          <w:color w:val="auto"/>
          <w:highlight w:val="none"/>
        </w:rPr>
        <w:t>（三）质保期</w:t>
      </w:r>
    </w:p>
    <w:p>
      <w:pPr>
        <w:ind w:firstLine="480"/>
        <w:rPr>
          <w:rFonts w:ascii="宋体" w:hAnsi="宋体" w:cs="宋体"/>
          <w:color w:val="auto"/>
          <w:highlight w:val="none"/>
        </w:rPr>
      </w:pPr>
      <w:r>
        <w:rPr>
          <w:rFonts w:hint="eastAsia" w:ascii="宋体" w:hAnsi="宋体" w:cs="宋体"/>
          <w:color w:val="auto"/>
          <w:highlight w:val="none"/>
        </w:rPr>
        <w:t>质保期一年</w:t>
      </w:r>
      <w:r>
        <w:rPr>
          <w:rFonts w:hint="eastAsia" w:ascii="宋体" w:hAnsi="宋体" w:cs="宋体"/>
          <w:color w:val="auto"/>
          <w:highlight w:val="none"/>
        </w:rPr>
        <w:t>，自验收合格之日起计算。</w:t>
      </w:r>
    </w:p>
    <w:p>
      <w:pPr>
        <w:pStyle w:val="5"/>
        <w:rPr>
          <w:rFonts w:ascii="宋体" w:hAnsi="宋体" w:cs="宋体"/>
          <w:color w:val="auto"/>
          <w:highlight w:val="none"/>
        </w:rPr>
      </w:pPr>
      <w:r>
        <w:rPr>
          <w:rFonts w:hint="eastAsia" w:ascii="宋体" w:hAnsi="宋体" w:cs="宋体"/>
          <w:color w:val="auto"/>
          <w:highlight w:val="none"/>
        </w:rPr>
        <w:t>（四）履约保证金</w:t>
      </w:r>
    </w:p>
    <w:p>
      <w:pPr>
        <w:ind w:firstLine="480"/>
        <w:rPr>
          <w:rFonts w:hint="eastAsia" w:cs="宋体"/>
          <w:snapToGrid w:val="0"/>
          <w:color w:val="auto"/>
          <w:kern w:val="0"/>
          <w:highlight w:val="none"/>
        </w:rPr>
      </w:pPr>
      <w:r>
        <w:rPr>
          <w:rFonts w:hint="eastAsia" w:cs="宋体"/>
          <w:snapToGrid w:val="0"/>
          <w:color w:val="auto"/>
          <w:kern w:val="0"/>
          <w:highlight w:val="none"/>
        </w:rPr>
        <w:t>1.合同金额的</w:t>
      </w:r>
      <w:r>
        <w:rPr>
          <w:rFonts w:hint="eastAsia" w:cs="宋体"/>
          <w:snapToGrid w:val="0"/>
          <w:color w:val="auto"/>
          <w:kern w:val="0"/>
          <w:highlight w:val="none"/>
          <w:lang w:val="en-US" w:eastAsia="zh-CN"/>
        </w:rPr>
        <w:t>5</w:t>
      </w:r>
      <w:r>
        <w:rPr>
          <w:rFonts w:hint="eastAsia" w:cs="宋体"/>
          <w:snapToGrid w:val="0"/>
          <w:color w:val="auto"/>
          <w:kern w:val="0"/>
          <w:highlight w:val="none"/>
        </w:rPr>
        <w:t>%作为履约保证金，中标人在合同签订时提交至采购人。</w:t>
      </w:r>
    </w:p>
    <w:p>
      <w:pPr>
        <w:ind w:firstLine="480"/>
        <w:rPr>
          <w:rFonts w:hint="eastAsia" w:cs="宋体"/>
          <w:color w:val="auto"/>
          <w:szCs w:val="32"/>
          <w:highlight w:val="none"/>
        </w:rPr>
      </w:pPr>
      <w:r>
        <w:rPr>
          <w:rFonts w:hint="eastAsia" w:cs="宋体"/>
          <w:color w:val="auto"/>
          <w:szCs w:val="32"/>
          <w:highlight w:val="none"/>
        </w:rPr>
        <w:t>2.履约保证金的交付方式：转账、支票、汇票、本票或金融机构、担保机构出具的保函等非现金方式。</w:t>
      </w:r>
    </w:p>
    <w:p>
      <w:pPr>
        <w:ind w:firstLine="480"/>
        <w:rPr>
          <w:rFonts w:ascii="宋体" w:hAnsi="宋体" w:cs="宋体"/>
          <w:color w:val="auto"/>
          <w:szCs w:val="32"/>
          <w:highlight w:val="none"/>
        </w:rPr>
      </w:pPr>
      <w:r>
        <w:rPr>
          <w:rFonts w:hint="eastAsia" w:cs="宋体"/>
          <w:color w:val="auto"/>
          <w:szCs w:val="32"/>
          <w:highlight w:val="none"/>
        </w:rPr>
        <w:t>3.履约保证金在验收合格之后自动转为质量保证金，质量保证金在质保期结束且确认中标方无违约行为后无息退还给中标方（遇寒暑假及国家假日延顺）。</w:t>
      </w:r>
    </w:p>
    <w:p>
      <w:pPr>
        <w:pStyle w:val="5"/>
        <w:rPr>
          <w:rFonts w:ascii="宋体" w:hAnsi="宋体" w:cs="宋体"/>
          <w:color w:val="auto"/>
          <w:highlight w:val="none"/>
        </w:rPr>
      </w:pPr>
      <w:r>
        <w:rPr>
          <w:rFonts w:hint="eastAsia" w:ascii="宋体" w:hAnsi="宋体" w:cs="宋体"/>
          <w:color w:val="auto"/>
          <w:highlight w:val="none"/>
        </w:rPr>
        <w:t>（五）项目验收</w:t>
      </w:r>
    </w:p>
    <w:p>
      <w:pPr>
        <w:ind w:firstLine="480"/>
        <w:rPr>
          <w:rFonts w:ascii="宋体" w:hAnsi="宋体" w:cs="宋体"/>
          <w:color w:val="auto"/>
          <w:szCs w:val="22"/>
          <w:highlight w:val="none"/>
          <w:lang w:val="zh-CN"/>
        </w:rPr>
      </w:pPr>
      <w:r>
        <w:rPr>
          <w:rFonts w:hint="eastAsia" w:ascii="宋体" w:hAnsi="宋体" w:cs="宋体"/>
          <w:color w:val="auto"/>
          <w:szCs w:val="22"/>
          <w:highlight w:val="none"/>
        </w:rPr>
        <w:t>1.</w:t>
      </w:r>
      <w:r>
        <w:rPr>
          <w:rFonts w:hint="eastAsia" w:ascii="宋体" w:hAnsi="宋体" w:cs="宋体"/>
          <w:color w:val="auto"/>
          <w:szCs w:val="22"/>
          <w:highlight w:val="none"/>
          <w:lang w:val="zh-CN"/>
        </w:rPr>
        <w:t>中标人应提供合同货物的有效检验文件，经采购人认可后，与货物的性能指标一起作为合同货物验收标准。采购人对合同货物验收合格后，双方共同签署验收合格证书，验收中发现合同货物达不到验收标准或合同规定的性能指标，中标人必须更换合同货物，并负担由此给采购人造成的损失，直到验收合格为止；</w:t>
      </w:r>
    </w:p>
    <w:p>
      <w:pPr>
        <w:ind w:firstLine="480"/>
        <w:rPr>
          <w:rFonts w:ascii="宋体" w:hAnsi="宋体" w:cs="宋体"/>
          <w:color w:val="auto"/>
          <w:szCs w:val="22"/>
          <w:highlight w:val="none"/>
          <w:lang w:val="zh-CN"/>
        </w:rPr>
      </w:pPr>
      <w:r>
        <w:rPr>
          <w:rFonts w:hint="eastAsia" w:ascii="宋体" w:hAnsi="宋体" w:cs="宋体"/>
          <w:color w:val="auto"/>
          <w:szCs w:val="22"/>
          <w:highlight w:val="none"/>
        </w:rPr>
        <w:t>2</w:t>
      </w:r>
      <w:r>
        <w:rPr>
          <w:rFonts w:hint="eastAsia" w:ascii="宋体" w:hAnsi="宋体" w:cs="宋体"/>
          <w:color w:val="auto"/>
          <w:szCs w:val="22"/>
          <w:highlight w:val="none"/>
          <w:lang w:val="zh-CN"/>
        </w:rPr>
        <w:t>.投标人应于投标文件中提供合同货物的验收标准和检测办法，并在验收中提供采购人认可的相应检测手段，验收标准应符合中国有关的国家、地方、行业的标准，如若中标，经采购人确认后作为验收的依据；</w:t>
      </w:r>
    </w:p>
    <w:p>
      <w:pPr>
        <w:ind w:firstLine="480"/>
        <w:rPr>
          <w:rFonts w:ascii="宋体" w:hAnsi="宋体" w:cs="宋体"/>
          <w:color w:val="auto"/>
          <w:szCs w:val="22"/>
          <w:highlight w:val="none"/>
          <w:lang w:val="zh-CN"/>
        </w:rPr>
      </w:pPr>
      <w:r>
        <w:rPr>
          <w:rFonts w:hint="eastAsia" w:ascii="宋体" w:hAnsi="宋体" w:cs="宋体"/>
          <w:color w:val="auto"/>
          <w:szCs w:val="22"/>
          <w:highlight w:val="none"/>
          <w:lang w:val="zh-CN"/>
        </w:rPr>
        <w:t>3.如中标人委托国内代理（或其他机构）负责安装或配合安装，应在签约时指明，但中标人仍要对合同货物及其安装质量负全部责任；</w:t>
      </w:r>
    </w:p>
    <w:p>
      <w:pPr>
        <w:ind w:firstLine="480"/>
        <w:rPr>
          <w:rFonts w:ascii="宋体" w:hAnsi="宋体" w:cs="宋体"/>
          <w:color w:val="auto"/>
          <w:szCs w:val="22"/>
          <w:highlight w:val="none"/>
          <w:lang w:val="zh-CN"/>
        </w:rPr>
      </w:pPr>
      <w:r>
        <w:rPr>
          <w:rFonts w:hint="eastAsia" w:ascii="宋体" w:hAnsi="宋体" w:cs="宋体"/>
          <w:color w:val="auto"/>
          <w:szCs w:val="22"/>
          <w:highlight w:val="none"/>
          <w:lang w:val="zh-CN"/>
        </w:rPr>
        <w:t>4.验收时中标人必须在现场，验收完毕后作出验收结果报告；</w:t>
      </w:r>
    </w:p>
    <w:p>
      <w:pPr>
        <w:ind w:firstLine="480"/>
        <w:rPr>
          <w:rFonts w:ascii="宋体" w:hAnsi="宋体" w:cs="宋体"/>
          <w:color w:val="auto"/>
          <w:szCs w:val="22"/>
          <w:highlight w:val="none"/>
          <w:lang w:val="zh-CN"/>
        </w:rPr>
      </w:pPr>
      <w:r>
        <w:rPr>
          <w:rFonts w:hint="eastAsia" w:ascii="宋体" w:hAnsi="宋体" w:cs="宋体"/>
          <w:color w:val="auto"/>
          <w:szCs w:val="22"/>
          <w:highlight w:val="none"/>
          <w:lang w:val="zh-CN"/>
        </w:rPr>
        <w:t>5.如发现有重大的质量问题，双方均同意提请国家法定检测机构鉴定，如检测结果证明产品无质量问题，由采购人承担检测费用；如检测结果证明产品有质量问题，由中标人承担检测费用，同时中标人同意采购人无条件退货并支付给采购人货款总价10％的赔偿金。</w:t>
      </w:r>
    </w:p>
    <w:p>
      <w:pPr>
        <w:pStyle w:val="5"/>
        <w:rPr>
          <w:rFonts w:ascii="宋体" w:hAnsi="宋体" w:cs="宋体"/>
          <w:color w:val="auto"/>
          <w:highlight w:val="none"/>
        </w:rPr>
      </w:pPr>
      <w:r>
        <w:rPr>
          <w:rFonts w:hint="eastAsia" w:ascii="宋体" w:hAnsi="宋体" w:cs="宋体"/>
          <w:color w:val="auto"/>
          <w:highlight w:val="none"/>
        </w:rPr>
        <w:t>（六）售后服务</w:t>
      </w:r>
    </w:p>
    <w:p>
      <w:pPr>
        <w:ind w:firstLine="480"/>
        <w:rPr>
          <w:rFonts w:ascii="宋体" w:hAnsi="宋体" w:cs="宋体"/>
          <w:color w:val="auto"/>
          <w:highlight w:val="none"/>
        </w:rPr>
      </w:pPr>
      <w:r>
        <w:rPr>
          <w:rFonts w:hint="eastAsia" w:ascii="宋体" w:hAnsi="宋体" w:cs="宋体"/>
          <w:color w:val="auto"/>
          <w:highlight w:val="none"/>
        </w:rPr>
        <w:t>1.自验收合格之日起计，质保期一年；</w:t>
      </w:r>
    </w:p>
    <w:p>
      <w:pPr>
        <w:ind w:firstLine="480"/>
        <w:rPr>
          <w:rFonts w:ascii="宋体" w:hAnsi="宋体" w:cs="宋体"/>
          <w:color w:val="auto"/>
          <w:highlight w:val="none"/>
        </w:rPr>
      </w:pPr>
      <w:r>
        <w:rPr>
          <w:rFonts w:hint="eastAsia" w:ascii="宋体" w:hAnsi="宋体" w:cs="宋体"/>
          <w:color w:val="auto"/>
          <w:highlight w:val="none"/>
        </w:rPr>
        <w:t>2.技术支持：中标人应及时免费提供合同货物软件的升级，免费提供合同货物新功能和应用的资料；</w:t>
      </w:r>
    </w:p>
    <w:p>
      <w:pPr>
        <w:ind w:firstLine="480"/>
        <w:rPr>
          <w:rFonts w:ascii="宋体" w:hAnsi="宋体" w:cs="宋体"/>
          <w:color w:val="auto"/>
          <w:highlight w:val="none"/>
        </w:rPr>
      </w:pPr>
      <w:r>
        <w:rPr>
          <w:rFonts w:hint="eastAsia" w:ascii="宋体" w:hAnsi="宋体" w:cs="宋体"/>
          <w:color w:val="auto"/>
          <w:highlight w:val="none"/>
        </w:rPr>
        <w:t>3.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p>
      <w:pPr>
        <w:ind w:firstLine="480"/>
        <w:rPr>
          <w:rFonts w:ascii="宋体" w:hAnsi="宋体" w:cs="宋体"/>
          <w:color w:val="auto"/>
          <w:highlight w:val="none"/>
        </w:rPr>
      </w:pPr>
      <w:r>
        <w:rPr>
          <w:rFonts w:hint="eastAsia" w:ascii="宋体" w:hAnsi="宋体" w:cs="宋体"/>
          <w:color w:val="auto"/>
          <w:highlight w:val="none"/>
        </w:rPr>
        <w:t>4.合同货物出现故障后，中标人接到采购人通知后，必须在4小时内做出响应，不超过3个工作日给出解决方案，7个工作日内解决故障；</w:t>
      </w:r>
    </w:p>
    <w:p>
      <w:pPr>
        <w:pStyle w:val="5"/>
        <w:rPr>
          <w:color w:val="auto"/>
          <w:highlight w:val="none"/>
        </w:rPr>
      </w:pPr>
      <w:r>
        <w:rPr>
          <w:rFonts w:hint="eastAsia"/>
          <w:color w:val="auto"/>
          <w:highlight w:val="none"/>
        </w:rPr>
        <w:t>（七）安装调试（若需要）</w:t>
      </w:r>
    </w:p>
    <w:p>
      <w:pPr>
        <w:ind w:firstLine="480"/>
        <w:rPr>
          <w:rFonts w:ascii="宋体" w:hAnsi="宋体" w:cs="宋体"/>
          <w:color w:val="auto"/>
          <w:highlight w:val="none"/>
        </w:rPr>
      </w:pPr>
      <w:r>
        <w:rPr>
          <w:rFonts w:hint="eastAsia" w:ascii="宋体" w:hAnsi="宋体" w:cs="宋体"/>
          <w:color w:val="auto"/>
          <w:highlight w:val="none"/>
        </w:rPr>
        <w:t>1.中标人免费提供合同货物的安装服务，并在投标文件中提供安装调试计划、对安装场地和环境的要求；</w:t>
      </w:r>
      <w:bookmarkStart w:id="6" w:name="_GoBack"/>
      <w:bookmarkEnd w:id="6"/>
    </w:p>
    <w:p>
      <w:pPr>
        <w:ind w:firstLine="480"/>
        <w:rPr>
          <w:rFonts w:ascii="宋体" w:hAnsi="宋体" w:cs="宋体"/>
          <w:color w:val="auto"/>
          <w:highlight w:val="none"/>
        </w:rPr>
      </w:pPr>
      <w:r>
        <w:rPr>
          <w:rFonts w:hint="eastAsia" w:ascii="宋体" w:hAnsi="宋体" w:cs="宋体"/>
          <w:color w:val="auto"/>
          <w:highlight w:val="none"/>
        </w:rPr>
        <w:t>2.安装地点：采购人指定地点；</w:t>
      </w:r>
    </w:p>
    <w:p>
      <w:pPr>
        <w:ind w:firstLine="480"/>
        <w:rPr>
          <w:rFonts w:ascii="宋体" w:hAnsi="宋体" w:cs="宋体"/>
          <w:color w:val="auto"/>
          <w:highlight w:val="none"/>
        </w:rPr>
      </w:pPr>
      <w:r>
        <w:rPr>
          <w:rFonts w:hint="eastAsia" w:ascii="宋体" w:hAnsi="宋体" w:cs="宋体"/>
          <w:color w:val="auto"/>
          <w:highlight w:val="none"/>
        </w:rPr>
        <w:t>3.安装标准：符合我国国家有关技术规范要求和技术标准，所有的软件和硬件必须保证同时安装到位；</w:t>
      </w:r>
    </w:p>
    <w:p>
      <w:pPr>
        <w:ind w:firstLine="480"/>
        <w:rPr>
          <w:rFonts w:ascii="宋体" w:hAnsi="宋体" w:cs="宋体"/>
          <w:color w:val="auto"/>
          <w:highlight w:val="none"/>
        </w:rPr>
      </w:pPr>
      <w:r>
        <w:rPr>
          <w:rFonts w:hint="eastAsia" w:ascii="宋体" w:hAnsi="宋体" w:cs="宋体"/>
          <w:color w:val="auto"/>
          <w:highlight w:val="none"/>
        </w:rPr>
        <w:t>4.接到采购人通知后在7日内完成安装和调试，如在规定的时间内由于中标人的原因不能完成安装和调试，中标人应承担由此给采购人造成的损失。</w:t>
      </w:r>
    </w:p>
    <w:p>
      <w:pPr>
        <w:pStyle w:val="5"/>
        <w:rPr>
          <w:rFonts w:ascii="宋体" w:hAnsi="宋体" w:cs="宋体"/>
          <w:color w:val="auto"/>
          <w:highlight w:val="none"/>
          <w:lang w:val="zh-CN"/>
        </w:rPr>
      </w:pPr>
      <w:r>
        <w:rPr>
          <w:rFonts w:hint="eastAsia" w:ascii="宋体" w:hAnsi="宋体" w:cs="宋体"/>
          <w:color w:val="auto"/>
          <w:highlight w:val="none"/>
        </w:rPr>
        <w:t>（八）</w:t>
      </w:r>
      <w:r>
        <w:rPr>
          <w:rFonts w:hint="eastAsia" w:ascii="宋体" w:hAnsi="宋体" w:cs="宋体"/>
          <w:color w:val="auto"/>
          <w:highlight w:val="none"/>
          <w:lang w:val="zh-CN"/>
        </w:rPr>
        <w:t>培训</w:t>
      </w:r>
    </w:p>
    <w:p>
      <w:pPr>
        <w:ind w:firstLine="480"/>
        <w:rPr>
          <w:rFonts w:ascii="宋体" w:hAnsi="宋体" w:cs="宋体"/>
          <w:color w:val="auto"/>
          <w:highlight w:val="none"/>
        </w:rPr>
      </w:pPr>
      <w:r>
        <w:rPr>
          <w:rFonts w:hint="eastAsia" w:ascii="宋体" w:hAnsi="宋体" w:cs="宋体"/>
          <w:color w:val="auto"/>
          <w:highlight w:val="none"/>
        </w:rPr>
        <w:t>中标人应对采购人的操作人员、维修人员免费进行原厂培训。并在投标文件中提供相应的培训计划，包括对人员、场地、场次等的安排</w:t>
      </w:r>
    </w:p>
    <w:p>
      <w:pPr>
        <w:pStyle w:val="5"/>
        <w:rPr>
          <w:rFonts w:ascii="宋体" w:hAnsi="宋体" w:cs="宋体"/>
          <w:color w:val="auto"/>
          <w:highlight w:val="none"/>
        </w:rPr>
      </w:pPr>
      <w:r>
        <w:rPr>
          <w:rFonts w:hint="eastAsia" w:ascii="宋体" w:hAnsi="宋体" w:cs="宋体"/>
          <w:color w:val="auto"/>
          <w:highlight w:val="none"/>
        </w:rPr>
        <w:t>（九）付款方式</w:t>
      </w:r>
      <w:bookmarkEnd w:id="3"/>
      <w:bookmarkEnd w:id="4"/>
    </w:p>
    <w:p>
      <w:pPr>
        <w:ind w:firstLine="48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100%不可撤销信用证，在收到中标人缴纳的履约保证金后支付。</w:t>
      </w:r>
    </w:p>
    <w:p>
      <w:pPr>
        <w:pStyle w:val="5"/>
        <w:rPr>
          <w:rFonts w:ascii="宋体" w:hAnsi="宋体" w:cs="宋体"/>
          <w:color w:val="auto"/>
          <w:highlight w:val="none"/>
        </w:rPr>
      </w:pPr>
      <w:bookmarkStart w:id="5" w:name="_Toc23976"/>
      <w:r>
        <w:rPr>
          <w:rFonts w:hint="eastAsia" w:ascii="宋体" w:hAnsi="宋体" w:cs="宋体"/>
          <w:color w:val="auto"/>
          <w:highlight w:val="none"/>
        </w:rPr>
        <w:t>（十）合同履行</w:t>
      </w:r>
      <w:bookmarkEnd w:id="5"/>
    </w:p>
    <w:p>
      <w:pPr>
        <w:rPr>
          <w:highlight w:val="none"/>
        </w:rPr>
      </w:pPr>
      <w:r>
        <w:rPr>
          <w:rFonts w:hint="eastAsia" w:ascii="宋体" w:hAnsi="宋体" w:cs="宋体"/>
          <w:color w:val="auto"/>
          <w:highlight w:val="none"/>
        </w:rPr>
        <w:t>必须由投标主体履行合同。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pPr>
                      <w:pStyle w:val="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6243A"/>
    <w:rsid w:val="2B462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qFormat/>
    <w:uiPriority w:val="0"/>
    <w:pPr>
      <w:keepNext/>
      <w:keepLines/>
      <w:ind w:firstLine="0" w:firstLineChars="0"/>
      <w:jc w:val="center"/>
      <w:outlineLvl w:val="0"/>
    </w:pPr>
    <w:rPr>
      <w:rFonts w:ascii="宋体" w:hAnsi="宋体" w:cs="宋体"/>
      <w:b/>
      <w:bCs/>
      <w:kern w:val="44"/>
      <w:sz w:val="32"/>
      <w:szCs w:val="52"/>
    </w:rPr>
  </w:style>
  <w:style w:type="paragraph" w:styleId="4">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qFormat/>
    <w:uiPriority w:val="0"/>
    <w:pPr>
      <w:keepNext/>
      <w:keepLines/>
      <w:ind w:firstLine="0" w:firstLineChars="0"/>
      <w:outlineLvl w:val="2"/>
    </w:pPr>
    <w:rPr>
      <w:b/>
      <w:bCs/>
      <w:szCs w:val="32"/>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2019-06-25T08:42:00Z</dcterms:created>
  <dc:creator>lenovo</dc:creator>
  <cp:lastModifiedBy>lenovo</cp:lastModifiedBy>
  <dcterms:modified xsi:type="dcterms:W3CDTF">2019-06-25T08:43:24Z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2052-11.1.0.8645</vt:lpwstr>
  </property>
</Properties>
</file>