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2"/>
        <w:rPr>
          <w:color w:val="auto"/>
          <w:highlight w:val="none"/>
        </w:rPr>
      </w:pPr>
      <w:r>
        <w:rPr>
          <w:rFonts w:hint="eastAsia"/>
          <w:color w:val="auto"/>
          <w:highlight w:val="none"/>
        </w:rPr>
        <w:t>1.综合楼4楼报告厅前维护</w:t>
      </w:r>
    </w:p>
    <w:tbl>
      <w:tblPr>
        <w:tblStyle w:val="5"/>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1426"/>
        <w:gridCol w:w="6254"/>
        <w:gridCol w:w="463"/>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序号</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名称</w:t>
            </w:r>
          </w:p>
        </w:tc>
        <w:tc>
          <w:tcPr>
            <w:tcW w:w="6254"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参数要求</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单位</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LED全彩屏</w:t>
            </w:r>
          </w:p>
        </w:tc>
        <w:tc>
          <w:tcPr>
            <w:tcW w:w="6254" w:type="dxa"/>
            <w:shd w:val="clear" w:color="auto" w:fill="auto"/>
            <w:tcMar>
              <w:top w:w="15" w:type="dxa"/>
              <w:left w:w="15" w:type="dxa"/>
              <w:right w:w="15" w:type="dxa"/>
            </w:tcMar>
            <w:vAlign w:val="center"/>
          </w:tcPr>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★1.像素间距≤2.5mm，像素密度：≥160000/㎡</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▲2．屏幕尺寸：≥18.24米*4.32米，因现场尺寸及装修效果要求，长宽误差≤30mm，分辨率：≥7296点*1728点</w:t>
            </w:r>
            <w:r>
              <w:rPr>
                <w:rFonts w:hint="eastAsia" w:cs="宋体"/>
                <w:color w:val="auto"/>
                <w:kern w:val="0"/>
                <w:sz w:val="21"/>
                <w:szCs w:val="21"/>
                <w:highlight w:val="none"/>
              </w:rPr>
              <w:br w:type="textWrapping"/>
            </w:r>
            <w:r>
              <w:rPr>
                <w:rFonts w:hint="eastAsia" w:cs="宋体"/>
                <w:color w:val="auto"/>
                <w:kern w:val="0"/>
                <w:sz w:val="21"/>
                <w:szCs w:val="21"/>
                <w:highlight w:val="none"/>
              </w:rPr>
              <w:t>★3.箱体前维护，整体结构采用压铸铝合金材料，箱体尺寸约480*480*77mm。(可查原厂序列号,序列号与本项目名称应一致.工程实施完成后需配合业主随机抽样发原厂家检测，取得检测报告作为验收依据)</w:t>
            </w:r>
            <w:r>
              <w:rPr>
                <w:rFonts w:hint="eastAsia" w:cs="宋体"/>
                <w:color w:val="auto"/>
                <w:kern w:val="0"/>
                <w:sz w:val="21"/>
                <w:szCs w:val="21"/>
                <w:highlight w:val="none"/>
              </w:rPr>
              <w:br w:type="textWrapping"/>
            </w:r>
            <w:r>
              <w:rPr>
                <w:rFonts w:hint="eastAsia" w:cs="宋体"/>
                <w:color w:val="auto"/>
                <w:kern w:val="0"/>
                <w:sz w:val="21"/>
                <w:szCs w:val="21"/>
                <w:highlight w:val="none"/>
              </w:rPr>
              <w:t>4.采用亿光、东山、国星等同档次2121封装LED灯</w:t>
            </w:r>
            <w:r>
              <w:rPr>
                <w:rFonts w:hint="eastAsia" w:cs="宋体"/>
                <w:color w:val="auto"/>
                <w:kern w:val="0"/>
                <w:sz w:val="21"/>
                <w:szCs w:val="21"/>
                <w:highlight w:val="none"/>
              </w:rPr>
              <w:br w:type="textWrapping"/>
            </w:r>
            <w:r>
              <w:rPr>
                <w:rFonts w:hint="eastAsia" w:cs="宋体"/>
                <w:color w:val="auto"/>
                <w:kern w:val="0"/>
                <w:sz w:val="21"/>
                <w:szCs w:val="21"/>
                <w:highlight w:val="none"/>
              </w:rPr>
              <w:t>5.白平衡亮度≤600cd/㎡（6500K，校正后）</w:t>
            </w:r>
            <w:r>
              <w:rPr>
                <w:rFonts w:hint="eastAsia" w:cs="宋体"/>
                <w:color w:val="auto"/>
                <w:kern w:val="0"/>
                <w:sz w:val="21"/>
                <w:szCs w:val="21"/>
                <w:highlight w:val="none"/>
              </w:rPr>
              <w:br w:type="textWrapping"/>
            </w:r>
            <w:r>
              <w:rPr>
                <w:rFonts w:hint="eastAsia" w:cs="宋体"/>
                <w:color w:val="auto"/>
                <w:kern w:val="0"/>
                <w:sz w:val="21"/>
                <w:szCs w:val="21"/>
                <w:highlight w:val="none"/>
              </w:rPr>
              <w:t>6.▲对比度≥6000:1</w:t>
            </w:r>
            <w:r>
              <w:rPr>
                <w:rFonts w:hint="eastAsia" w:cs="宋体"/>
                <w:color w:val="auto"/>
                <w:kern w:val="0"/>
                <w:sz w:val="21"/>
                <w:szCs w:val="21"/>
                <w:highlight w:val="none"/>
              </w:rPr>
              <w:br w:type="textWrapping"/>
            </w:r>
            <w:r>
              <w:rPr>
                <w:rFonts w:hint="eastAsia" w:cs="宋体"/>
                <w:color w:val="auto"/>
                <w:kern w:val="0"/>
                <w:sz w:val="21"/>
                <w:szCs w:val="21"/>
                <w:highlight w:val="none"/>
              </w:rPr>
              <w:t>7.视角：水平视角≥160°，垂直视角≥140°</w:t>
            </w:r>
            <w:r>
              <w:rPr>
                <w:rFonts w:hint="eastAsia" w:cs="宋体"/>
                <w:color w:val="auto"/>
                <w:kern w:val="0"/>
                <w:sz w:val="21"/>
                <w:szCs w:val="21"/>
                <w:highlight w:val="none"/>
              </w:rPr>
              <w:br w:type="textWrapping"/>
            </w:r>
            <w:r>
              <w:rPr>
                <w:rFonts w:hint="eastAsia" w:cs="宋体"/>
                <w:color w:val="auto"/>
                <w:kern w:val="0"/>
                <w:sz w:val="21"/>
                <w:szCs w:val="21"/>
                <w:highlight w:val="none"/>
              </w:rPr>
              <w:t>8.▲刷新频率≥3000HZ</w:t>
            </w:r>
            <w:r>
              <w:rPr>
                <w:rFonts w:hint="eastAsia" w:cs="宋体"/>
                <w:color w:val="auto"/>
                <w:kern w:val="0"/>
                <w:sz w:val="21"/>
                <w:szCs w:val="21"/>
                <w:highlight w:val="none"/>
              </w:rPr>
              <w:br w:type="textWrapping"/>
            </w:r>
            <w:r>
              <w:rPr>
                <w:rFonts w:hint="eastAsia" w:cs="宋体"/>
                <w:color w:val="auto"/>
                <w:kern w:val="0"/>
                <w:sz w:val="21"/>
                <w:szCs w:val="21"/>
                <w:highlight w:val="none"/>
              </w:rPr>
              <w:t>9.模组亮度均匀性≥97%</w:t>
            </w:r>
            <w:r>
              <w:rPr>
                <w:rFonts w:hint="eastAsia" w:cs="宋体"/>
                <w:color w:val="auto"/>
                <w:kern w:val="0"/>
                <w:sz w:val="21"/>
                <w:szCs w:val="21"/>
                <w:highlight w:val="none"/>
              </w:rPr>
              <w:br w:type="textWrapping"/>
            </w:r>
            <w:r>
              <w:rPr>
                <w:rFonts w:hint="eastAsia" w:cs="宋体"/>
                <w:color w:val="auto"/>
                <w:kern w:val="0"/>
                <w:sz w:val="21"/>
                <w:szCs w:val="21"/>
                <w:highlight w:val="none"/>
              </w:rPr>
              <w:t>10.峰值功耗≤600W/㎡，平均功耗≤200W/㎡,</w:t>
            </w:r>
            <w:r>
              <w:rPr>
                <w:rFonts w:hint="eastAsia" w:cs="宋体"/>
                <w:color w:val="auto"/>
                <w:kern w:val="0"/>
                <w:sz w:val="21"/>
                <w:szCs w:val="21"/>
                <w:highlight w:val="none"/>
              </w:rPr>
              <w:br w:type="textWrapping"/>
            </w:r>
            <w:r>
              <w:rPr>
                <w:rFonts w:hint="eastAsia" w:cs="宋体"/>
                <w:color w:val="auto"/>
                <w:kern w:val="0"/>
                <w:sz w:val="21"/>
                <w:szCs w:val="21"/>
                <w:highlight w:val="none"/>
              </w:rPr>
              <w:t>11. 色温3000K－10000K可调</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★12.双信号备份,信号双环路双链路设计,板板连接无连线.</w:t>
            </w:r>
            <w:r>
              <w:rPr>
                <w:rFonts w:hint="eastAsia" w:cs="宋体"/>
                <w:color w:val="auto"/>
                <w:kern w:val="0"/>
                <w:sz w:val="21"/>
                <w:szCs w:val="21"/>
                <w:highlight w:val="none"/>
              </w:rPr>
              <w:br w:type="textWrapping"/>
            </w:r>
            <w:r>
              <w:rPr>
                <w:rFonts w:hint="eastAsia" w:cs="宋体"/>
                <w:color w:val="auto"/>
                <w:kern w:val="0"/>
                <w:sz w:val="21"/>
                <w:szCs w:val="21"/>
                <w:highlight w:val="none"/>
              </w:rPr>
              <w:t>13.屏体工作噪音﹤1.2m的范围内：噪声≤5.6dB（A）</w:t>
            </w:r>
            <w:r>
              <w:rPr>
                <w:rFonts w:hint="eastAsia" w:cs="宋体"/>
                <w:color w:val="auto"/>
                <w:kern w:val="0"/>
                <w:sz w:val="21"/>
                <w:szCs w:val="21"/>
                <w:highlight w:val="none"/>
                <w:lang w:val="en-US" w:eastAsia="zh-CN"/>
              </w:rPr>
              <w:t>xrl</w:t>
            </w:r>
            <w:r>
              <w:rPr>
                <w:rFonts w:hint="eastAsia" w:cs="宋体"/>
                <w:color w:val="auto"/>
                <w:kern w:val="0"/>
                <w:sz w:val="21"/>
                <w:szCs w:val="21"/>
                <w:highlight w:val="none"/>
              </w:rPr>
              <w:t>（提供具有CNAS认可或国家广电的检验报告为准加盖公章）；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14.提供产品性能测试报告：投标产品需提供第三方专项防尘IP5X测试报告（提供具有CNAS认可的检验报告为准加盖公章）、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15.投标产品需提供PCB和塑料面板阻燃测试报告、符合盐雾10级检测报告（提供具有CNAS认可的检验报告为准加盖公章）；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16.投标产品需具有自检技术,远程监控,自动gamma矫正技术,动态节能、降低功耗,通过高低温工作、存储测试.</w:t>
            </w:r>
            <w:r>
              <w:rPr>
                <w:rFonts w:hint="eastAsia" w:cs="宋体"/>
                <w:color w:val="auto"/>
                <w:kern w:val="0"/>
                <w:sz w:val="21"/>
                <w:szCs w:val="21"/>
                <w:highlight w:val="none"/>
              </w:rPr>
              <w:br w:type="textWrapping"/>
            </w:r>
            <w:r>
              <w:rPr>
                <w:rFonts w:hint="eastAsia" w:cs="宋体"/>
                <w:color w:val="auto"/>
                <w:kern w:val="0"/>
                <w:sz w:val="21"/>
                <w:szCs w:val="21"/>
                <w:highlight w:val="none"/>
              </w:rPr>
              <w:t>17. LED显示屏幕需通过3C认证、有国家级检测机构相关检测报告；提供所有证书复印件）</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18. 所投LED显示屏厂家具有低蓝光认证（提供证书复印件）</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19．所投LED显示屏需提供第三方权威的产品检测报告；</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20. ★不接受OEM产品</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21.提供质量检验稳定合格产品的证明</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22.提供符合国家节能低碳技术产品的证明文件</w:t>
            </w:r>
          </w:p>
          <w:p>
            <w:pPr>
              <w:widowControl/>
              <w:ind w:firstLine="0" w:firstLineChars="0"/>
              <w:textAlignment w:val="center"/>
              <w:rPr>
                <w:rFonts w:cs="宋体"/>
                <w:color w:val="auto"/>
                <w:kern w:val="0"/>
                <w:sz w:val="21"/>
                <w:szCs w:val="21"/>
                <w:highlight w:val="none"/>
              </w:rPr>
            </w:pPr>
            <w:r>
              <w:rPr>
                <w:rFonts w:hint="eastAsia" w:cs="宋体"/>
                <w:color w:val="auto"/>
                <w:kern w:val="0"/>
                <w:sz w:val="21"/>
                <w:szCs w:val="21"/>
                <w:highlight w:val="none"/>
              </w:rPr>
              <w:t>23.投标时提供不少于1平方的样品</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r>
              <w:rPr>
                <w:rFonts w:hint="eastAsia" w:cs="宋体"/>
                <w:color w:val="auto"/>
                <w:kern w:val="0"/>
                <w:sz w:val="21"/>
                <w:szCs w:val="21"/>
                <w:highlight w:val="none"/>
                <w:vertAlign w:val="superscript"/>
              </w:rPr>
              <w:t>2</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控制电脑</w:t>
            </w:r>
          </w:p>
        </w:tc>
        <w:tc>
          <w:tcPr>
            <w:tcW w:w="6254" w:type="dxa"/>
            <w:shd w:val="clear" w:color="auto" w:fill="auto"/>
            <w:tcMar>
              <w:top w:w="15" w:type="dxa"/>
              <w:left w:w="15" w:type="dxa"/>
              <w:right w:w="15" w:type="dxa"/>
            </w:tcMar>
            <w:vAlign w:val="center"/>
          </w:tcPr>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1.操作系统：原厂预装正版Win10 操作系统</w:t>
            </w:r>
          </w:p>
          <w:p>
            <w:pPr>
              <w:widowControl/>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2.主板：270芯片组或以上</w:t>
            </w:r>
            <w:r>
              <w:rPr>
                <w:rFonts w:hint="eastAsia" w:cs="宋体"/>
                <w:color w:val="auto"/>
                <w:kern w:val="0"/>
                <w:sz w:val="21"/>
                <w:szCs w:val="21"/>
                <w:highlight w:val="none"/>
              </w:rPr>
              <w:br w:type="textWrapping"/>
            </w:r>
            <w:r>
              <w:rPr>
                <w:rFonts w:hint="eastAsia" w:cs="宋体"/>
                <w:color w:val="auto"/>
                <w:kern w:val="0"/>
                <w:sz w:val="21"/>
                <w:szCs w:val="21"/>
                <w:highlight w:val="none"/>
              </w:rPr>
              <w:t>3.处理器：New Core i5-7500(3.4G/6M/4核)</w:t>
            </w:r>
            <w:r>
              <w:rPr>
                <w:rFonts w:hint="eastAsia" w:cs="宋体"/>
                <w:color w:val="auto"/>
                <w:kern w:val="0"/>
                <w:sz w:val="21"/>
                <w:szCs w:val="21"/>
                <w:highlight w:val="none"/>
              </w:rPr>
              <w:br w:type="textWrapping"/>
            </w:r>
            <w:r>
              <w:rPr>
                <w:rFonts w:hint="eastAsia" w:cs="宋体"/>
                <w:color w:val="auto"/>
                <w:kern w:val="0"/>
                <w:sz w:val="21"/>
                <w:szCs w:val="21"/>
                <w:highlight w:val="none"/>
              </w:rPr>
              <w:t>4.内存：&gt;=8G DDR4  2133四条插槽，最大可扩展到64G</w:t>
            </w:r>
            <w:r>
              <w:rPr>
                <w:rFonts w:hint="eastAsia" w:cs="宋体"/>
                <w:color w:val="auto"/>
                <w:kern w:val="0"/>
                <w:sz w:val="21"/>
                <w:szCs w:val="21"/>
                <w:highlight w:val="none"/>
              </w:rPr>
              <w:br w:type="textWrapping"/>
            </w:r>
            <w:r>
              <w:rPr>
                <w:rFonts w:hint="eastAsia" w:cs="宋体"/>
                <w:color w:val="auto"/>
                <w:kern w:val="0"/>
                <w:sz w:val="21"/>
                <w:szCs w:val="21"/>
                <w:highlight w:val="none"/>
              </w:rPr>
              <w:t>5.显示卡：独显 双头HDMI+DVI显卡</w:t>
            </w:r>
            <w:r>
              <w:rPr>
                <w:rFonts w:hint="eastAsia" w:cs="宋体"/>
                <w:color w:val="auto"/>
                <w:kern w:val="0"/>
                <w:sz w:val="21"/>
                <w:szCs w:val="21"/>
                <w:highlight w:val="none"/>
              </w:rPr>
              <w:br w:type="textWrapping"/>
            </w:r>
            <w:r>
              <w:rPr>
                <w:rFonts w:hint="eastAsia" w:cs="宋体"/>
                <w:color w:val="auto"/>
                <w:kern w:val="0"/>
                <w:sz w:val="21"/>
                <w:szCs w:val="21"/>
                <w:highlight w:val="none"/>
              </w:rPr>
              <w:t>6.硬盘：≥256G固态硬盘</w:t>
            </w:r>
            <w:r>
              <w:rPr>
                <w:rFonts w:hint="eastAsia" w:cs="宋体"/>
                <w:color w:val="auto"/>
                <w:kern w:val="0"/>
                <w:sz w:val="21"/>
                <w:szCs w:val="21"/>
                <w:highlight w:val="none"/>
              </w:rPr>
              <w:br w:type="textWrapping"/>
            </w:r>
            <w:r>
              <w:rPr>
                <w:rFonts w:hint="eastAsia" w:cs="宋体"/>
                <w:color w:val="auto"/>
                <w:kern w:val="0"/>
                <w:sz w:val="21"/>
                <w:szCs w:val="21"/>
                <w:highlight w:val="none"/>
              </w:rPr>
              <w:t>7.声卡：主板集成</w:t>
            </w:r>
            <w:r>
              <w:rPr>
                <w:rFonts w:hint="eastAsia" w:cs="宋体"/>
                <w:color w:val="auto"/>
                <w:kern w:val="0"/>
                <w:sz w:val="21"/>
                <w:szCs w:val="21"/>
                <w:highlight w:val="none"/>
              </w:rPr>
              <w:br w:type="textWrapping"/>
            </w:r>
            <w:r>
              <w:rPr>
                <w:rFonts w:hint="eastAsia" w:cs="宋体"/>
                <w:color w:val="auto"/>
                <w:kern w:val="0"/>
                <w:sz w:val="21"/>
                <w:szCs w:val="21"/>
                <w:highlight w:val="none"/>
              </w:rPr>
              <w:t>8.网卡：主板集成,千兆网卡</w:t>
            </w:r>
            <w:r>
              <w:rPr>
                <w:rFonts w:hint="eastAsia" w:cs="宋体"/>
                <w:color w:val="auto"/>
                <w:kern w:val="0"/>
                <w:sz w:val="21"/>
                <w:szCs w:val="21"/>
                <w:highlight w:val="none"/>
              </w:rPr>
              <w:br w:type="textWrapping"/>
            </w:r>
            <w:r>
              <w:rPr>
                <w:rFonts w:hint="eastAsia" w:cs="宋体"/>
                <w:color w:val="auto"/>
                <w:kern w:val="0"/>
                <w:sz w:val="21"/>
                <w:szCs w:val="21"/>
                <w:highlight w:val="none"/>
              </w:rPr>
              <w:t>9.端口：前置：2 个 USB 3.0 端口；1 个麦克风插孔；1 个耳机插孔；后置：2 个 USB 2.0 端口；4 个 USB 3.0 端口；1 个串口；1；； 1 个 VGA 接口；1 个DP端口；1 个音频线路输入端口；1 个音频线路输出端口；1 个 RJ-45 接口；</w:t>
            </w:r>
            <w:r>
              <w:rPr>
                <w:rFonts w:hint="eastAsia" w:cs="宋体"/>
                <w:color w:val="auto"/>
                <w:kern w:val="0"/>
                <w:sz w:val="21"/>
                <w:szCs w:val="21"/>
                <w:highlight w:val="none"/>
              </w:rPr>
              <w:br w:type="textWrapping"/>
            </w:r>
            <w:r>
              <w:rPr>
                <w:rFonts w:hint="eastAsia" w:cs="宋体"/>
                <w:color w:val="auto"/>
                <w:kern w:val="0"/>
                <w:sz w:val="21"/>
                <w:szCs w:val="21"/>
                <w:highlight w:val="none"/>
              </w:rPr>
              <w:t>10.插槽：1 个全高式PCIe x16插槽；1 个全高式PCIe x4插槽；2个全高式PCIe x1插槽</w:t>
            </w:r>
            <w:r>
              <w:rPr>
                <w:rFonts w:hint="eastAsia" w:cs="宋体"/>
                <w:color w:val="auto"/>
                <w:kern w:val="0"/>
                <w:sz w:val="21"/>
                <w:szCs w:val="21"/>
                <w:highlight w:val="none"/>
              </w:rPr>
              <w:br w:type="textWrapping"/>
            </w:r>
            <w:r>
              <w:rPr>
                <w:rFonts w:hint="eastAsia" w:cs="宋体"/>
                <w:color w:val="auto"/>
                <w:kern w:val="0"/>
                <w:sz w:val="21"/>
                <w:szCs w:val="21"/>
                <w:highlight w:val="none"/>
              </w:rPr>
              <w:t>11.键盘/鼠标：光电键盘鼠标</w:t>
            </w:r>
          </w:p>
          <w:p>
            <w:pPr>
              <w:widowControl/>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12.24寸显示器</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视频拼接器</w:t>
            </w:r>
          </w:p>
        </w:tc>
        <w:tc>
          <w:tcPr>
            <w:tcW w:w="6254" w:type="dxa"/>
            <w:shd w:val="clear" w:color="auto" w:fill="auto"/>
            <w:tcMar>
              <w:top w:w="15" w:type="dxa"/>
              <w:left w:w="15" w:type="dxa"/>
              <w:right w:w="15" w:type="dxa"/>
            </w:tcMar>
            <w:vAlign w:val="center"/>
          </w:tcPr>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8路HDMI输入，8路DVI输出；</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设备必须为模块化设计的一体化设备，不能采用满足功能条件而采用多种设备组合形式用于投标。</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采用纯硬件结构，机箱采用EMI结构设计，有效防磁，防信号干扰，无PC操作系统，不会感染病毒致系统瘫痪，通电5秒就可以工作，可以硬开关机。</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可同时上RGB/DVI信号和高清视频信号。可以播放多路实时动态高清视频图像，无停顿，拖尾现象。</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能够支持调整每个单屏输出的色彩变化，包括亮度，对比度，亮暗平衡的调整。</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画面RGB信号多层图层叠加，单屏最多可扩展为24层RGB信号叠加。</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支持1920*1080输入，支持数字DVI高清信号输入、输出。</w:t>
            </w:r>
            <w:r>
              <w:rPr>
                <w:rFonts w:hint="eastAsia" w:cs="宋体"/>
                <w:color w:val="auto"/>
                <w:kern w:val="0"/>
                <w:sz w:val="21"/>
                <w:szCs w:val="21"/>
                <w:highlight w:val="none"/>
              </w:rPr>
              <w:br w:type="textWrapping"/>
            </w:r>
            <w:r>
              <w:rPr>
                <w:rFonts w:hint="eastAsia" w:cs="宋体"/>
                <w:color w:val="auto"/>
                <w:kern w:val="0"/>
                <w:sz w:val="21"/>
                <w:szCs w:val="21"/>
                <w:highlight w:val="none"/>
              </w:rPr>
              <w:t>支持输出从640x480到1920x1080标准分辨率的图像。支持每像素32位色彩深度。</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▲可实现图像信号多窗口显示、单屏显示不同的画面、整屏显示单一信号大画面、窗口任意移动、任意缩放、信号任意叠加、图像信号自动识别、预存场景调用、大屏画面后台单屏回显监控等功能。</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采用模块化设计思路，输入信号、输出信号、电路、光学处理等通过不同的模块转换到另外的电路上，能避免某一信号出现故障而替换整块电路板的弊端，降低维护成本。</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提供产品检测报告和3C证书</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LED控制器</w:t>
            </w:r>
          </w:p>
        </w:tc>
        <w:tc>
          <w:tcPr>
            <w:tcW w:w="6254" w:type="dxa"/>
            <w:shd w:val="clear" w:color="auto" w:fill="auto"/>
            <w:tcMar>
              <w:top w:w="15" w:type="dxa"/>
              <w:left w:w="15" w:type="dxa"/>
              <w:right w:w="15" w:type="dxa"/>
            </w:tcMar>
            <w:vAlign w:val="center"/>
          </w:tcPr>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配合LED显示屏使用，可实现任意尺寸大屏无缝拼接显示。≥4个千兆网口输出，单个网口≥65万个像素点；带载分辨率：≥2048×1152@60Hz或1920×1200@60Hz；</w:t>
            </w:r>
          </w:p>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DVI、DP、HDMI、VGA多信号输入，支持信源自动检测，无需手动切换信源；支持屏幕亮度自动调整,自适应环境光亮度；</w:t>
            </w:r>
          </w:p>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图像色温调节，标准、冷、暖三色可调；</w:t>
            </w:r>
          </w:p>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提供3C认证或软件著作权复印件</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5</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网络交换机</w:t>
            </w:r>
          </w:p>
        </w:tc>
        <w:tc>
          <w:tcPr>
            <w:tcW w:w="6254" w:type="dxa"/>
            <w:shd w:val="clear" w:color="auto" w:fill="auto"/>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 xml:space="preserve"> 24口千兆交换机</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6</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配电系统</w:t>
            </w:r>
          </w:p>
        </w:tc>
        <w:tc>
          <w:tcPr>
            <w:tcW w:w="6254" w:type="dxa"/>
            <w:shd w:val="clear" w:color="auto" w:fill="auto"/>
            <w:tcMar>
              <w:top w:w="15" w:type="dxa"/>
              <w:left w:w="15" w:type="dxa"/>
              <w:right w:w="15" w:type="dxa"/>
            </w:tcMar>
            <w:vAlign w:val="center"/>
          </w:tcPr>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80KW配电系统采用三相五线制供电，配电系统保证三相平衡，同时还应配备过流、短路、断路、过压、欠压、温度过高等保护措施，以及相应的故障指示装置，具有PLC远程控制功能。▲（提供3C证书和PLC软件著作权。）</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7</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系统软件</w:t>
            </w:r>
          </w:p>
        </w:tc>
        <w:tc>
          <w:tcPr>
            <w:tcW w:w="6254" w:type="dxa"/>
            <w:shd w:val="clear" w:color="auto" w:fill="auto"/>
            <w:tcMar>
              <w:top w:w="15" w:type="dxa"/>
              <w:left w:w="15" w:type="dxa"/>
              <w:right w:w="15" w:type="dxa"/>
            </w:tcMar>
            <w:vAlign w:val="center"/>
          </w:tcPr>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屏控软件</w:t>
            </w:r>
          </w:p>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▲提供控制软件著作权证书。</w:t>
            </w:r>
          </w:p>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控制软件具有亮度/灰度/色调/对比度/系统环境参数的调节设定功能。提供软件详细方案。</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8</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机柜</w:t>
            </w:r>
          </w:p>
        </w:tc>
        <w:tc>
          <w:tcPr>
            <w:tcW w:w="6254" w:type="dxa"/>
            <w:shd w:val="clear" w:color="auto" w:fill="auto"/>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42U</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9</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结构</w:t>
            </w:r>
          </w:p>
        </w:tc>
        <w:tc>
          <w:tcPr>
            <w:tcW w:w="6254" w:type="dxa"/>
            <w:shd w:val="clear" w:color="auto" w:fill="auto"/>
            <w:tcMar>
              <w:top w:w="15" w:type="dxa"/>
              <w:left w:w="15" w:type="dxa"/>
              <w:right w:w="15" w:type="dxa"/>
            </w:tcMar>
            <w:vAlign w:val="center"/>
          </w:tcPr>
          <w:p>
            <w:pPr>
              <w:widowControl/>
              <w:ind w:firstLine="0" w:firstLineChars="0"/>
              <w:jc w:val="left"/>
              <w:rPr>
                <w:rFonts w:cs="宋体"/>
                <w:color w:val="auto"/>
                <w:sz w:val="21"/>
                <w:szCs w:val="21"/>
                <w:highlight w:val="none"/>
              </w:rPr>
            </w:pPr>
            <w:r>
              <w:rPr>
                <w:rFonts w:hint="eastAsia" w:cs="宋体"/>
                <w:color w:val="auto"/>
                <w:kern w:val="0"/>
                <w:sz w:val="21"/>
                <w:szCs w:val="21"/>
                <w:highlight w:val="none"/>
              </w:rPr>
              <w:t>与屏体相关的LED钢支架设、制作及安装。</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线缆</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kern w:val="0"/>
                <w:sz w:val="21"/>
                <w:szCs w:val="21"/>
                <w:highlight w:val="none"/>
              </w:rPr>
              <w:t>大屏专用电缆</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安装调试</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培训、技术服务</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13</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取电和装修</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kern w:val="0"/>
                <w:sz w:val="21"/>
                <w:szCs w:val="21"/>
                <w:highlight w:val="none"/>
              </w:rPr>
              <w:t>★</w:t>
            </w:r>
            <w:r>
              <w:rPr>
                <w:rFonts w:hint="eastAsia" w:cs="宋体"/>
                <w:color w:val="auto"/>
                <w:sz w:val="21"/>
                <w:szCs w:val="21"/>
                <w:highlight w:val="none"/>
              </w:rPr>
              <w:t>按学校基建和后勤管理处要求进行取电。拆除和装修,装修风格按学校基建和后勤的标准为准(所有费用由投标人协调和承担,本项报价不仅应包括招标文件上所标明的，还应包括任何未明确标出的，以及完成全套系统工程并保证正常安全运行所不可缺少的配件及附件的全部费用。投标人应列入而未列入其中的费用，均视为已包含在内，风险由投标人承担。)</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r>
    </w:tbl>
    <w:p>
      <w:pPr>
        <w:ind w:firstLine="480"/>
        <w:rPr>
          <w:color w:val="auto"/>
          <w:highlight w:val="none"/>
        </w:rPr>
      </w:pPr>
    </w:p>
    <w:p>
      <w:pPr>
        <w:pStyle w:val="4"/>
        <w:ind w:firstLine="482"/>
        <w:rPr>
          <w:color w:val="auto"/>
          <w:highlight w:val="none"/>
        </w:rPr>
      </w:pPr>
      <w:r>
        <w:rPr>
          <w:rFonts w:hint="eastAsia"/>
          <w:color w:val="auto"/>
          <w:highlight w:val="none"/>
        </w:rPr>
        <w:t>2.五号楼1楼报告厅后维护</w:t>
      </w:r>
    </w:p>
    <w:tbl>
      <w:tblPr>
        <w:tblStyle w:val="5"/>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1305"/>
        <w:gridCol w:w="6330"/>
        <w:gridCol w:w="487"/>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序号</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sz w:val="21"/>
                <w:szCs w:val="21"/>
                <w:highlight w:val="none"/>
              </w:rPr>
              <w:t>名称</w:t>
            </w:r>
          </w:p>
        </w:tc>
        <w:tc>
          <w:tcPr>
            <w:tcW w:w="6330"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参数要求</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单位</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2"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LED全彩屏</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1.★像素间距≤2.5mm，像素密度：≥160000/㎡</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▲2．屏幕尺寸：≥8.64米*4.8米，因现场尺寸及装修效果要求，长宽误差≤30mm，分辨率：≥3456点*1920点</w:t>
            </w:r>
            <w:r>
              <w:rPr>
                <w:rFonts w:hint="eastAsia" w:cs="宋体"/>
                <w:color w:val="auto"/>
                <w:kern w:val="0"/>
                <w:sz w:val="21"/>
                <w:szCs w:val="21"/>
                <w:highlight w:val="none"/>
              </w:rPr>
              <w:br w:type="textWrapping"/>
            </w:r>
            <w:r>
              <w:rPr>
                <w:rFonts w:hint="eastAsia" w:cs="宋体"/>
                <w:color w:val="auto"/>
                <w:kern w:val="0"/>
                <w:sz w:val="21"/>
                <w:szCs w:val="21"/>
                <w:highlight w:val="none"/>
              </w:rPr>
              <w:t>3.★箱体后维护，整体结构采用压铸铝合金材料，箱体尺寸约480*480*77mm。(可查原厂序列号,序列号与本项目名称应一致.工程实施完成后需配合业主随机抽样发原厂家检测，取得检测报告作为验收依据)</w:t>
            </w:r>
            <w:r>
              <w:rPr>
                <w:rFonts w:hint="eastAsia" w:cs="宋体"/>
                <w:color w:val="auto"/>
                <w:kern w:val="0"/>
                <w:sz w:val="21"/>
                <w:szCs w:val="21"/>
                <w:highlight w:val="none"/>
              </w:rPr>
              <w:br w:type="textWrapping"/>
            </w:r>
            <w:r>
              <w:rPr>
                <w:rFonts w:hint="eastAsia" w:cs="宋体"/>
                <w:color w:val="auto"/>
                <w:kern w:val="0"/>
                <w:sz w:val="21"/>
                <w:szCs w:val="21"/>
                <w:highlight w:val="none"/>
              </w:rPr>
              <w:t>4.采用亿光、东山、国星等同档次2121封装LED灯</w:t>
            </w:r>
            <w:r>
              <w:rPr>
                <w:rFonts w:hint="eastAsia" w:cs="宋体"/>
                <w:color w:val="auto"/>
                <w:kern w:val="0"/>
                <w:sz w:val="21"/>
                <w:szCs w:val="21"/>
                <w:highlight w:val="none"/>
              </w:rPr>
              <w:br w:type="textWrapping"/>
            </w:r>
            <w:r>
              <w:rPr>
                <w:rFonts w:hint="eastAsia" w:cs="宋体"/>
                <w:color w:val="auto"/>
                <w:kern w:val="0"/>
                <w:sz w:val="21"/>
                <w:szCs w:val="21"/>
                <w:highlight w:val="none"/>
              </w:rPr>
              <w:t>5.白平衡亮度≤600cd/㎡（6500K，校正后）</w:t>
            </w:r>
            <w:r>
              <w:rPr>
                <w:rFonts w:hint="eastAsia" w:cs="宋体"/>
                <w:color w:val="auto"/>
                <w:kern w:val="0"/>
                <w:sz w:val="21"/>
                <w:szCs w:val="21"/>
                <w:highlight w:val="none"/>
              </w:rPr>
              <w:br w:type="textWrapping"/>
            </w:r>
            <w:r>
              <w:rPr>
                <w:rFonts w:hint="eastAsia" w:cs="宋体"/>
                <w:color w:val="auto"/>
                <w:kern w:val="0"/>
                <w:sz w:val="21"/>
                <w:szCs w:val="21"/>
                <w:highlight w:val="none"/>
              </w:rPr>
              <w:t>6. ▲对比度≥6000:1</w:t>
            </w:r>
            <w:r>
              <w:rPr>
                <w:rFonts w:hint="eastAsia" w:cs="宋体"/>
                <w:color w:val="auto"/>
                <w:kern w:val="0"/>
                <w:sz w:val="21"/>
                <w:szCs w:val="21"/>
                <w:highlight w:val="none"/>
              </w:rPr>
              <w:br w:type="textWrapping"/>
            </w:r>
            <w:r>
              <w:rPr>
                <w:rFonts w:hint="eastAsia" w:cs="宋体"/>
                <w:color w:val="auto"/>
                <w:kern w:val="0"/>
                <w:sz w:val="21"/>
                <w:szCs w:val="21"/>
                <w:highlight w:val="none"/>
              </w:rPr>
              <w:t>7.视角：水平视角≥160°，垂直视角≥140°</w:t>
            </w:r>
            <w:r>
              <w:rPr>
                <w:rFonts w:hint="eastAsia" w:cs="宋体"/>
                <w:color w:val="auto"/>
                <w:kern w:val="0"/>
                <w:sz w:val="21"/>
                <w:szCs w:val="21"/>
                <w:highlight w:val="none"/>
              </w:rPr>
              <w:br w:type="textWrapping"/>
            </w:r>
            <w:r>
              <w:rPr>
                <w:rFonts w:hint="eastAsia" w:cs="宋体"/>
                <w:color w:val="auto"/>
                <w:kern w:val="0"/>
                <w:sz w:val="21"/>
                <w:szCs w:val="21"/>
                <w:highlight w:val="none"/>
              </w:rPr>
              <w:t>8. ▲刷新频率≥3000HZ</w:t>
            </w:r>
            <w:r>
              <w:rPr>
                <w:rFonts w:hint="eastAsia" w:cs="宋体"/>
                <w:color w:val="auto"/>
                <w:kern w:val="0"/>
                <w:sz w:val="21"/>
                <w:szCs w:val="21"/>
                <w:highlight w:val="none"/>
              </w:rPr>
              <w:br w:type="textWrapping"/>
            </w:r>
            <w:r>
              <w:rPr>
                <w:rFonts w:hint="eastAsia" w:cs="宋体"/>
                <w:color w:val="auto"/>
                <w:kern w:val="0"/>
                <w:sz w:val="21"/>
                <w:szCs w:val="21"/>
                <w:highlight w:val="none"/>
              </w:rPr>
              <w:t>9.模组亮度均匀性≥97%</w:t>
            </w:r>
            <w:r>
              <w:rPr>
                <w:rFonts w:hint="eastAsia" w:cs="宋体"/>
                <w:color w:val="auto"/>
                <w:kern w:val="0"/>
                <w:sz w:val="21"/>
                <w:szCs w:val="21"/>
                <w:highlight w:val="none"/>
              </w:rPr>
              <w:br w:type="textWrapping"/>
            </w:r>
            <w:r>
              <w:rPr>
                <w:rFonts w:hint="eastAsia" w:cs="宋体"/>
                <w:color w:val="auto"/>
                <w:kern w:val="0"/>
                <w:sz w:val="21"/>
                <w:szCs w:val="21"/>
                <w:highlight w:val="none"/>
              </w:rPr>
              <w:t>10.峰值功耗≤600W/㎡，平均功耗≤200W/㎡</w:t>
            </w:r>
            <w:r>
              <w:rPr>
                <w:rFonts w:hint="eastAsia" w:cs="宋体"/>
                <w:color w:val="auto"/>
                <w:kern w:val="0"/>
                <w:sz w:val="21"/>
                <w:szCs w:val="21"/>
                <w:highlight w:val="none"/>
              </w:rPr>
              <w:br w:type="textWrapping"/>
            </w:r>
            <w:r>
              <w:rPr>
                <w:rFonts w:hint="eastAsia" w:cs="宋体"/>
                <w:color w:val="auto"/>
                <w:kern w:val="0"/>
                <w:sz w:val="21"/>
                <w:szCs w:val="21"/>
                <w:highlight w:val="none"/>
              </w:rPr>
              <w:t>11. 色温3000K－10000K可调</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★12双信号备份,信号双环路双链路设计,板板连接无连线.</w:t>
            </w:r>
            <w:r>
              <w:rPr>
                <w:rFonts w:hint="eastAsia" w:cs="宋体"/>
                <w:color w:val="auto"/>
                <w:kern w:val="0"/>
                <w:sz w:val="21"/>
                <w:szCs w:val="21"/>
                <w:highlight w:val="none"/>
              </w:rPr>
              <w:br w:type="textWrapping"/>
            </w:r>
            <w:r>
              <w:rPr>
                <w:rFonts w:hint="eastAsia" w:cs="宋体"/>
                <w:color w:val="auto"/>
                <w:kern w:val="0"/>
                <w:sz w:val="21"/>
                <w:szCs w:val="21"/>
                <w:highlight w:val="none"/>
              </w:rPr>
              <w:t>13.屏体工作噪音﹤1.2m的范围内：噪声≤5.6dB（A）</w:t>
            </w:r>
            <w:r>
              <w:rPr>
                <w:rFonts w:hint="eastAsia" w:cs="宋体"/>
                <w:color w:val="auto"/>
                <w:kern w:val="0"/>
                <w:sz w:val="21"/>
                <w:szCs w:val="21"/>
                <w:highlight w:val="none"/>
                <w:lang w:val="en-US" w:eastAsia="zh-CN"/>
              </w:rPr>
              <w:t>xrl</w:t>
            </w:r>
            <w:r>
              <w:rPr>
                <w:rFonts w:hint="eastAsia" w:cs="宋体"/>
                <w:color w:val="auto"/>
                <w:kern w:val="0"/>
                <w:sz w:val="21"/>
                <w:szCs w:val="21"/>
                <w:highlight w:val="none"/>
              </w:rPr>
              <w:t>（提供具有CNAS认可或国家广电的检验报告为准加盖公章）；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14.提供产品性能测试报告：投标产品需提供第三方专项防尘IP5X测试报告（提供具有CNAS认可的检验报告为准加盖公章）、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15.投标产品需提供PCB和塑料面板阻燃测试报告、符合盐雾10级检测报告（提供具有CNAS认可的检验报告为准加盖公章）；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16.投标产品需具有自检技术,远程监控,自动gamma矫正技术,动态节能、降低功耗,通过高低温工作、存储测试.</w:t>
            </w:r>
            <w:r>
              <w:rPr>
                <w:rFonts w:hint="eastAsia" w:cs="宋体"/>
                <w:color w:val="auto"/>
                <w:kern w:val="0"/>
                <w:sz w:val="21"/>
                <w:szCs w:val="21"/>
                <w:highlight w:val="none"/>
              </w:rPr>
              <w:br w:type="textWrapping"/>
            </w:r>
            <w:r>
              <w:rPr>
                <w:rFonts w:hint="eastAsia" w:cs="宋体"/>
                <w:color w:val="auto"/>
                <w:kern w:val="0"/>
                <w:sz w:val="21"/>
                <w:szCs w:val="21"/>
                <w:highlight w:val="none"/>
              </w:rPr>
              <w:t>17. LED显示屏幕需通过3C认证、有国家级检测机构相关检测报告；提供所有证书复印件）</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18. 所投LED显示屏厂家具有低蓝光认证（提供证书复印件）</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19．所投LED显示屏需提供第三方权威的产品检测报告；</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20.投标时提供原厂授权和质保函。</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21. ★不接受OEM产品</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22.提供质量检验稳定合格产品的证明</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23.提供符合国家节能低碳技术产品的证明文件</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24.投标时提供不少于1平方的样品</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r>
              <w:rPr>
                <w:rStyle w:val="7"/>
                <w:color w:val="auto"/>
                <w:sz w:val="21"/>
                <w:szCs w:val="21"/>
                <w:highlight w:val="none"/>
              </w:rPr>
              <w:t>2</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控制电脑</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1.操作系统：原厂预装正版Win10 操作系统</w:t>
            </w:r>
          </w:p>
          <w:p>
            <w:pPr>
              <w:widowControl/>
              <w:spacing w:line="312"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2.主板：270芯片组或以上</w:t>
            </w:r>
            <w:r>
              <w:rPr>
                <w:rFonts w:hint="eastAsia" w:cs="宋体"/>
                <w:color w:val="auto"/>
                <w:kern w:val="0"/>
                <w:sz w:val="21"/>
                <w:szCs w:val="21"/>
                <w:highlight w:val="none"/>
              </w:rPr>
              <w:br w:type="textWrapping"/>
            </w:r>
            <w:r>
              <w:rPr>
                <w:rFonts w:hint="eastAsia" w:cs="宋体"/>
                <w:color w:val="auto"/>
                <w:kern w:val="0"/>
                <w:sz w:val="21"/>
                <w:szCs w:val="21"/>
                <w:highlight w:val="none"/>
              </w:rPr>
              <w:t>3.处理器：New Core i5-7500(3.4G/6M/4核)</w:t>
            </w:r>
            <w:r>
              <w:rPr>
                <w:rFonts w:hint="eastAsia" w:cs="宋体"/>
                <w:color w:val="auto"/>
                <w:kern w:val="0"/>
                <w:sz w:val="21"/>
                <w:szCs w:val="21"/>
                <w:highlight w:val="none"/>
              </w:rPr>
              <w:br w:type="textWrapping"/>
            </w:r>
            <w:r>
              <w:rPr>
                <w:rFonts w:hint="eastAsia" w:cs="宋体"/>
                <w:color w:val="auto"/>
                <w:kern w:val="0"/>
                <w:sz w:val="21"/>
                <w:szCs w:val="21"/>
                <w:highlight w:val="none"/>
              </w:rPr>
              <w:t>4.内存：&gt;=8G DDR4  2133四条插槽，最大可扩展到64G</w:t>
            </w:r>
            <w:r>
              <w:rPr>
                <w:rFonts w:hint="eastAsia" w:cs="宋体"/>
                <w:color w:val="auto"/>
                <w:kern w:val="0"/>
                <w:sz w:val="21"/>
                <w:szCs w:val="21"/>
                <w:highlight w:val="none"/>
              </w:rPr>
              <w:br w:type="textWrapping"/>
            </w:r>
            <w:r>
              <w:rPr>
                <w:rFonts w:hint="eastAsia" w:cs="宋体"/>
                <w:color w:val="auto"/>
                <w:kern w:val="0"/>
                <w:sz w:val="21"/>
                <w:szCs w:val="21"/>
                <w:highlight w:val="none"/>
              </w:rPr>
              <w:t>5.显示卡：独显 双头HDMI+DVI显卡</w:t>
            </w:r>
            <w:r>
              <w:rPr>
                <w:rFonts w:hint="eastAsia" w:cs="宋体"/>
                <w:color w:val="auto"/>
                <w:kern w:val="0"/>
                <w:sz w:val="21"/>
                <w:szCs w:val="21"/>
                <w:highlight w:val="none"/>
              </w:rPr>
              <w:br w:type="textWrapping"/>
            </w:r>
            <w:r>
              <w:rPr>
                <w:rFonts w:hint="eastAsia" w:cs="宋体"/>
                <w:color w:val="auto"/>
                <w:kern w:val="0"/>
                <w:sz w:val="21"/>
                <w:szCs w:val="21"/>
                <w:highlight w:val="none"/>
              </w:rPr>
              <w:t>6.硬盘：≥256G固态硬盘</w:t>
            </w:r>
            <w:r>
              <w:rPr>
                <w:rFonts w:hint="eastAsia" w:cs="宋体"/>
                <w:color w:val="auto"/>
                <w:kern w:val="0"/>
                <w:sz w:val="21"/>
                <w:szCs w:val="21"/>
                <w:highlight w:val="none"/>
              </w:rPr>
              <w:br w:type="textWrapping"/>
            </w:r>
            <w:r>
              <w:rPr>
                <w:rFonts w:hint="eastAsia" w:cs="宋体"/>
                <w:color w:val="auto"/>
                <w:kern w:val="0"/>
                <w:sz w:val="21"/>
                <w:szCs w:val="21"/>
                <w:highlight w:val="none"/>
              </w:rPr>
              <w:t>7.声卡：主板集成</w:t>
            </w:r>
            <w:r>
              <w:rPr>
                <w:rFonts w:hint="eastAsia" w:cs="宋体"/>
                <w:color w:val="auto"/>
                <w:kern w:val="0"/>
                <w:sz w:val="21"/>
                <w:szCs w:val="21"/>
                <w:highlight w:val="none"/>
              </w:rPr>
              <w:br w:type="textWrapping"/>
            </w:r>
            <w:r>
              <w:rPr>
                <w:rFonts w:hint="eastAsia" w:cs="宋体"/>
                <w:color w:val="auto"/>
                <w:kern w:val="0"/>
                <w:sz w:val="21"/>
                <w:szCs w:val="21"/>
                <w:highlight w:val="none"/>
              </w:rPr>
              <w:t>8.网卡：主板集成,千兆网卡</w:t>
            </w:r>
            <w:r>
              <w:rPr>
                <w:rFonts w:hint="eastAsia" w:cs="宋体"/>
                <w:color w:val="auto"/>
                <w:kern w:val="0"/>
                <w:sz w:val="21"/>
                <w:szCs w:val="21"/>
                <w:highlight w:val="none"/>
              </w:rPr>
              <w:br w:type="textWrapping"/>
            </w:r>
            <w:r>
              <w:rPr>
                <w:rFonts w:hint="eastAsia" w:cs="宋体"/>
                <w:color w:val="auto"/>
                <w:kern w:val="0"/>
                <w:sz w:val="21"/>
                <w:szCs w:val="21"/>
                <w:highlight w:val="none"/>
              </w:rPr>
              <w:t>9.端口：前置：2 个 USB 3.0 端口；1 个麦克风插孔；1 个耳机插孔；后置：2 个 USB 2.0 端口；4 个 USB 3.0 端口；1 个串口；1；； 1 个 VGA 接口；1 个DP端口；1 个音频线路输入端口；1 个音频线路输出端口；1 个 RJ-45 接口；</w:t>
            </w:r>
            <w:r>
              <w:rPr>
                <w:rFonts w:hint="eastAsia" w:cs="宋体"/>
                <w:color w:val="auto"/>
                <w:kern w:val="0"/>
                <w:sz w:val="21"/>
                <w:szCs w:val="21"/>
                <w:highlight w:val="none"/>
              </w:rPr>
              <w:br w:type="textWrapping"/>
            </w:r>
            <w:r>
              <w:rPr>
                <w:rFonts w:hint="eastAsia" w:cs="宋体"/>
                <w:color w:val="auto"/>
                <w:kern w:val="0"/>
                <w:sz w:val="21"/>
                <w:szCs w:val="21"/>
                <w:highlight w:val="none"/>
              </w:rPr>
              <w:t>10.插槽：1 个全高式PCIe x16插槽；1 个全高式PCIe x4插槽；2个全高式PCIe x1插槽</w:t>
            </w:r>
            <w:r>
              <w:rPr>
                <w:rFonts w:hint="eastAsia" w:cs="宋体"/>
                <w:color w:val="auto"/>
                <w:kern w:val="0"/>
                <w:sz w:val="21"/>
                <w:szCs w:val="21"/>
                <w:highlight w:val="none"/>
              </w:rPr>
              <w:br w:type="textWrapping"/>
            </w:r>
            <w:r>
              <w:rPr>
                <w:rFonts w:hint="eastAsia" w:cs="宋体"/>
                <w:color w:val="auto"/>
                <w:kern w:val="0"/>
                <w:sz w:val="21"/>
                <w:szCs w:val="21"/>
                <w:highlight w:val="none"/>
              </w:rPr>
              <w:t>11.键盘/鼠标：光电键盘鼠标</w:t>
            </w:r>
          </w:p>
          <w:p>
            <w:pPr>
              <w:widowControl/>
              <w:spacing w:line="312"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12.24寸显示器</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视频拼接器</w:t>
            </w:r>
          </w:p>
        </w:tc>
        <w:tc>
          <w:tcPr>
            <w:tcW w:w="6330" w:type="dxa"/>
            <w:shd w:val="clear" w:color="auto" w:fill="auto"/>
            <w:tcMar>
              <w:top w:w="15" w:type="dxa"/>
              <w:left w:w="15" w:type="dxa"/>
              <w:right w:w="15" w:type="dxa"/>
            </w:tcMar>
            <w:vAlign w:val="center"/>
          </w:tcPr>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8路HDMI输入，8路DVI输出；</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设备必须为模块化设计的一体化设备，不能采用满足功能条件而采用多种设备组合形式用于投标。</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采用纯硬件结构，机箱采用EMI结构设计，有效防磁，防信号干扰，无PC操作系统，不会感染病毒致系统瘫痪，通电5秒就可以工作，可以硬开关机。</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可同时上RGB/DVI信号和高清视频信号。可以播放多路实时动态高清视频图像，无停顿，拖尾现象。</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能够支持调整每个单屏输出的色彩变化，包括亮度，对比度，亮暗平衡的调整。</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画面RGB信号多层图层叠加，单屏最多可扩展为24层RGB信号叠加。</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支持1920*1080输入，支持数字DVI高清信号输入、输出。</w:t>
            </w:r>
            <w:r>
              <w:rPr>
                <w:rFonts w:hint="eastAsia" w:cs="宋体"/>
                <w:color w:val="auto"/>
                <w:kern w:val="0"/>
                <w:sz w:val="21"/>
                <w:szCs w:val="21"/>
                <w:highlight w:val="none"/>
              </w:rPr>
              <w:br w:type="textWrapping"/>
            </w:r>
            <w:r>
              <w:rPr>
                <w:rFonts w:hint="eastAsia" w:cs="宋体"/>
                <w:color w:val="auto"/>
                <w:kern w:val="0"/>
                <w:sz w:val="21"/>
                <w:szCs w:val="21"/>
                <w:highlight w:val="none"/>
              </w:rPr>
              <w:t>支持输出从640x480到1920x1080标准分辨率的图像。支持每像素32位色彩深度。</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▲可实现图像信号多窗口显示、单屏显示不同的画面、整屏显示单一信号大画面、窗口任意移动、任意缩放、信号任意叠加、图像信号自动识别、预存场景调用、大屏画面后台单屏回显监控等功能。</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采用模块化设计思路，输入信号、输出信号、电路、光学处理等通过不同的模块转换到另外的电路上，能避免某一信号出现故障而替换整块电路板的弊端，降低维护成本。</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提供产品检测报告和3C证书</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LED控制器</w:t>
            </w:r>
          </w:p>
        </w:tc>
        <w:tc>
          <w:tcPr>
            <w:tcW w:w="6330" w:type="dxa"/>
            <w:shd w:val="clear" w:color="auto" w:fill="auto"/>
            <w:tcMar>
              <w:top w:w="15" w:type="dxa"/>
              <w:left w:w="15" w:type="dxa"/>
              <w:right w:w="15" w:type="dxa"/>
            </w:tcMar>
            <w:vAlign w:val="center"/>
          </w:tcPr>
          <w:p>
            <w:pPr>
              <w:widowControl/>
              <w:numPr>
                <w:ilvl w:val="0"/>
                <w:numId w:val="4"/>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配合LED显示屏使用，可实现任意尺寸大屏无缝拼接显示。≥4个千兆网口输出，单个网口≥65万个像素点；带载分辨率：≥2048×1152@60Hz或1920×1200@60Hz；</w:t>
            </w:r>
          </w:p>
          <w:p>
            <w:pPr>
              <w:widowControl/>
              <w:numPr>
                <w:ilvl w:val="0"/>
                <w:numId w:val="4"/>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DVI、DP、HDMI、VGA多信号输入，支持信源自动检测，无需手动切换信源；支持屏幕亮度自动调整,自适应环境光亮度；</w:t>
            </w:r>
          </w:p>
          <w:p>
            <w:pPr>
              <w:widowControl/>
              <w:numPr>
                <w:ilvl w:val="0"/>
                <w:numId w:val="4"/>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图像色温调节，标准、冷、暖三色可调；</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5</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网络交换机</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24口千兆交换机</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6</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配电系统</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60KW配电系统采用三相五线制供电，配电系统保证三相平衡，同时还应配备过流、短路、断路、过压、欠压、温度过高等保护措施，以及相应的故障指示装置，具有PLC远程控制功能。▲（提供3C证书和PLC软件著作权。）</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7</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系统软件</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屏控软件</w:t>
            </w:r>
          </w:p>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▲并提供控制软件著作权证书。</w:t>
            </w:r>
          </w:p>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控制软件具有亮度/灰度/色调/对比度/系统环境参数的调节设定功能。提供软件详细方案。</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8</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机柜</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图腾 42U</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结构</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rPr>
                <w:rFonts w:cs="宋体"/>
                <w:color w:val="auto"/>
                <w:sz w:val="21"/>
                <w:szCs w:val="21"/>
                <w:highlight w:val="none"/>
              </w:rPr>
            </w:pPr>
            <w:r>
              <w:rPr>
                <w:rFonts w:hint="eastAsia" w:cs="宋体"/>
                <w:color w:val="auto"/>
                <w:kern w:val="0"/>
                <w:sz w:val="21"/>
                <w:szCs w:val="21"/>
                <w:highlight w:val="none"/>
              </w:rPr>
              <w:t>与屏体相关的LED钢支架设、制作及安装。</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线缆</w:t>
            </w:r>
          </w:p>
        </w:tc>
        <w:tc>
          <w:tcPr>
            <w:tcW w:w="6330" w:type="dxa"/>
            <w:shd w:val="clear" w:color="auto" w:fill="auto"/>
            <w:tcMar>
              <w:top w:w="15" w:type="dxa"/>
              <w:left w:w="15" w:type="dxa"/>
              <w:right w:w="15" w:type="dxa"/>
            </w:tcMar>
            <w:vAlign w:val="center"/>
          </w:tcPr>
          <w:p>
            <w:pPr>
              <w:spacing w:line="312" w:lineRule="auto"/>
              <w:ind w:firstLine="0" w:firstLineChars="0"/>
              <w:jc w:val="left"/>
              <w:rPr>
                <w:rFonts w:cs="宋体"/>
                <w:color w:val="auto"/>
                <w:sz w:val="21"/>
                <w:szCs w:val="21"/>
                <w:highlight w:val="none"/>
              </w:rPr>
            </w:pPr>
            <w:r>
              <w:rPr>
                <w:rFonts w:hint="eastAsia" w:cs="宋体"/>
                <w:color w:val="auto"/>
                <w:kern w:val="0"/>
                <w:sz w:val="21"/>
                <w:szCs w:val="21"/>
                <w:highlight w:val="none"/>
              </w:rPr>
              <w:t>大屏专用电缆</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安装调试</w:t>
            </w:r>
          </w:p>
        </w:tc>
        <w:tc>
          <w:tcPr>
            <w:tcW w:w="6330" w:type="dxa"/>
            <w:shd w:val="clear" w:color="auto" w:fill="auto"/>
            <w:tcMar>
              <w:top w:w="15" w:type="dxa"/>
              <w:left w:w="15" w:type="dxa"/>
              <w:right w:w="15" w:type="dxa"/>
            </w:tcMar>
            <w:vAlign w:val="center"/>
          </w:tcPr>
          <w:p>
            <w:pPr>
              <w:spacing w:line="312" w:lineRule="auto"/>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培训、技术服务</w:t>
            </w:r>
          </w:p>
        </w:tc>
        <w:tc>
          <w:tcPr>
            <w:tcW w:w="6330" w:type="dxa"/>
            <w:shd w:val="clear" w:color="auto" w:fill="auto"/>
            <w:tcMar>
              <w:top w:w="15" w:type="dxa"/>
              <w:left w:w="15" w:type="dxa"/>
              <w:right w:w="15" w:type="dxa"/>
            </w:tcMar>
            <w:vAlign w:val="center"/>
          </w:tcPr>
          <w:p>
            <w:pPr>
              <w:spacing w:line="312" w:lineRule="auto"/>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13</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取电和装修</w:t>
            </w:r>
          </w:p>
        </w:tc>
        <w:tc>
          <w:tcPr>
            <w:tcW w:w="6330" w:type="dxa"/>
            <w:shd w:val="clear" w:color="auto" w:fill="auto"/>
            <w:tcMar>
              <w:top w:w="15" w:type="dxa"/>
              <w:left w:w="15" w:type="dxa"/>
              <w:right w:w="15" w:type="dxa"/>
            </w:tcMar>
            <w:vAlign w:val="center"/>
          </w:tcPr>
          <w:p>
            <w:pPr>
              <w:spacing w:line="312" w:lineRule="auto"/>
              <w:ind w:firstLine="0" w:firstLineChars="0"/>
              <w:rPr>
                <w:rFonts w:cs="宋体"/>
                <w:color w:val="auto"/>
                <w:sz w:val="21"/>
                <w:szCs w:val="21"/>
                <w:highlight w:val="none"/>
              </w:rPr>
            </w:pPr>
            <w:r>
              <w:rPr>
                <w:rFonts w:hint="eastAsia" w:cs="宋体"/>
                <w:color w:val="auto"/>
                <w:kern w:val="0"/>
                <w:sz w:val="21"/>
                <w:szCs w:val="21"/>
                <w:highlight w:val="none"/>
              </w:rPr>
              <w:t>★</w:t>
            </w:r>
            <w:r>
              <w:rPr>
                <w:rFonts w:hint="eastAsia" w:cs="宋体"/>
                <w:color w:val="auto"/>
                <w:sz w:val="21"/>
                <w:szCs w:val="21"/>
                <w:highlight w:val="none"/>
              </w:rPr>
              <w:t>按学校基建和后勤管理处要求进行取电.安装处拆除和装修,装修风格按学校基建和后勤的标准为准(所有费用由投标人协调和承担,本项报价不仅应包括招标文件上所标明的，还应包括任何未明确标出的，以及完成全套系统工程并保证正常安全运行所不可缺少的配件及附件的全部费用。投标人应列入而未列入其中的费用，均视为已包含在内，风险由投标人承担。)</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r>
    </w:tbl>
    <w:p>
      <w:pPr>
        <w:ind w:firstLine="0" w:firstLineChars="0"/>
        <w:rPr>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0FA87"/>
    <w:multiLevelType w:val="singleLevel"/>
    <w:tmpl w:val="86C0FA87"/>
    <w:lvl w:ilvl="0" w:tentative="0">
      <w:start w:val="1"/>
      <w:numFmt w:val="decimal"/>
      <w:lvlText w:val="%1."/>
      <w:lvlJc w:val="left"/>
      <w:pPr>
        <w:ind w:left="425" w:hanging="425"/>
      </w:pPr>
      <w:rPr>
        <w:rFonts w:hint="default"/>
      </w:rPr>
    </w:lvl>
  </w:abstractNum>
  <w:abstractNum w:abstractNumId="1">
    <w:nsid w:val="CC221EA5"/>
    <w:multiLevelType w:val="singleLevel"/>
    <w:tmpl w:val="CC221EA5"/>
    <w:lvl w:ilvl="0" w:tentative="0">
      <w:start w:val="1"/>
      <w:numFmt w:val="decimal"/>
      <w:lvlText w:val="%1."/>
      <w:lvlJc w:val="left"/>
      <w:pPr>
        <w:ind w:left="425" w:hanging="425"/>
      </w:pPr>
      <w:rPr>
        <w:rFonts w:hint="default"/>
      </w:rPr>
    </w:lvl>
  </w:abstractNum>
  <w:abstractNum w:abstractNumId="2">
    <w:nsid w:val="13CBDD06"/>
    <w:multiLevelType w:val="singleLevel"/>
    <w:tmpl w:val="13CBDD06"/>
    <w:lvl w:ilvl="0" w:tentative="0">
      <w:start w:val="1"/>
      <w:numFmt w:val="decimal"/>
      <w:lvlText w:val="%1."/>
      <w:lvlJc w:val="left"/>
      <w:pPr>
        <w:ind w:left="425" w:hanging="425"/>
      </w:pPr>
      <w:rPr>
        <w:rFonts w:hint="default"/>
      </w:rPr>
    </w:lvl>
  </w:abstractNum>
  <w:abstractNum w:abstractNumId="3">
    <w:nsid w:val="47F94027"/>
    <w:multiLevelType w:val="singleLevel"/>
    <w:tmpl w:val="47F94027"/>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43B5F"/>
    <w:rsid w:val="0864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4">
    <w:name w:val="heading 4"/>
    <w:basedOn w:val="1"/>
    <w:next w:val="1"/>
    <w:qFormat/>
    <w:uiPriority w:val="9"/>
    <w:pPr>
      <w:keepNext/>
      <w:keepLines/>
      <w:adjustRightInd w:val="0"/>
      <w:snapToGrid w:val="0"/>
      <w:outlineLvl w:val="3"/>
    </w:pPr>
    <w:rPr>
      <w:b/>
      <w:bCs/>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2019-06-14T09:30:00Z</dcterms:created>
  <dc:creator>TZ</dc:creator>
  <cp:lastModifiedBy>TZ</cp:lastModifiedBy>
  <dcterms:modified xsi:type="dcterms:W3CDTF">2019-06-14T09:31:39Z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