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bookmarkStart w:id="0" w:name="_Toc21112"/>
      <w:bookmarkStart w:id="1" w:name="_Toc26502"/>
      <w:r>
        <w:rPr>
          <w:rFonts w:hint="eastAsia" w:ascii="宋体" w:hAnsi="宋体" w:cs="宋体"/>
          <w:szCs w:val="40"/>
        </w:rPr>
        <w:t>一</w:t>
      </w:r>
      <w:bookmarkEnd w:id="0"/>
      <w:r>
        <w:rPr>
          <w:rFonts w:hint="eastAsia"/>
        </w:rPr>
        <w:t>、项目</w:t>
      </w:r>
      <w:bookmarkEnd w:id="1"/>
      <w:r>
        <w:rPr>
          <w:rFonts w:hint="eastAsia"/>
        </w:rPr>
        <w:t>概况</w:t>
      </w:r>
    </w:p>
    <w:p>
      <w:pPr>
        <w:ind w:firstLine="420"/>
        <w:rPr>
          <w:rFonts w:ascii="宋体" w:hAnsi="宋体"/>
          <w:kern w:val="0"/>
          <w:szCs w:val="21"/>
        </w:rPr>
      </w:pPr>
      <w:r>
        <w:rPr>
          <w:rFonts w:hint="eastAsia" w:ascii="宋体" w:hAnsi="宋体"/>
          <w:kern w:val="0"/>
          <w:szCs w:val="21"/>
        </w:rPr>
        <w:t>本次列入安装出入口道闸系统的共有一个停车场3个出入口。 安装道闸出入口点位情况如表：</w:t>
      </w:r>
    </w:p>
    <w:tbl>
      <w:tblPr>
        <w:tblStyle w:val="5"/>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60"/>
        <w:gridCol w:w="2085"/>
        <w:gridCol w:w="1500"/>
        <w:gridCol w:w="1500"/>
        <w:gridCol w:w="138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noWrap w:val="0"/>
            <w:vAlign w:val="center"/>
          </w:tcPr>
          <w:p>
            <w:pPr>
              <w:ind w:firstLine="0" w:firstLineChars="0"/>
              <w:rPr>
                <w:rFonts w:ascii="宋体" w:hAnsi="宋体"/>
                <w:kern w:val="0"/>
                <w:szCs w:val="21"/>
              </w:rPr>
            </w:pPr>
            <w:r>
              <w:rPr>
                <w:rFonts w:hint="eastAsia" w:ascii="宋体" w:hAnsi="宋体"/>
                <w:kern w:val="0"/>
                <w:szCs w:val="21"/>
              </w:rPr>
              <w:t>序号</w:t>
            </w:r>
          </w:p>
        </w:tc>
        <w:tc>
          <w:tcPr>
            <w:tcW w:w="1260" w:type="dxa"/>
            <w:noWrap w:val="0"/>
            <w:vAlign w:val="center"/>
          </w:tcPr>
          <w:p>
            <w:pPr>
              <w:ind w:firstLine="0" w:firstLineChars="0"/>
              <w:rPr>
                <w:rFonts w:ascii="宋体" w:hAnsi="宋体"/>
                <w:kern w:val="0"/>
                <w:szCs w:val="21"/>
              </w:rPr>
            </w:pPr>
            <w:r>
              <w:rPr>
                <w:rFonts w:hint="eastAsia" w:ascii="宋体" w:hAnsi="宋体"/>
                <w:kern w:val="0"/>
                <w:szCs w:val="21"/>
              </w:rPr>
              <w:t>校区</w:t>
            </w:r>
          </w:p>
        </w:tc>
        <w:tc>
          <w:tcPr>
            <w:tcW w:w="2085" w:type="dxa"/>
            <w:noWrap w:val="0"/>
            <w:vAlign w:val="center"/>
          </w:tcPr>
          <w:p>
            <w:pPr>
              <w:ind w:firstLine="0" w:firstLineChars="0"/>
              <w:rPr>
                <w:rFonts w:ascii="宋体" w:hAnsi="宋体"/>
                <w:kern w:val="0"/>
                <w:szCs w:val="21"/>
              </w:rPr>
            </w:pPr>
            <w:r>
              <w:rPr>
                <w:rFonts w:hint="eastAsia" w:ascii="宋体" w:hAnsi="宋体"/>
                <w:kern w:val="0"/>
                <w:szCs w:val="21"/>
              </w:rPr>
              <w:t>出入口名称</w:t>
            </w:r>
          </w:p>
        </w:tc>
        <w:tc>
          <w:tcPr>
            <w:tcW w:w="1500" w:type="dxa"/>
            <w:noWrap w:val="0"/>
            <w:vAlign w:val="center"/>
          </w:tcPr>
          <w:p>
            <w:pPr>
              <w:ind w:firstLine="0" w:firstLineChars="0"/>
              <w:rPr>
                <w:rFonts w:ascii="宋体" w:hAnsi="宋体"/>
                <w:kern w:val="0"/>
                <w:szCs w:val="21"/>
              </w:rPr>
            </w:pPr>
            <w:r>
              <w:rPr>
                <w:rFonts w:hint="eastAsia" w:ascii="宋体" w:hAnsi="宋体"/>
                <w:kern w:val="0"/>
                <w:szCs w:val="21"/>
              </w:rPr>
              <w:t>入口通道数</w:t>
            </w:r>
          </w:p>
        </w:tc>
        <w:tc>
          <w:tcPr>
            <w:tcW w:w="1500" w:type="dxa"/>
            <w:noWrap w:val="0"/>
            <w:vAlign w:val="center"/>
          </w:tcPr>
          <w:p>
            <w:pPr>
              <w:ind w:firstLine="0" w:firstLineChars="0"/>
              <w:rPr>
                <w:rFonts w:ascii="宋体" w:hAnsi="宋体"/>
                <w:kern w:val="0"/>
                <w:szCs w:val="21"/>
              </w:rPr>
            </w:pPr>
            <w:r>
              <w:rPr>
                <w:rFonts w:hint="eastAsia" w:ascii="宋体" w:hAnsi="宋体"/>
                <w:kern w:val="0"/>
                <w:szCs w:val="21"/>
              </w:rPr>
              <w:t>出口通道数</w:t>
            </w:r>
          </w:p>
        </w:tc>
        <w:tc>
          <w:tcPr>
            <w:tcW w:w="1380" w:type="dxa"/>
            <w:noWrap w:val="0"/>
            <w:vAlign w:val="center"/>
          </w:tcPr>
          <w:p>
            <w:pPr>
              <w:ind w:firstLine="0" w:firstLineChars="0"/>
              <w:rPr>
                <w:rFonts w:ascii="宋体" w:hAnsi="宋体"/>
                <w:kern w:val="0"/>
                <w:szCs w:val="21"/>
              </w:rPr>
            </w:pPr>
            <w:r>
              <w:rPr>
                <w:rFonts w:hint="eastAsia" w:ascii="宋体" w:hAnsi="宋体"/>
                <w:kern w:val="0"/>
                <w:szCs w:val="21"/>
              </w:rPr>
              <w:t>车道宽度</w:t>
            </w:r>
          </w:p>
        </w:tc>
        <w:tc>
          <w:tcPr>
            <w:tcW w:w="795" w:type="dxa"/>
            <w:noWrap w:val="0"/>
            <w:vAlign w:val="center"/>
          </w:tcPr>
          <w:p>
            <w:pPr>
              <w:ind w:firstLine="0" w:firstLineChars="0"/>
              <w:rPr>
                <w:rFonts w:ascii="宋体" w:hAnsi="宋体"/>
                <w:kern w:val="0"/>
                <w:szCs w:val="21"/>
              </w:rPr>
            </w:pPr>
            <w:r>
              <w:rPr>
                <w:rFonts w:hint="eastAsia" w:ascii="宋体" w:hAnsi="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noWrap w:val="0"/>
            <w:vAlign w:val="center"/>
          </w:tcPr>
          <w:p>
            <w:pPr>
              <w:ind w:firstLine="0" w:firstLineChars="0"/>
              <w:jc w:val="center"/>
              <w:rPr>
                <w:rFonts w:ascii="宋体" w:hAnsi="宋体"/>
                <w:kern w:val="0"/>
                <w:szCs w:val="21"/>
              </w:rPr>
            </w:pPr>
            <w:r>
              <w:rPr>
                <w:rFonts w:hint="eastAsia" w:ascii="宋体" w:hAnsi="宋体"/>
                <w:kern w:val="0"/>
                <w:szCs w:val="21"/>
              </w:rPr>
              <w:t>1</w:t>
            </w:r>
          </w:p>
        </w:tc>
        <w:tc>
          <w:tcPr>
            <w:tcW w:w="1260" w:type="dxa"/>
            <w:vMerge w:val="restart"/>
            <w:noWrap w:val="0"/>
            <w:vAlign w:val="center"/>
          </w:tcPr>
          <w:p>
            <w:pPr>
              <w:ind w:firstLine="0" w:firstLineChars="0"/>
              <w:rPr>
                <w:rFonts w:ascii="宋体" w:hAnsi="宋体"/>
                <w:kern w:val="0"/>
                <w:szCs w:val="21"/>
              </w:rPr>
            </w:pPr>
            <w:r>
              <w:rPr>
                <w:rFonts w:hint="eastAsia" w:ascii="宋体" w:hAnsi="宋体"/>
                <w:kern w:val="0"/>
                <w:szCs w:val="21"/>
              </w:rPr>
              <w:t>西校区</w:t>
            </w:r>
          </w:p>
        </w:tc>
        <w:tc>
          <w:tcPr>
            <w:tcW w:w="2085" w:type="dxa"/>
            <w:noWrap w:val="0"/>
            <w:vAlign w:val="center"/>
          </w:tcPr>
          <w:p>
            <w:pPr>
              <w:ind w:firstLine="0" w:firstLineChars="0"/>
              <w:rPr>
                <w:rFonts w:ascii="宋体" w:hAnsi="宋体"/>
                <w:kern w:val="0"/>
                <w:szCs w:val="21"/>
              </w:rPr>
            </w:pPr>
            <w:r>
              <w:rPr>
                <w:rFonts w:hint="eastAsia" w:ascii="宋体" w:hAnsi="宋体"/>
                <w:kern w:val="0"/>
                <w:szCs w:val="21"/>
              </w:rPr>
              <w:t>东南门</w:t>
            </w:r>
          </w:p>
        </w:tc>
        <w:tc>
          <w:tcPr>
            <w:tcW w:w="1500" w:type="dxa"/>
            <w:noWrap w:val="0"/>
            <w:vAlign w:val="center"/>
          </w:tcPr>
          <w:p>
            <w:pPr>
              <w:ind w:firstLine="0" w:firstLineChars="0"/>
              <w:jc w:val="center"/>
              <w:rPr>
                <w:rFonts w:ascii="宋体" w:hAnsi="宋体"/>
                <w:kern w:val="0"/>
                <w:szCs w:val="21"/>
              </w:rPr>
            </w:pPr>
            <w:r>
              <w:rPr>
                <w:rFonts w:hint="eastAsia" w:ascii="宋体" w:hAnsi="宋体"/>
                <w:kern w:val="0"/>
                <w:szCs w:val="21"/>
              </w:rPr>
              <w:t>1</w:t>
            </w:r>
          </w:p>
        </w:tc>
        <w:tc>
          <w:tcPr>
            <w:tcW w:w="1500" w:type="dxa"/>
            <w:noWrap w:val="0"/>
            <w:vAlign w:val="center"/>
          </w:tcPr>
          <w:p>
            <w:pPr>
              <w:ind w:firstLine="0" w:firstLineChars="0"/>
              <w:jc w:val="center"/>
              <w:rPr>
                <w:rFonts w:ascii="宋体" w:hAnsi="宋体"/>
                <w:kern w:val="0"/>
                <w:szCs w:val="21"/>
              </w:rPr>
            </w:pPr>
            <w:r>
              <w:rPr>
                <w:rFonts w:hint="eastAsia" w:ascii="宋体" w:hAnsi="宋体"/>
                <w:kern w:val="0"/>
                <w:szCs w:val="21"/>
              </w:rPr>
              <w:t>1</w:t>
            </w:r>
          </w:p>
        </w:tc>
        <w:tc>
          <w:tcPr>
            <w:tcW w:w="1380" w:type="dxa"/>
            <w:noWrap w:val="0"/>
            <w:vAlign w:val="center"/>
          </w:tcPr>
          <w:p>
            <w:pPr>
              <w:ind w:firstLine="0" w:firstLineChars="0"/>
              <w:jc w:val="center"/>
              <w:rPr>
                <w:rFonts w:ascii="宋体" w:hAnsi="宋体"/>
                <w:kern w:val="0"/>
                <w:szCs w:val="21"/>
              </w:rPr>
            </w:pPr>
            <w:r>
              <w:rPr>
                <w:rFonts w:hint="eastAsia" w:ascii="宋体" w:hAnsi="宋体"/>
                <w:kern w:val="0"/>
                <w:szCs w:val="21"/>
              </w:rPr>
              <w:t>3.75m</w:t>
            </w:r>
          </w:p>
        </w:tc>
        <w:tc>
          <w:tcPr>
            <w:tcW w:w="795" w:type="dxa"/>
            <w:noWrap w:val="0"/>
            <w:vAlign w:val="center"/>
          </w:tcPr>
          <w:p>
            <w:pPr>
              <w:ind w:firstLine="0" w:firstLineChars="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noWrap w:val="0"/>
            <w:vAlign w:val="center"/>
          </w:tcPr>
          <w:p>
            <w:pPr>
              <w:ind w:firstLine="0" w:firstLineChars="0"/>
              <w:jc w:val="center"/>
              <w:rPr>
                <w:rFonts w:ascii="宋体" w:hAnsi="宋体"/>
                <w:kern w:val="0"/>
                <w:szCs w:val="21"/>
              </w:rPr>
            </w:pPr>
            <w:r>
              <w:rPr>
                <w:rFonts w:hint="eastAsia" w:ascii="宋体" w:hAnsi="宋体"/>
                <w:kern w:val="0"/>
                <w:szCs w:val="21"/>
              </w:rPr>
              <w:t>2</w:t>
            </w:r>
          </w:p>
        </w:tc>
        <w:tc>
          <w:tcPr>
            <w:tcW w:w="1260" w:type="dxa"/>
            <w:vMerge w:val="continue"/>
            <w:noWrap w:val="0"/>
            <w:vAlign w:val="center"/>
          </w:tcPr>
          <w:p>
            <w:pPr>
              <w:ind w:firstLine="0" w:firstLineChars="0"/>
              <w:jc w:val="center"/>
              <w:rPr>
                <w:rFonts w:ascii="宋体" w:hAnsi="宋体"/>
                <w:kern w:val="0"/>
                <w:szCs w:val="21"/>
              </w:rPr>
            </w:pPr>
          </w:p>
        </w:tc>
        <w:tc>
          <w:tcPr>
            <w:tcW w:w="2085" w:type="dxa"/>
            <w:noWrap w:val="0"/>
            <w:vAlign w:val="center"/>
          </w:tcPr>
          <w:p>
            <w:pPr>
              <w:ind w:firstLine="0" w:firstLineChars="0"/>
              <w:rPr>
                <w:rFonts w:ascii="宋体" w:hAnsi="宋体"/>
                <w:kern w:val="0"/>
                <w:szCs w:val="21"/>
              </w:rPr>
            </w:pPr>
            <w:r>
              <w:rPr>
                <w:rFonts w:hint="eastAsia" w:ascii="宋体" w:hAnsi="宋体"/>
                <w:kern w:val="0"/>
                <w:szCs w:val="21"/>
              </w:rPr>
              <w:t>西门</w:t>
            </w:r>
          </w:p>
        </w:tc>
        <w:tc>
          <w:tcPr>
            <w:tcW w:w="1500" w:type="dxa"/>
            <w:noWrap w:val="0"/>
            <w:vAlign w:val="center"/>
          </w:tcPr>
          <w:p>
            <w:pPr>
              <w:ind w:firstLine="0" w:firstLineChars="0"/>
              <w:jc w:val="center"/>
              <w:rPr>
                <w:rFonts w:ascii="宋体" w:hAnsi="宋体"/>
                <w:kern w:val="0"/>
                <w:szCs w:val="21"/>
              </w:rPr>
            </w:pPr>
            <w:r>
              <w:rPr>
                <w:rFonts w:hint="eastAsia" w:ascii="宋体" w:hAnsi="宋体"/>
                <w:kern w:val="0"/>
                <w:szCs w:val="21"/>
              </w:rPr>
              <w:t>1</w:t>
            </w:r>
          </w:p>
        </w:tc>
        <w:tc>
          <w:tcPr>
            <w:tcW w:w="1500" w:type="dxa"/>
            <w:noWrap w:val="0"/>
            <w:vAlign w:val="center"/>
          </w:tcPr>
          <w:p>
            <w:pPr>
              <w:ind w:firstLine="0" w:firstLineChars="0"/>
              <w:jc w:val="center"/>
              <w:rPr>
                <w:rFonts w:ascii="宋体" w:hAnsi="宋体"/>
                <w:kern w:val="0"/>
                <w:szCs w:val="21"/>
              </w:rPr>
            </w:pPr>
            <w:r>
              <w:rPr>
                <w:rFonts w:hint="eastAsia" w:ascii="宋体" w:hAnsi="宋体"/>
                <w:kern w:val="0"/>
                <w:szCs w:val="21"/>
              </w:rPr>
              <w:t>1</w:t>
            </w:r>
          </w:p>
        </w:tc>
        <w:tc>
          <w:tcPr>
            <w:tcW w:w="1380" w:type="dxa"/>
            <w:noWrap w:val="0"/>
            <w:vAlign w:val="center"/>
          </w:tcPr>
          <w:p>
            <w:pPr>
              <w:ind w:firstLine="0" w:firstLineChars="0"/>
              <w:jc w:val="center"/>
              <w:rPr>
                <w:rFonts w:ascii="宋体" w:hAnsi="宋体"/>
                <w:kern w:val="0"/>
                <w:szCs w:val="21"/>
              </w:rPr>
            </w:pPr>
            <w:r>
              <w:rPr>
                <w:rFonts w:hint="eastAsia" w:ascii="宋体" w:hAnsi="宋体"/>
                <w:kern w:val="0"/>
                <w:szCs w:val="21"/>
              </w:rPr>
              <w:t>3.75m</w:t>
            </w:r>
          </w:p>
        </w:tc>
        <w:tc>
          <w:tcPr>
            <w:tcW w:w="795" w:type="dxa"/>
            <w:noWrap w:val="0"/>
            <w:vAlign w:val="center"/>
          </w:tcPr>
          <w:p>
            <w:pPr>
              <w:ind w:firstLine="0" w:firstLineChars="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noWrap w:val="0"/>
            <w:vAlign w:val="center"/>
          </w:tcPr>
          <w:p>
            <w:pPr>
              <w:ind w:firstLine="0" w:firstLineChars="0"/>
              <w:jc w:val="center"/>
              <w:rPr>
                <w:rFonts w:ascii="宋体" w:hAnsi="宋体"/>
                <w:kern w:val="0"/>
                <w:szCs w:val="21"/>
              </w:rPr>
            </w:pPr>
            <w:r>
              <w:rPr>
                <w:rFonts w:hint="eastAsia" w:ascii="宋体" w:hAnsi="宋体"/>
                <w:kern w:val="0"/>
                <w:szCs w:val="21"/>
              </w:rPr>
              <w:t>3</w:t>
            </w:r>
          </w:p>
        </w:tc>
        <w:tc>
          <w:tcPr>
            <w:tcW w:w="1260" w:type="dxa"/>
            <w:vMerge w:val="continue"/>
            <w:noWrap w:val="0"/>
            <w:vAlign w:val="center"/>
          </w:tcPr>
          <w:p>
            <w:pPr>
              <w:ind w:firstLine="0" w:firstLineChars="0"/>
              <w:jc w:val="center"/>
              <w:rPr>
                <w:rFonts w:ascii="宋体" w:hAnsi="宋体"/>
                <w:kern w:val="0"/>
                <w:szCs w:val="21"/>
              </w:rPr>
            </w:pPr>
          </w:p>
        </w:tc>
        <w:tc>
          <w:tcPr>
            <w:tcW w:w="2085" w:type="dxa"/>
            <w:noWrap w:val="0"/>
            <w:vAlign w:val="center"/>
          </w:tcPr>
          <w:p>
            <w:pPr>
              <w:ind w:firstLine="0" w:firstLineChars="0"/>
              <w:rPr>
                <w:rFonts w:hint="eastAsia" w:ascii="宋体" w:hAnsi="宋体"/>
                <w:kern w:val="0"/>
                <w:szCs w:val="21"/>
              </w:rPr>
            </w:pPr>
            <w:r>
              <w:rPr>
                <w:rFonts w:hint="eastAsia" w:ascii="宋体" w:hAnsi="宋体"/>
                <w:kern w:val="0"/>
                <w:szCs w:val="21"/>
              </w:rPr>
              <w:t>北门</w:t>
            </w:r>
          </w:p>
        </w:tc>
        <w:tc>
          <w:tcPr>
            <w:tcW w:w="1500" w:type="dxa"/>
            <w:noWrap w:val="0"/>
            <w:vAlign w:val="center"/>
          </w:tcPr>
          <w:p>
            <w:pPr>
              <w:ind w:firstLine="0" w:firstLineChars="0"/>
              <w:jc w:val="center"/>
              <w:rPr>
                <w:rFonts w:ascii="宋体" w:hAnsi="宋体"/>
                <w:kern w:val="0"/>
                <w:szCs w:val="21"/>
              </w:rPr>
            </w:pPr>
            <w:r>
              <w:rPr>
                <w:rFonts w:hint="eastAsia" w:ascii="宋体" w:hAnsi="宋体"/>
                <w:kern w:val="0"/>
                <w:szCs w:val="21"/>
              </w:rPr>
              <w:t>1</w:t>
            </w:r>
          </w:p>
        </w:tc>
        <w:tc>
          <w:tcPr>
            <w:tcW w:w="1500" w:type="dxa"/>
            <w:noWrap w:val="0"/>
            <w:vAlign w:val="center"/>
          </w:tcPr>
          <w:p>
            <w:pPr>
              <w:ind w:firstLine="0" w:firstLineChars="0"/>
              <w:jc w:val="center"/>
              <w:rPr>
                <w:rFonts w:ascii="宋体" w:hAnsi="宋体"/>
                <w:kern w:val="0"/>
                <w:szCs w:val="21"/>
              </w:rPr>
            </w:pPr>
            <w:r>
              <w:rPr>
                <w:rFonts w:hint="eastAsia" w:ascii="宋体" w:hAnsi="宋体"/>
                <w:kern w:val="0"/>
                <w:szCs w:val="21"/>
              </w:rPr>
              <w:t>1</w:t>
            </w:r>
          </w:p>
        </w:tc>
        <w:tc>
          <w:tcPr>
            <w:tcW w:w="1380" w:type="dxa"/>
            <w:noWrap w:val="0"/>
            <w:vAlign w:val="center"/>
          </w:tcPr>
          <w:p>
            <w:pPr>
              <w:ind w:firstLine="0" w:firstLineChars="0"/>
              <w:jc w:val="center"/>
              <w:rPr>
                <w:rFonts w:ascii="宋体" w:hAnsi="宋体"/>
                <w:kern w:val="0"/>
                <w:szCs w:val="21"/>
              </w:rPr>
            </w:pPr>
            <w:r>
              <w:rPr>
                <w:rFonts w:hint="eastAsia" w:ascii="宋体" w:hAnsi="宋体"/>
                <w:kern w:val="0"/>
                <w:szCs w:val="21"/>
              </w:rPr>
              <w:t>5.0m</w:t>
            </w:r>
          </w:p>
        </w:tc>
        <w:tc>
          <w:tcPr>
            <w:tcW w:w="795" w:type="dxa"/>
            <w:noWrap w:val="0"/>
            <w:vAlign w:val="center"/>
          </w:tcPr>
          <w:p>
            <w:pPr>
              <w:ind w:firstLine="0" w:firstLineChars="0"/>
              <w:jc w:val="center"/>
              <w:rPr>
                <w:rFonts w:ascii="宋体" w:hAnsi="宋体"/>
                <w:kern w:val="0"/>
                <w:szCs w:val="21"/>
              </w:rPr>
            </w:pPr>
          </w:p>
        </w:tc>
      </w:tr>
    </w:tbl>
    <w:p>
      <w:pPr>
        <w:ind w:firstLine="420"/>
        <w:jc w:val="left"/>
        <w:rPr>
          <w:rFonts w:ascii="宋体" w:hAnsi="宋体"/>
          <w:szCs w:val="21"/>
        </w:rPr>
      </w:pPr>
      <w:r>
        <w:rPr>
          <w:rFonts w:hint="eastAsia" w:ascii="宋体" w:hAnsi="宋体"/>
          <w:szCs w:val="21"/>
        </w:rPr>
        <w:t>东南门、西门道闸系统车道宽度都为3.75m、北门道闸系统车道宽度为5.0m，单向通行每个出入口在进出车道之间设置一个安全隔离岛，设备一般安装在安全隔离岛上。</w:t>
      </w:r>
    </w:p>
    <w:p>
      <w:pPr>
        <w:ind w:firstLine="420"/>
        <w:rPr>
          <w:rFonts w:ascii="宋体" w:hAnsi="宋体"/>
          <w:kern w:val="0"/>
          <w:szCs w:val="21"/>
        </w:rPr>
      </w:pPr>
      <w:r>
        <w:rPr>
          <w:rFonts w:hint="eastAsia" w:ascii="宋体" w:hAnsi="宋体"/>
          <w:kern w:val="0"/>
          <w:szCs w:val="21"/>
        </w:rPr>
        <w:t>出入口车辆管理系统</w:t>
      </w:r>
      <w:r>
        <w:rPr>
          <w:rFonts w:hint="eastAsia"/>
        </w:rPr>
        <w:t>是利用自动挡车器、车牌识别等出入口设备做联动整合，除可管制车辆的进出外，亦可进一步管制车位数量之管控</w:t>
      </w:r>
      <w:r>
        <w:rPr>
          <w:rFonts w:hint="eastAsia" w:ascii="宋体" w:hAnsi="宋体"/>
          <w:kern w:val="0"/>
          <w:szCs w:val="21"/>
        </w:rPr>
        <w:t>。</w:t>
      </w:r>
    </w:p>
    <w:p>
      <w:pPr>
        <w:ind w:firstLine="420"/>
        <w:rPr>
          <w:rFonts w:ascii="宋体" w:hAnsi="宋体"/>
          <w:kern w:val="0"/>
          <w:szCs w:val="21"/>
        </w:rPr>
      </w:pPr>
      <w:r>
        <w:rPr>
          <w:rFonts w:hint="eastAsia" w:ascii="宋体" w:hAnsi="宋体"/>
          <w:kern w:val="0"/>
          <w:szCs w:val="21"/>
        </w:rPr>
        <w:t>各出入口车辆出入采用通过安防专网联网运行模式，可多校区多区域（多停车场）联网统一管理，每校区和区域设置为一个停车场，各停车场可具有不同的收费标准，各车辆用户在不同停车场可设置为不同的用户类型，但其车辆用户信息统一管理。</w:t>
      </w:r>
    </w:p>
    <w:p>
      <w:pPr>
        <w:ind w:firstLine="420"/>
        <w:rPr>
          <w:rFonts w:hint="eastAsia" w:ascii="宋体" w:hAnsi="宋体"/>
          <w:kern w:val="0"/>
          <w:szCs w:val="21"/>
        </w:rPr>
      </w:pPr>
      <w:r>
        <w:rPr>
          <w:rFonts w:hint="eastAsia" w:ascii="宋体" w:hAnsi="宋体"/>
          <w:kern w:val="0"/>
          <w:szCs w:val="21"/>
        </w:rPr>
        <w:t>其软件管理系统由中心数据库、服务端管理软件、出入口前端客户端、平台管理端、前端移动客户端APP、用户移动客户端微信公众号等组成。各出入口安装前端客户端管理软件，用于实现车辆出入数据采集和收费操作、道闸控制等现场管理工作；平台管理端用于管理人员对系统的配置、监控、查询、各类停车券减免票证的生成（二维码方式，含车牌、有效时间、生成时间、生成人、减免类型、金额、发放单位、序号等信息）和下发等管理；前端移动客户端APP用于拍照、车牌录入、移动收费等，可部分替代前端客户端的功能，并具有车辆及使用人信息、出入信息查询等查询和违章处理,软件以独立安装方式；用户移动客户端微信公众号用于用户注册申请、停车信息查询和费用预交充值、包期信息查询办理和续费，软件以微信关注号方式；中心服务器用于数据统一管理和各前端状态监控等，可实现数据的统一管理和查询；实现与办事大厅协同办公系统的无缝对接等。</w:t>
      </w:r>
    </w:p>
    <w:p>
      <w:pPr>
        <w:ind w:firstLine="420"/>
        <w:rPr>
          <w:rFonts w:hint="eastAsia"/>
        </w:rPr>
      </w:pPr>
      <w:r>
        <w:rPr>
          <w:rFonts w:hint="eastAsia" w:ascii="宋体" w:hAnsi="宋体"/>
          <w:szCs w:val="21"/>
        </w:rPr>
        <w:t>本项目采用车牌识别方式，要求系统综合车牌正确识别率大于</w:t>
      </w:r>
      <w:r>
        <w:rPr>
          <w:rFonts w:hint="eastAsia" w:ascii="宋体" w:hAnsi="宋体"/>
          <w:kern w:val="0"/>
          <w:szCs w:val="21"/>
        </w:rPr>
        <w:t>99.5%。</w:t>
      </w:r>
    </w:p>
    <w:p>
      <w:pPr>
        <w:pStyle w:val="3"/>
        <w:numPr>
          <w:ilvl w:val="0"/>
          <w:numId w:val="1"/>
        </w:numPr>
      </w:pPr>
      <w:r>
        <w:rPr>
          <w:rFonts w:hint="eastAsia"/>
        </w:rPr>
        <w:t>具体要求</w:t>
      </w:r>
    </w:p>
    <w:tbl>
      <w:tblPr>
        <w:tblStyle w:val="5"/>
        <w:tblW w:w="9795" w:type="dxa"/>
        <w:tblInd w:w="0" w:type="dxa"/>
        <w:tblLayout w:type="fixed"/>
        <w:tblCellMar>
          <w:top w:w="0" w:type="dxa"/>
          <w:left w:w="0" w:type="dxa"/>
          <w:bottom w:w="0" w:type="dxa"/>
          <w:right w:w="0" w:type="dxa"/>
        </w:tblCellMar>
      </w:tblPr>
      <w:tblGrid>
        <w:gridCol w:w="961"/>
        <w:gridCol w:w="1275"/>
        <w:gridCol w:w="5565"/>
        <w:gridCol w:w="945"/>
        <w:gridCol w:w="1049"/>
      </w:tblGrid>
      <w:tr>
        <w:tblPrEx>
          <w:tblLayout w:type="fixed"/>
          <w:tblCellMar>
            <w:top w:w="0" w:type="dxa"/>
            <w:left w:w="0" w:type="dxa"/>
            <w:bottom w:w="0" w:type="dxa"/>
            <w:right w:w="0" w:type="dxa"/>
          </w:tblCellMar>
        </w:tblPrEx>
        <w:trPr>
          <w:trHeight w:val="315" w:hRule="atLeast"/>
        </w:trPr>
        <w:tc>
          <w:tcPr>
            <w:tcW w:w="96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序号</w:t>
            </w:r>
          </w:p>
        </w:tc>
        <w:tc>
          <w:tcPr>
            <w:tcW w:w="12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名称</w:t>
            </w:r>
          </w:p>
        </w:tc>
        <w:tc>
          <w:tcPr>
            <w:tcW w:w="55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基本参数</w:t>
            </w:r>
          </w:p>
        </w:tc>
        <w:tc>
          <w:tcPr>
            <w:tcW w:w="9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数量</w:t>
            </w:r>
          </w:p>
        </w:tc>
        <w:tc>
          <w:tcPr>
            <w:tcW w:w="104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单位</w:t>
            </w:r>
          </w:p>
        </w:tc>
      </w:tr>
      <w:tr>
        <w:tblPrEx>
          <w:tblLayout w:type="fixed"/>
          <w:tblCellMar>
            <w:top w:w="0" w:type="dxa"/>
            <w:left w:w="0" w:type="dxa"/>
            <w:bottom w:w="0" w:type="dxa"/>
            <w:right w:w="0" w:type="dxa"/>
          </w:tblCellMar>
        </w:tblPrEx>
        <w:trPr>
          <w:trHeight w:val="300" w:hRule="atLeast"/>
        </w:trPr>
        <w:tc>
          <w:tcPr>
            <w:tcW w:w="9795" w:type="dxa"/>
            <w:gridSpan w:val="5"/>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一、入口设备</w:t>
            </w:r>
          </w:p>
        </w:tc>
      </w:tr>
      <w:tr>
        <w:tblPrEx>
          <w:tblLayout w:type="fixed"/>
          <w:tblCellMar>
            <w:top w:w="0" w:type="dxa"/>
            <w:left w:w="0" w:type="dxa"/>
            <w:bottom w:w="0" w:type="dxa"/>
            <w:right w:w="0" w:type="dxa"/>
          </w:tblCellMar>
        </w:tblPrEx>
        <w:trPr>
          <w:trHeight w:val="801" w:hRule="atLeast"/>
        </w:trPr>
        <w:tc>
          <w:tcPr>
            <w:tcW w:w="96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一体化道闸</w:t>
            </w:r>
          </w:p>
        </w:tc>
        <w:tc>
          <w:tcPr>
            <w:tcW w:w="55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1 输入电压：220VAC+15%；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起落速度调节：起落杆速度0.9-6S可调；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变频功能：支持快速起竿、慢速落杆功能；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脱杆功能：支持脱杆功能；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多种控制方式：具备升优先功能，支持通过开关量、遥控器、软件命令三种方式控制闸机升降；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▲防砸功能：具有防砸功能：配有相关接口，可联接地感、红外、压力电波等设备；（提供权威部门出具的检测报告证明）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遇阻反弹功能：当闸杆下落时，遇到物体阻挡，将立即开闸(即遇到阻力自动返回)；（提供国家权威部门出具的检测报告证明）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过流保护功能：当系统工作电流超过15A，电机停止运行(可保护电机)；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 运行噪声：噪声≤65dB(A)；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 ▲左右向学习功能：杆子从右边换到左边，可通过调整弹簧方向重启重新学习限位；（提供权威部门出具的检测报告证明）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 语音播报功能：过车可播报欢迎光临、车牌号码、收费金额等信息；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 手动锁闸功能：停电时可以手动控制离合转柄，使道闸保持升杆状态；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 摄像机类型：200万像素彩色逐行扫描CMOS高清智能摄像机；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 传感器类型：1/1.8"逐行扫描CMOS；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 分辨率：1920*1080；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 识别车牌种类：民用车牌(除5小车辆)，警用车牌，2012式新军用车牌，2012式武警车牌及2002式新车牌；</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 三码流输出：可同时输出主码流、子码流及第三路码流三种不同分辨率的视频图像；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 ▲SD卡存储功能：当网络断开时，可将抓拍图片相机内置SD卡内，支持自动识别自动格式化，并支持图片检索，自动覆盖，当网络恢复时，可继续上传图片；（提供权威部门出具的检测报告证明）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 车辆捕获率：≥99.9%；（提供权威部门出具的检测报告证明）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 ▲车牌识别率：白天≥99.5%，夜间≥99%；（提供权威部门出具的检测报告证明）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20 倾斜车牌识别：可识别出略微倾斜的机动车车牌号码；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 ▲抓拍方式：支持IO触发、485触发、视频触发；（提供权威部门出具的检测报告证明）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22 接口：1个RJ4510M/100M/1000M自适应以太网口，5个RS-485接口，1个RS-232接口，7路IO输入接口，7对IO输出接口，1个SYNC，7对IO输入/输出接口，2个mini-USB接口，1个SD卡插槽，1个BNC输出接口；（提供国家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23 识别黑白名单控制功能：可根据存储的黑白名单自动控制外接道闸开/关；（提供国家权威部门出具的检测报告证明）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24 温度范围：-25±3℃~70±2℃；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25 外壳防护等级：IP54；</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26 投标产品必须完全兼容学校原有安防系统，实现无缝对接。</w:t>
            </w:r>
          </w:p>
        </w:tc>
        <w:tc>
          <w:tcPr>
            <w:tcW w:w="9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04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Layout w:type="fixed"/>
          <w:tblCellMar>
            <w:top w:w="0" w:type="dxa"/>
            <w:left w:w="0" w:type="dxa"/>
            <w:bottom w:w="0" w:type="dxa"/>
            <w:right w:w="0" w:type="dxa"/>
          </w:tblCellMar>
        </w:tblPrEx>
        <w:trPr>
          <w:trHeight w:val="600"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车检器</w:t>
            </w:r>
          </w:p>
        </w:tc>
        <w:tc>
          <w:tcPr>
            <w:tcW w:w="55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1 ▲具有485接口、2路继电器开关量输出接口；（提供权威部门出具的检测报告证明）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支持接入2路线圈；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线圈工作频率：28KHz～120KHz；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▲支持灵敏度可调：有4级可设（高、中高、中低、低）；（提供权威部门出具的检测报告证明）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最快响应时间：3.5ms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线圈故障自恢复：在线圈故障排除后，检测器能够自行恢复到检测状态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线圈故障恢复时间：≤100ms；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 线圈故障检测时间：＜10ms；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输出IO方式：继电器开关量输出；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 工作电压：AC220V；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 工作环境温度：-40℃～80℃；工作环境湿度：＜93%，无冷凝；</w:t>
            </w:r>
          </w:p>
        </w:tc>
        <w:tc>
          <w:tcPr>
            <w:tcW w:w="9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04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r>
      <w:tr>
        <w:tblPrEx>
          <w:tblLayout w:type="fixed"/>
          <w:tblCellMar>
            <w:top w:w="0" w:type="dxa"/>
            <w:left w:w="0" w:type="dxa"/>
            <w:bottom w:w="0" w:type="dxa"/>
            <w:right w:w="0" w:type="dxa"/>
          </w:tblCellMar>
        </w:tblPrEx>
        <w:trPr>
          <w:trHeight w:val="600" w:hRule="atLeast"/>
        </w:trPr>
        <w:tc>
          <w:tcPr>
            <w:tcW w:w="9795" w:type="dxa"/>
            <w:gridSpan w:val="5"/>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二、出口设备</w:t>
            </w:r>
          </w:p>
        </w:tc>
      </w:tr>
      <w:tr>
        <w:tblPrEx>
          <w:tblLayout w:type="fixed"/>
          <w:tblCellMar>
            <w:top w:w="0" w:type="dxa"/>
            <w:left w:w="0" w:type="dxa"/>
            <w:bottom w:w="0" w:type="dxa"/>
            <w:right w:w="0" w:type="dxa"/>
          </w:tblCellMar>
        </w:tblPrEx>
        <w:trPr>
          <w:trHeight w:val="600" w:hRule="atLeast"/>
        </w:trPr>
        <w:tc>
          <w:tcPr>
            <w:tcW w:w="96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一体化道闸</w:t>
            </w:r>
          </w:p>
        </w:tc>
        <w:tc>
          <w:tcPr>
            <w:tcW w:w="55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1 输入电压：220VAC+15%；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起落速度调节：起落杆速度0.9-6S可调；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变频功能：支持快速起竿、慢速落杆功能；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脱杆功能：支持脱杆功能；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多种控制方式：具备升优先功能，支持通过开关量、遥控器、软件命令三种方式控制闸机升降；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▲防砸功能：具有防砸功能：配有相关接口，可联接地感、红外、压力电波等设备；（提供权威部门出具的检测报告证明）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遇阻反弹功能：当闸杆下落时，遇到物体阻挡，将立即开闸(即遇到阻力自动返回)；（提供国家权威部门出具的检测报告证明）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过流保护功能：当系统工作电流超过15A，电机停止运行(可保护电机)；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 运行噪声：噪声≤65dB(A)；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 ▲左右向学习功能：杆子从右边换到左边，可通过调整弹簧方向重启重新学习限位；（提供权威部门出具的检测报告证明）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 语音播报功能：过车可播报欢迎光临、车牌号码、收费金额等信息；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 手动锁闸功能：停电时可以手动控制离合转柄，使道闸保持升杆状态；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 摄像机类型：200万像素彩色逐行扫描CMOS高清智能摄像机；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 传感器类型：1/1.8"逐行扫描CMOS；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 分辨率：1920*1080；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 识别车牌种类：民用车牌(除5小车辆)，警用车牌，2012式新军用车牌，2012式武警车牌及2002式新车牌；</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 三码流输出：可同时输出主码流、子码流及第三路码流三种不同分辨率的视频图像；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 ▲SD卡存储功能：当网络断开时，可将抓拍图片相机内置SD卡内，支持自动识别自动格式化，并支持图片检索，自动覆盖，当网络恢复时，可继续上传图片；（提供权威部门出具的检测报告证明）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 车辆捕获率：≥99.9%；（提供权威部门出具的检测报告证明）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 ▲车牌识别率：白天≥99.5%，夜间≥99%；（提供权威部门出具的检测报告证明）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20 倾斜车牌识别：可识别出略微倾斜的机动车车牌号码；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 ▲抓拍方式：支持IO触发、485触发、视频触发；（提供权威部门出具的检测报告证明）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22 接口：1个RJ4510M/100M/1000M自适应以太网口，5个RS-485接口，1个RS-232接口，7路IO输入接口，7对IO输出接口，1个SYNC，7对IO输入/输出接口，2个mini-USB接口，1个SD卡插槽，1个BNC输出接口；（提供国家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23 识别黑白名单控制功能：可根据存储的黑白名单自动控制外接道闸开/关；（提供国家权威部门出具的检测报告证明）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24 温度范围：-25±3℃~70±2℃；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25 外壳防护等级：IP54；</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26 投标产品必须完全兼容学校原有安防系统，实现无缝对接。</w:t>
            </w:r>
          </w:p>
        </w:tc>
        <w:tc>
          <w:tcPr>
            <w:tcW w:w="9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04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Layout w:type="fixed"/>
          <w:tblCellMar>
            <w:top w:w="0" w:type="dxa"/>
            <w:left w:w="0" w:type="dxa"/>
            <w:bottom w:w="0" w:type="dxa"/>
            <w:right w:w="0" w:type="dxa"/>
          </w:tblCellMar>
        </w:tblPrEx>
        <w:trPr>
          <w:trHeight w:val="801"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车检器</w:t>
            </w:r>
          </w:p>
        </w:tc>
        <w:tc>
          <w:tcPr>
            <w:tcW w:w="55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1 ▲具有485接口、2路继电器开关量输出接口；（提供权威部门出具的检测报告证明）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支持接入2路线圈；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线圈工作频率：28KHz～120KHz；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▲支持灵敏度可调：有4级可设（高、中高、中低、低）；（提供权威部门出具的检测报告证明）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最快响应时间：3.5ms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线圈故障自恢复：在线圈故障排除后，检测器能够自行恢复到检测状态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线圈故障恢复时间：≤100ms；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 线圈故障检测时间：＜10ms；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输出IO方式：继电器开关量输出；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 工作电压：AC220V；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 工作环境温度：-40℃～80℃；工作环境湿度：＜93%，无冷凝；</w:t>
            </w:r>
          </w:p>
        </w:tc>
        <w:tc>
          <w:tcPr>
            <w:tcW w:w="9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04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r>
      <w:tr>
        <w:tblPrEx>
          <w:tblLayout w:type="fixed"/>
          <w:tblCellMar>
            <w:top w:w="0" w:type="dxa"/>
            <w:left w:w="0" w:type="dxa"/>
            <w:bottom w:w="0" w:type="dxa"/>
            <w:right w:w="0" w:type="dxa"/>
          </w:tblCellMar>
        </w:tblPrEx>
        <w:trPr>
          <w:trHeight w:val="300" w:hRule="atLeast"/>
        </w:trPr>
        <w:tc>
          <w:tcPr>
            <w:tcW w:w="9795" w:type="dxa"/>
            <w:gridSpan w:val="5"/>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三、管理终端设备</w:t>
            </w:r>
          </w:p>
        </w:tc>
      </w:tr>
      <w:tr>
        <w:tblPrEx>
          <w:tblLayout w:type="fixed"/>
          <w:tblCellMar>
            <w:top w:w="0" w:type="dxa"/>
            <w:left w:w="0" w:type="dxa"/>
            <w:bottom w:w="0" w:type="dxa"/>
            <w:right w:w="0" w:type="dxa"/>
          </w:tblCellMar>
        </w:tblPrEx>
        <w:trPr>
          <w:trHeight w:val="801"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出入口控制终端</w:t>
            </w:r>
          </w:p>
        </w:tc>
        <w:tc>
          <w:tcPr>
            <w:tcW w:w="5565"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 xml:space="preserve">1 处理器：Intel Bay Trail平台处理器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内存：4GB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硬盘存储：1个2.5寸监控级1T硬盘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指示灯：电源指示灯/运行指示灯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显示器分辨率：1920×1080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电源：DC12V/5A适配器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机械特性：尺寸：525mm（宽）×170mm（深）×377mm（高） 黑色铝型材外壳、无风扇热设计，保证机器稳定运行。</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 功耗：峰值60W，平均35W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 工作环境：工作温度0℃～40℃、工作湿度10%～95%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 功能特性：无风扇设计，集成交换机、485接口、报警4进4出、麦克风输入、视频HDMI接口，1T硬盘，22寸1080p显示屏，配置键鼠套件，正版32位Windows系统</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04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Layout w:type="fixed"/>
          <w:tblCellMar>
            <w:top w:w="0" w:type="dxa"/>
            <w:left w:w="0" w:type="dxa"/>
            <w:bottom w:w="0" w:type="dxa"/>
            <w:right w:w="0" w:type="dxa"/>
          </w:tblCellMar>
        </w:tblPrEx>
        <w:trPr>
          <w:trHeight w:val="381" w:hRule="atLeast"/>
        </w:trPr>
        <w:tc>
          <w:tcPr>
            <w:tcW w:w="96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2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单兵</w:t>
            </w:r>
          </w:p>
        </w:tc>
        <w:tc>
          <w:tcPr>
            <w:tcW w:w="55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1 音频输入：支持2路内置MIC输入，1路3.5mm耳机接口；音频输出：扬声器，1路3.5mm耳机接口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分辨率1280*720、4.7英寸LCD显示屏，具备手套触摸设置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具备本地录音、本地回放视音频文件功能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支持图像抓拍，后置摄像头最大抓拍分辨率4160*3120，前置摄像头最大抓拍分辨率3264*2488</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插入SIM卡后，能够进行通话和短信收发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前置和后置摄像头录像分辨率支持1920*1080,1280*720和648*480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具备本地车牌识别，并能够将识别的车牌号码及截图上传，支持新能源车牌识别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 ▲具备人脸识别功能，支持检出瞳距20像素点以上的人脸（提供权威部门出具的检测报告证明）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 支持检出多种肤色的人脸</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 ▲检出齐刘海遮挡眉毛、戴普通眼镜、戴墨镜、戴彩色眼镜、戴帽子、戴头戴式耳机等遮挡方式的人脸（提供权威部门出具的检测报告证明）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11 支持密码、指纹、人脸识别方式登录系统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12▲支持身份证、行驶证、护照、驾照、银行卡识别（提供权威部门出具的检测报告证明）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 支持1080P无线相机接入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 电池容量5200mAH，采用可拆卸式电池设计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 设备内置加速度传感器，数字罗盘，陀螺仪传感器，光线传感器，距离传感器，温度传感器，气压传感器，以及深度学习算法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 设备支持IP68防水防尘等级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17 支持模拟对讲功能，同时支持VHF、UHF频段 </w:t>
            </w:r>
          </w:p>
        </w:tc>
        <w:tc>
          <w:tcPr>
            <w:tcW w:w="9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04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Layout w:type="fixed"/>
          <w:tblCellMar>
            <w:top w:w="0" w:type="dxa"/>
            <w:left w:w="0" w:type="dxa"/>
            <w:bottom w:w="0" w:type="dxa"/>
            <w:right w:w="0" w:type="dxa"/>
          </w:tblCellMar>
        </w:tblPrEx>
        <w:trPr>
          <w:trHeight w:val="270" w:hRule="atLeast"/>
        </w:trPr>
        <w:tc>
          <w:tcPr>
            <w:tcW w:w="96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2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座充配件</w:t>
            </w:r>
          </w:p>
        </w:tc>
        <w:tc>
          <w:tcPr>
            <w:tcW w:w="55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可以同时给一台单兵5和一块单兵5电池充电</w:t>
            </w:r>
          </w:p>
        </w:tc>
        <w:tc>
          <w:tcPr>
            <w:tcW w:w="9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04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Layout w:type="fixed"/>
          <w:tblCellMar>
            <w:top w:w="0" w:type="dxa"/>
            <w:left w:w="0" w:type="dxa"/>
            <w:bottom w:w="0" w:type="dxa"/>
            <w:right w:w="0" w:type="dxa"/>
          </w:tblCellMar>
        </w:tblPrEx>
        <w:trPr>
          <w:trHeight w:val="1641"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管理显示器</w:t>
            </w:r>
          </w:p>
        </w:tc>
        <w:tc>
          <w:tcPr>
            <w:tcW w:w="556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屏幕尺寸：19英寸；最佳分辨率：1440x900；屏幕比例：16:10（宽屏）；面板类型：TN；背光类型：LED背光；动态对比度：100万：1；黑白响应时间：5ms；亮度：250cd/㎡；可视角度：170/160°；显示颜色：16.7M；视频接口：D-Sub（VGA）；电源性能：100-240V，50-60Hz；电源功率：典型:20W；待机：0.3W；</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0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Layout w:type="fixed"/>
          <w:tblCellMar>
            <w:top w:w="0" w:type="dxa"/>
            <w:left w:w="0" w:type="dxa"/>
            <w:bottom w:w="0" w:type="dxa"/>
            <w:right w:w="0" w:type="dxa"/>
          </w:tblCellMar>
        </w:tblPrEx>
        <w:trPr>
          <w:trHeight w:val="480"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键鼠</w:t>
            </w:r>
          </w:p>
        </w:tc>
        <w:tc>
          <w:tcPr>
            <w:tcW w:w="556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标准键盘鼠标套装；</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0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1140"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应急电源</w:t>
            </w:r>
          </w:p>
        </w:tc>
        <w:tc>
          <w:tcPr>
            <w:tcW w:w="556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设备类型：在线式UPS；额定容量：1（KVA）或以上；输出电压范围：220（V）；输入电压范围：180（V）；备用时间：不少于2小时；转换时间：0.1（ms）；</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0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Layout w:type="fixed"/>
          <w:tblCellMar>
            <w:top w:w="0" w:type="dxa"/>
            <w:left w:w="0" w:type="dxa"/>
            <w:bottom w:w="0" w:type="dxa"/>
            <w:right w:w="0" w:type="dxa"/>
          </w:tblCellMar>
        </w:tblPrEx>
        <w:trPr>
          <w:trHeight w:val="480" w:hRule="atLeast"/>
        </w:trPr>
        <w:tc>
          <w:tcPr>
            <w:tcW w:w="96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2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网管型交换机</w:t>
            </w:r>
          </w:p>
        </w:tc>
        <w:tc>
          <w:tcPr>
            <w:tcW w:w="55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全千兆三层网络交换机，24电口以上，4光口以上，POE供电，必须完全兼容原有网管系统，实现无缝对接。</w:t>
            </w:r>
          </w:p>
        </w:tc>
        <w:tc>
          <w:tcPr>
            <w:tcW w:w="9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04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Layout w:type="fixed"/>
          <w:tblCellMar>
            <w:top w:w="0" w:type="dxa"/>
            <w:left w:w="0" w:type="dxa"/>
            <w:bottom w:w="0" w:type="dxa"/>
            <w:right w:w="0" w:type="dxa"/>
          </w:tblCellMar>
        </w:tblPrEx>
        <w:trPr>
          <w:trHeight w:val="270"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光模块</w:t>
            </w:r>
          </w:p>
        </w:tc>
        <w:tc>
          <w:tcPr>
            <w:tcW w:w="556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配套</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0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r>
      <w:tr>
        <w:tblPrEx>
          <w:tblLayout w:type="fixed"/>
          <w:tblCellMar>
            <w:top w:w="0" w:type="dxa"/>
            <w:left w:w="0" w:type="dxa"/>
            <w:bottom w:w="0" w:type="dxa"/>
            <w:right w:w="0" w:type="dxa"/>
          </w:tblCellMar>
        </w:tblPrEx>
        <w:trPr>
          <w:trHeight w:val="300" w:hRule="atLeast"/>
        </w:trPr>
        <w:tc>
          <w:tcPr>
            <w:tcW w:w="9795" w:type="dxa"/>
            <w:gridSpan w:val="5"/>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四、管理中心设备</w:t>
            </w:r>
          </w:p>
        </w:tc>
      </w:tr>
      <w:tr>
        <w:tblPrEx>
          <w:tblLayout w:type="fixed"/>
          <w:tblCellMar>
            <w:top w:w="0" w:type="dxa"/>
            <w:left w:w="0" w:type="dxa"/>
            <w:bottom w:w="0" w:type="dxa"/>
            <w:right w:w="0" w:type="dxa"/>
          </w:tblCellMar>
        </w:tblPrEx>
        <w:trPr>
          <w:trHeight w:val="801"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出入口管理单元</w:t>
            </w:r>
          </w:p>
        </w:tc>
        <w:tc>
          <w:tcPr>
            <w:tcW w:w="556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1 ▲要求支持纯车牌，车主卡辅，纯卡片，卡主车辅四种识别模式；支持新能源车牌识别（提供权威部门出具的检测报告证明）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要求支持潮汐车道、摩托车车道、混行车道等多种车道模式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要求支持自动放行、手动放行、车卡一致和单进单出等多种放行模式；支持车位满时固定车辆、临时车辆自动放行；支持收费为0自动放行</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要求支持车辆群组管理，车辆群组收费规则和放行规则配置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要求支持一户多车功能；支持客户端、LED屏、语音提示“一户多车”：支持一户多车车主查询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▲要求支持在访客平台中登记过的访客车辆进入停车场时自动放行（提供权威部门出具的检测报告证明）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要求支持黑名单车辆管控，黑名单车辆进出报警提醒</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 要求支持岗亭缴费客户端手动控制道闸，可自定义快捷键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 ▲要求支持通过人工缴费客户端、自助寻车缴费客户端、手持缴费终端提前缴费；支持模糊查询、按时间查询和无牌车查询；手持缴费终端支持直接扫描车牌；支持通过现金、微信、支付宝三种方式缴费；支持缴费小票打印（提供权威部门出具的检测报告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 持输入车牌号或扫一扫查询车辆信息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 支持对场内异常车辆的记录进行清理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 投标产品必须完全兼容学校原有安防系统，实现无缝对接，提供无缝对接证明。</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465"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信息化中心数据对接</w:t>
            </w:r>
          </w:p>
        </w:tc>
        <w:tc>
          <w:tcPr>
            <w:tcW w:w="5565"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根据甲方需求和信息中心就单兵系统与道闸系统车辆信息及数据中心进行对接，实现数据实时同步。</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861"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协同办公管理模块</w:t>
            </w:r>
          </w:p>
        </w:tc>
        <w:tc>
          <w:tcPr>
            <w:tcW w:w="556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1实现停车监控系统与办事大厅协同办公系统的无缝对接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w:t>
            </w:r>
            <w:r>
              <w:rPr>
                <w:rFonts w:hint="eastAsia" w:ascii="宋体" w:hAnsi="宋体" w:cs="宋体"/>
                <w:sz w:val="20"/>
                <w:szCs w:val="20"/>
              </w:rPr>
              <w:t>★</w:t>
            </w:r>
            <w:r>
              <w:rPr>
                <w:rFonts w:hint="eastAsia" w:ascii="宋体" w:hAnsi="宋体" w:cs="宋体"/>
                <w:color w:val="000000"/>
                <w:kern w:val="0"/>
                <w:sz w:val="20"/>
                <w:szCs w:val="20"/>
                <w:lang w:bidi="ar"/>
              </w:rPr>
              <w:t>需要提供办事大厅协同软件系统原厂对接证明原件，否则无效标处理。</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Layout w:type="fixed"/>
          <w:tblCellMar>
            <w:top w:w="0" w:type="dxa"/>
            <w:left w:w="0" w:type="dxa"/>
            <w:bottom w:w="0" w:type="dxa"/>
            <w:right w:w="0" w:type="dxa"/>
          </w:tblCellMar>
        </w:tblPrEx>
        <w:trPr>
          <w:trHeight w:val="480"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平台服务单元</w:t>
            </w:r>
          </w:p>
        </w:tc>
        <w:tc>
          <w:tcPr>
            <w:tcW w:w="556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不低于4114(10核2.2GHz)×1/32G DDR4/1TB 7.2K  SATA×2/SAS_HBA/1GbE×2/550W(1+1)/2U/16DIMM</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420"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硬盘</w:t>
            </w:r>
          </w:p>
        </w:tc>
        <w:tc>
          <w:tcPr>
            <w:tcW w:w="556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8TB IntelliPower 64M SATA3</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0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r>
      <w:tr>
        <w:tblPrEx>
          <w:tblLayout w:type="fixed"/>
          <w:tblCellMar>
            <w:top w:w="0" w:type="dxa"/>
            <w:left w:w="0" w:type="dxa"/>
            <w:bottom w:w="0" w:type="dxa"/>
            <w:right w:w="0" w:type="dxa"/>
          </w:tblCellMar>
        </w:tblPrEx>
        <w:trPr>
          <w:trHeight w:val="1101"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服务器显示器</w:t>
            </w:r>
          </w:p>
        </w:tc>
        <w:tc>
          <w:tcPr>
            <w:tcW w:w="556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屏幕尺寸：24英寸；最佳分辨率：1920*1080；屏幕比例：16:9（宽屏）；面板类型：TN；背光类型：LED背光；动态对比度：100万：1；黑白响应时间：5ms；亮度：250cd/㎡；可视角度：170/160°；显示颜色：16.7M；视频接口：D-Sub（VGA）；电源性能：100-240V，50-60Hz；电源功率：典型:20W；待机：0.3W；</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Layout w:type="fixed"/>
          <w:tblCellMar>
            <w:top w:w="0" w:type="dxa"/>
            <w:left w:w="0" w:type="dxa"/>
            <w:bottom w:w="0" w:type="dxa"/>
            <w:right w:w="0" w:type="dxa"/>
          </w:tblCellMar>
        </w:tblPrEx>
        <w:trPr>
          <w:trHeight w:val="270"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键鼠</w:t>
            </w:r>
          </w:p>
        </w:tc>
        <w:tc>
          <w:tcPr>
            <w:tcW w:w="556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标准键盘鼠标套装；</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0" w:type="dxa"/>
            <w:left w:w="0" w:type="dxa"/>
            <w:bottom w:w="0" w:type="dxa"/>
            <w:right w:w="0" w:type="dxa"/>
          </w:tblCellMar>
        </w:tblPrEx>
        <w:trPr>
          <w:trHeight w:val="270"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定制机柜</w:t>
            </w:r>
          </w:p>
        </w:tc>
        <w:tc>
          <w:tcPr>
            <w:tcW w:w="556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金属网板前后门，2000mm×600mm×800mm，黑色</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0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Layout w:type="fixed"/>
          <w:tblCellMar>
            <w:top w:w="0" w:type="dxa"/>
            <w:left w:w="0" w:type="dxa"/>
            <w:bottom w:w="0" w:type="dxa"/>
            <w:right w:w="0" w:type="dxa"/>
          </w:tblCellMar>
        </w:tblPrEx>
        <w:trPr>
          <w:trHeight w:val="300" w:hRule="atLeast"/>
        </w:trPr>
        <w:tc>
          <w:tcPr>
            <w:tcW w:w="9795" w:type="dxa"/>
            <w:gridSpan w:val="5"/>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五、基础部分</w:t>
            </w:r>
          </w:p>
        </w:tc>
      </w:tr>
      <w:tr>
        <w:tblPrEx>
          <w:tblLayout w:type="fixed"/>
          <w:tblCellMar>
            <w:top w:w="0" w:type="dxa"/>
            <w:left w:w="0" w:type="dxa"/>
            <w:bottom w:w="0" w:type="dxa"/>
            <w:right w:w="0" w:type="dxa"/>
          </w:tblCellMar>
        </w:tblPrEx>
        <w:trPr>
          <w:trHeight w:val="900" w:hRule="atLeast"/>
        </w:trPr>
        <w:tc>
          <w:tcPr>
            <w:tcW w:w="96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2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岗亭</w:t>
            </w:r>
          </w:p>
        </w:tc>
        <w:tc>
          <w:tcPr>
            <w:tcW w:w="55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ascii="宋体" w:hAnsi="宋体" w:cs="宋体"/>
                <w:color w:val="000000"/>
                <w:sz w:val="20"/>
                <w:szCs w:val="20"/>
              </w:rPr>
            </w:pPr>
            <w:r>
              <w:rPr>
                <w:rFonts w:hint="eastAsia" w:ascii="宋体" w:hAnsi="宋体" w:cs="宋体"/>
                <w:color w:val="000000"/>
                <w:sz w:val="20"/>
                <w:szCs w:val="20"/>
              </w:rPr>
              <w:t>定制</w:t>
            </w:r>
          </w:p>
        </w:tc>
        <w:tc>
          <w:tcPr>
            <w:tcW w:w="9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04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r>
      <w:tr>
        <w:tblPrEx>
          <w:tblLayout w:type="fixed"/>
          <w:tblCellMar>
            <w:top w:w="0" w:type="dxa"/>
            <w:left w:w="0" w:type="dxa"/>
            <w:bottom w:w="0" w:type="dxa"/>
            <w:right w:w="0" w:type="dxa"/>
          </w:tblCellMar>
        </w:tblPrEx>
        <w:trPr>
          <w:trHeight w:val="1101" w:hRule="atLeast"/>
        </w:trPr>
        <w:tc>
          <w:tcPr>
            <w:tcW w:w="96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2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空调</w:t>
            </w:r>
          </w:p>
        </w:tc>
        <w:tc>
          <w:tcPr>
            <w:tcW w:w="55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ascii="宋体" w:hAnsi="宋体" w:cs="宋体"/>
                <w:color w:val="000000"/>
                <w:sz w:val="20"/>
                <w:szCs w:val="20"/>
              </w:rPr>
            </w:pPr>
            <w:r>
              <w:rPr>
                <w:rFonts w:hint="eastAsia" w:ascii="宋体" w:hAnsi="宋体" w:cs="宋体"/>
                <w:color w:val="000000"/>
                <w:sz w:val="20"/>
                <w:szCs w:val="20"/>
              </w:rPr>
              <w:t>定制</w:t>
            </w:r>
          </w:p>
        </w:tc>
        <w:tc>
          <w:tcPr>
            <w:tcW w:w="9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04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Layout w:type="fixed"/>
          <w:tblCellMar>
            <w:top w:w="0" w:type="dxa"/>
            <w:left w:w="0" w:type="dxa"/>
            <w:bottom w:w="0" w:type="dxa"/>
            <w:right w:w="0" w:type="dxa"/>
          </w:tblCellMar>
        </w:tblPrEx>
        <w:trPr>
          <w:trHeight w:val="480"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屏蔽网线</w:t>
            </w:r>
          </w:p>
        </w:tc>
        <w:tc>
          <w:tcPr>
            <w:tcW w:w="5565"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CAT6e无氧铜导体，绝缘0.9mm，承揽直径4.0mm，导流线，铝箔屏蔽，护套外径5.3mm.</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w:t>
            </w:r>
          </w:p>
        </w:tc>
        <w:tc>
          <w:tcPr>
            <w:tcW w:w="10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r>
      <w:tr>
        <w:tblPrEx>
          <w:tblLayout w:type="fixed"/>
          <w:tblCellMar>
            <w:top w:w="0" w:type="dxa"/>
            <w:left w:w="0" w:type="dxa"/>
            <w:bottom w:w="0" w:type="dxa"/>
            <w:right w:w="0" w:type="dxa"/>
          </w:tblCellMar>
        </w:tblPrEx>
        <w:trPr>
          <w:trHeight w:val="480"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电源线</w:t>
            </w:r>
          </w:p>
        </w:tc>
        <w:tc>
          <w:tcPr>
            <w:tcW w:w="5565"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聚氯乙烯护套；聚氯乙烯绝缘；导体为多芯退火裸铜绞合；线芯材质：裸铜线；芯数：3芯；标称截面：1.0mm²．</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w:t>
            </w:r>
          </w:p>
        </w:tc>
        <w:tc>
          <w:tcPr>
            <w:tcW w:w="10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r>
      <w:tr>
        <w:tblPrEx>
          <w:tblLayout w:type="fixed"/>
          <w:tblCellMar>
            <w:top w:w="0" w:type="dxa"/>
            <w:left w:w="0" w:type="dxa"/>
            <w:bottom w:w="0" w:type="dxa"/>
            <w:right w:w="0" w:type="dxa"/>
          </w:tblCellMar>
        </w:tblPrEx>
        <w:trPr>
          <w:trHeight w:val="480"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屏蔽双绞线</w:t>
            </w:r>
          </w:p>
        </w:tc>
        <w:tc>
          <w:tcPr>
            <w:tcW w:w="5565"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聚氯乙烯护套；线芯材质：裸铜线；芯数：2芯；标称截面：0.75mm²</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w:t>
            </w:r>
          </w:p>
        </w:tc>
        <w:tc>
          <w:tcPr>
            <w:tcW w:w="10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r>
      <w:tr>
        <w:tblPrEx>
          <w:tblLayout w:type="fixed"/>
          <w:tblCellMar>
            <w:top w:w="0" w:type="dxa"/>
            <w:left w:w="0" w:type="dxa"/>
            <w:bottom w:w="0" w:type="dxa"/>
            <w:right w:w="0" w:type="dxa"/>
          </w:tblCellMar>
        </w:tblPrEx>
        <w:trPr>
          <w:trHeight w:val="480"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控制线</w:t>
            </w:r>
          </w:p>
        </w:tc>
        <w:tc>
          <w:tcPr>
            <w:tcW w:w="5565"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聚氯乙烯护套；线芯材质：裸铜线；芯数：8芯；标称截面：0.5mm²</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w:t>
            </w:r>
          </w:p>
        </w:tc>
        <w:tc>
          <w:tcPr>
            <w:tcW w:w="10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r>
      <w:tr>
        <w:tblPrEx>
          <w:tblLayout w:type="fixed"/>
          <w:tblCellMar>
            <w:top w:w="0" w:type="dxa"/>
            <w:left w:w="0" w:type="dxa"/>
            <w:bottom w:w="0" w:type="dxa"/>
            <w:right w:w="0" w:type="dxa"/>
          </w:tblCellMar>
        </w:tblPrEx>
        <w:trPr>
          <w:trHeight w:val="480"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线圈线</w:t>
            </w:r>
          </w:p>
        </w:tc>
        <w:tc>
          <w:tcPr>
            <w:tcW w:w="5565"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具有耐磨、防水、耐寒、耐油耐汽油混合物、不易燃烧，不易老化，环保；护套厚度：1 mm；芯数：1 ；线芯材质：镀锡丝</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600</w:t>
            </w:r>
          </w:p>
        </w:tc>
        <w:tc>
          <w:tcPr>
            <w:tcW w:w="10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r>
      <w:tr>
        <w:tblPrEx>
          <w:tblLayout w:type="fixed"/>
          <w:tblCellMar>
            <w:top w:w="0" w:type="dxa"/>
            <w:left w:w="0" w:type="dxa"/>
            <w:bottom w:w="0" w:type="dxa"/>
            <w:right w:w="0" w:type="dxa"/>
          </w:tblCellMar>
        </w:tblPrEx>
        <w:trPr>
          <w:trHeight w:val="480"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电源线</w:t>
            </w:r>
          </w:p>
        </w:tc>
        <w:tc>
          <w:tcPr>
            <w:tcW w:w="5565"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聚氯乙烯护套；线芯材质：裸铜线；芯数：3芯；标称截面：1.5mm²</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w:t>
            </w:r>
          </w:p>
        </w:tc>
        <w:tc>
          <w:tcPr>
            <w:tcW w:w="10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r>
      <w:tr>
        <w:tblPrEx>
          <w:tblLayout w:type="fixed"/>
          <w:tblCellMar>
            <w:top w:w="0" w:type="dxa"/>
            <w:left w:w="0" w:type="dxa"/>
            <w:bottom w:w="0" w:type="dxa"/>
            <w:right w:w="0" w:type="dxa"/>
          </w:tblCellMar>
        </w:tblPrEx>
        <w:trPr>
          <w:trHeight w:val="270"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tabs>
                <w:tab w:val="center" w:pos="622"/>
              </w:tabs>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光纤</w:t>
            </w:r>
          </w:p>
        </w:tc>
        <w:tc>
          <w:tcPr>
            <w:tcW w:w="556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室外8芯</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600</w:t>
            </w:r>
          </w:p>
        </w:tc>
        <w:tc>
          <w:tcPr>
            <w:tcW w:w="10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r>
      <w:tr>
        <w:tblPrEx>
          <w:tblLayout w:type="fixed"/>
          <w:tblCellMar>
            <w:top w:w="0" w:type="dxa"/>
            <w:left w:w="0" w:type="dxa"/>
            <w:bottom w:w="0" w:type="dxa"/>
            <w:right w:w="0" w:type="dxa"/>
          </w:tblCellMar>
        </w:tblPrEx>
        <w:trPr>
          <w:trHeight w:val="270"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镀锌钢管</w:t>
            </w:r>
          </w:p>
        </w:tc>
        <w:tc>
          <w:tcPr>
            <w:tcW w:w="556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过路汇聚需配25镀锌钢管</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w:t>
            </w:r>
          </w:p>
        </w:tc>
        <w:tc>
          <w:tcPr>
            <w:tcW w:w="10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r>
      <w:tr>
        <w:tblPrEx>
          <w:tblLayout w:type="fixed"/>
          <w:tblCellMar>
            <w:top w:w="0" w:type="dxa"/>
            <w:left w:w="0" w:type="dxa"/>
            <w:bottom w:w="0" w:type="dxa"/>
            <w:right w:w="0" w:type="dxa"/>
          </w:tblCellMar>
        </w:tblPrEx>
        <w:trPr>
          <w:trHeight w:val="270"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tabs>
                <w:tab w:val="left" w:pos="285"/>
              </w:tabs>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配管</w:t>
            </w:r>
          </w:p>
        </w:tc>
        <w:tc>
          <w:tcPr>
            <w:tcW w:w="556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砖、混凝土结构明配刚性阻燃管  PVC25</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260</w:t>
            </w:r>
          </w:p>
        </w:tc>
        <w:tc>
          <w:tcPr>
            <w:tcW w:w="10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r>
      <w:tr>
        <w:tblPrEx>
          <w:tblLayout w:type="fixed"/>
          <w:tblCellMar>
            <w:top w:w="0" w:type="dxa"/>
            <w:left w:w="0" w:type="dxa"/>
            <w:bottom w:w="0" w:type="dxa"/>
            <w:right w:w="0" w:type="dxa"/>
          </w:tblCellMar>
        </w:tblPrEx>
        <w:trPr>
          <w:trHeight w:val="270"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tabs>
                <w:tab w:val="left" w:pos="285"/>
              </w:tabs>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接线板</w:t>
            </w:r>
          </w:p>
        </w:tc>
        <w:tc>
          <w:tcPr>
            <w:tcW w:w="556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8口</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0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r>
      <w:tr>
        <w:tblPrEx>
          <w:tblLayout w:type="fixed"/>
          <w:tblCellMar>
            <w:top w:w="0" w:type="dxa"/>
            <w:left w:w="0" w:type="dxa"/>
            <w:bottom w:w="0" w:type="dxa"/>
            <w:right w:w="0" w:type="dxa"/>
          </w:tblCellMar>
        </w:tblPrEx>
        <w:trPr>
          <w:trHeight w:val="270"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安全岛</w:t>
            </w:r>
          </w:p>
        </w:tc>
        <w:tc>
          <w:tcPr>
            <w:tcW w:w="55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混泥土浇筑</w:t>
            </w:r>
          </w:p>
        </w:tc>
        <w:tc>
          <w:tcPr>
            <w:tcW w:w="9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04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座</w:t>
            </w:r>
          </w:p>
        </w:tc>
      </w:tr>
      <w:tr>
        <w:tblPrEx>
          <w:tblLayout w:type="fixed"/>
          <w:tblCellMar>
            <w:top w:w="0" w:type="dxa"/>
            <w:left w:w="0" w:type="dxa"/>
            <w:bottom w:w="0" w:type="dxa"/>
            <w:right w:w="0" w:type="dxa"/>
          </w:tblCellMar>
        </w:tblPrEx>
        <w:trPr>
          <w:trHeight w:val="270"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减速带</w:t>
            </w:r>
          </w:p>
        </w:tc>
        <w:tc>
          <w:tcPr>
            <w:tcW w:w="55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widowControl/>
              <w:tabs>
                <w:tab w:val="left" w:pos="315"/>
              </w:tabs>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L03</w:t>
            </w:r>
          </w:p>
        </w:tc>
        <w:tc>
          <w:tcPr>
            <w:tcW w:w="9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04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条</w:t>
            </w:r>
          </w:p>
        </w:tc>
      </w:tr>
      <w:tr>
        <w:tblPrEx>
          <w:tblLayout w:type="fixed"/>
          <w:tblCellMar>
            <w:top w:w="0" w:type="dxa"/>
            <w:left w:w="0" w:type="dxa"/>
            <w:bottom w:w="0" w:type="dxa"/>
            <w:right w:w="0" w:type="dxa"/>
          </w:tblCellMar>
        </w:tblPrEx>
        <w:trPr>
          <w:trHeight w:val="720"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防撞护栏</w:t>
            </w:r>
          </w:p>
        </w:tc>
        <w:tc>
          <w:tcPr>
            <w:tcW w:w="55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蓝白相间，色彩鲜明，加反光膜警示标志；采用高强度镀锌钢制作而成，耐热、耐寒、耐冲击、坚固耐用不易老化；中空设计；尺寸：长3080mm，立柱600mm，横杆高300mm</w:t>
            </w:r>
          </w:p>
        </w:tc>
        <w:tc>
          <w:tcPr>
            <w:tcW w:w="9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w:t>
            </w:r>
          </w:p>
        </w:tc>
        <w:tc>
          <w:tcPr>
            <w:tcW w:w="104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r>
      <w:tr>
        <w:tblPrEx>
          <w:tblLayout w:type="fixed"/>
          <w:tblCellMar>
            <w:top w:w="0" w:type="dxa"/>
            <w:left w:w="0" w:type="dxa"/>
            <w:bottom w:w="0" w:type="dxa"/>
            <w:right w:w="0" w:type="dxa"/>
          </w:tblCellMar>
        </w:tblPrEx>
        <w:trPr>
          <w:trHeight w:val="270"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交通道路标示标牌</w:t>
            </w:r>
          </w:p>
        </w:tc>
        <w:tc>
          <w:tcPr>
            <w:tcW w:w="55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ascii="宋体" w:hAnsi="宋体" w:cs="宋体"/>
                <w:color w:val="000000"/>
                <w:sz w:val="20"/>
                <w:szCs w:val="20"/>
              </w:rPr>
            </w:pPr>
          </w:p>
        </w:tc>
        <w:tc>
          <w:tcPr>
            <w:tcW w:w="9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4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批</w:t>
            </w:r>
          </w:p>
        </w:tc>
      </w:tr>
      <w:tr>
        <w:tblPrEx>
          <w:tblLayout w:type="fixed"/>
          <w:tblCellMar>
            <w:top w:w="0" w:type="dxa"/>
            <w:left w:w="0" w:type="dxa"/>
            <w:bottom w:w="0" w:type="dxa"/>
            <w:right w:w="0" w:type="dxa"/>
          </w:tblCellMar>
        </w:tblPrEx>
        <w:trPr>
          <w:trHeight w:val="270" w:hRule="atLeast"/>
        </w:trPr>
        <w:tc>
          <w:tcPr>
            <w:tcW w:w="96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安装配件</w:t>
            </w:r>
          </w:p>
        </w:tc>
        <w:tc>
          <w:tcPr>
            <w:tcW w:w="5565"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top"/>
          </w:tcPr>
          <w:p>
            <w:pPr>
              <w:widowControl/>
              <w:ind w:firstLine="0" w:firstLineChars="0"/>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其他施工所需的辅助材料</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4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bl>
    <w:p>
      <w:pPr>
        <w:ind w:firstLine="0" w:firstLineChars="0"/>
      </w:pPr>
    </w:p>
    <w:p>
      <w:pPr>
        <w:pStyle w:val="3"/>
      </w:pPr>
      <w:r>
        <w:rPr>
          <w:rFonts w:hint="eastAsia"/>
        </w:rPr>
        <w:t>三、供货期及供货地点</w:t>
      </w:r>
    </w:p>
    <w:p>
      <w:pPr>
        <w:ind w:firstLine="480"/>
        <w:rPr>
          <w:rFonts w:ascii="宋体" w:hAnsi="宋体"/>
          <w:sz w:val="24"/>
        </w:rPr>
      </w:pPr>
      <w:r>
        <w:rPr>
          <w:rFonts w:hint="eastAsia" w:ascii="宋体" w:hAnsi="宋体"/>
          <w:sz w:val="24"/>
        </w:rPr>
        <w:t>1.工期要求</w:t>
      </w:r>
      <w:r>
        <w:rPr>
          <w:rFonts w:ascii="宋体" w:hAnsi="宋体"/>
          <w:sz w:val="24"/>
        </w:rPr>
        <w:t>：</w:t>
      </w:r>
      <w:r>
        <w:rPr>
          <w:rFonts w:hint="eastAsia" w:ascii="宋体" w:hAnsi="宋体"/>
          <w:sz w:val="24"/>
        </w:rPr>
        <w:t>工期要求合同签订后1个月内完成硬件施工进入软件调试阶段，2个月内提交用户试用，试用期为7日，试用期过后甲方有义务组织各部门进行项目验收</w:t>
      </w:r>
      <w:r>
        <w:rPr>
          <w:rFonts w:ascii="宋体" w:hAnsi="宋体"/>
          <w:sz w:val="24"/>
        </w:rPr>
        <w:t>。</w:t>
      </w:r>
    </w:p>
    <w:p>
      <w:pPr>
        <w:ind w:firstLine="480"/>
        <w:rPr>
          <w:rFonts w:hint="eastAsia" w:ascii="宋体" w:hAnsi="宋体"/>
          <w:sz w:val="24"/>
        </w:rPr>
      </w:pPr>
      <w:r>
        <w:rPr>
          <w:rFonts w:hint="eastAsia" w:ascii="宋体" w:hAnsi="宋体"/>
          <w:sz w:val="24"/>
        </w:rPr>
        <w:t>2.施工地点为采购</w:t>
      </w:r>
      <w:r>
        <w:rPr>
          <w:rFonts w:ascii="宋体" w:hAnsi="宋体"/>
          <w:sz w:val="24"/>
        </w:rPr>
        <w:t>人指定</w:t>
      </w:r>
      <w:r>
        <w:rPr>
          <w:rFonts w:hint="eastAsia" w:ascii="宋体" w:hAnsi="宋体"/>
          <w:sz w:val="24"/>
        </w:rPr>
        <w:t>地点。</w:t>
      </w:r>
    </w:p>
    <w:p>
      <w:pPr>
        <w:pStyle w:val="3"/>
        <w:rPr>
          <w:rFonts w:hint="eastAsia"/>
        </w:rPr>
      </w:pPr>
      <w:r>
        <w:rPr>
          <w:rFonts w:hint="eastAsia"/>
        </w:rPr>
        <w:t>四、质保期：</w:t>
      </w:r>
    </w:p>
    <w:p>
      <w:pPr>
        <w:pStyle w:val="4"/>
      </w:pPr>
      <w:r>
        <w:rPr>
          <w:rFonts w:hint="eastAsia"/>
        </w:rPr>
        <w:t xml:space="preserve">   </w:t>
      </w:r>
      <w:r>
        <w:rPr>
          <w:rFonts w:hint="eastAsia" w:ascii="宋体" w:hAnsi="宋体" w:eastAsia="宋体" w:cs="宋体"/>
          <w:kern w:val="2"/>
          <w:sz w:val="24"/>
          <w:szCs w:val="32"/>
        </w:rPr>
        <w:t xml:space="preserve"> 3年。</w:t>
      </w:r>
    </w:p>
    <w:p>
      <w:pPr>
        <w:pStyle w:val="3"/>
        <w:rPr>
          <w:rFonts w:hint="eastAsia"/>
        </w:rPr>
      </w:pPr>
      <w:r>
        <w:rPr>
          <w:rFonts w:hint="eastAsia"/>
        </w:rPr>
        <w:t>五、付款方式：</w:t>
      </w:r>
    </w:p>
    <w:p>
      <w:pPr>
        <w:ind w:firstLine="480"/>
        <w:rPr>
          <w:rFonts w:hint="eastAsia" w:ascii="宋体" w:hAnsi="宋体" w:cs="宋体"/>
          <w:sz w:val="24"/>
          <w:szCs w:val="32"/>
          <w:highlight w:val="yellow"/>
        </w:rPr>
      </w:pPr>
      <w:r>
        <w:rPr>
          <w:rFonts w:hint="eastAsia" w:ascii="宋体" w:hAnsi="宋体" w:cs="宋体"/>
          <w:sz w:val="24"/>
          <w:szCs w:val="32"/>
          <w:highlight w:val="yellow"/>
        </w:rPr>
        <w:t>1.到货验收合格之日起15个工作日，甲方向乙方支付合同总额的70%，</w:t>
      </w:r>
    </w:p>
    <w:p>
      <w:pPr>
        <w:ind w:firstLine="480"/>
        <w:rPr>
          <w:rFonts w:hint="eastAsia" w:ascii="宋体" w:hAnsi="宋体" w:cs="宋体"/>
          <w:sz w:val="24"/>
          <w:szCs w:val="32"/>
          <w:highlight w:val="yellow"/>
        </w:rPr>
      </w:pPr>
      <w:r>
        <w:rPr>
          <w:rFonts w:hint="eastAsia" w:ascii="宋体" w:hAnsi="宋体" w:cs="宋体"/>
          <w:sz w:val="24"/>
          <w:szCs w:val="32"/>
          <w:highlight w:val="yellow"/>
        </w:rPr>
        <w:t>即：到货后，甲方对乙方提交的货物，按合同清单内容，主要检查货物原产地、规格、型号、配置是否符合要求。初步验收合格的予以支付70%合同款。</w:t>
      </w:r>
    </w:p>
    <w:p>
      <w:pPr>
        <w:ind w:firstLine="480"/>
        <w:rPr>
          <w:rFonts w:hint="eastAsia" w:ascii="宋体" w:hAnsi="宋体" w:cs="宋体"/>
          <w:sz w:val="24"/>
          <w:szCs w:val="32"/>
          <w:highlight w:val="yellow"/>
        </w:rPr>
      </w:pPr>
      <w:r>
        <w:rPr>
          <w:rFonts w:hint="eastAsia" w:ascii="宋体" w:hAnsi="宋体" w:cs="宋体"/>
          <w:sz w:val="24"/>
          <w:szCs w:val="32"/>
          <w:highlight w:val="yellow"/>
        </w:rPr>
        <w:t>2.根据工期要求，完成安装、调试，通过按合同要求经采购方组织验收合格后7日内支付至合同总价的100%；</w:t>
      </w:r>
    </w:p>
    <w:p>
      <w:pPr>
        <w:pStyle w:val="3"/>
      </w:pPr>
      <w:bookmarkStart w:id="2" w:name="_Toc11083"/>
      <w:bookmarkStart w:id="3" w:name="_Toc2379"/>
      <w:r>
        <w:rPr>
          <w:rFonts w:hint="eastAsia"/>
        </w:rPr>
        <w:t>六、</w:t>
      </w:r>
      <w:bookmarkEnd w:id="2"/>
      <w:r>
        <w:rPr>
          <w:rFonts w:hint="eastAsia"/>
        </w:rPr>
        <w:t>履约保证金</w:t>
      </w:r>
      <w:bookmarkEnd w:id="3"/>
    </w:p>
    <w:p>
      <w:pPr>
        <w:ind w:firstLine="480"/>
        <w:rPr>
          <w:rFonts w:ascii="宋体" w:hAnsi="宋体" w:cs="宋体"/>
          <w:sz w:val="24"/>
          <w:szCs w:val="32"/>
        </w:rPr>
      </w:pPr>
      <w:r>
        <w:rPr>
          <w:rFonts w:hint="eastAsia" w:ascii="宋体" w:hAnsi="宋体" w:cs="宋体"/>
          <w:sz w:val="24"/>
          <w:szCs w:val="32"/>
        </w:rPr>
        <w:t>签订合同前应向采购人交纳合同总额5%的履约保证金。履约保证金在交货验收后自动转为质量保证金。履约保证金缴纳方式：转账、支票本票或保函等非现金方式。</w:t>
      </w:r>
    </w:p>
    <w:p>
      <w:pPr>
        <w:ind w:firstLine="480"/>
        <w:rPr>
          <w:rFonts w:hint="eastAsia" w:ascii="宋体" w:hAnsi="宋体" w:cs="宋体"/>
          <w:sz w:val="24"/>
          <w:szCs w:val="32"/>
        </w:rPr>
      </w:pPr>
      <w:r>
        <w:rPr>
          <w:rFonts w:hint="eastAsia" w:ascii="宋体" w:hAnsi="宋体" w:cs="宋体"/>
          <w:sz w:val="24"/>
          <w:szCs w:val="32"/>
        </w:rPr>
        <w:t>质量保证金自货物交付验收合格后 12个月内无质量问题索赔和售后服务问题，由甲方无息退回乙方。</w:t>
      </w:r>
    </w:p>
    <w:p>
      <w:pPr>
        <w:pStyle w:val="3"/>
        <w:numPr>
          <w:ilvl w:val="0"/>
          <w:numId w:val="2"/>
        </w:numPr>
        <w:rPr>
          <w:rFonts w:hint="eastAsia"/>
        </w:rPr>
      </w:pPr>
      <w:r>
        <w:rPr>
          <w:rFonts w:hint="eastAsia"/>
        </w:rPr>
        <w:t>合同履行</w:t>
      </w:r>
    </w:p>
    <w:p>
      <w:pPr>
        <w:ind w:firstLine="420"/>
        <w:rPr>
          <w:rFonts w:hint="eastAsia"/>
        </w:rPr>
      </w:pPr>
      <w:r>
        <w:rPr>
          <w:rFonts w:hint="eastAsia"/>
        </w:rPr>
        <w:t>必须由投标主体履行合同。</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607446"/>
    <w:multiLevelType w:val="singleLevel"/>
    <w:tmpl w:val="90607446"/>
    <w:lvl w:ilvl="0" w:tentative="0">
      <w:start w:val="2"/>
      <w:numFmt w:val="chineseCounting"/>
      <w:suff w:val="nothing"/>
      <w:lvlText w:val="%1、"/>
      <w:lvlJc w:val="left"/>
      <w:rPr>
        <w:rFonts w:hint="eastAsia"/>
      </w:rPr>
    </w:lvl>
  </w:abstractNum>
  <w:abstractNum w:abstractNumId="1">
    <w:nsid w:val="B04AF638"/>
    <w:multiLevelType w:val="singleLevel"/>
    <w:tmpl w:val="B04AF638"/>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55DA3"/>
    <w:rsid w:val="02F55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ind w:firstLine="0" w:firstLineChars="0"/>
      <w:jc w:val="left"/>
      <w:outlineLvl w:val="1"/>
    </w:pPr>
    <w:rPr>
      <w:rFonts w:ascii="Cambria" w:hAnsi="Cambria"/>
      <w:b/>
      <w:bCs/>
      <w:szCs w:val="32"/>
    </w:rPr>
  </w:style>
  <w:style w:type="paragraph" w:styleId="2">
    <w:name w:val="heading 4"/>
    <w:basedOn w:val="1"/>
    <w:next w:val="1"/>
    <w:qFormat/>
    <w:uiPriority w:val="9"/>
    <w:pPr>
      <w:keepNext/>
      <w:keepLines/>
      <w:outlineLvl w:val="3"/>
    </w:pPr>
    <w:rPr>
      <w:rFonts w:ascii="Cambria" w:hAnsi="Cambria"/>
      <w:b/>
      <w:bCs/>
      <w:szCs w:val="28"/>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Body Text"/>
    <w:basedOn w:val="1"/>
    <w:unhideWhenUsed/>
    <w:uiPriority w:val="0"/>
    <w:pPr>
      <w:adjustRightInd w:val="0"/>
      <w:spacing w:line="315" w:lineRule="atLeast"/>
      <w:ind w:firstLine="0" w:firstLineChars="0"/>
      <w:jc w:val="left"/>
    </w:pPr>
    <w:rPr>
      <w:rFonts w:ascii="仿宋_GB2312" w:eastAsia="仿宋_GB2312"/>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2019-05-28T07:40:00Z</dcterms:created>
  <dc:creator>TZ</dc:creator>
  <cp:lastModifiedBy>TZ</cp:lastModifiedBy>
  <dcterms:modified xsi:type="dcterms:W3CDTF">2019-05-28T07:41:29Z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