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lang w:val="zh-CN"/>
        </w:rPr>
        <w:t>需求说明及技术规格</w:t>
      </w:r>
    </w:p>
    <w:p>
      <w:pPr>
        <w:pStyle w:val="4"/>
        <w:keepLines/>
        <w:numPr>
          <w:ilvl w:val="0"/>
          <w:numId w:val="2"/>
        </w:numPr>
        <w:tabs>
          <w:tab w:val="clear" w:pos="1275"/>
        </w:tabs>
        <w:spacing w:before="120" w:after="120" w:line="240" w:lineRule="auto"/>
        <w:jc w:val="left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项目概况</w:t>
      </w:r>
    </w:p>
    <w:p>
      <w:pPr>
        <w:pStyle w:val="4"/>
        <w:keepLines/>
        <w:numPr>
          <w:ilvl w:val="0"/>
          <w:numId w:val="3"/>
        </w:numPr>
        <w:tabs>
          <w:tab w:val="clear" w:pos="1275"/>
        </w:tabs>
        <w:spacing w:before="120" w:after="120" w:line="240" w:lineRule="auto"/>
        <w:jc w:val="left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项目说明</w:t>
      </w: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所涉及项目均为中国美术学院设计艺术学院艺术周服务。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艺术周包含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学生毕业作品展、百场设计对话、黑白区专题展、精准对接会、服装展演、毕业生晚会等系列活动。艺术周活动地点在西湖区转塘镇艺术公社的14栋3层别墅、1栋连体2层大展厅超过5000㎡的毛坯空间内完成。基于艺术周视觉形象系统需要，供应商需有参与平面设计、视觉传播、品牌建设及相似大型活动设计等方面的丰富经验。</w:t>
      </w:r>
    </w:p>
    <w:p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drawing>
          <wp:inline distT="0" distB="0" distL="114300" distR="114300">
            <wp:extent cx="2962910" cy="14027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szCs w:val="24"/>
          <w:highlight w:val="none"/>
        </w:rPr>
        <w:drawing>
          <wp:inline distT="0" distB="0" distL="114300" distR="114300">
            <wp:extent cx="2244090" cy="1400175"/>
            <wp:effectExtent l="0" t="0" r="381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auto"/>
          <w:sz w:val="24"/>
          <w:szCs w:val="24"/>
          <w:highlight w:val="none"/>
        </w:rPr>
      </w:pPr>
    </w:p>
    <w:p>
      <w:pPr>
        <w:pStyle w:val="4"/>
        <w:numPr>
          <w:ilvl w:val="0"/>
          <w:numId w:val="0"/>
        </w:numPr>
        <w:ind w:left="36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（二）具体要求</w:t>
      </w:r>
    </w:p>
    <w:tbl>
      <w:tblPr>
        <w:tblStyle w:val="5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35"/>
        <w:gridCol w:w="2750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材质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导览手册（用于整体）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1300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宣传卡片（用于整体）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120*150mm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宣传海报（用于整体）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100*70mm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笔记本（用于整体）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130*190mm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工作证件（用于整体）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90*130mm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定制贴纸（用于整体）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纸质、四色+专色印刷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纪念徽章（用于整体）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亚克力/金属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30*30mm/50*50mm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手提袋（用于整体）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TPU/帆布，丝网印刷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380*360mm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文件袋（用于整体）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纸质、四色印刷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210*285mm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矿泉水（用于整体）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矿泉水+定制瓶贴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210*66mm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开幕式背景（用于整体）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8000*4000mm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展览现场导引牌（用于整体）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PVC水牌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1200*900mm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展览现场地贴（用于整体）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1500*1500mm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展览现场导引柱（用于整体）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1200*900mm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展览入口主形象（户外）（用于整体）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8000*3000mm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展览入口主形象（室内）（用于整体）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展览形象挂轴（用于整体）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网格布喷绘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10000*1500mm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社会之声展览背景形象（用于社会之声主题展）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6000*3000mm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展厅内部氛围营造（用于社会之声主题展）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艺术喷绘/写真喷绘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1200*900mm/6000*3000mm/1200*2400mm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论坛现场氛围营造（用于百场设计对话）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艺术喷绘/写真喷绘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1200*900mm/6000*3000mm/1200*2400mm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媒体采访区背景（用于百场设计对话）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嘉宾合影区背景（用于百场设计对话）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休息区背景（用于整体）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氛围营造不干胶（用于整体）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路口路障（用于整体）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展区主要道路指引背景（用于整体）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展区氛围营造装置（用于整体）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PVC/泡沫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道旗（用于整体）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1200*800mm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展区一层空置建筑氛围营造（用于整体）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艺术喷绘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4000*5000mm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作品展签及重点主题板块介绍（用于整体）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写真喷绘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不规则尺寸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木质展墙制作（主要在D28、D27、D1连区施工，做成大隔断找平后为以上美工做基底）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1500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木质展墙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1500㎡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部分楼梯油漆（用于14栋别墅)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油漆涂料：无毒环保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14栋别墅楼梯上漆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覆膜地毯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覆膜地毯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5mm厚3M宽1500米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保洁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地面卫生、玻璃卫生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所有展区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垃圾清运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布展前、展期、布展后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布展前原建筑垃圾、展览垃圾</w:t>
            </w:r>
          </w:p>
        </w:tc>
      </w:tr>
    </w:tbl>
    <w:p>
      <w:pPr>
        <w:rPr>
          <w:color w:val="auto"/>
          <w:sz w:val="24"/>
          <w:szCs w:val="24"/>
          <w:highlight w:val="none"/>
        </w:rPr>
      </w:pPr>
    </w:p>
    <w:p>
      <w:pPr>
        <w:pStyle w:val="4"/>
        <w:numPr>
          <w:ilvl w:val="0"/>
          <w:numId w:val="0"/>
        </w:numPr>
        <w:ind w:left="36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（三）印刷服务及质量要求</w:t>
      </w: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所有印刷品需按招标范围以及招标人所提供样板的内容、颜色、数量等各项要求进行印刷，如需变更印刷范围（新增规格，纸材等），必须经过招标人书面同意方可进行印刷。</w:t>
      </w: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所有印刷品在正式印制前均须提交样板经招标人书面确认，招标人定稿签印后中标人方可正式对招标人需求予以印刷，签印稿交招标人作为样本封存备查。</w:t>
      </w: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质量：页面印刷要求图片画像清晰，色彩均匀，无重影、叠印和模糊现象，产品纸面平整干净，不得有污渍、脏点、糊版及不正常显色等现象。印刷品纸质及印刷质量应与中标人所提供样板一致或更优，否则，招标人有权拒收并追究中标人相应的法律责任。</w:t>
      </w: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包装要求：产品应用防潮材料包装；产品在运输、贮存过程中不允许扔、砸、踏，不得受雨雪或液体物质的淋袭和机械损伤。</w:t>
      </w:r>
    </w:p>
    <w:p>
      <w:pPr>
        <w:pStyle w:val="4"/>
        <w:numPr>
          <w:ilvl w:val="0"/>
          <w:numId w:val="0"/>
        </w:numPr>
        <w:ind w:left="36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（四）</w:t>
      </w:r>
      <w:r>
        <w:rPr>
          <w:color w:val="auto"/>
          <w:sz w:val="24"/>
          <w:szCs w:val="24"/>
          <w:highlight w:val="none"/>
        </w:rPr>
        <w:t>应用深化要求：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根据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采购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方提供的活动标志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及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活动举办实地情况，深化制作方案，各项深化方案要求以效果图呈现。重点深化部分详细如下：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1.对实地进行考察（供应商自行开展），深化活动导视布点方案及制作方案，提供布点详细平面图纸及制作方案，结合效果图5-10张呈现。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2.结合实地，深化展厅内部氛围营造制作施工方案，提供实地空间布局图纸或模型图，针对氛围营造制作进行详细说明。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3.结合活动实地情况及素材，提供氛围营造装置深化方案及施工方案，结合效果图5-10张呈现。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4.结合实地情况，深化户外道旗制作方案，提供详细布点图及效果图。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5.结合实地情况，深化展区一层空置建筑氛围营造施工制作方案，结合效果图进行呈现及说明。</w:t>
      </w:r>
    </w:p>
    <w:p>
      <w:pPr>
        <w:rPr>
          <w:rFonts w:hint="eastAsia" w:ascii="仿宋" w:hAnsi="仿宋"/>
          <w:color w:val="auto"/>
          <w:sz w:val="24"/>
          <w:szCs w:val="24"/>
          <w:highlight w:val="none"/>
        </w:rPr>
      </w:pPr>
    </w:p>
    <w:p>
      <w:pPr>
        <w:rPr>
          <w:rFonts w:ascii="仿宋" w:hAnsi="仿宋"/>
          <w:color w:val="auto"/>
          <w:sz w:val="24"/>
          <w:szCs w:val="24"/>
          <w:highlight w:val="none"/>
        </w:rPr>
      </w:pPr>
      <w:r>
        <w:rPr>
          <w:rFonts w:hint="eastAsia" w:ascii="仿宋" w:hAnsi="仿宋"/>
          <w:color w:val="auto"/>
          <w:sz w:val="24"/>
          <w:szCs w:val="24"/>
          <w:highlight w:val="none"/>
        </w:rPr>
        <w:t>深化素材文件：</w:t>
      </w:r>
    </w:p>
    <w:p>
      <w:pPr>
        <w:rPr>
          <w:rFonts w:ascii="仿宋" w:hAnsi="仿宋"/>
          <w:color w:val="auto"/>
          <w:sz w:val="24"/>
          <w:szCs w:val="24"/>
          <w:highlight w:val="none"/>
        </w:rPr>
      </w:pPr>
      <w:r>
        <w:rPr>
          <w:rFonts w:ascii="仿宋" w:hAnsi="仿宋"/>
          <w:color w:val="auto"/>
          <w:sz w:val="24"/>
          <w:szCs w:val="24"/>
          <w:highlight w:val="none"/>
        </w:rPr>
        <w:drawing>
          <wp:inline distT="0" distB="0" distL="114300" distR="114300">
            <wp:extent cx="2475865" cy="2228850"/>
            <wp:effectExtent l="0" t="0" r="635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7367" t="26620" r="32510" b="32755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auto"/>
          <w:sz w:val="24"/>
          <w:szCs w:val="24"/>
          <w:highlight w:val="none"/>
        </w:rPr>
      </w:pPr>
    </w:p>
    <w:p>
      <w:pPr>
        <w:pStyle w:val="4"/>
        <w:numPr>
          <w:ilvl w:val="0"/>
          <w:numId w:val="0"/>
        </w:numPr>
        <w:ind w:left="36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二、商务要求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(一)交货期及交货地点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.交货时间：（1）5月19日完成主体施工与制作，5月20日-5月23日配合学校布展排查漏项、更新错项。6月11日-13日完成清场工作。（2）由于项目施工点涉及多个分散单位为保证施工进度，施工期间中标单位必须配备三个独立工作组进场工作，美工1组，木工2组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2.地点：杭州市转塘街道艺术公社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(二)履约保证金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签订合同前应向采购人交纳合同总金额的</w:t>
      </w:r>
      <w:r>
        <w:rPr>
          <w:rFonts w:ascii="宋体" w:hAnsi="宋体"/>
          <w:color w:val="auto"/>
          <w:sz w:val="24"/>
          <w:szCs w:val="24"/>
          <w:highlight w:val="none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％作为履约保证金，凭交纳凭证签订采购合同。履约保证金在合同内容完成验收合格后自动转为质量保证金。质量保证金自审计结束后没有质量问题和售后服务问题，无息退还。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(三)付款方式</w:t>
      </w:r>
    </w:p>
    <w:p>
      <w:pPr>
        <w:spacing w:line="360" w:lineRule="auto"/>
        <w:ind w:firstLine="42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在5月23日前完成所有内容，验收合格并正常运行后，采购人向成交供应商支付合同总额的50%，审计工作结束后支付尾款。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(四)合同履行：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必须由投标主体履行合同。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A0B29"/>
    <w:multiLevelType w:val="multilevel"/>
    <w:tmpl w:val="1CDA0B29"/>
    <w:lvl w:ilvl="0" w:tentative="0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36CF9"/>
    <w:multiLevelType w:val="multilevel"/>
    <w:tmpl w:val="3DE36CF9"/>
    <w:lvl w:ilvl="0" w:tentative="0">
      <w:start w:val="1"/>
      <w:numFmt w:val="decimal"/>
      <w:pStyle w:val="4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japaneseCounting"/>
      <w:lvlText w:val="第%2条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56C24"/>
    <w:rsid w:val="79E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tabs>
        <w:tab w:val="left" w:pos="1275"/>
      </w:tabs>
      <w:spacing w:line="216" w:lineRule="auto"/>
      <w:outlineLvl w:val="2"/>
    </w:pPr>
    <w:rPr>
      <w:rFonts w:ascii="宋体"/>
      <w:b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2019-05-07T11:11:00Z</dcterms:created>
  <dc:creator>TZ</dc:creator>
  <cp:lastModifiedBy>TZ</cp:lastModifiedBy>
  <dcterms:modified xsi:type="dcterms:W3CDTF">2019-05-07T11:11:55Z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