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cs="宋体"/>
          <w:b/>
          <w:color w:val="auto"/>
          <w:highlight w:val="none"/>
          <w:rtl w:val="0"/>
          <w:lang w:val="en-US" w:eastAsia="zh-CN"/>
        </w:rPr>
      </w:pPr>
      <w:r>
        <w:rPr>
          <w:rFonts w:hint="eastAsia" w:ascii="宋体" w:hAnsi="宋体" w:cs="宋体"/>
          <w:b/>
          <w:color w:val="auto"/>
          <w:highlight w:val="none"/>
          <w:rtl w:val="0"/>
          <w:lang w:val="en-US" w:eastAsia="zh-CN"/>
        </w:rPr>
        <w:t>一、项目概况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/>
        <w:textAlignment w:val="auto"/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</w:pP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首届之江国际青年艺术周以</w:t>
      </w:r>
      <w:r>
        <w:rPr>
          <w:rFonts w:hint="default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“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青春</w:t>
      </w:r>
      <w:r>
        <w:rPr>
          <w:rFonts w:hint="default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·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观</w:t>
      </w:r>
      <w:r>
        <w:rPr>
          <w:rFonts w:hint="default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·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世界</w:t>
      </w:r>
      <w:r>
        <w:rPr>
          <w:rFonts w:hint="default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”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为主题，以</w:t>
      </w:r>
      <w:r>
        <w:rPr>
          <w:rFonts w:hint="default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“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游戏、科幻、公社</w:t>
      </w:r>
      <w:r>
        <w:rPr>
          <w:rFonts w:hint="default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”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作为核心概念，试图通过艺术的创造与想象，探索时代青年的</w:t>
      </w:r>
      <w:r>
        <w:rPr>
          <w:rFonts w:hint="default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“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世界观</w:t>
      </w:r>
      <w:r>
        <w:rPr>
          <w:rFonts w:hint="default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”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和</w:t>
      </w:r>
      <w:r>
        <w:rPr>
          <w:rFonts w:hint="default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“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青春观。</w:t>
      </w:r>
    </w:p>
    <w:p>
      <w:pPr>
        <w:pStyle w:val="3"/>
        <w:rPr>
          <w:rFonts w:hint="eastAsia" w:ascii="宋体" w:hAnsi="宋体" w:cs="宋体"/>
          <w:b/>
          <w:color w:val="auto"/>
          <w:highlight w:val="none"/>
          <w:rtl w:val="0"/>
          <w:lang w:val="en-US" w:eastAsia="zh-CN"/>
        </w:rPr>
      </w:pPr>
      <w:r>
        <w:rPr>
          <w:rFonts w:hint="eastAsia" w:ascii="宋体" w:hAnsi="宋体" w:cs="宋体"/>
          <w:b/>
          <w:color w:val="auto"/>
          <w:highlight w:val="none"/>
          <w:rtl w:val="0"/>
          <w:lang w:val="en-US" w:eastAsia="zh-CN"/>
        </w:rPr>
        <w:t>二、采购内容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TW" w:eastAsia="zh-TW" w:bidi="ar-SA"/>
        </w:rPr>
      </w:pP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TW" w:eastAsia="zh-CN" w:bidi="ar-SA"/>
        </w:rPr>
        <w:t>（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en-US" w:eastAsia="zh-CN" w:bidi="ar-SA"/>
        </w:rPr>
        <w:t>一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TW" w:eastAsia="zh-CN" w:bidi="ar-SA"/>
        </w:rPr>
        <w:t>）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TW" w:eastAsia="zh-TW" w:bidi="ar-SA"/>
        </w:rPr>
        <w:t>供应商提供</w:t>
      </w:r>
      <w:r>
        <w:rPr>
          <w:rFonts w:hint="default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en-US" w:eastAsia="zh-CN" w:bidi="ar-SA"/>
        </w:rPr>
        <w:t>“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TW" w:eastAsia="zh-TW" w:bidi="ar-SA"/>
        </w:rPr>
        <w:t>之江国际青年艺术周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en-US" w:eastAsia="zh-CN" w:bidi="ar-SA"/>
        </w:rPr>
        <w:t>MAPPING</w:t>
      </w:r>
      <w:r>
        <w:rPr>
          <w:rFonts w:hint="default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en-US" w:eastAsia="zh-CN" w:bidi="ar-SA"/>
        </w:rPr>
        <w:t>”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4个墙面所需的4个视频，时长为每个4分钟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TW" w:eastAsia="zh-TW" w:bidi="ar-SA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en-US" w:eastAsia="zh-CN" w:bidi="ar-SA"/>
        </w:rPr>
      </w:pP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en-US" w:eastAsia="zh-CN" w:bidi="ar-SA"/>
        </w:rPr>
        <w:t>（二）</w:t>
      </w:r>
      <w:r>
        <w:rPr>
          <w:rFonts w:hint="eastAsia" w:ascii="宋体" w:hAnsi="宋体" w:cs="宋体"/>
          <w:b w:val="0"/>
          <w:color w:val="auto"/>
          <w:kern w:val="2"/>
          <w:sz w:val="24"/>
          <w:szCs w:val="24"/>
          <w:highlight w:val="none"/>
          <w:rtl w:val="0"/>
          <w:lang w:val="zh-TW" w:eastAsia="zh-TW" w:bidi="ar-SA"/>
        </w:rPr>
        <w:t>具体承办要求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/>
        <w:textAlignment w:val="auto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zh-TW" w:eastAsia="zh-TW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rtl w:val="0"/>
          <w:lang w:val="en-US" w:eastAsia="zh-CN" w:bidi="ar-SA"/>
        </w:rPr>
        <w:t>1.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制作的影像需投影4面墙体，根据墙体位置、结构、观看效果设计视频内容；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/>
        <w:textAlignment w:val="auto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zh-TW" w:eastAsia="zh-TW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rtl w:val="0"/>
          <w:lang w:val="en-US" w:eastAsia="zh-CN" w:bidi="ar-SA"/>
        </w:rPr>
        <w:t>2.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合理分配制作、调试时间，保障活动顺利进行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rtl w:val="0"/>
          <w:lang w:val="zh-TW" w:eastAsia="zh-TW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rtl w:val="0"/>
          <w:lang w:val="en-US" w:eastAsia="zh-CN" w:bidi="ar-SA"/>
        </w:rPr>
        <w:t>3.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  <w:t>内容符合活动主题，体现活动精神；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rtl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rtl w:val="0"/>
          <w:lang w:val="en-US" w:eastAsia="zh-CN" w:bidi="ar-SA"/>
        </w:rPr>
        <w:t>4.制作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rtl w:val="0"/>
          <w:lang w:val="zh-TW" w:eastAsia="zh-TW" w:bidi="ar-SA"/>
        </w:rPr>
        <w:t>清单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2180"/>
        <w:gridCol w:w="2179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内容</w:t>
            </w: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脚本设计</w:t>
            </w: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前期脚本设计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分镜绘制</w:t>
            </w: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分镜绘制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三维设计</w:t>
            </w: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三维模型设计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三维建模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cg画面设计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PBR材质制作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XP，RF动态粒子设计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建筑投射面UV拆分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三维摄像机投射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三维渲染制作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秒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二维设计</w:t>
            </w: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二维素材处理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素材高分辨率转制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二维动态设计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视频二维平面设计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后期制作</w:t>
            </w: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运动跟踪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摄像机反求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AE特效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后期合成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后期剪辑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后期调色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音效制作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背景音乐制作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720"/>
                <w:tab w:val="left" w:pos="1440"/>
              </w:tabs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现场调试</w:t>
            </w: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人工餐旅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现场调试</w:t>
            </w:r>
          </w:p>
        </w:tc>
        <w:tc>
          <w:tcPr>
            <w:tcW w:w="21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/>
        <w:textAlignment w:val="auto"/>
        <w:rPr>
          <w:rFonts w:hint="eastAsia" w:ascii="宋体" w:hAnsi="宋体" w:eastAsia="Arial Unicode MS" w:cs="宋体"/>
          <w:color w:val="auto"/>
          <w:kern w:val="2"/>
          <w:sz w:val="24"/>
          <w:szCs w:val="24"/>
          <w:highlight w:val="none"/>
          <w:rtl w:val="0"/>
          <w:lang w:val="zh-CN" w:eastAsia="zh-CN" w:bidi="ar-SA"/>
        </w:rPr>
      </w:pPr>
    </w:p>
    <w:p>
      <w:pPr>
        <w:pStyle w:val="3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三</w:t>
      </w:r>
      <w:r>
        <w:rPr>
          <w:rFonts w:hint="eastAsia" w:ascii="宋体" w:hAnsi="宋体" w:cs="宋体"/>
          <w:color w:val="auto"/>
          <w:highlight w:val="none"/>
        </w:rPr>
        <w:t>、商务要求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(一)</w:t>
      </w:r>
      <w:r>
        <w:rPr>
          <w:rFonts w:hint="eastAsia" w:ascii="宋体" w:hAnsi="宋体"/>
          <w:b/>
          <w:color w:val="auto"/>
          <w:highlight w:val="none"/>
          <w:lang w:val="en-US" w:eastAsia="zh-CN"/>
        </w:rPr>
        <w:t>制作</w:t>
      </w:r>
      <w:r>
        <w:rPr>
          <w:rFonts w:hint="eastAsia" w:ascii="宋体" w:hAnsi="宋体"/>
          <w:b/>
          <w:color w:val="auto"/>
          <w:highlight w:val="none"/>
        </w:rPr>
        <w:t>期</w:t>
      </w:r>
      <w:r>
        <w:rPr>
          <w:rFonts w:hint="eastAsia" w:ascii="宋体" w:hAnsi="宋体"/>
          <w:b/>
          <w:color w:val="auto"/>
          <w:highlight w:val="none"/>
          <w:lang w:eastAsia="zh-CN"/>
        </w:rPr>
        <w:t>、</w:t>
      </w:r>
      <w:r>
        <w:rPr>
          <w:rFonts w:hint="eastAsia" w:ascii="宋体" w:hAnsi="宋体"/>
          <w:b/>
          <w:color w:val="auto"/>
          <w:highlight w:val="none"/>
          <w:lang w:val="en-US" w:eastAsia="zh-CN"/>
        </w:rPr>
        <w:t>服务期</w:t>
      </w:r>
      <w:r>
        <w:rPr>
          <w:rFonts w:hint="eastAsia" w:ascii="宋体" w:hAnsi="宋体"/>
          <w:b/>
          <w:color w:val="auto"/>
          <w:highlight w:val="none"/>
        </w:rPr>
        <w:t>及交货地点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rtl w:val="0"/>
          <w:lang w:val="en-US" w:eastAsia="zh-CN"/>
        </w:rPr>
        <w:t>1.</w:t>
      </w:r>
      <w:r>
        <w:rPr>
          <w:rFonts w:hint="eastAsia" w:ascii="宋体" w:hAnsi="宋体"/>
          <w:color w:val="auto"/>
          <w:highlight w:val="none"/>
          <w:rtl w:val="0"/>
          <w:lang w:val="zh-CN" w:eastAsia="zh-CN"/>
        </w:rPr>
        <w:t>制作</w:t>
      </w:r>
      <w:r>
        <w:rPr>
          <w:rFonts w:hint="eastAsia" w:ascii="宋体" w:hAnsi="宋体"/>
          <w:color w:val="auto"/>
          <w:highlight w:val="none"/>
          <w:rtl w:val="0"/>
          <w:lang w:val="zh-TW" w:eastAsia="zh-TW"/>
        </w:rPr>
        <w:t>期：</w:t>
      </w:r>
      <w:r>
        <w:rPr>
          <w:rFonts w:hint="eastAsia" w:ascii="宋体" w:hAnsi="宋体"/>
          <w:color w:val="auto"/>
          <w:highlight w:val="none"/>
          <w:rtl w:val="0"/>
          <w:lang w:val="en-US"/>
        </w:rPr>
        <w:t>2019</w:t>
      </w:r>
      <w:r>
        <w:rPr>
          <w:rFonts w:hint="eastAsia" w:ascii="宋体" w:hAnsi="宋体"/>
          <w:color w:val="auto"/>
          <w:highlight w:val="none"/>
          <w:rtl w:val="0"/>
          <w:lang w:val="zh-TW" w:eastAsia="zh-TW"/>
        </w:rPr>
        <w:t>年</w:t>
      </w:r>
      <w:r>
        <w:rPr>
          <w:rFonts w:hint="eastAsia" w:ascii="宋体" w:hAnsi="宋体"/>
          <w:color w:val="auto"/>
          <w:highlight w:val="none"/>
          <w:rtl w:val="0"/>
          <w:lang w:val="zh-CN" w:eastAsia="zh-CN"/>
        </w:rPr>
        <w:t>5</w:t>
      </w:r>
      <w:r>
        <w:rPr>
          <w:rFonts w:hint="eastAsia" w:ascii="宋体" w:hAnsi="宋体"/>
          <w:color w:val="auto"/>
          <w:highlight w:val="none"/>
          <w:rtl w:val="0"/>
          <w:lang w:val="zh-TW" w:eastAsia="zh-TW"/>
        </w:rPr>
        <w:t>月</w:t>
      </w:r>
      <w:r>
        <w:rPr>
          <w:rFonts w:hint="eastAsia" w:ascii="宋体" w:hAnsi="宋体"/>
          <w:color w:val="auto"/>
          <w:highlight w:val="none"/>
          <w:rtl w:val="0"/>
          <w:lang w:val="zh-CN" w:eastAsia="zh-CN"/>
        </w:rPr>
        <w:t>1</w:t>
      </w:r>
      <w:r>
        <w:rPr>
          <w:rFonts w:hint="eastAsia" w:ascii="宋体" w:hAnsi="宋体"/>
          <w:color w:val="auto"/>
          <w:highlight w:val="none"/>
          <w:rtl w:val="0"/>
          <w:lang w:val="zh-TW" w:eastAsia="zh-TW"/>
        </w:rPr>
        <w:t>日至</w:t>
      </w:r>
      <w:r>
        <w:rPr>
          <w:rFonts w:hint="eastAsia" w:ascii="宋体" w:hAnsi="宋体"/>
          <w:color w:val="auto"/>
          <w:highlight w:val="none"/>
          <w:rtl w:val="0"/>
          <w:lang w:val="en-US"/>
        </w:rPr>
        <w:t>5</w:t>
      </w:r>
      <w:r>
        <w:rPr>
          <w:rFonts w:hint="eastAsia" w:ascii="宋体" w:hAnsi="宋体"/>
          <w:color w:val="auto"/>
          <w:highlight w:val="none"/>
          <w:rtl w:val="0"/>
          <w:lang w:val="zh-TW" w:eastAsia="zh-TW"/>
        </w:rPr>
        <w:t>月</w:t>
      </w:r>
      <w:r>
        <w:rPr>
          <w:rFonts w:hint="eastAsia" w:ascii="宋体" w:hAnsi="宋体"/>
          <w:color w:val="auto"/>
          <w:highlight w:val="none"/>
          <w:rtl w:val="0"/>
          <w:lang w:val="zh-CN" w:eastAsia="zh-CN"/>
        </w:rPr>
        <w:t>15</w:t>
      </w:r>
      <w:r>
        <w:rPr>
          <w:rFonts w:hint="eastAsia" w:ascii="宋体" w:hAnsi="宋体"/>
          <w:color w:val="auto"/>
          <w:highlight w:val="none"/>
          <w:rtl w:val="0"/>
          <w:lang w:val="zh-TW" w:eastAsia="zh-TW"/>
        </w:rPr>
        <w:t>日；服务期：</w:t>
      </w:r>
      <w:r>
        <w:rPr>
          <w:rFonts w:hint="eastAsia" w:ascii="宋体" w:hAnsi="宋体"/>
          <w:color w:val="auto"/>
          <w:highlight w:val="none"/>
          <w:rtl w:val="0"/>
          <w:lang w:val="en-US"/>
        </w:rPr>
        <w:t>2019</w:t>
      </w:r>
      <w:r>
        <w:rPr>
          <w:rFonts w:hint="eastAsia" w:ascii="宋体" w:hAnsi="宋体"/>
          <w:color w:val="auto"/>
          <w:highlight w:val="none"/>
          <w:rtl w:val="0"/>
          <w:lang w:val="zh-TW" w:eastAsia="zh-TW"/>
        </w:rPr>
        <w:t>年</w:t>
      </w:r>
      <w:r>
        <w:rPr>
          <w:rFonts w:hint="eastAsia" w:ascii="宋体" w:hAnsi="宋体"/>
          <w:color w:val="auto"/>
          <w:highlight w:val="none"/>
          <w:rtl w:val="0"/>
          <w:lang w:val="en-US"/>
        </w:rPr>
        <w:t>5</w:t>
      </w:r>
      <w:r>
        <w:rPr>
          <w:rFonts w:hint="eastAsia" w:ascii="宋体" w:hAnsi="宋体"/>
          <w:color w:val="auto"/>
          <w:highlight w:val="none"/>
          <w:rtl w:val="0"/>
          <w:lang w:val="zh-TW" w:eastAsia="zh-TW"/>
        </w:rPr>
        <w:t>月</w:t>
      </w:r>
      <w:r>
        <w:rPr>
          <w:rFonts w:hint="eastAsia" w:ascii="宋体" w:hAnsi="宋体"/>
          <w:color w:val="auto"/>
          <w:highlight w:val="none"/>
          <w:rtl w:val="0"/>
          <w:lang w:val="en-US"/>
        </w:rPr>
        <w:t>24</w:t>
      </w:r>
      <w:r>
        <w:rPr>
          <w:rFonts w:hint="eastAsia" w:ascii="宋体" w:hAnsi="宋体"/>
          <w:color w:val="auto"/>
          <w:highlight w:val="none"/>
          <w:rtl w:val="0"/>
          <w:lang w:val="zh-TW" w:eastAsia="zh-TW"/>
        </w:rPr>
        <w:t>日至</w:t>
      </w:r>
      <w:r>
        <w:rPr>
          <w:rFonts w:hint="eastAsia" w:ascii="宋体" w:hAnsi="宋体"/>
          <w:color w:val="auto"/>
          <w:highlight w:val="none"/>
          <w:rtl w:val="0"/>
          <w:lang w:val="en-US"/>
        </w:rPr>
        <w:t>2019</w:t>
      </w:r>
      <w:r>
        <w:rPr>
          <w:rFonts w:hint="eastAsia" w:ascii="宋体" w:hAnsi="宋体"/>
          <w:color w:val="auto"/>
          <w:highlight w:val="none"/>
          <w:rtl w:val="0"/>
          <w:lang w:val="zh-TW" w:eastAsia="zh-TW"/>
        </w:rPr>
        <w:t>年</w:t>
      </w:r>
      <w:r>
        <w:rPr>
          <w:rFonts w:hint="eastAsia" w:ascii="宋体" w:hAnsi="宋体"/>
          <w:color w:val="auto"/>
          <w:highlight w:val="none"/>
          <w:rtl w:val="0"/>
          <w:lang w:val="zh-CN" w:eastAsia="zh-CN"/>
        </w:rPr>
        <w:t>5月25日</w:t>
      </w:r>
      <w:r>
        <w:rPr>
          <w:rFonts w:hint="eastAsia" w:ascii="宋体" w:hAnsi="宋体"/>
          <w:color w:val="auto"/>
          <w:highlight w:val="none"/>
          <w:rtl w:val="0"/>
          <w:lang w:val="zh-TW" w:eastAsia="zh-TW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Arial Unicode MS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2.地点：</w:t>
      </w:r>
      <w:r>
        <w:rPr>
          <w:rFonts w:hint="eastAsia" w:ascii="宋体" w:hAnsi="宋体"/>
          <w:color w:val="auto"/>
          <w:highlight w:val="none"/>
          <w:lang w:val="en-US" w:eastAsia="zh-CN"/>
        </w:rPr>
        <w:t>学校指定地点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(二)履约保证金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签订合同前应向采购人交纳合同总金额的</w:t>
      </w:r>
      <w:r>
        <w:rPr>
          <w:rFonts w:ascii="宋体" w:hAnsi="宋体"/>
          <w:color w:val="auto"/>
          <w:highlight w:val="none"/>
        </w:rPr>
        <w:t>10</w:t>
      </w:r>
      <w:r>
        <w:rPr>
          <w:rFonts w:hint="eastAsia" w:ascii="宋体" w:hAnsi="宋体"/>
          <w:color w:val="auto"/>
          <w:highlight w:val="none"/>
        </w:rPr>
        <w:t>％作为履约保证金，凭交纳凭证签订采购合同。履约保证金在合同内容完成验收合格后自动转为质量保证金。质量保证金自审计结束后没有质量问题和售后服务问题，无息退还。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(三)付款方式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签订合同后，采购人</w:t>
      </w:r>
      <w:r>
        <w:rPr>
          <w:rFonts w:hint="eastAsia" w:ascii="宋体" w:hAnsi="宋体"/>
          <w:color w:val="auto"/>
          <w:highlight w:val="none"/>
        </w:rPr>
        <w:t>在</w:t>
      </w:r>
      <w:r>
        <w:rPr>
          <w:rFonts w:hint="eastAsia" w:ascii="宋体" w:hAnsi="宋体"/>
          <w:color w:val="auto"/>
          <w:highlight w:val="none"/>
          <w:rtl w:val="0"/>
          <w:lang w:val="zh-CN" w:eastAsia="zh-CN"/>
        </w:rPr>
        <w:t>在7个工作日内</w:t>
      </w:r>
      <w:r>
        <w:rPr>
          <w:rFonts w:hint="eastAsia" w:ascii="宋体" w:hAnsi="宋体"/>
          <w:color w:val="auto"/>
          <w:highlight w:val="none"/>
          <w:rtl w:val="0"/>
          <w:lang w:val="en-US" w:eastAsia="zh-CN"/>
        </w:rPr>
        <w:t>向成交供应商</w:t>
      </w:r>
      <w:r>
        <w:rPr>
          <w:rFonts w:hint="eastAsia" w:ascii="宋体" w:hAnsi="宋体"/>
          <w:color w:val="auto"/>
          <w:highlight w:val="none"/>
          <w:rtl w:val="0"/>
          <w:lang w:val="zh-CN" w:eastAsia="zh-CN"/>
        </w:rPr>
        <w:t>支付费用总额的50%</w:t>
      </w:r>
      <w:r>
        <w:rPr>
          <w:rFonts w:hint="eastAsia" w:ascii="宋体" w:hAnsi="宋体"/>
          <w:color w:val="auto"/>
          <w:highlight w:val="none"/>
          <w:rtl w:val="0"/>
          <w:lang w:val="en-US" w:eastAsia="zh-CN"/>
        </w:rPr>
        <w:t>预付款，</w:t>
      </w:r>
      <w:r>
        <w:rPr>
          <w:rFonts w:hint="eastAsia" w:ascii="宋体" w:hAnsi="宋体"/>
          <w:color w:val="auto"/>
          <w:highlight w:val="none"/>
        </w:rPr>
        <w:t>验收合格并正常运行后，采购人向成交供应商</w:t>
      </w:r>
      <w:r>
        <w:rPr>
          <w:rFonts w:hint="eastAsia" w:ascii="宋体" w:hAnsi="宋体"/>
          <w:color w:val="auto"/>
          <w:highlight w:val="none"/>
          <w:lang w:val="en-US" w:eastAsia="zh-CN"/>
        </w:rPr>
        <w:t>再</w:t>
      </w:r>
      <w:r>
        <w:rPr>
          <w:rFonts w:hint="eastAsia" w:ascii="宋体" w:hAnsi="宋体"/>
          <w:color w:val="auto"/>
          <w:highlight w:val="none"/>
        </w:rPr>
        <w:t>支付合同总额的50%。</w:t>
      </w:r>
    </w:p>
    <w:p>
      <w:pPr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(四)合同履行：</w:t>
      </w:r>
      <w:r>
        <w:rPr>
          <w:rFonts w:hint="eastAsia" w:ascii="宋体" w:hAnsi="宋体"/>
          <w:color w:val="auto"/>
          <w:highlight w:val="none"/>
        </w:rPr>
        <w:t>必须由投标主体履行合同。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7329A"/>
    <w:rsid w:val="70B7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6">
    <w:name w:val="表格样式 2"/>
    <w:uiPriority w:val="0"/>
    <w:pPr>
      <w:keepNext w:val="0"/>
      <w:keepLines w:val="0"/>
      <w:pageBreakBefore w:val="0"/>
      <w:framePr w:wrap="around" w:vAnchor="margin" w:hAnchor="text" w:yAlign="top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0"/>
      <w:szCs w:val="20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2019-04-24T08:53:00Z</dcterms:created>
  <dc:creator>TT</dc:creator>
  <cp:lastModifiedBy>TT</cp:lastModifiedBy>
  <dcterms:modified xsi:type="dcterms:W3CDTF">2019-04-24T08:53:58Z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