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采购需求</w:t>
      </w:r>
    </w:p>
    <w:p>
      <w:pPr>
        <w:pStyle w:val="4"/>
        <w:rPr>
          <w:rFonts w:ascii="宋体" w:hAnsi="宋体" w:cs="宋体"/>
          <w:color w:val="auto"/>
          <w:highlight w:val="none"/>
        </w:rPr>
      </w:pPr>
      <w:bookmarkStart w:id="0" w:name="_Toc31327"/>
      <w:r>
        <w:rPr>
          <w:rFonts w:hint="eastAsia" w:ascii="宋体" w:hAnsi="宋体" w:cs="宋体"/>
          <w:color w:val="auto"/>
          <w:highlight w:val="none"/>
        </w:rPr>
        <w:t>一、采购</w:t>
      </w:r>
      <w:bookmarkEnd w:id="0"/>
      <w:r>
        <w:rPr>
          <w:rFonts w:hint="eastAsia" w:ascii="宋体" w:hAnsi="宋体" w:cs="宋体"/>
          <w:color w:val="auto"/>
          <w:highlight w:val="none"/>
        </w:rPr>
        <w:t>内容及要求</w:t>
      </w:r>
    </w:p>
    <w:p>
      <w:pPr>
        <w:pStyle w:val="5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（一）采购内容及数量</w:t>
      </w:r>
    </w:p>
    <w:tbl>
      <w:tblPr>
        <w:tblStyle w:val="9"/>
        <w:tblW w:w="9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673"/>
        <w:gridCol w:w="1100"/>
        <w:gridCol w:w="1168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1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32"/>
                <w:highlight w:val="none"/>
              </w:rPr>
              <w:t>序号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32"/>
                <w:highlight w:val="none"/>
              </w:rPr>
              <w:t>内容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32"/>
                <w:highlight w:val="none"/>
              </w:rPr>
              <w:t>数量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32"/>
                <w:highlight w:val="none"/>
              </w:rPr>
              <w:t>单位</w:t>
            </w:r>
          </w:p>
        </w:tc>
        <w:tc>
          <w:tcPr>
            <w:tcW w:w="278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6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32"/>
                <w:highlight w:val="none"/>
              </w:rPr>
              <w:t>1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32"/>
                <w:highlight w:val="none"/>
              </w:rPr>
              <w:t>荧光定量PCR仪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32"/>
                <w:highlight w:val="none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32"/>
                <w:highlight w:val="none"/>
              </w:rPr>
              <w:t>套</w:t>
            </w:r>
          </w:p>
        </w:tc>
        <w:tc>
          <w:tcPr>
            <w:tcW w:w="2780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bCs/>
                <w:color w:val="auto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highlight w:val="none"/>
                <w:shd w:val="clear" w:color="auto" w:fill="FFFFFF"/>
                <w:lang w:bidi="ar"/>
              </w:rPr>
              <w:t>详见技术要求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32"/>
                <w:highlight w:val="none"/>
              </w:rPr>
              <w:t>2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32"/>
                <w:highlight w:val="none"/>
              </w:rPr>
              <w:t>正置荧光显微镜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32"/>
                <w:highlight w:val="none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32"/>
                <w:highlight w:val="none"/>
              </w:rPr>
              <w:t>套</w:t>
            </w:r>
          </w:p>
        </w:tc>
        <w:tc>
          <w:tcPr>
            <w:tcW w:w="278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</w:pPr>
          </w:p>
        </w:tc>
      </w:tr>
    </w:tbl>
    <w:p>
      <w:pPr>
        <w:ind w:firstLine="480"/>
        <w:rPr>
          <w:rFonts w:ascii="宋体" w:hAnsi="宋体" w:cs="宋体"/>
          <w:color w:val="auto"/>
          <w:highlight w:val="none"/>
        </w:rPr>
      </w:pPr>
    </w:p>
    <w:p>
      <w:pPr>
        <w:pStyle w:val="5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（二）技术要求</w:t>
      </w:r>
    </w:p>
    <w:p>
      <w:pPr>
        <w:pStyle w:val="6"/>
        <w:ind w:firstLine="482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</w:t>
      </w:r>
      <w:r>
        <w:rPr>
          <w:rFonts w:hint="eastAsia" w:ascii="宋体" w:hAnsi="宋体" w:cs="宋体"/>
          <w:color w:val="auto"/>
          <w:kern w:val="0"/>
          <w:highlight w:val="none"/>
        </w:rPr>
        <w:t>荧光定量PCR仪</w:t>
      </w:r>
    </w:p>
    <w:tbl>
      <w:tblPr>
        <w:tblStyle w:val="9"/>
        <w:tblW w:w="95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63"/>
        <w:gridCol w:w="7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32"/>
                <w:highlight w:val="none"/>
              </w:rPr>
              <w:t>序号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32"/>
                <w:highlight w:val="none"/>
              </w:rPr>
              <w:t>名称</w:t>
            </w:r>
          </w:p>
        </w:tc>
        <w:tc>
          <w:tcPr>
            <w:tcW w:w="733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32"/>
                <w:highlight w:val="none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荧光定量PCR仪</w:t>
            </w:r>
          </w:p>
        </w:tc>
        <w:tc>
          <w:tcPr>
            <w:tcW w:w="73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（1）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热循环系统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：珀耳帖半导体效应系统。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（2）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温控模块最高升降温速率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：不低于6°C/秒。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（3）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温控范围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：4°C–100°C，具有样品保护功能。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（4）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温控模块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：要求具有独立温控模块设计，可进行精确的温度梯度的设置。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（5）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激发光源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：高亮度白光半导体光源（工作寿命＞5年）。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▲（6）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检测系统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：科研级CMOS成像，每个循环保证96孔板一次性成像检测，避免PDT或PMT检测器，每个循环逐孔扫描检测荧光衰减带来的误差。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（7）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通道数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：不低于4色激发光滤光片和4色检测光滤光片，支持第三方试剂优化，至少3个通道完全开放。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（8）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支持耗材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：仪器使用的试剂耗材全开放，避免使用在加样中易产生误差的白色耗材。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（9）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支持的并可区分的荧光染料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：FAM™/ SYBR™ Green， VIC™/ JOE™/ HEX™/ TET™，ABY™/ NED™/ TAMRA™/ Cy™3 ，JUN™，ROX™ / Texas Red™。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▲（10）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被动参照染料校正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：提供至少一种专利的被动荧光染料进行校正，以避免实验操作过程中产生的移液误差、蒸发误差等。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（11）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实时数据采集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：所有反应孔同时采集荧光数据，不同孔之间不存在时间差。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（12）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内置触摸屏电脑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：要求使用电容屏，支持多点触控，仪器触摸屏提供了一键式的实验方案，可快速地设置多种应用。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（13）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数据同步处理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：仪器内置智能电脑，可独立运行；系统外配台式电脑，实现实验运行和数据处理同时同步操作。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（14）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数据通信接口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：USB，Wi-Fi，或云服务平台。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（15）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线性动态范围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：≥10 个log 动态范围。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（16）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灵敏度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：最低1拷贝。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▲（17）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分辨率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：在单重反应中可区分1.5倍模板数差异，置信度≥99.7%。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（18）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运行时间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：＜30分钟完成40个反应循环。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（19）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多重荧光染料检测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：能同时检测并区分VIC/ HEX荧光和TAMRA荧光，以用于TaqMan基因拷贝数(CNV)检测。</w:t>
            </w:r>
          </w:p>
          <w:p>
            <w:pPr>
              <w:pStyle w:val="2"/>
              <w:snapToGrid w:val="0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highlight w:val="none"/>
              </w:rPr>
              <w:t>（20）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highlight w:val="none"/>
              </w:rPr>
              <w:t>分析功能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：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①免费内置基因表达 (RQ) 相对定量分析功能，可同时分析≥100块板的实验数据，并用热点图和散点图提供数据质量的快速检查。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②基于荧光定量PCR的蛋白表达分析功能，并提供同品牌原厂试剂和专门分析软件。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③基于荧光定量PCR的蛋白热稳定性分析，并提供同品牌原厂试剂和专门分析软件。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④基于荧光定量PCR的蛋白溶解曲线分析，并提供同品牌原厂试剂和专门分析软件。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⑤基于荧光定量PCR的Non-coding RNA和microRNA分析，并提供同品牌原厂试剂和专门分析软件。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⑥基于荧光定量PCR的基因拷贝数（CNV）分析，并提供同品牌原厂试剂和专门分析软件。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⑦基于荧光定量PCR的肿瘤稀有突变分析，可检测占背景野生型细胞0.1%的微量突变细胞或DNA，并提供同品牌原厂试剂和专门分析软件。</w:t>
            </w:r>
          </w:p>
        </w:tc>
      </w:tr>
    </w:tbl>
    <w:p>
      <w:pPr>
        <w:ind w:firstLine="480"/>
        <w:rPr>
          <w:color w:val="auto"/>
          <w:highlight w:val="none"/>
        </w:rPr>
        <w:sectPr>
          <w:headerReference r:id="rId3" w:type="first"/>
          <w:footerReference r:id="rId5" w:type="first"/>
          <w:footerReference r:id="rId4" w:type="default"/>
          <w:pgSz w:w="11907" w:h="16840"/>
          <w:pgMar w:top="1247" w:right="1304" w:bottom="1021" w:left="1304" w:header="720" w:footer="720" w:gutter="0"/>
          <w:cols w:space="720" w:num="1"/>
          <w:docGrid w:linePitch="326" w:charSpace="0"/>
        </w:sectPr>
      </w:pPr>
    </w:p>
    <w:p>
      <w:pPr>
        <w:pStyle w:val="6"/>
        <w:ind w:firstLine="482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2.正置荧光显微镜</w:t>
      </w:r>
    </w:p>
    <w:tbl>
      <w:tblPr>
        <w:tblStyle w:val="9"/>
        <w:tblW w:w="95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19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32"/>
                <w:highlight w:val="none"/>
              </w:rPr>
              <w:t>序号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32"/>
                <w:highlight w:val="none"/>
              </w:rPr>
              <w:t>名称</w:t>
            </w:r>
          </w:p>
        </w:tc>
        <w:tc>
          <w:tcPr>
            <w:tcW w:w="728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32"/>
                <w:highlight w:val="none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3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正置荧光显微镜</w:t>
            </w:r>
          </w:p>
        </w:tc>
        <w:tc>
          <w:tcPr>
            <w:tcW w:w="728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highlight w:val="none"/>
              </w:rPr>
              <w:t>1.主机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（1）HC无限远校正光学系统；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（2）具有全自动明场，全自动微分干涉，荧光观察功能，成像视野≥18.5mm；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（3）电动控制万能聚光镜，具有电动调节科勒照明功能，低倍观察时,顶镜自动摆出；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（4）具有色温,曝光光强自动平衡调节功能，系统支持一键智能化设定每一个物镜最优化的光强，视场光阑，孔径光阑，在不同照明方法中可选择如相差/明场/暗场/荧光等。所有显微镜参数都量化, 并能被存储和复制；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（5）主机上带LCD显示屏,显示显微镜各种参数以及所以显微镜功能和状态；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（6）7位电动物镜转换器；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（7）放大倍数：50-1000X；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（8）调焦：带同轴粗,精调焦, 有上限停止位置，高精度微调旋钮（最小微调刻度单位不大于1微米）。内置防下滑结构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（9）观察镜筒：宽视野三目照相镜筒，具有三档分光位置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（10）明场照明装置：长效LED光源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11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目镜：10X宽视野目镜，视场直径25mm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（12）100%观察条件复制功能，计算机软件控制显微镜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highlight w:val="none"/>
              </w:rPr>
              <w:t>2.★物镜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（1）5x平场消色差物镜：NA≥0.12 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（2）10x平场半复消色差物镜：NA≥0.3；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（3）20x平场全复消色差物镜：NA≥0.8；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（4）40x平场半复消色差物镜：NA≥0.8。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highlight w:val="none"/>
              </w:rPr>
              <w:t>3.荧光系统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（1）≥5档荧光光强调节,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（2）6种圆型荧光视场光栏, 防止荧光淬灭, 6种矩型视场光栏, 提高CCD图像信嘈比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（3）配有电动荧光滤块转盘，支持荧光滤块在线更换（在不关闭软件状态下更换荧光滤块，并且立即识别），机身有窗口可以更换荧光滤块，荧光滤块磁性吸入到位，配置红绿蓝三色荧光滤块；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（4）不同颜色荧光激发零漂移功能,保证拍摄照片没有变形；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（5）荧光激发管理,电动荧光激发平衡，快速荧光滤块转换,</w:t>
            </w:r>
            <w:r>
              <w:rPr>
                <w:rFonts w:hint="eastAsia"/>
                <w:color w:val="auto"/>
                <w:highlight w:val="none"/>
              </w:rPr>
              <w:t xml:space="preserve"> 用时小于0.2S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（6）荧光电源系统：外部光源: 热源对显微镜/ 物台/ 样品无影响；平均 2000h 灯泡寿命 具有电调节光强功能；荧光激发滤块，UV、绿、蓝三色，荧光滤块内置BG38滤镜，提高荧光效率；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highlight w:val="none"/>
              </w:rPr>
              <w:t>4.微分干涉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主机带微分干涉，配置微分干涉聚光镜转盘，全自动控制。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highlight w:val="none"/>
              </w:rPr>
              <w:t>5.数码摄像系统及软件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（1）数码摄像系统数码成像及分析系统：CMOS 2千万像素，芯片尺寸1/1.2英寸，像素尺寸5.86umx5.86um，曝光时间1msec - 5sec，；光学C型 0.7x 接头；读出噪音：7 e-/ 10 MHz；满井电子：&gt; 32.000 e-；量子效率：74%@536nm；动态范围约73dB；数据传输：USB3.0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（2）配置X Z轴驱动和自动对焦，配置自动XY拼图及Z轴景深叠加模块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（3）配置显微镜控制PC主机、输入输出设备、软件和图像管理软件。</w:t>
            </w:r>
          </w:p>
        </w:tc>
      </w:tr>
    </w:tbl>
    <w:p>
      <w:pPr>
        <w:pStyle w:val="4"/>
        <w:rPr>
          <w:rFonts w:ascii="宋体" w:hAnsi="宋体" w:cs="宋体"/>
          <w:color w:val="auto"/>
          <w:highlight w:val="none"/>
        </w:rPr>
      </w:pPr>
      <w:bookmarkStart w:id="1" w:name="_Toc450840086"/>
      <w:bookmarkStart w:id="2" w:name="_Toc23621"/>
      <w:bookmarkStart w:id="6" w:name="_GoBack"/>
      <w:bookmarkEnd w:id="6"/>
      <w:r>
        <w:rPr>
          <w:rFonts w:hint="eastAsia" w:ascii="宋体" w:hAnsi="宋体" w:cs="宋体"/>
          <w:color w:val="auto"/>
          <w:highlight w:val="none"/>
        </w:rPr>
        <w:t>二、商务</w:t>
      </w:r>
      <w:bookmarkEnd w:id="1"/>
      <w:r>
        <w:rPr>
          <w:rFonts w:hint="eastAsia" w:ascii="宋体" w:hAnsi="宋体" w:cs="宋体"/>
          <w:color w:val="auto"/>
          <w:highlight w:val="none"/>
        </w:rPr>
        <w:t>要求</w:t>
      </w:r>
      <w:bookmarkEnd w:id="2"/>
    </w:p>
    <w:p>
      <w:pPr>
        <w:pStyle w:val="5"/>
        <w:rPr>
          <w:rFonts w:ascii="宋体" w:hAnsi="宋体" w:cs="宋体"/>
          <w:color w:val="auto"/>
          <w:highlight w:val="none"/>
        </w:rPr>
      </w:pPr>
      <w:bookmarkStart w:id="3" w:name="_Toc501022792"/>
      <w:bookmarkStart w:id="4" w:name="_Toc3405"/>
      <w:r>
        <w:rPr>
          <w:rFonts w:hint="eastAsia" w:ascii="宋体" w:hAnsi="宋体" w:cs="宋体"/>
          <w:color w:val="auto"/>
          <w:highlight w:val="none"/>
        </w:rPr>
        <w:t>（一）交货时间</w:t>
      </w:r>
    </w:p>
    <w:p>
      <w:pPr>
        <w:spacing w:line="336" w:lineRule="auto"/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合同签订后3个月内完成供货、安装、调试</w:t>
      </w:r>
      <w:r>
        <w:rPr>
          <w:rFonts w:hint="eastAsia" w:ascii="宋体" w:hAnsi="宋体" w:cs="宋体"/>
          <w:color w:val="auto"/>
          <w:highlight w:val="none"/>
        </w:rPr>
        <w:t>。</w:t>
      </w:r>
    </w:p>
    <w:p>
      <w:pPr>
        <w:pStyle w:val="5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（二）交付地点</w:t>
      </w:r>
    </w:p>
    <w:p>
      <w:pPr>
        <w:spacing w:line="336" w:lineRule="auto"/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采购人指定地点。</w:t>
      </w:r>
    </w:p>
    <w:p>
      <w:pPr>
        <w:pStyle w:val="5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（三）质保期</w:t>
      </w:r>
    </w:p>
    <w:p>
      <w:pPr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质保期一年，自验收合格之日起计算。</w:t>
      </w:r>
    </w:p>
    <w:p>
      <w:pPr>
        <w:pStyle w:val="5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（四）履约保证金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1.合同金额的10%作为履约保证金，</w:t>
      </w:r>
      <w:r>
        <w:rPr>
          <w:rFonts w:hint="eastAsia" w:ascii="宋体" w:hAnsi="宋体" w:cs="宋体"/>
          <w:color w:val="auto"/>
          <w:szCs w:val="22"/>
          <w:highlight w:val="none"/>
        </w:rPr>
        <w:t>中标人在合同签订前缴纳至采购人指定账户。</w:t>
      </w:r>
      <w:r>
        <w:rPr>
          <w:rFonts w:hint="eastAsia" w:ascii="宋体" w:hAnsi="宋体" w:cs="宋体"/>
          <w:color w:val="auto"/>
          <w:szCs w:val="32"/>
          <w:highlight w:val="none"/>
        </w:rPr>
        <w:t>履约保证金的交付方式：支票、汇票等非现金方式；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2.履约保证金在货到安装、调试验收合格后，转为质量保证金；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3.质量保证金</w:t>
      </w:r>
      <w:r>
        <w:rPr>
          <w:rFonts w:hint="eastAsia" w:ascii="宋体" w:hAnsi="宋体" w:cs="宋体"/>
          <w:color w:val="auto"/>
          <w:highlight w:val="none"/>
        </w:rPr>
        <w:t>在合同签订后无质量问题和维护问题后满1年后（12个月）内退还（不计息）</w:t>
      </w:r>
      <w:r>
        <w:rPr>
          <w:rFonts w:hint="eastAsia" w:ascii="宋体" w:hAnsi="宋体" w:cs="宋体"/>
          <w:color w:val="auto"/>
          <w:szCs w:val="32"/>
          <w:highlight w:val="none"/>
        </w:rPr>
        <w:t>。</w:t>
      </w:r>
    </w:p>
    <w:p>
      <w:pPr>
        <w:pStyle w:val="5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（五）项目验收</w:t>
      </w:r>
    </w:p>
    <w:p>
      <w:pPr>
        <w:ind w:firstLine="480"/>
        <w:rPr>
          <w:rFonts w:ascii="宋体" w:hAnsi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2"/>
          <w:highlight w:val="none"/>
        </w:rPr>
        <w:t>1.</w:t>
      </w:r>
      <w:r>
        <w:rPr>
          <w:rFonts w:hint="eastAsia" w:ascii="宋体" w:hAnsi="宋体" w:cs="宋体"/>
          <w:color w:val="auto"/>
          <w:szCs w:val="22"/>
          <w:highlight w:val="none"/>
          <w:lang w:val="zh-CN"/>
        </w:rPr>
        <w:t>中标人应提供合同货物的有效检验文件，经采购人认可后，与货物的性能指标一起作为合同货物验收标准。采购人对合同货物验收合格后，双方共同签署验收合格证书，验收中发现合同货物达不到验收标准或合同规定的性能指标，中标人必须更换合同货物，并负担由此给采购人造成的损失，直到验收合格为止；</w:t>
      </w:r>
    </w:p>
    <w:p>
      <w:pPr>
        <w:ind w:firstLine="480"/>
        <w:rPr>
          <w:rFonts w:ascii="宋体" w:hAnsi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2"/>
          <w:highlight w:val="none"/>
        </w:rPr>
        <w:t>2</w:t>
      </w:r>
      <w:r>
        <w:rPr>
          <w:rFonts w:hint="eastAsia" w:ascii="宋体" w:hAnsi="宋体" w:cs="宋体"/>
          <w:color w:val="auto"/>
          <w:szCs w:val="22"/>
          <w:highlight w:val="none"/>
          <w:lang w:val="zh-CN"/>
        </w:rPr>
        <w:t>.投标人应于投标文件中提供合同货物的验收标准和检测办法，并在验收中提供采购人认可的相应检测手段，验收标准应符合中国有关的国家、地方、行业的标准，如若中标，经采购人确认后作为验收的依据；</w:t>
      </w:r>
    </w:p>
    <w:p>
      <w:pPr>
        <w:ind w:firstLine="480"/>
        <w:rPr>
          <w:rFonts w:ascii="宋体" w:hAnsi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2"/>
          <w:highlight w:val="none"/>
          <w:lang w:val="zh-CN"/>
        </w:rPr>
        <w:t>3.如中标人委托国内代理（或其他机构）负责安装或配合安装，应在签约时指明，但中标人仍要对合同货物及其安装质量负全部责任；</w:t>
      </w:r>
    </w:p>
    <w:p>
      <w:pPr>
        <w:ind w:firstLine="480"/>
        <w:rPr>
          <w:rFonts w:ascii="宋体" w:hAnsi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2"/>
          <w:highlight w:val="none"/>
          <w:lang w:val="zh-CN"/>
        </w:rPr>
        <w:t>4.验收时中标人必须在现场，验收完毕后作出验收结果报告；</w:t>
      </w:r>
    </w:p>
    <w:p>
      <w:pPr>
        <w:ind w:firstLine="480"/>
        <w:rPr>
          <w:rFonts w:ascii="宋体" w:hAnsi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2"/>
          <w:highlight w:val="none"/>
          <w:lang w:val="zh-CN"/>
        </w:rPr>
        <w:t>5.如发现有重大的质量问题，双方均同意提请国家法定检测机构鉴定，如检测结果证明产品无质量问题，由采购人承担检测费用；如检测结果证明产品有质量问题，由中标人承担检测费用，同时中标人同意采购人无条件退货并支付给采购人货款总价10％的赔偿金。</w:t>
      </w:r>
    </w:p>
    <w:p>
      <w:pPr>
        <w:pStyle w:val="5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（六）售后服务</w:t>
      </w:r>
    </w:p>
    <w:p>
      <w:pPr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1.自验收合格之日起计，质保期一年；</w:t>
      </w:r>
    </w:p>
    <w:p>
      <w:pPr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2.技术支持：中标人应及时免费提供合同货物软件的升级，免费提供合同货物新功能和应用的资料；</w:t>
      </w:r>
    </w:p>
    <w:p>
      <w:pPr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3.质保期内因不能排除的故障而影响工作的情况每发生一次，其质保期相应延长60天，质保期内因货物本身缺陷造成各种故障应由中标人免费予以更换，否则将扣除质量保证金作为对采购人的补偿。质保期满后，仅收取零配件成本费用，免人工费、差旅费，所涉及软件终身免费升级；</w:t>
      </w:r>
    </w:p>
    <w:p>
      <w:pPr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4.合同货物出现故障后，中标人接到采购人通知后，必须在4小时内做出响应，不超过3个工作日给出解决方案，7个工作日内解决故障；</w:t>
      </w:r>
    </w:p>
    <w:p>
      <w:pPr>
        <w:pStyle w:val="5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（七）安装调试（若需要）</w:t>
      </w:r>
    </w:p>
    <w:p>
      <w:pPr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1.中标人免费提供合同货物的安装服务，并在投标文件中提供安装调试计划、对安装场地和环境的要求；</w:t>
      </w:r>
    </w:p>
    <w:p>
      <w:pPr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2.安装地点：采购人指定地点；</w:t>
      </w:r>
    </w:p>
    <w:p>
      <w:pPr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3.安装标准：符合我国国家有关技术规范要求和技术标准，所有的软件和硬件必须保证同时安装到位；</w:t>
      </w:r>
    </w:p>
    <w:p>
      <w:pPr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4.接到采购人通知后在7日内完成安装和调试，如在规定的时间内由于中标人的原因不能完成安装和调试，中标人应承担由此给采购人造成的损失。</w:t>
      </w:r>
    </w:p>
    <w:p>
      <w:pPr>
        <w:pStyle w:val="5"/>
        <w:rPr>
          <w:rFonts w:ascii="宋体" w:hAnsi="宋体" w:cs="宋体"/>
          <w:color w:val="auto"/>
          <w:highlight w:val="none"/>
          <w:lang w:val="zh-CN"/>
        </w:rPr>
      </w:pPr>
      <w:r>
        <w:rPr>
          <w:rFonts w:hint="eastAsia" w:ascii="宋体" w:hAnsi="宋体" w:cs="宋体"/>
          <w:color w:val="auto"/>
          <w:highlight w:val="none"/>
        </w:rPr>
        <w:t>（八）</w:t>
      </w:r>
      <w:r>
        <w:rPr>
          <w:rFonts w:hint="eastAsia" w:ascii="宋体" w:hAnsi="宋体" w:cs="宋体"/>
          <w:color w:val="auto"/>
          <w:highlight w:val="none"/>
          <w:lang w:val="zh-CN"/>
        </w:rPr>
        <w:t>培训</w:t>
      </w:r>
    </w:p>
    <w:p>
      <w:pPr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中标人应对采购人的操作人员、维修人员免费进行原厂培训。并在投标文件中提供相应的培训计划，包括对人员、场地、场次等的安排</w:t>
      </w:r>
    </w:p>
    <w:p>
      <w:pPr>
        <w:pStyle w:val="5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（九）付款方式</w:t>
      </w:r>
      <w:bookmarkEnd w:id="3"/>
      <w:bookmarkEnd w:id="4"/>
    </w:p>
    <w:p>
      <w:pPr>
        <w:ind w:firstLine="48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100%不可撤销信用证，在收到中标人缴纳的履约保证金后支付。</w:t>
      </w:r>
    </w:p>
    <w:p>
      <w:pPr>
        <w:pStyle w:val="5"/>
        <w:rPr>
          <w:rFonts w:ascii="宋体" w:hAnsi="宋体" w:cs="宋体"/>
          <w:color w:val="auto"/>
          <w:highlight w:val="none"/>
        </w:rPr>
      </w:pPr>
      <w:bookmarkStart w:id="5" w:name="_Toc23976"/>
      <w:r>
        <w:rPr>
          <w:rFonts w:hint="eastAsia" w:ascii="宋体" w:hAnsi="宋体" w:cs="宋体"/>
          <w:color w:val="auto"/>
          <w:highlight w:val="none"/>
        </w:rPr>
        <w:t>（十）合同履行</w:t>
      </w:r>
      <w:bookmarkEnd w:id="5"/>
    </w:p>
    <w:p>
      <w:r>
        <w:rPr>
          <w:rFonts w:hint="eastAsia" w:ascii="宋体" w:hAnsi="宋体" w:cs="宋体"/>
          <w:color w:val="auto"/>
          <w:highlight w:val="none"/>
        </w:rPr>
        <w:t>必须由投标主体履行合同。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7"/>
                      <w:ind w:firstLine="36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2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宋体" w:hAnsi="宋体" w:cs="宋体"/>
      <w:b/>
      <w:bCs/>
      <w:kern w:val="44"/>
      <w:sz w:val="32"/>
      <w:szCs w:val="52"/>
    </w:rPr>
  </w:style>
  <w:style w:type="paragraph" w:styleId="4">
    <w:name w:val="heading 2"/>
    <w:basedOn w:val="1"/>
    <w:next w:val="1"/>
    <w:qFormat/>
    <w:uiPriority w:val="0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sz w:val="28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b/>
      <w:bCs/>
      <w:szCs w:val="32"/>
    </w:rPr>
  </w:style>
  <w:style w:type="paragraph" w:styleId="6">
    <w:name w:val="heading 4"/>
    <w:basedOn w:val="1"/>
    <w:next w:val="1"/>
    <w:qFormat/>
    <w:uiPriority w:val="9"/>
    <w:pPr>
      <w:keepNext/>
      <w:keepLines/>
      <w:outlineLvl w:val="3"/>
    </w:pPr>
    <w:rPr>
      <w:rFonts w:ascii="Cambria" w:hAnsi="Cambria"/>
      <w:b/>
      <w:bCs/>
      <w:szCs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2019-04-28T09:06:15Z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